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0F5D39" w:rsidP="000F5D39" w:rsidRDefault="000F5D39" w14:paraId="5FCDF121" w14:textId="77777777">
      <w:pPr>
        <w:jc w:val="center"/>
        <w:rPr>
          <w:rFonts w:ascii="Arial" w:hAnsi="Arial" w:cs="Arial"/>
          <w:b/>
        </w:rPr>
      </w:pPr>
      <w:bookmarkStart w:name="_GoBack" w:id="0"/>
      <w:bookmarkEnd w:id="0"/>
    </w:p>
    <w:p w:rsidRPr="002C4F75" w:rsidR="000F5D39" w:rsidP="000F5D39" w:rsidRDefault="000F5D39" w14:paraId="7AA87718" w14:textId="77777777">
      <w:pPr>
        <w:jc w:val="center"/>
        <w:rPr>
          <w:rFonts w:ascii="Arial" w:hAnsi="Arial" w:cs="Arial"/>
          <w:b/>
        </w:rPr>
      </w:pPr>
    </w:p>
    <w:p w:rsidRPr="002C4F75" w:rsidR="000F5D39" w:rsidP="000F5D39" w:rsidRDefault="000F5D39" w14:paraId="2BEDDA71" w14:textId="77777777">
      <w:pPr>
        <w:jc w:val="center"/>
        <w:rPr>
          <w:rFonts w:ascii="Arial" w:hAnsi="Arial" w:cs="Arial"/>
          <w:b/>
        </w:rPr>
      </w:pPr>
    </w:p>
    <w:p w:rsidRPr="002C4F75" w:rsidR="000F5D39" w:rsidP="000F5D39" w:rsidRDefault="000F5D39" w14:paraId="5EE1EB4E" w14:textId="77777777">
      <w:pPr>
        <w:pStyle w:val="ReportCover-Title"/>
        <w:rPr>
          <w:rFonts w:ascii="Arial" w:hAnsi="Arial" w:cs="Arial"/>
          <w:color w:val="auto"/>
        </w:rPr>
      </w:pPr>
    </w:p>
    <w:p w:rsidRPr="002C4F75" w:rsidR="000F5D39" w:rsidP="000F5D39" w:rsidRDefault="005F0599" w14:paraId="1C0CE967" w14:textId="77777777">
      <w:pPr>
        <w:pStyle w:val="ReportCover-Title"/>
        <w:jc w:val="center"/>
        <w:rPr>
          <w:rFonts w:ascii="Arial" w:hAnsi="Arial" w:cs="Arial"/>
          <w:color w:val="auto"/>
        </w:rPr>
      </w:pPr>
      <w:r>
        <w:rPr>
          <w:rFonts w:ascii="Arial" w:hAnsi="Arial" w:eastAsia="Arial Unicode MS" w:cs="Arial"/>
          <w:noProof/>
          <w:color w:val="auto"/>
        </w:rPr>
        <w:t>How TANF Agencies Support Families Experiencing Homelessness</w:t>
      </w:r>
    </w:p>
    <w:p w:rsidRPr="002C4F75" w:rsidR="000F5D39" w:rsidP="000F5D39" w:rsidRDefault="000F5D39" w14:paraId="3662D4A2" w14:textId="77777777">
      <w:pPr>
        <w:pStyle w:val="ReportCover-Title"/>
        <w:rPr>
          <w:rFonts w:ascii="Arial" w:hAnsi="Arial" w:cs="Arial"/>
          <w:color w:val="auto"/>
        </w:rPr>
      </w:pPr>
    </w:p>
    <w:p w:rsidRPr="002C4F75" w:rsidR="000F5D39" w:rsidP="000F5D39" w:rsidRDefault="000F5D39" w14:paraId="088417E2" w14:textId="77777777">
      <w:pPr>
        <w:pStyle w:val="ReportCover-Title"/>
        <w:rPr>
          <w:rFonts w:ascii="Arial" w:hAnsi="Arial" w:cs="Arial"/>
          <w:color w:val="auto"/>
        </w:rPr>
      </w:pPr>
    </w:p>
    <w:p w:rsidRPr="002C4F75" w:rsidR="000F5D39" w:rsidP="000F5D39" w:rsidRDefault="000F5D39" w14:paraId="4E94E216" w14:textId="77777777">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0F5D39" w:rsidP="000F5D39" w:rsidRDefault="00E41471" w14:paraId="40B24D8B" w14:textId="77777777">
      <w:pPr>
        <w:pStyle w:val="ReportCover-Title"/>
        <w:jc w:val="center"/>
        <w:rPr>
          <w:rFonts w:ascii="Arial" w:hAnsi="Arial" w:cs="Arial"/>
          <w:color w:val="auto"/>
          <w:sz w:val="32"/>
          <w:szCs w:val="32"/>
        </w:rPr>
      </w:pPr>
      <w:r>
        <w:rPr>
          <w:rFonts w:ascii="Arial" w:hAnsi="Arial" w:cs="Arial"/>
          <w:color w:val="auto"/>
          <w:sz w:val="32"/>
          <w:szCs w:val="32"/>
        </w:rPr>
        <w:t>New Collection</w:t>
      </w:r>
    </w:p>
    <w:p w:rsidRPr="002C4F75" w:rsidR="000F5D39" w:rsidP="000F5D39" w:rsidRDefault="000F5D39" w14:paraId="1355A863" w14:textId="77777777">
      <w:pPr>
        <w:rPr>
          <w:rFonts w:ascii="Arial" w:hAnsi="Arial" w:cs="Arial"/>
          <w:szCs w:val="22"/>
        </w:rPr>
      </w:pPr>
    </w:p>
    <w:p w:rsidRPr="002C4F75" w:rsidR="000F5D39" w:rsidP="000F5D39" w:rsidRDefault="000F5D39" w14:paraId="58299E1A" w14:textId="77777777">
      <w:pPr>
        <w:pStyle w:val="ReportCover-Date"/>
        <w:jc w:val="center"/>
        <w:rPr>
          <w:rFonts w:ascii="Arial" w:hAnsi="Arial" w:cs="Arial"/>
          <w:color w:val="auto"/>
        </w:rPr>
      </w:pPr>
    </w:p>
    <w:p w:rsidRPr="002C4F75" w:rsidR="000F5D39" w:rsidP="000F5D39" w:rsidRDefault="000F5D39" w14:paraId="4FA337DE"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0F5D39" w:rsidP="000F5D39" w:rsidRDefault="000F5D39" w14:paraId="43A3131E"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rsidRPr="002C4F75" w:rsidR="0030356A" w:rsidP="0030356A" w:rsidRDefault="004D5801" w14:paraId="62214D13" w14:textId="77777777">
      <w:pPr>
        <w:pStyle w:val="ReportCover-Date"/>
        <w:jc w:val="center"/>
        <w:rPr>
          <w:rFonts w:ascii="Arial" w:hAnsi="Arial" w:cs="Arial"/>
          <w:color w:val="auto"/>
        </w:rPr>
      </w:pPr>
      <w:r>
        <w:rPr>
          <w:rFonts w:ascii="Arial" w:hAnsi="Arial" w:cs="Arial"/>
          <w:color w:val="auto"/>
        </w:rPr>
        <w:t>June 2020</w:t>
      </w:r>
    </w:p>
    <w:p w:rsidRPr="002C4F75" w:rsidR="000F5D39" w:rsidP="000F5D39" w:rsidRDefault="000F5D39" w14:paraId="3296B050" w14:textId="77777777">
      <w:pPr>
        <w:jc w:val="center"/>
        <w:rPr>
          <w:rFonts w:ascii="Arial" w:hAnsi="Arial" w:cs="Arial"/>
        </w:rPr>
      </w:pPr>
    </w:p>
    <w:p w:rsidRPr="002C4F75" w:rsidR="000F5D39" w:rsidP="000F5D39" w:rsidRDefault="000F5D39" w14:paraId="59F6C1CE" w14:textId="77777777">
      <w:pPr>
        <w:jc w:val="center"/>
        <w:rPr>
          <w:rFonts w:ascii="Arial" w:hAnsi="Arial" w:cs="Arial"/>
        </w:rPr>
      </w:pPr>
      <w:r w:rsidRPr="002C4F75">
        <w:rPr>
          <w:rFonts w:ascii="Arial" w:hAnsi="Arial" w:cs="Arial"/>
        </w:rPr>
        <w:t>Submitted By:</w:t>
      </w:r>
    </w:p>
    <w:p w:rsidRPr="002C4F75" w:rsidR="000F5D39" w:rsidP="000F5D39" w:rsidRDefault="000F5D39" w14:paraId="6A75E662" w14:textId="77777777">
      <w:pPr>
        <w:jc w:val="center"/>
        <w:rPr>
          <w:rFonts w:ascii="Arial" w:hAnsi="Arial" w:cs="Arial"/>
        </w:rPr>
      </w:pPr>
      <w:r w:rsidRPr="002C4F75">
        <w:rPr>
          <w:rFonts w:ascii="Arial" w:hAnsi="Arial" w:cs="Arial"/>
        </w:rPr>
        <w:t>Office of Planning, Research</w:t>
      </w:r>
      <w:r w:rsidR="006D392F">
        <w:rPr>
          <w:rFonts w:ascii="Arial" w:hAnsi="Arial" w:cs="Arial"/>
        </w:rPr>
        <w:t>,</w:t>
      </w:r>
      <w:r w:rsidRPr="002C4F75">
        <w:rPr>
          <w:rFonts w:ascii="Arial" w:hAnsi="Arial" w:cs="Arial"/>
        </w:rPr>
        <w:t xml:space="preserve"> and Evaluation</w:t>
      </w:r>
    </w:p>
    <w:p w:rsidRPr="002C4F75" w:rsidR="000F5D39" w:rsidP="000F5D39" w:rsidRDefault="000F5D39" w14:paraId="481422AE" w14:textId="77777777">
      <w:pPr>
        <w:jc w:val="center"/>
        <w:rPr>
          <w:rFonts w:ascii="Arial" w:hAnsi="Arial" w:cs="Arial"/>
        </w:rPr>
      </w:pPr>
      <w:r w:rsidRPr="002C4F75">
        <w:rPr>
          <w:rFonts w:ascii="Arial" w:hAnsi="Arial" w:cs="Arial"/>
        </w:rPr>
        <w:t xml:space="preserve">Administration for Children and Families </w:t>
      </w:r>
    </w:p>
    <w:p w:rsidRPr="002C4F75" w:rsidR="000F5D39" w:rsidP="000F5D39" w:rsidRDefault="000F5D39" w14:paraId="47834853" w14:textId="77777777">
      <w:pPr>
        <w:jc w:val="center"/>
        <w:rPr>
          <w:rFonts w:ascii="Arial" w:hAnsi="Arial" w:cs="Arial"/>
        </w:rPr>
      </w:pPr>
      <w:r w:rsidRPr="002C4F75">
        <w:rPr>
          <w:rFonts w:ascii="Arial" w:hAnsi="Arial" w:cs="Arial"/>
        </w:rPr>
        <w:t>U.S. Department of Health and Human Services</w:t>
      </w:r>
    </w:p>
    <w:p w:rsidRPr="002C4F75" w:rsidR="000F5D39" w:rsidP="000F5D39" w:rsidRDefault="000F5D39" w14:paraId="127A6D33" w14:textId="77777777">
      <w:pPr>
        <w:jc w:val="center"/>
        <w:rPr>
          <w:rFonts w:ascii="Arial" w:hAnsi="Arial" w:cs="Arial"/>
        </w:rPr>
      </w:pPr>
    </w:p>
    <w:p w:rsidR="007A6EEC" w:rsidP="007A6EEC" w:rsidRDefault="007A6EEC" w14:paraId="7DBBF738" w14:textId="77777777">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rsidR="007A6EEC" w:rsidP="007A6EEC" w:rsidRDefault="007A6EEC" w14:paraId="2F081A4D" w14:textId="77777777">
      <w:pPr>
        <w:jc w:val="center"/>
        <w:rPr>
          <w:rFonts w:ascii="Arial" w:hAnsi="Arial" w:cs="Arial"/>
        </w:rPr>
      </w:pPr>
      <w:r>
        <w:rPr>
          <w:rFonts w:ascii="Arial" w:hAnsi="Arial" w:cs="Arial"/>
        </w:rPr>
        <w:t>330 C Street, SW</w:t>
      </w:r>
    </w:p>
    <w:p w:rsidR="007A6EEC" w:rsidP="007A6EEC" w:rsidRDefault="007A6EEC" w14:paraId="64E5D8A8" w14:textId="77777777">
      <w:pPr>
        <w:jc w:val="center"/>
        <w:rPr>
          <w:rFonts w:ascii="Arial" w:hAnsi="Arial" w:cs="Arial"/>
        </w:rPr>
      </w:pPr>
      <w:r>
        <w:rPr>
          <w:rFonts w:ascii="Arial" w:hAnsi="Arial" w:cs="Arial"/>
        </w:rPr>
        <w:t>Washington, D.C. 20201</w:t>
      </w:r>
    </w:p>
    <w:p w:rsidRPr="002C4F75" w:rsidR="000F5D39" w:rsidP="000F5D39" w:rsidRDefault="000F5D39" w14:paraId="60B59951" w14:textId="77777777">
      <w:pPr>
        <w:jc w:val="center"/>
        <w:rPr>
          <w:rFonts w:ascii="Arial" w:hAnsi="Arial" w:cs="Arial"/>
        </w:rPr>
      </w:pPr>
    </w:p>
    <w:p w:rsidRPr="002C4F75" w:rsidR="000F5D39" w:rsidP="000F5D39" w:rsidRDefault="000F5D39" w14:paraId="31C7B508" w14:textId="77777777">
      <w:pPr>
        <w:jc w:val="center"/>
        <w:rPr>
          <w:rFonts w:ascii="Arial" w:hAnsi="Arial" w:cs="Arial"/>
        </w:rPr>
      </w:pPr>
      <w:r w:rsidRPr="0030356A">
        <w:rPr>
          <w:rFonts w:ascii="Arial" w:hAnsi="Arial" w:cs="Arial"/>
        </w:rPr>
        <w:t>Project Officer:</w:t>
      </w:r>
    </w:p>
    <w:p w:rsidR="0030356A" w:rsidP="002F650E" w:rsidRDefault="004D5801" w14:paraId="5578D05E" w14:textId="77777777">
      <w:pPr>
        <w:shd w:val="clear" w:color="auto" w:fill="FFFFFF"/>
        <w:jc w:val="center"/>
        <w:rPr>
          <w:b/>
        </w:rPr>
      </w:pPr>
      <w:commentRangeStart w:id="1"/>
      <w:r>
        <w:rPr>
          <w:b/>
        </w:rPr>
        <w:t>Girley Wright</w:t>
      </w:r>
      <w:commentRangeEnd w:id="1"/>
      <w:r>
        <w:rPr>
          <w:rStyle w:val="CommentReference"/>
        </w:rPr>
        <w:commentReference w:id="1"/>
      </w:r>
    </w:p>
    <w:p w:rsidR="0030356A" w:rsidP="002F650E" w:rsidRDefault="0030356A" w14:paraId="16DE8589" w14:textId="77777777">
      <w:pPr>
        <w:shd w:val="clear" w:color="auto" w:fill="FFFFFF"/>
        <w:jc w:val="center"/>
        <w:rPr>
          <w:b/>
        </w:rPr>
      </w:pPr>
    </w:p>
    <w:p w:rsidR="00235361" w:rsidP="00735EBE" w:rsidRDefault="00235361" w14:paraId="71B59502" w14:textId="77777777">
      <w:pPr>
        <w:spacing w:after="120"/>
        <w:rPr>
          <w:b/>
        </w:rPr>
      </w:pPr>
    </w:p>
    <w:p w:rsidR="00C37BFC" w:rsidP="00E8537F" w:rsidRDefault="00C37BFC" w14:paraId="5E226F6D" w14:textId="77777777">
      <w:pPr>
        <w:pStyle w:val="TOCHeading"/>
        <w:rPr>
          <w:color w:val="auto"/>
        </w:rPr>
      </w:pPr>
    </w:p>
    <w:p w:rsidRPr="00C37BFC" w:rsidR="00E8537F" w:rsidP="00E8537F" w:rsidRDefault="00E8537F" w14:paraId="6A19929E" w14:textId="77777777">
      <w:pPr>
        <w:pStyle w:val="TOCHeading"/>
        <w:rPr>
          <w:color w:val="auto"/>
        </w:rPr>
      </w:pPr>
      <w:r w:rsidRPr="00C37BFC">
        <w:rPr>
          <w:color w:val="auto"/>
        </w:rPr>
        <w:lastRenderedPageBreak/>
        <w:t>Table of Contents</w:t>
      </w:r>
    </w:p>
    <w:p w:rsidRPr="00CE31D3" w:rsidR="00E8537F" w:rsidRDefault="00E8537F" w14:paraId="721AB86C" w14:textId="77777777">
      <w:pPr>
        <w:pStyle w:val="TOC1"/>
        <w:tabs>
          <w:tab w:val="right" w:leader="dot" w:pos="9350"/>
        </w:tabs>
        <w:rPr>
          <w:noProof/>
          <w:sz w:val="22"/>
        </w:rPr>
      </w:pPr>
      <w:r>
        <w:fldChar w:fldCharType="begin"/>
      </w:r>
      <w:r>
        <w:instrText xml:space="preserve"> TOC \o "1-3" \h \z \u </w:instrText>
      </w:r>
      <w:r>
        <w:fldChar w:fldCharType="separate"/>
      </w:r>
      <w:hyperlink w:history="1" w:anchor="_Toc512605830">
        <w:r w:rsidRPr="00CE31D3">
          <w:rPr>
            <w:rStyle w:val="Hyperlink"/>
            <w:noProof/>
            <w:sz w:val="22"/>
          </w:rPr>
          <w:t>B1. Respondent Universe and Sampling Methods</w:t>
        </w:r>
        <w:r w:rsidRPr="00CE31D3">
          <w:rPr>
            <w:noProof/>
            <w:webHidden/>
            <w:sz w:val="22"/>
          </w:rPr>
          <w:tab/>
        </w:r>
        <w:r w:rsidRPr="00CE31D3">
          <w:rPr>
            <w:noProof/>
            <w:webHidden/>
            <w:sz w:val="22"/>
          </w:rPr>
          <w:fldChar w:fldCharType="begin"/>
        </w:r>
        <w:r w:rsidRPr="00CE31D3">
          <w:rPr>
            <w:noProof/>
            <w:webHidden/>
            <w:sz w:val="22"/>
          </w:rPr>
          <w:instrText xml:space="preserve"> PAGEREF _Toc512605830 \h </w:instrText>
        </w:r>
        <w:r w:rsidRPr="00CE31D3">
          <w:rPr>
            <w:noProof/>
            <w:webHidden/>
            <w:sz w:val="22"/>
          </w:rPr>
        </w:r>
        <w:r w:rsidRPr="00CE31D3">
          <w:rPr>
            <w:noProof/>
            <w:webHidden/>
            <w:sz w:val="22"/>
          </w:rPr>
          <w:fldChar w:fldCharType="separate"/>
        </w:r>
        <w:r w:rsidR="00AF7999">
          <w:rPr>
            <w:noProof/>
            <w:webHidden/>
            <w:sz w:val="22"/>
          </w:rPr>
          <w:t>3</w:t>
        </w:r>
        <w:r w:rsidRPr="00CE31D3">
          <w:rPr>
            <w:noProof/>
            <w:webHidden/>
            <w:sz w:val="22"/>
          </w:rPr>
          <w:fldChar w:fldCharType="end"/>
        </w:r>
      </w:hyperlink>
    </w:p>
    <w:p w:rsidRPr="00CE31D3" w:rsidR="00E8537F" w:rsidRDefault="00E8537F" w14:paraId="0621FF33" w14:textId="77777777">
      <w:pPr>
        <w:pStyle w:val="TOC1"/>
        <w:tabs>
          <w:tab w:val="right" w:leader="dot" w:pos="9350"/>
        </w:tabs>
        <w:rPr>
          <w:noProof/>
          <w:sz w:val="22"/>
        </w:rPr>
      </w:pPr>
      <w:hyperlink w:history="1" w:anchor="_Toc512605831">
        <w:r w:rsidRPr="00CE31D3">
          <w:rPr>
            <w:rStyle w:val="Hyperlink"/>
            <w:noProof/>
            <w:sz w:val="22"/>
          </w:rPr>
          <w:t>B2. Procedures for Collection of Information</w:t>
        </w:r>
        <w:r w:rsidRPr="00CE31D3">
          <w:rPr>
            <w:noProof/>
            <w:webHidden/>
            <w:sz w:val="22"/>
          </w:rPr>
          <w:tab/>
        </w:r>
        <w:r w:rsidRPr="00CE31D3">
          <w:rPr>
            <w:noProof/>
            <w:webHidden/>
            <w:sz w:val="22"/>
          </w:rPr>
          <w:fldChar w:fldCharType="begin"/>
        </w:r>
        <w:r w:rsidRPr="00CE31D3">
          <w:rPr>
            <w:noProof/>
            <w:webHidden/>
            <w:sz w:val="22"/>
          </w:rPr>
          <w:instrText xml:space="preserve"> PAGEREF _Toc512605831 \h </w:instrText>
        </w:r>
        <w:r w:rsidRPr="00CE31D3">
          <w:rPr>
            <w:noProof/>
            <w:webHidden/>
            <w:sz w:val="22"/>
          </w:rPr>
        </w:r>
        <w:r w:rsidRPr="00CE31D3">
          <w:rPr>
            <w:noProof/>
            <w:webHidden/>
            <w:sz w:val="22"/>
          </w:rPr>
          <w:fldChar w:fldCharType="separate"/>
        </w:r>
        <w:r w:rsidR="00AF7999">
          <w:rPr>
            <w:noProof/>
            <w:webHidden/>
            <w:sz w:val="22"/>
          </w:rPr>
          <w:t>4</w:t>
        </w:r>
        <w:r w:rsidRPr="00CE31D3">
          <w:rPr>
            <w:noProof/>
            <w:webHidden/>
            <w:sz w:val="22"/>
          </w:rPr>
          <w:fldChar w:fldCharType="end"/>
        </w:r>
      </w:hyperlink>
    </w:p>
    <w:p w:rsidRPr="00CE31D3" w:rsidR="00E8537F" w:rsidRDefault="00E8537F" w14:paraId="6147F3A9" w14:textId="77777777">
      <w:pPr>
        <w:pStyle w:val="TOC1"/>
        <w:tabs>
          <w:tab w:val="right" w:leader="dot" w:pos="9350"/>
        </w:tabs>
        <w:rPr>
          <w:noProof/>
          <w:sz w:val="22"/>
        </w:rPr>
      </w:pPr>
      <w:hyperlink w:history="1" w:anchor="_Toc512605832">
        <w:r w:rsidRPr="00CE31D3">
          <w:rPr>
            <w:rStyle w:val="Hyperlink"/>
            <w:noProof/>
            <w:sz w:val="22"/>
          </w:rPr>
          <w:t>B3. Methods to Maximize Response Rates and Deal with Nonresponse</w:t>
        </w:r>
        <w:r w:rsidRPr="00CE31D3">
          <w:rPr>
            <w:noProof/>
            <w:webHidden/>
            <w:sz w:val="22"/>
          </w:rPr>
          <w:tab/>
        </w:r>
        <w:r w:rsidRPr="00CE31D3">
          <w:rPr>
            <w:noProof/>
            <w:webHidden/>
            <w:sz w:val="22"/>
          </w:rPr>
          <w:fldChar w:fldCharType="begin"/>
        </w:r>
        <w:r w:rsidRPr="00CE31D3">
          <w:rPr>
            <w:noProof/>
            <w:webHidden/>
            <w:sz w:val="22"/>
          </w:rPr>
          <w:instrText xml:space="preserve"> PAGEREF _Toc512605832 \h </w:instrText>
        </w:r>
        <w:r w:rsidRPr="00CE31D3">
          <w:rPr>
            <w:noProof/>
            <w:webHidden/>
            <w:sz w:val="22"/>
          </w:rPr>
        </w:r>
        <w:r w:rsidRPr="00CE31D3">
          <w:rPr>
            <w:noProof/>
            <w:webHidden/>
            <w:sz w:val="22"/>
          </w:rPr>
          <w:fldChar w:fldCharType="separate"/>
        </w:r>
        <w:r w:rsidR="00AF7999">
          <w:rPr>
            <w:noProof/>
            <w:webHidden/>
            <w:sz w:val="22"/>
          </w:rPr>
          <w:t>6</w:t>
        </w:r>
        <w:r w:rsidRPr="00CE31D3">
          <w:rPr>
            <w:noProof/>
            <w:webHidden/>
            <w:sz w:val="22"/>
          </w:rPr>
          <w:fldChar w:fldCharType="end"/>
        </w:r>
      </w:hyperlink>
    </w:p>
    <w:p w:rsidRPr="00CE31D3" w:rsidR="00E8537F" w:rsidRDefault="00E8537F" w14:paraId="205B73B6" w14:textId="77777777">
      <w:pPr>
        <w:pStyle w:val="TOC1"/>
        <w:tabs>
          <w:tab w:val="right" w:leader="dot" w:pos="9350"/>
        </w:tabs>
        <w:rPr>
          <w:noProof/>
          <w:sz w:val="22"/>
        </w:rPr>
      </w:pPr>
      <w:hyperlink w:history="1" w:anchor="_Toc512605833">
        <w:r w:rsidRPr="00CE31D3">
          <w:rPr>
            <w:rStyle w:val="Hyperlink"/>
            <w:noProof/>
            <w:sz w:val="22"/>
          </w:rPr>
          <w:t>B4. Tests of Procedures or Methods to be Undertaken</w:t>
        </w:r>
        <w:r w:rsidRPr="00CE31D3">
          <w:rPr>
            <w:noProof/>
            <w:webHidden/>
            <w:sz w:val="22"/>
          </w:rPr>
          <w:tab/>
        </w:r>
        <w:r w:rsidRPr="00CE31D3">
          <w:rPr>
            <w:noProof/>
            <w:webHidden/>
            <w:sz w:val="22"/>
          </w:rPr>
          <w:fldChar w:fldCharType="begin"/>
        </w:r>
        <w:r w:rsidRPr="00CE31D3">
          <w:rPr>
            <w:noProof/>
            <w:webHidden/>
            <w:sz w:val="22"/>
          </w:rPr>
          <w:instrText xml:space="preserve"> PAGEREF _Toc512605833 \h </w:instrText>
        </w:r>
        <w:r w:rsidRPr="00CE31D3">
          <w:rPr>
            <w:noProof/>
            <w:webHidden/>
            <w:sz w:val="22"/>
          </w:rPr>
        </w:r>
        <w:r w:rsidRPr="00CE31D3">
          <w:rPr>
            <w:noProof/>
            <w:webHidden/>
            <w:sz w:val="22"/>
          </w:rPr>
          <w:fldChar w:fldCharType="separate"/>
        </w:r>
        <w:r w:rsidR="00AF7999">
          <w:rPr>
            <w:noProof/>
            <w:webHidden/>
            <w:sz w:val="22"/>
          </w:rPr>
          <w:t>7</w:t>
        </w:r>
        <w:r w:rsidRPr="00CE31D3">
          <w:rPr>
            <w:noProof/>
            <w:webHidden/>
            <w:sz w:val="22"/>
          </w:rPr>
          <w:fldChar w:fldCharType="end"/>
        </w:r>
      </w:hyperlink>
    </w:p>
    <w:p w:rsidRPr="00CE31D3" w:rsidR="00E8537F" w:rsidRDefault="00E8537F" w14:paraId="6F72D45F" w14:textId="77777777">
      <w:pPr>
        <w:pStyle w:val="TOC1"/>
        <w:tabs>
          <w:tab w:val="right" w:leader="dot" w:pos="9350"/>
        </w:tabs>
        <w:rPr>
          <w:noProof/>
          <w:sz w:val="22"/>
        </w:rPr>
      </w:pPr>
      <w:hyperlink w:history="1" w:anchor="_Toc512605834">
        <w:r w:rsidRPr="00CE31D3">
          <w:rPr>
            <w:rStyle w:val="Hyperlink"/>
            <w:noProof/>
            <w:sz w:val="22"/>
          </w:rPr>
          <w:t>B5. Individual(s) Consulted on Statistical Aspects and Individuals Collecting and/or Analyzing Data</w:t>
        </w:r>
        <w:r w:rsidRPr="00CE31D3">
          <w:rPr>
            <w:noProof/>
            <w:webHidden/>
            <w:sz w:val="22"/>
          </w:rPr>
          <w:tab/>
        </w:r>
        <w:r w:rsidRPr="00CE31D3">
          <w:rPr>
            <w:noProof/>
            <w:webHidden/>
            <w:sz w:val="22"/>
          </w:rPr>
          <w:fldChar w:fldCharType="begin"/>
        </w:r>
        <w:r w:rsidRPr="00CE31D3">
          <w:rPr>
            <w:noProof/>
            <w:webHidden/>
            <w:sz w:val="22"/>
          </w:rPr>
          <w:instrText xml:space="preserve"> PAGEREF _Toc512605834 \h </w:instrText>
        </w:r>
        <w:r w:rsidRPr="00CE31D3">
          <w:rPr>
            <w:noProof/>
            <w:webHidden/>
            <w:sz w:val="22"/>
          </w:rPr>
        </w:r>
        <w:r w:rsidRPr="00CE31D3">
          <w:rPr>
            <w:noProof/>
            <w:webHidden/>
            <w:sz w:val="22"/>
          </w:rPr>
          <w:fldChar w:fldCharType="separate"/>
        </w:r>
        <w:r w:rsidR="00AF7999">
          <w:rPr>
            <w:noProof/>
            <w:webHidden/>
            <w:sz w:val="22"/>
          </w:rPr>
          <w:t>8</w:t>
        </w:r>
        <w:r w:rsidRPr="00CE31D3">
          <w:rPr>
            <w:noProof/>
            <w:webHidden/>
            <w:sz w:val="22"/>
          </w:rPr>
          <w:fldChar w:fldCharType="end"/>
        </w:r>
      </w:hyperlink>
    </w:p>
    <w:p w:rsidR="00E8537F" w:rsidRDefault="00E8537F" w14:paraId="234A36C0" w14:textId="77777777">
      <w:r>
        <w:rPr>
          <w:b/>
          <w:bCs/>
          <w:noProof/>
        </w:rPr>
        <w:fldChar w:fldCharType="end"/>
      </w:r>
    </w:p>
    <w:p w:rsidR="00E8537F" w:rsidP="00735EBE" w:rsidRDefault="00E8537F" w14:paraId="71232F80" w14:textId="77777777">
      <w:pPr>
        <w:spacing w:after="120"/>
        <w:rPr>
          <w:b/>
        </w:rPr>
      </w:pPr>
    </w:p>
    <w:p w:rsidR="002B28C7" w:rsidP="002B28C7" w:rsidRDefault="00E8537F" w14:paraId="6DE233D7" w14:textId="77777777">
      <w:pPr>
        <w:shd w:val="clear" w:color="auto" w:fill="FFFFFF"/>
        <w:rPr>
          <w:iCs/>
          <w:sz w:val="22"/>
          <w:szCs w:val="22"/>
        </w:rPr>
      </w:pPr>
      <w:r>
        <w:rPr>
          <w:b/>
        </w:rPr>
        <w:br w:type="page"/>
      </w:r>
      <w:r w:rsidR="002B28C7">
        <w:rPr>
          <w:sz w:val="22"/>
          <w:szCs w:val="22"/>
        </w:rPr>
        <w:lastRenderedPageBreak/>
        <w:t xml:space="preserve">The </w:t>
      </w:r>
      <w:r w:rsidRPr="000517EA" w:rsidR="002B28C7">
        <w:rPr>
          <w:sz w:val="22"/>
          <w:szCs w:val="22"/>
        </w:rPr>
        <w:t>Administration for Children and Families (ACF) at the U.S. Department of Health and Human Services (HHS) seeks approval for</w:t>
      </w:r>
      <w:r w:rsidR="002B28C7">
        <w:rPr>
          <w:sz w:val="22"/>
          <w:szCs w:val="22"/>
        </w:rPr>
        <w:t xml:space="preserve"> data collection activities for a descriptive study aimed at understanding how the </w:t>
      </w:r>
      <w:r w:rsidRPr="00533FB5" w:rsidR="002B28C7">
        <w:rPr>
          <w:sz w:val="22"/>
          <w:szCs w:val="22"/>
        </w:rPr>
        <w:t xml:space="preserve">Temporary Assistance for Needy Families </w:t>
      </w:r>
      <w:r w:rsidR="002B28C7">
        <w:rPr>
          <w:sz w:val="22"/>
          <w:szCs w:val="22"/>
        </w:rPr>
        <w:t xml:space="preserve">(TANF) program is assisting families who are currently or at-risk of experiencing homelessness. </w:t>
      </w:r>
      <w:r w:rsidR="002B28C7">
        <w:rPr>
          <w:iCs/>
          <w:sz w:val="22"/>
          <w:szCs w:val="22"/>
        </w:rPr>
        <w:t>ACF</w:t>
      </w:r>
      <w:r w:rsidRPr="005B0F0A" w:rsidR="002B28C7">
        <w:rPr>
          <w:iCs/>
          <w:sz w:val="22"/>
          <w:szCs w:val="22"/>
        </w:rPr>
        <w:t xml:space="preserve"> seeks OMB approval for </w:t>
      </w:r>
      <w:r w:rsidR="005F4C09">
        <w:rPr>
          <w:iCs/>
          <w:sz w:val="22"/>
          <w:szCs w:val="22"/>
        </w:rPr>
        <w:t>three</w:t>
      </w:r>
      <w:r w:rsidRPr="005B0F0A" w:rsidR="005F4C09">
        <w:rPr>
          <w:iCs/>
          <w:sz w:val="22"/>
          <w:szCs w:val="22"/>
        </w:rPr>
        <w:t xml:space="preserve"> </w:t>
      </w:r>
      <w:r w:rsidRPr="005B0F0A" w:rsidR="002B28C7">
        <w:rPr>
          <w:iCs/>
          <w:sz w:val="22"/>
          <w:szCs w:val="22"/>
        </w:rPr>
        <w:t>data collection instruments that will be used as part of the field assessment:</w:t>
      </w:r>
    </w:p>
    <w:p w:rsidRPr="005B0F0A" w:rsidR="002B28C7" w:rsidP="002B28C7" w:rsidRDefault="002B28C7" w14:paraId="19EBA024" w14:textId="77777777">
      <w:pPr>
        <w:shd w:val="clear" w:color="auto" w:fill="FFFFFF"/>
        <w:rPr>
          <w:iCs/>
          <w:sz w:val="22"/>
          <w:szCs w:val="22"/>
        </w:rPr>
      </w:pPr>
    </w:p>
    <w:p w:rsidRPr="005B0F0A" w:rsidR="002B28C7" w:rsidP="002B28C7" w:rsidRDefault="002B28C7" w14:paraId="7F6B413E" w14:textId="77777777">
      <w:pPr>
        <w:numPr>
          <w:ilvl w:val="0"/>
          <w:numId w:val="20"/>
        </w:numPr>
        <w:shd w:val="clear" w:color="auto" w:fill="FFFFFF"/>
        <w:rPr>
          <w:iCs/>
          <w:sz w:val="22"/>
          <w:szCs w:val="22"/>
        </w:rPr>
      </w:pPr>
      <w:r w:rsidRPr="005B0F0A">
        <w:rPr>
          <w:iCs/>
          <w:sz w:val="22"/>
          <w:szCs w:val="22"/>
        </w:rPr>
        <w:t>TANF Administrator Web Survey (A</w:t>
      </w:r>
      <w:r>
        <w:rPr>
          <w:iCs/>
          <w:sz w:val="22"/>
          <w:szCs w:val="22"/>
        </w:rPr>
        <w:t>ttachment</w:t>
      </w:r>
      <w:r w:rsidRPr="005B0F0A">
        <w:rPr>
          <w:iCs/>
          <w:sz w:val="22"/>
          <w:szCs w:val="22"/>
        </w:rPr>
        <w:t xml:space="preserve"> A);</w:t>
      </w:r>
    </w:p>
    <w:p w:rsidRPr="005B0F0A" w:rsidR="002B28C7" w:rsidP="002B28C7" w:rsidRDefault="002B28C7" w14:paraId="50B2E241" w14:textId="77777777">
      <w:pPr>
        <w:numPr>
          <w:ilvl w:val="0"/>
          <w:numId w:val="20"/>
        </w:numPr>
        <w:shd w:val="clear" w:color="auto" w:fill="FFFFFF"/>
        <w:rPr>
          <w:iCs/>
          <w:sz w:val="22"/>
          <w:szCs w:val="22"/>
        </w:rPr>
      </w:pPr>
      <w:r w:rsidRPr="005B0F0A">
        <w:rPr>
          <w:iCs/>
          <w:sz w:val="22"/>
          <w:szCs w:val="22"/>
        </w:rPr>
        <w:t xml:space="preserve">Discussion Guide for TANF </w:t>
      </w:r>
      <w:r w:rsidR="00347BDF">
        <w:rPr>
          <w:iCs/>
          <w:sz w:val="22"/>
          <w:szCs w:val="22"/>
        </w:rPr>
        <w:t>S</w:t>
      </w:r>
      <w:r w:rsidRPr="005B0F0A">
        <w:rPr>
          <w:iCs/>
          <w:sz w:val="22"/>
          <w:szCs w:val="22"/>
        </w:rPr>
        <w:t>taf</w:t>
      </w:r>
      <w:r>
        <w:rPr>
          <w:iCs/>
          <w:sz w:val="22"/>
          <w:szCs w:val="22"/>
        </w:rPr>
        <w:t>f</w:t>
      </w:r>
      <w:r w:rsidRPr="005B0F0A">
        <w:rPr>
          <w:iCs/>
          <w:sz w:val="22"/>
          <w:szCs w:val="22"/>
        </w:rPr>
        <w:t xml:space="preserve"> (A</w:t>
      </w:r>
      <w:r>
        <w:rPr>
          <w:iCs/>
          <w:sz w:val="22"/>
          <w:szCs w:val="22"/>
        </w:rPr>
        <w:t xml:space="preserve">ttachment </w:t>
      </w:r>
      <w:r w:rsidRPr="005B0F0A">
        <w:rPr>
          <w:iCs/>
          <w:sz w:val="22"/>
          <w:szCs w:val="22"/>
        </w:rPr>
        <w:t>B);</w:t>
      </w:r>
    </w:p>
    <w:p w:rsidRPr="005B0F0A" w:rsidR="002B28C7" w:rsidP="002B28C7" w:rsidRDefault="002B28C7" w14:paraId="799EC5D4" w14:textId="77777777">
      <w:pPr>
        <w:numPr>
          <w:ilvl w:val="0"/>
          <w:numId w:val="20"/>
        </w:numPr>
        <w:shd w:val="clear" w:color="auto" w:fill="FFFFFF"/>
        <w:rPr>
          <w:iCs/>
          <w:sz w:val="22"/>
          <w:szCs w:val="22"/>
        </w:rPr>
      </w:pPr>
      <w:r w:rsidRPr="005B0F0A">
        <w:rPr>
          <w:sz w:val="22"/>
          <w:szCs w:val="22"/>
        </w:rPr>
        <w:t>Discussion Guide for Staff at Continuums of Care (CoC)/Partner Organizations</w:t>
      </w:r>
      <w:r w:rsidRPr="005B0F0A">
        <w:rPr>
          <w:iCs/>
          <w:sz w:val="22"/>
          <w:szCs w:val="22"/>
        </w:rPr>
        <w:t xml:space="preserve"> (</w:t>
      </w:r>
      <w:r>
        <w:rPr>
          <w:iCs/>
          <w:sz w:val="22"/>
          <w:szCs w:val="22"/>
        </w:rPr>
        <w:t>Attachment</w:t>
      </w:r>
      <w:r w:rsidRPr="005B0F0A">
        <w:rPr>
          <w:iCs/>
          <w:sz w:val="22"/>
          <w:szCs w:val="22"/>
        </w:rPr>
        <w:t xml:space="preserve"> </w:t>
      </w:r>
      <w:r>
        <w:rPr>
          <w:iCs/>
          <w:sz w:val="22"/>
          <w:szCs w:val="22"/>
        </w:rPr>
        <w:t>C);</w:t>
      </w:r>
      <w:r w:rsidRPr="005B0F0A">
        <w:rPr>
          <w:iCs/>
          <w:sz w:val="22"/>
          <w:szCs w:val="22"/>
        </w:rPr>
        <w:t xml:space="preserve"> </w:t>
      </w:r>
    </w:p>
    <w:p w:rsidRPr="005B0F0A" w:rsidR="002B28C7" w:rsidP="002B28C7" w:rsidRDefault="002B28C7" w14:paraId="5B185DA2" w14:textId="77777777">
      <w:pPr>
        <w:shd w:val="clear" w:color="auto" w:fill="FFFFFF"/>
        <w:rPr>
          <w:sz w:val="22"/>
          <w:szCs w:val="22"/>
        </w:rPr>
      </w:pPr>
    </w:p>
    <w:p w:rsidRPr="005B0F0A" w:rsidR="002B28C7" w:rsidP="002B28C7" w:rsidRDefault="002B28C7" w14:paraId="50CD075D" w14:textId="77777777">
      <w:pPr>
        <w:shd w:val="clear" w:color="auto" w:fill="FFFFFF"/>
        <w:rPr>
          <w:sz w:val="22"/>
          <w:szCs w:val="22"/>
        </w:rPr>
      </w:pPr>
      <w:r w:rsidRPr="005B0F0A">
        <w:rPr>
          <w:sz w:val="22"/>
          <w:szCs w:val="22"/>
        </w:rPr>
        <w:t xml:space="preserve">The proposed data collection activities described in this </w:t>
      </w:r>
      <w:r>
        <w:rPr>
          <w:sz w:val="22"/>
          <w:szCs w:val="22"/>
        </w:rPr>
        <w:t>justification</w:t>
      </w:r>
      <w:r w:rsidRPr="005B0F0A">
        <w:rPr>
          <w:sz w:val="22"/>
          <w:szCs w:val="22"/>
        </w:rPr>
        <w:t xml:space="preserve"> will collect information on</w:t>
      </w:r>
      <w:r>
        <w:rPr>
          <w:sz w:val="22"/>
          <w:szCs w:val="22"/>
        </w:rPr>
        <w:t>:</w:t>
      </w:r>
    </w:p>
    <w:p w:rsidRPr="005B0F0A" w:rsidR="002B28C7" w:rsidP="002B28C7" w:rsidRDefault="002B28C7" w14:paraId="64A049C2" w14:textId="77777777">
      <w:pPr>
        <w:numPr>
          <w:ilvl w:val="0"/>
          <w:numId w:val="19"/>
        </w:numPr>
        <w:shd w:val="clear" w:color="auto" w:fill="FFFFFF"/>
        <w:rPr>
          <w:sz w:val="22"/>
          <w:szCs w:val="22"/>
        </w:rPr>
      </w:pPr>
      <w:r w:rsidRPr="005B0F0A">
        <w:rPr>
          <w:sz w:val="22"/>
          <w:szCs w:val="22"/>
        </w:rPr>
        <w:t xml:space="preserve">How states are using TANF support to address homelessness, both directly and </w:t>
      </w:r>
      <w:r>
        <w:rPr>
          <w:sz w:val="22"/>
          <w:szCs w:val="22"/>
        </w:rPr>
        <w:t xml:space="preserve">indirectly by partnering with </w:t>
      </w:r>
      <w:r w:rsidRPr="005B0F0A">
        <w:rPr>
          <w:sz w:val="22"/>
          <w:szCs w:val="22"/>
        </w:rPr>
        <w:t>local programs</w:t>
      </w:r>
      <w:r>
        <w:rPr>
          <w:sz w:val="22"/>
          <w:szCs w:val="22"/>
        </w:rPr>
        <w:t>;</w:t>
      </w:r>
    </w:p>
    <w:p w:rsidRPr="005B0F0A" w:rsidR="002B28C7" w:rsidP="002B28C7" w:rsidRDefault="002B28C7" w14:paraId="743A828C" w14:textId="77777777">
      <w:pPr>
        <w:numPr>
          <w:ilvl w:val="0"/>
          <w:numId w:val="19"/>
        </w:numPr>
        <w:shd w:val="clear" w:color="auto" w:fill="FFFFFF"/>
        <w:rPr>
          <w:sz w:val="22"/>
          <w:szCs w:val="22"/>
        </w:rPr>
      </w:pPr>
      <w:r w:rsidRPr="005B0F0A">
        <w:rPr>
          <w:sz w:val="22"/>
          <w:szCs w:val="22"/>
        </w:rPr>
        <w:t>The relationships between state agencies, local agencies, and organizations supporting those experiencing homelessness</w:t>
      </w:r>
      <w:r>
        <w:rPr>
          <w:sz w:val="22"/>
          <w:szCs w:val="22"/>
        </w:rPr>
        <w:t>;</w:t>
      </w:r>
    </w:p>
    <w:p w:rsidRPr="005B0F0A" w:rsidR="002B28C7" w:rsidP="002B28C7" w:rsidRDefault="002B28C7" w14:paraId="03AF245B" w14:textId="77777777">
      <w:pPr>
        <w:numPr>
          <w:ilvl w:val="0"/>
          <w:numId w:val="19"/>
        </w:numPr>
        <w:shd w:val="clear" w:color="auto" w:fill="FFFFFF"/>
        <w:rPr>
          <w:sz w:val="22"/>
          <w:szCs w:val="22"/>
        </w:rPr>
      </w:pPr>
      <w:r w:rsidRPr="005B0F0A">
        <w:rPr>
          <w:sz w:val="22"/>
          <w:szCs w:val="22"/>
        </w:rPr>
        <w:t>How TANF agencies decided on and implemented their approaches to address homelessness</w:t>
      </w:r>
      <w:r>
        <w:rPr>
          <w:sz w:val="22"/>
          <w:szCs w:val="22"/>
        </w:rPr>
        <w:t xml:space="preserve">; and </w:t>
      </w:r>
    </w:p>
    <w:p w:rsidRPr="005B0F0A" w:rsidR="002B28C7" w:rsidP="002B28C7" w:rsidRDefault="002B28C7" w14:paraId="71127552" w14:textId="77777777">
      <w:pPr>
        <w:numPr>
          <w:ilvl w:val="0"/>
          <w:numId w:val="19"/>
        </w:numPr>
        <w:shd w:val="clear" w:color="auto" w:fill="FFFFFF"/>
        <w:rPr>
          <w:sz w:val="22"/>
          <w:szCs w:val="22"/>
        </w:rPr>
      </w:pPr>
      <w:r w:rsidRPr="005B0F0A">
        <w:rPr>
          <w:sz w:val="22"/>
          <w:szCs w:val="22"/>
        </w:rPr>
        <w:t xml:space="preserve">TANF </w:t>
      </w:r>
      <w:r>
        <w:rPr>
          <w:sz w:val="22"/>
          <w:szCs w:val="22"/>
        </w:rPr>
        <w:t xml:space="preserve">agency </w:t>
      </w:r>
      <w:r w:rsidRPr="005B0F0A">
        <w:rPr>
          <w:sz w:val="22"/>
          <w:szCs w:val="22"/>
        </w:rPr>
        <w:t xml:space="preserve">staff and partner </w:t>
      </w:r>
      <w:r>
        <w:rPr>
          <w:sz w:val="22"/>
          <w:szCs w:val="22"/>
        </w:rPr>
        <w:t xml:space="preserve">agency </w:t>
      </w:r>
      <w:r w:rsidRPr="005B0F0A">
        <w:rPr>
          <w:sz w:val="22"/>
          <w:szCs w:val="22"/>
        </w:rPr>
        <w:t xml:space="preserve">staff </w:t>
      </w:r>
      <w:r>
        <w:rPr>
          <w:sz w:val="22"/>
          <w:szCs w:val="22"/>
        </w:rPr>
        <w:t>perceptions around the approach,</w:t>
      </w:r>
      <w:r w:rsidRPr="005B0F0A">
        <w:rPr>
          <w:sz w:val="22"/>
          <w:szCs w:val="22"/>
        </w:rPr>
        <w:t xml:space="preserve"> including their perceptions of the challenges in implementation, effectiveness, and transferable lessons.</w:t>
      </w:r>
    </w:p>
    <w:p w:rsidR="002B28C7" w:rsidP="002B28C7" w:rsidRDefault="002B28C7" w14:paraId="6C2BC8D1" w14:textId="77777777">
      <w:pPr>
        <w:shd w:val="clear" w:color="auto" w:fill="FFFFFF"/>
        <w:rPr>
          <w:sz w:val="22"/>
          <w:szCs w:val="22"/>
        </w:rPr>
      </w:pPr>
    </w:p>
    <w:p w:rsidRPr="005B0F0A" w:rsidR="002B28C7" w:rsidP="002B28C7" w:rsidRDefault="002B28C7" w14:paraId="66C3E7D8" w14:textId="77777777">
      <w:pPr>
        <w:shd w:val="clear" w:color="auto" w:fill="FFFFFF"/>
        <w:rPr>
          <w:sz w:val="22"/>
          <w:szCs w:val="22"/>
        </w:rPr>
      </w:pPr>
      <w:r w:rsidRPr="005B0F0A">
        <w:rPr>
          <w:sz w:val="22"/>
          <w:szCs w:val="22"/>
        </w:rPr>
        <w:t xml:space="preserve">This </w:t>
      </w:r>
      <w:r>
        <w:rPr>
          <w:sz w:val="22"/>
          <w:szCs w:val="22"/>
        </w:rPr>
        <w:t>justification</w:t>
      </w:r>
      <w:r w:rsidRPr="005B0F0A">
        <w:rPr>
          <w:sz w:val="22"/>
          <w:szCs w:val="22"/>
        </w:rPr>
        <w:t xml:space="preserve"> provides supporting statements for each of the </w:t>
      </w:r>
      <w:r w:rsidR="008025B8">
        <w:rPr>
          <w:sz w:val="22"/>
          <w:szCs w:val="22"/>
        </w:rPr>
        <w:t>five</w:t>
      </w:r>
      <w:r w:rsidRPr="005B0F0A">
        <w:rPr>
          <w:sz w:val="22"/>
          <w:szCs w:val="22"/>
        </w:rPr>
        <w:t xml:space="preserve"> points outlined in Part </w:t>
      </w:r>
      <w:r>
        <w:rPr>
          <w:sz w:val="22"/>
          <w:szCs w:val="22"/>
        </w:rPr>
        <w:t>B</w:t>
      </w:r>
      <w:r w:rsidRPr="005B0F0A">
        <w:rPr>
          <w:sz w:val="22"/>
          <w:szCs w:val="22"/>
        </w:rPr>
        <w:t xml:space="preserve"> of the OMB guidelines. </w:t>
      </w:r>
    </w:p>
    <w:p w:rsidR="00E8537F" w:rsidP="00735EBE" w:rsidRDefault="00E8537F" w14:paraId="04A2354B" w14:textId="77777777">
      <w:pPr>
        <w:spacing w:after="120"/>
        <w:rPr>
          <w:b/>
        </w:rPr>
      </w:pPr>
    </w:p>
    <w:p w:rsidRPr="00E8537F" w:rsidR="00E05A0A" w:rsidP="00E8537F" w:rsidRDefault="00E05A0A" w14:paraId="5DE34055" w14:textId="77777777">
      <w:pPr>
        <w:pStyle w:val="Heading1"/>
      </w:pPr>
      <w:bookmarkStart w:name="_Toc512605830" w:id="2"/>
      <w:r w:rsidRPr="00E8537F">
        <w:t>B1. Respondent Universe and Sampling Methods</w:t>
      </w:r>
      <w:bookmarkEnd w:id="2"/>
    </w:p>
    <w:p w:rsidRPr="00F84C4C" w:rsidR="00F84C4C" w:rsidP="003E6D7F" w:rsidRDefault="00F84C4C" w14:paraId="7227DEA8" w14:textId="77777777">
      <w:pPr>
        <w:pStyle w:val="BodyText"/>
        <w:rPr>
          <w:szCs w:val="22"/>
        </w:rPr>
      </w:pPr>
      <w:r w:rsidRPr="00F84C4C">
        <w:rPr>
          <w:szCs w:val="22"/>
        </w:rPr>
        <w:t>The respondent universe for this study includes: (1) state, territory, and county T</w:t>
      </w:r>
      <w:r w:rsidR="00A72397">
        <w:rPr>
          <w:szCs w:val="22"/>
        </w:rPr>
        <w:t xml:space="preserve">emporary </w:t>
      </w:r>
      <w:r w:rsidRPr="00F84C4C">
        <w:rPr>
          <w:szCs w:val="22"/>
        </w:rPr>
        <w:t>A</w:t>
      </w:r>
      <w:r w:rsidR="00A72397">
        <w:rPr>
          <w:szCs w:val="22"/>
        </w:rPr>
        <w:t xml:space="preserve">ssistance for </w:t>
      </w:r>
      <w:r w:rsidRPr="00F84C4C">
        <w:rPr>
          <w:szCs w:val="22"/>
        </w:rPr>
        <w:t>N</w:t>
      </w:r>
      <w:r w:rsidR="00A72397">
        <w:rPr>
          <w:szCs w:val="22"/>
        </w:rPr>
        <w:t xml:space="preserve">eedy </w:t>
      </w:r>
      <w:r w:rsidRPr="00F84C4C">
        <w:rPr>
          <w:szCs w:val="22"/>
        </w:rPr>
        <w:t>F</w:t>
      </w:r>
      <w:r w:rsidR="00A72397">
        <w:rPr>
          <w:szCs w:val="22"/>
        </w:rPr>
        <w:t>amilies (TANF)</w:t>
      </w:r>
      <w:r w:rsidRPr="00F84C4C">
        <w:rPr>
          <w:szCs w:val="22"/>
        </w:rPr>
        <w:t xml:space="preserve"> administrators</w:t>
      </w:r>
      <w:r w:rsidR="004D5801">
        <w:rPr>
          <w:szCs w:val="22"/>
        </w:rPr>
        <w:t xml:space="preserve"> and</w:t>
      </w:r>
      <w:r w:rsidR="00C51539">
        <w:rPr>
          <w:szCs w:val="22"/>
        </w:rPr>
        <w:t xml:space="preserve"> </w:t>
      </w:r>
      <w:r w:rsidRPr="00F84C4C">
        <w:rPr>
          <w:szCs w:val="22"/>
        </w:rPr>
        <w:t xml:space="preserve">(2) </w:t>
      </w:r>
      <w:r w:rsidR="00A72397">
        <w:rPr>
          <w:szCs w:val="22"/>
        </w:rPr>
        <w:t xml:space="preserve">managers and </w:t>
      </w:r>
      <w:r w:rsidRPr="00F84C4C">
        <w:rPr>
          <w:szCs w:val="22"/>
        </w:rPr>
        <w:t xml:space="preserve">staff of </w:t>
      </w:r>
      <w:r w:rsidR="00A72397">
        <w:rPr>
          <w:szCs w:val="22"/>
        </w:rPr>
        <w:t xml:space="preserve">state or county </w:t>
      </w:r>
      <w:r w:rsidRPr="00F84C4C">
        <w:rPr>
          <w:szCs w:val="22"/>
        </w:rPr>
        <w:t>TANF agencies</w:t>
      </w:r>
      <w:r w:rsidR="00F846E9">
        <w:rPr>
          <w:szCs w:val="22"/>
        </w:rPr>
        <w:t>,</w:t>
      </w:r>
      <w:r w:rsidRPr="00F84C4C">
        <w:rPr>
          <w:szCs w:val="22"/>
        </w:rPr>
        <w:t xml:space="preserve"> Continuums of Care (CoCs), </w:t>
      </w:r>
      <w:r w:rsidR="00F846E9">
        <w:rPr>
          <w:szCs w:val="22"/>
        </w:rPr>
        <w:t>and other partner organizations</w:t>
      </w:r>
      <w:r w:rsidR="004D5801">
        <w:rPr>
          <w:szCs w:val="22"/>
        </w:rPr>
        <w:t>.</w:t>
      </w:r>
      <w:r w:rsidRPr="00F84C4C">
        <w:rPr>
          <w:szCs w:val="22"/>
        </w:rPr>
        <w:t xml:space="preserve"> </w:t>
      </w:r>
    </w:p>
    <w:p w:rsidRPr="00F84C4C" w:rsidR="00F84C4C" w:rsidP="003E6D7F" w:rsidRDefault="00F84C4C" w14:paraId="7E95D4CE" w14:textId="77777777">
      <w:pPr>
        <w:pStyle w:val="BodyText"/>
        <w:rPr>
          <w:szCs w:val="22"/>
        </w:rPr>
      </w:pPr>
    </w:p>
    <w:p w:rsidRPr="00F84C4C" w:rsidR="00F84C4C" w:rsidP="003E6D7F" w:rsidRDefault="00F84C4C" w14:paraId="5511D3C0" w14:textId="77777777">
      <w:pPr>
        <w:pStyle w:val="BodyText"/>
        <w:rPr>
          <w:i/>
          <w:szCs w:val="22"/>
        </w:rPr>
      </w:pPr>
      <w:r w:rsidRPr="00F84C4C">
        <w:rPr>
          <w:i/>
          <w:szCs w:val="22"/>
        </w:rPr>
        <w:t xml:space="preserve">TANF </w:t>
      </w:r>
      <w:r w:rsidR="00A671CD">
        <w:rPr>
          <w:i/>
          <w:szCs w:val="22"/>
        </w:rPr>
        <w:t>a</w:t>
      </w:r>
      <w:r w:rsidRPr="00F84C4C">
        <w:rPr>
          <w:i/>
          <w:szCs w:val="22"/>
        </w:rPr>
        <w:t>dministrators</w:t>
      </w:r>
    </w:p>
    <w:p w:rsidRPr="00F84C4C" w:rsidR="003E6D7F" w:rsidP="003E6D7F" w:rsidRDefault="003E6D7F" w14:paraId="27F562C4" w14:textId="77777777">
      <w:pPr>
        <w:pStyle w:val="BodyText"/>
        <w:rPr>
          <w:szCs w:val="22"/>
        </w:rPr>
      </w:pPr>
      <w:r w:rsidRPr="00F84C4C">
        <w:rPr>
          <w:szCs w:val="22"/>
        </w:rPr>
        <w:t xml:space="preserve">For the </w:t>
      </w:r>
      <w:r w:rsidRPr="005B0F0A" w:rsidR="00E8537F">
        <w:rPr>
          <w:iCs/>
          <w:szCs w:val="22"/>
        </w:rPr>
        <w:t>TANF Administrator Web Survey</w:t>
      </w:r>
      <w:r w:rsidRPr="00F84C4C" w:rsidR="00235361">
        <w:rPr>
          <w:szCs w:val="22"/>
        </w:rPr>
        <w:t xml:space="preserve">, the universe of respondents is all state </w:t>
      </w:r>
      <w:r w:rsidRPr="00F84C4C">
        <w:rPr>
          <w:szCs w:val="22"/>
        </w:rPr>
        <w:t xml:space="preserve">and territory </w:t>
      </w:r>
      <w:r w:rsidRPr="00F84C4C" w:rsidR="00235361">
        <w:rPr>
          <w:szCs w:val="22"/>
        </w:rPr>
        <w:t>TANF administrators</w:t>
      </w:r>
      <w:r w:rsidRPr="00F84C4C">
        <w:rPr>
          <w:szCs w:val="22"/>
        </w:rPr>
        <w:t xml:space="preserve"> (56)</w:t>
      </w:r>
      <w:r w:rsidRPr="00F84C4C" w:rsidR="00235361">
        <w:rPr>
          <w:szCs w:val="22"/>
        </w:rPr>
        <w:t xml:space="preserve">, as well as a sample of </w:t>
      </w:r>
      <w:r w:rsidRPr="00F84C4C">
        <w:rPr>
          <w:szCs w:val="22"/>
        </w:rPr>
        <w:t>TANF administrators in three counties in each state</w:t>
      </w:r>
      <w:r w:rsidR="00F846E9">
        <w:rPr>
          <w:szCs w:val="22"/>
        </w:rPr>
        <w:t xml:space="preserve"> (150)</w:t>
      </w:r>
      <w:r w:rsidRPr="00F84C4C">
        <w:rPr>
          <w:szCs w:val="22"/>
        </w:rPr>
        <w:t xml:space="preserve">. </w:t>
      </w:r>
      <w:r w:rsidRPr="00F84C4C">
        <w:rPr>
          <w:rFonts w:eastAsia="Calibri"/>
          <w:szCs w:val="22"/>
        </w:rPr>
        <w:t xml:space="preserve">The sample of county administered TANF programs will be chosen as follows. First, using data from the 2017 Annual Homeless Assessment Report, we will </w:t>
      </w:r>
      <w:r w:rsidRPr="00F84C4C">
        <w:rPr>
          <w:szCs w:val="22"/>
        </w:rPr>
        <w:t>select the two counties with the largest number of homeless families. Then, we will select a suburban or rural area with the largest number of homeless families for a total of three counties in each state. This mix of TANF county administrators will help ACF better understand how TANF is being utilized to assist homeless families in communities of differing sizes and in urban, suburban, and rural areas.</w:t>
      </w:r>
    </w:p>
    <w:p w:rsidRPr="00F84C4C" w:rsidR="003E6D7F" w:rsidP="003E6D7F" w:rsidRDefault="003E6D7F" w14:paraId="0BDAAFE7" w14:textId="77777777">
      <w:pPr>
        <w:pStyle w:val="BodyText"/>
        <w:rPr>
          <w:szCs w:val="22"/>
        </w:rPr>
      </w:pPr>
    </w:p>
    <w:p w:rsidRPr="00F84C4C" w:rsidR="00F84C4C" w:rsidP="003E6D7F" w:rsidRDefault="00F84C4C" w14:paraId="5F9AFB52" w14:textId="77777777">
      <w:pPr>
        <w:pStyle w:val="BodyText"/>
        <w:rPr>
          <w:i/>
        </w:rPr>
      </w:pPr>
      <w:r w:rsidRPr="00F84C4C">
        <w:rPr>
          <w:i/>
          <w:szCs w:val="22"/>
        </w:rPr>
        <w:t>TANF agency</w:t>
      </w:r>
      <w:r w:rsidR="00F846E9">
        <w:rPr>
          <w:i/>
          <w:szCs w:val="22"/>
        </w:rPr>
        <w:t>, CoC, and partner organization staff</w:t>
      </w:r>
    </w:p>
    <w:p w:rsidRPr="00F84C4C" w:rsidR="00DF4BD7" w:rsidP="003E6D7F" w:rsidRDefault="00235361" w14:paraId="57A860CA" w14:textId="77777777">
      <w:pPr>
        <w:rPr>
          <w:sz w:val="22"/>
        </w:rPr>
      </w:pPr>
      <w:r w:rsidRPr="00F84C4C">
        <w:rPr>
          <w:sz w:val="22"/>
        </w:rPr>
        <w:t xml:space="preserve">For the </w:t>
      </w:r>
      <w:r w:rsidR="005F4C09">
        <w:rPr>
          <w:sz w:val="22"/>
        </w:rPr>
        <w:t xml:space="preserve">virtual </w:t>
      </w:r>
      <w:r w:rsidRPr="00F84C4C">
        <w:rPr>
          <w:sz w:val="22"/>
        </w:rPr>
        <w:t>site visits, we will purpose</w:t>
      </w:r>
      <w:r w:rsidR="00C83BE3">
        <w:rPr>
          <w:sz w:val="22"/>
        </w:rPr>
        <w:t>ful</w:t>
      </w:r>
      <w:r w:rsidRPr="00F84C4C">
        <w:rPr>
          <w:sz w:val="22"/>
        </w:rPr>
        <w:t xml:space="preserve">ly select five TANF programs to </w:t>
      </w:r>
      <w:r w:rsidR="005F4C09">
        <w:rPr>
          <w:sz w:val="22"/>
        </w:rPr>
        <w:t>participate</w:t>
      </w:r>
      <w:r w:rsidRPr="00F84C4C">
        <w:rPr>
          <w:sz w:val="22"/>
        </w:rPr>
        <w:t xml:space="preserve">. </w:t>
      </w:r>
      <w:r w:rsidR="00424E32">
        <w:rPr>
          <w:sz w:val="22"/>
        </w:rPr>
        <w:t>The study team will identify TANF programs with variation in the following criteria</w:t>
      </w:r>
      <w:r w:rsidRPr="00F84C4C">
        <w:rPr>
          <w:sz w:val="22"/>
        </w:rPr>
        <w:t>:</w:t>
      </w:r>
      <w:r w:rsidRPr="00F84C4C" w:rsidR="003E6D7F">
        <w:rPr>
          <w:sz w:val="22"/>
        </w:rPr>
        <w:t xml:space="preserve"> </w:t>
      </w:r>
      <w:r w:rsidRPr="00F84C4C" w:rsidR="00FB0F23">
        <w:rPr>
          <w:sz w:val="22"/>
        </w:rPr>
        <w:t>population size of state; proportion of homeless families in location; whether state or county-administered TANF program; region of the country; urban, suburban and/or rural geographies; and variety of homeless assistance activities funded with TANF resources.</w:t>
      </w:r>
    </w:p>
    <w:p w:rsidRPr="00F84C4C" w:rsidR="00DF4BD7" w:rsidP="003E6D7F" w:rsidRDefault="00DF4BD7" w14:paraId="719603B7" w14:textId="77777777">
      <w:pPr>
        <w:rPr>
          <w:sz w:val="22"/>
        </w:rPr>
      </w:pPr>
    </w:p>
    <w:p w:rsidRPr="00F84C4C" w:rsidR="003E6D7F" w:rsidP="003E6D7F" w:rsidRDefault="003E6D7F" w14:paraId="2319779F" w14:textId="77777777">
      <w:pPr>
        <w:rPr>
          <w:sz w:val="22"/>
        </w:rPr>
      </w:pPr>
      <w:r w:rsidRPr="00F84C4C">
        <w:rPr>
          <w:sz w:val="22"/>
        </w:rPr>
        <w:t xml:space="preserve">To identify potential TANF programs to participate in </w:t>
      </w:r>
      <w:r w:rsidR="005F4C09">
        <w:rPr>
          <w:sz w:val="22"/>
        </w:rPr>
        <w:t xml:space="preserve">virtual </w:t>
      </w:r>
      <w:r w:rsidRPr="00F84C4C">
        <w:rPr>
          <w:sz w:val="22"/>
        </w:rPr>
        <w:t xml:space="preserve">site visits, we will draw upon the knowledge of members of the </w:t>
      </w:r>
      <w:r w:rsidR="00F846E9">
        <w:rPr>
          <w:sz w:val="22"/>
        </w:rPr>
        <w:t xml:space="preserve">study </w:t>
      </w:r>
      <w:r w:rsidRPr="00F84C4C">
        <w:rPr>
          <w:sz w:val="22"/>
        </w:rPr>
        <w:t xml:space="preserve">team, as well as </w:t>
      </w:r>
      <w:r w:rsidR="00172E5B">
        <w:rPr>
          <w:sz w:val="22"/>
        </w:rPr>
        <w:t xml:space="preserve">up to nine </w:t>
      </w:r>
      <w:r w:rsidRPr="00F84C4C" w:rsidR="00F51882">
        <w:rPr>
          <w:sz w:val="22"/>
        </w:rPr>
        <w:t>subject matter experts in both TANF policy and homeless assistance policy</w:t>
      </w:r>
      <w:r w:rsidRPr="00F84C4C">
        <w:rPr>
          <w:sz w:val="22"/>
        </w:rPr>
        <w:t>. In addition, we will discuss potential sites with stakeholder organizations, such as the National Alliance to End Homelessness</w:t>
      </w:r>
      <w:r w:rsidR="00F846E9">
        <w:rPr>
          <w:sz w:val="22"/>
        </w:rPr>
        <w:t xml:space="preserve"> (NAEH)</w:t>
      </w:r>
      <w:r w:rsidRPr="00F84C4C">
        <w:rPr>
          <w:sz w:val="22"/>
        </w:rPr>
        <w:t xml:space="preserve"> and N</w:t>
      </w:r>
      <w:r w:rsidRPr="00F84C4C" w:rsidR="00F51882">
        <w:rPr>
          <w:sz w:val="22"/>
        </w:rPr>
        <w:t xml:space="preserve">ational </w:t>
      </w:r>
      <w:r w:rsidRPr="00F84C4C">
        <w:rPr>
          <w:sz w:val="22"/>
        </w:rPr>
        <w:t>A</w:t>
      </w:r>
      <w:r w:rsidRPr="00F84C4C" w:rsidR="00F51882">
        <w:rPr>
          <w:sz w:val="22"/>
        </w:rPr>
        <w:t xml:space="preserve">ssociation of </w:t>
      </w:r>
      <w:r w:rsidRPr="00F84C4C">
        <w:rPr>
          <w:sz w:val="22"/>
        </w:rPr>
        <w:lastRenderedPageBreak/>
        <w:t>S</w:t>
      </w:r>
      <w:r w:rsidRPr="00F84C4C" w:rsidR="00F51882">
        <w:rPr>
          <w:sz w:val="22"/>
        </w:rPr>
        <w:t xml:space="preserve">tate </w:t>
      </w:r>
      <w:r w:rsidRPr="00F84C4C">
        <w:rPr>
          <w:sz w:val="22"/>
        </w:rPr>
        <w:t>TA</w:t>
      </w:r>
      <w:r w:rsidRPr="00F84C4C" w:rsidR="00F51882">
        <w:rPr>
          <w:sz w:val="22"/>
        </w:rPr>
        <w:t>NF Administrators (NASTA)</w:t>
      </w:r>
      <w:r w:rsidRPr="00F84C4C">
        <w:rPr>
          <w:sz w:val="22"/>
        </w:rPr>
        <w:t xml:space="preserve">. After gathering input from internal and external sources, we will convene several conference calls and/or email exchanges with central and regional ACF </w:t>
      </w:r>
      <w:r w:rsidR="006A7269">
        <w:rPr>
          <w:sz w:val="22"/>
        </w:rPr>
        <w:t xml:space="preserve">Office of Family Assistance (OFA) </w:t>
      </w:r>
      <w:r w:rsidRPr="00F84C4C">
        <w:rPr>
          <w:sz w:val="22"/>
        </w:rPr>
        <w:t>staff to discuss any suggestions they may have. From this research, we will work with the C</w:t>
      </w:r>
      <w:r w:rsidR="00A671CD">
        <w:rPr>
          <w:sz w:val="22"/>
        </w:rPr>
        <w:t xml:space="preserve">ontracting </w:t>
      </w:r>
      <w:r w:rsidRPr="00F84C4C">
        <w:rPr>
          <w:sz w:val="22"/>
        </w:rPr>
        <w:t>O</w:t>
      </w:r>
      <w:r w:rsidR="00A671CD">
        <w:rPr>
          <w:sz w:val="22"/>
        </w:rPr>
        <w:t xml:space="preserve">fficer’s </w:t>
      </w:r>
      <w:r w:rsidRPr="00F84C4C" w:rsidR="00A671CD">
        <w:rPr>
          <w:sz w:val="22"/>
        </w:rPr>
        <w:t>R</w:t>
      </w:r>
      <w:r w:rsidR="00A671CD">
        <w:rPr>
          <w:sz w:val="22"/>
        </w:rPr>
        <w:t>epresentative (COR)</w:t>
      </w:r>
      <w:r w:rsidRPr="00F84C4C">
        <w:rPr>
          <w:sz w:val="22"/>
        </w:rPr>
        <w:t xml:space="preserve"> to identify a list of nine potential TANF agencies to visit. </w:t>
      </w:r>
    </w:p>
    <w:p w:rsidR="003E6D7F" w:rsidP="003E6D7F" w:rsidRDefault="003E6D7F" w14:paraId="230ED738" w14:textId="77777777"/>
    <w:p w:rsidRPr="00F84C4C" w:rsidR="003E6D7F" w:rsidP="003E6D7F" w:rsidRDefault="003E6D7F" w14:paraId="0B634BA0" w14:textId="77777777">
      <w:pPr>
        <w:rPr>
          <w:sz w:val="22"/>
        </w:rPr>
      </w:pPr>
      <w:r w:rsidRPr="00F84C4C">
        <w:rPr>
          <w:sz w:val="22"/>
        </w:rPr>
        <w:t xml:space="preserve">To learn more about these nine </w:t>
      </w:r>
      <w:r w:rsidR="00A671CD">
        <w:rPr>
          <w:sz w:val="22"/>
        </w:rPr>
        <w:t>site visit candidates</w:t>
      </w:r>
      <w:r w:rsidRPr="00F84C4C">
        <w:rPr>
          <w:sz w:val="22"/>
        </w:rPr>
        <w:t xml:space="preserve">, the study team will develop a semi-structured topic guide to facilitate </w:t>
      </w:r>
      <w:r w:rsidR="00A671CD">
        <w:rPr>
          <w:sz w:val="22"/>
        </w:rPr>
        <w:t xml:space="preserve">exploratory </w:t>
      </w:r>
      <w:r w:rsidRPr="00F84C4C">
        <w:rPr>
          <w:sz w:val="22"/>
        </w:rPr>
        <w:t>conversations with each site to clarify their approach and gauge the</w:t>
      </w:r>
      <w:r w:rsidRPr="00F84C4C" w:rsidR="00F51882">
        <w:rPr>
          <w:sz w:val="22"/>
        </w:rPr>
        <w:t xml:space="preserve"> TANF agencies’</w:t>
      </w:r>
      <w:r w:rsidRPr="00F84C4C">
        <w:rPr>
          <w:sz w:val="22"/>
        </w:rPr>
        <w:t xml:space="preserve"> interest in study participation. </w:t>
      </w:r>
      <w:r w:rsidRPr="00F84C4C" w:rsidR="00F51882">
        <w:rPr>
          <w:sz w:val="22"/>
        </w:rPr>
        <w:t xml:space="preserve">A </w:t>
      </w:r>
      <w:r w:rsidR="00A671CD">
        <w:rPr>
          <w:sz w:val="22"/>
        </w:rPr>
        <w:t>telephone</w:t>
      </w:r>
      <w:r w:rsidRPr="00F84C4C" w:rsidR="00A671CD">
        <w:rPr>
          <w:sz w:val="22"/>
        </w:rPr>
        <w:t xml:space="preserve"> </w:t>
      </w:r>
      <w:r w:rsidRPr="00F84C4C" w:rsidR="00F51882">
        <w:rPr>
          <w:sz w:val="22"/>
        </w:rPr>
        <w:t xml:space="preserve">call with a staff member at each agency will help us gather more information about: </w:t>
      </w:r>
      <w:r w:rsidRPr="00F84C4C">
        <w:rPr>
          <w:sz w:val="22"/>
        </w:rPr>
        <w:t xml:space="preserve"> funding</w:t>
      </w:r>
      <w:r w:rsidRPr="00F84C4C" w:rsidR="00F51882">
        <w:rPr>
          <w:sz w:val="22"/>
        </w:rPr>
        <w:t xml:space="preserve"> sources</w:t>
      </w:r>
      <w:r w:rsidRPr="00F84C4C">
        <w:rPr>
          <w:sz w:val="22"/>
        </w:rPr>
        <w:t xml:space="preserve"> for homelessness services; types of approach(es) used to identify, assess, and/or serve homeless families; rationale for approach; number of people served, goal, and time since start of program; nature and strength of relationships with homelessness providers and CoC; caseload size; and budget. </w:t>
      </w:r>
    </w:p>
    <w:p w:rsidRPr="00F84C4C" w:rsidR="003E6D7F" w:rsidP="003E6D7F" w:rsidRDefault="003E6D7F" w14:paraId="7B58E927" w14:textId="77777777">
      <w:pPr>
        <w:rPr>
          <w:sz w:val="22"/>
        </w:rPr>
      </w:pPr>
    </w:p>
    <w:p w:rsidRPr="00F84C4C" w:rsidR="00FE1C8E" w:rsidP="00FD1B70" w:rsidRDefault="003E6D7F" w14:paraId="1CF56792" w14:textId="77777777">
      <w:pPr>
        <w:rPr>
          <w:sz w:val="22"/>
        </w:rPr>
      </w:pPr>
      <w:r w:rsidRPr="00F84C4C">
        <w:rPr>
          <w:sz w:val="22"/>
        </w:rPr>
        <w:t xml:space="preserve">After learning more about these nine programs, the Abt team will </w:t>
      </w:r>
      <w:r w:rsidRPr="00F84C4C" w:rsidR="00F51882">
        <w:rPr>
          <w:sz w:val="22"/>
        </w:rPr>
        <w:t>identify</w:t>
      </w:r>
      <w:r w:rsidRPr="00F84C4C">
        <w:rPr>
          <w:sz w:val="22"/>
        </w:rPr>
        <w:t xml:space="preserve"> </w:t>
      </w:r>
      <w:r w:rsidRPr="00F84C4C" w:rsidR="00F51882">
        <w:rPr>
          <w:sz w:val="22"/>
        </w:rPr>
        <w:t>five</w:t>
      </w:r>
      <w:r w:rsidRPr="00F84C4C">
        <w:rPr>
          <w:sz w:val="22"/>
        </w:rPr>
        <w:t xml:space="preserve"> proposed sites and two </w:t>
      </w:r>
      <w:r w:rsidRPr="00F84C4C" w:rsidR="00F51882">
        <w:rPr>
          <w:sz w:val="22"/>
        </w:rPr>
        <w:t>alternates</w:t>
      </w:r>
      <w:r w:rsidRPr="00F84C4C">
        <w:rPr>
          <w:sz w:val="22"/>
        </w:rPr>
        <w:t xml:space="preserve">. </w:t>
      </w:r>
      <w:r w:rsidR="008A4DF0">
        <w:rPr>
          <w:rFonts w:eastAsia="Calibri"/>
          <w:sz w:val="22"/>
        </w:rPr>
        <w:t xml:space="preserve">Upon approval from </w:t>
      </w:r>
      <w:r w:rsidR="00A671CD">
        <w:rPr>
          <w:rFonts w:eastAsia="Calibri"/>
          <w:sz w:val="22"/>
        </w:rPr>
        <w:t xml:space="preserve">the </w:t>
      </w:r>
      <w:r w:rsidR="008A4DF0">
        <w:rPr>
          <w:rFonts w:eastAsia="Calibri"/>
          <w:sz w:val="22"/>
        </w:rPr>
        <w:t>O</w:t>
      </w:r>
      <w:r w:rsidR="00A671CD">
        <w:rPr>
          <w:rFonts w:eastAsia="Calibri"/>
          <w:sz w:val="22"/>
        </w:rPr>
        <w:t xml:space="preserve">ffice of </w:t>
      </w:r>
      <w:r w:rsidR="008A4DF0">
        <w:rPr>
          <w:rFonts w:eastAsia="Calibri"/>
          <w:sz w:val="22"/>
        </w:rPr>
        <w:t>P</w:t>
      </w:r>
      <w:r w:rsidR="00EC5F66">
        <w:rPr>
          <w:rFonts w:eastAsia="Calibri"/>
          <w:sz w:val="22"/>
        </w:rPr>
        <w:t>lanning</w:t>
      </w:r>
      <w:r w:rsidR="00A671CD">
        <w:rPr>
          <w:rFonts w:eastAsia="Calibri"/>
          <w:sz w:val="22"/>
        </w:rPr>
        <w:t xml:space="preserve">, </w:t>
      </w:r>
      <w:r w:rsidR="008A4DF0">
        <w:rPr>
          <w:rFonts w:eastAsia="Calibri"/>
          <w:sz w:val="22"/>
        </w:rPr>
        <w:t>R</w:t>
      </w:r>
      <w:r w:rsidR="00A671CD">
        <w:rPr>
          <w:rFonts w:eastAsia="Calibri"/>
          <w:sz w:val="22"/>
        </w:rPr>
        <w:t xml:space="preserve">esearch, and </w:t>
      </w:r>
      <w:r w:rsidR="008A4DF0">
        <w:rPr>
          <w:rFonts w:eastAsia="Calibri"/>
          <w:sz w:val="22"/>
        </w:rPr>
        <w:t>E</w:t>
      </w:r>
      <w:r w:rsidR="00A671CD">
        <w:rPr>
          <w:rFonts w:eastAsia="Calibri"/>
          <w:sz w:val="22"/>
        </w:rPr>
        <w:t>valuation (OPRE)</w:t>
      </w:r>
      <w:r w:rsidRPr="00F84C4C">
        <w:rPr>
          <w:rFonts w:eastAsia="Calibri"/>
          <w:sz w:val="22"/>
        </w:rPr>
        <w:t>, the Abt team will extend those agencies formal invitations to participate in a</w:t>
      </w:r>
      <w:r w:rsidR="005F4C09">
        <w:rPr>
          <w:rFonts w:eastAsia="Calibri"/>
          <w:sz w:val="22"/>
        </w:rPr>
        <w:t xml:space="preserve"> virtual</w:t>
      </w:r>
      <w:r w:rsidRPr="00F84C4C">
        <w:rPr>
          <w:rFonts w:eastAsia="Calibri"/>
          <w:sz w:val="22"/>
        </w:rPr>
        <w:t xml:space="preserve"> site visit. </w:t>
      </w:r>
      <w:r w:rsidRPr="00F84C4C">
        <w:rPr>
          <w:sz w:val="22"/>
        </w:rPr>
        <w:t xml:space="preserve">We </w:t>
      </w:r>
      <w:r w:rsidR="00C635D5">
        <w:rPr>
          <w:sz w:val="22"/>
        </w:rPr>
        <w:t>anticipate</w:t>
      </w:r>
      <w:r w:rsidRPr="00F84C4C">
        <w:rPr>
          <w:sz w:val="22"/>
        </w:rPr>
        <w:t xml:space="preserve"> </w:t>
      </w:r>
      <w:r w:rsidR="00C635D5">
        <w:rPr>
          <w:sz w:val="22"/>
        </w:rPr>
        <w:t xml:space="preserve">that the TANF </w:t>
      </w:r>
      <w:r w:rsidRPr="00F84C4C">
        <w:rPr>
          <w:sz w:val="22"/>
        </w:rPr>
        <w:t>agencies will agree to participate</w:t>
      </w:r>
      <w:r w:rsidR="00C635D5">
        <w:rPr>
          <w:sz w:val="22"/>
        </w:rPr>
        <w:t xml:space="preserve"> because the Abt team will have already discussed their participation during prior interactions</w:t>
      </w:r>
      <w:r w:rsidRPr="00F84C4C">
        <w:rPr>
          <w:sz w:val="22"/>
        </w:rPr>
        <w:t xml:space="preserve">. The Abt team will immediately contact </w:t>
      </w:r>
      <w:r w:rsidR="008A4DF0">
        <w:rPr>
          <w:sz w:val="22"/>
        </w:rPr>
        <w:t>OPRE</w:t>
      </w:r>
      <w:r w:rsidRPr="00F84C4C" w:rsidR="008A4DF0">
        <w:rPr>
          <w:sz w:val="22"/>
        </w:rPr>
        <w:t xml:space="preserve"> </w:t>
      </w:r>
      <w:r w:rsidRPr="00F84C4C">
        <w:rPr>
          <w:sz w:val="22"/>
        </w:rPr>
        <w:t xml:space="preserve">if any of the five sites selected is unsure or unwilling to participate in order to substitute one of the alternate sites. </w:t>
      </w:r>
    </w:p>
    <w:p w:rsidR="00F20419" w:rsidP="00FD1B70" w:rsidRDefault="00F20419" w14:paraId="0D92FCD2" w14:textId="77777777">
      <w:pPr>
        <w:rPr>
          <w:b/>
        </w:rPr>
      </w:pPr>
    </w:p>
    <w:p w:rsidRPr="00F84C4C" w:rsidR="00F84C4C" w:rsidP="00FD1B70" w:rsidRDefault="00F84C4C" w14:paraId="5AF9C148" w14:textId="77777777">
      <w:pPr>
        <w:rPr>
          <w:i/>
        </w:rPr>
      </w:pPr>
    </w:p>
    <w:p w:rsidRPr="00E05A0A" w:rsidR="00E05A0A" w:rsidP="00E8537F" w:rsidRDefault="00E05A0A" w14:paraId="3A78BB74" w14:textId="77777777">
      <w:pPr>
        <w:pStyle w:val="Heading1"/>
      </w:pPr>
      <w:bookmarkStart w:name="_Toc512605831" w:id="3"/>
      <w:r>
        <w:t>B2. Procedures for Collection of Information</w:t>
      </w:r>
      <w:bookmarkEnd w:id="3"/>
    </w:p>
    <w:p w:rsidR="00E8537F" w:rsidP="002F650E" w:rsidRDefault="00E8537F" w14:paraId="44BC11E1" w14:textId="77777777">
      <w:pPr>
        <w:shd w:val="clear" w:color="auto" w:fill="FFFFFF"/>
        <w:rPr>
          <w:i/>
          <w:sz w:val="22"/>
          <w:szCs w:val="23"/>
        </w:rPr>
      </w:pPr>
      <w:r w:rsidRPr="00E8537F">
        <w:rPr>
          <w:i/>
          <w:sz w:val="22"/>
          <w:szCs w:val="23"/>
        </w:rPr>
        <w:t xml:space="preserve">TANF Administrator Web Survey </w:t>
      </w:r>
    </w:p>
    <w:p w:rsidRPr="00F84C4C" w:rsidR="0025633B" w:rsidP="002F650E" w:rsidRDefault="00D6080D" w14:paraId="7E06BC2D" w14:textId="77777777">
      <w:pPr>
        <w:shd w:val="clear" w:color="auto" w:fill="FFFFFF"/>
        <w:rPr>
          <w:rFonts w:eastAsia="Calibri"/>
          <w:sz w:val="22"/>
        </w:rPr>
      </w:pPr>
      <w:r w:rsidRPr="00F84C4C">
        <w:rPr>
          <w:sz w:val="22"/>
          <w:szCs w:val="23"/>
        </w:rPr>
        <w:t xml:space="preserve">Abt Associates will administer an online survey to </w:t>
      </w:r>
      <w:r w:rsidRPr="00F84C4C" w:rsidR="003E6D7F">
        <w:rPr>
          <w:sz w:val="22"/>
          <w:szCs w:val="23"/>
        </w:rPr>
        <w:t>all state</w:t>
      </w:r>
      <w:r w:rsidR="008D63BF">
        <w:rPr>
          <w:sz w:val="22"/>
          <w:szCs w:val="23"/>
        </w:rPr>
        <w:t xml:space="preserve"> and territory</w:t>
      </w:r>
      <w:r w:rsidRPr="00F84C4C" w:rsidR="003E6D7F">
        <w:rPr>
          <w:sz w:val="22"/>
          <w:szCs w:val="23"/>
        </w:rPr>
        <w:t xml:space="preserve"> </w:t>
      </w:r>
      <w:r w:rsidRPr="00F84C4C">
        <w:rPr>
          <w:sz w:val="22"/>
          <w:szCs w:val="23"/>
        </w:rPr>
        <w:t xml:space="preserve">TANF administrators </w:t>
      </w:r>
      <w:r w:rsidRPr="00F84C4C" w:rsidR="003E6D7F">
        <w:rPr>
          <w:sz w:val="22"/>
          <w:szCs w:val="23"/>
        </w:rPr>
        <w:t xml:space="preserve">and </w:t>
      </w:r>
      <w:r w:rsidR="0044753C">
        <w:rPr>
          <w:sz w:val="22"/>
          <w:szCs w:val="23"/>
        </w:rPr>
        <w:t>a</w:t>
      </w:r>
      <w:r w:rsidRPr="00F84C4C" w:rsidR="0044753C">
        <w:rPr>
          <w:sz w:val="22"/>
          <w:szCs w:val="23"/>
        </w:rPr>
        <w:t xml:space="preserve"> </w:t>
      </w:r>
      <w:r w:rsidRPr="00F84C4C">
        <w:rPr>
          <w:sz w:val="22"/>
          <w:szCs w:val="23"/>
        </w:rPr>
        <w:t xml:space="preserve">sample of three county administered TANF programs in each state. </w:t>
      </w:r>
      <w:r w:rsidRPr="00F84C4C" w:rsidR="003E6D7F">
        <w:rPr>
          <w:rFonts w:eastAsia="Calibri"/>
          <w:sz w:val="22"/>
        </w:rPr>
        <w:t>The language in the survey will be tailored to respondents from either state or</w:t>
      </w:r>
      <w:r w:rsidR="008D63BF">
        <w:rPr>
          <w:rFonts w:eastAsia="Calibri"/>
          <w:sz w:val="22"/>
        </w:rPr>
        <w:t xml:space="preserve"> county-administered programs. </w:t>
      </w:r>
      <w:r w:rsidRPr="00F84C4C" w:rsidR="0025633B">
        <w:rPr>
          <w:rFonts w:eastAsia="Calibri"/>
          <w:sz w:val="22"/>
        </w:rPr>
        <w:t xml:space="preserve">Prior to launching the </w:t>
      </w:r>
      <w:r w:rsidRPr="005B0F0A" w:rsidR="00E8537F">
        <w:rPr>
          <w:iCs/>
          <w:sz w:val="22"/>
          <w:szCs w:val="22"/>
        </w:rPr>
        <w:t>TANF Administrator Web Survey</w:t>
      </w:r>
      <w:r w:rsidRPr="00F84C4C" w:rsidR="0025633B">
        <w:rPr>
          <w:rFonts w:eastAsia="Calibri"/>
          <w:sz w:val="22"/>
        </w:rPr>
        <w:t xml:space="preserve">, </w:t>
      </w:r>
      <w:r w:rsidR="00304CD8">
        <w:rPr>
          <w:rFonts w:eastAsia="Calibri"/>
          <w:sz w:val="22"/>
        </w:rPr>
        <w:t xml:space="preserve">the Abt team </w:t>
      </w:r>
      <w:r w:rsidRPr="00F84C4C" w:rsidR="0025633B">
        <w:rPr>
          <w:rFonts w:eastAsia="Calibri"/>
          <w:sz w:val="22"/>
        </w:rPr>
        <w:t xml:space="preserve">will submit the entire list of selected TANF administrators to ACF </w:t>
      </w:r>
      <w:r w:rsidR="008D63BF">
        <w:rPr>
          <w:rFonts w:eastAsia="Calibri"/>
          <w:sz w:val="22"/>
        </w:rPr>
        <w:t>to obtain up-to-date contact information</w:t>
      </w:r>
      <w:r w:rsidRPr="00F84C4C" w:rsidR="0025633B">
        <w:rPr>
          <w:rFonts w:eastAsia="Calibri"/>
          <w:sz w:val="22"/>
        </w:rPr>
        <w:t>.</w:t>
      </w:r>
    </w:p>
    <w:p w:rsidRPr="00F84C4C" w:rsidR="0025633B" w:rsidP="002F650E" w:rsidRDefault="008D63BF" w14:paraId="636E0993" w14:textId="77777777">
      <w:pPr>
        <w:shd w:val="clear" w:color="auto" w:fill="FFFFFF"/>
        <w:rPr>
          <w:rFonts w:eastAsia="Calibri"/>
          <w:sz w:val="22"/>
        </w:rPr>
      </w:pPr>
      <w:r>
        <w:rPr>
          <w:rFonts w:eastAsia="Calibri"/>
          <w:sz w:val="22"/>
        </w:rPr>
        <w:t xml:space="preserve"> </w:t>
      </w:r>
    </w:p>
    <w:p w:rsidRPr="00F84C4C" w:rsidR="003E6D7F" w:rsidP="002F650E" w:rsidRDefault="0025633B" w14:paraId="0F7236BB" w14:textId="77777777">
      <w:pPr>
        <w:shd w:val="clear" w:color="auto" w:fill="FFFFFF"/>
        <w:rPr>
          <w:rFonts w:eastAsia="Calibri"/>
          <w:sz w:val="22"/>
        </w:rPr>
      </w:pPr>
      <w:r w:rsidRPr="00F84C4C">
        <w:rPr>
          <w:sz w:val="22"/>
        </w:rPr>
        <w:t xml:space="preserve">After programming the survey, we will pre-test the survey </w:t>
      </w:r>
      <w:r w:rsidR="00A671CD">
        <w:rPr>
          <w:sz w:val="22"/>
        </w:rPr>
        <w:t xml:space="preserve">on paper </w:t>
      </w:r>
      <w:r w:rsidRPr="00F84C4C">
        <w:rPr>
          <w:sz w:val="22"/>
        </w:rPr>
        <w:t xml:space="preserve">with two </w:t>
      </w:r>
      <w:r w:rsidR="0044753C">
        <w:rPr>
          <w:sz w:val="22"/>
        </w:rPr>
        <w:t xml:space="preserve">state </w:t>
      </w:r>
      <w:r w:rsidRPr="00F84C4C">
        <w:rPr>
          <w:sz w:val="22"/>
        </w:rPr>
        <w:t>TANF agencies and one county</w:t>
      </w:r>
      <w:r w:rsidR="0044753C">
        <w:rPr>
          <w:sz w:val="22"/>
        </w:rPr>
        <w:t xml:space="preserve"> TANF agency</w:t>
      </w:r>
      <w:r w:rsidRPr="00F84C4C">
        <w:rPr>
          <w:sz w:val="22"/>
        </w:rPr>
        <w:t xml:space="preserve"> to ensure that all questions are clear. To minimize burden, we will provide the answers from the pre-test to these agencies, allowing them to confirm and update any information when they complete the web survey. We also will </w:t>
      </w:r>
      <w:r w:rsidRPr="00F84C4C">
        <w:rPr>
          <w:sz w:val="22"/>
          <w:szCs w:val="22"/>
        </w:rPr>
        <w:t>rigorously test the survey to ensure that prompts, question skip logic</w:t>
      </w:r>
      <w:r w:rsidR="0044753C">
        <w:rPr>
          <w:sz w:val="22"/>
          <w:szCs w:val="22"/>
        </w:rPr>
        <w:t>,</w:t>
      </w:r>
      <w:r w:rsidRPr="00F84C4C">
        <w:rPr>
          <w:sz w:val="22"/>
          <w:szCs w:val="22"/>
        </w:rPr>
        <w:t xml:space="preserve"> and question routing are correct.</w:t>
      </w:r>
    </w:p>
    <w:p w:rsidR="003E6D7F" w:rsidP="002F650E" w:rsidRDefault="003E6D7F" w14:paraId="2BAA4DBF" w14:textId="77777777">
      <w:pPr>
        <w:pStyle w:val="BodyText"/>
        <w:shd w:val="clear" w:color="auto" w:fill="FFFFFF"/>
      </w:pPr>
    </w:p>
    <w:p w:rsidRPr="008D63BF" w:rsidR="0025633B" w:rsidP="002F650E" w:rsidRDefault="003E6D7F" w14:paraId="3F755980" w14:textId="77777777">
      <w:pPr>
        <w:shd w:val="clear" w:color="auto" w:fill="FFFFFF"/>
        <w:rPr>
          <w:rFonts w:eastAsia="Calibri"/>
          <w:sz w:val="22"/>
          <w:szCs w:val="22"/>
        </w:rPr>
      </w:pPr>
      <w:r w:rsidRPr="008D63BF">
        <w:rPr>
          <w:sz w:val="22"/>
          <w:szCs w:val="22"/>
        </w:rPr>
        <w:t>Once the state and county versions of the survey are ready to</w:t>
      </w:r>
      <w:r w:rsidR="00304CD8">
        <w:rPr>
          <w:sz w:val="22"/>
          <w:szCs w:val="22"/>
        </w:rPr>
        <w:t xml:space="preserve"> be</w:t>
      </w:r>
      <w:r w:rsidRPr="008D63BF">
        <w:rPr>
          <w:sz w:val="22"/>
          <w:szCs w:val="22"/>
        </w:rPr>
        <w:t xml:space="preserve"> administer</w:t>
      </w:r>
      <w:r w:rsidR="00304CD8">
        <w:rPr>
          <w:sz w:val="22"/>
          <w:szCs w:val="22"/>
        </w:rPr>
        <w:t>ed</w:t>
      </w:r>
      <w:r w:rsidRPr="008D63BF">
        <w:rPr>
          <w:sz w:val="22"/>
          <w:szCs w:val="22"/>
        </w:rPr>
        <w:t xml:space="preserve">, the team will request that OPRE and OFA send an </w:t>
      </w:r>
      <w:r w:rsidRPr="008D63BF" w:rsidR="008D63BF">
        <w:rPr>
          <w:sz w:val="22"/>
          <w:szCs w:val="22"/>
        </w:rPr>
        <w:t xml:space="preserve">initial </w:t>
      </w:r>
      <w:r w:rsidRPr="008D63BF">
        <w:rPr>
          <w:sz w:val="22"/>
          <w:szCs w:val="22"/>
        </w:rPr>
        <w:t xml:space="preserve">email, using the updated contact list, explaining the purpose of this study and its importance. </w:t>
      </w:r>
      <w:r w:rsidRPr="008D63BF" w:rsidR="008D63BF">
        <w:rPr>
          <w:sz w:val="22"/>
          <w:szCs w:val="22"/>
        </w:rPr>
        <w:t xml:space="preserve">The Abt team will then send an email restating our introduction and purpose, and providing each recipient a unique URL address and instructions for completing the survey. </w:t>
      </w:r>
      <w:r w:rsidRPr="008D63BF" w:rsidR="008D63BF">
        <w:rPr>
          <w:rFonts w:eastAsia="Calibri"/>
          <w:sz w:val="22"/>
          <w:szCs w:val="22"/>
        </w:rPr>
        <w:t xml:space="preserve">The link will be specific to the TANF agency, not the individual, allowing the contact to forward the survey to a colleague to complete. The email will also provide the </w:t>
      </w:r>
      <w:r w:rsidRPr="008D63BF">
        <w:rPr>
          <w:sz w:val="22"/>
          <w:szCs w:val="22"/>
        </w:rPr>
        <w:t xml:space="preserve">Project Director and COR contact information. </w:t>
      </w:r>
      <w:r w:rsidRPr="008D63BF" w:rsidR="008D63BF">
        <w:rPr>
          <w:rFonts w:eastAsia="Calibri"/>
          <w:sz w:val="22"/>
          <w:szCs w:val="22"/>
        </w:rPr>
        <w:t>The survey will be administered in Survey Monkey, an online survey platform.</w:t>
      </w:r>
    </w:p>
    <w:p w:rsidR="0025633B" w:rsidP="003E6D7F" w:rsidRDefault="0025633B" w14:paraId="13F7576C" w14:textId="77777777">
      <w:pPr>
        <w:pStyle w:val="BodyText"/>
      </w:pPr>
    </w:p>
    <w:p w:rsidR="003E6D7F" w:rsidP="003E6D7F" w:rsidRDefault="003E6D7F" w14:paraId="12E18E7F" w14:textId="77777777">
      <w:pPr>
        <w:pStyle w:val="BodyText"/>
      </w:pPr>
      <w:r>
        <w:t xml:space="preserve">If we receive a bounce back email, we will search online for an updated email or contact ACF regional staff to confirm the contact information for the TANF agency. To ensure high rates of participation, the Abt team will also solicit the assistance of key stakeholder membership organizations, including the National Association of State TANF Administrators (NASTA) and regional ACF staff to encourage survey completion. </w:t>
      </w:r>
    </w:p>
    <w:p w:rsidR="003E6D7F" w:rsidP="003E6D7F" w:rsidRDefault="003E6D7F" w14:paraId="722463D1" w14:textId="77777777">
      <w:pPr>
        <w:pStyle w:val="BodyText"/>
      </w:pPr>
    </w:p>
    <w:p w:rsidR="00F84C4C" w:rsidP="003E6D7F" w:rsidRDefault="006F46FE" w14:paraId="79164647" w14:textId="77777777">
      <w:pPr>
        <w:pStyle w:val="BodyText"/>
        <w:rPr>
          <w:i/>
        </w:rPr>
      </w:pPr>
      <w:r>
        <w:rPr>
          <w:i/>
        </w:rPr>
        <w:lastRenderedPageBreak/>
        <w:t xml:space="preserve">TANF agency </w:t>
      </w:r>
      <w:r w:rsidR="005F4C09">
        <w:rPr>
          <w:i/>
        </w:rPr>
        <w:t xml:space="preserve">virtual </w:t>
      </w:r>
      <w:r>
        <w:rPr>
          <w:i/>
        </w:rPr>
        <w:t>site visits</w:t>
      </w:r>
    </w:p>
    <w:p w:rsidRPr="008C609E" w:rsidR="006F46FE" w:rsidP="008C609E" w:rsidRDefault="006F46FE" w14:paraId="66930DA6" w14:textId="77777777">
      <w:pPr>
        <w:rPr>
          <w:sz w:val="22"/>
          <w:szCs w:val="22"/>
        </w:rPr>
      </w:pPr>
      <w:r w:rsidRPr="008C609E">
        <w:rPr>
          <w:sz w:val="22"/>
        </w:rPr>
        <w:t xml:space="preserve">The study team will conduct </w:t>
      </w:r>
      <w:r w:rsidR="005F4C09">
        <w:rPr>
          <w:sz w:val="22"/>
        </w:rPr>
        <w:t xml:space="preserve">virtual </w:t>
      </w:r>
      <w:r w:rsidRPr="008C609E">
        <w:rPr>
          <w:sz w:val="22"/>
        </w:rPr>
        <w:t xml:space="preserve">site visits to five TANF agencies to </w:t>
      </w:r>
      <w:r w:rsidRPr="008C609E" w:rsidR="008C609E">
        <w:rPr>
          <w:sz w:val="22"/>
        </w:rPr>
        <w:t xml:space="preserve">gain more detailed, in-depth information about select agencies’ approaches to assisting families experiencing and at-risk of homelessness. </w:t>
      </w:r>
      <w:r w:rsidR="008C609E">
        <w:rPr>
          <w:sz w:val="22"/>
        </w:rPr>
        <w:t xml:space="preserve"> </w:t>
      </w:r>
      <w:r w:rsidRPr="008C609E">
        <w:rPr>
          <w:sz w:val="22"/>
          <w:szCs w:val="22"/>
        </w:rPr>
        <w:t xml:space="preserve">Each site visit will be conducted by a two-person team comprised of a senior member and a junior staff member. The senior staff </w:t>
      </w:r>
      <w:r w:rsidR="0044753C">
        <w:rPr>
          <w:sz w:val="22"/>
          <w:szCs w:val="22"/>
        </w:rPr>
        <w:t xml:space="preserve">member </w:t>
      </w:r>
      <w:r w:rsidRPr="008C609E">
        <w:rPr>
          <w:sz w:val="22"/>
          <w:szCs w:val="22"/>
        </w:rPr>
        <w:t xml:space="preserve">will lead the interviews. A junior staff member will assist with notetaking and drafting summaries of each visit. Prior to the </w:t>
      </w:r>
      <w:r w:rsidR="005F4C09">
        <w:rPr>
          <w:sz w:val="22"/>
          <w:szCs w:val="22"/>
        </w:rPr>
        <w:t xml:space="preserve">virtual </w:t>
      </w:r>
      <w:r w:rsidRPr="008C609E">
        <w:rPr>
          <w:sz w:val="22"/>
          <w:szCs w:val="22"/>
        </w:rPr>
        <w:t xml:space="preserve">visit, the site visitors will review the information collected from each site through the document review and </w:t>
      </w:r>
      <w:r w:rsidR="00833282">
        <w:rPr>
          <w:sz w:val="22"/>
          <w:szCs w:val="22"/>
        </w:rPr>
        <w:t xml:space="preserve">state and county </w:t>
      </w:r>
      <w:r w:rsidRPr="008C609E">
        <w:rPr>
          <w:sz w:val="22"/>
          <w:szCs w:val="22"/>
        </w:rPr>
        <w:t>TANF administrator survey</w:t>
      </w:r>
      <w:r w:rsidR="0044753C">
        <w:rPr>
          <w:sz w:val="22"/>
          <w:szCs w:val="22"/>
        </w:rPr>
        <w:t>s</w:t>
      </w:r>
      <w:r w:rsidR="00833282">
        <w:rPr>
          <w:sz w:val="22"/>
          <w:szCs w:val="22"/>
        </w:rPr>
        <w:t>.</w:t>
      </w:r>
      <w:r w:rsidRPr="008C609E">
        <w:rPr>
          <w:sz w:val="22"/>
          <w:szCs w:val="22"/>
        </w:rPr>
        <w:t xml:space="preserve"> The Discussion Guide for TANF Staff </w:t>
      </w:r>
      <w:r w:rsidR="008C609E">
        <w:rPr>
          <w:sz w:val="22"/>
          <w:szCs w:val="22"/>
        </w:rPr>
        <w:t>is included as Attachment B.</w:t>
      </w:r>
    </w:p>
    <w:p w:rsidR="008C609E" w:rsidP="006F46FE" w:rsidRDefault="008C609E" w14:paraId="327F7CE3" w14:textId="77777777">
      <w:pPr>
        <w:pStyle w:val="BodyText"/>
      </w:pPr>
    </w:p>
    <w:p w:rsidR="008C609E" w:rsidP="008C609E" w:rsidRDefault="008C609E" w14:paraId="5FE6D34D" w14:textId="77777777">
      <w:pPr>
        <w:pStyle w:val="BodyText"/>
      </w:pPr>
      <w:r w:rsidRPr="008C609E">
        <w:rPr>
          <w:rFonts w:eastAsia="Calibri"/>
        </w:rPr>
        <w:t xml:space="preserve">While waiting for OMB clearance, the research team plans to pilot </w:t>
      </w:r>
      <w:r w:rsidR="008D63BF">
        <w:rPr>
          <w:rFonts w:eastAsia="Calibri"/>
        </w:rPr>
        <w:t>the Discussion Guide for TANF Staff</w:t>
      </w:r>
      <w:r w:rsidR="00833282">
        <w:rPr>
          <w:rFonts w:eastAsia="Calibri"/>
        </w:rPr>
        <w:t xml:space="preserve"> (Attachment B)</w:t>
      </w:r>
      <w:r w:rsidRPr="008C609E">
        <w:rPr>
          <w:rFonts w:eastAsia="Calibri"/>
        </w:rPr>
        <w:t xml:space="preserve"> </w:t>
      </w:r>
      <w:r w:rsidR="008D63BF">
        <w:rPr>
          <w:rFonts w:eastAsia="Calibri"/>
        </w:rPr>
        <w:t xml:space="preserve">and the Discussion Guide for Staff at CoCs/Partner Organizations (Attachment C) </w:t>
      </w:r>
      <w:r w:rsidRPr="008C609E">
        <w:rPr>
          <w:rFonts w:eastAsia="Calibri"/>
        </w:rPr>
        <w:t xml:space="preserve">by conducting a preliminary site visit. </w:t>
      </w:r>
      <w:r>
        <w:t>After the preliminary site visit, the staff will revise the instruments as necessary based on feedback and experiences on the site visit. This feedback will be incorporated into the survey which will be submitted to OMB during pass</w:t>
      </w:r>
      <w:r w:rsidR="00E8537F">
        <w:t xml:space="preserve"> </w:t>
      </w:r>
      <w:r>
        <w:t>back.</w:t>
      </w:r>
    </w:p>
    <w:p w:rsidR="008C609E" w:rsidP="008C609E" w:rsidRDefault="008C609E" w14:paraId="35450BB6" w14:textId="77777777">
      <w:pPr>
        <w:pStyle w:val="BodyText"/>
      </w:pPr>
    </w:p>
    <w:p w:rsidR="008C609E" w:rsidP="008C609E" w:rsidRDefault="008C609E" w14:paraId="34DF1DAF" w14:textId="77777777">
      <w:pPr>
        <w:pStyle w:val="BodyText"/>
      </w:pPr>
      <w:r>
        <w:t xml:space="preserve">To coordinate the </w:t>
      </w:r>
      <w:r w:rsidR="005F4C09">
        <w:t xml:space="preserve">virtual </w:t>
      </w:r>
      <w:r>
        <w:t>site visits, the research team will identify an agency-level point-of-contact</w:t>
      </w:r>
      <w:r w:rsidR="0044753C">
        <w:t xml:space="preserve"> (POC)</w:t>
      </w:r>
      <w:r>
        <w:t xml:space="preserve">, such as the program director or office manager and supervisor, for each of the sites approved by the COR. The research team will work with the POC to identify potential visit dates in </w:t>
      </w:r>
      <w:r w:rsidR="00186B92">
        <w:t>Summer/Fall</w:t>
      </w:r>
      <w:r>
        <w:t xml:space="preserve"> 2019, and outline an agenda for the two-day visit. The agenda will include the schedule for interviewing TANF office staff, observations of orientation or intake sessions with clients, and interviews with representatives from relevant homelessness organization partners. The agenda will vary depending on the agency’s size, the office locations, and the range/number of partners. Where geographically feasible, the research team will visit more than one TANF office to identify any variations across office locations. The study team will interview</w:t>
      </w:r>
      <w:r w:rsidR="00186B92">
        <w:t xml:space="preserve"> </w:t>
      </w:r>
      <w:r w:rsidR="00C635D5">
        <w:t>up to 17</w:t>
      </w:r>
      <w:r>
        <w:t xml:space="preserve"> staff employed by the TANF agency who specifically provide case management or services to address family homelessness. The observations of intake sessions will offer insight into the agencies</w:t>
      </w:r>
      <w:r w:rsidR="0044753C">
        <w:t>’</w:t>
      </w:r>
      <w:r>
        <w:t xml:space="preserve"> use of risk and barrier assessments, its description of available services, and how it refers to and collaborates with other local services for families experiencing homelessness. During the visits, the study team will collect any documents used by TANF agency staff, such as assessment tools, orientation materials, and evaluation reports. If the TANF office administers client feedback forms, we will also ask for </w:t>
      </w:r>
      <w:r w:rsidR="006A600B">
        <w:t>copies</w:t>
      </w:r>
      <w:r>
        <w:t xml:space="preserve"> of recently completed forms in order to better understand how clients perceive the TANF services currently offered.</w:t>
      </w:r>
    </w:p>
    <w:p w:rsidR="008C609E" w:rsidP="008C609E" w:rsidRDefault="008C609E" w14:paraId="6E8290DF" w14:textId="77777777">
      <w:pPr>
        <w:pStyle w:val="BodyText"/>
      </w:pPr>
    </w:p>
    <w:p w:rsidR="008C609E" w:rsidP="008C609E" w:rsidRDefault="008C609E" w14:paraId="21FCB419" w14:textId="77777777">
      <w:pPr>
        <w:pStyle w:val="BodyText"/>
      </w:pPr>
      <w:r>
        <w:t>In addition to interviewing TANF agency staff, the Abt team will also interview</w:t>
      </w:r>
      <w:r w:rsidR="00186B92">
        <w:t xml:space="preserve"> up to </w:t>
      </w:r>
      <w:r w:rsidR="00C635D5">
        <w:t>seven</w:t>
      </w:r>
      <w:r>
        <w:t xml:space="preserve"> representatives from the local CoC. Prior to making contact with the TANF agency, the research team will identify the CoC(s) that operate within the same jurisdiction. The Abt team will then ask the TANF agency POC to identify any additional partners within the CoC, including programs that serve homeless families. The Abt team will also look into whether the local public housing agency (PHA) prioritizes homeless families. If the PHA has a preference</w:t>
      </w:r>
      <w:r w:rsidR="00833282">
        <w:t xml:space="preserve"> for assisting homeless families</w:t>
      </w:r>
      <w:r>
        <w:t xml:space="preserve">, we will interview PHA staff as part of the </w:t>
      </w:r>
      <w:r w:rsidR="005F4C09">
        <w:t xml:space="preserve">virtual </w:t>
      </w:r>
      <w:r>
        <w:t>site visit. The Discussion Guide for Staff at Continuums of Care (CoCs)/Partner Organizations is included as Attachment C.</w:t>
      </w:r>
    </w:p>
    <w:p w:rsidR="00F84C4C" w:rsidP="003E6D7F" w:rsidRDefault="00F84C4C" w14:paraId="7695EAEF" w14:textId="77777777">
      <w:pPr>
        <w:pStyle w:val="BodyText"/>
        <w:rPr>
          <w:i/>
        </w:rPr>
      </w:pPr>
    </w:p>
    <w:p w:rsidRPr="008E3F71" w:rsidR="00253148" w:rsidP="00FD1B70" w:rsidRDefault="00253148" w14:paraId="7062DA71" w14:textId="77777777"/>
    <w:p w:rsidR="00E05A0A" w:rsidP="00E8537F" w:rsidRDefault="00E05A0A" w14:paraId="1B631890" w14:textId="77777777">
      <w:pPr>
        <w:pStyle w:val="Heading1"/>
      </w:pPr>
      <w:bookmarkStart w:name="_Toc512605832" w:id="4"/>
      <w:r>
        <w:t>B3. Methods to Maximize Response Rates and Deal with Nonresponse</w:t>
      </w:r>
      <w:bookmarkEnd w:id="4"/>
    </w:p>
    <w:p w:rsidR="00F84C4C" w:rsidP="002F650E" w:rsidRDefault="00A247B4" w14:paraId="43B21B5D" w14:textId="77777777">
      <w:pPr>
        <w:shd w:val="clear" w:color="auto" w:fill="FFFFFF"/>
        <w:rPr>
          <w:sz w:val="22"/>
          <w:szCs w:val="22"/>
        </w:rPr>
      </w:pPr>
      <w:r>
        <w:rPr>
          <w:sz w:val="22"/>
          <w:szCs w:val="22"/>
        </w:rPr>
        <w:t xml:space="preserve">This study uses a quantitative and qualitative </w:t>
      </w:r>
      <w:r w:rsidR="00F84C4C">
        <w:rPr>
          <w:sz w:val="22"/>
          <w:szCs w:val="22"/>
        </w:rPr>
        <w:t>approach to document TANF policies. As described above, the study team will select sites that, as a group, will inform OPRE and others about the ways that TANF agencies operate and provide useful lessons to understand how TANF is assisting homeless famili</w:t>
      </w:r>
      <w:r w:rsidR="00ED372A">
        <w:rPr>
          <w:sz w:val="22"/>
          <w:szCs w:val="22"/>
        </w:rPr>
        <w:t>es to inform future policies. We</w:t>
      </w:r>
      <w:r w:rsidR="00F84C4C">
        <w:rPr>
          <w:sz w:val="22"/>
          <w:szCs w:val="22"/>
        </w:rPr>
        <w:t xml:space="preserve"> expect response rates to be sufficiently high for the survey of TANF </w:t>
      </w:r>
      <w:r w:rsidR="00F84C4C">
        <w:rPr>
          <w:sz w:val="22"/>
          <w:szCs w:val="22"/>
        </w:rPr>
        <w:lastRenderedPageBreak/>
        <w:t>administrators a</w:t>
      </w:r>
      <w:r w:rsidR="00040385">
        <w:rPr>
          <w:sz w:val="22"/>
          <w:szCs w:val="22"/>
        </w:rPr>
        <w:t>nd among the sites selected to provide an in-depth understanding of a range of ways that TANF agencies are assisting families currently experiencing or at-risk of homelessness.</w:t>
      </w:r>
    </w:p>
    <w:p w:rsidR="00040385" w:rsidP="002F650E" w:rsidRDefault="00040385" w14:paraId="22D08A77" w14:textId="77777777">
      <w:pPr>
        <w:shd w:val="clear" w:color="auto" w:fill="FFFFFF"/>
        <w:rPr>
          <w:sz w:val="22"/>
          <w:szCs w:val="22"/>
        </w:rPr>
      </w:pPr>
    </w:p>
    <w:p w:rsidR="00040385" w:rsidP="002F650E" w:rsidRDefault="00040385" w14:paraId="355CBC3E" w14:textId="77777777">
      <w:pPr>
        <w:shd w:val="clear" w:color="auto" w:fill="FFFFFF"/>
        <w:rPr>
          <w:sz w:val="22"/>
          <w:szCs w:val="22"/>
        </w:rPr>
      </w:pPr>
      <w:r>
        <w:rPr>
          <w:sz w:val="22"/>
          <w:szCs w:val="22"/>
        </w:rPr>
        <w:t>We expect the following response rates:</w:t>
      </w:r>
    </w:p>
    <w:p w:rsidR="00040385" w:rsidP="002F650E" w:rsidRDefault="00040385" w14:paraId="41AE552A" w14:textId="77777777">
      <w:pPr>
        <w:shd w:val="clear" w:color="auto" w:fill="FFFFFF"/>
        <w:rPr>
          <w:sz w:val="22"/>
          <w:szCs w:val="22"/>
        </w:rPr>
      </w:pPr>
    </w:p>
    <w:p w:rsidR="00FE1C8E" w:rsidP="002F650E" w:rsidRDefault="00040385" w14:paraId="58060067" w14:textId="77777777">
      <w:pPr>
        <w:numPr>
          <w:ilvl w:val="0"/>
          <w:numId w:val="17"/>
        </w:numPr>
        <w:shd w:val="clear" w:color="auto" w:fill="FFFFFF"/>
        <w:rPr>
          <w:sz w:val="22"/>
          <w:szCs w:val="22"/>
        </w:rPr>
      </w:pPr>
      <w:r w:rsidRPr="00040385">
        <w:rPr>
          <w:i/>
          <w:sz w:val="22"/>
          <w:szCs w:val="22"/>
        </w:rPr>
        <w:t>TANF Administrator Survey:</w:t>
      </w:r>
      <w:r>
        <w:rPr>
          <w:sz w:val="22"/>
          <w:szCs w:val="22"/>
        </w:rPr>
        <w:t xml:space="preserve"> </w:t>
      </w:r>
      <w:r w:rsidRPr="00F84C4C" w:rsidR="00D37FA0">
        <w:rPr>
          <w:sz w:val="22"/>
          <w:szCs w:val="22"/>
        </w:rPr>
        <w:t xml:space="preserve">The </w:t>
      </w:r>
      <w:r>
        <w:rPr>
          <w:sz w:val="22"/>
          <w:szCs w:val="22"/>
        </w:rPr>
        <w:t>study</w:t>
      </w:r>
      <w:r w:rsidRPr="00F84C4C" w:rsidR="00D37FA0">
        <w:rPr>
          <w:sz w:val="22"/>
          <w:szCs w:val="22"/>
        </w:rPr>
        <w:t xml:space="preserve"> team anticipates achieving an 80 percent response rate on the web survey of TANF administrators. The survey is being administered online to elicit the highest response rate possible</w:t>
      </w:r>
      <w:r w:rsidR="00A247B4">
        <w:rPr>
          <w:sz w:val="22"/>
          <w:szCs w:val="22"/>
        </w:rPr>
        <w:t>.</w:t>
      </w:r>
      <w:r w:rsidRPr="00F84C4C" w:rsidR="00D37FA0">
        <w:rPr>
          <w:sz w:val="22"/>
          <w:szCs w:val="22"/>
        </w:rPr>
        <w:t xml:space="preserve"> In 2012, Abt</w:t>
      </w:r>
      <w:r w:rsidR="00A247B4">
        <w:rPr>
          <w:sz w:val="22"/>
          <w:szCs w:val="22"/>
        </w:rPr>
        <w:t xml:space="preserve"> conducted a study for HUD that included an online survey of public housing a</w:t>
      </w:r>
      <w:r w:rsidRPr="00F84C4C" w:rsidR="00D37FA0">
        <w:rPr>
          <w:sz w:val="22"/>
          <w:szCs w:val="22"/>
        </w:rPr>
        <w:t>gencies</w:t>
      </w:r>
      <w:r w:rsidR="00A247B4">
        <w:rPr>
          <w:sz w:val="22"/>
          <w:szCs w:val="22"/>
        </w:rPr>
        <w:t>.</w:t>
      </w:r>
      <w:r w:rsidR="00C635D5">
        <w:rPr>
          <w:rStyle w:val="FootnoteReference"/>
          <w:sz w:val="22"/>
          <w:szCs w:val="22"/>
        </w:rPr>
        <w:footnoteReference w:id="1"/>
      </w:r>
      <w:r w:rsidR="00A247B4">
        <w:rPr>
          <w:sz w:val="22"/>
          <w:szCs w:val="22"/>
        </w:rPr>
        <w:t xml:space="preserve"> Given the similar group of agency administrator respondents, the study team believes it is possible to achieve an 80 percent response rate for this comparable survey.</w:t>
      </w:r>
    </w:p>
    <w:p w:rsidR="00040385" w:rsidP="002F650E" w:rsidRDefault="00040385" w14:paraId="794A4894" w14:textId="77777777">
      <w:pPr>
        <w:numPr>
          <w:ilvl w:val="0"/>
          <w:numId w:val="17"/>
        </w:numPr>
        <w:shd w:val="clear" w:color="auto" w:fill="FFFFFF"/>
        <w:rPr>
          <w:sz w:val="22"/>
          <w:szCs w:val="22"/>
        </w:rPr>
      </w:pPr>
      <w:r w:rsidRPr="00040385">
        <w:rPr>
          <w:i/>
          <w:sz w:val="22"/>
          <w:szCs w:val="22"/>
        </w:rPr>
        <w:t>Staff at TANF agencies and CoCs:</w:t>
      </w:r>
      <w:r>
        <w:rPr>
          <w:sz w:val="22"/>
          <w:szCs w:val="22"/>
        </w:rPr>
        <w:t xml:space="preserve"> Because the study team will be working with staff and managers who have expressed their interest in participating, response rates will be close to 100 percent. In the event of scheduling conflicts, the research team will conduct follow-up telephone interviews at a time convenient to the respondent.</w:t>
      </w:r>
    </w:p>
    <w:p w:rsidR="00F56220" w:rsidP="002F650E" w:rsidRDefault="00F56220" w14:paraId="31CF5BD0" w14:textId="77777777">
      <w:pPr>
        <w:shd w:val="clear" w:color="auto" w:fill="FFFFFF"/>
        <w:spacing w:line="276" w:lineRule="auto"/>
        <w:rPr>
          <w:b/>
          <w:i/>
        </w:rPr>
      </w:pPr>
    </w:p>
    <w:p w:rsidR="00FE6DF7" w:rsidP="00735EBE" w:rsidRDefault="00EC0456" w14:paraId="7B0212C0" w14:textId="77777777">
      <w:pPr>
        <w:spacing w:after="60" w:line="276" w:lineRule="auto"/>
        <w:rPr>
          <w:b/>
          <w:i/>
        </w:rPr>
      </w:pPr>
      <w:r>
        <w:rPr>
          <w:b/>
          <w:i/>
        </w:rPr>
        <w:t xml:space="preserve"> B.3.1 </w:t>
      </w:r>
      <w:r w:rsidRPr="007378E7" w:rsidR="00EC6101">
        <w:rPr>
          <w:b/>
          <w:i/>
        </w:rPr>
        <w:t>Dealing with Nonresponse</w:t>
      </w:r>
    </w:p>
    <w:p w:rsidRPr="007378E7" w:rsidR="00EC6101" w:rsidP="00735EBE" w:rsidRDefault="00FE6DF7" w14:paraId="199647F0" w14:textId="77777777">
      <w:pPr>
        <w:spacing w:after="60" w:line="276" w:lineRule="auto"/>
        <w:rPr>
          <w:b/>
          <w:i/>
        </w:rPr>
      </w:pPr>
      <w:r>
        <w:rPr>
          <w:i/>
        </w:rPr>
        <w:t>TANF administrator survey</w:t>
      </w:r>
    </w:p>
    <w:p w:rsidRPr="00A66A1A" w:rsidR="00424E32" w:rsidP="00315CC4" w:rsidRDefault="00424E32" w14:paraId="35528327" w14:textId="77777777">
      <w:pPr>
        <w:rPr>
          <w:rFonts w:eastAsia="Calibri"/>
          <w:sz w:val="22"/>
          <w:szCs w:val="20"/>
        </w:rPr>
      </w:pPr>
      <w:r w:rsidRPr="00A66A1A">
        <w:rPr>
          <w:rFonts w:eastAsia="Calibri"/>
          <w:sz w:val="22"/>
          <w:szCs w:val="20"/>
        </w:rPr>
        <w:t xml:space="preserve">OFA </w:t>
      </w:r>
      <w:r w:rsidR="00186B92">
        <w:rPr>
          <w:rFonts w:eastAsia="Calibri"/>
          <w:sz w:val="22"/>
          <w:szCs w:val="20"/>
        </w:rPr>
        <w:t xml:space="preserve">will send an introductory email to all </w:t>
      </w:r>
      <w:r w:rsidRPr="00A66A1A">
        <w:rPr>
          <w:rFonts w:eastAsia="Calibri"/>
          <w:sz w:val="22"/>
          <w:szCs w:val="20"/>
        </w:rPr>
        <w:t>TANF administrators explaining the purpose of the TANF administrator survey and its importance.</w:t>
      </w:r>
      <w:r w:rsidR="00186B92">
        <w:rPr>
          <w:rFonts w:eastAsia="Calibri"/>
          <w:sz w:val="22"/>
          <w:szCs w:val="20"/>
        </w:rPr>
        <w:t xml:space="preserve"> The study team will then follow with an email providing more information and the survey link. </w:t>
      </w:r>
      <w:r w:rsidRPr="00A66A1A">
        <w:rPr>
          <w:rFonts w:eastAsia="Calibri"/>
          <w:sz w:val="22"/>
          <w:szCs w:val="20"/>
        </w:rPr>
        <w:t xml:space="preserve">The study team will carefully monitor response rates and contact non-respondents to encourage participation in the survey.  </w:t>
      </w:r>
    </w:p>
    <w:p w:rsidR="00FE6DF7" w:rsidP="00315CC4" w:rsidRDefault="00FE6DF7" w14:paraId="397E3527" w14:textId="77777777">
      <w:pPr>
        <w:pStyle w:val="NoSpacing"/>
        <w:rPr>
          <w:rFonts w:ascii="Times New Roman" w:hAnsi="Times New Roman"/>
        </w:rPr>
      </w:pPr>
    </w:p>
    <w:p w:rsidRPr="00FE6DF7" w:rsidR="00FE6DF7" w:rsidP="00315CC4" w:rsidRDefault="005F4C09" w14:paraId="39C9E5AC" w14:textId="77777777">
      <w:pPr>
        <w:pStyle w:val="NoSpacing"/>
        <w:rPr>
          <w:rFonts w:ascii="Times New Roman" w:hAnsi="Times New Roman"/>
          <w:i/>
        </w:rPr>
      </w:pPr>
      <w:r>
        <w:rPr>
          <w:rFonts w:ascii="Times New Roman" w:hAnsi="Times New Roman"/>
          <w:i/>
        </w:rPr>
        <w:t>Virtual s</w:t>
      </w:r>
      <w:r w:rsidR="00FE6DF7">
        <w:rPr>
          <w:rFonts w:ascii="Times New Roman" w:hAnsi="Times New Roman"/>
          <w:i/>
        </w:rPr>
        <w:t>ite visits</w:t>
      </w:r>
    </w:p>
    <w:p w:rsidRPr="00FE6DF7" w:rsidR="00FE6DF7" w:rsidP="00FE6DF7" w:rsidRDefault="00A13A68" w14:paraId="117CBC6C" w14:textId="77777777">
      <w:pPr>
        <w:rPr>
          <w:sz w:val="22"/>
          <w:szCs w:val="22"/>
        </w:rPr>
      </w:pPr>
      <w:r w:rsidRPr="009F3714">
        <w:rPr>
          <w:sz w:val="22"/>
        </w:rPr>
        <w:t xml:space="preserve">The strategy to collect qualitative data during </w:t>
      </w:r>
      <w:r w:rsidR="005F4C09">
        <w:rPr>
          <w:sz w:val="22"/>
        </w:rPr>
        <w:t xml:space="preserve">the virtual </w:t>
      </w:r>
      <w:r w:rsidRPr="009F3714">
        <w:rPr>
          <w:sz w:val="22"/>
        </w:rPr>
        <w:t xml:space="preserve">site visits will ensure that the responses rates are high and the data are reliable. Site visit team members will contact site staff well in advance of each visit to </w:t>
      </w:r>
      <w:r w:rsidR="005F4C09">
        <w:rPr>
          <w:sz w:val="22"/>
        </w:rPr>
        <w:t>identify convenient times for the virtual meetings and ensure they do not interfere with site operations</w:t>
      </w:r>
      <w:r w:rsidRPr="009F3714">
        <w:rPr>
          <w:sz w:val="22"/>
        </w:rPr>
        <w:t xml:space="preserve">. </w:t>
      </w:r>
    </w:p>
    <w:p w:rsidRPr="00C613B9" w:rsidR="00C613B9" w:rsidP="00315CC4" w:rsidRDefault="00C613B9" w14:paraId="795532E7" w14:textId="77777777">
      <w:pPr>
        <w:pStyle w:val="NoSpacing"/>
        <w:rPr>
          <w:rFonts w:ascii="Times New Roman" w:hAnsi="Times New Roman"/>
        </w:rPr>
      </w:pPr>
    </w:p>
    <w:p w:rsidR="00EC6101" w:rsidP="00735EBE" w:rsidRDefault="00EC0456" w14:paraId="548EC68C" w14:textId="77777777">
      <w:pPr>
        <w:autoSpaceDE w:val="0"/>
        <w:autoSpaceDN w:val="0"/>
        <w:adjustRightInd w:val="0"/>
        <w:spacing w:after="60"/>
        <w:rPr>
          <w:b/>
          <w:i/>
        </w:rPr>
      </w:pPr>
      <w:r>
        <w:rPr>
          <w:b/>
          <w:i/>
        </w:rPr>
        <w:t xml:space="preserve">B.3.2 </w:t>
      </w:r>
      <w:r w:rsidRPr="007378E7" w:rsidR="00EC6101">
        <w:rPr>
          <w:b/>
          <w:i/>
        </w:rPr>
        <w:t>Maximizing Response Rates</w:t>
      </w:r>
    </w:p>
    <w:p w:rsidRPr="00FE6DF7" w:rsidR="00FE6DF7" w:rsidP="002A1EAB" w:rsidRDefault="00FE6DF7" w14:paraId="0463C1CE" w14:textId="77777777">
      <w:pPr>
        <w:autoSpaceDE w:val="0"/>
        <w:autoSpaceDN w:val="0"/>
        <w:adjustRightInd w:val="0"/>
        <w:rPr>
          <w:i/>
        </w:rPr>
      </w:pPr>
      <w:r>
        <w:rPr>
          <w:i/>
        </w:rPr>
        <w:t>TANF administrator survey</w:t>
      </w:r>
    </w:p>
    <w:p w:rsidRPr="00C613B9" w:rsidR="00D37FA0" w:rsidP="002A1EAB" w:rsidRDefault="00D37FA0" w14:paraId="020EA041" w14:textId="77777777">
      <w:pPr>
        <w:shd w:val="clear" w:color="auto" w:fill="FFFFFF"/>
        <w:rPr>
          <w:sz w:val="22"/>
        </w:rPr>
      </w:pPr>
      <w:r w:rsidRPr="00C613B9">
        <w:rPr>
          <w:sz w:val="22"/>
        </w:rPr>
        <w:t>To ensure an 80 percent response rate</w:t>
      </w:r>
      <w:r w:rsidR="00902B11">
        <w:rPr>
          <w:sz w:val="22"/>
        </w:rPr>
        <w:t xml:space="preserve"> for the TANF Administrator Survey</w:t>
      </w:r>
      <w:r w:rsidRPr="00C613B9">
        <w:rPr>
          <w:sz w:val="22"/>
        </w:rPr>
        <w:t xml:space="preserve">, Abt staff will send up to five email reminders to non-respondents. </w:t>
      </w:r>
      <w:r w:rsidR="00353681">
        <w:rPr>
          <w:sz w:val="22"/>
        </w:rPr>
        <w:t>T</w:t>
      </w:r>
      <w:r w:rsidRPr="00C613B9">
        <w:rPr>
          <w:sz w:val="22"/>
        </w:rPr>
        <w:t>wo weeks</w:t>
      </w:r>
      <w:r w:rsidR="00353681">
        <w:rPr>
          <w:sz w:val="22"/>
        </w:rPr>
        <w:t xml:space="preserve"> after the survey link has been emailed</w:t>
      </w:r>
      <w:r w:rsidRPr="00C613B9">
        <w:rPr>
          <w:sz w:val="22"/>
        </w:rPr>
        <w:t xml:space="preserve">, the Abt team will send </w:t>
      </w:r>
      <w:r w:rsidR="008E3F71">
        <w:rPr>
          <w:sz w:val="22"/>
        </w:rPr>
        <w:t xml:space="preserve">the first </w:t>
      </w:r>
      <w:r w:rsidRPr="00C613B9">
        <w:rPr>
          <w:sz w:val="22"/>
        </w:rPr>
        <w:t xml:space="preserve">email reminder to all TANF administrators that have not responded to the survey. At four weeks, the study team will send </w:t>
      </w:r>
      <w:r w:rsidR="008E3F71">
        <w:rPr>
          <w:sz w:val="22"/>
        </w:rPr>
        <w:t xml:space="preserve">the second </w:t>
      </w:r>
      <w:r w:rsidRPr="00C613B9">
        <w:rPr>
          <w:sz w:val="22"/>
        </w:rPr>
        <w:t xml:space="preserve">email </w:t>
      </w:r>
      <w:r w:rsidR="00902B11">
        <w:rPr>
          <w:sz w:val="22"/>
        </w:rPr>
        <w:t xml:space="preserve">reminder </w:t>
      </w:r>
      <w:r w:rsidRPr="00C613B9">
        <w:rPr>
          <w:sz w:val="22"/>
        </w:rPr>
        <w:t xml:space="preserve">to non-responders. At five weeks, we will begin sending the remaining three email reminders on </w:t>
      </w:r>
      <w:r w:rsidR="00902B11">
        <w:rPr>
          <w:sz w:val="22"/>
        </w:rPr>
        <w:t xml:space="preserve">a </w:t>
      </w:r>
      <w:r w:rsidRPr="00C613B9">
        <w:rPr>
          <w:sz w:val="22"/>
        </w:rPr>
        <w:t xml:space="preserve">weekly basis. </w:t>
      </w:r>
    </w:p>
    <w:p w:rsidRPr="00C613B9" w:rsidR="00D37FA0" w:rsidP="002F650E" w:rsidRDefault="00D37FA0" w14:paraId="06269BBC" w14:textId="77777777">
      <w:pPr>
        <w:shd w:val="clear" w:color="auto" w:fill="FFFFFF"/>
        <w:rPr>
          <w:sz w:val="22"/>
        </w:rPr>
      </w:pPr>
    </w:p>
    <w:p w:rsidRPr="00C613B9" w:rsidR="002D10A2" w:rsidP="002F650E" w:rsidRDefault="00D37FA0" w14:paraId="12311EAB" w14:textId="77777777">
      <w:pPr>
        <w:shd w:val="clear" w:color="auto" w:fill="FFFFFF"/>
        <w:rPr>
          <w:sz w:val="22"/>
        </w:rPr>
      </w:pPr>
      <w:r w:rsidRPr="00C613B9">
        <w:rPr>
          <w:sz w:val="22"/>
        </w:rPr>
        <w:t xml:space="preserve">In addition to email reminders, the Abt team will work with ACF regional staff </w:t>
      </w:r>
      <w:r w:rsidR="00172E5B">
        <w:rPr>
          <w:sz w:val="22"/>
        </w:rPr>
        <w:t xml:space="preserve">and NASTA </w:t>
      </w:r>
      <w:r w:rsidRPr="00C613B9">
        <w:rPr>
          <w:sz w:val="22"/>
        </w:rPr>
        <w:t xml:space="preserve">to encourage survey completion of key respondents (state TANF agencies and county-administered agency with the largest number of homeless families). The </w:t>
      </w:r>
      <w:r w:rsidR="008E3F71">
        <w:rPr>
          <w:sz w:val="22"/>
        </w:rPr>
        <w:t xml:space="preserve">study </w:t>
      </w:r>
      <w:r w:rsidRPr="00C613B9">
        <w:rPr>
          <w:sz w:val="22"/>
        </w:rPr>
        <w:t>team will also provide support to respondents via a study-specific email</w:t>
      </w:r>
      <w:r w:rsidR="00902B11">
        <w:rPr>
          <w:sz w:val="22"/>
        </w:rPr>
        <w:t xml:space="preserve"> account</w:t>
      </w:r>
      <w:r w:rsidRPr="00C613B9">
        <w:rPr>
          <w:sz w:val="22"/>
        </w:rPr>
        <w:t xml:space="preserve"> that </w:t>
      </w:r>
      <w:r w:rsidR="00902B11">
        <w:rPr>
          <w:sz w:val="22"/>
        </w:rPr>
        <w:t>will be</w:t>
      </w:r>
      <w:r w:rsidRPr="00C613B9" w:rsidR="00902B11">
        <w:rPr>
          <w:sz w:val="22"/>
        </w:rPr>
        <w:t xml:space="preserve"> </w:t>
      </w:r>
      <w:r w:rsidRPr="00C613B9">
        <w:rPr>
          <w:sz w:val="22"/>
        </w:rPr>
        <w:t>regularly monitored and through a designated</w:t>
      </w:r>
      <w:r w:rsidR="003A5501">
        <w:rPr>
          <w:sz w:val="22"/>
        </w:rPr>
        <w:t xml:space="preserve"> telephone</w:t>
      </w:r>
      <w:r w:rsidR="00A10C11">
        <w:rPr>
          <w:sz w:val="22"/>
        </w:rPr>
        <w:t xml:space="preserve"> </w:t>
      </w:r>
      <w:r w:rsidRPr="00C613B9">
        <w:rPr>
          <w:sz w:val="22"/>
        </w:rPr>
        <w:t xml:space="preserve">help line. </w:t>
      </w:r>
    </w:p>
    <w:p w:rsidR="002A1EAB" w:rsidP="00FD1B70" w:rsidRDefault="002A1EAB" w14:paraId="01724668" w14:textId="77777777">
      <w:pPr>
        <w:rPr>
          <w:i/>
        </w:rPr>
      </w:pPr>
    </w:p>
    <w:p w:rsidR="00FE6DF7" w:rsidP="00FD1B70" w:rsidRDefault="005F4C09" w14:paraId="1803A22B" w14:textId="77777777">
      <w:pPr>
        <w:rPr>
          <w:i/>
        </w:rPr>
      </w:pPr>
      <w:r>
        <w:rPr>
          <w:i/>
        </w:rPr>
        <w:t>Virtual s</w:t>
      </w:r>
      <w:r w:rsidR="00FE6DF7">
        <w:rPr>
          <w:i/>
        </w:rPr>
        <w:t>ite visits</w:t>
      </w:r>
    </w:p>
    <w:p w:rsidRPr="009F3714" w:rsidR="00FE6DF7" w:rsidP="00FE6DF7" w:rsidRDefault="00FE6DF7" w14:paraId="5E71050E" w14:textId="77777777">
      <w:pPr>
        <w:rPr>
          <w:sz w:val="22"/>
        </w:rPr>
      </w:pPr>
      <w:r w:rsidRPr="009F3714">
        <w:rPr>
          <w:sz w:val="22"/>
        </w:rPr>
        <w:t xml:space="preserve">Strategies to ensure that the data are reliable and as complete as possible include flexibility in scheduling of visits and the assurance given to respondents of privacy of the information they provide. Furthermore, </w:t>
      </w:r>
      <w:r w:rsidRPr="009F3714">
        <w:rPr>
          <w:sz w:val="22"/>
        </w:rPr>
        <w:lastRenderedPageBreak/>
        <w:t xml:space="preserve">the neutral tone of the questions in the data collection protocols and the absence of sensitive questions, along with the training of the site visitors, will facilitate a high degree of accuracy in the data. </w:t>
      </w:r>
    </w:p>
    <w:p w:rsidRPr="00FE6DF7" w:rsidR="00FE6DF7" w:rsidP="00FD1B70" w:rsidRDefault="00FE6DF7" w14:paraId="30DBC4FA" w14:textId="77777777">
      <w:pPr>
        <w:rPr>
          <w:i/>
        </w:rPr>
      </w:pPr>
    </w:p>
    <w:p w:rsidRPr="00FE6DF7" w:rsidR="00FE6DF7" w:rsidP="00FD1B70" w:rsidRDefault="00FE6DF7" w14:paraId="7A206AF5" w14:textId="77777777">
      <w:pPr>
        <w:rPr>
          <w:i/>
        </w:rPr>
      </w:pPr>
    </w:p>
    <w:p w:rsidR="00E05A0A" w:rsidP="00E8537F" w:rsidRDefault="00E05A0A" w14:paraId="48B4256D" w14:textId="77777777">
      <w:pPr>
        <w:pStyle w:val="Heading1"/>
      </w:pPr>
      <w:bookmarkStart w:name="_Toc512605833" w:id="5"/>
      <w:r>
        <w:t>B4. Tests of Procedures or Methods to be Undertaken</w:t>
      </w:r>
      <w:bookmarkEnd w:id="5"/>
    </w:p>
    <w:p w:rsidR="00F20419" w:rsidP="002F650E" w:rsidRDefault="00235361" w14:paraId="420C9A25" w14:textId="77777777">
      <w:pPr>
        <w:shd w:val="clear" w:color="auto" w:fill="FFFFFF"/>
        <w:rPr>
          <w:sz w:val="22"/>
        </w:rPr>
      </w:pPr>
      <w:r w:rsidRPr="00ED372A">
        <w:rPr>
          <w:sz w:val="22"/>
        </w:rPr>
        <w:t>During the review period of the request for OMB clearance, the study team complete</w:t>
      </w:r>
      <w:r w:rsidR="00E90F53">
        <w:rPr>
          <w:sz w:val="22"/>
        </w:rPr>
        <w:t>d</w:t>
      </w:r>
      <w:r w:rsidRPr="00ED372A">
        <w:rPr>
          <w:sz w:val="22"/>
        </w:rPr>
        <w:t xml:space="preserve"> a pilot test of the </w:t>
      </w:r>
      <w:r w:rsidR="00424E32">
        <w:rPr>
          <w:sz w:val="22"/>
        </w:rPr>
        <w:t xml:space="preserve">Discussion Guide with TANF </w:t>
      </w:r>
      <w:r w:rsidR="006F3939">
        <w:rPr>
          <w:sz w:val="22"/>
        </w:rPr>
        <w:t>S</w:t>
      </w:r>
      <w:r w:rsidR="00424E32">
        <w:rPr>
          <w:sz w:val="22"/>
        </w:rPr>
        <w:t>taff and the Discussion Guide for Staff at CoCs/Partner Organizations</w:t>
      </w:r>
      <w:r w:rsidRPr="00ED372A" w:rsidR="00D6080D">
        <w:rPr>
          <w:sz w:val="22"/>
        </w:rPr>
        <w:t xml:space="preserve"> at one location with </w:t>
      </w:r>
      <w:r w:rsidR="006D392F">
        <w:rPr>
          <w:sz w:val="22"/>
        </w:rPr>
        <w:t xml:space="preserve">nine or fewer </w:t>
      </w:r>
      <w:r w:rsidRPr="00ED372A" w:rsidR="00D6080D">
        <w:rPr>
          <w:sz w:val="22"/>
        </w:rPr>
        <w:t>individuals. Abt staff also pilot test</w:t>
      </w:r>
      <w:r w:rsidR="00042DEF">
        <w:rPr>
          <w:sz w:val="22"/>
        </w:rPr>
        <w:t>ed</w:t>
      </w:r>
      <w:r w:rsidRPr="00ED372A">
        <w:rPr>
          <w:sz w:val="22"/>
        </w:rPr>
        <w:t xml:space="preserve"> the </w:t>
      </w:r>
      <w:r w:rsidR="00424E32">
        <w:rPr>
          <w:sz w:val="22"/>
        </w:rPr>
        <w:t>TANF Administrator Web Survey instrument</w:t>
      </w:r>
      <w:r w:rsidRPr="00ED372A">
        <w:rPr>
          <w:sz w:val="22"/>
        </w:rPr>
        <w:t xml:space="preserve"> with two TANF administrators via telephone</w:t>
      </w:r>
      <w:r w:rsidR="00042DEF">
        <w:rPr>
          <w:sz w:val="22"/>
        </w:rPr>
        <w:t xml:space="preserve"> during</w:t>
      </w:r>
      <w:r w:rsidR="00A10C11">
        <w:rPr>
          <w:sz w:val="22"/>
        </w:rPr>
        <w:t xml:space="preserve"> </w:t>
      </w:r>
      <w:r w:rsidR="00D1697D">
        <w:rPr>
          <w:sz w:val="22"/>
        </w:rPr>
        <w:t>fall</w:t>
      </w:r>
      <w:r w:rsidRPr="00ED372A" w:rsidR="00D6080D">
        <w:rPr>
          <w:sz w:val="22"/>
        </w:rPr>
        <w:t xml:space="preserve"> 2018.</w:t>
      </w:r>
    </w:p>
    <w:p w:rsidR="00A57BB7" w:rsidP="002F650E" w:rsidRDefault="00A57BB7" w14:paraId="78824538" w14:textId="77777777">
      <w:pPr>
        <w:shd w:val="clear" w:color="auto" w:fill="FFFFFF"/>
        <w:rPr>
          <w:sz w:val="22"/>
        </w:rPr>
      </w:pPr>
    </w:p>
    <w:p w:rsidRPr="00ED372A" w:rsidR="00A57BB7" w:rsidP="002F650E" w:rsidRDefault="00A57BB7" w14:paraId="38A675FF" w14:textId="77777777">
      <w:pPr>
        <w:shd w:val="clear" w:color="auto" w:fill="FFFFFF"/>
        <w:rPr>
          <w:sz w:val="22"/>
        </w:rPr>
      </w:pPr>
      <w:r>
        <w:rPr>
          <w:sz w:val="22"/>
        </w:rPr>
        <w:t>During our pilot test, the research team accommodate</w:t>
      </w:r>
      <w:r w:rsidR="00042DEF">
        <w:rPr>
          <w:sz w:val="22"/>
        </w:rPr>
        <w:t>d</w:t>
      </w:r>
      <w:r>
        <w:rPr>
          <w:sz w:val="22"/>
        </w:rPr>
        <w:t xml:space="preserve"> </w:t>
      </w:r>
      <w:r w:rsidR="00042DEF">
        <w:rPr>
          <w:sz w:val="22"/>
        </w:rPr>
        <w:t xml:space="preserve">case managers’ </w:t>
      </w:r>
      <w:r>
        <w:rPr>
          <w:sz w:val="22"/>
        </w:rPr>
        <w:t>existing schedules</w:t>
      </w:r>
      <w:r w:rsidR="00042DEF">
        <w:rPr>
          <w:sz w:val="22"/>
        </w:rPr>
        <w:t xml:space="preserve"> to make participation more convenient.</w:t>
      </w:r>
      <w:r>
        <w:rPr>
          <w:sz w:val="22"/>
        </w:rPr>
        <w:t xml:space="preserve"> </w:t>
      </w:r>
      <w:r w:rsidR="00042DEF">
        <w:rPr>
          <w:sz w:val="22"/>
        </w:rPr>
        <w:t xml:space="preserve">Further, the team </w:t>
      </w:r>
      <w:r>
        <w:rPr>
          <w:sz w:val="22"/>
        </w:rPr>
        <w:t xml:space="preserve">interviewed case managers in pairs for minimal disruption to their day. The interviews took between </w:t>
      </w:r>
      <w:r w:rsidR="00FE6DF7">
        <w:rPr>
          <w:sz w:val="22"/>
        </w:rPr>
        <w:t>60-90 minutes to complete. The site visit team was able to interview staff from all partner organizations and the CoC and had no problems scheduling these meetings.</w:t>
      </w:r>
      <w:r w:rsidR="00AF7999">
        <w:rPr>
          <w:sz w:val="22"/>
        </w:rPr>
        <w:t xml:space="preserve"> The site visit team will offer maximum flexibility for scheduling the remote interviews to ensure they are convenient for participating staff.</w:t>
      </w:r>
    </w:p>
    <w:p w:rsidRPr="00FD1B70" w:rsidR="00F20419" w:rsidP="002F650E" w:rsidRDefault="00F20419" w14:paraId="65098CD4" w14:textId="77777777">
      <w:pPr>
        <w:shd w:val="clear" w:color="auto" w:fill="FFFFFF"/>
      </w:pPr>
    </w:p>
    <w:p w:rsidR="00E05A0A" w:rsidP="00E8537F" w:rsidRDefault="00E05A0A" w14:paraId="3A6C8F03" w14:textId="77777777">
      <w:pPr>
        <w:pStyle w:val="Heading1"/>
      </w:pPr>
      <w:bookmarkStart w:name="_Toc512605834" w:id="6"/>
      <w:r>
        <w:t xml:space="preserve">B5. </w:t>
      </w:r>
      <w:r w:rsidR="0008315A">
        <w:t>Individual(s)</w:t>
      </w:r>
      <w:r>
        <w:t xml:space="preserve"> Consulted on Statistical Aspects and Individuals Collecting and/or Analyzing Data</w:t>
      </w:r>
      <w:bookmarkEnd w:id="6"/>
    </w:p>
    <w:p w:rsidRPr="00500E3F" w:rsidR="00500E3F" w:rsidP="00F00541" w:rsidRDefault="00500E3F" w14:paraId="71B73270" w14:textId="77777777">
      <w:pPr>
        <w:pStyle w:val="Caption"/>
        <w:rPr>
          <w:rFonts w:ascii="Times New Roman" w:hAnsi="Times New Roman"/>
          <w:b w:val="0"/>
        </w:rPr>
      </w:pPr>
      <w:r>
        <w:rPr>
          <w:rFonts w:ascii="Times New Roman" w:hAnsi="Times New Roman"/>
          <w:b w:val="0"/>
        </w:rPr>
        <w:t>The individuals listed in Exhibit B-1 are contributing to the design of the study:</w:t>
      </w:r>
    </w:p>
    <w:p w:rsidRPr="0005784F" w:rsidR="00F00541" w:rsidP="00F00541" w:rsidRDefault="00F00541" w14:paraId="1C16F66A" w14:textId="77777777">
      <w:pPr>
        <w:pStyle w:val="Caption"/>
      </w:pPr>
      <w:r w:rsidRPr="008A2D40">
        <w:t>Exhibit B-1: Individuals Consulted</w:t>
      </w:r>
    </w:p>
    <w:tbl>
      <w:tblPr>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2503"/>
        <w:gridCol w:w="3425"/>
        <w:gridCol w:w="3134"/>
      </w:tblGrid>
      <w:tr w:rsidRPr="00D61ED2" w:rsidR="00F00541" w:rsidTr="00857AF4" w14:paraId="376A8196" w14:textId="77777777">
        <w:trPr>
          <w:tblHeader/>
          <w:jc w:val="center"/>
        </w:trPr>
        <w:tc>
          <w:tcPr>
            <w:tcW w:w="1381" w:type="pct"/>
            <w:shd w:val="clear" w:color="auto" w:fill="1F497D"/>
          </w:tcPr>
          <w:p w:rsidRPr="00680E34" w:rsidR="00F00541" w:rsidP="00911F43" w:rsidRDefault="00F00541" w14:paraId="37F80093" w14:textId="77777777">
            <w:pPr>
              <w:pStyle w:val="ExhibitColumnHeader"/>
              <w:rPr>
                <w:color w:val="FFFFFF"/>
              </w:rPr>
            </w:pPr>
            <w:r w:rsidRPr="00680E34">
              <w:br w:type="page"/>
            </w:r>
            <w:r w:rsidRPr="00680E34">
              <w:rPr>
                <w:color w:val="FFFFFF"/>
              </w:rPr>
              <w:t>Individual</w:t>
            </w:r>
          </w:p>
        </w:tc>
        <w:tc>
          <w:tcPr>
            <w:tcW w:w="1890" w:type="pct"/>
            <w:shd w:val="clear" w:color="auto" w:fill="1F497D"/>
          </w:tcPr>
          <w:p w:rsidRPr="00680E34" w:rsidR="00F00541" w:rsidP="00911F43" w:rsidRDefault="00F00541" w14:paraId="403AC67E" w14:textId="77777777">
            <w:pPr>
              <w:pStyle w:val="ExhibitColumnHeader"/>
              <w:rPr>
                <w:color w:val="FFFFFF"/>
              </w:rPr>
            </w:pPr>
            <w:r w:rsidRPr="00680E34">
              <w:rPr>
                <w:color w:val="FFFFFF"/>
              </w:rPr>
              <w:t>Affiliation</w:t>
            </w:r>
          </w:p>
        </w:tc>
        <w:tc>
          <w:tcPr>
            <w:tcW w:w="1729" w:type="pct"/>
            <w:shd w:val="clear" w:color="auto" w:fill="1F497D"/>
          </w:tcPr>
          <w:p w:rsidRPr="00680E34" w:rsidR="00F00541" w:rsidP="00911F43" w:rsidRDefault="00F00541" w14:paraId="29DDA75E" w14:textId="77777777">
            <w:pPr>
              <w:pStyle w:val="ExhibitColumnHeader"/>
              <w:rPr>
                <w:color w:val="FFFFFF"/>
              </w:rPr>
            </w:pPr>
            <w:r w:rsidRPr="00680E34">
              <w:rPr>
                <w:color w:val="FFFFFF"/>
              </w:rPr>
              <w:t>Role in Study</w:t>
            </w:r>
          </w:p>
        </w:tc>
      </w:tr>
      <w:tr w:rsidRPr="00D61ED2" w:rsidR="00F00541" w:rsidTr="00857AF4" w14:paraId="11DB702A" w14:textId="77777777">
        <w:trPr>
          <w:cantSplit/>
          <w:jc w:val="center"/>
        </w:trPr>
        <w:tc>
          <w:tcPr>
            <w:tcW w:w="1381" w:type="pct"/>
          </w:tcPr>
          <w:p w:rsidRPr="00D1697D" w:rsidR="00F00541" w:rsidP="00911F43" w:rsidRDefault="00F00541" w14:paraId="0BFA396D" w14:textId="77777777">
            <w:pPr>
              <w:pStyle w:val="Exhibit"/>
              <w:rPr>
                <w:rFonts w:cs="Arial"/>
                <w:sz w:val="20"/>
              </w:rPr>
            </w:pPr>
            <w:r w:rsidRPr="00D1697D">
              <w:rPr>
                <w:rFonts w:cs="Arial"/>
                <w:sz w:val="20"/>
              </w:rPr>
              <w:t>Mary Farrell</w:t>
            </w:r>
          </w:p>
        </w:tc>
        <w:tc>
          <w:tcPr>
            <w:tcW w:w="1890" w:type="pct"/>
          </w:tcPr>
          <w:p w:rsidRPr="00D1697D" w:rsidR="00F00541" w:rsidP="00911F43" w:rsidRDefault="00F00541" w14:paraId="1979CD96" w14:textId="77777777">
            <w:pPr>
              <w:pStyle w:val="Exhibit"/>
              <w:rPr>
                <w:rFonts w:cs="Arial"/>
                <w:sz w:val="20"/>
              </w:rPr>
            </w:pPr>
            <w:r w:rsidRPr="00D1697D">
              <w:rPr>
                <w:rFonts w:cs="Arial"/>
                <w:sz w:val="20"/>
              </w:rPr>
              <w:t>MEF Associates</w:t>
            </w:r>
          </w:p>
        </w:tc>
        <w:tc>
          <w:tcPr>
            <w:tcW w:w="1729" w:type="pct"/>
          </w:tcPr>
          <w:p w:rsidRPr="00D1697D" w:rsidR="00F00541" w:rsidP="00911F43" w:rsidRDefault="00F00541" w14:paraId="70D0B5CD" w14:textId="77777777">
            <w:pPr>
              <w:pStyle w:val="Exhibit"/>
              <w:rPr>
                <w:rFonts w:cs="Arial"/>
                <w:sz w:val="20"/>
              </w:rPr>
            </w:pPr>
            <w:r w:rsidRPr="00D1697D">
              <w:rPr>
                <w:rFonts w:cs="Arial"/>
                <w:sz w:val="20"/>
              </w:rPr>
              <w:t>Senior Advisor</w:t>
            </w:r>
          </w:p>
        </w:tc>
      </w:tr>
      <w:tr w:rsidRPr="00D61ED2" w:rsidR="00857AF4" w:rsidTr="00857AF4" w14:paraId="7CCC6812" w14:textId="77777777">
        <w:trPr>
          <w:cantSplit/>
          <w:jc w:val="center"/>
        </w:trPr>
        <w:tc>
          <w:tcPr>
            <w:tcW w:w="1381" w:type="pct"/>
          </w:tcPr>
          <w:p w:rsidRPr="00D1697D" w:rsidR="00857AF4" w:rsidP="00911F43" w:rsidRDefault="00857AF4" w14:paraId="2A6AA3F2" w14:textId="77777777">
            <w:pPr>
              <w:pStyle w:val="Exhibit"/>
              <w:rPr>
                <w:rFonts w:cs="Arial"/>
                <w:sz w:val="20"/>
              </w:rPr>
            </w:pPr>
            <w:r w:rsidRPr="00D1697D">
              <w:rPr>
                <w:rFonts w:cs="Arial"/>
                <w:sz w:val="20"/>
              </w:rPr>
              <w:t>Michelle Wood</w:t>
            </w:r>
          </w:p>
        </w:tc>
        <w:tc>
          <w:tcPr>
            <w:tcW w:w="1890" w:type="pct"/>
          </w:tcPr>
          <w:p w:rsidRPr="00D1697D" w:rsidR="00857AF4" w:rsidP="00911F43" w:rsidRDefault="00857AF4" w14:paraId="58204697" w14:textId="77777777">
            <w:pPr>
              <w:pStyle w:val="Exhibit"/>
              <w:rPr>
                <w:rFonts w:cs="Arial"/>
                <w:sz w:val="20"/>
              </w:rPr>
            </w:pPr>
            <w:r w:rsidRPr="00D1697D">
              <w:rPr>
                <w:rFonts w:cs="Arial"/>
                <w:sz w:val="20"/>
              </w:rPr>
              <w:t>Abt Associates</w:t>
            </w:r>
          </w:p>
        </w:tc>
        <w:tc>
          <w:tcPr>
            <w:tcW w:w="1729" w:type="pct"/>
          </w:tcPr>
          <w:p w:rsidRPr="00D1697D" w:rsidR="00857AF4" w:rsidP="00911F43" w:rsidRDefault="00857AF4" w14:paraId="6940FA3A" w14:textId="77777777">
            <w:pPr>
              <w:pStyle w:val="Exhibit"/>
              <w:rPr>
                <w:rFonts w:cs="Arial"/>
                <w:sz w:val="20"/>
              </w:rPr>
            </w:pPr>
            <w:r w:rsidRPr="00D1697D">
              <w:rPr>
                <w:rFonts w:cs="Arial"/>
                <w:sz w:val="20"/>
              </w:rPr>
              <w:t>Senior Advisor</w:t>
            </w:r>
          </w:p>
        </w:tc>
      </w:tr>
      <w:tr w:rsidRPr="00D61ED2" w:rsidR="00857AF4" w:rsidTr="00857AF4" w14:paraId="7011ABCA" w14:textId="77777777">
        <w:trPr>
          <w:cantSplit/>
          <w:jc w:val="center"/>
        </w:trPr>
        <w:tc>
          <w:tcPr>
            <w:tcW w:w="1381" w:type="pct"/>
          </w:tcPr>
          <w:p w:rsidRPr="00D1697D" w:rsidR="00857AF4" w:rsidP="00911F43" w:rsidRDefault="00857AF4" w14:paraId="48C1750C" w14:textId="77777777">
            <w:pPr>
              <w:pStyle w:val="Exhibit"/>
              <w:rPr>
                <w:rFonts w:cs="Arial"/>
                <w:sz w:val="20"/>
              </w:rPr>
            </w:pPr>
            <w:r w:rsidRPr="00D1697D">
              <w:rPr>
                <w:rFonts w:cs="Arial"/>
                <w:sz w:val="20"/>
              </w:rPr>
              <w:t>Lauren Dunton</w:t>
            </w:r>
          </w:p>
        </w:tc>
        <w:tc>
          <w:tcPr>
            <w:tcW w:w="1890" w:type="pct"/>
          </w:tcPr>
          <w:p w:rsidRPr="00D1697D" w:rsidR="00857AF4" w:rsidP="00911F43" w:rsidRDefault="00857AF4" w14:paraId="40B42699" w14:textId="77777777">
            <w:pPr>
              <w:pStyle w:val="Exhibit"/>
              <w:rPr>
                <w:rFonts w:cs="Arial"/>
                <w:sz w:val="20"/>
              </w:rPr>
            </w:pPr>
            <w:r w:rsidRPr="00D1697D">
              <w:rPr>
                <w:rFonts w:cs="Arial"/>
                <w:sz w:val="20"/>
              </w:rPr>
              <w:t>Abt Associates</w:t>
            </w:r>
          </w:p>
        </w:tc>
        <w:tc>
          <w:tcPr>
            <w:tcW w:w="1729" w:type="pct"/>
          </w:tcPr>
          <w:p w:rsidRPr="00D1697D" w:rsidR="00857AF4" w:rsidP="00911F43" w:rsidRDefault="00857AF4" w14:paraId="5A39A23C" w14:textId="77777777">
            <w:pPr>
              <w:pStyle w:val="Exhibit"/>
              <w:rPr>
                <w:rFonts w:cs="Arial"/>
                <w:sz w:val="20"/>
              </w:rPr>
            </w:pPr>
            <w:r w:rsidRPr="00D1697D">
              <w:rPr>
                <w:rFonts w:cs="Arial"/>
                <w:sz w:val="20"/>
              </w:rPr>
              <w:t>Project Director</w:t>
            </w:r>
          </w:p>
        </w:tc>
      </w:tr>
      <w:tr w:rsidRPr="00D61ED2" w:rsidR="00857AF4" w:rsidTr="00857AF4" w14:paraId="06202ADE" w14:textId="77777777">
        <w:trPr>
          <w:cantSplit/>
          <w:jc w:val="center"/>
        </w:trPr>
        <w:tc>
          <w:tcPr>
            <w:tcW w:w="1381" w:type="pct"/>
          </w:tcPr>
          <w:p w:rsidRPr="00D1697D" w:rsidR="00857AF4" w:rsidP="00911F43" w:rsidRDefault="00857AF4" w14:paraId="70F855F9" w14:textId="77777777">
            <w:pPr>
              <w:pStyle w:val="Exhibit"/>
              <w:rPr>
                <w:rFonts w:cs="Arial"/>
                <w:sz w:val="20"/>
              </w:rPr>
            </w:pPr>
            <w:r w:rsidRPr="00D1697D">
              <w:rPr>
                <w:rFonts w:cs="Arial"/>
                <w:sz w:val="20"/>
              </w:rPr>
              <w:t>Robin Koralek</w:t>
            </w:r>
          </w:p>
        </w:tc>
        <w:tc>
          <w:tcPr>
            <w:tcW w:w="1890" w:type="pct"/>
          </w:tcPr>
          <w:p w:rsidRPr="00D1697D" w:rsidR="00857AF4" w:rsidP="00911F43" w:rsidRDefault="00857AF4" w14:paraId="02071963" w14:textId="77777777">
            <w:pPr>
              <w:pStyle w:val="Exhibit"/>
              <w:rPr>
                <w:rFonts w:cs="Arial"/>
                <w:sz w:val="20"/>
              </w:rPr>
            </w:pPr>
            <w:r w:rsidRPr="00D1697D">
              <w:rPr>
                <w:rFonts w:cs="Arial"/>
                <w:sz w:val="20"/>
              </w:rPr>
              <w:t>Abt Associates</w:t>
            </w:r>
          </w:p>
        </w:tc>
        <w:tc>
          <w:tcPr>
            <w:tcW w:w="1729" w:type="pct"/>
          </w:tcPr>
          <w:p w:rsidRPr="00D1697D" w:rsidR="00857AF4" w:rsidP="00911F43" w:rsidRDefault="00857AF4" w14:paraId="65659C0A" w14:textId="77777777">
            <w:pPr>
              <w:pStyle w:val="Exhibit"/>
              <w:rPr>
                <w:rFonts w:cs="Arial"/>
                <w:sz w:val="20"/>
              </w:rPr>
            </w:pPr>
            <w:r w:rsidRPr="00D1697D">
              <w:rPr>
                <w:rFonts w:cs="Arial"/>
                <w:sz w:val="20"/>
              </w:rPr>
              <w:t>Project Quality Advisor</w:t>
            </w:r>
          </w:p>
        </w:tc>
      </w:tr>
      <w:tr w:rsidRPr="00D61ED2" w:rsidR="00857AF4" w:rsidTr="00857AF4" w14:paraId="265470DD" w14:textId="77777777">
        <w:trPr>
          <w:cantSplit/>
          <w:jc w:val="center"/>
        </w:trPr>
        <w:tc>
          <w:tcPr>
            <w:tcW w:w="1381" w:type="pct"/>
          </w:tcPr>
          <w:p w:rsidRPr="00D1697D" w:rsidR="00857AF4" w:rsidP="00911F43" w:rsidRDefault="00500E3F" w14:paraId="1B193B1A" w14:textId="77777777">
            <w:pPr>
              <w:pStyle w:val="Exhibit"/>
              <w:rPr>
                <w:rFonts w:cs="Arial"/>
                <w:sz w:val="20"/>
              </w:rPr>
            </w:pPr>
            <w:r w:rsidRPr="00D1697D">
              <w:rPr>
                <w:rFonts w:cs="Arial"/>
                <w:sz w:val="20"/>
              </w:rPr>
              <w:t>Rachel Cook</w:t>
            </w:r>
          </w:p>
        </w:tc>
        <w:tc>
          <w:tcPr>
            <w:tcW w:w="1890" w:type="pct"/>
          </w:tcPr>
          <w:p w:rsidRPr="00D1697D" w:rsidR="00857AF4" w:rsidP="00911F43" w:rsidRDefault="00500E3F" w14:paraId="31FD0D9E" w14:textId="77777777">
            <w:pPr>
              <w:pStyle w:val="Exhibit"/>
              <w:rPr>
                <w:rFonts w:cs="Arial"/>
                <w:sz w:val="20"/>
              </w:rPr>
            </w:pPr>
            <w:r w:rsidRPr="00D1697D">
              <w:rPr>
                <w:rFonts w:cs="Arial"/>
                <w:sz w:val="20"/>
              </w:rPr>
              <w:t>Abt Associates</w:t>
            </w:r>
          </w:p>
        </w:tc>
        <w:tc>
          <w:tcPr>
            <w:tcW w:w="1729" w:type="pct"/>
          </w:tcPr>
          <w:p w:rsidRPr="00D1697D" w:rsidR="00857AF4" w:rsidP="00911F43" w:rsidRDefault="00500E3F" w14:paraId="54003094" w14:textId="77777777">
            <w:pPr>
              <w:pStyle w:val="Exhibit"/>
              <w:rPr>
                <w:rFonts w:cs="Arial"/>
                <w:sz w:val="20"/>
              </w:rPr>
            </w:pPr>
            <w:r w:rsidRPr="00D1697D">
              <w:rPr>
                <w:rFonts w:cs="Arial"/>
                <w:sz w:val="20"/>
              </w:rPr>
              <w:t>Site Visit Task Leader</w:t>
            </w:r>
          </w:p>
        </w:tc>
      </w:tr>
      <w:tr w:rsidRPr="00D61ED2" w:rsidR="00A72397" w:rsidTr="00857AF4" w14:paraId="5BBD9A08" w14:textId="77777777">
        <w:trPr>
          <w:cantSplit/>
          <w:jc w:val="center"/>
        </w:trPr>
        <w:tc>
          <w:tcPr>
            <w:tcW w:w="1381" w:type="pct"/>
          </w:tcPr>
          <w:p w:rsidRPr="00D1697D" w:rsidR="00A72397" w:rsidP="00911F43" w:rsidRDefault="006A5B44" w14:paraId="107A929F" w14:textId="77777777">
            <w:pPr>
              <w:pStyle w:val="Exhibit"/>
              <w:rPr>
                <w:rFonts w:cs="Arial"/>
                <w:sz w:val="20"/>
              </w:rPr>
            </w:pPr>
            <w:r>
              <w:rPr>
                <w:rFonts w:cs="Arial"/>
                <w:sz w:val="20"/>
              </w:rPr>
              <w:t>Girley Wright</w:t>
            </w:r>
          </w:p>
        </w:tc>
        <w:tc>
          <w:tcPr>
            <w:tcW w:w="1890" w:type="pct"/>
          </w:tcPr>
          <w:p w:rsidRPr="00D1697D" w:rsidR="00A72397" w:rsidP="00911F43" w:rsidRDefault="00353681" w14:paraId="4957AA6A" w14:textId="77777777">
            <w:pPr>
              <w:pStyle w:val="Exhibit"/>
              <w:rPr>
                <w:rFonts w:cs="Arial"/>
                <w:sz w:val="20"/>
              </w:rPr>
            </w:pPr>
            <w:r w:rsidRPr="00D1697D">
              <w:rPr>
                <w:rFonts w:cs="Arial"/>
                <w:sz w:val="20"/>
              </w:rPr>
              <w:t>Office of Planning, Research, and Evaluation</w:t>
            </w:r>
          </w:p>
        </w:tc>
        <w:tc>
          <w:tcPr>
            <w:tcW w:w="1729" w:type="pct"/>
          </w:tcPr>
          <w:p w:rsidRPr="00D1697D" w:rsidR="00A72397" w:rsidP="00A72397" w:rsidRDefault="00353681" w14:paraId="43317761" w14:textId="77777777">
            <w:pPr>
              <w:pStyle w:val="Exhibit"/>
              <w:rPr>
                <w:rFonts w:cs="Arial"/>
                <w:sz w:val="20"/>
              </w:rPr>
            </w:pPr>
            <w:r w:rsidRPr="00D1697D">
              <w:rPr>
                <w:rFonts w:cs="Arial"/>
                <w:sz w:val="20"/>
              </w:rPr>
              <w:t>Project Officer</w:t>
            </w:r>
          </w:p>
        </w:tc>
      </w:tr>
      <w:tr w:rsidRPr="00D61ED2" w:rsidR="00A72397" w:rsidTr="00857AF4" w14:paraId="174EFB41" w14:textId="77777777">
        <w:trPr>
          <w:cantSplit/>
          <w:jc w:val="center"/>
        </w:trPr>
        <w:tc>
          <w:tcPr>
            <w:tcW w:w="1381" w:type="pct"/>
          </w:tcPr>
          <w:p w:rsidRPr="00D1697D" w:rsidR="00A72397" w:rsidP="00911F43" w:rsidRDefault="00A72397" w14:paraId="13CAFDED" w14:textId="77777777">
            <w:pPr>
              <w:pStyle w:val="Exhibit"/>
              <w:rPr>
                <w:rFonts w:cs="Arial"/>
                <w:sz w:val="20"/>
              </w:rPr>
            </w:pPr>
            <w:r w:rsidRPr="00D1697D">
              <w:rPr>
                <w:rFonts w:cs="Arial"/>
                <w:sz w:val="20"/>
              </w:rPr>
              <w:t>Lauren Deutsch</w:t>
            </w:r>
          </w:p>
        </w:tc>
        <w:tc>
          <w:tcPr>
            <w:tcW w:w="1890" w:type="pct"/>
          </w:tcPr>
          <w:p w:rsidRPr="00D1697D" w:rsidR="00A72397" w:rsidP="006A5B44" w:rsidRDefault="00353681" w14:paraId="6D7C187B" w14:textId="77777777">
            <w:pPr>
              <w:pStyle w:val="Exhibit"/>
              <w:rPr>
                <w:rFonts w:cs="Arial"/>
                <w:sz w:val="20"/>
              </w:rPr>
            </w:pPr>
            <w:r w:rsidRPr="00D1697D">
              <w:rPr>
                <w:rFonts w:cs="Arial"/>
                <w:sz w:val="20"/>
              </w:rPr>
              <w:t>Office of Planning, Research, and Evaluation</w:t>
            </w:r>
          </w:p>
        </w:tc>
        <w:tc>
          <w:tcPr>
            <w:tcW w:w="1729" w:type="pct"/>
          </w:tcPr>
          <w:p w:rsidRPr="00D1697D" w:rsidR="00A72397" w:rsidP="00A72397" w:rsidRDefault="00424E32" w14:paraId="4CC4070A" w14:textId="77777777">
            <w:pPr>
              <w:pStyle w:val="Exhibit"/>
              <w:rPr>
                <w:rFonts w:cs="Arial"/>
                <w:sz w:val="20"/>
              </w:rPr>
            </w:pPr>
            <w:r w:rsidRPr="00D1697D">
              <w:rPr>
                <w:rFonts w:cs="Arial"/>
                <w:sz w:val="20"/>
              </w:rPr>
              <w:t>Study staff</w:t>
            </w:r>
          </w:p>
        </w:tc>
      </w:tr>
      <w:tr w:rsidRPr="00D61ED2" w:rsidR="00856B0C" w:rsidTr="00857AF4" w14:paraId="684944A8" w14:textId="77777777">
        <w:trPr>
          <w:cantSplit/>
          <w:jc w:val="center"/>
        </w:trPr>
        <w:tc>
          <w:tcPr>
            <w:tcW w:w="1381" w:type="pct"/>
          </w:tcPr>
          <w:p w:rsidRPr="00D1697D" w:rsidR="00856B0C" w:rsidP="00911F43" w:rsidRDefault="00856B0C" w14:paraId="4C09A050" w14:textId="77777777">
            <w:pPr>
              <w:pStyle w:val="Exhibit"/>
              <w:rPr>
                <w:rFonts w:cs="Arial"/>
                <w:sz w:val="20"/>
              </w:rPr>
            </w:pPr>
            <w:r w:rsidRPr="00D1697D">
              <w:rPr>
                <w:rFonts w:cs="Arial"/>
                <w:sz w:val="20"/>
              </w:rPr>
              <w:t>Kathleen Moore</w:t>
            </w:r>
          </w:p>
        </w:tc>
        <w:tc>
          <w:tcPr>
            <w:tcW w:w="1890" w:type="pct"/>
          </w:tcPr>
          <w:p w:rsidRPr="00D1697D" w:rsidR="00856B0C" w:rsidP="006A5B44" w:rsidRDefault="00353681" w14:paraId="285803A4" w14:textId="77777777">
            <w:pPr>
              <w:pStyle w:val="Exhibit"/>
              <w:rPr>
                <w:rFonts w:cs="Arial"/>
                <w:sz w:val="20"/>
              </w:rPr>
            </w:pPr>
            <w:r w:rsidRPr="00D1697D">
              <w:rPr>
                <w:rFonts w:cs="Arial"/>
                <w:sz w:val="20"/>
              </w:rPr>
              <w:t>Office of Planning, Research, and Evaluation</w:t>
            </w:r>
          </w:p>
        </w:tc>
        <w:tc>
          <w:tcPr>
            <w:tcW w:w="1729" w:type="pct"/>
          </w:tcPr>
          <w:p w:rsidRPr="00D1697D" w:rsidR="00856B0C" w:rsidP="00A72397" w:rsidRDefault="00856B0C" w14:paraId="5390779B" w14:textId="77777777">
            <w:pPr>
              <w:pStyle w:val="Exhibit"/>
              <w:rPr>
                <w:rFonts w:cs="Arial"/>
                <w:sz w:val="20"/>
              </w:rPr>
            </w:pPr>
            <w:r w:rsidRPr="00D1697D">
              <w:rPr>
                <w:rFonts w:cs="Arial"/>
                <w:sz w:val="20"/>
              </w:rPr>
              <w:t>Study staff</w:t>
            </w:r>
          </w:p>
        </w:tc>
      </w:tr>
      <w:tr w:rsidRPr="00D61ED2" w:rsidR="00857AF4" w:rsidTr="00857AF4" w14:paraId="2AD06F10" w14:textId="77777777">
        <w:trPr>
          <w:cantSplit/>
          <w:jc w:val="center"/>
        </w:trPr>
        <w:tc>
          <w:tcPr>
            <w:tcW w:w="1381" w:type="pct"/>
          </w:tcPr>
          <w:p w:rsidRPr="00D1697D" w:rsidR="00857AF4" w:rsidP="00911F43" w:rsidRDefault="00500E3F" w14:paraId="5DDBC895" w14:textId="77777777">
            <w:pPr>
              <w:pStyle w:val="Exhibit"/>
              <w:rPr>
                <w:rFonts w:cs="Arial"/>
                <w:sz w:val="20"/>
              </w:rPr>
            </w:pPr>
            <w:r w:rsidRPr="00D1697D">
              <w:rPr>
                <w:rFonts w:cs="Arial"/>
                <w:sz w:val="20"/>
              </w:rPr>
              <w:t>Kate Probert</w:t>
            </w:r>
          </w:p>
        </w:tc>
        <w:tc>
          <w:tcPr>
            <w:tcW w:w="1890" w:type="pct"/>
          </w:tcPr>
          <w:p w:rsidRPr="00D1697D" w:rsidR="00857AF4" w:rsidP="00911F43" w:rsidRDefault="00500E3F" w14:paraId="53AAD704" w14:textId="77777777">
            <w:pPr>
              <w:pStyle w:val="Exhibit"/>
              <w:rPr>
                <w:rFonts w:cs="Arial"/>
                <w:sz w:val="20"/>
              </w:rPr>
            </w:pPr>
            <w:r w:rsidRPr="00D1697D">
              <w:rPr>
                <w:rFonts w:cs="Arial"/>
                <w:sz w:val="20"/>
              </w:rPr>
              <w:t>NASTA</w:t>
            </w:r>
          </w:p>
        </w:tc>
        <w:tc>
          <w:tcPr>
            <w:tcW w:w="1729" w:type="pct"/>
          </w:tcPr>
          <w:p w:rsidRPr="00D1697D" w:rsidR="00857AF4" w:rsidP="00A72397" w:rsidRDefault="00500E3F" w14:paraId="5C079AF4" w14:textId="77777777">
            <w:pPr>
              <w:pStyle w:val="Exhibit"/>
              <w:rPr>
                <w:rFonts w:cs="Arial"/>
                <w:sz w:val="20"/>
              </w:rPr>
            </w:pPr>
            <w:r w:rsidRPr="00D1697D">
              <w:rPr>
                <w:rFonts w:cs="Arial"/>
                <w:sz w:val="20"/>
              </w:rPr>
              <w:t>Expert</w:t>
            </w:r>
            <w:r w:rsidRPr="00D1697D" w:rsidR="00902B11">
              <w:rPr>
                <w:rFonts w:cs="Arial"/>
                <w:sz w:val="20"/>
              </w:rPr>
              <w:t xml:space="preserve"> on</w:t>
            </w:r>
            <w:r w:rsidRPr="00D1697D" w:rsidR="00A72397">
              <w:rPr>
                <w:rFonts w:cs="Arial"/>
                <w:sz w:val="20"/>
              </w:rPr>
              <w:t xml:space="preserve"> TANF policy</w:t>
            </w:r>
          </w:p>
        </w:tc>
      </w:tr>
      <w:tr w:rsidRPr="00D61ED2" w:rsidR="00857AF4" w:rsidTr="00857AF4" w14:paraId="2A55EFA1" w14:textId="77777777">
        <w:trPr>
          <w:cantSplit/>
          <w:jc w:val="center"/>
        </w:trPr>
        <w:tc>
          <w:tcPr>
            <w:tcW w:w="1381" w:type="pct"/>
          </w:tcPr>
          <w:p w:rsidRPr="00D1697D" w:rsidR="00857AF4" w:rsidP="00911F43" w:rsidRDefault="00500E3F" w14:paraId="19418C49" w14:textId="77777777">
            <w:pPr>
              <w:pStyle w:val="Exhibit"/>
              <w:rPr>
                <w:rFonts w:cs="Arial"/>
                <w:sz w:val="20"/>
              </w:rPr>
            </w:pPr>
            <w:r w:rsidRPr="00D1697D">
              <w:rPr>
                <w:rFonts w:cs="Arial"/>
                <w:sz w:val="20"/>
              </w:rPr>
              <w:t>Sharon McDonald</w:t>
            </w:r>
          </w:p>
        </w:tc>
        <w:tc>
          <w:tcPr>
            <w:tcW w:w="1890" w:type="pct"/>
          </w:tcPr>
          <w:p w:rsidRPr="00D1697D" w:rsidR="00857AF4" w:rsidP="00911F43" w:rsidRDefault="00500E3F" w14:paraId="02AF8D56" w14:textId="77777777">
            <w:pPr>
              <w:pStyle w:val="Exhibit"/>
              <w:rPr>
                <w:rFonts w:cs="Arial"/>
                <w:sz w:val="20"/>
              </w:rPr>
            </w:pPr>
            <w:r w:rsidRPr="00D1697D">
              <w:rPr>
                <w:rFonts w:cs="Arial"/>
                <w:sz w:val="20"/>
              </w:rPr>
              <w:t>National Alliance to End Homelessness</w:t>
            </w:r>
          </w:p>
        </w:tc>
        <w:tc>
          <w:tcPr>
            <w:tcW w:w="1729" w:type="pct"/>
          </w:tcPr>
          <w:p w:rsidRPr="00D1697D" w:rsidR="00857AF4" w:rsidP="00A72397" w:rsidRDefault="00500E3F" w14:paraId="23CDD44A" w14:textId="77777777">
            <w:pPr>
              <w:pStyle w:val="Exhibit"/>
              <w:rPr>
                <w:rFonts w:cs="Arial"/>
                <w:sz w:val="20"/>
              </w:rPr>
            </w:pPr>
            <w:r w:rsidRPr="00D1697D">
              <w:rPr>
                <w:rFonts w:cs="Arial"/>
                <w:sz w:val="20"/>
              </w:rPr>
              <w:t>Expert</w:t>
            </w:r>
            <w:r w:rsidRPr="00D1697D" w:rsidR="00902B11">
              <w:rPr>
                <w:rFonts w:cs="Arial"/>
                <w:sz w:val="20"/>
              </w:rPr>
              <w:t xml:space="preserve"> on </w:t>
            </w:r>
            <w:r w:rsidRPr="00D1697D" w:rsidR="00A72397">
              <w:rPr>
                <w:rFonts w:cs="Arial"/>
                <w:sz w:val="20"/>
              </w:rPr>
              <w:t>homelessness</w:t>
            </w:r>
            <w:r w:rsidRPr="00D1697D" w:rsidR="00902B11">
              <w:rPr>
                <w:rFonts w:cs="Arial"/>
                <w:sz w:val="20"/>
              </w:rPr>
              <w:t xml:space="preserve"> </w:t>
            </w:r>
          </w:p>
        </w:tc>
      </w:tr>
      <w:tr w:rsidRPr="00D61ED2" w:rsidR="00857AF4" w:rsidTr="00857AF4" w14:paraId="436281F7" w14:textId="77777777">
        <w:trPr>
          <w:cantSplit/>
          <w:jc w:val="center"/>
        </w:trPr>
        <w:tc>
          <w:tcPr>
            <w:tcW w:w="1381" w:type="pct"/>
          </w:tcPr>
          <w:p w:rsidRPr="00D1697D" w:rsidR="00857AF4" w:rsidP="00911F43" w:rsidRDefault="00500E3F" w14:paraId="3DD6CEAD" w14:textId="77777777">
            <w:pPr>
              <w:pStyle w:val="Exhibit"/>
              <w:rPr>
                <w:rFonts w:cs="Arial"/>
                <w:sz w:val="20"/>
              </w:rPr>
            </w:pPr>
            <w:r w:rsidRPr="00D1697D">
              <w:rPr>
                <w:rFonts w:cs="Arial"/>
                <w:sz w:val="20"/>
              </w:rPr>
              <w:t>Elizabeth Lower-Basch</w:t>
            </w:r>
          </w:p>
        </w:tc>
        <w:tc>
          <w:tcPr>
            <w:tcW w:w="1890" w:type="pct"/>
          </w:tcPr>
          <w:p w:rsidRPr="00D1697D" w:rsidR="00857AF4" w:rsidP="00911F43" w:rsidRDefault="00500E3F" w14:paraId="74C39EDB" w14:textId="77777777">
            <w:pPr>
              <w:pStyle w:val="Exhibit"/>
              <w:rPr>
                <w:rFonts w:cs="Arial"/>
                <w:sz w:val="20"/>
              </w:rPr>
            </w:pPr>
            <w:r w:rsidRPr="00D1697D">
              <w:rPr>
                <w:rFonts w:cs="Arial"/>
                <w:sz w:val="20"/>
              </w:rPr>
              <w:t>Center for Law and Social Policy</w:t>
            </w:r>
          </w:p>
        </w:tc>
        <w:tc>
          <w:tcPr>
            <w:tcW w:w="1729" w:type="pct"/>
          </w:tcPr>
          <w:p w:rsidRPr="00D1697D" w:rsidR="00857AF4" w:rsidP="00911F43" w:rsidRDefault="00500E3F" w14:paraId="0FB239DD" w14:textId="77777777">
            <w:pPr>
              <w:pStyle w:val="Exhibit"/>
              <w:rPr>
                <w:rFonts w:cs="Arial"/>
                <w:sz w:val="20"/>
              </w:rPr>
            </w:pPr>
            <w:r w:rsidRPr="00D1697D">
              <w:rPr>
                <w:rFonts w:cs="Arial"/>
                <w:sz w:val="20"/>
              </w:rPr>
              <w:t>Expert</w:t>
            </w:r>
            <w:r w:rsidRPr="00D1697D" w:rsidR="00902B11">
              <w:rPr>
                <w:rFonts w:cs="Arial"/>
                <w:sz w:val="20"/>
              </w:rPr>
              <w:t xml:space="preserve"> on TANF policy</w:t>
            </w:r>
          </w:p>
        </w:tc>
      </w:tr>
      <w:tr w:rsidRPr="00D61ED2" w:rsidR="00857AF4" w:rsidTr="00857AF4" w14:paraId="21A6F149" w14:textId="77777777">
        <w:trPr>
          <w:cantSplit/>
          <w:jc w:val="center"/>
        </w:trPr>
        <w:tc>
          <w:tcPr>
            <w:tcW w:w="1381" w:type="pct"/>
          </w:tcPr>
          <w:p w:rsidRPr="00D1697D" w:rsidR="00857AF4" w:rsidP="00911F43" w:rsidRDefault="0044753C" w14:paraId="3520C0CA" w14:textId="77777777">
            <w:pPr>
              <w:pStyle w:val="Exhibit"/>
              <w:rPr>
                <w:rFonts w:cs="Arial"/>
                <w:sz w:val="20"/>
              </w:rPr>
            </w:pPr>
            <w:r w:rsidRPr="00D1697D">
              <w:rPr>
                <w:rFonts w:cs="Arial"/>
                <w:sz w:val="20"/>
              </w:rPr>
              <w:t>La</w:t>
            </w:r>
            <w:r w:rsidRPr="00D1697D" w:rsidR="00500E3F">
              <w:rPr>
                <w:rFonts w:cs="Arial"/>
                <w:sz w:val="20"/>
              </w:rPr>
              <w:t>Donna Pavetti</w:t>
            </w:r>
          </w:p>
        </w:tc>
        <w:tc>
          <w:tcPr>
            <w:tcW w:w="1890" w:type="pct"/>
          </w:tcPr>
          <w:p w:rsidRPr="00D1697D" w:rsidR="00857AF4" w:rsidP="00911F43" w:rsidRDefault="00500E3F" w14:paraId="4490D9FA" w14:textId="77777777">
            <w:pPr>
              <w:pStyle w:val="Exhibit"/>
              <w:rPr>
                <w:rFonts w:cs="Arial"/>
                <w:sz w:val="20"/>
              </w:rPr>
            </w:pPr>
            <w:r w:rsidRPr="00D1697D">
              <w:rPr>
                <w:rFonts w:cs="Arial"/>
                <w:sz w:val="20"/>
              </w:rPr>
              <w:t>Center on Budget and Policy Priorities</w:t>
            </w:r>
          </w:p>
        </w:tc>
        <w:tc>
          <w:tcPr>
            <w:tcW w:w="1729" w:type="pct"/>
          </w:tcPr>
          <w:p w:rsidRPr="00D1697D" w:rsidR="00857AF4" w:rsidP="00911F43" w:rsidRDefault="00500E3F" w14:paraId="04072870" w14:textId="77777777">
            <w:pPr>
              <w:pStyle w:val="Exhibit"/>
              <w:rPr>
                <w:rFonts w:cs="Arial"/>
                <w:sz w:val="20"/>
              </w:rPr>
            </w:pPr>
            <w:r w:rsidRPr="00D1697D">
              <w:rPr>
                <w:rFonts w:cs="Arial"/>
                <w:sz w:val="20"/>
              </w:rPr>
              <w:t>Expert</w:t>
            </w:r>
            <w:r w:rsidRPr="00D1697D" w:rsidR="00902B11">
              <w:rPr>
                <w:rFonts w:cs="Arial"/>
                <w:sz w:val="20"/>
              </w:rPr>
              <w:t xml:space="preserve"> on TANF policy</w:t>
            </w:r>
          </w:p>
        </w:tc>
      </w:tr>
    </w:tbl>
    <w:p w:rsidR="00F00541" w:rsidP="00F00541" w:rsidRDefault="00F00541" w14:paraId="1C833186" w14:textId="77777777">
      <w:pPr>
        <w:pStyle w:val="BodyText"/>
      </w:pPr>
    </w:p>
    <w:p w:rsidR="00F00541" w:rsidP="00F00541" w:rsidRDefault="00F00541" w14:paraId="700F9767" w14:textId="77777777">
      <w:pPr>
        <w:pStyle w:val="BodyText"/>
      </w:pPr>
      <w:r>
        <w:t xml:space="preserve">The individuals listed </w:t>
      </w:r>
      <w:r w:rsidR="00353681">
        <w:t xml:space="preserve">in Exhibit B-2 </w:t>
      </w:r>
      <w:r>
        <w:t>will be involved in data collection and analyzing data:</w:t>
      </w:r>
    </w:p>
    <w:p w:rsidRPr="00C37BFC" w:rsidR="00C37BFC" w:rsidP="00F00541" w:rsidRDefault="00C37BFC" w14:paraId="21302D53" w14:textId="77777777">
      <w:pPr>
        <w:pStyle w:val="BodyText"/>
        <w:rPr>
          <w:rFonts w:ascii="Arial" w:hAnsi="Arial" w:cs="Arial"/>
          <w:b/>
        </w:rPr>
      </w:pPr>
    </w:p>
    <w:p w:rsidRPr="00C37BFC" w:rsidR="00C37BFC" w:rsidP="00F00541" w:rsidRDefault="00C37BFC" w14:paraId="50479A00" w14:textId="77777777">
      <w:pPr>
        <w:pStyle w:val="BodyText"/>
        <w:rPr>
          <w:rFonts w:ascii="Arial" w:hAnsi="Arial" w:cs="Arial"/>
          <w:b/>
        </w:rPr>
      </w:pPr>
      <w:r w:rsidRPr="00C37BFC">
        <w:rPr>
          <w:rFonts w:ascii="Arial" w:hAnsi="Arial" w:cs="Arial"/>
          <w:b/>
        </w:rPr>
        <w:t>Exhibit B-2: Data Collection and Analysis Staff</w:t>
      </w:r>
    </w:p>
    <w:tbl>
      <w:tblPr>
        <w:tblW w:w="49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0A0" w:firstRow="1" w:lastRow="0" w:firstColumn="1" w:lastColumn="0" w:noHBand="0" w:noVBand="0"/>
      </w:tblPr>
      <w:tblGrid>
        <w:gridCol w:w="2503"/>
        <w:gridCol w:w="3424"/>
        <w:gridCol w:w="3311"/>
      </w:tblGrid>
      <w:tr w:rsidRPr="00D61ED2" w:rsidR="00F00541" w:rsidTr="00F00541" w14:paraId="10BF9DCA" w14:textId="77777777">
        <w:trPr>
          <w:tblHeader/>
          <w:jc w:val="center"/>
        </w:trPr>
        <w:tc>
          <w:tcPr>
            <w:tcW w:w="1355" w:type="pct"/>
            <w:shd w:val="clear" w:color="auto" w:fill="1F497D"/>
          </w:tcPr>
          <w:p w:rsidRPr="00A10C11" w:rsidR="00F00541" w:rsidP="00911F43" w:rsidRDefault="00F00541" w14:paraId="65EBCB76" w14:textId="77777777">
            <w:pPr>
              <w:pStyle w:val="ExhibitColumnHeader"/>
              <w:rPr>
                <w:color w:val="FFFFFF"/>
              </w:rPr>
            </w:pPr>
            <w:r w:rsidRPr="00680E34">
              <w:br w:type="page"/>
            </w:r>
            <w:r w:rsidRPr="00A10C11">
              <w:rPr>
                <w:color w:val="FFFFFF"/>
              </w:rPr>
              <w:t>Individual</w:t>
            </w:r>
          </w:p>
        </w:tc>
        <w:tc>
          <w:tcPr>
            <w:tcW w:w="1853" w:type="pct"/>
            <w:shd w:val="clear" w:color="auto" w:fill="1F497D"/>
          </w:tcPr>
          <w:p w:rsidRPr="00D1697D" w:rsidR="00F00541" w:rsidP="00911F43" w:rsidRDefault="00F00541" w14:paraId="21E9696D" w14:textId="77777777">
            <w:pPr>
              <w:pStyle w:val="ExhibitColumnHeader"/>
              <w:rPr>
                <w:color w:val="FFFFFF"/>
              </w:rPr>
            </w:pPr>
            <w:r w:rsidRPr="00D1697D">
              <w:rPr>
                <w:color w:val="FFFFFF"/>
              </w:rPr>
              <w:t>Affiliation</w:t>
            </w:r>
          </w:p>
        </w:tc>
        <w:tc>
          <w:tcPr>
            <w:tcW w:w="1792" w:type="pct"/>
            <w:shd w:val="clear" w:color="auto" w:fill="1F497D"/>
          </w:tcPr>
          <w:p w:rsidRPr="00C734DF" w:rsidR="00F00541" w:rsidP="00911F43" w:rsidRDefault="00F00541" w14:paraId="127E423B" w14:textId="77777777">
            <w:pPr>
              <w:pStyle w:val="ExhibitColumnHeader"/>
              <w:rPr>
                <w:color w:val="FFFFFF"/>
              </w:rPr>
            </w:pPr>
            <w:r w:rsidRPr="00C734DF">
              <w:rPr>
                <w:color w:val="FFFFFF"/>
              </w:rPr>
              <w:t>Role in Study</w:t>
            </w:r>
          </w:p>
        </w:tc>
      </w:tr>
      <w:tr w:rsidRPr="00D61ED2" w:rsidR="00F00541" w:rsidTr="00911F43" w14:paraId="5D60DE6D" w14:textId="77777777">
        <w:trPr>
          <w:cantSplit/>
          <w:jc w:val="center"/>
        </w:trPr>
        <w:tc>
          <w:tcPr>
            <w:tcW w:w="1355" w:type="pct"/>
          </w:tcPr>
          <w:p w:rsidRPr="00D1697D" w:rsidR="00F00541" w:rsidP="00911F43" w:rsidRDefault="00F00541" w14:paraId="22150562" w14:textId="77777777">
            <w:pPr>
              <w:pStyle w:val="Exhibit"/>
              <w:rPr>
                <w:rFonts w:cs="Arial"/>
                <w:sz w:val="20"/>
              </w:rPr>
            </w:pPr>
            <w:r w:rsidRPr="00D1697D">
              <w:rPr>
                <w:rFonts w:cs="Arial"/>
                <w:sz w:val="20"/>
              </w:rPr>
              <w:t>Mary Farrell</w:t>
            </w:r>
          </w:p>
        </w:tc>
        <w:tc>
          <w:tcPr>
            <w:tcW w:w="1853" w:type="pct"/>
          </w:tcPr>
          <w:p w:rsidRPr="00D1697D" w:rsidR="00F00541" w:rsidP="00911F43" w:rsidRDefault="00F00541" w14:paraId="1B7C4085" w14:textId="77777777">
            <w:pPr>
              <w:pStyle w:val="Exhibit"/>
              <w:rPr>
                <w:rFonts w:cs="Arial"/>
                <w:sz w:val="20"/>
              </w:rPr>
            </w:pPr>
            <w:r w:rsidRPr="00D1697D">
              <w:rPr>
                <w:rFonts w:cs="Arial"/>
                <w:sz w:val="20"/>
              </w:rPr>
              <w:t>MEF Associates</w:t>
            </w:r>
          </w:p>
        </w:tc>
        <w:tc>
          <w:tcPr>
            <w:tcW w:w="1792" w:type="pct"/>
          </w:tcPr>
          <w:p w:rsidRPr="00D1697D" w:rsidR="00F00541" w:rsidP="00911F43" w:rsidRDefault="00F00541" w14:paraId="08C3DF79" w14:textId="77777777">
            <w:pPr>
              <w:pStyle w:val="Exhibit"/>
              <w:rPr>
                <w:rFonts w:cs="Arial"/>
                <w:sz w:val="20"/>
              </w:rPr>
            </w:pPr>
            <w:r w:rsidRPr="00D1697D">
              <w:rPr>
                <w:rFonts w:cs="Arial"/>
                <w:sz w:val="20"/>
              </w:rPr>
              <w:t>Senior Advisor</w:t>
            </w:r>
          </w:p>
        </w:tc>
      </w:tr>
      <w:tr w:rsidRPr="00D61ED2" w:rsidR="00F00541" w:rsidTr="00911F43" w14:paraId="131CF7D7" w14:textId="77777777">
        <w:trPr>
          <w:cantSplit/>
          <w:jc w:val="center"/>
        </w:trPr>
        <w:tc>
          <w:tcPr>
            <w:tcW w:w="1355" w:type="pct"/>
          </w:tcPr>
          <w:p w:rsidRPr="00D1697D" w:rsidR="00F00541" w:rsidP="00911F43" w:rsidRDefault="00F00541" w14:paraId="6841E1A6" w14:textId="77777777">
            <w:pPr>
              <w:pStyle w:val="Exhibit"/>
              <w:rPr>
                <w:rFonts w:cs="Arial"/>
                <w:sz w:val="20"/>
              </w:rPr>
            </w:pPr>
            <w:r w:rsidRPr="00D1697D">
              <w:rPr>
                <w:rFonts w:cs="Arial"/>
                <w:sz w:val="20"/>
              </w:rPr>
              <w:t>Michelle Wood</w:t>
            </w:r>
          </w:p>
        </w:tc>
        <w:tc>
          <w:tcPr>
            <w:tcW w:w="1853" w:type="pct"/>
          </w:tcPr>
          <w:p w:rsidRPr="00D1697D" w:rsidR="00F00541" w:rsidP="00911F43" w:rsidRDefault="00F00541" w14:paraId="427A8648" w14:textId="77777777">
            <w:pPr>
              <w:pStyle w:val="Exhibit"/>
              <w:rPr>
                <w:rFonts w:cs="Arial"/>
                <w:sz w:val="20"/>
              </w:rPr>
            </w:pPr>
            <w:r w:rsidRPr="00D1697D">
              <w:rPr>
                <w:rFonts w:cs="Arial"/>
                <w:sz w:val="20"/>
              </w:rPr>
              <w:t>Abt Associates</w:t>
            </w:r>
          </w:p>
        </w:tc>
        <w:tc>
          <w:tcPr>
            <w:tcW w:w="1792" w:type="pct"/>
          </w:tcPr>
          <w:p w:rsidRPr="00D1697D" w:rsidR="00F00541" w:rsidP="00911F43" w:rsidRDefault="00F00541" w14:paraId="717E3DFD" w14:textId="77777777">
            <w:pPr>
              <w:pStyle w:val="Exhibit"/>
              <w:rPr>
                <w:rFonts w:cs="Arial"/>
                <w:sz w:val="20"/>
              </w:rPr>
            </w:pPr>
            <w:r w:rsidRPr="00D1697D">
              <w:rPr>
                <w:rFonts w:cs="Arial"/>
                <w:sz w:val="20"/>
              </w:rPr>
              <w:t>Senior Advisor</w:t>
            </w:r>
          </w:p>
        </w:tc>
      </w:tr>
      <w:tr w:rsidRPr="00D61ED2" w:rsidR="00F00541" w:rsidTr="00911F43" w14:paraId="2E7BAA43" w14:textId="77777777">
        <w:trPr>
          <w:cantSplit/>
          <w:jc w:val="center"/>
        </w:trPr>
        <w:tc>
          <w:tcPr>
            <w:tcW w:w="1355" w:type="pct"/>
          </w:tcPr>
          <w:p w:rsidRPr="00D1697D" w:rsidR="00F00541" w:rsidP="00911F43" w:rsidRDefault="00F00541" w14:paraId="595CC05B" w14:textId="77777777">
            <w:pPr>
              <w:pStyle w:val="Exhibit"/>
              <w:rPr>
                <w:rFonts w:cs="Arial"/>
                <w:sz w:val="20"/>
              </w:rPr>
            </w:pPr>
            <w:r w:rsidRPr="00D1697D">
              <w:rPr>
                <w:rFonts w:cs="Arial"/>
                <w:sz w:val="20"/>
              </w:rPr>
              <w:t>Robin Koralek</w:t>
            </w:r>
          </w:p>
        </w:tc>
        <w:tc>
          <w:tcPr>
            <w:tcW w:w="1853" w:type="pct"/>
          </w:tcPr>
          <w:p w:rsidRPr="00D1697D" w:rsidR="00F00541" w:rsidP="00911F43" w:rsidRDefault="00F00541" w14:paraId="564C4750" w14:textId="77777777">
            <w:pPr>
              <w:pStyle w:val="Exhibit"/>
              <w:rPr>
                <w:rFonts w:cs="Arial"/>
                <w:sz w:val="20"/>
              </w:rPr>
            </w:pPr>
            <w:r w:rsidRPr="00D1697D">
              <w:rPr>
                <w:rFonts w:cs="Arial"/>
                <w:sz w:val="20"/>
              </w:rPr>
              <w:t>Abt Associates</w:t>
            </w:r>
          </w:p>
        </w:tc>
        <w:tc>
          <w:tcPr>
            <w:tcW w:w="1792" w:type="pct"/>
          </w:tcPr>
          <w:p w:rsidRPr="00D1697D" w:rsidR="00F00541" w:rsidP="00911F43" w:rsidRDefault="00F00541" w14:paraId="4758A340" w14:textId="77777777">
            <w:pPr>
              <w:pStyle w:val="Exhibit"/>
              <w:rPr>
                <w:rFonts w:cs="Arial"/>
                <w:sz w:val="20"/>
              </w:rPr>
            </w:pPr>
            <w:r w:rsidRPr="00D1697D">
              <w:rPr>
                <w:rFonts w:cs="Arial"/>
                <w:sz w:val="20"/>
              </w:rPr>
              <w:t>Project Quality Advisor</w:t>
            </w:r>
          </w:p>
        </w:tc>
      </w:tr>
      <w:tr w:rsidRPr="00D61ED2" w:rsidR="00F00541" w:rsidTr="00911F43" w14:paraId="4A823040" w14:textId="77777777">
        <w:trPr>
          <w:cantSplit/>
          <w:jc w:val="center"/>
        </w:trPr>
        <w:tc>
          <w:tcPr>
            <w:tcW w:w="1355" w:type="pct"/>
          </w:tcPr>
          <w:p w:rsidRPr="00D1697D" w:rsidR="00F00541" w:rsidP="00911F43" w:rsidRDefault="00F00541" w14:paraId="593FA847" w14:textId="77777777">
            <w:pPr>
              <w:pStyle w:val="Exhibit"/>
              <w:rPr>
                <w:rFonts w:cs="Arial"/>
                <w:sz w:val="20"/>
              </w:rPr>
            </w:pPr>
            <w:r w:rsidRPr="00D1697D">
              <w:rPr>
                <w:rFonts w:cs="Arial"/>
                <w:sz w:val="20"/>
              </w:rPr>
              <w:lastRenderedPageBreak/>
              <w:t>Lauren Dunton</w:t>
            </w:r>
          </w:p>
        </w:tc>
        <w:tc>
          <w:tcPr>
            <w:tcW w:w="1853" w:type="pct"/>
          </w:tcPr>
          <w:p w:rsidRPr="00D1697D" w:rsidR="00F00541" w:rsidP="00911F43" w:rsidRDefault="00F00541" w14:paraId="7A2780C2" w14:textId="77777777">
            <w:pPr>
              <w:pStyle w:val="Exhibit"/>
              <w:rPr>
                <w:rFonts w:cs="Arial"/>
                <w:sz w:val="20"/>
              </w:rPr>
            </w:pPr>
            <w:r w:rsidRPr="00D1697D">
              <w:rPr>
                <w:rFonts w:cs="Arial"/>
                <w:sz w:val="20"/>
              </w:rPr>
              <w:t>Abt Associates</w:t>
            </w:r>
          </w:p>
        </w:tc>
        <w:tc>
          <w:tcPr>
            <w:tcW w:w="1792" w:type="pct"/>
          </w:tcPr>
          <w:p w:rsidRPr="00D1697D" w:rsidR="00F00541" w:rsidP="00911F43" w:rsidRDefault="00F00541" w14:paraId="588391EE" w14:textId="77777777">
            <w:pPr>
              <w:pStyle w:val="Exhibit"/>
              <w:rPr>
                <w:rFonts w:cs="Arial"/>
                <w:sz w:val="20"/>
              </w:rPr>
            </w:pPr>
            <w:r w:rsidRPr="00D1697D">
              <w:rPr>
                <w:rFonts w:cs="Arial"/>
                <w:sz w:val="20"/>
              </w:rPr>
              <w:t>Project Director</w:t>
            </w:r>
          </w:p>
        </w:tc>
      </w:tr>
      <w:tr w:rsidRPr="00D61ED2" w:rsidR="00F00541" w:rsidTr="00911F43" w14:paraId="01CBA245" w14:textId="77777777">
        <w:trPr>
          <w:cantSplit/>
          <w:jc w:val="center"/>
        </w:trPr>
        <w:tc>
          <w:tcPr>
            <w:tcW w:w="1355" w:type="pct"/>
          </w:tcPr>
          <w:p w:rsidRPr="00D1697D" w:rsidR="00F00541" w:rsidP="00911F43" w:rsidRDefault="00F00541" w14:paraId="7F81EA74" w14:textId="77777777">
            <w:pPr>
              <w:pStyle w:val="Exhibit"/>
              <w:rPr>
                <w:rFonts w:cs="Arial"/>
                <w:sz w:val="20"/>
              </w:rPr>
            </w:pPr>
            <w:r w:rsidRPr="00D1697D">
              <w:rPr>
                <w:rFonts w:cs="Arial"/>
                <w:sz w:val="20"/>
              </w:rPr>
              <w:t>Rachel Cook</w:t>
            </w:r>
          </w:p>
        </w:tc>
        <w:tc>
          <w:tcPr>
            <w:tcW w:w="1853" w:type="pct"/>
          </w:tcPr>
          <w:p w:rsidRPr="00D1697D" w:rsidR="00F00541" w:rsidP="00911F43" w:rsidRDefault="00F00541" w14:paraId="360C50DD" w14:textId="77777777">
            <w:pPr>
              <w:pStyle w:val="Exhibit"/>
              <w:rPr>
                <w:rFonts w:cs="Arial"/>
                <w:sz w:val="20"/>
              </w:rPr>
            </w:pPr>
            <w:r w:rsidRPr="00D1697D">
              <w:rPr>
                <w:rFonts w:cs="Arial"/>
                <w:sz w:val="20"/>
              </w:rPr>
              <w:t>Abt Associates</w:t>
            </w:r>
          </w:p>
        </w:tc>
        <w:tc>
          <w:tcPr>
            <w:tcW w:w="1792" w:type="pct"/>
          </w:tcPr>
          <w:p w:rsidRPr="00D1697D" w:rsidR="00F00541" w:rsidP="00911F43" w:rsidRDefault="00500E3F" w14:paraId="1186F758" w14:textId="77777777">
            <w:pPr>
              <w:pStyle w:val="Exhibit"/>
              <w:rPr>
                <w:rFonts w:cs="Arial"/>
                <w:sz w:val="20"/>
              </w:rPr>
            </w:pPr>
            <w:r w:rsidRPr="00D1697D">
              <w:rPr>
                <w:rFonts w:cs="Arial"/>
                <w:sz w:val="20"/>
              </w:rPr>
              <w:t>Site Visit Task Leader</w:t>
            </w:r>
          </w:p>
        </w:tc>
      </w:tr>
      <w:tr w:rsidRPr="00D61ED2" w:rsidR="00F00541" w:rsidTr="00911F43" w14:paraId="1110C7D5" w14:textId="77777777">
        <w:trPr>
          <w:cantSplit/>
          <w:jc w:val="center"/>
        </w:trPr>
        <w:tc>
          <w:tcPr>
            <w:tcW w:w="1355" w:type="pct"/>
          </w:tcPr>
          <w:p w:rsidRPr="00D1697D" w:rsidR="00F00541" w:rsidP="00911F43" w:rsidRDefault="00F00541" w14:paraId="7C1CE67D" w14:textId="77777777">
            <w:pPr>
              <w:pStyle w:val="Exhibit"/>
              <w:rPr>
                <w:rFonts w:cs="Arial"/>
                <w:sz w:val="20"/>
              </w:rPr>
            </w:pPr>
            <w:r w:rsidRPr="00D1697D">
              <w:rPr>
                <w:rFonts w:cs="Arial"/>
                <w:sz w:val="20"/>
              </w:rPr>
              <w:t>Asaph</w:t>
            </w:r>
            <w:r w:rsidRPr="00D1697D" w:rsidR="00857AF4">
              <w:rPr>
                <w:rFonts w:cs="Arial"/>
                <w:sz w:val="20"/>
              </w:rPr>
              <w:t xml:space="preserve"> Glosser</w:t>
            </w:r>
          </w:p>
        </w:tc>
        <w:tc>
          <w:tcPr>
            <w:tcW w:w="1853" w:type="pct"/>
          </w:tcPr>
          <w:p w:rsidRPr="00D1697D" w:rsidR="00F00541" w:rsidP="00911F43" w:rsidRDefault="00F00541" w14:paraId="7BC336CE" w14:textId="77777777">
            <w:pPr>
              <w:pStyle w:val="Exhibit"/>
              <w:rPr>
                <w:rFonts w:cs="Arial"/>
                <w:sz w:val="20"/>
              </w:rPr>
            </w:pPr>
            <w:r w:rsidRPr="00D1697D">
              <w:rPr>
                <w:rFonts w:cs="Arial"/>
                <w:sz w:val="20"/>
              </w:rPr>
              <w:t>MEF Associates</w:t>
            </w:r>
          </w:p>
        </w:tc>
        <w:tc>
          <w:tcPr>
            <w:tcW w:w="1792" w:type="pct"/>
          </w:tcPr>
          <w:p w:rsidRPr="00D1697D" w:rsidR="00F00541" w:rsidP="00911F43" w:rsidRDefault="00F00541" w14:paraId="0B1A7540" w14:textId="77777777">
            <w:pPr>
              <w:pStyle w:val="Exhibit"/>
              <w:rPr>
                <w:rFonts w:cs="Arial"/>
                <w:sz w:val="20"/>
              </w:rPr>
            </w:pPr>
            <w:r w:rsidRPr="00D1697D">
              <w:rPr>
                <w:rFonts w:cs="Arial"/>
                <w:sz w:val="20"/>
              </w:rPr>
              <w:t>Field Work Team Member</w:t>
            </w:r>
          </w:p>
        </w:tc>
      </w:tr>
    </w:tbl>
    <w:p w:rsidR="000D53DF" w:rsidP="00FD1B70" w:rsidRDefault="000D53DF" w14:paraId="4BCEF6F7" w14:textId="77777777"/>
    <w:sectPr w:rsidR="000D53DF" w:rsidSect="00520737">
      <w:headerReference w:type="default"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auren Dunton" w:date="2020-06-17T13:42:00Z" w:initials="LD">
    <w:p w14:paraId="41783BB0" w14:textId="77777777" w:rsidR="004D5801" w:rsidRDefault="004D5801">
      <w:pPr>
        <w:pStyle w:val="CommentText"/>
      </w:pPr>
      <w:r>
        <w:rPr>
          <w:rStyle w:val="CommentReference"/>
        </w:rPr>
        <w:annotationRef/>
      </w:r>
      <w:r>
        <w:t>The project officer changed since the original submission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783BB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71FAB" w14:textId="77777777" w:rsidR="005356BF" w:rsidRDefault="005356BF">
      <w:r>
        <w:separator/>
      </w:r>
    </w:p>
  </w:endnote>
  <w:endnote w:type="continuationSeparator" w:id="0">
    <w:p w14:paraId="163EC61B" w14:textId="77777777" w:rsidR="005356BF" w:rsidRDefault="0053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C9071" w14:textId="77777777" w:rsidR="00EC6101" w:rsidRDefault="00EC6101">
    <w:pPr>
      <w:pStyle w:val="Footer"/>
      <w:jc w:val="center"/>
    </w:pPr>
    <w:r>
      <w:fldChar w:fldCharType="begin"/>
    </w:r>
    <w:r>
      <w:instrText xml:space="preserve"> PAGE   \* MERGEFORMAT </w:instrText>
    </w:r>
    <w:r>
      <w:fldChar w:fldCharType="separate"/>
    </w:r>
    <w:r w:rsidR="00486AFB">
      <w:rPr>
        <w:noProof/>
      </w:rPr>
      <w:t>1</w:t>
    </w:r>
    <w:r>
      <w:fldChar w:fldCharType="end"/>
    </w:r>
  </w:p>
  <w:p w14:paraId="353E14EB" w14:textId="77777777" w:rsidR="00EC6101" w:rsidRDefault="00EC6101"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B9110" w14:textId="77777777" w:rsidR="005356BF" w:rsidRDefault="005356BF">
      <w:r>
        <w:separator/>
      </w:r>
    </w:p>
  </w:footnote>
  <w:footnote w:type="continuationSeparator" w:id="0">
    <w:p w14:paraId="570029BC" w14:textId="77777777" w:rsidR="005356BF" w:rsidRDefault="005356BF">
      <w:r>
        <w:continuationSeparator/>
      </w:r>
    </w:p>
  </w:footnote>
  <w:footnote w:id="1">
    <w:p w14:paraId="68F53D4E" w14:textId="77777777" w:rsidR="00C635D5" w:rsidRDefault="00C635D5">
      <w:pPr>
        <w:pStyle w:val="FootnoteText"/>
      </w:pPr>
      <w:r>
        <w:rPr>
          <w:rStyle w:val="FootnoteReference"/>
        </w:rPr>
        <w:footnoteRef/>
      </w:r>
      <w:r>
        <w:t xml:space="preserve"> Study of PHA’s Efforts to Serve People Experiencing Homelessness, accessed at</w:t>
      </w:r>
    </w:p>
    <w:p w14:paraId="233DC649" w14:textId="77777777" w:rsidR="00C635D5" w:rsidRDefault="00C635D5">
      <w:pPr>
        <w:pStyle w:val="FootnoteText"/>
      </w:pPr>
      <w:r w:rsidRPr="00C635D5">
        <w:t>https://www.huduser.gov/portal/publications/homeless/pha_homelessness.html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CC8E1" w14:textId="77777777" w:rsidR="00EC6101" w:rsidRDefault="00EC6101" w:rsidP="00FE1C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E0323"/>
    <w:multiLevelType w:val="hybridMultilevel"/>
    <w:tmpl w:val="EA18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D5C92"/>
    <w:multiLevelType w:val="hybridMultilevel"/>
    <w:tmpl w:val="AD7602FC"/>
    <w:lvl w:ilvl="0" w:tplc="2D0C70A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27527"/>
    <w:multiLevelType w:val="hybridMultilevel"/>
    <w:tmpl w:val="2154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64DA3"/>
    <w:multiLevelType w:val="hybridMultilevel"/>
    <w:tmpl w:val="42E6CF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3B147E"/>
    <w:multiLevelType w:val="hybridMultilevel"/>
    <w:tmpl w:val="8F6E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4F468A"/>
    <w:multiLevelType w:val="hybridMultilevel"/>
    <w:tmpl w:val="BF5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5"/>
  </w:num>
  <w:num w:numId="4">
    <w:abstractNumId w:val="9"/>
  </w:num>
  <w:num w:numId="5">
    <w:abstractNumId w:val="10"/>
  </w:num>
  <w:num w:numId="6">
    <w:abstractNumId w:val="17"/>
  </w:num>
  <w:num w:numId="7">
    <w:abstractNumId w:val="16"/>
  </w:num>
  <w:num w:numId="8">
    <w:abstractNumId w:val="11"/>
  </w:num>
  <w:num w:numId="9">
    <w:abstractNumId w:val="13"/>
  </w:num>
  <w:num w:numId="10">
    <w:abstractNumId w:val="2"/>
  </w:num>
  <w:num w:numId="11">
    <w:abstractNumId w:val="0"/>
  </w:num>
  <w:num w:numId="12">
    <w:abstractNumId w:val="4"/>
  </w:num>
  <w:num w:numId="13">
    <w:abstractNumId w:val="19"/>
  </w:num>
  <w:num w:numId="14">
    <w:abstractNumId w:val="7"/>
  </w:num>
  <w:num w:numId="15">
    <w:abstractNumId w:val="8"/>
  </w:num>
  <w:num w:numId="16">
    <w:abstractNumId w:val="6"/>
  </w:num>
  <w:num w:numId="17">
    <w:abstractNumId w:val="18"/>
  </w:num>
  <w:num w:numId="18">
    <w:abstractNumId w:val="12"/>
  </w:num>
  <w:num w:numId="19">
    <w:abstractNumId w:val="20"/>
  </w:num>
  <w:num w:numId="20">
    <w:abstractNumId w:val="14"/>
  </w:num>
  <w:num w:numId="2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40385"/>
    <w:rsid w:val="00042DEF"/>
    <w:rsid w:val="0008315A"/>
    <w:rsid w:val="0008395B"/>
    <w:rsid w:val="00091C59"/>
    <w:rsid w:val="000925F6"/>
    <w:rsid w:val="000A21DC"/>
    <w:rsid w:val="000B5EA8"/>
    <w:rsid w:val="000B6F06"/>
    <w:rsid w:val="000C5CD2"/>
    <w:rsid w:val="000D53DF"/>
    <w:rsid w:val="000D7DEC"/>
    <w:rsid w:val="000E2446"/>
    <w:rsid w:val="000F5D39"/>
    <w:rsid w:val="00111B91"/>
    <w:rsid w:val="00132DEE"/>
    <w:rsid w:val="0016012E"/>
    <w:rsid w:val="00172E5B"/>
    <w:rsid w:val="001779C2"/>
    <w:rsid w:val="00183C0F"/>
    <w:rsid w:val="00186B92"/>
    <w:rsid w:val="001906D5"/>
    <w:rsid w:val="001A6981"/>
    <w:rsid w:val="001C475B"/>
    <w:rsid w:val="001C4D60"/>
    <w:rsid w:val="0020382F"/>
    <w:rsid w:val="00204484"/>
    <w:rsid w:val="002231FA"/>
    <w:rsid w:val="00234E8D"/>
    <w:rsid w:val="00235361"/>
    <w:rsid w:val="00235A6D"/>
    <w:rsid w:val="002363B6"/>
    <w:rsid w:val="00246CF3"/>
    <w:rsid w:val="00253148"/>
    <w:rsid w:val="00254BB0"/>
    <w:rsid w:val="0025633B"/>
    <w:rsid w:val="00265B06"/>
    <w:rsid w:val="00275928"/>
    <w:rsid w:val="00292B70"/>
    <w:rsid w:val="00295979"/>
    <w:rsid w:val="002A13B2"/>
    <w:rsid w:val="002A1EAB"/>
    <w:rsid w:val="002A1F68"/>
    <w:rsid w:val="002B28C7"/>
    <w:rsid w:val="002B4DBE"/>
    <w:rsid w:val="002B6A93"/>
    <w:rsid w:val="002D07D6"/>
    <w:rsid w:val="002D10A2"/>
    <w:rsid w:val="002F3BBF"/>
    <w:rsid w:val="002F650E"/>
    <w:rsid w:val="0030356A"/>
    <w:rsid w:val="00304CD8"/>
    <w:rsid w:val="00315CC4"/>
    <w:rsid w:val="00347BDF"/>
    <w:rsid w:val="00353681"/>
    <w:rsid w:val="0037156C"/>
    <w:rsid w:val="00374DAB"/>
    <w:rsid w:val="003957BF"/>
    <w:rsid w:val="003A5501"/>
    <w:rsid w:val="003B0BB5"/>
    <w:rsid w:val="003D5231"/>
    <w:rsid w:val="003E6D7F"/>
    <w:rsid w:val="00424E32"/>
    <w:rsid w:val="0044753C"/>
    <w:rsid w:val="004554B1"/>
    <w:rsid w:val="00456E2F"/>
    <w:rsid w:val="00482DDE"/>
    <w:rsid w:val="00486AFB"/>
    <w:rsid w:val="00490814"/>
    <w:rsid w:val="00492B1D"/>
    <w:rsid w:val="004B587E"/>
    <w:rsid w:val="004C0BD1"/>
    <w:rsid w:val="004D3543"/>
    <w:rsid w:val="004D5801"/>
    <w:rsid w:val="004D6398"/>
    <w:rsid w:val="004D6CA9"/>
    <w:rsid w:val="004E107A"/>
    <w:rsid w:val="004E3B5D"/>
    <w:rsid w:val="004E61A0"/>
    <w:rsid w:val="004E6E6B"/>
    <w:rsid w:val="004F4E1D"/>
    <w:rsid w:val="00500E3F"/>
    <w:rsid w:val="005046F0"/>
    <w:rsid w:val="00520737"/>
    <w:rsid w:val="0053316A"/>
    <w:rsid w:val="005353B7"/>
    <w:rsid w:val="005356BF"/>
    <w:rsid w:val="00541024"/>
    <w:rsid w:val="00580761"/>
    <w:rsid w:val="005979FA"/>
    <w:rsid w:val="005A64C5"/>
    <w:rsid w:val="005B134D"/>
    <w:rsid w:val="005B73EA"/>
    <w:rsid w:val="005E17E2"/>
    <w:rsid w:val="005E3DAA"/>
    <w:rsid w:val="005F0599"/>
    <w:rsid w:val="005F2061"/>
    <w:rsid w:val="005F4C09"/>
    <w:rsid w:val="00607351"/>
    <w:rsid w:val="00651DBA"/>
    <w:rsid w:val="00657424"/>
    <w:rsid w:val="00680E34"/>
    <w:rsid w:val="00693EFB"/>
    <w:rsid w:val="006A5B44"/>
    <w:rsid w:val="006A600B"/>
    <w:rsid w:val="006A7269"/>
    <w:rsid w:val="006B6845"/>
    <w:rsid w:val="006D29BB"/>
    <w:rsid w:val="006D392F"/>
    <w:rsid w:val="006D6814"/>
    <w:rsid w:val="006E4AD6"/>
    <w:rsid w:val="006E6B4B"/>
    <w:rsid w:val="006F30E0"/>
    <w:rsid w:val="006F3939"/>
    <w:rsid w:val="006F46FE"/>
    <w:rsid w:val="00701045"/>
    <w:rsid w:val="007021D1"/>
    <w:rsid w:val="0072126F"/>
    <w:rsid w:val="0072204D"/>
    <w:rsid w:val="00723219"/>
    <w:rsid w:val="00735EBE"/>
    <w:rsid w:val="00772457"/>
    <w:rsid w:val="00784137"/>
    <w:rsid w:val="0079071B"/>
    <w:rsid w:val="007A6EEC"/>
    <w:rsid w:val="007B778B"/>
    <w:rsid w:val="007D27E1"/>
    <w:rsid w:val="008025B8"/>
    <w:rsid w:val="008172E0"/>
    <w:rsid w:val="00833282"/>
    <w:rsid w:val="00856B0C"/>
    <w:rsid w:val="00857AF4"/>
    <w:rsid w:val="0087234E"/>
    <w:rsid w:val="008A4DF0"/>
    <w:rsid w:val="008B7F2C"/>
    <w:rsid w:val="008C4C6B"/>
    <w:rsid w:val="008C609E"/>
    <w:rsid w:val="008C68F8"/>
    <w:rsid w:val="008D63BF"/>
    <w:rsid w:val="008E1CD7"/>
    <w:rsid w:val="008E3F71"/>
    <w:rsid w:val="00902B11"/>
    <w:rsid w:val="00911F43"/>
    <w:rsid w:val="00920D2F"/>
    <w:rsid w:val="00927649"/>
    <w:rsid w:val="00932D71"/>
    <w:rsid w:val="00942A06"/>
    <w:rsid w:val="00945CD6"/>
    <w:rsid w:val="009648CE"/>
    <w:rsid w:val="00967531"/>
    <w:rsid w:val="00981826"/>
    <w:rsid w:val="0098394C"/>
    <w:rsid w:val="009D47D2"/>
    <w:rsid w:val="009D546C"/>
    <w:rsid w:val="009F3714"/>
    <w:rsid w:val="00A10C11"/>
    <w:rsid w:val="00A13A68"/>
    <w:rsid w:val="00A247B4"/>
    <w:rsid w:val="00A263F0"/>
    <w:rsid w:val="00A35E23"/>
    <w:rsid w:val="00A377CF"/>
    <w:rsid w:val="00A57BB7"/>
    <w:rsid w:val="00A61CCD"/>
    <w:rsid w:val="00A66A1A"/>
    <w:rsid w:val="00A671CD"/>
    <w:rsid w:val="00A72397"/>
    <w:rsid w:val="00AA29C0"/>
    <w:rsid w:val="00AC4338"/>
    <w:rsid w:val="00AD25AD"/>
    <w:rsid w:val="00AF7999"/>
    <w:rsid w:val="00B018FF"/>
    <w:rsid w:val="00B06408"/>
    <w:rsid w:val="00B13F49"/>
    <w:rsid w:val="00B14396"/>
    <w:rsid w:val="00B50245"/>
    <w:rsid w:val="00B52369"/>
    <w:rsid w:val="00B577FC"/>
    <w:rsid w:val="00BD4CFB"/>
    <w:rsid w:val="00BD6C85"/>
    <w:rsid w:val="00BE17F5"/>
    <w:rsid w:val="00C12B95"/>
    <w:rsid w:val="00C13E5F"/>
    <w:rsid w:val="00C178B2"/>
    <w:rsid w:val="00C204C8"/>
    <w:rsid w:val="00C370DB"/>
    <w:rsid w:val="00C37BFC"/>
    <w:rsid w:val="00C51539"/>
    <w:rsid w:val="00C56EA9"/>
    <w:rsid w:val="00C613B9"/>
    <w:rsid w:val="00C635D5"/>
    <w:rsid w:val="00C734DF"/>
    <w:rsid w:val="00C81175"/>
    <w:rsid w:val="00C83BE3"/>
    <w:rsid w:val="00C924E9"/>
    <w:rsid w:val="00CA58E9"/>
    <w:rsid w:val="00CE31D3"/>
    <w:rsid w:val="00CE6EFF"/>
    <w:rsid w:val="00D012A6"/>
    <w:rsid w:val="00D06D5F"/>
    <w:rsid w:val="00D1697D"/>
    <w:rsid w:val="00D23500"/>
    <w:rsid w:val="00D25558"/>
    <w:rsid w:val="00D37FA0"/>
    <w:rsid w:val="00D519D9"/>
    <w:rsid w:val="00D54678"/>
    <w:rsid w:val="00D6080D"/>
    <w:rsid w:val="00D61719"/>
    <w:rsid w:val="00D61ED2"/>
    <w:rsid w:val="00D67880"/>
    <w:rsid w:val="00DF4BD7"/>
    <w:rsid w:val="00E058F2"/>
    <w:rsid w:val="00E05A0A"/>
    <w:rsid w:val="00E15049"/>
    <w:rsid w:val="00E26EE5"/>
    <w:rsid w:val="00E41471"/>
    <w:rsid w:val="00E41D46"/>
    <w:rsid w:val="00E65C7C"/>
    <w:rsid w:val="00E72E9A"/>
    <w:rsid w:val="00E8537F"/>
    <w:rsid w:val="00E90F53"/>
    <w:rsid w:val="00EB5B54"/>
    <w:rsid w:val="00EC0456"/>
    <w:rsid w:val="00EC329F"/>
    <w:rsid w:val="00EC5F66"/>
    <w:rsid w:val="00EC6101"/>
    <w:rsid w:val="00ED372A"/>
    <w:rsid w:val="00ED5CC1"/>
    <w:rsid w:val="00EE46D1"/>
    <w:rsid w:val="00F00541"/>
    <w:rsid w:val="00F20419"/>
    <w:rsid w:val="00F51882"/>
    <w:rsid w:val="00F52D50"/>
    <w:rsid w:val="00F56220"/>
    <w:rsid w:val="00F73374"/>
    <w:rsid w:val="00F74BEC"/>
    <w:rsid w:val="00F846E9"/>
    <w:rsid w:val="00F84C4C"/>
    <w:rsid w:val="00F93449"/>
    <w:rsid w:val="00F95F02"/>
    <w:rsid w:val="00FB0F23"/>
    <w:rsid w:val="00FC04C5"/>
    <w:rsid w:val="00FD1B70"/>
    <w:rsid w:val="00FD7600"/>
    <w:rsid w:val="00FE1C8E"/>
    <w:rsid w:val="00FE6DF7"/>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77C72F"/>
  <w15:chartTrackingRefBased/>
  <w15:docId w15:val="{7A770C85-C044-4D10-9899-CF062573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8537F"/>
    <w:pPr>
      <w:spacing w:after="120"/>
      <w:outlineLvl w:val="0"/>
    </w:pPr>
    <w:rPr>
      <w:b/>
    </w:rPr>
  </w:style>
  <w:style w:type="paragraph" w:styleId="Heading3">
    <w:name w:val="heading 3"/>
    <w:basedOn w:val="Normal"/>
    <w:next w:val="Normal"/>
    <w:link w:val="Heading3Char"/>
    <w:semiHidden/>
    <w:unhideWhenUsed/>
    <w:qFormat/>
    <w:rsid w:val="002F3BBF"/>
    <w:pPr>
      <w:keepNext/>
      <w:spacing w:before="240" w:after="60"/>
      <w:outlineLvl w:val="2"/>
    </w:pPr>
    <w:rPr>
      <w:rFonts w:ascii="Calibri Light" w:hAnsi="Calibri Light"/>
      <w:b/>
      <w:bCs/>
      <w:sz w:val="26"/>
      <w:szCs w:val="26"/>
    </w:rPr>
  </w:style>
  <w:style w:type="paragraph" w:styleId="Heading4">
    <w:name w:val="heading 4"/>
    <w:basedOn w:val="Normal"/>
    <w:link w:val="Heading4Char"/>
    <w:qFormat/>
    <w:rsid w:val="008C609E"/>
    <w:pPr>
      <w:keepNext/>
      <w:spacing w:line="264" w:lineRule="auto"/>
      <w:outlineLvl w:val="3"/>
    </w:pPr>
    <w:rPr>
      <w:b/>
      <w:i/>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uiPriority w:val="99"/>
    <w:rsid w:val="00FE1C8E"/>
    <w:rPr>
      <w:sz w:val="24"/>
      <w:szCs w:val="24"/>
    </w:rPr>
  </w:style>
  <w:style w:type="paragraph" w:styleId="NoSpacing">
    <w:name w:val="No Spacing"/>
    <w:uiPriority w:val="1"/>
    <w:qFormat/>
    <w:rsid w:val="00315CC4"/>
    <w:rPr>
      <w:rFonts w:ascii="Calibri" w:eastAsia="Calibri" w:hAnsi="Calibri"/>
      <w:sz w:val="22"/>
      <w:szCs w:val="22"/>
    </w:rPr>
  </w:style>
  <w:style w:type="paragraph" w:styleId="BodyText">
    <w:name w:val="Body Text"/>
    <w:basedOn w:val="Normal"/>
    <w:link w:val="BodyTextChar"/>
    <w:rsid w:val="003E6D7F"/>
    <w:pPr>
      <w:tabs>
        <w:tab w:val="left" w:pos="720"/>
        <w:tab w:val="left" w:pos="1080"/>
        <w:tab w:val="left" w:pos="1440"/>
        <w:tab w:val="left" w:pos="1800"/>
      </w:tabs>
      <w:spacing w:line="264" w:lineRule="auto"/>
    </w:pPr>
    <w:rPr>
      <w:sz w:val="22"/>
      <w:szCs w:val="20"/>
    </w:rPr>
  </w:style>
  <w:style w:type="character" w:customStyle="1" w:styleId="BodyTextChar">
    <w:name w:val="Body Text Char"/>
    <w:link w:val="BodyText"/>
    <w:rsid w:val="003E6D7F"/>
    <w:rPr>
      <w:sz w:val="22"/>
    </w:rPr>
  </w:style>
  <w:style w:type="paragraph" w:customStyle="1" w:styleId="Exhibit">
    <w:name w:val="Exhibit"/>
    <w:basedOn w:val="Normal"/>
    <w:rsid w:val="00F00541"/>
    <w:pPr>
      <w:spacing w:line="264" w:lineRule="auto"/>
    </w:pPr>
    <w:rPr>
      <w:rFonts w:ascii="Arial" w:hAnsi="Arial"/>
      <w:sz w:val="18"/>
      <w:szCs w:val="20"/>
    </w:rPr>
  </w:style>
  <w:style w:type="paragraph" w:styleId="Caption">
    <w:name w:val="caption"/>
    <w:basedOn w:val="Normal"/>
    <w:next w:val="Normal"/>
    <w:qFormat/>
    <w:rsid w:val="00F00541"/>
    <w:pPr>
      <w:keepNext/>
      <w:keepLines/>
      <w:widowControl w:val="0"/>
      <w:tabs>
        <w:tab w:val="left" w:pos="1440"/>
      </w:tabs>
      <w:spacing w:after="120" w:line="264" w:lineRule="auto"/>
      <w:ind w:left="1440" w:hanging="1440"/>
    </w:pPr>
    <w:rPr>
      <w:rFonts w:ascii="Arial" w:hAnsi="Arial"/>
      <w:b/>
      <w:bCs/>
      <w:sz w:val="22"/>
      <w:szCs w:val="20"/>
    </w:rPr>
  </w:style>
  <w:style w:type="paragraph" w:customStyle="1" w:styleId="ExhibitColumnHeader">
    <w:name w:val="Exhibit Column Header"/>
    <w:basedOn w:val="Normal"/>
    <w:uiPriority w:val="99"/>
    <w:qFormat/>
    <w:rsid w:val="00F00541"/>
    <w:pPr>
      <w:spacing w:before="20" w:after="20"/>
      <w:jc w:val="center"/>
    </w:pPr>
    <w:rPr>
      <w:rFonts w:ascii="Arial" w:hAnsi="Arial" w:cs="Arial"/>
      <w:b/>
      <w:color w:val="000000"/>
      <w:sz w:val="20"/>
      <w:szCs w:val="20"/>
    </w:rPr>
  </w:style>
  <w:style w:type="character" w:customStyle="1" w:styleId="Heading4Char">
    <w:name w:val="Heading 4 Char"/>
    <w:link w:val="Heading4"/>
    <w:rsid w:val="008C609E"/>
    <w:rPr>
      <w:b/>
      <w:i/>
      <w:sz w:val="22"/>
    </w:rPr>
  </w:style>
  <w:style w:type="character" w:customStyle="1" w:styleId="Heading1Char">
    <w:name w:val="Heading 1 Char"/>
    <w:link w:val="Heading1"/>
    <w:rsid w:val="00E8537F"/>
    <w:rPr>
      <w:b/>
      <w:sz w:val="24"/>
      <w:szCs w:val="24"/>
    </w:rPr>
  </w:style>
  <w:style w:type="paragraph" w:styleId="TOCHeading">
    <w:name w:val="TOC Heading"/>
    <w:basedOn w:val="Heading1"/>
    <w:next w:val="Normal"/>
    <w:uiPriority w:val="39"/>
    <w:unhideWhenUsed/>
    <w:qFormat/>
    <w:rsid w:val="00E8537F"/>
    <w:pPr>
      <w:keepLines/>
      <w:spacing w:before="480" w:after="0" w:line="276" w:lineRule="auto"/>
      <w:outlineLvl w:val="9"/>
    </w:pPr>
    <w:rPr>
      <w:color w:val="365F91"/>
      <w:sz w:val="28"/>
      <w:szCs w:val="28"/>
      <w:lang w:eastAsia="ja-JP"/>
    </w:rPr>
  </w:style>
  <w:style w:type="paragraph" w:styleId="TOC1">
    <w:name w:val="toc 1"/>
    <w:basedOn w:val="Normal"/>
    <w:next w:val="Normal"/>
    <w:autoRedefine/>
    <w:uiPriority w:val="39"/>
    <w:rsid w:val="00E8537F"/>
  </w:style>
  <w:style w:type="paragraph" w:styleId="TOC2">
    <w:name w:val="toc 2"/>
    <w:basedOn w:val="Normal"/>
    <w:next w:val="Normal"/>
    <w:autoRedefine/>
    <w:rsid w:val="001A6981"/>
    <w:pPr>
      <w:ind w:left="240"/>
    </w:pPr>
  </w:style>
  <w:style w:type="paragraph" w:styleId="TOC3">
    <w:name w:val="toc 3"/>
    <w:basedOn w:val="Normal"/>
    <w:next w:val="Normal"/>
    <w:autoRedefine/>
    <w:rsid w:val="001A6981"/>
    <w:pPr>
      <w:ind w:left="480"/>
    </w:pPr>
  </w:style>
  <w:style w:type="paragraph" w:customStyle="1" w:styleId="TOCHeader">
    <w:name w:val="TOC Header"/>
    <w:basedOn w:val="Normal"/>
    <w:next w:val="BodyText"/>
    <w:uiPriority w:val="99"/>
    <w:rsid w:val="001A6981"/>
    <w:pPr>
      <w:spacing w:after="180" w:line="264" w:lineRule="auto"/>
    </w:pPr>
    <w:rPr>
      <w:rFonts w:ascii="Arial" w:hAnsi="Arial"/>
      <w:b/>
      <w:color w:val="898D8D"/>
      <w:szCs w:val="20"/>
    </w:rPr>
  </w:style>
  <w:style w:type="paragraph" w:styleId="FootnoteText">
    <w:name w:val="footnote text"/>
    <w:basedOn w:val="Normal"/>
    <w:link w:val="FootnoteTextChar"/>
    <w:rsid w:val="00C635D5"/>
    <w:rPr>
      <w:sz w:val="20"/>
      <w:szCs w:val="20"/>
    </w:rPr>
  </w:style>
  <w:style w:type="character" w:customStyle="1" w:styleId="FootnoteTextChar">
    <w:name w:val="Footnote Text Char"/>
    <w:basedOn w:val="DefaultParagraphFont"/>
    <w:link w:val="FootnoteText"/>
    <w:rsid w:val="00C635D5"/>
  </w:style>
  <w:style w:type="character" w:styleId="FootnoteReference">
    <w:name w:val="footnote reference"/>
    <w:rsid w:val="00C635D5"/>
    <w:rPr>
      <w:vertAlign w:val="superscript"/>
    </w:rPr>
  </w:style>
  <w:style w:type="character" w:customStyle="1" w:styleId="Heading3Char">
    <w:name w:val="Heading 3 Char"/>
    <w:link w:val="Heading3"/>
    <w:semiHidden/>
    <w:rsid w:val="002F3BBF"/>
    <w:rPr>
      <w:rFonts w:ascii="Calibri Light" w:eastAsia="Times New Roman" w:hAnsi="Calibri Light" w:cs="Times New Roman"/>
      <w:b/>
      <w:bCs/>
      <w:sz w:val="26"/>
      <w:szCs w:val="26"/>
    </w:rPr>
  </w:style>
  <w:style w:type="paragraph" w:styleId="ListParagraph">
    <w:name w:val="List Paragraph"/>
    <w:basedOn w:val="Normal"/>
    <w:uiPriority w:val="34"/>
    <w:qFormat/>
    <w:rsid w:val="000A21DC"/>
    <w:pPr>
      <w:ind w:left="720"/>
    </w:pPr>
    <w:rPr>
      <w:rFonts w:ascii="Calibri" w:eastAsia="Calibri" w:hAnsi="Calibri" w:cs="Calibri"/>
      <w:sz w:val="22"/>
      <w:szCs w:val="22"/>
    </w:rPr>
  </w:style>
  <w:style w:type="character" w:styleId="FollowedHyperlink">
    <w:name w:val="FollowedHyperlink"/>
    <w:rsid w:val="000E244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 w:id="1005323303">
      <w:bodyDiv w:val="1"/>
      <w:marLeft w:val="0"/>
      <w:marRight w:val="0"/>
      <w:marTop w:val="0"/>
      <w:marBottom w:val="0"/>
      <w:divBdr>
        <w:top w:val="none" w:sz="0" w:space="0" w:color="auto"/>
        <w:left w:val="none" w:sz="0" w:space="0" w:color="auto"/>
        <w:bottom w:val="none" w:sz="0" w:space="0" w:color="auto"/>
        <w:right w:val="none" w:sz="0" w:space="0" w:color="auto"/>
      </w:divBdr>
    </w:div>
    <w:div w:id="1736704275">
      <w:bodyDiv w:val="1"/>
      <w:marLeft w:val="0"/>
      <w:marRight w:val="0"/>
      <w:marTop w:val="0"/>
      <w:marBottom w:val="0"/>
      <w:divBdr>
        <w:top w:val="none" w:sz="0" w:space="0" w:color="auto"/>
        <w:left w:val="none" w:sz="0" w:space="0" w:color="auto"/>
        <w:bottom w:val="none" w:sz="0" w:space="0" w:color="auto"/>
        <w:right w:val="none" w:sz="0" w:space="0" w:color="auto"/>
      </w:divBdr>
    </w:div>
    <w:div w:id="1747611134">
      <w:bodyDiv w:val="1"/>
      <w:marLeft w:val="0"/>
      <w:marRight w:val="0"/>
      <w:marTop w:val="0"/>
      <w:marBottom w:val="0"/>
      <w:divBdr>
        <w:top w:val="none" w:sz="0" w:space="0" w:color="auto"/>
        <w:left w:val="none" w:sz="0" w:space="0" w:color="auto"/>
        <w:bottom w:val="none" w:sz="0" w:space="0" w:color="auto"/>
        <w:right w:val="none" w:sz="0" w:space="0" w:color="auto"/>
      </w:divBdr>
    </w:div>
    <w:div w:id="2041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2.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DE407-D540-4F60-9DD2-24951FE85CD3}">
  <ds:schemaRefs>
    <ds:schemaRef ds:uri="http://schemas.microsoft.com/office/2006/metadata/properties"/>
    <ds:schemaRef ds:uri="eaa45b17-fd56-44b4-85b7-73d344da6853"/>
    <ds:schemaRef ds:uri="http://purl.org/dc/elements/1.1/"/>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BAA0ABC-C328-4FDB-BF56-3033EDF1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2689</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17957</CharactersWithSpaces>
  <SharedDoc>false</SharedDoc>
  <HLinks>
    <vt:vector size="30" baseType="variant">
      <vt:variant>
        <vt:i4>1441855</vt:i4>
      </vt:variant>
      <vt:variant>
        <vt:i4>26</vt:i4>
      </vt:variant>
      <vt:variant>
        <vt:i4>0</vt:i4>
      </vt:variant>
      <vt:variant>
        <vt:i4>5</vt:i4>
      </vt:variant>
      <vt:variant>
        <vt:lpwstr/>
      </vt:variant>
      <vt:variant>
        <vt:lpwstr>_Toc512605834</vt:lpwstr>
      </vt:variant>
      <vt:variant>
        <vt:i4>1441855</vt:i4>
      </vt:variant>
      <vt:variant>
        <vt:i4>20</vt:i4>
      </vt:variant>
      <vt:variant>
        <vt:i4>0</vt:i4>
      </vt:variant>
      <vt:variant>
        <vt:i4>5</vt:i4>
      </vt:variant>
      <vt:variant>
        <vt:lpwstr/>
      </vt:variant>
      <vt:variant>
        <vt:lpwstr>_Toc512605833</vt:lpwstr>
      </vt:variant>
      <vt:variant>
        <vt:i4>1441855</vt:i4>
      </vt:variant>
      <vt:variant>
        <vt:i4>14</vt:i4>
      </vt:variant>
      <vt:variant>
        <vt:i4>0</vt:i4>
      </vt:variant>
      <vt:variant>
        <vt:i4>5</vt:i4>
      </vt:variant>
      <vt:variant>
        <vt:lpwstr/>
      </vt:variant>
      <vt:variant>
        <vt:lpwstr>_Toc512605832</vt:lpwstr>
      </vt:variant>
      <vt:variant>
        <vt:i4>1441855</vt:i4>
      </vt:variant>
      <vt:variant>
        <vt:i4>8</vt:i4>
      </vt:variant>
      <vt:variant>
        <vt:i4>0</vt:i4>
      </vt:variant>
      <vt:variant>
        <vt:i4>5</vt:i4>
      </vt:variant>
      <vt:variant>
        <vt:lpwstr/>
      </vt:variant>
      <vt:variant>
        <vt:lpwstr>_Toc512605831</vt:lpwstr>
      </vt:variant>
      <vt:variant>
        <vt:i4>1441855</vt:i4>
      </vt:variant>
      <vt:variant>
        <vt:i4>2</vt:i4>
      </vt:variant>
      <vt:variant>
        <vt:i4>0</vt:i4>
      </vt:variant>
      <vt:variant>
        <vt:i4>5</vt:i4>
      </vt:variant>
      <vt:variant>
        <vt:lpwstr/>
      </vt:variant>
      <vt:variant>
        <vt:lpwstr>_Toc512605830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Wilson, Camille (ACF) (CTR)</cp:lastModifiedBy>
  <cp:revision>2</cp:revision>
  <cp:lastPrinted>2009-01-26T16:35:00Z</cp:lastPrinted>
  <dcterms:created xsi:type="dcterms:W3CDTF">2020-07-15T21:59:00Z</dcterms:created>
  <dcterms:modified xsi:type="dcterms:W3CDTF">2020-07-15T21:59:00Z</dcterms:modified>
</cp:coreProperties>
</file>