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3D7" w:rsidP="003213D7" w:rsidRDefault="003213D7">
      <w:pPr>
        <w:jc w:val="center"/>
        <w:rPr>
          <w:b/>
          <w:sz w:val="28"/>
          <w:szCs w:val="28"/>
        </w:rPr>
      </w:pPr>
      <w:r w:rsidRPr="00456179">
        <w:rPr>
          <w:b/>
          <w:sz w:val="28"/>
          <w:szCs w:val="28"/>
        </w:rPr>
        <w:t>SUPPORTING STATEMENT</w:t>
      </w:r>
    </w:p>
    <w:p w:rsidR="003213D7" w:rsidP="003213D7" w:rsidRDefault="003213D7">
      <w:pPr>
        <w:jc w:val="center"/>
        <w:rPr>
          <w:b/>
          <w:sz w:val="28"/>
          <w:szCs w:val="28"/>
        </w:rPr>
      </w:pPr>
    </w:p>
    <w:p w:rsidR="003213D7" w:rsidP="003213D7" w:rsidRDefault="003213D7">
      <w:pPr>
        <w:jc w:val="center"/>
        <w:rPr>
          <w:sz w:val="28"/>
          <w:szCs w:val="28"/>
        </w:rPr>
      </w:pPr>
      <w:r>
        <w:rPr>
          <w:b/>
          <w:sz w:val="28"/>
          <w:szCs w:val="28"/>
        </w:rPr>
        <w:t>Part B</w:t>
      </w:r>
    </w:p>
    <w:p w:rsidR="003213D7" w:rsidP="003213D7" w:rsidRDefault="003213D7">
      <w:pPr>
        <w:jc w:val="center"/>
        <w:rPr>
          <w:sz w:val="28"/>
          <w:szCs w:val="28"/>
        </w:rPr>
      </w:pPr>
    </w:p>
    <w:p w:rsidR="003213D7" w:rsidP="003213D7" w:rsidRDefault="003213D7">
      <w:pPr>
        <w:jc w:val="center"/>
        <w:rPr>
          <w:sz w:val="28"/>
          <w:szCs w:val="28"/>
        </w:rPr>
      </w:pPr>
    </w:p>
    <w:p w:rsidR="003213D7" w:rsidP="003213D7" w:rsidRDefault="003213D7">
      <w:pPr>
        <w:jc w:val="center"/>
        <w:rPr>
          <w:sz w:val="28"/>
          <w:szCs w:val="28"/>
        </w:rPr>
      </w:pPr>
    </w:p>
    <w:p w:rsidR="003213D7" w:rsidP="003213D7" w:rsidRDefault="003213D7">
      <w:pPr>
        <w:jc w:val="center"/>
        <w:rPr>
          <w:sz w:val="28"/>
          <w:szCs w:val="28"/>
        </w:rPr>
      </w:pPr>
    </w:p>
    <w:p w:rsidR="003213D7" w:rsidP="003213D7" w:rsidRDefault="003213D7">
      <w:pPr>
        <w:jc w:val="center"/>
        <w:rPr>
          <w:sz w:val="28"/>
          <w:szCs w:val="28"/>
        </w:rPr>
      </w:pPr>
    </w:p>
    <w:p w:rsidR="003213D7" w:rsidP="003213D7" w:rsidRDefault="003213D7">
      <w:pPr>
        <w:jc w:val="center"/>
        <w:rPr>
          <w:sz w:val="28"/>
          <w:szCs w:val="28"/>
        </w:rPr>
      </w:pPr>
    </w:p>
    <w:p w:rsidRPr="00790A59" w:rsidR="00FA43D0" w:rsidP="00FA43D0" w:rsidRDefault="00FA43D0">
      <w:pPr>
        <w:jc w:val="center"/>
        <w:rPr>
          <w:b/>
          <w:sz w:val="28"/>
          <w:szCs w:val="28"/>
          <w:u w:val="single"/>
        </w:rPr>
      </w:pPr>
      <w:r w:rsidRPr="00187B42">
        <w:rPr>
          <w:b/>
          <w:sz w:val="28"/>
          <w:szCs w:val="28"/>
        </w:rPr>
        <w:t>MEPS</w:t>
      </w:r>
      <w:r w:rsidRPr="00BB58AE">
        <w:rPr>
          <w:sz w:val="28"/>
          <w:szCs w:val="28"/>
        </w:rPr>
        <w:t xml:space="preserve"> </w:t>
      </w:r>
      <w:r w:rsidRPr="00187B42">
        <w:rPr>
          <w:b/>
          <w:sz w:val="28"/>
          <w:szCs w:val="28"/>
        </w:rPr>
        <w:t>Social and Health Experiences Self-Administered Questionnaire</w:t>
      </w:r>
      <w:r w:rsidRPr="00790A59" w:rsidR="003F28FB">
        <w:rPr>
          <w:rStyle w:val="CommentReference"/>
          <w:b/>
          <w:sz w:val="28"/>
          <w:szCs w:val="28"/>
          <w:u w:val="single"/>
        </w:rPr>
        <w:t xml:space="preserve"> </w:t>
      </w:r>
      <w:r w:rsidRPr="00A6617E" w:rsidR="003F28FB">
        <w:rPr>
          <w:rStyle w:val="CommentReference"/>
          <w:b/>
          <w:sz w:val="28"/>
          <w:szCs w:val="28"/>
        </w:rPr>
        <w:t>and COVID-19 Changes</w:t>
      </w:r>
    </w:p>
    <w:p w:rsidR="00FA43D0" w:rsidP="00FA43D0" w:rsidRDefault="00FA43D0">
      <w:pPr>
        <w:jc w:val="center"/>
        <w:rPr>
          <w:sz w:val="28"/>
          <w:szCs w:val="28"/>
        </w:rPr>
      </w:pPr>
    </w:p>
    <w:p w:rsidRPr="00B95455" w:rsidR="00FA43D0" w:rsidP="00FA43D0" w:rsidRDefault="00790A59">
      <w:pPr>
        <w:jc w:val="center"/>
        <w:rPr>
          <w:b/>
          <w:sz w:val="28"/>
          <w:szCs w:val="28"/>
        </w:rPr>
      </w:pPr>
      <w:r>
        <w:rPr>
          <w:b/>
          <w:sz w:val="28"/>
          <w:szCs w:val="28"/>
        </w:rPr>
        <w:t xml:space="preserve">June </w:t>
      </w:r>
      <w:r w:rsidR="00FA43D0">
        <w:rPr>
          <w:b/>
          <w:sz w:val="28"/>
          <w:szCs w:val="28"/>
        </w:rPr>
        <w:t>2020</w:t>
      </w:r>
    </w:p>
    <w:p w:rsidR="00D409D4" w:rsidP="00D409D4" w:rsidRDefault="00D409D4">
      <w:pPr>
        <w:jc w:val="center"/>
        <w:rPr>
          <w:i/>
          <w:sz w:val="28"/>
          <w:szCs w:val="28"/>
        </w:rPr>
      </w:pPr>
    </w:p>
    <w:p w:rsidRPr="00B95455" w:rsidR="003213D7" w:rsidP="003213D7" w:rsidRDefault="003213D7">
      <w:pPr>
        <w:jc w:val="center"/>
        <w:rPr>
          <w:b/>
          <w:sz w:val="28"/>
          <w:szCs w:val="28"/>
        </w:rPr>
      </w:pPr>
    </w:p>
    <w:p w:rsidR="003213D7" w:rsidP="003213D7" w:rsidRDefault="003213D7">
      <w:pPr>
        <w:jc w:val="center"/>
        <w:rPr>
          <w:i/>
          <w:sz w:val="28"/>
          <w:szCs w:val="28"/>
        </w:rPr>
      </w:pPr>
    </w:p>
    <w:p w:rsidR="003213D7" w:rsidP="003213D7" w:rsidRDefault="003213D7">
      <w:pPr>
        <w:jc w:val="center"/>
        <w:rPr>
          <w:sz w:val="28"/>
          <w:szCs w:val="28"/>
        </w:rPr>
      </w:pPr>
    </w:p>
    <w:p w:rsidR="003213D7" w:rsidP="003213D7" w:rsidRDefault="003213D7">
      <w:pPr>
        <w:jc w:val="center"/>
        <w:rPr>
          <w:sz w:val="28"/>
          <w:szCs w:val="28"/>
        </w:rPr>
      </w:pPr>
    </w:p>
    <w:p w:rsidR="003213D7" w:rsidP="003213D7" w:rsidRDefault="003213D7">
      <w:pPr>
        <w:jc w:val="center"/>
        <w:rPr>
          <w:sz w:val="28"/>
          <w:szCs w:val="28"/>
        </w:rPr>
      </w:pPr>
    </w:p>
    <w:p w:rsidR="003213D7" w:rsidP="003213D7" w:rsidRDefault="003213D7">
      <w:pPr>
        <w:jc w:val="center"/>
        <w:rPr>
          <w:sz w:val="28"/>
          <w:szCs w:val="28"/>
        </w:rPr>
      </w:pPr>
    </w:p>
    <w:p w:rsidR="003213D7" w:rsidP="003213D7" w:rsidRDefault="003213D7">
      <w:pPr>
        <w:jc w:val="center"/>
        <w:rPr>
          <w:sz w:val="28"/>
          <w:szCs w:val="28"/>
        </w:rPr>
      </w:pPr>
    </w:p>
    <w:p w:rsidR="003213D7" w:rsidP="003213D7" w:rsidRDefault="003213D7">
      <w:pPr>
        <w:jc w:val="center"/>
        <w:rPr>
          <w:sz w:val="28"/>
          <w:szCs w:val="28"/>
        </w:rPr>
      </w:pPr>
      <w:r w:rsidRPr="00677A0B">
        <w:rPr>
          <w:sz w:val="28"/>
          <w:szCs w:val="28"/>
        </w:rPr>
        <w:t xml:space="preserve">Agency </w:t>
      </w:r>
      <w:r w:rsidR="005A3ED1">
        <w:rPr>
          <w:sz w:val="28"/>
          <w:szCs w:val="28"/>
        </w:rPr>
        <w:t>for H</w:t>
      </w:r>
      <w:r w:rsidRPr="00677A0B">
        <w:rPr>
          <w:sz w:val="28"/>
          <w:szCs w:val="28"/>
        </w:rPr>
        <w:t>ealthcare Research and Quality (AHRQ)</w:t>
      </w:r>
    </w:p>
    <w:p w:rsidR="003213D7" w:rsidRDefault="003213D7">
      <w:pPr>
        <w:spacing w:after="200" w:line="276" w:lineRule="auto"/>
        <w:rPr>
          <w:sz w:val="28"/>
          <w:szCs w:val="28"/>
        </w:rPr>
      </w:pPr>
      <w:r>
        <w:rPr>
          <w:sz w:val="28"/>
          <w:szCs w:val="28"/>
        </w:rPr>
        <w:br w:type="page"/>
      </w:r>
    </w:p>
    <w:sdt>
      <w:sdtPr>
        <w:rPr>
          <w:rFonts w:ascii="Times New Roman" w:hAnsi="Times New Roman" w:eastAsia="Times New Roman" w:cs="Times New Roman"/>
          <w:b w:val="0"/>
          <w:bCs w:val="0"/>
          <w:color w:val="auto"/>
          <w:sz w:val="20"/>
          <w:szCs w:val="20"/>
        </w:rPr>
        <w:id w:val="26770410"/>
        <w:docPartObj>
          <w:docPartGallery w:val="Table of Contents"/>
          <w:docPartUnique/>
        </w:docPartObj>
      </w:sdtPr>
      <w:sdtEndPr/>
      <w:sdtContent>
        <w:p w:rsidRPr="00AF43A5" w:rsidR="00AF43A5" w:rsidP="00AF43A5" w:rsidRDefault="00AF43A5">
          <w:pPr>
            <w:pStyle w:val="TOCHeading"/>
            <w:spacing w:after="480"/>
            <w:rPr>
              <w:rFonts w:ascii="Times New Roman" w:hAnsi="Times New Roman" w:cs="Times New Roman"/>
            </w:rPr>
          </w:pPr>
          <w:r w:rsidRPr="00AF43A5">
            <w:rPr>
              <w:rFonts w:ascii="Times New Roman" w:hAnsi="Times New Roman" w:cs="Times New Roman"/>
            </w:rPr>
            <w:t>Table of Contents</w:t>
          </w:r>
        </w:p>
        <w:p w:rsidRPr="00AF43A5" w:rsidR="00AF43A5" w:rsidRDefault="00E342AB">
          <w:pPr>
            <w:pStyle w:val="TOC1"/>
            <w:tabs>
              <w:tab w:val="right" w:leader="dot" w:pos="9350"/>
            </w:tabs>
            <w:rPr>
              <w:rFonts w:ascii="Times New Roman" w:hAnsi="Times New Roman" w:cs="Times New Roman"/>
              <w:noProof/>
            </w:rPr>
          </w:pPr>
          <w:r w:rsidRPr="00AF43A5">
            <w:rPr>
              <w:rFonts w:ascii="Times New Roman" w:hAnsi="Times New Roman" w:cs="Times New Roman"/>
            </w:rPr>
            <w:fldChar w:fldCharType="begin"/>
          </w:r>
          <w:r w:rsidRPr="00AF43A5" w:rsidR="00AF43A5">
            <w:rPr>
              <w:rFonts w:ascii="Times New Roman" w:hAnsi="Times New Roman" w:cs="Times New Roman"/>
            </w:rPr>
            <w:instrText xml:space="preserve"> TOC \o "1-3" \h \z \u </w:instrText>
          </w:r>
          <w:r w:rsidRPr="00AF43A5">
            <w:rPr>
              <w:rFonts w:ascii="Times New Roman" w:hAnsi="Times New Roman" w:cs="Times New Roman"/>
            </w:rPr>
            <w:fldChar w:fldCharType="separate"/>
          </w:r>
          <w:hyperlink w:history="1" w:anchor="_Toc277862068">
            <w:r w:rsidRPr="00AF43A5" w:rsidR="00AF43A5">
              <w:rPr>
                <w:rStyle w:val="Hyperlink"/>
                <w:rFonts w:ascii="Times New Roman" w:hAnsi="Times New Roman" w:cs="Times New Roman"/>
                <w:noProof/>
              </w:rPr>
              <w:t>B.  STATISTICAL METHODS</w:t>
            </w:r>
            <w:r w:rsidRPr="00AF43A5" w:rsidR="00AF43A5">
              <w:rPr>
                <w:rFonts w:ascii="Times New Roman" w:hAnsi="Times New Roman" w:cs="Times New Roman"/>
                <w:noProof/>
                <w:webHidden/>
              </w:rPr>
              <w:tab/>
            </w:r>
            <w:r w:rsidRPr="00AF43A5">
              <w:rPr>
                <w:rFonts w:ascii="Times New Roman" w:hAnsi="Times New Roman" w:cs="Times New Roman"/>
                <w:noProof/>
                <w:webHidden/>
              </w:rPr>
              <w:fldChar w:fldCharType="begin"/>
            </w:r>
            <w:r w:rsidRPr="00AF43A5" w:rsidR="00AF43A5">
              <w:rPr>
                <w:rFonts w:ascii="Times New Roman" w:hAnsi="Times New Roman" w:cs="Times New Roman"/>
                <w:noProof/>
                <w:webHidden/>
              </w:rPr>
              <w:instrText xml:space="preserve"> PAGEREF _Toc277862068 \h </w:instrText>
            </w:r>
            <w:r w:rsidRPr="00AF43A5">
              <w:rPr>
                <w:rFonts w:ascii="Times New Roman" w:hAnsi="Times New Roman" w:cs="Times New Roman"/>
                <w:noProof/>
                <w:webHidden/>
              </w:rPr>
            </w:r>
            <w:r w:rsidRPr="00AF43A5">
              <w:rPr>
                <w:rFonts w:ascii="Times New Roman" w:hAnsi="Times New Roman" w:cs="Times New Roman"/>
                <w:noProof/>
                <w:webHidden/>
              </w:rPr>
              <w:fldChar w:fldCharType="separate"/>
            </w:r>
            <w:r w:rsidR="00311012">
              <w:rPr>
                <w:rFonts w:ascii="Times New Roman" w:hAnsi="Times New Roman" w:cs="Times New Roman"/>
                <w:noProof/>
                <w:webHidden/>
              </w:rPr>
              <w:t>3</w:t>
            </w:r>
            <w:r w:rsidRPr="00AF43A5">
              <w:rPr>
                <w:rFonts w:ascii="Times New Roman" w:hAnsi="Times New Roman" w:cs="Times New Roman"/>
                <w:noProof/>
                <w:webHidden/>
              </w:rPr>
              <w:fldChar w:fldCharType="end"/>
            </w:r>
          </w:hyperlink>
        </w:p>
        <w:p w:rsidRPr="00AF43A5" w:rsidR="00AF43A5" w:rsidRDefault="00EA07C4">
          <w:pPr>
            <w:pStyle w:val="TOC2"/>
            <w:tabs>
              <w:tab w:val="right" w:leader="dot" w:pos="9350"/>
            </w:tabs>
            <w:rPr>
              <w:rFonts w:ascii="Times New Roman" w:hAnsi="Times New Roman" w:cs="Times New Roman"/>
              <w:noProof/>
            </w:rPr>
          </w:pPr>
          <w:hyperlink w:history="1" w:anchor="_Toc277862069">
            <w:r w:rsidRPr="00AF43A5" w:rsidR="00AF43A5">
              <w:rPr>
                <w:rStyle w:val="Hyperlink"/>
                <w:rFonts w:ascii="Times New Roman" w:hAnsi="Times New Roman" w:cs="Times New Roman"/>
                <w:noProof/>
              </w:rPr>
              <w:t>1.  Potential Respondent Universe and Sample Selection Method</w:t>
            </w:r>
            <w:r w:rsidRPr="00AF43A5" w:rsidR="00AF43A5">
              <w:rPr>
                <w:rFonts w:ascii="Times New Roman" w:hAnsi="Times New Roman" w:cs="Times New Roman"/>
                <w:noProof/>
                <w:webHidden/>
              </w:rPr>
              <w:tab/>
            </w:r>
            <w:r w:rsidRPr="00AF43A5" w:rsidR="00E342AB">
              <w:rPr>
                <w:rFonts w:ascii="Times New Roman" w:hAnsi="Times New Roman" w:cs="Times New Roman"/>
                <w:noProof/>
                <w:webHidden/>
              </w:rPr>
              <w:fldChar w:fldCharType="begin"/>
            </w:r>
            <w:r w:rsidRPr="00AF43A5" w:rsidR="00AF43A5">
              <w:rPr>
                <w:rFonts w:ascii="Times New Roman" w:hAnsi="Times New Roman" w:cs="Times New Roman"/>
                <w:noProof/>
                <w:webHidden/>
              </w:rPr>
              <w:instrText xml:space="preserve"> PAGEREF _Toc277862069 \h </w:instrText>
            </w:r>
            <w:r w:rsidRPr="00AF43A5" w:rsidR="00E342AB">
              <w:rPr>
                <w:rFonts w:ascii="Times New Roman" w:hAnsi="Times New Roman" w:cs="Times New Roman"/>
                <w:noProof/>
                <w:webHidden/>
              </w:rPr>
            </w:r>
            <w:r w:rsidRPr="00AF43A5" w:rsidR="00E342AB">
              <w:rPr>
                <w:rFonts w:ascii="Times New Roman" w:hAnsi="Times New Roman" w:cs="Times New Roman"/>
                <w:noProof/>
                <w:webHidden/>
              </w:rPr>
              <w:fldChar w:fldCharType="separate"/>
            </w:r>
            <w:r w:rsidR="00311012">
              <w:rPr>
                <w:rFonts w:ascii="Times New Roman" w:hAnsi="Times New Roman" w:cs="Times New Roman"/>
                <w:noProof/>
                <w:webHidden/>
              </w:rPr>
              <w:t>3</w:t>
            </w:r>
            <w:r w:rsidRPr="00AF43A5" w:rsidR="00E342AB">
              <w:rPr>
                <w:rFonts w:ascii="Times New Roman" w:hAnsi="Times New Roman" w:cs="Times New Roman"/>
                <w:noProof/>
                <w:webHidden/>
              </w:rPr>
              <w:fldChar w:fldCharType="end"/>
            </w:r>
          </w:hyperlink>
        </w:p>
        <w:p w:rsidRPr="00AF43A5" w:rsidR="00AF43A5" w:rsidRDefault="00EA07C4">
          <w:pPr>
            <w:pStyle w:val="TOC2"/>
            <w:tabs>
              <w:tab w:val="right" w:leader="dot" w:pos="9350"/>
            </w:tabs>
            <w:rPr>
              <w:rFonts w:ascii="Times New Roman" w:hAnsi="Times New Roman" w:cs="Times New Roman"/>
              <w:noProof/>
            </w:rPr>
          </w:pPr>
          <w:hyperlink w:history="1" w:anchor="_Toc277862070">
            <w:r w:rsidRPr="00AF43A5" w:rsidR="00AF43A5">
              <w:rPr>
                <w:rStyle w:val="Hyperlink"/>
                <w:rFonts w:ascii="Times New Roman" w:hAnsi="Times New Roman" w:cs="Times New Roman"/>
                <w:noProof/>
              </w:rPr>
              <w:t>2.  Information Collection Procedures</w:t>
            </w:r>
            <w:r w:rsidRPr="00AF43A5" w:rsidR="00AF43A5">
              <w:rPr>
                <w:rFonts w:ascii="Times New Roman" w:hAnsi="Times New Roman" w:cs="Times New Roman"/>
                <w:noProof/>
                <w:webHidden/>
              </w:rPr>
              <w:tab/>
            </w:r>
            <w:r w:rsidRPr="00AF43A5" w:rsidR="00E342AB">
              <w:rPr>
                <w:rFonts w:ascii="Times New Roman" w:hAnsi="Times New Roman" w:cs="Times New Roman"/>
                <w:noProof/>
                <w:webHidden/>
              </w:rPr>
              <w:fldChar w:fldCharType="begin"/>
            </w:r>
            <w:r w:rsidRPr="00AF43A5" w:rsidR="00AF43A5">
              <w:rPr>
                <w:rFonts w:ascii="Times New Roman" w:hAnsi="Times New Roman" w:cs="Times New Roman"/>
                <w:noProof/>
                <w:webHidden/>
              </w:rPr>
              <w:instrText xml:space="preserve"> PAGEREF _Toc277862070 \h </w:instrText>
            </w:r>
            <w:r w:rsidRPr="00AF43A5" w:rsidR="00E342AB">
              <w:rPr>
                <w:rFonts w:ascii="Times New Roman" w:hAnsi="Times New Roman" w:cs="Times New Roman"/>
                <w:noProof/>
                <w:webHidden/>
              </w:rPr>
            </w:r>
            <w:r w:rsidRPr="00AF43A5" w:rsidR="00E342AB">
              <w:rPr>
                <w:rFonts w:ascii="Times New Roman" w:hAnsi="Times New Roman" w:cs="Times New Roman"/>
                <w:noProof/>
                <w:webHidden/>
              </w:rPr>
              <w:fldChar w:fldCharType="separate"/>
            </w:r>
            <w:r w:rsidR="00311012">
              <w:rPr>
                <w:rFonts w:ascii="Times New Roman" w:hAnsi="Times New Roman" w:cs="Times New Roman"/>
                <w:noProof/>
                <w:webHidden/>
              </w:rPr>
              <w:t>4</w:t>
            </w:r>
            <w:r w:rsidRPr="00AF43A5" w:rsidR="00E342AB">
              <w:rPr>
                <w:rFonts w:ascii="Times New Roman" w:hAnsi="Times New Roman" w:cs="Times New Roman"/>
                <w:noProof/>
                <w:webHidden/>
              </w:rPr>
              <w:fldChar w:fldCharType="end"/>
            </w:r>
          </w:hyperlink>
        </w:p>
        <w:p w:rsidRPr="00AF43A5" w:rsidR="00AF43A5" w:rsidRDefault="00EA07C4">
          <w:pPr>
            <w:pStyle w:val="TOC2"/>
            <w:tabs>
              <w:tab w:val="right" w:leader="dot" w:pos="9350"/>
            </w:tabs>
            <w:rPr>
              <w:rFonts w:ascii="Times New Roman" w:hAnsi="Times New Roman" w:cs="Times New Roman"/>
              <w:noProof/>
            </w:rPr>
          </w:pPr>
          <w:hyperlink w:history="1" w:anchor="_Toc277862071">
            <w:r w:rsidRPr="00AF43A5" w:rsidR="00AF43A5">
              <w:rPr>
                <w:rStyle w:val="Hyperlink"/>
                <w:rFonts w:ascii="Times New Roman" w:hAnsi="Times New Roman" w:cs="Times New Roman"/>
                <w:noProof/>
              </w:rPr>
              <w:t>3.  Methods to Maximize Response Rate</w:t>
            </w:r>
            <w:r w:rsidRPr="00AF43A5" w:rsidR="00AF43A5">
              <w:rPr>
                <w:rFonts w:ascii="Times New Roman" w:hAnsi="Times New Roman" w:cs="Times New Roman"/>
                <w:noProof/>
                <w:webHidden/>
              </w:rPr>
              <w:tab/>
            </w:r>
            <w:r w:rsidRPr="00AF43A5" w:rsidR="00E342AB">
              <w:rPr>
                <w:rFonts w:ascii="Times New Roman" w:hAnsi="Times New Roman" w:cs="Times New Roman"/>
                <w:noProof/>
                <w:webHidden/>
              </w:rPr>
              <w:fldChar w:fldCharType="begin"/>
            </w:r>
            <w:r w:rsidRPr="00AF43A5" w:rsidR="00AF43A5">
              <w:rPr>
                <w:rFonts w:ascii="Times New Roman" w:hAnsi="Times New Roman" w:cs="Times New Roman"/>
                <w:noProof/>
                <w:webHidden/>
              </w:rPr>
              <w:instrText xml:space="preserve"> PAGEREF _Toc277862071 \h </w:instrText>
            </w:r>
            <w:r w:rsidRPr="00AF43A5" w:rsidR="00E342AB">
              <w:rPr>
                <w:rFonts w:ascii="Times New Roman" w:hAnsi="Times New Roman" w:cs="Times New Roman"/>
                <w:noProof/>
                <w:webHidden/>
              </w:rPr>
            </w:r>
            <w:r w:rsidRPr="00AF43A5" w:rsidR="00E342AB">
              <w:rPr>
                <w:rFonts w:ascii="Times New Roman" w:hAnsi="Times New Roman" w:cs="Times New Roman"/>
                <w:noProof/>
                <w:webHidden/>
              </w:rPr>
              <w:fldChar w:fldCharType="separate"/>
            </w:r>
            <w:r w:rsidR="00311012">
              <w:rPr>
                <w:rFonts w:ascii="Times New Roman" w:hAnsi="Times New Roman" w:cs="Times New Roman"/>
                <w:noProof/>
                <w:webHidden/>
              </w:rPr>
              <w:t>4</w:t>
            </w:r>
            <w:r w:rsidRPr="00AF43A5" w:rsidR="00E342AB">
              <w:rPr>
                <w:rFonts w:ascii="Times New Roman" w:hAnsi="Times New Roman" w:cs="Times New Roman"/>
                <w:noProof/>
                <w:webHidden/>
              </w:rPr>
              <w:fldChar w:fldCharType="end"/>
            </w:r>
          </w:hyperlink>
        </w:p>
        <w:p w:rsidRPr="00AF43A5" w:rsidR="00AF43A5" w:rsidRDefault="00EA07C4">
          <w:pPr>
            <w:pStyle w:val="TOC2"/>
            <w:tabs>
              <w:tab w:val="right" w:leader="dot" w:pos="9350"/>
            </w:tabs>
            <w:rPr>
              <w:rFonts w:ascii="Times New Roman" w:hAnsi="Times New Roman" w:cs="Times New Roman"/>
              <w:noProof/>
            </w:rPr>
          </w:pPr>
          <w:hyperlink w:history="1" w:anchor="_Toc277862072">
            <w:r w:rsidRPr="00AF43A5" w:rsidR="00AF43A5">
              <w:rPr>
                <w:rStyle w:val="Hyperlink"/>
                <w:rFonts w:ascii="Times New Roman" w:hAnsi="Times New Roman" w:cs="Times New Roman"/>
                <w:noProof/>
              </w:rPr>
              <w:t>4.  Tests of Procedures</w:t>
            </w:r>
            <w:r w:rsidRPr="00AF43A5" w:rsidR="00AF43A5">
              <w:rPr>
                <w:rFonts w:ascii="Times New Roman" w:hAnsi="Times New Roman" w:cs="Times New Roman"/>
                <w:noProof/>
                <w:webHidden/>
              </w:rPr>
              <w:tab/>
            </w:r>
            <w:r w:rsidRPr="00AF43A5" w:rsidR="00E342AB">
              <w:rPr>
                <w:rFonts w:ascii="Times New Roman" w:hAnsi="Times New Roman" w:cs="Times New Roman"/>
                <w:noProof/>
                <w:webHidden/>
              </w:rPr>
              <w:fldChar w:fldCharType="begin"/>
            </w:r>
            <w:r w:rsidRPr="00AF43A5" w:rsidR="00AF43A5">
              <w:rPr>
                <w:rFonts w:ascii="Times New Roman" w:hAnsi="Times New Roman" w:cs="Times New Roman"/>
                <w:noProof/>
                <w:webHidden/>
              </w:rPr>
              <w:instrText xml:space="preserve"> PAGEREF _Toc277862072 \h </w:instrText>
            </w:r>
            <w:r w:rsidRPr="00AF43A5" w:rsidR="00E342AB">
              <w:rPr>
                <w:rFonts w:ascii="Times New Roman" w:hAnsi="Times New Roman" w:cs="Times New Roman"/>
                <w:noProof/>
                <w:webHidden/>
              </w:rPr>
            </w:r>
            <w:r w:rsidRPr="00AF43A5" w:rsidR="00E342AB">
              <w:rPr>
                <w:rFonts w:ascii="Times New Roman" w:hAnsi="Times New Roman" w:cs="Times New Roman"/>
                <w:noProof/>
                <w:webHidden/>
              </w:rPr>
              <w:fldChar w:fldCharType="separate"/>
            </w:r>
            <w:r w:rsidR="00311012">
              <w:rPr>
                <w:rFonts w:ascii="Times New Roman" w:hAnsi="Times New Roman" w:cs="Times New Roman"/>
                <w:noProof/>
                <w:webHidden/>
              </w:rPr>
              <w:t>5</w:t>
            </w:r>
            <w:r w:rsidRPr="00AF43A5" w:rsidR="00E342AB">
              <w:rPr>
                <w:rFonts w:ascii="Times New Roman" w:hAnsi="Times New Roman" w:cs="Times New Roman"/>
                <w:noProof/>
                <w:webHidden/>
              </w:rPr>
              <w:fldChar w:fldCharType="end"/>
            </w:r>
          </w:hyperlink>
        </w:p>
        <w:p w:rsidRPr="00AF43A5" w:rsidR="00AF43A5" w:rsidRDefault="00EA07C4">
          <w:pPr>
            <w:pStyle w:val="TOC2"/>
            <w:tabs>
              <w:tab w:val="right" w:leader="dot" w:pos="9350"/>
            </w:tabs>
            <w:rPr>
              <w:rFonts w:ascii="Times New Roman" w:hAnsi="Times New Roman" w:cs="Times New Roman"/>
              <w:noProof/>
            </w:rPr>
          </w:pPr>
          <w:hyperlink w:history="1" w:anchor="_Toc277862073">
            <w:r w:rsidRPr="00AF43A5" w:rsidR="00AF43A5">
              <w:rPr>
                <w:rStyle w:val="Hyperlink"/>
                <w:rFonts w:ascii="Times New Roman" w:hAnsi="Times New Roman" w:cs="Times New Roman"/>
                <w:noProof/>
              </w:rPr>
              <w:t>5.  Statistical Consultation and Independent Review</w:t>
            </w:r>
            <w:r w:rsidRPr="00AF43A5" w:rsidR="00AF43A5">
              <w:rPr>
                <w:rFonts w:ascii="Times New Roman" w:hAnsi="Times New Roman" w:cs="Times New Roman"/>
                <w:noProof/>
                <w:webHidden/>
              </w:rPr>
              <w:tab/>
            </w:r>
            <w:r w:rsidRPr="00AF43A5" w:rsidR="00E342AB">
              <w:rPr>
                <w:rFonts w:ascii="Times New Roman" w:hAnsi="Times New Roman" w:cs="Times New Roman"/>
                <w:noProof/>
                <w:webHidden/>
              </w:rPr>
              <w:fldChar w:fldCharType="begin"/>
            </w:r>
            <w:r w:rsidRPr="00AF43A5" w:rsidR="00AF43A5">
              <w:rPr>
                <w:rFonts w:ascii="Times New Roman" w:hAnsi="Times New Roman" w:cs="Times New Roman"/>
                <w:noProof/>
                <w:webHidden/>
              </w:rPr>
              <w:instrText xml:space="preserve"> PAGEREF _Toc277862073 \h </w:instrText>
            </w:r>
            <w:r w:rsidRPr="00AF43A5" w:rsidR="00E342AB">
              <w:rPr>
                <w:rFonts w:ascii="Times New Roman" w:hAnsi="Times New Roman" w:cs="Times New Roman"/>
                <w:noProof/>
                <w:webHidden/>
              </w:rPr>
            </w:r>
            <w:r w:rsidRPr="00AF43A5" w:rsidR="00E342AB">
              <w:rPr>
                <w:rFonts w:ascii="Times New Roman" w:hAnsi="Times New Roman" w:cs="Times New Roman"/>
                <w:noProof/>
                <w:webHidden/>
              </w:rPr>
              <w:fldChar w:fldCharType="separate"/>
            </w:r>
            <w:r w:rsidR="00311012">
              <w:rPr>
                <w:rFonts w:ascii="Times New Roman" w:hAnsi="Times New Roman" w:cs="Times New Roman"/>
                <w:noProof/>
                <w:webHidden/>
              </w:rPr>
              <w:t>5</w:t>
            </w:r>
            <w:r w:rsidRPr="00AF43A5" w:rsidR="00E342AB">
              <w:rPr>
                <w:rFonts w:ascii="Times New Roman" w:hAnsi="Times New Roman" w:cs="Times New Roman"/>
                <w:noProof/>
                <w:webHidden/>
              </w:rPr>
              <w:fldChar w:fldCharType="end"/>
            </w:r>
          </w:hyperlink>
        </w:p>
        <w:p w:rsidR="00AF43A5" w:rsidRDefault="00E342AB">
          <w:r w:rsidRPr="00AF43A5">
            <w:fldChar w:fldCharType="end"/>
          </w:r>
        </w:p>
      </w:sdtContent>
    </w:sdt>
    <w:p w:rsidR="003213D7" w:rsidRDefault="003213D7">
      <w:pPr>
        <w:spacing w:after="200" w:line="276" w:lineRule="auto"/>
        <w:rPr>
          <w:b/>
          <w:sz w:val="24"/>
          <w:szCs w:val="24"/>
        </w:rPr>
      </w:pPr>
      <w:r>
        <w:rPr>
          <w:b/>
          <w:sz w:val="24"/>
          <w:szCs w:val="24"/>
        </w:rPr>
        <w:br w:type="page"/>
      </w:r>
    </w:p>
    <w:p w:rsidRPr="00BD4B77" w:rsidR="003213D7" w:rsidP="00AF43A5" w:rsidRDefault="003213D7">
      <w:pPr>
        <w:pStyle w:val="Heading1"/>
        <w:rPr>
          <w:rFonts w:ascii="Arial" w:hAnsi="Arial" w:cs="Arial"/>
          <w:color w:val="auto"/>
          <w:sz w:val="24"/>
          <w:szCs w:val="24"/>
        </w:rPr>
      </w:pPr>
      <w:bookmarkStart w:name="_Toc277862068" w:id="0"/>
      <w:r w:rsidRPr="00BD4B77">
        <w:rPr>
          <w:rFonts w:ascii="Arial" w:hAnsi="Arial" w:cs="Arial"/>
          <w:color w:val="auto"/>
          <w:sz w:val="24"/>
          <w:szCs w:val="24"/>
        </w:rPr>
        <w:lastRenderedPageBreak/>
        <w:t>B.  STATISTICAL METHODS</w:t>
      </w:r>
      <w:bookmarkEnd w:id="0"/>
    </w:p>
    <w:p w:rsidRPr="00BD4B77" w:rsidR="003213D7" w:rsidP="003213D7" w:rsidRDefault="003213D7">
      <w:pPr>
        <w:rPr>
          <w:rFonts w:ascii="Arial" w:hAnsi="Arial" w:cs="Arial"/>
          <w:sz w:val="24"/>
          <w:szCs w:val="24"/>
        </w:rPr>
      </w:pPr>
    </w:p>
    <w:p w:rsidR="003213D7" w:rsidP="00BD4B77" w:rsidRDefault="003213D7">
      <w:pPr>
        <w:pStyle w:val="Heading2"/>
        <w:rPr>
          <w:rFonts w:ascii="Arial" w:hAnsi="Arial" w:cs="Arial"/>
          <w:b w:val="0"/>
          <w:color w:val="auto"/>
          <w:sz w:val="24"/>
          <w:szCs w:val="24"/>
          <w:u w:val="single"/>
        </w:rPr>
      </w:pPr>
      <w:r w:rsidRPr="00BD4B77">
        <w:rPr>
          <w:rFonts w:ascii="Arial" w:hAnsi="Arial" w:cs="Arial"/>
          <w:b w:val="0"/>
          <w:color w:val="auto"/>
          <w:sz w:val="24"/>
          <w:szCs w:val="24"/>
        </w:rPr>
        <w:t xml:space="preserve">1.  </w:t>
      </w:r>
      <w:bookmarkStart w:name="_Toc277862069" w:id="1"/>
      <w:r w:rsidRPr="00BD4B77">
        <w:rPr>
          <w:rFonts w:ascii="Arial" w:hAnsi="Arial" w:cs="Arial"/>
          <w:b w:val="0"/>
          <w:color w:val="auto"/>
          <w:sz w:val="24"/>
          <w:szCs w:val="24"/>
          <w:u w:val="single"/>
        </w:rPr>
        <w:t>Potential Respondent Universe and Sample Selection Method</w:t>
      </w:r>
      <w:bookmarkEnd w:id="1"/>
    </w:p>
    <w:p w:rsidR="00A74BC8" w:rsidP="00A74BC8" w:rsidRDefault="00A74BC8"/>
    <w:p w:rsidRPr="00311012" w:rsidR="00D53BC6" w:rsidRDefault="00D53BC6">
      <w:pPr>
        <w:rPr>
          <w:sz w:val="24"/>
          <w:szCs w:val="24"/>
        </w:rPr>
      </w:pPr>
      <w:r w:rsidRPr="00D53BC6">
        <w:rPr>
          <w:sz w:val="24"/>
          <w:szCs w:val="24"/>
        </w:rPr>
        <w:t xml:space="preserve">The </w:t>
      </w:r>
      <w:r w:rsidRPr="00311012" w:rsidR="000A43AA">
        <w:rPr>
          <w:sz w:val="24"/>
          <w:szCs w:val="24"/>
        </w:rPr>
        <w:t>Medical Expenditure Panel Survey (</w:t>
      </w:r>
      <w:r w:rsidRPr="00311012">
        <w:rPr>
          <w:sz w:val="24"/>
          <w:szCs w:val="24"/>
        </w:rPr>
        <w:t>MEPS</w:t>
      </w:r>
      <w:r w:rsidRPr="00311012" w:rsidR="000A43AA">
        <w:rPr>
          <w:sz w:val="24"/>
          <w:szCs w:val="24"/>
        </w:rPr>
        <w:t>)</w:t>
      </w:r>
      <w:r w:rsidRPr="00311012">
        <w:rPr>
          <w:sz w:val="24"/>
          <w:szCs w:val="24"/>
        </w:rPr>
        <w:t xml:space="preserve"> </w:t>
      </w:r>
      <w:r w:rsidRPr="00311012" w:rsidR="00C451B7">
        <w:rPr>
          <w:sz w:val="24"/>
          <w:szCs w:val="24"/>
        </w:rPr>
        <w:t xml:space="preserve">Social and Health Experiences </w:t>
      </w:r>
      <w:r w:rsidRPr="00311012">
        <w:rPr>
          <w:sz w:val="24"/>
          <w:szCs w:val="24"/>
        </w:rPr>
        <w:t xml:space="preserve">SAQ </w:t>
      </w:r>
      <w:r w:rsidRPr="00311012" w:rsidR="00A46469">
        <w:rPr>
          <w:sz w:val="24"/>
          <w:szCs w:val="24"/>
        </w:rPr>
        <w:t xml:space="preserve">and new questions related to COVID-19 </w:t>
      </w:r>
      <w:r w:rsidRPr="00311012" w:rsidR="00790A59">
        <w:rPr>
          <w:sz w:val="24"/>
          <w:szCs w:val="24"/>
        </w:rPr>
        <w:t xml:space="preserve">including </w:t>
      </w:r>
      <w:r w:rsidRPr="00311012" w:rsidR="00A46469">
        <w:rPr>
          <w:sz w:val="24"/>
          <w:szCs w:val="24"/>
        </w:rPr>
        <w:t>telehealth</w:t>
      </w:r>
      <w:r w:rsidRPr="00311012" w:rsidR="00790A59">
        <w:rPr>
          <w:sz w:val="24"/>
          <w:szCs w:val="24"/>
        </w:rPr>
        <w:t xml:space="preserve"> (telemedicine)</w:t>
      </w:r>
      <w:r w:rsidRPr="00311012" w:rsidR="00A46469">
        <w:rPr>
          <w:sz w:val="24"/>
          <w:szCs w:val="24"/>
        </w:rPr>
        <w:t xml:space="preserve"> </w:t>
      </w:r>
      <w:r w:rsidRPr="00311012">
        <w:rPr>
          <w:sz w:val="24"/>
          <w:szCs w:val="24"/>
        </w:rPr>
        <w:t xml:space="preserve">will be fielded as part of the MEPS.  The MEPS is a nationally representative sample of households </w:t>
      </w:r>
      <w:r w:rsidRPr="00311012">
        <w:rPr>
          <w:sz w:val="22"/>
          <w:szCs w:val="22"/>
        </w:rPr>
        <w:t xml:space="preserve">within the United States.  </w:t>
      </w:r>
      <w:r w:rsidRPr="00311012">
        <w:rPr>
          <w:sz w:val="24"/>
          <w:szCs w:val="24"/>
        </w:rPr>
        <w:t xml:space="preserve">For a detailed description of the MEPS sample design see </w:t>
      </w:r>
      <w:r w:rsidRPr="00311012" w:rsidR="0001021C">
        <w:rPr>
          <w:sz w:val="24"/>
          <w:szCs w:val="24"/>
        </w:rPr>
        <w:t xml:space="preserve">Chowdhury, S.R., Machlin, S.R., </w:t>
      </w:r>
      <w:r w:rsidRPr="00311012" w:rsidR="0007240F">
        <w:rPr>
          <w:sz w:val="24"/>
          <w:szCs w:val="24"/>
        </w:rPr>
        <w:t>and Gwet</w:t>
      </w:r>
      <w:r w:rsidRPr="00311012" w:rsidR="0001021C">
        <w:rPr>
          <w:sz w:val="24"/>
          <w:szCs w:val="24"/>
        </w:rPr>
        <w:t xml:space="preserve">, K.L. </w:t>
      </w:r>
      <w:r w:rsidRPr="00311012" w:rsidR="0001021C">
        <w:rPr>
          <w:i/>
          <w:iCs/>
          <w:sz w:val="24"/>
          <w:szCs w:val="24"/>
        </w:rPr>
        <w:t>Sample Designs of the Medical Expenditure Panel Survey Household Component, 1996–2006 and 2007–2016</w:t>
      </w:r>
      <w:r w:rsidRPr="00311012" w:rsidR="0001021C">
        <w:rPr>
          <w:sz w:val="24"/>
          <w:szCs w:val="24"/>
        </w:rPr>
        <w:t xml:space="preserve">. Methodology Report #33. January 2019. Agency for Healthcare Research and Quality, Rockville, MD. </w:t>
      </w:r>
      <w:hyperlink w:history="1" r:id="rId8">
        <w:r w:rsidRPr="00311012" w:rsidR="0001021C">
          <w:rPr>
            <w:rStyle w:val="Hyperlink"/>
            <w:sz w:val="24"/>
            <w:szCs w:val="24"/>
          </w:rPr>
          <w:t>https://meps.ahrq.gov/data_files/publications/mr33/mr33.shtml</w:t>
        </w:r>
      </w:hyperlink>
      <w:r w:rsidRPr="00311012">
        <w:rPr>
          <w:sz w:val="24"/>
          <w:szCs w:val="24"/>
        </w:rPr>
        <w:t xml:space="preserve"> </w:t>
      </w:r>
    </w:p>
    <w:p w:rsidRPr="00311012" w:rsidR="00D53BC6" w:rsidP="00FD34B2" w:rsidRDefault="00D53BC6">
      <w:pPr>
        <w:rPr>
          <w:sz w:val="24"/>
          <w:szCs w:val="24"/>
        </w:rPr>
      </w:pPr>
    </w:p>
    <w:p w:rsidR="00AC7E85" w:rsidP="007E72C9" w:rsidRDefault="00A46469">
      <w:pPr>
        <w:rPr>
          <w:sz w:val="24"/>
          <w:szCs w:val="24"/>
        </w:rPr>
      </w:pPr>
      <w:r w:rsidRPr="00311012">
        <w:rPr>
          <w:sz w:val="24"/>
          <w:szCs w:val="24"/>
        </w:rPr>
        <w:t xml:space="preserve">The new CAPI questions collecting information about COVID-19 </w:t>
      </w:r>
      <w:r w:rsidRPr="00311012" w:rsidR="00790A59">
        <w:rPr>
          <w:sz w:val="24"/>
          <w:szCs w:val="24"/>
        </w:rPr>
        <w:t xml:space="preserve">including </w:t>
      </w:r>
      <w:r w:rsidRPr="00311012">
        <w:rPr>
          <w:sz w:val="24"/>
          <w:szCs w:val="24"/>
        </w:rPr>
        <w:t xml:space="preserve">telehealth </w:t>
      </w:r>
      <w:r w:rsidRPr="00311012" w:rsidR="00790A59">
        <w:rPr>
          <w:sz w:val="24"/>
          <w:szCs w:val="24"/>
        </w:rPr>
        <w:t xml:space="preserve">(telemedicine) questions </w:t>
      </w:r>
      <w:r w:rsidRPr="00311012">
        <w:rPr>
          <w:sz w:val="24"/>
          <w:szCs w:val="24"/>
        </w:rPr>
        <w:t xml:space="preserve">will be integrated into the core interview for MEPS beginning in January 2021 for Panel 24 Round 5, Panel 25 Round 3, and Panel 26 Round 1 data collection.  The questions on COVID-19 capture information on any delays in care resulting from COVID-19.  The will be administered through an RU level gate question </w:t>
      </w:r>
      <w:r w:rsidRPr="00311012" w:rsidR="00AC7E85">
        <w:rPr>
          <w:sz w:val="24"/>
          <w:szCs w:val="24"/>
        </w:rPr>
        <w:t xml:space="preserve">with follow up questions asked at a person level.  Telehealth (telemedicine) will be administered as its own event type with questions and probes mirroring those used for in-person medical provider visits.  The information collected on COVID-19 and telehealth </w:t>
      </w:r>
      <w:r w:rsidRPr="00311012" w:rsidR="00790A59">
        <w:rPr>
          <w:sz w:val="24"/>
          <w:szCs w:val="24"/>
        </w:rPr>
        <w:t xml:space="preserve">(telemedicine) </w:t>
      </w:r>
      <w:r w:rsidRPr="00311012" w:rsidR="00AC7E85">
        <w:rPr>
          <w:sz w:val="24"/>
          <w:szCs w:val="24"/>
        </w:rPr>
        <w:t>will be folded into the regular processing stream of MEPS data to produce estimates of health care utilization and expenditures.</w:t>
      </w:r>
      <w:r w:rsidRPr="00311012" w:rsidR="00B72A15">
        <w:rPr>
          <w:sz w:val="24"/>
          <w:szCs w:val="24"/>
        </w:rPr>
        <w:t xml:space="preserve"> </w:t>
      </w:r>
      <w:r w:rsidRPr="00311012" w:rsidR="0007240F">
        <w:rPr>
          <w:sz w:val="24"/>
          <w:szCs w:val="24"/>
        </w:rPr>
        <w:t>The increase</w:t>
      </w:r>
      <w:r w:rsidRPr="00311012" w:rsidR="00B72A15">
        <w:rPr>
          <w:sz w:val="24"/>
          <w:szCs w:val="24"/>
        </w:rPr>
        <w:t xml:space="preserve"> in burden</w:t>
      </w:r>
      <w:r w:rsidRPr="00311012" w:rsidR="005E25D4">
        <w:rPr>
          <w:sz w:val="24"/>
          <w:szCs w:val="24"/>
        </w:rPr>
        <w:t xml:space="preserve"> associated with the addition of these items to the core CAPI questionnaire </w:t>
      </w:r>
      <w:r w:rsidRPr="00311012" w:rsidR="00B72A15">
        <w:rPr>
          <w:sz w:val="24"/>
          <w:szCs w:val="24"/>
        </w:rPr>
        <w:t>is minimal at 1 minute per interview</w:t>
      </w:r>
      <w:r w:rsidRPr="00311012" w:rsidR="009264FA">
        <w:rPr>
          <w:sz w:val="24"/>
          <w:szCs w:val="24"/>
        </w:rPr>
        <w:t>.</w:t>
      </w:r>
      <w:r w:rsidR="005E25D4">
        <w:rPr>
          <w:sz w:val="24"/>
          <w:szCs w:val="24"/>
        </w:rPr>
        <w:t xml:space="preserve"> </w:t>
      </w:r>
    </w:p>
    <w:p w:rsidR="00AC7E85" w:rsidP="007E72C9" w:rsidRDefault="00AC7E85">
      <w:pPr>
        <w:rPr>
          <w:sz w:val="24"/>
          <w:szCs w:val="24"/>
        </w:rPr>
      </w:pPr>
    </w:p>
    <w:p w:rsidRPr="0078631E" w:rsidR="00910A34" w:rsidP="00910A34" w:rsidRDefault="00FD34B2">
      <w:pPr>
        <w:rPr>
          <w:sz w:val="24"/>
          <w:szCs w:val="24"/>
        </w:rPr>
      </w:pPr>
      <w:r w:rsidRPr="009A308E">
        <w:rPr>
          <w:sz w:val="24"/>
          <w:szCs w:val="24"/>
          <w:highlight w:val="yellow"/>
        </w:rPr>
        <w:t xml:space="preserve">The MEPS </w:t>
      </w:r>
      <w:r w:rsidRPr="009A308E" w:rsidR="00C451B7">
        <w:rPr>
          <w:sz w:val="24"/>
          <w:szCs w:val="24"/>
          <w:highlight w:val="yellow"/>
        </w:rPr>
        <w:t>Social and Health Experiences</w:t>
      </w:r>
      <w:r w:rsidRPr="009A308E" w:rsidR="00A74BC8">
        <w:rPr>
          <w:sz w:val="24"/>
          <w:szCs w:val="24"/>
          <w:highlight w:val="yellow"/>
        </w:rPr>
        <w:t xml:space="preserve"> SAQ w</w:t>
      </w:r>
      <w:r w:rsidRPr="009A308E">
        <w:rPr>
          <w:sz w:val="24"/>
          <w:szCs w:val="24"/>
          <w:highlight w:val="yellow"/>
        </w:rPr>
        <w:t>ill</w:t>
      </w:r>
      <w:r w:rsidRPr="009A308E" w:rsidR="00A74BC8">
        <w:rPr>
          <w:sz w:val="24"/>
          <w:szCs w:val="24"/>
          <w:highlight w:val="yellow"/>
        </w:rPr>
        <w:t xml:space="preserve"> be administered </w:t>
      </w:r>
      <w:r w:rsidRPr="009A308E">
        <w:rPr>
          <w:sz w:val="24"/>
          <w:szCs w:val="24"/>
          <w:highlight w:val="yellow"/>
        </w:rPr>
        <w:t xml:space="preserve">to </w:t>
      </w:r>
      <w:r w:rsidRPr="009A308E" w:rsidR="004C24F6">
        <w:rPr>
          <w:sz w:val="24"/>
          <w:szCs w:val="24"/>
          <w:highlight w:val="yellow"/>
        </w:rPr>
        <w:t xml:space="preserve">eligible </w:t>
      </w:r>
      <w:r w:rsidRPr="009A308E">
        <w:rPr>
          <w:sz w:val="24"/>
          <w:szCs w:val="24"/>
          <w:highlight w:val="yellow"/>
        </w:rPr>
        <w:t>MEPS</w:t>
      </w:r>
      <w:r w:rsidRPr="009A308E" w:rsidR="001C2662">
        <w:rPr>
          <w:sz w:val="24"/>
          <w:szCs w:val="24"/>
          <w:highlight w:val="yellow"/>
        </w:rPr>
        <w:t xml:space="preserve"> </w:t>
      </w:r>
      <w:r w:rsidRPr="009A308E" w:rsidR="007E72C9">
        <w:rPr>
          <w:sz w:val="24"/>
          <w:szCs w:val="24"/>
          <w:highlight w:val="yellow"/>
        </w:rPr>
        <w:t xml:space="preserve">adult (aged 18 and older) </w:t>
      </w:r>
      <w:r w:rsidRPr="009A308E">
        <w:rPr>
          <w:sz w:val="24"/>
          <w:szCs w:val="24"/>
          <w:highlight w:val="yellow"/>
        </w:rPr>
        <w:t xml:space="preserve">respondents identified </w:t>
      </w:r>
      <w:r w:rsidRPr="009A308E" w:rsidR="007E72C9">
        <w:rPr>
          <w:sz w:val="24"/>
          <w:szCs w:val="24"/>
          <w:highlight w:val="yellow"/>
        </w:rPr>
        <w:t xml:space="preserve">in </w:t>
      </w:r>
      <w:r w:rsidRPr="009A308E" w:rsidR="00AC7E85">
        <w:rPr>
          <w:sz w:val="24"/>
          <w:szCs w:val="24"/>
          <w:highlight w:val="yellow"/>
        </w:rPr>
        <w:t>R</w:t>
      </w:r>
      <w:r w:rsidRPr="009A308E" w:rsidR="007E72C9">
        <w:rPr>
          <w:sz w:val="24"/>
          <w:szCs w:val="24"/>
          <w:highlight w:val="yellow"/>
        </w:rPr>
        <w:t xml:space="preserve">ound </w:t>
      </w:r>
      <w:r w:rsidRPr="009A308E" w:rsidR="00AC7E85">
        <w:rPr>
          <w:sz w:val="24"/>
          <w:szCs w:val="24"/>
          <w:highlight w:val="yellow"/>
        </w:rPr>
        <w:t>5</w:t>
      </w:r>
      <w:r w:rsidRPr="009A308E" w:rsidR="007E72C9">
        <w:rPr>
          <w:sz w:val="24"/>
          <w:szCs w:val="24"/>
          <w:highlight w:val="yellow"/>
        </w:rPr>
        <w:t xml:space="preserve"> of </w:t>
      </w:r>
      <w:r w:rsidRPr="009A308E" w:rsidR="00AC7E85">
        <w:rPr>
          <w:sz w:val="24"/>
          <w:szCs w:val="24"/>
          <w:highlight w:val="yellow"/>
        </w:rPr>
        <w:t>P</w:t>
      </w:r>
      <w:r w:rsidRPr="009A308E" w:rsidR="007E72C9">
        <w:rPr>
          <w:sz w:val="24"/>
          <w:szCs w:val="24"/>
          <w:highlight w:val="yellow"/>
        </w:rPr>
        <w:t xml:space="preserve">anel 24, </w:t>
      </w:r>
      <w:r w:rsidRPr="009A308E" w:rsidR="00AC7E85">
        <w:rPr>
          <w:sz w:val="24"/>
          <w:szCs w:val="24"/>
          <w:highlight w:val="yellow"/>
        </w:rPr>
        <w:t>R</w:t>
      </w:r>
      <w:r w:rsidRPr="009A308E" w:rsidR="007E72C9">
        <w:rPr>
          <w:sz w:val="24"/>
          <w:szCs w:val="24"/>
          <w:highlight w:val="yellow"/>
        </w:rPr>
        <w:t xml:space="preserve">ound 3 of </w:t>
      </w:r>
      <w:r w:rsidRPr="009A308E" w:rsidR="00AC7E85">
        <w:rPr>
          <w:sz w:val="24"/>
          <w:szCs w:val="24"/>
          <w:highlight w:val="yellow"/>
        </w:rPr>
        <w:t>P</w:t>
      </w:r>
      <w:r w:rsidRPr="009A308E" w:rsidR="007E72C9">
        <w:rPr>
          <w:sz w:val="24"/>
          <w:szCs w:val="24"/>
          <w:highlight w:val="yellow"/>
        </w:rPr>
        <w:t xml:space="preserve">anel 25, and </w:t>
      </w:r>
      <w:r w:rsidRPr="009A308E" w:rsidR="00AC7E85">
        <w:rPr>
          <w:sz w:val="24"/>
          <w:szCs w:val="24"/>
          <w:highlight w:val="yellow"/>
        </w:rPr>
        <w:t>R</w:t>
      </w:r>
      <w:r w:rsidRPr="009A308E" w:rsidR="007E72C9">
        <w:rPr>
          <w:sz w:val="24"/>
          <w:szCs w:val="24"/>
          <w:highlight w:val="yellow"/>
        </w:rPr>
        <w:t xml:space="preserve">ound 1 of </w:t>
      </w:r>
      <w:r w:rsidRPr="009A308E" w:rsidR="00AC7E85">
        <w:rPr>
          <w:sz w:val="24"/>
          <w:szCs w:val="24"/>
          <w:highlight w:val="yellow"/>
        </w:rPr>
        <w:t>P</w:t>
      </w:r>
      <w:r w:rsidRPr="009A308E" w:rsidR="007E72C9">
        <w:rPr>
          <w:sz w:val="24"/>
          <w:szCs w:val="24"/>
          <w:highlight w:val="yellow"/>
        </w:rPr>
        <w:t xml:space="preserve">anel 26.  </w:t>
      </w:r>
      <w:r w:rsidRPr="009A308E" w:rsidR="00A74BC8">
        <w:rPr>
          <w:sz w:val="24"/>
          <w:szCs w:val="24"/>
          <w:highlight w:val="yellow"/>
        </w:rPr>
        <w:t xml:space="preserve">The cumulative data will be included in MEPS </w:t>
      </w:r>
      <w:r w:rsidRPr="009A308E" w:rsidR="007E72C9">
        <w:rPr>
          <w:sz w:val="24"/>
          <w:szCs w:val="24"/>
          <w:highlight w:val="yellow"/>
        </w:rPr>
        <w:t xml:space="preserve">2021 </w:t>
      </w:r>
      <w:r w:rsidRPr="009A308E" w:rsidR="00A74BC8">
        <w:rPr>
          <w:sz w:val="24"/>
          <w:szCs w:val="24"/>
          <w:highlight w:val="yellow"/>
        </w:rPr>
        <w:t xml:space="preserve">data year and will be </w:t>
      </w:r>
      <w:r w:rsidRPr="009A308E" w:rsidR="00696EA8">
        <w:rPr>
          <w:sz w:val="24"/>
          <w:szCs w:val="24"/>
          <w:highlight w:val="yellow"/>
        </w:rPr>
        <w:t xml:space="preserve">publically </w:t>
      </w:r>
      <w:r w:rsidRPr="009A308E" w:rsidR="00A74BC8">
        <w:rPr>
          <w:sz w:val="24"/>
          <w:szCs w:val="24"/>
          <w:highlight w:val="yellow"/>
        </w:rPr>
        <w:t xml:space="preserve">available in </w:t>
      </w:r>
      <w:r w:rsidRPr="009A308E" w:rsidR="007E72C9">
        <w:rPr>
          <w:sz w:val="24"/>
          <w:szCs w:val="24"/>
          <w:highlight w:val="yellow"/>
        </w:rPr>
        <w:t>2023</w:t>
      </w:r>
      <w:r w:rsidRPr="009A308E" w:rsidR="00A74BC8">
        <w:rPr>
          <w:sz w:val="24"/>
          <w:szCs w:val="24"/>
          <w:highlight w:val="yellow"/>
        </w:rPr>
        <w:t>.</w:t>
      </w:r>
      <w:r w:rsidRPr="009A308E" w:rsidR="007E72C9">
        <w:rPr>
          <w:sz w:val="24"/>
          <w:szCs w:val="24"/>
          <w:highlight w:val="yellow"/>
        </w:rPr>
        <w:t xml:space="preserve">  </w:t>
      </w:r>
      <w:r w:rsidRPr="009A308E" w:rsidR="00910A34">
        <w:rPr>
          <w:sz w:val="24"/>
          <w:szCs w:val="24"/>
          <w:highlight w:val="yellow"/>
        </w:rPr>
        <w:t>While such an approach had not been undertaken for MEPS in the past, response rates for Rounds 3-5 of a MEPS panel have always been very high, suggesting that if Round 5 respondents were asked to participate in additional rounds due to the contingencies required with the C</w:t>
      </w:r>
      <w:r w:rsidR="0007240F">
        <w:rPr>
          <w:sz w:val="24"/>
          <w:szCs w:val="24"/>
          <w:highlight w:val="yellow"/>
        </w:rPr>
        <w:t>OVID-19</w:t>
      </w:r>
      <w:r w:rsidRPr="009A308E" w:rsidR="00910A34">
        <w:rPr>
          <w:sz w:val="24"/>
          <w:szCs w:val="24"/>
          <w:highlight w:val="yellow"/>
        </w:rPr>
        <w:t xml:space="preserve"> outbreak, a high percentage would be receptive to further participation.  With five rounds of experience with MEPS data collection, data would be expected to be of high quality. This approach would also increase sample yields beyond what is typically obtained for MEPS and with this increase in sample size, an increase in the precision of survey estimates.  To obtain a full year database, compositing of the individual panel weights across three panels, instead of the usual two, will be used to provide estimates based on 2020 MEPS data.  Because weights are developed representing the MEPS target population for a given year for each MEPS panel separately, comparisons of estimates between panels ha</w:t>
      </w:r>
      <w:r w:rsidRPr="009A308E" w:rsidR="009A308E">
        <w:rPr>
          <w:sz w:val="24"/>
          <w:szCs w:val="24"/>
          <w:highlight w:val="yellow"/>
        </w:rPr>
        <w:t>s</w:t>
      </w:r>
      <w:r w:rsidRPr="009A308E" w:rsidR="00910A34">
        <w:rPr>
          <w:sz w:val="24"/>
          <w:szCs w:val="24"/>
          <w:highlight w:val="yellow"/>
        </w:rPr>
        <w:t xml:space="preserve"> always been a part of the assessment of data quality in MEPS.  For 2020 these comparisons will be across three panels rather than the usual two.</w:t>
      </w:r>
      <w:r w:rsidRPr="0078631E" w:rsidR="00910A34">
        <w:rPr>
          <w:sz w:val="24"/>
          <w:szCs w:val="24"/>
        </w:rPr>
        <w:t xml:space="preserve">  </w:t>
      </w:r>
    </w:p>
    <w:p w:rsidR="009A063D" w:rsidP="007E72C9" w:rsidRDefault="009A063D">
      <w:pPr>
        <w:rPr>
          <w:sz w:val="24"/>
          <w:szCs w:val="24"/>
        </w:rPr>
      </w:pPr>
    </w:p>
    <w:p w:rsidRPr="00F219C3" w:rsidR="00632F29" w:rsidP="00632F29" w:rsidRDefault="00632F29">
      <w:pPr>
        <w:rPr>
          <w:color w:val="1F497D"/>
          <w:sz w:val="24"/>
          <w:szCs w:val="24"/>
        </w:rPr>
      </w:pPr>
      <w:bookmarkStart w:name="_GoBack" w:id="2"/>
      <w:bookmarkEnd w:id="2"/>
      <w:r w:rsidRPr="00BC56B2">
        <w:rPr>
          <w:sz w:val="24"/>
          <w:szCs w:val="24"/>
          <w:highlight w:val="yellow"/>
        </w:rPr>
        <w:t xml:space="preserve">As to the release of the data, whether rounds 6 through 9 will be released in combination with rounds 1 through 5 or as a separate public use file remains to be determine.  Rounds 6 through 9 will be assessed for potential bias given </w:t>
      </w:r>
      <w:r w:rsidRPr="00BC56B2" w:rsidR="00C87556">
        <w:rPr>
          <w:sz w:val="24"/>
          <w:szCs w:val="24"/>
          <w:highlight w:val="yellow"/>
        </w:rPr>
        <w:t xml:space="preserve">and data quality </w:t>
      </w:r>
      <w:r w:rsidRPr="00BC56B2">
        <w:rPr>
          <w:sz w:val="24"/>
          <w:szCs w:val="24"/>
          <w:highlight w:val="yellow"/>
        </w:rPr>
        <w:t>the unique circumstances pertaining to their collection.</w:t>
      </w:r>
    </w:p>
    <w:p w:rsidR="00632F29" w:rsidP="007E72C9" w:rsidRDefault="00632F29">
      <w:pPr>
        <w:rPr>
          <w:sz w:val="24"/>
          <w:szCs w:val="24"/>
        </w:rPr>
      </w:pPr>
    </w:p>
    <w:p w:rsidR="00A74BC8" w:rsidP="00414C1E" w:rsidRDefault="00A74BC8">
      <w:pPr>
        <w:rPr>
          <w:b/>
          <w:sz w:val="24"/>
          <w:szCs w:val="24"/>
        </w:rPr>
      </w:pPr>
    </w:p>
    <w:p w:rsidR="00A74BC8" w:rsidP="00A74BC8" w:rsidRDefault="00E95388">
      <w:pPr>
        <w:rPr>
          <w:sz w:val="24"/>
          <w:szCs w:val="24"/>
        </w:rPr>
      </w:pPr>
      <w:r w:rsidRPr="00E95388">
        <w:rPr>
          <w:sz w:val="24"/>
          <w:szCs w:val="24"/>
        </w:rPr>
        <w:t xml:space="preserve">We expect to distribute </w:t>
      </w:r>
      <w:r w:rsidR="00ED6F11">
        <w:rPr>
          <w:sz w:val="24"/>
          <w:szCs w:val="24"/>
        </w:rPr>
        <w:t>36, 079</w:t>
      </w:r>
      <w:r w:rsidRPr="00E95388">
        <w:rPr>
          <w:sz w:val="24"/>
          <w:szCs w:val="24"/>
        </w:rPr>
        <w:t xml:space="preserve"> questionnaires with a </w:t>
      </w:r>
      <w:r w:rsidR="00ED6F11">
        <w:rPr>
          <w:sz w:val="24"/>
          <w:szCs w:val="24"/>
        </w:rPr>
        <w:t>75</w:t>
      </w:r>
      <w:r w:rsidRPr="00E95388">
        <w:rPr>
          <w:sz w:val="24"/>
          <w:szCs w:val="24"/>
        </w:rPr>
        <w:t xml:space="preserve">% anticipated response rate, </w:t>
      </w:r>
      <w:r w:rsidR="002B4D3B">
        <w:rPr>
          <w:sz w:val="24"/>
          <w:szCs w:val="24"/>
        </w:rPr>
        <w:t xml:space="preserve">and </w:t>
      </w:r>
      <w:r w:rsidRPr="00E95388">
        <w:rPr>
          <w:sz w:val="24"/>
          <w:szCs w:val="24"/>
        </w:rPr>
        <w:t xml:space="preserve">expect to collect </w:t>
      </w:r>
      <w:r w:rsidR="00ED6F11">
        <w:rPr>
          <w:sz w:val="24"/>
          <w:szCs w:val="24"/>
        </w:rPr>
        <w:t>27,059</w:t>
      </w:r>
      <w:r w:rsidRPr="00E95388">
        <w:rPr>
          <w:sz w:val="24"/>
          <w:szCs w:val="24"/>
        </w:rPr>
        <w:t xml:space="preserve"> completed SAQs.</w:t>
      </w:r>
    </w:p>
    <w:p w:rsidR="00192565" w:rsidP="00A74BC8" w:rsidRDefault="00192565">
      <w:pPr>
        <w:rPr>
          <w:sz w:val="24"/>
          <w:szCs w:val="24"/>
        </w:rPr>
      </w:pPr>
    </w:p>
    <w:p w:rsidRPr="00D53BC6" w:rsidR="007E72C9" w:rsidP="00A74BC8" w:rsidRDefault="007E72C9">
      <w:pPr>
        <w:rPr>
          <w:sz w:val="24"/>
          <w:szCs w:val="24"/>
        </w:rPr>
      </w:pPr>
    </w:p>
    <w:p w:rsidRPr="00D53BC6" w:rsidR="00192565" w:rsidP="00192565" w:rsidRDefault="00192565">
      <w:pPr>
        <w:ind w:left="360"/>
        <w:rPr>
          <w:sz w:val="24"/>
          <w:szCs w:val="24"/>
        </w:rPr>
      </w:pPr>
      <w:r w:rsidRPr="00E95388">
        <w:rPr>
          <w:b/>
          <w:sz w:val="24"/>
          <w:szCs w:val="24"/>
        </w:rPr>
        <w:t xml:space="preserve">Table 1.  Respondent Recruitment </w:t>
      </w:r>
    </w:p>
    <w:p w:rsidRPr="00D53BC6" w:rsidR="00192565" w:rsidP="00192565" w:rsidRDefault="00192565">
      <w:pPr>
        <w:ind w:left="360"/>
        <w:rPr>
          <w:sz w:val="24"/>
          <w:szCs w:val="24"/>
        </w:rPr>
      </w:pPr>
    </w:p>
    <w:tbl>
      <w:tblPr>
        <w:tblStyle w:val="TableGrid"/>
        <w:tblW w:w="9535" w:type="dxa"/>
        <w:tblLook w:val="04A0" w:firstRow="1" w:lastRow="0" w:firstColumn="1" w:lastColumn="0" w:noHBand="0" w:noVBand="1"/>
      </w:tblPr>
      <w:tblGrid>
        <w:gridCol w:w="3441"/>
        <w:gridCol w:w="1737"/>
        <w:gridCol w:w="2467"/>
        <w:gridCol w:w="1890"/>
      </w:tblGrid>
      <w:tr w:rsidRPr="00D53BC6" w:rsidR="00E21F17" w:rsidTr="00414C1E">
        <w:tc>
          <w:tcPr>
            <w:tcW w:w="3441" w:type="dxa"/>
          </w:tcPr>
          <w:p w:rsidRPr="00D53BC6" w:rsidR="00E21F17" w:rsidP="00DF31E4" w:rsidRDefault="00E21F17">
            <w:pPr>
              <w:rPr>
                <w:b/>
                <w:sz w:val="24"/>
                <w:szCs w:val="24"/>
              </w:rPr>
            </w:pPr>
            <w:r w:rsidRPr="00E95388">
              <w:rPr>
                <w:b/>
                <w:sz w:val="24"/>
                <w:szCs w:val="24"/>
              </w:rPr>
              <w:t>Respondent Panels</w:t>
            </w:r>
          </w:p>
        </w:tc>
        <w:tc>
          <w:tcPr>
            <w:tcW w:w="1737" w:type="dxa"/>
          </w:tcPr>
          <w:p w:rsidRPr="00D53BC6" w:rsidR="00E21F17" w:rsidP="004C24F6" w:rsidRDefault="00E21F17">
            <w:pPr>
              <w:rPr>
                <w:b/>
                <w:sz w:val="24"/>
                <w:szCs w:val="24"/>
              </w:rPr>
            </w:pPr>
            <w:r w:rsidRPr="00E95388">
              <w:rPr>
                <w:b/>
                <w:sz w:val="24"/>
                <w:szCs w:val="24"/>
              </w:rPr>
              <w:t>Number</w:t>
            </w:r>
            <w:r w:rsidR="001C2662">
              <w:rPr>
                <w:b/>
                <w:sz w:val="24"/>
                <w:szCs w:val="24"/>
              </w:rPr>
              <w:t xml:space="preserve"> of  </w:t>
            </w:r>
            <w:r w:rsidR="004C24F6">
              <w:rPr>
                <w:b/>
                <w:sz w:val="24"/>
                <w:szCs w:val="24"/>
              </w:rPr>
              <w:t xml:space="preserve">Eligible </w:t>
            </w:r>
            <w:r w:rsidR="001C2662">
              <w:rPr>
                <w:b/>
                <w:sz w:val="24"/>
                <w:szCs w:val="24"/>
              </w:rPr>
              <w:t>Adults (&gt;=18)</w:t>
            </w:r>
          </w:p>
        </w:tc>
        <w:tc>
          <w:tcPr>
            <w:tcW w:w="2467" w:type="dxa"/>
          </w:tcPr>
          <w:p w:rsidRPr="00E95388" w:rsidR="00E21F17" w:rsidP="00DF31E4" w:rsidRDefault="00E21F17">
            <w:pPr>
              <w:rPr>
                <w:b/>
                <w:sz w:val="24"/>
                <w:szCs w:val="24"/>
              </w:rPr>
            </w:pPr>
            <w:r>
              <w:rPr>
                <w:b/>
                <w:sz w:val="24"/>
                <w:szCs w:val="24"/>
              </w:rPr>
              <w:t>Estimated Response Rate</w:t>
            </w:r>
          </w:p>
        </w:tc>
        <w:tc>
          <w:tcPr>
            <w:tcW w:w="1890" w:type="dxa"/>
          </w:tcPr>
          <w:p w:rsidR="00E21F17" w:rsidP="00DF31E4" w:rsidRDefault="00E21F17">
            <w:pPr>
              <w:rPr>
                <w:b/>
                <w:sz w:val="24"/>
                <w:szCs w:val="24"/>
              </w:rPr>
            </w:pPr>
            <w:r>
              <w:rPr>
                <w:b/>
                <w:sz w:val="24"/>
                <w:szCs w:val="24"/>
              </w:rPr>
              <w:t>Number of Respondents, Completed Forms</w:t>
            </w:r>
          </w:p>
        </w:tc>
      </w:tr>
      <w:tr w:rsidRPr="00D53BC6" w:rsidR="00E21F17" w:rsidTr="00414C1E">
        <w:tc>
          <w:tcPr>
            <w:tcW w:w="3441" w:type="dxa"/>
          </w:tcPr>
          <w:p w:rsidRPr="00D53BC6" w:rsidR="00E21F17" w:rsidP="00192565" w:rsidRDefault="00E21F17">
            <w:pPr>
              <w:rPr>
                <w:sz w:val="24"/>
                <w:szCs w:val="24"/>
              </w:rPr>
            </w:pPr>
            <w:r>
              <w:rPr>
                <w:sz w:val="24"/>
                <w:szCs w:val="24"/>
              </w:rPr>
              <w:t>Panel 24 (round 5)</w:t>
            </w:r>
          </w:p>
        </w:tc>
        <w:tc>
          <w:tcPr>
            <w:tcW w:w="1737" w:type="dxa"/>
            <w:vAlign w:val="bottom"/>
          </w:tcPr>
          <w:p w:rsidRPr="00D53BC6" w:rsidR="00E21F17" w:rsidP="00192565" w:rsidRDefault="00E21F17">
            <w:pPr>
              <w:tabs>
                <w:tab w:val="center" w:pos="4320"/>
                <w:tab w:val="right" w:pos="8640"/>
              </w:tabs>
              <w:rPr>
                <w:sz w:val="24"/>
                <w:szCs w:val="24"/>
              </w:rPr>
            </w:pPr>
            <w:r>
              <w:rPr>
                <w:rFonts w:ascii="Calibri" w:hAnsi="Calibri" w:cs="Calibri"/>
                <w:color w:val="000000"/>
                <w:sz w:val="22"/>
                <w:szCs w:val="22"/>
              </w:rPr>
              <w:t>11,233</w:t>
            </w:r>
          </w:p>
        </w:tc>
        <w:tc>
          <w:tcPr>
            <w:tcW w:w="2467" w:type="dxa"/>
          </w:tcPr>
          <w:p w:rsidR="00E21F17" w:rsidP="00ED6F11" w:rsidRDefault="00E21F17">
            <w:pPr>
              <w:tabs>
                <w:tab w:val="center" w:pos="4320"/>
                <w:tab w:val="right" w:pos="8640"/>
              </w:tabs>
              <w:rPr>
                <w:rFonts w:ascii="Calibri" w:hAnsi="Calibri" w:cs="Calibri"/>
                <w:color w:val="000000"/>
                <w:sz w:val="22"/>
                <w:szCs w:val="22"/>
              </w:rPr>
            </w:pPr>
            <w:r>
              <w:rPr>
                <w:rFonts w:ascii="Calibri" w:hAnsi="Calibri" w:cs="Calibri"/>
                <w:color w:val="000000"/>
                <w:sz w:val="22"/>
                <w:szCs w:val="22"/>
              </w:rPr>
              <w:t>80.</w:t>
            </w:r>
            <w:r w:rsidR="00ED6F11">
              <w:rPr>
                <w:rFonts w:ascii="Calibri" w:hAnsi="Calibri" w:cs="Calibri"/>
                <w:color w:val="000000"/>
                <w:sz w:val="22"/>
                <w:szCs w:val="22"/>
              </w:rPr>
              <w:t>2%</w:t>
            </w:r>
          </w:p>
        </w:tc>
        <w:tc>
          <w:tcPr>
            <w:tcW w:w="1890" w:type="dxa"/>
          </w:tcPr>
          <w:p w:rsidR="00E21F17" w:rsidP="00192565" w:rsidRDefault="00ED6F11">
            <w:pPr>
              <w:tabs>
                <w:tab w:val="center" w:pos="4320"/>
                <w:tab w:val="right" w:pos="8640"/>
              </w:tabs>
              <w:rPr>
                <w:rFonts w:ascii="Calibri" w:hAnsi="Calibri" w:cs="Calibri"/>
                <w:color w:val="000000"/>
                <w:sz w:val="22"/>
                <w:szCs w:val="22"/>
              </w:rPr>
            </w:pPr>
            <w:r>
              <w:rPr>
                <w:rFonts w:ascii="Calibri" w:hAnsi="Calibri" w:cs="Calibri"/>
                <w:color w:val="000000"/>
                <w:sz w:val="22"/>
                <w:szCs w:val="22"/>
              </w:rPr>
              <w:t>9,008</w:t>
            </w:r>
          </w:p>
        </w:tc>
      </w:tr>
      <w:tr w:rsidRPr="00D53BC6" w:rsidR="00E21F17" w:rsidTr="00414C1E">
        <w:tc>
          <w:tcPr>
            <w:tcW w:w="3441" w:type="dxa"/>
          </w:tcPr>
          <w:p w:rsidRPr="00D53BC6" w:rsidR="00E21F17" w:rsidP="00192565" w:rsidRDefault="00E21F17">
            <w:pPr>
              <w:tabs>
                <w:tab w:val="center" w:pos="4320"/>
                <w:tab w:val="right" w:pos="8640"/>
              </w:tabs>
              <w:rPr>
                <w:sz w:val="24"/>
                <w:szCs w:val="24"/>
              </w:rPr>
            </w:pPr>
            <w:r>
              <w:rPr>
                <w:sz w:val="24"/>
                <w:szCs w:val="24"/>
              </w:rPr>
              <w:t>Panel 25 (round 3)</w:t>
            </w:r>
          </w:p>
        </w:tc>
        <w:tc>
          <w:tcPr>
            <w:tcW w:w="1737" w:type="dxa"/>
            <w:vAlign w:val="bottom"/>
          </w:tcPr>
          <w:p w:rsidRPr="00D53BC6" w:rsidR="00E21F17" w:rsidP="00192565" w:rsidRDefault="00E21F17">
            <w:pPr>
              <w:tabs>
                <w:tab w:val="center" w:pos="4320"/>
                <w:tab w:val="right" w:pos="8640"/>
              </w:tabs>
              <w:rPr>
                <w:sz w:val="24"/>
                <w:szCs w:val="24"/>
              </w:rPr>
            </w:pPr>
            <w:r>
              <w:rPr>
                <w:rFonts w:ascii="Calibri" w:hAnsi="Calibri" w:cs="Calibri"/>
                <w:color w:val="000000"/>
                <w:sz w:val="22"/>
                <w:szCs w:val="22"/>
              </w:rPr>
              <w:t>11,803</w:t>
            </w:r>
          </w:p>
        </w:tc>
        <w:tc>
          <w:tcPr>
            <w:tcW w:w="2467" w:type="dxa"/>
          </w:tcPr>
          <w:p w:rsidR="00E21F17" w:rsidP="00192565" w:rsidRDefault="00ED6F11">
            <w:pPr>
              <w:tabs>
                <w:tab w:val="center" w:pos="4320"/>
                <w:tab w:val="right" w:pos="8640"/>
              </w:tabs>
              <w:rPr>
                <w:rFonts w:ascii="Calibri" w:hAnsi="Calibri" w:cs="Calibri"/>
                <w:color w:val="000000"/>
                <w:sz w:val="22"/>
                <w:szCs w:val="22"/>
              </w:rPr>
            </w:pPr>
            <w:r>
              <w:rPr>
                <w:rFonts w:ascii="Calibri" w:hAnsi="Calibri" w:cs="Calibri"/>
                <w:color w:val="000000"/>
                <w:sz w:val="22"/>
                <w:szCs w:val="22"/>
              </w:rPr>
              <w:t>80%</w:t>
            </w:r>
          </w:p>
        </w:tc>
        <w:tc>
          <w:tcPr>
            <w:tcW w:w="1890" w:type="dxa"/>
          </w:tcPr>
          <w:p w:rsidR="00E21F17" w:rsidP="00192565" w:rsidRDefault="00ED6F11">
            <w:pPr>
              <w:tabs>
                <w:tab w:val="center" w:pos="4320"/>
                <w:tab w:val="right" w:pos="8640"/>
              </w:tabs>
              <w:rPr>
                <w:rFonts w:ascii="Calibri" w:hAnsi="Calibri" w:cs="Calibri"/>
                <w:color w:val="000000"/>
                <w:sz w:val="22"/>
                <w:szCs w:val="22"/>
              </w:rPr>
            </w:pPr>
            <w:r>
              <w:rPr>
                <w:rFonts w:ascii="Calibri" w:hAnsi="Calibri" w:cs="Calibri"/>
                <w:color w:val="000000"/>
                <w:sz w:val="22"/>
                <w:szCs w:val="22"/>
              </w:rPr>
              <w:t>9,442</w:t>
            </w:r>
          </w:p>
        </w:tc>
      </w:tr>
      <w:tr w:rsidRPr="00D53BC6" w:rsidR="00E21F17" w:rsidTr="00414C1E">
        <w:tc>
          <w:tcPr>
            <w:tcW w:w="3441" w:type="dxa"/>
          </w:tcPr>
          <w:p w:rsidRPr="00E95388" w:rsidR="00E21F17" w:rsidP="00192565" w:rsidRDefault="00E21F17">
            <w:pPr>
              <w:tabs>
                <w:tab w:val="center" w:pos="4320"/>
                <w:tab w:val="right" w:pos="8640"/>
              </w:tabs>
              <w:rPr>
                <w:sz w:val="24"/>
                <w:szCs w:val="24"/>
              </w:rPr>
            </w:pPr>
            <w:r>
              <w:rPr>
                <w:sz w:val="24"/>
                <w:szCs w:val="24"/>
              </w:rPr>
              <w:t>Panel 26 (round 1)</w:t>
            </w:r>
          </w:p>
        </w:tc>
        <w:tc>
          <w:tcPr>
            <w:tcW w:w="1737" w:type="dxa"/>
            <w:vAlign w:val="bottom"/>
          </w:tcPr>
          <w:p w:rsidRPr="00E95388" w:rsidR="00E21F17" w:rsidP="00192565" w:rsidRDefault="00E21F17">
            <w:pPr>
              <w:tabs>
                <w:tab w:val="center" w:pos="4320"/>
                <w:tab w:val="right" w:pos="8640"/>
              </w:tabs>
              <w:rPr>
                <w:sz w:val="24"/>
                <w:szCs w:val="24"/>
              </w:rPr>
            </w:pPr>
            <w:r>
              <w:rPr>
                <w:rFonts w:ascii="Calibri" w:hAnsi="Calibri" w:cs="Calibri"/>
                <w:color w:val="000000"/>
                <w:sz w:val="22"/>
                <w:szCs w:val="22"/>
              </w:rPr>
              <w:t>13,043</w:t>
            </w:r>
          </w:p>
        </w:tc>
        <w:tc>
          <w:tcPr>
            <w:tcW w:w="2467" w:type="dxa"/>
          </w:tcPr>
          <w:p w:rsidR="00E21F17" w:rsidP="00192565" w:rsidRDefault="00ED6F11">
            <w:pPr>
              <w:tabs>
                <w:tab w:val="center" w:pos="4320"/>
                <w:tab w:val="right" w:pos="8640"/>
              </w:tabs>
              <w:rPr>
                <w:rFonts w:ascii="Calibri" w:hAnsi="Calibri" w:cs="Calibri"/>
                <w:color w:val="000000"/>
                <w:sz w:val="22"/>
                <w:szCs w:val="22"/>
              </w:rPr>
            </w:pPr>
            <w:r>
              <w:rPr>
                <w:rFonts w:ascii="Calibri" w:hAnsi="Calibri" w:cs="Calibri"/>
                <w:color w:val="000000"/>
                <w:sz w:val="22"/>
                <w:szCs w:val="22"/>
              </w:rPr>
              <w:t>65%</w:t>
            </w:r>
          </w:p>
        </w:tc>
        <w:tc>
          <w:tcPr>
            <w:tcW w:w="1890" w:type="dxa"/>
          </w:tcPr>
          <w:p w:rsidR="00E21F17" w:rsidP="00ED6F11" w:rsidRDefault="00ED6F11">
            <w:pPr>
              <w:tabs>
                <w:tab w:val="center" w:pos="4320"/>
                <w:tab w:val="right" w:pos="8640"/>
              </w:tabs>
              <w:rPr>
                <w:rFonts w:ascii="Calibri" w:hAnsi="Calibri" w:cs="Calibri"/>
                <w:color w:val="000000"/>
                <w:sz w:val="22"/>
                <w:szCs w:val="22"/>
              </w:rPr>
            </w:pPr>
            <w:r>
              <w:rPr>
                <w:rFonts w:ascii="Calibri" w:hAnsi="Calibri" w:cs="Calibri"/>
                <w:color w:val="000000"/>
                <w:sz w:val="22"/>
                <w:szCs w:val="22"/>
              </w:rPr>
              <w:t>8,609</w:t>
            </w:r>
          </w:p>
        </w:tc>
      </w:tr>
      <w:tr w:rsidRPr="00D53BC6" w:rsidR="00E21F17" w:rsidTr="00414C1E">
        <w:tc>
          <w:tcPr>
            <w:tcW w:w="3441" w:type="dxa"/>
          </w:tcPr>
          <w:p w:rsidRPr="00D53BC6" w:rsidR="00E21F17" w:rsidP="00192565" w:rsidRDefault="00E21F17">
            <w:pPr>
              <w:tabs>
                <w:tab w:val="center" w:pos="4320"/>
                <w:tab w:val="right" w:pos="8640"/>
              </w:tabs>
              <w:rPr>
                <w:b/>
                <w:sz w:val="24"/>
                <w:szCs w:val="24"/>
              </w:rPr>
            </w:pPr>
            <w:r w:rsidRPr="00E95388">
              <w:rPr>
                <w:b/>
                <w:sz w:val="24"/>
                <w:szCs w:val="24"/>
              </w:rPr>
              <w:t>Total</w:t>
            </w:r>
          </w:p>
        </w:tc>
        <w:tc>
          <w:tcPr>
            <w:tcW w:w="1737" w:type="dxa"/>
            <w:vAlign w:val="bottom"/>
          </w:tcPr>
          <w:p w:rsidRPr="00ED6F11" w:rsidR="00E21F17" w:rsidP="00192565" w:rsidRDefault="00E21F17">
            <w:pPr>
              <w:tabs>
                <w:tab w:val="center" w:pos="4320"/>
                <w:tab w:val="right" w:pos="8640"/>
              </w:tabs>
              <w:rPr>
                <w:b/>
                <w:sz w:val="24"/>
                <w:szCs w:val="24"/>
              </w:rPr>
            </w:pPr>
            <w:r w:rsidRPr="00ED6F11">
              <w:rPr>
                <w:rFonts w:ascii="Calibri" w:hAnsi="Calibri" w:cs="Calibri"/>
                <w:b/>
                <w:color w:val="000000"/>
                <w:sz w:val="22"/>
                <w:szCs w:val="22"/>
              </w:rPr>
              <w:t>36,079</w:t>
            </w:r>
          </w:p>
        </w:tc>
        <w:tc>
          <w:tcPr>
            <w:tcW w:w="2467" w:type="dxa"/>
          </w:tcPr>
          <w:p w:rsidRPr="00ED6F11" w:rsidR="00E21F17" w:rsidP="00192565" w:rsidRDefault="00ED6F11">
            <w:pPr>
              <w:tabs>
                <w:tab w:val="center" w:pos="4320"/>
                <w:tab w:val="right" w:pos="8640"/>
              </w:tabs>
              <w:rPr>
                <w:rFonts w:ascii="Calibri" w:hAnsi="Calibri" w:cs="Calibri"/>
                <w:b/>
                <w:color w:val="000000"/>
                <w:sz w:val="22"/>
                <w:szCs w:val="22"/>
              </w:rPr>
            </w:pPr>
            <w:r w:rsidRPr="00ED6F11">
              <w:rPr>
                <w:rFonts w:ascii="Calibri" w:hAnsi="Calibri" w:cs="Calibri"/>
                <w:b/>
                <w:color w:val="000000"/>
                <w:sz w:val="22"/>
                <w:szCs w:val="22"/>
              </w:rPr>
              <w:t>75%</w:t>
            </w:r>
          </w:p>
        </w:tc>
        <w:tc>
          <w:tcPr>
            <w:tcW w:w="1890" w:type="dxa"/>
          </w:tcPr>
          <w:p w:rsidRPr="00ED6F11" w:rsidR="00E21F17" w:rsidP="00192565" w:rsidRDefault="00E21F17">
            <w:pPr>
              <w:tabs>
                <w:tab w:val="center" w:pos="4320"/>
                <w:tab w:val="right" w:pos="8640"/>
              </w:tabs>
              <w:rPr>
                <w:rFonts w:ascii="Calibri" w:hAnsi="Calibri" w:cs="Calibri"/>
                <w:b/>
                <w:color w:val="000000"/>
                <w:sz w:val="22"/>
                <w:szCs w:val="22"/>
              </w:rPr>
            </w:pPr>
            <w:r w:rsidRPr="00ED6F11">
              <w:rPr>
                <w:rFonts w:ascii="Calibri" w:hAnsi="Calibri" w:cs="Calibri"/>
                <w:b/>
                <w:color w:val="000000"/>
                <w:sz w:val="22"/>
                <w:szCs w:val="22"/>
              </w:rPr>
              <w:t>27,059</w:t>
            </w:r>
          </w:p>
        </w:tc>
      </w:tr>
    </w:tbl>
    <w:p w:rsidRPr="00D53BC6" w:rsidR="00ED6F11" w:rsidP="00A74BC8" w:rsidRDefault="00ED6F11">
      <w:pPr>
        <w:ind w:left="360"/>
        <w:rPr>
          <w:b/>
          <w:sz w:val="24"/>
          <w:szCs w:val="24"/>
        </w:rPr>
      </w:pPr>
    </w:p>
    <w:p w:rsidR="00BD4B77" w:rsidP="00A74BC8" w:rsidRDefault="00BD4B77">
      <w:pPr>
        <w:ind w:left="360"/>
        <w:rPr>
          <w:sz w:val="24"/>
          <w:szCs w:val="24"/>
        </w:rPr>
      </w:pPr>
    </w:p>
    <w:p w:rsidRPr="00D53BC6" w:rsidR="008755E9" w:rsidP="00A74BC8" w:rsidRDefault="008755E9">
      <w:pPr>
        <w:ind w:left="360"/>
        <w:rPr>
          <w:sz w:val="24"/>
          <w:szCs w:val="24"/>
        </w:rPr>
      </w:pPr>
    </w:p>
    <w:p w:rsidRPr="00D53BC6" w:rsidR="003213D7" w:rsidP="00AF43A5" w:rsidRDefault="00E95388">
      <w:pPr>
        <w:pStyle w:val="Heading2"/>
        <w:rPr>
          <w:rFonts w:ascii="Arial" w:hAnsi="Arial" w:cs="Arial"/>
          <w:color w:val="auto"/>
          <w:sz w:val="24"/>
          <w:szCs w:val="24"/>
          <w:u w:val="single"/>
        </w:rPr>
      </w:pPr>
      <w:bookmarkStart w:name="_Toc277862070" w:id="3"/>
      <w:r w:rsidRPr="00E95388">
        <w:rPr>
          <w:rFonts w:ascii="Arial" w:hAnsi="Arial" w:cs="Arial"/>
          <w:color w:val="auto"/>
          <w:sz w:val="24"/>
          <w:szCs w:val="24"/>
        </w:rPr>
        <w:t>2.</w:t>
      </w:r>
      <w:r w:rsidRPr="00E95388">
        <w:rPr>
          <w:rFonts w:ascii="Arial" w:hAnsi="Arial" w:cs="Arial"/>
          <w:sz w:val="24"/>
          <w:szCs w:val="24"/>
        </w:rPr>
        <w:t xml:space="preserve">  </w:t>
      </w:r>
      <w:r w:rsidRPr="00E95388">
        <w:rPr>
          <w:rFonts w:ascii="Arial" w:hAnsi="Arial" w:cs="Arial"/>
          <w:color w:val="auto"/>
          <w:sz w:val="24"/>
          <w:szCs w:val="24"/>
          <w:u w:val="single"/>
        </w:rPr>
        <w:t>Information Collection Procedures</w:t>
      </w:r>
      <w:bookmarkEnd w:id="3"/>
    </w:p>
    <w:p w:rsidR="00AC7E85" w:rsidP="003E7C17" w:rsidRDefault="00AC7E85">
      <w:pPr>
        <w:rPr>
          <w:sz w:val="24"/>
          <w:szCs w:val="24"/>
        </w:rPr>
      </w:pPr>
    </w:p>
    <w:p w:rsidRPr="00D53BC6" w:rsidR="00AC7E85" w:rsidP="003E7C17" w:rsidRDefault="00AC7E85">
      <w:pPr>
        <w:rPr>
          <w:rFonts w:ascii="Arial" w:hAnsi="Arial" w:cs="Arial"/>
          <w:sz w:val="24"/>
          <w:szCs w:val="24"/>
        </w:rPr>
      </w:pPr>
      <w:r w:rsidRPr="00311012">
        <w:rPr>
          <w:sz w:val="24"/>
          <w:szCs w:val="24"/>
        </w:rPr>
        <w:t xml:space="preserve">COVID-19 </w:t>
      </w:r>
      <w:r w:rsidRPr="00311012" w:rsidR="008D085F">
        <w:rPr>
          <w:sz w:val="24"/>
          <w:szCs w:val="24"/>
        </w:rPr>
        <w:t xml:space="preserve">questions including </w:t>
      </w:r>
      <w:r w:rsidRPr="00311012">
        <w:rPr>
          <w:sz w:val="24"/>
          <w:szCs w:val="24"/>
        </w:rPr>
        <w:t xml:space="preserve">telehealth </w:t>
      </w:r>
      <w:r w:rsidRPr="00311012" w:rsidR="008D085F">
        <w:rPr>
          <w:sz w:val="24"/>
          <w:szCs w:val="24"/>
        </w:rPr>
        <w:t xml:space="preserve">(telemedicine) </w:t>
      </w:r>
      <w:r w:rsidRPr="00311012">
        <w:rPr>
          <w:sz w:val="24"/>
          <w:szCs w:val="24"/>
        </w:rPr>
        <w:t>questions will be integrated as part of the core MEPS CAPI questionnaire so there is no need for specialized data collection procedures.</w:t>
      </w:r>
    </w:p>
    <w:p w:rsidR="00AC7E85" w:rsidP="001C2662" w:rsidRDefault="00AC7E85">
      <w:pPr>
        <w:pStyle w:val="CommentText"/>
        <w:rPr>
          <w:sz w:val="24"/>
          <w:szCs w:val="24"/>
        </w:rPr>
      </w:pPr>
    </w:p>
    <w:p w:rsidRPr="001C2662" w:rsidR="001C2662" w:rsidP="001C2662" w:rsidRDefault="001C2662">
      <w:pPr>
        <w:pStyle w:val="CommentText"/>
        <w:rPr>
          <w:sz w:val="24"/>
          <w:szCs w:val="24"/>
        </w:rPr>
      </w:pPr>
      <w:r w:rsidRPr="001C2662">
        <w:rPr>
          <w:sz w:val="24"/>
          <w:szCs w:val="24"/>
        </w:rPr>
        <w:t xml:space="preserve">As with other MEPS self-administered questionnaires, </w:t>
      </w:r>
      <w:r w:rsidR="009A063D">
        <w:rPr>
          <w:sz w:val="24"/>
          <w:szCs w:val="24"/>
        </w:rPr>
        <w:t xml:space="preserve">the </w:t>
      </w:r>
      <w:r w:rsidRPr="00E95388" w:rsidR="009A063D">
        <w:rPr>
          <w:sz w:val="24"/>
          <w:szCs w:val="24"/>
        </w:rPr>
        <w:t xml:space="preserve">computer assisted personal interviewing system (CAPI) </w:t>
      </w:r>
      <w:r w:rsidRPr="001C2662">
        <w:rPr>
          <w:sz w:val="24"/>
          <w:szCs w:val="24"/>
        </w:rPr>
        <w:t xml:space="preserve">will identify eligible </w:t>
      </w:r>
      <w:r>
        <w:rPr>
          <w:sz w:val="24"/>
          <w:szCs w:val="24"/>
        </w:rPr>
        <w:t>adults</w:t>
      </w:r>
      <w:r w:rsidRPr="001C2662">
        <w:rPr>
          <w:sz w:val="24"/>
          <w:szCs w:val="24"/>
        </w:rPr>
        <w:t xml:space="preserve"> during the core interview</w:t>
      </w:r>
      <w:r w:rsidR="009A063D">
        <w:rPr>
          <w:sz w:val="24"/>
          <w:szCs w:val="24"/>
        </w:rPr>
        <w:t xml:space="preserve"> who need to complete the Social and Health Experiences SAQ</w:t>
      </w:r>
      <w:r w:rsidRPr="001C2662">
        <w:rPr>
          <w:sz w:val="24"/>
          <w:szCs w:val="24"/>
        </w:rPr>
        <w:t>.  The primary mode of administration is web-based with a paper</w:t>
      </w:r>
      <w:r w:rsidR="009A063D">
        <w:rPr>
          <w:sz w:val="24"/>
          <w:szCs w:val="24"/>
        </w:rPr>
        <w:t xml:space="preserve"> SAQ distributed to respondents </w:t>
      </w:r>
      <w:r w:rsidRPr="001C2662">
        <w:rPr>
          <w:sz w:val="24"/>
          <w:szCs w:val="24"/>
        </w:rPr>
        <w:t xml:space="preserve">with </w:t>
      </w:r>
      <w:r w:rsidR="009A063D">
        <w:rPr>
          <w:sz w:val="24"/>
          <w:szCs w:val="24"/>
        </w:rPr>
        <w:t>barriers to internet access</w:t>
      </w:r>
      <w:r w:rsidRPr="001C2662">
        <w:rPr>
          <w:sz w:val="24"/>
          <w:szCs w:val="24"/>
        </w:rPr>
        <w:t>. Eligible respondents will receive an email or text message approximately 24 hours after completion of the MEPS core interview, inviting them to complete the SAQ on-line by following the link provided. For outstanding SAQs</w:t>
      </w:r>
      <w:r>
        <w:rPr>
          <w:sz w:val="24"/>
          <w:szCs w:val="24"/>
        </w:rPr>
        <w:t>,</w:t>
      </w:r>
      <w:r w:rsidRPr="001C2662">
        <w:rPr>
          <w:sz w:val="24"/>
          <w:szCs w:val="24"/>
        </w:rPr>
        <w:t xml:space="preserve"> respondents will receive email/text reminders with a mailing to them if SAQ completion is still pending 3-4 weeks following completion of the core interview.</w:t>
      </w:r>
    </w:p>
    <w:p w:rsidRPr="001C2662" w:rsidR="001C2662" w:rsidP="001C2662" w:rsidRDefault="001C2662">
      <w:pPr>
        <w:pStyle w:val="CommentText"/>
        <w:rPr>
          <w:sz w:val="24"/>
          <w:szCs w:val="24"/>
        </w:rPr>
      </w:pPr>
    </w:p>
    <w:p w:rsidR="001C2662" w:rsidP="001C2662" w:rsidRDefault="001C2662">
      <w:pPr>
        <w:rPr>
          <w:sz w:val="24"/>
          <w:szCs w:val="24"/>
        </w:rPr>
      </w:pPr>
      <w:r w:rsidRPr="001C2662">
        <w:rPr>
          <w:sz w:val="24"/>
          <w:szCs w:val="24"/>
        </w:rPr>
        <w:t xml:space="preserve"> If paper SAQs are distributed, respondents </w:t>
      </w:r>
      <w:r w:rsidR="009A063D">
        <w:rPr>
          <w:sz w:val="24"/>
          <w:szCs w:val="24"/>
        </w:rPr>
        <w:t xml:space="preserve">will be provided with an envelope to store the completed SAQ to maintain privacy of responses.  </w:t>
      </w:r>
      <w:r w:rsidRPr="001C2662">
        <w:rPr>
          <w:sz w:val="24"/>
          <w:szCs w:val="24"/>
        </w:rPr>
        <w:t>Interviewers will followed established follow</w:t>
      </w:r>
      <w:r>
        <w:rPr>
          <w:sz w:val="24"/>
          <w:szCs w:val="24"/>
        </w:rPr>
        <w:t>-</w:t>
      </w:r>
      <w:r w:rsidRPr="001C2662">
        <w:rPr>
          <w:sz w:val="24"/>
          <w:szCs w:val="24"/>
        </w:rPr>
        <w:t>up procedures including re-visiting the household to pick up the form or providing a postage-paid envelope so that the SAQ can be mailed directly to Westat’s home office.</w:t>
      </w:r>
    </w:p>
    <w:p w:rsidR="001C2662" w:rsidP="00D7737B" w:rsidRDefault="001C2662">
      <w:pPr>
        <w:rPr>
          <w:sz w:val="24"/>
          <w:szCs w:val="24"/>
        </w:rPr>
      </w:pPr>
    </w:p>
    <w:p w:rsidRPr="00D53BC6" w:rsidR="003213D7" w:rsidP="00AF43A5" w:rsidRDefault="00E95388">
      <w:pPr>
        <w:pStyle w:val="Heading2"/>
        <w:rPr>
          <w:rFonts w:ascii="Arial" w:hAnsi="Arial" w:cs="Arial"/>
          <w:sz w:val="24"/>
          <w:szCs w:val="24"/>
        </w:rPr>
      </w:pPr>
      <w:bookmarkStart w:name="_Toc277862071" w:id="4"/>
      <w:r w:rsidRPr="00E95388">
        <w:rPr>
          <w:rFonts w:ascii="Arial" w:hAnsi="Arial" w:cs="Arial"/>
          <w:color w:val="auto"/>
          <w:sz w:val="24"/>
          <w:szCs w:val="24"/>
        </w:rPr>
        <w:t>3.</w:t>
      </w:r>
      <w:r w:rsidRPr="00E95388">
        <w:rPr>
          <w:rFonts w:ascii="Arial" w:hAnsi="Arial" w:cs="Arial"/>
          <w:sz w:val="24"/>
          <w:szCs w:val="24"/>
        </w:rPr>
        <w:t xml:space="preserve">  </w:t>
      </w:r>
      <w:r w:rsidRPr="00E95388">
        <w:rPr>
          <w:rFonts w:ascii="Arial" w:hAnsi="Arial" w:cs="Arial"/>
          <w:color w:val="auto"/>
          <w:sz w:val="24"/>
          <w:szCs w:val="24"/>
          <w:u w:val="single"/>
        </w:rPr>
        <w:t>Methods to Maximize Response Rate</w:t>
      </w:r>
      <w:bookmarkEnd w:id="4"/>
    </w:p>
    <w:p w:rsidRPr="00D53BC6" w:rsidR="003213D7" w:rsidP="003213D7" w:rsidRDefault="003213D7">
      <w:pPr>
        <w:rPr>
          <w:rFonts w:ascii="Arial" w:hAnsi="Arial" w:cs="Arial"/>
          <w:sz w:val="24"/>
          <w:szCs w:val="24"/>
        </w:rPr>
      </w:pPr>
    </w:p>
    <w:p w:rsidR="00B0523C" w:rsidP="008375BB" w:rsidRDefault="00B6145E">
      <w:pPr>
        <w:rPr>
          <w:sz w:val="24"/>
          <w:szCs w:val="24"/>
        </w:rPr>
      </w:pPr>
      <w:r w:rsidRPr="00187B42">
        <w:rPr>
          <w:sz w:val="24"/>
          <w:szCs w:val="24"/>
        </w:rPr>
        <w:t xml:space="preserve">AHRQ proposes to provide respondents with a $20 per person, post-collection incentive to </w:t>
      </w:r>
      <w:r>
        <w:rPr>
          <w:sz w:val="24"/>
          <w:szCs w:val="24"/>
        </w:rPr>
        <w:t xml:space="preserve">maximize </w:t>
      </w:r>
      <w:r w:rsidRPr="00187B42">
        <w:rPr>
          <w:sz w:val="24"/>
          <w:szCs w:val="24"/>
        </w:rPr>
        <w:t>response rates and mitigate perceived additional burden with a new data collection mode (web).</w:t>
      </w:r>
      <w:r w:rsidRPr="00BF3DDD">
        <w:rPr>
          <w:sz w:val="24"/>
          <w:szCs w:val="24"/>
        </w:rPr>
        <w:t xml:space="preserve"> </w:t>
      </w:r>
      <w:r w:rsidR="001C52A5">
        <w:rPr>
          <w:sz w:val="24"/>
          <w:szCs w:val="24"/>
        </w:rPr>
        <w:t xml:space="preserve"> </w:t>
      </w:r>
      <w:r w:rsidRPr="001C52A5" w:rsidR="001C52A5">
        <w:rPr>
          <w:sz w:val="24"/>
          <w:szCs w:val="24"/>
        </w:rPr>
        <w:t xml:space="preserve">A preloaded $20 debit card will be mailed to each SAQ respondent who completes </w:t>
      </w:r>
      <w:r w:rsidR="001C52A5">
        <w:rPr>
          <w:sz w:val="24"/>
          <w:szCs w:val="24"/>
        </w:rPr>
        <w:t xml:space="preserve">either the </w:t>
      </w:r>
      <w:r w:rsidRPr="001C52A5" w:rsidR="001C52A5">
        <w:rPr>
          <w:sz w:val="24"/>
          <w:szCs w:val="24"/>
        </w:rPr>
        <w:t xml:space="preserve">web </w:t>
      </w:r>
      <w:r w:rsidR="001C52A5">
        <w:rPr>
          <w:sz w:val="24"/>
          <w:szCs w:val="24"/>
        </w:rPr>
        <w:t xml:space="preserve">or paper </w:t>
      </w:r>
      <w:r w:rsidRPr="001C52A5" w:rsidR="001C52A5">
        <w:rPr>
          <w:sz w:val="24"/>
          <w:szCs w:val="24"/>
        </w:rPr>
        <w:t xml:space="preserve">survey. The systems for tracking completes and mailings </w:t>
      </w:r>
      <w:r w:rsidR="006163D4">
        <w:rPr>
          <w:sz w:val="24"/>
          <w:szCs w:val="24"/>
        </w:rPr>
        <w:t xml:space="preserve">out debit cards </w:t>
      </w:r>
      <w:r w:rsidRPr="001C52A5" w:rsidR="001C52A5">
        <w:rPr>
          <w:sz w:val="24"/>
          <w:szCs w:val="24"/>
        </w:rPr>
        <w:lastRenderedPageBreak/>
        <w:t xml:space="preserve">will be based on approaches currently in use for the </w:t>
      </w:r>
      <w:r w:rsidR="001C52A5">
        <w:rPr>
          <w:sz w:val="24"/>
          <w:szCs w:val="24"/>
        </w:rPr>
        <w:t xml:space="preserve">MEPS </w:t>
      </w:r>
      <w:r w:rsidRPr="001C52A5" w:rsidR="001C52A5">
        <w:rPr>
          <w:sz w:val="24"/>
          <w:szCs w:val="24"/>
        </w:rPr>
        <w:t>Cost-Sharing Document Collection submissions and incentives</w:t>
      </w:r>
      <w:r w:rsidR="001C52A5">
        <w:rPr>
          <w:sz w:val="24"/>
          <w:szCs w:val="24"/>
        </w:rPr>
        <w:t xml:space="preserve">.  </w:t>
      </w:r>
    </w:p>
    <w:p w:rsidR="008375BB" w:rsidP="008375BB" w:rsidRDefault="008375BB">
      <w:pPr>
        <w:rPr>
          <w:color w:val="1F497D"/>
        </w:rPr>
      </w:pPr>
    </w:p>
    <w:p w:rsidRPr="00D53BC6" w:rsidR="003213D7" w:rsidP="00AF43A5" w:rsidRDefault="00E95388">
      <w:pPr>
        <w:pStyle w:val="Heading2"/>
        <w:rPr>
          <w:rFonts w:ascii="Arial" w:hAnsi="Arial" w:cs="Arial"/>
          <w:sz w:val="24"/>
          <w:szCs w:val="24"/>
        </w:rPr>
      </w:pPr>
      <w:bookmarkStart w:name="_Toc277862072" w:id="5"/>
      <w:r w:rsidRPr="00E95388">
        <w:rPr>
          <w:rFonts w:ascii="Arial" w:hAnsi="Arial" w:cs="Arial"/>
          <w:color w:val="auto"/>
          <w:sz w:val="24"/>
          <w:szCs w:val="24"/>
        </w:rPr>
        <w:t>4.</w:t>
      </w:r>
      <w:r w:rsidRPr="00E95388">
        <w:rPr>
          <w:rFonts w:ascii="Arial" w:hAnsi="Arial" w:cs="Arial"/>
          <w:sz w:val="24"/>
          <w:szCs w:val="24"/>
        </w:rPr>
        <w:t xml:space="preserve">  </w:t>
      </w:r>
      <w:r w:rsidRPr="00E95388">
        <w:rPr>
          <w:rFonts w:ascii="Arial" w:hAnsi="Arial" w:cs="Arial"/>
          <w:color w:val="auto"/>
          <w:sz w:val="24"/>
          <w:szCs w:val="24"/>
          <w:u w:val="single"/>
        </w:rPr>
        <w:t>Tests of Procedures</w:t>
      </w:r>
      <w:bookmarkEnd w:id="5"/>
    </w:p>
    <w:p w:rsidRPr="00D53BC6" w:rsidR="003213D7" w:rsidP="003213D7" w:rsidRDefault="003213D7">
      <w:pPr>
        <w:rPr>
          <w:rFonts w:ascii="Arial" w:hAnsi="Arial" w:cs="Arial"/>
          <w:sz w:val="24"/>
          <w:szCs w:val="24"/>
        </w:rPr>
      </w:pPr>
    </w:p>
    <w:p w:rsidR="00DF36F5" w:rsidP="00DF36F5" w:rsidRDefault="00DF36F5">
      <w:pPr>
        <w:tabs>
          <w:tab w:val="left" w:pos="0"/>
        </w:tabs>
        <w:rPr>
          <w:sz w:val="24"/>
          <w:szCs w:val="24"/>
        </w:rPr>
      </w:pPr>
      <w:r w:rsidRPr="00311012">
        <w:rPr>
          <w:sz w:val="24"/>
          <w:szCs w:val="24"/>
        </w:rPr>
        <w:t xml:space="preserve">As part of the CAPI questionnaire, testing of the questions related to COVID-19 </w:t>
      </w:r>
      <w:r w:rsidRPr="00311012" w:rsidR="00790A59">
        <w:rPr>
          <w:sz w:val="24"/>
          <w:szCs w:val="24"/>
        </w:rPr>
        <w:t xml:space="preserve">including </w:t>
      </w:r>
      <w:r w:rsidRPr="00311012">
        <w:rPr>
          <w:sz w:val="24"/>
          <w:szCs w:val="24"/>
        </w:rPr>
        <w:t>telehealth</w:t>
      </w:r>
      <w:r w:rsidRPr="00311012" w:rsidR="00790A59">
        <w:rPr>
          <w:sz w:val="24"/>
          <w:szCs w:val="24"/>
        </w:rPr>
        <w:t xml:space="preserve"> (telemedicine)</w:t>
      </w:r>
      <w:r w:rsidRPr="00311012">
        <w:rPr>
          <w:sz w:val="24"/>
          <w:szCs w:val="24"/>
        </w:rPr>
        <w:t xml:space="preserve"> will be folded into the regular testing protocol already established for MEPS.  The procedures for the Social and Health Experiences questionnaire are new as this is the first</w:t>
      </w:r>
      <w:r>
        <w:rPr>
          <w:sz w:val="24"/>
          <w:szCs w:val="24"/>
        </w:rPr>
        <w:t xml:space="preserve"> MEPS SAQ to have a predominantly web mode option for completion.    </w:t>
      </w:r>
    </w:p>
    <w:p w:rsidR="00DF36F5" w:rsidP="006A3618" w:rsidRDefault="00DF36F5">
      <w:pPr>
        <w:tabs>
          <w:tab w:val="left" w:pos="0"/>
        </w:tabs>
        <w:rPr>
          <w:sz w:val="24"/>
          <w:szCs w:val="24"/>
        </w:rPr>
      </w:pPr>
    </w:p>
    <w:p w:rsidR="00DF36F5" w:rsidP="00DF36F5" w:rsidRDefault="00DF36F5">
      <w:pPr>
        <w:tabs>
          <w:tab w:val="left" w:pos="0"/>
        </w:tabs>
        <w:rPr>
          <w:sz w:val="24"/>
          <w:szCs w:val="24"/>
        </w:rPr>
      </w:pPr>
      <w:r w:rsidRPr="009A063D">
        <w:rPr>
          <w:sz w:val="24"/>
          <w:szCs w:val="24"/>
        </w:rPr>
        <w:t>Both the changes to CAPI</w:t>
      </w:r>
      <w:r>
        <w:rPr>
          <w:sz w:val="24"/>
          <w:szCs w:val="24"/>
        </w:rPr>
        <w:t xml:space="preserve"> instrument</w:t>
      </w:r>
      <w:r w:rsidRPr="009A063D">
        <w:rPr>
          <w:sz w:val="24"/>
          <w:szCs w:val="24"/>
        </w:rPr>
        <w:t xml:space="preserve"> for </w:t>
      </w:r>
      <w:r>
        <w:rPr>
          <w:sz w:val="24"/>
          <w:szCs w:val="24"/>
        </w:rPr>
        <w:t xml:space="preserve">SAQ </w:t>
      </w:r>
      <w:r w:rsidRPr="009A063D">
        <w:rPr>
          <w:sz w:val="24"/>
          <w:szCs w:val="24"/>
        </w:rPr>
        <w:t xml:space="preserve">respondent selection and the web-based questionnaire will be tested individually (alpha and beta testing), followed by integration testing to ensure that the MEPS </w:t>
      </w:r>
      <w:r>
        <w:rPr>
          <w:sz w:val="24"/>
          <w:szCs w:val="24"/>
        </w:rPr>
        <w:t xml:space="preserve">invitation and </w:t>
      </w:r>
      <w:r w:rsidRPr="009A063D">
        <w:rPr>
          <w:sz w:val="24"/>
          <w:szCs w:val="24"/>
        </w:rPr>
        <w:t>tracking systems</w:t>
      </w:r>
      <w:r>
        <w:rPr>
          <w:sz w:val="24"/>
          <w:szCs w:val="24"/>
        </w:rPr>
        <w:t>, as well as</w:t>
      </w:r>
      <w:r w:rsidRPr="009A063D">
        <w:rPr>
          <w:sz w:val="24"/>
          <w:szCs w:val="24"/>
        </w:rPr>
        <w:t xml:space="preserve"> follow-up notifications work seamlessly with CAPI and other</w:t>
      </w:r>
      <w:r>
        <w:rPr>
          <w:sz w:val="24"/>
          <w:szCs w:val="24"/>
        </w:rPr>
        <w:t xml:space="preserve"> case management systems in MEP</w:t>
      </w:r>
      <w:r w:rsidR="00856F44">
        <w:rPr>
          <w:sz w:val="24"/>
          <w:szCs w:val="24"/>
        </w:rPr>
        <w:t>S</w:t>
      </w:r>
      <w:r>
        <w:rPr>
          <w:sz w:val="24"/>
          <w:szCs w:val="24"/>
        </w:rPr>
        <w:t xml:space="preserve">.  The procedures for distributing the paper version are well established as other paper SAQs are already distributed in MEPS, including the Diabetes Care Survey (DCS) and the Adult SAQ.  </w:t>
      </w:r>
    </w:p>
    <w:p w:rsidR="00DF36F5" w:rsidP="006A3618" w:rsidRDefault="00DF36F5">
      <w:pPr>
        <w:tabs>
          <w:tab w:val="left" w:pos="0"/>
        </w:tabs>
        <w:rPr>
          <w:sz w:val="24"/>
          <w:szCs w:val="24"/>
        </w:rPr>
      </w:pPr>
    </w:p>
    <w:p w:rsidRPr="00D53BC6" w:rsidR="003213D7" w:rsidP="00AF43A5" w:rsidRDefault="00E95388">
      <w:pPr>
        <w:pStyle w:val="Heading2"/>
        <w:rPr>
          <w:rFonts w:ascii="Arial" w:hAnsi="Arial" w:cs="Arial"/>
          <w:color w:val="auto"/>
          <w:sz w:val="24"/>
          <w:szCs w:val="24"/>
        </w:rPr>
      </w:pPr>
      <w:bookmarkStart w:name="_Toc277862073" w:id="6"/>
      <w:r w:rsidRPr="00E95388">
        <w:rPr>
          <w:rFonts w:ascii="Arial" w:hAnsi="Arial" w:cs="Arial"/>
          <w:color w:val="auto"/>
          <w:sz w:val="24"/>
          <w:szCs w:val="24"/>
        </w:rPr>
        <w:t>5.</w:t>
      </w:r>
      <w:r w:rsidRPr="00E95388">
        <w:rPr>
          <w:rFonts w:ascii="Arial" w:hAnsi="Arial" w:cs="Arial"/>
          <w:sz w:val="24"/>
          <w:szCs w:val="24"/>
        </w:rPr>
        <w:t xml:space="preserve">  </w:t>
      </w:r>
      <w:r w:rsidRPr="00E95388">
        <w:rPr>
          <w:rFonts w:ascii="Arial" w:hAnsi="Arial" w:cs="Arial"/>
          <w:color w:val="auto"/>
          <w:sz w:val="24"/>
          <w:szCs w:val="24"/>
          <w:u w:val="single"/>
        </w:rPr>
        <w:t xml:space="preserve">Statistical Consultation </w:t>
      </w:r>
      <w:bookmarkEnd w:id="6"/>
      <w:r w:rsidR="00311012">
        <w:rPr>
          <w:rFonts w:ascii="Arial" w:hAnsi="Arial" w:cs="Arial"/>
          <w:color w:val="auto"/>
          <w:sz w:val="24"/>
          <w:szCs w:val="24"/>
          <w:u w:val="single"/>
        </w:rPr>
        <w:t>and Independent Review</w:t>
      </w:r>
    </w:p>
    <w:p w:rsidRPr="00D53BC6" w:rsidR="003213D7" w:rsidP="003213D7" w:rsidRDefault="003213D7">
      <w:pPr>
        <w:rPr>
          <w:rFonts w:ascii="Arial" w:hAnsi="Arial" w:cs="Arial"/>
          <w:sz w:val="24"/>
          <w:szCs w:val="24"/>
        </w:rPr>
      </w:pPr>
    </w:p>
    <w:p w:rsidRPr="00414C1E" w:rsidR="000013AA" w:rsidP="000013AA" w:rsidRDefault="000013AA">
      <w:pPr>
        <w:tabs>
          <w:tab w:val="left" w:pos="1710"/>
          <w:tab w:val="left" w:pos="1800"/>
          <w:tab w:val="left" w:pos="1890"/>
          <w:tab w:val="left" w:pos="3150"/>
          <w:tab w:val="left" w:pos="3240"/>
          <w:tab w:val="left" w:pos="3330"/>
          <w:tab w:val="left" w:pos="6840"/>
        </w:tabs>
        <w:rPr>
          <w:sz w:val="24"/>
          <w:szCs w:val="24"/>
        </w:rPr>
      </w:pPr>
      <w:r w:rsidRPr="00414C1E">
        <w:rPr>
          <w:sz w:val="24"/>
          <w:szCs w:val="24"/>
        </w:rPr>
        <w:t>The following are responsible for statistical aspects of the MEPS Study:</w:t>
      </w:r>
    </w:p>
    <w:p w:rsidRPr="00414C1E" w:rsidR="000013AA" w:rsidP="000013AA" w:rsidRDefault="000013AA">
      <w:pPr>
        <w:tabs>
          <w:tab w:val="left" w:pos="5326"/>
        </w:tabs>
        <w:rPr>
          <w:sz w:val="24"/>
          <w:szCs w:val="24"/>
        </w:rPr>
      </w:pPr>
    </w:p>
    <w:p w:rsidRPr="00414C1E" w:rsidR="000013AA" w:rsidP="000013AA" w:rsidRDefault="000013AA">
      <w:pPr>
        <w:tabs>
          <w:tab w:val="left" w:pos="5326"/>
        </w:tabs>
        <w:rPr>
          <w:sz w:val="24"/>
          <w:szCs w:val="24"/>
        </w:rPr>
      </w:pPr>
      <w:r w:rsidRPr="00414C1E">
        <w:rPr>
          <w:sz w:val="24"/>
          <w:szCs w:val="24"/>
        </w:rPr>
        <w:t>Hebert Wong, Ph.D.</w:t>
      </w:r>
      <w:r w:rsidRPr="00414C1E" w:rsidDel="00585435">
        <w:rPr>
          <w:sz w:val="24"/>
          <w:szCs w:val="24"/>
        </w:rPr>
        <w:t xml:space="preserve"> </w:t>
      </w:r>
    </w:p>
    <w:p w:rsidRPr="00414C1E" w:rsidR="000013AA" w:rsidP="000013AA" w:rsidRDefault="000013AA">
      <w:pPr>
        <w:tabs>
          <w:tab w:val="left" w:pos="5326"/>
        </w:tabs>
        <w:rPr>
          <w:sz w:val="24"/>
          <w:szCs w:val="24"/>
        </w:rPr>
      </w:pPr>
      <w:r w:rsidRPr="00414C1E">
        <w:rPr>
          <w:sz w:val="24"/>
          <w:szCs w:val="24"/>
        </w:rPr>
        <w:t>Director, Div. of Statistical Research and Methods</w:t>
      </w:r>
      <w:r w:rsidRPr="00414C1E">
        <w:rPr>
          <w:sz w:val="24"/>
          <w:szCs w:val="24"/>
        </w:rPr>
        <w:tab/>
      </w:r>
    </w:p>
    <w:p w:rsidRPr="00414C1E" w:rsidR="000013AA" w:rsidP="000013AA" w:rsidRDefault="000013AA">
      <w:pPr>
        <w:tabs>
          <w:tab w:val="left" w:pos="5326"/>
        </w:tabs>
        <w:rPr>
          <w:sz w:val="24"/>
          <w:szCs w:val="24"/>
        </w:rPr>
      </w:pPr>
      <w:r w:rsidRPr="00414C1E">
        <w:rPr>
          <w:sz w:val="24"/>
          <w:szCs w:val="24"/>
        </w:rPr>
        <w:t xml:space="preserve">Center for Financing, Access and Cost Trends </w:t>
      </w:r>
      <w:r w:rsidRPr="00414C1E">
        <w:rPr>
          <w:sz w:val="24"/>
          <w:szCs w:val="24"/>
        </w:rPr>
        <w:tab/>
      </w:r>
    </w:p>
    <w:p w:rsidRPr="00414C1E" w:rsidR="000013AA" w:rsidP="000013AA" w:rsidRDefault="000013AA">
      <w:pPr>
        <w:tabs>
          <w:tab w:val="left" w:pos="5326"/>
        </w:tabs>
        <w:rPr>
          <w:sz w:val="24"/>
          <w:szCs w:val="24"/>
        </w:rPr>
      </w:pPr>
      <w:r w:rsidRPr="00414C1E">
        <w:rPr>
          <w:sz w:val="24"/>
          <w:szCs w:val="24"/>
        </w:rPr>
        <w:t>AHRQ</w:t>
      </w:r>
    </w:p>
    <w:p w:rsidRPr="00414C1E" w:rsidR="000013AA" w:rsidP="000013AA" w:rsidRDefault="000013AA">
      <w:pPr>
        <w:tabs>
          <w:tab w:val="left" w:pos="5326"/>
        </w:tabs>
        <w:rPr>
          <w:sz w:val="24"/>
          <w:szCs w:val="24"/>
        </w:rPr>
      </w:pPr>
      <w:r w:rsidRPr="00414C1E">
        <w:rPr>
          <w:sz w:val="24"/>
          <w:szCs w:val="24"/>
        </w:rPr>
        <w:t>(301) 427-1405</w:t>
      </w:r>
    </w:p>
    <w:p w:rsidRPr="00414C1E" w:rsidR="000013AA" w:rsidP="000013AA" w:rsidRDefault="000013AA">
      <w:pPr>
        <w:tabs>
          <w:tab w:val="left" w:pos="1710"/>
          <w:tab w:val="left" w:pos="1800"/>
          <w:tab w:val="left" w:pos="1890"/>
          <w:tab w:val="left" w:pos="3150"/>
          <w:tab w:val="left" w:pos="3240"/>
          <w:tab w:val="left" w:pos="3330"/>
          <w:tab w:val="left" w:pos="6840"/>
        </w:tabs>
        <w:rPr>
          <w:sz w:val="24"/>
          <w:szCs w:val="24"/>
        </w:rPr>
      </w:pPr>
    </w:p>
    <w:p w:rsidRPr="00414C1E" w:rsidR="000013AA" w:rsidP="000013AA" w:rsidRDefault="000013AA">
      <w:pPr>
        <w:tabs>
          <w:tab w:val="left" w:pos="5326"/>
        </w:tabs>
        <w:rPr>
          <w:sz w:val="24"/>
          <w:szCs w:val="24"/>
        </w:rPr>
      </w:pPr>
      <w:r w:rsidRPr="00414C1E">
        <w:rPr>
          <w:sz w:val="24"/>
          <w:szCs w:val="24"/>
        </w:rPr>
        <w:t>Sadeq Chowdhury, Ph.D.</w:t>
      </w:r>
      <w:r w:rsidRPr="00414C1E">
        <w:rPr>
          <w:sz w:val="24"/>
          <w:szCs w:val="24"/>
        </w:rPr>
        <w:tab/>
      </w:r>
    </w:p>
    <w:p w:rsidRPr="00414C1E" w:rsidR="000013AA" w:rsidP="000013AA" w:rsidRDefault="000013AA">
      <w:pPr>
        <w:tabs>
          <w:tab w:val="left" w:pos="5326"/>
        </w:tabs>
        <w:ind w:left="5326" w:hanging="5326"/>
        <w:rPr>
          <w:sz w:val="24"/>
          <w:szCs w:val="24"/>
        </w:rPr>
      </w:pPr>
      <w:r w:rsidRPr="00414C1E">
        <w:rPr>
          <w:sz w:val="24"/>
          <w:szCs w:val="24"/>
        </w:rPr>
        <w:t>Division of Statistical Research and Methods</w:t>
      </w:r>
      <w:r w:rsidRPr="00414C1E" w:rsidDel="004800B9">
        <w:rPr>
          <w:sz w:val="24"/>
          <w:szCs w:val="24"/>
        </w:rPr>
        <w:t xml:space="preserve"> </w:t>
      </w:r>
    </w:p>
    <w:p w:rsidRPr="00414C1E" w:rsidR="000013AA" w:rsidP="000013AA" w:rsidRDefault="000013AA">
      <w:pPr>
        <w:tabs>
          <w:tab w:val="left" w:pos="5326"/>
        </w:tabs>
        <w:rPr>
          <w:sz w:val="24"/>
          <w:szCs w:val="24"/>
        </w:rPr>
      </w:pPr>
      <w:r w:rsidRPr="00414C1E">
        <w:rPr>
          <w:sz w:val="24"/>
          <w:szCs w:val="24"/>
        </w:rPr>
        <w:t xml:space="preserve">Center for Financing, Access and Cost Trends </w:t>
      </w:r>
      <w:r w:rsidRPr="00414C1E">
        <w:rPr>
          <w:sz w:val="24"/>
          <w:szCs w:val="24"/>
        </w:rPr>
        <w:tab/>
      </w:r>
    </w:p>
    <w:p w:rsidRPr="00414C1E" w:rsidR="000013AA" w:rsidP="000013AA" w:rsidRDefault="000013AA">
      <w:pPr>
        <w:tabs>
          <w:tab w:val="left" w:pos="5326"/>
        </w:tabs>
        <w:rPr>
          <w:sz w:val="24"/>
          <w:szCs w:val="24"/>
        </w:rPr>
      </w:pPr>
      <w:r w:rsidRPr="00414C1E">
        <w:rPr>
          <w:sz w:val="24"/>
          <w:szCs w:val="24"/>
        </w:rPr>
        <w:t>AHRQ</w:t>
      </w:r>
      <w:r w:rsidRPr="00414C1E">
        <w:rPr>
          <w:sz w:val="24"/>
          <w:szCs w:val="24"/>
        </w:rPr>
        <w:tab/>
      </w:r>
    </w:p>
    <w:p w:rsidRPr="00414C1E" w:rsidR="000013AA" w:rsidP="000013AA" w:rsidRDefault="000013AA">
      <w:pPr>
        <w:tabs>
          <w:tab w:val="left" w:pos="5326"/>
        </w:tabs>
        <w:rPr>
          <w:sz w:val="24"/>
          <w:szCs w:val="24"/>
        </w:rPr>
      </w:pPr>
      <w:r w:rsidRPr="00414C1E">
        <w:rPr>
          <w:sz w:val="24"/>
          <w:szCs w:val="24"/>
        </w:rPr>
        <w:t>(301) 427-1666</w:t>
      </w:r>
      <w:r w:rsidRPr="00414C1E">
        <w:rPr>
          <w:sz w:val="24"/>
          <w:szCs w:val="24"/>
        </w:rPr>
        <w:tab/>
      </w:r>
    </w:p>
    <w:p w:rsidRPr="00BD586D" w:rsidR="00E51F8A" w:rsidP="00BD586D" w:rsidRDefault="00E51F8A">
      <w:pPr>
        <w:autoSpaceDE w:val="0"/>
        <w:autoSpaceDN w:val="0"/>
        <w:rPr>
          <w:sz w:val="24"/>
          <w:szCs w:val="24"/>
        </w:rPr>
      </w:pPr>
    </w:p>
    <w:sectPr w:rsidRPr="00BD586D" w:rsidR="00E51F8A" w:rsidSect="00E51F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7C4" w:rsidRDefault="00EA07C4" w:rsidP="00415318">
      <w:r>
        <w:separator/>
      </w:r>
    </w:p>
  </w:endnote>
  <w:endnote w:type="continuationSeparator" w:id="0">
    <w:p w:rsidR="00EA07C4" w:rsidRDefault="00EA07C4" w:rsidP="0041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7C4" w:rsidRDefault="00EA07C4" w:rsidP="00415318">
      <w:r>
        <w:separator/>
      </w:r>
    </w:p>
  </w:footnote>
  <w:footnote w:type="continuationSeparator" w:id="0">
    <w:p w:rsidR="00EA07C4" w:rsidRDefault="00EA07C4" w:rsidP="00415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92CED"/>
    <w:multiLevelType w:val="hybridMultilevel"/>
    <w:tmpl w:val="C90C8F46"/>
    <w:lvl w:ilvl="0" w:tplc="6F58EADE">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D160C2"/>
    <w:multiLevelType w:val="hybridMultilevel"/>
    <w:tmpl w:val="69344A88"/>
    <w:lvl w:ilvl="0" w:tplc="BF4A1E4C">
      <w:start w:val="1"/>
      <w:numFmt w:val="bullet"/>
      <w:lvlText w:val=""/>
      <w:lvlJc w:val="left"/>
      <w:pPr>
        <w:tabs>
          <w:tab w:val="num" w:pos="720"/>
        </w:tabs>
        <w:ind w:left="720" w:hanging="360"/>
      </w:pPr>
      <w:rPr>
        <w:rFonts w:ascii="Wingdings" w:hAnsi="Wingdings" w:hint="default"/>
      </w:rPr>
    </w:lvl>
    <w:lvl w:ilvl="1" w:tplc="A9385F5A">
      <w:start w:val="3498"/>
      <w:numFmt w:val="bullet"/>
      <w:lvlText w:val="–"/>
      <w:lvlJc w:val="left"/>
      <w:pPr>
        <w:tabs>
          <w:tab w:val="num" w:pos="1440"/>
        </w:tabs>
        <w:ind w:left="1440" w:hanging="360"/>
      </w:pPr>
      <w:rPr>
        <w:rFonts w:ascii="Times New Roman" w:hAnsi="Times New Roman" w:cs="Times New Roman" w:hint="default"/>
      </w:rPr>
    </w:lvl>
    <w:lvl w:ilvl="2" w:tplc="81EA6D86">
      <w:start w:val="1"/>
      <w:numFmt w:val="decimal"/>
      <w:lvlText w:val="%3."/>
      <w:lvlJc w:val="left"/>
      <w:pPr>
        <w:tabs>
          <w:tab w:val="num" w:pos="2160"/>
        </w:tabs>
        <w:ind w:left="2160" w:hanging="360"/>
      </w:pPr>
    </w:lvl>
    <w:lvl w:ilvl="3" w:tplc="3752AF18">
      <w:start w:val="1"/>
      <w:numFmt w:val="decimal"/>
      <w:lvlText w:val="%4."/>
      <w:lvlJc w:val="left"/>
      <w:pPr>
        <w:tabs>
          <w:tab w:val="num" w:pos="2880"/>
        </w:tabs>
        <w:ind w:left="2880" w:hanging="360"/>
      </w:pPr>
    </w:lvl>
    <w:lvl w:ilvl="4" w:tplc="DE226E7A">
      <w:start w:val="1"/>
      <w:numFmt w:val="decimal"/>
      <w:lvlText w:val="%5."/>
      <w:lvlJc w:val="left"/>
      <w:pPr>
        <w:tabs>
          <w:tab w:val="num" w:pos="3600"/>
        </w:tabs>
        <w:ind w:left="3600" w:hanging="360"/>
      </w:pPr>
    </w:lvl>
    <w:lvl w:ilvl="5" w:tplc="B41E8AE4">
      <w:start w:val="1"/>
      <w:numFmt w:val="decimal"/>
      <w:lvlText w:val="%6."/>
      <w:lvlJc w:val="left"/>
      <w:pPr>
        <w:tabs>
          <w:tab w:val="num" w:pos="4320"/>
        </w:tabs>
        <w:ind w:left="4320" w:hanging="360"/>
      </w:pPr>
    </w:lvl>
    <w:lvl w:ilvl="6" w:tplc="F6D61E58">
      <w:start w:val="1"/>
      <w:numFmt w:val="decimal"/>
      <w:lvlText w:val="%7."/>
      <w:lvlJc w:val="left"/>
      <w:pPr>
        <w:tabs>
          <w:tab w:val="num" w:pos="5040"/>
        </w:tabs>
        <w:ind w:left="5040" w:hanging="360"/>
      </w:pPr>
    </w:lvl>
    <w:lvl w:ilvl="7" w:tplc="61FA494C">
      <w:start w:val="1"/>
      <w:numFmt w:val="decimal"/>
      <w:lvlText w:val="%8."/>
      <w:lvlJc w:val="left"/>
      <w:pPr>
        <w:tabs>
          <w:tab w:val="num" w:pos="5760"/>
        </w:tabs>
        <w:ind w:left="5760" w:hanging="360"/>
      </w:pPr>
    </w:lvl>
    <w:lvl w:ilvl="8" w:tplc="5A46AE30">
      <w:start w:val="1"/>
      <w:numFmt w:val="decimal"/>
      <w:lvlText w:val="%9."/>
      <w:lvlJc w:val="left"/>
      <w:pPr>
        <w:tabs>
          <w:tab w:val="num" w:pos="6480"/>
        </w:tabs>
        <w:ind w:left="6480" w:hanging="360"/>
      </w:pPr>
    </w:lvl>
  </w:abstractNum>
  <w:abstractNum w:abstractNumId="2" w15:restartNumberingAfterBreak="0">
    <w:nsid w:val="6E707AEC"/>
    <w:multiLevelType w:val="hybridMultilevel"/>
    <w:tmpl w:val="28A6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441EB8"/>
    <w:multiLevelType w:val="hybridMultilevel"/>
    <w:tmpl w:val="46B01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3D7"/>
    <w:rsid w:val="00000ED3"/>
    <w:rsid w:val="000013AA"/>
    <w:rsid w:val="00002225"/>
    <w:rsid w:val="00003D27"/>
    <w:rsid w:val="00003DB1"/>
    <w:rsid w:val="00003FB8"/>
    <w:rsid w:val="000044B3"/>
    <w:rsid w:val="0000491C"/>
    <w:rsid w:val="00004DFD"/>
    <w:rsid w:val="00005070"/>
    <w:rsid w:val="00005BC4"/>
    <w:rsid w:val="000063A7"/>
    <w:rsid w:val="00006870"/>
    <w:rsid w:val="00006DE9"/>
    <w:rsid w:val="00007AF8"/>
    <w:rsid w:val="0001021C"/>
    <w:rsid w:val="0001179D"/>
    <w:rsid w:val="000118E3"/>
    <w:rsid w:val="00012455"/>
    <w:rsid w:val="000135BA"/>
    <w:rsid w:val="000144E3"/>
    <w:rsid w:val="00014817"/>
    <w:rsid w:val="00014ED7"/>
    <w:rsid w:val="00016C50"/>
    <w:rsid w:val="00017B4E"/>
    <w:rsid w:val="00017C01"/>
    <w:rsid w:val="00020354"/>
    <w:rsid w:val="0002425A"/>
    <w:rsid w:val="000257A1"/>
    <w:rsid w:val="00025EEF"/>
    <w:rsid w:val="00027761"/>
    <w:rsid w:val="000301D5"/>
    <w:rsid w:val="00030782"/>
    <w:rsid w:val="00030CEB"/>
    <w:rsid w:val="00031472"/>
    <w:rsid w:val="00031F12"/>
    <w:rsid w:val="000340A7"/>
    <w:rsid w:val="0003429E"/>
    <w:rsid w:val="000369BD"/>
    <w:rsid w:val="00036F26"/>
    <w:rsid w:val="000371A7"/>
    <w:rsid w:val="00040C3A"/>
    <w:rsid w:val="000417D8"/>
    <w:rsid w:val="00044725"/>
    <w:rsid w:val="00044983"/>
    <w:rsid w:val="00044FAA"/>
    <w:rsid w:val="000457EF"/>
    <w:rsid w:val="000459D8"/>
    <w:rsid w:val="000461DE"/>
    <w:rsid w:val="00047A99"/>
    <w:rsid w:val="00050D87"/>
    <w:rsid w:val="00050EC1"/>
    <w:rsid w:val="000510D9"/>
    <w:rsid w:val="000513EB"/>
    <w:rsid w:val="000527E5"/>
    <w:rsid w:val="00053220"/>
    <w:rsid w:val="00053848"/>
    <w:rsid w:val="000545FC"/>
    <w:rsid w:val="0005548F"/>
    <w:rsid w:val="00055B61"/>
    <w:rsid w:val="00056A07"/>
    <w:rsid w:val="00056C64"/>
    <w:rsid w:val="00056F12"/>
    <w:rsid w:val="00057D18"/>
    <w:rsid w:val="00060B38"/>
    <w:rsid w:val="00060DDE"/>
    <w:rsid w:val="00061645"/>
    <w:rsid w:val="0006188C"/>
    <w:rsid w:val="00061BEE"/>
    <w:rsid w:val="0006202B"/>
    <w:rsid w:val="000623F2"/>
    <w:rsid w:val="000627A4"/>
    <w:rsid w:val="00062809"/>
    <w:rsid w:val="00064A20"/>
    <w:rsid w:val="000676ED"/>
    <w:rsid w:val="0007034F"/>
    <w:rsid w:val="0007130B"/>
    <w:rsid w:val="00071E5B"/>
    <w:rsid w:val="0007240F"/>
    <w:rsid w:val="0007397F"/>
    <w:rsid w:val="00073A10"/>
    <w:rsid w:val="0007416E"/>
    <w:rsid w:val="00074C13"/>
    <w:rsid w:val="00074ED2"/>
    <w:rsid w:val="000760F5"/>
    <w:rsid w:val="00077783"/>
    <w:rsid w:val="00077C61"/>
    <w:rsid w:val="00082BBA"/>
    <w:rsid w:val="00084B9D"/>
    <w:rsid w:val="00084CA6"/>
    <w:rsid w:val="00085849"/>
    <w:rsid w:val="00085E31"/>
    <w:rsid w:val="00086D88"/>
    <w:rsid w:val="00087468"/>
    <w:rsid w:val="00087749"/>
    <w:rsid w:val="00090074"/>
    <w:rsid w:val="000901FC"/>
    <w:rsid w:val="000902D0"/>
    <w:rsid w:val="0009137E"/>
    <w:rsid w:val="00091FEE"/>
    <w:rsid w:val="00092984"/>
    <w:rsid w:val="00093C67"/>
    <w:rsid w:val="00093DF3"/>
    <w:rsid w:val="000942C3"/>
    <w:rsid w:val="00096049"/>
    <w:rsid w:val="000964BE"/>
    <w:rsid w:val="000A02F3"/>
    <w:rsid w:val="000A056D"/>
    <w:rsid w:val="000A0D22"/>
    <w:rsid w:val="000A109F"/>
    <w:rsid w:val="000A1586"/>
    <w:rsid w:val="000A1729"/>
    <w:rsid w:val="000A1730"/>
    <w:rsid w:val="000A34EC"/>
    <w:rsid w:val="000A3DF5"/>
    <w:rsid w:val="000A40EE"/>
    <w:rsid w:val="000A43AA"/>
    <w:rsid w:val="000A515F"/>
    <w:rsid w:val="000A5C95"/>
    <w:rsid w:val="000A6037"/>
    <w:rsid w:val="000A6891"/>
    <w:rsid w:val="000A74F3"/>
    <w:rsid w:val="000A7652"/>
    <w:rsid w:val="000B0335"/>
    <w:rsid w:val="000B0CEA"/>
    <w:rsid w:val="000B0FE8"/>
    <w:rsid w:val="000B1257"/>
    <w:rsid w:val="000B22E0"/>
    <w:rsid w:val="000B2A48"/>
    <w:rsid w:val="000B2A93"/>
    <w:rsid w:val="000B312C"/>
    <w:rsid w:val="000B51D7"/>
    <w:rsid w:val="000B5210"/>
    <w:rsid w:val="000B59E5"/>
    <w:rsid w:val="000B5FD7"/>
    <w:rsid w:val="000B6B08"/>
    <w:rsid w:val="000B7B63"/>
    <w:rsid w:val="000C22BE"/>
    <w:rsid w:val="000C2576"/>
    <w:rsid w:val="000C2921"/>
    <w:rsid w:val="000C39AE"/>
    <w:rsid w:val="000C4F43"/>
    <w:rsid w:val="000C527B"/>
    <w:rsid w:val="000C6431"/>
    <w:rsid w:val="000C6A12"/>
    <w:rsid w:val="000C7030"/>
    <w:rsid w:val="000C742F"/>
    <w:rsid w:val="000D18EF"/>
    <w:rsid w:val="000D1D7E"/>
    <w:rsid w:val="000D1EA0"/>
    <w:rsid w:val="000D2EC8"/>
    <w:rsid w:val="000D35A7"/>
    <w:rsid w:val="000D3C11"/>
    <w:rsid w:val="000D3F6C"/>
    <w:rsid w:val="000D553F"/>
    <w:rsid w:val="000D6F0B"/>
    <w:rsid w:val="000D7CC0"/>
    <w:rsid w:val="000D7E56"/>
    <w:rsid w:val="000D7FE7"/>
    <w:rsid w:val="000E0104"/>
    <w:rsid w:val="000E13DC"/>
    <w:rsid w:val="000E1A5C"/>
    <w:rsid w:val="000E1C5B"/>
    <w:rsid w:val="000E1D63"/>
    <w:rsid w:val="000E2265"/>
    <w:rsid w:val="000E2480"/>
    <w:rsid w:val="000E3172"/>
    <w:rsid w:val="000E33D5"/>
    <w:rsid w:val="000E3A1F"/>
    <w:rsid w:val="000E6954"/>
    <w:rsid w:val="000F01A8"/>
    <w:rsid w:val="000F173F"/>
    <w:rsid w:val="000F1902"/>
    <w:rsid w:val="000F2283"/>
    <w:rsid w:val="000F2860"/>
    <w:rsid w:val="000F30E9"/>
    <w:rsid w:val="000F419C"/>
    <w:rsid w:val="000F44B4"/>
    <w:rsid w:val="000F5243"/>
    <w:rsid w:val="000F58AA"/>
    <w:rsid w:val="000F6B07"/>
    <w:rsid w:val="000F7C19"/>
    <w:rsid w:val="00100595"/>
    <w:rsid w:val="00100FAB"/>
    <w:rsid w:val="00104EE2"/>
    <w:rsid w:val="001059E0"/>
    <w:rsid w:val="0010663A"/>
    <w:rsid w:val="00106714"/>
    <w:rsid w:val="0010680F"/>
    <w:rsid w:val="00106A9F"/>
    <w:rsid w:val="00111978"/>
    <w:rsid w:val="001135DE"/>
    <w:rsid w:val="001139F8"/>
    <w:rsid w:val="0011474C"/>
    <w:rsid w:val="00114973"/>
    <w:rsid w:val="00114C2D"/>
    <w:rsid w:val="001169B1"/>
    <w:rsid w:val="00117013"/>
    <w:rsid w:val="00117968"/>
    <w:rsid w:val="00117D57"/>
    <w:rsid w:val="00121E1D"/>
    <w:rsid w:val="001229C6"/>
    <w:rsid w:val="001232B1"/>
    <w:rsid w:val="00124879"/>
    <w:rsid w:val="0012610F"/>
    <w:rsid w:val="00126460"/>
    <w:rsid w:val="00130FD0"/>
    <w:rsid w:val="00131061"/>
    <w:rsid w:val="001313E4"/>
    <w:rsid w:val="00131D3F"/>
    <w:rsid w:val="001334C6"/>
    <w:rsid w:val="001344D1"/>
    <w:rsid w:val="0013645A"/>
    <w:rsid w:val="00136AD7"/>
    <w:rsid w:val="00140742"/>
    <w:rsid w:val="0014094D"/>
    <w:rsid w:val="0014138F"/>
    <w:rsid w:val="001440FB"/>
    <w:rsid w:val="001448EB"/>
    <w:rsid w:val="0014685E"/>
    <w:rsid w:val="0014707B"/>
    <w:rsid w:val="00150A05"/>
    <w:rsid w:val="00150CDC"/>
    <w:rsid w:val="00150D07"/>
    <w:rsid w:val="00151A8D"/>
    <w:rsid w:val="00152655"/>
    <w:rsid w:val="00153433"/>
    <w:rsid w:val="00154D51"/>
    <w:rsid w:val="001556DD"/>
    <w:rsid w:val="00156DBC"/>
    <w:rsid w:val="00160676"/>
    <w:rsid w:val="00160BCF"/>
    <w:rsid w:val="00160D06"/>
    <w:rsid w:val="001611BC"/>
    <w:rsid w:val="00162177"/>
    <w:rsid w:val="00162A9B"/>
    <w:rsid w:val="00162CCA"/>
    <w:rsid w:val="0016385A"/>
    <w:rsid w:val="001639E1"/>
    <w:rsid w:val="00164167"/>
    <w:rsid w:val="00164A51"/>
    <w:rsid w:val="00165729"/>
    <w:rsid w:val="001657A3"/>
    <w:rsid w:val="00165E0C"/>
    <w:rsid w:val="00165F14"/>
    <w:rsid w:val="00170F35"/>
    <w:rsid w:val="00171F85"/>
    <w:rsid w:val="00172C3F"/>
    <w:rsid w:val="00172CF7"/>
    <w:rsid w:val="00173223"/>
    <w:rsid w:val="0017514C"/>
    <w:rsid w:val="0017574C"/>
    <w:rsid w:val="00175DB4"/>
    <w:rsid w:val="0017646A"/>
    <w:rsid w:val="001771FF"/>
    <w:rsid w:val="00177460"/>
    <w:rsid w:val="00177BCC"/>
    <w:rsid w:val="0018069E"/>
    <w:rsid w:val="00180FBE"/>
    <w:rsid w:val="00180FF5"/>
    <w:rsid w:val="00182EE3"/>
    <w:rsid w:val="001831FF"/>
    <w:rsid w:val="00184D3A"/>
    <w:rsid w:val="00185739"/>
    <w:rsid w:val="001908D2"/>
    <w:rsid w:val="00192565"/>
    <w:rsid w:val="001932FF"/>
    <w:rsid w:val="001956CF"/>
    <w:rsid w:val="00195749"/>
    <w:rsid w:val="00197B84"/>
    <w:rsid w:val="001A0028"/>
    <w:rsid w:val="001A0F12"/>
    <w:rsid w:val="001A219C"/>
    <w:rsid w:val="001A56CD"/>
    <w:rsid w:val="001B0E07"/>
    <w:rsid w:val="001B3096"/>
    <w:rsid w:val="001B37C1"/>
    <w:rsid w:val="001B392B"/>
    <w:rsid w:val="001B3A38"/>
    <w:rsid w:val="001B3AE8"/>
    <w:rsid w:val="001B3F01"/>
    <w:rsid w:val="001B406F"/>
    <w:rsid w:val="001B5F37"/>
    <w:rsid w:val="001B787E"/>
    <w:rsid w:val="001C069A"/>
    <w:rsid w:val="001C083F"/>
    <w:rsid w:val="001C11ED"/>
    <w:rsid w:val="001C23D0"/>
    <w:rsid w:val="001C2662"/>
    <w:rsid w:val="001C2728"/>
    <w:rsid w:val="001C3BAB"/>
    <w:rsid w:val="001C4754"/>
    <w:rsid w:val="001C4D37"/>
    <w:rsid w:val="001C4E54"/>
    <w:rsid w:val="001C52A5"/>
    <w:rsid w:val="001C6CC5"/>
    <w:rsid w:val="001C7F90"/>
    <w:rsid w:val="001D0E36"/>
    <w:rsid w:val="001D10F3"/>
    <w:rsid w:val="001D3D5C"/>
    <w:rsid w:val="001D3F84"/>
    <w:rsid w:val="001D514F"/>
    <w:rsid w:val="001D57FB"/>
    <w:rsid w:val="001D6C43"/>
    <w:rsid w:val="001D719B"/>
    <w:rsid w:val="001D77ED"/>
    <w:rsid w:val="001E09BB"/>
    <w:rsid w:val="001E0D13"/>
    <w:rsid w:val="001E32BD"/>
    <w:rsid w:val="001E3428"/>
    <w:rsid w:val="001E36AF"/>
    <w:rsid w:val="001E3D2F"/>
    <w:rsid w:val="001E4C48"/>
    <w:rsid w:val="001E565B"/>
    <w:rsid w:val="001E698B"/>
    <w:rsid w:val="001F03B2"/>
    <w:rsid w:val="001F1674"/>
    <w:rsid w:val="001F1A3B"/>
    <w:rsid w:val="001F1D5A"/>
    <w:rsid w:val="001F1EA2"/>
    <w:rsid w:val="001F1FD5"/>
    <w:rsid w:val="001F23D6"/>
    <w:rsid w:val="001F32C8"/>
    <w:rsid w:val="001F32F0"/>
    <w:rsid w:val="001F368D"/>
    <w:rsid w:val="001F3F36"/>
    <w:rsid w:val="001F5CFF"/>
    <w:rsid w:val="001F6F02"/>
    <w:rsid w:val="001F7662"/>
    <w:rsid w:val="00201A5E"/>
    <w:rsid w:val="002024B7"/>
    <w:rsid w:val="002036CE"/>
    <w:rsid w:val="0020477C"/>
    <w:rsid w:val="0020492C"/>
    <w:rsid w:val="0020580E"/>
    <w:rsid w:val="0020582D"/>
    <w:rsid w:val="00205A29"/>
    <w:rsid w:val="00205E13"/>
    <w:rsid w:val="0020762B"/>
    <w:rsid w:val="00207C00"/>
    <w:rsid w:val="00207CD9"/>
    <w:rsid w:val="00207E27"/>
    <w:rsid w:val="00207EEB"/>
    <w:rsid w:val="00211217"/>
    <w:rsid w:val="00211F9E"/>
    <w:rsid w:val="002124D3"/>
    <w:rsid w:val="00214038"/>
    <w:rsid w:val="00214B23"/>
    <w:rsid w:val="00214DCA"/>
    <w:rsid w:val="00217B29"/>
    <w:rsid w:val="00217D10"/>
    <w:rsid w:val="00220715"/>
    <w:rsid w:val="00221452"/>
    <w:rsid w:val="00222E99"/>
    <w:rsid w:val="002231A9"/>
    <w:rsid w:val="00224725"/>
    <w:rsid w:val="00224DCB"/>
    <w:rsid w:val="00226495"/>
    <w:rsid w:val="0022776A"/>
    <w:rsid w:val="00230578"/>
    <w:rsid w:val="00231FF2"/>
    <w:rsid w:val="0023259F"/>
    <w:rsid w:val="00232798"/>
    <w:rsid w:val="00233A22"/>
    <w:rsid w:val="00233DC2"/>
    <w:rsid w:val="0023434E"/>
    <w:rsid w:val="002349FA"/>
    <w:rsid w:val="002360CB"/>
    <w:rsid w:val="00236179"/>
    <w:rsid w:val="0024104E"/>
    <w:rsid w:val="002417B6"/>
    <w:rsid w:val="00242B97"/>
    <w:rsid w:val="00242F5B"/>
    <w:rsid w:val="00243419"/>
    <w:rsid w:val="00243B73"/>
    <w:rsid w:val="0024409E"/>
    <w:rsid w:val="00245B3A"/>
    <w:rsid w:val="002465B4"/>
    <w:rsid w:val="00246753"/>
    <w:rsid w:val="00246FDF"/>
    <w:rsid w:val="002504BA"/>
    <w:rsid w:val="002530DB"/>
    <w:rsid w:val="00253ADF"/>
    <w:rsid w:val="00255436"/>
    <w:rsid w:val="00255E0E"/>
    <w:rsid w:val="002560F1"/>
    <w:rsid w:val="00256905"/>
    <w:rsid w:val="00260521"/>
    <w:rsid w:val="00260E4A"/>
    <w:rsid w:val="0026161C"/>
    <w:rsid w:val="002619F9"/>
    <w:rsid w:val="00262DEC"/>
    <w:rsid w:val="00262DFA"/>
    <w:rsid w:val="0026392D"/>
    <w:rsid w:val="00263CCF"/>
    <w:rsid w:val="0026500B"/>
    <w:rsid w:val="00265213"/>
    <w:rsid w:val="00266014"/>
    <w:rsid w:val="00266DC1"/>
    <w:rsid w:val="002675EA"/>
    <w:rsid w:val="00270388"/>
    <w:rsid w:val="00273515"/>
    <w:rsid w:val="00273516"/>
    <w:rsid w:val="00274162"/>
    <w:rsid w:val="0027486A"/>
    <w:rsid w:val="00275BD2"/>
    <w:rsid w:val="00276BD5"/>
    <w:rsid w:val="00277EFE"/>
    <w:rsid w:val="00281D55"/>
    <w:rsid w:val="002828E5"/>
    <w:rsid w:val="00283733"/>
    <w:rsid w:val="00283FCC"/>
    <w:rsid w:val="002840F9"/>
    <w:rsid w:val="00285591"/>
    <w:rsid w:val="002865E5"/>
    <w:rsid w:val="00286A73"/>
    <w:rsid w:val="00287257"/>
    <w:rsid w:val="0028781E"/>
    <w:rsid w:val="0029060E"/>
    <w:rsid w:val="002913C2"/>
    <w:rsid w:val="00292174"/>
    <w:rsid w:val="002925A4"/>
    <w:rsid w:val="00292E58"/>
    <w:rsid w:val="0029308B"/>
    <w:rsid w:val="00293D07"/>
    <w:rsid w:val="0029429B"/>
    <w:rsid w:val="002944E7"/>
    <w:rsid w:val="00296058"/>
    <w:rsid w:val="00296754"/>
    <w:rsid w:val="00296F1E"/>
    <w:rsid w:val="0029720E"/>
    <w:rsid w:val="00297FDB"/>
    <w:rsid w:val="002A027E"/>
    <w:rsid w:val="002A11B1"/>
    <w:rsid w:val="002A212F"/>
    <w:rsid w:val="002A35A7"/>
    <w:rsid w:val="002A5AA8"/>
    <w:rsid w:val="002A6332"/>
    <w:rsid w:val="002A6656"/>
    <w:rsid w:val="002A69A8"/>
    <w:rsid w:val="002A73EB"/>
    <w:rsid w:val="002B09D8"/>
    <w:rsid w:val="002B0C82"/>
    <w:rsid w:val="002B1267"/>
    <w:rsid w:val="002B383F"/>
    <w:rsid w:val="002B3B46"/>
    <w:rsid w:val="002B426A"/>
    <w:rsid w:val="002B4D3B"/>
    <w:rsid w:val="002B4F93"/>
    <w:rsid w:val="002B5881"/>
    <w:rsid w:val="002B5B77"/>
    <w:rsid w:val="002B607C"/>
    <w:rsid w:val="002B692E"/>
    <w:rsid w:val="002C0318"/>
    <w:rsid w:val="002C1576"/>
    <w:rsid w:val="002C2484"/>
    <w:rsid w:val="002C2998"/>
    <w:rsid w:val="002C3528"/>
    <w:rsid w:val="002C6C7C"/>
    <w:rsid w:val="002C76D2"/>
    <w:rsid w:val="002D018E"/>
    <w:rsid w:val="002D0D9D"/>
    <w:rsid w:val="002D15DC"/>
    <w:rsid w:val="002D19C8"/>
    <w:rsid w:val="002D1B5E"/>
    <w:rsid w:val="002D1F5D"/>
    <w:rsid w:val="002D3B6A"/>
    <w:rsid w:val="002D3DA1"/>
    <w:rsid w:val="002D5572"/>
    <w:rsid w:val="002D6831"/>
    <w:rsid w:val="002D6D33"/>
    <w:rsid w:val="002E0467"/>
    <w:rsid w:val="002E05C5"/>
    <w:rsid w:val="002E21E7"/>
    <w:rsid w:val="002E36E3"/>
    <w:rsid w:val="002E4A00"/>
    <w:rsid w:val="002E4CDF"/>
    <w:rsid w:val="002E5AAF"/>
    <w:rsid w:val="002E5C96"/>
    <w:rsid w:val="002E731B"/>
    <w:rsid w:val="002F009B"/>
    <w:rsid w:val="002F1308"/>
    <w:rsid w:val="002F1498"/>
    <w:rsid w:val="002F22DA"/>
    <w:rsid w:val="002F231B"/>
    <w:rsid w:val="002F2826"/>
    <w:rsid w:val="002F2AEE"/>
    <w:rsid w:val="002F2E72"/>
    <w:rsid w:val="002F2E74"/>
    <w:rsid w:val="002F3B18"/>
    <w:rsid w:val="002F3C26"/>
    <w:rsid w:val="002F4CEC"/>
    <w:rsid w:val="002F5511"/>
    <w:rsid w:val="002F707E"/>
    <w:rsid w:val="002F709A"/>
    <w:rsid w:val="0030036A"/>
    <w:rsid w:val="00300B00"/>
    <w:rsid w:val="003057AD"/>
    <w:rsid w:val="00305FCD"/>
    <w:rsid w:val="003066D7"/>
    <w:rsid w:val="003071CB"/>
    <w:rsid w:val="00307BAC"/>
    <w:rsid w:val="00310802"/>
    <w:rsid w:val="00311012"/>
    <w:rsid w:val="003127B7"/>
    <w:rsid w:val="00314E72"/>
    <w:rsid w:val="00315628"/>
    <w:rsid w:val="00316EC4"/>
    <w:rsid w:val="00316F0A"/>
    <w:rsid w:val="00317517"/>
    <w:rsid w:val="003176D0"/>
    <w:rsid w:val="00317946"/>
    <w:rsid w:val="00320227"/>
    <w:rsid w:val="0032078C"/>
    <w:rsid w:val="003213D7"/>
    <w:rsid w:val="003213E4"/>
    <w:rsid w:val="00322441"/>
    <w:rsid w:val="00323138"/>
    <w:rsid w:val="00323AB6"/>
    <w:rsid w:val="00324623"/>
    <w:rsid w:val="00325D63"/>
    <w:rsid w:val="00325E6E"/>
    <w:rsid w:val="00327320"/>
    <w:rsid w:val="0032735D"/>
    <w:rsid w:val="003276B3"/>
    <w:rsid w:val="00327B42"/>
    <w:rsid w:val="00331098"/>
    <w:rsid w:val="0033206E"/>
    <w:rsid w:val="00332212"/>
    <w:rsid w:val="003324F8"/>
    <w:rsid w:val="00333ABE"/>
    <w:rsid w:val="003345DE"/>
    <w:rsid w:val="00334D69"/>
    <w:rsid w:val="00336CF4"/>
    <w:rsid w:val="00337820"/>
    <w:rsid w:val="00337DB0"/>
    <w:rsid w:val="0034033C"/>
    <w:rsid w:val="00340C11"/>
    <w:rsid w:val="00341B48"/>
    <w:rsid w:val="00343258"/>
    <w:rsid w:val="00344F17"/>
    <w:rsid w:val="0034692F"/>
    <w:rsid w:val="00347995"/>
    <w:rsid w:val="003512E7"/>
    <w:rsid w:val="0035146A"/>
    <w:rsid w:val="00351D1A"/>
    <w:rsid w:val="003535E1"/>
    <w:rsid w:val="00354FB7"/>
    <w:rsid w:val="003564B9"/>
    <w:rsid w:val="00356AED"/>
    <w:rsid w:val="00357690"/>
    <w:rsid w:val="0036168F"/>
    <w:rsid w:val="00362A4D"/>
    <w:rsid w:val="003647C7"/>
    <w:rsid w:val="00365049"/>
    <w:rsid w:val="003651F8"/>
    <w:rsid w:val="003660DE"/>
    <w:rsid w:val="0036626F"/>
    <w:rsid w:val="00366B6C"/>
    <w:rsid w:val="00367124"/>
    <w:rsid w:val="003675D3"/>
    <w:rsid w:val="00367A00"/>
    <w:rsid w:val="00370747"/>
    <w:rsid w:val="0037076E"/>
    <w:rsid w:val="00370EAB"/>
    <w:rsid w:val="00371591"/>
    <w:rsid w:val="00372CFA"/>
    <w:rsid w:val="00372DEF"/>
    <w:rsid w:val="003737E4"/>
    <w:rsid w:val="00374320"/>
    <w:rsid w:val="003744BF"/>
    <w:rsid w:val="00375A8E"/>
    <w:rsid w:val="00375AA7"/>
    <w:rsid w:val="00376B6B"/>
    <w:rsid w:val="0037714F"/>
    <w:rsid w:val="003771AF"/>
    <w:rsid w:val="00381767"/>
    <w:rsid w:val="00381778"/>
    <w:rsid w:val="00382411"/>
    <w:rsid w:val="00383807"/>
    <w:rsid w:val="00384C5F"/>
    <w:rsid w:val="00385325"/>
    <w:rsid w:val="00385D41"/>
    <w:rsid w:val="00387473"/>
    <w:rsid w:val="003874F1"/>
    <w:rsid w:val="00387725"/>
    <w:rsid w:val="003900F8"/>
    <w:rsid w:val="003912CC"/>
    <w:rsid w:val="003919BF"/>
    <w:rsid w:val="003925F8"/>
    <w:rsid w:val="00392A56"/>
    <w:rsid w:val="00392E9F"/>
    <w:rsid w:val="003937F3"/>
    <w:rsid w:val="003938E0"/>
    <w:rsid w:val="00393927"/>
    <w:rsid w:val="00394065"/>
    <w:rsid w:val="00394178"/>
    <w:rsid w:val="00394415"/>
    <w:rsid w:val="003959CA"/>
    <w:rsid w:val="003963CF"/>
    <w:rsid w:val="00396AF0"/>
    <w:rsid w:val="00396BE1"/>
    <w:rsid w:val="00397F3A"/>
    <w:rsid w:val="003A019A"/>
    <w:rsid w:val="003A0D26"/>
    <w:rsid w:val="003A0F5D"/>
    <w:rsid w:val="003A1168"/>
    <w:rsid w:val="003A1600"/>
    <w:rsid w:val="003A1A1D"/>
    <w:rsid w:val="003A2A52"/>
    <w:rsid w:val="003A2C06"/>
    <w:rsid w:val="003A39A5"/>
    <w:rsid w:val="003A4098"/>
    <w:rsid w:val="003A49AB"/>
    <w:rsid w:val="003A4AD9"/>
    <w:rsid w:val="003A4BFA"/>
    <w:rsid w:val="003A4C71"/>
    <w:rsid w:val="003A4DAF"/>
    <w:rsid w:val="003A5FE6"/>
    <w:rsid w:val="003A695B"/>
    <w:rsid w:val="003A7DB2"/>
    <w:rsid w:val="003B249C"/>
    <w:rsid w:val="003B29FD"/>
    <w:rsid w:val="003B37A6"/>
    <w:rsid w:val="003B39FD"/>
    <w:rsid w:val="003B4F80"/>
    <w:rsid w:val="003B72E1"/>
    <w:rsid w:val="003C0E2A"/>
    <w:rsid w:val="003C1DAA"/>
    <w:rsid w:val="003C1DBD"/>
    <w:rsid w:val="003C7BE6"/>
    <w:rsid w:val="003D0BAF"/>
    <w:rsid w:val="003D0CBF"/>
    <w:rsid w:val="003D1918"/>
    <w:rsid w:val="003D1B04"/>
    <w:rsid w:val="003D1C40"/>
    <w:rsid w:val="003D1D6C"/>
    <w:rsid w:val="003D2119"/>
    <w:rsid w:val="003D35DD"/>
    <w:rsid w:val="003D3947"/>
    <w:rsid w:val="003D4000"/>
    <w:rsid w:val="003D44FB"/>
    <w:rsid w:val="003D49F0"/>
    <w:rsid w:val="003D4E2C"/>
    <w:rsid w:val="003D5E6A"/>
    <w:rsid w:val="003D785A"/>
    <w:rsid w:val="003E023E"/>
    <w:rsid w:val="003E024D"/>
    <w:rsid w:val="003E09F2"/>
    <w:rsid w:val="003E1AF4"/>
    <w:rsid w:val="003E2BBA"/>
    <w:rsid w:val="003E4365"/>
    <w:rsid w:val="003E4BAF"/>
    <w:rsid w:val="003E4ED3"/>
    <w:rsid w:val="003E5228"/>
    <w:rsid w:val="003E682D"/>
    <w:rsid w:val="003E7422"/>
    <w:rsid w:val="003E75FD"/>
    <w:rsid w:val="003E7C17"/>
    <w:rsid w:val="003E7E8E"/>
    <w:rsid w:val="003F0747"/>
    <w:rsid w:val="003F0E25"/>
    <w:rsid w:val="003F12F7"/>
    <w:rsid w:val="003F23BD"/>
    <w:rsid w:val="003F28FB"/>
    <w:rsid w:val="003F3523"/>
    <w:rsid w:val="003F4C7A"/>
    <w:rsid w:val="003F5D22"/>
    <w:rsid w:val="003F60B4"/>
    <w:rsid w:val="003F6529"/>
    <w:rsid w:val="003F7062"/>
    <w:rsid w:val="003F72E1"/>
    <w:rsid w:val="003F7439"/>
    <w:rsid w:val="0040066E"/>
    <w:rsid w:val="00402367"/>
    <w:rsid w:val="00402716"/>
    <w:rsid w:val="00402F43"/>
    <w:rsid w:val="00403046"/>
    <w:rsid w:val="004035E7"/>
    <w:rsid w:val="00404A17"/>
    <w:rsid w:val="00404BD0"/>
    <w:rsid w:val="00406593"/>
    <w:rsid w:val="0040754E"/>
    <w:rsid w:val="00410015"/>
    <w:rsid w:val="00410629"/>
    <w:rsid w:val="00410A86"/>
    <w:rsid w:val="00411D89"/>
    <w:rsid w:val="00412178"/>
    <w:rsid w:val="004121AE"/>
    <w:rsid w:val="0041330A"/>
    <w:rsid w:val="00413317"/>
    <w:rsid w:val="0041495C"/>
    <w:rsid w:val="00414C1E"/>
    <w:rsid w:val="00414F70"/>
    <w:rsid w:val="00415128"/>
    <w:rsid w:val="00415318"/>
    <w:rsid w:val="00415BD4"/>
    <w:rsid w:val="00415DE7"/>
    <w:rsid w:val="00416055"/>
    <w:rsid w:val="00417EAE"/>
    <w:rsid w:val="00424B1C"/>
    <w:rsid w:val="00430AB5"/>
    <w:rsid w:val="00431204"/>
    <w:rsid w:val="00432AF3"/>
    <w:rsid w:val="00432D5B"/>
    <w:rsid w:val="00433850"/>
    <w:rsid w:val="00440DB7"/>
    <w:rsid w:val="00441337"/>
    <w:rsid w:val="00441B71"/>
    <w:rsid w:val="00442284"/>
    <w:rsid w:val="00442632"/>
    <w:rsid w:val="00442D6F"/>
    <w:rsid w:val="00446879"/>
    <w:rsid w:val="00447375"/>
    <w:rsid w:val="00450653"/>
    <w:rsid w:val="00450E6D"/>
    <w:rsid w:val="0045290A"/>
    <w:rsid w:val="0045390B"/>
    <w:rsid w:val="0045415D"/>
    <w:rsid w:val="00455AA9"/>
    <w:rsid w:val="00455EA8"/>
    <w:rsid w:val="0045676C"/>
    <w:rsid w:val="0045681B"/>
    <w:rsid w:val="004575D9"/>
    <w:rsid w:val="004576EE"/>
    <w:rsid w:val="00460EC0"/>
    <w:rsid w:val="00461C6D"/>
    <w:rsid w:val="00462031"/>
    <w:rsid w:val="00462BB1"/>
    <w:rsid w:val="0046304B"/>
    <w:rsid w:val="004645E9"/>
    <w:rsid w:val="00464E6B"/>
    <w:rsid w:val="00465FB4"/>
    <w:rsid w:val="004666AD"/>
    <w:rsid w:val="00467D27"/>
    <w:rsid w:val="00471A66"/>
    <w:rsid w:val="0047201C"/>
    <w:rsid w:val="00474C4C"/>
    <w:rsid w:val="00474C53"/>
    <w:rsid w:val="00474EB5"/>
    <w:rsid w:val="00476B66"/>
    <w:rsid w:val="004779A2"/>
    <w:rsid w:val="004779ED"/>
    <w:rsid w:val="00480187"/>
    <w:rsid w:val="00480513"/>
    <w:rsid w:val="00480DB2"/>
    <w:rsid w:val="004839E6"/>
    <w:rsid w:val="0048411D"/>
    <w:rsid w:val="004858B5"/>
    <w:rsid w:val="00486333"/>
    <w:rsid w:val="004864E7"/>
    <w:rsid w:val="004865E8"/>
    <w:rsid w:val="00487AEC"/>
    <w:rsid w:val="00491E85"/>
    <w:rsid w:val="00493233"/>
    <w:rsid w:val="00494B49"/>
    <w:rsid w:val="00494CD8"/>
    <w:rsid w:val="00495B3A"/>
    <w:rsid w:val="0049697D"/>
    <w:rsid w:val="00496E3F"/>
    <w:rsid w:val="0049706D"/>
    <w:rsid w:val="00497836"/>
    <w:rsid w:val="004A1CFE"/>
    <w:rsid w:val="004A22DE"/>
    <w:rsid w:val="004A3FA2"/>
    <w:rsid w:val="004A565F"/>
    <w:rsid w:val="004A59DA"/>
    <w:rsid w:val="004A62C9"/>
    <w:rsid w:val="004A6A6D"/>
    <w:rsid w:val="004B3B28"/>
    <w:rsid w:val="004B4266"/>
    <w:rsid w:val="004B45D7"/>
    <w:rsid w:val="004B466A"/>
    <w:rsid w:val="004B53EB"/>
    <w:rsid w:val="004B623A"/>
    <w:rsid w:val="004B6467"/>
    <w:rsid w:val="004B65EF"/>
    <w:rsid w:val="004B71EC"/>
    <w:rsid w:val="004B726C"/>
    <w:rsid w:val="004B7613"/>
    <w:rsid w:val="004B7D8B"/>
    <w:rsid w:val="004C005B"/>
    <w:rsid w:val="004C00EF"/>
    <w:rsid w:val="004C03A2"/>
    <w:rsid w:val="004C24F6"/>
    <w:rsid w:val="004C2FC9"/>
    <w:rsid w:val="004C3852"/>
    <w:rsid w:val="004C415C"/>
    <w:rsid w:val="004C5267"/>
    <w:rsid w:val="004C6A35"/>
    <w:rsid w:val="004D2287"/>
    <w:rsid w:val="004D2777"/>
    <w:rsid w:val="004D2814"/>
    <w:rsid w:val="004D323A"/>
    <w:rsid w:val="004D4116"/>
    <w:rsid w:val="004D42CA"/>
    <w:rsid w:val="004D4F57"/>
    <w:rsid w:val="004D5C71"/>
    <w:rsid w:val="004D5D99"/>
    <w:rsid w:val="004D674C"/>
    <w:rsid w:val="004D72EF"/>
    <w:rsid w:val="004D7F8C"/>
    <w:rsid w:val="004E1EFC"/>
    <w:rsid w:val="004E2671"/>
    <w:rsid w:val="004E362A"/>
    <w:rsid w:val="004E3F77"/>
    <w:rsid w:val="004E4A57"/>
    <w:rsid w:val="004E5446"/>
    <w:rsid w:val="004E58F1"/>
    <w:rsid w:val="004E618F"/>
    <w:rsid w:val="004E6F12"/>
    <w:rsid w:val="004E6FD0"/>
    <w:rsid w:val="004F15A3"/>
    <w:rsid w:val="004F17B5"/>
    <w:rsid w:val="004F250A"/>
    <w:rsid w:val="004F25EB"/>
    <w:rsid w:val="004F3415"/>
    <w:rsid w:val="004F4E39"/>
    <w:rsid w:val="004F548D"/>
    <w:rsid w:val="004F59F8"/>
    <w:rsid w:val="004F6A09"/>
    <w:rsid w:val="004F7025"/>
    <w:rsid w:val="004F783F"/>
    <w:rsid w:val="00500BB6"/>
    <w:rsid w:val="005022C3"/>
    <w:rsid w:val="0050425E"/>
    <w:rsid w:val="00504735"/>
    <w:rsid w:val="00507CB6"/>
    <w:rsid w:val="0051066E"/>
    <w:rsid w:val="0051154D"/>
    <w:rsid w:val="0051189A"/>
    <w:rsid w:val="0051218A"/>
    <w:rsid w:val="0051266F"/>
    <w:rsid w:val="0051287B"/>
    <w:rsid w:val="00512C07"/>
    <w:rsid w:val="0051351B"/>
    <w:rsid w:val="00513870"/>
    <w:rsid w:val="00513BAC"/>
    <w:rsid w:val="00513D52"/>
    <w:rsid w:val="005149D6"/>
    <w:rsid w:val="0051569A"/>
    <w:rsid w:val="00515C83"/>
    <w:rsid w:val="00516602"/>
    <w:rsid w:val="00516608"/>
    <w:rsid w:val="0051719C"/>
    <w:rsid w:val="0052065F"/>
    <w:rsid w:val="00520D86"/>
    <w:rsid w:val="005223AD"/>
    <w:rsid w:val="005225FA"/>
    <w:rsid w:val="00522FD2"/>
    <w:rsid w:val="005238E6"/>
    <w:rsid w:val="0052394C"/>
    <w:rsid w:val="00524325"/>
    <w:rsid w:val="00524717"/>
    <w:rsid w:val="005260BD"/>
    <w:rsid w:val="005268ED"/>
    <w:rsid w:val="00526F60"/>
    <w:rsid w:val="0053072B"/>
    <w:rsid w:val="0053375C"/>
    <w:rsid w:val="0053566A"/>
    <w:rsid w:val="0053645E"/>
    <w:rsid w:val="005408A4"/>
    <w:rsid w:val="00541610"/>
    <w:rsid w:val="00541E5E"/>
    <w:rsid w:val="00543F1E"/>
    <w:rsid w:val="005448FF"/>
    <w:rsid w:val="005466A9"/>
    <w:rsid w:val="00546B67"/>
    <w:rsid w:val="005478D6"/>
    <w:rsid w:val="005509F5"/>
    <w:rsid w:val="0055172D"/>
    <w:rsid w:val="005528CF"/>
    <w:rsid w:val="00552AB8"/>
    <w:rsid w:val="005530B1"/>
    <w:rsid w:val="00553E3C"/>
    <w:rsid w:val="005542F8"/>
    <w:rsid w:val="00554E3F"/>
    <w:rsid w:val="005559B3"/>
    <w:rsid w:val="00556E5F"/>
    <w:rsid w:val="005606E2"/>
    <w:rsid w:val="0056117A"/>
    <w:rsid w:val="00561482"/>
    <w:rsid w:val="00561CC6"/>
    <w:rsid w:val="00561E4C"/>
    <w:rsid w:val="0056239B"/>
    <w:rsid w:val="005634A2"/>
    <w:rsid w:val="00563A42"/>
    <w:rsid w:val="00564425"/>
    <w:rsid w:val="00564452"/>
    <w:rsid w:val="00565457"/>
    <w:rsid w:val="005658F6"/>
    <w:rsid w:val="00565D00"/>
    <w:rsid w:val="00566113"/>
    <w:rsid w:val="005661F8"/>
    <w:rsid w:val="00566671"/>
    <w:rsid w:val="005670BF"/>
    <w:rsid w:val="00567AA8"/>
    <w:rsid w:val="00567C7A"/>
    <w:rsid w:val="00567DA9"/>
    <w:rsid w:val="00570547"/>
    <w:rsid w:val="00571B10"/>
    <w:rsid w:val="00571D84"/>
    <w:rsid w:val="0057439C"/>
    <w:rsid w:val="00574EAD"/>
    <w:rsid w:val="00575D12"/>
    <w:rsid w:val="00576C04"/>
    <w:rsid w:val="00577F07"/>
    <w:rsid w:val="00580623"/>
    <w:rsid w:val="00580DB7"/>
    <w:rsid w:val="00581114"/>
    <w:rsid w:val="00581EE9"/>
    <w:rsid w:val="0058216B"/>
    <w:rsid w:val="00582238"/>
    <w:rsid w:val="005824CF"/>
    <w:rsid w:val="005838C2"/>
    <w:rsid w:val="00583E50"/>
    <w:rsid w:val="00585C44"/>
    <w:rsid w:val="00585E51"/>
    <w:rsid w:val="0058604C"/>
    <w:rsid w:val="00586190"/>
    <w:rsid w:val="00586D95"/>
    <w:rsid w:val="005878A5"/>
    <w:rsid w:val="00590042"/>
    <w:rsid w:val="00590FB3"/>
    <w:rsid w:val="00591E53"/>
    <w:rsid w:val="00594868"/>
    <w:rsid w:val="005949DA"/>
    <w:rsid w:val="005957A7"/>
    <w:rsid w:val="00595BA7"/>
    <w:rsid w:val="00597411"/>
    <w:rsid w:val="005A119C"/>
    <w:rsid w:val="005A1A6A"/>
    <w:rsid w:val="005A1B7E"/>
    <w:rsid w:val="005A22F1"/>
    <w:rsid w:val="005A254C"/>
    <w:rsid w:val="005A2B90"/>
    <w:rsid w:val="005A2BBB"/>
    <w:rsid w:val="005A2C1D"/>
    <w:rsid w:val="005A3ED1"/>
    <w:rsid w:val="005A4108"/>
    <w:rsid w:val="005A5D13"/>
    <w:rsid w:val="005A6059"/>
    <w:rsid w:val="005A65C6"/>
    <w:rsid w:val="005A6C33"/>
    <w:rsid w:val="005A73FA"/>
    <w:rsid w:val="005B00F8"/>
    <w:rsid w:val="005B01EB"/>
    <w:rsid w:val="005B05D5"/>
    <w:rsid w:val="005B14D2"/>
    <w:rsid w:val="005B1BA6"/>
    <w:rsid w:val="005B2833"/>
    <w:rsid w:val="005B2881"/>
    <w:rsid w:val="005B33E0"/>
    <w:rsid w:val="005B42A7"/>
    <w:rsid w:val="005B570A"/>
    <w:rsid w:val="005B661B"/>
    <w:rsid w:val="005B6836"/>
    <w:rsid w:val="005B7A98"/>
    <w:rsid w:val="005C049F"/>
    <w:rsid w:val="005C0EE9"/>
    <w:rsid w:val="005C1099"/>
    <w:rsid w:val="005C1528"/>
    <w:rsid w:val="005C2014"/>
    <w:rsid w:val="005C3734"/>
    <w:rsid w:val="005C3DB9"/>
    <w:rsid w:val="005C415F"/>
    <w:rsid w:val="005C41BD"/>
    <w:rsid w:val="005C5879"/>
    <w:rsid w:val="005C68D0"/>
    <w:rsid w:val="005C7448"/>
    <w:rsid w:val="005D0FCA"/>
    <w:rsid w:val="005D1DB8"/>
    <w:rsid w:val="005D2342"/>
    <w:rsid w:val="005D2345"/>
    <w:rsid w:val="005D2710"/>
    <w:rsid w:val="005D4EFC"/>
    <w:rsid w:val="005D5266"/>
    <w:rsid w:val="005D6E9C"/>
    <w:rsid w:val="005D7AE4"/>
    <w:rsid w:val="005D7B6B"/>
    <w:rsid w:val="005E0B92"/>
    <w:rsid w:val="005E0BF7"/>
    <w:rsid w:val="005E0E1E"/>
    <w:rsid w:val="005E0EF7"/>
    <w:rsid w:val="005E25D4"/>
    <w:rsid w:val="005E2767"/>
    <w:rsid w:val="005E2D92"/>
    <w:rsid w:val="005E340E"/>
    <w:rsid w:val="005E36C3"/>
    <w:rsid w:val="005E3B69"/>
    <w:rsid w:val="005E3D98"/>
    <w:rsid w:val="005E44CA"/>
    <w:rsid w:val="005E48C5"/>
    <w:rsid w:val="005E4906"/>
    <w:rsid w:val="005E518A"/>
    <w:rsid w:val="005E5F05"/>
    <w:rsid w:val="005E626D"/>
    <w:rsid w:val="005F024C"/>
    <w:rsid w:val="005F06B9"/>
    <w:rsid w:val="005F0854"/>
    <w:rsid w:val="005F0EC1"/>
    <w:rsid w:val="005F5BAF"/>
    <w:rsid w:val="005F699C"/>
    <w:rsid w:val="005F6C33"/>
    <w:rsid w:val="005F6E6A"/>
    <w:rsid w:val="005F7372"/>
    <w:rsid w:val="006005D1"/>
    <w:rsid w:val="00601439"/>
    <w:rsid w:val="0060304B"/>
    <w:rsid w:val="00603454"/>
    <w:rsid w:val="006044C6"/>
    <w:rsid w:val="00605091"/>
    <w:rsid w:val="0060511F"/>
    <w:rsid w:val="00605F00"/>
    <w:rsid w:val="00606665"/>
    <w:rsid w:val="00606FF9"/>
    <w:rsid w:val="0060775E"/>
    <w:rsid w:val="00610C95"/>
    <w:rsid w:val="00611AE5"/>
    <w:rsid w:val="00611B36"/>
    <w:rsid w:val="00612282"/>
    <w:rsid w:val="00615A06"/>
    <w:rsid w:val="006163D4"/>
    <w:rsid w:val="006165E0"/>
    <w:rsid w:val="00616990"/>
    <w:rsid w:val="006172D2"/>
    <w:rsid w:val="00620665"/>
    <w:rsid w:val="006218F8"/>
    <w:rsid w:val="00622101"/>
    <w:rsid w:val="00622159"/>
    <w:rsid w:val="006238B5"/>
    <w:rsid w:val="0062457A"/>
    <w:rsid w:val="006248C2"/>
    <w:rsid w:val="006253EC"/>
    <w:rsid w:val="006273AB"/>
    <w:rsid w:val="006275A4"/>
    <w:rsid w:val="006279D2"/>
    <w:rsid w:val="00627D9D"/>
    <w:rsid w:val="00630135"/>
    <w:rsid w:val="0063107E"/>
    <w:rsid w:val="00632F29"/>
    <w:rsid w:val="00634C55"/>
    <w:rsid w:val="00634EF5"/>
    <w:rsid w:val="00636A96"/>
    <w:rsid w:val="0063760B"/>
    <w:rsid w:val="00640167"/>
    <w:rsid w:val="00640796"/>
    <w:rsid w:val="00640F10"/>
    <w:rsid w:val="00643AEC"/>
    <w:rsid w:val="00644200"/>
    <w:rsid w:val="006442AE"/>
    <w:rsid w:val="0064468C"/>
    <w:rsid w:val="00644DFF"/>
    <w:rsid w:val="00646DEA"/>
    <w:rsid w:val="00650091"/>
    <w:rsid w:val="006509D5"/>
    <w:rsid w:val="006524BF"/>
    <w:rsid w:val="00652B5C"/>
    <w:rsid w:val="006532B2"/>
    <w:rsid w:val="00654517"/>
    <w:rsid w:val="00654E05"/>
    <w:rsid w:val="006551ED"/>
    <w:rsid w:val="00656738"/>
    <w:rsid w:val="0065749B"/>
    <w:rsid w:val="0066074E"/>
    <w:rsid w:val="006614C9"/>
    <w:rsid w:val="006659E4"/>
    <w:rsid w:val="006674A1"/>
    <w:rsid w:val="00670BD7"/>
    <w:rsid w:val="00671B07"/>
    <w:rsid w:val="00671E63"/>
    <w:rsid w:val="00672B62"/>
    <w:rsid w:val="00673FCD"/>
    <w:rsid w:val="00674A0A"/>
    <w:rsid w:val="00675AB4"/>
    <w:rsid w:val="00676716"/>
    <w:rsid w:val="006771F9"/>
    <w:rsid w:val="0068143C"/>
    <w:rsid w:val="006816F3"/>
    <w:rsid w:val="00681A14"/>
    <w:rsid w:val="006822FD"/>
    <w:rsid w:val="00682B17"/>
    <w:rsid w:val="00683E63"/>
    <w:rsid w:val="0068536A"/>
    <w:rsid w:val="00685EAC"/>
    <w:rsid w:val="006864EC"/>
    <w:rsid w:val="00686AAA"/>
    <w:rsid w:val="00687252"/>
    <w:rsid w:val="00687B37"/>
    <w:rsid w:val="0069056E"/>
    <w:rsid w:val="00690661"/>
    <w:rsid w:val="006925B0"/>
    <w:rsid w:val="00693859"/>
    <w:rsid w:val="0069421F"/>
    <w:rsid w:val="006946CD"/>
    <w:rsid w:val="00696040"/>
    <w:rsid w:val="00696501"/>
    <w:rsid w:val="0069669C"/>
    <w:rsid w:val="00696EA8"/>
    <w:rsid w:val="006A1556"/>
    <w:rsid w:val="006A1CE7"/>
    <w:rsid w:val="006A26DF"/>
    <w:rsid w:val="006A3618"/>
    <w:rsid w:val="006A388D"/>
    <w:rsid w:val="006A38A9"/>
    <w:rsid w:val="006A4716"/>
    <w:rsid w:val="006A5C45"/>
    <w:rsid w:val="006A6CB0"/>
    <w:rsid w:val="006B063B"/>
    <w:rsid w:val="006B0B04"/>
    <w:rsid w:val="006B1C6A"/>
    <w:rsid w:val="006B20B8"/>
    <w:rsid w:val="006B2AF1"/>
    <w:rsid w:val="006B33BA"/>
    <w:rsid w:val="006B4354"/>
    <w:rsid w:val="006B6A45"/>
    <w:rsid w:val="006B7637"/>
    <w:rsid w:val="006C00C7"/>
    <w:rsid w:val="006C5F23"/>
    <w:rsid w:val="006C7BCD"/>
    <w:rsid w:val="006C7F5C"/>
    <w:rsid w:val="006D327F"/>
    <w:rsid w:val="006D3DC1"/>
    <w:rsid w:val="006D4B6F"/>
    <w:rsid w:val="006D5405"/>
    <w:rsid w:val="006D5FB3"/>
    <w:rsid w:val="006D68FD"/>
    <w:rsid w:val="006D711D"/>
    <w:rsid w:val="006D7431"/>
    <w:rsid w:val="006E0039"/>
    <w:rsid w:val="006E15F3"/>
    <w:rsid w:val="006E291B"/>
    <w:rsid w:val="006E315A"/>
    <w:rsid w:val="006E3671"/>
    <w:rsid w:val="006E3B75"/>
    <w:rsid w:val="006E3D70"/>
    <w:rsid w:val="006E4101"/>
    <w:rsid w:val="006E5511"/>
    <w:rsid w:val="006E56D4"/>
    <w:rsid w:val="006F092E"/>
    <w:rsid w:val="006F0A3D"/>
    <w:rsid w:val="006F1256"/>
    <w:rsid w:val="006F1510"/>
    <w:rsid w:val="006F1E4D"/>
    <w:rsid w:val="006F23E4"/>
    <w:rsid w:val="006F2FD5"/>
    <w:rsid w:val="006F36EA"/>
    <w:rsid w:val="006F3CB7"/>
    <w:rsid w:val="006F3D14"/>
    <w:rsid w:val="006F665E"/>
    <w:rsid w:val="006F7F62"/>
    <w:rsid w:val="00700271"/>
    <w:rsid w:val="007002DF"/>
    <w:rsid w:val="0070104D"/>
    <w:rsid w:val="0070221F"/>
    <w:rsid w:val="00702403"/>
    <w:rsid w:val="00702E21"/>
    <w:rsid w:val="00704D0A"/>
    <w:rsid w:val="007057D0"/>
    <w:rsid w:val="00707138"/>
    <w:rsid w:val="00707566"/>
    <w:rsid w:val="0071186E"/>
    <w:rsid w:val="00712455"/>
    <w:rsid w:val="007138ED"/>
    <w:rsid w:val="00715D6D"/>
    <w:rsid w:val="0071604E"/>
    <w:rsid w:val="0071717C"/>
    <w:rsid w:val="0071719F"/>
    <w:rsid w:val="00717D02"/>
    <w:rsid w:val="00717F79"/>
    <w:rsid w:val="007206E4"/>
    <w:rsid w:val="00721A29"/>
    <w:rsid w:val="0072397B"/>
    <w:rsid w:val="00723D3C"/>
    <w:rsid w:val="00723E81"/>
    <w:rsid w:val="007262E1"/>
    <w:rsid w:val="0072674A"/>
    <w:rsid w:val="00727D5F"/>
    <w:rsid w:val="007309A3"/>
    <w:rsid w:val="00731484"/>
    <w:rsid w:val="00731912"/>
    <w:rsid w:val="00731A1B"/>
    <w:rsid w:val="00731E77"/>
    <w:rsid w:val="007332FA"/>
    <w:rsid w:val="007338AB"/>
    <w:rsid w:val="0073393B"/>
    <w:rsid w:val="00733F7E"/>
    <w:rsid w:val="00734960"/>
    <w:rsid w:val="0073660C"/>
    <w:rsid w:val="00736DD7"/>
    <w:rsid w:val="00737995"/>
    <w:rsid w:val="00737D0F"/>
    <w:rsid w:val="00741444"/>
    <w:rsid w:val="00741525"/>
    <w:rsid w:val="00743448"/>
    <w:rsid w:val="00744774"/>
    <w:rsid w:val="00745627"/>
    <w:rsid w:val="00745638"/>
    <w:rsid w:val="00745BF1"/>
    <w:rsid w:val="00745C1C"/>
    <w:rsid w:val="00745ECD"/>
    <w:rsid w:val="00750656"/>
    <w:rsid w:val="00750A2E"/>
    <w:rsid w:val="00753946"/>
    <w:rsid w:val="007570E2"/>
    <w:rsid w:val="00761E16"/>
    <w:rsid w:val="00761F54"/>
    <w:rsid w:val="00763419"/>
    <w:rsid w:val="007638B1"/>
    <w:rsid w:val="00764327"/>
    <w:rsid w:val="00764C54"/>
    <w:rsid w:val="0076576D"/>
    <w:rsid w:val="00766A7F"/>
    <w:rsid w:val="00766C8C"/>
    <w:rsid w:val="00771AEB"/>
    <w:rsid w:val="00774623"/>
    <w:rsid w:val="00774CF2"/>
    <w:rsid w:val="00774DFB"/>
    <w:rsid w:val="0077535D"/>
    <w:rsid w:val="0077572C"/>
    <w:rsid w:val="00775CB9"/>
    <w:rsid w:val="00780C1C"/>
    <w:rsid w:val="00781302"/>
    <w:rsid w:val="00781397"/>
    <w:rsid w:val="0078231B"/>
    <w:rsid w:val="00783CE6"/>
    <w:rsid w:val="00784426"/>
    <w:rsid w:val="00784A76"/>
    <w:rsid w:val="007850B2"/>
    <w:rsid w:val="00785746"/>
    <w:rsid w:val="00786A29"/>
    <w:rsid w:val="00786BA9"/>
    <w:rsid w:val="007876F4"/>
    <w:rsid w:val="00790A25"/>
    <w:rsid w:val="00790A59"/>
    <w:rsid w:val="00791F57"/>
    <w:rsid w:val="007927FB"/>
    <w:rsid w:val="007948FB"/>
    <w:rsid w:val="00795E08"/>
    <w:rsid w:val="007968FE"/>
    <w:rsid w:val="007971CF"/>
    <w:rsid w:val="007A0A51"/>
    <w:rsid w:val="007A0E8C"/>
    <w:rsid w:val="007A10B1"/>
    <w:rsid w:val="007A1713"/>
    <w:rsid w:val="007A1FD8"/>
    <w:rsid w:val="007A2EE5"/>
    <w:rsid w:val="007A4021"/>
    <w:rsid w:val="007A4B12"/>
    <w:rsid w:val="007A6DE1"/>
    <w:rsid w:val="007A7194"/>
    <w:rsid w:val="007A7CA3"/>
    <w:rsid w:val="007A7F06"/>
    <w:rsid w:val="007A7FF7"/>
    <w:rsid w:val="007B03E7"/>
    <w:rsid w:val="007B1713"/>
    <w:rsid w:val="007B1CF6"/>
    <w:rsid w:val="007B527B"/>
    <w:rsid w:val="007B53CA"/>
    <w:rsid w:val="007B567D"/>
    <w:rsid w:val="007B6462"/>
    <w:rsid w:val="007B667F"/>
    <w:rsid w:val="007C1DD7"/>
    <w:rsid w:val="007C1ED6"/>
    <w:rsid w:val="007C1F06"/>
    <w:rsid w:val="007C204E"/>
    <w:rsid w:val="007C2FE8"/>
    <w:rsid w:val="007C4FBD"/>
    <w:rsid w:val="007C5BBA"/>
    <w:rsid w:val="007C5DDF"/>
    <w:rsid w:val="007C5FC2"/>
    <w:rsid w:val="007C69F4"/>
    <w:rsid w:val="007D121E"/>
    <w:rsid w:val="007D2480"/>
    <w:rsid w:val="007D4DE6"/>
    <w:rsid w:val="007D4DE8"/>
    <w:rsid w:val="007D7BF9"/>
    <w:rsid w:val="007D7CDF"/>
    <w:rsid w:val="007E0350"/>
    <w:rsid w:val="007E17AA"/>
    <w:rsid w:val="007E4240"/>
    <w:rsid w:val="007E42DF"/>
    <w:rsid w:val="007E4C74"/>
    <w:rsid w:val="007E62F7"/>
    <w:rsid w:val="007E65EC"/>
    <w:rsid w:val="007E7145"/>
    <w:rsid w:val="007E72C9"/>
    <w:rsid w:val="007E7F74"/>
    <w:rsid w:val="007F0D5A"/>
    <w:rsid w:val="007F1219"/>
    <w:rsid w:val="007F1264"/>
    <w:rsid w:val="007F1F29"/>
    <w:rsid w:val="007F2496"/>
    <w:rsid w:val="007F2933"/>
    <w:rsid w:val="007F2D3B"/>
    <w:rsid w:val="007F3447"/>
    <w:rsid w:val="007F34B7"/>
    <w:rsid w:val="007F3D9F"/>
    <w:rsid w:val="007F6740"/>
    <w:rsid w:val="0080073D"/>
    <w:rsid w:val="00800821"/>
    <w:rsid w:val="0080296D"/>
    <w:rsid w:val="0080320B"/>
    <w:rsid w:val="0080378C"/>
    <w:rsid w:val="00806260"/>
    <w:rsid w:val="0080757A"/>
    <w:rsid w:val="00807701"/>
    <w:rsid w:val="0081064E"/>
    <w:rsid w:val="00810D66"/>
    <w:rsid w:val="008126A5"/>
    <w:rsid w:val="00813243"/>
    <w:rsid w:val="00813485"/>
    <w:rsid w:val="00813B32"/>
    <w:rsid w:val="008140F0"/>
    <w:rsid w:val="00815756"/>
    <w:rsid w:val="0081623E"/>
    <w:rsid w:val="00816371"/>
    <w:rsid w:val="00816B60"/>
    <w:rsid w:val="00816D87"/>
    <w:rsid w:val="00817597"/>
    <w:rsid w:val="00820DB0"/>
    <w:rsid w:val="008218C5"/>
    <w:rsid w:val="008219CF"/>
    <w:rsid w:val="00823236"/>
    <w:rsid w:val="00823E3F"/>
    <w:rsid w:val="00824414"/>
    <w:rsid w:val="00824EF4"/>
    <w:rsid w:val="00826E4A"/>
    <w:rsid w:val="008302AA"/>
    <w:rsid w:val="00831DC2"/>
    <w:rsid w:val="00832238"/>
    <w:rsid w:val="00832687"/>
    <w:rsid w:val="00833147"/>
    <w:rsid w:val="00833D69"/>
    <w:rsid w:val="00834323"/>
    <w:rsid w:val="00835802"/>
    <w:rsid w:val="00835BA8"/>
    <w:rsid w:val="00835F3F"/>
    <w:rsid w:val="00836566"/>
    <w:rsid w:val="008375BB"/>
    <w:rsid w:val="0084067D"/>
    <w:rsid w:val="00840A49"/>
    <w:rsid w:val="0084228F"/>
    <w:rsid w:val="00842B0C"/>
    <w:rsid w:val="00842E00"/>
    <w:rsid w:val="00842E01"/>
    <w:rsid w:val="00842FE6"/>
    <w:rsid w:val="00843841"/>
    <w:rsid w:val="00844622"/>
    <w:rsid w:val="00845BB7"/>
    <w:rsid w:val="00846ACF"/>
    <w:rsid w:val="008478E8"/>
    <w:rsid w:val="008503BA"/>
    <w:rsid w:val="008510D3"/>
    <w:rsid w:val="0085112D"/>
    <w:rsid w:val="008527A9"/>
    <w:rsid w:val="00852A52"/>
    <w:rsid w:val="00855A71"/>
    <w:rsid w:val="008561CC"/>
    <w:rsid w:val="00856F44"/>
    <w:rsid w:val="008600A9"/>
    <w:rsid w:val="00860402"/>
    <w:rsid w:val="00861596"/>
    <w:rsid w:val="008617B3"/>
    <w:rsid w:val="00861CB7"/>
    <w:rsid w:val="008621F5"/>
    <w:rsid w:val="00863446"/>
    <w:rsid w:val="00863718"/>
    <w:rsid w:val="008643DA"/>
    <w:rsid w:val="00864FD2"/>
    <w:rsid w:val="00865968"/>
    <w:rsid w:val="00866D2D"/>
    <w:rsid w:val="00867173"/>
    <w:rsid w:val="00867F4F"/>
    <w:rsid w:val="00870B96"/>
    <w:rsid w:val="008719BB"/>
    <w:rsid w:val="008721AF"/>
    <w:rsid w:val="0087256A"/>
    <w:rsid w:val="008733BD"/>
    <w:rsid w:val="008739A7"/>
    <w:rsid w:val="00873B41"/>
    <w:rsid w:val="00874ED8"/>
    <w:rsid w:val="00874F24"/>
    <w:rsid w:val="008755E9"/>
    <w:rsid w:val="008769A0"/>
    <w:rsid w:val="00880450"/>
    <w:rsid w:val="00881560"/>
    <w:rsid w:val="00882086"/>
    <w:rsid w:val="00883947"/>
    <w:rsid w:val="00883F2A"/>
    <w:rsid w:val="00884889"/>
    <w:rsid w:val="008876A5"/>
    <w:rsid w:val="00890BA8"/>
    <w:rsid w:val="00890C83"/>
    <w:rsid w:val="0089199E"/>
    <w:rsid w:val="008923F9"/>
    <w:rsid w:val="00894DA8"/>
    <w:rsid w:val="00895175"/>
    <w:rsid w:val="008965B9"/>
    <w:rsid w:val="008978BB"/>
    <w:rsid w:val="008A2503"/>
    <w:rsid w:val="008A2AE8"/>
    <w:rsid w:val="008A2CB4"/>
    <w:rsid w:val="008A496B"/>
    <w:rsid w:val="008A5FEA"/>
    <w:rsid w:val="008B0043"/>
    <w:rsid w:val="008B1EB2"/>
    <w:rsid w:val="008B2DB2"/>
    <w:rsid w:val="008B2E18"/>
    <w:rsid w:val="008B2EFD"/>
    <w:rsid w:val="008B3435"/>
    <w:rsid w:val="008B36D2"/>
    <w:rsid w:val="008B5E17"/>
    <w:rsid w:val="008B6201"/>
    <w:rsid w:val="008B6669"/>
    <w:rsid w:val="008B6670"/>
    <w:rsid w:val="008B6D2C"/>
    <w:rsid w:val="008B70C3"/>
    <w:rsid w:val="008B7B88"/>
    <w:rsid w:val="008C048A"/>
    <w:rsid w:val="008C07B3"/>
    <w:rsid w:val="008C3052"/>
    <w:rsid w:val="008C4C33"/>
    <w:rsid w:val="008C5AE8"/>
    <w:rsid w:val="008C63E5"/>
    <w:rsid w:val="008C715A"/>
    <w:rsid w:val="008D085F"/>
    <w:rsid w:val="008D0DBC"/>
    <w:rsid w:val="008D1997"/>
    <w:rsid w:val="008D2EA2"/>
    <w:rsid w:val="008D2F39"/>
    <w:rsid w:val="008D4582"/>
    <w:rsid w:val="008D6DFD"/>
    <w:rsid w:val="008D6F96"/>
    <w:rsid w:val="008D7EFE"/>
    <w:rsid w:val="008E1F29"/>
    <w:rsid w:val="008E2A5D"/>
    <w:rsid w:val="008E5AAE"/>
    <w:rsid w:val="008E5B62"/>
    <w:rsid w:val="008E6F68"/>
    <w:rsid w:val="008E75E0"/>
    <w:rsid w:val="008E7B4D"/>
    <w:rsid w:val="008E7CD6"/>
    <w:rsid w:val="008F0734"/>
    <w:rsid w:val="008F0BF8"/>
    <w:rsid w:val="008F0D45"/>
    <w:rsid w:val="008F24CB"/>
    <w:rsid w:val="008F6E55"/>
    <w:rsid w:val="008F6F81"/>
    <w:rsid w:val="008F7012"/>
    <w:rsid w:val="008F7114"/>
    <w:rsid w:val="008F73ED"/>
    <w:rsid w:val="008F7D31"/>
    <w:rsid w:val="009014EB"/>
    <w:rsid w:val="00902659"/>
    <w:rsid w:val="00902C57"/>
    <w:rsid w:val="00903094"/>
    <w:rsid w:val="00903E4B"/>
    <w:rsid w:val="00903F29"/>
    <w:rsid w:val="0090489A"/>
    <w:rsid w:val="00905427"/>
    <w:rsid w:val="009057CF"/>
    <w:rsid w:val="00905917"/>
    <w:rsid w:val="009065DC"/>
    <w:rsid w:val="009100E7"/>
    <w:rsid w:val="00910A34"/>
    <w:rsid w:val="00911433"/>
    <w:rsid w:val="0091154B"/>
    <w:rsid w:val="009115A6"/>
    <w:rsid w:val="00912D30"/>
    <w:rsid w:val="009134F6"/>
    <w:rsid w:val="009139BB"/>
    <w:rsid w:val="00913B25"/>
    <w:rsid w:val="00913F4F"/>
    <w:rsid w:val="009157DC"/>
    <w:rsid w:val="00915CF7"/>
    <w:rsid w:val="00915D13"/>
    <w:rsid w:val="009165FE"/>
    <w:rsid w:val="00917D04"/>
    <w:rsid w:val="00921352"/>
    <w:rsid w:val="00924C05"/>
    <w:rsid w:val="00925F00"/>
    <w:rsid w:val="009263FD"/>
    <w:rsid w:val="009264FA"/>
    <w:rsid w:val="009270D8"/>
    <w:rsid w:val="0092742A"/>
    <w:rsid w:val="00927BD1"/>
    <w:rsid w:val="00930C07"/>
    <w:rsid w:val="00930C8D"/>
    <w:rsid w:val="0093177A"/>
    <w:rsid w:val="00931C8B"/>
    <w:rsid w:val="00933D3F"/>
    <w:rsid w:val="00934058"/>
    <w:rsid w:val="009346FB"/>
    <w:rsid w:val="00936524"/>
    <w:rsid w:val="00936634"/>
    <w:rsid w:val="009372B0"/>
    <w:rsid w:val="00937303"/>
    <w:rsid w:val="0093768A"/>
    <w:rsid w:val="009377A3"/>
    <w:rsid w:val="00937AB3"/>
    <w:rsid w:val="009412A7"/>
    <w:rsid w:val="0094159F"/>
    <w:rsid w:val="00941B01"/>
    <w:rsid w:val="00942C12"/>
    <w:rsid w:val="0094432F"/>
    <w:rsid w:val="0094463C"/>
    <w:rsid w:val="00944D77"/>
    <w:rsid w:val="0094555D"/>
    <w:rsid w:val="00945EB9"/>
    <w:rsid w:val="009470A9"/>
    <w:rsid w:val="009472FD"/>
    <w:rsid w:val="00947AE7"/>
    <w:rsid w:val="009503AD"/>
    <w:rsid w:val="0095071F"/>
    <w:rsid w:val="009508B8"/>
    <w:rsid w:val="00950E64"/>
    <w:rsid w:val="00951417"/>
    <w:rsid w:val="009525D0"/>
    <w:rsid w:val="009532CF"/>
    <w:rsid w:val="00953C2A"/>
    <w:rsid w:val="009545A7"/>
    <w:rsid w:val="00957033"/>
    <w:rsid w:val="0095772D"/>
    <w:rsid w:val="00957AE1"/>
    <w:rsid w:val="00957BB1"/>
    <w:rsid w:val="00960D8C"/>
    <w:rsid w:val="009619C2"/>
    <w:rsid w:val="009626CE"/>
    <w:rsid w:val="009631D1"/>
    <w:rsid w:val="009637F8"/>
    <w:rsid w:val="00963DAD"/>
    <w:rsid w:val="0096419C"/>
    <w:rsid w:val="0096420E"/>
    <w:rsid w:val="009644CD"/>
    <w:rsid w:val="00964945"/>
    <w:rsid w:val="00965338"/>
    <w:rsid w:val="009657E5"/>
    <w:rsid w:val="00966071"/>
    <w:rsid w:val="009666F2"/>
    <w:rsid w:val="00966BD7"/>
    <w:rsid w:val="00970A28"/>
    <w:rsid w:val="00970ACB"/>
    <w:rsid w:val="00970EA9"/>
    <w:rsid w:val="00971522"/>
    <w:rsid w:val="00971529"/>
    <w:rsid w:val="00972B30"/>
    <w:rsid w:val="009743F3"/>
    <w:rsid w:val="009746F7"/>
    <w:rsid w:val="0097470D"/>
    <w:rsid w:val="0097621F"/>
    <w:rsid w:val="0097638A"/>
    <w:rsid w:val="009765F4"/>
    <w:rsid w:val="0098002C"/>
    <w:rsid w:val="00980C62"/>
    <w:rsid w:val="0098129A"/>
    <w:rsid w:val="009825FF"/>
    <w:rsid w:val="00983AAC"/>
    <w:rsid w:val="00984200"/>
    <w:rsid w:val="00984C24"/>
    <w:rsid w:val="00985315"/>
    <w:rsid w:val="0098579C"/>
    <w:rsid w:val="009862E3"/>
    <w:rsid w:val="00986ECC"/>
    <w:rsid w:val="0099139A"/>
    <w:rsid w:val="00991B3A"/>
    <w:rsid w:val="00993073"/>
    <w:rsid w:val="009936D7"/>
    <w:rsid w:val="009936FC"/>
    <w:rsid w:val="00994E30"/>
    <w:rsid w:val="00995348"/>
    <w:rsid w:val="009958E1"/>
    <w:rsid w:val="00997228"/>
    <w:rsid w:val="009A063D"/>
    <w:rsid w:val="009A08A3"/>
    <w:rsid w:val="009A0C73"/>
    <w:rsid w:val="009A133D"/>
    <w:rsid w:val="009A197B"/>
    <w:rsid w:val="009A2198"/>
    <w:rsid w:val="009A2F2E"/>
    <w:rsid w:val="009A308E"/>
    <w:rsid w:val="009A31FD"/>
    <w:rsid w:val="009A3732"/>
    <w:rsid w:val="009A4128"/>
    <w:rsid w:val="009A4691"/>
    <w:rsid w:val="009A5244"/>
    <w:rsid w:val="009A5E77"/>
    <w:rsid w:val="009A6536"/>
    <w:rsid w:val="009A7C53"/>
    <w:rsid w:val="009B056C"/>
    <w:rsid w:val="009B0EA0"/>
    <w:rsid w:val="009B122D"/>
    <w:rsid w:val="009B1777"/>
    <w:rsid w:val="009B33A2"/>
    <w:rsid w:val="009B4723"/>
    <w:rsid w:val="009B6315"/>
    <w:rsid w:val="009C06AE"/>
    <w:rsid w:val="009C3D3F"/>
    <w:rsid w:val="009C41E7"/>
    <w:rsid w:val="009C7406"/>
    <w:rsid w:val="009C789E"/>
    <w:rsid w:val="009D072A"/>
    <w:rsid w:val="009D1741"/>
    <w:rsid w:val="009D191B"/>
    <w:rsid w:val="009D2A0C"/>
    <w:rsid w:val="009D2FEC"/>
    <w:rsid w:val="009D3127"/>
    <w:rsid w:val="009D3ED3"/>
    <w:rsid w:val="009D4D84"/>
    <w:rsid w:val="009E0487"/>
    <w:rsid w:val="009E10D0"/>
    <w:rsid w:val="009E16FF"/>
    <w:rsid w:val="009E2607"/>
    <w:rsid w:val="009E2F56"/>
    <w:rsid w:val="009E3060"/>
    <w:rsid w:val="009E4170"/>
    <w:rsid w:val="009E45BF"/>
    <w:rsid w:val="009E5CF8"/>
    <w:rsid w:val="009E6AB9"/>
    <w:rsid w:val="009E70E3"/>
    <w:rsid w:val="009F04EB"/>
    <w:rsid w:val="009F2B69"/>
    <w:rsid w:val="009F42F0"/>
    <w:rsid w:val="009F4706"/>
    <w:rsid w:val="009F4A40"/>
    <w:rsid w:val="009F6AEA"/>
    <w:rsid w:val="009F6ED2"/>
    <w:rsid w:val="00A002DE"/>
    <w:rsid w:val="00A00EAE"/>
    <w:rsid w:val="00A0124B"/>
    <w:rsid w:val="00A018DD"/>
    <w:rsid w:val="00A02B4B"/>
    <w:rsid w:val="00A02F2D"/>
    <w:rsid w:val="00A05E9C"/>
    <w:rsid w:val="00A07489"/>
    <w:rsid w:val="00A07F34"/>
    <w:rsid w:val="00A1076E"/>
    <w:rsid w:val="00A12533"/>
    <w:rsid w:val="00A12724"/>
    <w:rsid w:val="00A1296C"/>
    <w:rsid w:val="00A12DEE"/>
    <w:rsid w:val="00A145AC"/>
    <w:rsid w:val="00A1567A"/>
    <w:rsid w:val="00A166E3"/>
    <w:rsid w:val="00A209FA"/>
    <w:rsid w:val="00A20DED"/>
    <w:rsid w:val="00A219DA"/>
    <w:rsid w:val="00A24B89"/>
    <w:rsid w:val="00A26122"/>
    <w:rsid w:val="00A27488"/>
    <w:rsid w:val="00A27BE0"/>
    <w:rsid w:val="00A31FBA"/>
    <w:rsid w:val="00A32876"/>
    <w:rsid w:val="00A32B0A"/>
    <w:rsid w:val="00A340B6"/>
    <w:rsid w:val="00A346A5"/>
    <w:rsid w:val="00A351FA"/>
    <w:rsid w:val="00A358FA"/>
    <w:rsid w:val="00A363BE"/>
    <w:rsid w:val="00A363DC"/>
    <w:rsid w:val="00A36E3D"/>
    <w:rsid w:val="00A37DC7"/>
    <w:rsid w:val="00A37EDC"/>
    <w:rsid w:val="00A4084F"/>
    <w:rsid w:val="00A41797"/>
    <w:rsid w:val="00A41CE0"/>
    <w:rsid w:val="00A428BB"/>
    <w:rsid w:val="00A42BB0"/>
    <w:rsid w:val="00A42F8B"/>
    <w:rsid w:val="00A42F92"/>
    <w:rsid w:val="00A43064"/>
    <w:rsid w:val="00A44394"/>
    <w:rsid w:val="00A4563A"/>
    <w:rsid w:val="00A45B42"/>
    <w:rsid w:val="00A46469"/>
    <w:rsid w:val="00A465EA"/>
    <w:rsid w:val="00A46ED2"/>
    <w:rsid w:val="00A475FD"/>
    <w:rsid w:val="00A52A1A"/>
    <w:rsid w:val="00A53918"/>
    <w:rsid w:val="00A556C2"/>
    <w:rsid w:val="00A55A3E"/>
    <w:rsid w:val="00A56956"/>
    <w:rsid w:val="00A60773"/>
    <w:rsid w:val="00A61727"/>
    <w:rsid w:val="00A617F1"/>
    <w:rsid w:val="00A6184E"/>
    <w:rsid w:val="00A61A54"/>
    <w:rsid w:val="00A62336"/>
    <w:rsid w:val="00A63510"/>
    <w:rsid w:val="00A64C04"/>
    <w:rsid w:val="00A64D99"/>
    <w:rsid w:val="00A65B40"/>
    <w:rsid w:val="00A6617E"/>
    <w:rsid w:val="00A661A8"/>
    <w:rsid w:val="00A670AF"/>
    <w:rsid w:val="00A672AB"/>
    <w:rsid w:val="00A71753"/>
    <w:rsid w:val="00A71D77"/>
    <w:rsid w:val="00A72660"/>
    <w:rsid w:val="00A7387B"/>
    <w:rsid w:val="00A73882"/>
    <w:rsid w:val="00A74BC7"/>
    <w:rsid w:val="00A74BC8"/>
    <w:rsid w:val="00A75651"/>
    <w:rsid w:val="00A75A2E"/>
    <w:rsid w:val="00A76025"/>
    <w:rsid w:val="00A776A9"/>
    <w:rsid w:val="00A803D9"/>
    <w:rsid w:val="00A80596"/>
    <w:rsid w:val="00A817D5"/>
    <w:rsid w:val="00A82D61"/>
    <w:rsid w:val="00A83048"/>
    <w:rsid w:val="00A834B5"/>
    <w:rsid w:val="00A84ED9"/>
    <w:rsid w:val="00A860BA"/>
    <w:rsid w:val="00A8684A"/>
    <w:rsid w:val="00A87E1B"/>
    <w:rsid w:val="00A90176"/>
    <w:rsid w:val="00A92856"/>
    <w:rsid w:val="00A93866"/>
    <w:rsid w:val="00A949FE"/>
    <w:rsid w:val="00A97C91"/>
    <w:rsid w:val="00AA1273"/>
    <w:rsid w:val="00AA1D68"/>
    <w:rsid w:val="00AA26F4"/>
    <w:rsid w:val="00AA2AA9"/>
    <w:rsid w:val="00AA3177"/>
    <w:rsid w:val="00AA378F"/>
    <w:rsid w:val="00AA4022"/>
    <w:rsid w:val="00AA60E7"/>
    <w:rsid w:val="00AA715B"/>
    <w:rsid w:val="00AA7182"/>
    <w:rsid w:val="00AB0686"/>
    <w:rsid w:val="00AB0B66"/>
    <w:rsid w:val="00AB36E5"/>
    <w:rsid w:val="00AB3B78"/>
    <w:rsid w:val="00AB48D2"/>
    <w:rsid w:val="00AB4FBD"/>
    <w:rsid w:val="00AB7584"/>
    <w:rsid w:val="00AB7821"/>
    <w:rsid w:val="00AC149E"/>
    <w:rsid w:val="00AC32C1"/>
    <w:rsid w:val="00AC58E2"/>
    <w:rsid w:val="00AC5B99"/>
    <w:rsid w:val="00AC5F13"/>
    <w:rsid w:val="00AC615F"/>
    <w:rsid w:val="00AC702A"/>
    <w:rsid w:val="00AC7E85"/>
    <w:rsid w:val="00AD0060"/>
    <w:rsid w:val="00AD20C4"/>
    <w:rsid w:val="00AD2C34"/>
    <w:rsid w:val="00AD484F"/>
    <w:rsid w:val="00AD6B6E"/>
    <w:rsid w:val="00AD6DA6"/>
    <w:rsid w:val="00AD7B75"/>
    <w:rsid w:val="00AE0CE9"/>
    <w:rsid w:val="00AE1D0E"/>
    <w:rsid w:val="00AE29F8"/>
    <w:rsid w:val="00AE2AFF"/>
    <w:rsid w:val="00AE33BF"/>
    <w:rsid w:val="00AE398E"/>
    <w:rsid w:val="00AE56DE"/>
    <w:rsid w:val="00AE5C03"/>
    <w:rsid w:val="00AE63FA"/>
    <w:rsid w:val="00AE645B"/>
    <w:rsid w:val="00AE6D9B"/>
    <w:rsid w:val="00AE725B"/>
    <w:rsid w:val="00AE754D"/>
    <w:rsid w:val="00AE7B13"/>
    <w:rsid w:val="00AE7B4F"/>
    <w:rsid w:val="00AF1635"/>
    <w:rsid w:val="00AF2531"/>
    <w:rsid w:val="00AF26D8"/>
    <w:rsid w:val="00AF2AA6"/>
    <w:rsid w:val="00AF312F"/>
    <w:rsid w:val="00AF3177"/>
    <w:rsid w:val="00AF43A5"/>
    <w:rsid w:val="00AF4738"/>
    <w:rsid w:val="00AF49F0"/>
    <w:rsid w:val="00AF4C28"/>
    <w:rsid w:val="00AF5B11"/>
    <w:rsid w:val="00AF645F"/>
    <w:rsid w:val="00B00070"/>
    <w:rsid w:val="00B004BB"/>
    <w:rsid w:val="00B00BB7"/>
    <w:rsid w:val="00B00C7B"/>
    <w:rsid w:val="00B01407"/>
    <w:rsid w:val="00B02642"/>
    <w:rsid w:val="00B03026"/>
    <w:rsid w:val="00B03B22"/>
    <w:rsid w:val="00B045B3"/>
    <w:rsid w:val="00B0523C"/>
    <w:rsid w:val="00B05968"/>
    <w:rsid w:val="00B05C7E"/>
    <w:rsid w:val="00B05E89"/>
    <w:rsid w:val="00B06A8E"/>
    <w:rsid w:val="00B06B99"/>
    <w:rsid w:val="00B10A03"/>
    <w:rsid w:val="00B10C66"/>
    <w:rsid w:val="00B10FE8"/>
    <w:rsid w:val="00B11530"/>
    <w:rsid w:val="00B117DD"/>
    <w:rsid w:val="00B11F3B"/>
    <w:rsid w:val="00B12F04"/>
    <w:rsid w:val="00B13BC2"/>
    <w:rsid w:val="00B13D27"/>
    <w:rsid w:val="00B20199"/>
    <w:rsid w:val="00B211A1"/>
    <w:rsid w:val="00B21A15"/>
    <w:rsid w:val="00B21DB8"/>
    <w:rsid w:val="00B22FFF"/>
    <w:rsid w:val="00B23A33"/>
    <w:rsid w:val="00B23C2D"/>
    <w:rsid w:val="00B25D87"/>
    <w:rsid w:val="00B27192"/>
    <w:rsid w:val="00B271E2"/>
    <w:rsid w:val="00B279D6"/>
    <w:rsid w:val="00B301A0"/>
    <w:rsid w:val="00B30A8E"/>
    <w:rsid w:val="00B31329"/>
    <w:rsid w:val="00B31A0D"/>
    <w:rsid w:val="00B31D6B"/>
    <w:rsid w:val="00B31DEE"/>
    <w:rsid w:val="00B32C2C"/>
    <w:rsid w:val="00B3316A"/>
    <w:rsid w:val="00B33FE1"/>
    <w:rsid w:val="00B3473C"/>
    <w:rsid w:val="00B3584B"/>
    <w:rsid w:val="00B3621C"/>
    <w:rsid w:val="00B364B0"/>
    <w:rsid w:val="00B3784D"/>
    <w:rsid w:val="00B40135"/>
    <w:rsid w:val="00B40B19"/>
    <w:rsid w:val="00B416F6"/>
    <w:rsid w:val="00B419AD"/>
    <w:rsid w:val="00B4397E"/>
    <w:rsid w:val="00B43F56"/>
    <w:rsid w:val="00B44237"/>
    <w:rsid w:val="00B447F8"/>
    <w:rsid w:val="00B44B11"/>
    <w:rsid w:val="00B4518B"/>
    <w:rsid w:val="00B46B82"/>
    <w:rsid w:val="00B50D0F"/>
    <w:rsid w:val="00B51FFE"/>
    <w:rsid w:val="00B52829"/>
    <w:rsid w:val="00B52AEF"/>
    <w:rsid w:val="00B53563"/>
    <w:rsid w:val="00B55FEC"/>
    <w:rsid w:val="00B57DFA"/>
    <w:rsid w:val="00B6140F"/>
    <w:rsid w:val="00B6145E"/>
    <w:rsid w:val="00B61B66"/>
    <w:rsid w:val="00B63EEE"/>
    <w:rsid w:val="00B640C1"/>
    <w:rsid w:val="00B662E3"/>
    <w:rsid w:val="00B66753"/>
    <w:rsid w:val="00B67637"/>
    <w:rsid w:val="00B67D1E"/>
    <w:rsid w:val="00B67F4C"/>
    <w:rsid w:val="00B7231D"/>
    <w:rsid w:val="00B728BF"/>
    <w:rsid w:val="00B72A15"/>
    <w:rsid w:val="00B72DBE"/>
    <w:rsid w:val="00B73DC8"/>
    <w:rsid w:val="00B74FF4"/>
    <w:rsid w:val="00B750D3"/>
    <w:rsid w:val="00B754B3"/>
    <w:rsid w:val="00B76642"/>
    <w:rsid w:val="00B803A4"/>
    <w:rsid w:val="00B810D9"/>
    <w:rsid w:val="00B817A3"/>
    <w:rsid w:val="00B82DDC"/>
    <w:rsid w:val="00B82E6D"/>
    <w:rsid w:val="00B83112"/>
    <w:rsid w:val="00B838D4"/>
    <w:rsid w:val="00B83BCB"/>
    <w:rsid w:val="00B83EF3"/>
    <w:rsid w:val="00B8400A"/>
    <w:rsid w:val="00B8478B"/>
    <w:rsid w:val="00B84CB4"/>
    <w:rsid w:val="00B85A5D"/>
    <w:rsid w:val="00B868BE"/>
    <w:rsid w:val="00B87B71"/>
    <w:rsid w:val="00B91507"/>
    <w:rsid w:val="00B91827"/>
    <w:rsid w:val="00B91D8F"/>
    <w:rsid w:val="00B93511"/>
    <w:rsid w:val="00B9368E"/>
    <w:rsid w:val="00B939B9"/>
    <w:rsid w:val="00B939F8"/>
    <w:rsid w:val="00B94993"/>
    <w:rsid w:val="00BA13AA"/>
    <w:rsid w:val="00BA1CE1"/>
    <w:rsid w:val="00BA22FA"/>
    <w:rsid w:val="00BA24E0"/>
    <w:rsid w:val="00BA3213"/>
    <w:rsid w:val="00BA4A28"/>
    <w:rsid w:val="00BA5084"/>
    <w:rsid w:val="00BA5EDC"/>
    <w:rsid w:val="00BA6339"/>
    <w:rsid w:val="00BA75E2"/>
    <w:rsid w:val="00BA78BB"/>
    <w:rsid w:val="00BB0049"/>
    <w:rsid w:val="00BB033F"/>
    <w:rsid w:val="00BB083E"/>
    <w:rsid w:val="00BB2028"/>
    <w:rsid w:val="00BB3218"/>
    <w:rsid w:val="00BB722B"/>
    <w:rsid w:val="00BB77F5"/>
    <w:rsid w:val="00BB7921"/>
    <w:rsid w:val="00BC04E7"/>
    <w:rsid w:val="00BC1935"/>
    <w:rsid w:val="00BC1DD5"/>
    <w:rsid w:val="00BC1FCC"/>
    <w:rsid w:val="00BC3BB2"/>
    <w:rsid w:val="00BC43F3"/>
    <w:rsid w:val="00BC4491"/>
    <w:rsid w:val="00BC4A0F"/>
    <w:rsid w:val="00BC56B2"/>
    <w:rsid w:val="00BC5E8A"/>
    <w:rsid w:val="00BC6753"/>
    <w:rsid w:val="00BD0944"/>
    <w:rsid w:val="00BD2982"/>
    <w:rsid w:val="00BD2C15"/>
    <w:rsid w:val="00BD2F6C"/>
    <w:rsid w:val="00BD324F"/>
    <w:rsid w:val="00BD33F3"/>
    <w:rsid w:val="00BD3BDD"/>
    <w:rsid w:val="00BD3DBD"/>
    <w:rsid w:val="00BD440E"/>
    <w:rsid w:val="00BD49D9"/>
    <w:rsid w:val="00BD4B77"/>
    <w:rsid w:val="00BD586D"/>
    <w:rsid w:val="00BD649A"/>
    <w:rsid w:val="00BD6A7B"/>
    <w:rsid w:val="00BD6FD3"/>
    <w:rsid w:val="00BE0C0A"/>
    <w:rsid w:val="00BE1C6A"/>
    <w:rsid w:val="00BE254C"/>
    <w:rsid w:val="00BE312F"/>
    <w:rsid w:val="00BE3B2B"/>
    <w:rsid w:val="00BE49BF"/>
    <w:rsid w:val="00BE4B4D"/>
    <w:rsid w:val="00BE5BAB"/>
    <w:rsid w:val="00BE6188"/>
    <w:rsid w:val="00BE6D9D"/>
    <w:rsid w:val="00BF1817"/>
    <w:rsid w:val="00BF2029"/>
    <w:rsid w:val="00BF228E"/>
    <w:rsid w:val="00BF2D82"/>
    <w:rsid w:val="00BF335D"/>
    <w:rsid w:val="00BF3626"/>
    <w:rsid w:val="00BF3DDD"/>
    <w:rsid w:val="00BF3F18"/>
    <w:rsid w:val="00BF3FBA"/>
    <w:rsid w:val="00BF6741"/>
    <w:rsid w:val="00BF695F"/>
    <w:rsid w:val="00BF6FBD"/>
    <w:rsid w:val="00BF7113"/>
    <w:rsid w:val="00C005A1"/>
    <w:rsid w:val="00C02035"/>
    <w:rsid w:val="00C02A9E"/>
    <w:rsid w:val="00C05237"/>
    <w:rsid w:val="00C05E66"/>
    <w:rsid w:val="00C1123F"/>
    <w:rsid w:val="00C115AA"/>
    <w:rsid w:val="00C11881"/>
    <w:rsid w:val="00C12E0B"/>
    <w:rsid w:val="00C13266"/>
    <w:rsid w:val="00C13B1A"/>
    <w:rsid w:val="00C15BE5"/>
    <w:rsid w:val="00C169FF"/>
    <w:rsid w:val="00C16CCC"/>
    <w:rsid w:val="00C20266"/>
    <w:rsid w:val="00C20A7C"/>
    <w:rsid w:val="00C218C7"/>
    <w:rsid w:val="00C21BA5"/>
    <w:rsid w:val="00C23A30"/>
    <w:rsid w:val="00C24434"/>
    <w:rsid w:val="00C24857"/>
    <w:rsid w:val="00C249BF"/>
    <w:rsid w:val="00C24D19"/>
    <w:rsid w:val="00C25193"/>
    <w:rsid w:val="00C252E6"/>
    <w:rsid w:val="00C25A9C"/>
    <w:rsid w:val="00C27449"/>
    <w:rsid w:val="00C30BDA"/>
    <w:rsid w:val="00C31C7E"/>
    <w:rsid w:val="00C32A29"/>
    <w:rsid w:val="00C32BAA"/>
    <w:rsid w:val="00C3419E"/>
    <w:rsid w:val="00C35A8A"/>
    <w:rsid w:val="00C36A86"/>
    <w:rsid w:val="00C36E66"/>
    <w:rsid w:val="00C40989"/>
    <w:rsid w:val="00C40A1B"/>
    <w:rsid w:val="00C419BE"/>
    <w:rsid w:val="00C42301"/>
    <w:rsid w:val="00C42B16"/>
    <w:rsid w:val="00C444FE"/>
    <w:rsid w:val="00C44606"/>
    <w:rsid w:val="00C44743"/>
    <w:rsid w:val="00C451B7"/>
    <w:rsid w:val="00C45BE7"/>
    <w:rsid w:val="00C46EDA"/>
    <w:rsid w:val="00C4796F"/>
    <w:rsid w:val="00C5189B"/>
    <w:rsid w:val="00C51A88"/>
    <w:rsid w:val="00C52367"/>
    <w:rsid w:val="00C52ED6"/>
    <w:rsid w:val="00C53972"/>
    <w:rsid w:val="00C54C59"/>
    <w:rsid w:val="00C54CD5"/>
    <w:rsid w:val="00C55269"/>
    <w:rsid w:val="00C55AB9"/>
    <w:rsid w:val="00C55C1C"/>
    <w:rsid w:val="00C56411"/>
    <w:rsid w:val="00C56666"/>
    <w:rsid w:val="00C57522"/>
    <w:rsid w:val="00C577CC"/>
    <w:rsid w:val="00C579B1"/>
    <w:rsid w:val="00C60750"/>
    <w:rsid w:val="00C609AE"/>
    <w:rsid w:val="00C6387E"/>
    <w:rsid w:val="00C63C91"/>
    <w:rsid w:val="00C63E67"/>
    <w:rsid w:val="00C6532F"/>
    <w:rsid w:val="00C65898"/>
    <w:rsid w:val="00C65B80"/>
    <w:rsid w:val="00C65DF1"/>
    <w:rsid w:val="00C66C08"/>
    <w:rsid w:val="00C67041"/>
    <w:rsid w:val="00C6718C"/>
    <w:rsid w:val="00C70637"/>
    <w:rsid w:val="00C73321"/>
    <w:rsid w:val="00C73676"/>
    <w:rsid w:val="00C7507E"/>
    <w:rsid w:val="00C761A1"/>
    <w:rsid w:val="00C76566"/>
    <w:rsid w:val="00C776FE"/>
    <w:rsid w:val="00C77760"/>
    <w:rsid w:val="00C77A30"/>
    <w:rsid w:val="00C77A54"/>
    <w:rsid w:val="00C77FCC"/>
    <w:rsid w:val="00C82EB5"/>
    <w:rsid w:val="00C83CDC"/>
    <w:rsid w:val="00C858E7"/>
    <w:rsid w:val="00C85D0C"/>
    <w:rsid w:val="00C8654C"/>
    <w:rsid w:val="00C87417"/>
    <w:rsid w:val="00C8746F"/>
    <w:rsid w:val="00C87556"/>
    <w:rsid w:val="00C936C6"/>
    <w:rsid w:val="00C94539"/>
    <w:rsid w:val="00C950BE"/>
    <w:rsid w:val="00C9579D"/>
    <w:rsid w:val="00C963C4"/>
    <w:rsid w:val="00C96F98"/>
    <w:rsid w:val="00C97031"/>
    <w:rsid w:val="00C97B2E"/>
    <w:rsid w:val="00CA328A"/>
    <w:rsid w:val="00CA369F"/>
    <w:rsid w:val="00CA5E24"/>
    <w:rsid w:val="00CA5E94"/>
    <w:rsid w:val="00CA6462"/>
    <w:rsid w:val="00CA66B1"/>
    <w:rsid w:val="00CA6C6C"/>
    <w:rsid w:val="00CA6F04"/>
    <w:rsid w:val="00CA6F90"/>
    <w:rsid w:val="00CB0EAC"/>
    <w:rsid w:val="00CB0F4E"/>
    <w:rsid w:val="00CB1392"/>
    <w:rsid w:val="00CB2393"/>
    <w:rsid w:val="00CB2CC9"/>
    <w:rsid w:val="00CB2DD0"/>
    <w:rsid w:val="00CB37B7"/>
    <w:rsid w:val="00CB37E2"/>
    <w:rsid w:val="00CB3A30"/>
    <w:rsid w:val="00CB3B21"/>
    <w:rsid w:val="00CB3C00"/>
    <w:rsid w:val="00CB4C8B"/>
    <w:rsid w:val="00CB4D0F"/>
    <w:rsid w:val="00CB60D7"/>
    <w:rsid w:val="00CC024E"/>
    <w:rsid w:val="00CC0954"/>
    <w:rsid w:val="00CC2D27"/>
    <w:rsid w:val="00CC3AF1"/>
    <w:rsid w:val="00CC3CB4"/>
    <w:rsid w:val="00CC3D86"/>
    <w:rsid w:val="00CC7778"/>
    <w:rsid w:val="00CC7EA8"/>
    <w:rsid w:val="00CD07F0"/>
    <w:rsid w:val="00CD083D"/>
    <w:rsid w:val="00CD12F8"/>
    <w:rsid w:val="00CD1B0E"/>
    <w:rsid w:val="00CD2DB7"/>
    <w:rsid w:val="00CD45E9"/>
    <w:rsid w:val="00CD4B2B"/>
    <w:rsid w:val="00CD4B68"/>
    <w:rsid w:val="00CD54AC"/>
    <w:rsid w:val="00CD7B7D"/>
    <w:rsid w:val="00CD7CB4"/>
    <w:rsid w:val="00CE0370"/>
    <w:rsid w:val="00CE0DBD"/>
    <w:rsid w:val="00CE11FB"/>
    <w:rsid w:val="00CE1C61"/>
    <w:rsid w:val="00CE1C66"/>
    <w:rsid w:val="00CE1E8E"/>
    <w:rsid w:val="00CE202C"/>
    <w:rsid w:val="00CE2276"/>
    <w:rsid w:val="00CE2F01"/>
    <w:rsid w:val="00CE3C71"/>
    <w:rsid w:val="00CE5ECC"/>
    <w:rsid w:val="00CE6A5C"/>
    <w:rsid w:val="00CE6F28"/>
    <w:rsid w:val="00CE778B"/>
    <w:rsid w:val="00CE7EA0"/>
    <w:rsid w:val="00CF0AF2"/>
    <w:rsid w:val="00CF1496"/>
    <w:rsid w:val="00CF271A"/>
    <w:rsid w:val="00CF63A1"/>
    <w:rsid w:val="00CF7C22"/>
    <w:rsid w:val="00CF7CF9"/>
    <w:rsid w:val="00D01077"/>
    <w:rsid w:val="00D020E0"/>
    <w:rsid w:val="00D022D5"/>
    <w:rsid w:val="00D02495"/>
    <w:rsid w:val="00D02666"/>
    <w:rsid w:val="00D02ACD"/>
    <w:rsid w:val="00D02BDB"/>
    <w:rsid w:val="00D04505"/>
    <w:rsid w:val="00D04A2D"/>
    <w:rsid w:val="00D0529E"/>
    <w:rsid w:val="00D10AEE"/>
    <w:rsid w:val="00D10E3E"/>
    <w:rsid w:val="00D11591"/>
    <w:rsid w:val="00D12FBA"/>
    <w:rsid w:val="00D13648"/>
    <w:rsid w:val="00D144BC"/>
    <w:rsid w:val="00D152A0"/>
    <w:rsid w:val="00D156E4"/>
    <w:rsid w:val="00D15874"/>
    <w:rsid w:val="00D15908"/>
    <w:rsid w:val="00D16D05"/>
    <w:rsid w:val="00D17CE7"/>
    <w:rsid w:val="00D2032F"/>
    <w:rsid w:val="00D209CE"/>
    <w:rsid w:val="00D2119B"/>
    <w:rsid w:val="00D218CA"/>
    <w:rsid w:val="00D222E3"/>
    <w:rsid w:val="00D24DE9"/>
    <w:rsid w:val="00D2611F"/>
    <w:rsid w:val="00D27FE1"/>
    <w:rsid w:val="00D302BE"/>
    <w:rsid w:val="00D32D74"/>
    <w:rsid w:val="00D33637"/>
    <w:rsid w:val="00D3549F"/>
    <w:rsid w:val="00D35584"/>
    <w:rsid w:val="00D37BC2"/>
    <w:rsid w:val="00D37CDE"/>
    <w:rsid w:val="00D400D9"/>
    <w:rsid w:val="00D409D4"/>
    <w:rsid w:val="00D46019"/>
    <w:rsid w:val="00D466C2"/>
    <w:rsid w:val="00D46ADD"/>
    <w:rsid w:val="00D4774F"/>
    <w:rsid w:val="00D50040"/>
    <w:rsid w:val="00D51265"/>
    <w:rsid w:val="00D51C0E"/>
    <w:rsid w:val="00D53B78"/>
    <w:rsid w:val="00D53BC6"/>
    <w:rsid w:val="00D53C69"/>
    <w:rsid w:val="00D54BFE"/>
    <w:rsid w:val="00D5681E"/>
    <w:rsid w:val="00D56962"/>
    <w:rsid w:val="00D5759E"/>
    <w:rsid w:val="00D576AC"/>
    <w:rsid w:val="00D57D53"/>
    <w:rsid w:val="00D57FBC"/>
    <w:rsid w:val="00D60B7B"/>
    <w:rsid w:val="00D6127E"/>
    <w:rsid w:val="00D61D2C"/>
    <w:rsid w:val="00D62434"/>
    <w:rsid w:val="00D62930"/>
    <w:rsid w:val="00D63425"/>
    <w:rsid w:val="00D63499"/>
    <w:rsid w:val="00D63BCF"/>
    <w:rsid w:val="00D64855"/>
    <w:rsid w:val="00D656C3"/>
    <w:rsid w:val="00D66D62"/>
    <w:rsid w:val="00D67A6C"/>
    <w:rsid w:val="00D71E51"/>
    <w:rsid w:val="00D725A4"/>
    <w:rsid w:val="00D72909"/>
    <w:rsid w:val="00D73692"/>
    <w:rsid w:val="00D73E6E"/>
    <w:rsid w:val="00D764CD"/>
    <w:rsid w:val="00D76F59"/>
    <w:rsid w:val="00D7737B"/>
    <w:rsid w:val="00D80512"/>
    <w:rsid w:val="00D80CAC"/>
    <w:rsid w:val="00D81639"/>
    <w:rsid w:val="00D837B5"/>
    <w:rsid w:val="00D83F4F"/>
    <w:rsid w:val="00D845E6"/>
    <w:rsid w:val="00D86455"/>
    <w:rsid w:val="00D86A78"/>
    <w:rsid w:val="00D87636"/>
    <w:rsid w:val="00D9161E"/>
    <w:rsid w:val="00D9241C"/>
    <w:rsid w:val="00D952C0"/>
    <w:rsid w:val="00D95486"/>
    <w:rsid w:val="00D95E51"/>
    <w:rsid w:val="00D967CD"/>
    <w:rsid w:val="00DA1659"/>
    <w:rsid w:val="00DA1F58"/>
    <w:rsid w:val="00DA2B0A"/>
    <w:rsid w:val="00DA2B38"/>
    <w:rsid w:val="00DA36E4"/>
    <w:rsid w:val="00DA5554"/>
    <w:rsid w:val="00DA75EC"/>
    <w:rsid w:val="00DB1396"/>
    <w:rsid w:val="00DB1553"/>
    <w:rsid w:val="00DB1FF2"/>
    <w:rsid w:val="00DB2C5B"/>
    <w:rsid w:val="00DB4470"/>
    <w:rsid w:val="00DB5DAC"/>
    <w:rsid w:val="00DB6D46"/>
    <w:rsid w:val="00DB6FEB"/>
    <w:rsid w:val="00DC02CD"/>
    <w:rsid w:val="00DC2845"/>
    <w:rsid w:val="00DC4CDD"/>
    <w:rsid w:val="00DC6490"/>
    <w:rsid w:val="00DC66A1"/>
    <w:rsid w:val="00DC68C2"/>
    <w:rsid w:val="00DD1456"/>
    <w:rsid w:val="00DD2955"/>
    <w:rsid w:val="00DD2B34"/>
    <w:rsid w:val="00DD3668"/>
    <w:rsid w:val="00DD379B"/>
    <w:rsid w:val="00DD51B3"/>
    <w:rsid w:val="00DD6EF0"/>
    <w:rsid w:val="00DD716B"/>
    <w:rsid w:val="00DD7AE9"/>
    <w:rsid w:val="00DE07D8"/>
    <w:rsid w:val="00DE1D46"/>
    <w:rsid w:val="00DE4DAF"/>
    <w:rsid w:val="00DE5F2D"/>
    <w:rsid w:val="00DE5F8A"/>
    <w:rsid w:val="00DE7D7E"/>
    <w:rsid w:val="00DF0BCA"/>
    <w:rsid w:val="00DF105A"/>
    <w:rsid w:val="00DF161E"/>
    <w:rsid w:val="00DF1A8B"/>
    <w:rsid w:val="00DF1C43"/>
    <w:rsid w:val="00DF23E2"/>
    <w:rsid w:val="00DF2AAC"/>
    <w:rsid w:val="00DF36F5"/>
    <w:rsid w:val="00DF3FA3"/>
    <w:rsid w:val="00DF48F2"/>
    <w:rsid w:val="00DF4D28"/>
    <w:rsid w:val="00DF61B9"/>
    <w:rsid w:val="00DF64CD"/>
    <w:rsid w:val="00DF6938"/>
    <w:rsid w:val="00DF78AA"/>
    <w:rsid w:val="00DF7EF2"/>
    <w:rsid w:val="00DF7F0A"/>
    <w:rsid w:val="00E00812"/>
    <w:rsid w:val="00E019C4"/>
    <w:rsid w:val="00E02592"/>
    <w:rsid w:val="00E0279A"/>
    <w:rsid w:val="00E05892"/>
    <w:rsid w:val="00E05FDF"/>
    <w:rsid w:val="00E06823"/>
    <w:rsid w:val="00E105A8"/>
    <w:rsid w:val="00E10815"/>
    <w:rsid w:val="00E10902"/>
    <w:rsid w:val="00E10C25"/>
    <w:rsid w:val="00E1192E"/>
    <w:rsid w:val="00E13228"/>
    <w:rsid w:val="00E13F90"/>
    <w:rsid w:val="00E140A7"/>
    <w:rsid w:val="00E14573"/>
    <w:rsid w:val="00E14BF4"/>
    <w:rsid w:val="00E14C19"/>
    <w:rsid w:val="00E1566A"/>
    <w:rsid w:val="00E172A4"/>
    <w:rsid w:val="00E174C0"/>
    <w:rsid w:val="00E20744"/>
    <w:rsid w:val="00E20C8B"/>
    <w:rsid w:val="00E20EF5"/>
    <w:rsid w:val="00E21067"/>
    <w:rsid w:val="00E21087"/>
    <w:rsid w:val="00E21F17"/>
    <w:rsid w:val="00E22042"/>
    <w:rsid w:val="00E22B56"/>
    <w:rsid w:val="00E2476D"/>
    <w:rsid w:val="00E25352"/>
    <w:rsid w:val="00E2570C"/>
    <w:rsid w:val="00E259A7"/>
    <w:rsid w:val="00E2754E"/>
    <w:rsid w:val="00E325E8"/>
    <w:rsid w:val="00E32B5C"/>
    <w:rsid w:val="00E32D10"/>
    <w:rsid w:val="00E33AAE"/>
    <w:rsid w:val="00E342AB"/>
    <w:rsid w:val="00E349CE"/>
    <w:rsid w:val="00E35508"/>
    <w:rsid w:val="00E35930"/>
    <w:rsid w:val="00E35F8A"/>
    <w:rsid w:val="00E361CD"/>
    <w:rsid w:val="00E3718B"/>
    <w:rsid w:val="00E405F2"/>
    <w:rsid w:val="00E42533"/>
    <w:rsid w:val="00E42664"/>
    <w:rsid w:val="00E44323"/>
    <w:rsid w:val="00E447B7"/>
    <w:rsid w:val="00E464BD"/>
    <w:rsid w:val="00E4662C"/>
    <w:rsid w:val="00E468DD"/>
    <w:rsid w:val="00E50267"/>
    <w:rsid w:val="00E51357"/>
    <w:rsid w:val="00E51F8A"/>
    <w:rsid w:val="00E53D60"/>
    <w:rsid w:val="00E54C00"/>
    <w:rsid w:val="00E55802"/>
    <w:rsid w:val="00E55EFD"/>
    <w:rsid w:val="00E56E93"/>
    <w:rsid w:val="00E57397"/>
    <w:rsid w:val="00E603C0"/>
    <w:rsid w:val="00E60545"/>
    <w:rsid w:val="00E60D5C"/>
    <w:rsid w:val="00E61319"/>
    <w:rsid w:val="00E6183A"/>
    <w:rsid w:val="00E61976"/>
    <w:rsid w:val="00E61A91"/>
    <w:rsid w:val="00E654A5"/>
    <w:rsid w:val="00E65D24"/>
    <w:rsid w:val="00E662C3"/>
    <w:rsid w:val="00E666AC"/>
    <w:rsid w:val="00E67412"/>
    <w:rsid w:val="00E6790E"/>
    <w:rsid w:val="00E67C8C"/>
    <w:rsid w:val="00E70190"/>
    <w:rsid w:val="00E7102C"/>
    <w:rsid w:val="00E7112A"/>
    <w:rsid w:val="00E714BD"/>
    <w:rsid w:val="00E72371"/>
    <w:rsid w:val="00E74355"/>
    <w:rsid w:val="00E74B54"/>
    <w:rsid w:val="00E760BC"/>
    <w:rsid w:val="00E762C2"/>
    <w:rsid w:val="00E76DC8"/>
    <w:rsid w:val="00E80A89"/>
    <w:rsid w:val="00E80F32"/>
    <w:rsid w:val="00E80F4A"/>
    <w:rsid w:val="00E80FDC"/>
    <w:rsid w:val="00E81057"/>
    <w:rsid w:val="00E8122C"/>
    <w:rsid w:val="00E81B3E"/>
    <w:rsid w:val="00E81E30"/>
    <w:rsid w:val="00E82EFA"/>
    <w:rsid w:val="00E8397E"/>
    <w:rsid w:val="00E84097"/>
    <w:rsid w:val="00E8466B"/>
    <w:rsid w:val="00E84C3B"/>
    <w:rsid w:val="00E852E7"/>
    <w:rsid w:val="00E85948"/>
    <w:rsid w:val="00E91118"/>
    <w:rsid w:val="00E928CF"/>
    <w:rsid w:val="00E92E93"/>
    <w:rsid w:val="00E937A6"/>
    <w:rsid w:val="00E94E35"/>
    <w:rsid w:val="00E95010"/>
    <w:rsid w:val="00E95388"/>
    <w:rsid w:val="00E95B6B"/>
    <w:rsid w:val="00E95C81"/>
    <w:rsid w:val="00E96486"/>
    <w:rsid w:val="00EA07C4"/>
    <w:rsid w:val="00EA0F5F"/>
    <w:rsid w:val="00EA1B79"/>
    <w:rsid w:val="00EA2200"/>
    <w:rsid w:val="00EA386B"/>
    <w:rsid w:val="00EA4EAF"/>
    <w:rsid w:val="00EA4F2B"/>
    <w:rsid w:val="00EA5474"/>
    <w:rsid w:val="00EA702A"/>
    <w:rsid w:val="00EA7395"/>
    <w:rsid w:val="00EA7D11"/>
    <w:rsid w:val="00EB008D"/>
    <w:rsid w:val="00EB252F"/>
    <w:rsid w:val="00EB3B60"/>
    <w:rsid w:val="00EB429C"/>
    <w:rsid w:val="00EB4C18"/>
    <w:rsid w:val="00EC02E8"/>
    <w:rsid w:val="00EC033C"/>
    <w:rsid w:val="00EC0AE7"/>
    <w:rsid w:val="00EC19BE"/>
    <w:rsid w:val="00EC211D"/>
    <w:rsid w:val="00EC2384"/>
    <w:rsid w:val="00EC27D3"/>
    <w:rsid w:val="00EC33BD"/>
    <w:rsid w:val="00EC4029"/>
    <w:rsid w:val="00EC4ADC"/>
    <w:rsid w:val="00EC537D"/>
    <w:rsid w:val="00EC5460"/>
    <w:rsid w:val="00EC64A4"/>
    <w:rsid w:val="00EC7A39"/>
    <w:rsid w:val="00ED1FC8"/>
    <w:rsid w:val="00ED36D1"/>
    <w:rsid w:val="00ED48D4"/>
    <w:rsid w:val="00ED4C07"/>
    <w:rsid w:val="00ED6479"/>
    <w:rsid w:val="00ED667B"/>
    <w:rsid w:val="00ED6F11"/>
    <w:rsid w:val="00ED70AC"/>
    <w:rsid w:val="00EE0322"/>
    <w:rsid w:val="00EE0732"/>
    <w:rsid w:val="00EE07F9"/>
    <w:rsid w:val="00EE2E35"/>
    <w:rsid w:val="00EE46A0"/>
    <w:rsid w:val="00EE4FFA"/>
    <w:rsid w:val="00EE51DF"/>
    <w:rsid w:val="00EE7982"/>
    <w:rsid w:val="00EF0232"/>
    <w:rsid w:val="00EF07F4"/>
    <w:rsid w:val="00EF1D43"/>
    <w:rsid w:val="00EF1E31"/>
    <w:rsid w:val="00EF3966"/>
    <w:rsid w:val="00EF5382"/>
    <w:rsid w:val="00EF7D93"/>
    <w:rsid w:val="00F0269E"/>
    <w:rsid w:val="00F030C4"/>
    <w:rsid w:val="00F033F1"/>
    <w:rsid w:val="00F03677"/>
    <w:rsid w:val="00F03701"/>
    <w:rsid w:val="00F03E09"/>
    <w:rsid w:val="00F0452F"/>
    <w:rsid w:val="00F04817"/>
    <w:rsid w:val="00F05B82"/>
    <w:rsid w:val="00F05E21"/>
    <w:rsid w:val="00F06B65"/>
    <w:rsid w:val="00F0703F"/>
    <w:rsid w:val="00F10E6E"/>
    <w:rsid w:val="00F10EF2"/>
    <w:rsid w:val="00F1250D"/>
    <w:rsid w:val="00F1270E"/>
    <w:rsid w:val="00F146ED"/>
    <w:rsid w:val="00F14B0B"/>
    <w:rsid w:val="00F157A2"/>
    <w:rsid w:val="00F16456"/>
    <w:rsid w:val="00F165AC"/>
    <w:rsid w:val="00F1677D"/>
    <w:rsid w:val="00F243CD"/>
    <w:rsid w:val="00F24894"/>
    <w:rsid w:val="00F24D1A"/>
    <w:rsid w:val="00F25D8B"/>
    <w:rsid w:val="00F26D75"/>
    <w:rsid w:val="00F32172"/>
    <w:rsid w:val="00F335B2"/>
    <w:rsid w:val="00F36567"/>
    <w:rsid w:val="00F400A6"/>
    <w:rsid w:val="00F41251"/>
    <w:rsid w:val="00F4130E"/>
    <w:rsid w:val="00F4294C"/>
    <w:rsid w:val="00F42CCD"/>
    <w:rsid w:val="00F430AA"/>
    <w:rsid w:val="00F4363D"/>
    <w:rsid w:val="00F4386C"/>
    <w:rsid w:val="00F438F9"/>
    <w:rsid w:val="00F43996"/>
    <w:rsid w:val="00F448ED"/>
    <w:rsid w:val="00F4498B"/>
    <w:rsid w:val="00F44D3B"/>
    <w:rsid w:val="00F46765"/>
    <w:rsid w:val="00F46D6C"/>
    <w:rsid w:val="00F47E21"/>
    <w:rsid w:val="00F51122"/>
    <w:rsid w:val="00F5248B"/>
    <w:rsid w:val="00F542A6"/>
    <w:rsid w:val="00F54336"/>
    <w:rsid w:val="00F54FD0"/>
    <w:rsid w:val="00F55F81"/>
    <w:rsid w:val="00F56402"/>
    <w:rsid w:val="00F56679"/>
    <w:rsid w:val="00F569DB"/>
    <w:rsid w:val="00F60B52"/>
    <w:rsid w:val="00F6171C"/>
    <w:rsid w:val="00F61ED4"/>
    <w:rsid w:val="00F63634"/>
    <w:rsid w:val="00F637E9"/>
    <w:rsid w:val="00F64D09"/>
    <w:rsid w:val="00F65B84"/>
    <w:rsid w:val="00F65C54"/>
    <w:rsid w:val="00F65E83"/>
    <w:rsid w:val="00F665DD"/>
    <w:rsid w:val="00F7103E"/>
    <w:rsid w:val="00F7211F"/>
    <w:rsid w:val="00F732A2"/>
    <w:rsid w:val="00F73BE2"/>
    <w:rsid w:val="00F74B39"/>
    <w:rsid w:val="00F76977"/>
    <w:rsid w:val="00F80338"/>
    <w:rsid w:val="00F81CF5"/>
    <w:rsid w:val="00F8375D"/>
    <w:rsid w:val="00F84EDF"/>
    <w:rsid w:val="00F84F7B"/>
    <w:rsid w:val="00F85D43"/>
    <w:rsid w:val="00F862B2"/>
    <w:rsid w:val="00F8631C"/>
    <w:rsid w:val="00F95722"/>
    <w:rsid w:val="00F96F71"/>
    <w:rsid w:val="00F970C2"/>
    <w:rsid w:val="00FA0829"/>
    <w:rsid w:val="00FA1158"/>
    <w:rsid w:val="00FA1826"/>
    <w:rsid w:val="00FA1BC1"/>
    <w:rsid w:val="00FA22EA"/>
    <w:rsid w:val="00FA306A"/>
    <w:rsid w:val="00FA3A59"/>
    <w:rsid w:val="00FA43D0"/>
    <w:rsid w:val="00FA51F9"/>
    <w:rsid w:val="00FA7743"/>
    <w:rsid w:val="00FA7CA4"/>
    <w:rsid w:val="00FB09C6"/>
    <w:rsid w:val="00FB1290"/>
    <w:rsid w:val="00FB1EA1"/>
    <w:rsid w:val="00FB3610"/>
    <w:rsid w:val="00FB36B1"/>
    <w:rsid w:val="00FB5348"/>
    <w:rsid w:val="00FC0C57"/>
    <w:rsid w:val="00FC0C7D"/>
    <w:rsid w:val="00FC1C7E"/>
    <w:rsid w:val="00FC29FE"/>
    <w:rsid w:val="00FC426E"/>
    <w:rsid w:val="00FC4C68"/>
    <w:rsid w:val="00FC56A9"/>
    <w:rsid w:val="00FC72EC"/>
    <w:rsid w:val="00FD07F4"/>
    <w:rsid w:val="00FD1008"/>
    <w:rsid w:val="00FD21C6"/>
    <w:rsid w:val="00FD22BE"/>
    <w:rsid w:val="00FD34B2"/>
    <w:rsid w:val="00FD375B"/>
    <w:rsid w:val="00FD3E5D"/>
    <w:rsid w:val="00FD5D13"/>
    <w:rsid w:val="00FD6CB4"/>
    <w:rsid w:val="00FD6D25"/>
    <w:rsid w:val="00FE02B3"/>
    <w:rsid w:val="00FE15F2"/>
    <w:rsid w:val="00FE2B26"/>
    <w:rsid w:val="00FE3A2D"/>
    <w:rsid w:val="00FE3DEE"/>
    <w:rsid w:val="00FE4125"/>
    <w:rsid w:val="00FE4A27"/>
    <w:rsid w:val="00FE5B09"/>
    <w:rsid w:val="00FE5E29"/>
    <w:rsid w:val="00FE6F72"/>
    <w:rsid w:val="00FF271C"/>
    <w:rsid w:val="00FF2816"/>
    <w:rsid w:val="00FF34F0"/>
    <w:rsid w:val="00FF4889"/>
    <w:rsid w:val="00FF5F9B"/>
    <w:rsid w:val="00FF64A9"/>
    <w:rsid w:val="00FF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E67F43-14B5-413C-B0B4-F383E4D0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3D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F43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F43A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213D7"/>
  </w:style>
  <w:style w:type="paragraph" w:styleId="Footer">
    <w:name w:val="footer"/>
    <w:basedOn w:val="Normal"/>
    <w:link w:val="FooterChar"/>
    <w:rsid w:val="003213D7"/>
    <w:pPr>
      <w:tabs>
        <w:tab w:val="center" w:pos="4320"/>
        <w:tab w:val="right" w:pos="8640"/>
      </w:tabs>
    </w:pPr>
    <w:rPr>
      <w:rFonts w:ascii="Courier 10cpi" w:hAnsi="Courier 10cpi"/>
      <w:snapToGrid w:val="0"/>
    </w:rPr>
  </w:style>
  <w:style w:type="character" w:customStyle="1" w:styleId="FooterChar">
    <w:name w:val="Footer Char"/>
    <w:basedOn w:val="DefaultParagraphFont"/>
    <w:link w:val="Footer"/>
    <w:rsid w:val="003213D7"/>
    <w:rPr>
      <w:rFonts w:ascii="Courier 10cpi" w:eastAsia="Times New Roman" w:hAnsi="Courier 10cpi" w:cs="Times New Roman"/>
      <w:snapToGrid w:val="0"/>
      <w:sz w:val="20"/>
      <w:szCs w:val="20"/>
    </w:rPr>
  </w:style>
  <w:style w:type="paragraph" w:styleId="Header">
    <w:name w:val="header"/>
    <w:basedOn w:val="Normal"/>
    <w:link w:val="HeaderChar"/>
    <w:rsid w:val="00AE1D0E"/>
    <w:pPr>
      <w:tabs>
        <w:tab w:val="center" w:pos="4320"/>
        <w:tab w:val="right" w:pos="8640"/>
      </w:tabs>
    </w:pPr>
  </w:style>
  <w:style w:type="character" w:customStyle="1" w:styleId="HeaderChar">
    <w:name w:val="Header Char"/>
    <w:basedOn w:val="DefaultParagraphFont"/>
    <w:link w:val="Header"/>
    <w:rsid w:val="00AE1D0E"/>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AF43A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F43A5"/>
    <w:pPr>
      <w:spacing w:line="276" w:lineRule="auto"/>
      <w:outlineLvl w:val="9"/>
    </w:pPr>
  </w:style>
  <w:style w:type="paragraph" w:styleId="TOC2">
    <w:name w:val="toc 2"/>
    <w:basedOn w:val="Normal"/>
    <w:next w:val="Normal"/>
    <w:autoRedefine/>
    <w:uiPriority w:val="39"/>
    <w:unhideWhenUsed/>
    <w:qFormat/>
    <w:rsid w:val="00AF43A5"/>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AF43A5"/>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semiHidden/>
    <w:unhideWhenUsed/>
    <w:qFormat/>
    <w:rsid w:val="00AF43A5"/>
    <w:pPr>
      <w:spacing w:after="100" w:line="276" w:lineRule="auto"/>
      <w:ind w:left="440"/>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AF43A5"/>
    <w:rPr>
      <w:rFonts w:ascii="Tahoma" w:hAnsi="Tahoma" w:cs="Tahoma"/>
      <w:sz w:val="16"/>
      <w:szCs w:val="16"/>
    </w:rPr>
  </w:style>
  <w:style w:type="character" w:customStyle="1" w:styleId="BalloonTextChar">
    <w:name w:val="Balloon Text Char"/>
    <w:basedOn w:val="DefaultParagraphFont"/>
    <w:link w:val="BalloonText"/>
    <w:uiPriority w:val="99"/>
    <w:semiHidden/>
    <w:rsid w:val="00AF43A5"/>
    <w:rPr>
      <w:rFonts w:ascii="Tahoma" w:eastAsia="Times New Roman" w:hAnsi="Tahoma" w:cs="Tahoma"/>
      <w:sz w:val="16"/>
      <w:szCs w:val="16"/>
    </w:rPr>
  </w:style>
  <w:style w:type="character" w:customStyle="1" w:styleId="Heading2Char">
    <w:name w:val="Heading 2 Char"/>
    <w:basedOn w:val="DefaultParagraphFont"/>
    <w:link w:val="Heading2"/>
    <w:uiPriority w:val="9"/>
    <w:rsid w:val="00AF43A5"/>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AF43A5"/>
    <w:rPr>
      <w:color w:val="0000FF" w:themeColor="hyperlink"/>
      <w:u w:val="single"/>
    </w:rPr>
  </w:style>
  <w:style w:type="character" w:styleId="CommentReference">
    <w:name w:val="annotation reference"/>
    <w:basedOn w:val="DefaultParagraphFont"/>
    <w:uiPriority w:val="99"/>
    <w:semiHidden/>
    <w:unhideWhenUsed/>
    <w:rsid w:val="00245B3A"/>
    <w:rPr>
      <w:sz w:val="16"/>
      <w:szCs w:val="16"/>
    </w:rPr>
  </w:style>
  <w:style w:type="paragraph" w:styleId="CommentText">
    <w:name w:val="annotation text"/>
    <w:basedOn w:val="Normal"/>
    <w:link w:val="CommentTextChar"/>
    <w:uiPriority w:val="99"/>
    <w:semiHidden/>
    <w:unhideWhenUsed/>
    <w:rsid w:val="00245B3A"/>
  </w:style>
  <w:style w:type="character" w:customStyle="1" w:styleId="CommentTextChar">
    <w:name w:val="Comment Text Char"/>
    <w:basedOn w:val="DefaultParagraphFont"/>
    <w:link w:val="CommentText"/>
    <w:uiPriority w:val="99"/>
    <w:semiHidden/>
    <w:rsid w:val="00245B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5B3A"/>
    <w:rPr>
      <w:b/>
      <w:bCs/>
    </w:rPr>
  </w:style>
  <w:style w:type="character" w:customStyle="1" w:styleId="CommentSubjectChar">
    <w:name w:val="Comment Subject Char"/>
    <w:basedOn w:val="CommentTextChar"/>
    <w:link w:val="CommentSubject"/>
    <w:uiPriority w:val="99"/>
    <w:semiHidden/>
    <w:rsid w:val="00245B3A"/>
    <w:rPr>
      <w:rFonts w:ascii="Times New Roman" w:eastAsia="Times New Roman" w:hAnsi="Times New Roman" w:cs="Times New Roman"/>
      <w:b/>
      <w:bCs/>
      <w:sz w:val="20"/>
      <w:szCs w:val="20"/>
    </w:rPr>
  </w:style>
  <w:style w:type="paragraph" w:styleId="ListParagraph">
    <w:name w:val="List Paragraph"/>
    <w:basedOn w:val="Normal"/>
    <w:uiPriority w:val="34"/>
    <w:qFormat/>
    <w:rsid w:val="002B692E"/>
    <w:pPr>
      <w:ind w:left="720"/>
      <w:contextualSpacing/>
    </w:pPr>
  </w:style>
  <w:style w:type="table" w:styleId="TableGrid">
    <w:name w:val="Table Grid"/>
    <w:basedOn w:val="TableNormal"/>
    <w:uiPriority w:val="59"/>
    <w:rsid w:val="000A1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FD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8318">
      <w:bodyDiv w:val="1"/>
      <w:marLeft w:val="0"/>
      <w:marRight w:val="0"/>
      <w:marTop w:val="0"/>
      <w:marBottom w:val="0"/>
      <w:divBdr>
        <w:top w:val="none" w:sz="0" w:space="0" w:color="auto"/>
        <w:left w:val="none" w:sz="0" w:space="0" w:color="auto"/>
        <w:bottom w:val="none" w:sz="0" w:space="0" w:color="auto"/>
        <w:right w:val="none" w:sz="0" w:space="0" w:color="auto"/>
      </w:divBdr>
    </w:div>
    <w:div w:id="194581719">
      <w:bodyDiv w:val="1"/>
      <w:marLeft w:val="0"/>
      <w:marRight w:val="0"/>
      <w:marTop w:val="0"/>
      <w:marBottom w:val="0"/>
      <w:divBdr>
        <w:top w:val="none" w:sz="0" w:space="0" w:color="auto"/>
        <w:left w:val="none" w:sz="0" w:space="0" w:color="auto"/>
        <w:bottom w:val="none" w:sz="0" w:space="0" w:color="auto"/>
        <w:right w:val="none" w:sz="0" w:space="0" w:color="auto"/>
      </w:divBdr>
    </w:div>
    <w:div w:id="588733743">
      <w:bodyDiv w:val="1"/>
      <w:marLeft w:val="0"/>
      <w:marRight w:val="0"/>
      <w:marTop w:val="0"/>
      <w:marBottom w:val="0"/>
      <w:divBdr>
        <w:top w:val="none" w:sz="0" w:space="0" w:color="auto"/>
        <w:left w:val="none" w:sz="0" w:space="0" w:color="auto"/>
        <w:bottom w:val="none" w:sz="0" w:space="0" w:color="auto"/>
        <w:right w:val="none" w:sz="0" w:space="0" w:color="auto"/>
      </w:divBdr>
    </w:div>
    <w:div w:id="1111120376">
      <w:bodyDiv w:val="1"/>
      <w:marLeft w:val="0"/>
      <w:marRight w:val="0"/>
      <w:marTop w:val="0"/>
      <w:marBottom w:val="0"/>
      <w:divBdr>
        <w:top w:val="none" w:sz="0" w:space="0" w:color="auto"/>
        <w:left w:val="none" w:sz="0" w:space="0" w:color="auto"/>
        <w:bottom w:val="none" w:sz="0" w:space="0" w:color="auto"/>
        <w:right w:val="none" w:sz="0" w:space="0" w:color="auto"/>
      </w:divBdr>
    </w:div>
    <w:div w:id="1132941854">
      <w:bodyDiv w:val="1"/>
      <w:marLeft w:val="0"/>
      <w:marRight w:val="0"/>
      <w:marTop w:val="0"/>
      <w:marBottom w:val="0"/>
      <w:divBdr>
        <w:top w:val="none" w:sz="0" w:space="0" w:color="auto"/>
        <w:left w:val="none" w:sz="0" w:space="0" w:color="auto"/>
        <w:bottom w:val="none" w:sz="0" w:space="0" w:color="auto"/>
        <w:right w:val="none" w:sz="0" w:space="0" w:color="auto"/>
      </w:divBdr>
    </w:div>
    <w:div w:id="1480196371">
      <w:bodyDiv w:val="1"/>
      <w:marLeft w:val="0"/>
      <w:marRight w:val="0"/>
      <w:marTop w:val="0"/>
      <w:marBottom w:val="0"/>
      <w:divBdr>
        <w:top w:val="none" w:sz="0" w:space="0" w:color="auto"/>
        <w:left w:val="none" w:sz="0" w:space="0" w:color="auto"/>
        <w:bottom w:val="none" w:sz="0" w:space="0" w:color="auto"/>
        <w:right w:val="none" w:sz="0" w:space="0" w:color="auto"/>
      </w:divBdr>
    </w:div>
    <w:div w:id="1563129281">
      <w:bodyDiv w:val="1"/>
      <w:marLeft w:val="0"/>
      <w:marRight w:val="0"/>
      <w:marTop w:val="0"/>
      <w:marBottom w:val="0"/>
      <w:divBdr>
        <w:top w:val="none" w:sz="0" w:space="0" w:color="auto"/>
        <w:left w:val="none" w:sz="0" w:space="0" w:color="auto"/>
        <w:bottom w:val="none" w:sz="0" w:space="0" w:color="auto"/>
        <w:right w:val="none" w:sz="0" w:space="0" w:color="auto"/>
      </w:divBdr>
    </w:div>
    <w:div w:id="1952544587">
      <w:bodyDiv w:val="1"/>
      <w:marLeft w:val="0"/>
      <w:marRight w:val="0"/>
      <w:marTop w:val="0"/>
      <w:marBottom w:val="0"/>
      <w:divBdr>
        <w:top w:val="none" w:sz="0" w:space="0" w:color="auto"/>
        <w:left w:val="none" w:sz="0" w:space="0" w:color="auto"/>
        <w:bottom w:val="none" w:sz="0" w:space="0" w:color="auto"/>
        <w:right w:val="none" w:sz="0" w:space="0" w:color="auto"/>
      </w:divBdr>
    </w:div>
    <w:div w:id="2013222491">
      <w:bodyDiv w:val="1"/>
      <w:marLeft w:val="0"/>
      <w:marRight w:val="0"/>
      <w:marTop w:val="0"/>
      <w:marBottom w:val="0"/>
      <w:divBdr>
        <w:top w:val="none" w:sz="0" w:space="0" w:color="auto"/>
        <w:left w:val="none" w:sz="0" w:space="0" w:color="auto"/>
        <w:bottom w:val="none" w:sz="0" w:space="0" w:color="auto"/>
        <w:right w:val="none" w:sz="0" w:space="0" w:color="auto"/>
      </w:divBdr>
    </w:div>
    <w:div w:id="2072388996">
      <w:bodyDiv w:val="1"/>
      <w:marLeft w:val="0"/>
      <w:marRight w:val="0"/>
      <w:marTop w:val="0"/>
      <w:marBottom w:val="0"/>
      <w:divBdr>
        <w:top w:val="none" w:sz="0" w:space="0" w:color="auto"/>
        <w:left w:val="none" w:sz="0" w:space="0" w:color="auto"/>
        <w:bottom w:val="none" w:sz="0" w:space="0" w:color="auto"/>
        <w:right w:val="none" w:sz="0" w:space="0" w:color="auto"/>
      </w:divBdr>
    </w:div>
    <w:div w:id="213817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ps.ahrq.gov/data_files/publications/mr33/mr33.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6CB66-1B43-4C02-AAFE-CB73B8066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Streagle</dc:creator>
  <cp:keywords/>
  <dc:description/>
  <cp:lastModifiedBy>Rhoades, Jeffrey A. (AHRQ/CFACT)</cp:lastModifiedBy>
  <cp:revision>2</cp:revision>
  <cp:lastPrinted>2011-03-31T12:55:00Z</cp:lastPrinted>
  <dcterms:created xsi:type="dcterms:W3CDTF">2020-10-08T13:27:00Z</dcterms:created>
  <dcterms:modified xsi:type="dcterms:W3CDTF">2020-10-08T13:27:00Z</dcterms:modified>
</cp:coreProperties>
</file>