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41393971"/>
        <w:docPartObj>
          <w:docPartGallery w:val="Cover Pages"/>
          <w:docPartUnique/>
        </w:docPartObj>
      </w:sdtPr>
      <w:sdtEndPr/>
      <w:sdtContent>
        <w:p w:rsidR="00FE6EA5" w:rsidRDefault="00FE6EA5" w14:paraId="13B77232" w14:textId="77777777"/>
        <w:p w:rsidR="00195414" w:rsidP="00195414" w:rsidRDefault="00FB4A63" w14:paraId="7FA49A23" w14:textId="77777777"/>
      </w:sdtContent>
    </w:sdt>
    <w:p w:rsidRPr="00195414" w:rsidR="00E35DD1" w:rsidP="00195414" w:rsidRDefault="00E35DD1" w14:paraId="68BA36D6" w14:textId="77777777">
      <w:pPr>
        <w:ind w:left="2880" w:firstLine="720"/>
        <w:rPr>
          <w:rFonts w:eastAsia="Times New Roman" w:cs="Times New Roman"/>
        </w:rPr>
      </w:pPr>
      <w:r w:rsidRPr="00E35DD1">
        <w:t xml:space="preserve">Supporting </w:t>
      </w:r>
      <w:proofErr w:type="gramStart"/>
      <w:r w:rsidRPr="00E35DD1">
        <w:t>Statement</w:t>
      </w:r>
      <w:proofErr w:type="gramEnd"/>
      <w:r w:rsidRPr="00E35DD1">
        <w:t xml:space="preserve"> A for</w:t>
      </w:r>
    </w:p>
    <w:p w:rsidRPr="00E35DD1" w:rsidR="00E35DD1" w:rsidP="00E35DD1" w:rsidRDefault="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P="00767C53" w:rsidRDefault="00CD6205" w14:paraId="2437E17E" w14:textId="4EAE2B3A">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Chimpanzee Research Use Form - OD</w:t>
      </w:r>
    </w:p>
    <w:p w:rsidRPr="00E35DD1" w:rsidR="00CD6205" w:rsidP="00CD6205" w:rsidRDefault="00CD6205" w14:paraId="48FBB191" w14:textId="16646620">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 Control Number: 0925-0705</w:t>
      </w:r>
      <w:r>
        <w:rPr>
          <w:rFonts w:asciiTheme="minorHAnsi" w:hAnsiTheme="minorHAnsi"/>
          <w:szCs w:val="22"/>
        </w:rPr>
        <w:br/>
        <w:t>Expires: September 30, 2020</w:t>
      </w:r>
    </w:p>
    <w:p w:rsidRPr="00E35DD1" w:rsidR="00E35DD1" w:rsidP="00E35DD1" w:rsidRDefault="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00024899" w:rsidP="00CD6205" w:rsidRDefault="00CD6205" w14:paraId="680B9135" w14:textId="1C87D131">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Division of Program Coordination, Planning, and Strategic Initiatives</w:t>
      </w:r>
      <w:r w:rsidR="005031B5">
        <w:rPr>
          <w:rFonts w:asciiTheme="minorHAnsi" w:hAnsiTheme="minorHAnsi"/>
          <w:szCs w:val="22"/>
        </w:rPr>
        <w:t xml:space="preserve"> (DPCPSI)</w:t>
      </w:r>
      <w:r>
        <w:rPr>
          <w:rFonts w:asciiTheme="minorHAnsi" w:hAnsiTheme="minorHAnsi"/>
          <w:szCs w:val="22"/>
        </w:rPr>
        <w:br/>
        <w:t>Office of the Director</w:t>
      </w:r>
      <w:r w:rsidR="005031B5">
        <w:rPr>
          <w:rFonts w:asciiTheme="minorHAnsi" w:hAnsiTheme="minorHAnsi"/>
          <w:szCs w:val="22"/>
        </w:rPr>
        <w:t xml:space="preserve"> (OD)</w:t>
      </w:r>
      <w:r>
        <w:rPr>
          <w:rFonts w:asciiTheme="minorHAnsi" w:hAnsiTheme="minorHAnsi"/>
          <w:szCs w:val="22"/>
        </w:rPr>
        <w:br/>
        <w:t>National Institutes of Health</w:t>
      </w:r>
      <w:r w:rsidR="005031B5">
        <w:rPr>
          <w:rFonts w:asciiTheme="minorHAnsi" w:hAnsiTheme="minorHAnsi"/>
          <w:szCs w:val="22"/>
        </w:rPr>
        <w:t xml:space="preserve"> (NIH)</w:t>
      </w:r>
    </w:p>
    <w:p w:rsidRPr="00E35DD1" w:rsidR="00E35DD1" w:rsidP="00E35DD1" w:rsidRDefault="00E35DD1" w14:paraId="1ECE92EB" w14:textId="673FE7B9">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120040">
        <w:rPr>
          <w:rFonts w:asciiTheme="minorHAnsi" w:hAnsiTheme="minorHAnsi"/>
          <w:szCs w:val="22"/>
        </w:rPr>
        <w:t>June 30, 2020</w:t>
      </w:r>
      <w:r w:rsidRPr="00E35DD1">
        <w:rPr>
          <w:rFonts w:asciiTheme="minorHAnsi" w:hAnsiTheme="minorHAnsi"/>
          <w:szCs w:val="22"/>
        </w:rPr>
        <w:t xml:space="preserve"> </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00FF30CE" w:rsidP="00FF30CE" w:rsidRDefault="00FF30CE" w14:paraId="45BA54F5" w14:textId="77777777">
      <w:pPr>
        <w:numPr>
          <w:ilvl w:val="0"/>
          <w:numId w:val="11"/>
        </w:numPr>
        <w:spacing w:after="0" w:line="240" w:lineRule="auto"/>
      </w:pPr>
      <w:r>
        <w:t>Revision</w:t>
      </w:r>
      <w:r>
        <w:tab/>
      </w:r>
      <w:r>
        <w:tab/>
      </w:r>
      <w:r>
        <w:tab/>
      </w:r>
    </w:p>
    <w:p w:rsidR="00FF30CE" w:rsidP="00FF30CE" w:rsidRDefault="00FF30CE" w14:paraId="185A0B7B" w14:textId="77777777">
      <w:pPr>
        <w:numPr>
          <w:ilvl w:val="0"/>
          <w:numId w:val="11"/>
        </w:numPr>
        <w:spacing w:after="0" w:line="240" w:lineRule="auto"/>
      </w:pPr>
      <w:r>
        <w:t>Reinstatement with Change</w:t>
      </w:r>
    </w:p>
    <w:p w:rsidR="00CD6205" w:rsidP="00CD6205" w:rsidRDefault="00FF30CE" w14:paraId="37052185" w14:textId="50A9C7AC">
      <w:pPr>
        <w:numPr>
          <w:ilvl w:val="0"/>
          <w:numId w:val="11"/>
        </w:numPr>
        <w:spacing w:after="0" w:line="240" w:lineRule="auto"/>
      </w:pPr>
      <w:r>
        <w:t>Reinstatement without Change</w:t>
      </w:r>
    </w:p>
    <w:p w:rsidRPr="00CD6205" w:rsidR="00FF30CE" w:rsidP="00CD6205" w:rsidRDefault="00CD6205" w14:paraId="62B8AE22" w14:textId="5FEA46C3">
      <w:pPr>
        <w:spacing w:after="0" w:line="240" w:lineRule="auto"/>
        <w:ind w:left="360"/>
        <w:rPr>
          <w:b/>
          <w:bCs/>
        </w:rPr>
      </w:pPr>
      <w:r>
        <w:rPr>
          <w:b/>
          <w:bCs/>
        </w:rPr>
        <w:t xml:space="preserve">X     </w:t>
      </w:r>
      <w:r w:rsidRPr="00CD6205" w:rsidR="00FF30CE">
        <w:rPr>
          <w:b/>
          <w:bCs/>
        </w:rPr>
        <w:t>Extension</w:t>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77777777">
      <w:pPr>
        <w:numPr>
          <w:ilvl w:val="0"/>
          <w:numId w:val="11"/>
        </w:numPr>
        <w:spacing w:after="0" w:line="240" w:lineRule="auto"/>
      </w:pPr>
      <w:r>
        <w:t>Existing</w:t>
      </w:r>
    </w:p>
    <w:p w:rsidRPr="00E35DD1" w:rsidR="00E35DD1" w:rsidP="00CD6205" w:rsidRDefault="00E35DD1" w14:paraId="76887CBB" w14:textId="17BCFD3E">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Pr="00E35DD1" w:rsidR="00E35DD1" w:rsidP="00BE76A7"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Pr="00E35DD1" w:rsidR="00E35DD1" w:rsidP="00BE76A7" w:rsidRDefault="00E35DD1" w14:paraId="684ABDC4" w14:textId="72F33641">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CD6205">
        <w:rPr>
          <w:rFonts w:asciiTheme="minorHAnsi" w:hAnsiTheme="minorHAnsi"/>
          <w:szCs w:val="22"/>
        </w:rPr>
        <w:t xml:space="preserve"> Taylor Gilliland</w:t>
      </w:r>
    </w:p>
    <w:p w:rsidRPr="00E35DD1" w:rsidR="00E35DD1" w:rsidP="00BE76A7" w:rsidRDefault="00E35DD1" w14:paraId="165F09E8" w14:textId="24DDDCC5">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CD6205">
        <w:rPr>
          <w:rFonts w:asciiTheme="minorHAnsi" w:hAnsiTheme="minorHAnsi"/>
          <w:szCs w:val="22"/>
        </w:rPr>
        <w:t xml:space="preserve"> 1 Center Drive, Room 258, Bethesda, MD  20892</w:t>
      </w:r>
    </w:p>
    <w:p w:rsidRPr="00E35DD1" w:rsidR="00E35DD1" w:rsidP="00BE76A7" w:rsidRDefault="00E35DD1" w14:paraId="570BCCDE" w14:textId="6DE2B175">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CD6205">
        <w:rPr>
          <w:rFonts w:asciiTheme="minorHAnsi" w:hAnsiTheme="minorHAnsi"/>
          <w:szCs w:val="22"/>
        </w:rPr>
        <w:t xml:space="preserve"> 301-451-3201</w:t>
      </w:r>
    </w:p>
    <w:p w:rsidRPr="00E35DD1" w:rsidR="00E35DD1" w:rsidP="00BE76A7" w:rsidRDefault="00E35DD1" w14:paraId="7ABF3457" w14:textId="4DB715D3">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CD6205">
        <w:rPr>
          <w:rFonts w:asciiTheme="minorHAnsi" w:hAnsiTheme="minorHAnsi"/>
          <w:szCs w:val="22"/>
        </w:rPr>
        <w:t xml:space="preserve"> 301-480-4632</w:t>
      </w:r>
    </w:p>
    <w:p w:rsidRPr="00E35DD1" w:rsidR="00E35DD1" w:rsidP="00BE76A7" w:rsidRDefault="00E35DD1" w14:paraId="1447E9B1" w14:textId="04C1BEAF">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CD6205">
        <w:rPr>
          <w:rFonts w:asciiTheme="minorHAnsi" w:hAnsiTheme="minorHAnsi"/>
          <w:szCs w:val="22"/>
        </w:rPr>
        <w:t xml:space="preserve"> c.gilliland@nih.gov</w:t>
      </w:r>
    </w:p>
    <w:p w:rsidR="00CD6205" w:rsidRDefault="00CD6205" w14:paraId="237F2478" w14:textId="77777777">
      <w:pPr>
        <w:rPr>
          <w:rFonts w:eastAsia="Times New Roman" w:cs="Times New Roman"/>
          <w:b/>
          <w:u w:val="single"/>
        </w:rPr>
      </w:pPr>
      <w:r>
        <w:rPr>
          <w:b/>
          <w:u w:val="single"/>
        </w:rPr>
        <w:br w:type="page"/>
      </w:r>
    </w:p>
    <w:p w:rsidRPr="00E35DD1" w:rsidR="00E35DD1" w:rsidP="00E35DD1" w:rsidRDefault="00E35DD1" w14:paraId="245B699E" w14:textId="72B84D6C">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rsidRPr="00E35DD1" w:rsidR="00E35DD1" w:rsidP="00E35DD1"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722334" w:rsidRDefault="00722334" w14:paraId="41326A46" w14:textId="77777777">
      <w:pPr>
        <w:rPr>
          <w:rFonts w:eastAsia="Times New Roman" w:cs="Times New Roman"/>
          <w:b/>
          <w:i/>
        </w:rPr>
      </w:pPr>
      <w:r>
        <w:rPr>
          <w:b/>
          <w:i/>
        </w:rPr>
        <w:br w:type="page"/>
      </w:r>
    </w:p>
    <w:p w:rsidRPr="007D11BF" w:rsidR="006A45F9" w:rsidP="00E35DD1" w:rsidRDefault="006A45F9" w14:paraId="1FDE63E2" w14:textId="7BA9EE93">
      <w:pPr>
        <w:pStyle w:val="P1-StandPara"/>
        <w:ind w:firstLine="0"/>
        <w:rPr>
          <w:rFonts w:asciiTheme="minorHAnsi" w:hAnsiTheme="minorHAnsi"/>
          <w:b/>
          <w:i/>
          <w:szCs w:val="22"/>
        </w:rPr>
      </w:pPr>
      <w:r w:rsidRPr="007D11BF">
        <w:rPr>
          <w:rFonts w:asciiTheme="minorHAnsi" w:hAnsiTheme="minorHAnsi"/>
          <w:b/>
          <w:i/>
          <w:szCs w:val="22"/>
        </w:rPr>
        <w:lastRenderedPageBreak/>
        <w:t xml:space="preserve">Attachments </w:t>
      </w:r>
    </w:p>
    <w:p w:rsidRPr="00DE7A7C" w:rsidR="00DE7A7C" w:rsidP="00DE7A7C" w:rsidRDefault="00E35DD1" w14:paraId="52683D8F" w14:textId="1ABA5DC1">
      <w:pPr>
        <w:pStyle w:val="P1-StandPara"/>
        <w:numPr>
          <w:ilvl w:val="0"/>
          <w:numId w:val="12"/>
        </w:numPr>
        <w:spacing w:line="240" w:lineRule="auto"/>
        <w:ind w:left="540" w:right="-216"/>
        <w:rPr>
          <w:rFonts w:asciiTheme="minorHAnsi" w:hAnsiTheme="minorHAnsi"/>
          <w:szCs w:val="22"/>
        </w:rPr>
      </w:pPr>
      <w:r w:rsidRPr="00E35DD1">
        <w:rPr>
          <w:rFonts w:asciiTheme="minorHAnsi" w:hAnsiTheme="minorHAnsi"/>
          <w:szCs w:val="22"/>
        </w:rPr>
        <w:fldChar w:fldCharType="end"/>
      </w:r>
      <w:r w:rsidRPr="00DE7A7C" w:rsidR="00DE7A7C">
        <w:rPr>
          <w:rFonts w:asciiTheme="minorHAnsi" w:hAnsiTheme="minorHAnsi"/>
          <w:szCs w:val="22"/>
          <w:lang w:val="fr-FR"/>
        </w:rPr>
        <w:t xml:space="preserve"> </w:t>
      </w:r>
      <w:proofErr w:type="spellStart"/>
      <w:r w:rsidRPr="00DE7A7C" w:rsidR="00DE7A7C">
        <w:rPr>
          <w:rFonts w:asciiTheme="minorHAnsi" w:hAnsiTheme="minorHAnsi"/>
          <w:szCs w:val="22"/>
          <w:lang w:val="fr-FR"/>
        </w:rPr>
        <w:t>Attachment</w:t>
      </w:r>
      <w:proofErr w:type="spellEnd"/>
      <w:r w:rsidRPr="00DE7A7C" w:rsidR="00DE7A7C">
        <w:rPr>
          <w:rFonts w:asciiTheme="minorHAnsi" w:hAnsiTheme="minorHAnsi"/>
          <w:szCs w:val="22"/>
          <w:lang w:val="fr-FR"/>
        </w:rPr>
        <w:t xml:space="preserve"> </w:t>
      </w:r>
      <w:proofErr w:type="gramStart"/>
      <w:r w:rsidRPr="00DE7A7C" w:rsidR="00DE7A7C">
        <w:rPr>
          <w:rFonts w:asciiTheme="minorHAnsi" w:hAnsiTheme="minorHAnsi"/>
          <w:szCs w:val="22"/>
          <w:lang w:val="fr-FR"/>
        </w:rPr>
        <w:t>1:</w:t>
      </w:r>
      <w:proofErr w:type="gramEnd"/>
      <w:r w:rsidRPr="00DE7A7C" w:rsidR="00DE7A7C">
        <w:rPr>
          <w:rFonts w:asciiTheme="minorHAnsi" w:hAnsiTheme="minorHAnsi"/>
          <w:szCs w:val="22"/>
          <w:lang w:val="fr-FR"/>
        </w:rPr>
        <w:t xml:space="preserve"> </w:t>
      </w:r>
      <w:r w:rsidRPr="00DE7A7C" w:rsidR="00DE7A7C">
        <w:rPr>
          <w:rFonts w:asciiTheme="minorHAnsi" w:hAnsiTheme="minorHAnsi"/>
          <w:szCs w:val="22"/>
        </w:rPr>
        <w:t xml:space="preserve">IOM Report, </w:t>
      </w:r>
      <w:r w:rsidRPr="00DE7A7C" w:rsidR="00DE7A7C">
        <w:rPr>
          <w:rFonts w:asciiTheme="minorHAnsi" w:hAnsiTheme="minorHAnsi"/>
          <w:i/>
          <w:szCs w:val="22"/>
        </w:rPr>
        <w:t>Chimpanzees in Biomedical and Behavioral Research: Assessing the Necessity</w:t>
      </w:r>
    </w:p>
    <w:p w:rsidRPr="00DE7A7C" w:rsidR="00DE7A7C" w:rsidP="00DE7A7C" w:rsidRDefault="00DE7A7C" w14:paraId="3B097009" w14:textId="019EB378">
      <w:pPr>
        <w:pStyle w:val="P1-StandPara"/>
        <w:numPr>
          <w:ilvl w:val="0"/>
          <w:numId w:val="12"/>
        </w:numPr>
        <w:spacing w:line="240" w:lineRule="auto"/>
        <w:ind w:left="540" w:right="-216"/>
        <w:rPr>
          <w:rFonts w:asciiTheme="minorHAnsi" w:hAnsiTheme="minorHAnsi"/>
          <w:szCs w:val="22"/>
        </w:rPr>
      </w:pPr>
      <w:proofErr w:type="spellStart"/>
      <w:r w:rsidRPr="00DE7A7C">
        <w:rPr>
          <w:rFonts w:asciiTheme="minorHAnsi" w:hAnsiTheme="minorHAnsi"/>
          <w:szCs w:val="22"/>
          <w:lang w:val="fr-FR"/>
        </w:rPr>
        <w:t>Attachment</w:t>
      </w:r>
      <w:proofErr w:type="spellEnd"/>
      <w:r w:rsidRPr="00DE7A7C">
        <w:rPr>
          <w:rFonts w:asciiTheme="minorHAnsi" w:hAnsiTheme="minorHAnsi"/>
          <w:szCs w:val="22"/>
          <w:lang w:val="fr-FR"/>
        </w:rPr>
        <w:t xml:space="preserve"> </w:t>
      </w:r>
      <w:proofErr w:type="gramStart"/>
      <w:r w:rsidRPr="00DE7A7C">
        <w:rPr>
          <w:rFonts w:asciiTheme="minorHAnsi" w:hAnsiTheme="minorHAnsi"/>
          <w:szCs w:val="22"/>
          <w:lang w:val="fr-FR"/>
        </w:rPr>
        <w:t>2:</w:t>
      </w:r>
      <w:proofErr w:type="gramEnd"/>
      <w:r w:rsidRPr="00DE7A7C">
        <w:rPr>
          <w:rFonts w:asciiTheme="minorHAnsi" w:hAnsiTheme="minorHAnsi"/>
          <w:szCs w:val="22"/>
          <w:lang w:val="fr-FR"/>
        </w:rPr>
        <w:t xml:space="preserve"> </w:t>
      </w:r>
      <w:r w:rsidRPr="00DE7A7C">
        <w:rPr>
          <w:rFonts w:asciiTheme="minorHAnsi" w:hAnsiTheme="minorHAnsi"/>
          <w:szCs w:val="22"/>
        </w:rPr>
        <w:t xml:space="preserve">NIH Guide Notice (NOT-OD-12-025): NIH Research Involving Chimpanzees </w:t>
      </w:r>
    </w:p>
    <w:p w:rsidRPr="00DE7A7C" w:rsidR="00DE7A7C" w:rsidP="00DE7A7C" w:rsidRDefault="00DE7A7C" w14:paraId="6C2103A3" w14:textId="3C77675F">
      <w:pPr>
        <w:pStyle w:val="P1-StandPara"/>
        <w:numPr>
          <w:ilvl w:val="0"/>
          <w:numId w:val="12"/>
        </w:numPr>
        <w:spacing w:line="240" w:lineRule="auto"/>
        <w:ind w:left="540" w:right="-216"/>
        <w:rPr>
          <w:rFonts w:asciiTheme="minorHAnsi" w:hAnsiTheme="minorHAnsi"/>
          <w:szCs w:val="22"/>
          <w:lang w:val="fr-FR"/>
        </w:rPr>
      </w:pPr>
      <w:proofErr w:type="spellStart"/>
      <w:r w:rsidRPr="00DE7A7C">
        <w:rPr>
          <w:rFonts w:asciiTheme="minorHAnsi" w:hAnsiTheme="minorHAnsi"/>
          <w:szCs w:val="22"/>
          <w:lang w:val="fr-FR"/>
        </w:rPr>
        <w:t>Attachment</w:t>
      </w:r>
      <w:proofErr w:type="spellEnd"/>
      <w:r w:rsidRPr="00DE7A7C">
        <w:rPr>
          <w:rFonts w:asciiTheme="minorHAnsi" w:hAnsiTheme="minorHAnsi"/>
          <w:szCs w:val="22"/>
          <w:lang w:val="fr-FR"/>
        </w:rPr>
        <w:t xml:space="preserve"> </w:t>
      </w:r>
      <w:proofErr w:type="gramStart"/>
      <w:r w:rsidRPr="00DE7A7C">
        <w:rPr>
          <w:rFonts w:asciiTheme="minorHAnsi" w:hAnsiTheme="minorHAnsi"/>
          <w:szCs w:val="22"/>
          <w:lang w:val="fr-FR"/>
        </w:rPr>
        <w:t>3:</w:t>
      </w:r>
      <w:proofErr w:type="gramEnd"/>
      <w:r w:rsidRPr="00DE7A7C">
        <w:rPr>
          <w:rFonts w:asciiTheme="minorHAnsi" w:hAnsiTheme="minorHAnsi"/>
          <w:szCs w:val="22"/>
          <w:lang w:val="fr-FR"/>
        </w:rPr>
        <w:t xml:space="preserve"> </w:t>
      </w:r>
      <w:proofErr w:type="spellStart"/>
      <w:r w:rsidRPr="00DE7A7C">
        <w:rPr>
          <w:rFonts w:asciiTheme="minorHAnsi" w:hAnsiTheme="minorHAnsi"/>
          <w:szCs w:val="22"/>
          <w:lang w:val="fr-FR"/>
        </w:rPr>
        <w:t>Working</w:t>
      </w:r>
      <w:proofErr w:type="spellEnd"/>
      <w:r w:rsidRPr="00DE7A7C">
        <w:rPr>
          <w:rFonts w:asciiTheme="minorHAnsi" w:hAnsiTheme="minorHAnsi"/>
          <w:szCs w:val="22"/>
          <w:lang w:val="fr-FR"/>
        </w:rPr>
        <w:t xml:space="preserve"> Group Report</w:t>
      </w:r>
    </w:p>
    <w:p w:rsidRPr="00DE7A7C" w:rsidR="00DE7A7C" w:rsidP="00DE7A7C" w:rsidRDefault="00DE7A7C" w14:paraId="03FAFD2E" w14:textId="56EEE988">
      <w:pPr>
        <w:pStyle w:val="P1-StandPara"/>
        <w:numPr>
          <w:ilvl w:val="0"/>
          <w:numId w:val="12"/>
        </w:numPr>
        <w:spacing w:line="240" w:lineRule="auto"/>
        <w:ind w:left="540" w:right="-216"/>
        <w:rPr>
          <w:rFonts w:asciiTheme="minorHAnsi" w:hAnsiTheme="minorHAnsi"/>
          <w:szCs w:val="22"/>
          <w:lang w:val="fr-FR"/>
        </w:rPr>
      </w:pPr>
      <w:proofErr w:type="spellStart"/>
      <w:r w:rsidRPr="00DE7A7C">
        <w:rPr>
          <w:rFonts w:asciiTheme="minorHAnsi" w:hAnsiTheme="minorHAnsi"/>
          <w:szCs w:val="22"/>
          <w:lang w:val="fr-FR"/>
        </w:rPr>
        <w:t>Attachment</w:t>
      </w:r>
      <w:proofErr w:type="spellEnd"/>
      <w:r w:rsidRPr="00DE7A7C">
        <w:rPr>
          <w:rFonts w:asciiTheme="minorHAnsi" w:hAnsiTheme="minorHAnsi"/>
          <w:szCs w:val="22"/>
          <w:lang w:val="fr-FR"/>
        </w:rPr>
        <w:t xml:space="preserve"> </w:t>
      </w:r>
      <w:proofErr w:type="gramStart"/>
      <w:r w:rsidRPr="00DE7A7C">
        <w:rPr>
          <w:rFonts w:asciiTheme="minorHAnsi" w:hAnsiTheme="minorHAnsi"/>
          <w:szCs w:val="22"/>
          <w:lang w:val="fr-FR"/>
        </w:rPr>
        <w:t>4:</w:t>
      </w:r>
      <w:proofErr w:type="gramEnd"/>
      <w:r w:rsidRPr="00DE7A7C">
        <w:rPr>
          <w:rFonts w:asciiTheme="minorHAnsi" w:hAnsiTheme="minorHAnsi"/>
          <w:szCs w:val="22"/>
          <w:lang w:val="fr-FR"/>
        </w:rPr>
        <w:t xml:space="preserve"> </w:t>
      </w:r>
      <w:proofErr w:type="spellStart"/>
      <w:r w:rsidRPr="00DE7A7C">
        <w:rPr>
          <w:rFonts w:asciiTheme="minorHAnsi" w:hAnsiTheme="minorHAnsi"/>
          <w:szCs w:val="22"/>
          <w:lang w:val="fr-FR"/>
        </w:rPr>
        <w:t>Announcement</w:t>
      </w:r>
      <w:proofErr w:type="spellEnd"/>
      <w:r w:rsidRPr="00DE7A7C">
        <w:rPr>
          <w:rFonts w:asciiTheme="minorHAnsi" w:hAnsiTheme="minorHAnsi"/>
          <w:szCs w:val="22"/>
          <w:lang w:val="fr-FR"/>
        </w:rPr>
        <w:t xml:space="preserve"> of Agency </w:t>
      </w:r>
      <w:proofErr w:type="spellStart"/>
      <w:r w:rsidRPr="00DE7A7C">
        <w:rPr>
          <w:rFonts w:asciiTheme="minorHAnsi" w:hAnsiTheme="minorHAnsi"/>
          <w:szCs w:val="22"/>
          <w:lang w:val="fr-FR"/>
        </w:rPr>
        <w:t>Decision</w:t>
      </w:r>
      <w:proofErr w:type="spellEnd"/>
    </w:p>
    <w:p w:rsidRPr="00DE7A7C" w:rsidR="00DE7A7C" w:rsidP="00DE7A7C" w:rsidRDefault="00DE7A7C" w14:paraId="08B30A97" w14:textId="3FC26B8B">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5: NIH Guide Notice (NOT-OD-14-024): Update to the Interim Agency Policy, NIH Extramural and Intramural Research Involving Chimpanzees</w:t>
      </w:r>
    </w:p>
    <w:p w:rsidRPr="00DE7A7C" w:rsidR="00DE7A7C" w:rsidP="00DE7A7C" w:rsidRDefault="00DE7A7C" w14:paraId="2C92E11D" w14:textId="6338AACD">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6: NIH Announcement Regarding Future Chimpanzee Research</w:t>
      </w:r>
    </w:p>
    <w:p w:rsidRPr="00DE7A7C" w:rsidR="00DE7A7C" w:rsidP="00DE7A7C" w:rsidRDefault="00DE7A7C" w14:paraId="4C9AA305" w14:textId="6E1E1856">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7: U.S. Fish and Wildlife Federal Register Notice: Endangered and Threatened Wildlife and Plants; Listing All Chimpanzees as Endangered Species; Final Rule</w:t>
      </w:r>
    </w:p>
    <w:p w:rsidRPr="00DE7A7C" w:rsidR="00DE7A7C" w:rsidP="00DE7A7C" w:rsidRDefault="00DE7A7C" w14:paraId="61DDDF92" w14:textId="4A380E2D">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8: The Use of Chimpanzees in NIH-Supported Research</w:t>
      </w:r>
    </w:p>
    <w:p w:rsidR="00E35DD1" w:rsidP="00DE7A7C" w:rsidRDefault="00DE7A7C" w14:paraId="31AA879B" w14:textId="1BE9D21A">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9: Chimpanzee Research Use Form (0925-0705)</w:t>
      </w:r>
    </w:p>
    <w:p w:rsidRPr="00DE7A7C" w:rsidR="00B34FF1" w:rsidP="00DE7A7C" w:rsidRDefault="00B34FF1" w14:paraId="49450C45" w14:textId="7E4E9F6F">
      <w:pPr>
        <w:pStyle w:val="P1-StandPara"/>
        <w:numPr>
          <w:ilvl w:val="0"/>
          <w:numId w:val="12"/>
        </w:numPr>
        <w:spacing w:line="240" w:lineRule="auto"/>
        <w:ind w:left="540" w:right="-216"/>
        <w:rPr>
          <w:rFonts w:asciiTheme="minorHAnsi" w:hAnsiTheme="minorHAnsi"/>
          <w:szCs w:val="22"/>
        </w:rPr>
      </w:pPr>
      <w:r>
        <w:rPr>
          <w:rFonts w:asciiTheme="minorHAnsi" w:hAnsiTheme="minorHAnsi"/>
          <w:szCs w:val="22"/>
        </w:rPr>
        <w:t>Attachment 1</w:t>
      </w:r>
      <w:r w:rsidR="00DD6B0E">
        <w:rPr>
          <w:rFonts w:asciiTheme="minorHAnsi" w:hAnsiTheme="minorHAnsi"/>
          <w:szCs w:val="22"/>
        </w:rPr>
        <w:t>0</w:t>
      </w:r>
      <w:r>
        <w:rPr>
          <w:rFonts w:asciiTheme="minorHAnsi" w:hAnsiTheme="minorHAnsi"/>
          <w:szCs w:val="22"/>
        </w:rPr>
        <w:t xml:space="preserve">: </w:t>
      </w:r>
      <w:r w:rsidR="00CA2FDB">
        <w:rPr>
          <w:rFonts w:asciiTheme="minorHAnsi" w:hAnsiTheme="minorHAnsi"/>
          <w:szCs w:val="22"/>
        </w:rPr>
        <w:t>Applicability of the Privacy Act: Chimpanzee Research Use Form</w:t>
      </w:r>
    </w:p>
    <w:p w:rsidR="00976490" w:rsidP="00BE76A7" w:rsidRDefault="00976490" w14:paraId="6C67AC7F"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722334" w:rsidRDefault="00722334" w14:paraId="67E5C2A7" w14:textId="77777777">
      <w:pPr>
        <w:rPr>
          <w:rFonts w:eastAsia="Times New Roman" w:cs="Times New Roman"/>
          <w:b/>
        </w:rPr>
      </w:pPr>
      <w:r>
        <w:rPr>
          <w:b/>
        </w:rPr>
        <w:br w:type="page"/>
      </w:r>
    </w:p>
    <w:p w:rsidR="006A45F9" w:rsidP="00F875A0" w:rsidRDefault="006A45F9" w14:paraId="605173DA" w14:textId="4623D66C">
      <w:pPr>
        <w:pStyle w:val="P1-StandPara"/>
        <w:tabs>
          <w:tab w:val="left" w:pos="720"/>
          <w:tab w:val="right" w:leader="dot" w:pos="9504"/>
        </w:tabs>
        <w:spacing w:before="120" w:after="120" w:line="276" w:lineRule="auto"/>
        <w:ind w:firstLine="0"/>
        <w:rPr>
          <w:rFonts w:asciiTheme="minorHAnsi" w:hAnsiTheme="minorHAnsi"/>
          <w:szCs w:val="22"/>
        </w:rPr>
      </w:pPr>
      <w:r>
        <w:rPr>
          <w:rFonts w:asciiTheme="minorHAnsi" w:hAnsiTheme="minorHAnsi"/>
          <w:b/>
          <w:szCs w:val="22"/>
        </w:rPr>
        <w:lastRenderedPageBreak/>
        <w:t xml:space="preserve">A. </w:t>
      </w:r>
      <w:r w:rsidRPr="00BE76A7" w:rsidR="00BE76A7">
        <w:rPr>
          <w:rFonts w:asciiTheme="minorHAnsi" w:hAnsiTheme="minorHAnsi"/>
          <w:b/>
          <w:szCs w:val="22"/>
        </w:rPr>
        <w:t>Justification</w:t>
      </w:r>
    </w:p>
    <w:p w:rsidR="00976490" w:rsidP="00EE4F12" w:rsidRDefault="005031B5" w14:paraId="4FF2901B" w14:textId="7292B3D6">
      <w:r w:rsidRPr="005031B5">
        <w:t>The National Institutes of Health</w:t>
      </w:r>
      <w:r>
        <w:t xml:space="preserve"> (NIH)</w:t>
      </w:r>
      <w:r w:rsidRPr="005031B5">
        <w:t xml:space="preserve"> requests to extend the Chimpanzee Research Use Form (OMB Control No.</w:t>
      </w:r>
      <w:r>
        <w:t xml:space="preserve"> </w:t>
      </w:r>
      <w:r w:rsidRPr="005031B5">
        <w:t>0925-0705). The purpose of this form is to obtain information needed by the NIH to assess whether the proposed research satisfies the agency policy for research involving chimpanzees. The NIH considers the information submitted through this form prior to the agency making funding decisions or otherwise allowing the research to begin. Completion of this form is a mandatory step toward receiving NIH support or approval for research involving chimpanzees.</w:t>
      </w:r>
    </w:p>
    <w:p w:rsidR="00F875A0" w:rsidP="00F875A0" w:rsidRDefault="00F875A0" w14:paraId="0109FFC6" w14:textId="77777777">
      <w:pPr>
        <w:pStyle w:val="P1-StandPara"/>
        <w:tabs>
          <w:tab w:val="left" w:pos="720"/>
          <w:tab w:val="right" w:leader="dot" w:pos="9504"/>
        </w:tabs>
        <w:spacing w:before="120" w:after="120" w:line="276" w:lineRule="auto"/>
        <w:ind w:firstLine="0"/>
        <w:rPr>
          <w:rFonts w:asciiTheme="minorHAnsi" w:hAnsiTheme="minorHAnsi"/>
          <w:b/>
          <w:szCs w:val="22"/>
        </w:rPr>
      </w:pPr>
    </w:p>
    <w:p w:rsidR="005031B5" w:rsidP="00F875A0" w:rsidRDefault="000F3043" w14:paraId="2914E030" w14:textId="77777777">
      <w:pPr>
        <w:pStyle w:val="P1-StandPara"/>
        <w:tabs>
          <w:tab w:val="left" w:pos="720"/>
          <w:tab w:val="right" w:leader="dot" w:pos="9504"/>
        </w:tabs>
        <w:spacing w:before="120" w:after="120" w:line="276" w:lineRule="auto"/>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bookmarkStart w:name="_Toc443881743" w:id="0"/>
      <w:bookmarkStart w:name="_Toc451592232" w:id="1"/>
      <w:bookmarkStart w:name="_Toc5610273" w:id="2"/>
      <w:bookmarkStart w:name="_Toc99178779" w:id="3"/>
    </w:p>
    <w:p w:rsidR="00EE4F12" w:rsidP="00EE4F12" w:rsidRDefault="005031B5" w14:paraId="0EC71966" w14:textId="07260CF7">
      <w:r w:rsidRPr="005031B5">
        <w:t>In 2010, NIH commissioned a study by the IOM to assess whether chimpanzees are or will be necessary for biomedical and behavioral research. The IOM issued its findings (</w:t>
      </w:r>
      <w:r w:rsidRPr="00207AF4">
        <w:rPr>
          <w:b/>
          <w:bCs/>
        </w:rPr>
        <w:t>Attachment 1</w:t>
      </w:r>
      <w:r w:rsidRPr="005031B5">
        <w:t>), with a primary recommendation that the use of chimpanzees in research be guided by a set of principles and criteria. Based on its deliberations, the IOM committee concluded that “while the chimpanzee has been a valuable animal model in past research, most current use of chimpanzees for biomedical research is unnecessary.” The committee also concluded, however, that certain areas of science may continue to require the use of chimpanzees. While the committee encouraged NIH to continue development of non-chimpanzee models and technologies, it acknowledged that new, emerging, or re-emerging diseases may present challenges that may require the use of chimpanzees. After careful consideration, the NIH Director, Francis S. Collins, M.D., Ph.D., accepted the IOM committee recommendations and decided not to fund new research involving chimpanzees until the NIH considered and issued policy implementing the IOM recommendations (</w:t>
      </w:r>
      <w:r w:rsidRPr="00207AF4">
        <w:rPr>
          <w:b/>
          <w:bCs/>
        </w:rPr>
        <w:t>Attachment 2</w:t>
      </w:r>
      <w:r w:rsidRPr="005031B5">
        <w:t xml:space="preserve">). To advise the agency in formulating its policy, the NIH established the </w:t>
      </w:r>
      <w:hyperlink w:history="1" r:id="rId11">
        <w:r w:rsidRPr="00207AF4">
          <w:rPr>
            <w:rStyle w:val="Hyperlink"/>
          </w:rPr>
          <w:t>Council of Councils Working Group on the Use of Chimpanzees in NIH-Supported Research</w:t>
        </w:r>
      </w:hyperlink>
      <w:r w:rsidRPr="005031B5">
        <w:t xml:space="preserve"> in 2012. In January 2013, the Working Group presented its recommendations to the NIH Council of Councils, which accepted the Working Group’s report (</w:t>
      </w:r>
      <w:r w:rsidRPr="00207AF4">
        <w:rPr>
          <w:b/>
          <w:bCs/>
        </w:rPr>
        <w:t>Attachment 3</w:t>
      </w:r>
      <w:r w:rsidRPr="005031B5">
        <w:t>) and recommended that NIH accept them as well. After considering public comments on the Council report, the NIH accepted (</w:t>
      </w:r>
      <w:r w:rsidRPr="00207AF4">
        <w:rPr>
          <w:b/>
          <w:bCs/>
        </w:rPr>
        <w:t>Attachment 4</w:t>
      </w:r>
      <w:r w:rsidRPr="005031B5">
        <w:t>) most of their recommendations in June 2013. Among other things, the agency accepted the Council recommendation to establish a panel, which is independent of the existing NIH review processes such as peer review of grants, technical evaluation of contracts, scientific review of NIH intramural research, and agency review of privately supported (or 3rd party) projects (</w:t>
      </w:r>
      <w:r w:rsidRPr="00207AF4">
        <w:rPr>
          <w:b/>
          <w:bCs/>
        </w:rPr>
        <w:t>Attachment 5</w:t>
      </w:r>
      <w:r w:rsidRPr="005031B5">
        <w:t xml:space="preserve">). The panel considered whether requests to the NIH to use chimpanzees in research are consistent with the IOM principles and criteria. A working group of the NIH Council of Councils, the Chimpanzee Research Use Panel (CRUP), was created and charged with considering requests to the agency to use chimpanzees in research. To fulfill its charge, the CRUP needed information consistent with an information collection on how investigators proposed to used chimpanzees in research. The NIH used the Chimpanzee Research Use Form (OMB control number 0925-0705) to collect the relevant information for the </w:t>
      </w:r>
      <w:hyperlink w:history="1" r:id="rId12">
        <w:r w:rsidRPr="00207AF4">
          <w:rPr>
            <w:rStyle w:val="Hyperlink"/>
          </w:rPr>
          <w:t>CRUP’s purpose</w:t>
        </w:r>
      </w:hyperlink>
      <w:r w:rsidRPr="005031B5">
        <w:t>.</w:t>
      </w:r>
    </w:p>
    <w:p w:rsidR="00F875A0" w:rsidP="00EE4F12" w:rsidRDefault="005031B5" w14:paraId="00E0661E" w14:textId="1448E738">
      <w:r w:rsidRPr="005031B5">
        <w:t>In November 2015, the NIH announced (</w:t>
      </w:r>
      <w:r w:rsidRPr="00207AF4">
        <w:rPr>
          <w:b/>
          <w:bCs/>
        </w:rPr>
        <w:t>Attachment 6</w:t>
      </w:r>
      <w:r w:rsidRPr="005031B5">
        <w:t>) that the agency would no longer support a colony of chimpanzees for future research due to reduced demand and the U.S. Fish and Wildlife Service designated captive chimpanzees as endangered (</w:t>
      </w:r>
      <w:r w:rsidRPr="00207AF4">
        <w:rPr>
          <w:b/>
          <w:bCs/>
        </w:rPr>
        <w:t>Attachment 7</w:t>
      </w:r>
      <w:r w:rsidRPr="005031B5">
        <w:t>). Further, in February 2016, the agency announced that it would support only “noninvasive” research involving chimpanzees (</w:t>
      </w:r>
      <w:r w:rsidRPr="00207AF4">
        <w:rPr>
          <w:b/>
          <w:bCs/>
        </w:rPr>
        <w:t>Attachment 8</w:t>
      </w:r>
      <w:r w:rsidRPr="005031B5">
        <w:t xml:space="preserve">). This announcement prompted a revision to and simplification of the Chimpanzee Research Use Form (control 0925-0705), which OMB approved. The current request is to extend the form for another 3 years. </w:t>
      </w:r>
      <w:r w:rsidR="0062442F">
        <w:t xml:space="preserve">We propose only minor edits to update cost estimates. </w:t>
      </w:r>
      <w:r w:rsidRPr="005031B5">
        <w:t xml:space="preserve">See </w:t>
      </w:r>
      <w:r w:rsidRPr="00207AF4">
        <w:rPr>
          <w:b/>
          <w:bCs/>
        </w:rPr>
        <w:t>Attachment 9</w:t>
      </w:r>
      <w:r w:rsidRPr="005031B5">
        <w:t xml:space="preserve"> for visuals of the current system.</w:t>
      </w:r>
    </w:p>
    <w:p w:rsidR="005031B5" w:rsidP="00EE4F12" w:rsidRDefault="005031B5" w14:paraId="287647BF" w14:textId="031FEA24">
      <w:r w:rsidRPr="005031B5">
        <w:lastRenderedPageBreak/>
        <w:t xml:space="preserve">The legislative authority that makes the collection of this information necessary is Title 42, Chapter 6A, Subchapter II, Part A, Section 241 – Research and investigations generally. </w:t>
      </w:r>
    </w:p>
    <w:p w:rsidRPr="00F875A0" w:rsidR="00F875A0" w:rsidP="00F875A0" w:rsidRDefault="00F875A0" w14:paraId="7338F510" w14:textId="77777777">
      <w:pPr>
        <w:pStyle w:val="P1-StandPara"/>
        <w:tabs>
          <w:tab w:val="left" w:pos="720"/>
          <w:tab w:val="right" w:leader="dot" w:pos="9504"/>
        </w:tabs>
        <w:spacing w:before="120" w:after="120" w:line="276" w:lineRule="auto"/>
        <w:ind w:firstLine="0"/>
        <w:rPr>
          <w:rFonts w:asciiTheme="minorHAnsi" w:hAnsiTheme="minorHAnsi"/>
          <w:b/>
          <w:szCs w:val="22"/>
        </w:rPr>
      </w:pPr>
    </w:p>
    <w:p w:rsidRPr="00714BFA" w:rsidR="000F3043" w:rsidP="00F875A0" w:rsidRDefault="000F3043" w14:paraId="6713C5AA" w14:textId="3FEDFFAC">
      <w:pPr>
        <w:pStyle w:val="Heading2"/>
        <w:spacing w:line="276" w:lineRule="auto"/>
        <w:rPr>
          <w:rFonts w:asciiTheme="minorHAnsi" w:hAnsiTheme="minorHAnsi" w:cstheme="minorHAnsi"/>
          <w:b/>
          <w:color w:val="auto"/>
          <w:sz w:val="22"/>
          <w:szCs w:val="22"/>
        </w:rPr>
      </w:pPr>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00F875A0" w:rsidP="00F875A0" w:rsidRDefault="00F875A0" w14:paraId="0A58CEB5" w14:textId="3FD3EBEA">
      <w:pPr>
        <w:spacing w:line="276" w:lineRule="auto"/>
      </w:pPr>
      <w:r w:rsidRPr="00F875A0">
        <w:t>The purpose of this form is to obtain information needed by the National Institutes of Health (NIH) to assess whether the proposed research satisfies the agency policy for research involving chimpanzees (</w:t>
      </w:r>
      <w:r w:rsidRPr="00F875A0">
        <w:rPr>
          <w:b/>
          <w:bCs/>
        </w:rPr>
        <w:t>Attachment 8</w:t>
      </w:r>
      <w:r w:rsidRPr="00F875A0">
        <w:t>). The NIH considers the information submitted through this form prior to the agency making funding decisions or otherwise allowing the research to begin. Completion of this form is a mandatory step toward receiving NIH support or approval for research involving chimpanzees.</w:t>
      </w:r>
    </w:p>
    <w:p w:rsidR="00F875A0" w:rsidP="00F875A0" w:rsidRDefault="00F875A0" w14:paraId="400E38C3" w14:textId="77777777">
      <w:pPr>
        <w:spacing w:line="276" w:lineRule="auto"/>
      </w:pPr>
    </w:p>
    <w:p w:rsidRPr="00E35DD1" w:rsidR="00A00CF8" w:rsidP="00F875A0" w:rsidRDefault="00A00CF8" w14:paraId="771476A4" w14:textId="2FE1F3F5">
      <w:pPr>
        <w:spacing w:line="276" w:lineRule="auto"/>
        <w:rPr>
          <w:b/>
          <w:color w:val="000000" w:themeColor="text1"/>
        </w:rPr>
      </w:pPr>
      <w:r w:rsidRPr="00E35DD1">
        <w:rPr>
          <w:b/>
          <w:color w:val="000000" w:themeColor="text1"/>
        </w:rPr>
        <w:t>A.3     Use of Information Technology and Burden Reduction</w:t>
      </w:r>
    </w:p>
    <w:p w:rsidR="00F875A0" w:rsidP="00F875A0" w:rsidRDefault="00F875A0" w14:paraId="4CC26E2E" w14:textId="306E263E">
      <w:pPr>
        <w:spacing w:line="276" w:lineRule="auto"/>
        <w:rPr>
          <w:color w:val="000000" w:themeColor="text1"/>
        </w:rPr>
      </w:pPr>
      <w:r w:rsidRPr="00F875A0">
        <w:rPr>
          <w:color w:val="000000" w:themeColor="text1"/>
        </w:rPr>
        <w:t>Submission will be made via the secure Chimpanzee Research Use Reporting System (CRU Reporting System) website (</w:t>
      </w:r>
      <w:hyperlink w:history="1" r:id="rId13">
        <w:r w:rsidRPr="001D06C1" w:rsidR="00EE4F12">
          <w:rPr>
            <w:rStyle w:val="Hyperlink"/>
          </w:rPr>
          <w:t>https://cru.dpcpsi.nih.gov/Account/Login</w:t>
        </w:r>
      </w:hyperlink>
      <w:r w:rsidR="00EE4F12">
        <w:rPr>
          <w:color w:val="000000" w:themeColor="text1"/>
        </w:rPr>
        <w:t xml:space="preserve"> </w:t>
      </w:r>
      <w:r w:rsidRPr="00F875A0">
        <w:rPr>
          <w:color w:val="000000" w:themeColor="text1"/>
        </w:rPr>
        <w:t xml:space="preserve">). The agency decided to use this means of collection to assure security of potentially proprietary and sensitive information, improve data quality, reduce collection burden, and improve agency efficiency and responsiveness over paper-based submission. The CRU Reporting System will integrate with the NIH grant processing system, allowing NIH to pre-populate certain fields for grant applicants. </w:t>
      </w:r>
      <w:bookmarkStart w:name="_GoBack" w:id="4"/>
      <w:r w:rsidRPr="00F875A0">
        <w:rPr>
          <w:color w:val="000000" w:themeColor="text1"/>
        </w:rPr>
        <w:t>Per the NIH Senior Privacy Officer, a Privacy Impact Assessment is not required because Personally Identifiable Information (PII) is not collected.</w:t>
      </w:r>
      <w:bookmarkEnd w:id="4"/>
    </w:p>
    <w:p w:rsidRPr="00E35DD1" w:rsidR="00F875A0" w:rsidP="00F875A0" w:rsidRDefault="00F875A0" w14:paraId="6EE14C05" w14:textId="77777777">
      <w:pPr>
        <w:spacing w:line="276" w:lineRule="auto"/>
        <w:rPr>
          <w:color w:val="000000" w:themeColor="text1"/>
        </w:rPr>
      </w:pPr>
    </w:p>
    <w:p w:rsidRPr="00C4161B" w:rsidR="00685B30" w:rsidP="00F875A0" w:rsidRDefault="00685B30" w14:paraId="2634512F" w14:textId="77777777">
      <w:pPr>
        <w:pStyle w:val="Heading2"/>
        <w:spacing w:line="276" w:lineRule="auto"/>
        <w:ind w:left="720" w:hanging="720"/>
        <w:rPr>
          <w:rFonts w:asciiTheme="minorHAnsi" w:hAnsiTheme="minorHAnsi"/>
          <w:b/>
          <w:color w:val="auto"/>
          <w:sz w:val="22"/>
          <w:szCs w:val="22"/>
        </w:rPr>
      </w:pPr>
      <w:bookmarkStart w:name="_Toc443881745" w:id="5"/>
      <w:bookmarkStart w:name="_Toc451592234" w:id="6"/>
      <w:bookmarkStart w:name="_Toc5610275" w:id="7"/>
      <w:bookmarkStart w:name="_Toc99178781" w:id="8"/>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5"/>
      <w:bookmarkEnd w:id="6"/>
      <w:bookmarkEnd w:id="7"/>
      <w:bookmarkEnd w:id="8"/>
    </w:p>
    <w:p w:rsidR="00F875A0" w:rsidP="00F875A0" w:rsidRDefault="00F875A0" w14:paraId="47F35E17" w14:textId="27A8DB00">
      <w:bookmarkStart w:name="_Toc443881746" w:id="9"/>
      <w:bookmarkStart w:name="_Toc451592235" w:id="10"/>
      <w:bookmarkStart w:name="_Toc5610276" w:id="11"/>
      <w:bookmarkStart w:name="_Toc99178782" w:id="12"/>
      <w:r w:rsidRPr="00F875A0">
        <w:t xml:space="preserve">There is no similar information collected from applicants or offerors. </w:t>
      </w:r>
    </w:p>
    <w:p w:rsidR="00F875A0" w:rsidP="00F875A0" w:rsidRDefault="00F875A0" w14:paraId="13E6671E" w14:textId="77777777"/>
    <w:p w:rsidRPr="00C4161B" w:rsidR="00685B30" w:rsidP="00F875A0" w:rsidRDefault="00685B30" w14:paraId="2E534297" w14:textId="3169EE9A">
      <w:pPr>
        <w:pStyle w:val="Heading2"/>
        <w:spacing w:line="276" w:lineRule="auto"/>
        <w:ind w:left="720" w:hanging="720"/>
        <w:rPr>
          <w:rFonts w:asciiTheme="minorHAnsi" w:hAnsiTheme="minorHAnsi"/>
          <w:b/>
          <w:color w:val="auto"/>
          <w:sz w:val="22"/>
          <w:szCs w:val="22"/>
        </w:rPr>
      </w:pPr>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9"/>
      <w:bookmarkEnd w:id="10"/>
      <w:bookmarkEnd w:id="11"/>
      <w:bookmarkEnd w:id="12"/>
    </w:p>
    <w:p w:rsidR="00F875A0" w:rsidP="00F875A0" w:rsidRDefault="00F875A0" w14:paraId="569AE533" w14:textId="3456CB94">
      <w:pPr>
        <w:pStyle w:val="P1-StandPara"/>
        <w:spacing w:line="276" w:lineRule="auto"/>
        <w:ind w:firstLine="0"/>
        <w:rPr>
          <w:rFonts w:ascii="Calibri" w:hAnsi="Calibri" w:cs="Calibri"/>
        </w:rPr>
      </w:pPr>
      <w:r>
        <w:rPr>
          <w:rFonts w:ascii="Calibri" w:hAnsi="Calibri" w:cs="Calibri"/>
        </w:rPr>
        <w:t xml:space="preserve">No small businesses will be involved. </w:t>
      </w:r>
    </w:p>
    <w:p w:rsidRPr="00C76797" w:rsidR="00F875A0" w:rsidP="00DE7A7C" w:rsidRDefault="00F875A0" w14:paraId="00CCB5AD" w14:textId="77777777"/>
    <w:p w:rsidRPr="00C4161B" w:rsidR="00685B30" w:rsidP="00F875A0" w:rsidRDefault="00685B30" w14:paraId="4DCCFE87" w14:textId="77777777">
      <w:pPr>
        <w:pStyle w:val="Heading2"/>
        <w:spacing w:line="276" w:lineRule="auto"/>
        <w:ind w:left="720" w:hanging="720"/>
        <w:rPr>
          <w:rFonts w:asciiTheme="minorHAnsi" w:hAnsiTheme="minorHAnsi"/>
          <w:b/>
          <w:color w:val="auto"/>
          <w:sz w:val="22"/>
          <w:szCs w:val="22"/>
        </w:rPr>
      </w:pPr>
      <w:bookmarkStart w:name="_Toc443881747" w:id="13"/>
      <w:bookmarkStart w:name="_Toc451592236" w:id="14"/>
      <w:bookmarkStart w:name="_Toc5610277" w:id="15"/>
      <w:bookmarkStart w:name="_Toc99178783" w:id="16"/>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3"/>
      <w:bookmarkEnd w:id="14"/>
      <w:bookmarkEnd w:id="15"/>
      <w:bookmarkEnd w:id="16"/>
    </w:p>
    <w:p w:rsidR="00F875A0" w:rsidP="00EC7F83" w:rsidRDefault="00F875A0" w14:paraId="1017AE63" w14:textId="77777777">
      <w:bookmarkStart w:name="_Toc443881748" w:id="17"/>
      <w:bookmarkStart w:name="_Toc451592237" w:id="18"/>
      <w:bookmarkStart w:name="_Toc5610278" w:id="19"/>
      <w:bookmarkStart w:name="_Toc99178784" w:id="20"/>
      <w:r w:rsidRPr="00F875A0">
        <w:t xml:space="preserve">The information is collected once per applicant/offeror. If the collection does not occur, the NIH will not be able to assess if the grant applicant, intramural researcher, contract offeror, or 3rd party researcher has addressed the NIH policy. Once an NIH funding institute or center decides it is likely to fund a project involving chimpanzees, the agency asks the Principal Investigator to complete the Chimpanzee Research Use </w:t>
      </w:r>
      <w:proofErr w:type="gramStart"/>
      <w:r w:rsidRPr="00F875A0">
        <w:t>form</w:t>
      </w:r>
      <w:proofErr w:type="gramEnd"/>
      <w:r w:rsidRPr="00F875A0">
        <w:t xml:space="preserve"> so the NIH has the necessary information to conduct its evaluation. </w:t>
      </w:r>
    </w:p>
    <w:p w:rsidR="00F875A0" w:rsidP="00DE7A7C" w:rsidRDefault="00F875A0" w14:paraId="797F6F5C" w14:textId="77777777"/>
    <w:p w:rsidRPr="00C4161B" w:rsidR="00685B30" w:rsidP="00F875A0" w:rsidRDefault="00E67B10" w14:paraId="50FA46DF" w14:textId="7789B8B2">
      <w:pPr>
        <w:pStyle w:val="Heading2"/>
        <w:spacing w:line="276" w:lineRule="auto"/>
        <w:rPr>
          <w:rFonts w:asciiTheme="minorHAnsi" w:hAnsiTheme="minorHAnsi"/>
          <w:b/>
          <w:color w:val="auto"/>
          <w:sz w:val="22"/>
          <w:szCs w:val="22"/>
        </w:rPr>
      </w:pPr>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17"/>
      <w:bookmarkEnd w:id="18"/>
      <w:bookmarkEnd w:id="19"/>
      <w:bookmarkEnd w:id="20"/>
    </w:p>
    <w:p w:rsidRPr="00E35DD1" w:rsidR="00685B30" w:rsidP="00EC7F83" w:rsidRDefault="00EC7F83" w14:paraId="42918316" w14:textId="12AE6ADD">
      <w:r>
        <w:t xml:space="preserve">There are no special circumstances. </w:t>
      </w:r>
    </w:p>
    <w:p w:rsidRPr="00E35DD1" w:rsidR="00685B30" w:rsidP="00DE7A7C" w:rsidRDefault="00685B30" w14:paraId="635EB124" w14:textId="77777777"/>
    <w:p w:rsidRPr="00EC7F83" w:rsidR="0036208F" w:rsidP="00EC7F83" w:rsidRDefault="00685B30" w14:paraId="25A28A2C" w14:textId="48465569">
      <w:pPr>
        <w:pStyle w:val="Heading2"/>
        <w:spacing w:line="276" w:lineRule="auto"/>
        <w:ind w:left="720" w:hanging="720"/>
        <w:rPr>
          <w:rFonts w:asciiTheme="minorHAnsi" w:hAnsiTheme="minorHAnsi"/>
          <w:b/>
          <w:color w:val="auto"/>
          <w:sz w:val="22"/>
          <w:szCs w:val="22"/>
        </w:rPr>
      </w:pPr>
      <w:bookmarkStart w:name="_Toc443881749" w:id="21"/>
      <w:bookmarkStart w:name="_Toc451592238" w:id="22"/>
      <w:bookmarkStart w:name="_Toc5610279" w:id="23"/>
      <w:bookmarkStart w:name="_Toc99178785" w:id="24"/>
      <w:r w:rsidRPr="00C4161B">
        <w:rPr>
          <w:rFonts w:asciiTheme="minorHAnsi" w:hAnsiTheme="minorHAnsi"/>
          <w:b/>
          <w:color w:val="auto"/>
          <w:sz w:val="22"/>
          <w:szCs w:val="22"/>
        </w:rPr>
        <w:lastRenderedPageBreak/>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1"/>
    <w:bookmarkEnd w:id="22"/>
    <w:bookmarkEnd w:id="23"/>
    <w:bookmarkEnd w:id="24"/>
    <w:p w:rsidR="00EC7F83" w:rsidP="00EC7F83" w:rsidRDefault="00EC7F83" w14:paraId="513A0C9E" w14:textId="7387A7F0">
      <w:r w:rsidRPr="00EC7F83">
        <w:t xml:space="preserve">This proposed information collection was previously published in the Federal Register on </w:t>
      </w:r>
      <w:r w:rsidR="00674412">
        <w:t>April 30, 2020</w:t>
      </w:r>
      <w:r w:rsidRPr="00EC7F83">
        <w:t xml:space="preserve"> (</w:t>
      </w:r>
      <w:r w:rsidRPr="00922F87" w:rsidR="00C65B73">
        <w:t xml:space="preserve">85 </w:t>
      </w:r>
      <w:r w:rsidRPr="00922F87">
        <w:t xml:space="preserve">FR </w:t>
      </w:r>
      <w:r w:rsidRPr="00EF54AD" w:rsidR="00CF2E0D">
        <w:t>23977</w:t>
      </w:r>
      <w:r w:rsidRPr="00EC7F83">
        <w:t xml:space="preserve">) and allowed 60 days for public comment.  The NIH received </w:t>
      </w:r>
      <w:r w:rsidR="00496BB1">
        <w:t>no</w:t>
      </w:r>
      <w:r w:rsidRPr="00EC7F83" w:rsidR="00CF2E0D">
        <w:t xml:space="preserve"> </w:t>
      </w:r>
      <w:r w:rsidRPr="00EC7F83">
        <w:t xml:space="preserve">requests to view the form and </w:t>
      </w:r>
      <w:r w:rsidR="00496BB1">
        <w:t>no</w:t>
      </w:r>
      <w:r w:rsidRPr="00EC7F83" w:rsidR="00CF2E0D">
        <w:t xml:space="preserve"> </w:t>
      </w:r>
      <w:r w:rsidRPr="00EC7F83">
        <w:t>comment</w:t>
      </w:r>
      <w:r w:rsidR="00CF2E0D">
        <w:t>s</w:t>
      </w:r>
      <w:r w:rsidRPr="00EC7F83">
        <w:t xml:space="preserve"> expressing </w:t>
      </w:r>
      <w:r w:rsidR="00496BB1">
        <w:t>any</w:t>
      </w:r>
      <w:r w:rsidRPr="00EC7F83" w:rsidR="00496BB1">
        <w:t xml:space="preserve"> </w:t>
      </w:r>
      <w:r w:rsidRPr="00EC7F83">
        <w:t>opinion</w:t>
      </w:r>
      <w:r w:rsidR="00496BB1">
        <w:t xml:space="preserve"> about the proposed collection.</w:t>
      </w:r>
      <w:r w:rsidRPr="00EC7F83">
        <w:t xml:space="preserve">  </w:t>
      </w:r>
    </w:p>
    <w:p w:rsidR="00EC7F83" w:rsidP="00EC7F83" w:rsidRDefault="00EC7F83" w14:paraId="25887D22" w14:textId="77777777"/>
    <w:p w:rsidRPr="00C4161B" w:rsidR="0036208F" w:rsidP="00EC7F83" w:rsidRDefault="0036208F" w14:paraId="51C2EE07" w14:textId="745D7763">
      <w:pPr>
        <w:rPr>
          <w:b/>
        </w:rPr>
      </w:pPr>
      <w:r w:rsidRPr="00C4161B">
        <w:rPr>
          <w:b/>
        </w:rPr>
        <w:t>A.8.2</w:t>
      </w:r>
      <w:r w:rsidRPr="00C4161B">
        <w:rPr>
          <w:b/>
        </w:rPr>
        <w:tab/>
        <w:t>Efforts to Consult Outside Agency</w:t>
      </w:r>
    </w:p>
    <w:p w:rsidR="00EC7F83" w:rsidP="00EC7F83" w:rsidRDefault="00EC7F83" w14:paraId="31934A76" w14:textId="113A1C49">
      <w:r w:rsidRPr="00EC7F83">
        <w:t>No Federal agency outside of the NIH has been consulted on the form due to the NIH-specific nature of the collection requirement.</w:t>
      </w:r>
    </w:p>
    <w:p w:rsidRPr="00EC7F83" w:rsidR="00EC7F83" w:rsidP="00EC7F83" w:rsidRDefault="00EC7F83" w14:paraId="7D5BE7D2" w14:textId="77777777"/>
    <w:p w:rsidRPr="00E35DD1" w:rsidR="00685B30" w:rsidP="00F875A0" w:rsidRDefault="00685B30" w14:paraId="06EE05E1" w14:textId="7CB11C30">
      <w:pPr>
        <w:pStyle w:val="P1-StandPara"/>
        <w:spacing w:line="276" w:lineRule="auto"/>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EC7F83" w:rsidP="00EC7F83" w:rsidRDefault="00EC7F83" w14:paraId="1D59F709" w14:textId="77777777">
      <w:r w:rsidRPr="00EC7F83">
        <w:t xml:space="preserve">Respondents will not receive payment and/or gifts for completing the form. </w:t>
      </w:r>
    </w:p>
    <w:p w:rsidR="00EC7F83" w:rsidP="00DE7A7C" w:rsidRDefault="00EC7F83" w14:paraId="480379C9" w14:textId="77777777"/>
    <w:p w:rsidRPr="00E35DD1" w:rsidR="00685B30" w:rsidP="00F875A0" w:rsidRDefault="00685B30" w14:paraId="43756684" w14:textId="1F66DB9B">
      <w:pPr>
        <w:pStyle w:val="P1-StandPara"/>
        <w:spacing w:line="276" w:lineRule="auto"/>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E35DD1" w:rsidP="00791EE0" w:rsidRDefault="00791EE0" w14:paraId="63CCC42F" w14:textId="33460021">
      <w:r w:rsidRPr="00791EE0">
        <w:t>Respondents are provided with assurance that NIH staff and contractors are bound by confidentiality agreements. The NIH Senior Official for Privacy reviewed the form and determined that the Privacy Act is not triggered because the agency is not requesting the submission of personal information</w:t>
      </w:r>
      <w:r w:rsidR="00F82409">
        <w:t xml:space="preserve"> (</w:t>
      </w:r>
      <w:r w:rsidR="00F82409">
        <w:rPr>
          <w:b/>
          <w:bCs/>
        </w:rPr>
        <w:t>Attachment 1</w:t>
      </w:r>
      <w:r w:rsidR="00DD6B0E">
        <w:rPr>
          <w:b/>
          <w:bCs/>
        </w:rPr>
        <w:t>0</w:t>
      </w:r>
      <w:r w:rsidR="00F82409">
        <w:t>)</w:t>
      </w:r>
      <w:r w:rsidRPr="00791EE0">
        <w:t>.</w:t>
      </w:r>
    </w:p>
    <w:p w:rsidRPr="00E35DD1" w:rsidR="00791EE0" w:rsidP="00DE7A7C" w:rsidRDefault="00791EE0" w14:paraId="0B42BC25" w14:textId="77777777"/>
    <w:p w:rsidRPr="00E35DD1" w:rsidR="00685B30" w:rsidP="00F875A0" w:rsidRDefault="00685B30" w14:paraId="418F3B61" w14:textId="77777777">
      <w:pPr>
        <w:pStyle w:val="P1-StandPara"/>
        <w:spacing w:line="276" w:lineRule="auto"/>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Pr="00E35DD1" w:rsidR="00685B30" w:rsidP="00791EE0" w:rsidRDefault="00791EE0" w14:paraId="43B0244E" w14:textId="7BC1B9E2">
      <w:r w:rsidRPr="00791EE0">
        <w:t>No information commonly considered to be personally private will be asked of those responding to this form. No personally identifiable information (PII) is collected.</w:t>
      </w:r>
    </w:p>
    <w:p w:rsidRPr="00E35DD1" w:rsidR="00685B30" w:rsidP="00DE7A7C" w:rsidRDefault="00685B30" w14:paraId="576DA571" w14:textId="77777777"/>
    <w:p w:rsidRPr="00E35DD1" w:rsidR="00685B30" w:rsidP="00F875A0" w:rsidRDefault="00685B30" w14:paraId="2470C97A" w14:textId="77777777">
      <w:pPr>
        <w:spacing w:line="276" w:lineRule="auto"/>
        <w:rPr>
          <w:b/>
        </w:rPr>
      </w:pPr>
      <w:r w:rsidRPr="00E35DD1">
        <w:rPr>
          <w:b/>
        </w:rPr>
        <w:t>A.12</w:t>
      </w:r>
      <w:r w:rsidR="00BF491C">
        <w:rPr>
          <w:b/>
        </w:rPr>
        <w:t>.1</w:t>
      </w:r>
      <w:r w:rsidRPr="00E35DD1">
        <w:rPr>
          <w:b/>
        </w:rPr>
        <w:tab/>
        <w:t>Estimates of Hour Burden Including Annualized Hourly Costs</w:t>
      </w:r>
    </w:p>
    <w:p w:rsidR="00791EE0" w:rsidP="00791EE0" w:rsidRDefault="00791EE0" w14:paraId="5B8ACCF5" w14:textId="77777777">
      <w:r w:rsidRPr="00791EE0">
        <w:t xml:space="preserve">The research community will be the respondents to this form. Up to 20 respondents will be asked to complete the form per year. The frequency of the data collection will be once per application for funding or proposal for contract award (competitive renewals usually occur every 3-5 years) and the respondent should take no more than 30 minutes to complete the form. The form was tested and reviewed by less than 9 NIH researchers to obtain this estimate. For grant applicants, some portions of this form will pre-populate from NIH’s grant application system, further reducing the hourly burden by using some of the information (e.g., research abstract, title, contact information) initially submitted during the grants application process.  </w:t>
      </w:r>
    </w:p>
    <w:p w:rsidR="00CA7B4A" w:rsidP="00791EE0" w:rsidRDefault="00CA7B4A" w14:paraId="4D73A20D" w14:textId="77777777">
      <w:pPr>
        <w:rPr>
          <w:b/>
          <w:bCs/>
        </w:rPr>
      </w:pPr>
    </w:p>
    <w:p w:rsidR="00CA7B4A" w:rsidP="00791EE0" w:rsidRDefault="00CA7B4A" w14:paraId="2F79451D" w14:textId="77777777">
      <w:pPr>
        <w:rPr>
          <w:b/>
          <w:bCs/>
        </w:rPr>
      </w:pPr>
    </w:p>
    <w:p w:rsidR="00CA7B4A" w:rsidP="00791EE0" w:rsidRDefault="00CA7B4A" w14:paraId="44D503BB" w14:textId="77777777">
      <w:pPr>
        <w:rPr>
          <w:b/>
          <w:bCs/>
        </w:rPr>
      </w:pPr>
    </w:p>
    <w:p w:rsidR="00CA7B4A" w:rsidP="00791EE0" w:rsidRDefault="00CA7B4A" w14:paraId="1603F690" w14:textId="77777777">
      <w:pPr>
        <w:rPr>
          <w:b/>
          <w:bCs/>
        </w:rPr>
      </w:pPr>
    </w:p>
    <w:p w:rsidR="00CA7B4A" w:rsidP="00791EE0" w:rsidRDefault="00CA7B4A" w14:paraId="4BBAF560" w14:textId="77777777">
      <w:pPr>
        <w:rPr>
          <w:b/>
          <w:bCs/>
        </w:rPr>
      </w:pPr>
    </w:p>
    <w:p w:rsidR="00CA7B4A" w:rsidP="00791EE0" w:rsidRDefault="00CA7B4A" w14:paraId="46EE03A9" w14:textId="77777777">
      <w:pPr>
        <w:rPr>
          <w:b/>
          <w:bCs/>
        </w:rPr>
      </w:pPr>
    </w:p>
    <w:p w:rsidR="00C24877" w:rsidP="00791EE0" w:rsidRDefault="00C76FE2" w14:paraId="69E5DE25" w14:textId="1607220F">
      <w:pPr>
        <w:rPr>
          <w:b/>
          <w:bCs/>
        </w:rPr>
      </w:pPr>
      <w:r w:rsidRPr="00791EE0">
        <w:rPr>
          <w:b/>
          <w:bCs/>
        </w:rPr>
        <w:t>Table 12</w:t>
      </w:r>
      <w:r w:rsidR="00BE6841">
        <w:rPr>
          <w:b/>
          <w:bCs/>
        </w:rPr>
        <w:t>-</w:t>
      </w:r>
      <w:r w:rsidRPr="00791EE0">
        <w:rPr>
          <w:b/>
          <w:bCs/>
        </w:rPr>
        <w:t>1 Estimated Annualized Burden Hours</w:t>
      </w:r>
    </w:p>
    <w:tbl>
      <w:tblPr>
        <w:tblW w:w="9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31"/>
        <w:gridCol w:w="1334"/>
        <w:gridCol w:w="1440"/>
        <w:gridCol w:w="1620"/>
        <w:gridCol w:w="1710"/>
        <w:gridCol w:w="1637"/>
      </w:tblGrid>
      <w:tr w:rsidRPr="00CA7B4A" w:rsidR="00CA7B4A" w:rsidTr="00CA7B4A" w14:paraId="478F9948" w14:textId="77777777">
        <w:trPr>
          <w:trHeight w:val="1079"/>
        </w:trPr>
        <w:tc>
          <w:tcPr>
            <w:tcW w:w="1631" w:type="dxa"/>
            <w:tcBorders>
              <w:top w:val="single" w:color="auto" w:sz="4" w:space="0"/>
              <w:left w:val="single" w:color="auto" w:sz="4" w:space="0"/>
              <w:bottom w:val="single" w:color="auto" w:sz="4" w:space="0"/>
              <w:right w:val="single" w:color="auto" w:sz="4" w:space="0"/>
            </w:tcBorders>
            <w:hideMark/>
          </w:tcPr>
          <w:p w:rsidRPr="00CA7B4A" w:rsidR="00CA7B4A" w:rsidP="00CA7B4A" w:rsidRDefault="00CA7B4A" w14:paraId="2EF46E81" w14:textId="77777777">
            <w:pPr>
              <w:rPr>
                <w:b/>
                <w:bCs/>
              </w:rPr>
            </w:pPr>
            <w:r w:rsidRPr="00CA7B4A">
              <w:rPr>
                <w:b/>
                <w:bCs/>
              </w:rPr>
              <w:t xml:space="preserve">Form Name </w:t>
            </w:r>
          </w:p>
        </w:tc>
        <w:tc>
          <w:tcPr>
            <w:tcW w:w="1334" w:type="dxa"/>
            <w:tcBorders>
              <w:top w:val="single" w:color="auto" w:sz="4" w:space="0"/>
              <w:left w:val="single" w:color="auto" w:sz="4" w:space="0"/>
              <w:bottom w:val="single" w:color="auto" w:sz="4" w:space="0"/>
              <w:right w:val="single" w:color="auto" w:sz="4" w:space="0"/>
            </w:tcBorders>
            <w:hideMark/>
          </w:tcPr>
          <w:p w:rsidRPr="00CA7B4A" w:rsidR="00CA7B4A" w:rsidP="00CA7B4A" w:rsidRDefault="00CA7B4A" w14:paraId="7240291F" w14:textId="77777777">
            <w:pPr>
              <w:rPr>
                <w:b/>
                <w:bCs/>
              </w:rPr>
            </w:pPr>
            <w:r w:rsidRPr="00CA7B4A">
              <w:rPr>
                <w:b/>
                <w:bCs/>
              </w:rPr>
              <w:t>Type of Respondent</w:t>
            </w:r>
          </w:p>
        </w:tc>
        <w:tc>
          <w:tcPr>
            <w:tcW w:w="1440" w:type="dxa"/>
            <w:tcBorders>
              <w:top w:val="single" w:color="auto" w:sz="4" w:space="0"/>
              <w:left w:val="single" w:color="auto" w:sz="4" w:space="0"/>
              <w:bottom w:val="single" w:color="auto" w:sz="4" w:space="0"/>
              <w:right w:val="single" w:color="auto" w:sz="4" w:space="0"/>
            </w:tcBorders>
            <w:hideMark/>
          </w:tcPr>
          <w:p w:rsidRPr="00CA7B4A" w:rsidR="00CA7B4A" w:rsidP="00CA7B4A" w:rsidRDefault="00CA7B4A" w14:paraId="35D0A9D4" w14:textId="0C47B0F9">
            <w:pPr>
              <w:rPr>
                <w:b/>
                <w:bCs/>
              </w:rPr>
            </w:pPr>
            <w:r w:rsidRPr="00CA7B4A">
              <w:rPr>
                <w:b/>
                <w:bCs/>
              </w:rPr>
              <w:t>Number of Respondents</w:t>
            </w:r>
          </w:p>
        </w:tc>
        <w:tc>
          <w:tcPr>
            <w:tcW w:w="1620" w:type="dxa"/>
            <w:tcBorders>
              <w:top w:val="single" w:color="auto" w:sz="4" w:space="0"/>
              <w:left w:val="single" w:color="auto" w:sz="4" w:space="0"/>
              <w:bottom w:val="single" w:color="auto" w:sz="4" w:space="0"/>
              <w:right w:val="single" w:color="auto" w:sz="4" w:space="0"/>
            </w:tcBorders>
            <w:hideMark/>
          </w:tcPr>
          <w:p w:rsidRPr="00CA7B4A" w:rsidR="00CA7B4A" w:rsidP="00CA7B4A" w:rsidRDefault="00CA7B4A" w14:paraId="210FEEF4" w14:textId="77777777">
            <w:pPr>
              <w:rPr>
                <w:b/>
                <w:bCs/>
              </w:rPr>
            </w:pPr>
            <w:r w:rsidRPr="00CA7B4A">
              <w:rPr>
                <w:b/>
                <w:bCs/>
              </w:rPr>
              <w:t>Number of Responses per Respondent</w:t>
            </w:r>
          </w:p>
        </w:tc>
        <w:tc>
          <w:tcPr>
            <w:tcW w:w="1710" w:type="dxa"/>
            <w:tcBorders>
              <w:top w:val="single" w:color="auto" w:sz="4" w:space="0"/>
              <w:left w:val="single" w:color="auto" w:sz="4" w:space="0"/>
              <w:bottom w:val="single" w:color="auto" w:sz="4" w:space="0"/>
              <w:right w:val="single" w:color="auto" w:sz="4" w:space="0"/>
            </w:tcBorders>
            <w:hideMark/>
          </w:tcPr>
          <w:p w:rsidRPr="00CA7B4A" w:rsidR="00CA7B4A" w:rsidP="00CA7B4A" w:rsidRDefault="00CA7B4A" w14:paraId="16E7DB55" w14:textId="67C32BD1">
            <w:pPr>
              <w:rPr>
                <w:b/>
                <w:bCs/>
              </w:rPr>
            </w:pPr>
            <w:r w:rsidRPr="00CA7B4A">
              <w:rPr>
                <w:b/>
                <w:bCs/>
              </w:rPr>
              <w:t xml:space="preserve">Average </w:t>
            </w:r>
            <w:r>
              <w:rPr>
                <w:b/>
                <w:bCs/>
              </w:rPr>
              <w:t>Burden</w:t>
            </w:r>
            <w:r w:rsidRPr="00CA7B4A">
              <w:rPr>
                <w:b/>
                <w:bCs/>
              </w:rPr>
              <w:t xml:space="preserve"> Per Response (in hours) </w:t>
            </w:r>
          </w:p>
        </w:tc>
        <w:tc>
          <w:tcPr>
            <w:tcW w:w="1637" w:type="dxa"/>
            <w:tcBorders>
              <w:top w:val="single" w:color="auto" w:sz="4" w:space="0"/>
              <w:left w:val="single" w:color="auto" w:sz="4" w:space="0"/>
              <w:bottom w:val="single" w:color="auto" w:sz="4" w:space="0"/>
              <w:right w:val="single" w:color="auto" w:sz="4" w:space="0"/>
            </w:tcBorders>
            <w:hideMark/>
          </w:tcPr>
          <w:p w:rsidRPr="00CA7B4A" w:rsidR="00CA7B4A" w:rsidP="00CA7B4A" w:rsidRDefault="00CA7B4A" w14:paraId="57D5FE74" w14:textId="4DDC020E">
            <w:pPr>
              <w:rPr>
                <w:b/>
                <w:bCs/>
              </w:rPr>
            </w:pPr>
            <w:r w:rsidRPr="00CA7B4A">
              <w:rPr>
                <w:b/>
                <w:bCs/>
              </w:rPr>
              <w:t>Total Annual  Burden Hour</w:t>
            </w:r>
            <w:r>
              <w:rPr>
                <w:b/>
                <w:bCs/>
              </w:rPr>
              <w:t>s</w:t>
            </w:r>
          </w:p>
        </w:tc>
      </w:tr>
      <w:tr w:rsidRPr="00CA7B4A" w:rsidR="00CA7B4A" w:rsidTr="00CA7B4A" w14:paraId="625D5F14" w14:textId="77777777">
        <w:trPr>
          <w:trHeight w:val="375"/>
        </w:trPr>
        <w:tc>
          <w:tcPr>
            <w:tcW w:w="1631" w:type="dxa"/>
            <w:tcBorders>
              <w:top w:val="single" w:color="auto" w:sz="4" w:space="0"/>
              <w:left w:val="single" w:color="auto" w:sz="4" w:space="0"/>
              <w:bottom w:val="single" w:color="auto" w:sz="4" w:space="0"/>
              <w:right w:val="single" w:color="auto" w:sz="4" w:space="0"/>
            </w:tcBorders>
            <w:vAlign w:val="center"/>
            <w:hideMark/>
          </w:tcPr>
          <w:p w:rsidRPr="00CA7B4A" w:rsidR="00CA7B4A" w:rsidP="00CA7B4A" w:rsidRDefault="00CA7B4A" w14:paraId="6AF843A2" w14:textId="77777777">
            <w:pPr>
              <w:rPr>
                <w:b/>
                <w:bCs/>
              </w:rPr>
            </w:pPr>
            <w:r w:rsidRPr="00CA7B4A">
              <w:rPr>
                <w:b/>
                <w:bCs/>
              </w:rPr>
              <w:t>Chimpanzee Research Use Form</w:t>
            </w:r>
          </w:p>
        </w:tc>
        <w:tc>
          <w:tcPr>
            <w:tcW w:w="1334" w:type="dxa"/>
            <w:tcBorders>
              <w:top w:val="single" w:color="auto" w:sz="4" w:space="0"/>
              <w:left w:val="single" w:color="auto" w:sz="4" w:space="0"/>
              <w:bottom w:val="single" w:color="auto" w:sz="4" w:space="0"/>
              <w:right w:val="single" w:color="auto" w:sz="4" w:space="0"/>
            </w:tcBorders>
            <w:vAlign w:val="center"/>
            <w:hideMark/>
          </w:tcPr>
          <w:p w:rsidRPr="00CA7B4A" w:rsidR="00CA7B4A" w:rsidP="00CA7B4A" w:rsidRDefault="00CA7B4A" w14:paraId="51478DF2" w14:textId="77777777">
            <w:pPr>
              <w:jc w:val="center"/>
            </w:pPr>
            <w:r w:rsidRPr="00CA7B4A">
              <w:t>Research Community</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CA7B4A" w:rsidR="00CA7B4A" w:rsidP="00CA7B4A" w:rsidRDefault="00CA7B4A" w14:paraId="411D4C90" w14:textId="77777777">
            <w:pPr>
              <w:jc w:val="center"/>
            </w:pPr>
            <w:r w:rsidRPr="00CA7B4A">
              <w:t>20</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CA7B4A" w:rsidR="00CA7B4A" w:rsidP="00CA7B4A" w:rsidRDefault="00CA7B4A" w14:paraId="1C0F0D60" w14:textId="77777777">
            <w:pPr>
              <w:jc w:val="center"/>
            </w:pPr>
            <w:r w:rsidRPr="00CA7B4A">
              <w:t>1</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CA7B4A" w:rsidR="00CA7B4A" w:rsidP="00CA7B4A" w:rsidRDefault="00CA7B4A" w14:paraId="0880E648" w14:textId="77777777">
            <w:pPr>
              <w:jc w:val="center"/>
            </w:pPr>
            <w:r w:rsidRPr="00CA7B4A">
              <w:t>30/60</w:t>
            </w:r>
          </w:p>
        </w:tc>
        <w:tc>
          <w:tcPr>
            <w:tcW w:w="1637" w:type="dxa"/>
            <w:tcBorders>
              <w:top w:val="single" w:color="auto" w:sz="4" w:space="0"/>
              <w:left w:val="single" w:color="auto" w:sz="4" w:space="0"/>
              <w:bottom w:val="single" w:color="auto" w:sz="4" w:space="0"/>
              <w:right w:val="single" w:color="auto" w:sz="4" w:space="0"/>
            </w:tcBorders>
            <w:vAlign w:val="center"/>
            <w:hideMark/>
          </w:tcPr>
          <w:p w:rsidRPr="00CA7B4A" w:rsidR="00CA7B4A" w:rsidP="00CA7B4A" w:rsidRDefault="00CA7B4A" w14:paraId="540F19CB" w14:textId="77777777">
            <w:pPr>
              <w:jc w:val="center"/>
            </w:pPr>
            <w:r w:rsidRPr="00CA7B4A">
              <w:t>10</w:t>
            </w:r>
          </w:p>
        </w:tc>
      </w:tr>
      <w:tr w:rsidRPr="00CA7B4A" w:rsidR="00BE6841" w:rsidTr="00BE6841" w14:paraId="23396D19" w14:textId="77777777">
        <w:trPr>
          <w:trHeight w:val="375"/>
        </w:trPr>
        <w:tc>
          <w:tcPr>
            <w:tcW w:w="1631" w:type="dxa"/>
            <w:tcBorders>
              <w:top w:val="single" w:color="auto" w:sz="4" w:space="0"/>
              <w:left w:val="single" w:color="auto" w:sz="4" w:space="0"/>
              <w:bottom w:val="single" w:color="auto" w:sz="4" w:space="0"/>
              <w:right w:val="single" w:color="auto" w:sz="4" w:space="0"/>
            </w:tcBorders>
            <w:vAlign w:val="center"/>
          </w:tcPr>
          <w:p w:rsidRPr="00CA7B4A" w:rsidR="00CA7B4A" w:rsidP="00CA7B4A" w:rsidRDefault="00CA7B4A" w14:paraId="33157668" w14:textId="77777777">
            <w:pPr>
              <w:rPr>
                <w:b/>
                <w:bCs/>
              </w:rPr>
            </w:pPr>
            <w:r w:rsidRPr="00CA7B4A">
              <w:rPr>
                <w:b/>
                <w:bCs/>
              </w:rPr>
              <w:t>TOTAL</w:t>
            </w:r>
          </w:p>
        </w:tc>
        <w:tc>
          <w:tcPr>
            <w:tcW w:w="1334" w:type="dxa"/>
            <w:tcBorders>
              <w:top w:val="single" w:color="auto" w:sz="4" w:space="0"/>
              <w:left w:val="single" w:color="auto" w:sz="4" w:space="0"/>
              <w:bottom w:val="single" w:color="auto" w:sz="4" w:space="0"/>
              <w:right w:val="single" w:color="auto" w:sz="4" w:space="0"/>
            </w:tcBorders>
            <w:vAlign w:val="center"/>
          </w:tcPr>
          <w:p w:rsidRPr="00CA7B4A" w:rsidR="00CA7B4A" w:rsidP="00CA7B4A" w:rsidRDefault="00CA7B4A" w14:paraId="596C3C16"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center"/>
          </w:tcPr>
          <w:p w:rsidRPr="00CA7B4A" w:rsidR="00CA7B4A" w:rsidP="00CA7B4A" w:rsidRDefault="00CA7B4A" w14:paraId="2849FCB3" w14:textId="2329F5DA">
            <w:pPr>
              <w:jc w:val="center"/>
            </w:pPr>
          </w:p>
        </w:tc>
        <w:tc>
          <w:tcPr>
            <w:tcW w:w="1620" w:type="dxa"/>
            <w:tcBorders>
              <w:top w:val="single" w:color="auto" w:sz="4" w:space="0"/>
              <w:left w:val="single" w:color="auto" w:sz="4" w:space="0"/>
              <w:bottom w:val="single" w:color="auto" w:sz="4" w:space="0"/>
              <w:right w:val="single" w:color="auto" w:sz="4" w:space="0"/>
            </w:tcBorders>
            <w:vAlign w:val="center"/>
          </w:tcPr>
          <w:p w:rsidRPr="00CA7B4A" w:rsidR="00CA7B4A" w:rsidP="00CA7B4A" w:rsidRDefault="00CA7B4A" w14:paraId="3970174D" w14:textId="77777777">
            <w:pPr>
              <w:jc w:val="center"/>
            </w:pPr>
            <w:r w:rsidRPr="00CA7B4A">
              <w:t>20</w:t>
            </w:r>
          </w:p>
        </w:tc>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A7B4A" w:rsidR="00CA7B4A" w:rsidP="00CA7B4A" w:rsidRDefault="00CA7B4A" w14:paraId="1C3AA843" w14:textId="77777777">
            <w:pPr>
              <w:jc w:val="center"/>
            </w:pPr>
          </w:p>
        </w:tc>
        <w:tc>
          <w:tcPr>
            <w:tcW w:w="1637" w:type="dxa"/>
            <w:tcBorders>
              <w:top w:val="single" w:color="auto" w:sz="4" w:space="0"/>
              <w:left w:val="single" w:color="auto" w:sz="4" w:space="0"/>
              <w:bottom w:val="single" w:color="auto" w:sz="4" w:space="0"/>
              <w:right w:val="single" w:color="auto" w:sz="4" w:space="0"/>
            </w:tcBorders>
            <w:vAlign w:val="center"/>
          </w:tcPr>
          <w:p w:rsidRPr="00CA7B4A" w:rsidR="00CA7B4A" w:rsidP="00CA7B4A" w:rsidRDefault="00CA7B4A" w14:paraId="1155CA2A" w14:textId="77777777">
            <w:pPr>
              <w:jc w:val="center"/>
            </w:pPr>
            <w:r w:rsidRPr="00CA7B4A">
              <w:t>10</w:t>
            </w:r>
          </w:p>
        </w:tc>
      </w:tr>
    </w:tbl>
    <w:p w:rsidR="005C4013" w:rsidP="0086248B" w:rsidRDefault="005C4013" w14:paraId="7152178A" w14:textId="77777777">
      <w:pPr>
        <w:spacing w:after="0" w:line="240" w:lineRule="auto"/>
        <w:rPr>
          <w:rFonts w:eastAsia="Times New Roman" w:cs="Times New Roman"/>
          <w:b/>
          <w:smallCaps/>
          <w:color w:val="000000" w:themeColor="text1"/>
        </w:rPr>
      </w:pPr>
    </w:p>
    <w:p w:rsidR="005C4013" w:rsidP="0086248B" w:rsidRDefault="005C4013" w14:paraId="4D789855" w14:textId="77777777">
      <w:pPr>
        <w:spacing w:after="0" w:line="240" w:lineRule="auto"/>
        <w:rPr>
          <w:rFonts w:eastAsia="Times New Roman" w:cs="Times New Roman"/>
          <w:b/>
          <w:smallCaps/>
          <w:color w:val="000000" w:themeColor="text1"/>
        </w:rPr>
      </w:pPr>
    </w:p>
    <w:p w:rsidRPr="00EE245F" w:rsidR="00EE245F" w:rsidP="0086248B" w:rsidRDefault="005C4013" w14:paraId="4CC3EA16" w14:textId="5F6AACB4">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rsidRDefault="00EE245F" w14:paraId="12F83F36" w14:textId="77777777">
      <w:pPr>
        <w:spacing w:after="0" w:line="240" w:lineRule="auto"/>
        <w:rPr>
          <w:rFonts w:eastAsia="Times New Roman" w:cs="Times New Roman"/>
          <w:smallCaps/>
          <w:color w:val="000000" w:themeColor="text1"/>
        </w:rPr>
      </w:pPr>
    </w:p>
    <w:p w:rsidR="002C5D4F" w:rsidP="00BF491C" w:rsidRDefault="00BE6841" w14:paraId="36D02200" w14:textId="03E4C34C">
      <w:r w:rsidRPr="00BE6841">
        <w:t>The total cost to the respondents is $</w:t>
      </w:r>
      <w:r w:rsidR="000C16FA">
        <w:t>948.60</w:t>
      </w:r>
      <w:r w:rsidRPr="00BE6841">
        <w:t>. The wage rate of $</w:t>
      </w:r>
      <w:r w:rsidR="000C16FA">
        <w:t xml:space="preserve">94.86 </w:t>
      </w:r>
      <w:r w:rsidRPr="00BE6841">
        <w:t xml:space="preserve">used below matches the salary limitation for NIH grants per NIH Guide Notice </w:t>
      </w:r>
      <w:r w:rsidRPr="000C16FA">
        <w:t>NOT-OD-</w:t>
      </w:r>
      <w:r w:rsidR="000C16FA">
        <w:t>20</w:t>
      </w:r>
      <w:r w:rsidRPr="000C16FA">
        <w:t>-0</w:t>
      </w:r>
      <w:r w:rsidR="000C16FA">
        <w:t>65</w:t>
      </w:r>
      <w:r>
        <w:t>*</w:t>
      </w:r>
      <w:r w:rsidRPr="00BE6841">
        <w:t>. That notice provides the salary limitation for NIH grant and cooperative agreement awards and extramural research and development contract awards. The notice sets the maximum annual salary at $1</w:t>
      </w:r>
      <w:r>
        <w:t>9</w:t>
      </w:r>
      <w:r w:rsidR="000C16FA">
        <w:t>7</w:t>
      </w:r>
      <w:r w:rsidRPr="00BE6841">
        <w:t>,</w:t>
      </w:r>
      <w:r>
        <w:t>3</w:t>
      </w:r>
      <w:r w:rsidRPr="00BE6841">
        <w:t>00. To get the hourly rate we divided $</w:t>
      </w:r>
      <w:r>
        <w:t>19</w:t>
      </w:r>
      <w:r w:rsidR="000C16FA">
        <w:t>7</w:t>
      </w:r>
      <w:r>
        <w:t>,300</w:t>
      </w:r>
      <w:r w:rsidRPr="00BE6841">
        <w:t xml:space="preserve"> by 2080 hours per year then rounded to the nearest penny to get the result of $</w:t>
      </w:r>
      <w:r w:rsidR="000C16FA">
        <w:t>94.86</w:t>
      </w:r>
      <w:r w:rsidRPr="00BE6841">
        <w:t>.</w:t>
      </w:r>
      <w:r w:rsidR="00CF36BD">
        <w:tab/>
        <w:t xml:space="preserve">     </w:t>
      </w:r>
      <w:r w:rsidR="00CF36BD">
        <w:tab/>
      </w:r>
    </w:p>
    <w:p w:rsidRPr="00BE6841" w:rsidR="00B93C77" w:rsidP="00BE6841" w:rsidRDefault="00B93C77" w14:paraId="661A01B8" w14:textId="2AB25458">
      <w:pPr>
        <w:ind w:left="1440" w:firstLine="720"/>
        <w:rPr>
          <w:b/>
          <w:bCs/>
        </w:rPr>
      </w:pPr>
      <w:r w:rsidRPr="00BE6841">
        <w:rPr>
          <w:b/>
          <w:bCs/>
        </w:rPr>
        <w:t>Table 12-2 Annualized Cost to Respondents</w:t>
      </w:r>
    </w:p>
    <w:p w:rsidRPr="002C5D4F" w:rsidR="002C5D4F" w:rsidP="002C5D4F" w:rsidRDefault="002C5D4F" w14:paraId="0EC0CC02" w14:textId="77777777">
      <w:pPr>
        <w:spacing w:after="0" w:line="240" w:lineRule="auto"/>
        <w:rPr>
          <w:rFonts w:ascii="Times New Roman" w:hAnsi="Times New Roman" w:eastAsia="Times New Roman" w:cs="Times New Roman"/>
          <w:sz w:val="24"/>
          <w:szCs w:val="24"/>
        </w:rPr>
      </w:pPr>
    </w:p>
    <w:tbl>
      <w:tblPr>
        <w:tblW w:w="9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52"/>
        <w:gridCol w:w="2232"/>
        <w:gridCol w:w="2534"/>
        <w:gridCol w:w="2331"/>
      </w:tblGrid>
      <w:tr w:rsidRPr="002C5D4F" w:rsidR="002C5D4F" w:rsidTr="00EE4F12" w14:paraId="624A29FC" w14:textId="77777777">
        <w:trPr>
          <w:trHeight w:val="638"/>
        </w:trPr>
        <w:tc>
          <w:tcPr>
            <w:tcW w:w="2352" w:type="dxa"/>
            <w:tcBorders>
              <w:top w:val="single" w:color="auto" w:sz="4" w:space="0"/>
              <w:left w:val="single" w:color="auto" w:sz="4" w:space="0"/>
              <w:bottom w:val="single" w:color="auto" w:sz="4" w:space="0"/>
              <w:right w:val="single" w:color="auto" w:sz="4" w:space="0"/>
            </w:tcBorders>
            <w:hideMark/>
          </w:tcPr>
          <w:p w:rsidRPr="00BE6841" w:rsidR="002C5D4F" w:rsidP="002C5D4F" w:rsidRDefault="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b/>
                <w:bCs/>
              </w:rPr>
            </w:pPr>
            <w:r w:rsidRPr="00BE6841">
              <w:rPr>
                <w:rFonts w:eastAsia="Times New Roman" w:cs="Times New Roman"/>
                <w:b/>
                <w:bCs/>
              </w:rPr>
              <w:t>Type of Respondents</w:t>
            </w:r>
          </w:p>
        </w:tc>
        <w:tc>
          <w:tcPr>
            <w:tcW w:w="2232" w:type="dxa"/>
            <w:tcBorders>
              <w:top w:val="single" w:color="auto" w:sz="4" w:space="0"/>
              <w:left w:val="single" w:color="auto" w:sz="4" w:space="0"/>
              <w:bottom w:val="single" w:color="auto" w:sz="4" w:space="0"/>
              <w:right w:val="single" w:color="auto" w:sz="4" w:space="0"/>
            </w:tcBorders>
            <w:hideMark/>
          </w:tcPr>
          <w:p w:rsidRPr="00BE6841" w:rsidR="002C5D4F" w:rsidP="00190C83" w:rsidRDefault="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b/>
                <w:bCs/>
              </w:rPr>
            </w:pPr>
            <w:r w:rsidRPr="00BE6841">
              <w:rPr>
                <w:rFonts w:eastAsia="Times New Roman" w:cs="Times New Roman"/>
                <w:b/>
                <w:bCs/>
              </w:rPr>
              <w:t>Total Annual Burden Hours</w:t>
            </w:r>
          </w:p>
        </w:tc>
        <w:tc>
          <w:tcPr>
            <w:tcW w:w="2534" w:type="dxa"/>
            <w:tcBorders>
              <w:top w:val="single" w:color="auto" w:sz="4" w:space="0"/>
              <w:left w:val="single" w:color="auto" w:sz="4" w:space="0"/>
              <w:bottom w:val="single" w:color="auto" w:sz="4" w:space="0"/>
              <w:right w:val="single" w:color="auto" w:sz="4" w:space="0"/>
            </w:tcBorders>
            <w:hideMark/>
          </w:tcPr>
          <w:p w:rsidRPr="00BE6841" w:rsidR="002C5D4F" w:rsidP="002C5D4F" w:rsidRDefault="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b/>
                <w:bCs/>
              </w:rPr>
            </w:pPr>
            <w:r w:rsidRPr="00BE6841">
              <w:rPr>
                <w:rFonts w:eastAsia="Times New Roman" w:cs="Times New Roman"/>
                <w:b/>
                <w:bCs/>
              </w:rPr>
              <w:t>Hourly Respondent Wage Rate*</w:t>
            </w:r>
          </w:p>
        </w:tc>
        <w:tc>
          <w:tcPr>
            <w:tcW w:w="2331" w:type="dxa"/>
            <w:tcBorders>
              <w:top w:val="single" w:color="auto" w:sz="4" w:space="0"/>
              <w:left w:val="single" w:color="auto" w:sz="4" w:space="0"/>
              <w:bottom w:val="single" w:color="auto" w:sz="4" w:space="0"/>
              <w:right w:val="single" w:color="auto" w:sz="4" w:space="0"/>
            </w:tcBorders>
            <w:hideMark/>
          </w:tcPr>
          <w:p w:rsidRPr="00BE6841" w:rsidR="002C5D4F" w:rsidP="002C5D4F" w:rsidRDefault="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b/>
                <w:bCs/>
              </w:rPr>
            </w:pPr>
            <w:r w:rsidRPr="00BE6841">
              <w:rPr>
                <w:rFonts w:eastAsia="Times New Roman" w:cs="Times New Roman"/>
                <w:b/>
                <w:bCs/>
              </w:rPr>
              <w:t>Respondent Cost</w:t>
            </w:r>
          </w:p>
        </w:tc>
      </w:tr>
      <w:tr w:rsidRPr="002C5D4F" w:rsidR="002C5D4F" w:rsidTr="00EE4F12" w14:paraId="0701C53B" w14:textId="77777777">
        <w:trPr>
          <w:trHeight w:val="863"/>
        </w:trPr>
        <w:tc>
          <w:tcPr>
            <w:tcW w:w="2352" w:type="dxa"/>
            <w:tcBorders>
              <w:top w:val="single" w:color="auto" w:sz="4" w:space="0"/>
              <w:left w:val="single" w:color="auto" w:sz="4" w:space="0"/>
              <w:bottom w:val="single" w:color="auto" w:sz="4" w:space="0"/>
              <w:right w:val="single" w:color="auto" w:sz="4" w:space="0"/>
            </w:tcBorders>
          </w:tcPr>
          <w:p w:rsidRPr="00BE6841" w:rsidR="002C5D4F" w:rsidP="002C5D4F" w:rsidRDefault="00BE6841" w14:paraId="06B5BA53" w14:textId="71B755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Scientific Researcher</w:t>
            </w:r>
          </w:p>
        </w:tc>
        <w:tc>
          <w:tcPr>
            <w:tcW w:w="2232" w:type="dxa"/>
            <w:tcBorders>
              <w:top w:val="single" w:color="auto" w:sz="4" w:space="0"/>
              <w:left w:val="single" w:color="auto" w:sz="4" w:space="0"/>
              <w:bottom w:val="single" w:color="auto" w:sz="4" w:space="0"/>
              <w:right w:val="single" w:color="auto" w:sz="4" w:space="0"/>
            </w:tcBorders>
            <w:vAlign w:val="center"/>
            <w:hideMark/>
          </w:tcPr>
          <w:p w:rsidRPr="00BE6841" w:rsidR="002C5D4F" w:rsidP="002C5D4F" w:rsidRDefault="00BE6841" w14:paraId="04B9C25F" w14:textId="419BE8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10</w:t>
            </w:r>
          </w:p>
        </w:tc>
        <w:tc>
          <w:tcPr>
            <w:tcW w:w="2534" w:type="dxa"/>
            <w:tcBorders>
              <w:top w:val="single" w:color="auto" w:sz="4" w:space="0"/>
              <w:left w:val="single" w:color="auto" w:sz="4" w:space="0"/>
              <w:bottom w:val="single" w:color="auto" w:sz="4" w:space="0"/>
              <w:right w:val="single" w:color="auto" w:sz="4" w:space="0"/>
            </w:tcBorders>
            <w:vAlign w:val="center"/>
            <w:hideMark/>
          </w:tcPr>
          <w:p w:rsidRPr="00BE6841" w:rsidR="002C5D4F" w:rsidP="002C5D4F" w:rsidRDefault="002C5D4F" w14:paraId="65625D2C" w14:textId="6DFBF6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w:t>
            </w:r>
            <w:r w:rsidRPr="00BE6841" w:rsidR="00BE6841">
              <w:rPr>
                <w:rFonts w:eastAsia="Times New Roman" w:cs="Times New Roman"/>
              </w:rPr>
              <w:t>9</w:t>
            </w:r>
            <w:r w:rsidR="000C16FA">
              <w:rPr>
                <w:rFonts w:eastAsia="Times New Roman" w:cs="Times New Roman"/>
              </w:rPr>
              <w:t>4.86</w:t>
            </w:r>
          </w:p>
        </w:tc>
        <w:tc>
          <w:tcPr>
            <w:tcW w:w="2331" w:type="dxa"/>
            <w:tcBorders>
              <w:top w:val="single" w:color="auto" w:sz="4" w:space="0"/>
              <w:left w:val="single" w:color="auto" w:sz="4" w:space="0"/>
              <w:bottom w:val="single" w:color="auto" w:sz="4" w:space="0"/>
              <w:right w:val="single" w:color="auto" w:sz="4" w:space="0"/>
            </w:tcBorders>
            <w:vAlign w:val="center"/>
            <w:hideMark/>
          </w:tcPr>
          <w:p w:rsidRPr="00BE6841" w:rsidR="002C5D4F" w:rsidP="002C5D4F" w:rsidRDefault="002C5D4F" w14:paraId="099D56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p>
          <w:p w:rsidRPr="00BE6841" w:rsidR="002C5D4F" w:rsidP="002C5D4F" w:rsidRDefault="002C5D4F" w14:paraId="7413D236" w14:textId="16B236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w:t>
            </w:r>
            <w:r w:rsidRPr="00BE6841" w:rsidR="00BE6841">
              <w:rPr>
                <w:rFonts w:eastAsia="Times New Roman" w:cs="Times New Roman"/>
              </w:rPr>
              <w:t>9</w:t>
            </w:r>
            <w:r w:rsidR="000C16FA">
              <w:rPr>
                <w:rFonts w:eastAsia="Times New Roman" w:cs="Times New Roman"/>
              </w:rPr>
              <w:t>48.60</w:t>
            </w:r>
          </w:p>
          <w:p w:rsidRPr="00BE6841" w:rsidR="002C5D4F" w:rsidP="002C5D4F" w:rsidRDefault="002C5D4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p>
        </w:tc>
      </w:tr>
      <w:tr w:rsidRPr="002C5D4F" w:rsidR="002C5D4F" w:rsidTr="00EE4F12" w14:paraId="2C91A97B" w14:textId="77777777">
        <w:trPr>
          <w:trHeight w:val="257"/>
        </w:trPr>
        <w:tc>
          <w:tcPr>
            <w:tcW w:w="2352" w:type="dxa"/>
            <w:tcBorders>
              <w:top w:val="single" w:color="auto" w:sz="4" w:space="0"/>
              <w:left w:val="single" w:color="auto" w:sz="4" w:space="0"/>
              <w:bottom w:val="single" w:color="auto" w:sz="4" w:space="0"/>
              <w:right w:val="single" w:color="auto" w:sz="4" w:space="0"/>
            </w:tcBorders>
          </w:tcPr>
          <w:p w:rsidRPr="00BE6841" w:rsidR="002C5D4F" w:rsidP="002C5D4F" w:rsidRDefault="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b/>
              </w:rPr>
              <w:t>TOTAL</w:t>
            </w:r>
          </w:p>
        </w:tc>
        <w:tc>
          <w:tcPr>
            <w:tcW w:w="2232" w:type="dxa"/>
            <w:tcBorders>
              <w:top w:val="single" w:color="auto" w:sz="4" w:space="0"/>
              <w:left w:val="single" w:color="auto" w:sz="4" w:space="0"/>
              <w:bottom w:val="single" w:color="auto" w:sz="4" w:space="0"/>
              <w:right w:val="single" w:color="auto" w:sz="4" w:space="0"/>
            </w:tcBorders>
            <w:vAlign w:val="center"/>
          </w:tcPr>
          <w:p w:rsidRPr="00BE6841" w:rsidR="002C5D4F" w:rsidP="002C5D4F" w:rsidRDefault="002C5D4F" w14:paraId="74804500" w14:textId="57DA17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p>
        </w:tc>
        <w:tc>
          <w:tcPr>
            <w:tcW w:w="2534" w:type="dxa"/>
            <w:tcBorders>
              <w:top w:val="single" w:color="auto" w:sz="4" w:space="0"/>
              <w:left w:val="single" w:color="auto" w:sz="4" w:space="0"/>
              <w:bottom w:val="single" w:color="auto" w:sz="4" w:space="0"/>
              <w:right w:val="single" w:color="auto" w:sz="4" w:space="0"/>
            </w:tcBorders>
            <w:shd w:val="pct25" w:color="auto" w:fill="auto"/>
            <w:vAlign w:val="center"/>
          </w:tcPr>
          <w:p w:rsidRPr="00BE6841" w:rsidR="002C5D4F" w:rsidP="002C5D4F" w:rsidRDefault="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highlight w:val="yellow"/>
              </w:rPr>
            </w:pPr>
          </w:p>
        </w:tc>
        <w:tc>
          <w:tcPr>
            <w:tcW w:w="2331" w:type="dxa"/>
            <w:tcBorders>
              <w:top w:val="single" w:color="auto" w:sz="4" w:space="0"/>
              <w:left w:val="single" w:color="auto" w:sz="4" w:space="0"/>
              <w:bottom w:val="single" w:color="auto" w:sz="4" w:space="0"/>
              <w:right w:val="single" w:color="auto" w:sz="4" w:space="0"/>
            </w:tcBorders>
            <w:vAlign w:val="center"/>
          </w:tcPr>
          <w:p w:rsidRPr="00BE6841" w:rsidR="002C5D4F" w:rsidP="002C5D4F" w:rsidRDefault="002C5D4F" w14:paraId="02F92F21" w14:textId="5267D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w:t>
            </w:r>
            <w:r w:rsidRPr="00BE6841" w:rsidR="00BE6841">
              <w:rPr>
                <w:rFonts w:eastAsia="Times New Roman" w:cs="Times New Roman"/>
              </w:rPr>
              <w:t>9</w:t>
            </w:r>
            <w:r w:rsidR="000C16FA">
              <w:rPr>
                <w:rFonts w:eastAsia="Times New Roman" w:cs="Times New Roman"/>
              </w:rPr>
              <w:t>48.60</w:t>
            </w:r>
          </w:p>
        </w:tc>
      </w:tr>
    </w:tbl>
    <w:p w:rsidRPr="00B31022" w:rsidR="002C5D4F" w:rsidP="00FF72FC" w:rsidRDefault="002C5D4F" w14:paraId="3C3DAF3E" w14:textId="77777777">
      <w:pPr>
        <w:spacing w:after="0" w:line="240" w:lineRule="auto"/>
        <w:rPr>
          <w:rFonts w:ascii="Times New Roman" w:hAnsi="Times New Roman" w:eastAsia="Times New Roman" w:cs="Times New Roman"/>
          <w:sz w:val="16"/>
          <w:szCs w:val="16"/>
        </w:rPr>
      </w:pPr>
    </w:p>
    <w:p w:rsidRPr="000C16FA" w:rsidR="00B93C77" w:rsidP="00FF72FC" w:rsidRDefault="00BE6841" w14:paraId="2578B318" w14:textId="559D19C6">
      <w:pPr>
        <w:spacing w:after="0" w:line="240" w:lineRule="auto"/>
        <w:rPr>
          <w:rFonts w:eastAsia="Times New Roman" w:cs="Times New Roman"/>
          <w:sz w:val="20"/>
          <w:szCs w:val="20"/>
        </w:rPr>
      </w:pPr>
      <w:r w:rsidRPr="000C16FA">
        <w:rPr>
          <w:rFonts w:eastAsia="Times New Roman" w:cs="Times New Roman"/>
          <w:sz w:val="20"/>
          <w:szCs w:val="20"/>
        </w:rPr>
        <w:t>*Wage rate used matches the salary limitation for NIH grants per NIH Guide Notice NOT-OD-</w:t>
      </w:r>
      <w:r w:rsidRPr="000C16FA" w:rsidR="000C16FA">
        <w:rPr>
          <w:rFonts w:eastAsia="Times New Roman" w:cs="Times New Roman"/>
          <w:sz w:val="20"/>
          <w:szCs w:val="20"/>
        </w:rPr>
        <w:t>20</w:t>
      </w:r>
      <w:r w:rsidRPr="000C16FA">
        <w:rPr>
          <w:rFonts w:eastAsia="Times New Roman" w:cs="Times New Roman"/>
          <w:sz w:val="20"/>
          <w:szCs w:val="20"/>
        </w:rPr>
        <w:t>-0</w:t>
      </w:r>
      <w:r w:rsidRPr="000C16FA" w:rsidR="000C16FA">
        <w:rPr>
          <w:rFonts w:eastAsia="Times New Roman" w:cs="Times New Roman"/>
          <w:sz w:val="20"/>
          <w:szCs w:val="20"/>
        </w:rPr>
        <w:t>65</w:t>
      </w:r>
      <w:r w:rsidRPr="000C16FA">
        <w:rPr>
          <w:rFonts w:eastAsia="Times New Roman" w:cs="Times New Roman"/>
          <w:sz w:val="20"/>
          <w:szCs w:val="20"/>
        </w:rPr>
        <w:t xml:space="preserve"> , </w:t>
      </w:r>
      <w:hyperlink w:history="1" r:id="rId14">
        <w:r w:rsidRPr="000C16FA" w:rsidR="000C16FA">
          <w:rPr>
            <w:rStyle w:val="Hyperlink"/>
            <w:rFonts w:eastAsia="Times New Roman" w:cs="Times New Roman"/>
            <w:sz w:val="20"/>
            <w:szCs w:val="20"/>
          </w:rPr>
          <w:t>https://grants.nih.gov/grants/guide/notice-files/NOT-OD-20-065.html</w:t>
        </w:r>
      </w:hyperlink>
      <w:r w:rsidRPr="000C16FA" w:rsidR="000C16FA">
        <w:rPr>
          <w:rFonts w:eastAsia="Times New Roman" w:cs="Times New Roman"/>
          <w:sz w:val="20"/>
          <w:szCs w:val="20"/>
        </w:rPr>
        <w:t xml:space="preserve"> </w:t>
      </w:r>
    </w:p>
    <w:p w:rsidR="00B93C77" w:rsidP="00FF72FC" w:rsidRDefault="00B93C77" w14:paraId="227B63D5" w14:textId="729D5AE3">
      <w:pPr>
        <w:spacing w:after="0" w:line="240" w:lineRule="auto"/>
        <w:rPr>
          <w:rFonts w:eastAsia="Times New Roman" w:cs="Times New Roman"/>
        </w:rPr>
      </w:pPr>
    </w:p>
    <w:p w:rsidRPr="00CF36BD" w:rsidR="00BE6841" w:rsidP="00FF72FC" w:rsidRDefault="00BE6841" w14:paraId="19B4AB6E" w14:textId="77777777">
      <w:pPr>
        <w:spacing w:after="0" w:line="240" w:lineRule="auto"/>
        <w:rPr>
          <w:rFonts w:eastAsia="Times New Roman" w:cs="Times New Roman"/>
        </w:rPr>
      </w:pPr>
    </w:p>
    <w:p w:rsidRPr="00E35DD1" w:rsidR="00FF72FC" w:rsidP="00FF72FC" w:rsidRDefault="00FF72FC" w14:paraId="72B19A1F" w14:textId="77777777">
      <w:pPr>
        <w:rPr>
          <w:b/>
        </w:rPr>
      </w:pPr>
      <w:r w:rsidRPr="00E35DD1">
        <w:rPr>
          <w:b/>
        </w:rPr>
        <w:t>A.13</w:t>
      </w:r>
      <w:r w:rsidRPr="00E35DD1">
        <w:rPr>
          <w:b/>
        </w:rPr>
        <w:tab/>
        <w:t>Estimate of Other Total Annual Cost Burden to Respondents or Record Keepers</w:t>
      </w:r>
    </w:p>
    <w:p w:rsidR="00BE6841" w:rsidP="00BE6841" w:rsidRDefault="00BE6841" w14:paraId="17EAD06B" w14:textId="48ADE098">
      <w:r w:rsidRPr="00BE6841">
        <w:t>The respondents will not incur any additional costs for providing this information.</w:t>
      </w:r>
    </w:p>
    <w:p w:rsidR="00BE6841" w:rsidP="00BE6841" w:rsidRDefault="00BE6841" w14:paraId="518DF91D" w14:textId="77777777"/>
    <w:p w:rsidR="0037291F" w:rsidP="00BE6841" w:rsidRDefault="00FF72FC" w14:paraId="0DBBBAA0" w14:textId="6254ED92">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Pr="00BE6841" w:rsidR="00BE6841" w:rsidP="00BE6841" w:rsidRDefault="00BE6841" w14:paraId="687F4F07" w14:textId="1953C6DF">
      <w:r w:rsidRPr="00BE6841">
        <w:t>The Annual Cost to the Federal Government is $6,</w:t>
      </w:r>
      <w:r w:rsidR="000C16FA">
        <w:t>594</w:t>
      </w:r>
      <w:r w:rsidRPr="00BE6841">
        <w:t>. The method to estimate costs is to calculate the percent effort for Division of Program Coordination, Planning, and Strategic Initiatives staff and contractors and the Office of Laboratory Animal Welfare involved in the data collection and then calculate the annual labor costs associated with that effort.</w:t>
      </w:r>
    </w:p>
    <w:p w:rsidRPr="00BE6841" w:rsidR="00BE6841" w:rsidP="00BE6841" w:rsidRDefault="00BE6841" w14:paraId="7707B03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7"/>
        <w:gridCol w:w="1276"/>
        <w:gridCol w:w="2556"/>
        <w:gridCol w:w="1195"/>
        <w:gridCol w:w="1341"/>
        <w:gridCol w:w="1233"/>
      </w:tblGrid>
      <w:tr w:rsidRPr="00BE6841" w:rsidR="00BE6841" w:rsidTr="00A2522F" w14:paraId="15992045" w14:textId="77777777">
        <w:tc>
          <w:tcPr>
            <w:tcW w:w="2087" w:type="dxa"/>
            <w:shd w:val="clear" w:color="auto" w:fill="auto"/>
          </w:tcPr>
          <w:p w:rsidRPr="00BE6841" w:rsidR="00BE6841" w:rsidP="00BE6841" w:rsidRDefault="00BE6841" w14:paraId="7D00CED3" w14:textId="77777777">
            <w:pPr>
              <w:rPr>
                <w:b/>
              </w:rPr>
            </w:pPr>
            <w:r w:rsidRPr="00BE6841">
              <w:rPr>
                <w:b/>
              </w:rPr>
              <w:t>Cost Descriptions</w:t>
            </w:r>
          </w:p>
        </w:tc>
        <w:tc>
          <w:tcPr>
            <w:tcW w:w="271" w:type="dxa"/>
          </w:tcPr>
          <w:p w:rsidRPr="00BE6841" w:rsidR="00BE6841" w:rsidP="00BE6841" w:rsidRDefault="00BE6841" w14:paraId="230B7D8C" w14:textId="77777777">
            <w:pPr>
              <w:rPr>
                <w:b/>
              </w:rPr>
            </w:pPr>
            <w:r w:rsidRPr="00BE6841">
              <w:rPr>
                <w:b/>
              </w:rPr>
              <w:t>Grade/Step</w:t>
            </w:r>
          </w:p>
        </w:tc>
        <w:tc>
          <w:tcPr>
            <w:tcW w:w="2658" w:type="dxa"/>
          </w:tcPr>
          <w:p w:rsidRPr="00BE6841" w:rsidR="00BE6841" w:rsidP="00BE6841" w:rsidRDefault="00BE6841" w14:paraId="0ADC384F" w14:textId="77777777">
            <w:pPr>
              <w:rPr>
                <w:b/>
              </w:rPr>
            </w:pPr>
            <w:r w:rsidRPr="00BE6841">
              <w:rPr>
                <w:b/>
              </w:rPr>
              <w:t>Salary</w:t>
            </w:r>
          </w:p>
        </w:tc>
        <w:tc>
          <w:tcPr>
            <w:tcW w:w="1228" w:type="dxa"/>
            <w:shd w:val="clear" w:color="auto" w:fill="auto"/>
          </w:tcPr>
          <w:p w:rsidRPr="00BE6841" w:rsidR="00BE6841" w:rsidP="00BE6841" w:rsidRDefault="00BE6841" w14:paraId="3D68D703" w14:textId="77777777">
            <w:pPr>
              <w:rPr>
                <w:b/>
              </w:rPr>
            </w:pPr>
            <w:r w:rsidRPr="00BE6841">
              <w:rPr>
                <w:b/>
              </w:rPr>
              <w:t>% Effort</w:t>
            </w:r>
          </w:p>
        </w:tc>
        <w:tc>
          <w:tcPr>
            <w:tcW w:w="1350" w:type="dxa"/>
          </w:tcPr>
          <w:p w:rsidRPr="00BE6841" w:rsidR="00BE6841" w:rsidP="00BE6841" w:rsidRDefault="00BE6841" w14:paraId="7A0D5D49" w14:textId="77777777">
            <w:pPr>
              <w:rPr>
                <w:b/>
              </w:rPr>
            </w:pPr>
            <w:r w:rsidRPr="00BE6841">
              <w:rPr>
                <w:b/>
              </w:rPr>
              <w:t>Fringe (if applicable)</w:t>
            </w:r>
          </w:p>
        </w:tc>
        <w:tc>
          <w:tcPr>
            <w:tcW w:w="1262" w:type="dxa"/>
          </w:tcPr>
          <w:p w:rsidRPr="00BE6841" w:rsidR="00BE6841" w:rsidP="00BE6841" w:rsidRDefault="00BE6841" w14:paraId="6DC0B97F" w14:textId="77777777">
            <w:pPr>
              <w:rPr>
                <w:b/>
              </w:rPr>
            </w:pPr>
            <w:r w:rsidRPr="00BE6841">
              <w:rPr>
                <w:b/>
              </w:rPr>
              <w:t>Total Cost to Gov’t</w:t>
            </w:r>
          </w:p>
        </w:tc>
      </w:tr>
      <w:tr w:rsidRPr="00BE6841" w:rsidR="00BE6841" w:rsidTr="000C16FA" w14:paraId="3B42B8AF" w14:textId="77777777">
        <w:trPr>
          <w:trHeight w:val="413"/>
        </w:trPr>
        <w:tc>
          <w:tcPr>
            <w:tcW w:w="2087" w:type="dxa"/>
            <w:shd w:val="clear" w:color="auto" w:fill="auto"/>
          </w:tcPr>
          <w:p w:rsidRPr="00BE6841" w:rsidR="00BE6841" w:rsidP="00BE6841" w:rsidRDefault="00BE6841" w14:paraId="2E77B688" w14:textId="77777777">
            <w:pPr>
              <w:rPr>
                <w:b/>
              </w:rPr>
            </w:pPr>
            <w:r w:rsidRPr="00BE6841">
              <w:rPr>
                <w:b/>
              </w:rPr>
              <w:t>Federal Oversight</w:t>
            </w:r>
          </w:p>
        </w:tc>
        <w:tc>
          <w:tcPr>
            <w:tcW w:w="271" w:type="dxa"/>
            <w:shd w:val="clear" w:color="auto" w:fill="A6A6A6"/>
          </w:tcPr>
          <w:p w:rsidRPr="00BE6841" w:rsidR="00BE6841" w:rsidP="00BE6841" w:rsidRDefault="00BE6841" w14:paraId="41A2537A" w14:textId="77777777"/>
        </w:tc>
        <w:tc>
          <w:tcPr>
            <w:tcW w:w="2658" w:type="dxa"/>
            <w:shd w:val="clear" w:color="auto" w:fill="A6A6A6"/>
          </w:tcPr>
          <w:p w:rsidRPr="00BE6841" w:rsidR="00BE6841" w:rsidP="00BE6841" w:rsidRDefault="00BE6841" w14:paraId="0B694185" w14:textId="77777777"/>
        </w:tc>
        <w:tc>
          <w:tcPr>
            <w:tcW w:w="1228" w:type="dxa"/>
            <w:shd w:val="clear" w:color="auto" w:fill="A6A6A6"/>
          </w:tcPr>
          <w:p w:rsidRPr="00BE6841" w:rsidR="00BE6841" w:rsidP="00BE6841" w:rsidRDefault="00BE6841" w14:paraId="600348C2" w14:textId="77777777"/>
        </w:tc>
        <w:tc>
          <w:tcPr>
            <w:tcW w:w="1350" w:type="dxa"/>
            <w:shd w:val="clear" w:color="auto" w:fill="A6A6A6"/>
          </w:tcPr>
          <w:p w:rsidRPr="00BE6841" w:rsidR="00BE6841" w:rsidP="00BE6841" w:rsidRDefault="00BE6841" w14:paraId="790B1237" w14:textId="77777777"/>
        </w:tc>
        <w:tc>
          <w:tcPr>
            <w:tcW w:w="1262" w:type="dxa"/>
            <w:shd w:val="clear" w:color="auto" w:fill="A6A6A6"/>
          </w:tcPr>
          <w:p w:rsidRPr="00BE6841" w:rsidR="00BE6841" w:rsidP="00BE6841" w:rsidRDefault="00BE6841" w14:paraId="38C6BCB8" w14:textId="77777777"/>
        </w:tc>
      </w:tr>
      <w:tr w:rsidRPr="00BE6841" w:rsidR="00BE6841" w:rsidTr="00A2522F" w14:paraId="2BE754C3" w14:textId="77777777">
        <w:tc>
          <w:tcPr>
            <w:tcW w:w="2087" w:type="dxa"/>
            <w:shd w:val="clear" w:color="auto" w:fill="auto"/>
          </w:tcPr>
          <w:p w:rsidRPr="00BE6841" w:rsidR="00BE6841" w:rsidP="00BE6841" w:rsidRDefault="00BE6841" w14:paraId="09B3E340" w14:textId="77777777">
            <w:r w:rsidRPr="00BE6841">
              <w:t>Director, Office of Laboratory Animal Welfare</w:t>
            </w:r>
          </w:p>
        </w:tc>
        <w:tc>
          <w:tcPr>
            <w:tcW w:w="271" w:type="dxa"/>
          </w:tcPr>
          <w:p w:rsidRPr="00BE6841" w:rsidR="00BE6841" w:rsidP="00BE6841" w:rsidRDefault="00BE6841" w14:paraId="5521C146" w14:textId="77777777">
            <w:r w:rsidRPr="00BE6841">
              <w:t>AD</w:t>
            </w:r>
          </w:p>
        </w:tc>
        <w:tc>
          <w:tcPr>
            <w:tcW w:w="2658" w:type="dxa"/>
          </w:tcPr>
          <w:p w:rsidRPr="00BE6841" w:rsidR="00BE6841" w:rsidP="00BE6841" w:rsidRDefault="00BE6841" w14:paraId="0B008F06" w14:textId="77777777">
            <w:r w:rsidRPr="00BE6841">
              <w:t>$230,000</w:t>
            </w:r>
          </w:p>
        </w:tc>
        <w:tc>
          <w:tcPr>
            <w:tcW w:w="1228" w:type="dxa"/>
            <w:shd w:val="clear" w:color="auto" w:fill="auto"/>
          </w:tcPr>
          <w:p w:rsidRPr="00BE6841" w:rsidR="00BE6841" w:rsidP="00BE6841" w:rsidRDefault="00BE6841" w14:paraId="2F7B7E92" w14:textId="77777777">
            <w:r w:rsidRPr="00BE6841">
              <w:t>1%</w:t>
            </w:r>
          </w:p>
        </w:tc>
        <w:tc>
          <w:tcPr>
            <w:tcW w:w="1350" w:type="dxa"/>
            <w:shd w:val="clear" w:color="auto" w:fill="A6A6A6"/>
          </w:tcPr>
          <w:p w:rsidRPr="00BE6841" w:rsidR="00BE6841" w:rsidP="00BE6841" w:rsidRDefault="00BE6841" w14:paraId="2FB37305" w14:textId="77777777"/>
        </w:tc>
        <w:tc>
          <w:tcPr>
            <w:tcW w:w="1262" w:type="dxa"/>
          </w:tcPr>
          <w:p w:rsidRPr="00BE6841" w:rsidR="00BE6841" w:rsidP="00BE6841" w:rsidRDefault="00BE6841" w14:paraId="12504157" w14:textId="77777777">
            <w:r w:rsidRPr="00BE6841">
              <w:t>$2,300</w:t>
            </w:r>
          </w:p>
        </w:tc>
      </w:tr>
      <w:tr w:rsidRPr="00BE6841" w:rsidR="00BE6841" w:rsidTr="00A2522F" w14:paraId="6EE0F675" w14:textId="77777777">
        <w:tc>
          <w:tcPr>
            <w:tcW w:w="2087" w:type="dxa"/>
            <w:shd w:val="clear" w:color="auto" w:fill="auto"/>
          </w:tcPr>
          <w:p w:rsidRPr="00BE6841" w:rsidR="00BE6841" w:rsidP="00BE6841" w:rsidRDefault="000C16FA" w14:paraId="64AB927B" w14:textId="3C5879F5">
            <w:r>
              <w:t>Health Science Policy Analyst</w:t>
            </w:r>
          </w:p>
        </w:tc>
        <w:tc>
          <w:tcPr>
            <w:tcW w:w="271" w:type="dxa"/>
          </w:tcPr>
          <w:p w:rsidRPr="00BE6841" w:rsidR="00BE6841" w:rsidP="00BE6841" w:rsidRDefault="00BE6841" w14:paraId="251F6A21" w14:textId="799C3B33">
            <w:r w:rsidRPr="00BE6841">
              <w:t>GS-</w:t>
            </w:r>
            <w:r>
              <w:t>14</w:t>
            </w:r>
            <w:r w:rsidRPr="00BE6841">
              <w:t>/</w:t>
            </w:r>
            <w:r>
              <w:t>3</w:t>
            </w:r>
          </w:p>
        </w:tc>
        <w:tc>
          <w:tcPr>
            <w:tcW w:w="2658" w:type="dxa"/>
          </w:tcPr>
          <w:p w:rsidRPr="00BE6841" w:rsidR="00BE6841" w:rsidP="00BE6841" w:rsidRDefault="00BE6841" w14:paraId="4137279D" w14:textId="3E011508">
            <w:r w:rsidRPr="00BE6841">
              <w:t>$</w:t>
            </w:r>
            <w:r>
              <w:t>129,400</w:t>
            </w:r>
            <w:r w:rsidR="000C16FA">
              <w:t>*</w:t>
            </w:r>
          </w:p>
        </w:tc>
        <w:tc>
          <w:tcPr>
            <w:tcW w:w="1228" w:type="dxa"/>
            <w:shd w:val="clear" w:color="auto" w:fill="auto"/>
          </w:tcPr>
          <w:p w:rsidRPr="00BE6841" w:rsidR="00BE6841" w:rsidP="00BE6841" w:rsidRDefault="00BE6841" w14:paraId="7BF791A4" w14:textId="77777777">
            <w:r w:rsidRPr="00BE6841">
              <w:t>1%</w:t>
            </w:r>
          </w:p>
        </w:tc>
        <w:tc>
          <w:tcPr>
            <w:tcW w:w="1350" w:type="dxa"/>
            <w:shd w:val="clear" w:color="auto" w:fill="A6A6A6"/>
          </w:tcPr>
          <w:p w:rsidRPr="00BE6841" w:rsidR="00BE6841" w:rsidP="00BE6841" w:rsidRDefault="00BE6841" w14:paraId="639B3816" w14:textId="77777777"/>
        </w:tc>
        <w:tc>
          <w:tcPr>
            <w:tcW w:w="1262" w:type="dxa"/>
          </w:tcPr>
          <w:p w:rsidRPr="00BE6841" w:rsidR="00BE6841" w:rsidP="00BE6841" w:rsidRDefault="00BE6841" w14:paraId="54C39967" w14:textId="0EC5A6B1">
            <w:r w:rsidRPr="00BE6841">
              <w:t>$1,</w:t>
            </w:r>
            <w:r w:rsidR="000C16FA">
              <w:t>294</w:t>
            </w:r>
          </w:p>
        </w:tc>
      </w:tr>
      <w:tr w:rsidRPr="00BE6841" w:rsidR="00BE6841" w:rsidTr="00BE6841" w14:paraId="603AECC9" w14:textId="77777777">
        <w:trPr>
          <w:trHeight w:val="341"/>
        </w:trPr>
        <w:tc>
          <w:tcPr>
            <w:tcW w:w="2087" w:type="dxa"/>
            <w:shd w:val="clear" w:color="auto" w:fill="auto"/>
          </w:tcPr>
          <w:p w:rsidRPr="00BE6841" w:rsidR="00BE6841" w:rsidP="00BE6841" w:rsidRDefault="00BE6841" w14:paraId="288F6374" w14:textId="77777777">
            <w:pPr>
              <w:rPr>
                <w:b/>
              </w:rPr>
            </w:pPr>
            <w:r w:rsidRPr="00BE6841">
              <w:rPr>
                <w:b/>
              </w:rPr>
              <w:t>Contractor Cost</w:t>
            </w:r>
          </w:p>
        </w:tc>
        <w:tc>
          <w:tcPr>
            <w:tcW w:w="271" w:type="dxa"/>
            <w:shd w:val="clear" w:color="auto" w:fill="A6A6A6"/>
          </w:tcPr>
          <w:p w:rsidRPr="00BE6841" w:rsidR="00BE6841" w:rsidP="00BE6841" w:rsidRDefault="00BE6841" w14:paraId="1FE73441" w14:textId="77777777"/>
        </w:tc>
        <w:tc>
          <w:tcPr>
            <w:tcW w:w="2658" w:type="dxa"/>
            <w:shd w:val="clear" w:color="auto" w:fill="A6A6A6"/>
          </w:tcPr>
          <w:p w:rsidRPr="00BE6841" w:rsidR="00BE6841" w:rsidP="00BE6841" w:rsidRDefault="00BE6841" w14:paraId="03CC76A9" w14:textId="77777777"/>
        </w:tc>
        <w:tc>
          <w:tcPr>
            <w:tcW w:w="1228" w:type="dxa"/>
            <w:shd w:val="clear" w:color="auto" w:fill="A6A6A6"/>
          </w:tcPr>
          <w:p w:rsidRPr="00BE6841" w:rsidR="00BE6841" w:rsidP="00BE6841" w:rsidRDefault="00BE6841" w14:paraId="55F0EB17" w14:textId="77777777"/>
        </w:tc>
        <w:tc>
          <w:tcPr>
            <w:tcW w:w="1350" w:type="dxa"/>
            <w:shd w:val="clear" w:color="auto" w:fill="A6A6A6"/>
          </w:tcPr>
          <w:p w:rsidRPr="00BE6841" w:rsidR="00BE6841" w:rsidP="00BE6841" w:rsidRDefault="00BE6841" w14:paraId="1677A5F4" w14:textId="77777777"/>
        </w:tc>
        <w:tc>
          <w:tcPr>
            <w:tcW w:w="1262" w:type="dxa"/>
            <w:shd w:val="clear" w:color="auto" w:fill="A6A6A6"/>
          </w:tcPr>
          <w:p w:rsidRPr="00BE6841" w:rsidR="00BE6841" w:rsidP="00BE6841" w:rsidRDefault="00BE6841" w14:paraId="072637E4" w14:textId="77777777"/>
        </w:tc>
      </w:tr>
      <w:tr w:rsidRPr="00BE6841" w:rsidR="00BE6841" w:rsidTr="00A2522F" w14:paraId="56DEA1EA" w14:textId="77777777">
        <w:tc>
          <w:tcPr>
            <w:tcW w:w="2087" w:type="dxa"/>
            <w:shd w:val="clear" w:color="auto" w:fill="auto"/>
          </w:tcPr>
          <w:p w:rsidRPr="00BE6841" w:rsidR="00BE6841" w:rsidP="00BE6841" w:rsidRDefault="00BE6841" w14:paraId="4F9AB562" w14:textId="77777777">
            <w:r w:rsidRPr="00BE6841">
              <w:t>IT System Support (contractor)</w:t>
            </w:r>
          </w:p>
        </w:tc>
        <w:tc>
          <w:tcPr>
            <w:tcW w:w="271" w:type="dxa"/>
          </w:tcPr>
          <w:p w:rsidRPr="00BE6841" w:rsidR="00BE6841" w:rsidP="00BE6841" w:rsidRDefault="00BE6841" w14:paraId="4DE3DED8" w14:textId="77777777"/>
        </w:tc>
        <w:tc>
          <w:tcPr>
            <w:tcW w:w="2658" w:type="dxa"/>
          </w:tcPr>
          <w:p w:rsidRPr="00BE6841" w:rsidR="00BE6841" w:rsidP="00BE6841" w:rsidRDefault="00BE6841" w14:paraId="39E8D551" w14:textId="77777777">
            <w:r w:rsidRPr="00BE6841">
              <w:t>$200,000</w:t>
            </w:r>
          </w:p>
        </w:tc>
        <w:tc>
          <w:tcPr>
            <w:tcW w:w="1228" w:type="dxa"/>
            <w:shd w:val="clear" w:color="auto" w:fill="auto"/>
          </w:tcPr>
          <w:p w:rsidRPr="00BE6841" w:rsidR="00BE6841" w:rsidP="00BE6841" w:rsidRDefault="00BE6841" w14:paraId="344C5DE4" w14:textId="77777777">
            <w:r w:rsidRPr="00BE6841">
              <w:t>1.5%</w:t>
            </w:r>
          </w:p>
        </w:tc>
        <w:tc>
          <w:tcPr>
            <w:tcW w:w="1350" w:type="dxa"/>
          </w:tcPr>
          <w:p w:rsidRPr="00BE6841" w:rsidR="00BE6841" w:rsidP="00BE6841" w:rsidRDefault="00BE6841" w14:paraId="70BAC905" w14:textId="77777777">
            <w:r w:rsidRPr="00BE6841">
              <w:t>included</w:t>
            </w:r>
          </w:p>
        </w:tc>
        <w:tc>
          <w:tcPr>
            <w:tcW w:w="1262" w:type="dxa"/>
          </w:tcPr>
          <w:p w:rsidRPr="00BE6841" w:rsidR="00BE6841" w:rsidP="00BE6841" w:rsidRDefault="00BE6841" w14:paraId="48BEB2D0" w14:textId="77777777">
            <w:r w:rsidRPr="00BE6841">
              <w:t>$3,000</w:t>
            </w:r>
          </w:p>
        </w:tc>
      </w:tr>
      <w:tr w:rsidRPr="00BE6841" w:rsidR="00BE6841" w:rsidTr="00A2522F" w14:paraId="1DCFC3B3" w14:textId="77777777">
        <w:tc>
          <w:tcPr>
            <w:tcW w:w="2087" w:type="dxa"/>
            <w:shd w:val="clear" w:color="auto" w:fill="auto"/>
          </w:tcPr>
          <w:p w:rsidRPr="00BE6841" w:rsidR="00BE6841" w:rsidP="00BE6841" w:rsidRDefault="00BE6841" w14:paraId="35F66B5F" w14:textId="77777777"/>
        </w:tc>
        <w:tc>
          <w:tcPr>
            <w:tcW w:w="271" w:type="dxa"/>
            <w:shd w:val="clear" w:color="auto" w:fill="A6A6A6"/>
          </w:tcPr>
          <w:p w:rsidRPr="00BE6841" w:rsidR="00BE6841" w:rsidP="00BE6841" w:rsidRDefault="00BE6841" w14:paraId="4981DB6D" w14:textId="77777777"/>
        </w:tc>
        <w:tc>
          <w:tcPr>
            <w:tcW w:w="2658" w:type="dxa"/>
            <w:shd w:val="clear" w:color="auto" w:fill="A6A6A6"/>
          </w:tcPr>
          <w:p w:rsidRPr="00BE6841" w:rsidR="00BE6841" w:rsidP="00BE6841" w:rsidRDefault="00BE6841" w14:paraId="15CBBC1E" w14:textId="77777777"/>
        </w:tc>
        <w:tc>
          <w:tcPr>
            <w:tcW w:w="1228" w:type="dxa"/>
            <w:shd w:val="clear" w:color="auto" w:fill="A6A6A6"/>
          </w:tcPr>
          <w:p w:rsidRPr="00BE6841" w:rsidR="00BE6841" w:rsidP="00BE6841" w:rsidRDefault="00BE6841" w14:paraId="43FC845E" w14:textId="77777777"/>
        </w:tc>
        <w:tc>
          <w:tcPr>
            <w:tcW w:w="1350" w:type="dxa"/>
            <w:shd w:val="clear" w:color="auto" w:fill="A6A6A6"/>
          </w:tcPr>
          <w:p w:rsidRPr="00BE6841" w:rsidR="00BE6841" w:rsidP="00BE6841" w:rsidRDefault="00BE6841" w14:paraId="496EF033" w14:textId="77777777"/>
        </w:tc>
        <w:tc>
          <w:tcPr>
            <w:tcW w:w="1262" w:type="dxa"/>
            <w:shd w:val="clear" w:color="auto" w:fill="A6A6A6"/>
          </w:tcPr>
          <w:p w:rsidRPr="00BE6841" w:rsidR="00BE6841" w:rsidP="00BE6841" w:rsidRDefault="00BE6841" w14:paraId="4001BD81" w14:textId="77777777"/>
        </w:tc>
      </w:tr>
      <w:tr w:rsidRPr="00BE6841" w:rsidR="00BE6841" w:rsidTr="00A2522F" w14:paraId="543410B4" w14:textId="77777777">
        <w:tc>
          <w:tcPr>
            <w:tcW w:w="2087" w:type="dxa"/>
            <w:shd w:val="clear" w:color="auto" w:fill="auto"/>
          </w:tcPr>
          <w:p w:rsidRPr="00BE6841" w:rsidR="00BE6841" w:rsidP="00BE6841" w:rsidRDefault="00BE6841" w14:paraId="46936898" w14:textId="77777777">
            <w:r w:rsidRPr="00BE6841">
              <w:t>Travel</w:t>
            </w:r>
          </w:p>
        </w:tc>
        <w:tc>
          <w:tcPr>
            <w:tcW w:w="271" w:type="dxa"/>
            <w:shd w:val="clear" w:color="auto" w:fill="A6A6A6"/>
          </w:tcPr>
          <w:p w:rsidRPr="00BE6841" w:rsidR="00BE6841" w:rsidP="00BE6841" w:rsidRDefault="00BE6841" w14:paraId="20205C66" w14:textId="77777777"/>
        </w:tc>
        <w:tc>
          <w:tcPr>
            <w:tcW w:w="2658" w:type="dxa"/>
            <w:shd w:val="clear" w:color="auto" w:fill="A6A6A6"/>
          </w:tcPr>
          <w:p w:rsidRPr="00BE6841" w:rsidR="00BE6841" w:rsidP="00BE6841" w:rsidRDefault="00BE6841" w14:paraId="14856BFB" w14:textId="77777777"/>
        </w:tc>
        <w:tc>
          <w:tcPr>
            <w:tcW w:w="1228" w:type="dxa"/>
            <w:shd w:val="clear" w:color="auto" w:fill="A6A6A6"/>
          </w:tcPr>
          <w:p w:rsidRPr="00BE6841" w:rsidR="00BE6841" w:rsidP="00BE6841" w:rsidRDefault="00BE6841" w14:paraId="5D8C3521" w14:textId="77777777"/>
        </w:tc>
        <w:tc>
          <w:tcPr>
            <w:tcW w:w="1350" w:type="dxa"/>
            <w:shd w:val="clear" w:color="auto" w:fill="A6A6A6"/>
          </w:tcPr>
          <w:p w:rsidRPr="00BE6841" w:rsidR="00BE6841" w:rsidP="00BE6841" w:rsidRDefault="00BE6841" w14:paraId="66DF0EA0" w14:textId="77777777"/>
        </w:tc>
        <w:tc>
          <w:tcPr>
            <w:tcW w:w="1262" w:type="dxa"/>
          </w:tcPr>
          <w:p w:rsidRPr="00BE6841" w:rsidR="00BE6841" w:rsidP="00BE6841" w:rsidRDefault="00BE6841" w14:paraId="1640EF96" w14:textId="77777777">
            <w:r w:rsidRPr="00BE6841">
              <w:t>$0</w:t>
            </w:r>
          </w:p>
        </w:tc>
      </w:tr>
      <w:tr w:rsidRPr="00BE6841" w:rsidR="00BE6841" w:rsidTr="00A2522F" w14:paraId="1BFD7AF9" w14:textId="77777777">
        <w:tc>
          <w:tcPr>
            <w:tcW w:w="2087" w:type="dxa"/>
            <w:shd w:val="clear" w:color="auto" w:fill="auto"/>
          </w:tcPr>
          <w:p w:rsidRPr="00BE6841" w:rsidR="00BE6841" w:rsidP="00BE6841" w:rsidRDefault="00BE6841" w14:paraId="6C71A09B" w14:textId="77777777">
            <w:r w:rsidRPr="00BE6841">
              <w:t>Other Cost</w:t>
            </w:r>
          </w:p>
        </w:tc>
        <w:tc>
          <w:tcPr>
            <w:tcW w:w="271" w:type="dxa"/>
            <w:shd w:val="clear" w:color="auto" w:fill="A6A6A6"/>
          </w:tcPr>
          <w:p w:rsidRPr="00BE6841" w:rsidR="00BE6841" w:rsidP="00BE6841" w:rsidRDefault="00BE6841" w14:paraId="5E2B44A1" w14:textId="77777777"/>
        </w:tc>
        <w:tc>
          <w:tcPr>
            <w:tcW w:w="2658" w:type="dxa"/>
            <w:shd w:val="clear" w:color="auto" w:fill="A6A6A6"/>
          </w:tcPr>
          <w:p w:rsidRPr="00BE6841" w:rsidR="00BE6841" w:rsidP="00BE6841" w:rsidRDefault="00BE6841" w14:paraId="3CF4CB1A" w14:textId="77777777"/>
        </w:tc>
        <w:tc>
          <w:tcPr>
            <w:tcW w:w="1228" w:type="dxa"/>
            <w:shd w:val="clear" w:color="auto" w:fill="A6A6A6"/>
          </w:tcPr>
          <w:p w:rsidRPr="00BE6841" w:rsidR="00BE6841" w:rsidP="00BE6841" w:rsidRDefault="00BE6841" w14:paraId="16206C87" w14:textId="77777777"/>
        </w:tc>
        <w:tc>
          <w:tcPr>
            <w:tcW w:w="1350" w:type="dxa"/>
            <w:shd w:val="clear" w:color="auto" w:fill="A6A6A6"/>
          </w:tcPr>
          <w:p w:rsidRPr="00BE6841" w:rsidR="00BE6841" w:rsidP="00BE6841" w:rsidRDefault="00BE6841" w14:paraId="74F046D7" w14:textId="77777777"/>
        </w:tc>
        <w:tc>
          <w:tcPr>
            <w:tcW w:w="1262" w:type="dxa"/>
          </w:tcPr>
          <w:p w:rsidRPr="00BE6841" w:rsidR="00BE6841" w:rsidP="00BE6841" w:rsidRDefault="00BE6841" w14:paraId="40DA911A" w14:textId="77777777">
            <w:r w:rsidRPr="00BE6841">
              <w:t>$0</w:t>
            </w:r>
          </w:p>
        </w:tc>
      </w:tr>
      <w:tr w:rsidRPr="00BE6841" w:rsidR="00BE6841" w:rsidTr="00A2522F" w14:paraId="27A4FB66" w14:textId="77777777">
        <w:tc>
          <w:tcPr>
            <w:tcW w:w="2087" w:type="dxa"/>
            <w:shd w:val="clear" w:color="auto" w:fill="auto"/>
          </w:tcPr>
          <w:p w:rsidRPr="00BE6841" w:rsidR="00BE6841" w:rsidP="00BE6841" w:rsidRDefault="00BE6841" w14:paraId="666364D7" w14:textId="77777777"/>
        </w:tc>
        <w:tc>
          <w:tcPr>
            <w:tcW w:w="271" w:type="dxa"/>
            <w:shd w:val="clear" w:color="auto" w:fill="A6A6A6"/>
          </w:tcPr>
          <w:p w:rsidRPr="00BE6841" w:rsidR="00BE6841" w:rsidP="00BE6841" w:rsidRDefault="00BE6841" w14:paraId="0E2089C3" w14:textId="77777777"/>
        </w:tc>
        <w:tc>
          <w:tcPr>
            <w:tcW w:w="2658" w:type="dxa"/>
            <w:shd w:val="clear" w:color="auto" w:fill="A6A6A6"/>
          </w:tcPr>
          <w:p w:rsidRPr="00BE6841" w:rsidR="00BE6841" w:rsidP="00BE6841" w:rsidRDefault="00BE6841" w14:paraId="1151C8C5" w14:textId="77777777"/>
        </w:tc>
        <w:tc>
          <w:tcPr>
            <w:tcW w:w="1228" w:type="dxa"/>
            <w:shd w:val="clear" w:color="auto" w:fill="A6A6A6"/>
          </w:tcPr>
          <w:p w:rsidRPr="00BE6841" w:rsidR="00BE6841" w:rsidP="00BE6841" w:rsidRDefault="00BE6841" w14:paraId="098FF99F" w14:textId="77777777"/>
        </w:tc>
        <w:tc>
          <w:tcPr>
            <w:tcW w:w="1350" w:type="dxa"/>
            <w:shd w:val="clear" w:color="auto" w:fill="A6A6A6"/>
          </w:tcPr>
          <w:p w:rsidRPr="00BE6841" w:rsidR="00BE6841" w:rsidP="00BE6841" w:rsidRDefault="00BE6841" w14:paraId="73680A3F" w14:textId="77777777"/>
        </w:tc>
        <w:tc>
          <w:tcPr>
            <w:tcW w:w="1262" w:type="dxa"/>
            <w:shd w:val="clear" w:color="auto" w:fill="A6A6A6"/>
          </w:tcPr>
          <w:p w:rsidRPr="00BE6841" w:rsidR="00BE6841" w:rsidP="00BE6841" w:rsidRDefault="00BE6841" w14:paraId="795E09A5" w14:textId="77777777"/>
        </w:tc>
      </w:tr>
      <w:tr w:rsidRPr="00BE6841" w:rsidR="00BE6841" w:rsidTr="00A2522F" w14:paraId="56BA8070" w14:textId="77777777">
        <w:tc>
          <w:tcPr>
            <w:tcW w:w="2087" w:type="dxa"/>
            <w:shd w:val="clear" w:color="auto" w:fill="auto"/>
          </w:tcPr>
          <w:p w:rsidRPr="00BE6841" w:rsidR="00BE6841" w:rsidP="00BE6841" w:rsidRDefault="00BE6841" w14:paraId="7F4D46A7" w14:textId="77777777">
            <w:pPr>
              <w:rPr>
                <w:b/>
              </w:rPr>
            </w:pPr>
            <w:r w:rsidRPr="00BE6841">
              <w:rPr>
                <w:b/>
              </w:rPr>
              <w:t>Total</w:t>
            </w:r>
          </w:p>
        </w:tc>
        <w:tc>
          <w:tcPr>
            <w:tcW w:w="271" w:type="dxa"/>
            <w:shd w:val="clear" w:color="auto" w:fill="A6A6A6"/>
          </w:tcPr>
          <w:p w:rsidRPr="00BE6841" w:rsidR="00BE6841" w:rsidP="00BE6841" w:rsidRDefault="00BE6841" w14:paraId="529C6343" w14:textId="77777777"/>
        </w:tc>
        <w:tc>
          <w:tcPr>
            <w:tcW w:w="2658" w:type="dxa"/>
            <w:shd w:val="clear" w:color="auto" w:fill="A6A6A6"/>
          </w:tcPr>
          <w:p w:rsidRPr="00BE6841" w:rsidR="00BE6841" w:rsidP="00BE6841" w:rsidRDefault="00BE6841" w14:paraId="5498DF13" w14:textId="77777777"/>
        </w:tc>
        <w:tc>
          <w:tcPr>
            <w:tcW w:w="1228" w:type="dxa"/>
            <w:shd w:val="clear" w:color="auto" w:fill="A6A6A6"/>
          </w:tcPr>
          <w:p w:rsidRPr="00BE6841" w:rsidR="00BE6841" w:rsidP="00BE6841" w:rsidRDefault="00BE6841" w14:paraId="07B2BEA9" w14:textId="77777777"/>
        </w:tc>
        <w:tc>
          <w:tcPr>
            <w:tcW w:w="1350" w:type="dxa"/>
            <w:shd w:val="clear" w:color="auto" w:fill="A6A6A6"/>
          </w:tcPr>
          <w:p w:rsidRPr="00BE6841" w:rsidR="00BE6841" w:rsidP="00BE6841" w:rsidRDefault="00BE6841" w14:paraId="6F491C4E" w14:textId="77777777">
            <w:pPr>
              <w:rPr>
                <w:b/>
              </w:rPr>
            </w:pPr>
          </w:p>
        </w:tc>
        <w:tc>
          <w:tcPr>
            <w:tcW w:w="1262" w:type="dxa"/>
          </w:tcPr>
          <w:p w:rsidRPr="00BE6841" w:rsidR="00BE6841" w:rsidP="00BE6841" w:rsidRDefault="00BE6841" w14:paraId="62CFBE0A" w14:textId="5F7188DC">
            <w:pPr>
              <w:rPr>
                <w:b/>
              </w:rPr>
            </w:pPr>
            <w:r w:rsidRPr="00BE6841">
              <w:rPr>
                <w:b/>
              </w:rPr>
              <w:t>$6,</w:t>
            </w:r>
            <w:r w:rsidR="000C16FA">
              <w:rPr>
                <w:b/>
              </w:rPr>
              <w:t>594</w:t>
            </w:r>
          </w:p>
        </w:tc>
      </w:tr>
    </w:tbl>
    <w:p w:rsidRPr="000C16FA" w:rsidR="006B624F" w:rsidP="006B624F" w:rsidRDefault="009747F4" w14:paraId="27799FEF" w14:textId="50BB6502">
      <w:pPr>
        <w:rPr>
          <w:color w:val="002060"/>
          <w:sz w:val="20"/>
          <w:szCs w:val="20"/>
        </w:rPr>
      </w:pPr>
      <w:r w:rsidRPr="000C16FA">
        <w:rPr>
          <w:sz w:val="20"/>
          <w:szCs w:val="20"/>
        </w:rPr>
        <w:t xml:space="preserve">*the Salary in table above is cited from </w:t>
      </w:r>
      <w:hyperlink w:history="1" r:id="rId15">
        <w:r w:rsidRPr="000C16FA" w:rsidR="000C16FA">
          <w:rPr>
            <w:rStyle w:val="Hyperlink"/>
            <w:sz w:val="20"/>
            <w:szCs w:val="20"/>
          </w:rPr>
          <w:t>https://www.opm.gov/policy-data-oversight/pay-leave/salaries-wages/2020/general-schedule/</w:t>
        </w:r>
      </w:hyperlink>
      <w:r w:rsidRPr="000C16FA" w:rsidR="000C16FA">
        <w:rPr>
          <w:sz w:val="20"/>
          <w:szCs w:val="20"/>
        </w:rPr>
        <w:t xml:space="preserve"> </w:t>
      </w:r>
    </w:p>
    <w:p w:rsidR="0037291F" w:rsidP="00FF72FC" w:rsidRDefault="0037291F" w14:paraId="134E7E5A" w14:textId="77777777"/>
    <w:p w:rsidRPr="00E35DD1" w:rsidR="00FF72FC" w:rsidP="00FF72FC" w:rsidRDefault="00FF72FC" w14:paraId="4551EBE8" w14:textId="77777777">
      <w:pPr>
        <w:rPr>
          <w:b/>
        </w:rPr>
      </w:pPr>
      <w:r w:rsidRPr="00E35DD1">
        <w:rPr>
          <w:b/>
        </w:rPr>
        <w:t>A.15</w:t>
      </w:r>
      <w:r w:rsidRPr="00E35DD1">
        <w:rPr>
          <w:b/>
        </w:rPr>
        <w:tab/>
        <w:t>Explanation for Program Changes or Adjustments</w:t>
      </w:r>
    </w:p>
    <w:p w:rsidR="000C16FA" w:rsidP="00FF72FC" w:rsidRDefault="000C16FA" w14:paraId="192BD86B" w14:textId="28F07429">
      <w:r w:rsidRPr="000C16FA">
        <w:t>This is an extension for an existing data collection, 0925-0705.</w:t>
      </w:r>
    </w:p>
    <w:p w:rsidRPr="00E35DD1" w:rsidR="000C16FA" w:rsidP="00FF72FC" w:rsidRDefault="000C16FA" w14:paraId="2BA50118" w14:textId="77777777"/>
    <w:p w:rsidRPr="005C4013" w:rsidR="00FF72FC" w:rsidP="00FF72FC" w:rsidRDefault="00FF72FC" w14:paraId="4912A666" w14:textId="77777777">
      <w:pPr>
        <w:pStyle w:val="Heading2"/>
        <w:tabs>
          <w:tab w:val="left" w:pos="720"/>
        </w:tabs>
        <w:spacing w:line="480" w:lineRule="auto"/>
        <w:rPr>
          <w:rFonts w:asciiTheme="minorHAnsi" w:hAnsiTheme="minorHAnsi"/>
          <w:b/>
          <w:color w:val="auto"/>
          <w:sz w:val="22"/>
          <w:szCs w:val="22"/>
        </w:rPr>
      </w:pPr>
      <w:bookmarkStart w:name="_Toc443881759" w:id="25"/>
      <w:bookmarkStart w:name="_Toc451592246" w:id="26"/>
      <w:bookmarkStart w:name="_Toc5610287" w:id="27"/>
      <w:bookmarkStart w:name="_Toc99178793" w:id="28"/>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5"/>
      <w:bookmarkEnd w:id="26"/>
      <w:bookmarkEnd w:id="27"/>
      <w:bookmarkEnd w:id="28"/>
    </w:p>
    <w:p w:rsidRPr="000C16FA" w:rsidR="000C16FA" w:rsidP="000C16FA" w:rsidRDefault="000C16FA" w14:paraId="52863B1C" w14:textId="213EF848">
      <w:r w:rsidRPr="000C16FA">
        <w:t xml:space="preserve">There are no plans for statistical analyses in publications. The data received from the respondents will not be published. </w:t>
      </w:r>
    </w:p>
    <w:tbl>
      <w:tblPr>
        <w:tblW w:w="0" w:type="auto"/>
        <w:jc w:val="center"/>
        <w:tblCellMar>
          <w:left w:w="120" w:type="dxa"/>
          <w:right w:w="120" w:type="dxa"/>
        </w:tblCellMar>
        <w:tblLook w:val="0000" w:firstRow="0" w:lastRow="0" w:firstColumn="0" w:lastColumn="0" w:noHBand="0" w:noVBand="0"/>
      </w:tblPr>
      <w:tblGrid>
        <w:gridCol w:w="4131"/>
        <w:gridCol w:w="5507"/>
      </w:tblGrid>
      <w:tr w:rsidRPr="00767C53" w:rsidR="00FF72FC" w:rsidTr="000C16FA" w14:paraId="1F9EBD20" w14:textId="77777777">
        <w:trPr>
          <w:cantSplit/>
          <w:trHeight w:val="403"/>
          <w:jc w:val="center"/>
        </w:trPr>
        <w:tc>
          <w:tcPr>
            <w:tcW w:w="9638" w:type="dxa"/>
            <w:gridSpan w:val="2"/>
            <w:tcBorders>
              <w:top w:val="single" w:color="auto" w:sz="4" w:space="0"/>
              <w:left w:val="single" w:color="auto" w:sz="4" w:space="0"/>
              <w:bottom w:val="single" w:color="auto" w:sz="6" w:space="0"/>
              <w:right w:val="single" w:color="auto" w:sz="4" w:space="0"/>
            </w:tcBorders>
            <w:shd w:val="pct20" w:color="auto" w:fill="FFFFFF"/>
          </w:tcPr>
          <w:p w:rsidRPr="00767C53" w:rsidR="00FF72FC" w:rsidP="00815EA7" w:rsidRDefault="00FF72FC" w14:paraId="7A335DB4" w14:textId="77777777">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A.16 - 1  Project Time Schedule</w:t>
            </w:r>
          </w:p>
        </w:tc>
      </w:tr>
      <w:tr w:rsidRPr="00767C53" w:rsidR="00FF72FC" w:rsidTr="000C16FA" w14:paraId="6B5FBD8C" w14:textId="77777777">
        <w:trPr>
          <w:cantSplit/>
          <w:trHeight w:val="403"/>
          <w:jc w:val="center"/>
        </w:trPr>
        <w:tc>
          <w:tcPr>
            <w:tcW w:w="4131" w:type="dxa"/>
            <w:tcBorders>
              <w:top w:val="single" w:color="auto" w:sz="6" w:space="0"/>
              <w:left w:val="single" w:color="auto" w:sz="4" w:space="0"/>
              <w:bottom w:val="single" w:color="auto" w:sz="4" w:space="0"/>
            </w:tcBorders>
            <w:shd w:val="pct5" w:color="auto" w:fill="FFFFFF"/>
          </w:tcPr>
          <w:p w:rsidRPr="00767C53" w:rsidR="00FF72FC" w:rsidP="00FF72FC" w:rsidRDefault="00FF72FC" w14:paraId="27CA3C7C"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5507" w:type="dxa"/>
            <w:tcBorders>
              <w:top w:val="single" w:color="auto" w:sz="6" w:space="0"/>
              <w:left w:val="single" w:color="auto" w:sz="6" w:space="0"/>
              <w:bottom w:val="single" w:color="auto" w:sz="4" w:space="0"/>
              <w:right w:val="single" w:color="auto" w:sz="4" w:space="0"/>
            </w:tcBorders>
            <w:shd w:val="pct5" w:color="auto" w:fill="FFFFFF"/>
          </w:tcPr>
          <w:p w:rsidRPr="00767C53" w:rsidR="00FF72FC" w:rsidP="00FF72FC" w:rsidRDefault="00FF72FC" w14:paraId="147F1BF2"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rsidRPr="00767C53" w:rsidR="000C16FA" w:rsidTr="000C16FA" w14:paraId="714943A0" w14:textId="77777777">
        <w:trPr>
          <w:cantSplit/>
          <w:trHeight w:val="403"/>
          <w:jc w:val="center"/>
        </w:trPr>
        <w:tc>
          <w:tcPr>
            <w:tcW w:w="4131" w:type="dxa"/>
            <w:tcBorders>
              <w:top w:val="single" w:color="auto" w:sz="4" w:space="0"/>
              <w:left w:val="single" w:color="auto" w:sz="4" w:space="0"/>
              <w:bottom w:val="single" w:color="auto" w:sz="6" w:space="0"/>
            </w:tcBorders>
            <w:shd w:val="clear" w:color="auto" w:fill="FFFFFF"/>
          </w:tcPr>
          <w:p w:rsidRPr="00767C53" w:rsidR="000C16FA" w:rsidP="000C16FA" w:rsidRDefault="000C16FA" w14:paraId="52F78B42" w14:textId="231B4437">
            <w:pPr>
              <w:spacing w:after="0" w:line="240" w:lineRule="auto"/>
              <w:rPr>
                <w:rFonts w:eastAsia="Times New Roman" w:cs="Times New Roman"/>
                <w:color w:val="000000" w:themeColor="text1"/>
              </w:rPr>
            </w:pPr>
            <w:r w:rsidRPr="000C16FA">
              <w:lastRenderedPageBreak/>
              <w:t>CRU Forms due for projects that involve use of chimpanzees and likely to be funded e.g., grants, contracts, intramural projects, 3</w:t>
            </w:r>
            <w:r w:rsidRPr="000C16FA">
              <w:rPr>
                <w:vertAlign w:val="superscript"/>
              </w:rPr>
              <w:t>rd</w:t>
            </w:r>
            <w:r w:rsidRPr="000C16FA">
              <w:t xml:space="preserve"> party activities.</w:t>
            </w:r>
          </w:p>
        </w:tc>
        <w:tc>
          <w:tcPr>
            <w:tcW w:w="5507" w:type="dxa"/>
            <w:tcBorders>
              <w:top w:val="single" w:color="auto" w:sz="4" w:space="0"/>
              <w:left w:val="single" w:color="auto" w:sz="6" w:space="0"/>
              <w:bottom w:val="single" w:color="auto" w:sz="6" w:space="0"/>
              <w:right w:val="single" w:color="auto" w:sz="4" w:space="0"/>
            </w:tcBorders>
            <w:shd w:val="clear" w:color="auto" w:fill="FFFFFF"/>
          </w:tcPr>
          <w:p w:rsidRPr="000C16FA" w:rsidR="000C16FA" w:rsidP="000C16FA" w:rsidRDefault="000C16FA" w14:paraId="7EA002B1" w14:textId="77777777">
            <w:r w:rsidRPr="000C16FA">
              <w:t>Applications are received three times per year, at approximately:</w:t>
            </w:r>
          </w:p>
          <w:p w:rsidRPr="000C16FA" w:rsidR="000C16FA" w:rsidP="000C16FA" w:rsidRDefault="000C16FA" w14:paraId="5B944E83" w14:textId="77777777">
            <w:r w:rsidRPr="000C16FA">
              <w:t>November 1</w:t>
            </w:r>
          </w:p>
          <w:p w:rsidRPr="000C16FA" w:rsidR="000C16FA" w:rsidP="000C16FA" w:rsidRDefault="000C16FA" w14:paraId="6394EE80" w14:textId="77777777">
            <w:r w:rsidRPr="000C16FA">
              <w:t>March 1</w:t>
            </w:r>
          </w:p>
          <w:p w:rsidRPr="00767C53" w:rsidR="000C16FA" w:rsidP="000C16FA" w:rsidRDefault="000C16FA" w14:paraId="7DA6564A" w14:textId="638E8874">
            <w:pPr>
              <w:spacing w:after="0" w:line="240" w:lineRule="auto"/>
              <w:rPr>
                <w:rFonts w:eastAsia="Times New Roman" w:cs="Times New Roman"/>
                <w:color w:val="000000" w:themeColor="text1"/>
              </w:rPr>
            </w:pPr>
            <w:r w:rsidRPr="000C16FA">
              <w:t>July 1</w:t>
            </w:r>
          </w:p>
        </w:tc>
      </w:tr>
      <w:tr w:rsidRPr="00767C53" w:rsidR="000C16FA" w:rsidTr="000C16FA" w14:paraId="5C51C970" w14:textId="77777777">
        <w:trPr>
          <w:cantSplit/>
          <w:trHeight w:val="403"/>
          <w:jc w:val="center"/>
        </w:trPr>
        <w:tc>
          <w:tcPr>
            <w:tcW w:w="4131" w:type="dxa"/>
            <w:tcBorders>
              <w:top w:val="single" w:color="auto" w:sz="6" w:space="0"/>
              <w:left w:val="single" w:color="auto" w:sz="4" w:space="0"/>
              <w:bottom w:val="single" w:color="auto" w:sz="4" w:space="0"/>
            </w:tcBorders>
            <w:shd w:val="clear" w:color="auto" w:fill="FFFFFF"/>
          </w:tcPr>
          <w:p w:rsidRPr="00767C53" w:rsidR="000C16FA" w:rsidP="000C16FA" w:rsidRDefault="000C16FA" w14:paraId="22B43CF3" w14:textId="5106D16C">
            <w:pPr>
              <w:spacing w:after="0" w:line="240" w:lineRule="auto"/>
              <w:rPr>
                <w:rFonts w:eastAsia="Times New Roman" w:cs="Times New Roman"/>
                <w:color w:val="000000" w:themeColor="text1"/>
              </w:rPr>
            </w:pPr>
            <w:r w:rsidRPr="000C16FA">
              <w:t>NIH Review and Decision</w:t>
            </w:r>
          </w:p>
        </w:tc>
        <w:tc>
          <w:tcPr>
            <w:tcW w:w="5507" w:type="dxa"/>
            <w:tcBorders>
              <w:top w:val="single" w:color="auto" w:sz="6" w:space="0"/>
              <w:left w:val="single" w:color="auto" w:sz="6" w:space="0"/>
              <w:bottom w:val="single" w:color="auto" w:sz="4" w:space="0"/>
              <w:right w:val="single" w:color="auto" w:sz="4" w:space="0"/>
            </w:tcBorders>
            <w:shd w:val="clear" w:color="auto" w:fill="FFFFFF"/>
          </w:tcPr>
          <w:p w:rsidRPr="00767C53" w:rsidR="000C16FA" w:rsidP="000C16FA" w:rsidRDefault="000C16FA" w14:paraId="7792F870" w14:textId="59B0078A">
            <w:pPr>
              <w:spacing w:after="0" w:line="240" w:lineRule="auto"/>
              <w:rPr>
                <w:rFonts w:eastAsia="Times New Roman" w:cs="Times New Roman"/>
                <w:color w:val="000000" w:themeColor="text1"/>
              </w:rPr>
            </w:pPr>
            <w:r w:rsidRPr="000C16FA">
              <w:t>In the months of December, May, and August</w:t>
            </w:r>
          </w:p>
        </w:tc>
      </w:tr>
    </w:tbl>
    <w:p w:rsidRPr="00E35DD1" w:rsidR="00FF72FC" w:rsidP="00FF72FC" w:rsidRDefault="00FF72FC" w14:paraId="6FE438DD" w14:textId="77777777"/>
    <w:p w:rsidRPr="005C4013" w:rsidR="00FF72FC" w:rsidP="00FF72FC" w:rsidRDefault="00FF72FC" w14:paraId="216672D1" w14:textId="77777777">
      <w:pPr>
        <w:rPr>
          <w:b/>
        </w:rPr>
      </w:pPr>
      <w:r w:rsidRPr="005C4013">
        <w:rPr>
          <w:b/>
        </w:rPr>
        <w:t>A.17</w:t>
      </w:r>
      <w:r w:rsidRPr="005C4013">
        <w:rPr>
          <w:b/>
        </w:rPr>
        <w:tab/>
        <w:t>Reason(s) Display of OMB Expiration Date is Inappropriate</w:t>
      </w:r>
    </w:p>
    <w:p w:rsidR="000C16FA" w:rsidP="00FF72FC" w:rsidRDefault="000C16FA" w14:paraId="719562A9" w14:textId="77777777">
      <w:r w:rsidRPr="000C16FA">
        <w:t xml:space="preserve">Not applicable to this request. </w:t>
      </w:r>
    </w:p>
    <w:p w:rsidR="000C16FA" w:rsidP="00FF72FC" w:rsidRDefault="000C16FA" w14:paraId="3E33D643" w14:textId="77777777"/>
    <w:p w:rsidRPr="005C4013" w:rsidR="0057480E" w:rsidP="00FF72FC" w:rsidRDefault="00FF72FC" w14:paraId="7190591D" w14:textId="0AF6EECD">
      <w:pPr>
        <w:rPr>
          <w:b/>
        </w:rPr>
      </w:pPr>
      <w:r w:rsidRPr="005C4013">
        <w:rPr>
          <w:b/>
        </w:rPr>
        <w:t>A.18</w:t>
      </w:r>
      <w:r w:rsidRPr="005C4013">
        <w:rPr>
          <w:b/>
        </w:rPr>
        <w:tab/>
        <w:t>Exceptions to Certification for Paperwork Reduction Act Submissions</w:t>
      </w:r>
    </w:p>
    <w:p w:rsidRPr="00E35DD1" w:rsidR="00FF72FC" w:rsidP="00FF72FC" w:rsidRDefault="000C16FA" w14:paraId="49B7AE09" w14:textId="0885BE46">
      <w:r>
        <w:t xml:space="preserve">Not applicable to this request. </w:t>
      </w:r>
    </w:p>
    <w:sectPr w:rsidRPr="00E35DD1" w:rsidR="00FF72FC" w:rsidSect="00FE6EA5">
      <w:headerReference w:type="even" r:id="rId16"/>
      <w:headerReference w:type="default" r:id="rId17"/>
      <w:footerReference w:type="even" r:id="rId18"/>
      <w:footerReference w:type="default" r:id="rId19"/>
      <w:headerReference w:type="first" r:id="rId20"/>
      <w:footerReference w:type="first" r:id="rId21"/>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7250E" w14:textId="77777777" w:rsidR="00FB4A63" w:rsidRDefault="00FB4A63">
      <w:pPr>
        <w:spacing w:after="0" w:line="240" w:lineRule="auto"/>
      </w:pPr>
      <w:r>
        <w:separator/>
      </w:r>
    </w:p>
  </w:endnote>
  <w:endnote w:type="continuationSeparator" w:id="0">
    <w:p w14:paraId="1450D497" w14:textId="77777777" w:rsidR="00FB4A63" w:rsidRDefault="00FB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FB4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D23882" w:rsidRDefault="00FB4A63" w:rsidP="004A70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B3B69" w14:textId="77777777" w:rsidR="00FB4A63" w:rsidRDefault="00FB4A63">
      <w:pPr>
        <w:spacing w:after="0" w:line="240" w:lineRule="auto"/>
      </w:pPr>
      <w:r>
        <w:separator/>
      </w:r>
    </w:p>
  </w:footnote>
  <w:footnote w:type="continuationSeparator" w:id="0">
    <w:p w14:paraId="599F51B2" w14:textId="77777777" w:rsidR="00FB4A63" w:rsidRDefault="00FB4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6FAA" w14:textId="2CB87E61"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30561"/>
    <w:multiLevelType w:val="hybridMultilevel"/>
    <w:tmpl w:val="C56E8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95C92"/>
    <w:rsid w:val="000C0143"/>
    <w:rsid w:val="000C16FA"/>
    <w:rsid w:val="000C2CBB"/>
    <w:rsid w:val="000F3043"/>
    <w:rsid w:val="00114539"/>
    <w:rsid w:val="00120040"/>
    <w:rsid w:val="00170EC9"/>
    <w:rsid w:val="00190C83"/>
    <w:rsid w:val="00195414"/>
    <w:rsid w:val="001D49F0"/>
    <w:rsid w:val="00205CD7"/>
    <w:rsid w:val="00207AF4"/>
    <w:rsid w:val="00255F7C"/>
    <w:rsid w:val="002670CD"/>
    <w:rsid w:val="002770FA"/>
    <w:rsid w:val="00291B8C"/>
    <w:rsid w:val="00296BEC"/>
    <w:rsid w:val="002C5D4F"/>
    <w:rsid w:val="002F4317"/>
    <w:rsid w:val="00312856"/>
    <w:rsid w:val="0036208F"/>
    <w:rsid w:val="0037291F"/>
    <w:rsid w:val="003863C0"/>
    <w:rsid w:val="003A39BD"/>
    <w:rsid w:val="00442AB0"/>
    <w:rsid w:val="00442B5B"/>
    <w:rsid w:val="004716CF"/>
    <w:rsid w:val="00496BB1"/>
    <w:rsid w:val="00497B81"/>
    <w:rsid w:val="004C4B9F"/>
    <w:rsid w:val="005031B5"/>
    <w:rsid w:val="005150E7"/>
    <w:rsid w:val="00536C12"/>
    <w:rsid w:val="0057480E"/>
    <w:rsid w:val="005C4013"/>
    <w:rsid w:val="005F4A54"/>
    <w:rsid w:val="0062442F"/>
    <w:rsid w:val="00641209"/>
    <w:rsid w:val="00644341"/>
    <w:rsid w:val="00674412"/>
    <w:rsid w:val="00681F63"/>
    <w:rsid w:val="00685B30"/>
    <w:rsid w:val="006A45F9"/>
    <w:rsid w:val="006B624F"/>
    <w:rsid w:val="00703A8B"/>
    <w:rsid w:val="007063F8"/>
    <w:rsid w:val="00713BAE"/>
    <w:rsid w:val="00714BFA"/>
    <w:rsid w:val="00717158"/>
    <w:rsid w:val="00722334"/>
    <w:rsid w:val="00756DDA"/>
    <w:rsid w:val="00767C53"/>
    <w:rsid w:val="00791EE0"/>
    <w:rsid w:val="007A0CA3"/>
    <w:rsid w:val="007D11BF"/>
    <w:rsid w:val="007D402F"/>
    <w:rsid w:val="00815EA7"/>
    <w:rsid w:val="008359FA"/>
    <w:rsid w:val="00845DEE"/>
    <w:rsid w:val="0086248B"/>
    <w:rsid w:val="0086375D"/>
    <w:rsid w:val="00894FF4"/>
    <w:rsid w:val="008B11E8"/>
    <w:rsid w:val="008C0535"/>
    <w:rsid w:val="00911C99"/>
    <w:rsid w:val="00922F87"/>
    <w:rsid w:val="00941822"/>
    <w:rsid w:val="009747F4"/>
    <w:rsid w:val="00976490"/>
    <w:rsid w:val="009869E5"/>
    <w:rsid w:val="009C3E9D"/>
    <w:rsid w:val="009F1040"/>
    <w:rsid w:val="00A00CF8"/>
    <w:rsid w:val="00A6350F"/>
    <w:rsid w:val="00AB736C"/>
    <w:rsid w:val="00B00EB3"/>
    <w:rsid w:val="00B03736"/>
    <w:rsid w:val="00B2767E"/>
    <w:rsid w:val="00B31022"/>
    <w:rsid w:val="00B34FF1"/>
    <w:rsid w:val="00B70C76"/>
    <w:rsid w:val="00B9354C"/>
    <w:rsid w:val="00B93C77"/>
    <w:rsid w:val="00B96691"/>
    <w:rsid w:val="00BA4D1D"/>
    <w:rsid w:val="00BE5EFA"/>
    <w:rsid w:val="00BE6841"/>
    <w:rsid w:val="00BE76A7"/>
    <w:rsid w:val="00BF0275"/>
    <w:rsid w:val="00BF491C"/>
    <w:rsid w:val="00C02C97"/>
    <w:rsid w:val="00C24877"/>
    <w:rsid w:val="00C40F61"/>
    <w:rsid w:val="00C4161B"/>
    <w:rsid w:val="00C65B73"/>
    <w:rsid w:val="00C76797"/>
    <w:rsid w:val="00C76FE2"/>
    <w:rsid w:val="00CA2FDB"/>
    <w:rsid w:val="00CA7B4A"/>
    <w:rsid w:val="00CD6205"/>
    <w:rsid w:val="00CF2E0D"/>
    <w:rsid w:val="00CF36BD"/>
    <w:rsid w:val="00D34BE5"/>
    <w:rsid w:val="00D7280E"/>
    <w:rsid w:val="00DB1217"/>
    <w:rsid w:val="00DD6B0E"/>
    <w:rsid w:val="00DE5570"/>
    <w:rsid w:val="00DE7A7C"/>
    <w:rsid w:val="00E03967"/>
    <w:rsid w:val="00E35DD1"/>
    <w:rsid w:val="00E56374"/>
    <w:rsid w:val="00E67B10"/>
    <w:rsid w:val="00E72390"/>
    <w:rsid w:val="00EA37D2"/>
    <w:rsid w:val="00EB7E3E"/>
    <w:rsid w:val="00EC7F83"/>
    <w:rsid w:val="00EE245F"/>
    <w:rsid w:val="00EE4F12"/>
    <w:rsid w:val="00EE5A75"/>
    <w:rsid w:val="00EF54AD"/>
    <w:rsid w:val="00F07EC1"/>
    <w:rsid w:val="00F30B8E"/>
    <w:rsid w:val="00F33485"/>
    <w:rsid w:val="00F62437"/>
    <w:rsid w:val="00F82409"/>
    <w:rsid w:val="00F875A0"/>
    <w:rsid w:val="00F97F8E"/>
    <w:rsid w:val="00FB346E"/>
    <w:rsid w:val="00FB4A63"/>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u.dpcpsi.nih.gov/Account/Logi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rants.nih.gov/grants/guide/notice-files/NOT-OD-15-097.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psi.nih.gov/council/chimpanzee_advice"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2020/general-schedul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guide/notice-files/NOT-OD-20-06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0" ma:contentTypeDescription="Create a new document." ma:contentTypeScope="" ma:versionID="05450be44bde23a5e717a676c4024c5f">
  <xsd:schema xmlns:xsd="http://www.w3.org/2001/XMLSchema" xmlns:xs="http://www.w3.org/2001/XMLSchema" xmlns:p="http://schemas.microsoft.com/office/2006/metadata/properties" xmlns:ns3="0b516ab0-04e4-4c88-99cd-523706b96b1a" xmlns:ns4="589fc4a7-9825-4918-b2d3-6237c872ffbf" targetNamespace="http://schemas.microsoft.com/office/2006/metadata/properties" ma:root="true" ma:fieldsID="7f69ded06a29aa554c3f4c98167a9ac0" ns3:_="" ns4:_="">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6EAC3-6A8B-4EEF-A0FB-5AFFAA2D3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001DD-1FF7-4C70-829A-BB088D464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9123E5-23DB-4095-8845-CB49F9756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dcterms:created xsi:type="dcterms:W3CDTF">2020-07-07T16:30:00Z</dcterms:created>
  <dcterms:modified xsi:type="dcterms:W3CDTF">2020-07-07T16:30:00Z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