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bookmarkStart w:name="_GoBack" w:id="1"/>
      <w:bookmarkEnd w:id="1"/>
    </w:p>
    <w:bookmarkEnd w:id="0"/>
    <w:p w:rsidR="00D53CBD" w:rsidP="00D53CBD" w:rsidRDefault="00D53CBD" w14:paraId="1C511B78" w14:textId="77777777">
      <w:pPr>
        <w:pStyle w:val="NoSpacing"/>
        <w:spacing w:line="360" w:lineRule="auto"/>
        <w:jc w:val="center"/>
        <w:rPr>
          <w:b/>
          <w:sz w:val="48"/>
          <w:szCs w:val="48"/>
        </w:rPr>
      </w:pPr>
      <w:r w:rsidRPr="00907793">
        <w:rPr>
          <w:b/>
          <w:sz w:val="48"/>
          <w:szCs w:val="48"/>
        </w:rPr>
        <w:t xml:space="preserve">Emerging Infections Program </w:t>
      </w:r>
    </w:p>
    <w:p w:rsidR="00D53CBD" w:rsidP="00D53CBD" w:rsidRDefault="00D53CBD" w14:paraId="6E978BEE" w14:textId="77777777">
      <w:pPr>
        <w:pStyle w:val="NoSpacing"/>
        <w:spacing w:line="360" w:lineRule="auto"/>
        <w:jc w:val="center"/>
        <w:rPr>
          <w:b/>
          <w:sz w:val="48"/>
          <w:szCs w:val="48"/>
        </w:rPr>
      </w:pPr>
      <w:r>
        <w:rPr>
          <w:b/>
          <w:sz w:val="48"/>
          <w:szCs w:val="48"/>
        </w:rPr>
        <w:t>Tracking of SARS-CoV-2 Infections among Healthcare Personnel</w:t>
      </w:r>
    </w:p>
    <w:p w:rsidR="004A13E8" w:rsidP="004A13E8" w:rsidRDefault="004A13E8" w14:paraId="55FE1773" w14:textId="77777777">
      <w:pPr>
        <w:spacing w:after="0" w:line="240" w:lineRule="auto"/>
        <w:jc w:val="center"/>
        <w:rPr>
          <w:b/>
        </w:rPr>
      </w:pPr>
    </w:p>
    <w:p w:rsidRPr="00530D46" w:rsidR="004A13E8" w:rsidP="00966872" w:rsidRDefault="004A13E8" w14:paraId="55FE1774" w14:textId="3E2AB4D9">
      <w:pPr>
        <w:jc w:val="center"/>
      </w:pPr>
      <w:bookmarkStart w:name="_Toc473880016" w:id="2"/>
      <w:r w:rsidRPr="00530D46">
        <w:rPr>
          <w:sz w:val="32"/>
          <w:szCs w:val="32"/>
        </w:rPr>
        <w:t>Request for OMB approval of a</w:t>
      </w:r>
      <w:r w:rsidRPr="00530D46" w:rsidR="00DC74EE">
        <w:rPr>
          <w:sz w:val="32"/>
          <w:szCs w:val="32"/>
        </w:rPr>
        <w:t xml:space="preserve"> </w:t>
      </w:r>
      <w:r w:rsidRPr="00530D46" w:rsidR="009609A1">
        <w:rPr>
          <w:sz w:val="32"/>
          <w:szCs w:val="32"/>
        </w:rPr>
        <w:t>New</w:t>
      </w:r>
      <w:r w:rsidRPr="00530D46" w:rsidR="00DC74EE">
        <w:rPr>
          <w:sz w:val="32"/>
          <w:szCs w:val="32"/>
        </w:rPr>
        <w:t xml:space="preserve"> Information Collection</w:t>
      </w:r>
      <w:bookmarkEnd w:id="2"/>
    </w:p>
    <w:p w:rsidR="004A13E8" w:rsidP="004A13E8" w:rsidRDefault="004A13E8" w14:paraId="55FE1775" w14:textId="77777777">
      <w:pPr>
        <w:spacing w:after="0" w:line="240" w:lineRule="auto"/>
        <w:jc w:val="center"/>
        <w:rPr>
          <w:b/>
        </w:rPr>
      </w:pPr>
    </w:p>
    <w:p w:rsidRPr="004A13E8" w:rsidR="004A13E8" w:rsidP="004A13E8" w:rsidRDefault="00D53CBD" w14:paraId="55FE1776" w14:textId="5CF477F0">
      <w:pPr>
        <w:pStyle w:val="Heading4"/>
      </w:pPr>
      <w:r>
        <w:t>April</w:t>
      </w:r>
      <w:r w:rsidR="009609A1">
        <w:t xml:space="preserve"> </w:t>
      </w:r>
      <w:r w:rsidR="009407DE">
        <w:t>2</w:t>
      </w:r>
      <w:r w:rsidR="00506D6B">
        <w:t>2</w:t>
      </w:r>
      <w:r w:rsidR="009609A1">
        <w:t>, 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966872" w14:paraId="55FE1794" w14:textId="39D0AA82">
      <w:pPr>
        <w:pStyle w:val="NoSpacing"/>
      </w:pPr>
      <w:r>
        <w:t>Nora Chea</w:t>
      </w:r>
      <w:r w:rsidR="00D53CBD">
        <w:t xml:space="preserve"> </w:t>
      </w:r>
    </w:p>
    <w:p w:rsidRPr="004A13E8" w:rsidR="004A13E8" w:rsidP="009A79E1" w:rsidRDefault="004A13E8" w14:paraId="55FE1795" w14:textId="77777777">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7E3937BD">
      <w:pPr>
        <w:pStyle w:val="NoSpacing"/>
      </w:pPr>
      <w:r w:rsidRPr="004A13E8">
        <w:t>Phone: (</w:t>
      </w:r>
      <w:r w:rsidR="00966872">
        <w:t>404</w:t>
      </w:r>
      <w:r w:rsidR="00D53CBD">
        <w:t>)-</w:t>
      </w:r>
      <w:r w:rsidR="00966872">
        <w:t>639</w:t>
      </w:r>
      <w:r w:rsidR="00D53CBD">
        <w:t>-</w:t>
      </w:r>
      <w:r w:rsidR="00966872">
        <w:t>0015</w:t>
      </w:r>
      <w:r w:rsidRPr="004A13E8">
        <w:t xml:space="preserve"> </w:t>
      </w:r>
    </w:p>
    <w:p w:rsidR="004A13E8" w:rsidP="009A79E1" w:rsidRDefault="004A13E8" w14:paraId="55FE179A" w14:textId="2CC39D4C">
      <w:pPr>
        <w:pStyle w:val="NoSpacing"/>
      </w:pPr>
      <w:r w:rsidRPr="004A6DE8">
        <w:t xml:space="preserve">Email: </w:t>
      </w:r>
      <w:hyperlink w:history="1" r:id="rId11">
        <w:r w:rsidR="00463D13">
          <w:rPr>
            <w:rStyle w:val="Hyperlink"/>
          </w:rPr>
          <w:t>xdc7</w:t>
        </w:r>
        <w:r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E36627" w:rsidRDefault="004A13E8" w14:paraId="63BA6389" w14:textId="2A2C2534">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7258873">
            <w:r w:rsidRPr="00E37425" w:rsidR="00E36627">
              <w:rPr>
                <w:rStyle w:val="Hyperlink"/>
                <w:noProof/>
              </w:rPr>
              <w:t>1.</w:t>
            </w:r>
            <w:r w:rsidR="00E36627">
              <w:rPr>
                <w:rFonts w:asciiTheme="minorHAnsi" w:hAnsiTheme="minorHAnsi" w:eastAsiaTheme="minorEastAsia"/>
                <w:noProof/>
                <w:sz w:val="22"/>
              </w:rPr>
              <w:tab/>
            </w:r>
            <w:r w:rsidRPr="00E37425" w:rsidR="00E36627">
              <w:rPr>
                <w:rStyle w:val="Hyperlink"/>
                <w:noProof/>
              </w:rPr>
              <w:t>Circumstances Making the Collection of Information Necessary</w:t>
            </w:r>
            <w:r w:rsidR="00E36627">
              <w:rPr>
                <w:noProof/>
                <w:webHidden/>
              </w:rPr>
              <w:tab/>
            </w:r>
            <w:r w:rsidR="00E36627">
              <w:rPr>
                <w:noProof/>
                <w:webHidden/>
              </w:rPr>
              <w:fldChar w:fldCharType="begin"/>
            </w:r>
            <w:r w:rsidR="00E36627">
              <w:rPr>
                <w:noProof/>
                <w:webHidden/>
              </w:rPr>
              <w:instrText xml:space="preserve"> PAGEREF _Toc37258873 \h </w:instrText>
            </w:r>
            <w:r w:rsidR="00E36627">
              <w:rPr>
                <w:noProof/>
                <w:webHidden/>
              </w:rPr>
            </w:r>
            <w:r w:rsidR="00E36627">
              <w:rPr>
                <w:noProof/>
                <w:webHidden/>
              </w:rPr>
              <w:fldChar w:fldCharType="separate"/>
            </w:r>
            <w:r w:rsidR="00E36627">
              <w:rPr>
                <w:noProof/>
                <w:webHidden/>
              </w:rPr>
              <w:t>3</w:t>
            </w:r>
            <w:r w:rsidR="00E36627">
              <w:rPr>
                <w:noProof/>
                <w:webHidden/>
              </w:rPr>
              <w:fldChar w:fldCharType="end"/>
            </w:r>
          </w:hyperlink>
        </w:p>
        <w:p w:rsidR="00E36627" w:rsidRDefault="00213037" w14:paraId="00895ADC" w14:textId="1BF6C734">
          <w:pPr>
            <w:pStyle w:val="TOC1"/>
            <w:tabs>
              <w:tab w:val="left" w:pos="480"/>
              <w:tab w:val="right" w:leader="dot" w:pos="10070"/>
            </w:tabs>
            <w:rPr>
              <w:rFonts w:asciiTheme="minorHAnsi" w:hAnsiTheme="minorHAnsi" w:eastAsiaTheme="minorEastAsia"/>
              <w:noProof/>
              <w:sz w:val="22"/>
            </w:rPr>
          </w:pPr>
          <w:hyperlink w:history="1" w:anchor="_Toc37258874">
            <w:r w:rsidRPr="00E37425" w:rsidR="00E36627">
              <w:rPr>
                <w:rStyle w:val="Hyperlink"/>
                <w:noProof/>
              </w:rPr>
              <w:t>2.</w:t>
            </w:r>
            <w:r w:rsidR="00E36627">
              <w:rPr>
                <w:rFonts w:asciiTheme="minorHAnsi" w:hAnsiTheme="minorHAnsi" w:eastAsiaTheme="minorEastAsia"/>
                <w:noProof/>
                <w:sz w:val="22"/>
              </w:rPr>
              <w:tab/>
            </w:r>
            <w:r w:rsidRPr="00E37425" w:rsidR="00E36627">
              <w:rPr>
                <w:rStyle w:val="Hyperlink"/>
                <w:noProof/>
              </w:rPr>
              <w:t>Purpose and Use of Information Collection</w:t>
            </w:r>
            <w:r w:rsidR="00E36627">
              <w:rPr>
                <w:noProof/>
                <w:webHidden/>
              </w:rPr>
              <w:tab/>
            </w:r>
            <w:r w:rsidR="00E36627">
              <w:rPr>
                <w:noProof/>
                <w:webHidden/>
              </w:rPr>
              <w:fldChar w:fldCharType="begin"/>
            </w:r>
            <w:r w:rsidR="00E36627">
              <w:rPr>
                <w:noProof/>
                <w:webHidden/>
              </w:rPr>
              <w:instrText xml:space="preserve"> PAGEREF _Toc37258874 \h </w:instrText>
            </w:r>
            <w:r w:rsidR="00E36627">
              <w:rPr>
                <w:noProof/>
                <w:webHidden/>
              </w:rPr>
            </w:r>
            <w:r w:rsidR="00E36627">
              <w:rPr>
                <w:noProof/>
                <w:webHidden/>
              </w:rPr>
              <w:fldChar w:fldCharType="separate"/>
            </w:r>
            <w:r w:rsidR="00E36627">
              <w:rPr>
                <w:noProof/>
                <w:webHidden/>
              </w:rPr>
              <w:t>4</w:t>
            </w:r>
            <w:r w:rsidR="00E36627">
              <w:rPr>
                <w:noProof/>
                <w:webHidden/>
              </w:rPr>
              <w:fldChar w:fldCharType="end"/>
            </w:r>
          </w:hyperlink>
        </w:p>
        <w:p w:rsidR="00E36627" w:rsidRDefault="00213037" w14:paraId="306F6677" w14:textId="1403C4BF">
          <w:pPr>
            <w:pStyle w:val="TOC1"/>
            <w:tabs>
              <w:tab w:val="left" w:pos="480"/>
              <w:tab w:val="right" w:leader="dot" w:pos="10070"/>
            </w:tabs>
            <w:rPr>
              <w:rFonts w:asciiTheme="minorHAnsi" w:hAnsiTheme="minorHAnsi" w:eastAsiaTheme="minorEastAsia"/>
              <w:noProof/>
              <w:sz w:val="22"/>
            </w:rPr>
          </w:pPr>
          <w:hyperlink w:history="1" w:anchor="_Toc37258875">
            <w:r w:rsidRPr="00E37425" w:rsidR="00E36627">
              <w:rPr>
                <w:rStyle w:val="Hyperlink"/>
                <w:noProof/>
              </w:rPr>
              <w:t>3.</w:t>
            </w:r>
            <w:r w:rsidR="00E36627">
              <w:rPr>
                <w:rFonts w:asciiTheme="minorHAnsi" w:hAnsiTheme="minorHAnsi" w:eastAsiaTheme="minorEastAsia"/>
                <w:noProof/>
                <w:sz w:val="22"/>
              </w:rPr>
              <w:tab/>
            </w:r>
            <w:r w:rsidRPr="00E37425" w:rsidR="00E36627">
              <w:rPr>
                <w:rStyle w:val="Hyperlink"/>
                <w:noProof/>
              </w:rPr>
              <w:t>Use of Improved Information Technology and Burden Reduction</w:t>
            </w:r>
            <w:r w:rsidR="00E36627">
              <w:rPr>
                <w:noProof/>
                <w:webHidden/>
              </w:rPr>
              <w:tab/>
            </w:r>
            <w:r w:rsidR="00E36627">
              <w:rPr>
                <w:noProof/>
                <w:webHidden/>
              </w:rPr>
              <w:fldChar w:fldCharType="begin"/>
            </w:r>
            <w:r w:rsidR="00E36627">
              <w:rPr>
                <w:noProof/>
                <w:webHidden/>
              </w:rPr>
              <w:instrText xml:space="preserve"> PAGEREF _Toc37258875 \h </w:instrText>
            </w:r>
            <w:r w:rsidR="00E36627">
              <w:rPr>
                <w:noProof/>
                <w:webHidden/>
              </w:rPr>
            </w:r>
            <w:r w:rsidR="00E36627">
              <w:rPr>
                <w:noProof/>
                <w:webHidden/>
              </w:rPr>
              <w:fldChar w:fldCharType="separate"/>
            </w:r>
            <w:r w:rsidR="00E36627">
              <w:rPr>
                <w:noProof/>
                <w:webHidden/>
              </w:rPr>
              <w:t>5</w:t>
            </w:r>
            <w:r w:rsidR="00E36627">
              <w:rPr>
                <w:noProof/>
                <w:webHidden/>
              </w:rPr>
              <w:fldChar w:fldCharType="end"/>
            </w:r>
          </w:hyperlink>
        </w:p>
        <w:p w:rsidR="00E36627" w:rsidRDefault="00213037" w14:paraId="3CBAB414" w14:textId="4391DB5F">
          <w:pPr>
            <w:pStyle w:val="TOC1"/>
            <w:tabs>
              <w:tab w:val="left" w:pos="480"/>
              <w:tab w:val="right" w:leader="dot" w:pos="10070"/>
            </w:tabs>
            <w:rPr>
              <w:rFonts w:asciiTheme="minorHAnsi" w:hAnsiTheme="minorHAnsi" w:eastAsiaTheme="minorEastAsia"/>
              <w:noProof/>
              <w:sz w:val="22"/>
            </w:rPr>
          </w:pPr>
          <w:hyperlink w:history="1" w:anchor="_Toc37258876">
            <w:r w:rsidRPr="00E37425" w:rsidR="00E36627">
              <w:rPr>
                <w:rStyle w:val="Hyperlink"/>
                <w:noProof/>
              </w:rPr>
              <w:t>4.</w:t>
            </w:r>
            <w:r w:rsidR="00E36627">
              <w:rPr>
                <w:rFonts w:asciiTheme="minorHAnsi" w:hAnsiTheme="minorHAnsi" w:eastAsiaTheme="minorEastAsia"/>
                <w:noProof/>
                <w:sz w:val="22"/>
              </w:rPr>
              <w:tab/>
            </w:r>
            <w:r w:rsidRPr="00E37425" w:rsidR="00E36627">
              <w:rPr>
                <w:rStyle w:val="Hyperlink"/>
                <w:noProof/>
              </w:rPr>
              <w:t>Efforts to Identify Duplication and Use of Similar Information</w:t>
            </w:r>
            <w:r w:rsidR="00E36627">
              <w:rPr>
                <w:noProof/>
                <w:webHidden/>
              </w:rPr>
              <w:tab/>
            </w:r>
            <w:r w:rsidR="00E36627">
              <w:rPr>
                <w:noProof/>
                <w:webHidden/>
              </w:rPr>
              <w:fldChar w:fldCharType="begin"/>
            </w:r>
            <w:r w:rsidR="00E36627">
              <w:rPr>
                <w:noProof/>
                <w:webHidden/>
              </w:rPr>
              <w:instrText xml:space="preserve"> PAGEREF _Toc37258876 \h </w:instrText>
            </w:r>
            <w:r w:rsidR="00E36627">
              <w:rPr>
                <w:noProof/>
                <w:webHidden/>
              </w:rPr>
            </w:r>
            <w:r w:rsidR="00E36627">
              <w:rPr>
                <w:noProof/>
                <w:webHidden/>
              </w:rPr>
              <w:fldChar w:fldCharType="separate"/>
            </w:r>
            <w:r w:rsidR="00E36627">
              <w:rPr>
                <w:noProof/>
                <w:webHidden/>
              </w:rPr>
              <w:t>5</w:t>
            </w:r>
            <w:r w:rsidR="00E36627">
              <w:rPr>
                <w:noProof/>
                <w:webHidden/>
              </w:rPr>
              <w:fldChar w:fldCharType="end"/>
            </w:r>
          </w:hyperlink>
        </w:p>
        <w:p w:rsidR="00E36627" w:rsidRDefault="00213037" w14:paraId="619B483B" w14:textId="3B222234">
          <w:pPr>
            <w:pStyle w:val="TOC1"/>
            <w:tabs>
              <w:tab w:val="left" w:pos="480"/>
              <w:tab w:val="right" w:leader="dot" w:pos="10070"/>
            </w:tabs>
            <w:rPr>
              <w:rFonts w:asciiTheme="minorHAnsi" w:hAnsiTheme="minorHAnsi" w:eastAsiaTheme="minorEastAsia"/>
              <w:noProof/>
              <w:sz w:val="22"/>
            </w:rPr>
          </w:pPr>
          <w:hyperlink w:history="1" w:anchor="_Toc37258877">
            <w:r w:rsidRPr="00E37425" w:rsidR="00E36627">
              <w:rPr>
                <w:rStyle w:val="Hyperlink"/>
                <w:noProof/>
              </w:rPr>
              <w:t>5.</w:t>
            </w:r>
            <w:r w:rsidR="00E36627">
              <w:rPr>
                <w:rFonts w:asciiTheme="minorHAnsi" w:hAnsiTheme="minorHAnsi" w:eastAsiaTheme="minorEastAsia"/>
                <w:noProof/>
                <w:sz w:val="22"/>
              </w:rPr>
              <w:tab/>
            </w:r>
            <w:r w:rsidRPr="00E37425" w:rsidR="00E36627">
              <w:rPr>
                <w:rStyle w:val="Hyperlink"/>
                <w:noProof/>
              </w:rPr>
              <w:t>Impact on Small Businesses or Other Small Entities</w:t>
            </w:r>
            <w:r w:rsidR="00E36627">
              <w:rPr>
                <w:noProof/>
                <w:webHidden/>
              </w:rPr>
              <w:tab/>
            </w:r>
            <w:r w:rsidR="00E36627">
              <w:rPr>
                <w:noProof/>
                <w:webHidden/>
              </w:rPr>
              <w:fldChar w:fldCharType="begin"/>
            </w:r>
            <w:r w:rsidR="00E36627">
              <w:rPr>
                <w:noProof/>
                <w:webHidden/>
              </w:rPr>
              <w:instrText xml:space="preserve"> PAGEREF _Toc37258877 \h </w:instrText>
            </w:r>
            <w:r w:rsidR="00E36627">
              <w:rPr>
                <w:noProof/>
                <w:webHidden/>
              </w:rPr>
            </w:r>
            <w:r w:rsidR="00E36627">
              <w:rPr>
                <w:noProof/>
                <w:webHidden/>
              </w:rPr>
              <w:fldChar w:fldCharType="separate"/>
            </w:r>
            <w:r w:rsidR="00E36627">
              <w:rPr>
                <w:noProof/>
                <w:webHidden/>
              </w:rPr>
              <w:t>6</w:t>
            </w:r>
            <w:r w:rsidR="00E36627">
              <w:rPr>
                <w:noProof/>
                <w:webHidden/>
              </w:rPr>
              <w:fldChar w:fldCharType="end"/>
            </w:r>
          </w:hyperlink>
        </w:p>
        <w:p w:rsidR="00E36627" w:rsidRDefault="00213037" w14:paraId="1D2EE33E" w14:textId="34BF2F06">
          <w:pPr>
            <w:pStyle w:val="TOC1"/>
            <w:tabs>
              <w:tab w:val="left" w:pos="480"/>
              <w:tab w:val="right" w:leader="dot" w:pos="10070"/>
            </w:tabs>
            <w:rPr>
              <w:rFonts w:asciiTheme="minorHAnsi" w:hAnsiTheme="minorHAnsi" w:eastAsiaTheme="minorEastAsia"/>
              <w:noProof/>
              <w:sz w:val="22"/>
            </w:rPr>
          </w:pPr>
          <w:hyperlink w:history="1" w:anchor="_Toc37258878">
            <w:r w:rsidRPr="00E37425" w:rsidR="00E36627">
              <w:rPr>
                <w:rStyle w:val="Hyperlink"/>
                <w:noProof/>
              </w:rPr>
              <w:t>6.</w:t>
            </w:r>
            <w:r w:rsidR="00E36627">
              <w:rPr>
                <w:rFonts w:asciiTheme="minorHAnsi" w:hAnsiTheme="minorHAnsi" w:eastAsiaTheme="minorEastAsia"/>
                <w:noProof/>
                <w:sz w:val="22"/>
              </w:rPr>
              <w:tab/>
            </w:r>
            <w:r w:rsidRPr="00E37425" w:rsidR="00E36627">
              <w:rPr>
                <w:rStyle w:val="Hyperlink"/>
                <w:noProof/>
              </w:rPr>
              <w:t>Consequences of Collecting the Information Less Frequently</w:t>
            </w:r>
            <w:r w:rsidR="00E36627">
              <w:rPr>
                <w:noProof/>
                <w:webHidden/>
              </w:rPr>
              <w:tab/>
            </w:r>
            <w:r w:rsidR="00E36627">
              <w:rPr>
                <w:noProof/>
                <w:webHidden/>
              </w:rPr>
              <w:fldChar w:fldCharType="begin"/>
            </w:r>
            <w:r w:rsidR="00E36627">
              <w:rPr>
                <w:noProof/>
                <w:webHidden/>
              </w:rPr>
              <w:instrText xml:space="preserve"> PAGEREF _Toc37258878 \h </w:instrText>
            </w:r>
            <w:r w:rsidR="00E36627">
              <w:rPr>
                <w:noProof/>
                <w:webHidden/>
              </w:rPr>
            </w:r>
            <w:r w:rsidR="00E36627">
              <w:rPr>
                <w:noProof/>
                <w:webHidden/>
              </w:rPr>
              <w:fldChar w:fldCharType="separate"/>
            </w:r>
            <w:r w:rsidR="00E36627">
              <w:rPr>
                <w:noProof/>
                <w:webHidden/>
              </w:rPr>
              <w:t>6</w:t>
            </w:r>
            <w:r w:rsidR="00E36627">
              <w:rPr>
                <w:noProof/>
                <w:webHidden/>
              </w:rPr>
              <w:fldChar w:fldCharType="end"/>
            </w:r>
          </w:hyperlink>
        </w:p>
        <w:p w:rsidR="00E36627" w:rsidRDefault="00213037" w14:paraId="2AD072E7" w14:textId="469B3A51">
          <w:pPr>
            <w:pStyle w:val="TOC1"/>
            <w:tabs>
              <w:tab w:val="left" w:pos="480"/>
              <w:tab w:val="right" w:leader="dot" w:pos="10070"/>
            </w:tabs>
            <w:rPr>
              <w:rFonts w:asciiTheme="minorHAnsi" w:hAnsiTheme="minorHAnsi" w:eastAsiaTheme="minorEastAsia"/>
              <w:noProof/>
              <w:sz w:val="22"/>
            </w:rPr>
          </w:pPr>
          <w:hyperlink w:history="1" w:anchor="_Toc37258879">
            <w:r w:rsidRPr="00E37425" w:rsidR="00E36627">
              <w:rPr>
                <w:rStyle w:val="Hyperlink"/>
                <w:noProof/>
              </w:rPr>
              <w:t>7.</w:t>
            </w:r>
            <w:r w:rsidR="00E36627">
              <w:rPr>
                <w:rFonts w:asciiTheme="minorHAnsi" w:hAnsiTheme="minorHAnsi" w:eastAsiaTheme="minorEastAsia"/>
                <w:noProof/>
                <w:sz w:val="22"/>
              </w:rPr>
              <w:tab/>
            </w:r>
            <w:r w:rsidRPr="00E37425" w:rsidR="00E36627">
              <w:rPr>
                <w:rStyle w:val="Hyperlink"/>
                <w:noProof/>
              </w:rPr>
              <w:t>Special Circumstances Relating to the Guidelines of 5 CFR 1320.5</w:t>
            </w:r>
            <w:r w:rsidR="00E36627">
              <w:rPr>
                <w:noProof/>
                <w:webHidden/>
              </w:rPr>
              <w:tab/>
            </w:r>
            <w:r w:rsidR="00E36627">
              <w:rPr>
                <w:noProof/>
                <w:webHidden/>
              </w:rPr>
              <w:fldChar w:fldCharType="begin"/>
            </w:r>
            <w:r w:rsidR="00E36627">
              <w:rPr>
                <w:noProof/>
                <w:webHidden/>
              </w:rPr>
              <w:instrText xml:space="preserve"> PAGEREF _Toc37258879 \h </w:instrText>
            </w:r>
            <w:r w:rsidR="00E36627">
              <w:rPr>
                <w:noProof/>
                <w:webHidden/>
              </w:rPr>
            </w:r>
            <w:r w:rsidR="00E36627">
              <w:rPr>
                <w:noProof/>
                <w:webHidden/>
              </w:rPr>
              <w:fldChar w:fldCharType="separate"/>
            </w:r>
            <w:r w:rsidR="00E36627">
              <w:rPr>
                <w:noProof/>
                <w:webHidden/>
              </w:rPr>
              <w:t>6</w:t>
            </w:r>
            <w:r w:rsidR="00E36627">
              <w:rPr>
                <w:noProof/>
                <w:webHidden/>
              </w:rPr>
              <w:fldChar w:fldCharType="end"/>
            </w:r>
          </w:hyperlink>
        </w:p>
        <w:p w:rsidR="00E36627" w:rsidRDefault="00213037" w14:paraId="19D4D64C" w14:textId="1709DC6A">
          <w:pPr>
            <w:pStyle w:val="TOC1"/>
            <w:tabs>
              <w:tab w:val="left" w:pos="480"/>
              <w:tab w:val="right" w:leader="dot" w:pos="10070"/>
            </w:tabs>
            <w:rPr>
              <w:rFonts w:asciiTheme="minorHAnsi" w:hAnsiTheme="minorHAnsi" w:eastAsiaTheme="minorEastAsia"/>
              <w:noProof/>
              <w:sz w:val="22"/>
            </w:rPr>
          </w:pPr>
          <w:hyperlink w:history="1" w:anchor="_Toc37258880">
            <w:r w:rsidRPr="00E37425" w:rsidR="00E36627">
              <w:rPr>
                <w:rStyle w:val="Hyperlink"/>
                <w:noProof/>
              </w:rPr>
              <w:t>8.</w:t>
            </w:r>
            <w:r w:rsidR="00E36627">
              <w:rPr>
                <w:rFonts w:asciiTheme="minorHAnsi" w:hAnsiTheme="minorHAnsi" w:eastAsiaTheme="minorEastAsia"/>
                <w:noProof/>
                <w:sz w:val="22"/>
              </w:rPr>
              <w:tab/>
            </w:r>
            <w:r w:rsidRPr="00E37425" w:rsidR="00E36627">
              <w:rPr>
                <w:rStyle w:val="Hyperlink"/>
                <w:noProof/>
              </w:rPr>
              <w:t>Comments in Response to the Federal Register Notice and Efforts to Consult Outside the Agency</w:t>
            </w:r>
            <w:r w:rsidR="00E36627">
              <w:rPr>
                <w:noProof/>
                <w:webHidden/>
              </w:rPr>
              <w:tab/>
            </w:r>
            <w:r w:rsidR="00E36627">
              <w:rPr>
                <w:noProof/>
                <w:webHidden/>
              </w:rPr>
              <w:fldChar w:fldCharType="begin"/>
            </w:r>
            <w:r w:rsidR="00E36627">
              <w:rPr>
                <w:noProof/>
                <w:webHidden/>
              </w:rPr>
              <w:instrText xml:space="preserve"> PAGEREF _Toc37258880 \h </w:instrText>
            </w:r>
            <w:r w:rsidR="00E36627">
              <w:rPr>
                <w:noProof/>
                <w:webHidden/>
              </w:rPr>
            </w:r>
            <w:r w:rsidR="00E36627">
              <w:rPr>
                <w:noProof/>
                <w:webHidden/>
              </w:rPr>
              <w:fldChar w:fldCharType="separate"/>
            </w:r>
            <w:r w:rsidR="00E36627">
              <w:rPr>
                <w:noProof/>
                <w:webHidden/>
              </w:rPr>
              <w:t>6</w:t>
            </w:r>
            <w:r w:rsidR="00E36627">
              <w:rPr>
                <w:noProof/>
                <w:webHidden/>
              </w:rPr>
              <w:fldChar w:fldCharType="end"/>
            </w:r>
          </w:hyperlink>
        </w:p>
        <w:p w:rsidR="00E36627" w:rsidRDefault="00213037" w14:paraId="152DD4F0" w14:textId="684CDEA2">
          <w:pPr>
            <w:pStyle w:val="TOC1"/>
            <w:tabs>
              <w:tab w:val="left" w:pos="480"/>
              <w:tab w:val="right" w:leader="dot" w:pos="10070"/>
            </w:tabs>
            <w:rPr>
              <w:rFonts w:asciiTheme="minorHAnsi" w:hAnsiTheme="minorHAnsi" w:eastAsiaTheme="minorEastAsia"/>
              <w:noProof/>
              <w:sz w:val="22"/>
            </w:rPr>
          </w:pPr>
          <w:hyperlink w:history="1" w:anchor="_Toc37258881">
            <w:r w:rsidRPr="00E37425" w:rsidR="00E36627">
              <w:rPr>
                <w:rStyle w:val="Hyperlink"/>
                <w:noProof/>
              </w:rPr>
              <w:t>9.</w:t>
            </w:r>
            <w:r w:rsidR="00E36627">
              <w:rPr>
                <w:rFonts w:asciiTheme="minorHAnsi" w:hAnsiTheme="minorHAnsi" w:eastAsiaTheme="minorEastAsia"/>
                <w:noProof/>
                <w:sz w:val="22"/>
              </w:rPr>
              <w:tab/>
            </w:r>
            <w:r w:rsidRPr="00E37425" w:rsidR="00E36627">
              <w:rPr>
                <w:rStyle w:val="Hyperlink"/>
                <w:noProof/>
              </w:rPr>
              <w:t>Explanation of Any Payment or Gift to Respondents</w:t>
            </w:r>
            <w:r w:rsidR="00E36627">
              <w:rPr>
                <w:noProof/>
                <w:webHidden/>
              </w:rPr>
              <w:tab/>
            </w:r>
            <w:r w:rsidR="00E36627">
              <w:rPr>
                <w:noProof/>
                <w:webHidden/>
              </w:rPr>
              <w:fldChar w:fldCharType="begin"/>
            </w:r>
            <w:r w:rsidR="00E36627">
              <w:rPr>
                <w:noProof/>
                <w:webHidden/>
              </w:rPr>
              <w:instrText xml:space="preserve"> PAGEREF _Toc37258881 \h </w:instrText>
            </w:r>
            <w:r w:rsidR="00E36627">
              <w:rPr>
                <w:noProof/>
                <w:webHidden/>
              </w:rPr>
            </w:r>
            <w:r w:rsidR="00E36627">
              <w:rPr>
                <w:noProof/>
                <w:webHidden/>
              </w:rPr>
              <w:fldChar w:fldCharType="separate"/>
            </w:r>
            <w:r w:rsidR="00E36627">
              <w:rPr>
                <w:noProof/>
                <w:webHidden/>
              </w:rPr>
              <w:t>6</w:t>
            </w:r>
            <w:r w:rsidR="00E36627">
              <w:rPr>
                <w:noProof/>
                <w:webHidden/>
              </w:rPr>
              <w:fldChar w:fldCharType="end"/>
            </w:r>
          </w:hyperlink>
        </w:p>
        <w:p w:rsidR="00E36627" w:rsidRDefault="00213037" w14:paraId="1A4EBEED" w14:textId="01587F62">
          <w:pPr>
            <w:pStyle w:val="TOC1"/>
            <w:tabs>
              <w:tab w:val="left" w:pos="660"/>
              <w:tab w:val="right" w:leader="dot" w:pos="10070"/>
            </w:tabs>
            <w:rPr>
              <w:rFonts w:asciiTheme="minorHAnsi" w:hAnsiTheme="minorHAnsi" w:eastAsiaTheme="minorEastAsia"/>
              <w:noProof/>
              <w:sz w:val="22"/>
            </w:rPr>
          </w:pPr>
          <w:hyperlink w:history="1" w:anchor="_Toc37258882">
            <w:r w:rsidRPr="00E37425" w:rsidR="00E36627">
              <w:rPr>
                <w:rStyle w:val="Hyperlink"/>
                <w:noProof/>
              </w:rPr>
              <w:t>10.</w:t>
            </w:r>
            <w:r w:rsidR="00E36627">
              <w:rPr>
                <w:rFonts w:asciiTheme="minorHAnsi" w:hAnsiTheme="minorHAnsi" w:eastAsiaTheme="minorEastAsia"/>
                <w:noProof/>
                <w:sz w:val="22"/>
              </w:rPr>
              <w:tab/>
            </w:r>
            <w:r w:rsidRPr="00E37425" w:rsidR="00E36627">
              <w:rPr>
                <w:rStyle w:val="Hyperlink"/>
                <w:noProof/>
              </w:rPr>
              <w:t>Protection of the Privacy and Confidentiality of Information Provided by Respondents</w:t>
            </w:r>
            <w:r w:rsidR="00E36627">
              <w:rPr>
                <w:noProof/>
                <w:webHidden/>
              </w:rPr>
              <w:tab/>
            </w:r>
            <w:r w:rsidR="00E36627">
              <w:rPr>
                <w:noProof/>
                <w:webHidden/>
              </w:rPr>
              <w:fldChar w:fldCharType="begin"/>
            </w:r>
            <w:r w:rsidR="00E36627">
              <w:rPr>
                <w:noProof/>
                <w:webHidden/>
              </w:rPr>
              <w:instrText xml:space="preserve"> PAGEREF _Toc37258882 \h </w:instrText>
            </w:r>
            <w:r w:rsidR="00E36627">
              <w:rPr>
                <w:noProof/>
                <w:webHidden/>
              </w:rPr>
            </w:r>
            <w:r w:rsidR="00E36627">
              <w:rPr>
                <w:noProof/>
                <w:webHidden/>
              </w:rPr>
              <w:fldChar w:fldCharType="separate"/>
            </w:r>
            <w:r w:rsidR="00E36627">
              <w:rPr>
                <w:noProof/>
                <w:webHidden/>
              </w:rPr>
              <w:t>7</w:t>
            </w:r>
            <w:r w:rsidR="00E36627">
              <w:rPr>
                <w:noProof/>
                <w:webHidden/>
              </w:rPr>
              <w:fldChar w:fldCharType="end"/>
            </w:r>
          </w:hyperlink>
        </w:p>
        <w:p w:rsidR="00E36627" w:rsidRDefault="00213037" w14:paraId="59FF455D" w14:textId="65AF160F">
          <w:pPr>
            <w:pStyle w:val="TOC1"/>
            <w:tabs>
              <w:tab w:val="left" w:pos="660"/>
              <w:tab w:val="right" w:leader="dot" w:pos="10070"/>
            </w:tabs>
            <w:rPr>
              <w:rFonts w:asciiTheme="minorHAnsi" w:hAnsiTheme="minorHAnsi" w:eastAsiaTheme="minorEastAsia"/>
              <w:noProof/>
              <w:sz w:val="22"/>
            </w:rPr>
          </w:pPr>
          <w:hyperlink w:history="1" w:anchor="_Toc37258883">
            <w:r w:rsidRPr="00E37425" w:rsidR="00E36627">
              <w:rPr>
                <w:rStyle w:val="Hyperlink"/>
                <w:noProof/>
              </w:rPr>
              <w:t>11.</w:t>
            </w:r>
            <w:r w:rsidR="00E36627">
              <w:rPr>
                <w:rFonts w:asciiTheme="minorHAnsi" w:hAnsiTheme="minorHAnsi" w:eastAsiaTheme="minorEastAsia"/>
                <w:noProof/>
                <w:sz w:val="22"/>
              </w:rPr>
              <w:tab/>
            </w:r>
            <w:r w:rsidRPr="00E37425" w:rsidR="00E36627">
              <w:rPr>
                <w:rStyle w:val="Hyperlink"/>
                <w:noProof/>
              </w:rPr>
              <w:t>Institutional Review Board (IRB) and Justification for Sensitive Questions</w:t>
            </w:r>
            <w:r w:rsidR="00E36627">
              <w:rPr>
                <w:noProof/>
                <w:webHidden/>
              </w:rPr>
              <w:tab/>
            </w:r>
            <w:r w:rsidR="00E36627">
              <w:rPr>
                <w:noProof/>
                <w:webHidden/>
              </w:rPr>
              <w:fldChar w:fldCharType="begin"/>
            </w:r>
            <w:r w:rsidR="00E36627">
              <w:rPr>
                <w:noProof/>
                <w:webHidden/>
              </w:rPr>
              <w:instrText xml:space="preserve"> PAGEREF _Toc37258883 \h </w:instrText>
            </w:r>
            <w:r w:rsidR="00E36627">
              <w:rPr>
                <w:noProof/>
                <w:webHidden/>
              </w:rPr>
            </w:r>
            <w:r w:rsidR="00E36627">
              <w:rPr>
                <w:noProof/>
                <w:webHidden/>
              </w:rPr>
              <w:fldChar w:fldCharType="separate"/>
            </w:r>
            <w:r w:rsidR="00E36627">
              <w:rPr>
                <w:noProof/>
                <w:webHidden/>
              </w:rPr>
              <w:t>7</w:t>
            </w:r>
            <w:r w:rsidR="00E36627">
              <w:rPr>
                <w:noProof/>
                <w:webHidden/>
              </w:rPr>
              <w:fldChar w:fldCharType="end"/>
            </w:r>
          </w:hyperlink>
        </w:p>
        <w:p w:rsidR="00E36627" w:rsidRDefault="00213037" w14:paraId="3114F4A0" w14:textId="5A9DE0C2">
          <w:pPr>
            <w:pStyle w:val="TOC1"/>
            <w:tabs>
              <w:tab w:val="left" w:pos="660"/>
              <w:tab w:val="right" w:leader="dot" w:pos="10070"/>
            </w:tabs>
            <w:rPr>
              <w:rFonts w:asciiTheme="minorHAnsi" w:hAnsiTheme="minorHAnsi" w:eastAsiaTheme="minorEastAsia"/>
              <w:noProof/>
              <w:sz w:val="22"/>
            </w:rPr>
          </w:pPr>
          <w:hyperlink w:history="1" w:anchor="_Toc37258884">
            <w:r w:rsidRPr="00E37425" w:rsidR="00E36627">
              <w:rPr>
                <w:rStyle w:val="Hyperlink"/>
                <w:noProof/>
              </w:rPr>
              <w:t>12.</w:t>
            </w:r>
            <w:r w:rsidR="00E36627">
              <w:rPr>
                <w:rFonts w:asciiTheme="minorHAnsi" w:hAnsiTheme="minorHAnsi" w:eastAsiaTheme="minorEastAsia"/>
                <w:noProof/>
                <w:sz w:val="22"/>
              </w:rPr>
              <w:tab/>
            </w:r>
            <w:r w:rsidRPr="00E37425" w:rsidR="00E36627">
              <w:rPr>
                <w:rStyle w:val="Hyperlink"/>
                <w:noProof/>
              </w:rPr>
              <w:t>Estimates of Annualized Burden Hours and Costs</w:t>
            </w:r>
            <w:r w:rsidR="00E36627">
              <w:rPr>
                <w:noProof/>
                <w:webHidden/>
              </w:rPr>
              <w:tab/>
            </w:r>
            <w:r w:rsidR="00E36627">
              <w:rPr>
                <w:noProof/>
                <w:webHidden/>
              </w:rPr>
              <w:fldChar w:fldCharType="begin"/>
            </w:r>
            <w:r w:rsidR="00E36627">
              <w:rPr>
                <w:noProof/>
                <w:webHidden/>
              </w:rPr>
              <w:instrText xml:space="preserve"> PAGEREF _Toc37258884 \h </w:instrText>
            </w:r>
            <w:r w:rsidR="00E36627">
              <w:rPr>
                <w:noProof/>
                <w:webHidden/>
              </w:rPr>
            </w:r>
            <w:r w:rsidR="00E36627">
              <w:rPr>
                <w:noProof/>
                <w:webHidden/>
              </w:rPr>
              <w:fldChar w:fldCharType="separate"/>
            </w:r>
            <w:r w:rsidR="00E36627">
              <w:rPr>
                <w:noProof/>
                <w:webHidden/>
              </w:rPr>
              <w:t>7</w:t>
            </w:r>
            <w:r w:rsidR="00E36627">
              <w:rPr>
                <w:noProof/>
                <w:webHidden/>
              </w:rPr>
              <w:fldChar w:fldCharType="end"/>
            </w:r>
          </w:hyperlink>
        </w:p>
        <w:p w:rsidR="00E36627" w:rsidRDefault="00213037" w14:paraId="0BF970ED" w14:textId="30B92810">
          <w:pPr>
            <w:pStyle w:val="TOC1"/>
            <w:tabs>
              <w:tab w:val="left" w:pos="660"/>
              <w:tab w:val="right" w:leader="dot" w:pos="10070"/>
            </w:tabs>
            <w:rPr>
              <w:rFonts w:asciiTheme="minorHAnsi" w:hAnsiTheme="minorHAnsi" w:eastAsiaTheme="minorEastAsia"/>
              <w:noProof/>
              <w:sz w:val="22"/>
            </w:rPr>
          </w:pPr>
          <w:hyperlink w:history="1" w:anchor="_Toc37258885">
            <w:r w:rsidRPr="00E37425" w:rsidR="00E36627">
              <w:rPr>
                <w:rStyle w:val="Hyperlink"/>
                <w:noProof/>
              </w:rPr>
              <w:t>13.</w:t>
            </w:r>
            <w:r w:rsidR="00E36627">
              <w:rPr>
                <w:rFonts w:asciiTheme="minorHAnsi" w:hAnsiTheme="minorHAnsi" w:eastAsiaTheme="minorEastAsia"/>
                <w:noProof/>
                <w:sz w:val="22"/>
              </w:rPr>
              <w:tab/>
            </w:r>
            <w:r w:rsidRPr="00E37425" w:rsidR="00E36627">
              <w:rPr>
                <w:rStyle w:val="Hyperlink"/>
                <w:noProof/>
              </w:rPr>
              <w:t>Estimates of Other Total Annual Cost Burden to Respondents or Record Keepers</w:t>
            </w:r>
            <w:r w:rsidR="00E36627">
              <w:rPr>
                <w:noProof/>
                <w:webHidden/>
              </w:rPr>
              <w:tab/>
            </w:r>
            <w:r w:rsidR="00E36627">
              <w:rPr>
                <w:noProof/>
                <w:webHidden/>
              </w:rPr>
              <w:fldChar w:fldCharType="begin"/>
            </w:r>
            <w:r w:rsidR="00E36627">
              <w:rPr>
                <w:noProof/>
                <w:webHidden/>
              </w:rPr>
              <w:instrText xml:space="preserve"> PAGEREF _Toc37258885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7B6DDC8E" w14:textId="29ECE77F">
          <w:pPr>
            <w:pStyle w:val="TOC1"/>
            <w:tabs>
              <w:tab w:val="left" w:pos="660"/>
              <w:tab w:val="right" w:leader="dot" w:pos="10070"/>
            </w:tabs>
            <w:rPr>
              <w:rFonts w:asciiTheme="minorHAnsi" w:hAnsiTheme="minorHAnsi" w:eastAsiaTheme="minorEastAsia"/>
              <w:noProof/>
              <w:sz w:val="22"/>
            </w:rPr>
          </w:pPr>
          <w:hyperlink w:history="1" w:anchor="_Toc37258886">
            <w:r w:rsidRPr="00E37425" w:rsidR="00E36627">
              <w:rPr>
                <w:rStyle w:val="Hyperlink"/>
                <w:noProof/>
              </w:rPr>
              <w:t>14.</w:t>
            </w:r>
            <w:r w:rsidR="00E36627">
              <w:rPr>
                <w:rFonts w:asciiTheme="minorHAnsi" w:hAnsiTheme="minorHAnsi" w:eastAsiaTheme="minorEastAsia"/>
                <w:noProof/>
                <w:sz w:val="22"/>
              </w:rPr>
              <w:tab/>
            </w:r>
            <w:r w:rsidRPr="00E37425" w:rsidR="00E36627">
              <w:rPr>
                <w:rStyle w:val="Hyperlink"/>
                <w:noProof/>
              </w:rPr>
              <w:t>Annualized Cost to the Government</w:t>
            </w:r>
            <w:r w:rsidR="00E36627">
              <w:rPr>
                <w:noProof/>
                <w:webHidden/>
              </w:rPr>
              <w:tab/>
            </w:r>
            <w:r w:rsidR="00E36627">
              <w:rPr>
                <w:noProof/>
                <w:webHidden/>
              </w:rPr>
              <w:fldChar w:fldCharType="begin"/>
            </w:r>
            <w:r w:rsidR="00E36627">
              <w:rPr>
                <w:noProof/>
                <w:webHidden/>
              </w:rPr>
              <w:instrText xml:space="preserve"> PAGEREF _Toc37258886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40B33716" w14:textId="608B286E">
          <w:pPr>
            <w:pStyle w:val="TOC1"/>
            <w:tabs>
              <w:tab w:val="left" w:pos="660"/>
              <w:tab w:val="right" w:leader="dot" w:pos="10070"/>
            </w:tabs>
            <w:rPr>
              <w:rFonts w:asciiTheme="minorHAnsi" w:hAnsiTheme="minorHAnsi" w:eastAsiaTheme="minorEastAsia"/>
              <w:noProof/>
              <w:sz w:val="22"/>
            </w:rPr>
          </w:pPr>
          <w:hyperlink w:history="1" w:anchor="_Toc37258887">
            <w:r w:rsidRPr="00E37425" w:rsidR="00E36627">
              <w:rPr>
                <w:rStyle w:val="Hyperlink"/>
                <w:noProof/>
              </w:rPr>
              <w:t>15.</w:t>
            </w:r>
            <w:r w:rsidR="00E36627">
              <w:rPr>
                <w:rFonts w:asciiTheme="minorHAnsi" w:hAnsiTheme="minorHAnsi" w:eastAsiaTheme="minorEastAsia"/>
                <w:noProof/>
                <w:sz w:val="22"/>
              </w:rPr>
              <w:tab/>
            </w:r>
            <w:r w:rsidRPr="00E37425" w:rsidR="00E36627">
              <w:rPr>
                <w:rStyle w:val="Hyperlink"/>
                <w:noProof/>
              </w:rPr>
              <w:t>Explanation for Program Changes or Adjustments</w:t>
            </w:r>
            <w:r w:rsidR="00E36627">
              <w:rPr>
                <w:noProof/>
                <w:webHidden/>
              </w:rPr>
              <w:tab/>
            </w:r>
            <w:r w:rsidR="00E36627">
              <w:rPr>
                <w:noProof/>
                <w:webHidden/>
              </w:rPr>
              <w:fldChar w:fldCharType="begin"/>
            </w:r>
            <w:r w:rsidR="00E36627">
              <w:rPr>
                <w:noProof/>
                <w:webHidden/>
              </w:rPr>
              <w:instrText xml:space="preserve"> PAGEREF _Toc37258887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36551871" w14:textId="0E40A65E">
          <w:pPr>
            <w:pStyle w:val="TOC1"/>
            <w:tabs>
              <w:tab w:val="left" w:pos="660"/>
              <w:tab w:val="right" w:leader="dot" w:pos="10070"/>
            </w:tabs>
            <w:rPr>
              <w:rFonts w:asciiTheme="minorHAnsi" w:hAnsiTheme="minorHAnsi" w:eastAsiaTheme="minorEastAsia"/>
              <w:noProof/>
              <w:sz w:val="22"/>
            </w:rPr>
          </w:pPr>
          <w:hyperlink w:history="1" w:anchor="_Toc37258888">
            <w:r w:rsidRPr="00E37425" w:rsidR="00E36627">
              <w:rPr>
                <w:rStyle w:val="Hyperlink"/>
                <w:noProof/>
              </w:rPr>
              <w:t>16.</w:t>
            </w:r>
            <w:r w:rsidR="00E36627">
              <w:rPr>
                <w:rFonts w:asciiTheme="minorHAnsi" w:hAnsiTheme="minorHAnsi" w:eastAsiaTheme="minorEastAsia"/>
                <w:noProof/>
                <w:sz w:val="22"/>
              </w:rPr>
              <w:tab/>
            </w:r>
            <w:r w:rsidRPr="00E37425" w:rsidR="00E36627">
              <w:rPr>
                <w:rStyle w:val="Hyperlink"/>
                <w:noProof/>
              </w:rPr>
              <w:t>Plans for Tabulation and Publication and Project Time Schedule</w:t>
            </w:r>
            <w:r w:rsidR="00E36627">
              <w:rPr>
                <w:noProof/>
                <w:webHidden/>
              </w:rPr>
              <w:tab/>
            </w:r>
            <w:r w:rsidR="00E36627">
              <w:rPr>
                <w:noProof/>
                <w:webHidden/>
              </w:rPr>
              <w:fldChar w:fldCharType="begin"/>
            </w:r>
            <w:r w:rsidR="00E36627">
              <w:rPr>
                <w:noProof/>
                <w:webHidden/>
              </w:rPr>
              <w:instrText xml:space="preserve"> PAGEREF _Toc37258888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79976B88" w14:textId="482C560C">
          <w:pPr>
            <w:pStyle w:val="TOC1"/>
            <w:tabs>
              <w:tab w:val="left" w:pos="660"/>
              <w:tab w:val="right" w:leader="dot" w:pos="10070"/>
            </w:tabs>
            <w:rPr>
              <w:rFonts w:asciiTheme="minorHAnsi" w:hAnsiTheme="minorHAnsi" w:eastAsiaTheme="minorEastAsia"/>
              <w:noProof/>
              <w:sz w:val="22"/>
            </w:rPr>
          </w:pPr>
          <w:hyperlink w:history="1" w:anchor="_Toc37258889">
            <w:r w:rsidRPr="00E37425" w:rsidR="00E36627">
              <w:rPr>
                <w:rStyle w:val="Hyperlink"/>
                <w:noProof/>
              </w:rPr>
              <w:t>17.</w:t>
            </w:r>
            <w:r w:rsidR="00E36627">
              <w:rPr>
                <w:rFonts w:asciiTheme="minorHAnsi" w:hAnsiTheme="minorHAnsi" w:eastAsiaTheme="minorEastAsia"/>
                <w:noProof/>
                <w:sz w:val="22"/>
              </w:rPr>
              <w:tab/>
            </w:r>
            <w:r w:rsidRPr="00E37425" w:rsidR="00E36627">
              <w:rPr>
                <w:rStyle w:val="Hyperlink"/>
                <w:noProof/>
              </w:rPr>
              <w:t>Reason(s) Display of OMB Expiration Date is Inappropriate</w:t>
            </w:r>
            <w:r w:rsidR="00E36627">
              <w:rPr>
                <w:noProof/>
                <w:webHidden/>
              </w:rPr>
              <w:tab/>
            </w:r>
            <w:r w:rsidR="00E36627">
              <w:rPr>
                <w:noProof/>
                <w:webHidden/>
              </w:rPr>
              <w:fldChar w:fldCharType="begin"/>
            </w:r>
            <w:r w:rsidR="00E36627">
              <w:rPr>
                <w:noProof/>
                <w:webHidden/>
              </w:rPr>
              <w:instrText xml:space="preserve"> PAGEREF _Toc37258889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4105415C" w14:textId="7C6661A6">
          <w:pPr>
            <w:pStyle w:val="TOC1"/>
            <w:tabs>
              <w:tab w:val="left" w:pos="660"/>
              <w:tab w:val="right" w:leader="dot" w:pos="10070"/>
            </w:tabs>
            <w:rPr>
              <w:rFonts w:asciiTheme="minorHAnsi" w:hAnsiTheme="minorHAnsi" w:eastAsiaTheme="minorEastAsia"/>
              <w:noProof/>
              <w:sz w:val="22"/>
            </w:rPr>
          </w:pPr>
          <w:hyperlink w:history="1" w:anchor="_Toc37258890">
            <w:r w:rsidRPr="00E37425" w:rsidR="00E36627">
              <w:rPr>
                <w:rStyle w:val="Hyperlink"/>
                <w:noProof/>
              </w:rPr>
              <w:t>18.</w:t>
            </w:r>
            <w:r w:rsidR="00E36627">
              <w:rPr>
                <w:rFonts w:asciiTheme="minorHAnsi" w:hAnsiTheme="minorHAnsi" w:eastAsiaTheme="minorEastAsia"/>
                <w:noProof/>
                <w:sz w:val="22"/>
              </w:rPr>
              <w:tab/>
            </w:r>
            <w:r w:rsidRPr="00E37425" w:rsidR="00E36627">
              <w:rPr>
                <w:rStyle w:val="Hyperlink"/>
                <w:noProof/>
              </w:rPr>
              <w:t>Exceptions to Certification for Paperwork Reduction Act Submissions</w:t>
            </w:r>
            <w:r w:rsidR="00E36627">
              <w:rPr>
                <w:noProof/>
                <w:webHidden/>
              </w:rPr>
              <w:tab/>
            </w:r>
            <w:r w:rsidR="00E36627">
              <w:rPr>
                <w:noProof/>
                <w:webHidden/>
              </w:rPr>
              <w:fldChar w:fldCharType="begin"/>
            </w:r>
            <w:r w:rsidR="00E36627">
              <w:rPr>
                <w:noProof/>
                <w:webHidden/>
              </w:rPr>
              <w:instrText xml:space="preserve"> PAGEREF _Toc37258890 \h </w:instrText>
            </w:r>
            <w:r w:rsidR="00E36627">
              <w:rPr>
                <w:noProof/>
                <w:webHidden/>
              </w:rPr>
            </w:r>
            <w:r w:rsidR="00E36627">
              <w:rPr>
                <w:noProof/>
                <w:webHidden/>
              </w:rPr>
              <w:fldChar w:fldCharType="separate"/>
            </w:r>
            <w:r w:rsidR="00E36627">
              <w:rPr>
                <w:noProof/>
                <w:webHidden/>
              </w:rPr>
              <w:t>9</w:t>
            </w:r>
            <w:r w:rsidR="00E36627">
              <w:rPr>
                <w:noProof/>
                <w:webHidden/>
              </w:rPr>
              <w:fldChar w:fldCharType="end"/>
            </w:r>
          </w:hyperlink>
        </w:p>
        <w:p w:rsidR="00E36627" w:rsidRDefault="00213037" w14:paraId="01A93121" w14:textId="7BA846D8">
          <w:pPr>
            <w:pStyle w:val="TOC1"/>
            <w:tabs>
              <w:tab w:val="right" w:leader="dot" w:pos="10070"/>
            </w:tabs>
            <w:rPr>
              <w:rFonts w:asciiTheme="minorHAnsi" w:hAnsiTheme="minorHAnsi" w:eastAsiaTheme="minorEastAsia"/>
              <w:noProof/>
              <w:sz w:val="22"/>
            </w:rPr>
          </w:pPr>
          <w:hyperlink w:history="1" w:anchor="_Toc37258891">
            <w:r w:rsidRPr="00E37425" w:rsidR="00E36627">
              <w:rPr>
                <w:rStyle w:val="Hyperlink"/>
                <w:noProof/>
              </w:rPr>
              <w:t>Attachments</w:t>
            </w:r>
            <w:r w:rsidR="00E36627">
              <w:rPr>
                <w:noProof/>
                <w:webHidden/>
              </w:rPr>
              <w:tab/>
            </w:r>
            <w:r w:rsidR="00E36627">
              <w:rPr>
                <w:noProof/>
                <w:webHidden/>
              </w:rPr>
              <w:fldChar w:fldCharType="begin"/>
            </w:r>
            <w:r w:rsidR="00E36627">
              <w:rPr>
                <w:noProof/>
                <w:webHidden/>
              </w:rPr>
              <w:instrText xml:space="preserve"> PAGEREF _Toc37258891 \h </w:instrText>
            </w:r>
            <w:r w:rsidR="00E36627">
              <w:rPr>
                <w:noProof/>
                <w:webHidden/>
              </w:rPr>
            </w:r>
            <w:r w:rsidR="00E36627">
              <w:rPr>
                <w:noProof/>
                <w:webHidden/>
              </w:rPr>
              <w:fldChar w:fldCharType="separate"/>
            </w:r>
            <w:r w:rsidR="00E36627">
              <w:rPr>
                <w:noProof/>
                <w:webHidden/>
              </w:rPr>
              <w:t>10</w:t>
            </w:r>
            <w:r w:rsidR="00E36627">
              <w:rPr>
                <w:noProof/>
                <w:webHidden/>
              </w:rPr>
              <w:fldChar w:fldCharType="end"/>
            </w:r>
          </w:hyperlink>
        </w:p>
        <w:p w:rsidR="004A13E8" w:rsidRDefault="004A13E8" w14:paraId="55FE17B0" w14:textId="312B431C">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701F9C6C" wp14:anchorId="55FE182F">
                <wp:simplePos x="0" y="0"/>
                <wp:positionH relativeFrom="margin">
                  <wp:align>left</wp:align>
                </wp:positionH>
                <wp:positionV relativeFrom="margin">
                  <wp:align>top</wp:align>
                </wp:positionV>
                <wp:extent cx="6477000" cy="5947410"/>
                <wp:effectExtent l="0" t="0" r="19050" b="15240"/>
                <wp:wrapTight wrapText="bothSides">
                  <wp:wrapPolygon edited="0">
                    <wp:start x="0" y="0"/>
                    <wp:lineTo x="0" y="21586"/>
                    <wp:lineTo x="21600" y="2158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947576"/>
                        </a:xfrm>
                        <a:prstGeom prst="rect">
                          <a:avLst/>
                        </a:prstGeom>
                        <a:solidFill>
                          <a:srgbClr val="FFFFFF"/>
                        </a:solidFill>
                        <a:ln w="9525">
                          <a:solidFill>
                            <a:srgbClr val="000000"/>
                          </a:solidFill>
                          <a:miter lim="800000"/>
                          <a:headEnd/>
                          <a:tailEnd/>
                        </a:ln>
                      </wps:spPr>
                      <wps:txbx>
                        <w:txbxContent>
                          <w:p w:rsidRPr="001A58BE" w:rsidR="001A54F4" w:rsidP="004A13E8" w:rsidRDefault="001A54F4" w14:paraId="55FE1837" w14:textId="7536E20A">
                            <w:pPr>
                              <w:pStyle w:val="Bullets"/>
                              <w:rPr>
                                <w:b/>
                              </w:rPr>
                            </w:pPr>
                            <w:r w:rsidRPr="001A58BE">
                              <w:rPr>
                                <w:b/>
                              </w:rPr>
                              <w:t>Goal of the study:</w:t>
                            </w:r>
                            <w:r>
                              <w:rPr>
                                <w:b/>
                              </w:rPr>
                              <w:t xml:space="preserve"> </w:t>
                            </w:r>
                            <w:r>
                              <w:t>The goal of this information collection is to inform guidance for healthcare facilities to protect the healthcare workforce from the effects of COVID-19, the disease caused by the novel coronavirus SARS-CoV-2. The healthcare workforce is a critical asset during this pandemic. Protecting healthcare personnel (HCP) is an essential component of protecting patients.</w:t>
                            </w:r>
                          </w:p>
                          <w:p w:rsidRPr="001A58BE" w:rsidR="001A54F4" w:rsidP="004A13E8" w:rsidRDefault="001A54F4" w14:paraId="55FE1838" w14:textId="57B81569">
                            <w:pPr>
                              <w:pStyle w:val="Bullets"/>
                              <w:rPr>
                                <w:b/>
                              </w:rPr>
                            </w:pPr>
                            <w:r w:rsidRPr="001A58BE">
                              <w:rPr>
                                <w:b/>
                              </w:rPr>
                              <w:t>Intended use of the resulting data:</w:t>
                            </w:r>
                            <w:r>
                              <w:rPr>
                                <w:b/>
                              </w:rPr>
                              <w:t xml:space="preserve"> </w:t>
                            </w:r>
                            <w:r w:rsidRPr="00530D46">
                              <w:t>The data collected from this project will be used to</w:t>
                            </w:r>
                            <w:r>
                              <w:t xml:space="preserve"> inform guidance for healthcare facilities to protect the healthcare workforce—a critical asset during this pandemic.  Additionally, data will be used to</w:t>
                            </w:r>
                            <w:r w:rsidRPr="00530D46">
                              <w:t xml:space="preserve">: 1) determine the extent of COVID-19 among </w:t>
                            </w:r>
                            <w:r>
                              <w:t>HCP</w:t>
                            </w:r>
                            <w:r w:rsidRPr="00530D46">
                              <w:t xml:space="preserve"> </w:t>
                            </w:r>
                            <w:r w:rsidR="00B97E24">
                              <w:t xml:space="preserve">from a subset of </w:t>
                            </w:r>
                            <w:r w:rsidRPr="00530D46">
                              <w:t>U.S. healthcare facilities; 2) describe characteristics of HCP infected with SARS-CoV-2, including clinical activities and personal protective equipment (PPE) use; and 3) compare exposures and other characteristics of HCP cases and HCP</w:t>
                            </w:r>
                            <w:r w:rsidR="009407DE">
                              <w:t xml:space="preserve"> non-cases (HCP who tested negative for SARS-CoV-2) </w:t>
                            </w:r>
                            <w:r w:rsidRPr="00530D46">
                              <w:t xml:space="preserve"> to identify risk factors or protective factors for COVID-19.  </w:t>
                            </w:r>
                          </w:p>
                          <w:p w:rsidRPr="001A58BE" w:rsidR="001A54F4" w:rsidP="004A13E8" w:rsidRDefault="001A54F4" w14:paraId="55FE1839" w14:textId="28FDA235">
                            <w:pPr>
                              <w:pStyle w:val="Bullets"/>
                              <w:rPr>
                                <w:b/>
                              </w:rPr>
                            </w:pPr>
                            <w:r w:rsidRPr="001A58BE">
                              <w:rPr>
                                <w:b/>
                              </w:rPr>
                              <w:t>Methods to be used to collect:</w:t>
                            </w:r>
                            <w:r>
                              <w:rPr>
                                <w:b/>
                              </w:rPr>
                              <w:t xml:space="preserve"> </w:t>
                            </w:r>
                            <w:r>
                              <w:t>There are two components of this project: Option 1 is prospective surveillance for HCP with COVID-19. Option 2 is a HCP case/non-case comparison. The project will be conducted by the Emerging Infections Program (EIP), a network of 10 state health departments and their local public health and academic partners. For option 1, EIP staff will obtain lists of HCP COVID-19 cases from state or local health departments, or from occupational health departments or infection control programs in participating healthcare facilities. For option 2, in selected healthcare facilities in which HCP</w:t>
                            </w:r>
                            <w:r w:rsidR="009407DE">
                              <w:t xml:space="preserve"> non-cases</w:t>
                            </w:r>
                            <w:r>
                              <w:t xml:space="preserve"> are also included, lists will be obtained from occupational health departments or infection control programs. For options 1 and 2, EIP staff will interview HCP</w:t>
                            </w:r>
                            <w:r w:rsidR="009407DE">
                              <w:t xml:space="preserve"> cases and non-cases</w:t>
                            </w:r>
                            <w:r>
                              <w:t xml:space="preserve"> by telephone or will send HCP an electronic form to complete (e.g., REDCap survey). </w:t>
                            </w:r>
                          </w:p>
                          <w:p w:rsidRPr="001A58BE" w:rsidR="001A54F4" w:rsidP="004A13E8" w:rsidRDefault="001A54F4" w14:paraId="55FE183A" w14:textId="05B6333E">
                            <w:pPr>
                              <w:pStyle w:val="Bullets"/>
                              <w:rPr>
                                <w:b/>
                              </w:rPr>
                            </w:pPr>
                            <w:r w:rsidRPr="001A58BE">
                              <w:rPr>
                                <w:b/>
                              </w:rPr>
                              <w:t>The subpopulation to be studied:</w:t>
                            </w:r>
                            <w:r>
                              <w:t xml:space="preserve"> The subpopulation includes HCP participating in the delivery of care to COVID-19 patients in healthcare facilities.</w:t>
                            </w:r>
                          </w:p>
                          <w:p w:rsidRPr="001A58BE" w:rsidR="001A54F4" w:rsidP="004A13E8" w:rsidRDefault="001A54F4" w14:paraId="55FE183C" w14:textId="6CE5FB80">
                            <w:pPr>
                              <w:pStyle w:val="Bullets"/>
                              <w:rPr>
                                <w:b/>
                              </w:rPr>
                            </w:pPr>
                            <w:r w:rsidRPr="001A58BE">
                              <w:rPr>
                                <w:b/>
                              </w:rPr>
                              <w:t>How data will be analyzed:</w:t>
                            </w:r>
                            <w:r>
                              <w:rPr>
                                <w:b/>
                              </w:rPr>
                              <w:t xml:space="preserve"> </w:t>
                            </w:r>
                            <w:r>
                              <w:t xml:space="preserve">(e.g., logistic regression) </w:t>
                            </w:r>
                            <w:r w:rsidRPr="00913A75">
                              <w:t>Data will be aggregated across participating EIP sites and healthcare facilities for analyses</w:t>
                            </w:r>
                            <w:r>
                              <w:t xml:space="preserve">. </w:t>
                            </w:r>
                            <w:r w:rsidRPr="00913A75">
                              <w:t>Descriptive</w:t>
                            </w:r>
                            <w:r>
                              <w:t xml:space="preserve"> analyses and multivariable</w:t>
                            </w:r>
                            <w:r w:rsidRPr="00913A75">
                              <w:t xml:space="preserve"> </w:t>
                            </w:r>
                            <w:r>
                              <w:t xml:space="preserve">logistic regression modeling will </w:t>
                            </w:r>
                            <w:r w:rsidRPr="00913A75">
                              <w:t xml:space="preserve">be performed. </w:t>
                            </w:r>
                          </w:p>
                          <w:p w:rsidR="001A54F4" w:rsidP="004A13E8" w:rsidRDefault="001A54F4"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468.3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">
                <v:textbox>
                  <w:txbxContent>
                    <w:p w:rsidRPr="001A58BE" w:rsidR="001A54F4" w:rsidP="004A13E8" w:rsidRDefault="001A54F4" w14:paraId="55FE1837" w14:textId="7536E20A">
                      <w:pPr>
                        <w:pStyle w:val="Bullets"/>
                        <w:rPr>
                          <w:b/>
                        </w:rPr>
                      </w:pPr>
                      <w:r w:rsidRPr="001A58BE">
                        <w:rPr>
                          <w:b/>
                        </w:rPr>
                        <w:t>Goal of the study:</w:t>
                      </w:r>
                      <w:r>
                        <w:rPr>
                          <w:b/>
                        </w:rPr>
                        <w:t xml:space="preserve"> </w:t>
                      </w:r>
                      <w:r>
                        <w:t>The goal of this information collection is to inform guidance for healthcare facilities to protect the healthcare workforce from the effects of COVID-19, the disease caused by the novel coronavirus SARS-CoV-2. The healthcare workforce is a critical asset during this pandemic. Protecting healthcare personnel (HCP) is an essential component of protecting patients.</w:t>
                      </w:r>
                    </w:p>
                    <w:p w:rsidRPr="001A58BE" w:rsidR="001A54F4" w:rsidP="004A13E8" w:rsidRDefault="001A54F4" w14:paraId="55FE1838" w14:textId="57B81569">
                      <w:pPr>
                        <w:pStyle w:val="Bullets"/>
                        <w:rPr>
                          <w:b/>
                        </w:rPr>
                      </w:pPr>
                      <w:r w:rsidRPr="001A58BE">
                        <w:rPr>
                          <w:b/>
                        </w:rPr>
                        <w:t>Intended use of the resulting data:</w:t>
                      </w:r>
                      <w:r>
                        <w:rPr>
                          <w:b/>
                        </w:rPr>
                        <w:t xml:space="preserve"> </w:t>
                      </w:r>
                      <w:r w:rsidRPr="00530D46">
                        <w:t>The data collected from this project will be used to</w:t>
                      </w:r>
                      <w:r>
                        <w:t xml:space="preserve"> inform guidance for healthcare facilities to protect the healthcare workforce—a critical asset during this pandemic.  Additionally, data will be used to</w:t>
                      </w:r>
                      <w:r w:rsidRPr="00530D46">
                        <w:t xml:space="preserve">: 1) determine the extent of COVID-19 among </w:t>
                      </w:r>
                      <w:r>
                        <w:t>HCP</w:t>
                      </w:r>
                      <w:r w:rsidRPr="00530D46">
                        <w:t xml:space="preserve"> </w:t>
                      </w:r>
                      <w:r w:rsidR="00B97E24">
                        <w:t xml:space="preserve">from a subset of </w:t>
                      </w:r>
                      <w:r w:rsidRPr="00530D46">
                        <w:t>U.S. healthcare facilities; 2) describe characteristics of HCP infected with SARS-CoV-2, including clinical activities and personal protective equipment (PPE) use; and 3) compare exposures and other characteristics of HCP cases and HCP</w:t>
                      </w:r>
                      <w:r w:rsidR="009407DE">
                        <w:t xml:space="preserve"> non-cases (HCP who tested negative for SARS-CoV-2) </w:t>
                      </w:r>
                      <w:r w:rsidRPr="00530D46">
                        <w:t xml:space="preserve"> to identify risk factors or protective factors for COVID-19.  </w:t>
                      </w:r>
                    </w:p>
                    <w:p w:rsidRPr="001A58BE" w:rsidR="001A54F4" w:rsidP="004A13E8" w:rsidRDefault="001A54F4" w14:paraId="55FE1839" w14:textId="28FDA235">
                      <w:pPr>
                        <w:pStyle w:val="Bullets"/>
                        <w:rPr>
                          <w:b/>
                        </w:rPr>
                      </w:pPr>
                      <w:r w:rsidRPr="001A58BE">
                        <w:rPr>
                          <w:b/>
                        </w:rPr>
                        <w:t>Methods to be used to collect:</w:t>
                      </w:r>
                      <w:r>
                        <w:rPr>
                          <w:b/>
                        </w:rPr>
                        <w:t xml:space="preserve"> </w:t>
                      </w:r>
                      <w:r>
                        <w:t>There are two components of this project: Option 1 is prospective surveillance for HCP with COVID-19. Option 2 is a HCP case/non-case comparison. The project will be conducted by the Emerging Infections Program (EIP), a network of 10 state health departments and their local public health and academic partners. For option 1, EIP staff will obtain lists of HCP COVID-19 cases from state or local health departments, or from occupational health departments or infection control programs in participating healthcare facilities. For option 2, in selected healthcare facilities in which HCP</w:t>
                      </w:r>
                      <w:r w:rsidR="009407DE">
                        <w:t xml:space="preserve"> non-cases</w:t>
                      </w:r>
                      <w:r>
                        <w:t xml:space="preserve"> are also included, lists will be obtained from occupational health departments or infection control programs. For options 1 and 2, EIP staff will interview HCP</w:t>
                      </w:r>
                      <w:r w:rsidR="009407DE">
                        <w:t xml:space="preserve"> cases and non-cases</w:t>
                      </w:r>
                      <w:r>
                        <w:t xml:space="preserve"> by telephone or will send HCP an electronic form to complete (e.g., REDCap survey). </w:t>
                      </w:r>
                    </w:p>
                    <w:p w:rsidRPr="001A58BE" w:rsidR="001A54F4" w:rsidP="004A13E8" w:rsidRDefault="001A54F4" w14:paraId="55FE183A" w14:textId="05B6333E">
                      <w:pPr>
                        <w:pStyle w:val="Bullets"/>
                        <w:rPr>
                          <w:b/>
                        </w:rPr>
                      </w:pPr>
                      <w:r w:rsidRPr="001A58BE">
                        <w:rPr>
                          <w:b/>
                        </w:rPr>
                        <w:t>The subpopulation to be studied:</w:t>
                      </w:r>
                      <w:r>
                        <w:t xml:space="preserve"> The subpopulation includes HCP participating in the delivery of care to COVID-19 patients in healthcare facilities.</w:t>
                      </w:r>
                    </w:p>
                    <w:p w:rsidRPr="001A58BE" w:rsidR="001A54F4" w:rsidP="004A13E8" w:rsidRDefault="001A54F4" w14:paraId="55FE183C" w14:textId="6CE5FB80">
                      <w:pPr>
                        <w:pStyle w:val="Bullets"/>
                        <w:rPr>
                          <w:b/>
                        </w:rPr>
                      </w:pPr>
                      <w:r w:rsidRPr="001A58BE">
                        <w:rPr>
                          <w:b/>
                        </w:rPr>
                        <w:t>How data will be analyzed:</w:t>
                      </w:r>
                      <w:r>
                        <w:rPr>
                          <w:b/>
                        </w:rPr>
                        <w:t xml:space="preserve"> </w:t>
                      </w:r>
                      <w:r>
                        <w:t xml:space="preserve">(e.g., logistic regression) </w:t>
                      </w:r>
                      <w:r w:rsidRPr="00913A75">
                        <w:t>Data will be aggregated across participating EIP sites and healthcare facilities for analyses</w:t>
                      </w:r>
                      <w:r>
                        <w:t xml:space="preserve">. </w:t>
                      </w:r>
                      <w:r w:rsidRPr="00913A75">
                        <w:t>Descriptive</w:t>
                      </w:r>
                      <w:r>
                        <w:t xml:space="preserve"> analyses and multivariable</w:t>
                      </w:r>
                      <w:r w:rsidRPr="00913A75">
                        <w:t xml:space="preserve"> </w:t>
                      </w:r>
                      <w:r>
                        <w:t xml:space="preserve">logistic regression modeling will </w:t>
                      </w:r>
                      <w:r w:rsidRPr="00913A75">
                        <w:t xml:space="preserve">be performed. </w:t>
                      </w:r>
                    </w:p>
                    <w:p w:rsidR="001A54F4" w:rsidP="004A13E8" w:rsidRDefault="001A54F4" w14:paraId="55FE183D" w14:textId="77777777"/>
                  </w:txbxContent>
                </v:textbox>
                <w10:wrap type="tight" anchorx="margin" anchory="margin"/>
              </v:shape>
            </w:pict>
          </mc:Fallback>
        </mc:AlternateContent>
      </w:r>
    </w:p>
    <w:p w:rsidR="004A13E8" w:rsidP="004A13E8" w:rsidRDefault="004A13E8" w14:paraId="55FE17B3" w14:textId="77777777">
      <w:pPr>
        <w:pStyle w:val="Heading1"/>
      </w:pPr>
      <w:bookmarkStart w:name="_Toc37258873" w:id="3"/>
      <w:r w:rsidRPr="004A13E8">
        <w:t>Circumstances Making the Collection of Information Necessary</w:t>
      </w:r>
      <w:bookmarkEnd w:id="3"/>
    </w:p>
    <w:p w:rsidRPr="00D53CBD" w:rsidR="009609A1" w:rsidP="00D53CBD" w:rsidRDefault="009609A1" w14:paraId="1C392EBF" w14:textId="376164FB">
      <w:r>
        <w:t>The Centers for Disease Control and Prevention (CDC), National Center for Emerging and Zoonotic Infectious Diseases (NCEZID), Division of Healthcare Quality Promotion (DHQP) requests a</w:t>
      </w:r>
      <w:r w:rsidR="009C6E93">
        <w:t xml:space="preserve"> 180-day</w:t>
      </w:r>
      <w:r>
        <w:t xml:space="preserve"> emergency approval for a </w:t>
      </w:r>
      <w:r w:rsidR="009C6E93">
        <w:t>n</w:t>
      </w:r>
      <w:r w:rsidRPr="00417C9C">
        <w:t xml:space="preserve">ew </w:t>
      </w:r>
      <w:r w:rsidR="009C6E93">
        <w:t>i</w:t>
      </w:r>
      <w:r w:rsidRPr="00417C9C">
        <w:t xml:space="preserve">nformation </w:t>
      </w:r>
      <w:r w:rsidR="009C6E93">
        <w:t>c</w:t>
      </w:r>
      <w:r w:rsidRPr="00417C9C">
        <w:t>ollection</w:t>
      </w:r>
      <w:r>
        <w:t>, “</w:t>
      </w:r>
      <w:r w:rsidR="00D53CBD">
        <w:t>Emerging Infections Program Tracking of SARS-CoV-2 Infections among Healthcare Personnel</w:t>
      </w:r>
      <w:r w:rsidR="009C6E93">
        <w:t>.</w:t>
      </w:r>
      <w:r w:rsidR="00D53CBD">
        <w:t xml:space="preserve">” </w:t>
      </w:r>
    </w:p>
    <w:p w:rsidR="00D53CBD" w:rsidP="00D53CBD" w:rsidRDefault="00D53CBD" w14:paraId="430DB4FD" w14:textId="1FFC41F5">
      <w:r>
        <w:t xml:space="preserve">Since the World Health Organization was first notified of a cluster of respiratory infections in Wuhan City, China on December 31, 2019, the novel coronavirus, SARS-CoV-2, has caused more than </w:t>
      </w:r>
      <w:r w:rsidR="003D6AC9">
        <w:t>8</w:t>
      </w:r>
      <w:r w:rsidR="009407DE">
        <w:t>2</w:t>
      </w:r>
      <w:r w:rsidR="005427F5">
        <w:t>0</w:t>
      </w:r>
      <w:r>
        <w:t xml:space="preserve">,000 infections and </w:t>
      </w:r>
      <w:r w:rsidR="009407DE">
        <w:t>45</w:t>
      </w:r>
      <w:r w:rsidR="005427F5">
        <w:t>,</w:t>
      </w:r>
      <w:r w:rsidR="003D6AC9">
        <w:t>0</w:t>
      </w:r>
      <w:r w:rsidR="005427F5">
        <w:t>00</w:t>
      </w:r>
      <w:r>
        <w:t xml:space="preserve"> deaths in the United States</w:t>
      </w:r>
      <w:r w:rsidR="009C6E93">
        <w:t xml:space="preserve"> (U.S.)</w:t>
      </w:r>
      <w:r>
        <w:t xml:space="preserve"> and more than </w:t>
      </w:r>
      <w:r w:rsidR="009407DE">
        <w:t>2</w:t>
      </w:r>
      <w:r w:rsidR="005427F5">
        <w:t>,</w:t>
      </w:r>
      <w:r w:rsidR="009407DE">
        <w:t>5</w:t>
      </w:r>
      <w:r w:rsidR="005427F5">
        <w:t>00,000</w:t>
      </w:r>
      <w:r>
        <w:t xml:space="preserve"> infections and </w:t>
      </w:r>
      <w:r w:rsidR="009407DE">
        <w:t>170</w:t>
      </w:r>
      <w:r w:rsidR="005427F5">
        <w:t>,000</w:t>
      </w:r>
      <w:r>
        <w:t xml:space="preserve"> deaths worldwide as of April </w:t>
      </w:r>
      <w:r w:rsidR="009407DE">
        <w:t>21</w:t>
      </w:r>
      <w:r>
        <w:t xml:space="preserve">, 2020. Overall, 20–30% of cases in the </w:t>
      </w:r>
      <w:r w:rsidR="009C6E93">
        <w:t>U.S.</w:t>
      </w:r>
      <w:r>
        <w:t xml:space="preserve"> have required </w:t>
      </w:r>
      <w:r>
        <w:lastRenderedPageBreak/>
        <w:t>hospitalization, resulting in a huge burden on healthcare personnel (HCP) and U.S. healthcare systems</w:t>
      </w:r>
      <w:r w:rsidR="0097222D">
        <w:t xml:space="preserve"> (</w:t>
      </w:r>
      <w:hyperlink w:history="1" r:id="rId12">
        <w:r w:rsidRPr="0003119A" w:rsidR="0097222D">
          <w:rPr>
            <w:rStyle w:val="Hyperlink"/>
          </w:rPr>
          <w:t>https://www.cdc.gov/mmwr/volumes/69/wr/mm6912e2.htm</w:t>
        </w:r>
      </w:hyperlink>
      <w:r w:rsidR="0097222D">
        <w:t>)</w:t>
      </w:r>
      <w:r>
        <w:t>.</w:t>
      </w:r>
      <w:r w:rsidR="0097222D">
        <w:t xml:space="preserve"> </w:t>
      </w:r>
      <w:r>
        <w:t xml:space="preserve"> </w:t>
      </w:r>
    </w:p>
    <w:p w:rsidR="00D53CBD" w:rsidP="00D53CBD" w:rsidRDefault="00D53CBD" w14:paraId="16665496" w14:textId="4DC6AEF9">
      <w:r>
        <w:t xml:space="preserve">HCP are at risk of contracting </w:t>
      </w:r>
      <w:r w:rsidR="009C6E93">
        <w:t>COVID-19</w:t>
      </w:r>
      <w:r w:rsidR="003075AF">
        <w:t>, the disease caused by SARS-CoV-2,</w:t>
      </w:r>
      <w:r>
        <w:t xml:space="preserve"> during their interactions with patients with suspected or confirmed infection with COVID-19 or patients with unrecognized infection. A recent contact investigation conducted by a hospital, local and state health departments, and the Centers for Disease Control and Prevention (CDC), identified 121 HCP with high, medium, or low risk exposures (classified according to CDC guidance for HCP with potential exposure to patients with COVID-19) to a single COVID-19 hospitalized patient (the first individual infected based on community transmission of </w:t>
      </w:r>
      <w:r w:rsidR="00503EFF">
        <w:t>COVID-19</w:t>
      </w:r>
      <w:r>
        <w:t>) in Solano County, California</w:t>
      </w:r>
      <w:r w:rsidR="003075AF">
        <w:t xml:space="preserve"> (OMB Control No. 0920-1011, expiration date 04/2</w:t>
      </w:r>
      <w:r w:rsidR="005771D8">
        <w:t>3</w:t>
      </w:r>
      <w:r w:rsidR="003075AF">
        <w:t>/2020)</w:t>
      </w:r>
      <w:r>
        <w:t xml:space="preserve">. Of these exposed HCP, 43 developed symptoms consistent with COVID-19 and three tested positive for SARS-CoV-2. Similar events have occurred in many other jurisdictions across the </w:t>
      </w:r>
      <w:r w:rsidR="00503EFF">
        <w:t>U.S</w:t>
      </w:r>
      <w:r w:rsidR="009B6445">
        <w:t>.</w:t>
      </w:r>
      <w:r>
        <w:t xml:space="preserve"> </w:t>
      </w:r>
    </w:p>
    <w:p w:rsidR="00D53CBD" w:rsidP="00D53CBD" w:rsidRDefault="00D53CBD" w14:paraId="00DD67EC" w14:textId="735AF0EB">
      <w:r>
        <w:t>Given the novel nature of this virus, little is known about specific risk factors for SARS-CoV-2 transmission, particularly among HCP exposed in healthcare facilities. Furthermore, as community transmission has become widespread and hospitals and other healthcare facilities are caring for rapidly increasing numbers of infected patients, the</w:t>
      </w:r>
      <w:r w:rsidR="0006310A">
        <w:t xml:space="preserve"> </w:t>
      </w:r>
      <w:r w:rsidR="00C86BAA">
        <w:t>incidence</w:t>
      </w:r>
      <w:r w:rsidR="0006310A">
        <w:t xml:space="preserve"> of </w:t>
      </w:r>
      <w:r w:rsidR="00C86BAA">
        <w:t>COVID-19</w:t>
      </w:r>
      <w:r w:rsidR="0006310A">
        <w:t xml:space="preserve"> </w:t>
      </w:r>
      <w:r>
        <w:t>among HCP remain</w:t>
      </w:r>
      <w:r w:rsidR="00C86BAA">
        <w:t>s</w:t>
      </w:r>
      <w:r>
        <w:t xml:space="preserve"> unclear. Additional information about characteristics of infected HCPs and </w:t>
      </w:r>
      <w:r w:rsidR="00E65ED7">
        <w:t xml:space="preserve">any </w:t>
      </w:r>
      <w:r>
        <w:t>associated risk and protective factors is urgently needed to inform guidance for healthcare facilities to protect the healthcare workforce</w:t>
      </w:r>
      <w:r w:rsidR="00212323">
        <w:t>—</w:t>
      </w:r>
      <w:r w:rsidR="00346F06">
        <w:t xml:space="preserve">a critical asset during this pandemic. The </w:t>
      </w:r>
      <w:r w:rsidR="00212323">
        <w:t xml:space="preserve">safety of U.S. </w:t>
      </w:r>
      <w:r w:rsidR="00346F06">
        <w:t>HCP</w:t>
      </w:r>
      <w:r w:rsidR="00212323">
        <w:t xml:space="preserve"> </w:t>
      </w:r>
      <w:r w:rsidR="00851DDD">
        <w:t>has been recognized as a national priority by</w:t>
      </w:r>
      <w:r w:rsidR="00212323">
        <w:t xml:space="preserve"> </w:t>
      </w:r>
      <w:r w:rsidR="00851DDD">
        <w:t>a</w:t>
      </w:r>
      <w:r w:rsidR="00212323">
        <w:t xml:space="preserve"> congressional committee</w:t>
      </w:r>
      <w:r w:rsidR="00851DDD">
        <w:t xml:space="preserve"> </w:t>
      </w:r>
      <w:r w:rsidR="004F7540">
        <w:t>and members</w:t>
      </w:r>
      <w:r w:rsidR="00851DDD">
        <w:t xml:space="preserve"> of</w:t>
      </w:r>
      <w:r w:rsidR="00EC5325">
        <w:t xml:space="preserve"> congress </w:t>
      </w:r>
      <w:r w:rsidR="00851DDD">
        <w:t xml:space="preserve">have contacted CDC to </w:t>
      </w:r>
      <w:r w:rsidR="00EC5325">
        <w:t xml:space="preserve">requesting actions to protect. HCP during this pandemic. </w:t>
      </w:r>
      <w:r w:rsidR="00212323">
        <w:t xml:space="preserve">  </w:t>
      </w:r>
    </w:p>
    <w:p w:rsidR="00FE7579" w:rsidP="00FE7579" w:rsidRDefault="00FE7579" w14:paraId="597FA6AC" w14:textId="77777777">
      <w:pPr>
        <w:rPr>
          <w:sz w:val="22"/>
        </w:rPr>
      </w:pPr>
      <w:r>
        <w:t>This data collection is authorized under section 301 of the Public Health Service (PHS) Act, [42 U.S.C. section 241(a)] (Attachment 1).</w:t>
      </w:r>
    </w:p>
    <w:p w:rsidR="004A13E8" w:rsidP="004A13E8" w:rsidRDefault="004A13E8" w14:paraId="55FE17B7" w14:textId="77777777">
      <w:pPr>
        <w:pStyle w:val="Heading1"/>
      </w:pPr>
      <w:bookmarkStart w:name="_Toc36930648" w:id="4"/>
      <w:bookmarkStart w:name="_Toc37258874" w:id="5"/>
      <w:bookmarkEnd w:id="4"/>
      <w:r>
        <w:t>Purpose and Use of Information Collection</w:t>
      </w:r>
      <w:bookmarkEnd w:id="5"/>
    </w:p>
    <w:p w:rsidR="009C4127" w:rsidP="00EF35DB" w:rsidRDefault="009C4127" w14:paraId="755B8E69" w14:textId="02D9675A">
      <w:r>
        <w:t xml:space="preserve">We propose to conduct tracking </w:t>
      </w:r>
      <w:r w:rsidR="00295C00">
        <w:t xml:space="preserve">and interviews </w:t>
      </w:r>
      <w:r>
        <w:t xml:space="preserve">of HCP </w:t>
      </w:r>
      <w:r w:rsidR="00295C00">
        <w:t xml:space="preserve">with </w:t>
      </w:r>
      <w:r>
        <w:t xml:space="preserve">COVID-19 </w:t>
      </w:r>
      <w:r w:rsidR="00295C00">
        <w:t>(</w:t>
      </w:r>
      <w:r>
        <w:t>cases</w:t>
      </w:r>
      <w:r w:rsidR="00295C00">
        <w:t>)</w:t>
      </w:r>
      <w:r>
        <w:t xml:space="preserve"> and exposed HCP without COVID-19</w:t>
      </w:r>
      <w:r w:rsidR="00295C00">
        <w:t xml:space="preserve"> (non-cases)</w:t>
      </w:r>
      <w:r>
        <w:t xml:space="preserve"> to </w:t>
      </w:r>
      <w:r w:rsidR="0006310A">
        <w:t xml:space="preserve">describe characteristics of HCP with COVID-19 </w:t>
      </w:r>
      <w:r>
        <w:t xml:space="preserve"> </w:t>
      </w:r>
      <w:r w:rsidR="00F650BF">
        <w:t xml:space="preserve">and identify factors associated with development of COVID-19 among HCP </w:t>
      </w:r>
      <w:r>
        <w:t xml:space="preserve">of </w:t>
      </w:r>
      <w:r w:rsidR="00F650BF">
        <w:t xml:space="preserve">healthcare </w:t>
      </w:r>
      <w:r>
        <w:t>facilities</w:t>
      </w:r>
      <w:r w:rsidR="00F650BF">
        <w:t xml:space="preserve"> within catchment areas of CDC’s Emerging Infection Program (EIP)</w:t>
      </w:r>
      <w:r w:rsidR="00C03B52">
        <w:t xml:space="preserve"> Healthcare-Associated Infections-Community Interface Activity (HAIC)</w:t>
      </w:r>
      <w:r w:rsidR="00EF35DB">
        <w:t xml:space="preserve">, a network of 10 state health departments and their local </w:t>
      </w:r>
      <w:r w:rsidR="005427F5">
        <w:t xml:space="preserve">public health </w:t>
      </w:r>
      <w:r w:rsidR="00EF35DB">
        <w:t xml:space="preserve">and academic partners.  </w:t>
      </w:r>
    </w:p>
    <w:p w:rsidR="00EF35DB" w:rsidP="003D6AC9" w:rsidRDefault="00F3082C" w14:paraId="27416487" w14:textId="695EA476">
      <w:r>
        <w:t>The EIP</w:t>
      </w:r>
      <w:r w:rsidR="00C03B52">
        <w:t xml:space="preserve"> conducts population-based surveillance for community and healthcare-associated pathogens of public health importance, which</w:t>
      </w:r>
      <w:r>
        <w:t xml:space="preserve"> is currently approved under </w:t>
      </w:r>
      <w:r w:rsidR="005A4F64">
        <w:t>OMB Control No. 0920-0978</w:t>
      </w:r>
      <w:r>
        <w:t xml:space="preserve"> (</w:t>
      </w:r>
      <w:r w:rsidR="005A4F64">
        <w:t>expiration date: 04/30/2022</w:t>
      </w:r>
      <w:r w:rsidR="00B64A37">
        <w:rPr>
          <w:rFonts w:cs="Times New Roman"/>
          <w:color w:val="000000" w:themeColor="text1"/>
          <w:szCs w:val="24"/>
        </w:rPr>
        <w:t>)</w:t>
      </w:r>
      <w:r w:rsidRPr="00A9443D" w:rsidR="00B64A37">
        <w:rPr>
          <w:rFonts w:cs="Times New Roman"/>
          <w:color w:val="000000" w:themeColor="text1"/>
          <w:szCs w:val="24"/>
        </w:rPr>
        <w:t xml:space="preserve">. </w:t>
      </w:r>
      <w:r w:rsidR="00C03B52">
        <w:rPr>
          <w:rFonts w:cs="Times New Roman"/>
          <w:color w:val="000000" w:themeColor="text1"/>
          <w:szCs w:val="24"/>
        </w:rPr>
        <w:t>The EIP also conducts special projects pertaining to the prevalence of healthcare-associated infections and antimicrobial use in hospitals (No. 0920-0852</w:t>
      </w:r>
      <w:r w:rsidR="005F33F9">
        <w:rPr>
          <w:rFonts w:cs="Times New Roman"/>
          <w:color w:val="000000" w:themeColor="text1"/>
          <w:szCs w:val="24"/>
        </w:rPr>
        <w:t>; expiration date:</w:t>
      </w:r>
      <w:r w:rsidR="00C50FB6">
        <w:rPr>
          <w:rFonts w:cs="Times New Roman"/>
          <w:color w:val="000000" w:themeColor="text1"/>
          <w:szCs w:val="24"/>
        </w:rPr>
        <w:t xml:space="preserve"> 10/31/2022</w:t>
      </w:r>
      <w:r w:rsidR="00C03B52">
        <w:rPr>
          <w:rFonts w:cs="Times New Roman"/>
          <w:color w:val="000000" w:themeColor="text1"/>
          <w:szCs w:val="24"/>
        </w:rPr>
        <w:t>) and nursing homes (No. 0920-</w:t>
      </w:r>
      <w:r w:rsidR="005F33F9">
        <w:rPr>
          <w:rFonts w:cs="Times New Roman"/>
          <w:color w:val="000000" w:themeColor="text1"/>
          <w:szCs w:val="24"/>
        </w:rPr>
        <w:t>1165</w:t>
      </w:r>
      <w:r w:rsidR="00C50FB6">
        <w:rPr>
          <w:rFonts w:cs="Times New Roman"/>
          <w:color w:val="000000" w:themeColor="text1"/>
          <w:szCs w:val="24"/>
        </w:rPr>
        <w:t>; expiration date: 02/29/2020)</w:t>
      </w:r>
      <w:r w:rsidR="00C03B52">
        <w:rPr>
          <w:rFonts w:cs="Times New Roman"/>
          <w:color w:val="000000" w:themeColor="text1"/>
          <w:szCs w:val="24"/>
        </w:rPr>
        <w:t xml:space="preserve">. </w:t>
      </w:r>
      <w:r w:rsidRPr="00A9443D" w:rsidR="005A4F64">
        <w:rPr>
          <w:rFonts w:cs="Times New Roman"/>
          <w:color w:val="000000" w:themeColor="text1"/>
          <w:szCs w:val="24"/>
        </w:rPr>
        <w:t xml:space="preserve">EIPs assist in local, state, and national efforts to prevent, control, and monitor the public health impact of infectious diseases. </w:t>
      </w:r>
      <w:r w:rsidR="00C03B52">
        <w:rPr>
          <w:rFonts w:cs="Times New Roman"/>
          <w:color w:val="000000" w:themeColor="text1"/>
          <w:szCs w:val="24"/>
        </w:rPr>
        <w:t>In addition to population-based surveillance</w:t>
      </w:r>
      <w:r w:rsidR="005368C9">
        <w:rPr>
          <w:rFonts w:cs="Times New Roman"/>
          <w:color w:val="000000" w:themeColor="text1"/>
          <w:szCs w:val="24"/>
        </w:rPr>
        <w:t>,</w:t>
      </w:r>
      <w:r w:rsidR="00C03B52">
        <w:rPr>
          <w:rFonts w:cs="Times New Roman"/>
          <w:color w:val="000000" w:themeColor="text1"/>
          <w:szCs w:val="24"/>
        </w:rPr>
        <w:t xml:space="preserve"> </w:t>
      </w:r>
      <w:r w:rsidR="00851DDD">
        <w:rPr>
          <w:rFonts w:cs="Times New Roman"/>
          <w:color w:val="000000" w:themeColor="text1"/>
          <w:szCs w:val="24"/>
        </w:rPr>
        <w:t>the EIP sites</w:t>
      </w:r>
      <w:r w:rsidR="00C86BAA">
        <w:rPr>
          <w:rFonts w:cs="Times New Roman"/>
          <w:color w:val="000000" w:themeColor="text1"/>
          <w:szCs w:val="24"/>
        </w:rPr>
        <w:t xml:space="preserve"> conduct applied public health research and other special projects to describe population at risk and evaluate the impact of prevention efforts. </w:t>
      </w:r>
      <w:r w:rsidR="00BF3D24">
        <w:t xml:space="preserve">The 10 EIP </w:t>
      </w:r>
      <w:r w:rsidR="000E0E4D">
        <w:t xml:space="preserve">sites </w:t>
      </w:r>
      <w:r w:rsidR="00BF3D24">
        <w:lastRenderedPageBreak/>
        <w:t>are: California, Colorado, Connecticut, Georgia, Maryland, Minnesota, New Mexico, New York, Oregon and Tennessee</w:t>
      </w:r>
      <w:r w:rsidR="00851DDD">
        <w:t>, and</w:t>
      </w:r>
      <w:r w:rsidR="00C86BAA">
        <w:t xml:space="preserve"> are funded through a Cooperative Agreement with CDC to perform the activities noted above. </w:t>
      </w:r>
      <w:r w:rsidR="00851DDD">
        <w:t xml:space="preserve">More information about the work of EIP HAIC is available at: </w:t>
      </w:r>
      <w:hyperlink w:history="1" r:id="rId13">
        <w:r w:rsidRPr="00D92F40" w:rsidR="00851DDD">
          <w:rPr>
            <w:rStyle w:val="Hyperlink"/>
          </w:rPr>
          <w:t>https://www.cdc.gov/hai/eip/index.html</w:t>
        </w:r>
      </w:hyperlink>
      <w:r w:rsidR="00851DDD">
        <w:t xml:space="preserve">. </w:t>
      </w:r>
      <w:r w:rsidR="00C86BAA">
        <w:t xml:space="preserve">Many of these routine activities have been </w:t>
      </w:r>
      <w:r w:rsidR="0079396C">
        <w:t xml:space="preserve">put </w:t>
      </w:r>
      <w:r w:rsidR="00C86BAA">
        <w:t>on hold during the COVID-19 pandemic and have been instructed to prioritize COVID-related surveillance and special projects over their r</w:t>
      </w:r>
      <w:r w:rsidR="0079396C">
        <w:t>outine</w:t>
      </w:r>
      <w:r w:rsidR="00C86BAA">
        <w:t xml:space="preserve"> CDC-funded surveillance and </w:t>
      </w:r>
      <w:r w:rsidR="00C03B52">
        <w:t>special epidemiology</w:t>
      </w:r>
      <w:r w:rsidR="00C86BAA">
        <w:t xml:space="preserve"> projects. </w:t>
      </w:r>
      <w:r w:rsidR="009C4127">
        <w:t>Up to 10 EIP sites may participate</w:t>
      </w:r>
      <w:r w:rsidR="005427F5">
        <w:t xml:space="preserve"> in this information collection</w:t>
      </w:r>
      <w:r w:rsidR="005368C9">
        <w:t>.</w:t>
      </w:r>
      <w:r w:rsidR="009C4127">
        <w:t xml:space="preserve"> </w:t>
      </w:r>
    </w:p>
    <w:p w:rsidR="00EF35DB" w:rsidP="003D6AC9" w:rsidRDefault="00EF35DB" w14:paraId="36E3A429" w14:textId="7308CE4E">
      <w:r>
        <w:t xml:space="preserve">EIP sites that participate </w:t>
      </w:r>
      <w:r w:rsidR="00C76CCB">
        <w:t xml:space="preserve">in this project </w:t>
      </w:r>
      <w:r>
        <w:t>may choose to implement one or both project options below:</w:t>
      </w:r>
    </w:p>
    <w:p w:rsidR="00EF35DB" w:rsidP="008B5AC2" w:rsidRDefault="00EF35DB" w14:paraId="561D82FF" w14:textId="7E1D47E0">
      <w:pPr>
        <w:pStyle w:val="ListParagraph"/>
        <w:numPr>
          <w:ilvl w:val="0"/>
          <w:numId w:val="4"/>
        </w:numPr>
        <w:spacing w:after="0"/>
      </w:pPr>
      <w:r>
        <w:t>Option 1: Tracking of SARS-CoV-2 infections among HCP</w:t>
      </w:r>
      <w:r w:rsidR="004C100C">
        <w:t>;</w:t>
      </w:r>
      <w:r>
        <w:t xml:space="preserve"> </w:t>
      </w:r>
    </w:p>
    <w:p w:rsidR="00EF35DB" w:rsidP="008B5AC2" w:rsidRDefault="00EF35DB" w14:paraId="45376321" w14:textId="33DF8D95">
      <w:pPr>
        <w:pStyle w:val="ListParagraph"/>
        <w:numPr>
          <w:ilvl w:val="0"/>
          <w:numId w:val="4"/>
        </w:numPr>
        <w:spacing w:after="0"/>
      </w:pPr>
      <w:r>
        <w:t>Option 2: Assessing risk factors for infections among HCP exposed to patients with COVID-19 in healthcare facilities</w:t>
      </w:r>
      <w:r w:rsidR="004C100C">
        <w:t>.</w:t>
      </w:r>
    </w:p>
    <w:p w:rsidR="00C03B52" w:rsidP="00FF3E94" w:rsidRDefault="00C03B52" w14:paraId="1D8FC077" w14:textId="77777777">
      <w:pPr>
        <w:spacing w:after="0"/>
      </w:pPr>
    </w:p>
    <w:p w:rsidRPr="00C03B52" w:rsidR="008B5AC2" w:rsidP="00FF3E94" w:rsidRDefault="008B5AC2" w14:paraId="261F80C8" w14:textId="1BA17EF2">
      <w:pPr>
        <w:spacing w:after="0"/>
        <w:rPr>
          <w:szCs w:val="24"/>
        </w:rPr>
      </w:pPr>
      <w:r w:rsidRPr="008B5AC2">
        <w:t xml:space="preserve">EIP </w:t>
      </w:r>
      <w:r w:rsidRPr="00C03B52">
        <w:rPr>
          <w:szCs w:val="24"/>
        </w:rPr>
        <w:t>site staff will identify a convenience sample of healthcare facilities within the EIP catchment areas. Hospitals and nursing homes are prioritized for inclusion, but other types of facilities may participate. Each EIP site will seek to identify three or more facilities to participate.</w:t>
      </w:r>
    </w:p>
    <w:p w:rsidR="00C03B52" w:rsidP="00FF3E94" w:rsidRDefault="00C03B52" w14:paraId="3E4B332C" w14:textId="77777777">
      <w:pPr>
        <w:spacing w:after="0"/>
        <w:rPr>
          <w:szCs w:val="24"/>
        </w:rPr>
      </w:pPr>
    </w:p>
    <w:p w:rsidR="003E271B" w:rsidP="008B5AC2" w:rsidRDefault="003E271B" w14:paraId="6171EF64" w14:textId="5DF84FD7">
      <w:r w:rsidRPr="00C03B52">
        <w:rPr>
          <w:szCs w:val="24"/>
        </w:rPr>
        <w:t>For option 1, EIP staff will obtain line lists of HCP cases and contact information from local or state health department partners</w:t>
      </w:r>
      <w:r w:rsidRPr="00C03B52" w:rsidR="008B5AC2">
        <w:rPr>
          <w:szCs w:val="24"/>
        </w:rPr>
        <w:t xml:space="preserve"> </w:t>
      </w:r>
      <w:r w:rsidRPr="00C03B52" w:rsidR="000F7E82">
        <w:rPr>
          <w:szCs w:val="24"/>
        </w:rPr>
        <w:t>or</w:t>
      </w:r>
      <w:r w:rsidRPr="00C03B52">
        <w:rPr>
          <w:szCs w:val="24"/>
        </w:rPr>
        <w:t xml:space="preserve"> in some cases </w:t>
      </w:r>
      <w:r w:rsidRPr="00C03B52" w:rsidR="000F7E82">
        <w:rPr>
          <w:szCs w:val="24"/>
        </w:rPr>
        <w:t xml:space="preserve">from </w:t>
      </w:r>
      <w:r w:rsidRPr="00C03B52">
        <w:rPr>
          <w:szCs w:val="24"/>
        </w:rPr>
        <w:t xml:space="preserve">a healthcare facility’s occupational health </w:t>
      </w:r>
      <w:r w:rsidRPr="00C03B52" w:rsidR="004C100C">
        <w:rPr>
          <w:szCs w:val="24"/>
        </w:rPr>
        <w:t xml:space="preserve">department (e.g., from occupational health </w:t>
      </w:r>
      <w:r w:rsidRPr="00C03B52">
        <w:rPr>
          <w:szCs w:val="24"/>
        </w:rPr>
        <w:t>nurses</w:t>
      </w:r>
      <w:r w:rsidRPr="00C03B52" w:rsidR="004C100C">
        <w:rPr>
          <w:szCs w:val="24"/>
        </w:rPr>
        <w:t>) or infection control programs</w:t>
      </w:r>
      <w:r w:rsidRPr="00C03B52">
        <w:rPr>
          <w:szCs w:val="24"/>
        </w:rPr>
        <w:t xml:space="preserve">. </w:t>
      </w:r>
      <w:r w:rsidRPr="00C03B52" w:rsidR="000F7E82">
        <w:rPr>
          <w:szCs w:val="24"/>
        </w:rPr>
        <w:t>To minimize burden on healthcare facilities, EIP staff will obtain HCP lists and contact information from health departments whenever possible.</w:t>
      </w:r>
      <w:r w:rsidRPr="00C03B52" w:rsidR="00C03B52">
        <w:rPr>
          <w:szCs w:val="24"/>
        </w:rPr>
        <w:t xml:space="preserve"> Many EIP staff </w:t>
      </w:r>
      <w:r w:rsidR="00C03B52">
        <w:rPr>
          <w:szCs w:val="24"/>
        </w:rPr>
        <w:t>are state</w:t>
      </w:r>
      <w:r w:rsidRPr="00C03B52" w:rsidR="00C03B52">
        <w:rPr>
          <w:szCs w:val="24"/>
        </w:rPr>
        <w:t xml:space="preserve"> health department</w:t>
      </w:r>
      <w:r w:rsidR="00C03B52">
        <w:rPr>
          <w:szCs w:val="24"/>
        </w:rPr>
        <w:t xml:space="preserve"> employees or affiliated academic partner employee</w:t>
      </w:r>
      <w:r w:rsidRPr="00C03B52" w:rsidR="00C03B52">
        <w:rPr>
          <w:szCs w:val="24"/>
        </w:rPr>
        <w:t xml:space="preserve">s and have access to </w:t>
      </w:r>
      <w:r w:rsidR="00C03B52">
        <w:rPr>
          <w:szCs w:val="24"/>
        </w:rPr>
        <w:t xml:space="preserve">these </w:t>
      </w:r>
      <w:r w:rsidRPr="00C03B52" w:rsidR="00C03B52">
        <w:rPr>
          <w:szCs w:val="24"/>
        </w:rPr>
        <w:t xml:space="preserve">data that already exist </w:t>
      </w:r>
      <w:r w:rsidR="00C03B52">
        <w:rPr>
          <w:szCs w:val="24"/>
        </w:rPr>
        <w:t>in the health department</w:t>
      </w:r>
      <w:r w:rsidRPr="00C03B52" w:rsidR="00C03B52">
        <w:rPr>
          <w:szCs w:val="24"/>
        </w:rPr>
        <w:t xml:space="preserve">. The burden from generating the line list from an existing database is minimal. </w:t>
      </w:r>
      <w:r w:rsidRPr="008B5AC2">
        <w:t>For option 2,</w:t>
      </w:r>
      <w:r w:rsidRPr="00BD6609">
        <w:t xml:space="preserve"> </w:t>
      </w:r>
      <w:r>
        <w:t xml:space="preserve">EIP staff </w:t>
      </w:r>
      <w:r w:rsidR="00246D8E">
        <w:t>may</w:t>
      </w:r>
      <w:r>
        <w:t xml:space="preserve"> work directly with a healthcare facility’s occupational health </w:t>
      </w:r>
      <w:r w:rsidR="004C100C">
        <w:t xml:space="preserve">department or infection control program </w:t>
      </w:r>
      <w:r>
        <w:t xml:space="preserve">to obtain HCP names and contact information because this option requires identification and data collection from HCP non-cases (HCP who </w:t>
      </w:r>
      <w:r w:rsidR="00EB7D78">
        <w:t xml:space="preserve">tested negative for SARS-CoV-2 </w:t>
      </w:r>
      <w:r>
        <w:t>)</w:t>
      </w:r>
      <w:r w:rsidR="008B5AC2">
        <w:t>.</w:t>
      </w:r>
    </w:p>
    <w:p w:rsidR="008B5AC2" w:rsidP="008B5AC2" w:rsidRDefault="008B5AC2" w14:paraId="00A372BE" w14:textId="2DB6F5BF">
      <w:r>
        <w:t xml:space="preserve">For both options, EIP staff will </w:t>
      </w:r>
      <w:r w:rsidR="004C100C">
        <w:t>collect data</w:t>
      </w:r>
      <w:r>
        <w:t xml:space="preserve"> from all HCP </w:t>
      </w:r>
      <w:r w:rsidRPr="00E36627">
        <w:t xml:space="preserve">included in this project via telephone interviews using an introductory script and Exposure Assessment Form (see </w:t>
      </w:r>
      <w:r w:rsidRPr="00E36627" w:rsidR="00C76CCB">
        <w:t>Attachment</w:t>
      </w:r>
      <w:r w:rsidRPr="00E36627" w:rsidR="00770156">
        <w:t xml:space="preserve"> 4 and Appendix</w:t>
      </w:r>
      <w:r w:rsidRPr="00E36627">
        <w:t xml:space="preserve"> 3 of </w:t>
      </w:r>
      <w:r w:rsidRPr="00E36627" w:rsidR="00770156">
        <w:t>A</w:t>
      </w:r>
      <w:r w:rsidRPr="00E36627">
        <w:t xml:space="preserve">ttachment </w:t>
      </w:r>
      <w:r w:rsidRPr="00E36627" w:rsidR="00770156">
        <w:t>3</w:t>
      </w:r>
      <w:r w:rsidRPr="00E36627">
        <w:t>) or a self-administered electronic case report form (see A</w:t>
      </w:r>
      <w:r w:rsidRPr="00E36627" w:rsidR="00770156">
        <w:t>ttachment 4)</w:t>
      </w:r>
      <w:r w:rsidR="00FF3E94">
        <w:t xml:space="preserve"> </w:t>
      </w:r>
      <w:r w:rsidR="00851DDD">
        <w:t xml:space="preserve">after </w:t>
      </w:r>
      <w:r w:rsidR="000E2EAB">
        <w:t xml:space="preserve">they receive </w:t>
      </w:r>
      <w:r w:rsidR="008114DD">
        <w:t>line lists of HPC cases or non-cases</w:t>
      </w:r>
      <w:r w:rsidRPr="00E36627">
        <w:t>.</w:t>
      </w:r>
      <w:r w:rsidR="008114DD">
        <w:t xml:space="preserve"> Questions included in the exposure assessment form focus on patient care activities that happened during 14 days before </w:t>
      </w:r>
      <w:r w:rsidR="00EC5325">
        <w:t xml:space="preserve">the </w:t>
      </w:r>
      <w:r w:rsidR="008114DD">
        <w:t xml:space="preserve">first positive result for SARS-CoV-2 for HCP cases and 14 days before most recent negative results for SARS-CoV-2 for HCP non-cases.  </w:t>
      </w:r>
    </w:p>
    <w:p w:rsidR="009C4127" w:rsidP="009C4127" w:rsidRDefault="00B30924" w14:paraId="2C286CDC" w14:textId="24311493">
      <w:r>
        <w:t>The</w:t>
      </w:r>
      <w:r w:rsidR="00BF3D24">
        <w:t xml:space="preserve"> standardized </w:t>
      </w:r>
      <w:r w:rsidR="000F7E82">
        <w:t xml:space="preserve">Exposure Assessment Form </w:t>
      </w:r>
      <w:r w:rsidR="00BF3D24">
        <w:t xml:space="preserve">we are proposing to use is a modification of an existing, OMB-approved form (OMB </w:t>
      </w:r>
      <w:r>
        <w:t>Control No</w:t>
      </w:r>
      <w:r w:rsidR="00BF3D24">
        <w:t xml:space="preserve">. 0920-1011, expiration </w:t>
      </w:r>
      <w:r>
        <w:t>date 0</w:t>
      </w:r>
      <w:r w:rsidR="00BF3D24">
        <w:t>4/23/2020).</w:t>
      </w:r>
    </w:p>
    <w:p w:rsidR="000109F5" w:rsidP="000109F5" w:rsidRDefault="00380488" w14:paraId="3EE1049E" w14:textId="3A787A62">
      <w:r>
        <w:t xml:space="preserve">The data collected from this </w:t>
      </w:r>
      <w:r w:rsidR="000109F5">
        <w:t xml:space="preserve">project </w:t>
      </w:r>
      <w:r>
        <w:t>will be used to</w:t>
      </w:r>
      <w:r w:rsidR="009C4127">
        <w:t>:</w:t>
      </w:r>
      <w:r w:rsidR="000109F5">
        <w:t xml:space="preserve"> 1) determine the </w:t>
      </w:r>
      <w:r w:rsidR="005C2AB6">
        <w:t>incidence of</w:t>
      </w:r>
      <w:r w:rsidR="000109F5">
        <w:t xml:space="preserve"> COVID-19 among HCP working in </w:t>
      </w:r>
      <w:r w:rsidR="005C2AB6">
        <w:t xml:space="preserve">participating </w:t>
      </w:r>
      <w:r w:rsidR="000109F5">
        <w:t xml:space="preserve">healthcare facilities; 2) describe characteristics of HCP exposed to or infected with SARS-CoV-2, including clinical activities and personal protective equipment (PPE) use; </w:t>
      </w:r>
      <w:r w:rsidR="00B30924">
        <w:t xml:space="preserve">and </w:t>
      </w:r>
      <w:r w:rsidR="000109F5">
        <w:t xml:space="preserve">3) compare exposures and other characteristics of HCP cases and exposed HCP that do not become </w:t>
      </w:r>
      <w:r w:rsidR="000109F5">
        <w:lastRenderedPageBreak/>
        <w:t xml:space="preserve">cases to identify </w:t>
      </w:r>
      <w:r w:rsidR="00651D98">
        <w:t xml:space="preserve">potential </w:t>
      </w:r>
      <w:r w:rsidR="000109F5">
        <w:t>risk factors or protective factors for COVID-19</w:t>
      </w:r>
      <w:r w:rsidR="00651D98">
        <w:t xml:space="preserve"> that may warrant further study</w:t>
      </w:r>
      <w:r w:rsidR="000109F5">
        <w:t xml:space="preserve">.  </w:t>
      </w:r>
    </w:p>
    <w:p w:rsidR="00380488" w:rsidP="00380488" w:rsidRDefault="0079396C" w14:paraId="077E94F7" w14:textId="34BDB9A2">
      <w:r>
        <w:t xml:space="preserve">Due to the potential for ongoing harm to HCP from the COVID-19 pandemic, </w:t>
      </w:r>
      <w:r w:rsidR="00380488">
        <w:t xml:space="preserve">CDC requests </w:t>
      </w:r>
      <w:r w:rsidR="000109F5">
        <w:t>an</w:t>
      </w:r>
      <w:r w:rsidR="00380488">
        <w:t xml:space="preserve"> emergency clearance to gather information </w:t>
      </w:r>
      <w:r w:rsidR="000109F5">
        <w:t>to inform guidance for healthcare facilities to protect the healthcare workforce—a critical asset during this pandemic.</w:t>
      </w:r>
    </w:p>
    <w:p w:rsidR="004A13E8" w:rsidP="004A13E8" w:rsidRDefault="004A13E8" w14:paraId="55FE17B9" w14:textId="77777777">
      <w:pPr>
        <w:pStyle w:val="Heading1"/>
      </w:pPr>
      <w:bookmarkStart w:name="_Toc37258875" w:id="6"/>
      <w:r>
        <w:t>Use of Improved Information Technology and Burden Reduction</w:t>
      </w:r>
      <w:bookmarkEnd w:id="6"/>
    </w:p>
    <w:p w:rsidR="000109F5" w:rsidP="0097222D" w:rsidRDefault="009C4127" w14:paraId="655804E6" w14:textId="1DCC65FB">
      <w:r>
        <w:t xml:space="preserve">Some EIP sites may opt to administer the HCP case report form/questionnaire electronically rather than via a phone interview. </w:t>
      </w:r>
      <w:r w:rsidRPr="00B36EB2" w:rsidR="00F3082C">
        <w:t xml:space="preserve">Only the minimum amount of information necessary </w:t>
      </w:r>
      <w:r w:rsidR="00F3082C">
        <w:t xml:space="preserve">is </w:t>
      </w:r>
      <w:r w:rsidRPr="00371D80" w:rsidR="00F3082C">
        <w:rPr>
          <w:noProof/>
        </w:rPr>
        <w:t>requested</w:t>
      </w:r>
      <w:r w:rsidRPr="00B36EB2" w:rsidR="00F3082C">
        <w:t>.</w:t>
      </w:r>
      <w:r w:rsidR="004C100C">
        <w:t xml:space="preserve"> </w:t>
      </w:r>
      <w:r w:rsidR="00246D8E">
        <w:t xml:space="preserve">We do not expect this data collection to affect the work duties of HCP. This is because hospitals and other healthcare facilities typically have policies that require HCP with COVID-19, or HCP with symptoms consistent with COVID-19, to be excluded from work and self-isolated at home. </w:t>
      </w:r>
    </w:p>
    <w:p w:rsidR="004A13E8" w:rsidP="004A13E8" w:rsidRDefault="004A13E8" w14:paraId="55FE17BC" w14:textId="2325550D">
      <w:pPr>
        <w:pStyle w:val="Heading1"/>
      </w:pPr>
      <w:bookmarkStart w:name="_Toc37258876" w:id="7"/>
      <w:bookmarkStart w:name="_Hlk38369854" w:id="8"/>
      <w:bookmarkStart w:name="_Hlk38369592" w:id="9"/>
      <w:r>
        <w:t>Efforts to Identify Duplication and Use of Similar Information</w:t>
      </w:r>
      <w:bookmarkEnd w:id="7"/>
    </w:p>
    <w:p w:rsidR="003B2FB4" w:rsidP="003B2FB4" w:rsidRDefault="001A54F4" w14:paraId="55FE17BE" w14:textId="369E9073">
      <w:bookmarkStart w:name="_Hlk38369680" w:id="10"/>
      <w:bookmarkEnd w:id="8"/>
      <w:r>
        <w:t xml:space="preserve">CDC </w:t>
      </w:r>
      <w:r w:rsidR="00246D8E">
        <w:t xml:space="preserve">has </w:t>
      </w:r>
      <w:r>
        <w:t>provide</w:t>
      </w:r>
      <w:r w:rsidR="00246D8E">
        <w:t>d intensive</w:t>
      </w:r>
      <w:r>
        <w:t xml:space="preserve"> technical assistance </w:t>
      </w:r>
      <w:r w:rsidR="00BF12DE">
        <w:t xml:space="preserve">to </w:t>
      </w:r>
      <w:r>
        <w:t xml:space="preserve">state and local health departments </w:t>
      </w:r>
      <w:r w:rsidR="00BF12DE">
        <w:t xml:space="preserve">since the beginning of this pandemic. We are not aware of any data collection from HCP with COVID-19 at this level of detail and scale. </w:t>
      </w:r>
      <w:r w:rsidR="00414D3A">
        <w:t xml:space="preserve">CDC </w:t>
      </w:r>
      <w:r w:rsidR="00BF12DE">
        <w:t>assisted in</w:t>
      </w:r>
      <w:r w:rsidR="0097222D">
        <w:t xml:space="preserve"> one investigation in Solano Co</w:t>
      </w:r>
      <w:r w:rsidR="00BF3D24">
        <w:t>unty</w:t>
      </w:r>
      <w:r w:rsidR="00E87A69">
        <w:t>,</w:t>
      </w:r>
      <w:r w:rsidR="0097222D">
        <w:t xml:space="preserve"> California in which 37 HCP were interviewed.</w:t>
      </w:r>
      <w:r w:rsidR="008050C6">
        <w:t xml:space="preserve"> Due to the small number of HCP cases, we could not detect statistically significant differences in exposures and were not able to conduct multivariable analysis.</w:t>
      </w:r>
      <w:r w:rsidR="0097222D">
        <w:t xml:space="preserve"> </w:t>
      </w:r>
      <w:r w:rsidR="00BF3D24">
        <w:t>This county is not within the catchment area of the California EIP site, and so would not be included in the proposed data collection.</w:t>
      </w:r>
    </w:p>
    <w:p w:rsidR="00602B23" w:rsidP="003B2FB4" w:rsidRDefault="00602B23" w14:paraId="030F2431" w14:textId="45710D33">
      <w:r>
        <w:t xml:space="preserve">We consulted with </w:t>
      </w:r>
      <w:r w:rsidR="00414D3A">
        <w:t>E</w:t>
      </w:r>
      <w:r>
        <w:t xml:space="preserve">pidemiologic </w:t>
      </w:r>
      <w:r w:rsidR="00414D3A">
        <w:t>D</w:t>
      </w:r>
      <w:r>
        <w:t xml:space="preserve">ata </w:t>
      </w:r>
      <w:r w:rsidR="004F7540">
        <w:t>Analysis</w:t>
      </w:r>
      <w:r>
        <w:t xml:space="preserve"> </w:t>
      </w:r>
      <w:r w:rsidR="00414D3A">
        <w:t>U</w:t>
      </w:r>
      <w:r>
        <w:t xml:space="preserve">nit of the </w:t>
      </w:r>
      <w:r w:rsidR="008D5C2C">
        <w:t>Healthcare Infection Control Team</w:t>
      </w:r>
      <w:r w:rsidR="00414D3A">
        <w:t xml:space="preserve"> in the </w:t>
      </w:r>
      <w:r w:rsidR="008D5C2C">
        <w:t xml:space="preserve">Heath System and Worker Safety Task Force of the CDC’s Emergency Operation Center and </w:t>
      </w:r>
      <w:r w:rsidR="00414D3A">
        <w:t xml:space="preserve">have </w:t>
      </w:r>
      <w:r w:rsidR="008D5C2C">
        <w:t xml:space="preserve">confirmed there is no duplicative effort being implemented by other CDC’s teams. </w:t>
      </w:r>
      <w:r w:rsidRPr="000E2EAB" w:rsidR="000E2EAB">
        <w:t>A recent report</w:t>
      </w:r>
      <w:r w:rsidR="000E2EAB">
        <w:t xml:space="preserve"> </w:t>
      </w:r>
      <w:r w:rsidR="00414D3A">
        <w:t>from this</w:t>
      </w:r>
      <w:r w:rsidR="000E2EAB">
        <w:t xml:space="preserve"> unit</w:t>
      </w:r>
      <w:r w:rsidRPr="000E2EAB" w:rsidR="000E2EAB">
        <w:t xml:space="preserve"> on HCP with COVID-19 </w:t>
      </w:r>
      <w:r w:rsidR="00414D3A">
        <w:t>was published in the</w:t>
      </w:r>
      <w:r w:rsidR="000E2EAB">
        <w:t xml:space="preserve"> MMWR </w:t>
      </w:r>
      <w:r w:rsidR="001E7BD2">
        <w:t>(</w:t>
      </w:r>
      <w:hyperlink w:history="1" r:id="rId14">
        <w:r w:rsidRPr="001E7BD2" w:rsidR="001E7BD2">
          <w:rPr>
            <w:rStyle w:val="Hyperlink"/>
          </w:rPr>
          <w:t>https://www.cdc.gov/mmwr/volumes/69/wr/mm6915e6.htm</w:t>
        </w:r>
      </w:hyperlink>
      <w:r w:rsidR="001E7BD2">
        <w:t>)</w:t>
      </w:r>
      <w:r w:rsidR="00414D3A">
        <w:t xml:space="preserve">. </w:t>
      </w:r>
      <w:r w:rsidR="004E7CF0">
        <w:t>A</w:t>
      </w:r>
      <w:r w:rsidR="00414D3A">
        <w:t xml:space="preserve">nalysis </w:t>
      </w:r>
      <w:r w:rsidR="004E7CF0">
        <w:t xml:space="preserve">of </w:t>
      </w:r>
      <w:r w:rsidR="00414D3A">
        <w:t>data from the COVID-19 case report form revealed the</w:t>
      </w:r>
      <w:r w:rsidRPr="000E2EAB" w:rsidR="000E2EAB">
        <w:t xml:space="preserve"> </w:t>
      </w:r>
      <w:r w:rsidR="00414D3A">
        <w:t>“</w:t>
      </w:r>
      <w:r w:rsidRPr="000E2EAB" w:rsidR="000E2EAB">
        <w:t xml:space="preserve">healthcare </w:t>
      </w:r>
      <w:r w:rsidR="004E7CF0">
        <w:t xml:space="preserve">personnel </w:t>
      </w:r>
      <w:r w:rsidRPr="000E2EAB" w:rsidR="000E2EAB">
        <w:t>variable</w:t>
      </w:r>
      <w:r w:rsidR="00414D3A">
        <w:t>”</w:t>
      </w:r>
      <w:r w:rsidRPr="000E2EAB" w:rsidR="000E2EAB">
        <w:t xml:space="preserve"> was complete in only 16% of </w:t>
      </w:r>
      <w:r w:rsidR="004E7CF0">
        <w:t xml:space="preserve">the 315,531 COVID-19 </w:t>
      </w:r>
      <w:r w:rsidRPr="000E2EAB" w:rsidR="000E2EAB">
        <w:t>cases reported to CDC</w:t>
      </w:r>
      <w:r w:rsidR="005368C9">
        <w:t>, s</w:t>
      </w:r>
      <w:r w:rsidR="004E7CF0">
        <w:t>upporting the need for a separate and dedicated effort to further understand COVID-19 among HCP is necessary.</w:t>
      </w:r>
    </w:p>
    <w:p w:rsidR="00D311C3" w:rsidP="003B2FB4" w:rsidRDefault="00D311C3" w14:paraId="3AB21111" w14:textId="77777777"/>
    <w:p w:rsidR="00DC57CC" w:rsidP="004A13E8" w:rsidRDefault="004A13E8" w14:paraId="55FE17BF" w14:textId="77777777">
      <w:pPr>
        <w:pStyle w:val="Heading1"/>
      </w:pPr>
      <w:bookmarkStart w:name="_Toc37258877" w:id="11"/>
      <w:bookmarkEnd w:id="9"/>
      <w:bookmarkEnd w:id="10"/>
      <w:r>
        <w:t>Impact on Small Businesses or Other Small Entities</w:t>
      </w:r>
      <w:bookmarkEnd w:id="11"/>
    </w:p>
    <w:p w:rsidR="004A13E8" w:rsidP="004A13E8" w:rsidRDefault="004A13E8" w14:paraId="55FE17C0" w14:textId="48F96B9B">
      <w:r>
        <w:t xml:space="preserve">This data collection </w:t>
      </w:r>
      <w:r w:rsidR="00380488">
        <w:t>does not primarily</w:t>
      </w:r>
      <w:r w:rsidR="001523DF">
        <w:t xml:space="preserve"> involve small business</w:t>
      </w:r>
      <w:r w:rsidR="00380488">
        <w:t xml:space="preserve"> entities, but could include </w:t>
      </w:r>
      <w:r w:rsidR="00F0724C">
        <w:t xml:space="preserve">employees associated with </w:t>
      </w:r>
      <w:r w:rsidR="00380488">
        <w:t>small hospitals and other healthcare facilities, such as critical access hospitals</w:t>
      </w:r>
      <w:r w:rsidR="007647CA">
        <w:t xml:space="preserve"> or small long</w:t>
      </w:r>
      <w:r w:rsidR="00AD2331">
        <w:t>-</w:t>
      </w:r>
      <w:r w:rsidR="007647CA">
        <w:t xml:space="preserve">term care facilities. </w:t>
      </w:r>
    </w:p>
    <w:p w:rsidR="004A13E8" w:rsidP="004A13E8" w:rsidRDefault="004A13E8" w14:paraId="55FE17C2" w14:textId="73A4E3EE">
      <w:r>
        <w:t>Questions have been held to the minimum required for the intended use of the information.</w:t>
      </w:r>
    </w:p>
    <w:p w:rsidR="004A13E8" w:rsidP="004A13E8" w:rsidRDefault="004A13E8" w14:paraId="55FE17C3" w14:textId="77777777">
      <w:pPr>
        <w:pStyle w:val="Heading1"/>
      </w:pPr>
      <w:bookmarkStart w:name="_Toc37258878" w:id="12"/>
      <w:r>
        <w:t>Consequences of Collecting the Information Less Frequently</w:t>
      </w:r>
      <w:bookmarkEnd w:id="12"/>
    </w:p>
    <w:p w:rsidRPr="001523DF" w:rsidR="001523DF" w:rsidP="001523DF" w:rsidRDefault="002E6644" w14:paraId="55FE17C5" w14:textId="78A67D6D">
      <w:r w:rsidRPr="00C73B3E">
        <w:lastRenderedPageBreak/>
        <w:t xml:space="preserve">COVID-19 has been declared a pandemic </w:t>
      </w:r>
      <w:r w:rsidR="00973C9D">
        <w:t>and little is known about specific risk factors for SARS-CoV-2 transmission, particularly among HCP exposed in healthcare facilities</w:t>
      </w:r>
      <w:r w:rsidRPr="00C73B3E" w:rsidR="00627B83">
        <w:t>.</w:t>
      </w:r>
      <w:r w:rsidR="00627B83">
        <w:t xml:space="preserve"> </w:t>
      </w:r>
      <w:r w:rsidR="00111878">
        <w:t>Since healthcare workers are at the forefront of treating patients infected with COVID-19, it is extremely important for CDC to collect this information</w:t>
      </w:r>
      <w:r w:rsidR="008050C6">
        <w:t xml:space="preserve"> to better understand the characteristics of HCP with COVID-19 such as </w:t>
      </w:r>
      <w:r w:rsidR="00322D7B">
        <w:t xml:space="preserve">demographics, underlying conditions, and patient care activities and to identify </w:t>
      </w:r>
      <w:r w:rsidR="001E5C44">
        <w:t>exposures</w:t>
      </w:r>
      <w:r w:rsidR="00322D7B">
        <w:t xml:space="preserve"> that are significantly associated with COVID-19 among HCP</w:t>
      </w:r>
      <w:r w:rsidR="00111878">
        <w:t xml:space="preserve">. </w:t>
      </w:r>
      <w:r w:rsidR="00627B83">
        <w:rPr>
          <w:rFonts w:ascii="Source Sans Pro" w:hAnsi="Source Sans Pro"/>
          <w:vanish/>
          <w:sz w:val="23"/>
          <w:szCs w:val="23"/>
          <w:lang w:val="en"/>
        </w:rPr>
        <w:t>Little is known about the effectiveness of personal protective equipment for health care workers who take care of patients infected with the novel coronavirus (SARS–CoV-2)Little is known about the effectiveness of personal protective equipment for health care workers who take care of patients infected with the novel coronavirus (SARS–CoV-2)</w:t>
      </w:r>
      <w:r w:rsidR="007647CA">
        <w:t xml:space="preserve">Less frequent data collection could result in </w:t>
      </w:r>
      <w:r w:rsidR="00AD2331">
        <w:t xml:space="preserve">a </w:t>
      </w:r>
      <w:r w:rsidR="007647CA">
        <w:t xml:space="preserve">small number of </w:t>
      </w:r>
      <w:r w:rsidR="00AD2331">
        <w:t xml:space="preserve">interviewed </w:t>
      </w:r>
      <w:r w:rsidR="007647CA">
        <w:t xml:space="preserve">HCP cases and non-cases </w:t>
      </w:r>
      <w:r w:rsidR="00322D7B">
        <w:t xml:space="preserve">and the lack of statistical power to detect significant differences in exposures </w:t>
      </w:r>
      <w:r w:rsidR="007647CA">
        <w:t xml:space="preserve">which could significantly </w:t>
      </w:r>
      <w:r w:rsidR="004C100C">
        <w:t xml:space="preserve">reduce </w:t>
      </w:r>
      <w:r w:rsidR="007647CA">
        <w:t xml:space="preserve">the usefulness of </w:t>
      </w:r>
      <w:r w:rsidR="00AD2331">
        <w:t xml:space="preserve">the </w:t>
      </w:r>
      <w:r w:rsidR="007647CA">
        <w:t xml:space="preserve">data to </w:t>
      </w:r>
      <w:r w:rsidR="00C86BAA">
        <w:t xml:space="preserve">inform </w:t>
      </w:r>
      <w:r w:rsidR="007647CA">
        <w:t>safe practices in healthcare facilities.</w:t>
      </w:r>
      <w:r w:rsidR="00A1167D">
        <w:t xml:space="preserve">  </w:t>
      </w:r>
    </w:p>
    <w:p w:rsidR="004A13E8" w:rsidP="004A13E8" w:rsidRDefault="004A13E8" w14:paraId="55FE17C6" w14:textId="77777777">
      <w:pPr>
        <w:pStyle w:val="Heading1"/>
      </w:pPr>
      <w:bookmarkStart w:name="_Toc37258879" w:id="13"/>
      <w:r>
        <w:t>Special Circumstances Relating to the Guidelines of 5 CFR 1320.5</w:t>
      </w:r>
      <w:bookmarkEnd w:id="13"/>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37258880" w:id="14"/>
      <w:r>
        <w:t>Comments in Response to the Federal Register Notice and Efforts to Consult Outside the Agency</w:t>
      </w:r>
      <w:bookmarkEnd w:id="14"/>
    </w:p>
    <w:p w:rsidR="00C641C3" w:rsidP="00C641C3" w:rsidRDefault="004A13E8" w14:paraId="3C941B69" w14:textId="5D98A6C9">
      <w:r>
        <w:t xml:space="preserve">A. </w:t>
      </w:r>
      <w:r w:rsidRPr="00F61489" w:rsidR="00C641C3">
        <w:t>Because this is a request for an emergency clearance, CDC asks that the 60-day comment period be waived.</w:t>
      </w:r>
      <w:r w:rsidR="00C641C3">
        <w:t xml:space="preserve"> However, a 60-day </w:t>
      </w:r>
      <w:r w:rsidR="00C641C3">
        <w:rPr>
          <w:i/>
        </w:rPr>
        <w:t>Federal Register</w:t>
      </w:r>
      <w:r w:rsidR="00C641C3">
        <w:t xml:space="preserve"> notice will be submitted to make the public aware of this survey (Attachment 2).</w:t>
      </w:r>
    </w:p>
    <w:p w:rsidR="00D311C3" w:rsidP="004A13E8" w:rsidRDefault="004A13E8" w14:paraId="56464F69" w14:textId="77777777">
      <w:r>
        <w:t>B.</w:t>
      </w:r>
      <w:r w:rsidR="00322D7B">
        <w:t xml:space="preserve"> We have been consulting with </w:t>
      </w:r>
      <w:r w:rsidR="00246D8E">
        <w:t>P</w:t>
      </w:r>
      <w:r w:rsidR="00322D7B">
        <w:t>rincip</w:t>
      </w:r>
      <w:r w:rsidR="00246D8E">
        <w:t>al</w:t>
      </w:r>
      <w:r w:rsidR="00322D7B">
        <w:t xml:space="preserve"> </w:t>
      </w:r>
      <w:r w:rsidR="00246D8E">
        <w:t>I</w:t>
      </w:r>
      <w:r w:rsidR="00322D7B">
        <w:t xml:space="preserve">nvestigators and project staff of the 10 EIP sites </w:t>
      </w:r>
      <w:r w:rsidR="00F131DD">
        <w:t xml:space="preserve">on our weekly conference calls since the inception of </w:t>
      </w:r>
      <w:r w:rsidR="00246D8E">
        <w:t>planning for this project</w:t>
      </w:r>
      <w:r w:rsidR="00F131DD">
        <w:t xml:space="preserve"> in mid-March 2020. We also consulted with them by emails and individual phone calls. As o</w:t>
      </w:r>
      <w:r w:rsidR="001E5C44">
        <w:t>f</w:t>
      </w:r>
      <w:r w:rsidR="00F131DD">
        <w:t xml:space="preserve"> April 13, all 10 EIP sites have committed to implementing Option 1</w:t>
      </w:r>
      <w:r w:rsidR="001E5C44">
        <w:t>,</w:t>
      </w:r>
      <w:r w:rsidR="00F131DD">
        <w:t xml:space="preserve"> two sites</w:t>
      </w:r>
      <w:r w:rsidR="00D311C3">
        <w:t xml:space="preserve"> (i.e., NM and OR)</w:t>
      </w:r>
      <w:r w:rsidR="00F131DD">
        <w:t xml:space="preserve"> have committed to implementing Option 2, and three sites </w:t>
      </w:r>
      <w:r w:rsidR="00D311C3">
        <w:t xml:space="preserve">(i.e., CT, NY, and CO) </w:t>
      </w:r>
      <w:r w:rsidR="00F131DD">
        <w:t>are considering Option 2.</w:t>
      </w:r>
      <w:r>
        <w:t xml:space="preserve"> </w:t>
      </w:r>
      <w:r w:rsidR="00246D8E">
        <w:t xml:space="preserve">Funding has been provided to each of the 10 EIP sites to support this work. </w:t>
      </w:r>
      <w:r w:rsidR="00F131DD">
        <w:t xml:space="preserve">Both protocol and </w:t>
      </w:r>
      <w:r w:rsidR="00D30C62">
        <w:t>exposure assessment</w:t>
      </w:r>
      <w:r w:rsidR="00F131DD">
        <w:t xml:space="preserve"> form have been reviewed </w:t>
      </w:r>
      <w:r w:rsidR="00D30C62">
        <w:t xml:space="preserve">by all EIP sites and their comments have been incorporated. </w:t>
      </w:r>
      <w:r w:rsidR="00BF3D24">
        <w:t>We</w:t>
      </w:r>
      <w:r w:rsidR="00ED7E4C">
        <w:t xml:space="preserve"> </w:t>
      </w:r>
      <w:r w:rsidR="001E5C44">
        <w:t xml:space="preserve">also </w:t>
      </w:r>
      <w:r w:rsidR="00ED7E4C">
        <w:t>shared the protocol and exposure assessment form w</w:t>
      </w:r>
      <w:r w:rsidR="004D64B2">
        <w:t>ith</w:t>
      </w:r>
      <w:r w:rsidR="00BF3D24">
        <w:t xml:space="preserve"> experts from the National Institute of Occupational Safety and Health</w:t>
      </w:r>
      <w:r w:rsidR="004D64B2">
        <w:t xml:space="preserve"> and</w:t>
      </w:r>
      <w:r w:rsidR="00ED7E4C">
        <w:t xml:space="preserve"> </w:t>
      </w:r>
      <w:r w:rsidR="004D64B2">
        <w:t xml:space="preserve">incorporated their feedback. </w:t>
      </w:r>
      <w:r w:rsidR="00246D8E">
        <w:t xml:space="preserve">NIOSH expert will be part of the project team. </w:t>
      </w:r>
      <w:r w:rsidR="004D64B2">
        <w:t xml:space="preserve">We are also inviting them to participate in work group calls with EIP sites to discuss plans to implement this project. </w:t>
      </w:r>
      <w:r w:rsidRPr="00D30C62" w:rsidR="00D30C62">
        <w:t xml:space="preserve"> </w:t>
      </w:r>
    </w:p>
    <w:p w:rsidRPr="004A13E8" w:rsidR="004A13E8" w:rsidP="004A13E8" w:rsidRDefault="00D30C62" w14:paraId="55FE17CA" w14:textId="4002E815">
      <w:r>
        <w:t>CDC also consulted with CSTE</w:t>
      </w:r>
      <w:r w:rsidR="00D311C3">
        <w:t xml:space="preserve"> during a CDC/</w:t>
      </w:r>
      <w:r w:rsidR="00A36EBF">
        <w:t xml:space="preserve">CSTE </w:t>
      </w:r>
      <w:r w:rsidR="00D311C3">
        <w:t xml:space="preserve">COVID-19 Core Group Call on April 22, 2020 in which </w:t>
      </w:r>
      <w:r w:rsidR="00E047D0">
        <w:t>19 members representing 14 jurisdictions</w:t>
      </w:r>
      <w:r w:rsidR="00D311C3">
        <w:t xml:space="preserve"> attended</w:t>
      </w:r>
      <w:r w:rsidR="00A36EBF">
        <w:t xml:space="preserve">. The project was deemed </w:t>
      </w:r>
      <w:r w:rsidR="00E047D0">
        <w:t xml:space="preserve">important and </w:t>
      </w:r>
      <w:r w:rsidR="00A36EBF">
        <w:t xml:space="preserve">necessary as states and territories continue to experience outbreaks among HCP </w:t>
      </w:r>
      <w:r w:rsidR="00190B3E">
        <w:t>of</w:t>
      </w:r>
      <w:r w:rsidR="00A36EBF">
        <w:t xml:space="preserve"> healthcare facilities under their jurisdictions. </w:t>
      </w:r>
      <w:r w:rsidR="00190B3E">
        <w:t>M</w:t>
      </w:r>
      <w:r w:rsidR="00A36EBF">
        <w:t>etric</w:t>
      </w:r>
      <w:r w:rsidR="00190B3E">
        <w:t>s</w:t>
      </w:r>
      <w:r w:rsidR="00E047D0">
        <w:t xml:space="preserve"> and findings</w:t>
      </w:r>
      <w:r w:rsidR="00A36EBF">
        <w:t xml:space="preserve"> that we will be able to produce from this project will serve as an important tool for </w:t>
      </w:r>
      <w:r w:rsidR="00190B3E">
        <w:t>identifying issues and/or measuring successes in combatting the outbreaks in the EIP states and elsewhere.</w:t>
      </w:r>
    </w:p>
    <w:p w:rsidR="004A13E8" w:rsidP="004A13E8" w:rsidRDefault="004A13E8" w14:paraId="55FE17CB" w14:textId="77777777">
      <w:pPr>
        <w:pStyle w:val="Heading1"/>
      </w:pPr>
      <w:bookmarkStart w:name="_Toc37258881" w:id="15"/>
      <w:r>
        <w:t>Explanation of Any Payment or Gift to Respondents</w:t>
      </w:r>
      <w:bookmarkEnd w:id="15"/>
    </w:p>
    <w:p w:rsidRPr="004A13E8" w:rsidR="00C641C3" w:rsidP="00C641C3" w:rsidRDefault="00C641C3" w14:paraId="0B01F40D" w14:textId="77FC5AFB">
      <w:r w:rsidRPr="004D5A58">
        <w:t xml:space="preserve">No monetary incentives or gifts </w:t>
      </w:r>
      <w:r w:rsidR="00AB0C92">
        <w:t>will be</w:t>
      </w:r>
      <w:r w:rsidRPr="004D5A58" w:rsidR="00AB0C92">
        <w:t xml:space="preserve"> </w:t>
      </w:r>
      <w:r w:rsidRPr="004D5A58">
        <w:t>provided to respondents.</w:t>
      </w:r>
    </w:p>
    <w:p w:rsidR="004A13E8" w:rsidP="004A13E8" w:rsidRDefault="004A13E8" w14:paraId="55FE17CD" w14:textId="77777777">
      <w:pPr>
        <w:pStyle w:val="Heading1"/>
      </w:pPr>
      <w:bookmarkStart w:name="_Toc37258882" w:id="16"/>
      <w:r>
        <w:t>Protection of the Privacy and Confidentiality of Information Provided by Respondents</w:t>
      </w:r>
      <w:bookmarkEnd w:id="16"/>
    </w:p>
    <w:p w:rsidR="00C641C3" w:rsidP="00C641C3" w:rsidRDefault="00C641C3" w14:paraId="052C5D99" w14:textId="77777777">
      <w:r w:rsidRPr="009719AD">
        <w:lastRenderedPageBreak/>
        <w:t>The National Center for Emerging and Zoonotic Infectious Diseases (NCEZID) reviewed this submission and determined that the Privacy Act does not apply.</w:t>
      </w:r>
    </w:p>
    <w:p w:rsidRPr="00122E7B" w:rsidR="0027540C" w:rsidP="0027540C" w:rsidRDefault="0027540C" w14:paraId="0F942C16" w14:textId="4106B172">
      <w:r>
        <w:t xml:space="preserve">EIP sites are responsible for ensuring that site-initiated electronic communications with HCP comply with applicable information security and privacy standards. </w:t>
      </w:r>
    </w:p>
    <w:p w:rsidR="0027540C" w:rsidP="00C641C3" w:rsidRDefault="00C641C3" w14:paraId="45DD0786" w14:textId="77777777">
      <w:r>
        <w:t xml:space="preserve">CDC staff will follow procedures for assuring and maintaining privacy during all stages of data collection. All information provided by respondents will be treated in a secure manner and will not be disclosed unless otherwise compelled by law. </w:t>
      </w:r>
    </w:p>
    <w:p w:rsidR="00A10290" w:rsidP="00C641C3" w:rsidRDefault="0027540C" w14:paraId="2C105F74" w14:textId="32C9C5ED">
      <w:r>
        <w:t>Direct personal identifiers such as HCP name or contact information (e.g., phone number or email address) will not be transmitted to CDC.</w:t>
      </w:r>
      <w:r w:rsidR="000A619C">
        <w:t xml:space="preserve"> </w:t>
      </w:r>
      <w:r w:rsidR="00A10290">
        <w:t xml:space="preserve">All other information will be transmitted to CDC using </w:t>
      </w:r>
      <w:r w:rsidR="00246D8E">
        <w:t xml:space="preserve">a </w:t>
      </w:r>
      <w:r w:rsidR="00A10290">
        <w:t xml:space="preserve">REDCap database. </w:t>
      </w:r>
      <w:r w:rsidRPr="00A10290" w:rsidR="00A10290">
        <w:t xml:space="preserve">Data will be stored securely and indefinitely on CDC share drives with restricted access and appropriate encryption as determined by </w:t>
      </w:r>
      <w:r w:rsidR="005D4C88">
        <w:t>information security standards at CDC.</w:t>
      </w:r>
    </w:p>
    <w:p w:rsidR="00C641C3" w:rsidP="00C641C3" w:rsidRDefault="00C641C3" w14:paraId="7250CB0B" w14:textId="16409C21">
      <w:r>
        <w:t>This public health response was determined to be Not Human Subjects Research and does not require IRB approval</w:t>
      </w:r>
      <w:r w:rsidR="00AB0C92">
        <w:t xml:space="preserve"> (Attachment </w:t>
      </w:r>
      <w:r w:rsidR="001769CF">
        <w:t>5</w:t>
      </w:r>
      <w:r w:rsidR="00AB0C92">
        <w:t>)</w:t>
      </w:r>
      <w:r>
        <w:t>.</w:t>
      </w:r>
    </w:p>
    <w:p w:rsidR="004A13E8" w:rsidP="004A13E8" w:rsidRDefault="004A13E8" w14:paraId="55FE17D0" w14:textId="77777777">
      <w:pPr>
        <w:pStyle w:val="Heading1"/>
      </w:pPr>
      <w:bookmarkStart w:name="_Toc37258883" w:id="17"/>
      <w:r>
        <w:t>Institutional Review Board (IRB) and Justification for Sensitive Questions</w:t>
      </w:r>
      <w:bookmarkEnd w:id="17"/>
    </w:p>
    <w:p w:rsidR="004A13E8" w:rsidP="004A13E8" w:rsidRDefault="004A13E8" w14:paraId="55FE17D1" w14:textId="77777777">
      <w:pPr>
        <w:rPr>
          <w:u w:val="single"/>
        </w:rPr>
      </w:pPr>
      <w:r>
        <w:rPr>
          <w:u w:val="single"/>
        </w:rPr>
        <w:t>Institutional Review Board (IRB)</w:t>
      </w:r>
    </w:p>
    <w:p w:rsidR="004A13E8" w:rsidP="004A13E8" w:rsidRDefault="004A13E8" w14:paraId="55FE17D2" w14:textId="2BDB77C2">
      <w:r w:rsidRPr="009719AD">
        <w:t xml:space="preserve">NCEZID’s Human Subjects Advisor has determined that </w:t>
      </w:r>
      <w:r w:rsidRPr="009719AD" w:rsidR="00CF437A">
        <w:t xml:space="preserve">this </w:t>
      </w:r>
      <w:r w:rsidRPr="009719AD">
        <w:t xml:space="preserve">information collection </w:t>
      </w:r>
      <w:r w:rsidRPr="009719AD" w:rsidR="00C641C3">
        <w:t>is not</w:t>
      </w:r>
      <w:r w:rsidRPr="009719AD">
        <w:t xml:space="preserve"> research involving human subjects.  IRB approval </w:t>
      </w:r>
      <w:r w:rsidRPr="009719AD" w:rsidR="00C641C3">
        <w:t>is not</w:t>
      </w:r>
      <w:r w:rsidRPr="009719AD">
        <w:t xml:space="preserve"> required</w:t>
      </w:r>
      <w:r w:rsidRPr="009719AD" w:rsidR="00AB0C92">
        <w:t xml:space="preserve"> (Attachment </w:t>
      </w:r>
      <w:r w:rsidRPr="009719AD" w:rsidR="001769CF">
        <w:t>5</w:t>
      </w:r>
      <w:r w:rsidRPr="009719AD" w:rsidR="00AB0C92">
        <w:t>)</w:t>
      </w:r>
      <w:r w:rsidRPr="009719AD">
        <w:t>.</w:t>
      </w:r>
    </w:p>
    <w:p w:rsidRPr="0005699B" w:rsidR="004A13E8" w:rsidP="004A13E8" w:rsidRDefault="004A13E8" w14:paraId="55FE17D4" w14:textId="77777777">
      <w:r>
        <w:rPr>
          <w:u w:val="single"/>
        </w:rPr>
        <w:t>Justification for Sensitive Questions</w:t>
      </w:r>
    </w:p>
    <w:p w:rsidRPr="0005699B" w:rsidR="0005699B" w:rsidP="004A13E8" w:rsidRDefault="00F0724C" w14:paraId="55FE17D6" w14:textId="24E6E087">
      <w:r>
        <w:t>While CDC does not believe this package contains</w:t>
      </w:r>
      <w:r w:rsidR="00C641C3">
        <w:t xml:space="preserve"> sensitive questions</w:t>
      </w:r>
      <w:r>
        <w:t>, respondents may feel otherwise, given their potential COVID-19 diagnosis</w:t>
      </w:r>
      <w:r w:rsidR="00D30C62">
        <w:t>.</w:t>
      </w:r>
      <w:r>
        <w:t xml:space="preserve"> </w:t>
      </w:r>
      <w:r w:rsidR="00AD2331">
        <w:t>The case report form includes questions about HCP</w:t>
      </w:r>
      <w:r w:rsidR="00AB0C92">
        <w:t>’s</w:t>
      </w:r>
      <w:r w:rsidR="00AD2331">
        <w:t xml:space="preserve"> underlying conditions, including immunocompromising conditions, and smoking.</w:t>
      </w:r>
    </w:p>
    <w:p w:rsidR="004A13E8" w:rsidP="004A13E8" w:rsidRDefault="004A13E8" w14:paraId="55FE17D7" w14:textId="77777777">
      <w:pPr>
        <w:pStyle w:val="Heading1"/>
      </w:pPr>
      <w:bookmarkStart w:name="_Toc37258884" w:id="18"/>
      <w:r>
        <w:t>Estimates of Annualized Burden Hours and Costs</w:t>
      </w:r>
      <w:bookmarkEnd w:id="18"/>
    </w:p>
    <w:p w:rsidR="00C553B7" w:rsidP="000F7E82" w:rsidRDefault="00C553B7" w14:paraId="093B700D" w14:textId="48D2CA40">
      <w:pPr>
        <w:pStyle w:val="ListParagraph"/>
        <w:numPr>
          <w:ilvl w:val="0"/>
          <w:numId w:val="5"/>
        </w:numPr>
      </w:pPr>
      <w:r>
        <w:t>Estimated Annualized Burden Hours</w:t>
      </w:r>
    </w:p>
    <w:p w:rsidRPr="007572AA" w:rsidR="005232D4" w:rsidP="007572AA" w:rsidRDefault="005232D4" w14:paraId="028FF25D" w14:textId="77777777">
      <w:pPr>
        <w:pStyle w:val="ListParagraph"/>
      </w:pPr>
      <w:r w:rsidRPr="000F7E82">
        <w:rPr>
          <w:color w:val="000000"/>
        </w:rPr>
        <w:t xml:space="preserve">The estimated burden to respondents is summarized in Table 12-A below. </w:t>
      </w:r>
    </w:p>
    <w:p w:rsidR="00D30C62" w:rsidP="005232D4" w:rsidRDefault="00D30C62" w14:paraId="59A5DA95" w14:textId="2910BF84">
      <w:pPr>
        <w:pStyle w:val="ListParagraph"/>
      </w:pPr>
      <w:r>
        <w:t>Option 1</w:t>
      </w:r>
    </w:p>
    <w:p w:rsidR="005165A4" w:rsidP="005D4C88" w:rsidRDefault="000F7E82" w14:paraId="7910B63D" w14:textId="2F9DA6C9">
      <w:pPr>
        <w:pStyle w:val="ListParagraph"/>
      </w:pPr>
      <w:r w:rsidRPr="000F7E82">
        <w:rPr>
          <w:color w:val="000000"/>
        </w:rPr>
        <w:t xml:space="preserve">We estimate that each EIP site will recruit five healthcare facilities to participate in </w:t>
      </w:r>
      <w:r w:rsidR="005232D4">
        <w:rPr>
          <w:color w:val="000000"/>
        </w:rPr>
        <w:t xml:space="preserve">Option 1 </w:t>
      </w:r>
      <w:r w:rsidRPr="000F7E82">
        <w:rPr>
          <w:color w:val="000000"/>
        </w:rPr>
        <w:t>(10 EIP sites x 5 healthcare facilities =50 healthcare facilities). </w:t>
      </w:r>
      <w:r w:rsidR="005D4C88">
        <w:rPr>
          <w:color w:val="000000"/>
        </w:rPr>
        <w:t xml:space="preserve"> We estimate that f</w:t>
      </w:r>
      <w:r w:rsidR="005232D4">
        <w:rPr>
          <w:color w:val="000000"/>
        </w:rPr>
        <w:t xml:space="preserve">ive EIP sites </w:t>
      </w:r>
      <w:r w:rsidR="005D4C88">
        <w:rPr>
          <w:color w:val="000000"/>
        </w:rPr>
        <w:t>will obtain line lists of HCP cases</w:t>
      </w:r>
      <w:r w:rsidR="005232D4">
        <w:rPr>
          <w:color w:val="000000"/>
        </w:rPr>
        <w:t xml:space="preserve"> from existing database</w:t>
      </w:r>
      <w:r w:rsidR="00940542">
        <w:rPr>
          <w:color w:val="000000"/>
        </w:rPr>
        <w:t>s</w:t>
      </w:r>
      <w:r w:rsidR="005232D4">
        <w:rPr>
          <w:color w:val="000000"/>
        </w:rPr>
        <w:t xml:space="preserve"> at state health department</w:t>
      </w:r>
      <w:r w:rsidR="00940542">
        <w:rPr>
          <w:color w:val="000000"/>
        </w:rPr>
        <w:t>s</w:t>
      </w:r>
      <w:r w:rsidR="005232D4">
        <w:rPr>
          <w:color w:val="000000"/>
        </w:rPr>
        <w:t xml:space="preserve"> and five sites will get the line list</w:t>
      </w:r>
      <w:r w:rsidR="00940542">
        <w:rPr>
          <w:color w:val="000000"/>
        </w:rPr>
        <w:t>s</w:t>
      </w:r>
      <w:r w:rsidR="005232D4">
        <w:rPr>
          <w:color w:val="000000"/>
        </w:rPr>
        <w:t xml:space="preserve"> from t</w:t>
      </w:r>
      <w:r w:rsidRPr="000F7E82">
        <w:rPr>
          <w:color w:val="000000"/>
        </w:rPr>
        <w:t>he occupational health nurse</w:t>
      </w:r>
      <w:r w:rsidR="005D4C88">
        <w:rPr>
          <w:color w:val="000000"/>
        </w:rPr>
        <w:t xml:space="preserve"> or similar staff member/department</w:t>
      </w:r>
      <w:r w:rsidRPr="000F7E82">
        <w:rPr>
          <w:color w:val="000000"/>
        </w:rPr>
        <w:t xml:space="preserve"> within each healthcare facility (n=</w:t>
      </w:r>
      <w:r w:rsidR="005232D4">
        <w:rPr>
          <w:color w:val="000000"/>
        </w:rPr>
        <w:t>25</w:t>
      </w:r>
      <w:r w:rsidRPr="000F7E82">
        <w:rPr>
          <w:color w:val="000000"/>
        </w:rPr>
        <w:t>)</w:t>
      </w:r>
      <w:r w:rsidR="005232D4">
        <w:rPr>
          <w:color w:val="000000"/>
        </w:rPr>
        <w:t xml:space="preserve">. </w:t>
      </w:r>
      <w:r w:rsidRPr="000F7E82">
        <w:rPr>
          <w:color w:val="000000"/>
        </w:rPr>
        <w:t>We estimate that it will</w:t>
      </w:r>
      <w:r w:rsidR="005232D4">
        <w:rPr>
          <w:color w:val="000000"/>
        </w:rPr>
        <w:t xml:space="preserve"> </w:t>
      </w:r>
      <w:r w:rsidR="000B412A">
        <w:rPr>
          <w:color w:val="000000"/>
        </w:rPr>
        <w:t xml:space="preserve">take </w:t>
      </w:r>
      <w:r w:rsidR="005232D4">
        <w:rPr>
          <w:color w:val="000000"/>
        </w:rPr>
        <w:t>EIP site</w:t>
      </w:r>
      <w:r w:rsidR="00940542">
        <w:rPr>
          <w:color w:val="000000"/>
        </w:rPr>
        <w:t xml:space="preserve"> staff</w:t>
      </w:r>
      <w:r w:rsidR="005232D4">
        <w:rPr>
          <w:color w:val="000000"/>
        </w:rPr>
        <w:t xml:space="preserve"> five minutes to generate </w:t>
      </w:r>
      <w:r w:rsidR="005D4C88">
        <w:rPr>
          <w:color w:val="000000"/>
        </w:rPr>
        <w:t xml:space="preserve">a </w:t>
      </w:r>
      <w:r w:rsidR="005232D4">
        <w:rPr>
          <w:color w:val="000000"/>
        </w:rPr>
        <w:t xml:space="preserve">line list from </w:t>
      </w:r>
      <w:r w:rsidR="005D4C88">
        <w:rPr>
          <w:color w:val="000000"/>
        </w:rPr>
        <w:t xml:space="preserve">an </w:t>
      </w:r>
      <w:r w:rsidR="005232D4">
        <w:rPr>
          <w:color w:val="000000"/>
        </w:rPr>
        <w:t>existing database and</w:t>
      </w:r>
      <w:r w:rsidRPr="000F7E82">
        <w:rPr>
          <w:color w:val="000000"/>
        </w:rPr>
        <w:t xml:space="preserve"> take </w:t>
      </w:r>
      <w:r w:rsidR="002B6427">
        <w:rPr>
          <w:color w:val="000000"/>
        </w:rPr>
        <w:t xml:space="preserve">an </w:t>
      </w:r>
      <w:r w:rsidR="005232D4">
        <w:rPr>
          <w:color w:val="000000"/>
        </w:rPr>
        <w:t xml:space="preserve">occupational health nurse </w:t>
      </w:r>
      <w:r w:rsidRPr="000F7E82">
        <w:rPr>
          <w:color w:val="000000"/>
        </w:rPr>
        <w:t>15 minutes to gather and transmit this information to the EIP sites. </w:t>
      </w:r>
      <w:r w:rsidR="00CF437A">
        <w:rPr>
          <w:color w:val="000000"/>
        </w:rPr>
        <w:t>Th</w:t>
      </w:r>
      <w:r w:rsidR="007B44E4">
        <w:rPr>
          <w:color w:val="000000"/>
        </w:rPr>
        <w:t xml:space="preserve">is information will be collected </w:t>
      </w:r>
      <w:r w:rsidR="00D46307">
        <w:rPr>
          <w:color w:val="000000"/>
        </w:rPr>
        <w:t>from the occupational health nurse within each healthcare facility</w:t>
      </w:r>
      <w:r w:rsidR="005232D4">
        <w:rPr>
          <w:color w:val="000000"/>
        </w:rPr>
        <w:t xml:space="preserve"> or from the state health departments</w:t>
      </w:r>
      <w:r w:rsidR="00D46307">
        <w:rPr>
          <w:color w:val="000000"/>
        </w:rPr>
        <w:t xml:space="preserve"> </w:t>
      </w:r>
      <w:r w:rsidR="007B44E4">
        <w:rPr>
          <w:color w:val="000000"/>
        </w:rPr>
        <w:t xml:space="preserve">once per week over the course of </w:t>
      </w:r>
      <w:r w:rsidR="00D46307">
        <w:rPr>
          <w:color w:val="000000"/>
        </w:rPr>
        <w:t xml:space="preserve">24 weeks. </w:t>
      </w:r>
      <w:r w:rsidR="0041568B">
        <w:rPr>
          <w:color w:val="000000"/>
        </w:rPr>
        <w:t xml:space="preserve"> </w:t>
      </w:r>
      <w:r w:rsidR="004E7CF0">
        <w:rPr>
          <w:color w:val="000000"/>
        </w:rPr>
        <w:t>R</w:t>
      </w:r>
      <w:r w:rsidR="0041568B">
        <w:rPr>
          <w:color w:val="000000"/>
        </w:rPr>
        <w:t xml:space="preserve">eceiving a line list less frequently than weekly may </w:t>
      </w:r>
      <w:r w:rsidR="004E7CF0">
        <w:rPr>
          <w:color w:val="000000"/>
        </w:rPr>
        <w:t xml:space="preserve">further impact HCP </w:t>
      </w:r>
      <w:r w:rsidR="0041568B">
        <w:rPr>
          <w:color w:val="000000"/>
        </w:rPr>
        <w:t xml:space="preserve">recall bias during the interviews or form completion. </w:t>
      </w:r>
      <w:r w:rsidR="001E7BD2">
        <w:rPr>
          <w:color w:val="000000"/>
        </w:rPr>
        <w:t xml:space="preserve"> </w:t>
      </w:r>
      <w:r w:rsidR="007572AA">
        <w:t xml:space="preserve">According to </w:t>
      </w:r>
      <w:r w:rsidR="00982860">
        <w:lastRenderedPageBreak/>
        <w:t>preliminary unpublished data submitted to COVID-NET, CDC’s surveillance system for tracking laboratory-confirmed COVID-19-associated hospitalizations, 33 HCP cases have been reported during a 4-week period from 21 hospitals</w:t>
      </w:r>
      <w:r w:rsidR="005165A4">
        <w:t xml:space="preserve"> (</w:t>
      </w:r>
      <w:r w:rsidR="00982860">
        <w:t>This number is subject to change as more data get submitted to CDC</w:t>
      </w:r>
      <w:r w:rsidR="005165A4">
        <w:t>)</w:t>
      </w:r>
      <w:r w:rsidR="00982860">
        <w:t>.</w:t>
      </w:r>
      <w:r w:rsidR="005165A4">
        <w:t xml:space="preserve"> </w:t>
      </w:r>
      <w:r w:rsidR="004E7CF0">
        <w:t>Using these</w:t>
      </w:r>
      <w:r w:rsidR="00B939E3">
        <w:t xml:space="preserve"> data</w:t>
      </w:r>
      <w:r w:rsidRPr="0041568B" w:rsidR="0041568B">
        <w:t xml:space="preserve"> </w:t>
      </w:r>
      <w:r w:rsidR="004E7CF0">
        <w:t>with</w:t>
      </w:r>
      <w:r w:rsidR="0041568B">
        <w:t xml:space="preserve"> a 20% hospitalization rate </w:t>
      </w:r>
      <w:r w:rsidR="004E7CF0">
        <w:t>for COVID-19 cases (</w:t>
      </w:r>
      <w:r w:rsidR="0041568B">
        <w:t>MMWR article (</w:t>
      </w:r>
      <w:hyperlink w:history="1" r:id="rId15">
        <w:r w:rsidRPr="0041568B" w:rsidR="0041568B">
          <w:rPr>
            <w:rStyle w:val="Hyperlink"/>
          </w:rPr>
          <w:t>https://www.cdc.gov/mmwr/volumes/69/wr/mm6912e2.htm</w:t>
        </w:r>
      </w:hyperlink>
      <w:r w:rsidR="0041568B">
        <w:t>)</w:t>
      </w:r>
      <w:r w:rsidR="005165A4">
        <w:t xml:space="preserve">, we estimate </w:t>
      </w:r>
      <w:r w:rsidR="004E7CF0">
        <w:t>there</w:t>
      </w:r>
      <w:r w:rsidR="008D5C2C">
        <w:t xml:space="preserve"> will be a total of 165 healthcare personnel reported from 21 hospitals (or 7–8 HCP per hospital per month)</w:t>
      </w:r>
      <w:r w:rsidR="00907092">
        <w:t>.</w:t>
      </w:r>
      <w:r w:rsidR="005165A4">
        <w:t xml:space="preserve"> </w:t>
      </w:r>
      <w:r w:rsidR="008B0C50">
        <w:t>To account for possible increase in number of HCP with COVID-19 in the coming months, we estimate that there will be 12 HCP case</w:t>
      </w:r>
      <w:r w:rsidR="00B939E3">
        <w:t>s</w:t>
      </w:r>
      <w:r w:rsidR="008B0C50">
        <w:t xml:space="preserve"> per healthcare facility per month and </w:t>
      </w:r>
      <w:r w:rsidR="00B7332C">
        <w:t xml:space="preserve">as many as 3,600 HCP cases will be reported from 50 healthcare facilities during the 6-month period. </w:t>
      </w:r>
    </w:p>
    <w:p w:rsidRPr="005D4C88" w:rsidR="009D6AB7" w:rsidP="005D4C88" w:rsidRDefault="00982860" w14:paraId="06E35962" w14:textId="11A16E4A">
      <w:pPr>
        <w:pStyle w:val="ListParagraph"/>
        <w:rPr>
          <w:sz w:val="22"/>
        </w:rPr>
      </w:pPr>
      <w:r>
        <w:t xml:space="preserve"> </w:t>
      </w:r>
    </w:p>
    <w:p w:rsidR="000F7E82" w:rsidP="00770156" w:rsidRDefault="005232D4" w14:paraId="7AD8D999" w14:textId="08F1AEA8">
      <w:pPr>
        <w:pStyle w:val="ListParagraph"/>
        <w:rPr>
          <w:color w:val="000000"/>
        </w:rPr>
      </w:pPr>
      <w:r>
        <w:rPr>
          <w:color w:val="000000"/>
        </w:rPr>
        <w:t>Option 2</w:t>
      </w:r>
    </w:p>
    <w:p w:rsidRPr="005D4C88" w:rsidR="000B412A" w:rsidP="005D4C88" w:rsidRDefault="000B412A" w14:paraId="55FEAC76" w14:textId="2118C58B">
      <w:pPr>
        <w:pStyle w:val="ListParagraph"/>
      </w:pPr>
      <w:r>
        <w:rPr>
          <w:color w:val="000000"/>
        </w:rPr>
        <w:t>We estimate that five EIP sites will implement Option 2</w:t>
      </w:r>
      <w:r w:rsidR="00FC1359">
        <w:rPr>
          <w:color w:val="000000"/>
        </w:rPr>
        <w:t xml:space="preserve"> with all five healthcare facilities in each site (n</w:t>
      </w:r>
      <w:r w:rsidR="00907092">
        <w:rPr>
          <w:color w:val="000000"/>
        </w:rPr>
        <w:t>=</w:t>
      </w:r>
      <w:r w:rsidR="00FC1359">
        <w:rPr>
          <w:color w:val="000000"/>
        </w:rPr>
        <w:t>25)</w:t>
      </w:r>
      <w:r>
        <w:rPr>
          <w:color w:val="000000"/>
        </w:rPr>
        <w:t xml:space="preserve">. We estimate that it will take an occupational health nurse 15 minutes to generate a line list of HCP non-cases (HCP who tested negative for SARS-CoV-2) and transmit the information to EIP sites. </w:t>
      </w:r>
      <w:r w:rsidRPr="005D4C88" w:rsidR="002B6427">
        <w:t>According to our sample size calculation for Option 2, we aim to include 400 HCP non-cases from the participating healthcare facilit</w:t>
      </w:r>
      <w:r w:rsidRPr="005D4C88" w:rsidR="00940542">
        <w:t>ies</w:t>
      </w:r>
      <w:r w:rsidRPr="005D4C88" w:rsidR="002B6427">
        <w:t xml:space="preserve">. </w:t>
      </w:r>
    </w:p>
    <w:p w:rsidR="002B6427" w:rsidP="00770156" w:rsidRDefault="002B6427" w14:paraId="75287AAD" w14:textId="77777777">
      <w:pPr>
        <w:pStyle w:val="ListParagraph"/>
        <w:rPr>
          <w:color w:val="000000"/>
        </w:rPr>
      </w:pPr>
    </w:p>
    <w:p w:rsidRPr="000F7E82" w:rsidR="000F7E82" w:rsidP="00770156" w:rsidRDefault="000F7E82" w14:paraId="6C20C076" w14:textId="5B3A3E72">
      <w:pPr>
        <w:pStyle w:val="ListParagraph"/>
        <w:rPr>
          <w:color w:val="000000"/>
        </w:rPr>
      </w:pPr>
      <w:r w:rsidRPr="000F7E82">
        <w:rPr>
          <w:color w:val="000000"/>
        </w:rPr>
        <w:t xml:space="preserve">Each </w:t>
      </w:r>
      <w:r w:rsidR="00770156">
        <w:rPr>
          <w:color w:val="000000"/>
        </w:rPr>
        <w:t>Exposure Assessment Form</w:t>
      </w:r>
      <w:r w:rsidRPr="000F7E82">
        <w:rPr>
          <w:color w:val="000000"/>
        </w:rPr>
        <w:t xml:space="preserve"> (</w:t>
      </w:r>
      <w:r w:rsidRPr="009719AD">
        <w:rPr>
          <w:color w:val="000000"/>
        </w:rPr>
        <w:t>Attachment</w:t>
      </w:r>
      <w:r w:rsidR="009719AD">
        <w:rPr>
          <w:color w:val="000000"/>
        </w:rPr>
        <w:t xml:space="preserve"> 4</w:t>
      </w:r>
      <w:r w:rsidRPr="009719AD">
        <w:rPr>
          <w:color w:val="000000"/>
        </w:rPr>
        <w:t>)</w:t>
      </w:r>
      <w:r w:rsidRPr="00E36627">
        <w:rPr>
          <w:color w:val="000000"/>
        </w:rPr>
        <w:t xml:space="preserve"> will</w:t>
      </w:r>
      <w:r w:rsidRPr="000F7E82">
        <w:rPr>
          <w:color w:val="000000"/>
        </w:rPr>
        <w:t xml:space="preserve"> take approximately 30 minutes to complete. </w:t>
      </w:r>
      <w:r w:rsidR="004C100C">
        <w:rPr>
          <w:color w:val="000000"/>
        </w:rPr>
        <w:t>This estimate is based on experience using an earlier version of the form in field investigations.</w:t>
      </w:r>
      <w:r w:rsidRPr="000F7E82">
        <w:rPr>
          <w:color w:val="000000"/>
        </w:rPr>
        <w:t xml:space="preserve"> We estimate that as many as 4,000 healthcare personnel </w:t>
      </w:r>
      <w:r w:rsidR="002B6427">
        <w:rPr>
          <w:color w:val="000000"/>
        </w:rPr>
        <w:t>(3</w:t>
      </w:r>
      <w:r w:rsidR="005308D5">
        <w:rPr>
          <w:color w:val="000000"/>
        </w:rPr>
        <w:t>,</w:t>
      </w:r>
      <w:r w:rsidR="002B6427">
        <w:rPr>
          <w:color w:val="000000"/>
        </w:rPr>
        <w:t>600 HCP case</w:t>
      </w:r>
      <w:r w:rsidR="005308D5">
        <w:rPr>
          <w:color w:val="000000"/>
        </w:rPr>
        <w:t>s</w:t>
      </w:r>
      <w:r w:rsidR="002B6427">
        <w:rPr>
          <w:color w:val="000000"/>
        </w:rPr>
        <w:t xml:space="preserve"> for Option 1 and 400 HCP non-cases for Option 2) </w:t>
      </w:r>
      <w:r w:rsidRPr="000F7E82">
        <w:rPr>
          <w:color w:val="000000"/>
        </w:rPr>
        <w:t xml:space="preserve">within a variety of job categories will participate in the HCP interviews.  </w:t>
      </w:r>
    </w:p>
    <w:p w:rsidR="000F7E82" w:rsidP="00770156" w:rsidRDefault="000F7E82" w14:paraId="3F844EB3" w14:textId="622E424F">
      <w:pPr>
        <w:pStyle w:val="ListParagraph"/>
      </w:pPr>
    </w:p>
    <w:p w:rsidR="00EA0309" w:rsidP="00770156" w:rsidRDefault="00EA0309" w14:paraId="23B2BAF3" w14:textId="77777777">
      <w:pPr>
        <w:pStyle w:val="ListParagraph"/>
      </w:pPr>
    </w:p>
    <w:p w:rsidR="000F7E82" w:rsidP="00770156" w:rsidRDefault="000F7E82" w14:paraId="51CC0F27" w14:textId="77777777">
      <w:r>
        <w:t>Table 12-A. Estimated Annualized Burden Hours</w:t>
      </w:r>
    </w:p>
    <w:tbl>
      <w:tblPr>
        <w:tblW w:w="9366" w:type="dxa"/>
        <w:tblCellMar>
          <w:left w:w="0" w:type="dxa"/>
          <w:right w:w="0" w:type="dxa"/>
        </w:tblCellMar>
        <w:tblLook w:val="04A0" w:firstRow="1" w:lastRow="0" w:firstColumn="1" w:lastColumn="0" w:noHBand="0" w:noVBand="1"/>
      </w:tblPr>
      <w:tblGrid>
        <w:gridCol w:w="1801"/>
        <w:gridCol w:w="1974"/>
        <w:gridCol w:w="1484"/>
        <w:gridCol w:w="1657"/>
        <w:gridCol w:w="1369"/>
        <w:gridCol w:w="1081"/>
      </w:tblGrid>
      <w:tr w:rsidRPr="00770156" w:rsidR="000F7E82" w:rsidTr="000F7E82" w14:paraId="1799B302" w14:textId="77777777">
        <w:tc>
          <w:tcPr>
            <w:tcW w:w="1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70156" w:rsidR="000F7E82" w:rsidRDefault="000F7E82" w14:paraId="1C6E3B1D" w14:textId="77777777">
            <w:pPr>
              <w:autoSpaceDE w:val="0"/>
              <w:autoSpaceDN w:val="0"/>
              <w:jc w:val="center"/>
              <w:rPr>
                <w:rFonts w:cs="Times New Roman"/>
                <w:color w:val="000000"/>
              </w:rPr>
            </w:pPr>
            <w:bookmarkStart w:name="_Hlk37090821" w:id="19"/>
            <w:r w:rsidRPr="00770156">
              <w:rPr>
                <w:rFonts w:cs="Times New Roman"/>
                <w:color w:val="000000"/>
              </w:rPr>
              <w:t>Type of Respondents</w:t>
            </w:r>
          </w:p>
        </w:tc>
        <w:tc>
          <w:tcPr>
            <w:tcW w:w="19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4BDE893F" w14:textId="77777777">
            <w:pPr>
              <w:autoSpaceDE w:val="0"/>
              <w:autoSpaceDN w:val="0"/>
              <w:jc w:val="center"/>
              <w:rPr>
                <w:rFonts w:cs="Times New Roman"/>
                <w:color w:val="000000"/>
              </w:rPr>
            </w:pPr>
            <w:r w:rsidRPr="00770156">
              <w:rPr>
                <w:rFonts w:cs="Times New Roman"/>
                <w:color w:val="000000"/>
              </w:rPr>
              <w:t>Form Name</w:t>
            </w:r>
          </w:p>
        </w:tc>
        <w:tc>
          <w:tcPr>
            <w:tcW w:w="14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33441B31" w14:textId="77777777">
            <w:pPr>
              <w:autoSpaceDE w:val="0"/>
              <w:autoSpaceDN w:val="0"/>
              <w:jc w:val="center"/>
              <w:rPr>
                <w:rFonts w:cs="Times New Roman"/>
                <w:color w:val="000000"/>
              </w:rPr>
            </w:pPr>
            <w:r w:rsidRPr="00770156">
              <w:rPr>
                <w:rFonts w:cs="Times New Roman"/>
                <w:color w:val="000000"/>
              </w:rPr>
              <w:t>Number of Respondents</w:t>
            </w:r>
          </w:p>
        </w:tc>
        <w:tc>
          <w:tcPr>
            <w:tcW w:w="16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56D3F074" w14:textId="77777777">
            <w:pPr>
              <w:autoSpaceDE w:val="0"/>
              <w:autoSpaceDN w:val="0"/>
              <w:jc w:val="center"/>
              <w:rPr>
                <w:rFonts w:cs="Times New Roman"/>
                <w:color w:val="000000"/>
              </w:rPr>
            </w:pPr>
            <w:r w:rsidRPr="00770156">
              <w:rPr>
                <w:rFonts w:cs="Times New Roman"/>
                <w:color w:val="000000"/>
              </w:rPr>
              <w:t>Number of Responses per Respondent</w:t>
            </w:r>
          </w:p>
        </w:tc>
        <w:tc>
          <w:tcPr>
            <w:tcW w:w="13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1BBC8130" w14:textId="77777777">
            <w:pPr>
              <w:autoSpaceDE w:val="0"/>
              <w:autoSpaceDN w:val="0"/>
              <w:jc w:val="center"/>
              <w:rPr>
                <w:rFonts w:cs="Times New Roman"/>
                <w:color w:val="000000"/>
              </w:rPr>
            </w:pPr>
            <w:r w:rsidRPr="00770156">
              <w:rPr>
                <w:rFonts w:cs="Times New Roman"/>
                <w:color w:val="000000"/>
              </w:rPr>
              <w:t>Average Burden per Response (in hours)</w:t>
            </w:r>
          </w:p>
        </w:tc>
        <w:tc>
          <w:tcPr>
            <w:tcW w:w="108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29B4C942" w14:textId="77777777">
            <w:pPr>
              <w:autoSpaceDE w:val="0"/>
              <w:autoSpaceDN w:val="0"/>
              <w:jc w:val="center"/>
              <w:rPr>
                <w:rFonts w:cs="Times New Roman"/>
                <w:color w:val="000000"/>
              </w:rPr>
            </w:pPr>
            <w:r w:rsidRPr="00770156">
              <w:rPr>
                <w:rFonts w:cs="Times New Roman"/>
                <w:color w:val="000000"/>
              </w:rPr>
              <w:t>Total Burden (in hours)</w:t>
            </w:r>
          </w:p>
        </w:tc>
      </w:tr>
      <w:tr w:rsidRPr="00770156" w:rsidR="000F7E82" w:rsidTr="000F7E82" w14:paraId="0EA397B6"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0F7E82" w:rsidRDefault="000F7E82" w14:paraId="7E7518E2" w14:textId="77777777">
            <w:pPr>
              <w:autoSpaceDE w:val="0"/>
              <w:autoSpaceDN w:val="0"/>
              <w:rPr>
                <w:rFonts w:cs="Times New Roman"/>
                <w:color w:val="000000"/>
              </w:rPr>
            </w:pPr>
            <w:r w:rsidRPr="00770156">
              <w:rPr>
                <w:rFonts w:cs="Times New Roman"/>
                <w:color w:val="000000"/>
              </w:rPr>
              <w:t xml:space="preserve">Healthcare Personnel </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6D48890A" w14:textId="77777777">
            <w:pPr>
              <w:rPr>
                <w:rFonts w:cs="Times New Roman"/>
                <w:b/>
                <w:bCs/>
              </w:rPr>
            </w:pPr>
            <w:r w:rsidRPr="00770156">
              <w:rPr>
                <w:rFonts w:cs="Times New Roman"/>
              </w:rPr>
              <w:t xml:space="preserve">Assessment of Healthcare Personnel </w:t>
            </w:r>
          </w:p>
          <w:p w:rsidRPr="00770156" w:rsidR="000F7E82" w:rsidRDefault="000F7E82" w14:paraId="12BE370D" w14:textId="77777777">
            <w:pPr>
              <w:rPr>
                <w:rFonts w:cs="Times New Roman"/>
              </w:rPr>
            </w:pPr>
            <w:r w:rsidRPr="00770156">
              <w:rPr>
                <w:rFonts w:cs="Times New Roman"/>
              </w:rPr>
              <w:t>Exposed to or Infected with SARS-CoV-2</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2652AF49" w14:textId="77777777">
            <w:pPr>
              <w:jc w:val="center"/>
              <w:rPr>
                <w:rFonts w:cs="Times New Roman"/>
              </w:rPr>
            </w:pPr>
            <w:r w:rsidRPr="00770156">
              <w:rPr>
                <w:rFonts w:cs="Times New Roman"/>
              </w:rPr>
              <w:t>4,000</w:t>
            </w:r>
          </w:p>
        </w:tc>
        <w:tc>
          <w:tcPr>
            <w:tcW w:w="1657"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4D1B5AE3" w14:textId="77777777">
            <w:pPr>
              <w:jc w:val="center"/>
              <w:rPr>
                <w:rFonts w:cs="Times New Roman"/>
              </w:rPr>
            </w:pPr>
            <w:r w:rsidRPr="00770156">
              <w:rPr>
                <w:rFonts w:cs="Times New Roman"/>
              </w:rPr>
              <w:t>1</w:t>
            </w:r>
          </w:p>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2D7A885D" w14:textId="77777777">
            <w:pPr>
              <w:jc w:val="center"/>
              <w:rPr>
                <w:rFonts w:cs="Times New Roman"/>
              </w:rPr>
            </w:pPr>
            <w:r w:rsidRPr="00770156">
              <w:rPr>
                <w:rFonts w:cs="Times New Roman"/>
              </w:rPr>
              <w:t>30/60</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50CE1FB7" w14:textId="77777777">
            <w:pPr>
              <w:jc w:val="center"/>
              <w:rPr>
                <w:rFonts w:cs="Times New Roman"/>
              </w:rPr>
            </w:pPr>
            <w:r w:rsidRPr="00770156">
              <w:rPr>
                <w:rFonts w:cs="Times New Roman"/>
              </w:rPr>
              <w:t>2,000</w:t>
            </w:r>
          </w:p>
        </w:tc>
      </w:tr>
      <w:tr w:rsidRPr="00770156" w:rsidR="000F7E82" w:rsidTr="000F7E82" w14:paraId="1B7C7072"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0F7E82" w:rsidRDefault="000F7E82" w14:paraId="34FFC7A2" w14:textId="77777777">
            <w:pPr>
              <w:autoSpaceDE w:val="0"/>
              <w:autoSpaceDN w:val="0"/>
              <w:rPr>
                <w:rFonts w:cs="Times New Roman"/>
                <w:color w:val="000000"/>
              </w:rPr>
            </w:pPr>
            <w:r w:rsidRPr="00770156">
              <w:rPr>
                <w:rFonts w:cs="Times New Roman"/>
                <w:color w:val="000000"/>
              </w:rPr>
              <w:t xml:space="preserve">Occupational Health Nurses </w:t>
            </w:r>
            <w:r w:rsidRPr="00770156">
              <w:rPr>
                <w:rFonts w:cs="Times New Roman"/>
                <w:color w:val="000000"/>
              </w:rPr>
              <w:lastRenderedPageBreak/>
              <w:t>at Healthcare Facilities</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539A5343" w14:textId="77777777">
            <w:pPr>
              <w:rPr>
                <w:rFonts w:cs="Times New Roman"/>
              </w:rPr>
            </w:pPr>
            <w:r w:rsidRPr="00770156">
              <w:rPr>
                <w:rFonts w:cs="Times New Roman"/>
              </w:rPr>
              <w:lastRenderedPageBreak/>
              <w:t>No form</w:t>
            </w:r>
          </w:p>
        </w:tc>
        <w:tc>
          <w:tcPr>
            <w:tcW w:w="1484"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62792122" w14:textId="4F1254A8">
            <w:pPr>
              <w:jc w:val="center"/>
              <w:rPr>
                <w:rFonts w:cs="Times New Roman"/>
              </w:rPr>
            </w:pPr>
            <w:r w:rsidRPr="00770156">
              <w:rPr>
                <w:rFonts w:cs="Times New Roman"/>
              </w:rPr>
              <w:t>50</w:t>
            </w:r>
            <w:r w:rsidR="005308D5">
              <w:rPr>
                <w:rFonts w:cs="Times New Roman"/>
              </w:rPr>
              <w:t xml:space="preserve"> (25 each for Option 1 </w:t>
            </w:r>
            <w:r w:rsidR="005308D5">
              <w:rPr>
                <w:rFonts w:cs="Times New Roman"/>
              </w:rPr>
              <w:lastRenderedPageBreak/>
              <w:t>and Option 2)</w:t>
            </w:r>
          </w:p>
        </w:tc>
        <w:tc>
          <w:tcPr>
            <w:tcW w:w="1657"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5BF8EF7D" w14:textId="77777777">
            <w:pPr>
              <w:jc w:val="center"/>
              <w:rPr>
                <w:rFonts w:cs="Times New Roman"/>
              </w:rPr>
            </w:pPr>
            <w:r w:rsidRPr="00770156">
              <w:rPr>
                <w:rFonts w:cs="Times New Roman"/>
              </w:rPr>
              <w:lastRenderedPageBreak/>
              <w:t>24</w:t>
            </w:r>
          </w:p>
        </w:tc>
        <w:tc>
          <w:tcPr>
            <w:tcW w:w="1369"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78087BF4" w14:textId="77777777">
            <w:pPr>
              <w:jc w:val="center"/>
              <w:rPr>
                <w:rFonts w:cs="Times New Roman"/>
              </w:rPr>
            </w:pPr>
            <w:r w:rsidRPr="00770156">
              <w:rPr>
                <w:rFonts w:cs="Times New Roman"/>
              </w:rPr>
              <w:t>15/60</w:t>
            </w: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78882EE8" w14:textId="77777777">
            <w:pPr>
              <w:jc w:val="center"/>
              <w:rPr>
                <w:rFonts w:cs="Times New Roman"/>
              </w:rPr>
            </w:pPr>
            <w:r w:rsidRPr="00770156">
              <w:rPr>
                <w:rFonts w:cs="Times New Roman"/>
              </w:rPr>
              <w:t>300</w:t>
            </w:r>
          </w:p>
        </w:tc>
      </w:tr>
      <w:tr w:rsidRPr="00770156" w:rsidR="00B939E3" w:rsidTr="000F7E82" w14:paraId="43D86C0C"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70156" w:rsidR="00B939E3" w:rsidRDefault="00B939E3" w14:paraId="3B8A9D69" w14:textId="167BF0B9">
            <w:pPr>
              <w:autoSpaceDE w:val="0"/>
              <w:autoSpaceDN w:val="0"/>
              <w:rPr>
                <w:rFonts w:cs="Times New Roman"/>
                <w:color w:val="000000"/>
              </w:rPr>
            </w:pPr>
            <w:r>
              <w:rPr>
                <w:rFonts w:cs="Times New Roman"/>
                <w:color w:val="000000"/>
              </w:rPr>
              <w:t xml:space="preserve">EIP or state health department </w:t>
            </w:r>
            <w:r w:rsidR="00907092">
              <w:rPr>
                <w:rFonts w:cs="Times New Roman"/>
                <w:color w:val="000000"/>
              </w:rPr>
              <w:t>employee</w:t>
            </w:r>
          </w:p>
        </w:tc>
        <w:tc>
          <w:tcPr>
            <w:tcW w:w="1974"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RDefault="00B939E3" w14:paraId="4FC59192" w14:textId="1AA1AB2A">
            <w:pPr>
              <w:rPr>
                <w:rFonts w:cs="Times New Roman"/>
              </w:rPr>
            </w:pPr>
            <w:r>
              <w:rPr>
                <w:rFonts w:cs="Times New Roman"/>
              </w:rPr>
              <w:t xml:space="preserve">No form </w:t>
            </w:r>
          </w:p>
        </w:tc>
        <w:tc>
          <w:tcPr>
            <w:tcW w:w="1484"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RDefault="00B939E3" w14:paraId="696E725E" w14:textId="4BA1FFF9">
            <w:pPr>
              <w:jc w:val="center"/>
              <w:rPr>
                <w:rFonts w:cs="Times New Roman"/>
              </w:rPr>
            </w:pPr>
            <w:r>
              <w:rPr>
                <w:rFonts w:cs="Times New Roman"/>
              </w:rPr>
              <w:t xml:space="preserve">5 </w:t>
            </w:r>
          </w:p>
        </w:tc>
        <w:tc>
          <w:tcPr>
            <w:tcW w:w="1657"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RDefault="00B939E3" w14:paraId="4D26624E" w14:textId="083EE2DC">
            <w:pPr>
              <w:jc w:val="center"/>
              <w:rPr>
                <w:rFonts w:cs="Times New Roman"/>
              </w:rPr>
            </w:pPr>
            <w:r>
              <w:rPr>
                <w:rFonts w:cs="Times New Roman"/>
              </w:rPr>
              <w:t>24</w:t>
            </w:r>
          </w:p>
        </w:tc>
        <w:tc>
          <w:tcPr>
            <w:tcW w:w="1369"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RDefault="00B939E3" w14:paraId="5496223A" w14:textId="35A31307">
            <w:pPr>
              <w:jc w:val="center"/>
              <w:rPr>
                <w:rFonts w:cs="Times New Roman"/>
              </w:rPr>
            </w:pPr>
            <w:r>
              <w:rPr>
                <w:rFonts w:cs="Times New Roman"/>
              </w:rPr>
              <w:t>5/60</w:t>
            </w:r>
          </w:p>
        </w:tc>
        <w:tc>
          <w:tcPr>
            <w:tcW w:w="1081"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RDefault="00B939E3" w14:paraId="1EABE762" w14:textId="0E6F7649">
            <w:pPr>
              <w:jc w:val="center"/>
              <w:rPr>
                <w:rFonts w:cs="Times New Roman"/>
              </w:rPr>
            </w:pPr>
            <w:r>
              <w:rPr>
                <w:rFonts w:cs="Times New Roman"/>
              </w:rPr>
              <w:t>10</w:t>
            </w:r>
          </w:p>
        </w:tc>
      </w:tr>
      <w:tr w:rsidRPr="00770156" w:rsidR="000F7E82" w:rsidTr="000F7E82" w14:paraId="5ED7C6B0"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0F7E82" w:rsidRDefault="000F7E82" w14:paraId="0FF28A20" w14:textId="77777777">
            <w:pPr>
              <w:autoSpaceDE w:val="0"/>
              <w:autoSpaceDN w:val="0"/>
              <w:rPr>
                <w:rFonts w:cs="Times New Roman"/>
                <w:color w:val="000000"/>
              </w:rPr>
            </w:pPr>
            <w:r w:rsidRPr="00770156">
              <w:rPr>
                <w:rFonts w:cs="Times New Roman"/>
                <w:color w:val="000000"/>
              </w:rPr>
              <w:t>Total</w:t>
            </w:r>
          </w:p>
        </w:tc>
        <w:tc>
          <w:tcPr>
            <w:tcW w:w="6484" w:type="dxa"/>
            <w:gridSpan w:val="4"/>
            <w:tcBorders>
              <w:top w:val="nil"/>
              <w:left w:val="nil"/>
              <w:bottom w:val="single" w:color="auto" w:sz="8" w:space="0"/>
              <w:right w:val="single" w:color="auto" w:sz="8" w:space="0"/>
            </w:tcBorders>
            <w:tcMar>
              <w:top w:w="0" w:type="dxa"/>
              <w:left w:w="108" w:type="dxa"/>
              <w:bottom w:w="0" w:type="dxa"/>
              <w:right w:w="108" w:type="dxa"/>
            </w:tcMar>
          </w:tcPr>
          <w:p w:rsidRPr="00770156" w:rsidR="000F7E82" w:rsidRDefault="000F7E82" w14:paraId="66A9B6C1" w14:textId="77777777">
            <w:pPr>
              <w:autoSpaceDE w:val="0"/>
              <w:autoSpaceDN w:val="0"/>
              <w:rPr>
                <w:rFonts w:cs="Times New Roman"/>
                <w:color w:val="000000"/>
              </w:rPr>
            </w:pPr>
          </w:p>
        </w:tc>
        <w:tc>
          <w:tcPr>
            <w:tcW w:w="1081"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0F7E82" w:rsidRDefault="000F7E82" w14:paraId="17D4EEBF" w14:textId="4E5F1CB8">
            <w:pPr>
              <w:autoSpaceDE w:val="0"/>
              <w:autoSpaceDN w:val="0"/>
              <w:jc w:val="center"/>
              <w:rPr>
                <w:rFonts w:cs="Times New Roman"/>
                <w:color w:val="000000"/>
              </w:rPr>
            </w:pPr>
            <w:r w:rsidRPr="00770156">
              <w:rPr>
                <w:rFonts w:cs="Times New Roman"/>
                <w:color w:val="000000"/>
              </w:rPr>
              <w:t>2,3</w:t>
            </w:r>
            <w:r w:rsidR="00B939E3">
              <w:rPr>
                <w:rFonts w:cs="Times New Roman"/>
                <w:color w:val="000000"/>
              </w:rPr>
              <w:t>1</w:t>
            </w:r>
            <w:r w:rsidRPr="00770156">
              <w:rPr>
                <w:rFonts w:cs="Times New Roman"/>
                <w:color w:val="000000"/>
              </w:rPr>
              <w:t>0</w:t>
            </w:r>
          </w:p>
        </w:tc>
      </w:tr>
      <w:bookmarkEnd w:id="19"/>
    </w:tbl>
    <w:p w:rsidR="000F7E82" w:rsidP="00770156" w:rsidRDefault="000F7E82" w14:paraId="79195F0E" w14:textId="77777777">
      <w:pPr>
        <w:pStyle w:val="ListParagraph"/>
      </w:pPr>
    </w:p>
    <w:p w:rsidR="00C553B7" w:rsidP="004A13E8" w:rsidRDefault="004A13E8" w14:paraId="505C920E" w14:textId="20E63586">
      <w:pPr>
        <w:spacing w:before="240"/>
      </w:pPr>
      <w:r>
        <w:t>B.</w:t>
      </w:r>
      <w:r w:rsidR="00C553B7">
        <w:t xml:space="preserve"> Estimated Annualized Burden Costs</w:t>
      </w:r>
      <w:r w:rsidR="009B0947">
        <w:t xml:space="preserve"> </w:t>
      </w:r>
    </w:p>
    <w:p w:rsidR="00770156" w:rsidP="00770156" w:rsidRDefault="00770156" w14:paraId="5521BD3C" w14:textId="1ABAC57C">
      <w:pPr>
        <w:spacing w:before="240"/>
      </w:pPr>
      <w:r>
        <w:t>There will be no anticipated costs to respondents other than time. To calculate the burden costs, we averaged the national estimate of the average hourly wage for the following occupations: registered nurses, healthcare technologists and technicians; healthcare practitioners and technical occupations; and healthcare support occupations. The average wage for each of these occupations was obtained from the Department of Labor, Bureau of Labor &amp; Statistics, May 2019 (</w:t>
      </w:r>
      <w:hyperlink w:history="1" r:id="rId16">
        <w:r>
          <w:rPr>
            <w:rStyle w:val="Hyperlink"/>
          </w:rPr>
          <w:t>https://www.bls.gov/oes/current/oes_nat.htm</w:t>
        </w:r>
      </w:hyperlink>
      <w:r>
        <w:t>).</w:t>
      </w:r>
    </w:p>
    <w:p w:rsidRPr="00770156" w:rsidR="00770156" w:rsidP="00770156" w:rsidRDefault="00770156" w14:paraId="6567B996" w14:textId="77777777">
      <w:pPr>
        <w:spacing w:after="0" w:line="240" w:lineRule="auto"/>
        <w:rPr>
          <w:rFonts w:eastAsia="Calibri" w:cs="Times New Roman"/>
          <w:szCs w:val="24"/>
        </w:rPr>
      </w:pPr>
    </w:p>
    <w:p w:rsidRPr="00770156" w:rsidR="00770156" w:rsidP="00770156" w:rsidRDefault="00770156" w14:paraId="57479625" w14:textId="77777777">
      <w:pPr>
        <w:spacing w:after="0" w:line="240" w:lineRule="auto"/>
        <w:rPr>
          <w:rFonts w:eastAsia="Calibri" w:cs="Times New Roman"/>
          <w:szCs w:val="24"/>
        </w:rPr>
      </w:pPr>
      <w:r w:rsidRPr="00770156">
        <w:rPr>
          <w:rFonts w:eastAsia="Calibri" w:cs="Times New Roman"/>
          <w:szCs w:val="24"/>
        </w:rPr>
        <w:t>Table 12-B.  Estimated Annualized Burden Costs</w:t>
      </w:r>
    </w:p>
    <w:tbl>
      <w:tblPr>
        <w:tblW w:w="8292" w:type="dxa"/>
        <w:tblCellMar>
          <w:left w:w="0" w:type="dxa"/>
          <w:right w:w="0" w:type="dxa"/>
        </w:tblCellMar>
        <w:tblLook w:val="04A0" w:firstRow="1" w:lastRow="0" w:firstColumn="1" w:lastColumn="0" w:noHBand="0" w:noVBand="1"/>
      </w:tblPr>
      <w:tblGrid>
        <w:gridCol w:w="1801"/>
        <w:gridCol w:w="1929"/>
        <w:gridCol w:w="1435"/>
        <w:gridCol w:w="1591"/>
        <w:gridCol w:w="1536"/>
      </w:tblGrid>
      <w:tr w:rsidRPr="00770156" w:rsidR="00770156" w:rsidTr="00770156" w14:paraId="0BB045DA" w14:textId="77777777">
        <w:tc>
          <w:tcPr>
            <w:tcW w:w="1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7057DD6F" w14:textId="77777777">
            <w:pPr>
              <w:autoSpaceDE w:val="0"/>
              <w:autoSpaceDN w:val="0"/>
              <w:spacing w:after="0" w:line="240" w:lineRule="auto"/>
              <w:jc w:val="center"/>
              <w:rPr>
                <w:rFonts w:eastAsia="Calibri" w:cs="Times New Roman"/>
                <w:color w:val="000000"/>
                <w:szCs w:val="24"/>
              </w:rPr>
            </w:pPr>
            <w:r w:rsidRPr="00770156">
              <w:rPr>
                <w:rFonts w:eastAsia="Calibri" w:cs="Times New Roman"/>
                <w:color w:val="000000"/>
                <w:szCs w:val="24"/>
              </w:rPr>
              <w:t>Type of Respondents</w:t>
            </w:r>
          </w:p>
        </w:tc>
        <w:tc>
          <w:tcPr>
            <w:tcW w:w="1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75D6DCEA" w14:textId="77777777">
            <w:pPr>
              <w:autoSpaceDE w:val="0"/>
              <w:autoSpaceDN w:val="0"/>
              <w:spacing w:after="0" w:line="240" w:lineRule="auto"/>
              <w:jc w:val="center"/>
              <w:rPr>
                <w:rFonts w:eastAsia="Calibri" w:cs="Times New Roman"/>
                <w:color w:val="000000"/>
                <w:szCs w:val="24"/>
              </w:rPr>
            </w:pPr>
            <w:r w:rsidRPr="00770156">
              <w:rPr>
                <w:rFonts w:eastAsia="Calibri" w:cs="Times New Roman"/>
                <w:color w:val="000000"/>
                <w:szCs w:val="24"/>
              </w:rPr>
              <w:t>Form Name</w:t>
            </w:r>
          </w:p>
        </w:tc>
        <w:tc>
          <w:tcPr>
            <w:tcW w:w="14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4EE5E4EF" w14:textId="77777777">
            <w:pPr>
              <w:autoSpaceDE w:val="0"/>
              <w:autoSpaceDN w:val="0"/>
              <w:spacing w:after="0" w:line="240" w:lineRule="auto"/>
              <w:jc w:val="center"/>
              <w:rPr>
                <w:rFonts w:eastAsia="Calibri" w:cs="Times New Roman"/>
                <w:color w:val="000000"/>
                <w:szCs w:val="24"/>
              </w:rPr>
            </w:pPr>
            <w:r w:rsidRPr="00770156">
              <w:rPr>
                <w:rFonts w:eastAsia="Calibri" w:cs="Times New Roman"/>
                <w:color w:val="000000"/>
                <w:szCs w:val="24"/>
              </w:rPr>
              <w:t>Total Burden Hours</w:t>
            </w:r>
          </w:p>
        </w:tc>
        <w:tc>
          <w:tcPr>
            <w:tcW w:w="159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648C7C43" w14:textId="77777777">
            <w:pPr>
              <w:autoSpaceDE w:val="0"/>
              <w:autoSpaceDN w:val="0"/>
              <w:spacing w:after="0" w:line="240" w:lineRule="auto"/>
              <w:jc w:val="center"/>
              <w:rPr>
                <w:rFonts w:eastAsia="Calibri" w:cs="Times New Roman"/>
                <w:color w:val="000000"/>
                <w:szCs w:val="24"/>
              </w:rPr>
            </w:pPr>
            <w:r w:rsidRPr="00770156">
              <w:rPr>
                <w:rFonts w:eastAsia="Calibri" w:cs="Times New Roman"/>
                <w:color w:val="000000"/>
                <w:szCs w:val="24"/>
              </w:rPr>
              <w:t>Hourly Wage Rate</w:t>
            </w:r>
          </w:p>
        </w:tc>
        <w:tc>
          <w:tcPr>
            <w:tcW w:w="15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7C881591" w14:textId="77777777">
            <w:pPr>
              <w:autoSpaceDE w:val="0"/>
              <w:autoSpaceDN w:val="0"/>
              <w:spacing w:after="0" w:line="240" w:lineRule="auto"/>
              <w:jc w:val="center"/>
              <w:rPr>
                <w:rFonts w:eastAsia="Calibri" w:cs="Times New Roman"/>
                <w:color w:val="000000"/>
                <w:szCs w:val="24"/>
              </w:rPr>
            </w:pPr>
            <w:r w:rsidRPr="00770156">
              <w:rPr>
                <w:rFonts w:eastAsia="Calibri" w:cs="Times New Roman"/>
                <w:color w:val="000000"/>
                <w:szCs w:val="24"/>
              </w:rPr>
              <w:t>Total Respondent Costs</w:t>
            </w:r>
          </w:p>
        </w:tc>
      </w:tr>
      <w:tr w:rsidRPr="00770156" w:rsidR="00770156" w:rsidTr="00770156" w14:paraId="7C564E9F"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04747E83" w14:textId="77777777">
            <w:pPr>
              <w:autoSpaceDE w:val="0"/>
              <w:autoSpaceDN w:val="0"/>
              <w:spacing w:after="0" w:line="240" w:lineRule="auto"/>
              <w:rPr>
                <w:rFonts w:eastAsia="Calibri" w:cs="Times New Roman"/>
                <w:color w:val="000000"/>
                <w:szCs w:val="24"/>
              </w:rPr>
            </w:pPr>
            <w:r w:rsidRPr="00770156">
              <w:rPr>
                <w:rFonts w:eastAsia="Calibri" w:cs="Times New Roman"/>
                <w:color w:val="000000"/>
                <w:szCs w:val="24"/>
              </w:rPr>
              <w:t xml:space="preserve">Healthcare Personnel </w:t>
            </w:r>
          </w:p>
        </w:tc>
        <w:tc>
          <w:tcPr>
            <w:tcW w:w="1929"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0426118E" w14:textId="77777777">
            <w:pPr>
              <w:spacing w:after="0" w:line="240" w:lineRule="auto"/>
              <w:rPr>
                <w:rFonts w:eastAsia="Calibri" w:cs="Times New Roman"/>
                <w:b/>
                <w:bCs/>
                <w:szCs w:val="24"/>
              </w:rPr>
            </w:pPr>
            <w:r w:rsidRPr="00770156">
              <w:rPr>
                <w:rFonts w:eastAsia="Calibri" w:cs="Times New Roman"/>
                <w:szCs w:val="24"/>
              </w:rPr>
              <w:t xml:space="preserve">Assessment of Healthcare Personnel </w:t>
            </w:r>
          </w:p>
          <w:p w:rsidRPr="00770156" w:rsidR="00770156" w:rsidP="00770156" w:rsidRDefault="00770156" w14:paraId="437C1D46" w14:textId="77777777">
            <w:pPr>
              <w:spacing w:after="0" w:line="240" w:lineRule="auto"/>
              <w:rPr>
                <w:rFonts w:eastAsia="Calibri" w:cs="Times New Roman"/>
                <w:szCs w:val="24"/>
              </w:rPr>
            </w:pPr>
            <w:r w:rsidRPr="00770156">
              <w:rPr>
                <w:rFonts w:eastAsia="Calibri" w:cs="Times New Roman"/>
                <w:szCs w:val="24"/>
              </w:rPr>
              <w:t>Exposed to or Infected with SARS-CoV-2</w:t>
            </w:r>
          </w:p>
        </w:tc>
        <w:tc>
          <w:tcPr>
            <w:tcW w:w="1435"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0B7BD21C" w14:textId="77777777">
            <w:pPr>
              <w:spacing w:after="0" w:line="240" w:lineRule="auto"/>
              <w:jc w:val="center"/>
              <w:rPr>
                <w:rFonts w:eastAsia="Calibri" w:cs="Times New Roman"/>
                <w:szCs w:val="24"/>
              </w:rPr>
            </w:pPr>
            <w:r w:rsidRPr="00770156">
              <w:rPr>
                <w:rFonts w:eastAsia="Calibri" w:cs="Times New Roman"/>
                <w:szCs w:val="24"/>
              </w:rPr>
              <w:t>2,000</w:t>
            </w:r>
          </w:p>
        </w:tc>
        <w:tc>
          <w:tcPr>
            <w:tcW w:w="1591"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2838412F" w14:textId="77777777">
            <w:pPr>
              <w:spacing w:after="0" w:line="240" w:lineRule="auto"/>
              <w:jc w:val="center"/>
              <w:rPr>
                <w:rFonts w:eastAsia="Calibri" w:cs="Times New Roman"/>
                <w:szCs w:val="24"/>
              </w:rPr>
            </w:pPr>
            <w:r w:rsidRPr="00770156">
              <w:rPr>
                <w:rFonts w:eastAsia="Calibri" w:cs="Times New Roman"/>
                <w:szCs w:val="24"/>
              </w:rPr>
              <w:t>$28.81</w:t>
            </w:r>
          </w:p>
        </w:tc>
        <w:tc>
          <w:tcPr>
            <w:tcW w:w="1536"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112966B8" w14:textId="77777777">
            <w:pPr>
              <w:spacing w:after="0" w:line="240" w:lineRule="auto"/>
              <w:jc w:val="center"/>
              <w:rPr>
                <w:rFonts w:eastAsia="Calibri" w:cs="Times New Roman"/>
                <w:szCs w:val="24"/>
              </w:rPr>
            </w:pPr>
            <w:r w:rsidRPr="00770156">
              <w:rPr>
                <w:rFonts w:eastAsia="Calibri" w:cs="Times New Roman"/>
                <w:szCs w:val="24"/>
              </w:rPr>
              <w:t>$57,620.00</w:t>
            </w:r>
          </w:p>
        </w:tc>
      </w:tr>
      <w:tr w:rsidRPr="00770156" w:rsidR="00770156" w:rsidTr="00770156" w14:paraId="7B035B08"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1613294B" w14:textId="77777777">
            <w:pPr>
              <w:autoSpaceDE w:val="0"/>
              <w:autoSpaceDN w:val="0"/>
              <w:spacing w:after="0" w:line="240" w:lineRule="auto"/>
              <w:rPr>
                <w:rFonts w:eastAsia="Calibri" w:cs="Times New Roman"/>
                <w:color w:val="000000"/>
                <w:szCs w:val="24"/>
              </w:rPr>
            </w:pPr>
            <w:r w:rsidRPr="00770156">
              <w:rPr>
                <w:rFonts w:eastAsia="Calibri" w:cs="Times New Roman"/>
                <w:color w:val="000000"/>
                <w:szCs w:val="24"/>
              </w:rPr>
              <w:t>Occupational Health Nurses at Healthcare Facilities</w:t>
            </w:r>
          </w:p>
        </w:tc>
        <w:tc>
          <w:tcPr>
            <w:tcW w:w="1929"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7823DBB7" w14:textId="77777777">
            <w:pPr>
              <w:spacing w:after="0" w:line="240" w:lineRule="auto"/>
              <w:rPr>
                <w:rFonts w:eastAsia="Calibri" w:cs="Times New Roman"/>
                <w:szCs w:val="24"/>
              </w:rPr>
            </w:pPr>
            <w:r w:rsidRPr="00770156">
              <w:rPr>
                <w:rFonts w:eastAsia="Calibri" w:cs="Times New Roman"/>
                <w:szCs w:val="24"/>
              </w:rPr>
              <w:t>No form</w:t>
            </w:r>
          </w:p>
        </w:tc>
        <w:tc>
          <w:tcPr>
            <w:tcW w:w="1435"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12B0E189" w14:textId="77777777">
            <w:pPr>
              <w:spacing w:after="0" w:line="240" w:lineRule="auto"/>
              <w:jc w:val="center"/>
              <w:rPr>
                <w:rFonts w:eastAsia="Calibri" w:cs="Times New Roman"/>
                <w:szCs w:val="24"/>
              </w:rPr>
            </w:pPr>
            <w:r w:rsidRPr="00770156">
              <w:rPr>
                <w:rFonts w:eastAsia="Calibri" w:cs="Times New Roman"/>
                <w:szCs w:val="24"/>
              </w:rPr>
              <w:t>300</w:t>
            </w:r>
          </w:p>
        </w:tc>
        <w:tc>
          <w:tcPr>
            <w:tcW w:w="1591"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26C90788" w14:textId="77777777">
            <w:pPr>
              <w:spacing w:after="0" w:line="240" w:lineRule="auto"/>
              <w:jc w:val="center"/>
              <w:rPr>
                <w:rFonts w:eastAsia="Calibri" w:cs="Times New Roman"/>
                <w:szCs w:val="24"/>
              </w:rPr>
            </w:pPr>
            <w:r w:rsidRPr="00770156">
              <w:rPr>
                <w:rFonts w:eastAsia="Calibri" w:cs="Times New Roman"/>
                <w:szCs w:val="24"/>
              </w:rPr>
              <w:t>$37.24</w:t>
            </w:r>
          </w:p>
        </w:tc>
        <w:tc>
          <w:tcPr>
            <w:tcW w:w="1536" w:type="dxa"/>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0932C02E" w14:textId="77777777">
            <w:pPr>
              <w:spacing w:after="0" w:line="240" w:lineRule="auto"/>
              <w:jc w:val="center"/>
              <w:rPr>
                <w:rFonts w:eastAsia="Calibri" w:cs="Times New Roman"/>
                <w:szCs w:val="24"/>
              </w:rPr>
            </w:pPr>
            <w:r w:rsidRPr="00770156">
              <w:rPr>
                <w:rFonts w:eastAsia="Calibri" w:cs="Times New Roman"/>
                <w:szCs w:val="24"/>
              </w:rPr>
              <w:t>$11,172.00</w:t>
            </w:r>
          </w:p>
        </w:tc>
      </w:tr>
      <w:tr w:rsidRPr="00770156" w:rsidR="00B939E3" w:rsidTr="00770156" w14:paraId="7B2C45FC"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70156" w:rsidR="00B939E3" w:rsidP="00770156" w:rsidRDefault="00B939E3" w14:paraId="4AD28B26" w14:textId="5BDDC934">
            <w:pPr>
              <w:autoSpaceDE w:val="0"/>
              <w:autoSpaceDN w:val="0"/>
              <w:spacing w:after="0" w:line="240" w:lineRule="auto"/>
              <w:rPr>
                <w:rFonts w:eastAsia="Calibri" w:cs="Times New Roman"/>
                <w:color w:val="000000"/>
                <w:szCs w:val="24"/>
              </w:rPr>
            </w:pPr>
            <w:r>
              <w:rPr>
                <w:rFonts w:cs="Times New Roman"/>
                <w:color w:val="000000"/>
              </w:rPr>
              <w:t>EIP or state health department staff</w:t>
            </w:r>
          </w:p>
        </w:tc>
        <w:tc>
          <w:tcPr>
            <w:tcW w:w="1929"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P="00770156" w:rsidRDefault="00B939E3" w14:paraId="0A310B2C" w14:textId="2DD0C2EE">
            <w:pPr>
              <w:spacing w:after="0" w:line="240" w:lineRule="auto"/>
              <w:rPr>
                <w:rFonts w:eastAsia="Calibri" w:cs="Times New Roman"/>
                <w:szCs w:val="24"/>
              </w:rPr>
            </w:pPr>
            <w:r>
              <w:rPr>
                <w:rFonts w:eastAsia="Calibri" w:cs="Times New Roman"/>
                <w:szCs w:val="24"/>
              </w:rPr>
              <w:t>No form</w:t>
            </w:r>
          </w:p>
        </w:tc>
        <w:tc>
          <w:tcPr>
            <w:tcW w:w="1435"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P="00770156" w:rsidRDefault="00B939E3" w14:paraId="16864CB6" w14:textId="3D7ED274">
            <w:pPr>
              <w:spacing w:after="0" w:line="240" w:lineRule="auto"/>
              <w:jc w:val="center"/>
              <w:rPr>
                <w:rFonts w:eastAsia="Calibri" w:cs="Times New Roman"/>
                <w:szCs w:val="24"/>
              </w:rPr>
            </w:pPr>
            <w:r>
              <w:rPr>
                <w:rFonts w:eastAsia="Calibri" w:cs="Times New Roman"/>
                <w:szCs w:val="24"/>
              </w:rPr>
              <w:t>10</w:t>
            </w:r>
          </w:p>
        </w:tc>
        <w:tc>
          <w:tcPr>
            <w:tcW w:w="1591"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P="00770156" w:rsidRDefault="00B939E3" w14:paraId="39399EA9" w14:textId="1E19687A">
            <w:pPr>
              <w:spacing w:after="0" w:line="240" w:lineRule="auto"/>
              <w:jc w:val="center"/>
              <w:rPr>
                <w:rFonts w:eastAsia="Calibri" w:cs="Times New Roman"/>
                <w:szCs w:val="24"/>
              </w:rPr>
            </w:pPr>
            <w:r>
              <w:rPr>
                <w:rFonts w:eastAsia="Calibri" w:cs="Times New Roman"/>
                <w:szCs w:val="24"/>
              </w:rPr>
              <w:t>37.24</w:t>
            </w:r>
          </w:p>
        </w:tc>
        <w:tc>
          <w:tcPr>
            <w:tcW w:w="1536" w:type="dxa"/>
            <w:tcBorders>
              <w:top w:val="nil"/>
              <w:left w:val="nil"/>
              <w:bottom w:val="single" w:color="auto" w:sz="8" w:space="0"/>
              <w:right w:val="single" w:color="auto" w:sz="8" w:space="0"/>
            </w:tcBorders>
            <w:tcMar>
              <w:top w:w="0" w:type="dxa"/>
              <w:left w:w="108" w:type="dxa"/>
              <w:bottom w:w="0" w:type="dxa"/>
              <w:right w:w="108" w:type="dxa"/>
            </w:tcMar>
          </w:tcPr>
          <w:p w:rsidRPr="00770156" w:rsidR="00B939E3" w:rsidP="00770156" w:rsidRDefault="00B939E3" w14:paraId="72888A3D" w14:textId="25EB328D">
            <w:pPr>
              <w:spacing w:after="0" w:line="240" w:lineRule="auto"/>
              <w:jc w:val="center"/>
              <w:rPr>
                <w:rFonts w:eastAsia="Calibri" w:cs="Times New Roman"/>
                <w:szCs w:val="24"/>
              </w:rPr>
            </w:pPr>
            <w:r>
              <w:rPr>
                <w:rFonts w:eastAsia="Calibri" w:cs="Times New Roman"/>
                <w:szCs w:val="24"/>
              </w:rPr>
              <w:t>372.4</w:t>
            </w:r>
          </w:p>
        </w:tc>
      </w:tr>
      <w:tr w:rsidRPr="00770156" w:rsidR="00770156" w:rsidTr="00770156" w14:paraId="47075C3E" w14:textId="77777777">
        <w:tc>
          <w:tcPr>
            <w:tcW w:w="18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4AC83632" w14:textId="77777777">
            <w:pPr>
              <w:autoSpaceDE w:val="0"/>
              <w:autoSpaceDN w:val="0"/>
              <w:spacing w:after="0" w:line="240" w:lineRule="auto"/>
              <w:rPr>
                <w:rFonts w:eastAsia="Calibri" w:cs="Times New Roman"/>
                <w:color w:val="000000"/>
                <w:szCs w:val="24"/>
              </w:rPr>
            </w:pPr>
            <w:r w:rsidRPr="00770156">
              <w:rPr>
                <w:rFonts w:eastAsia="Calibri" w:cs="Times New Roman"/>
                <w:color w:val="000000"/>
                <w:szCs w:val="24"/>
              </w:rPr>
              <w:t>Total</w:t>
            </w:r>
          </w:p>
        </w:tc>
        <w:tc>
          <w:tcPr>
            <w:tcW w:w="6491" w:type="dxa"/>
            <w:gridSpan w:val="4"/>
            <w:tcBorders>
              <w:top w:val="nil"/>
              <w:left w:val="nil"/>
              <w:bottom w:val="single" w:color="auto" w:sz="8" w:space="0"/>
              <w:right w:val="single" w:color="auto" w:sz="8" w:space="0"/>
            </w:tcBorders>
            <w:tcMar>
              <w:top w:w="0" w:type="dxa"/>
              <w:left w:w="108" w:type="dxa"/>
              <w:bottom w:w="0" w:type="dxa"/>
              <w:right w:w="108" w:type="dxa"/>
            </w:tcMar>
            <w:hideMark/>
          </w:tcPr>
          <w:p w:rsidRPr="00770156" w:rsidR="00770156" w:rsidP="00770156" w:rsidRDefault="00770156" w14:paraId="7DD3F267" w14:textId="2701D6FD">
            <w:pPr>
              <w:autoSpaceDE w:val="0"/>
              <w:autoSpaceDN w:val="0"/>
              <w:spacing w:after="0" w:line="240" w:lineRule="auto"/>
              <w:jc w:val="right"/>
              <w:rPr>
                <w:rFonts w:eastAsia="Calibri" w:cs="Times New Roman"/>
                <w:color w:val="000000"/>
                <w:szCs w:val="24"/>
              </w:rPr>
            </w:pPr>
            <w:r w:rsidRPr="00770156">
              <w:rPr>
                <w:rFonts w:eastAsia="Calibri" w:cs="Times New Roman"/>
                <w:color w:val="000000"/>
                <w:szCs w:val="24"/>
              </w:rPr>
              <w:t>$6</w:t>
            </w:r>
            <w:r w:rsidR="00B939E3">
              <w:rPr>
                <w:rFonts w:eastAsia="Calibri" w:cs="Times New Roman"/>
                <w:color w:val="000000"/>
                <w:szCs w:val="24"/>
              </w:rPr>
              <w:t>9</w:t>
            </w:r>
            <w:r w:rsidRPr="00770156">
              <w:rPr>
                <w:rFonts w:eastAsia="Calibri" w:cs="Times New Roman"/>
                <w:color w:val="000000"/>
                <w:szCs w:val="24"/>
              </w:rPr>
              <w:t>,</w:t>
            </w:r>
            <w:r w:rsidR="00B939E3">
              <w:rPr>
                <w:rFonts w:eastAsia="Calibri" w:cs="Times New Roman"/>
                <w:color w:val="000000"/>
                <w:szCs w:val="24"/>
              </w:rPr>
              <w:t>164</w:t>
            </w:r>
            <w:r w:rsidRPr="00770156">
              <w:rPr>
                <w:rFonts w:eastAsia="Calibri" w:cs="Times New Roman"/>
                <w:color w:val="000000"/>
                <w:szCs w:val="24"/>
              </w:rPr>
              <w:t>.</w:t>
            </w:r>
            <w:r w:rsidR="00B939E3">
              <w:rPr>
                <w:rFonts w:eastAsia="Calibri" w:cs="Times New Roman"/>
                <w:color w:val="000000"/>
                <w:szCs w:val="24"/>
              </w:rPr>
              <w:t>4</w:t>
            </w:r>
            <w:r w:rsidRPr="00770156">
              <w:rPr>
                <w:rFonts w:eastAsia="Calibri" w:cs="Times New Roman"/>
                <w:color w:val="000000"/>
                <w:szCs w:val="24"/>
              </w:rPr>
              <w:t>0</w:t>
            </w:r>
          </w:p>
        </w:tc>
      </w:tr>
    </w:tbl>
    <w:p w:rsidR="004A13E8" w:rsidP="0025156B" w:rsidRDefault="004A13E8" w14:paraId="55FE17FE" w14:textId="6A969F4F">
      <w:pPr>
        <w:pStyle w:val="Heading1"/>
        <w:spacing w:before="240"/>
      </w:pPr>
      <w:bookmarkStart w:name="_Toc37258885" w:id="20"/>
      <w:r>
        <w:t>Estimates of Other Total Annual Cost Burden to Respondents or Record Keepers</w:t>
      </w:r>
      <w:bookmarkEnd w:id="20"/>
    </w:p>
    <w:p w:rsidRPr="004A13E8" w:rsidR="004A13E8" w:rsidP="004A13E8" w:rsidRDefault="00031720" w14:paraId="55FE1800" w14:textId="59B54F89">
      <w:r>
        <w:t>T</w:t>
      </w:r>
      <w:r w:rsidR="004A13E8">
        <w:t>here are no costs to respondents other than their time to participate.</w:t>
      </w:r>
    </w:p>
    <w:p w:rsidR="004A13E8" w:rsidP="004A13E8" w:rsidRDefault="004A13E8" w14:paraId="55FE1801" w14:textId="77777777">
      <w:pPr>
        <w:pStyle w:val="Heading1"/>
      </w:pPr>
      <w:bookmarkStart w:name="_Toc37258886" w:id="21"/>
      <w:r>
        <w:t>Annualized Cost to the Government</w:t>
      </w:r>
      <w:bookmarkEnd w:id="21"/>
    </w:p>
    <w:p w:rsidR="00031720" w:rsidP="00031720" w:rsidRDefault="00031720" w14:paraId="3E078FAD" w14:textId="4C648540">
      <w:pPr>
        <w:autoSpaceDE w:val="0"/>
        <w:autoSpaceDN w:val="0"/>
        <w:adjustRightInd w:val="0"/>
        <w:rPr>
          <w:color w:val="000000"/>
        </w:rPr>
      </w:pPr>
      <w:r w:rsidRPr="009E6881">
        <w:rPr>
          <w:color w:val="000000"/>
        </w:rPr>
        <w:lastRenderedPageBreak/>
        <w:t>The estimated average annual cost to the federal government for the proposed inform</w:t>
      </w:r>
      <w:r>
        <w:rPr>
          <w:color w:val="000000"/>
        </w:rPr>
        <w:t>ation collection is $5,527.20</w:t>
      </w:r>
      <w:r w:rsidRPr="009E6881">
        <w:rPr>
          <w:color w:val="000000"/>
        </w:rPr>
        <w:t xml:space="preserve">. </w:t>
      </w:r>
      <w:r>
        <w:rPr>
          <w:color w:val="000000"/>
        </w:rPr>
        <w:t xml:space="preserve">This includes 50% FTE of a GS-13 employee for 40 hours for data collection </w:t>
      </w:r>
      <w:r w:rsidR="00284AC4">
        <w:rPr>
          <w:color w:val="000000"/>
        </w:rPr>
        <w:t xml:space="preserve">($46.06 per hour x 40 hours = </w:t>
      </w:r>
      <w:r w:rsidR="00EE4E2D">
        <w:rPr>
          <w:color w:val="000000"/>
        </w:rPr>
        <w:t xml:space="preserve">$1,842.40) </w:t>
      </w:r>
      <w:r>
        <w:rPr>
          <w:color w:val="000000"/>
        </w:rPr>
        <w:t xml:space="preserve">and 80 hours for data analysis at $46.06 per hour in metro Atlanta </w:t>
      </w:r>
      <w:r w:rsidR="00EE4E2D">
        <w:rPr>
          <w:color w:val="000000"/>
        </w:rPr>
        <w:t xml:space="preserve">($46.06 per hour x 80 hours = $3,684.80), </w:t>
      </w:r>
      <w:hyperlink w:history="1" r:id="rId17">
        <w:r w:rsidRPr="004B456B">
          <w:rPr>
            <w:rStyle w:val="Hyperlink"/>
          </w:rPr>
          <w:t>https://www.opm.gov/policy-data-oversight/pay-leave/salaries-wages/salary-tables/pdf/2020/ATL_h.pdf</w:t>
        </w:r>
      </w:hyperlink>
      <w:r>
        <w:rPr>
          <w:color w:val="000000"/>
        </w:rPr>
        <w:t xml:space="preserve">.  </w:t>
      </w:r>
    </w:p>
    <w:tbl>
      <w:tblPr>
        <w:tblStyle w:val="TableGrid"/>
        <w:tblW w:w="0" w:type="auto"/>
        <w:tblLook w:val="04A0" w:firstRow="1" w:lastRow="0" w:firstColumn="1" w:lastColumn="0" w:noHBand="0" w:noVBand="1"/>
      </w:tblPr>
      <w:tblGrid>
        <w:gridCol w:w="5035"/>
        <w:gridCol w:w="5035"/>
      </w:tblGrid>
      <w:tr w:rsidR="00FE0398" w:rsidTr="00FE0398" w14:paraId="55FE1805" w14:textId="77777777">
        <w:tc>
          <w:tcPr>
            <w:tcW w:w="10070" w:type="dxa"/>
            <w:gridSpan w:val="2"/>
            <w:vAlign w:val="center"/>
          </w:tcPr>
          <w:p w:rsidR="00FE0398" w:rsidP="00FE0398" w:rsidRDefault="00FE0398" w14:paraId="55FE1804" w14:textId="77777777">
            <w:pPr>
              <w:jc w:val="center"/>
            </w:pPr>
            <w:r>
              <w:t>Estimated Annualized Cost to the Government per Activity</w:t>
            </w:r>
          </w:p>
        </w:tc>
      </w:tr>
      <w:tr w:rsidR="00FE0398" w:rsidTr="00FE0398" w14:paraId="55FE1808" w14:textId="77777777">
        <w:tc>
          <w:tcPr>
            <w:tcW w:w="5035" w:type="dxa"/>
          </w:tcPr>
          <w:p w:rsidRPr="00966872" w:rsidR="00FE0398" w:rsidP="00FE0398" w:rsidRDefault="00FE0398" w14:paraId="55FE1806" w14:textId="77777777">
            <w:pPr>
              <w:rPr>
                <w:b/>
                <w:bCs/>
              </w:rPr>
            </w:pPr>
            <w:r w:rsidRPr="00966872">
              <w:rPr>
                <w:b/>
                <w:bCs/>
              </w:rPr>
              <w:t>Cost Category</w:t>
            </w:r>
          </w:p>
        </w:tc>
        <w:tc>
          <w:tcPr>
            <w:tcW w:w="5035" w:type="dxa"/>
          </w:tcPr>
          <w:p w:rsidRPr="00966872" w:rsidR="00FE0398" w:rsidP="00FE0398" w:rsidRDefault="00FE0398" w14:paraId="55FE1807" w14:textId="77777777">
            <w:pPr>
              <w:rPr>
                <w:b/>
                <w:bCs/>
              </w:rPr>
            </w:pPr>
            <w:r w:rsidRPr="00966872">
              <w:rPr>
                <w:b/>
                <w:bCs/>
              </w:rPr>
              <w:t>Estimated Annualized Cost</w:t>
            </w:r>
          </w:p>
        </w:tc>
      </w:tr>
      <w:tr w:rsidR="00FE0398" w:rsidTr="00FE0398" w14:paraId="55FE180B" w14:textId="77777777">
        <w:tc>
          <w:tcPr>
            <w:tcW w:w="5035" w:type="dxa"/>
          </w:tcPr>
          <w:p w:rsidR="00FE0398" w:rsidP="00FE0398" w:rsidRDefault="00031720" w14:paraId="55FE1809" w14:textId="09583B59">
            <w:r>
              <w:t>Data collection</w:t>
            </w:r>
          </w:p>
        </w:tc>
        <w:tc>
          <w:tcPr>
            <w:tcW w:w="5035" w:type="dxa"/>
          </w:tcPr>
          <w:p w:rsidR="00FE0398" w:rsidP="00FE0398" w:rsidRDefault="00031720" w14:paraId="55FE180A" w14:textId="030C55E2">
            <w:r>
              <w:t>$1</w:t>
            </w:r>
            <w:r w:rsidR="00284AC4">
              <w:t>,</w:t>
            </w:r>
            <w:r>
              <w:t>842.40</w:t>
            </w:r>
          </w:p>
        </w:tc>
      </w:tr>
      <w:tr w:rsidR="00FE0398" w:rsidTr="00FE0398" w14:paraId="55FE180E" w14:textId="77777777">
        <w:tc>
          <w:tcPr>
            <w:tcW w:w="5035" w:type="dxa"/>
          </w:tcPr>
          <w:p w:rsidR="00FE0398" w:rsidP="00FE0398" w:rsidRDefault="00031720" w14:paraId="55FE180C" w14:textId="65278648">
            <w:r>
              <w:t>Data analysis</w:t>
            </w:r>
          </w:p>
        </w:tc>
        <w:tc>
          <w:tcPr>
            <w:tcW w:w="5035" w:type="dxa"/>
          </w:tcPr>
          <w:p w:rsidR="00FE0398" w:rsidP="00966872" w:rsidRDefault="00031720" w14:paraId="55FE180D" w14:textId="1634CF95">
            <w:pPr>
              <w:tabs>
                <w:tab w:val="left" w:pos="1770"/>
              </w:tabs>
            </w:pPr>
            <w:r>
              <w:t>$3</w:t>
            </w:r>
            <w:r w:rsidR="00284AC4">
              <w:t>,</w:t>
            </w:r>
            <w:r>
              <w:t>684.80</w:t>
            </w:r>
            <w:r w:rsidR="00284AC4">
              <w:tab/>
            </w:r>
          </w:p>
        </w:tc>
      </w:tr>
      <w:tr w:rsidR="00284AC4" w:rsidTr="00FE0398" w14:paraId="6B6A9F1C" w14:textId="77777777">
        <w:tc>
          <w:tcPr>
            <w:tcW w:w="5035" w:type="dxa"/>
          </w:tcPr>
          <w:p w:rsidR="00284AC4" w:rsidP="00FE0398" w:rsidRDefault="00284AC4" w14:paraId="767221FD" w14:textId="3C24EB6D">
            <w:r>
              <w:t>Total Cost</w:t>
            </w:r>
          </w:p>
        </w:tc>
        <w:tc>
          <w:tcPr>
            <w:tcW w:w="5035" w:type="dxa"/>
          </w:tcPr>
          <w:p w:rsidR="00284AC4" w:rsidP="00284AC4" w:rsidRDefault="00284AC4" w14:paraId="138EE16C" w14:textId="73D38F7E">
            <w:pPr>
              <w:tabs>
                <w:tab w:val="left" w:pos="1770"/>
              </w:tabs>
            </w:pPr>
            <w:r>
              <w:t>$5,527.20</w:t>
            </w:r>
          </w:p>
        </w:tc>
      </w:tr>
    </w:tbl>
    <w:p w:rsidR="004A13E8" w:rsidP="0025156B" w:rsidRDefault="004A13E8" w14:paraId="55FE1810" w14:textId="77777777">
      <w:pPr>
        <w:pStyle w:val="Heading1"/>
        <w:spacing w:before="240"/>
      </w:pPr>
      <w:bookmarkStart w:name="_Toc37258887" w:id="22"/>
      <w:r>
        <w:t>Explanation for Program Changes or Adjustments</w:t>
      </w:r>
      <w:bookmarkEnd w:id="22"/>
    </w:p>
    <w:p w:rsidRPr="004A13E8" w:rsidR="004A13E8" w:rsidP="004A13E8" w:rsidRDefault="004A13E8" w14:paraId="55FE1811" w14:textId="5C3A7427">
      <w:r>
        <w:t>This is a new information collection.</w:t>
      </w:r>
    </w:p>
    <w:p w:rsidR="004A13E8" w:rsidP="004A13E8" w:rsidRDefault="004A13E8" w14:paraId="55FE1812" w14:textId="77777777">
      <w:pPr>
        <w:pStyle w:val="Heading1"/>
      </w:pPr>
      <w:bookmarkStart w:name="_Toc37258888" w:id="23"/>
      <w:r>
        <w:t>Plans for Tabulation and Publication and Project Time Schedule</w:t>
      </w:r>
      <w:bookmarkEnd w:id="23"/>
    </w:p>
    <w:tbl>
      <w:tblPr>
        <w:tblStyle w:val="TableGrid"/>
        <w:tblW w:w="0" w:type="auto"/>
        <w:tblLook w:val="04A0" w:firstRow="1" w:lastRow="0" w:firstColumn="1" w:lastColumn="0" w:noHBand="0" w:noVBand="1"/>
      </w:tblPr>
      <w:tblGrid>
        <w:gridCol w:w="5035"/>
        <w:gridCol w:w="5035"/>
      </w:tblGrid>
      <w:tr w:rsidR="004A13E8" w:rsidTr="004A13E8" w14:paraId="55FE1815" w14:textId="77777777">
        <w:tc>
          <w:tcPr>
            <w:tcW w:w="10070" w:type="dxa"/>
            <w:gridSpan w:val="2"/>
            <w:vAlign w:val="center"/>
          </w:tcPr>
          <w:p w:rsidR="004A13E8" w:rsidP="004A13E8" w:rsidRDefault="004A13E8" w14:paraId="55FE1814" w14:textId="77777777">
            <w:pPr>
              <w:jc w:val="center"/>
            </w:pPr>
            <w:r>
              <w:t>Project Time Schedule</w:t>
            </w:r>
          </w:p>
        </w:tc>
      </w:tr>
      <w:tr w:rsidR="004A13E8" w:rsidTr="004A13E8" w14:paraId="55FE1818" w14:textId="77777777">
        <w:tc>
          <w:tcPr>
            <w:tcW w:w="5035" w:type="dxa"/>
            <w:vAlign w:val="center"/>
          </w:tcPr>
          <w:p w:rsidR="004A13E8" w:rsidP="004A13E8" w:rsidRDefault="004A13E8" w14:paraId="55FE1816" w14:textId="77777777">
            <w:pPr>
              <w:jc w:val="center"/>
            </w:pPr>
            <w:r>
              <w:t>Activity</w:t>
            </w:r>
          </w:p>
        </w:tc>
        <w:tc>
          <w:tcPr>
            <w:tcW w:w="5035" w:type="dxa"/>
            <w:vAlign w:val="center"/>
          </w:tcPr>
          <w:p w:rsidR="004A13E8" w:rsidP="004A13E8" w:rsidRDefault="004A13E8" w14:paraId="55FE1817" w14:textId="77777777">
            <w:pPr>
              <w:jc w:val="center"/>
            </w:pPr>
            <w:r>
              <w:t>Time Schedule</w:t>
            </w:r>
          </w:p>
        </w:tc>
      </w:tr>
      <w:tr w:rsidR="00031720" w:rsidTr="004A13E8" w14:paraId="55FE181B" w14:textId="77777777">
        <w:tc>
          <w:tcPr>
            <w:tcW w:w="5035" w:type="dxa"/>
          </w:tcPr>
          <w:p w:rsidR="00031720" w:rsidP="00031720" w:rsidRDefault="00031720" w14:paraId="55FE1819" w14:textId="3887BBCA">
            <w:r>
              <w:t>Data collection</w:t>
            </w:r>
          </w:p>
        </w:tc>
        <w:tc>
          <w:tcPr>
            <w:tcW w:w="5035" w:type="dxa"/>
          </w:tcPr>
          <w:p w:rsidR="00031720" w:rsidP="00F0724C" w:rsidRDefault="00BD69E5" w14:paraId="55FE181A" w14:textId="0CA172EB">
            <w:r>
              <w:t>1</w:t>
            </w:r>
            <w:r w:rsidR="00031720">
              <w:t xml:space="preserve"> week</w:t>
            </w:r>
            <w:r w:rsidR="009C4127">
              <w:t xml:space="preserve"> to </w:t>
            </w:r>
            <w:r w:rsidR="00F0724C">
              <w:t xml:space="preserve">6 </w:t>
            </w:r>
            <w:r w:rsidR="009C4127">
              <w:t>months</w:t>
            </w:r>
            <w:r w:rsidR="00031720">
              <w:t xml:space="preserve"> after OMB approval</w:t>
            </w:r>
          </w:p>
        </w:tc>
      </w:tr>
      <w:tr w:rsidR="00770156" w:rsidTr="004A13E8" w14:paraId="0E489FF6" w14:textId="77777777">
        <w:tc>
          <w:tcPr>
            <w:tcW w:w="5035" w:type="dxa"/>
          </w:tcPr>
          <w:p w:rsidR="00770156" w:rsidP="00031720" w:rsidRDefault="00770156" w14:paraId="44F92117" w14:textId="10ADF4D0">
            <w:r>
              <w:t xml:space="preserve">Preliminary data analysis </w:t>
            </w:r>
          </w:p>
        </w:tc>
        <w:tc>
          <w:tcPr>
            <w:tcW w:w="5035" w:type="dxa"/>
          </w:tcPr>
          <w:p w:rsidR="00770156" w:rsidP="00031720" w:rsidRDefault="001D1A71" w14:paraId="247742C1" w14:textId="6E5C9FE3">
            <w:r>
              <w:t xml:space="preserve">As frequently as weekly, </w:t>
            </w:r>
            <w:r w:rsidR="00770156">
              <w:t xml:space="preserve">depending </w:t>
            </w:r>
            <w:r>
              <w:t>on the availability of EIP resources to rapidly interview HCP and transmit data to CDC for analysis</w:t>
            </w:r>
          </w:p>
        </w:tc>
      </w:tr>
      <w:tr w:rsidR="00031720" w:rsidTr="004A13E8" w14:paraId="55FE181E" w14:textId="77777777">
        <w:tc>
          <w:tcPr>
            <w:tcW w:w="5035" w:type="dxa"/>
          </w:tcPr>
          <w:p w:rsidR="00031720" w:rsidP="00031720" w:rsidRDefault="00031720" w14:paraId="55FE181C" w14:textId="790F3F83">
            <w:r>
              <w:t>Data analysis</w:t>
            </w:r>
          </w:p>
        </w:tc>
        <w:tc>
          <w:tcPr>
            <w:tcW w:w="5035" w:type="dxa"/>
          </w:tcPr>
          <w:p w:rsidR="00031720" w:rsidP="00031720" w:rsidRDefault="009C4127" w14:paraId="55FE181D" w14:textId="086D7968">
            <w:r>
              <w:t>12-15 months</w:t>
            </w:r>
            <w:r w:rsidR="00031720">
              <w:t xml:space="preserve"> after OMB approval</w:t>
            </w:r>
          </w:p>
        </w:tc>
      </w:tr>
      <w:tr w:rsidR="00031720" w:rsidTr="004A13E8" w14:paraId="4BCE4587" w14:textId="77777777">
        <w:tc>
          <w:tcPr>
            <w:tcW w:w="5035" w:type="dxa"/>
          </w:tcPr>
          <w:p w:rsidR="00031720" w:rsidP="00031720" w:rsidRDefault="00031720" w14:paraId="111BDCED" w14:textId="1A67B3F3">
            <w:r>
              <w:t>Generation of report</w:t>
            </w:r>
          </w:p>
        </w:tc>
        <w:tc>
          <w:tcPr>
            <w:tcW w:w="5035" w:type="dxa"/>
          </w:tcPr>
          <w:p w:rsidR="00031720" w:rsidP="00031720" w:rsidRDefault="009C4127" w14:paraId="74F73C39" w14:textId="5BE71964">
            <w:r>
              <w:t xml:space="preserve">18 </w:t>
            </w:r>
            <w:r w:rsidR="00031720">
              <w:t>months after OMB approval</w:t>
            </w:r>
            <w:r>
              <w:t>; interim reports may also be generated, as appropriate</w:t>
            </w:r>
          </w:p>
        </w:tc>
      </w:tr>
    </w:tbl>
    <w:p w:rsidR="004A13E8" w:rsidP="0025156B" w:rsidRDefault="004A13E8" w14:paraId="55FE1826" w14:textId="77777777">
      <w:pPr>
        <w:pStyle w:val="Heading1"/>
        <w:spacing w:before="240"/>
      </w:pPr>
      <w:bookmarkStart w:name="_Toc37258889" w:id="24"/>
      <w:r>
        <w:t>Reason(s) Display of OMB Expiration Date is Inappropriate</w:t>
      </w:r>
      <w:bookmarkEnd w:id="24"/>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37258890" w:id="25"/>
      <w:r>
        <w:t>Exceptions to Certification for Paperwork Reduction Act Submissions</w:t>
      </w:r>
      <w:bookmarkEnd w:id="25"/>
    </w:p>
    <w:p w:rsidRPr="004A13E8" w:rsidR="004A13E8" w:rsidP="004A13E8" w:rsidRDefault="004A13E8" w14:paraId="55FE1829" w14:textId="77777777">
      <w:r>
        <w:t>There are no exceptions to the certification.</w:t>
      </w:r>
    </w:p>
    <w:p w:rsidR="00E36627" w:rsidP="004A13E8" w:rsidRDefault="00E36627" w14:paraId="63DEC146" w14:textId="77777777">
      <w:pPr>
        <w:pStyle w:val="Heading1"/>
        <w:numPr>
          <w:ilvl w:val="0"/>
          <w:numId w:val="0"/>
        </w:numPr>
      </w:pPr>
    </w:p>
    <w:p w:rsidRPr="004A13E8" w:rsidR="004A13E8" w:rsidP="004A13E8" w:rsidRDefault="004A13E8" w14:paraId="55FE182A" w14:textId="0E7CC6AE">
      <w:pPr>
        <w:pStyle w:val="Heading1"/>
        <w:numPr>
          <w:ilvl w:val="0"/>
          <w:numId w:val="0"/>
        </w:numPr>
      </w:pPr>
      <w:bookmarkStart w:name="_Toc37258891" w:id="26"/>
      <w:r>
        <w:t>Attachments</w:t>
      </w:r>
      <w:bookmarkEnd w:id="26"/>
    </w:p>
    <w:p w:rsidR="004A13E8" w:rsidP="00F4692B" w:rsidRDefault="00F4692B" w14:paraId="55FE182B" w14:textId="5776AD1C">
      <w:r>
        <w:t>Attachment 1 – A</w:t>
      </w:r>
      <w:r w:rsidR="00AD2F36">
        <w:t>uthorizing Legislation</w:t>
      </w:r>
    </w:p>
    <w:p w:rsidR="00AD2F36" w:rsidP="005771D8" w:rsidRDefault="005771D8" w14:paraId="55FE182C" w14:textId="5515B3F3">
      <w:r>
        <w:t>Attachment 2 – 60</w:t>
      </w:r>
      <w:r w:rsidR="00AD2F36">
        <w:t>-Day F</w:t>
      </w:r>
      <w:r>
        <w:t xml:space="preserve">ederal </w:t>
      </w:r>
      <w:r w:rsidR="00AD2F36">
        <w:t>R</w:t>
      </w:r>
      <w:r>
        <w:t xml:space="preserve">egister </w:t>
      </w:r>
      <w:r w:rsidR="00AD2F36">
        <w:t>N</w:t>
      </w:r>
      <w:r>
        <w:t>otice</w:t>
      </w:r>
    </w:p>
    <w:p w:rsidR="00322F86" w:rsidP="005771D8" w:rsidRDefault="00322F86" w14:paraId="02C85FE7" w14:textId="310F2216">
      <w:r>
        <w:t xml:space="preserve">Attachment 3 – Protocol </w:t>
      </w:r>
    </w:p>
    <w:p w:rsidR="003A645C" w:rsidP="003A645C" w:rsidRDefault="005771D8" w14:paraId="7CB0505E" w14:textId="0A19F746">
      <w:r>
        <w:t xml:space="preserve">Attachment </w:t>
      </w:r>
      <w:r w:rsidR="00322F86">
        <w:t>4</w:t>
      </w:r>
      <w:r>
        <w:t xml:space="preserve"> </w:t>
      </w:r>
      <w:r w:rsidR="003A645C">
        <w:t xml:space="preserve">– </w:t>
      </w:r>
      <w:r w:rsidRPr="0027540C" w:rsidR="003A645C">
        <w:t xml:space="preserve">Assessment of Healthcare Personnel </w:t>
      </w:r>
      <w:r w:rsidRPr="0027540C" w:rsidR="003A645C">
        <w:rPr>
          <w:bCs/>
          <w:szCs w:val="24"/>
        </w:rPr>
        <w:t>Exposed to or Infected with SARS-CoV</w:t>
      </w:r>
      <w:r w:rsidR="000A00F4">
        <w:rPr>
          <w:bCs/>
          <w:szCs w:val="24"/>
        </w:rPr>
        <w:t>-2</w:t>
      </w:r>
    </w:p>
    <w:p w:rsidR="001769CF" w:rsidP="003570AB" w:rsidRDefault="001769CF" w14:paraId="74CF9D93" w14:textId="6AF0784F">
      <w:pPr>
        <w:rPr>
          <w:bCs/>
          <w:szCs w:val="24"/>
        </w:rPr>
      </w:pPr>
      <w:r>
        <w:rPr>
          <w:bCs/>
          <w:szCs w:val="24"/>
        </w:rPr>
        <w:t>Attachment 5 – Research Determination Form</w:t>
      </w:r>
    </w:p>
    <w:p w:rsidR="001769CF" w:rsidP="003570AB" w:rsidRDefault="001769CF" w14:paraId="268D18A2" w14:textId="77777777"/>
    <w:p w:rsidRPr="004A13E8" w:rsidR="00AD2F36" w:rsidP="00966872" w:rsidRDefault="00AD2F36" w14:paraId="55FE182E" w14:textId="2F086F80"/>
    <w:sectPr w:rsidRPr="004A13E8" w:rsidR="00AD2F36" w:rsidSect="006C6578">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EFE1F" w14:textId="77777777" w:rsidR="00213037" w:rsidRDefault="00213037" w:rsidP="008B5D54">
      <w:pPr>
        <w:spacing w:after="0" w:line="240" w:lineRule="auto"/>
      </w:pPr>
      <w:r>
        <w:separator/>
      </w:r>
    </w:p>
  </w:endnote>
  <w:endnote w:type="continuationSeparator" w:id="0">
    <w:p w14:paraId="2898DE6B" w14:textId="77777777" w:rsidR="00213037" w:rsidRDefault="0021303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9FF5" w14:textId="77777777" w:rsidR="001A54F4" w:rsidRDefault="001A5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5FC1DFE6" w:rsidR="001A54F4" w:rsidRDefault="001A54F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5FE1836" w14:textId="77777777" w:rsidR="001A54F4" w:rsidRDefault="001A5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7B34" w14:textId="77777777" w:rsidR="001A54F4" w:rsidRDefault="001A5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4B43" w14:textId="77777777" w:rsidR="00213037" w:rsidRDefault="00213037" w:rsidP="008B5D54">
      <w:pPr>
        <w:spacing w:after="0" w:line="240" w:lineRule="auto"/>
      </w:pPr>
      <w:r>
        <w:separator/>
      </w:r>
    </w:p>
  </w:footnote>
  <w:footnote w:type="continuationSeparator" w:id="0">
    <w:p w14:paraId="7AB8D122" w14:textId="77777777" w:rsidR="00213037" w:rsidRDefault="0021303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0AAB" w14:textId="77777777" w:rsidR="001A54F4" w:rsidRDefault="001A5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642C" w14:textId="77777777" w:rsidR="001A54F4" w:rsidRDefault="001A5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C509" w14:textId="77777777" w:rsidR="001A54F4" w:rsidRDefault="001A5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77798"/>
    <w:multiLevelType w:val="hybridMultilevel"/>
    <w:tmpl w:val="A51A5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9F5"/>
    <w:rsid w:val="000130BD"/>
    <w:rsid w:val="0001333E"/>
    <w:rsid w:val="00015C1E"/>
    <w:rsid w:val="00031720"/>
    <w:rsid w:val="0005699B"/>
    <w:rsid w:val="0006310A"/>
    <w:rsid w:val="00077A77"/>
    <w:rsid w:val="000A00F4"/>
    <w:rsid w:val="000A619C"/>
    <w:rsid w:val="000A6C61"/>
    <w:rsid w:val="000B412A"/>
    <w:rsid w:val="000B6BFC"/>
    <w:rsid w:val="000C1760"/>
    <w:rsid w:val="000E0E4D"/>
    <w:rsid w:val="000E2EAB"/>
    <w:rsid w:val="000F7E82"/>
    <w:rsid w:val="00111878"/>
    <w:rsid w:val="00124128"/>
    <w:rsid w:val="001523DF"/>
    <w:rsid w:val="001769CF"/>
    <w:rsid w:val="00181DB5"/>
    <w:rsid w:val="00190B3E"/>
    <w:rsid w:val="001A54F4"/>
    <w:rsid w:val="001A58BE"/>
    <w:rsid w:val="001B539D"/>
    <w:rsid w:val="001D1A71"/>
    <w:rsid w:val="001E08A8"/>
    <w:rsid w:val="001E564A"/>
    <w:rsid w:val="001E5C44"/>
    <w:rsid w:val="001E7BD2"/>
    <w:rsid w:val="00212323"/>
    <w:rsid w:val="00212C16"/>
    <w:rsid w:val="00213037"/>
    <w:rsid w:val="00237BB7"/>
    <w:rsid w:val="002434EC"/>
    <w:rsid w:val="002441B9"/>
    <w:rsid w:val="00246D8E"/>
    <w:rsid w:val="00247D0D"/>
    <w:rsid w:val="0025156B"/>
    <w:rsid w:val="00252E6F"/>
    <w:rsid w:val="0027540C"/>
    <w:rsid w:val="00284AC4"/>
    <w:rsid w:val="00295C00"/>
    <w:rsid w:val="002A15BE"/>
    <w:rsid w:val="002B4EBF"/>
    <w:rsid w:val="002B6427"/>
    <w:rsid w:val="002C5ACE"/>
    <w:rsid w:val="002E6644"/>
    <w:rsid w:val="002F1B39"/>
    <w:rsid w:val="00304BBB"/>
    <w:rsid w:val="003075AF"/>
    <w:rsid w:val="00322D7B"/>
    <w:rsid w:val="00322F86"/>
    <w:rsid w:val="003419B3"/>
    <w:rsid w:val="00346F06"/>
    <w:rsid w:val="00351927"/>
    <w:rsid w:val="003570AB"/>
    <w:rsid w:val="00380488"/>
    <w:rsid w:val="00386B7E"/>
    <w:rsid w:val="003A645C"/>
    <w:rsid w:val="003B2FB4"/>
    <w:rsid w:val="003C64C4"/>
    <w:rsid w:val="003D6AC9"/>
    <w:rsid w:val="003E271B"/>
    <w:rsid w:val="003E3EB6"/>
    <w:rsid w:val="003F60CF"/>
    <w:rsid w:val="00414D3A"/>
    <w:rsid w:val="0041568B"/>
    <w:rsid w:val="00430BB7"/>
    <w:rsid w:val="0043440D"/>
    <w:rsid w:val="00446A7C"/>
    <w:rsid w:val="00457614"/>
    <w:rsid w:val="00463D13"/>
    <w:rsid w:val="004841D1"/>
    <w:rsid w:val="004A0034"/>
    <w:rsid w:val="004A13E8"/>
    <w:rsid w:val="004A359D"/>
    <w:rsid w:val="004C100C"/>
    <w:rsid w:val="004C24FD"/>
    <w:rsid w:val="004D0CD2"/>
    <w:rsid w:val="004D0F0C"/>
    <w:rsid w:val="004D3637"/>
    <w:rsid w:val="004D5C2D"/>
    <w:rsid w:val="004D64B2"/>
    <w:rsid w:val="004E7CF0"/>
    <w:rsid w:val="004F7540"/>
    <w:rsid w:val="00503EFF"/>
    <w:rsid w:val="00506D6B"/>
    <w:rsid w:val="005133C7"/>
    <w:rsid w:val="005165A4"/>
    <w:rsid w:val="005232D4"/>
    <w:rsid w:val="00525092"/>
    <w:rsid w:val="00526E4B"/>
    <w:rsid w:val="005308D5"/>
    <w:rsid w:val="00530D46"/>
    <w:rsid w:val="005368C9"/>
    <w:rsid w:val="005427F5"/>
    <w:rsid w:val="00545AE2"/>
    <w:rsid w:val="005771D8"/>
    <w:rsid w:val="00595497"/>
    <w:rsid w:val="005A4F64"/>
    <w:rsid w:val="005C2AB6"/>
    <w:rsid w:val="005C3C64"/>
    <w:rsid w:val="005D4C88"/>
    <w:rsid w:val="005E47DB"/>
    <w:rsid w:val="005F33F9"/>
    <w:rsid w:val="00602B23"/>
    <w:rsid w:val="0062415A"/>
    <w:rsid w:val="00627B83"/>
    <w:rsid w:val="0063379F"/>
    <w:rsid w:val="00651D98"/>
    <w:rsid w:val="00653FB3"/>
    <w:rsid w:val="00674026"/>
    <w:rsid w:val="006B6AA7"/>
    <w:rsid w:val="006C6578"/>
    <w:rsid w:val="006E3D34"/>
    <w:rsid w:val="006F239F"/>
    <w:rsid w:val="00707021"/>
    <w:rsid w:val="00713C81"/>
    <w:rsid w:val="007335B2"/>
    <w:rsid w:val="007448CC"/>
    <w:rsid w:val="007572AA"/>
    <w:rsid w:val="007647CA"/>
    <w:rsid w:val="00766B83"/>
    <w:rsid w:val="00770156"/>
    <w:rsid w:val="00780DC1"/>
    <w:rsid w:val="00782CC6"/>
    <w:rsid w:val="0079396C"/>
    <w:rsid w:val="007B44E4"/>
    <w:rsid w:val="007E53B6"/>
    <w:rsid w:val="007F1C1D"/>
    <w:rsid w:val="007F46E9"/>
    <w:rsid w:val="008050C6"/>
    <w:rsid w:val="008114DD"/>
    <w:rsid w:val="00827F0C"/>
    <w:rsid w:val="00847CB0"/>
    <w:rsid w:val="00851DDD"/>
    <w:rsid w:val="00862131"/>
    <w:rsid w:val="008B0C50"/>
    <w:rsid w:val="008B5AC2"/>
    <w:rsid w:val="008B5D54"/>
    <w:rsid w:val="008C2A1E"/>
    <w:rsid w:val="008D5AEA"/>
    <w:rsid w:val="008D5C2C"/>
    <w:rsid w:val="008F1415"/>
    <w:rsid w:val="00907092"/>
    <w:rsid w:val="00913A75"/>
    <w:rsid w:val="0092145E"/>
    <w:rsid w:val="00937D6B"/>
    <w:rsid w:val="00940542"/>
    <w:rsid w:val="009407DE"/>
    <w:rsid w:val="009609A1"/>
    <w:rsid w:val="00963E7C"/>
    <w:rsid w:val="00966872"/>
    <w:rsid w:val="009719AD"/>
    <w:rsid w:val="0097222D"/>
    <w:rsid w:val="00973C9D"/>
    <w:rsid w:val="00982860"/>
    <w:rsid w:val="00984FE5"/>
    <w:rsid w:val="00997D0E"/>
    <w:rsid w:val="009A79E1"/>
    <w:rsid w:val="009B0947"/>
    <w:rsid w:val="009B59DF"/>
    <w:rsid w:val="009B6445"/>
    <w:rsid w:val="009C4127"/>
    <w:rsid w:val="009C6E93"/>
    <w:rsid w:val="009D6AB7"/>
    <w:rsid w:val="00A041D1"/>
    <w:rsid w:val="00A10290"/>
    <w:rsid w:val="00A1167D"/>
    <w:rsid w:val="00A36EBF"/>
    <w:rsid w:val="00A60A33"/>
    <w:rsid w:val="00A67086"/>
    <w:rsid w:val="00A82A3A"/>
    <w:rsid w:val="00AA04D9"/>
    <w:rsid w:val="00AB0C92"/>
    <w:rsid w:val="00AD2331"/>
    <w:rsid w:val="00AD2F36"/>
    <w:rsid w:val="00AD3CEB"/>
    <w:rsid w:val="00AF4090"/>
    <w:rsid w:val="00AF52BE"/>
    <w:rsid w:val="00B04494"/>
    <w:rsid w:val="00B20704"/>
    <w:rsid w:val="00B27DA6"/>
    <w:rsid w:val="00B30924"/>
    <w:rsid w:val="00B40158"/>
    <w:rsid w:val="00B55735"/>
    <w:rsid w:val="00B608AC"/>
    <w:rsid w:val="00B64A37"/>
    <w:rsid w:val="00B64B9E"/>
    <w:rsid w:val="00B72D0D"/>
    <w:rsid w:val="00B7332C"/>
    <w:rsid w:val="00B81740"/>
    <w:rsid w:val="00B91400"/>
    <w:rsid w:val="00B939E3"/>
    <w:rsid w:val="00B947CB"/>
    <w:rsid w:val="00B95B77"/>
    <w:rsid w:val="00B97E24"/>
    <w:rsid w:val="00BA039E"/>
    <w:rsid w:val="00BA6B1A"/>
    <w:rsid w:val="00BB3C68"/>
    <w:rsid w:val="00BC7BBC"/>
    <w:rsid w:val="00BD1D1C"/>
    <w:rsid w:val="00BD69E5"/>
    <w:rsid w:val="00BF12DE"/>
    <w:rsid w:val="00BF3D24"/>
    <w:rsid w:val="00BF486A"/>
    <w:rsid w:val="00C03B52"/>
    <w:rsid w:val="00C248E0"/>
    <w:rsid w:val="00C31756"/>
    <w:rsid w:val="00C32380"/>
    <w:rsid w:val="00C50FB6"/>
    <w:rsid w:val="00C553B7"/>
    <w:rsid w:val="00C641C3"/>
    <w:rsid w:val="00C73B3E"/>
    <w:rsid w:val="00C76CCB"/>
    <w:rsid w:val="00C86BAA"/>
    <w:rsid w:val="00C90B13"/>
    <w:rsid w:val="00CA5AE1"/>
    <w:rsid w:val="00CB35F5"/>
    <w:rsid w:val="00CD2AA4"/>
    <w:rsid w:val="00CF38BF"/>
    <w:rsid w:val="00CF437A"/>
    <w:rsid w:val="00D062E8"/>
    <w:rsid w:val="00D13EA1"/>
    <w:rsid w:val="00D176A7"/>
    <w:rsid w:val="00D25374"/>
    <w:rsid w:val="00D30C62"/>
    <w:rsid w:val="00D311C3"/>
    <w:rsid w:val="00D31ED1"/>
    <w:rsid w:val="00D42969"/>
    <w:rsid w:val="00D46307"/>
    <w:rsid w:val="00D53CBD"/>
    <w:rsid w:val="00D60B85"/>
    <w:rsid w:val="00D952DF"/>
    <w:rsid w:val="00DA07A9"/>
    <w:rsid w:val="00DA1AB2"/>
    <w:rsid w:val="00DA5FF5"/>
    <w:rsid w:val="00DC57CC"/>
    <w:rsid w:val="00DC74EE"/>
    <w:rsid w:val="00E01424"/>
    <w:rsid w:val="00E047D0"/>
    <w:rsid w:val="00E36627"/>
    <w:rsid w:val="00E54946"/>
    <w:rsid w:val="00E65ED7"/>
    <w:rsid w:val="00E7610A"/>
    <w:rsid w:val="00E80D2C"/>
    <w:rsid w:val="00E84901"/>
    <w:rsid w:val="00E87A69"/>
    <w:rsid w:val="00EA0309"/>
    <w:rsid w:val="00EB7D78"/>
    <w:rsid w:val="00EC309D"/>
    <w:rsid w:val="00EC5325"/>
    <w:rsid w:val="00ED7E4C"/>
    <w:rsid w:val="00EE4E2D"/>
    <w:rsid w:val="00EE74C7"/>
    <w:rsid w:val="00EF330F"/>
    <w:rsid w:val="00EF35DB"/>
    <w:rsid w:val="00F00226"/>
    <w:rsid w:val="00F0724C"/>
    <w:rsid w:val="00F131DD"/>
    <w:rsid w:val="00F23F47"/>
    <w:rsid w:val="00F3082C"/>
    <w:rsid w:val="00F4692B"/>
    <w:rsid w:val="00F548DB"/>
    <w:rsid w:val="00F56C86"/>
    <w:rsid w:val="00F650BF"/>
    <w:rsid w:val="00F77401"/>
    <w:rsid w:val="00FA308A"/>
    <w:rsid w:val="00FC1359"/>
    <w:rsid w:val="00FE0398"/>
    <w:rsid w:val="00FE7579"/>
    <w:rsid w:val="00FF3E94"/>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C641C3"/>
    <w:rPr>
      <w:color w:val="605E5C"/>
      <w:shd w:val="clear" w:color="auto" w:fill="E1DFDD"/>
    </w:rPr>
  </w:style>
  <w:style w:type="paragraph" w:styleId="BalloonText">
    <w:name w:val="Balloon Text"/>
    <w:basedOn w:val="Normal"/>
    <w:link w:val="BalloonTextChar"/>
    <w:uiPriority w:val="99"/>
    <w:semiHidden/>
    <w:unhideWhenUsed/>
    <w:rsid w:val="0097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2D"/>
    <w:rPr>
      <w:rFonts w:ascii="Segoe UI" w:hAnsi="Segoe UI" w:cs="Segoe UI"/>
      <w:sz w:val="18"/>
      <w:szCs w:val="18"/>
    </w:rPr>
  </w:style>
  <w:style w:type="character" w:styleId="CommentReference">
    <w:name w:val="annotation reference"/>
    <w:basedOn w:val="DefaultParagraphFont"/>
    <w:uiPriority w:val="99"/>
    <w:semiHidden/>
    <w:unhideWhenUsed/>
    <w:rsid w:val="00AD2331"/>
    <w:rPr>
      <w:sz w:val="16"/>
      <w:szCs w:val="16"/>
    </w:rPr>
  </w:style>
  <w:style w:type="paragraph" w:styleId="CommentText">
    <w:name w:val="annotation text"/>
    <w:basedOn w:val="Normal"/>
    <w:link w:val="CommentTextChar"/>
    <w:uiPriority w:val="99"/>
    <w:unhideWhenUsed/>
    <w:rsid w:val="00AD2331"/>
    <w:pPr>
      <w:spacing w:line="240" w:lineRule="auto"/>
    </w:pPr>
    <w:rPr>
      <w:sz w:val="20"/>
      <w:szCs w:val="20"/>
    </w:rPr>
  </w:style>
  <w:style w:type="character" w:customStyle="1" w:styleId="CommentTextChar">
    <w:name w:val="Comment Text Char"/>
    <w:basedOn w:val="DefaultParagraphFont"/>
    <w:link w:val="CommentText"/>
    <w:uiPriority w:val="99"/>
    <w:rsid w:val="00AD23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331"/>
    <w:rPr>
      <w:b/>
      <w:bCs/>
    </w:rPr>
  </w:style>
  <w:style w:type="character" w:customStyle="1" w:styleId="CommentSubjectChar">
    <w:name w:val="Comment Subject Char"/>
    <w:basedOn w:val="CommentTextChar"/>
    <w:link w:val="CommentSubject"/>
    <w:uiPriority w:val="99"/>
    <w:semiHidden/>
    <w:rsid w:val="00AD2331"/>
    <w:rPr>
      <w:rFonts w:ascii="Times New Roman" w:hAnsi="Times New Roman"/>
      <w:b/>
      <w:bCs/>
      <w:sz w:val="20"/>
      <w:szCs w:val="20"/>
    </w:rPr>
  </w:style>
  <w:style w:type="paragraph" w:styleId="Revision">
    <w:name w:val="Revision"/>
    <w:hidden/>
    <w:uiPriority w:val="99"/>
    <w:semiHidden/>
    <w:rsid w:val="00AD233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B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237">
      <w:bodyDiv w:val="1"/>
      <w:marLeft w:val="0"/>
      <w:marRight w:val="0"/>
      <w:marTop w:val="0"/>
      <w:marBottom w:val="0"/>
      <w:divBdr>
        <w:top w:val="none" w:sz="0" w:space="0" w:color="auto"/>
        <w:left w:val="none" w:sz="0" w:space="0" w:color="auto"/>
        <w:bottom w:val="none" w:sz="0" w:space="0" w:color="auto"/>
        <w:right w:val="none" w:sz="0" w:space="0" w:color="auto"/>
      </w:divBdr>
    </w:div>
    <w:div w:id="334000288">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70542369">
      <w:bodyDiv w:val="1"/>
      <w:marLeft w:val="0"/>
      <w:marRight w:val="0"/>
      <w:marTop w:val="0"/>
      <w:marBottom w:val="0"/>
      <w:divBdr>
        <w:top w:val="none" w:sz="0" w:space="0" w:color="auto"/>
        <w:left w:val="none" w:sz="0" w:space="0" w:color="auto"/>
        <w:bottom w:val="none" w:sz="0" w:space="0" w:color="auto"/>
        <w:right w:val="none" w:sz="0" w:space="0" w:color="auto"/>
      </w:divBdr>
    </w:div>
    <w:div w:id="627518171">
      <w:bodyDiv w:val="1"/>
      <w:marLeft w:val="0"/>
      <w:marRight w:val="0"/>
      <w:marTop w:val="0"/>
      <w:marBottom w:val="0"/>
      <w:divBdr>
        <w:top w:val="none" w:sz="0" w:space="0" w:color="auto"/>
        <w:left w:val="none" w:sz="0" w:space="0" w:color="auto"/>
        <w:bottom w:val="none" w:sz="0" w:space="0" w:color="auto"/>
        <w:right w:val="none" w:sz="0" w:space="0" w:color="auto"/>
      </w:divBdr>
    </w:div>
    <w:div w:id="654258797">
      <w:bodyDiv w:val="1"/>
      <w:marLeft w:val="0"/>
      <w:marRight w:val="0"/>
      <w:marTop w:val="0"/>
      <w:marBottom w:val="0"/>
      <w:divBdr>
        <w:top w:val="none" w:sz="0" w:space="0" w:color="auto"/>
        <w:left w:val="none" w:sz="0" w:space="0" w:color="auto"/>
        <w:bottom w:val="none" w:sz="0" w:space="0" w:color="auto"/>
        <w:right w:val="none" w:sz="0" w:space="0" w:color="auto"/>
      </w:divBdr>
    </w:div>
    <w:div w:id="812908614">
      <w:bodyDiv w:val="1"/>
      <w:marLeft w:val="0"/>
      <w:marRight w:val="0"/>
      <w:marTop w:val="0"/>
      <w:marBottom w:val="0"/>
      <w:divBdr>
        <w:top w:val="none" w:sz="0" w:space="0" w:color="auto"/>
        <w:left w:val="none" w:sz="0" w:space="0" w:color="auto"/>
        <w:bottom w:val="none" w:sz="0" w:space="0" w:color="auto"/>
        <w:right w:val="none" w:sz="0" w:space="0" w:color="auto"/>
      </w:divBdr>
    </w:div>
    <w:div w:id="884610026">
      <w:bodyDiv w:val="1"/>
      <w:marLeft w:val="0"/>
      <w:marRight w:val="0"/>
      <w:marTop w:val="0"/>
      <w:marBottom w:val="0"/>
      <w:divBdr>
        <w:top w:val="none" w:sz="0" w:space="0" w:color="auto"/>
        <w:left w:val="none" w:sz="0" w:space="0" w:color="auto"/>
        <w:bottom w:val="none" w:sz="0" w:space="0" w:color="auto"/>
        <w:right w:val="none" w:sz="0" w:space="0" w:color="auto"/>
      </w:divBdr>
    </w:div>
    <w:div w:id="917790967">
      <w:bodyDiv w:val="1"/>
      <w:marLeft w:val="0"/>
      <w:marRight w:val="0"/>
      <w:marTop w:val="0"/>
      <w:marBottom w:val="0"/>
      <w:divBdr>
        <w:top w:val="none" w:sz="0" w:space="0" w:color="auto"/>
        <w:left w:val="none" w:sz="0" w:space="0" w:color="auto"/>
        <w:bottom w:val="none" w:sz="0" w:space="0" w:color="auto"/>
        <w:right w:val="none" w:sz="0" w:space="0" w:color="auto"/>
      </w:divBdr>
    </w:div>
    <w:div w:id="973831248">
      <w:bodyDiv w:val="1"/>
      <w:marLeft w:val="0"/>
      <w:marRight w:val="0"/>
      <w:marTop w:val="0"/>
      <w:marBottom w:val="0"/>
      <w:divBdr>
        <w:top w:val="none" w:sz="0" w:space="0" w:color="auto"/>
        <w:left w:val="none" w:sz="0" w:space="0" w:color="auto"/>
        <w:bottom w:val="none" w:sz="0" w:space="0" w:color="auto"/>
        <w:right w:val="none" w:sz="0" w:space="0" w:color="auto"/>
      </w:divBdr>
    </w:div>
    <w:div w:id="1195462127">
      <w:bodyDiv w:val="1"/>
      <w:marLeft w:val="0"/>
      <w:marRight w:val="0"/>
      <w:marTop w:val="0"/>
      <w:marBottom w:val="0"/>
      <w:divBdr>
        <w:top w:val="none" w:sz="0" w:space="0" w:color="auto"/>
        <w:left w:val="none" w:sz="0" w:space="0" w:color="auto"/>
        <w:bottom w:val="none" w:sz="0" w:space="0" w:color="auto"/>
        <w:right w:val="none" w:sz="0" w:space="0" w:color="auto"/>
      </w:divBdr>
    </w:div>
    <w:div w:id="1479805791">
      <w:bodyDiv w:val="1"/>
      <w:marLeft w:val="0"/>
      <w:marRight w:val="0"/>
      <w:marTop w:val="0"/>
      <w:marBottom w:val="0"/>
      <w:divBdr>
        <w:top w:val="none" w:sz="0" w:space="0" w:color="auto"/>
        <w:left w:val="none" w:sz="0" w:space="0" w:color="auto"/>
        <w:bottom w:val="none" w:sz="0" w:space="0" w:color="auto"/>
        <w:right w:val="none" w:sz="0" w:space="0" w:color="auto"/>
      </w:divBdr>
    </w:div>
    <w:div w:id="1598052613">
      <w:bodyDiv w:val="1"/>
      <w:marLeft w:val="0"/>
      <w:marRight w:val="0"/>
      <w:marTop w:val="0"/>
      <w:marBottom w:val="0"/>
      <w:divBdr>
        <w:top w:val="none" w:sz="0" w:space="0" w:color="auto"/>
        <w:left w:val="none" w:sz="0" w:space="0" w:color="auto"/>
        <w:bottom w:val="none" w:sz="0" w:space="0" w:color="auto"/>
        <w:right w:val="none" w:sz="0" w:space="0" w:color="auto"/>
      </w:divBdr>
    </w:div>
    <w:div w:id="1852723181">
      <w:bodyDiv w:val="1"/>
      <w:marLeft w:val="0"/>
      <w:marRight w:val="0"/>
      <w:marTop w:val="0"/>
      <w:marBottom w:val="0"/>
      <w:divBdr>
        <w:top w:val="none" w:sz="0" w:space="0" w:color="auto"/>
        <w:left w:val="none" w:sz="0" w:space="0" w:color="auto"/>
        <w:bottom w:val="none" w:sz="0" w:space="0" w:color="auto"/>
        <w:right w:val="none" w:sz="0" w:space="0" w:color="auto"/>
      </w:divBdr>
    </w:div>
    <w:div w:id="20662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ai/eip/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mmwr/volumes/69/wr/mm6912e2.htm" TargetMode="External"/><Relationship Id="rId17" Type="http://schemas.openxmlformats.org/officeDocument/2006/relationships/hyperlink" Target="https://www.opm.gov/policy-data-oversight/pay-leave/salaries-wages/salary-tables/pdf/2020/ATL_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mmwr/volumes/69/wr/mm6912e2.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mwr/volumes/69/wr/mm6915e6.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434081C1-5B99-4CB8-9D4A-6C60904A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71863-CBBF-43C8-97C9-A4B5119C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(CDC/DDPHSIS/CGH/DPDM)</cp:lastModifiedBy>
  <cp:revision>5</cp:revision>
  <dcterms:created xsi:type="dcterms:W3CDTF">2020-04-22T19:13:00Z</dcterms:created>
  <dcterms:modified xsi:type="dcterms:W3CDTF">2020-04-27T17:47:00Z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2020-04-17T15:49:57.2369119Z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6eea2370-57fc-42a3-825b-19e147f17f96</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