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12C8" w:rsidR="00253E38" w:rsidP="00253E38" w:rsidRDefault="00253E38" w14:paraId="6E82CA12" w14:textId="77777777">
      <w:pPr>
        <w:spacing w:after="200" w:line="276" w:lineRule="auto"/>
        <w:rPr>
          <w:rFonts w:eastAsiaTheme="minorHAnsi" w:cstheme="minorBidi"/>
          <w:szCs w:val="22"/>
        </w:rPr>
      </w:pPr>
      <w:bookmarkStart w:name="_Toc473880015" w:id="0"/>
    </w:p>
    <w:p w:rsidRPr="00A812C8" w:rsidR="00253E38" w:rsidP="00253E38" w:rsidRDefault="00253E38" w14:paraId="2A8F1558" w14:textId="77777777">
      <w:pPr>
        <w:spacing w:after="200" w:line="276" w:lineRule="auto"/>
        <w:rPr>
          <w:rFonts w:eastAsiaTheme="minorHAnsi" w:cstheme="minorBidi"/>
          <w:szCs w:val="22"/>
        </w:rPr>
      </w:pPr>
    </w:p>
    <w:bookmarkEnd w:id="0"/>
    <w:p w:rsidRPr="00A812C8" w:rsidR="00253E38" w:rsidP="00253E38" w:rsidRDefault="00253E38" w14:paraId="4E328DBC" w14:textId="77777777">
      <w:pPr>
        <w:jc w:val="center"/>
        <w:outlineLvl w:val="1"/>
        <w:rPr>
          <w:rFonts w:eastAsiaTheme="minorHAnsi" w:cstheme="minorBidi"/>
          <w:b/>
          <w:sz w:val="40"/>
          <w:szCs w:val="40"/>
        </w:rPr>
      </w:pPr>
      <w:r w:rsidRPr="00A812C8">
        <w:rPr>
          <w:rFonts w:eastAsiaTheme="minorHAnsi" w:cstheme="minorBidi"/>
          <w:b/>
          <w:sz w:val="40"/>
          <w:szCs w:val="40"/>
        </w:rPr>
        <w:t>Requirements for the Importation of Nonhuman Primates into the United States</w:t>
      </w:r>
    </w:p>
    <w:p w:rsidRPr="00A812C8" w:rsidR="00253E38" w:rsidP="00253E38" w:rsidRDefault="00253E38" w14:paraId="04744B0E" w14:textId="77777777">
      <w:pPr>
        <w:jc w:val="center"/>
        <w:rPr>
          <w:rFonts w:eastAsiaTheme="minorHAnsi" w:cstheme="minorBidi"/>
          <w:b/>
          <w:szCs w:val="22"/>
        </w:rPr>
      </w:pPr>
    </w:p>
    <w:p w:rsidRPr="00A812C8" w:rsidR="00253E38" w:rsidP="00253E38" w:rsidRDefault="00253E38" w14:paraId="7C6FFED2" w14:textId="77777777">
      <w:pPr>
        <w:jc w:val="center"/>
        <w:outlineLvl w:val="2"/>
        <w:rPr>
          <w:rFonts w:eastAsiaTheme="minorHAnsi" w:cstheme="minorBidi"/>
          <w:sz w:val="32"/>
          <w:szCs w:val="32"/>
        </w:rPr>
      </w:pPr>
      <w:bookmarkStart w:name="_Toc473880016" w:id="1"/>
      <w:r w:rsidRPr="00A812C8">
        <w:rPr>
          <w:rFonts w:eastAsiaTheme="minorHAnsi" w:cstheme="minorBidi"/>
          <w:sz w:val="32"/>
          <w:szCs w:val="32"/>
        </w:rPr>
        <w:t>Request for OMB approval of a Revision Information Collection</w:t>
      </w:r>
      <w:bookmarkEnd w:id="1"/>
      <w:r w:rsidRPr="00A812C8">
        <w:rPr>
          <w:rFonts w:eastAsiaTheme="minorHAnsi" w:cstheme="minorBidi"/>
          <w:sz w:val="32"/>
          <w:szCs w:val="32"/>
        </w:rPr>
        <w:t xml:space="preserve"> with OMB Control No. 0920-0263 (Expiring 8/31/2020)</w:t>
      </w:r>
    </w:p>
    <w:p w:rsidRPr="00A812C8" w:rsidR="00253E38" w:rsidP="00253E38" w:rsidRDefault="00253E38" w14:paraId="6F8FBAF8" w14:textId="77777777">
      <w:pPr>
        <w:jc w:val="center"/>
        <w:rPr>
          <w:rFonts w:eastAsiaTheme="minorHAnsi" w:cstheme="minorBidi"/>
          <w:b/>
          <w:szCs w:val="22"/>
        </w:rPr>
      </w:pPr>
    </w:p>
    <w:p w:rsidRPr="00A812C8" w:rsidR="00253E38" w:rsidP="00253E38" w:rsidRDefault="00C6064F" w14:paraId="6468B304" w14:textId="1335F41A">
      <w:pPr>
        <w:jc w:val="center"/>
        <w:rPr>
          <w:rFonts w:eastAsiaTheme="minorHAnsi" w:cstheme="minorBidi"/>
          <w:b/>
          <w:szCs w:val="22"/>
        </w:rPr>
      </w:pPr>
      <w:r>
        <w:rPr>
          <w:rFonts w:eastAsiaTheme="minorHAnsi" w:cstheme="minorBidi"/>
          <w:b/>
          <w:szCs w:val="22"/>
        </w:rPr>
        <w:t>July 2</w:t>
      </w:r>
      <w:r w:rsidR="007E5DEC">
        <w:rPr>
          <w:rFonts w:eastAsiaTheme="minorHAnsi" w:cstheme="minorBidi"/>
          <w:b/>
          <w:szCs w:val="22"/>
        </w:rPr>
        <w:t>7</w:t>
      </w:r>
      <w:bookmarkStart w:name="_GoBack" w:id="2"/>
      <w:bookmarkEnd w:id="2"/>
      <w:r>
        <w:rPr>
          <w:rFonts w:eastAsiaTheme="minorHAnsi" w:cstheme="minorBidi"/>
          <w:b/>
          <w:szCs w:val="22"/>
        </w:rPr>
        <w:t>, 2020</w:t>
      </w:r>
    </w:p>
    <w:p w:rsidRPr="00A812C8" w:rsidR="00253E38" w:rsidP="00253E38" w:rsidRDefault="00253E38" w14:paraId="1FA88A7B" w14:textId="77777777">
      <w:pPr>
        <w:spacing w:after="200" w:line="276" w:lineRule="auto"/>
        <w:rPr>
          <w:rFonts w:eastAsiaTheme="minorHAnsi" w:cstheme="minorBidi"/>
          <w:szCs w:val="22"/>
        </w:rPr>
      </w:pPr>
    </w:p>
    <w:p w:rsidRPr="00A812C8" w:rsidR="00253E38" w:rsidP="00253E38" w:rsidRDefault="00253E38" w14:paraId="1FD544FC" w14:textId="77777777">
      <w:pPr>
        <w:spacing w:after="200" w:line="276" w:lineRule="auto"/>
        <w:rPr>
          <w:rFonts w:eastAsiaTheme="minorHAnsi" w:cstheme="minorBidi"/>
          <w:szCs w:val="22"/>
        </w:rPr>
      </w:pPr>
    </w:p>
    <w:p w:rsidRPr="00A812C8" w:rsidR="00253E38" w:rsidP="00253E38" w:rsidRDefault="00253E38" w14:paraId="53C44925" w14:textId="77777777">
      <w:pPr>
        <w:spacing w:after="200" w:line="276" w:lineRule="auto"/>
        <w:rPr>
          <w:rFonts w:eastAsiaTheme="minorHAnsi" w:cstheme="minorBidi"/>
          <w:szCs w:val="22"/>
        </w:rPr>
      </w:pPr>
    </w:p>
    <w:p w:rsidRPr="00A812C8" w:rsidR="00253E38" w:rsidP="00253E38" w:rsidRDefault="00253E38" w14:paraId="2C36E2DD" w14:textId="77777777">
      <w:pPr>
        <w:jc w:val="center"/>
        <w:rPr>
          <w:rFonts w:eastAsiaTheme="minorHAnsi" w:cstheme="minorBidi"/>
          <w:b/>
          <w:szCs w:val="22"/>
        </w:rPr>
      </w:pPr>
    </w:p>
    <w:p w:rsidRPr="00A812C8" w:rsidR="00253E38" w:rsidP="00253E38" w:rsidRDefault="00253E38" w14:paraId="50AA0AA1" w14:textId="583D5CF9">
      <w:pPr>
        <w:jc w:val="center"/>
        <w:outlineLvl w:val="3"/>
        <w:rPr>
          <w:rFonts w:eastAsiaTheme="minorHAnsi" w:cstheme="minorBidi"/>
          <w:b/>
          <w:szCs w:val="22"/>
        </w:rPr>
      </w:pPr>
      <w:r w:rsidRPr="00A812C8">
        <w:rPr>
          <w:rFonts w:eastAsiaTheme="minorHAnsi" w:cstheme="minorBidi"/>
          <w:b/>
          <w:szCs w:val="22"/>
        </w:rPr>
        <w:t xml:space="preserve">Supporting Statement </w:t>
      </w:r>
      <w:r>
        <w:rPr>
          <w:rFonts w:eastAsiaTheme="minorHAnsi" w:cstheme="minorBidi"/>
          <w:b/>
          <w:szCs w:val="22"/>
        </w:rPr>
        <w:t>B</w:t>
      </w:r>
    </w:p>
    <w:p w:rsidRPr="00A812C8" w:rsidR="00253E38" w:rsidP="00253E38" w:rsidRDefault="00253E38" w14:paraId="2666B43B" w14:textId="77777777">
      <w:pPr>
        <w:rPr>
          <w:rFonts w:eastAsiaTheme="minorHAnsi" w:cstheme="minorBidi"/>
          <w:b/>
          <w:szCs w:val="22"/>
        </w:rPr>
      </w:pPr>
    </w:p>
    <w:p w:rsidRPr="00A812C8" w:rsidR="00253E38" w:rsidP="00253E38" w:rsidRDefault="00253E38" w14:paraId="4D1D0AEF" w14:textId="77777777">
      <w:pPr>
        <w:rPr>
          <w:rFonts w:eastAsiaTheme="minorHAnsi" w:cstheme="minorBidi"/>
          <w:b/>
          <w:szCs w:val="22"/>
        </w:rPr>
      </w:pPr>
    </w:p>
    <w:p w:rsidRPr="00A812C8" w:rsidR="00253E38" w:rsidP="00253E38" w:rsidRDefault="00253E38" w14:paraId="6E3941F2" w14:textId="77777777">
      <w:pPr>
        <w:rPr>
          <w:rFonts w:eastAsiaTheme="minorHAnsi" w:cstheme="minorBidi"/>
          <w:b/>
          <w:szCs w:val="22"/>
        </w:rPr>
      </w:pPr>
    </w:p>
    <w:p w:rsidRPr="00A812C8" w:rsidR="00253E38" w:rsidP="00253E38" w:rsidRDefault="00253E38" w14:paraId="25A3D9ED" w14:textId="77777777">
      <w:pPr>
        <w:rPr>
          <w:rFonts w:eastAsiaTheme="minorHAnsi" w:cstheme="minorBidi"/>
          <w:b/>
          <w:szCs w:val="22"/>
        </w:rPr>
      </w:pPr>
    </w:p>
    <w:p w:rsidRPr="00A812C8" w:rsidR="00253E38" w:rsidP="00253E38" w:rsidRDefault="00253E38" w14:paraId="19EC1A10" w14:textId="77777777">
      <w:pPr>
        <w:rPr>
          <w:rFonts w:eastAsiaTheme="minorHAnsi" w:cstheme="minorBidi"/>
          <w:b/>
          <w:szCs w:val="22"/>
        </w:rPr>
      </w:pPr>
    </w:p>
    <w:p w:rsidRPr="00A812C8" w:rsidR="00253E38" w:rsidP="00253E38" w:rsidRDefault="00253E38" w14:paraId="11B09DCC" w14:textId="77777777">
      <w:pPr>
        <w:rPr>
          <w:rFonts w:eastAsiaTheme="minorHAnsi" w:cstheme="minorBidi"/>
          <w:b/>
          <w:szCs w:val="22"/>
        </w:rPr>
      </w:pPr>
    </w:p>
    <w:p w:rsidRPr="00A812C8" w:rsidR="00253E38" w:rsidP="00253E38" w:rsidRDefault="00253E38" w14:paraId="3FA2679D" w14:textId="77777777">
      <w:pPr>
        <w:rPr>
          <w:rFonts w:eastAsiaTheme="minorHAnsi" w:cstheme="minorBidi"/>
          <w:b/>
          <w:szCs w:val="22"/>
        </w:rPr>
      </w:pPr>
    </w:p>
    <w:p w:rsidRPr="00A812C8" w:rsidR="00253E38" w:rsidP="00253E38" w:rsidRDefault="00253E38" w14:paraId="546DB6F8" w14:textId="77777777">
      <w:pPr>
        <w:rPr>
          <w:rFonts w:eastAsiaTheme="minorHAnsi" w:cstheme="minorBidi"/>
          <w:b/>
          <w:szCs w:val="22"/>
        </w:rPr>
      </w:pPr>
    </w:p>
    <w:p w:rsidRPr="00A812C8" w:rsidR="00253E38" w:rsidP="00253E38" w:rsidRDefault="00253E38" w14:paraId="10112622" w14:textId="77777777">
      <w:pPr>
        <w:rPr>
          <w:rFonts w:eastAsiaTheme="minorHAnsi" w:cstheme="minorBidi"/>
          <w:b/>
          <w:szCs w:val="22"/>
        </w:rPr>
      </w:pPr>
    </w:p>
    <w:p w:rsidRPr="00A812C8" w:rsidR="00253E38" w:rsidP="00253E38" w:rsidRDefault="00253E38" w14:paraId="7CF09840" w14:textId="77777777">
      <w:pPr>
        <w:rPr>
          <w:rFonts w:eastAsiaTheme="minorHAnsi" w:cstheme="minorBidi"/>
          <w:b/>
          <w:szCs w:val="22"/>
        </w:rPr>
      </w:pPr>
    </w:p>
    <w:p w:rsidRPr="00A812C8" w:rsidR="00253E38" w:rsidP="00253E38" w:rsidRDefault="00253E38" w14:paraId="350DCE68" w14:textId="77777777">
      <w:pPr>
        <w:rPr>
          <w:rFonts w:eastAsiaTheme="minorHAnsi" w:cstheme="minorBidi"/>
          <w:b/>
          <w:szCs w:val="22"/>
        </w:rPr>
      </w:pPr>
    </w:p>
    <w:p w:rsidRPr="00A812C8" w:rsidR="00253E38" w:rsidP="00253E38" w:rsidRDefault="00253E38" w14:paraId="6DB428B2" w14:textId="77777777">
      <w:pPr>
        <w:rPr>
          <w:rFonts w:eastAsiaTheme="minorHAnsi" w:cstheme="minorBidi"/>
          <w:b/>
          <w:szCs w:val="22"/>
        </w:rPr>
      </w:pPr>
    </w:p>
    <w:p w:rsidRPr="00A812C8" w:rsidR="00253E38" w:rsidP="00253E38" w:rsidRDefault="00253E38" w14:paraId="338A285B" w14:textId="77777777">
      <w:pPr>
        <w:rPr>
          <w:rFonts w:eastAsiaTheme="minorHAnsi" w:cstheme="minorBidi"/>
          <w:b/>
          <w:szCs w:val="22"/>
        </w:rPr>
      </w:pPr>
    </w:p>
    <w:p w:rsidRPr="00A812C8" w:rsidR="00253E38" w:rsidP="00253E38" w:rsidRDefault="00253E38" w14:paraId="563AEFEB" w14:textId="77777777">
      <w:pPr>
        <w:rPr>
          <w:rFonts w:eastAsiaTheme="minorHAnsi" w:cstheme="minorBidi"/>
          <w:b/>
          <w:szCs w:val="22"/>
        </w:rPr>
      </w:pPr>
    </w:p>
    <w:p w:rsidRPr="00A812C8" w:rsidR="00253E38" w:rsidP="00253E38" w:rsidRDefault="00253E38" w14:paraId="2E12E170" w14:textId="77777777">
      <w:pPr>
        <w:rPr>
          <w:rFonts w:eastAsiaTheme="minorHAnsi" w:cstheme="minorBidi"/>
          <w:b/>
          <w:szCs w:val="22"/>
        </w:rPr>
      </w:pPr>
    </w:p>
    <w:p w:rsidRPr="00A812C8" w:rsidR="00253E38" w:rsidP="00253E38" w:rsidRDefault="00253E38" w14:paraId="57424B51" w14:textId="77777777">
      <w:pPr>
        <w:rPr>
          <w:rFonts w:eastAsiaTheme="minorHAnsi" w:cstheme="minorBidi"/>
          <w:b/>
          <w:szCs w:val="22"/>
        </w:rPr>
      </w:pPr>
    </w:p>
    <w:p w:rsidRPr="00A812C8" w:rsidR="00253E38" w:rsidP="00253E38" w:rsidRDefault="00253E38" w14:paraId="14133822" w14:textId="77777777">
      <w:pPr>
        <w:rPr>
          <w:rFonts w:eastAsiaTheme="minorHAnsi" w:cstheme="minorBidi"/>
          <w:b/>
          <w:szCs w:val="22"/>
        </w:rPr>
      </w:pPr>
    </w:p>
    <w:p w:rsidRPr="00A812C8" w:rsidR="00253E38" w:rsidP="00253E38" w:rsidRDefault="00253E38" w14:paraId="405D3775" w14:textId="77777777">
      <w:pPr>
        <w:rPr>
          <w:rFonts w:eastAsiaTheme="minorHAnsi" w:cstheme="minorBidi"/>
          <w:b/>
          <w:szCs w:val="22"/>
        </w:rPr>
      </w:pPr>
      <w:r w:rsidRPr="00A812C8">
        <w:rPr>
          <w:rFonts w:eastAsiaTheme="minorHAnsi" w:cstheme="minorBidi"/>
          <w:b/>
          <w:szCs w:val="22"/>
        </w:rPr>
        <w:t xml:space="preserve">Contact: </w:t>
      </w:r>
    </w:p>
    <w:p w:rsidR="00DC7092" w:rsidP="00DC7092" w:rsidRDefault="00DC7092" w14:paraId="0B1BEE59" w14:textId="77777777">
      <w:pPr>
        <w:rPr>
          <w:bCs/>
        </w:rPr>
      </w:pPr>
    </w:p>
    <w:p w:rsidR="00DC7092" w:rsidP="00DC7092" w:rsidRDefault="00DC7092" w14:paraId="7E2F35B6" w14:textId="73EAA07E">
      <w:pPr>
        <w:rPr>
          <w:bCs/>
        </w:rPr>
      </w:pPr>
      <w:r>
        <w:rPr>
          <w:bCs/>
        </w:rPr>
        <w:t>Thomas “Chip” Daymude</w:t>
      </w:r>
    </w:p>
    <w:p w:rsidRPr="000C7EC9" w:rsidR="00DC7092" w:rsidP="00DC7092" w:rsidRDefault="00DC7092" w14:paraId="742C9567" w14:textId="77777777">
      <w:pPr>
        <w:rPr>
          <w:bCs/>
        </w:rPr>
      </w:pPr>
    </w:p>
    <w:p w:rsidRPr="000C7EC9" w:rsidR="00DC7092" w:rsidP="00DC7092" w:rsidRDefault="00DC7092" w14:paraId="6D6C8E38" w14:textId="77777777">
      <w:pPr>
        <w:rPr>
          <w:bCs/>
        </w:rPr>
      </w:pPr>
      <w:r w:rsidRPr="000C7EC9">
        <w:rPr>
          <w:bCs/>
        </w:rPr>
        <w:t>National Center for Emerging and Zoonotic Infectious Diseases (NCEZID)</w:t>
      </w:r>
    </w:p>
    <w:p w:rsidRPr="000C7EC9" w:rsidR="00DC7092" w:rsidP="00DC7092" w:rsidRDefault="00DC7092" w14:paraId="7898F9A5" w14:textId="77777777">
      <w:pPr>
        <w:rPr>
          <w:bCs/>
        </w:rPr>
      </w:pPr>
      <w:r w:rsidRPr="000C7EC9">
        <w:rPr>
          <w:bCs/>
        </w:rPr>
        <w:t>Centers for Disease Control and Prevention</w:t>
      </w:r>
    </w:p>
    <w:p w:rsidRPr="000C7EC9" w:rsidR="00DC7092" w:rsidP="00DC7092" w:rsidRDefault="00DC7092" w14:paraId="1FAE2029" w14:textId="77777777">
      <w:pPr>
        <w:rPr>
          <w:bCs/>
        </w:rPr>
      </w:pPr>
      <w:r w:rsidRPr="000C7EC9">
        <w:rPr>
          <w:bCs/>
        </w:rPr>
        <w:t>1600 Clifton Road NE, MS H16-</w:t>
      </w:r>
      <w:r>
        <w:rPr>
          <w:bCs/>
        </w:rPr>
        <w:t>5</w:t>
      </w:r>
    </w:p>
    <w:p w:rsidRPr="000C7EC9" w:rsidR="00DC7092" w:rsidP="00DC7092" w:rsidRDefault="00DC7092" w14:paraId="76148A0D" w14:textId="77777777">
      <w:pPr>
        <w:rPr>
          <w:bCs/>
        </w:rPr>
      </w:pPr>
      <w:r w:rsidRPr="000C7EC9">
        <w:rPr>
          <w:bCs/>
        </w:rPr>
        <w:t xml:space="preserve">Atlanta, Georgia 30329-4027 </w:t>
      </w:r>
    </w:p>
    <w:p w:rsidRPr="000C7EC9" w:rsidR="00DC7092" w:rsidP="00DC7092" w:rsidRDefault="00DC7092" w14:paraId="0D0107AB" w14:textId="77777777">
      <w:pPr>
        <w:rPr>
          <w:bCs/>
        </w:rPr>
      </w:pPr>
      <w:r w:rsidRPr="000C7EC9">
        <w:rPr>
          <w:bCs/>
        </w:rPr>
        <w:t xml:space="preserve">Phone: </w:t>
      </w:r>
      <w:r>
        <w:rPr>
          <w:bCs/>
        </w:rPr>
        <w:t>(678) 313-4643</w:t>
      </w:r>
    </w:p>
    <w:p w:rsidRPr="00DC7092" w:rsidR="00DC7092" w:rsidP="00DC7092" w:rsidRDefault="00DC7092" w14:paraId="7B6DE9B7" w14:textId="6B2B3705">
      <w:pPr>
        <w:rPr>
          <w:bCs/>
        </w:rPr>
      </w:pPr>
      <w:r w:rsidRPr="000C7EC9">
        <w:rPr>
          <w:bCs/>
        </w:rPr>
        <w:t xml:space="preserve">Email: </w:t>
      </w:r>
      <w:r>
        <w:rPr>
          <w:bCs/>
        </w:rPr>
        <w:t>qkh7</w:t>
      </w:r>
      <w:r w:rsidRPr="000C7EC9">
        <w:rPr>
          <w:bCs/>
        </w:rPr>
        <w:t>@cdc.gov</w:t>
      </w:r>
      <w:r>
        <w:rPr>
          <w:b/>
        </w:rPr>
        <w:br w:type="page"/>
      </w:r>
    </w:p>
    <w:p w:rsidR="006124A3" w:rsidP="004504EF" w:rsidRDefault="006124A3" w14:paraId="6E66F0C2" w14:textId="77777777">
      <w:pPr>
        <w:jc w:val="center"/>
        <w:rPr>
          <w:b/>
        </w:rPr>
      </w:pPr>
    </w:p>
    <w:sdt>
      <w:sdtPr>
        <w:rPr>
          <w:rFonts w:ascii="Times New Roman" w:hAnsi="Times New Roman" w:eastAsia="Times New Roman" w:cs="Times New Roman"/>
          <w:color w:val="auto"/>
          <w:sz w:val="24"/>
          <w:szCs w:val="24"/>
        </w:rPr>
        <w:id w:val="1707133961"/>
        <w:docPartObj>
          <w:docPartGallery w:val="Table of Contents"/>
          <w:docPartUnique/>
        </w:docPartObj>
      </w:sdtPr>
      <w:sdtEndPr>
        <w:rPr>
          <w:b/>
          <w:bCs/>
          <w:noProof/>
        </w:rPr>
      </w:sdtEndPr>
      <w:sdtContent>
        <w:p w:rsidR="006124A3" w:rsidP="00E0385E" w:rsidRDefault="00E0385E" w14:paraId="42AC1CED" w14:textId="2C5D9E1E">
          <w:pPr>
            <w:pStyle w:val="TOCHeading"/>
            <w:jc w:val="center"/>
            <w:rPr>
              <w:color w:val="auto"/>
            </w:rPr>
          </w:pPr>
          <w:r w:rsidRPr="00E0385E">
            <w:rPr>
              <w:color w:val="auto"/>
            </w:rPr>
            <w:t xml:space="preserve">Table of </w:t>
          </w:r>
          <w:r w:rsidRPr="00E0385E" w:rsidR="006124A3">
            <w:rPr>
              <w:color w:val="auto"/>
            </w:rPr>
            <w:t>Contents</w:t>
          </w:r>
        </w:p>
        <w:p w:rsidRPr="00E0385E" w:rsidR="00E0385E" w:rsidP="00E0385E" w:rsidRDefault="00E0385E" w14:paraId="4F41DA39" w14:textId="77777777"/>
        <w:p w:rsidR="00E0385E" w:rsidRDefault="006124A3" w14:paraId="7208FA01" w14:textId="77777777">
          <w:pPr>
            <w:pStyle w:val="TOC2"/>
            <w:tabs>
              <w:tab w:val="right" w:leader="dot" w:pos="10070"/>
            </w:tabs>
            <w:rPr>
              <w:noProof/>
            </w:rPr>
          </w:pPr>
          <w:r>
            <w:fldChar w:fldCharType="begin"/>
          </w:r>
          <w:r>
            <w:instrText xml:space="preserve"> TOC \o "1-3" \h \z \u </w:instrText>
          </w:r>
          <w:r>
            <w:fldChar w:fldCharType="separate"/>
          </w:r>
          <w:hyperlink w:history="1" w:anchor="_Toc478466858">
            <w:r w:rsidRPr="00130989" w:rsidR="00E0385E">
              <w:rPr>
                <w:rStyle w:val="Hyperlink"/>
                <w:noProof/>
              </w:rPr>
              <w:t>1.  Respondent Universe and Sampling Methods</w:t>
            </w:r>
            <w:r w:rsidR="00E0385E">
              <w:rPr>
                <w:noProof/>
                <w:webHidden/>
              </w:rPr>
              <w:tab/>
            </w:r>
            <w:r w:rsidR="00E0385E">
              <w:rPr>
                <w:noProof/>
                <w:webHidden/>
              </w:rPr>
              <w:fldChar w:fldCharType="begin"/>
            </w:r>
            <w:r w:rsidR="00E0385E">
              <w:rPr>
                <w:noProof/>
                <w:webHidden/>
              </w:rPr>
              <w:instrText xml:space="preserve"> PAGEREF _Toc478466858 \h </w:instrText>
            </w:r>
            <w:r w:rsidR="00E0385E">
              <w:rPr>
                <w:noProof/>
                <w:webHidden/>
              </w:rPr>
            </w:r>
            <w:r w:rsidR="00E0385E">
              <w:rPr>
                <w:noProof/>
                <w:webHidden/>
              </w:rPr>
              <w:fldChar w:fldCharType="separate"/>
            </w:r>
            <w:r w:rsidR="00E0385E">
              <w:rPr>
                <w:noProof/>
                <w:webHidden/>
              </w:rPr>
              <w:t>2</w:t>
            </w:r>
            <w:r w:rsidR="00E0385E">
              <w:rPr>
                <w:noProof/>
                <w:webHidden/>
              </w:rPr>
              <w:fldChar w:fldCharType="end"/>
            </w:r>
          </w:hyperlink>
        </w:p>
        <w:p w:rsidR="00E0385E" w:rsidRDefault="007E5DEC" w14:paraId="5D6BE502" w14:textId="77777777">
          <w:pPr>
            <w:pStyle w:val="TOC2"/>
            <w:tabs>
              <w:tab w:val="right" w:leader="dot" w:pos="10070"/>
            </w:tabs>
            <w:rPr>
              <w:noProof/>
            </w:rPr>
          </w:pPr>
          <w:hyperlink w:history="1" w:anchor="_Toc478466859">
            <w:r w:rsidRPr="00130989" w:rsidR="00E0385E">
              <w:rPr>
                <w:rStyle w:val="Hyperlink"/>
                <w:noProof/>
              </w:rPr>
              <w:t>2.  Procedures for the Collection of Information</w:t>
            </w:r>
            <w:r w:rsidR="00E0385E">
              <w:rPr>
                <w:noProof/>
                <w:webHidden/>
              </w:rPr>
              <w:tab/>
            </w:r>
            <w:r w:rsidR="00E0385E">
              <w:rPr>
                <w:noProof/>
                <w:webHidden/>
              </w:rPr>
              <w:fldChar w:fldCharType="begin"/>
            </w:r>
            <w:r w:rsidR="00E0385E">
              <w:rPr>
                <w:noProof/>
                <w:webHidden/>
              </w:rPr>
              <w:instrText xml:space="preserve"> PAGEREF _Toc478466859 \h </w:instrText>
            </w:r>
            <w:r w:rsidR="00E0385E">
              <w:rPr>
                <w:noProof/>
                <w:webHidden/>
              </w:rPr>
            </w:r>
            <w:r w:rsidR="00E0385E">
              <w:rPr>
                <w:noProof/>
                <w:webHidden/>
              </w:rPr>
              <w:fldChar w:fldCharType="separate"/>
            </w:r>
            <w:r w:rsidR="00E0385E">
              <w:rPr>
                <w:noProof/>
                <w:webHidden/>
              </w:rPr>
              <w:t>2</w:t>
            </w:r>
            <w:r w:rsidR="00E0385E">
              <w:rPr>
                <w:noProof/>
                <w:webHidden/>
              </w:rPr>
              <w:fldChar w:fldCharType="end"/>
            </w:r>
          </w:hyperlink>
        </w:p>
        <w:p w:rsidR="00E0385E" w:rsidRDefault="007E5DEC" w14:paraId="0F3D6641" w14:textId="77777777">
          <w:pPr>
            <w:pStyle w:val="TOC2"/>
            <w:tabs>
              <w:tab w:val="right" w:leader="dot" w:pos="10070"/>
            </w:tabs>
            <w:rPr>
              <w:noProof/>
            </w:rPr>
          </w:pPr>
          <w:hyperlink w:history="1" w:anchor="_Toc478466860">
            <w:r w:rsidRPr="00130989" w:rsidR="00E0385E">
              <w:rPr>
                <w:rStyle w:val="Hyperlink"/>
                <w:noProof/>
              </w:rPr>
              <w:t>3.  Methods to Maximize Response Rates and Deal with No response</w:t>
            </w:r>
            <w:r w:rsidR="00E0385E">
              <w:rPr>
                <w:noProof/>
                <w:webHidden/>
              </w:rPr>
              <w:tab/>
            </w:r>
            <w:r w:rsidR="00E0385E">
              <w:rPr>
                <w:noProof/>
                <w:webHidden/>
              </w:rPr>
              <w:fldChar w:fldCharType="begin"/>
            </w:r>
            <w:r w:rsidR="00E0385E">
              <w:rPr>
                <w:noProof/>
                <w:webHidden/>
              </w:rPr>
              <w:instrText xml:space="preserve"> PAGEREF _Toc478466860 \h </w:instrText>
            </w:r>
            <w:r w:rsidR="00E0385E">
              <w:rPr>
                <w:noProof/>
                <w:webHidden/>
              </w:rPr>
            </w:r>
            <w:r w:rsidR="00E0385E">
              <w:rPr>
                <w:noProof/>
                <w:webHidden/>
              </w:rPr>
              <w:fldChar w:fldCharType="separate"/>
            </w:r>
            <w:r w:rsidR="00E0385E">
              <w:rPr>
                <w:noProof/>
                <w:webHidden/>
              </w:rPr>
              <w:t>3</w:t>
            </w:r>
            <w:r w:rsidR="00E0385E">
              <w:rPr>
                <w:noProof/>
                <w:webHidden/>
              </w:rPr>
              <w:fldChar w:fldCharType="end"/>
            </w:r>
          </w:hyperlink>
        </w:p>
        <w:p w:rsidR="00E0385E" w:rsidRDefault="007E5DEC" w14:paraId="41888E00" w14:textId="77777777">
          <w:pPr>
            <w:pStyle w:val="TOC2"/>
            <w:tabs>
              <w:tab w:val="right" w:leader="dot" w:pos="10070"/>
            </w:tabs>
            <w:rPr>
              <w:noProof/>
            </w:rPr>
          </w:pPr>
          <w:hyperlink w:history="1" w:anchor="_Toc478466861">
            <w:r w:rsidRPr="00130989" w:rsidR="00E0385E">
              <w:rPr>
                <w:rStyle w:val="Hyperlink"/>
                <w:noProof/>
              </w:rPr>
              <w:t>4.  Tests of Procedures or Methods to be Undertaken</w:t>
            </w:r>
            <w:r w:rsidR="00E0385E">
              <w:rPr>
                <w:noProof/>
                <w:webHidden/>
              </w:rPr>
              <w:tab/>
            </w:r>
            <w:r w:rsidR="00E0385E">
              <w:rPr>
                <w:noProof/>
                <w:webHidden/>
              </w:rPr>
              <w:fldChar w:fldCharType="begin"/>
            </w:r>
            <w:r w:rsidR="00E0385E">
              <w:rPr>
                <w:noProof/>
                <w:webHidden/>
              </w:rPr>
              <w:instrText xml:space="preserve"> PAGEREF _Toc478466861 \h </w:instrText>
            </w:r>
            <w:r w:rsidR="00E0385E">
              <w:rPr>
                <w:noProof/>
                <w:webHidden/>
              </w:rPr>
            </w:r>
            <w:r w:rsidR="00E0385E">
              <w:rPr>
                <w:noProof/>
                <w:webHidden/>
              </w:rPr>
              <w:fldChar w:fldCharType="separate"/>
            </w:r>
            <w:r w:rsidR="00E0385E">
              <w:rPr>
                <w:noProof/>
                <w:webHidden/>
              </w:rPr>
              <w:t>3</w:t>
            </w:r>
            <w:r w:rsidR="00E0385E">
              <w:rPr>
                <w:noProof/>
                <w:webHidden/>
              </w:rPr>
              <w:fldChar w:fldCharType="end"/>
            </w:r>
          </w:hyperlink>
        </w:p>
        <w:p w:rsidR="00E0385E" w:rsidRDefault="007E5DEC" w14:paraId="2EBC6D4B" w14:textId="77777777">
          <w:pPr>
            <w:pStyle w:val="TOC2"/>
            <w:tabs>
              <w:tab w:val="right" w:leader="dot" w:pos="10070"/>
            </w:tabs>
            <w:rPr>
              <w:noProof/>
            </w:rPr>
          </w:pPr>
          <w:hyperlink w:history="1" w:anchor="_Toc478466862">
            <w:r w:rsidRPr="00130989" w:rsidR="00E0385E">
              <w:rPr>
                <w:rStyle w:val="Hyperlink"/>
                <w:noProof/>
              </w:rPr>
              <w:t>5.  Individuals Consulted on Statistical Aspects and Individuals Collecting and/or Analyzing Data</w:t>
            </w:r>
            <w:r w:rsidR="00E0385E">
              <w:rPr>
                <w:noProof/>
                <w:webHidden/>
              </w:rPr>
              <w:tab/>
            </w:r>
            <w:r w:rsidR="00E0385E">
              <w:rPr>
                <w:noProof/>
                <w:webHidden/>
              </w:rPr>
              <w:fldChar w:fldCharType="begin"/>
            </w:r>
            <w:r w:rsidR="00E0385E">
              <w:rPr>
                <w:noProof/>
                <w:webHidden/>
              </w:rPr>
              <w:instrText xml:space="preserve"> PAGEREF _Toc478466862 \h </w:instrText>
            </w:r>
            <w:r w:rsidR="00E0385E">
              <w:rPr>
                <w:noProof/>
                <w:webHidden/>
              </w:rPr>
            </w:r>
            <w:r w:rsidR="00E0385E">
              <w:rPr>
                <w:noProof/>
                <w:webHidden/>
              </w:rPr>
              <w:fldChar w:fldCharType="separate"/>
            </w:r>
            <w:r w:rsidR="00E0385E">
              <w:rPr>
                <w:noProof/>
                <w:webHidden/>
              </w:rPr>
              <w:t>3</w:t>
            </w:r>
            <w:r w:rsidR="00E0385E">
              <w:rPr>
                <w:noProof/>
                <w:webHidden/>
              </w:rPr>
              <w:fldChar w:fldCharType="end"/>
            </w:r>
          </w:hyperlink>
        </w:p>
        <w:p w:rsidR="006124A3" w:rsidRDefault="006124A3" w14:paraId="5FDE7BD9" w14:textId="7FFB2FAB">
          <w:r>
            <w:rPr>
              <w:b/>
              <w:bCs/>
              <w:noProof/>
            </w:rPr>
            <w:fldChar w:fldCharType="end"/>
          </w:r>
        </w:p>
      </w:sdtContent>
    </w:sdt>
    <w:p w:rsidR="004504EF" w:rsidP="004504EF" w:rsidRDefault="004504EF" w14:paraId="151FF936" w14:textId="77777777">
      <w:pPr>
        <w:rPr>
          <w:u w:val="single"/>
        </w:rPr>
      </w:pPr>
      <w:r>
        <w:rPr>
          <w:b/>
          <w:u w:val="single"/>
        </w:rPr>
        <w:t>B. Collection of Information Employing Statistical Methods</w:t>
      </w:r>
    </w:p>
    <w:p w:rsidR="004504EF" w:rsidP="004504EF" w:rsidRDefault="004504EF" w14:paraId="06A841F8" w14:textId="77777777">
      <w:pPr>
        <w:rPr>
          <w:b/>
          <w:u w:val="single"/>
        </w:rPr>
      </w:pPr>
    </w:p>
    <w:p w:rsidR="004504EF" w:rsidP="004504EF" w:rsidRDefault="004504EF" w14:paraId="7E6C2EDA" w14:textId="77777777"/>
    <w:p w:rsidRPr="006124A3" w:rsidR="004504EF" w:rsidP="006124A3" w:rsidRDefault="004504EF" w14:paraId="174E6931" w14:textId="77777777">
      <w:pPr>
        <w:pStyle w:val="Heading2"/>
      </w:pPr>
      <w:bookmarkStart w:name="_Toc478466858" w:id="3"/>
      <w:r w:rsidRPr="006124A3">
        <w:t>1.  Respondent Universe and Sampling Methods</w:t>
      </w:r>
      <w:bookmarkEnd w:id="3"/>
    </w:p>
    <w:p w:rsidR="006124A3" w:rsidP="004504EF" w:rsidRDefault="006124A3" w14:paraId="3D3E537E" w14:textId="743646D9"/>
    <w:p w:rsidR="00C6064F" w:rsidP="00C6064F" w:rsidRDefault="00C6064F" w14:paraId="7C2BBEB9" w14:textId="77777777">
      <w:r>
        <w:t xml:space="preserve">Statistical methods do not apply to this data collection.  No statistical methods are used in this data collection.  The respondent universe is all animal importers who want to import nonhuman primates and nonhuman primate products into the United States.  </w:t>
      </w:r>
    </w:p>
    <w:p w:rsidR="00C6064F" w:rsidP="00C6064F" w:rsidRDefault="00C6064F" w14:paraId="3540B046" w14:textId="77777777"/>
    <w:p w:rsidR="00C6064F" w:rsidP="00C6064F" w:rsidRDefault="00C6064F" w14:paraId="44B4E80E" w14:textId="77777777">
      <w:pPr>
        <w:widowControl w:val="0"/>
      </w:pPr>
      <w:r>
        <w:t>Respondents must submit an application to become a registered importer of nonhuman primates. To obtain this registration,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nonhuman primates from embarkation in the country of origin to release from quarantine.  Information such as species, origin, and intended use for primates, transit information, isolation and quarantine procedures, and procedures for tuberculosis and filovirus testing of quarantined nonhuman primates.  CDC evaluates compliance with the standards and determines whether adequate measures being taken to prevent the exposure of persons and animals during importation, transportation, and quarantine.</w:t>
      </w:r>
    </w:p>
    <w:p w:rsidR="00C6064F" w:rsidP="00C6064F" w:rsidRDefault="00C6064F" w14:paraId="6B3748A2" w14:textId="77777777"/>
    <w:p w:rsidR="00C6064F" w:rsidP="00C6064F" w:rsidRDefault="00C6064F" w14:paraId="42EA701A" w14:textId="77777777">
      <w:r>
        <w:t xml:space="preserve">CDC monitors at least one shipment of non-human primates to be assured that the newly registered importer is following the standard operating procedures specified in the registration permit package.  Once CDC is assured that adequate disease control practices are being used by new registrants, the registration can be extended to cover the receipt of additional shipments under the same plan for a period of two years and may be renewed upon request.  </w:t>
      </w:r>
    </w:p>
    <w:p w:rsidR="00C6064F" w:rsidP="00C6064F" w:rsidRDefault="00C6064F" w14:paraId="36DB7C06" w14:textId="77777777"/>
    <w:p w:rsidR="00C6064F" w:rsidP="00C6064F" w:rsidRDefault="00C6064F" w14:paraId="1D31BF35" w14:textId="77777777">
      <w:r>
        <w:t>Concerning this information collection, there will be no sampling of importers seeking to bring live nonhuman primates or nonhuman primate products.</w:t>
      </w:r>
    </w:p>
    <w:p w:rsidR="00C6064F" w:rsidP="004504EF" w:rsidRDefault="00C6064F" w14:paraId="6148E638" w14:textId="77777777"/>
    <w:p w:rsidRPr="00CC775D" w:rsidR="004504EF" w:rsidP="006124A3" w:rsidRDefault="004504EF" w14:paraId="5B25D192" w14:textId="77777777">
      <w:pPr>
        <w:pStyle w:val="Heading2"/>
      </w:pPr>
      <w:bookmarkStart w:name="_Toc478466859" w:id="4"/>
      <w:r w:rsidRPr="00CC775D">
        <w:t>2.  Procedures for the Collection of Information</w:t>
      </w:r>
      <w:bookmarkEnd w:id="4"/>
    </w:p>
    <w:p w:rsidRPr="00CC775D" w:rsidR="004504EF" w:rsidP="004504EF" w:rsidRDefault="004504EF" w14:paraId="54E5ABA0" w14:textId="77777777">
      <w:pPr>
        <w:rPr>
          <w:b/>
        </w:rPr>
      </w:pPr>
    </w:p>
    <w:p w:rsidR="003F5FA3" w:rsidP="003F5FA3" w:rsidRDefault="003F5FA3" w14:paraId="3C193407" w14:textId="7A86D03B">
      <w:r>
        <w:t>A</w:t>
      </w:r>
      <w:r w:rsidR="00182AF0">
        <w:t xml:space="preserve">n entity that wants to import nonhuman primates must </w:t>
      </w:r>
      <w:r w:rsidR="00B229FA">
        <w:t xml:space="preserve">successfully </w:t>
      </w:r>
      <w:r w:rsidR="00182AF0">
        <w:t>complete the CDC registration process</w:t>
      </w:r>
      <w:r w:rsidR="00B229FA">
        <w:t xml:space="preserve"> to be allowed to import nonhuman primates.</w:t>
      </w:r>
      <w:r>
        <w:t xml:space="preserve">  To receive the </w:t>
      </w:r>
      <w:r w:rsidR="00B229FA">
        <w:t>registration</w:t>
      </w:r>
      <w:r>
        <w:t xml:space="preserve">,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primates </w:t>
      </w:r>
      <w:r>
        <w:lastRenderedPageBreak/>
        <w:t xml:space="preserve">from embarkation in the country of origin to release from quarantine.  </w:t>
      </w:r>
      <w:r w:rsidR="00A96EBC">
        <w:t>Additional information includes</w:t>
      </w:r>
      <w:r>
        <w:t xml:space="preserve"> species, origin, and intended use for primates, transit information, isolation and quarantine procedures, and procedures for tuberculosis and filovirus testing of quarantined animals.  CDC evaluates compliance with the standards and determines whether adequate measures being taken to prevent the exposure of persons and animals during importation.</w:t>
      </w:r>
    </w:p>
    <w:p w:rsidR="00C6064F" w:rsidP="003F5FA3" w:rsidRDefault="00C6064F" w14:paraId="3C47DC98" w14:textId="2BE68352"/>
    <w:p w:rsidR="00C6064F" w:rsidP="003F5FA3" w:rsidRDefault="00C6064F" w14:paraId="45489AEF" w14:textId="544DA748">
      <w:r>
        <w:t>The timeline</w:t>
      </w:r>
      <w:r w:rsidR="00733154">
        <w:t>s</w:t>
      </w:r>
      <w:r>
        <w:t xml:space="preserve"> for submission of information to CDC </w:t>
      </w:r>
      <w:r w:rsidR="00733154">
        <w:t>are</w:t>
      </w:r>
      <w:r>
        <w:t xml:space="preserve"> generally as follows:</w:t>
      </w:r>
    </w:p>
    <w:p w:rsidR="00C6064F" w:rsidP="003F5FA3" w:rsidRDefault="00C6064F" w14:paraId="3C67B1AA" w14:textId="2F99FF4D">
      <w:r>
        <w:t>1) An importer must submit a registration application</w:t>
      </w:r>
      <w:r w:rsidR="00A96EBC">
        <w:t xml:space="preserve"> (Attachment 7)</w:t>
      </w:r>
      <w:r>
        <w:t xml:space="preserve">, which includes information that the importer maintains </w:t>
      </w:r>
      <w:r w:rsidRPr="00C6064F">
        <w:t>Documentation and Standard Operating Procedures</w:t>
      </w:r>
      <w:r>
        <w:t xml:space="preserve"> for protecting public health throughout the importation process</w:t>
      </w:r>
      <w:r w:rsidR="00A96EBC">
        <w:t xml:space="preserve"> (Attachment 3)</w:t>
      </w:r>
      <w:r>
        <w:t>.</w:t>
      </w:r>
    </w:p>
    <w:p w:rsidR="00C6064F" w:rsidP="003F5FA3" w:rsidRDefault="00C6064F" w14:paraId="707A7E3F" w14:textId="3972ED58">
      <w:r>
        <w:t xml:space="preserve">2) An importer must provide a notice of arrival of the animals </w:t>
      </w:r>
      <w:r w:rsidR="00733154">
        <w:t>7 days prior to shipping them to the United States, and provide notice to CDC within 48 hours of arrival at the quarantine facility</w:t>
      </w:r>
      <w:r w:rsidR="00A96EBC">
        <w:t xml:space="preserve"> (Attachment 3)</w:t>
      </w:r>
      <w:r w:rsidR="00733154">
        <w:t>.</w:t>
      </w:r>
    </w:p>
    <w:p w:rsidR="00733154" w:rsidP="003F5FA3" w:rsidRDefault="00733154" w14:paraId="4DDBA7B2" w14:textId="559B95D6">
      <w:r>
        <w:t>3) During travel and the 31-day quarantine period, the importer must provide notice to CDC if any illness developments among the NHPs</w:t>
      </w:r>
      <w:r w:rsidR="00A96EBC">
        <w:t xml:space="preserve"> (Attachment 3)</w:t>
      </w:r>
      <w:r>
        <w:t xml:space="preserve">.  </w:t>
      </w:r>
    </w:p>
    <w:p w:rsidR="00733154" w:rsidP="003F5FA3" w:rsidRDefault="00733154" w14:paraId="6E10DF09" w14:textId="1BD2D76D">
      <w:r>
        <w:t xml:space="preserve">4) </w:t>
      </w:r>
      <w:r w:rsidRPr="00733154">
        <w:t>In the event that an Old World NHP dies or is euthanized for any reason other than trauma or unexpected adverse environmental conditions during quarantine, liver tissue for filovirus antigen by using the antigen-capture ELISA method must be submitted to a qualified laboratory for testing.</w:t>
      </w:r>
      <w:r>
        <w:t xml:space="preserve"> Currently, these samples are send to CDC for analysis</w:t>
      </w:r>
      <w:r w:rsidR="00A96EBC">
        <w:t xml:space="preserve"> (Attachment 8)</w:t>
      </w:r>
      <w:r>
        <w:t>.</w:t>
      </w:r>
    </w:p>
    <w:p w:rsidR="00733154" w:rsidP="003F5FA3" w:rsidRDefault="00733154" w14:paraId="2C681E55" w14:textId="7A6970CC">
      <w:r>
        <w:t>6) Importers must notify CDC that the 31-day quarantine period has ended and that there have been no illnesses prior to releasing the NHP’s from quarantine, and notify CDC of the intent to release the animals</w:t>
      </w:r>
      <w:r w:rsidR="00A96EBC">
        <w:t xml:space="preserve"> (Attachment 3)</w:t>
      </w:r>
      <w:r>
        <w:t>.</w:t>
      </w:r>
    </w:p>
    <w:p w:rsidR="003F5FA3" w:rsidP="004504EF" w:rsidRDefault="003F5FA3" w14:paraId="2DEDD480" w14:textId="77777777"/>
    <w:p w:rsidRPr="00BD0CB3" w:rsidR="004504EF" w:rsidP="004504EF" w:rsidRDefault="00A96EBC" w14:paraId="09F5EDF3" w14:textId="1127B834">
      <w:r>
        <w:t xml:space="preserve">Submission of information </w:t>
      </w:r>
      <w:r w:rsidRPr="00B229FA" w:rsidR="004504EF">
        <w:t xml:space="preserve">pertaining to the importation of </w:t>
      </w:r>
      <w:r w:rsidRPr="00B229FA" w:rsidR="004504EF">
        <w:rPr>
          <w:lang w:val="x-none" w:eastAsia="x-none"/>
        </w:rPr>
        <w:t>nonhuman primate</w:t>
      </w:r>
      <w:r w:rsidRPr="00CC7D73" w:rsidR="004504EF">
        <w:rPr>
          <w:lang w:eastAsia="x-none"/>
        </w:rPr>
        <w:t xml:space="preserve"> </w:t>
      </w:r>
      <w:r w:rsidR="00F71928">
        <w:rPr>
          <w:lang w:eastAsia="x-none"/>
        </w:rPr>
        <w:t>can</w:t>
      </w:r>
      <w:r w:rsidRPr="00CC7D73" w:rsidR="004504EF">
        <w:rPr>
          <w:lang w:eastAsia="x-none"/>
        </w:rPr>
        <w:t xml:space="preserve"> be</w:t>
      </w:r>
      <w:r w:rsidRPr="00CC7D73" w:rsidR="004504EF">
        <w:rPr>
          <w:lang w:val="x-none" w:eastAsia="x-none"/>
        </w:rPr>
        <w:t xml:space="preserve"> accomplished when individuals arrive at ports of entry</w:t>
      </w:r>
      <w:r w:rsidRPr="00CC7D73" w:rsidR="004504EF">
        <w:rPr>
          <w:lang w:eastAsia="x-none"/>
        </w:rPr>
        <w:t xml:space="preserve"> and</w:t>
      </w:r>
      <w:r w:rsidRPr="00E17A04" w:rsidR="007B5BB2">
        <w:rPr>
          <w:lang w:eastAsia="x-none"/>
        </w:rPr>
        <w:t xml:space="preserve"> must</w:t>
      </w:r>
      <w:r w:rsidRPr="00E17A04" w:rsidR="003F5FA3">
        <w:rPr>
          <w:lang w:eastAsia="x-none"/>
        </w:rPr>
        <w:t xml:space="preserve"> </w:t>
      </w:r>
      <w:r w:rsidRPr="00E17A04" w:rsidR="004504EF">
        <w:rPr>
          <w:lang w:eastAsia="x-none"/>
        </w:rPr>
        <w:t>be done so through the ITDS/ACE systems using</w:t>
      </w:r>
      <w:r w:rsidRPr="00E17A04" w:rsidR="003F5FA3">
        <w:rPr>
          <w:lang w:eastAsia="x-none"/>
        </w:rPr>
        <w:t xml:space="preserve"> </w:t>
      </w:r>
      <w:r w:rsidRPr="00E17A04" w:rsidR="007B5BB2">
        <w:rPr>
          <w:lang w:eastAsia="x-none"/>
        </w:rPr>
        <w:t xml:space="preserve">the Document Imaging System. </w:t>
      </w:r>
      <w:r w:rsidR="00787210">
        <w:rPr>
          <w:lang w:eastAsia="x-none"/>
        </w:rPr>
        <w:t>Notifications for arrival and of illnesses during quarantine are gnereally s</w:t>
      </w:r>
      <w:r w:rsidR="00BD0CB3">
        <w:rPr>
          <w:lang w:eastAsia="x-none"/>
        </w:rPr>
        <w:t>ubmitted via email to CDC/DGMQ’s Zoonosis Team.</w:t>
      </w:r>
    </w:p>
    <w:p w:rsidR="004504EF" w:rsidP="004504EF" w:rsidRDefault="004504EF" w14:paraId="3AB62811" w14:textId="77777777"/>
    <w:p w:rsidR="004504EF" w:rsidP="004504EF" w:rsidRDefault="00CC7D73" w14:paraId="7D28ADB3" w14:textId="7A26ED5F">
      <w:r>
        <w:t>When CDC approves a new registrant, that registrant is provided with a temporary registration</w:t>
      </w:r>
      <w:r w:rsidR="00E17A04">
        <w:t xml:space="preserve"> that covers the shipment, arrival, and subsequent quarantine of the nonhuman primates. </w:t>
      </w:r>
      <w:r w:rsidR="004504EF">
        <w:t xml:space="preserve">CDC monitors at least </w:t>
      </w:r>
      <w:r>
        <w:t xml:space="preserve">one </w:t>
      </w:r>
      <w:r w:rsidR="004504EF">
        <w:t xml:space="preserve">shipment of nonhuman primates to be assured that the provisions of a </w:t>
      </w:r>
      <w:r>
        <w:t xml:space="preserve">registrant’s approved standard operating procedures </w:t>
      </w:r>
      <w:r w:rsidR="004504EF">
        <w:t xml:space="preserve">are followed by a new </w:t>
      </w:r>
      <w:r>
        <w:t>registrant</w:t>
      </w:r>
      <w:r w:rsidR="004504EF">
        <w:t xml:space="preserve">.  </w:t>
      </w:r>
      <w:r w:rsidR="00E17A04">
        <w:t xml:space="preserve">Upon successful quarantine of the nonhuman primate shipment, CDC converts the temporary registration to full registration status. Registration is then </w:t>
      </w:r>
      <w:r w:rsidR="004504EF">
        <w:t>extended to cover the receipt of additional shipments under the same plan for a period of two years</w:t>
      </w:r>
      <w:r w:rsidR="00E17A04">
        <w:t xml:space="preserve">.  Registration may be renewed if the importer complies with all aspects of the provisions of </w:t>
      </w:r>
      <w:r w:rsidR="00C777A6">
        <w:t>initial registration.</w:t>
      </w:r>
      <w:r w:rsidR="004504EF">
        <w:t xml:space="preserve"> </w:t>
      </w:r>
    </w:p>
    <w:p w:rsidR="004504EF" w:rsidP="004504EF" w:rsidRDefault="004504EF" w14:paraId="406B91E9" w14:textId="77777777"/>
    <w:p w:rsidRPr="00CC775D" w:rsidR="004504EF" w:rsidP="006124A3" w:rsidRDefault="004504EF" w14:paraId="79C96305" w14:textId="77777777">
      <w:pPr>
        <w:pStyle w:val="Heading2"/>
      </w:pPr>
      <w:bookmarkStart w:name="_Toc478466860" w:id="5"/>
      <w:r w:rsidRPr="00CC775D">
        <w:t>3.  Methods to Maximize Response Rates and Deal with No response</w:t>
      </w:r>
      <w:bookmarkEnd w:id="5"/>
    </w:p>
    <w:p w:rsidRPr="00CC775D" w:rsidR="004504EF" w:rsidP="004504EF" w:rsidRDefault="004504EF" w14:paraId="3DE8ACAE" w14:textId="77777777">
      <w:pPr>
        <w:rPr>
          <w:b/>
        </w:rPr>
      </w:pPr>
    </w:p>
    <w:p w:rsidR="004504EF" w:rsidP="004504EF" w:rsidRDefault="004504EF" w14:paraId="16F6E49C" w14:textId="29C36376">
      <w:r>
        <w:t xml:space="preserve">If the importer does not comply with each part of the </w:t>
      </w:r>
      <w:r w:rsidR="00C777A6">
        <w:t xml:space="preserve">registration </w:t>
      </w:r>
      <w:r w:rsidR="003F5FA3">
        <w:t>application</w:t>
      </w:r>
      <w:r>
        <w:t xml:space="preserve">, </w:t>
      </w:r>
      <w:r w:rsidR="00C777A6">
        <w:t xml:space="preserve">including </w:t>
      </w:r>
      <w:r>
        <w:t>required notification to CDC</w:t>
      </w:r>
      <w:r w:rsidR="003F5FA3">
        <w:t xml:space="preserve"> for arrival, quarantine release</w:t>
      </w:r>
      <w:r w:rsidR="00C777A6">
        <w:t xml:space="preserve"> requests</w:t>
      </w:r>
      <w:r w:rsidR="003F5FA3">
        <w:t xml:space="preserve">, </w:t>
      </w:r>
      <w:r>
        <w:t>documentation requirements, or submit to required testing procedures</w:t>
      </w:r>
      <w:r w:rsidR="003F5FA3">
        <w:t xml:space="preserve"> for tuberculosis or filoviruses</w:t>
      </w:r>
      <w:r>
        <w:t xml:space="preserve">, </w:t>
      </w:r>
      <w:r w:rsidR="00C777A6">
        <w:t>registration might be suspended.</w:t>
      </w:r>
      <w:r>
        <w:t xml:space="preserve">  </w:t>
      </w:r>
    </w:p>
    <w:p w:rsidR="004504EF" w:rsidP="004504EF" w:rsidRDefault="004504EF" w14:paraId="18ACF424" w14:textId="77777777"/>
    <w:p w:rsidRPr="005F2CD2" w:rsidR="004504EF" w:rsidP="004504EF" w:rsidRDefault="00730112" w14:paraId="3E1EB6C9" w14:textId="79D12A06">
      <w:r>
        <w:rPr>
          <w:lang w:eastAsia="x-none"/>
        </w:rPr>
        <w:t>Any individual, regardless of registration status, may import nonhuman primate products. These importers are</w:t>
      </w:r>
      <w:r w:rsidRPr="008E1BE3" w:rsidR="004504EF">
        <w:rPr>
          <w:lang w:eastAsia="x-none"/>
        </w:rPr>
        <w:t xml:space="preserve"> </w:t>
      </w:r>
      <w:r w:rsidRPr="008E1BE3" w:rsidR="004504EF">
        <w:rPr>
          <w:lang w:val="x-none" w:eastAsia="x-none"/>
        </w:rPr>
        <w:t xml:space="preserve">required to provide </w:t>
      </w:r>
      <w:r w:rsidRPr="008E1BE3" w:rsidR="004504EF">
        <w:rPr>
          <w:lang w:eastAsia="x-none"/>
        </w:rPr>
        <w:t xml:space="preserve">documentation clearly indicating that nonhuman primate products have been </w:t>
      </w:r>
      <w:r w:rsidRPr="00992B0C" w:rsidR="004504EF">
        <w:rPr>
          <w:lang w:val="x-none" w:eastAsia="x-none"/>
        </w:rPr>
        <w:t>render</w:t>
      </w:r>
      <w:r w:rsidRPr="00992B0C" w:rsidR="004504EF">
        <w:rPr>
          <w:lang w:eastAsia="x-none"/>
        </w:rPr>
        <w:t>ed</w:t>
      </w:r>
      <w:r w:rsidRPr="00992B0C" w:rsidR="004504EF">
        <w:rPr>
          <w:lang w:val="x-none" w:eastAsia="x-none"/>
        </w:rPr>
        <w:t xml:space="preserve"> no</w:t>
      </w:r>
      <w:r w:rsidRPr="00992B0C" w:rsidR="004504EF">
        <w:rPr>
          <w:lang w:eastAsia="x-none"/>
        </w:rPr>
        <w:t>n-infectious</w:t>
      </w:r>
      <w:r w:rsidR="00992B0C">
        <w:rPr>
          <w:lang w:eastAsia="x-none"/>
        </w:rPr>
        <w:t xml:space="preserve"> or</w:t>
      </w:r>
      <w:r>
        <w:rPr>
          <w:lang w:eastAsia="x-none"/>
        </w:rPr>
        <w:t xml:space="preserve"> the products must</w:t>
      </w:r>
      <w:r w:rsidR="00992B0C">
        <w:rPr>
          <w:lang w:eastAsia="x-none"/>
        </w:rPr>
        <w:t xml:space="preserve"> be accompanied by a CDC Import Permit Program permit</w:t>
      </w:r>
      <w:r w:rsidRPr="00992B0C" w:rsidR="008E1BE3">
        <w:rPr>
          <w:lang w:eastAsia="x-none"/>
        </w:rPr>
        <w:t>.</w:t>
      </w:r>
      <w:r w:rsidR="008E1BE3">
        <w:rPr>
          <w:lang w:eastAsia="x-none"/>
        </w:rPr>
        <w:t xml:space="preserve"> </w:t>
      </w:r>
      <w:r w:rsidR="004504EF">
        <w:rPr>
          <w:lang w:eastAsia="x-none"/>
        </w:rPr>
        <w:t xml:space="preserve">Without </w:t>
      </w:r>
      <w:r w:rsidR="00992B0C">
        <w:rPr>
          <w:lang w:eastAsia="x-none"/>
        </w:rPr>
        <w:t xml:space="preserve">either of </w:t>
      </w:r>
      <w:r w:rsidR="004504EF">
        <w:rPr>
          <w:lang w:eastAsia="x-none"/>
        </w:rPr>
        <w:t>th</w:t>
      </w:r>
      <w:r w:rsidR="00992B0C">
        <w:rPr>
          <w:lang w:eastAsia="x-none"/>
        </w:rPr>
        <w:t>ese</w:t>
      </w:r>
      <w:r w:rsidR="004504EF">
        <w:rPr>
          <w:lang w:eastAsia="x-none"/>
        </w:rPr>
        <w:t xml:space="preserve"> </w:t>
      </w:r>
      <w:r w:rsidR="00992B0C">
        <w:rPr>
          <w:lang w:eastAsia="x-none"/>
        </w:rPr>
        <w:t xml:space="preserve">forms of </w:t>
      </w:r>
      <w:r w:rsidR="004504EF">
        <w:rPr>
          <w:lang w:eastAsia="x-none"/>
        </w:rPr>
        <w:t xml:space="preserve">documentation, the </w:t>
      </w:r>
      <w:r>
        <w:rPr>
          <w:lang w:eastAsia="x-none"/>
        </w:rPr>
        <w:t>nonhuman primate</w:t>
      </w:r>
      <w:r w:rsidR="00992B0C">
        <w:rPr>
          <w:lang w:eastAsia="x-none"/>
        </w:rPr>
        <w:t xml:space="preserve"> products </w:t>
      </w:r>
      <w:r w:rsidR="004504EF">
        <w:rPr>
          <w:lang w:eastAsia="x-none"/>
        </w:rPr>
        <w:t>may not enter the United States.</w:t>
      </w:r>
    </w:p>
    <w:p w:rsidR="004504EF" w:rsidP="004504EF" w:rsidRDefault="004504EF" w14:paraId="3B570F37" w14:textId="77777777"/>
    <w:p w:rsidRPr="00CC775D" w:rsidR="004504EF" w:rsidP="006124A3" w:rsidRDefault="004504EF" w14:paraId="5FA89937" w14:textId="77777777">
      <w:pPr>
        <w:pStyle w:val="Heading2"/>
      </w:pPr>
      <w:bookmarkStart w:name="_Toc478466861" w:id="6"/>
      <w:r w:rsidRPr="00CC775D">
        <w:t>4.  Tests of Procedures or Methods to be Undertaken</w:t>
      </w:r>
      <w:bookmarkEnd w:id="6"/>
    </w:p>
    <w:p w:rsidR="004504EF" w:rsidP="004504EF" w:rsidRDefault="004504EF" w14:paraId="620AACAB" w14:textId="77777777"/>
    <w:p w:rsidR="004504EF" w:rsidP="004504EF" w:rsidRDefault="004504EF" w14:paraId="4E8F0638" w14:textId="0E4B132B">
      <w:pPr>
        <w:rPr>
          <w:bCs/>
        </w:rPr>
      </w:pPr>
      <w:r>
        <w:t xml:space="preserve">The information pertaining to nonhuman primate shipments, documentation requirements, notifications to CDC, and tuberculosis and filovirus testing collected from the importers is defined by regulations and requirements set by CDC.  </w:t>
      </w:r>
      <w:r w:rsidRPr="00665665" w:rsidR="00665665">
        <w:t>Information collection forms and procedures have been refined based on this experience</w:t>
      </w:r>
      <w:r w:rsidR="00665665">
        <w:t>.</w:t>
      </w:r>
    </w:p>
    <w:p w:rsidR="004504EF" w:rsidP="004504EF" w:rsidRDefault="004504EF" w14:paraId="5FEE73F9" w14:textId="77777777">
      <w:pPr>
        <w:rPr>
          <w:bCs/>
        </w:rPr>
      </w:pPr>
    </w:p>
    <w:p w:rsidRPr="00CC775D" w:rsidR="004504EF" w:rsidP="006124A3" w:rsidRDefault="004504EF" w14:paraId="1C923568" w14:textId="77777777">
      <w:pPr>
        <w:pStyle w:val="Heading2"/>
      </w:pPr>
      <w:bookmarkStart w:name="_Toc478466862" w:id="7"/>
      <w:r w:rsidRPr="00CC775D">
        <w:t>5.  Individuals Consulted on Statistical Aspects and Individuals Collecting and/or Analyzing Data</w:t>
      </w:r>
      <w:bookmarkEnd w:id="7"/>
    </w:p>
    <w:p w:rsidR="004504EF" w:rsidP="004504EF" w:rsidRDefault="004504EF" w14:paraId="3017A59B" w14:textId="77777777"/>
    <w:p w:rsidR="00DC57CC" w:rsidRDefault="004504EF" w14:paraId="2158D0F6" w14:textId="2DBB015E">
      <w:r>
        <w:t>There are no statistical aspects of the information collected and no statistical consultants were contacted.  Collection and review of the information is the responsibility of CDC’s Division of Global Migration and Quarantine.</w:t>
      </w:r>
    </w:p>
    <w:sectPr w:rsidR="00DC57CC" w:rsidSect="006C65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176BF" w14:textId="77777777" w:rsidR="008E1BE3" w:rsidRDefault="008E1BE3" w:rsidP="008B5D54">
      <w:r>
        <w:separator/>
      </w:r>
    </w:p>
  </w:endnote>
  <w:endnote w:type="continuationSeparator" w:id="0">
    <w:p w14:paraId="04220F56" w14:textId="77777777" w:rsidR="008E1BE3" w:rsidRDefault="008E1BE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560699"/>
      <w:docPartObj>
        <w:docPartGallery w:val="Page Numbers (Bottom of Page)"/>
        <w:docPartUnique/>
      </w:docPartObj>
    </w:sdtPr>
    <w:sdtEndPr>
      <w:rPr>
        <w:noProof/>
      </w:rPr>
    </w:sdtEndPr>
    <w:sdtContent>
      <w:p w14:paraId="0A49C3D2" w14:textId="440BBB1F" w:rsidR="008E1BE3" w:rsidRDefault="008E1BE3">
        <w:pPr>
          <w:pStyle w:val="Footer"/>
          <w:jc w:val="center"/>
        </w:pPr>
        <w:r>
          <w:fldChar w:fldCharType="begin"/>
        </w:r>
        <w:r>
          <w:instrText xml:space="preserve"> PAGE   \* MERGEFORMAT </w:instrText>
        </w:r>
        <w:r>
          <w:fldChar w:fldCharType="separate"/>
        </w:r>
        <w:r w:rsidR="00992B0C">
          <w:rPr>
            <w:noProof/>
          </w:rPr>
          <w:t>4</w:t>
        </w:r>
        <w:r>
          <w:rPr>
            <w:noProof/>
          </w:rPr>
          <w:fldChar w:fldCharType="end"/>
        </w:r>
      </w:p>
    </w:sdtContent>
  </w:sdt>
  <w:p w14:paraId="760863F6" w14:textId="77777777" w:rsidR="008E1BE3" w:rsidRDefault="008E1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E2E5" w14:textId="77777777" w:rsidR="008E1BE3" w:rsidRDefault="008E1BE3" w:rsidP="008B5D54">
      <w:r>
        <w:separator/>
      </w:r>
    </w:p>
  </w:footnote>
  <w:footnote w:type="continuationSeparator" w:id="0">
    <w:p w14:paraId="1ACEA8B9" w14:textId="77777777" w:rsidR="008E1BE3" w:rsidRDefault="008E1BE3"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EF"/>
    <w:rsid w:val="00046442"/>
    <w:rsid w:val="00182AF0"/>
    <w:rsid w:val="001B59E2"/>
    <w:rsid w:val="00253E38"/>
    <w:rsid w:val="002837A4"/>
    <w:rsid w:val="003F5FA3"/>
    <w:rsid w:val="00411A60"/>
    <w:rsid w:val="004504EF"/>
    <w:rsid w:val="0056749E"/>
    <w:rsid w:val="005D7480"/>
    <w:rsid w:val="006124A3"/>
    <w:rsid w:val="00665665"/>
    <w:rsid w:val="006B7281"/>
    <w:rsid w:val="006C6578"/>
    <w:rsid w:val="00730112"/>
    <w:rsid w:val="00733154"/>
    <w:rsid w:val="00787210"/>
    <w:rsid w:val="007B5BB2"/>
    <w:rsid w:val="007D0D88"/>
    <w:rsid w:val="007E5DEC"/>
    <w:rsid w:val="00867AB5"/>
    <w:rsid w:val="008B5D54"/>
    <w:rsid w:val="008E1BE3"/>
    <w:rsid w:val="009457E6"/>
    <w:rsid w:val="00992B0C"/>
    <w:rsid w:val="00A96EBC"/>
    <w:rsid w:val="00B229FA"/>
    <w:rsid w:val="00B52E38"/>
    <w:rsid w:val="00B55735"/>
    <w:rsid w:val="00B608AC"/>
    <w:rsid w:val="00BD0CB3"/>
    <w:rsid w:val="00C503F7"/>
    <w:rsid w:val="00C6064F"/>
    <w:rsid w:val="00C777A6"/>
    <w:rsid w:val="00CC7D73"/>
    <w:rsid w:val="00D6490A"/>
    <w:rsid w:val="00DC57CC"/>
    <w:rsid w:val="00DC7092"/>
    <w:rsid w:val="00E0385E"/>
    <w:rsid w:val="00E17A04"/>
    <w:rsid w:val="00F71928"/>
    <w:rsid w:val="00FB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62E7DA"/>
  <w15:chartTrackingRefBased/>
  <w15:docId w15:val="{DFDDBA32-4A63-4FFD-A300-F0CD014A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4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24A3"/>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6B7281"/>
    <w:rPr>
      <w:sz w:val="16"/>
      <w:szCs w:val="16"/>
    </w:rPr>
  </w:style>
  <w:style w:type="paragraph" w:styleId="CommentText">
    <w:name w:val="annotation text"/>
    <w:basedOn w:val="Normal"/>
    <w:link w:val="CommentTextChar"/>
    <w:uiPriority w:val="99"/>
    <w:semiHidden/>
    <w:unhideWhenUsed/>
    <w:rsid w:val="006B7281"/>
    <w:rPr>
      <w:sz w:val="20"/>
      <w:szCs w:val="20"/>
    </w:rPr>
  </w:style>
  <w:style w:type="character" w:customStyle="1" w:styleId="CommentTextChar">
    <w:name w:val="Comment Text Char"/>
    <w:basedOn w:val="DefaultParagraphFont"/>
    <w:link w:val="CommentText"/>
    <w:uiPriority w:val="99"/>
    <w:semiHidden/>
    <w:rsid w:val="006B7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281"/>
    <w:rPr>
      <w:b/>
      <w:bCs/>
    </w:rPr>
  </w:style>
  <w:style w:type="character" w:customStyle="1" w:styleId="CommentSubjectChar">
    <w:name w:val="Comment Subject Char"/>
    <w:basedOn w:val="CommentTextChar"/>
    <w:link w:val="CommentSubject"/>
    <w:uiPriority w:val="99"/>
    <w:semiHidden/>
    <w:rsid w:val="006B72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7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8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124A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124A3"/>
    <w:pPr>
      <w:spacing w:line="259" w:lineRule="auto"/>
      <w:outlineLvl w:val="9"/>
    </w:pPr>
  </w:style>
  <w:style w:type="character" w:customStyle="1" w:styleId="Heading2Char">
    <w:name w:val="Heading 2 Char"/>
    <w:basedOn w:val="DefaultParagraphFont"/>
    <w:link w:val="Heading2"/>
    <w:uiPriority w:val="9"/>
    <w:rsid w:val="006124A3"/>
    <w:rPr>
      <w:rFonts w:ascii="Times New Roman" w:eastAsia="Times New Roman" w:hAnsi="Times New Roman" w:cs="Times New Roman"/>
      <w:b/>
      <w:sz w:val="24"/>
      <w:szCs w:val="24"/>
    </w:rPr>
  </w:style>
  <w:style w:type="paragraph" w:styleId="TOC2">
    <w:name w:val="toc 2"/>
    <w:basedOn w:val="Normal"/>
    <w:next w:val="Normal"/>
    <w:autoRedefine/>
    <w:uiPriority w:val="39"/>
    <w:unhideWhenUsed/>
    <w:rsid w:val="00E0385E"/>
    <w:pPr>
      <w:spacing w:after="100"/>
      <w:ind w:left="240"/>
    </w:pPr>
  </w:style>
  <w:style w:type="character" w:styleId="Hyperlink">
    <w:name w:val="Hyperlink"/>
    <w:basedOn w:val="DefaultParagraphFont"/>
    <w:uiPriority w:val="99"/>
    <w:unhideWhenUsed/>
    <w:rsid w:val="00E03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PFY6PPX2AYTS-2589-1832</_dlc_DocId>
    <_dlc_DocIdUrl xmlns="81daf041-c113-401c-bf82-107f5d396711">
      <Url>https://esp.cdc.gov/sites/ncezid/OD/policy/PRA/_layouts/15/DocIdRedir.aspx?ID=PFY6PPX2AYTS-2589-1832</Url>
      <Description>PFY6PPX2AYTS-2589-1832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E486-195F-4BB0-84EB-ACDAA765E070}">
  <ds:schemaRefs>
    <ds:schemaRef ds:uri="http://schemas.microsoft.com/sharepoint/events"/>
  </ds:schemaRefs>
</ds:datastoreItem>
</file>

<file path=customXml/itemProps2.xml><?xml version="1.0" encoding="utf-8"?>
<ds:datastoreItem xmlns:ds="http://schemas.openxmlformats.org/officeDocument/2006/customXml" ds:itemID="{2A2F6269-4DAB-4941-AD0F-712B95910B83}">
  <ds:schemaRefs>
    <ds:schemaRef ds:uri="http://schemas.microsoft.com/sharepoint/v3/contenttype/forms"/>
  </ds:schemaRefs>
</ds:datastoreItem>
</file>

<file path=customXml/itemProps3.xml><?xml version="1.0" encoding="utf-8"?>
<ds:datastoreItem xmlns:ds="http://schemas.openxmlformats.org/officeDocument/2006/customXml" ds:itemID="{D80740C8-7CFF-4CED-8632-3F3041B80100}">
  <ds:schemaRefs>
    <ds:schemaRef ds:uri="d335559b-c20a-4874-978e-77d2be77e01f"/>
    <ds:schemaRef ds:uri="81daf041-c113-401c-bf82-107f5d396711"/>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E6ABC9B-0A21-41D6-9417-09394490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DE8991-8E65-4990-B801-1DCDAACD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Reichard, Jessica (CDC/OID/NCEZID) (CTR)</dc:creator>
  <cp:keywords/>
  <dc:description/>
  <cp:lastModifiedBy>Macaluso, Renita (CDC/DDPHSS/OS/OSI)</cp:lastModifiedBy>
  <cp:revision>18</cp:revision>
  <dcterms:created xsi:type="dcterms:W3CDTF">2019-09-11T18:58:00Z</dcterms:created>
  <dcterms:modified xsi:type="dcterms:W3CDTF">2020-07-27T15:57:00Z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02303704-9bf8-45f7-8af4-af5755370438</vt:lpwstr>
  </property>
</Properties>
</file>