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70D18" w:rsidR="000A6FCC" w:rsidP="000A6FCC" w:rsidRDefault="000A6FC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bookmarkStart w:name="_GoBack" w:id="0"/>
      <w:bookmarkEnd w:id="0"/>
      <w:r w:rsidRPr="00470D18">
        <w:rPr>
          <w:rFonts w:ascii="Times New Roman" w:hAnsi="Times New Roman"/>
          <w:color w:val="000000"/>
          <w:sz w:val="28"/>
          <w:szCs w:val="28"/>
        </w:rPr>
        <w:t xml:space="preserve">Request for Approval of </w:t>
      </w:r>
      <w:r w:rsidR="008569A4">
        <w:rPr>
          <w:rFonts w:ascii="Times New Roman" w:hAnsi="Times New Roman"/>
          <w:color w:val="000000"/>
          <w:sz w:val="28"/>
          <w:szCs w:val="28"/>
        </w:rPr>
        <w:t>a</w:t>
      </w:r>
      <w:r w:rsidRPr="00470D18">
        <w:rPr>
          <w:rFonts w:ascii="Times New Roman" w:hAnsi="Times New Roman"/>
          <w:color w:val="000000"/>
          <w:sz w:val="28"/>
          <w:szCs w:val="28"/>
        </w:rPr>
        <w:t xml:space="preserve"> Non-Substantive Change to the</w:t>
      </w:r>
    </w:p>
    <w:p w:rsidRPr="00470D18" w:rsidR="006C1EC5" w:rsidP="00FC5D67" w:rsidRDefault="004A64A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470D18">
        <w:rPr>
          <w:rFonts w:ascii="Times New Roman" w:hAnsi="Times New Roman"/>
          <w:color w:val="000000"/>
          <w:sz w:val="28"/>
          <w:szCs w:val="28"/>
        </w:rPr>
        <w:t>N</w:t>
      </w:r>
      <w:r w:rsidRPr="00470D18" w:rsidR="000A6FCC">
        <w:rPr>
          <w:rFonts w:ascii="Times New Roman" w:hAnsi="Times New Roman"/>
          <w:color w:val="000000"/>
          <w:sz w:val="28"/>
          <w:szCs w:val="28"/>
        </w:rPr>
        <w:t>ational</w:t>
      </w:r>
      <w:r w:rsidRPr="00470D18">
        <w:rPr>
          <w:rFonts w:ascii="Times New Roman" w:hAnsi="Times New Roman"/>
          <w:color w:val="000000"/>
          <w:sz w:val="28"/>
          <w:szCs w:val="28"/>
        </w:rPr>
        <w:t xml:space="preserve"> </w:t>
      </w:r>
      <w:r w:rsidRPr="00470D18" w:rsidR="000A6FCC">
        <w:rPr>
          <w:rFonts w:ascii="Times New Roman" w:hAnsi="Times New Roman"/>
          <w:color w:val="000000"/>
          <w:sz w:val="28"/>
          <w:szCs w:val="28"/>
        </w:rPr>
        <w:t>Electronic</w:t>
      </w:r>
      <w:r w:rsidRPr="00470D18" w:rsidR="004D7D31">
        <w:rPr>
          <w:rFonts w:ascii="Times New Roman" w:hAnsi="Times New Roman"/>
          <w:color w:val="000000"/>
          <w:sz w:val="28"/>
          <w:szCs w:val="28"/>
        </w:rPr>
        <w:t xml:space="preserve"> H</w:t>
      </w:r>
      <w:r w:rsidRPr="00470D18" w:rsidR="000A6FCC">
        <w:rPr>
          <w:rFonts w:ascii="Times New Roman" w:hAnsi="Times New Roman"/>
          <w:color w:val="000000"/>
          <w:sz w:val="28"/>
          <w:szCs w:val="28"/>
        </w:rPr>
        <w:t>ealth</w:t>
      </w:r>
      <w:r w:rsidRPr="00470D18" w:rsidR="004D7D31">
        <w:rPr>
          <w:rFonts w:ascii="Times New Roman" w:hAnsi="Times New Roman"/>
          <w:color w:val="000000"/>
          <w:sz w:val="28"/>
          <w:szCs w:val="28"/>
        </w:rPr>
        <w:t xml:space="preserve"> R</w:t>
      </w:r>
      <w:r w:rsidRPr="00470D18" w:rsidR="000A6FCC">
        <w:rPr>
          <w:rFonts w:ascii="Times New Roman" w:hAnsi="Times New Roman"/>
          <w:color w:val="000000"/>
          <w:sz w:val="28"/>
          <w:szCs w:val="28"/>
        </w:rPr>
        <w:t>ecords</w:t>
      </w:r>
      <w:r w:rsidRPr="00470D18" w:rsidR="004D7D31">
        <w:rPr>
          <w:rFonts w:ascii="Times New Roman" w:hAnsi="Times New Roman"/>
          <w:color w:val="000000"/>
          <w:sz w:val="28"/>
          <w:szCs w:val="28"/>
        </w:rPr>
        <w:t xml:space="preserve"> </w:t>
      </w:r>
      <w:r w:rsidRPr="00470D18" w:rsidR="006C1EC5">
        <w:rPr>
          <w:rFonts w:ascii="Times New Roman" w:hAnsi="Times New Roman"/>
          <w:color w:val="000000"/>
          <w:sz w:val="28"/>
          <w:szCs w:val="28"/>
        </w:rPr>
        <w:t>S</w:t>
      </w:r>
      <w:r w:rsidRPr="00470D18" w:rsidR="000A6FCC">
        <w:rPr>
          <w:rFonts w:ascii="Times New Roman" w:hAnsi="Times New Roman"/>
          <w:color w:val="000000"/>
          <w:sz w:val="28"/>
          <w:szCs w:val="28"/>
        </w:rPr>
        <w:t>urvey</w:t>
      </w:r>
    </w:p>
    <w:p w:rsidRPr="006B70DC" w:rsidR="00FC5D67" w:rsidP="00FC5D67" w:rsidRDefault="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p>
    <w:p w:rsidRPr="008552B8" w:rsidR="006C1EC5" w:rsidP="00FC5D67"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8552B8">
        <w:rPr>
          <w:rFonts w:ascii="Times New Roman" w:hAnsi="Times New Roman"/>
          <w:color w:val="000000"/>
          <w:sz w:val="28"/>
          <w:szCs w:val="28"/>
        </w:rPr>
        <w:t xml:space="preserve">OMB No. </w:t>
      </w:r>
      <w:r w:rsidRPr="008552B8" w:rsidR="00A11DC0">
        <w:rPr>
          <w:rFonts w:ascii="Times New Roman" w:hAnsi="Times New Roman"/>
          <w:color w:val="000000"/>
          <w:sz w:val="28"/>
          <w:szCs w:val="28"/>
        </w:rPr>
        <w:t>0920</w:t>
      </w:r>
      <w:r w:rsidRPr="008552B8">
        <w:rPr>
          <w:rFonts w:ascii="Times New Roman" w:hAnsi="Times New Roman"/>
          <w:color w:val="000000"/>
          <w:sz w:val="28"/>
          <w:szCs w:val="28"/>
        </w:rPr>
        <w:t>-</w:t>
      </w:r>
      <w:r w:rsidRPr="008552B8" w:rsidR="000A6FCC">
        <w:rPr>
          <w:rFonts w:ascii="Times New Roman" w:hAnsi="Times New Roman"/>
          <w:color w:val="000000"/>
          <w:sz w:val="28"/>
          <w:szCs w:val="28"/>
        </w:rPr>
        <w:t xml:space="preserve">1015 </w:t>
      </w:r>
    </w:p>
    <w:p w:rsidRPr="000E6561" w:rsidR="00000087" w:rsidP="00FC5D67" w:rsidRDefault="00F640E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8552B8">
        <w:rPr>
          <w:rFonts w:ascii="Times New Roman" w:hAnsi="Times New Roman"/>
          <w:color w:val="000000"/>
          <w:sz w:val="28"/>
          <w:szCs w:val="28"/>
        </w:rPr>
        <w:t>(E</w:t>
      </w:r>
      <w:r w:rsidRPr="008552B8" w:rsidR="00000087">
        <w:rPr>
          <w:rFonts w:ascii="Times New Roman" w:hAnsi="Times New Roman"/>
          <w:color w:val="000000"/>
          <w:sz w:val="28"/>
          <w:szCs w:val="28"/>
        </w:rPr>
        <w:t>xpir</w:t>
      </w:r>
      <w:r w:rsidRPr="008552B8">
        <w:rPr>
          <w:rFonts w:ascii="Times New Roman" w:hAnsi="Times New Roman"/>
          <w:color w:val="000000"/>
          <w:sz w:val="28"/>
          <w:szCs w:val="28"/>
        </w:rPr>
        <w:t>ation:</w:t>
      </w:r>
      <w:r w:rsidRPr="008552B8" w:rsidR="004434B9">
        <w:rPr>
          <w:rFonts w:ascii="Times New Roman" w:hAnsi="Times New Roman"/>
          <w:color w:val="000000"/>
          <w:sz w:val="28"/>
          <w:szCs w:val="28"/>
        </w:rPr>
        <w:t xml:space="preserve"> </w:t>
      </w:r>
      <w:r w:rsidR="006C6244">
        <w:rPr>
          <w:rFonts w:ascii="Times New Roman" w:hAnsi="Times New Roman"/>
          <w:color w:val="000000"/>
          <w:sz w:val="28"/>
          <w:szCs w:val="28"/>
        </w:rPr>
        <w:t>12/31/2022</w:t>
      </w:r>
      <w:r w:rsidRPr="008552B8">
        <w:rPr>
          <w:rFonts w:ascii="Times New Roman" w:hAnsi="Times New Roman"/>
          <w:color w:val="000000"/>
          <w:sz w:val="28"/>
          <w:szCs w:val="28"/>
        </w:rPr>
        <w:t>)</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177D2A" w:rsidRDefault="00177D2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177D2A" w:rsidRDefault="00177D2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177D2A" w:rsidRDefault="00177D2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177D2A" w:rsidRDefault="00177D2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6B70DC" w:rsidR="00177D2A" w:rsidRDefault="00177D2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E3472B" w:rsidR="006C1EC5" w:rsidP="00FC5D67"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E3472B">
        <w:rPr>
          <w:rFonts w:ascii="Times New Roman" w:hAnsi="Times New Roman"/>
          <w:color w:val="000000"/>
          <w:sz w:val="28"/>
          <w:szCs w:val="28"/>
        </w:rPr>
        <w:t>Contact Information:</w:t>
      </w:r>
    </w:p>
    <w:p w:rsidRPr="000E6561"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8552B8" w:rsidR="006C1EC5" w:rsidRDefault="008552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Brian </w:t>
      </w:r>
      <w:r w:rsidR="008569A4">
        <w:rPr>
          <w:rFonts w:ascii="Times New Roman" w:hAnsi="Times New Roman"/>
          <w:color w:val="000000"/>
          <w:sz w:val="28"/>
          <w:szCs w:val="28"/>
        </w:rPr>
        <w:t xml:space="preserve">W. </w:t>
      </w:r>
      <w:r>
        <w:rPr>
          <w:rFonts w:ascii="Times New Roman" w:hAnsi="Times New Roman"/>
          <w:color w:val="000000"/>
          <w:sz w:val="28"/>
          <w:szCs w:val="28"/>
        </w:rPr>
        <w:t>Ward</w:t>
      </w:r>
      <w:r w:rsidRPr="008552B8" w:rsidR="00FA0390">
        <w:rPr>
          <w:rFonts w:ascii="Times New Roman" w:hAnsi="Times New Roman"/>
          <w:color w:val="000000"/>
          <w:sz w:val="28"/>
          <w:szCs w:val="28"/>
        </w:rPr>
        <w:t>, Ph.D.</w:t>
      </w:r>
    </w:p>
    <w:p w:rsidRPr="00D34432" w:rsidR="00D34432" w:rsidP="00D34432" w:rsidRDefault="005E554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Branch </w:t>
      </w:r>
      <w:r w:rsidR="006C6244">
        <w:rPr>
          <w:rFonts w:ascii="Times New Roman" w:hAnsi="Times New Roman"/>
          <w:color w:val="000000"/>
          <w:sz w:val="28"/>
          <w:szCs w:val="28"/>
        </w:rPr>
        <w:t>Chief</w:t>
      </w:r>
      <w:r w:rsidRPr="00D34432" w:rsidR="00D34432">
        <w:rPr>
          <w:rFonts w:ascii="Times New Roman" w:hAnsi="Times New Roman"/>
          <w:color w:val="000000"/>
          <w:sz w:val="28"/>
          <w:szCs w:val="28"/>
        </w:rPr>
        <w:t xml:space="preserve">, </w:t>
      </w:r>
      <w:r w:rsidR="006C6244">
        <w:rPr>
          <w:rFonts w:ascii="Times New Roman" w:hAnsi="Times New Roman"/>
          <w:color w:val="000000"/>
          <w:sz w:val="28"/>
          <w:szCs w:val="28"/>
        </w:rPr>
        <w:t>Ambulatory and Hospital Care Statistics Branch</w:t>
      </w:r>
    </w:p>
    <w:p w:rsidRPr="00D34432" w:rsidR="00D34432" w:rsidP="00D34432" w:rsidRDefault="00D3443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D34432">
        <w:rPr>
          <w:rFonts w:ascii="Times New Roman" w:hAnsi="Times New Roman"/>
          <w:color w:val="000000"/>
          <w:sz w:val="28"/>
          <w:szCs w:val="28"/>
        </w:rPr>
        <w:t>Division of Health Care Statistics</w:t>
      </w:r>
    </w:p>
    <w:p w:rsidRPr="00D34432" w:rsidR="00D34432" w:rsidP="00D34432" w:rsidRDefault="00D3443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D34432">
        <w:rPr>
          <w:rFonts w:ascii="Times New Roman" w:hAnsi="Times New Roman"/>
          <w:color w:val="000000"/>
          <w:sz w:val="28"/>
          <w:szCs w:val="28"/>
        </w:rPr>
        <w:t>National Center for Health Statistics</w:t>
      </w:r>
    </w:p>
    <w:p w:rsidRPr="00D34432" w:rsidR="00D34432" w:rsidP="00D34432" w:rsidRDefault="00D3443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D34432">
        <w:rPr>
          <w:rFonts w:ascii="Times New Roman" w:hAnsi="Times New Roman"/>
          <w:color w:val="000000"/>
          <w:sz w:val="28"/>
          <w:szCs w:val="28"/>
        </w:rPr>
        <w:t>Centers for Disease Control and Prevention</w:t>
      </w:r>
    </w:p>
    <w:p w:rsidRPr="00D34432" w:rsidR="00D34432" w:rsidP="00D34432" w:rsidRDefault="00D3443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D34432">
        <w:rPr>
          <w:rFonts w:ascii="Times New Roman" w:hAnsi="Times New Roman"/>
          <w:color w:val="000000"/>
          <w:sz w:val="28"/>
          <w:szCs w:val="28"/>
        </w:rPr>
        <w:t>3311 Toledo Road</w:t>
      </w:r>
    </w:p>
    <w:p w:rsidRPr="008552B8" w:rsidR="006C1EC5" w:rsidP="00D34432" w:rsidRDefault="00D3443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D34432">
        <w:rPr>
          <w:rFonts w:ascii="Times New Roman" w:hAnsi="Times New Roman"/>
          <w:color w:val="000000"/>
          <w:sz w:val="28"/>
          <w:szCs w:val="28"/>
        </w:rPr>
        <w:t>Hyattsville, MD  20782</w:t>
      </w:r>
    </w:p>
    <w:p w:rsidRPr="008552B8" w:rsidR="006C1EC5" w:rsidRDefault="00D3443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301-458-</w:t>
      </w:r>
      <w:r w:rsidRPr="00D34432">
        <w:rPr>
          <w:rFonts w:ascii="Times New Roman" w:hAnsi="Times New Roman"/>
          <w:color w:val="000000"/>
          <w:sz w:val="28"/>
          <w:szCs w:val="28"/>
        </w:rPr>
        <w:t>4568</w:t>
      </w:r>
    </w:p>
    <w:p w:rsidRPr="008552B8"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8552B8">
        <w:rPr>
          <w:rFonts w:ascii="Times New Roman" w:hAnsi="Times New Roman"/>
          <w:color w:val="000000"/>
          <w:sz w:val="28"/>
          <w:szCs w:val="28"/>
        </w:rPr>
        <w:t>301-458-4032 (fax)</w:t>
      </w:r>
    </w:p>
    <w:p w:rsidRPr="00701820" w:rsidR="006C1EC5" w:rsidRDefault="00D3443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D34432">
        <w:rPr>
          <w:rFonts w:ascii="Times New Roman" w:hAnsi="Times New Roman"/>
          <w:color w:val="000000"/>
          <w:sz w:val="28"/>
          <w:szCs w:val="28"/>
          <w:u w:val="single"/>
        </w:rPr>
        <w:t>ijz8@cdc.gov</w:t>
      </w:r>
    </w:p>
    <w:p w:rsidRPr="00701820"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p>
    <w:p w:rsidR="004F7282" w:rsidP="00FC5D67" w:rsidRDefault="00505B0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Pr>
          <w:rFonts w:ascii="Times New Roman" w:hAnsi="Times New Roman"/>
          <w:color w:val="000000"/>
          <w:sz w:val="28"/>
          <w:szCs w:val="28"/>
        </w:rPr>
        <w:t xml:space="preserve">June </w:t>
      </w:r>
      <w:r w:rsidR="002D774E">
        <w:rPr>
          <w:rFonts w:ascii="Times New Roman" w:hAnsi="Times New Roman"/>
          <w:color w:val="000000"/>
          <w:sz w:val="28"/>
          <w:szCs w:val="28"/>
        </w:rPr>
        <w:t>30</w:t>
      </w:r>
      <w:r w:rsidR="00EA486A">
        <w:rPr>
          <w:rFonts w:ascii="Times New Roman" w:hAnsi="Times New Roman"/>
          <w:color w:val="000000"/>
          <w:sz w:val="28"/>
          <w:szCs w:val="28"/>
        </w:rPr>
        <w:t>,</w:t>
      </w:r>
      <w:r w:rsidR="006C6244">
        <w:rPr>
          <w:rFonts w:ascii="Times New Roman" w:hAnsi="Times New Roman"/>
          <w:color w:val="000000"/>
          <w:sz w:val="28"/>
          <w:szCs w:val="28"/>
        </w:rPr>
        <w:t xml:space="preserve"> 2020</w:t>
      </w:r>
      <w:r w:rsidR="004F7282">
        <w:rPr>
          <w:rFonts w:ascii="Times New Roman" w:hAnsi="Times New Roman"/>
          <w:color w:val="000000"/>
          <w:sz w:val="28"/>
          <w:szCs w:val="28"/>
        </w:rPr>
        <w:br/>
      </w:r>
    </w:p>
    <w:p w:rsidRPr="00803D4E" w:rsidR="006C1EC5" w:rsidP="00FC5D67" w:rsidRDefault="004F72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Pr>
          <w:rFonts w:ascii="Times New Roman" w:hAnsi="Times New Roman"/>
          <w:color w:val="000000"/>
          <w:sz w:val="28"/>
          <w:szCs w:val="28"/>
        </w:rPr>
        <w:br w:type="page"/>
      </w:r>
    </w:p>
    <w:p w:rsidR="004F7282" w:rsidP="007D1CDA" w:rsidRDefault="004F7282">
      <w:pPr>
        <w:pStyle w:val="Heading4"/>
        <w:numPr>
          <w:ilvl w:val="0"/>
          <w:numId w:val="0"/>
        </w:numPr>
        <w:spacing w:line="276" w:lineRule="auto"/>
        <w:rPr>
          <w:rFonts w:ascii="Times New Roman" w:hAnsi="Times New Roman" w:eastAsia="Calibri"/>
          <w:sz w:val="24"/>
          <w:szCs w:val="24"/>
        </w:rPr>
      </w:pPr>
      <w:r w:rsidRPr="004B077A">
        <w:rPr>
          <w:rFonts w:ascii="Times New Roman" w:hAnsi="Times New Roman" w:eastAsia="Calibri"/>
          <w:sz w:val="24"/>
          <w:szCs w:val="24"/>
        </w:rPr>
        <w:t>Table of Contents</w:t>
      </w:r>
    </w:p>
    <w:p w:rsidR="00227AEF" w:rsidP="00227AEF" w:rsidRDefault="00227AEF">
      <w:pPr>
        <w:rPr>
          <w:rFonts w:eastAsia="Calibri"/>
        </w:rPr>
      </w:pPr>
    </w:p>
    <w:p w:rsidR="00227AEF" w:rsidP="00E42681" w:rsidRDefault="00227AEF">
      <w:pPr>
        <w:spacing w:line="360" w:lineRule="auto"/>
        <w:rPr>
          <w:rFonts w:eastAsia="Calibri"/>
        </w:rPr>
      </w:pPr>
      <w:r>
        <w:rPr>
          <w:rFonts w:eastAsia="Calibri"/>
        </w:rPr>
        <w:t>1.</w:t>
      </w:r>
      <w:r w:rsidR="00E42681">
        <w:rPr>
          <w:rFonts w:eastAsia="Calibri"/>
        </w:rPr>
        <w:t xml:space="preserve"> </w:t>
      </w:r>
      <w:r>
        <w:rPr>
          <w:rFonts w:eastAsia="Calibri"/>
        </w:rPr>
        <w:t xml:space="preserve">Circumstance </w:t>
      </w:r>
      <w:r w:rsidR="00E42681">
        <w:rPr>
          <w:rFonts w:eastAsia="Calibri"/>
        </w:rPr>
        <w:t>M</w:t>
      </w:r>
      <w:r>
        <w:rPr>
          <w:rFonts w:eastAsia="Calibri"/>
        </w:rPr>
        <w:t xml:space="preserve">aking the </w:t>
      </w:r>
      <w:r w:rsidR="00E42681">
        <w:rPr>
          <w:rFonts w:eastAsia="Calibri"/>
        </w:rPr>
        <w:t>C</w:t>
      </w:r>
      <w:r>
        <w:rPr>
          <w:rFonts w:eastAsia="Calibri"/>
        </w:rPr>
        <w:t xml:space="preserve">ollection of </w:t>
      </w:r>
      <w:r w:rsidR="00E42681">
        <w:rPr>
          <w:rFonts w:eastAsia="Calibri"/>
        </w:rPr>
        <w:t>I</w:t>
      </w:r>
      <w:r>
        <w:rPr>
          <w:rFonts w:eastAsia="Calibri"/>
        </w:rPr>
        <w:t xml:space="preserve">nformation </w:t>
      </w:r>
      <w:r w:rsidR="00E42681">
        <w:rPr>
          <w:rFonts w:eastAsia="Calibri"/>
        </w:rPr>
        <w:t>N</w:t>
      </w:r>
      <w:r>
        <w:rPr>
          <w:rFonts w:eastAsia="Calibri"/>
        </w:rPr>
        <w:t>ecessary</w:t>
      </w:r>
      <w:r w:rsidR="00E42681">
        <w:rPr>
          <w:rFonts w:eastAsia="Calibri"/>
        </w:rPr>
        <w:t>…………………………2</w:t>
      </w:r>
    </w:p>
    <w:p w:rsidR="00227AEF" w:rsidP="00E42681" w:rsidRDefault="00227AEF">
      <w:pPr>
        <w:spacing w:line="360" w:lineRule="auto"/>
        <w:rPr>
          <w:rFonts w:eastAsia="Calibri"/>
        </w:rPr>
      </w:pPr>
      <w:r>
        <w:rPr>
          <w:rFonts w:eastAsia="Calibri"/>
        </w:rPr>
        <w:t>2.</w:t>
      </w:r>
      <w:r w:rsidR="00E42681">
        <w:rPr>
          <w:rFonts w:eastAsia="Calibri"/>
        </w:rPr>
        <w:t xml:space="preserve"> </w:t>
      </w:r>
      <w:r>
        <w:rPr>
          <w:rFonts w:eastAsia="Calibri"/>
        </w:rPr>
        <w:t xml:space="preserve">Purpose and </w:t>
      </w:r>
      <w:r w:rsidR="00E42681">
        <w:rPr>
          <w:rFonts w:eastAsia="Calibri"/>
        </w:rPr>
        <w:t>U</w:t>
      </w:r>
      <w:r>
        <w:rPr>
          <w:rFonts w:eastAsia="Calibri"/>
        </w:rPr>
        <w:t xml:space="preserve">se of </w:t>
      </w:r>
      <w:r w:rsidR="00E42681">
        <w:rPr>
          <w:rFonts w:eastAsia="Calibri"/>
        </w:rPr>
        <w:t>I</w:t>
      </w:r>
      <w:r>
        <w:rPr>
          <w:rFonts w:eastAsia="Calibri"/>
        </w:rPr>
        <w:t xml:space="preserve">nformation </w:t>
      </w:r>
      <w:r w:rsidR="00E42681">
        <w:rPr>
          <w:rFonts w:eastAsia="Calibri"/>
        </w:rPr>
        <w:t>C</w:t>
      </w:r>
      <w:r>
        <w:rPr>
          <w:rFonts w:eastAsia="Calibri"/>
        </w:rPr>
        <w:t>ollected</w:t>
      </w:r>
      <w:r w:rsidR="00E42681">
        <w:rPr>
          <w:rFonts w:eastAsia="Calibri"/>
        </w:rPr>
        <w:t>……………………………………………….3</w:t>
      </w:r>
    </w:p>
    <w:p w:rsidR="00227AEF" w:rsidP="00E42681" w:rsidRDefault="00227AEF">
      <w:pPr>
        <w:spacing w:line="360" w:lineRule="auto"/>
        <w:rPr>
          <w:rFonts w:eastAsia="Calibri"/>
        </w:rPr>
      </w:pPr>
      <w:r>
        <w:rPr>
          <w:rFonts w:eastAsia="Calibri"/>
        </w:rPr>
        <w:t>3.</w:t>
      </w:r>
      <w:r w:rsidR="00E42681">
        <w:rPr>
          <w:rFonts w:eastAsia="Calibri"/>
        </w:rPr>
        <w:t xml:space="preserve"> </w:t>
      </w:r>
      <w:r>
        <w:rPr>
          <w:rFonts w:eastAsia="Calibri"/>
        </w:rPr>
        <w:t xml:space="preserve">Use of </w:t>
      </w:r>
      <w:r w:rsidR="00E42681">
        <w:rPr>
          <w:rFonts w:eastAsia="Calibri"/>
        </w:rPr>
        <w:t>I</w:t>
      </w:r>
      <w:r>
        <w:rPr>
          <w:rFonts w:eastAsia="Calibri"/>
        </w:rPr>
        <w:t xml:space="preserve">mproved </w:t>
      </w:r>
      <w:r w:rsidR="00E42681">
        <w:rPr>
          <w:rFonts w:eastAsia="Calibri"/>
        </w:rPr>
        <w:t>I</w:t>
      </w:r>
      <w:r>
        <w:rPr>
          <w:rFonts w:eastAsia="Calibri"/>
        </w:rPr>
        <w:t xml:space="preserve">nformation </w:t>
      </w:r>
      <w:r w:rsidR="00E42681">
        <w:rPr>
          <w:rFonts w:eastAsia="Calibri"/>
        </w:rPr>
        <w:t>T</w:t>
      </w:r>
      <w:r>
        <w:rPr>
          <w:rFonts w:eastAsia="Calibri"/>
        </w:rPr>
        <w:t>echnology</w:t>
      </w:r>
      <w:r w:rsidR="00E42681">
        <w:rPr>
          <w:rFonts w:eastAsia="Calibri"/>
        </w:rPr>
        <w:t xml:space="preserve"> and Burden Reduction………………………4</w:t>
      </w:r>
    </w:p>
    <w:p w:rsidR="00E42681" w:rsidP="00E42681" w:rsidRDefault="00E42681">
      <w:pPr>
        <w:spacing w:line="360" w:lineRule="auto"/>
        <w:rPr>
          <w:rFonts w:eastAsia="Calibri"/>
        </w:rPr>
      </w:pPr>
      <w:r>
        <w:rPr>
          <w:rFonts w:eastAsia="Calibri"/>
        </w:rPr>
        <w:t>12. Estimate of Annualized Burden Hours and Costs………………………………………4</w:t>
      </w:r>
    </w:p>
    <w:p w:rsidR="00E42681" w:rsidP="00E42681" w:rsidRDefault="00E42681">
      <w:pPr>
        <w:spacing w:line="360" w:lineRule="auto"/>
        <w:rPr>
          <w:rFonts w:eastAsia="Calibri"/>
        </w:rPr>
      </w:pPr>
      <w:r>
        <w:rPr>
          <w:rFonts w:eastAsia="Calibri"/>
        </w:rPr>
        <w:t>14. Annualized Cost to the Government……………………………………………………5</w:t>
      </w:r>
    </w:p>
    <w:p w:rsidR="00E42681" w:rsidP="00E42681" w:rsidRDefault="00E42681">
      <w:pPr>
        <w:spacing w:line="360" w:lineRule="auto"/>
        <w:rPr>
          <w:rFonts w:eastAsia="Calibri"/>
        </w:rPr>
      </w:pPr>
      <w:r>
        <w:rPr>
          <w:rFonts w:eastAsia="Calibri"/>
        </w:rPr>
        <w:t>15. Explanation for Program Changes or Adjustments…………………………………</w:t>
      </w:r>
      <w:proofErr w:type="gramStart"/>
      <w:r>
        <w:rPr>
          <w:rFonts w:eastAsia="Calibri"/>
        </w:rPr>
        <w:t>…..</w:t>
      </w:r>
      <w:proofErr w:type="gramEnd"/>
      <w:r>
        <w:rPr>
          <w:rFonts w:eastAsia="Calibri"/>
        </w:rPr>
        <w:t>6</w:t>
      </w:r>
    </w:p>
    <w:p w:rsidR="004F7282" w:rsidP="004F7282" w:rsidRDefault="004F7282">
      <w:pPr>
        <w:rPr>
          <w:u w:val="single"/>
        </w:rPr>
      </w:pPr>
    </w:p>
    <w:p w:rsidR="004F7282" w:rsidP="004F7282" w:rsidRDefault="004F72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color w:val="000000"/>
        </w:rPr>
      </w:pPr>
      <w:r w:rsidRPr="00FF0381">
        <w:rPr>
          <w:rFonts w:ascii="Times New Roman" w:hAnsi="Times New Roman"/>
          <w:b/>
          <w:color w:val="000000"/>
        </w:rPr>
        <w:t>Attachments</w:t>
      </w:r>
    </w:p>
    <w:p w:rsidR="004F7282" w:rsidP="004F7282" w:rsidRDefault="004F72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color w:val="000000"/>
        </w:rPr>
      </w:pPr>
    </w:p>
    <w:p w:rsidR="004F7282" w:rsidP="004F7282" w:rsidRDefault="004F7282">
      <w:pPr>
        <w:spacing w:line="360" w:lineRule="auto"/>
        <w:rPr>
          <w:bCs/>
        </w:rPr>
      </w:pPr>
      <w:proofErr w:type="spellStart"/>
      <w:r>
        <w:rPr>
          <w:bCs/>
        </w:rPr>
        <w:t>Att</w:t>
      </w:r>
      <w:proofErr w:type="spellEnd"/>
      <w:r>
        <w:rPr>
          <w:bCs/>
        </w:rPr>
        <w:t xml:space="preserve"> A1 – 2020 NEHRS Questionnaire (clean copy)</w:t>
      </w:r>
    </w:p>
    <w:p w:rsidR="004F7282" w:rsidP="004F7282" w:rsidRDefault="004F7282">
      <w:pPr>
        <w:spacing w:line="360" w:lineRule="auto"/>
        <w:rPr>
          <w:bCs/>
        </w:rPr>
      </w:pPr>
      <w:proofErr w:type="spellStart"/>
      <w:r>
        <w:rPr>
          <w:bCs/>
        </w:rPr>
        <w:t>Att</w:t>
      </w:r>
      <w:proofErr w:type="spellEnd"/>
      <w:r>
        <w:rPr>
          <w:bCs/>
        </w:rPr>
        <w:t xml:space="preserve"> A2 – 2020 NEHRS Questionnaire (track changes)</w:t>
      </w:r>
    </w:p>
    <w:p w:rsidR="004F7282" w:rsidP="004F7282" w:rsidRDefault="004F7282">
      <w:pPr>
        <w:spacing w:line="360" w:lineRule="auto"/>
        <w:rPr>
          <w:bCs/>
        </w:rPr>
      </w:pPr>
      <w:proofErr w:type="spellStart"/>
      <w:r>
        <w:rPr>
          <w:bCs/>
        </w:rPr>
        <w:t>Att</w:t>
      </w:r>
      <w:proofErr w:type="spellEnd"/>
      <w:r>
        <w:rPr>
          <w:bCs/>
        </w:rPr>
        <w:t xml:space="preserve"> B – Changes to the NEHRS Instrument</w:t>
      </w:r>
    </w:p>
    <w:p w:rsidR="004F7282" w:rsidP="004F7282" w:rsidRDefault="004F7282">
      <w:pPr>
        <w:spacing w:line="360" w:lineRule="auto"/>
        <w:rPr>
          <w:bCs/>
        </w:rPr>
      </w:pPr>
      <w:proofErr w:type="spellStart"/>
      <w:r>
        <w:rPr>
          <w:bCs/>
        </w:rPr>
        <w:t>Att</w:t>
      </w:r>
      <w:proofErr w:type="spellEnd"/>
      <w:r>
        <w:rPr>
          <w:bCs/>
        </w:rPr>
        <w:t xml:space="preserve"> C1 – 2020 NEHRS recruitment email and advanced letters (clean copy)</w:t>
      </w:r>
    </w:p>
    <w:p w:rsidR="004F7282" w:rsidP="004F7282" w:rsidRDefault="004F7282">
      <w:pPr>
        <w:spacing w:line="360" w:lineRule="auto"/>
        <w:rPr>
          <w:bCs/>
        </w:rPr>
      </w:pPr>
      <w:proofErr w:type="spellStart"/>
      <w:r>
        <w:rPr>
          <w:bCs/>
        </w:rPr>
        <w:t>Att</w:t>
      </w:r>
      <w:proofErr w:type="spellEnd"/>
      <w:r>
        <w:rPr>
          <w:bCs/>
        </w:rPr>
        <w:t xml:space="preserve"> C2 – 2020 NEHRS recruitment email and advance letters (track changes)</w:t>
      </w:r>
    </w:p>
    <w:p w:rsidRPr="00227AEF" w:rsidR="00F6090C" w:rsidP="00227AEF" w:rsidRDefault="004F7282">
      <w:pPr>
        <w:pStyle w:val="Heading1"/>
        <w:numPr>
          <w:ilvl w:val="0"/>
          <w:numId w:val="0"/>
        </w:numPr>
        <w:rPr>
          <w:rStyle w:val="Emphasis"/>
          <w:rFonts w:ascii="Times New Roman" w:hAnsi="Times New Roman"/>
          <w:b/>
          <w:bCs/>
          <w:sz w:val="24"/>
          <w:szCs w:val="24"/>
        </w:rPr>
      </w:pPr>
      <w:r>
        <w:br w:type="page"/>
      </w:r>
      <w:r w:rsidRPr="00227AEF" w:rsidR="00F6090C">
        <w:rPr>
          <w:rStyle w:val="Emphasis"/>
          <w:rFonts w:ascii="Times New Roman" w:hAnsi="Times New Roman"/>
          <w:b/>
          <w:bCs/>
          <w:sz w:val="24"/>
          <w:szCs w:val="24"/>
        </w:rPr>
        <w:lastRenderedPageBreak/>
        <w:t xml:space="preserve">1.  Circumstances </w:t>
      </w:r>
      <w:r w:rsidR="00E42681">
        <w:rPr>
          <w:rStyle w:val="Emphasis"/>
          <w:rFonts w:ascii="Times New Roman" w:hAnsi="Times New Roman"/>
          <w:b/>
          <w:bCs/>
          <w:sz w:val="24"/>
          <w:szCs w:val="24"/>
        </w:rPr>
        <w:t>M</w:t>
      </w:r>
      <w:r w:rsidRPr="00227AEF" w:rsidR="00F6090C">
        <w:rPr>
          <w:rStyle w:val="Emphasis"/>
          <w:rFonts w:ascii="Times New Roman" w:hAnsi="Times New Roman"/>
          <w:b/>
          <w:bCs/>
          <w:sz w:val="24"/>
          <w:szCs w:val="24"/>
        </w:rPr>
        <w:t xml:space="preserve">aking the </w:t>
      </w:r>
      <w:r w:rsidR="00E42681">
        <w:rPr>
          <w:rStyle w:val="Emphasis"/>
          <w:rFonts w:ascii="Times New Roman" w:hAnsi="Times New Roman"/>
          <w:b/>
          <w:bCs/>
          <w:sz w:val="24"/>
          <w:szCs w:val="24"/>
        </w:rPr>
        <w:t>C</w:t>
      </w:r>
      <w:r w:rsidRPr="00227AEF" w:rsidR="00F6090C">
        <w:rPr>
          <w:rStyle w:val="Emphasis"/>
          <w:rFonts w:ascii="Times New Roman" w:hAnsi="Times New Roman"/>
          <w:b/>
          <w:bCs/>
          <w:sz w:val="24"/>
          <w:szCs w:val="24"/>
        </w:rPr>
        <w:t xml:space="preserve">ollection of </w:t>
      </w:r>
      <w:r w:rsidR="00E42681">
        <w:rPr>
          <w:rStyle w:val="Emphasis"/>
          <w:rFonts w:ascii="Times New Roman" w:hAnsi="Times New Roman"/>
          <w:b/>
          <w:bCs/>
          <w:sz w:val="24"/>
          <w:szCs w:val="24"/>
        </w:rPr>
        <w:t>In</w:t>
      </w:r>
      <w:r w:rsidRPr="00227AEF" w:rsidR="00F6090C">
        <w:rPr>
          <w:rStyle w:val="Emphasis"/>
          <w:rFonts w:ascii="Times New Roman" w:hAnsi="Times New Roman"/>
          <w:b/>
          <w:bCs/>
          <w:sz w:val="24"/>
          <w:szCs w:val="24"/>
        </w:rPr>
        <w:t xml:space="preserve">formation </w:t>
      </w:r>
      <w:r w:rsidR="00E42681">
        <w:rPr>
          <w:rStyle w:val="Emphasis"/>
          <w:rFonts w:ascii="Times New Roman" w:hAnsi="Times New Roman"/>
          <w:b/>
          <w:bCs/>
          <w:sz w:val="24"/>
          <w:szCs w:val="24"/>
        </w:rPr>
        <w:t>N</w:t>
      </w:r>
      <w:r w:rsidRPr="00227AEF" w:rsidR="00F6090C">
        <w:rPr>
          <w:rStyle w:val="Emphasis"/>
          <w:rFonts w:ascii="Times New Roman" w:hAnsi="Times New Roman"/>
          <w:b/>
          <w:bCs/>
          <w:sz w:val="24"/>
          <w:szCs w:val="24"/>
        </w:rPr>
        <w:t>ecessary</w:t>
      </w:r>
    </w:p>
    <w:p w:rsidR="00F6090C" w:rsidP="00177D2A" w:rsidRDefault="00F6090C"/>
    <w:p w:rsidR="0064088D" w:rsidP="00206B5A" w:rsidRDefault="00177D2A">
      <w:r>
        <w:t>This request is for a nonsubstantive change to an approved data collection - the National Electronic Health Records Survey (NEHRS) (OMB No. 0920</w:t>
      </w:r>
      <w:r>
        <w:noBreakHyphen/>
        <w:t>1015</w:t>
      </w:r>
      <w:r w:rsidR="005E218B">
        <w:t xml:space="preserve"> E</w:t>
      </w:r>
      <w:r>
        <w:t>xp</w:t>
      </w:r>
      <w:r w:rsidR="005E218B">
        <w:t>. Date</w:t>
      </w:r>
      <w:r>
        <w:t xml:space="preserve"> </w:t>
      </w:r>
      <w:r w:rsidR="006C6244">
        <w:t>12/31/2022</w:t>
      </w:r>
      <w:r>
        <w:t xml:space="preserve">). On </w:t>
      </w:r>
      <w:r w:rsidR="006C6244">
        <w:t>December 29</w:t>
      </w:r>
      <w:r w:rsidR="00F6090C">
        <w:t>, 20</w:t>
      </w:r>
      <w:r w:rsidR="006C6244">
        <w:t>19</w:t>
      </w:r>
      <w:r>
        <w:t xml:space="preserve">, OMB approved the </w:t>
      </w:r>
      <w:r w:rsidR="00F6090C">
        <w:t>NEHRS annual data collection</w:t>
      </w:r>
      <w:r>
        <w:t>.</w:t>
      </w:r>
      <w:r w:rsidR="006C6244">
        <w:t xml:space="preserve"> The</w:t>
      </w:r>
      <w:r w:rsidR="0064088D">
        <w:t xml:space="preserve"> supporting statements requested approval to collect data </w:t>
      </w:r>
      <w:r w:rsidR="005E554D">
        <w:t>i</w:t>
      </w:r>
      <w:r w:rsidR="0064088D">
        <w:t xml:space="preserve">n 2020, 2021, and 2022 NEHRS cohorts using the updated instrument. In addition, the statements included </w:t>
      </w:r>
      <w:r w:rsidR="00F86751">
        <w:t>approval</w:t>
      </w:r>
      <w:r w:rsidR="0064088D">
        <w:t xml:space="preserve"> to submit non-substantive change packages, as needed, for modifications occurring throughout the 2020-2022 study period. </w:t>
      </w:r>
    </w:p>
    <w:p w:rsidR="00BB7CF6" w:rsidP="00206B5A" w:rsidRDefault="00BB7CF6"/>
    <w:p w:rsidR="0064088D" w:rsidP="00206B5A" w:rsidRDefault="00D91154">
      <w:r>
        <w:t>In collaboration with the study sponsor</w:t>
      </w:r>
      <w:r w:rsidR="00604532">
        <w:t>,</w:t>
      </w:r>
      <w:r w:rsidR="000170CB">
        <w:t xml:space="preserve"> </w:t>
      </w:r>
      <w:r w:rsidR="005E554D">
        <w:t>t</w:t>
      </w:r>
      <w:r w:rsidR="000170CB">
        <w:t>he Office of the National Coordinator for Health Information Technology</w:t>
      </w:r>
      <w:r>
        <w:t xml:space="preserve"> (ONC), </w:t>
      </w:r>
      <w:r w:rsidR="00264EAB">
        <w:t>the National Center for Health Statistics (</w:t>
      </w:r>
      <w:r w:rsidR="0064088D">
        <w:t>NCHS</w:t>
      </w:r>
      <w:r w:rsidR="00264EAB">
        <w:t>)</w:t>
      </w:r>
      <w:r w:rsidR="0064088D">
        <w:t xml:space="preserve"> is </w:t>
      </w:r>
      <w:r w:rsidR="005C7B88">
        <w:t>proposing the modification of</w:t>
      </w:r>
      <w:r w:rsidR="0064088D">
        <w:t xml:space="preserve"> survey content</w:t>
      </w:r>
      <w:r>
        <w:t xml:space="preserve"> for the 2020 NEHRS, and subsequent cohorts, for the following reasons:</w:t>
      </w:r>
    </w:p>
    <w:p w:rsidR="005E554D" w:rsidP="00206B5A" w:rsidRDefault="005E554D"/>
    <w:p w:rsidR="002A443C" w:rsidP="002A443C" w:rsidRDefault="002A443C">
      <w:pPr>
        <w:numPr>
          <w:ilvl w:val="0"/>
          <w:numId w:val="2"/>
        </w:numPr>
      </w:pPr>
      <w:r>
        <w:t>The addition of six telemedicine technology questions to assess the use of telemedicine to provide clinical services to patients in response to the COVID-19 pandemic.</w:t>
      </w:r>
    </w:p>
    <w:p w:rsidR="001D6936" w:rsidP="0001731B" w:rsidRDefault="005C7B88">
      <w:pPr>
        <w:numPr>
          <w:ilvl w:val="0"/>
          <w:numId w:val="2"/>
        </w:numPr>
      </w:pPr>
      <w:r>
        <w:t>The removal of</w:t>
      </w:r>
      <w:r w:rsidR="00D91154">
        <w:t xml:space="preserve"> survey content </w:t>
      </w:r>
      <w:r w:rsidR="00134BAF">
        <w:t xml:space="preserve">(i.e., 26 questions) </w:t>
      </w:r>
      <w:r w:rsidR="00D91154">
        <w:t>that is deemed nonessential</w:t>
      </w:r>
      <w:r w:rsidR="00FA23EF">
        <w:t xml:space="preserve"> for the current priorities of ONC</w:t>
      </w:r>
      <w:r w:rsidR="005E554D">
        <w:t xml:space="preserve"> and is no longer</w:t>
      </w:r>
      <w:r w:rsidR="00D91154">
        <w:t xml:space="preserve"> well</w:t>
      </w:r>
      <w:r w:rsidR="005E554D">
        <w:t>-</w:t>
      </w:r>
      <w:r w:rsidR="00D91154">
        <w:t xml:space="preserve">suited for an </w:t>
      </w:r>
      <w:r w:rsidR="00FA23EF">
        <w:t xml:space="preserve">outpatient, </w:t>
      </w:r>
      <w:r w:rsidR="00D91154">
        <w:t>office-based physician to answer.</w:t>
      </w:r>
    </w:p>
    <w:p w:rsidR="00D91154" w:rsidP="0001731B" w:rsidRDefault="00D91154">
      <w:pPr>
        <w:numPr>
          <w:ilvl w:val="0"/>
          <w:numId w:val="2"/>
        </w:numPr>
      </w:pPr>
      <w:r>
        <w:t>The removal of the computer-assisted telephone interview (CATI) mode</w:t>
      </w:r>
      <w:r w:rsidR="005E554D">
        <w:t xml:space="preserve"> of data collection,</w:t>
      </w:r>
      <w:r>
        <w:t xml:space="preserve"> </w:t>
      </w:r>
      <w:r w:rsidR="008346AD">
        <w:t>t</w:t>
      </w:r>
      <w:r>
        <w:t>o improve physician response rates</w:t>
      </w:r>
      <w:r w:rsidR="00FA207E">
        <w:t>.</w:t>
      </w:r>
      <w:r>
        <w:t xml:space="preserve"> </w:t>
      </w:r>
      <w:r w:rsidR="005E554D">
        <w:t>The allocation of these r</w:t>
      </w:r>
      <w:r w:rsidR="008346AD">
        <w:t>esources will be reallocated to</w:t>
      </w:r>
      <w:r w:rsidR="005E554D">
        <w:t xml:space="preserve"> efforts focused on </w:t>
      </w:r>
      <w:r w:rsidR="00DA39D4">
        <w:t>tracing</w:t>
      </w:r>
      <w:r w:rsidR="008346AD">
        <w:t xml:space="preserve"> physicians</w:t>
      </w:r>
      <w:r w:rsidR="00DA39D4">
        <w:t xml:space="preserve"> prior to fielding to ensure accurate contact information</w:t>
      </w:r>
      <w:r w:rsidR="008346AD">
        <w:t>.</w:t>
      </w:r>
    </w:p>
    <w:p w:rsidR="00DA39D4" w:rsidP="002A443C" w:rsidRDefault="005D0589">
      <w:pPr>
        <w:numPr>
          <w:ilvl w:val="0"/>
          <w:numId w:val="2"/>
        </w:numPr>
      </w:pPr>
      <w:r>
        <w:t xml:space="preserve">Key </w:t>
      </w:r>
      <w:r w:rsidR="008346AD">
        <w:t xml:space="preserve">content on the survey are retained to collect necessary trend and practice data in order to evaluate the </w:t>
      </w:r>
      <w:r w:rsidR="000170CB">
        <w:t>health information exchange (</w:t>
      </w:r>
      <w:r w:rsidR="008346AD">
        <w:t>HIE</w:t>
      </w:r>
      <w:r w:rsidR="000170CB">
        <w:t>)</w:t>
      </w:r>
      <w:r w:rsidR="008346AD">
        <w:t xml:space="preserve">-expanded content and </w:t>
      </w:r>
      <w:r w:rsidR="00DA39D4">
        <w:t>M</w:t>
      </w:r>
      <w:r w:rsidR="008346AD">
        <w:t xml:space="preserve">eaningful </w:t>
      </w:r>
      <w:r w:rsidR="00DA39D4">
        <w:t>U</w:t>
      </w:r>
      <w:r w:rsidR="008346AD">
        <w:t>se</w:t>
      </w:r>
      <w:r w:rsidR="000170CB">
        <w:t>/</w:t>
      </w:r>
      <w:r w:rsidR="00DA39D4">
        <w:t>P</w:t>
      </w:r>
      <w:r w:rsidR="000170CB">
        <w:t xml:space="preserve">romoting </w:t>
      </w:r>
      <w:r w:rsidR="00DA39D4">
        <w:t>I</w:t>
      </w:r>
      <w:r w:rsidR="000170CB">
        <w:t>nteroperability</w:t>
      </w:r>
      <w:r w:rsidR="008346AD">
        <w:t xml:space="preserve"> incentive program goals. </w:t>
      </w:r>
      <w:r w:rsidR="00DA39D4">
        <w:t>This</w:t>
      </w:r>
      <w:r w:rsidR="008346AD">
        <w:t xml:space="preserve"> content contains information that will help provide insights on physician attitudes and experiences with </w:t>
      </w:r>
      <w:r w:rsidR="00DA39D4">
        <w:t>electronic health record (EHR)</w:t>
      </w:r>
      <w:r w:rsidR="008346AD">
        <w:t xml:space="preserve"> systems, particularly about EHR-related impacts (e.g., patient engagement, documentation in </w:t>
      </w:r>
      <w:r w:rsidR="00DA39D4">
        <w:t>her system</w:t>
      </w:r>
      <w:r w:rsidR="008346AD">
        <w:t>s and physician burden, financial benefits, and patient care).</w:t>
      </w:r>
    </w:p>
    <w:p w:rsidR="00DA39D4" w:rsidP="00DA39D4" w:rsidRDefault="00DA39D4">
      <w:pPr>
        <w:numPr>
          <w:ilvl w:val="0"/>
          <w:numId w:val="2"/>
        </w:numPr>
      </w:pPr>
      <w:r>
        <w:t>M</w:t>
      </w:r>
      <w:r w:rsidR="00FC55B2">
        <w:t>inor m</w:t>
      </w:r>
      <w:r>
        <w:t>odifications to language are proposed to improve clarity,</w:t>
      </w:r>
      <w:r w:rsidR="00DE138A">
        <w:t xml:space="preserve"> update the burden statement</w:t>
      </w:r>
      <w:r w:rsidR="003610B4">
        <w:t xml:space="preserve"> to show the reduced</w:t>
      </w:r>
      <w:r>
        <w:t xml:space="preserve"> burden, and update terminology.</w:t>
      </w:r>
    </w:p>
    <w:p w:rsidR="008346AD" w:rsidP="008346AD" w:rsidRDefault="008346AD">
      <w:pPr>
        <w:ind w:left="720"/>
      </w:pPr>
      <w:r>
        <w:t xml:space="preserve"> </w:t>
      </w:r>
    </w:p>
    <w:p w:rsidR="00BB7CF6" w:rsidP="00FC5D67" w:rsidRDefault="002E102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sidRPr="00C80E8A">
        <w:rPr>
          <w:rFonts w:ascii="Times New Roman" w:hAnsi="Times New Roman"/>
        </w:rPr>
        <w:t xml:space="preserve">This document proposes </w:t>
      </w:r>
      <w:r w:rsidRPr="00C80E8A" w:rsidR="00BE4C3D">
        <w:rPr>
          <w:rFonts w:ascii="Times New Roman" w:hAnsi="Times New Roman"/>
        </w:rPr>
        <w:t>the addition</w:t>
      </w:r>
      <w:r w:rsidRPr="00C80E8A">
        <w:rPr>
          <w:rFonts w:ascii="Times New Roman" w:hAnsi="Times New Roman"/>
        </w:rPr>
        <w:t>, modifi</w:t>
      </w:r>
      <w:r w:rsidRPr="00C80E8A" w:rsidR="00BE4C3D">
        <w:rPr>
          <w:rFonts w:ascii="Times New Roman" w:hAnsi="Times New Roman"/>
        </w:rPr>
        <w:t>cation</w:t>
      </w:r>
      <w:r w:rsidRPr="00C80E8A">
        <w:rPr>
          <w:rFonts w:ascii="Times New Roman" w:hAnsi="Times New Roman"/>
        </w:rPr>
        <w:t xml:space="preserve">, and </w:t>
      </w:r>
      <w:r w:rsidRPr="00C80E8A" w:rsidR="00BE4C3D">
        <w:rPr>
          <w:rFonts w:ascii="Times New Roman" w:hAnsi="Times New Roman"/>
        </w:rPr>
        <w:t>removal of</w:t>
      </w:r>
      <w:r w:rsidRPr="00C80E8A">
        <w:rPr>
          <w:rFonts w:ascii="Times New Roman" w:hAnsi="Times New Roman"/>
        </w:rPr>
        <w:t xml:space="preserve"> questions </w:t>
      </w:r>
      <w:r w:rsidRPr="00C80E8A" w:rsidR="00BE4C3D">
        <w:rPr>
          <w:rFonts w:ascii="Times New Roman" w:hAnsi="Times New Roman"/>
        </w:rPr>
        <w:t>on</w:t>
      </w:r>
      <w:r w:rsidRPr="00C80E8A">
        <w:rPr>
          <w:rFonts w:ascii="Times New Roman" w:hAnsi="Times New Roman"/>
        </w:rPr>
        <w:t xml:space="preserve"> the currently approved data collection content for the 2020 NEHRS. A clean version of the modified 2020 </w:t>
      </w:r>
      <w:r w:rsidRPr="00C80E8A" w:rsidR="004851E8">
        <w:rPr>
          <w:rFonts w:ascii="Times New Roman" w:hAnsi="Times New Roman"/>
        </w:rPr>
        <w:t>questionnaire</w:t>
      </w:r>
      <w:r w:rsidRPr="00C80E8A">
        <w:rPr>
          <w:rFonts w:ascii="Times New Roman" w:hAnsi="Times New Roman"/>
        </w:rPr>
        <w:t xml:space="preserve"> </w:t>
      </w:r>
      <w:r w:rsidRPr="00C80E8A" w:rsidR="00543D1A">
        <w:rPr>
          <w:rFonts w:ascii="Times New Roman" w:hAnsi="Times New Roman"/>
        </w:rPr>
        <w:t xml:space="preserve">is provided in </w:t>
      </w:r>
      <w:r w:rsidRPr="00C80E8A" w:rsidR="00CD7F18">
        <w:rPr>
          <w:rFonts w:ascii="Times New Roman" w:hAnsi="Times New Roman"/>
          <w:b/>
          <w:bCs/>
        </w:rPr>
        <w:t>Attachment A</w:t>
      </w:r>
      <w:r w:rsidRPr="00C80E8A" w:rsidR="00264EAB">
        <w:rPr>
          <w:rFonts w:ascii="Times New Roman" w:hAnsi="Times New Roman"/>
          <w:b/>
          <w:bCs/>
        </w:rPr>
        <w:t>1</w:t>
      </w:r>
      <w:r w:rsidRPr="00C80E8A" w:rsidR="00CD7F18">
        <w:rPr>
          <w:rFonts w:ascii="Times New Roman" w:hAnsi="Times New Roman"/>
        </w:rPr>
        <w:t>.</w:t>
      </w:r>
      <w:r w:rsidRPr="00C80E8A" w:rsidR="00181D38">
        <w:rPr>
          <w:rFonts w:ascii="Times New Roman" w:hAnsi="Times New Roman"/>
        </w:rPr>
        <w:t xml:space="preserve"> A track changes version of the questionnaire is shown in </w:t>
      </w:r>
      <w:r w:rsidRPr="00C80E8A" w:rsidR="00181D38">
        <w:rPr>
          <w:rFonts w:ascii="Times New Roman" w:hAnsi="Times New Roman"/>
          <w:b/>
          <w:bCs/>
        </w:rPr>
        <w:t>Attachment A</w:t>
      </w:r>
      <w:r w:rsidRPr="00C80E8A" w:rsidR="00264EAB">
        <w:rPr>
          <w:rFonts w:ascii="Times New Roman" w:hAnsi="Times New Roman"/>
          <w:b/>
          <w:bCs/>
        </w:rPr>
        <w:t>2</w:t>
      </w:r>
      <w:r w:rsidRPr="00C80E8A" w:rsidR="00181D38">
        <w:rPr>
          <w:rFonts w:ascii="Times New Roman" w:hAnsi="Times New Roman"/>
        </w:rPr>
        <w:t>.</w:t>
      </w:r>
      <w:r w:rsidRPr="00C80E8A" w:rsidR="00CD7F18">
        <w:rPr>
          <w:rFonts w:ascii="Times New Roman" w:hAnsi="Times New Roman"/>
        </w:rPr>
        <w:t xml:space="preserve"> </w:t>
      </w:r>
      <w:r w:rsidR="004314BE">
        <w:rPr>
          <w:rFonts w:ascii="Times New Roman" w:hAnsi="Times New Roman"/>
        </w:rPr>
        <w:t>Please note that t</w:t>
      </w:r>
      <w:r w:rsidRPr="00C80E8A" w:rsidR="00225081">
        <w:rPr>
          <w:rFonts w:ascii="Times New Roman" w:hAnsi="Times New Roman"/>
        </w:rPr>
        <w:t>he web component of the questionnaire will mirror the paper questionnaire</w:t>
      </w:r>
      <w:r w:rsidR="004314BE">
        <w:rPr>
          <w:rFonts w:ascii="Times New Roman" w:hAnsi="Times New Roman"/>
        </w:rPr>
        <w:t>, but at this time</w:t>
      </w:r>
      <w:r w:rsidRPr="00C80E8A" w:rsidR="00225081">
        <w:rPr>
          <w:rFonts w:ascii="Times New Roman" w:hAnsi="Times New Roman"/>
        </w:rPr>
        <w:t xml:space="preserve"> NCHS is unable to provide screen shots of the web survey until a contractor is selected and designs the content. </w:t>
      </w:r>
      <w:r w:rsidRPr="00C80E8A">
        <w:rPr>
          <w:rFonts w:ascii="Times New Roman" w:hAnsi="Times New Roman"/>
        </w:rPr>
        <w:t>A</w:t>
      </w:r>
      <w:r w:rsidR="00386DF7">
        <w:rPr>
          <w:rFonts w:ascii="Times New Roman" w:hAnsi="Times New Roman"/>
        </w:rPr>
        <w:t xml:space="preserve"> detailed</w:t>
      </w:r>
      <w:r w:rsidRPr="00C80E8A">
        <w:rPr>
          <w:rFonts w:ascii="Times New Roman" w:hAnsi="Times New Roman"/>
        </w:rPr>
        <w:t xml:space="preserve"> outline of the changes made to </w:t>
      </w:r>
      <w:r w:rsidRPr="00C80E8A" w:rsidR="00954978">
        <w:rPr>
          <w:rFonts w:ascii="Times New Roman" w:hAnsi="Times New Roman"/>
        </w:rPr>
        <w:t xml:space="preserve">the </w:t>
      </w:r>
      <w:proofErr w:type="gramStart"/>
      <w:r w:rsidRPr="00C80E8A">
        <w:rPr>
          <w:rFonts w:ascii="Times New Roman" w:hAnsi="Times New Roman"/>
        </w:rPr>
        <w:t>currently</w:t>
      </w:r>
      <w:r w:rsidR="004314BE">
        <w:rPr>
          <w:rFonts w:ascii="Times New Roman" w:hAnsi="Times New Roman"/>
        </w:rPr>
        <w:t>-</w:t>
      </w:r>
      <w:r w:rsidRPr="00C80E8A">
        <w:rPr>
          <w:rFonts w:ascii="Times New Roman" w:hAnsi="Times New Roman"/>
        </w:rPr>
        <w:t>approved</w:t>
      </w:r>
      <w:proofErr w:type="gramEnd"/>
      <w:r w:rsidRPr="00C80E8A">
        <w:rPr>
          <w:rFonts w:ascii="Times New Roman" w:hAnsi="Times New Roman"/>
        </w:rPr>
        <w:t xml:space="preserve"> content </w:t>
      </w:r>
      <w:r w:rsidRPr="00C80E8A" w:rsidR="00BE4C3D">
        <w:rPr>
          <w:rFonts w:ascii="Times New Roman" w:hAnsi="Times New Roman"/>
        </w:rPr>
        <w:t>is</w:t>
      </w:r>
      <w:r w:rsidRPr="00C80E8A" w:rsidR="00CD7F18">
        <w:rPr>
          <w:rFonts w:ascii="Times New Roman" w:hAnsi="Times New Roman"/>
        </w:rPr>
        <w:t xml:space="preserve"> presented in </w:t>
      </w:r>
      <w:r w:rsidRPr="00C80E8A" w:rsidR="00CD7F18">
        <w:rPr>
          <w:rFonts w:ascii="Times New Roman" w:hAnsi="Times New Roman"/>
          <w:b/>
          <w:bCs/>
        </w:rPr>
        <w:t>Attachment B</w:t>
      </w:r>
      <w:r w:rsidRPr="00C80E8A">
        <w:rPr>
          <w:rFonts w:ascii="Times New Roman" w:hAnsi="Times New Roman"/>
        </w:rPr>
        <w:t>, highlighted below</w:t>
      </w:r>
      <w:r w:rsidRPr="00C80E8A" w:rsidR="00181D38">
        <w:rPr>
          <w:rFonts w:ascii="Times New Roman" w:hAnsi="Times New Roman"/>
        </w:rPr>
        <w:t xml:space="preserve"> </w:t>
      </w:r>
      <w:r w:rsidRPr="00C80E8A" w:rsidR="00CD7F18">
        <w:rPr>
          <w:rFonts w:ascii="Times New Roman" w:hAnsi="Times New Roman"/>
        </w:rPr>
        <w:t xml:space="preserve">and described in more detail in section 2. </w:t>
      </w:r>
      <w:r w:rsidRPr="00C80E8A" w:rsidR="002A04E8">
        <w:rPr>
          <w:rFonts w:ascii="Times New Roman" w:hAnsi="Times New Roman"/>
        </w:rPr>
        <w:t>These modifications include</w:t>
      </w:r>
      <w:r w:rsidRPr="00C80E8A" w:rsidR="001D6936">
        <w:rPr>
          <w:rFonts w:ascii="Times New Roman" w:hAnsi="Times New Roman"/>
        </w:rPr>
        <w:t xml:space="preserve"> </w:t>
      </w:r>
      <w:r w:rsidRPr="00C80E8A" w:rsidR="00181D38">
        <w:rPr>
          <w:rFonts w:ascii="Times New Roman" w:hAnsi="Times New Roman"/>
        </w:rPr>
        <w:t>a description of changes</w:t>
      </w:r>
      <w:r w:rsidRPr="00C80E8A" w:rsidR="001D6936">
        <w:rPr>
          <w:rFonts w:ascii="Times New Roman" w:hAnsi="Times New Roman"/>
        </w:rPr>
        <w:t xml:space="preserve"> to improve clarity and update terminology</w:t>
      </w:r>
      <w:r w:rsidR="00734958">
        <w:rPr>
          <w:rFonts w:ascii="Times New Roman" w:hAnsi="Times New Roman"/>
        </w:rPr>
        <w:t xml:space="preserve"> and confidentiality language</w:t>
      </w:r>
      <w:r w:rsidRPr="00C80E8A" w:rsidR="00264EAB">
        <w:rPr>
          <w:rFonts w:ascii="Times New Roman" w:hAnsi="Times New Roman"/>
        </w:rPr>
        <w:t>.</w:t>
      </w:r>
      <w:r w:rsidRPr="00C80E8A" w:rsidR="00F40E10">
        <w:rPr>
          <w:rFonts w:ascii="Times New Roman" w:hAnsi="Times New Roman"/>
        </w:rPr>
        <w:t xml:space="preserve"> Additionally, </w:t>
      </w:r>
      <w:r w:rsidRPr="00C80E8A" w:rsidR="002A04E8">
        <w:rPr>
          <w:rFonts w:ascii="Times New Roman" w:hAnsi="Times New Roman"/>
        </w:rPr>
        <w:t>the computer assisted telephone interview (CATI) mode of administration</w:t>
      </w:r>
      <w:r w:rsidRPr="00C80E8A" w:rsidR="00F40E10">
        <w:rPr>
          <w:rFonts w:ascii="Times New Roman" w:hAnsi="Times New Roman"/>
        </w:rPr>
        <w:t xml:space="preserve"> will be removed</w:t>
      </w:r>
      <w:r w:rsidR="004314BE">
        <w:rPr>
          <w:rFonts w:ascii="Times New Roman" w:hAnsi="Times New Roman"/>
        </w:rPr>
        <w:t>,</w:t>
      </w:r>
      <w:r w:rsidRPr="00C80E8A" w:rsidR="002A04E8">
        <w:rPr>
          <w:rFonts w:ascii="Times New Roman" w:hAnsi="Times New Roman"/>
        </w:rPr>
        <w:t xml:space="preserve"> and subsequently the CATI interviewer script</w:t>
      </w:r>
      <w:r w:rsidRPr="00C80E8A" w:rsidR="00BE4C3D">
        <w:rPr>
          <w:rFonts w:ascii="Times New Roman" w:hAnsi="Times New Roman"/>
        </w:rPr>
        <w:t xml:space="preserve"> will no</w:t>
      </w:r>
      <w:r w:rsidRPr="00C80E8A" w:rsidR="00647312">
        <w:rPr>
          <w:rFonts w:ascii="Times New Roman" w:hAnsi="Times New Roman"/>
        </w:rPr>
        <w:t xml:space="preserve"> longer be</w:t>
      </w:r>
      <w:r w:rsidRPr="00C80E8A" w:rsidR="00BE4C3D">
        <w:rPr>
          <w:rFonts w:ascii="Times New Roman" w:hAnsi="Times New Roman"/>
        </w:rPr>
        <w:t xml:space="preserve"> utilized</w:t>
      </w:r>
      <w:r w:rsidRPr="00C80E8A" w:rsidR="002A04E8">
        <w:rPr>
          <w:rFonts w:ascii="Times New Roman" w:hAnsi="Times New Roman"/>
        </w:rPr>
        <w:t>.</w:t>
      </w:r>
      <w:r w:rsidRPr="00C80E8A" w:rsidR="002A04E8">
        <w:rPr>
          <w:rFonts w:ascii="Times New Roman" w:hAnsi="Times New Roman"/>
          <w:b/>
          <w:bCs/>
        </w:rPr>
        <w:t xml:space="preserve"> </w:t>
      </w:r>
      <w:r w:rsidRPr="00C80E8A" w:rsidR="001D6936">
        <w:rPr>
          <w:rFonts w:ascii="Times New Roman" w:hAnsi="Times New Roman"/>
        </w:rPr>
        <w:t xml:space="preserve">Recruitment emails and </w:t>
      </w:r>
      <w:r w:rsidRPr="00C80E8A" w:rsidR="004851E8">
        <w:rPr>
          <w:rFonts w:ascii="Times New Roman" w:hAnsi="Times New Roman"/>
        </w:rPr>
        <w:t xml:space="preserve">advanced </w:t>
      </w:r>
      <w:r w:rsidRPr="00C80E8A" w:rsidR="001D6936">
        <w:rPr>
          <w:rFonts w:ascii="Times New Roman" w:hAnsi="Times New Roman"/>
        </w:rPr>
        <w:t>letters are modified to reflect</w:t>
      </w:r>
      <w:r w:rsidRPr="00C80E8A" w:rsidR="004851E8">
        <w:rPr>
          <w:rFonts w:ascii="Times New Roman" w:hAnsi="Times New Roman"/>
        </w:rPr>
        <w:t xml:space="preserve"> the </w:t>
      </w:r>
      <w:r w:rsidRPr="00C80E8A" w:rsidR="00F40E10">
        <w:rPr>
          <w:rFonts w:ascii="Times New Roman" w:hAnsi="Times New Roman"/>
        </w:rPr>
        <w:t>reduced</w:t>
      </w:r>
      <w:r w:rsidRPr="00C80E8A" w:rsidR="004851E8">
        <w:rPr>
          <w:rFonts w:ascii="Times New Roman" w:hAnsi="Times New Roman"/>
        </w:rPr>
        <w:t xml:space="preserve"> completion/burden time</w:t>
      </w:r>
      <w:r w:rsidR="00734958">
        <w:rPr>
          <w:rFonts w:ascii="Times New Roman" w:hAnsi="Times New Roman"/>
        </w:rPr>
        <w:t>, an update in confidentiality language,</w:t>
      </w:r>
      <w:r w:rsidRPr="00C80E8A" w:rsidR="004851E8">
        <w:rPr>
          <w:rFonts w:ascii="Times New Roman" w:hAnsi="Times New Roman"/>
        </w:rPr>
        <w:t xml:space="preserve"> and</w:t>
      </w:r>
      <w:r w:rsidRPr="00C80E8A" w:rsidR="001D6936">
        <w:rPr>
          <w:rFonts w:ascii="Times New Roman" w:hAnsi="Times New Roman"/>
        </w:rPr>
        <w:t xml:space="preserve"> </w:t>
      </w:r>
      <w:r w:rsidRPr="00C80E8A" w:rsidR="00647312">
        <w:rPr>
          <w:rFonts w:ascii="Times New Roman" w:hAnsi="Times New Roman"/>
        </w:rPr>
        <w:t xml:space="preserve">the </w:t>
      </w:r>
      <w:r w:rsidRPr="00C80E8A" w:rsidR="001D6936">
        <w:rPr>
          <w:rFonts w:ascii="Times New Roman" w:hAnsi="Times New Roman"/>
        </w:rPr>
        <w:t xml:space="preserve">change in NCHS </w:t>
      </w:r>
      <w:r w:rsidR="002A443C">
        <w:rPr>
          <w:rFonts w:ascii="Times New Roman" w:hAnsi="Times New Roman"/>
        </w:rPr>
        <w:t xml:space="preserve">signature </w:t>
      </w:r>
      <w:r w:rsidRPr="00C80E8A" w:rsidR="001D6936">
        <w:rPr>
          <w:rFonts w:ascii="Times New Roman" w:hAnsi="Times New Roman"/>
        </w:rPr>
        <w:t>(</w:t>
      </w:r>
      <w:r w:rsidRPr="00C80E8A" w:rsidR="001D6936">
        <w:rPr>
          <w:rFonts w:ascii="Times New Roman" w:hAnsi="Times New Roman"/>
          <w:b/>
          <w:bCs/>
        </w:rPr>
        <w:t xml:space="preserve">Attachment </w:t>
      </w:r>
      <w:r w:rsidRPr="00C80E8A" w:rsidR="00604532">
        <w:rPr>
          <w:rFonts w:ascii="Times New Roman" w:hAnsi="Times New Roman"/>
          <w:b/>
          <w:bCs/>
        </w:rPr>
        <w:t>C</w:t>
      </w:r>
      <w:r w:rsidRPr="00C80E8A" w:rsidR="00264EAB">
        <w:rPr>
          <w:rFonts w:ascii="Times New Roman" w:hAnsi="Times New Roman"/>
          <w:b/>
          <w:bCs/>
        </w:rPr>
        <w:t>1</w:t>
      </w:r>
      <w:r w:rsidRPr="00C80E8A" w:rsidR="001D6936">
        <w:rPr>
          <w:rFonts w:ascii="Times New Roman" w:hAnsi="Times New Roman"/>
        </w:rPr>
        <w:t xml:space="preserve">). </w:t>
      </w:r>
      <w:r w:rsidRPr="00C80E8A" w:rsidR="00181D38">
        <w:rPr>
          <w:rFonts w:ascii="Times New Roman" w:hAnsi="Times New Roman"/>
        </w:rPr>
        <w:t xml:space="preserve">A track changes version of the emails and letters is presented in </w:t>
      </w:r>
      <w:r w:rsidRPr="00C80E8A" w:rsidR="00181D38">
        <w:rPr>
          <w:rFonts w:ascii="Times New Roman" w:hAnsi="Times New Roman"/>
          <w:b/>
          <w:bCs/>
        </w:rPr>
        <w:t xml:space="preserve">Attachment </w:t>
      </w:r>
      <w:r w:rsidRPr="00C80E8A" w:rsidR="00604532">
        <w:rPr>
          <w:rFonts w:ascii="Times New Roman" w:hAnsi="Times New Roman"/>
          <w:b/>
          <w:bCs/>
        </w:rPr>
        <w:t>C</w:t>
      </w:r>
      <w:r w:rsidRPr="00C80E8A" w:rsidR="00264EAB">
        <w:rPr>
          <w:rFonts w:ascii="Times New Roman" w:hAnsi="Times New Roman"/>
          <w:b/>
          <w:bCs/>
        </w:rPr>
        <w:t>2</w:t>
      </w:r>
      <w:r w:rsidRPr="00C80E8A" w:rsidR="00181D38">
        <w:rPr>
          <w:rFonts w:ascii="Times New Roman" w:hAnsi="Times New Roman"/>
        </w:rPr>
        <w:t xml:space="preserve">. </w:t>
      </w:r>
      <w:r w:rsidRPr="00C80E8A" w:rsidR="00CD7F18">
        <w:rPr>
          <w:rFonts w:ascii="Times New Roman" w:hAnsi="Times New Roman"/>
        </w:rPr>
        <w:t xml:space="preserve">Overall, the changes </w:t>
      </w:r>
      <w:r w:rsidRPr="00C80E8A" w:rsidR="00EC4247">
        <w:rPr>
          <w:rFonts w:ascii="Times New Roman" w:hAnsi="Times New Roman"/>
        </w:rPr>
        <w:t>reduce</w:t>
      </w:r>
      <w:r w:rsidRPr="00C80E8A" w:rsidR="00E420E2">
        <w:rPr>
          <w:rFonts w:ascii="Times New Roman" w:hAnsi="Times New Roman"/>
        </w:rPr>
        <w:t xml:space="preserve"> the currently approved average response time for the NEHRS.</w:t>
      </w:r>
      <w:r w:rsidRPr="00C80E8A" w:rsidR="00CD7F18">
        <w:rPr>
          <w:rFonts w:ascii="Times New Roman" w:hAnsi="Times New Roman"/>
        </w:rPr>
        <w:t xml:space="preserve"> Consequently, the 5,151 total burden hours are significantly reduced</w:t>
      </w:r>
      <w:r w:rsidRPr="00C80E8A" w:rsidR="00181D38">
        <w:rPr>
          <w:rFonts w:ascii="Times New Roman" w:hAnsi="Times New Roman"/>
        </w:rPr>
        <w:t xml:space="preserve"> to 3,434 burden hours</w:t>
      </w:r>
      <w:r w:rsidR="00C21384">
        <w:rPr>
          <w:rFonts w:ascii="Times New Roman" w:hAnsi="Times New Roman"/>
        </w:rPr>
        <w:t>.</w:t>
      </w:r>
    </w:p>
    <w:p w:rsidR="00C21384" w:rsidP="00FC5D67" w:rsidRDefault="00C213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p>
    <w:p w:rsidR="006C1EC5" w:rsidP="00FC5D67" w:rsidRDefault="008569A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Pr>
          <w:rFonts w:ascii="Times New Roman" w:hAnsi="Times New Roman"/>
          <w:b/>
          <w:bCs/>
          <w:color w:val="000000"/>
        </w:rPr>
        <w:t>2</w:t>
      </w:r>
      <w:r w:rsidR="006C1EC5">
        <w:rPr>
          <w:rFonts w:ascii="Times New Roman" w:hAnsi="Times New Roman"/>
          <w:b/>
          <w:bCs/>
          <w:color w:val="000000"/>
        </w:rPr>
        <w:t>.  Purpose and Use of Information Collected</w:t>
      </w:r>
    </w:p>
    <w:p w:rsidR="007815F9" w:rsidP="00F36FB4" w:rsidRDefault="007815F9"/>
    <w:p w:rsidR="009A3307" w:rsidP="00F36FB4" w:rsidRDefault="009A3307">
      <w:r w:rsidRPr="009A3307">
        <w:t>The purpose of this study is to collect information on office-based physicians’ adoption and use of EHR systems, practice information, patient engagement, controlled substances prescribing practices, use of HIE, and the documentation and burden associated with medical record systems (which include both paper-based and EHR systems). ONC uses NEHRS data for benchmarking EHR adoption and use across the United States, and for evaluating progress toward Health Information Technology for Economic and Clinical Health (HITECH) Act program goals. NEHRS data also support efforts to access the burden outlined in Section 4001(a) of the 21st Century Cures Act (Public Law 114-255, 42 USC 201). This Act directs DHHS to develop a report outlining how the department could reduce regulatory and administrative burden related to the use of EHRs.</w:t>
      </w:r>
      <w:r>
        <w:t xml:space="preserve"> </w:t>
      </w:r>
      <w:r w:rsidRPr="000E3B9F">
        <w:t>NEHRS samples 10,302 physicians annually. As the priorities of</w:t>
      </w:r>
      <w:r>
        <w:t xml:space="preserve"> </w:t>
      </w:r>
      <w:r w:rsidRPr="000E3B9F">
        <w:t xml:space="preserve">ONC evolve for future iterations of the NEHRS, NCHS </w:t>
      </w:r>
      <w:r>
        <w:t xml:space="preserve">may </w:t>
      </w:r>
      <w:r w:rsidRPr="000E3B9F">
        <w:t>submit a non-substantive</w:t>
      </w:r>
      <w:r>
        <w:t xml:space="preserve"> change or revision package as </w:t>
      </w:r>
      <w:r w:rsidRPr="00DE138A">
        <w:t xml:space="preserve">needed. </w:t>
      </w:r>
      <w:r w:rsidRPr="00DE138A" w:rsidR="00386DF7">
        <w:t>The National Center for Health Statistics’ Collaborating Center for Questionnaire Design and Evaluation Research (</w:t>
      </w:r>
      <w:r w:rsidRPr="00DE138A">
        <w:t>CCQDER</w:t>
      </w:r>
      <w:r w:rsidRPr="00DE138A" w:rsidR="00386DF7">
        <w:t>)</w:t>
      </w:r>
      <w:r w:rsidRPr="00DE138A">
        <w:t xml:space="preserve"> w</w:t>
      </w:r>
      <w:r w:rsidRPr="00DE138A" w:rsidR="00254453">
        <w:t>as</w:t>
      </w:r>
      <w:r w:rsidRPr="00DE138A">
        <w:t xml:space="preserve"> consulted for cognitive testing. However, </w:t>
      </w:r>
      <w:r w:rsidRPr="00DE138A" w:rsidR="005C4929">
        <w:t xml:space="preserve">due to </w:t>
      </w:r>
      <w:r w:rsidRPr="00DE138A">
        <w:t xml:space="preserve">the global </w:t>
      </w:r>
      <w:r w:rsidRPr="00DE138A" w:rsidR="004314BE">
        <w:t>COVID</w:t>
      </w:r>
      <w:r w:rsidRPr="00DE138A">
        <w:t xml:space="preserve">-19 pandemic </w:t>
      </w:r>
      <w:r w:rsidRPr="00DE138A" w:rsidR="005C4929">
        <w:t>creating safety issues and placing</w:t>
      </w:r>
      <w:r w:rsidRPr="00DE138A" w:rsidR="005A41B4">
        <w:t xml:space="preserve"> extreme burden on our target survey population</w:t>
      </w:r>
      <w:r w:rsidRPr="00DE138A" w:rsidR="00254453">
        <w:t xml:space="preserve"> of</w:t>
      </w:r>
      <w:r w:rsidRPr="00DE138A" w:rsidR="005A41B4">
        <w:t xml:space="preserve"> outpatient office-based physicians, </w:t>
      </w:r>
      <w:r w:rsidRPr="00DE138A" w:rsidR="005C4929">
        <w:t>this is problematic</w:t>
      </w:r>
      <w:r w:rsidRPr="00DE138A">
        <w:t>.</w:t>
      </w:r>
      <w:r w:rsidRPr="00DE138A" w:rsidR="004D28B2">
        <w:t xml:space="preserve"> ONC frequently consults a team of </w:t>
      </w:r>
      <w:r w:rsidRPr="00DE138A" w:rsidR="00DD5EA8">
        <w:t xml:space="preserve">office-based </w:t>
      </w:r>
      <w:r w:rsidRPr="00DE138A" w:rsidR="004D28B2">
        <w:t xml:space="preserve">physicians to inform </w:t>
      </w:r>
      <w:r w:rsidRPr="00DE138A" w:rsidR="004F781A">
        <w:t>survey questions and responses</w:t>
      </w:r>
      <w:r w:rsidRPr="00DE138A" w:rsidR="004D28B2">
        <w:t>.</w:t>
      </w:r>
      <w:r w:rsidRPr="00DE138A" w:rsidR="004314BE">
        <w:t xml:space="preserve"> </w:t>
      </w:r>
      <w:r w:rsidRPr="00DE138A" w:rsidR="005C4929">
        <w:t xml:space="preserve">Therefore, we have instead </w:t>
      </w:r>
      <w:r w:rsidRPr="00DE138A" w:rsidR="007432C8">
        <w:t xml:space="preserve">utilized </w:t>
      </w:r>
      <w:r w:rsidRPr="00DE138A" w:rsidR="004314BE">
        <w:t>expert review</w:t>
      </w:r>
      <w:r w:rsidRPr="00DE138A" w:rsidR="004F781A">
        <w:t xml:space="preserve"> by these physicians</w:t>
      </w:r>
      <w:r w:rsidRPr="00DE138A" w:rsidR="004D28B2">
        <w:t xml:space="preserve"> </w:t>
      </w:r>
      <w:r w:rsidRPr="00DE138A" w:rsidR="004314BE">
        <w:t xml:space="preserve">to </w:t>
      </w:r>
      <w:r w:rsidRPr="00DE138A" w:rsidR="004D28B2">
        <w:t xml:space="preserve">ensure </w:t>
      </w:r>
      <w:r w:rsidRPr="00DE138A" w:rsidR="00254453">
        <w:t>that</w:t>
      </w:r>
      <w:r w:rsidRPr="00DE138A" w:rsidR="007432C8">
        <w:t xml:space="preserve"> </w:t>
      </w:r>
      <w:r w:rsidRPr="00DE138A" w:rsidR="004314BE">
        <w:t xml:space="preserve">the modifications </w:t>
      </w:r>
      <w:r w:rsidRPr="00DE138A" w:rsidR="00254453">
        <w:t>to be implemented will not result in any</w:t>
      </w:r>
      <w:r w:rsidRPr="00DE138A" w:rsidR="007432C8">
        <w:t xml:space="preserve"> problems.</w:t>
      </w:r>
      <w:r w:rsidR="007432C8">
        <w:t xml:space="preserve"> </w:t>
      </w:r>
      <w:r w:rsidR="004314BE">
        <w:t xml:space="preserve">  </w:t>
      </w:r>
    </w:p>
    <w:p w:rsidR="009A3307" w:rsidP="00F36FB4" w:rsidRDefault="009A3307"/>
    <w:p w:rsidRPr="000E3B9F" w:rsidR="002E1020" w:rsidP="00F36FB4" w:rsidRDefault="00266581">
      <w:r>
        <w:t>Six</w:t>
      </w:r>
      <w:r w:rsidRPr="000E3B9F" w:rsidR="00AD73D1">
        <w:t xml:space="preserve"> a</w:t>
      </w:r>
      <w:r w:rsidRPr="000E3B9F" w:rsidR="007815F9">
        <w:t>dditio</w:t>
      </w:r>
      <w:r w:rsidRPr="000E3B9F" w:rsidR="00AD73D1">
        <w:t>n</w:t>
      </w:r>
      <w:r w:rsidR="007912D4">
        <w:t>al questions</w:t>
      </w:r>
      <w:r w:rsidRPr="000E3B9F" w:rsidR="007815F9">
        <w:t xml:space="preserve"> and</w:t>
      </w:r>
      <w:r w:rsidRPr="000E3B9F" w:rsidR="00AD73D1">
        <w:t xml:space="preserve"> </w:t>
      </w:r>
      <w:r w:rsidR="007912D4">
        <w:t>a few minor</w:t>
      </w:r>
      <w:r w:rsidRPr="000E3B9F" w:rsidR="007912D4">
        <w:t xml:space="preserve"> </w:t>
      </w:r>
      <w:r w:rsidRPr="000E3B9F" w:rsidR="007815F9">
        <w:t>modifications to content, as well as deletions</w:t>
      </w:r>
      <w:r w:rsidRPr="000E3B9F" w:rsidR="00E85532">
        <w:t xml:space="preserve"> of questions and removal of recruitment material</w:t>
      </w:r>
      <w:r w:rsidRPr="000E3B9F" w:rsidR="007815F9">
        <w:t xml:space="preserve">, are proposed </w:t>
      </w:r>
      <w:r w:rsidRPr="000E3B9F" w:rsidR="002E1020">
        <w:t xml:space="preserve">for the 2020 NEHRS; they are summarized in </w:t>
      </w:r>
      <w:r w:rsidRPr="000E3B9F" w:rsidR="002E1020">
        <w:rPr>
          <w:b/>
          <w:bCs/>
        </w:rPr>
        <w:t>Attachment B</w:t>
      </w:r>
      <w:r w:rsidRPr="000E3B9F" w:rsidR="007815F9">
        <w:rPr>
          <w:b/>
          <w:bCs/>
        </w:rPr>
        <w:t xml:space="preserve"> </w:t>
      </w:r>
      <w:r w:rsidRPr="000E3B9F" w:rsidR="007815F9">
        <w:t>and below</w:t>
      </w:r>
      <w:r w:rsidRPr="000E3B9F" w:rsidR="002E1020">
        <w:t>.</w:t>
      </w:r>
    </w:p>
    <w:p w:rsidRPr="000E3B9F" w:rsidR="002E1020" w:rsidP="00F36FB4" w:rsidRDefault="002E1020"/>
    <w:p w:rsidRPr="000E3B9F" w:rsidR="002E1020" w:rsidP="00F36FB4" w:rsidRDefault="00466CDB">
      <w:r>
        <w:t xml:space="preserve">The use of telemedicine was assessed in the 2018 and 2019 NEHRS data collections. Continuation of the question will allow the observation of trends in the use of this technology over time. </w:t>
      </w:r>
      <w:r w:rsidR="00266581">
        <w:t>Six</w:t>
      </w:r>
      <w:r w:rsidR="00604532">
        <w:t xml:space="preserve"> new</w:t>
      </w:r>
      <w:r w:rsidRPr="000E3B9F" w:rsidR="002E1020">
        <w:t xml:space="preserve"> question</w:t>
      </w:r>
      <w:r w:rsidR="00604532">
        <w:t>s</w:t>
      </w:r>
      <w:r w:rsidRPr="000E3B9F" w:rsidR="006A1706">
        <w:t xml:space="preserve"> on the 2020 NEHRS</w:t>
      </w:r>
      <w:r w:rsidRPr="000E3B9F" w:rsidR="002E1020">
        <w:t xml:space="preserve"> </w:t>
      </w:r>
      <w:r w:rsidR="00604532">
        <w:t>are</w:t>
      </w:r>
      <w:r w:rsidRPr="000E3B9F" w:rsidR="002E1020">
        <w:t xml:space="preserve"> designed to assess </w:t>
      </w:r>
      <w:r w:rsidRPr="000E3B9F" w:rsidR="002A04E8">
        <w:t xml:space="preserve">the use of </w:t>
      </w:r>
      <w:r w:rsidRPr="000E3B9F" w:rsidR="006A1706">
        <w:t xml:space="preserve">telemedicine technology in direct response to the </w:t>
      </w:r>
      <w:r w:rsidR="00316A32">
        <w:t xml:space="preserve">COVID-19 </w:t>
      </w:r>
      <w:r w:rsidRPr="000E3B9F" w:rsidR="006A1706">
        <w:t>pandemic. Telemedicine technology has increasingly become a powerful tool for delivering clinical services to patients</w:t>
      </w:r>
      <w:r w:rsidRPr="000E3B9F" w:rsidR="002A04E8">
        <w:t xml:space="preserve"> as a result of </w:t>
      </w:r>
      <w:r w:rsidR="00316A32">
        <w:t>COVID</w:t>
      </w:r>
      <w:r w:rsidRPr="000E3B9F" w:rsidR="002A04E8">
        <w:t>-19</w:t>
      </w:r>
      <w:r w:rsidRPr="000E3B9F" w:rsidR="006A1706">
        <w:t>. While protecting themselves, patients</w:t>
      </w:r>
      <w:r w:rsidRPr="000E3B9F" w:rsidR="002A04E8">
        <w:t>,</w:t>
      </w:r>
      <w:r w:rsidRPr="000E3B9F" w:rsidR="006A1706">
        <w:t xml:space="preserve"> and office staff, physicians are overwhelmed with providing clinical services.</w:t>
      </w:r>
      <w:r w:rsidRPr="000E3B9F" w:rsidR="002A04E8">
        <w:t xml:space="preserve"> Telemedicine provides a safe, real-time visit with a health care provider.</w:t>
      </w:r>
      <w:r w:rsidRPr="000E3B9F" w:rsidR="006A1706">
        <w:t xml:space="preserve"> </w:t>
      </w:r>
      <w:r w:rsidRPr="000E3B9F" w:rsidR="005D0589">
        <w:t xml:space="preserve">ONC </w:t>
      </w:r>
      <w:r w:rsidRPr="000E3B9F" w:rsidR="002A04E8">
        <w:t>has reviewed and approved the proposed question</w:t>
      </w:r>
      <w:r w:rsidR="00604532">
        <w:t>s</w:t>
      </w:r>
      <w:r w:rsidRPr="000E3B9F" w:rsidR="002A04E8">
        <w:t>.</w:t>
      </w:r>
    </w:p>
    <w:p w:rsidRPr="000E3B9F" w:rsidR="006A1706" w:rsidP="00F36FB4" w:rsidRDefault="006A1706"/>
    <w:p w:rsidR="002A04E8" w:rsidP="00F36FB4" w:rsidRDefault="00AD73D1">
      <w:r w:rsidRPr="000E3B9F">
        <w:t>To ensure necessary trends and practice data are collected, only a few modificati</w:t>
      </w:r>
      <w:r w:rsidRPr="000E3B9F" w:rsidR="000C259C">
        <w:t>ons in the approved questions from the 2020 NEHRS are proposed for this submission. These changes</w:t>
      </w:r>
      <w:r w:rsidRPr="000E3B9F" w:rsidR="00E85532">
        <w:t xml:space="preserve"> are described </w:t>
      </w:r>
      <w:r w:rsidRPr="000E3B9F" w:rsidR="000C259C">
        <w:t xml:space="preserve">in </w:t>
      </w:r>
      <w:r w:rsidRPr="000E3B9F" w:rsidR="000C259C">
        <w:rPr>
          <w:b/>
          <w:bCs/>
        </w:rPr>
        <w:t>Attachment B</w:t>
      </w:r>
      <w:r w:rsidRPr="000E3B9F" w:rsidR="000C259C">
        <w:t>. The rationale for these changes is to improve clarity</w:t>
      </w:r>
      <w:r w:rsidRPr="000E3B9F" w:rsidR="001D6936">
        <w:t xml:space="preserve">, </w:t>
      </w:r>
      <w:r w:rsidR="00DE138A">
        <w:t xml:space="preserve">update the burden statement, </w:t>
      </w:r>
      <w:r w:rsidRPr="000E3B9F" w:rsidR="001D6936">
        <w:t>reduce the burden, and update terminology.</w:t>
      </w:r>
    </w:p>
    <w:p w:rsidR="001D6936" w:rsidP="00F36FB4" w:rsidRDefault="001D6936"/>
    <w:p w:rsidRPr="000E3B9F" w:rsidR="002E1020" w:rsidP="005D0589" w:rsidRDefault="005D0589">
      <w:r>
        <w:t xml:space="preserve">NCHS proposes to delete </w:t>
      </w:r>
      <w:r w:rsidRPr="000E3B9F">
        <w:t xml:space="preserve">content </w:t>
      </w:r>
      <w:r w:rsidR="00DC4473">
        <w:t xml:space="preserve">from the questionnaire </w:t>
      </w:r>
      <w:r w:rsidRPr="000E3B9F">
        <w:t xml:space="preserve">deemed nonessential </w:t>
      </w:r>
      <w:r w:rsidR="00F01629">
        <w:t xml:space="preserve">for the current priorities of ONC </w:t>
      </w:r>
      <w:r w:rsidRPr="000E3B9F">
        <w:t>or not well suited for an office-based physician t</w:t>
      </w:r>
      <w:r w:rsidR="00DC4473">
        <w:t>o answer</w:t>
      </w:r>
      <w:r w:rsidRPr="000E3B9F">
        <w:t>, as these topi</w:t>
      </w:r>
      <w:r w:rsidRPr="000E3B9F" w:rsidR="004851E8">
        <w:t>cs are no longer a priority for ONC</w:t>
      </w:r>
      <w:r w:rsidRPr="000E3B9F">
        <w:t xml:space="preserve">. Deletions are described in </w:t>
      </w:r>
      <w:r w:rsidRPr="000E3B9F">
        <w:rPr>
          <w:b/>
          <w:bCs/>
        </w:rPr>
        <w:t>Attachment B</w:t>
      </w:r>
      <w:r w:rsidRPr="000E3B9F">
        <w:t>.</w:t>
      </w:r>
      <w:r w:rsidR="00386DF7">
        <w:t xml:space="preserve"> </w:t>
      </w:r>
      <w:r w:rsidR="00DE138A">
        <w:t xml:space="preserve">CCQDER was consulted for cognitive testing. </w:t>
      </w:r>
      <w:r w:rsidR="00033C5D">
        <w:t>However, the</w:t>
      </w:r>
      <w:r w:rsidR="00DE138A">
        <w:t xml:space="preserve"> COVID-19 pandemic has placed extreme burden on our </w:t>
      </w:r>
      <w:r w:rsidR="00033C5D">
        <w:t xml:space="preserve">target </w:t>
      </w:r>
      <w:r w:rsidR="00DE138A">
        <w:t xml:space="preserve">survey population. </w:t>
      </w:r>
      <w:r w:rsidR="00033C5D">
        <w:t xml:space="preserve">As a result, ONC and NCHS have relied on expert review by office-based physicians to inform survey content. </w:t>
      </w:r>
      <w:r w:rsidR="009A3307">
        <w:t>The</w:t>
      </w:r>
      <w:r w:rsidRPr="000E3B9F" w:rsidR="002E1020">
        <w:t xml:space="preserve"> proposal to </w:t>
      </w:r>
      <w:r w:rsidR="009A3307">
        <w:t>reduce</w:t>
      </w:r>
      <w:r w:rsidRPr="000E3B9F" w:rsidR="009A3307">
        <w:t xml:space="preserve"> </w:t>
      </w:r>
      <w:r w:rsidRPr="000E3B9F" w:rsidR="002E1020">
        <w:t>content is an effort to improve physician response rates and reduce respondent burden</w:t>
      </w:r>
      <w:r w:rsidR="009A3307">
        <w:t>. The proposed changes have been</w:t>
      </w:r>
      <w:r w:rsidR="00604532">
        <w:t xml:space="preserve"> </w:t>
      </w:r>
      <w:r w:rsidR="009A3307">
        <w:t>made in collaboration with</w:t>
      </w:r>
      <w:r w:rsidRPr="000E3B9F">
        <w:t xml:space="preserve"> ONC</w:t>
      </w:r>
      <w:r w:rsidRPr="000E3B9F" w:rsidR="002E1020">
        <w:t>.</w:t>
      </w:r>
      <w:r w:rsidRPr="000E3B9F" w:rsidR="004851E8">
        <w:t xml:space="preserve"> Overall, the changes reduce the currently approved average response time and total burden hours for the NEHRS.</w:t>
      </w:r>
    </w:p>
    <w:p w:rsidR="00A61F4D" w:rsidP="00F36FB4" w:rsidRDefault="00A61F4D"/>
    <w:p w:rsidRPr="00B154D4" w:rsidR="00341D6E" w:rsidP="00341D6E" w:rsidRDefault="00341D6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sidRPr="00B154D4">
        <w:rPr>
          <w:rFonts w:ascii="Times New Roman" w:hAnsi="Times New Roman"/>
          <w:b/>
          <w:bCs/>
          <w:color w:val="000000"/>
        </w:rPr>
        <w:t>3.  Use of Improved Information Technology and Burden R</w:t>
      </w:r>
      <w:r w:rsidR="00DC4473">
        <w:rPr>
          <w:rFonts w:ascii="Times New Roman" w:hAnsi="Times New Roman"/>
          <w:b/>
          <w:bCs/>
          <w:color w:val="000000"/>
        </w:rPr>
        <w:t>ed</w:t>
      </w:r>
      <w:r w:rsidRPr="00B154D4">
        <w:rPr>
          <w:rFonts w:ascii="Times New Roman" w:hAnsi="Times New Roman"/>
          <w:b/>
          <w:bCs/>
          <w:color w:val="000000"/>
        </w:rPr>
        <w:t>uction</w:t>
      </w:r>
    </w:p>
    <w:p w:rsidRPr="00B154D4" w:rsidR="00341D6E" w:rsidP="00341D6E" w:rsidRDefault="00341D6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18423E" w:rsidP="0057588E" w:rsidRDefault="00C37F8D">
      <w:pPr>
        <w:rPr>
          <w:color w:val="000000"/>
        </w:rPr>
      </w:pPr>
      <w:r>
        <w:rPr>
          <w:color w:val="000000"/>
        </w:rPr>
        <w:t>The c</w:t>
      </w:r>
      <w:r w:rsidR="006B487F">
        <w:rPr>
          <w:color w:val="000000"/>
        </w:rPr>
        <w:t>urrently</w:t>
      </w:r>
      <w:r>
        <w:rPr>
          <w:color w:val="000000"/>
        </w:rPr>
        <w:t xml:space="preserve"> approved </w:t>
      </w:r>
      <w:r w:rsidR="0002601C">
        <w:rPr>
          <w:color w:val="000000"/>
        </w:rPr>
        <w:t>NEHRS use</w:t>
      </w:r>
      <w:r w:rsidR="006B487F">
        <w:rPr>
          <w:color w:val="000000"/>
        </w:rPr>
        <w:t>s a mixed-mode approach to data collection, which includes self-administered mail, web, and the CATI. NCHS proposes continued use of the mail and web modalities in data collection</w:t>
      </w:r>
      <w:r w:rsidR="004D5325">
        <w:rPr>
          <w:color w:val="000000"/>
        </w:rPr>
        <w:t xml:space="preserve"> and discontinuation of the CATI because of low response to this mode. </w:t>
      </w:r>
      <w:r w:rsidR="00865F91">
        <w:rPr>
          <w:color w:val="000000"/>
        </w:rPr>
        <w:t xml:space="preserve">The percentage of </w:t>
      </w:r>
      <w:r w:rsidR="009010FC">
        <w:rPr>
          <w:color w:val="000000"/>
        </w:rPr>
        <w:t>respondents</w:t>
      </w:r>
      <w:r w:rsidR="00865F91">
        <w:rPr>
          <w:color w:val="000000"/>
        </w:rPr>
        <w:t xml:space="preserve"> </w:t>
      </w:r>
      <w:r w:rsidR="009010FC">
        <w:rPr>
          <w:color w:val="000000"/>
        </w:rPr>
        <w:t>who successfully completed the survey</w:t>
      </w:r>
      <w:r w:rsidR="00865F91">
        <w:rPr>
          <w:color w:val="000000"/>
        </w:rPr>
        <w:t xml:space="preserve"> </w:t>
      </w:r>
      <w:r w:rsidR="009010FC">
        <w:rPr>
          <w:color w:val="000000"/>
        </w:rPr>
        <w:t>via</w:t>
      </w:r>
      <w:r w:rsidR="00865F91">
        <w:rPr>
          <w:color w:val="000000"/>
        </w:rPr>
        <w:t xml:space="preserve"> </w:t>
      </w:r>
      <w:r w:rsidR="009010FC">
        <w:rPr>
          <w:color w:val="000000"/>
        </w:rPr>
        <w:t xml:space="preserve">the </w:t>
      </w:r>
      <w:r w:rsidR="00865F91">
        <w:rPr>
          <w:color w:val="000000"/>
        </w:rPr>
        <w:t>CATI</w:t>
      </w:r>
      <w:r w:rsidR="009010FC">
        <w:rPr>
          <w:color w:val="000000"/>
        </w:rPr>
        <w:t xml:space="preserve"> </w:t>
      </w:r>
      <w:r w:rsidR="00865F91">
        <w:rPr>
          <w:color w:val="000000"/>
        </w:rPr>
        <w:t xml:space="preserve">was </w:t>
      </w:r>
      <w:r w:rsidR="009010FC">
        <w:rPr>
          <w:color w:val="000000"/>
        </w:rPr>
        <w:t>11.8</w:t>
      </w:r>
      <w:r w:rsidR="00865F91">
        <w:rPr>
          <w:color w:val="000000"/>
        </w:rPr>
        <w:t xml:space="preserve">% in 2017, </w:t>
      </w:r>
      <w:r w:rsidR="009010FC">
        <w:rPr>
          <w:color w:val="000000"/>
        </w:rPr>
        <w:t>18.6</w:t>
      </w:r>
      <w:r w:rsidR="00865F91">
        <w:rPr>
          <w:color w:val="000000"/>
        </w:rPr>
        <w:t xml:space="preserve">% in 2018, and </w:t>
      </w:r>
      <w:r w:rsidR="003610B4">
        <w:rPr>
          <w:color w:val="000000"/>
        </w:rPr>
        <w:t xml:space="preserve">only </w:t>
      </w:r>
      <w:r w:rsidR="009010FC">
        <w:rPr>
          <w:color w:val="000000"/>
        </w:rPr>
        <w:t>7.5</w:t>
      </w:r>
      <w:r w:rsidR="00865F91">
        <w:rPr>
          <w:color w:val="000000"/>
        </w:rPr>
        <w:t>% in 2019. These estimates are based on final report values</w:t>
      </w:r>
      <w:r w:rsidR="008E5622">
        <w:rPr>
          <w:color w:val="000000"/>
        </w:rPr>
        <w:t xml:space="preserve"> from</w:t>
      </w:r>
      <w:r w:rsidR="00865F91">
        <w:rPr>
          <w:color w:val="000000"/>
        </w:rPr>
        <w:t xml:space="preserve"> the 201</w:t>
      </w:r>
      <w:r w:rsidR="009010FC">
        <w:rPr>
          <w:color w:val="000000"/>
        </w:rPr>
        <w:t>7-</w:t>
      </w:r>
      <w:r w:rsidR="00865F91">
        <w:rPr>
          <w:color w:val="000000"/>
        </w:rPr>
        <w:t>2018 NEHRS and the draft final report for 2019 NEHRS.</w:t>
      </w:r>
      <w:r w:rsidR="004B0E6D">
        <w:rPr>
          <w:color w:val="000000"/>
        </w:rPr>
        <w:t xml:space="preserve"> With only</w:t>
      </w:r>
      <w:r w:rsidR="008E5622">
        <w:rPr>
          <w:color w:val="000000"/>
        </w:rPr>
        <w:t xml:space="preserve"> mail and web </w:t>
      </w:r>
      <w:r w:rsidR="004B0E6D">
        <w:rPr>
          <w:color w:val="000000"/>
        </w:rPr>
        <w:t>modes of administration, resources will be reallocated to physician tracing efforts</w:t>
      </w:r>
      <w:r w:rsidR="007912D4">
        <w:rPr>
          <w:color w:val="000000"/>
        </w:rPr>
        <w:t xml:space="preserve">, which </w:t>
      </w:r>
      <w:r w:rsidR="00027E3E">
        <w:rPr>
          <w:color w:val="000000"/>
        </w:rPr>
        <w:t>is expected to simultaneously decrease burden while also increasing response rates</w:t>
      </w:r>
      <w:r w:rsidR="004B0E6D">
        <w:rPr>
          <w:color w:val="000000"/>
        </w:rPr>
        <w:t xml:space="preserve">. </w:t>
      </w:r>
    </w:p>
    <w:p w:rsidR="00C37F8D" w:rsidP="0057588E" w:rsidRDefault="00C37F8D">
      <w:pPr>
        <w:rPr>
          <w:color w:val="000000"/>
        </w:rPr>
      </w:pPr>
    </w:p>
    <w:p w:rsidR="00C37F8D" w:rsidP="0057588E" w:rsidRDefault="00C37F8D">
      <w:pPr>
        <w:rPr>
          <w:color w:val="000000"/>
        </w:rPr>
      </w:pPr>
      <w:r>
        <w:rPr>
          <w:color w:val="000000"/>
        </w:rPr>
        <w:t xml:space="preserve">The web instrument incorporates </w:t>
      </w:r>
      <w:r w:rsidRPr="00C37F8D">
        <w:rPr>
          <w:color w:val="000000"/>
        </w:rPr>
        <w:t>skip patterns and logic checks. The skip patterns use responses to initial survey questions by a respondent to determine if other survey questions are not applicable, allowing a respondent to automatically skip over them. This instrument design feature allows for a reduction in response burden, where applicable.</w:t>
      </w:r>
    </w:p>
    <w:p w:rsidR="0018423E" w:rsidP="0057588E" w:rsidRDefault="0018423E">
      <w:pPr>
        <w:rPr>
          <w:color w:val="000000"/>
        </w:rPr>
      </w:pPr>
    </w:p>
    <w:p w:rsidR="006B487F" w:rsidP="0057588E" w:rsidRDefault="004B0E6D">
      <w:pPr>
        <w:rPr>
          <w:color w:val="000000"/>
        </w:rPr>
      </w:pPr>
      <w:r>
        <w:rPr>
          <w:color w:val="000000"/>
        </w:rPr>
        <w:t xml:space="preserve">In recent years that NEHRS has been conducted, there has been an increasing number of physicians who have responded through the self-administered web instrument compared to earlier years. As such, beginning with the 2019 NEHRS there has been added emphasis on locating physician email addresses. Tracing of these email addresses is projected to increase the number of physician responses. In addition, tracing of physical mailing addresses </w:t>
      </w:r>
      <w:r w:rsidR="003A1F86">
        <w:rPr>
          <w:color w:val="000000"/>
        </w:rPr>
        <w:t>is projected to increase</w:t>
      </w:r>
      <w:r>
        <w:rPr>
          <w:color w:val="000000"/>
        </w:rPr>
        <w:t xml:space="preserve"> the number of respondents who self-administer the survey via mail. Recruitment will start with email invitations to a web-based survey and will then be followed by three mailings.</w:t>
      </w:r>
    </w:p>
    <w:p w:rsidR="006C1EC5" w:rsidRDefault="006C1EC5">
      <w:pPr>
        <w:rPr>
          <w:color w:val="000000"/>
        </w:rPr>
      </w:pPr>
    </w:p>
    <w:p w:rsidRPr="0053172C" w:rsidR="00A545F8" w:rsidP="00A545F8" w:rsidRDefault="00A54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53172C">
        <w:rPr>
          <w:b/>
          <w:bCs/>
          <w:color w:val="000000"/>
        </w:rPr>
        <w:t xml:space="preserve">12.  Estimates of Annualized Burden Hours and Costs </w:t>
      </w:r>
    </w:p>
    <w:p w:rsidRPr="0053172C" w:rsidR="00A545F8" w:rsidP="00A545F8" w:rsidRDefault="00A545F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A545F8" w:rsidP="00A545F8" w:rsidRDefault="00A545F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sidRPr="0053172C">
        <w:rPr>
          <w:rFonts w:ascii="Times New Roman" w:hAnsi="Times New Roman"/>
          <w:b/>
          <w:bCs/>
          <w:color w:val="000000"/>
        </w:rPr>
        <w:t>A. Burden Hours</w:t>
      </w:r>
    </w:p>
    <w:p w:rsidR="00A545F8" w:rsidP="00A545F8" w:rsidRDefault="00A545F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p>
    <w:p w:rsidR="008E5622" w:rsidP="00A545F8" w:rsidRDefault="008E562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rPr>
      </w:pPr>
      <w:r>
        <w:rPr>
          <w:rFonts w:ascii="Times New Roman" w:hAnsi="Times New Roman"/>
          <w:color w:val="000000"/>
        </w:rPr>
        <w:t xml:space="preserve">This non-substantive proposal requests OMB approval for changes to the approved 2020 NEHRS </w:t>
      </w:r>
    </w:p>
    <w:p w:rsidR="008E5622" w:rsidP="008E5622" w:rsidRDefault="008E5622">
      <w:pPr>
        <w:pStyle w:val="Style0"/>
        <w:tabs>
          <w:tab w:val="left" w:pos="2880"/>
        </w:tabs>
        <w:outlineLvl w:val="0"/>
        <w:rPr>
          <w:rFonts w:ascii="Times New Roman" w:hAnsi="Times New Roman"/>
          <w:color w:val="000000"/>
        </w:rPr>
      </w:pPr>
      <w:r>
        <w:rPr>
          <w:rFonts w:ascii="Times New Roman" w:hAnsi="Times New Roman"/>
          <w:color w:val="000000"/>
        </w:rPr>
        <w:t xml:space="preserve">form </w:t>
      </w:r>
      <w:r w:rsidRPr="008E5622">
        <w:rPr>
          <w:rFonts w:ascii="Times New Roman" w:hAnsi="Times New Roman"/>
          <w:color w:val="000000"/>
        </w:rPr>
        <w:t>(OMB No. 0920</w:t>
      </w:r>
      <w:r w:rsidRPr="008E5622">
        <w:rPr>
          <w:rFonts w:ascii="Times New Roman" w:hAnsi="Times New Roman"/>
          <w:color w:val="000000"/>
        </w:rPr>
        <w:noBreakHyphen/>
        <w:t>1015 Exp. Date 12/31/2022).</w:t>
      </w:r>
      <w:r>
        <w:rPr>
          <w:rFonts w:ascii="Times New Roman" w:hAnsi="Times New Roman"/>
          <w:color w:val="000000"/>
        </w:rPr>
        <w:t xml:space="preserve"> The 2020, 2021, and 2022 NEHRS are expected to sample 10,302 physicians each year. Given the</w:t>
      </w:r>
      <w:r w:rsidR="001D4556">
        <w:rPr>
          <w:rFonts w:ascii="Times New Roman" w:hAnsi="Times New Roman"/>
          <w:color w:val="000000"/>
        </w:rPr>
        <w:t xml:space="preserve"> proposed shortening of the 2020 NEHRS, the 5,151 hours of burden associated with administration of the survey have been removed resulting in a new total burden value of 3,434 hours.</w:t>
      </w:r>
    </w:p>
    <w:p w:rsidR="008E5622" w:rsidP="00A545F8" w:rsidRDefault="008E562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rPr>
      </w:pPr>
    </w:p>
    <w:p w:rsidR="00EA31F9" w:rsidP="00AD0206" w:rsidRDefault="001D455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Table </w:t>
      </w:r>
      <w:r w:rsidR="003E58D2">
        <w:rPr>
          <w:rFonts w:ascii="Times New Roman" w:hAnsi="Times New Roman"/>
        </w:rPr>
        <w:t>1</w:t>
      </w:r>
      <w:r>
        <w:rPr>
          <w:rFonts w:ascii="Times New Roman" w:hAnsi="Times New Roman"/>
        </w:rPr>
        <w:t xml:space="preserve"> below represents estimates for each year of data collection over the approval period (2020-2022). NEHRS will be administered to 10,302 physicians each year of the approval.</w:t>
      </w:r>
    </w:p>
    <w:p w:rsidR="00033C5D" w:rsidP="00EA31F9" w:rsidRDefault="00033C5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p>
    <w:p w:rsidR="00734958" w:rsidP="00EA31F9" w:rsidRDefault="0073495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rPr>
      </w:pPr>
    </w:p>
    <w:p w:rsidR="00266581" w:rsidP="00EA31F9" w:rsidRDefault="0026658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rPr>
      </w:pPr>
    </w:p>
    <w:p w:rsidRPr="0053172C" w:rsidR="00EA31F9" w:rsidP="00EA31F9" w:rsidRDefault="001D455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rPr>
      </w:pPr>
      <w:r>
        <w:rPr>
          <w:rFonts w:ascii="Times New Roman" w:hAnsi="Times New Roman"/>
          <w:color w:val="000000"/>
        </w:rPr>
        <w:t xml:space="preserve">Table </w:t>
      </w:r>
      <w:r w:rsidR="003E58D2">
        <w:rPr>
          <w:rFonts w:ascii="Times New Roman" w:hAnsi="Times New Roman"/>
          <w:color w:val="000000"/>
        </w:rPr>
        <w:t>1</w:t>
      </w:r>
      <w:r>
        <w:rPr>
          <w:rFonts w:ascii="Times New Roman" w:hAnsi="Times New Roman"/>
          <w:color w:val="000000"/>
        </w:rPr>
        <w:t>. Estimated Annualized Burden Hours</w:t>
      </w:r>
    </w:p>
    <w:tbl>
      <w:tblPr>
        <w:tblW w:w="9731" w:type="dxa"/>
        <w:tblInd w:w="108" w:type="dxa"/>
        <w:tblBorders>
          <w:left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3"/>
        <w:gridCol w:w="2688"/>
        <w:gridCol w:w="1483"/>
        <w:gridCol w:w="1297"/>
        <w:gridCol w:w="1390"/>
        <w:gridCol w:w="1390"/>
      </w:tblGrid>
      <w:tr w:rsidRPr="0053172C" w:rsidR="00EA31F9" w:rsidTr="006273FD">
        <w:trPr>
          <w:cantSplit/>
          <w:trHeight w:val="922"/>
        </w:trPr>
        <w:tc>
          <w:tcPr>
            <w:tcW w:w="1483" w:type="dxa"/>
            <w:tcBorders>
              <w:top w:val="single" w:color="auto" w:sz="4" w:space="0"/>
              <w:bottom w:val="single" w:color="auto" w:sz="4" w:space="0"/>
            </w:tcBorders>
            <w:vAlign w:val="bottom"/>
          </w:tcPr>
          <w:p w:rsidRPr="0053172C" w:rsidR="00EA31F9" w:rsidP="00307C8A" w:rsidRDefault="00EA31F9">
            <w:pPr>
              <w:jc w:val="center"/>
              <w:rPr>
                <w:b/>
                <w:sz w:val="20"/>
                <w:szCs w:val="20"/>
              </w:rPr>
            </w:pPr>
          </w:p>
          <w:p w:rsidRPr="0053172C" w:rsidR="00EA31F9" w:rsidP="00307C8A" w:rsidRDefault="00EA31F9">
            <w:pPr>
              <w:jc w:val="center"/>
              <w:rPr>
                <w:b/>
                <w:sz w:val="20"/>
                <w:szCs w:val="20"/>
              </w:rPr>
            </w:pPr>
            <w:r w:rsidRPr="0053172C">
              <w:rPr>
                <w:b/>
                <w:sz w:val="20"/>
                <w:szCs w:val="20"/>
              </w:rPr>
              <w:t>Type of Respondent</w:t>
            </w:r>
          </w:p>
        </w:tc>
        <w:tc>
          <w:tcPr>
            <w:tcW w:w="2688" w:type="dxa"/>
            <w:tcBorders>
              <w:top w:val="single" w:color="auto" w:sz="4" w:space="0"/>
              <w:bottom w:val="single" w:color="auto" w:sz="4" w:space="0"/>
            </w:tcBorders>
            <w:vAlign w:val="bottom"/>
          </w:tcPr>
          <w:p w:rsidRPr="0053172C" w:rsidR="00EA31F9" w:rsidP="00307C8A" w:rsidRDefault="00EA31F9">
            <w:pPr>
              <w:jc w:val="center"/>
              <w:rPr>
                <w:b/>
                <w:sz w:val="20"/>
                <w:szCs w:val="20"/>
              </w:rPr>
            </w:pPr>
            <w:r w:rsidRPr="0053172C">
              <w:rPr>
                <w:b/>
                <w:sz w:val="20"/>
                <w:szCs w:val="20"/>
              </w:rPr>
              <w:t>Form Name</w:t>
            </w:r>
          </w:p>
        </w:tc>
        <w:tc>
          <w:tcPr>
            <w:tcW w:w="1483" w:type="dxa"/>
            <w:tcBorders>
              <w:top w:val="single" w:color="auto" w:sz="4" w:space="0"/>
              <w:bottom w:val="single" w:color="auto" w:sz="4" w:space="0"/>
            </w:tcBorders>
            <w:vAlign w:val="bottom"/>
          </w:tcPr>
          <w:p w:rsidRPr="0053172C" w:rsidR="00EA31F9" w:rsidP="00307C8A" w:rsidRDefault="00EA31F9">
            <w:pPr>
              <w:jc w:val="center"/>
              <w:rPr>
                <w:b/>
                <w:sz w:val="20"/>
                <w:szCs w:val="20"/>
              </w:rPr>
            </w:pPr>
          </w:p>
          <w:p w:rsidRPr="0053172C" w:rsidR="00EA31F9" w:rsidP="00307C8A" w:rsidRDefault="00EA31F9">
            <w:pPr>
              <w:jc w:val="center"/>
              <w:rPr>
                <w:b/>
                <w:sz w:val="20"/>
                <w:szCs w:val="20"/>
              </w:rPr>
            </w:pPr>
            <w:r w:rsidRPr="0053172C">
              <w:rPr>
                <w:b/>
                <w:sz w:val="20"/>
                <w:szCs w:val="20"/>
              </w:rPr>
              <w:t>Number of Respondents</w:t>
            </w:r>
          </w:p>
        </w:tc>
        <w:tc>
          <w:tcPr>
            <w:tcW w:w="1297" w:type="dxa"/>
            <w:tcBorders>
              <w:top w:val="single" w:color="auto" w:sz="4" w:space="0"/>
              <w:bottom w:val="single" w:color="auto" w:sz="4" w:space="0"/>
            </w:tcBorders>
            <w:vAlign w:val="bottom"/>
          </w:tcPr>
          <w:p w:rsidRPr="0053172C" w:rsidR="00EA31F9" w:rsidP="00307C8A" w:rsidRDefault="00EA31F9">
            <w:pPr>
              <w:jc w:val="center"/>
              <w:rPr>
                <w:b/>
                <w:sz w:val="20"/>
                <w:szCs w:val="20"/>
              </w:rPr>
            </w:pPr>
          </w:p>
          <w:p w:rsidRPr="0053172C" w:rsidR="00EA31F9" w:rsidP="00307C8A" w:rsidRDefault="00EA31F9">
            <w:pPr>
              <w:jc w:val="center"/>
              <w:rPr>
                <w:b/>
                <w:sz w:val="20"/>
                <w:szCs w:val="20"/>
              </w:rPr>
            </w:pPr>
            <w:r w:rsidRPr="0053172C">
              <w:rPr>
                <w:b/>
                <w:sz w:val="20"/>
                <w:szCs w:val="20"/>
              </w:rPr>
              <w:t>Number of</w:t>
            </w:r>
          </w:p>
          <w:p w:rsidRPr="0053172C" w:rsidR="00EA31F9" w:rsidP="00307C8A" w:rsidRDefault="00EA31F9">
            <w:pPr>
              <w:jc w:val="center"/>
              <w:rPr>
                <w:b/>
                <w:sz w:val="20"/>
                <w:szCs w:val="20"/>
              </w:rPr>
            </w:pPr>
            <w:r w:rsidRPr="0053172C">
              <w:rPr>
                <w:b/>
                <w:sz w:val="20"/>
                <w:szCs w:val="20"/>
              </w:rPr>
              <w:t>Responses per</w:t>
            </w:r>
          </w:p>
          <w:p w:rsidRPr="0053172C" w:rsidR="00EA31F9" w:rsidP="00307C8A" w:rsidRDefault="00EA31F9">
            <w:pPr>
              <w:jc w:val="center"/>
              <w:rPr>
                <w:b/>
                <w:sz w:val="20"/>
                <w:szCs w:val="20"/>
              </w:rPr>
            </w:pPr>
            <w:r w:rsidRPr="0053172C">
              <w:rPr>
                <w:b/>
                <w:sz w:val="20"/>
                <w:szCs w:val="20"/>
              </w:rPr>
              <w:t>Respondent</w:t>
            </w:r>
          </w:p>
        </w:tc>
        <w:tc>
          <w:tcPr>
            <w:tcW w:w="1390" w:type="dxa"/>
            <w:tcBorders>
              <w:top w:val="single" w:color="auto" w:sz="4" w:space="0"/>
              <w:bottom w:val="single" w:color="auto" w:sz="4" w:space="0"/>
            </w:tcBorders>
            <w:vAlign w:val="bottom"/>
          </w:tcPr>
          <w:p w:rsidRPr="0053172C" w:rsidR="00EA31F9" w:rsidP="00307C8A" w:rsidRDefault="00EA31F9">
            <w:pPr>
              <w:jc w:val="center"/>
              <w:rPr>
                <w:b/>
                <w:sz w:val="20"/>
                <w:szCs w:val="20"/>
              </w:rPr>
            </w:pPr>
            <w:r w:rsidRPr="0053172C">
              <w:rPr>
                <w:b/>
                <w:sz w:val="20"/>
                <w:szCs w:val="20"/>
              </w:rPr>
              <w:t>Average Burden per Response (Hours)</w:t>
            </w:r>
          </w:p>
        </w:tc>
        <w:tc>
          <w:tcPr>
            <w:tcW w:w="1390" w:type="dxa"/>
            <w:tcBorders>
              <w:top w:val="single" w:color="auto" w:sz="4" w:space="0"/>
              <w:bottom w:val="single" w:color="auto" w:sz="4" w:space="0"/>
            </w:tcBorders>
            <w:vAlign w:val="bottom"/>
          </w:tcPr>
          <w:p w:rsidRPr="0053172C" w:rsidR="00EA31F9" w:rsidP="00307C8A" w:rsidRDefault="00EA31F9">
            <w:pPr>
              <w:jc w:val="center"/>
              <w:rPr>
                <w:b/>
                <w:sz w:val="20"/>
                <w:szCs w:val="20"/>
              </w:rPr>
            </w:pPr>
          </w:p>
          <w:p w:rsidRPr="0053172C" w:rsidR="00EA31F9" w:rsidP="00307C8A" w:rsidRDefault="00EA31F9">
            <w:pPr>
              <w:jc w:val="center"/>
              <w:rPr>
                <w:b/>
                <w:sz w:val="20"/>
                <w:szCs w:val="20"/>
              </w:rPr>
            </w:pPr>
          </w:p>
          <w:p w:rsidRPr="0053172C" w:rsidR="00EA31F9" w:rsidP="00307C8A" w:rsidRDefault="00EA31F9">
            <w:pPr>
              <w:jc w:val="center"/>
              <w:rPr>
                <w:b/>
                <w:sz w:val="20"/>
                <w:szCs w:val="20"/>
              </w:rPr>
            </w:pPr>
            <w:r w:rsidRPr="0053172C">
              <w:rPr>
                <w:b/>
                <w:sz w:val="20"/>
                <w:szCs w:val="20"/>
              </w:rPr>
              <w:t>Total Burden</w:t>
            </w:r>
          </w:p>
          <w:p w:rsidRPr="0053172C" w:rsidR="00EA31F9" w:rsidP="00307C8A" w:rsidRDefault="00EA31F9">
            <w:pPr>
              <w:jc w:val="center"/>
              <w:rPr>
                <w:b/>
                <w:sz w:val="20"/>
                <w:szCs w:val="20"/>
              </w:rPr>
            </w:pPr>
            <w:r w:rsidRPr="0053172C">
              <w:rPr>
                <w:b/>
                <w:sz w:val="20"/>
                <w:szCs w:val="20"/>
              </w:rPr>
              <w:t>(Hours)</w:t>
            </w:r>
          </w:p>
        </w:tc>
      </w:tr>
      <w:tr w:rsidRPr="0053172C" w:rsidR="00EA31F9" w:rsidTr="006273FD">
        <w:trPr>
          <w:trHeight w:val="407"/>
        </w:trPr>
        <w:tc>
          <w:tcPr>
            <w:tcW w:w="1483" w:type="dxa"/>
            <w:vAlign w:val="bottom"/>
          </w:tcPr>
          <w:p w:rsidRPr="0053172C" w:rsidR="00EA31F9" w:rsidP="00307C8A" w:rsidRDefault="00EA31F9">
            <w:pPr>
              <w:rPr>
                <w:sz w:val="20"/>
                <w:szCs w:val="20"/>
              </w:rPr>
            </w:pPr>
            <w:r w:rsidRPr="0053172C">
              <w:rPr>
                <w:sz w:val="20"/>
                <w:szCs w:val="20"/>
              </w:rPr>
              <w:t>Office-based physicians</w:t>
            </w:r>
          </w:p>
        </w:tc>
        <w:tc>
          <w:tcPr>
            <w:tcW w:w="2688" w:type="dxa"/>
            <w:vAlign w:val="bottom"/>
          </w:tcPr>
          <w:p w:rsidRPr="0053172C" w:rsidR="00EA31F9" w:rsidP="000E3B9F" w:rsidRDefault="00EA31F9">
            <w:pPr>
              <w:jc w:val="center"/>
              <w:rPr>
                <w:sz w:val="20"/>
                <w:szCs w:val="20"/>
              </w:rPr>
            </w:pPr>
            <w:r w:rsidRPr="0053172C">
              <w:rPr>
                <w:sz w:val="20"/>
                <w:szCs w:val="20"/>
              </w:rPr>
              <w:t>NEHRS</w:t>
            </w:r>
          </w:p>
        </w:tc>
        <w:tc>
          <w:tcPr>
            <w:tcW w:w="1483" w:type="dxa"/>
            <w:vAlign w:val="bottom"/>
          </w:tcPr>
          <w:p w:rsidRPr="0053172C" w:rsidR="00EA31F9" w:rsidP="000E3B9F" w:rsidRDefault="00EA31F9">
            <w:pPr>
              <w:jc w:val="center"/>
              <w:rPr>
                <w:sz w:val="20"/>
                <w:szCs w:val="20"/>
              </w:rPr>
            </w:pPr>
            <w:r>
              <w:rPr>
                <w:sz w:val="20"/>
                <w:szCs w:val="20"/>
              </w:rPr>
              <w:t>10,302</w:t>
            </w:r>
          </w:p>
        </w:tc>
        <w:tc>
          <w:tcPr>
            <w:tcW w:w="1297" w:type="dxa"/>
            <w:vAlign w:val="bottom"/>
          </w:tcPr>
          <w:p w:rsidRPr="0053172C" w:rsidR="00EA31F9" w:rsidP="000E3B9F" w:rsidRDefault="00EA31F9">
            <w:pPr>
              <w:jc w:val="center"/>
              <w:rPr>
                <w:sz w:val="20"/>
                <w:szCs w:val="20"/>
              </w:rPr>
            </w:pPr>
            <w:r w:rsidRPr="0053172C">
              <w:rPr>
                <w:sz w:val="20"/>
                <w:szCs w:val="20"/>
              </w:rPr>
              <w:t>1</w:t>
            </w:r>
          </w:p>
        </w:tc>
        <w:tc>
          <w:tcPr>
            <w:tcW w:w="1390" w:type="dxa"/>
            <w:vAlign w:val="bottom"/>
          </w:tcPr>
          <w:p w:rsidRPr="0053172C" w:rsidR="00EA31F9" w:rsidP="000E3B9F" w:rsidRDefault="001D4556">
            <w:pPr>
              <w:jc w:val="center"/>
              <w:rPr>
                <w:sz w:val="20"/>
                <w:szCs w:val="20"/>
              </w:rPr>
            </w:pPr>
            <w:r>
              <w:rPr>
                <w:sz w:val="20"/>
                <w:szCs w:val="20"/>
              </w:rPr>
              <w:t>20</w:t>
            </w:r>
            <w:r w:rsidRPr="0053172C" w:rsidR="00EA31F9">
              <w:rPr>
                <w:sz w:val="20"/>
                <w:szCs w:val="20"/>
              </w:rPr>
              <w:t>/60</w:t>
            </w:r>
          </w:p>
        </w:tc>
        <w:tc>
          <w:tcPr>
            <w:tcW w:w="1390" w:type="dxa"/>
            <w:vAlign w:val="bottom"/>
          </w:tcPr>
          <w:p w:rsidRPr="0053172C" w:rsidR="00EA31F9" w:rsidP="000E3B9F" w:rsidRDefault="001D4556">
            <w:pPr>
              <w:jc w:val="center"/>
              <w:rPr>
                <w:sz w:val="20"/>
                <w:szCs w:val="20"/>
              </w:rPr>
            </w:pPr>
            <w:r>
              <w:rPr>
                <w:sz w:val="20"/>
                <w:szCs w:val="20"/>
              </w:rPr>
              <w:t>3,434</w:t>
            </w:r>
          </w:p>
        </w:tc>
      </w:tr>
      <w:tr w:rsidRPr="0053172C" w:rsidR="00EA31F9" w:rsidTr="006273FD">
        <w:trPr>
          <w:trHeight w:val="385"/>
        </w:trPr>
        <w:tc>
          <w:tcPr>
            <w:tcW w:w="1483" w:type="dxa"/>
            <w:tcBorders>
              <w:top w:val="single" w:color="auto" w:sz="4" w:space="0"/>
              <w:bottom w:val="single" w:color="auto" w:sz="4" w:space="0"/>
            </w:tcBorders>
            <w:vAlign w:val="bottom"/>
          </w:tcPr>
          <w:p w:rsidRPr="0053172C" w:rsidR="00EA31F9" w:rsidP="00307C8A" w:rsidRDefault="00EA31F9">
            <w:pPr>
              <w:rPr>
                <w:b/>
                <w:sz w:val="20"/>
                <w:szCs w:val="20"/>
              </w:rPr>
            </w:pPr>
            <w:r w:rsidRPr="0053172C">
              <w:rPr>
                <w:b/>
                <w:sz w:val="20"/>
                <w:szCs w:val="20"/>
              </w:rPr>
              <w:t>Total</w:t>
            </w:r>
          </w:p>
        </w:tc>
        <w:tc>
          <w:tcPr>
            <w:tcW w:w="2688" w:type="dxa"/>
            <w:tcBorders>
              <w:top w:val="single" w:color="auto" w:sz="4" w:space="0"/>
              <w:bottom w:val="single" w:color="auto" w:sz="4" w:space="0"/>
            </w:tcBorders>
            <w:vAlign w:val="bottom"/>
          </w:tcPr>
          <w:p w:rsidRPr="0053172C" w:rsidR="00EA31F9" w:rsidP="00307C8A" w:rsidRDefault="00EA31F9">
            <w:pPr>
              <w:rPr>
                <w:sz w:val="20"/>
                <w:szCs w:val="20"/>
              </w:rPr>
            </w:pPr>
          </w:p>
        </w:tc>
        <w:tc>
          <w:tcPr>
            <w:tcW w:w="1483" w:type="dxa"/>
            <w:tcBorders>
              <w:top w:val="single" w:color="auto" w:sz="4" w:space="0"/>
              <w:bottom w:val="single" w:color="auto" w:sz="4" w:space="0"/>
            </w:tcBorders>
            <w:vAlign w:val="bottom"/>
          </w:tcPr>
          <w:p w:rsidRPr="0053172C" w:rsidR="00EA31F9" w:rsidP="00307C8A" w:rsidRDefault="00EA31F9">
            <w:pPr>
              <w:rPr>
                <w:sz w:val="20"/>
                <w:szCs w:val="20"/>
              </w:rPr>
            </w:pPr>
          </w:p>
        </w:tc>
        <w:tc>
          <w:tcPr>
            <w:tcW w:w="1297" w:type="dxa"/>
            <w:tcBorders>
              <w:top w:val="single" w:color="auto" w:sz="4" w:space="0"/>
              <w:bottom w:val="single" w:color="auto" w:sz="4" w:space="0"/>
            </w:tcBorders>
            <w:vAlign w:val="bottom"/>
          </w:tcPr>
          <w:p w:rsidRPr="0053172C" w:rsidR="00EA31F9" w:rsidP="00307C8A" w:rsidRDefault="00EA31F9">
            <w:pPr>
              <w:rPr>
                <w:sz w:val="20"/>
                <w:szCs w:val="20"/>
              </w:rPr>
            </w:pPr>
          </w:p>
        </w:tc>
        <w:tc>
          <w:tcPr>
            <w:tcW w:w="1390" w:type="dxa"/>
            <w:tcBorders>
              <w:top w:val="single" w:color="auto" w:sz="4" w:space="0"/>
              <w:bottom w:val="single" w:color="auto" w:sz="4" w:space="0"/>
            </w:tcBorders>
            <w:vAlign w:val="bottom"/>
          </w:tcPr>
          <w:p w:rsidRPr="001C6D6B" w:rsidR="00EA31F9" w:rsidP="00307C8A" w:rsidRDefault="00EA31F9">
            <w:pPr>
              <w:rPr>
                <w:sz w:val="20"/>
                <w:szCs w:val="20"/>
              </w:rPr>
            </w:pPr>
          </w:p>
        </w:tc>
        <w:tc>
          <w:tcPr>
            <w:tcW w:w="1390" w:type="dxa"/>
            <w:tcBorders>
              <w:top w:val="single" w:color="auto" w:sz="4" w:space="0"/>
              <w:bottom w:val="single" w:color="auto" w:sz="4" w:space="0"/>
            </w:tcBorders>
            <w:vAlign w:val="bottom"/>
          </w:tcPr>
          <w:p w:rsidRPr="001C6D6B" w:rsidR="00EA31F9" w:rsidP="008569A4" w:rsidRDefault="001D4556">
            <w:pPr>
              <w:jc w:val="center"/>
              <w:rPr>
                <w:sz w:val="20"/>
                <w:szCs w:val="20"/>
              </w:rPr>
            </w:pPr>
            <w:r>
              <w:rPr>
                <w:sz w:val="20"/>
                <w:szCs w:val="20"/>
              </w:rPr>
              <w:t>3,434</w:t>
            </w:r>
          </w:p>
        </w:tc>
      </w:tr>
    </w:tbl>
    <w:p w:rsidRPr="00C01C4B" w:rsidR="000E3B9F" w:rsidP="00EA31F9" w:rsidRDefault="000E3B9F">
      <w:pPr>
        <w:autoSpaceDE w:val="0"/>
        <w:autoSpaceDN w:val="0"/>
        <w:adjustRightInd w:val="0"/>
        <w:outlineLvl w:val="0"/>
      </w:pPr>
    </w:p>
    <w:p w:rsidRPr="0053172C" w:rsidR="00A545F8" w:rsidP="00A545F8" w:rsidRDefault="00A545F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53172C">
        <w:rPr>
          <w:rFonts w:ascii="Times New Roman" w:hAnsi="Times New Roman"/>
          <w:b/>
          <w:bCs/>
          <w:color w:val="000000"/>
        </w:rPr>
        <w:t xml:space="preserve">B. Burden Cost </w:t>
      </w:r>
    </w:p>
    <w:p w:rsidRPr="0053172C" w:rsidR="00A545F8" w:rsidP="00A545F8" w:rsidRDefault="00A545F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A545F8" w:rsidP="000E3B9F" w:rsidRDefault="00027E3E">
      <w:pPr>
        <w:pStyle w:val="ListParagraph"/>
        <w:ind w:left="0"/>
      </w:pPr>
      <w:r>
        <w:t>Accounting for the reduction in burden, t</w:t>
      </w:r>
      <w:r w:rsidR="00E02D7B">
        <w:t>he average annual cost for office-based physicians and office staff to participate over th</w:t>
      </w:r>
      <w:r w:rsidR="003A1F86">
        <w:t>e</w:t>
      </w:r>
      <w:r w:rsidR="00E02D7B">
        <w:t xml:space="preserve"> data collections </w:t>
      </w:r>
      <w:r>
        <w:t xml:space="preserve">will also </w:t>
      </w:r>
      <w:r w:rsidR="00734958">
        <w:t>decrease and</w:t>
      </w:r>
      <w:r>
        <w:t xml:space="preserve"> </w:t>
      </w:r>
      <w:r w:rsidR="00E02D7B">
        <w:t xml:space="preserve">is estimated to </w:t>
      </w:r>
      <w:r w:rsidRPr="000E3B9F" w:rsidR="00E02D7B">
        <w:t>be $</w:t>
      </w:r>
      <w:r w:rsidRPr="000E3B9F" w:rsidR="000E3B9F">
        <w:t>273,243.38</w:t>
      </w:r>
      <w:r w:rsidRPr="00C420E5" w:rsidR="00E02D7B">
        <w:t>. The</w:t>
      </w:r>
      <w:r w:rsidR="00E02D7B">
        <w:t xml:space="preserve"> hourly wage estimates for completing the forms mentioned in Table 1 are based on information from the Bureau of Labor Statistics website (</w:t>
      </w:r>
      <w:hyperlink w:history="1" r:id="rId8">
        <w:r w:rsidRPr="00FE7EB1" w:rsidR="00E02D7B">
          <w:rPr>
            <w:rStyle w:val="Hyperlink"/>
          </w:rPr>
          <w:t>http://www.bls.</w:t>
        </w:r>
        <w:r w:rsidRPr="00FE7EB1" w:rsidR="00E02D7B">
          <w:rPr>
            <w:rStyle w:val="Hyperlink"/>
          </w:rPr>
          <w:t>g</w:t>
        </w:r>
        <w:r w:rsidRPr="00FE7EB1" w:rsidR="00E02D7B">
          <w:rPr>
            <w:rStyle w:val="Hyperlink"/>
          </w:rPr>
          <w:t>ov</w:t>
        </w:r>
      </w:hyperlink>
      <w:r w:rsidR="00E02D7B">
        <w:t xml:space="preserve">). The tables used for this calculation are the “May 2019 National Occupational Employment and Wage Estimates” for (1) healthcare practitioners and technical occupations, </w:t>
      </w:r>
      <w:r w:rsidR="00EE362F">
        <w:t>physicians, all other; and ophthalmologists, except pediatric</w:t>
      </w:r>
      <w:r w:rsidR="00E02D7B">
        <w:t>,</w:t>
      </w:r>
      <w:r w:rsidR="00EE362F">
        <w:t xml:space="preserve"> (2) surgeons, except ophthalmologists,</w:t>
      </w:r>
      <w:r w:rsidR="00E02D7B">
        <w:t xml:space="preserve"> and (</w:t>
      </w:r>
      <w:r w:rsidR="00EE362F">
        <w:t>3</w:t>
      </w:r>
      <w:r w:rsidR="00E02D7B">
        <w:t xml:space="preserve">) office </w:t>
      </w:r>
      <w:r w:rsidR="00EE362F">
        <w:t xml:space="preserve">and </w:t>
      </w:r>
      <w:r w:rsidR="00E02D7B">
        <w:t xml:space="preserve">administrative </w:t>
      </w:r>
      <w:r w:rsidR="00EE362F">
        <w:t>support occupations</w:t>
      </w:r>
      <w:r w:rsidR="00E02D7B">
        <w:t>. The total burden hours were evenly divided between the physicians</w:t>
      </w:r>
      <w:r w:rsidR="000E3B9F">
        <w:t>, surgeons,</w:t>
      </w:r>
      <w:r w:rsidR="00E02D7B">
        <w:t xml:space="preserve"> and administrative staff based on information from the 201</w:t>
      </w:r>
      <w:r w:rsidR="003A1F86">
        <w:t>9</w:t>
      </w:r>
      <w:r w:rsidR="00E02D7B">
        <w:t xml:space="preserve"> NEHRS data collection. As a result, the hourly wage rate of $</w:t>
      </w:r>
      <w:r w:rsidR="000E3B9F">
        <w:t>79.57</w:t>
      </w:r>
      <w:r w:rsidR="00E02D7B">
        <w:t xml:space="preserve"> in Table </w:t>
      </w:r>
      <w:r w:rsidR="000E3B9F">
        <w:t>2</w:t>
      </w:r>
      <w:r w:rsidR="00E02D7B">
        <w:t xml:space="preserve"> is an average of the mean hourly wages for physicians</w:t>
      </w:r>
      <w:r w:rsidR="000E3B9F">
        <w:t xml:space="preserve"> (i.e., $97.81), </w:t>
      </w:r>
      <w:r w:rsidR="00E02D7B">
        <w:t>surgeons (i.e., $1</w:t>
      </w:r>
      <w:r w:rsidR="000E3B9F">
        <w:t>21.17</w:t>
      </w:r>
      <w:r w:rsidR="00E02D7B">
        <w:t>) and administrative and support staff (i.e., $1</w:t>
      </w:r>
      <w:r w:rsidR="000E3B9F">
        <w:t>9.73</w:t>
      </w:r>
      <w:r w:rsidR="00E02D7B">
        <w:t xml:space="preserve">). </w:t>
      </w:r>
    </w:p>
    <w:p w:rsidRPr="000E3B9F" w:rsidR="00C37F8D" w:rsidP="000E3B9F" w:rsidRDefault="00C37F8D">
      <w:pPr>
        <w:pStyle w:val="ListParagraph"/>
        <w:ind w:left="0"/>
      </w:pPr>
    </w:p>
    <w:p w:rsidRPr="0053172C" w:rsidR="008569A4" w:rsidP="008569A4" w:rsidRDefault="008569A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rPr>
      </w:pPr>
      <w:r w:rsidRPr="0053172C">
        <w:rPr>
          <w:rFonts w:ascii="Times New Roman" w:hAnsi="Times New Roman"/>
          <w:color w:val="000000"/>
        </w:rPr>
        <w:t>Table</w:t>
      </w:r>
      <w:r>
        <w:rPr>
          <w:rFonts w:ascii="Times New Roman" w:hAnsi="Times New Roman"/>
          <w:color w:val="000000"/>
        </w:rPr>
        <w:t xml:space="preserve"> 2. Estimated Annualized Respondent Costs</w:t>
      </w:r>
    </w:p>
    <w:tbl>
      <w:tblPr>
        <w:tblW w:w="89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40"/>
        <w:gridCol w:w="1260"/>
        <w:gridCol w:w="990"/>
        <w:gridCol w:w="1620"/>
      </w:tblGrid>
      <w:tr w:rsidRPr="0053172C" w:rsidR="008569A4" w:rsidTr="0001731B">
        <w:trPr>
          <w:cantSplit/>
          <w:trHeight w:val="872"/>
        </w:trPr>
        <w:tc>
          <w:tcPr>
            <w:tcW w:w="5040" w:type="dxa"/>
            <w:tcBorders>
              <w:top w:val="single" w:color="auto" w:sz="4" w:space="0"/>
              <w:left w:val="single" w:color="auto" w:sz="4" w:space="0"/>
              <w:bottom w:val="single" w:color="auto" w:sz="4" w:space="0"/>
              <w:right w:val="single" w:color="auto" w:sz="4" w:space="0"/>
            </w:tcBorders>
            <w:vAlign w:val="bottom"/>
          </w:tcPr>
          <w:p w:rsidRPr="0053172C" w:rsidR="008569A4" w:rsidP="0001731B" w:rsidRDefault="008569A4">
            <w:pPr>
              <w:ind w:right="162"/>
              <w:jc w:val="center"/>
              <w:rPr>
                <w:b/>
                <w:sz w:val="20"/>
                <w:szCs w:val="20"/>
              </w:rPr>
            </w:pPr>
          </w:p>
          <w:p w:rsidRPr="0053172C" w:rsidR="008569A4" w:rsidP="0001731B" w:rsidRDefault="008569A4">
            <w:pPr>
              <w:jc w:val="center"/>
              <w:rPr>
                <w:b/>
                <w:sz w:val="20"/>
                <w:szCs w:val="20"/>
              </w:rPr>
            </w:pPr>
            <w:r w:rsidRPr="0053172C">
              <w:rPr>
                <w:b/>
                <w:sz w:val="20"/>
                <w:szCs w:val="20"/>
              </w:rPr>
              <w:t>Type of Respondent</w:t>
            </w:r>
          </w:p>
          <w:p w:rsidRPr="0053172C" w:rsidR="008569A4" w:rsidP="0001731B" w:rsidRDefault="008569A4">
            <w:pPr>
              <w:spacing w:after="58"/>
              <w:jc w:val="center"/>
              <w:rPr>
                <w:b/>
                <w:sz w:val="20"/>
                <w:szCs w:val="20"/>
              </w:rPr>
            </w:pPr>
          </w:p>
        </w:tc>
        <w:tc>
          <w:tcPr>
            <w:tcW w:w="1260" w:type="dxa"/>
            <w:tcBorders>
              <w:top w:val="single" w:color="auto" w:sz="4" w:space="0"/>
              <w:left w:val="single" w:color="auto" w:sz="4" w:space="0"/>
              <w:bottom w:val="single" w:color="auto" w:sz="4" w:space="0"/>
            </w:tcBorders>
            <w:vAlign w:val="bottom"/>
          </w:tcPr>
          <w:p w:rsidRPr="0053172C" w:rsidR="008569A4" w:rsidP="0001731B" w:rsidRDefault="008569A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20"/>
              </w:rPr>
            </w:pPr>
          </w:p>
          <w:p w:rsidRPr="0053172C" w:rsidR="008569A4" w:rsidP="0001731B" w:rsidRDefault="008569A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20"/>
              </w:rPr>
            </w:pPr>
            <w:r w:rsidRPr="0053172C">
              <w:rPr>
                <w:rFonts w:ascii="Times New Roman" w:hAnsi="Times New Roman"/>
                <w:b/>
                <w:bCs/>
                <w:color w:val="000000"/>
                <w:sz w:val="20"/>
                <w:szCs w:val="20"/>
              </w:rPr>
              <w:t>Response</w:t>
            </w:r>
          </w:p>
          <w:p w:rsidRPr="0053172C" w:rsidR="008569A4" w:rsidP="0001731B" w:rsidRDefault="008569A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20"/>
              </w:rPr>
            </w:pPr>
            <w:r w:rsidRPr="0053172C">
              <w:rPr>
                <w:rFonts w:ascii="Times New Roman" w:hAnsi="Times New Roman"/>
                <w:b/>
                <w:bCs/>
                <w:color w:val="000000"/>
                <w:sz w:val="20"/>
                <w:szCs w:val="20"/>
              </w:rPr>
              <w:t>Burden (in hours)</w:t>
            </w:r>
          </w:p>
        </w:tc>
        <w:tc>
          <w:tcPr>
            <w:tcW w:w="990" w:type="dxa"/>
            <w:tcBorders>
              <w:top w:val="single" w:color="auto" w:sz="4" w:space="0"/>
              <w:bottom w:val="single" w:color="auto" w:sz="4" w:space="0"/>
            </w:tcBorders>
            <w:vAlign w:val="bottom"/>
          </w:tcPr>
          <w:p w:rsidRPr="0053172C" w:rsidR="008569A4" w:rsidP="0001731B" w:rsidRDefault="008569A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20"/>
              </w:rPr>
            </w:pPr>
          </w:p>
          <w:p w:rsidRPr="0053172C" w:rsidR="008569A4" w:rsidP="0001731B" w:rsidRDefault="008569A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20"/>
              </w:rPr>
            </w:pPr>
            <w:r w:rsidRPr="0053172C">
              <w:rPr>
                <w:rFonts w:ascii="Times New Roman" w:hAnsi="Times New Roman"/>
                <w:b/>
                <w:bCs/>
                <w:color w:val="000000"/>
                <w:sz w:val="20"/>
                <w:szCs w:val="20"/>
              </w:rPr>
              <w:t>Average</w:t>
            </w:r>
          </w:p>
          <w:p w:rsidRPr="0053172C" w:rsidR="008569A4" w:rsidP="0001731B" w:rsidRDefault="008569A4">
            <w:pPr>
              <w:spacing w:after="58"/>
              <w:jc w:val="center"/>
              <w:rPr>
                <w:b/>
                <w:sz w:val="20"/>
                <w:szCs w:val="20"/>
              </w:rPr>
            </w:pPr>
            <w:r w:rsidRPr="0053172C">
              <w:rPr>
                <w:b/>
                <w:bCs/>
                <w:color w:val="000000"/>
                <w:sz w:val="20"/>
                <w:szCs w:val="20"/>
              </w:rPr>
              <w:t>Hourly Wage</w:t>
            </w:r>
          </w:p>
        </w:tc>
        <w:tc>
          <w:tcPr>
            <w:tcW w:w="1620" w:type="dxa"/>
            <w:tcBorders>
              <w:top w:val="single" w:color="auto" w:sz="4" w:space="0"/>
              <w:bottom w:val="single" w:color="auto" w:sz="4" w:space="0"/>
              <w:right w:val="single" w:color="auto" w:sz="4" w:space="0"/>
            </w:tcBorders>
            <w:vAlign w:val="bottom"/>
          </w:tcPr>
          <w:p w:rsidRPr="0053172C" w:rsidR="008569A4" w:rsidP="0001731B" w:rsidRDefault="008569A4">
            <w:pPr>
              <w:jc w:val="center"/>
              <w:rPr>
                <w:b/>
                <w:sz w:val="20"/>
                <w:szCs w:val="20"/>
              </w:rPr>
            </w:pPr>
            <w:r w:rsidRPr="0053172C">
              <w:rPr>
                <w:b/>
                <w:bCs/>
                <w:color w:val="000000"/>
                <w:sz w:val="20"/>
                <w:szCs w:val="20"/>
              </w:rPr>
              <w:t>Total Cost</w:t>
            </w:r>
          </w:p>
        </w:tc>
      </w:tr>
      <w:tr w:rsidRPr="0053172C" w:rsidR="008569A4" w:rsidTr="0001731B">
        <w:trPr>
          <w:trHeight w:val="422"/>
        </w:trPr>
        <w:tc>
          <w:tcPr>
            <w:tcW w:w="5040" w:type="dxa"/>
            <w:tcBorders>
              <w:top w:val="nil"/>
              <w:left w:val="single" w:color="auto" w:sz="4" w:space="0"/>
              <w:bottom w:val="nil"/>
              <w:right w:val="single" w:color="auto" w:sz="4" w:space="0"/>
            </w:tcBorders>
          </w:tcPr>
          <w:p w:rsidRPr="0053172C" w:rsidR="008569A4" w:rsidP="0001731B" w:rsidRDefault="008569A4">
            <w:pPr>
              <w:rPr>
                <w:sz w:val="20"/>
                <w:szCs w:val="20"/>
              </w:rPr>
            </w:pPr>
            <w:r w:rsidRPr="0053172C">
              <w:rPr>
                <w:sz w:val="20"/>
                <w:szCs w:val="20"/>
              </w:rPr>
              <w:t>Office-based physicians, mail survey</w:t>
            </w:r>
          </w:p>
        </w:tc>
        <w:tc>
          <w:tcPr>
            <w:tcW w:w="1260" w:type="dxa"/>
            <w:tcBorders>
              <w:top w:val="nil"/>
              <w:left w:val="single" w:color="auto" w:sz="4" w:space="0"/>
              <w:bottom w:val="nil"/>
              <w:right w:val="single" w:color="auto" w:sz="4" w:space="0"/>
            </w:tcBorders>
          </w:tcPr>
          <w:p w:rsidRPr="001C6D6B" w:rsidR="008569A4" w:rsidP="0001731B" w:rsidRDefault="008569A4">
            <w:pPr>
              <w:jc w:val="center"/>
              <w:rPr>
                <w:sz w:val="20"/>
                <w:szCs w:val="20"/>
              </w:rPr>
            </w:pPr>
            <w:r>
              <w:rPr>
                <w:sz w:val="20"/>
                <w:szCs w:val="20"/>
              </w:rPr>
              <w:t>3,434</w:t>
            </w:r>
          </w:p>
        </w:tc>
        <w:tc>
          <w:tcPr>
            <w:tcW w:w="990" w:type="dxa"/>
            <w:tcBorders>
              <w:top w:val="nil"/>
              <w:left w:val="single" w:color="auto" w:sz="4" w:space="0"/>
              <w:bottom w:val="nil"/>
              <w:right w:val="single" w:color="auto" w:sz="4" w:space="0"/>
            </w:tcBorders>
          </w:tcPr>
          <w:p w:rsidRPr="001C6D6B" w:rsidR="008569A4" w:rsidP="0001731B" w:rsidRDefault="008569A4">
            <w:pPr>
              <w:jc w:val="center"/>
              <w:rPr>
                <w:sz w:val="20"/>
                <w:szCs w:val="20"/>
              </w:rPr>
            </w:pPr>
            <w:r w:rsidRPr="001C6D6B">
              <w:rPr>
                <w:sz w:val="20"/>
                <w:szCs w:val="20"/>
              </w:rPr>
              <w:t>$</w:t>
            </w:r>
            <w:r>
              <w:rPr>
                <w:sz w:val="20"/>
                <w:szCs w:val="20"/>
              </w:rPr>
              <w:t>79.57</w:t>
            </w:r>
          </w:p>
        </w:tc>
        <w:tc>
          <w:tcPr>
            <w:tcW w:w="1620" w:type="dxa"/>
            <w:tcBorders>
              <w:top w:val="nil"/>
              <w:left w:val="single" w:color="auto" w:sz="4" w:space="0"/>
              <w:bottom w:val="nil"/>
              <w:right w:val="single" w:color="auto" w:sz="4" w:space="0"/>
            </w:tcBorders>
          </w:tcPr>
          <w:p w:rsidRPr="001C6D6B" w:rsidR="008569A4" w:rsidP="0001731B" w:rsidRDefault="008569A4">
            <w:pPr>
              <w:jc w:val="center"/>
              <w:rPr>
                <w:sz w:val="20"/>
                <w:szCs w:val="20"/>
              </w:rPr>
            </w:pPr>
            <w:r w:rsidRPr="001C6D6B">
              <w:rPr>
                <w:sz w:val="20"/>
                <w:szCs w:val="20"/>
              </w:rPr>
              <w:t>$</w:t>
            </w:r>
            <w:r>
              <w:rPr>
                <w:sz w:val="20"/>
                <w:szCs w:val="20"/>
              </w:rPr>
              <w:t>273,243.38</w:t>
            </w:r>
          </w:p>
        </w:tc>
      </w:tr>
      <w:tr w:rsidRPr="0053172C" w:rsidR="008569A4" w:rsidTr="0001731B">
        <w:trPr>
          <w:trHeight w:val="440"/>
        </w:trPr>
        <w:tc>
          <w:tcPr>
            <w:tcW w:w="5040" w:type="dxa"/>
            <w:tcBorders>
              <w:top w:val="single" w:color="auto" w:sz="4" w:space="0"/>
              <w:left w:val="single" w:color="auto" w:sz="4" w:space="0"/>
              <w:bottom w:val="single" w:color="auto" w:sz="4" w:space="0"/>
              <w:right w:val="single" w:color="auto" w:sz="4" w:space="0"/>
            </w:tcBorders>
          </w:tcPr>
          <w:p w:rsidRPr="0053172C" w:rsidR="008569A4" w:rsidP="0001731B" w:rsidRDefault="008569A4">
            <w:pPr>
              <w:rPr>
                <w:b/>
                <w:sz w:val="20"/>
                <w:szCs w:val="20"/>
              </w:rPr>
            </w:pPr>
            <w:r w:rsidRPr="0053172C">
              <w:rPr>
                <w:b/>
                <w:sz w:val="20"/>
                <w:szCs w:val="20"/>
              </w:rPr>
              <w:t>Total</w:t>
            </w:r>
          </w:p>
        </w:tc>
        <w:tc>
          <w:tcPr>
            <w:tcW w:w="1260" w:type="dxa"/>
            <w:tcBorders>
              <w:top w:val="single" w:color="auto" w:sz="4" w:space="0"/>
              <w:left w:val="single" w:color="auto" w:sz="4" w:space="0"/>
              <w:bottom w:val="single" w:color="auto" w:sz="4" w:space="0"/>
              <w:right w:val="single" w:color="auto" w:sz="4" w:space="0"/>
            </w:tcBorders>
          </w:tcPr>
          <w:p w:rsidRPr="001C6D6B" w:rsidR="008569A4" w:rsidP="0001731B" w:rsidRDefault="008569A4">
            <w:pPr>
              <w:jc w:val="center"/>
              <w:rPr>
                <w:sz w:val="20"/>
                <w:szCs w:val="20"/>
              </w:rPr>
            </w:pPr>
          </w:p>
        </w:tc>
        <w:tc>
          <w:tcPr>
            <w:tcW w:w="990" w:type="dxa"/>
            <w:tcBorders>
              <w:top w:val="single" w:color="auto" w:sz="4" w:space="0"/>
              <w:left w:val="single" w:color="auto" w:sz="4" w:space="0"/>
              <w:bottom w:val="single" w:color="auto" w:sz="4" w:space="0"/>
              <w:right w:val="single" w:color="auto" w:sz="4" w:space="0"/>
            </w:tcBorders>
          </w:tcPr>
          <w:p w:rsidRPr="001C6D6B" w:rsidR="008569A4" w:rsidP="0001731B" w:rsidRDefault="008569A4">
            <w:pPr>
              <w:jc w:val="center"/>
              <w:rPr>
                <w:sz w:val="20"/>
                <w:szCs w:val="20"/>
              </w:rPr>
            </w:pPr>
          </w:p>
        </w:tc>
        <w:tc>
          <w:tcPr>
            <w:tcW w:w="1620" w:type="dxa"/>
            <w:tcBorders>
              <w:top w:val="single" w:color="auto" w:sz="4" w:space="0"/>
              <w:left w:val="single" w:color="auto" w:sz="4" w:space="0"/>
              <w:bottom w:val="single" w:color="auto" w:sz="4" w:space="0"/>
              <w:right w:val="single" w:color="auto" w:sz="4" w:space="0"/>
            </w:tcBorders>
          </w:tcPr>
          <w:p w:rsidRPr="001C6D6B" w:rsidR="008569A4" w:rsidP="0001731B" w:rsidRDefault="008569A4">
            <w:pPr>
              <w:jc w:val="center"/>
              <w:rPr>
                <w:sz w:val="20"/>
                <w:szCs w:val="20"/>
              </w:rPr>
            </w:pPr>
            <w:r w:rsidRPr="001C6D6B">
              <w:rPr>
                <w:sz w:val="20"/>
                <w:szCs w:val="20"/>
              </w:rPr>
              <w:t>$</w:t>
            </w:r>
            <w:r>
              <w:rPr>
                <w:sz w:val="20"/>
                <w:szCs w:val="20"/>
              </w:rPr>
              <w:t>273,243.38</w:t>
            </w:r>
          </w:p>
        </w:tc>
      </w:tr>
    </w:tbl>
    <w:p w:rsidR="000E3B9F" w:rsidP="00A545F8" w:rsidRDefault="000E3B9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p>
    <w:p w:rsidRPr="008569A4" w:rsidR="008569A4" w:rsidP="00A545F8" w:rsidRDefault="008569A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p>
    <w:p w:rsidRPr="008569A4" w:rsidR="008569A4" w:rsidP="0001731B" w:rsidRDefault="008569A4">
      <w:pPr>
        <w:pStyle w:val="ListParagraph"/>
        <w:numPr>
          <w:ilvl w:val="0"/>
          <w:numId w:val="4"/>
        </w:numPr>
        <w:spacing w:after="160" w:line="259" w:lineRule="auto"/>
        <w:outlineLvl w:val="1"/>
        <w:rPr>
          <w:b/>
          <w:bCs/>
        </w:rPr>
      </w:pPr>
      <w:bookmarkStart w:name="_Toc11067375" w:id="1"/>
      <w:r w:rsidRPr="008569A4">
        <w:rPr>
          <w:b/>
          <w:bCs/>
        </w:rPr>
        <w:t>Annualized Cost to the Government</w:t>
      </w:r>
      <w:bookmarkEnd w:id="1"/>
    </w:p>
    <w:p w:rsidR="008569A4" w:rsidP="008569A4" w:rsidRDefault="008569A4">
      <w:pPr>
        <w:pStyle w:val="ListParagraph"/>
        <w:outlineLvl w:val="1"/>
      </w:pPr>
    </w:p>
    <w:p w:rsidR="008569A4" w:rsidP="008569A4" w:rsidRDefault="008569A4">
      <w:pPr>
        <w:pStyle w:val="ListParagraph"/>
        <w:ind w:left="0"/>
      </w:pPr>
      <w:r>
        <w:t>The estimate of the average annual cost to the government for the 2020-2022 NEHRS is given below.</w:t>
      </w:r>
    </w:p>
    <w:p w:rsidR="008569A4" w:rsidP="008569A4" w:rsidRDefault="008569A4">
      <w:pPr>
        <w:pStyle w:val="ListParagraph"/>
        <w:ind w:left="0"/>
      </w:pPr>
    </w:p>
    <w:p w:rsidR="008569A4" w:rsidP="008569A4" w:rsidRDefault="008569A4">
      <w:pPr>
        <w:pStyle w:val="ListParagraph"/>
        <w:ind w:left="0"/>
      </w:pPr>
      <w:r>
        <w:t>Table 3. Annualized Cost to the Government</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42"/>
        <w:gridCol w:w="7168"/>
      </w:tblGrid>
      <w:tr w:rsidR="008569A4" w:rsidTr="00AC171F">
        <w:tc>
          <w:tcPr>
            <w:tcW w:w="1742" w:type="dxa"/>
            <w:shd w:val="clear" w:color="auto" w:fill="auto"/>
          </w:tcPr>
          <w:p w:rsidRPr="0001731B" w:rsidR="008569A4" w:rsidP="0001731B" w:rsidRDefault="008569A4">
            <w:pPr>
              <w:pStyle w:val="ListParagraph"/>
              <w:ind w:left="0"/>
              <w:rPr>
                <w:rFonts w:eastAsia="Calibri"/>
                <w:b/>
              </w:rPr>
            </w:pPr>
            <w:r w:rsidRPr="0001731B">
              <w:rPr>
                <w:rFonts w:eastAsia="Calibri"/>
                <w:b/>
              </w:rPr>
              <w:t>Cost</w:t>
            </w:r>
          </w:p>
        </w:tc>
        <w:tc>
          <w:tcPr>
            <w:tcW w:w="7168" w:type="dxa"/>
            <w:shd w:val="clear" w:color="auto" w:fill="auto"/>
          </w:tcPr>
          <w:p w:rsidRPr="0001731B" w:rsidR="008569A4" w:rsidP="0001731B" w:rsidRDefault="008569A4">
            <w:pPr>
              <w:pStyle w:val="ListParagraph"/>
              <w:ind w:left="0"/>
              <w:rPr>
                <w:rFonts w:eastAsia="Calibri"/>
                <w:b/>
              </w:rPr>
            </w:pPr>
            <w:r w:rsidRPr="0001731B">
              <w:rPr>
                <w:rFonts w:eastAsia="Calibri"/>
                <w:b/>
              </w:rPr>
              <w:t>Item</w:t>
            </w:r>
          </w:p>
        </w:tc>
      </w:tr>
      <w:tr w:rsidR="008569A4" w:rsidTr="00AC171F">
        <w:tc>
          <w:tcPr>
            <w:tcW w:w="1742" w:type="dxa"/>
            <w:shd w:val="clear" w:color="auto" w:fill="auto"/>
          </w:tcPr>
          <w:p w:rsidRPr="0001731B" w:rsidR="008569A4" w:rsidP="0001731B" w:rsidRDefault="008569A4">
            <w:pPr>
              <w:pStyle w:val="ListParagraph"/>
              <w:ind w:left="0"/>
              <w:rPr>
                <w:rFonts w:eastAsia="Calibri"/>
              </w:rPr>
            </w:pPr>
            <w:r w:rsidRPr="0001731B">
              <w:rPr>
                <w:rFonts w:eastAsia="Calibri"/>
              </w:rPr>
              <w:t>$690,237.00</w:t>
            </w:r>
          </w:p>
        </w:tc>
        <w:tc>
          <w:tcPr>
            <w:tcW w:w="7168" w:type="dxa"/>
            <w:shd w:val="clear" w:color="auto" w:fill="auto"/>
          </w:tcPr>
          <w:p w:rsidRPr="0001731B" w:rsidR="008569A4" w:rsidP="0001731B" w:rsidRDefault="008569A4">
            <w:pPr>
              <w:pStyle w:val="ListParagraph"/>
              <w:ind w:left="0"/>
              <w:rPr>
                <w:rFonts w:eastAsia="Calibri"/>
              </w:rPr>
            </w:pPr>
            <w:r w:rsidRPr="0001731B">
              <w:rPr>
                <w:rFonts w:eastAsia="Calibri"/>
              </w:rPr>
              <w:t>Contract costs for contract staff salaries, data collection, data entry and data processing for NEHRS</w:t>
            </w:r>
          </w:p>
        </w:tc>
      </w:tr>
      <w:tr w:rsidR="008569A4" w:rsidTr="00AC171F">
        <w:tc>
          <w:tcPr>
            <w:tcW w:w="1742" w:type="dxa"/>
            <w:shd w:val="clear" w:color="auto" w:fill="auto"/>
          </w:tcPr>
          <w:p w:rsidRPr="0001731B" w:rsidR="008569A4" w:rsidP="0001731B" w:rsidRDefault="008569A4">
            <w:pPr>
              <w:pStyle w:val="ListParagraph"/>
              <w:ind w:left="0"/>
              <w:rPr>
                <w:rFonts w:eastAsia="Calibri"/>
              </w:rPr>
            </w:pPr>
            <w:r w:rsidRPr="0001731B">
              <w:rPr>
                <w:rFonts w:eastAsia="Calibri"/>
              </w:rPr>
              <w:t>$149,744.50</w:t>
            </w:r>
          </w:p>
        </w:tc>
        <w:tc>
          <w:tcPr>
            <w:tcW w:w="7168" w:type="dxa"/>
            <w:shd w:val="clear" w:color="auto" w:fill="auto"/>
          </w:tcPr>
          <w:p w:rsidRPr="0001731B" w:rsidR="008569A4" w:rsidP="0001731B" w:rsidRDefault="008569A4">
            <w:pPr>
              <w:pStyle w:val="ListParagraph"/>
              <w:ind w:left="0"/>
              <w:rPr>
                <w:rFonts w:eastAsia="Calibri"/>
              </w:rPr>
            </w:pPr>
            <w:r w:rsidRPr="0001731B">
              <w:rPr>
                <w:rFonts w:eastAsia="Calibri"/>
              </w:rPr>
              <w:t>Federal employee salaries</w:t>
            </w:r>
          </w:p>
        </w:tc>
      </w:tr>
      <w:tr w:rsidR="008569A4" w:rsidTr="00AC171F">
        <w:tc>
          <w:tcPr>
            <w:tcW w:w="1742" w:type="dxa"/>
            <w:shd w:val="clear" w:color="auto" w:fill="auto"/>
          </w:tcPr>
          <w:p w:rsidRPr="0001731B" w:rsidR="008569A4" w:rsidP="0001731B" w:rsidRDefault="008569A4">
            <w:pPr>
              <w:pStyle w:val="ListParagraph"/>
              <w:ind w:left="0"/>
              <w:rPr>
                <w:rFonts w:eastAsia="Calibri"/>
              </w:rPr>
            </w:pPr>
            <w:r w:rsidRPr="0001731B">
              <w:rPr>
                <w:rFonts w:eastAsia="Calibri"/>
              </w:rPr>
              <w:t>$839,981.50</w:t>
            </w:r>
          </w:p>
        </w:tc>
        <w:tc>
          <w:tcPr>
            <w:tcW w:w="7168" w:type="dxa"/>
            <w:shd w:val="clear" w:color="auto" w:fill="auto"/>
          </w:tcPr>
          <w:p w:rsidRPr="0001731B" w:rsidR="008569A4" w:rsidP="0001731B" w:rsidRDefault="008569A4">
            <w:pPr>
              <w:pStyle w:val="ListParagraph"/>
              <w:ind w:left="0"/>
              <w:rPr>
                <w:rFonts w:eastAsia="Calibri"/>
              </w:rPr>
            </w:pPr>
            <w:r w:rsidRPr="0001731B">
              <w:rPr>
                <w:rFonts w:eastAsia="Calibri"/>
              </w:rPr>
              <w:t>Average total cost for 12 months</w:t>
            </w:r>
          </w:p>
        </w:tc>
      </w:tr>
    </w:tbl>
    <w:p w:rsidR="00A545F8" w:rsidP="00A545F8" w:rsidRDefault="00A545F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P="00FC5D67"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sidRPr="00A255E3">
        <w:rPr>
          <w:rFonts w:ascii="Times New Roman" w:hAnsi="Times New Roman"/>
          <w:b/>
          <w:bCs/>
          <w:color w:val="000000"/>
        </w:rPr>
        <w:t>15.  Explanation for Program Changes or Adjustments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E02D7B" w:rsidRDefault="00C37F8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C37F8D">
        <w:rPr>
          <w:rFonts w:ascii="Times New Roman" w:hAnsi="Times New Roman"/>
          <w:color w:val="000000"/>
        </w:rPr>
        <w:t xml:space="preserve">Currently, the approved annualized burden is </w:t>
      </w:r>
      <w:r>
        <w:rPr>
          <w:rFonts w:ascii="Times New Roman" w:hAnsi="Times New Roman"/>
          <w:color w:val="000000"/>
        </w:rPr>
        <w:t>5,151</w:t>
      </w:r>
      <w:r w:rsidR="00407CE8">
        <w:rPr>
          <w:rFonts w:ascii="Times New Roman" w:hAnsi="Times New Roman"/>
          <w:color w:val="000000"/>
        </w:rPr>
        <w:t xml:space="preserve"> hours and the proposed annualized burden is 3,434 hours. </w:t>
      </w:r>
      <w:r w:rsidR="00E02D7B">
        <w:rPr>
          <w:rFonts w:ascii="Times New Roman" w:hAnsi="Times New Roman"/>
          <w:color w:val="000000"/>
        </w:rPr>
        <w:t xml:space="preserve">The </w:t>
      </w:r>
      <w:r w:rsidR="00BB7F43">
        <w:rPr>
          <w:rFonts w:ascii="Times New Roman" w:hAnsi="Times New Roman"/>
          <w:color w:val="000000"/>
        </w:rPr>
        <w:t xml:space="preserve">decrease of </w:t>
      </w:r>
      <w:r w:rsidR="002D774E">
        <w:rPr>
          <w:rFonts w:ascii="Times New Roman" w:hAnsi="Times New Roman"/>
          <w:color w:val="000000"/>
        </w:rPr>
        <w:t>1,717 total</w:t>
      </w:r>
      <w:r w:rsidR="00E02D7B">
        <w:rPr>
          <w:rFonts w:ascii="Times New Roman" w:hAnsi="Times New Roman"/>
          <w:color w:val="000000"/>
        </w:rPr>
        <w:t xml:space="preserve"> burden </w:t>
      </w:r>
      <w:r w:rsidR="00BB7F43">
        <w:rPr>
          <w:rFonts w:ascii="Times New Roman" w:hAnsi="Times New Roman"/>
          <w:color w:val="000000"/>
        </w:rPr>
        <w:t>hours</w:t>
      </w:r>
      <w:r w:rsidR="00E02D7B">
        <w:rPr>
          <w:rFonts w:ascii="Times New Roman" w:hAnsi="Times New Roman"/>
          <w:color w:val="000000"/>
        </w:rPr>
        <w:t xml:space="preserve"> is </w:t>
      </w:r>
      <w:r w:rsidR="000E3B9F">
        <w:rPr>
          <w:rFonts w:ascii="Times New Roman" w:hAnsi="Times New Roman"/>
          <w:color w:val="000000"/>
        </w:rPr>
        <w:t>the result of</w:t>
      </w:r>
      <w:r w:rsidR="00E02D7B">
        <w:rPr>
          <w:rFonts w:ascii="Times New Roman" w:hAnsi="Times New Roman"/>
          <w:color w:val="000000"/>
        </w:rPr>
        <w:t xml:space="preserve"> a</w:t>
      </w:r>
      <w:r w:rsidR="00BB7F43">
        <w:rPr>
          <w:rFonts w:ascii="Times New Roman" w:hAnsi="Times New Roman"/>
          <w:color w:val="000000"/>
        </w:rPr>
        <w:t>n adjustment</w:t>
      </w:r>
      <w:r w:rsidR="00E02D7B">
        <w:rPr>
          <w:rFonts w:ascii="Times New Roman" w:hAnsi="Times New Roman"/>
          <w:color w:val="000000"/>
        </w:rPr>
        <w:t xml:space="preserve"> in response burden from 30 minutes to 20 minutes for each respondent.</w:t>
      </w:r>
    </w:p>
    <w:p w:rsidR="00CA66A6" w:rsidRDefault="00CA66A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sectPr w:rsidR="00CA66A6" w:rsidSect="00677A06">
      <w:footerReference w:type="even" r:id="rId9"/>
      <w:footerReference w:type="default" r:id="rId10"/>
      <w:footerReference w:type="first" r:id="rId11"/>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0EE" w:rsidRDefault="00B960EE">
      <w:r>
        <w:separator/>
      </w:r>
    </w:p>
  </w:endnote>
  <w:endnote w:type="continuationSeparator" w:id="0">
    <w:p w:rsidR="00B960EE" w:rsidRDefault="00B9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52F" w:rsidRDefault="006F252F" w:rsidP="00421C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52F" w:rsidRDefault="006F252F">
    <w:pPr>
      <w:pStyle w:val="Footer"/>
      <w:jc w:val="center"/>
    </w:pPr>
    <w:r>
      <w:fldChar w:fldCharType="begin"/>
    </w:r>
    <w:r>
      <w:instrText xml:space="preserve"> PAGE   \* MERGEFORMAT </w:instrText>
    </w:r>
    <w:r>
      <w:fldChar w:fldCharType="separate"/>
    </w:r>
    <w:r w:rsidR="00442A44">
      <w:rPr>
        <w:noProof/>
      </w:rPr>
      <w:t>1</w:t>
    </w:r>
    <w:r>
      <w:rPr>
        <w:noProof/>
      </w:rPr>
      <w:fldChar w:fldCharType="end"/>
    </w:r>
  </w:p>
  <w:p w:rsidR="006F252F" w:rsidRDefault="006F252F" w:rsidP="00421CC1">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52F" w:rsidRDefault="006F252F">
    <w:pPr>
      <w:pStyle w:val="Footer"/>
      <w:jc w:val="center"/>
    </w:pPr>
  </w:p>
  <w:p w:rsidR="006F252F" w:rsidRDefault="006F2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0EE" w:rsidRDefault="00B960EE">
      <w:r>
        <w:separator/>
      </w:r>
    </w:p>
  </w:footnote>
  <w:footnote w:type="continuationSeparator" w:id="0">
    <w:p w:rsidR="00B960EE" w:rsidRDefault="00B96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E5807"/>
    <w:multiLevelType w:val="hybridMultilevel"/>
    <w:tmpl w:val="F6104C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86C06"/>
    <w:multiLevelType w:val="hybridMultilevel"/>
    <w:tmpl w:val="CC3A5C10"/>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FF70B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669F338B"/>
    <w:multiLevelType w:val="hybridMultilevel"/>
    <w:tmpl w:val="B2E47FD8"/>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1B"/>
    <w:rsid w:val="00000087"/>
    <w:rsid w:val="0000104D"/>
    <w:rsid w:val="000013FA"/>
    <w:rsid w:val="00002F9A"/>
    <w:rsid w:val="0000398D"/>
    <w:rsid w:val="00007DEB"/>
    <w:rsid w:val="00010313"/>
    <w:rsid w:val="00010518"/>
    <w:rsid w:val="00010FD7"/>
    <w:rsid w:val="000118E2"/>
    <w:rsid w:val="00011A61"/>
    <w:rsid w:val="000122C4"/>
    <w:rsid w:val="000127FB"/>
    <w:rsid w:val="0001475A"/>
    <w:rsid w:val="000153FF"/>
    <w:rsid w:val="000156B4"/>
    <w:rsid w:val="00015E92"/>
    <w:rsid w:val="00016059"/>
    <w:rsid w:val="000170CB"/>
    <w:rsid w:val="0001731B"/>
    <w:rsid w:val="00021792"/>
    <w:rsid w:val="00021B90"/>
    <w:rsid w:val="0002223C"/>
    <w:rsid w:val="00022A42"/>
    <w:rsid w:val="000233C9"/>
    <w:rsid w:val="00024CDE"/>
    <w:rsid w:val="0002601C"/>
    <w:rsid w:val="000262E5"/>
    <w:rsid w:val="0002744D"/>
    <w:rsid w:val="00027E3E"/>
    <w:rsid w:val="000319FF"/>
    <w:rsid w:val="00032AE4"/>
    <w:rsid w:val="00033C5D"/>
    <w:rsid w:val="000360D1"/>
    <w:rsid w:val="00037E78"/>
    <w:rsid w:val="00041099"/>
    <w:rsid w:val="00043032"/>
    <w:rsid w:val="0004399E"/>
    <w:rsid w:val="00045E4A"/>
    <w:rsid w:val="00047827"/>
    <w:rsid w:val="000502DE"/>
    <w:rsid w:val="00050CD2"/>
    <w:rsid w:val="000510B5"/>
    <w:rsid w:val="00051AA5"/>
    <w:rsid w:val="00052064"/>
    <w:rsid w:val="0005229F"/>
    <w:rsid w:val="00052558"/>
    <w:rsid w:val="00052696"/>
    <w:rsid w:val="0005477E"/>
    <w:rsid w:val="00055F1C"/>
    <w:rsid w:val="00056B84"/>
    <w:rsid w:val="0005748D"/>
    <w:rsid w:val="000577AC"/>
    <w:rsid w:val="00060141"/>
    <w:rsid w:val="00060D34"/>
    <w:rsid w:val="00061018"/>
    <w:rsid w:val="000619B8"/>
    <w:rsid w:val="00062379"/>
    <w:rsid w:val="00062930"/>
    <w:rsid w:val="00062A04"/>
    <w:rsid w:val="00064160"/>
    <w:rsid w:val="00065500"/>
    <w:rsid w:val="00065F36"/>
    <w:rsid w:val="00065FD8"/>
    <w:rsid w:val="0006647E"/>
    <w:rsid w:val="00066EBB"/>
    <w:rsid w:val="00071728"/>
    <w:rsid w:val="00071AE2"/>
    <w:rsid w:val="0007265B"/>
    <w:rsid w:val="0007276E"/>
    <w:rsid w:val="00074A38"/>
    <w:rsid w:val="000752E9"/>
    <w:rsid w:val="00075949"/>
    <w:rsid w:val="000760B0"/>
    <w:rsid w:val="00077A8A"/>
    <w:rsid w:val="0008065A"/>
    <w:rsid w:val="0008255A"/>
    <w:rsid w:val="0008480C"/>
    <w:rsid w:val="00084D51"/>
    <w:rsid w:val="000858A2"/>
    <w:rsid w:val="000858AA"/>
    <w:rsid w:val="00086EA1"/>
    <w:rsid w:val="00087077"/>
    <w:rsid w:val="0008725A"/>
    <w:rsid w:val="000877B2"/>
    <w:rsid w:val="00091239"/>
    <w:rsid w:val="00092C21"/>
    <w:rsid w:val="000934C3"/>
    <w:rsid w:val="000938A4"/>
    <w:rsid w:val="00093CC5"/>
    <w:rsid w:val="00094074"/>
    <w:rsid w:val="00095414"/>
    <w:rsid w:val="00095B25"/>
    <w:rsid w:val="00095E8A"/>
    <w:rsid w:val="00096730"/>
    <w:rsid w:val="000968C2"/>
    <w:rsid w:val="00096EE1"/>
    <w:rsid w:val="0009748E"/>
    <w:rsid w:val="000A1CB9"/>
    <w:rsid w:val="000A2194"/>
    <w:rsid w:val="000A25D5"/>
    <w:rsid w:val="000A28BF"/>
    <w:rsid w:val="000A36AF"/>
    <w:rsid w:val="000A38EA"/>
    <w:rsid w:val="000A3D6B"/>
    <w:rsid w:val="000A4136"/>
    <w:rsid w:val="000A47A9"/>
    <w:rsid w:val="000A5653"/>
    <w:rsid w:val="000A5EBF"/>
    <w:rsid w:val="000A62E1"/>
    <w:rsid w:val="000A6CCA"/>
    <w:rsid w:val="000A6FCC"/>
    <w:rsid w:val="000B276F"/>
    <w:rsid w:val="000B33F4"/>
    <w:rsid w:val="000B43E1"/>
    <w:rsid w:val="000B73D9"/>
    <w:rsid w:val="000B7594"/>
    <w:rsid w:val="000C136C"/>
    <w:rsid w:val="000C18B6"/>
    <w:rsid w:val="000C19B6"/>
    <w:rsid w:val="000C1E2E"/>
    <w:rsid w:val="000C1EA2"/>
    <w:rsid w:val="000C259C"/>
    <w:rsid w:val="000C2DFF"/>
    <w:rsid w:val="000C303C"/>
    <w:rsid w:val="000C405E"/>
    <w:rsid w:val="000C5196"/>
    <w:rsid w:val="000C580A"/>
    <w:rsid w:val="000C580F"/>
    <w:rsid w:val="000C590B"/>
    <w:rsid w:val="000C5A1A"/>
    <w:rsid w:val="000C5D13"/>
    <w:rsid w:val="000C67D8"/>
    <w:rsid w:val="000C6A85"/>
    <w:rsid w:val="000C6DC8"/>
    <w:rsid w:val="000C74DF"/>
    <w:rsid w:val="000D1622"/>
    <w:rsid w:val="000D22F5"/>
    <w:rsid w:val="000D26CD"/>
    <w:rsid w:val="000D36CC"/>
    <w:rsid w:val="000D46EF"/>
    <w:rsid w:val="000D4C18"/>
    <w:rsid w:val="000D522F"/>
    <w:rsid w:val="000D6125"/>
    <w:rsid w:val="000D673E"/>
    <w:rsid w:val="000D7797"/>
    <w:rsid w:val="000E0D13"/>
    <w:rsid w:val="000E11FF"/>
    <w:rsid w:val="000E12FF"/>
    <w:rsid w:val="000E1C30"/>
    <w:rsid w:val="000E3B9F"/>
    <w:rsid w:val="000E57BC"/>
    <w:rsid w:val="000E6561"/>
    <w:rsid w:val="000E7F20"/>
    <w:rsid w:val="000F102C"/>
    <w:rsid w:val="000F2D91"/>
    <w:rsid w:val="000F3936"/>
    <w:rsid w:val="000F5561"/>
    <w:rsid w:val="000F5C92"/>
    <w:rsid w:val="000F7E78"/>
    <w:rsid w:val="0010299C"/>
    <w:rsid w:val="001039F3"/>
    <w:rsid w:val="001048FF"/>
    <w:rsid w:val="00105899"/>
    <w:rsid w:val="00106F25"/>
    <w:rsid w:val="0010701C"/>
    <w:rsid w:val="00107C29"/>
    <w:rsid w:val="001116F1"/>
    <w:rsid w:val="00112A89"/>
    <w:rsid w:val="00115028"/>
    <w:rsid w:val="00120C51"/>
    <w:rsid w:val="00121218"/>
    <w:rsid w:val="0012170E"/>
    <w:rsid w:val="00121D24"/>
    <w:rsid w:val="00121E4C"/>
    <w:rsid w:val="00124504"/>
    <w:rsid w:val="001247B2"/>
    <w:rsid w:val="001266FE"/>
    <w:rsid w:val="001271A0"/>
    <w:rsid w:val="001275A1"/>
    <w:rsid w:val="0012779D"/>
    <w:rsid w:val="00127B96"/>
    <w:rsid w:val="001314DD"/>
    <w:rsid w:val="001320F6"/>
    <w:rsid w:val="0013249C"/>
    <w:rsid w:val="0013280A"/>
    <w:rsid w:val="00133E3B"/>
    <w:rsid w:val="00133EAF"/>
    <w:rsid w:val="001345C1"/>
    <w:rsid w:val="00134BAF"/>
    <w:rsid w:val="00135745"/>
    <w:rsid w:val="00136558"/>
    <w:rsid w:val="00137784"/>
    <w:rsid w:val="0013785F"/>
    <w:rsid w:val="0014154B"/>
    <w:rsid w:val="001423D0"/>
    <w:rsid w:val="00142AA5"/>
    <w:rsid w:val="00143E63"/>
    <w:rsid w:val="001449D2"/>
    <w:rsid w:val="00147673"/>
    <w:rsid w:val="001479F8"/>
    <w:rsid w:val="00147CCA"/>
    <w:rsid w:val="001503F4"/>
    <w:rsid w:val="00150717"/>
    <w:rsid w:val="00150D47"/>
    <w:rsid w:val="00151104"/>
    <w:rsid w:val="00151AEB"/>
    <w:rsid w:val="00151C65"/>
    <w:rsid w:val="00152572"/>
    <w:rsid w:val="0015300B"/>
    <w:rsid w:val="00153ED1"/>
    <w:rsid w:val="0015602D"/>
    <w:rsid w:val="0015720A"/>
    <w:rsid w:val="00160DA9"/>
    <w:rsid w:val="00161C78"/>
    <w:rsid w:val="00163DF5"/>
    <w:rsid w:val="00165A39"/>
    <w:rsid w:val="00165B63"/>
    <w:rsid w:val="00166F60"/>
    <w:rsid w:val="00166FEB"/>
    <w:rsid w:val="00167B6A"/>
    <w:rsid w:val="00167E79"/>
    <w:rsid w:val="001716E7"/>
    <w:rsid w:val="00171D41"/>
    <w:rsid w:val="00172040"/>
    <w:rsid w:val="00172079"/>
    <w:rsid w:val="00173808"/>
    <w:rsid w:val="00175314"/>
    <w:rsid w:val="00176CCD"/>
    <w:rsid w:val="00177D2A"/>
    <w:rsid w:val="001806A8"/>
    <w:rsid w:val="00180834"/>
    <w:rsid w:val="00181D38"/>
    <w:rsid w:val="001821A2"/>
    <w:rsid w:val="00182429"/>
    <w:rsid w:val="001838A0"/>
    <w:rsid w:val="00183E4F"/>
    <w:rsid w:val="0018423E"/>
    <w:rsid w:val="00184553"/>
    <w:rsid w:val="001848C3"/>
    <w:rsid w:val="001869AE"/>
    <w:rsid w:val="001871D2"/>
    <w:rsid w:val="00187DBD"/>
    <w:rsid w:val="00190A0E"/>
    <w:rsid w:val="00190FA4"/>
    <w:rsid w:val="001921B3"/>
    <w:rsid w:val="001939DE"/>
    <w:rsid w:val="00194175"/>
    <w:rsid w:val="001943AC"/>
    <w:rsid w:val="00195661"/>
    <w:rsid w:val="00196399"/>
    <w:rsid w:val="001972CB"/>
    <w:rsid w:val="001974F8"/>
    <w:rsid w:val="001979AA"/>
    <w:rsid w:val="001A059E"/>
    <w:rsid w:val="001A0806"/>
    <w:rsid w:val="001A0978"/>
    <w:rsid w:val="001A1CB1"/>
    <w:rsid w:val="001A2441"/>
    <w:rsid w:val="001A3037"/>
    <w:rsid w:val="001A401B"/>
    <w:rsid w:val="001A4A75"/>
    <w:rsid w:val="001A645A"/>
    <w:rsid w:val="001A6FF3"/>
    <w:rsid w:val="001B023B"/>
    <w:rsid w:val="001B19C7"/>
    <w:rsid w:val="001B2AAC"/>
    <w:rsid w:val="001B3331"/>
    <w:rsid w:val="001B4371"/>
    <w:rsid w:val="001B5CA2"/>
    <w:rsid w:val="001B72E0"/>
    <w:rsid w:val="001C071F"/>
    <w:rsid w:val="001C0B1F"/>
    <w:rsid w:val="001C1025"/>
    <w:rsid w:val="001C37B2"/>
    <w:rsid w:val="001C3EEE"/>
    <w:rsid w:val="001C3F28"/>
    <w:rsid w:val="001C4093"/>
    <w:rsid w:val="001C488D"/>
    <w:rsid w:val="001C50DD"/>
    <w:rsid w:val="001C5AC6"/>
    <w:rsid w:val="001C602D"/>
    <w:rsid w:val="001C67FB"/>
    <w:rsid w:val="001C7C3E"/>
    <w:rsid w:val="001C7C94"/>
    <w:rsid w:val="001D028F"/>
    <w:rsid w:val="001D06AC"/>
    <w:rsid w:val="001D085C"/>
    <w:rsid w:val="001D09D6"/>
    <w:rsid w:val="001D0D40"/>
    <w:rsid w:val="001D24CB"/>
    <w:rsid w:val="001D29DA"/>
    <w:rsid w:val="001D393F"/>
    <w:rsid w:val="001D4423"/>
    <w:rsid w:val="001D4556"/>
    <w:rsid w:val="001D4797"/>
    <w:rsid w:val="001D49CD"/>
    <w:rsid w:val="001D546F"/>
    <w:rsid w:val="001D5517"/>
    <w:rsid w:val="001D6936"/>
    <w:rsid w:val="001D6FE7"/>
    <w:rsid w:val="001E0CF5"/>
    <w:rsid w:val="001E102B"/>
    <w:rsid w:val="001E1BD6"/>
    <w:rsid w:val="001E25BB"/>
    <w:rsid w:val="001E27F9"/>
    <w:rsid w:val="001E2E3D"/>
    <w:rsid w:val="001E3190"/>
    <w:rsid w:val="001E3AF7"/>
    <w:rsid w:val="001E50B8"/>
    <w:rsid w:val="001E51CF"/>
    <w:rsid w:val="001E5B29"/>
    <w:rsid w:val="001E62DC"/>
    <w:rsid w:val="001E6D01"/>
    <w:rsid w:val="001E6D4C"/>
    <w:rsid w:val="001F125A"/>
    <w:rsid w:val="001F1A45"/>
    <w:rsid w:val="001F1CEA"/>
    <w:rsid w:val="001F2F05"/>
    <w:rsid w:val="001F35E4"/>
    <w:rsid w:val="001F408B"/>
    <w:rsid w:val="001F4961"/>
    <w:rsid w:val="001F4F0D"/>
    <w:rsid w:val="001F4F15"/>
    <w:rsid w:val="001F58E9"/>
    <w:rsid w:val="001F5D67"/>
    <w:rsid w:val="001F60B9"/>
    <w:rsid w:val="001F62D9"/>
    <w:rsid w:val="001F64CC"/>
    <w:rsid w:val="001F6B91"/>
    <w:rsid w:val="001F7084"/>
    <w:rsid w:val="001F782E"/>
    <w:rsid w:val="0020013C"/>
    <w:rsid w:val="00201AB3"/>
    <w:rsid w:val="00202545"/>
    <w:rsid w:val="00203568"/>
    <w:rsid w:val="00204054"/>
    <w:rsid w:val="00204DDB"/>
    <w:rsid w:val="00205160"/>
    <w:rsid w:val="00206313"/>
    <w:rsid w:val="00206B5A"/>
    <w:rsid w:val="00206FF4"/>
    <w:rsid w:val="0020737E"/>
    <w:rsid w:val="00207AD0"/>
    <w:rsid w:val="00210FAB"/>
    <w:rsid w:val="00213F79"/>
    <w:rsid w:val="002147BE"/>
    <w:rsid w:val="00214D9D"/>
    <w:rsid w:val="00220606"/>
    <w:rsid w:val="002210F2"/>
    <w:rsid w:val="0022219A"/>
    <w:rsid w:val="0022307C"/>
    <w:rsid w:val="0022469D"/>
    <w:rsid w:val="00225081"/>
    <w:rsid w:val="00226F53"/>
    <w:rsid w:val="00227AEF"/>
    <w:rsid w:val="0023348C"/>
    <w:rsid w:val="00234FC3"/>
    <w:rsid w:val="00235041"/>
    <w:rsid w:val="002359C8"/>
    <w:rsid w:val="00237AEF"/>
    <w:rsid w:val="00240884"/>
    <w:rsid w:val="00240C3F"/>
    <w:rsid w:val="0024241E"/>
    <w:rsid w:val="00242EF9"/>
    <w:rsid w:val="00245121"/>
    <w:rsid w:val="002464E6"/>
    <w:rsid w:val="00247576"/>
    <w:rsid w:val="00247B95"/>
    <w:rsid w:val="0025075E"/>
    <w:rsid w:val="00251305"/>
    <w:rsid w:val="00251679"/>
    <w:rsid w:val="00253B7F"/>
    <w:rsid w:val="00254453"/>
    <w:rsid w:val="00255B6D"/>
    <w:rsid w:val="002609E9"/>
    <w:rsid w:val="00261396"/>
    <w:rsid w:val="00261EAF"/>
    <w:rsid w:val="0026368C"/>
    <w:rsid w:val="002638B2"/>
    <w:rsid w:val="0026392B"/>
    <w:rsid w:val="00263CE6"/>
    <w:rsid w:val="002646B5"/>
    <w:rsid w:val="00264EAB"/>
    <w:rsid w:val="0026520F"/>
    <w:rsid w:val="002660E9"/>
    <w:rsid w:val="002662EE"/>
    <w:rsid w:val="00266581"/>
    <w:rsid w:val="00266A63"/>
    <w:rsid w:val="00270497"/>
    <w:rsid w:val="002707B2"/>
    <w:rsid w:val="00270BC7"/>
    <w:rsid w:val="00272038"/>
    <w:rsid w:val="0027206A"/>
    <w:rsid w:val="00272347"/>
    <w:rsid w:val="002723D4"/>
    <w:rsid w:val="00272BCE"/>
    <w:rsid w:val="00273CC4"/>
    <w:rsid w:val="00274763"/>
    <w:rsid w:val="00275EA9"/>
    <w:rsid w:val="002761C6"/>
    <w:rsid w:val="00276F4A"/>
    <w:rsid w:val="00277B76"/>
    <w:rsid w:val="00280410"/>
    <w:rsid w:val="00281059"/>
    <w:rsid w:val="00281D3F"/>
    <w:rsid w:val="00282900"/>
    <w:rsid w:val="00285B91"/>
    <w:rsid w:val="002866B9"/>
    <w:rsid w:val="00290FC4"/>
    <w:rsid w:val="00291AE3"/>
    <w:rsid w:val="00291B30"/>
    <w:rsid w:val="00291ECF"/>
    <w:rsid w:val="00292E53"/>
    <w:rsid w:val="00292F05"/>
    <w:rsid w:val="002934CA"/>
    <w:rsid w:val="00293D56"/>
    <w:rsid w:val="00294F89"/>
    <w:rsid w:val="00295AE8"/>
    <w:rsid w:val="00295F2D"/>
    <w:rsid w:val="00296004"/>
    <w:rsid w:val="00296AF0"/>
    <w:rsid w:val="00297A2E"/>
    <w:rsid w:val="002A04E8"/>
    <w:rsid w:val="002A2863"/>
    <w:rsid w:val="002A3276"/>
    <w:rsid w:val="002A39A4"/>
    <w:rsid w:val="002A443C"/>
    <w:rsid w:val="002A5B00"/>
    <w:rsid w:val="002A5F67"/>
    <w:rsid w:val="002A60EA"/>
    <w:rsid w:val="002B024F"/>
    <w:rsid w:val="002B0C85"/>
    <w:rsid w:val="002B0E63"/>
    <w:rsid w:val="002B1631"/>
    <w:rsid w:val="002B245F"/>
    <w:rsid w:val="002B30E1"/>
    <w:rsid w:val="002B43AE"/>
    <w:rsid w:val="002B4891"/>
    <w:rsid w:val="002B5972"/>
    <w:rsid w:val="002B6664"/>
    <w:rsid w:val="002B7D02"/>
    <w:rsid w:val="002B7D2D"/>
    <w:rsid w:val="002C126D"/>
    <w:rsid w:val="002C170E"/>
    <w:rsid w:val="002C20FC"/>
    <w:rsid w:val="002C2D1B"/>
    <w:rsid w:val="002C613A"/>
    <w:rsid w:val="002C7C71"/>
    <w:rsid w:val="002D082D"/>
    <w:rsid w:val="002D1E7D"/>
    <w:rsid w:val="002D2143"/>
    <w:rsid w:val="002D3738"/>
    <w:rsid w:val="002D3A0B"/>
    <w:rsid w:val="002D4C0C"/>
    <w:rsid w:val="002D4F5A"/>
    <w:rsid w:val="002D6376"/>
    <w:rsid w:val="002D6C84"/>
    <w:rsid w:val="002D774E"/>
    <w:rsid w:val="002D7C5B"/>
    <w:rsid w:val="002E0A92"/>
    <w:rsid w:val="002E1020"/>
    <w:rsid w:val="002E13FE"/>
    <w:rsid w:val="002E209C"/>
    <w:rsid w:val="002E2EFC"/>
    <w:rsid w:val="002E343C"/>
    <w:rsid w:val="002E344F"/>
    <w:rsid w:val="002E3842"/>
    <w:rsid w:val="002E3F0A"/>
    <w:rsid w:val="002E408A"/>
    <w:rsid w:val="002E4567"/>
    <w:rsid w:val="002E74F1"/>
    <w:rsid w:val="002F0D6E"/>
    <w:rsid w:val="002F2104"/>
    <w:rsid w:val="002F39A8"/>
    <w:rsid w:val="002F437A"/>
    <w:rsid w:val="002F4E35"/>
    <w:rsid w:val="002F50A7"/>
    <w:rsid w:val="002F5C0D"/>
    <w:rsid w:val="002F5C82"/>
    <w:rsid w:val="002F66BF"/>
    <w:rsid w:val="002F6A52"/>
    <w:rsid w:val="002F6ECE"/>
    <w:rsid w:val="002F75F2"/>
    <w:rsid w:val="003021D6"/>
    <w:rsid w:val="003024C0"/>
    <w:rsid w:val="00302A0A"/>
    <w:rsid w:val="00302D43"/>
    <w:rsid w:val="0030308B"/>
    <w:rsid w:val="00304BDC"/>
    <w:rsid w:val="0030594C"/>
    <w:rsid w:val="00306C2B"/>
    <w:rsid w:val="00307688"/>
    <w:rsid w:val="00307C8A"/>
    <w:rsid w:val="0031235A"/>
    <w:rsid w:val="0031255B"/>
    <w:rsid w:val="00312601"/>
    <w:rsid w:val="00313607"/>
    <w:rsid w:val="0031487D"/>
    <w:rsid w:val="00314C96"/>
    <w:rsid w:val="00314E14"/>
    <w:rsid w:val="00315635"/>
    <w:rsid w:val="00316A32"/>
    <w:rsid w:val="0031732B"/>
    <w:rsid w:val="00317752"/>
    <w:rsid w:val="00320554"/>
    <w:rsid w:val="00321110"/>
    <w:rsid w:val="003225BA"/>
    <w:rsid w:val="003244A4"/>
    <w:rsid w:val="00324C22"/>
    <w:rsid w:val="00324CE0"/>
    <w:rsid w:val="0032571F"/>
    <w:rsid w:val="00325BC0"/>
    <w:rsid w:val="00325F8B"/>
    <w:rsid w:val="00327805"/>
    <w:rsid w:val="00331639"/>
    <w:rsid w:val="00332608"/>
    <w:rsid w:val="003360FA"/>
    <w:rsid w:val="00336272"/>
    <w:rsid w:val="00337391"/>
    <w:rsid w:val="00341D6E"/>
    <w:rsid w:val="00345F20"/>
    <w:rsid w:val="00347A97"/>
    <w:rsid w:val="00350FAC"/>
    <w:rsid w:val="0035136F"/>
    <w:rsid w:val="00352841"/>
    <w:rsid w:val="00352FA3"/>
    <w:rsid w:val="00353736"/>
    <w:rsid w:val="00353BFE"/>
    <w:rsid w:val="00354267"/>
    <w:rsid w:val="00354AFE"/>
    <w:rsid w:val="00355077"/>
    <w:rsid w:val="0035534D"/>
    <w:rsid w:val="00356A84"/>
    <w:rsid w:val="00357196"/>
    <w:rsid w:val="003573F9"/>
    <w:rsid w:val="003575E3"/>
    <w:rsid w:val="00357771"/>
    <w:rsid w:val="00357F9F"/>
    <w:rsid w:val="003610B4"/>
    <w:rsid w:val="00361A38"/>
    <w:rsid w:val="00362217"/>
    <w:rsid w:val="00363955"/>
    <w:rsid w:val="0036526A"/>
    <w:rsid w:val="003656EA"/>
    <w:rsid w:val="0036657F"/>
    <w:rsid w:val="00366927"/>
    <w:rsid w:val="003675AC"/>
    <w:rsid w:val="00367941"/>
    <w:rsid w:val="00367E2D"/>
    <w:rsid w:val="00370AAD"/>
    <w:rsid w:val="00370F30"/>
    <w:rsid w:val="00371900"/>
    <w:rsid w:val="00372D54"/>
    <w:rsid w:val="00373C84"/>
    <w:rsid w:val="003740CB"/>
    <w:rsid w:val="00375F14"/>
    <w:rsid w:val="003772D4"/>
    <w:rsid w:val="003800D2"/>
    <w:rsid w:val="003811DE"/>
    <w:rsid w:val="00381A8D"/>
    <w:rsid w:val="00383236"/>
    <w:rsid w:val="00383E39"/>
    <w:rsid w:val="00384CE0"/>
    <w:rsid w:val="00384E0F"/>
    <w:rsid w:val="00386DF7"/>
    <w:rsid w:val="00390528"/>
    <w:rsid w:val="003907DA"/>
    <w:rsid w:val="00391444"/>
    <w:rsid w:val="003914CC"/>
    <w:rsid w:val="003916AB"/>
    <w:rsid w:val="00391F11"/>
    <w:rsid w:val="003A1F86"/>
    <w:rsid w:val="003A3B23"/>
    <w:rsid w:val="003A4B60"/>
    <w:rsid w:val="003A505F"/>
    <w:rsid w:val="003A53F3"/>
    <w:rsid w:val="003A57A8"/>
    <w:rsid w:val="003A6BA6"/>
    <w:rsid w:val="003A790F"/>
    <w:rsid w:val="003A7CD6"/>
    <w:rsid w:val="003B0962"/>
    <w:rsid w:val="003B2320"/>
    <w:rsid w:val="003B2EEB"/>
    <w:rsid w:val="003B5B1B"/>
    <w:rsid w:val="003B7D71"/>
    <w:rsid w:val="003C0AAC"/>
    <w:rsid w:val="003C117F"/>
    <w:rsid w:val="003C11CC"/>
    <w:rsid w:val="003C1483"/>
    <w:rsid w:val="003C2939"/>
    <w:rsid w:val="003C2C33"/>
    <w:rsid w:val="003C5CD7"/>
    <w:rsid w:val="003C647E"/>
    <w:rsid w:val="003D0460"/>
    <w:rsid w:val="003D13B7"/>
    <w:rsid w:val="003D1437"/>
    <w:rsid w:val="003D2470"/>
    <w:rsid w:val="003D2AA8"/>
    <w:rsid w:val="003D321D"/>
    <w:rsid w:val="003D5A26"/>
    <w:rsid w:val="003D632B"/>
    <w:rsid w:val="003D6AEA"/>
    <w:rsid w:val="003D7DE8"/>
    <w:rsid w:val="003E0426"/>
    <w:rsid w:val="003E09D0"/>
    <w:rsid w:val="003E197A"/>
    <w:rsid w:val="003E3721"/>
    <w:rsid w:val="003E40C7"/>
    <w:rsid w:val="003E4320"/>
    <w:rsid w:val="003E451D"/>
    <w:rsid w:val="003E58D2"/>
    <w:rsid w:val="003E6B48"/>
    <w:rsid w:val="003F0A85"/>
    <w:rsid w:val="003F1C8A"/>
    <w:rsid w:val="003F5511"/>
    <w:rsid w:val="003F6A55"/>
    <w:rsid w:val="003F731F"/>
    <w:rsid w:val="003F7FA9"/>
    <w:rsid w:val="004013E1"/>
    <w:rsid w:val="0040214D"/>
    <w:rsid w:val="004029D3"/>
    <w:rsid w:val="00402D99"/>
    <w:rsid w:val="00403146"/>
    <w:rsid w:val="00404AEF"/>
    <w:rsid w:val="00404B82"/>
    <w:rsid w:val="0040519D"/>
    <w:rsid w:val="00405D72"/>
    <w:rsid w:val="00407CE8"/>
    <w:rsid w:val="00410653"/>
    <w:rsid w:val="00412C33"/>
    <w:rsid w:val="004153B6"/>
    <w:rsid w:val="00415BE5"/>
    <w:rsid w:val="00416B59"/>
    <w:rsid w:val="00416E43"/>
    <w:rsid w:val="00417448"/>
    <w:rsid w:val="00417A47"/>
    <w:rsid w:val="00420BC3"/>
    <w:rsid w:val="00421CC1"/>
    <w:rsid w:val="0042269E"/>
    <w:rsid w:val="00424015"/>
    <w:rsid w:val="004241F2"/>
    <w:rsid w:val="00424255"/>
    <w:rsid w:val="004248A1"/>
    <w:rsid w:val="00425824"/>
    <w:rsid w:val="00427BCC"/>
    <w:rsid w:val="0043098A"/>
    <w:rsid w:val="004314BE"/>
    <w:rsid w:val="004323B6"/>
    <w:rsid w:val="004323E2"/>
    <w:rsid w:val="00433E68"/>
    <w:rsid w:val="00434B55"/>
    <w:rsid w:val="0043599D"/>
    <w:rsid w:val="00437500"/>
    <w:rsid w:val="00442A44"/>
    <w:rsid w:val="004434B9"/>
    <w:rsid w:val="00443E9E"/>
    <w:rsid w:val="00443F96"/>
    <w:rsid w:val="00444295"/>
    <w:rsid w:val="00444477"/>
    <w:rsid w:val="004454F9"/>
    <w:rsid w:val="004460B0"/>
    <w:rsid w:val="004460CF"/>
    <w:rsid w:val="004471E6"/>
    <w:rsid w:val="00451CA6"/>
    <w:rsid w:val="00453D47"/>
    <w:rsid w:val="00454D66"/>
    <w:rsid w:val="004561C5"/>
    <w:rsid w:val="00456E65"/>
    <w:rsid w:val="004571E5"/>
    <w:rsid w:val="00457B08"/>
    <w:rsid w:val="00462F5F"/>
    <w:rsid w:val="004630F1"/>
    <w:rsid w:val="004632C8"/>
    <w:rsid w:val="00463B3C"/>
    <w:rsid w:val="00463F05"/>
    <w:rsid w:val="0046415C"/>
    <w:rsid w:val="00464194"/>
    <w:rsid w:val="004641DA"/>
    <w:rsid w:val="0046535C"/>
    <w:rsid w:val="00465B0E"/>
    <w:rsid w:val="00466CDB"/>
    <w:rsid w:val="00466E24"/>
    <w:rsid w:val="00466F93"/>
    <w:rsid w:val="00466FF9"/>
    <w:rsid w:val="00467071"/>
    <w:rsid w:val="004707B8"/>
    <w:rsid w:val="00470D18"/>
    <w:rsid w:val="00471741"/>
    <w:rsid w:val="004737A9"/>
    <w:rsid w:val="00473E0C"/>
    <w:rsid w:val="00474DA0"/>
    <w:rsid w:val="004755EA"/>
    <w:rsid w:val="00476595"/>
    <w:rsid w:val="004776C9"/>
    <w:rsid w:val="00477DA1"/>
    <w:rsid w:val="00480AAD"/>
    <w:rsid w:val="00482E37"/>
    <w:rsid w:val="00483101"/>
    <w:rsid w:val="00483772"/>
    <w:rsid w:val="004848BD"/>
    <w:rsid w:val="00484EC7"/>
    <w:rsid w:val="004851E8"/>
    <w:rsid w:val="004907B0"/>
    <w:rsid w:val="004940CD"/>
    <w:rsid w:val="00494B5A"/>
    <w:rsid w:val="00494F42"/>
    <w:rsid w:val="00495E6A"/>
    <w:rsid w:val="00495F92"/>
    <w:rsid w:val="00497C2D"/>
    <w:rsid w:val="004A0B41"/>
    <w:rsid w:val="004A1119"/>
    <w:rsid w:val="004A3C9B"/>
    <w:rsid w:val="004A6398"/>
    <w:rsid w:val="004A64A3"/>
    <w:rsid w:val="004A69A0"/>
    <w:rsid w:val="004A7BF3"/>
    <w:rsid w:val="004B03CF"/>
    <w:rsid w:val="004B077A"/>
    <w:rsid w:val="004B0CA2"/>
    <w:rsid w:val="004B0E6D"/>
    <w:rsid w:val="004B16F4"/>
    <w:rsid w:val="004B331C"/>
    <w:rsid w:val="004B3B84"/>
    <w:rsid w:val="004B48E5"/>
    <w:rsid w:val="004B5846"/>
    <w:rsid w:val="004B7704"/>
    <w:rsid w:val="004B7907"/>
    <w:rsid w:val="004B79DA"/>
    <w:rsid w:val="004C0232"/>
    <w:rsid w:val="004C0C02"/>
    <w:rsid w:val="004C0F06"/>
    <w:rsid w:val="004C5DBF"/>
    <w:rsid w:val="004C6993"/>
    <w:rsid w:val="004C6A16"/>
    <w:rsid w:val="004C6B2A"/>
    <w:rsid w:val="004C7E69"/>
    <w:rsid w:val="004C7ED0"/>
    <w:rsid w:val="004D0955"/>
    <w:rsid w:val="004D0A2A"/>
    <w:rsid w:val="004D0EA0"/>
    <w:rsid w:val="004D1953"/>
    <w:rsid w:val="004D1E5E"/>
    <w:rsid w:val="004D28B2"/>
    <w:rsid w:val="004D295C"/>
    <w:rsid w:val="004D4797"/>
    <w:rsid w:val="004D4FA7"/>
    <w:rsid w:val="004D5325"/>
    <w:rsid w:val="004D5394"/>
    <w:rsid w:val="004D54B8"/>
    <w:rsid w:val="004D76AF"/>
    <w:rsid w:val="004D7D31"/>
    <w:rsid w:val="004E037F"/>
    <w:rsid w:val="004E03C4"/>
    <w:rsid w:val="004E176E"/>
    <w:rsid w:val="004E1EEC"/>
    <w:rsid w:val="004E1FB6"/>
    <w:rsid w:val="004E3017"/>
    <w:rsid w:val="004E41AD"/>
    <w:rsid w:val="004E4A8D"/>
    <w:rsid w:val="004E4AB6"/>
    <w:rsid w:val="004E4DB3"/>
    <w:rsid w:val="004E5EF7"/>
    <w:rsid w:val="004E635F"/>
    <w:rsid w:val="004E68B1"/>
    <w:rsid w:val="004F10D6"/>
    <w:rsid w:val="004F4466"/>
    <w:rsid w:val="004F474C"/>
    <w:rsid w:val="004F5294"/>
    <w:rsid w:val="004F5968"/>
    <w:rsid w:val="004F6D79"/>
    <w:rsid w:val="004F7030"/>
    <w:rsid w:val="004F7282"/>
    <w:rsid w:val="004F781A"/>
    <w:rsid w:val="00500B65"/>
    <w:rsid w:val="00500C2E"/>
    <w:rsid w:val="00500E09"/>
    <w:rsid w:val="00500E1E"/>
    <w:rsid w:val="00501489"/>
    <w:rsid w:val="005014CA"/>
    <w:rsid w:val="005015E3"/>
    <w:rsid w:val="005026EF"/>
    <w:rsid w:val="0050422A"/>
    <w:rsid w:val="00505B0C"/>
    <w:rsid w:val="00505B26"/>
    <w:rsid w:val="00505FEB"/>
    <w:rsid w:val="00507D61"/>
    <w:rsid w:val="00507DF5"/>
    <w:rsid w:val="00512CAB"/>
    <w:rsid w:val="005135DB"/>
    <w:rsid w:val="00513BC5"/>
    <w:rsid w:val="00513E8C"/>
    <w:rsid w:val="00513F0F"/>
    <w:rsid w:val="00520B81"/>
    <w:rsid w:val="00522BA6"/>
    <w:rsid w:val="00522CD4"/>
    <w:rsid w:val="0052334F"/>
    <w:rsid w:val="00526C45"/>
    <w:rsid w:val="005270F4"/>
    <w:rsid w:val="00530885"/>
    <w:rsid w:val="00531857"/>
    <w:rsid w:val="00531C4B"/>
    <w:rsid w:val="005323F6"/>
    <w:rsid w:val="005356FE"/>
    <w:rsid w:val="0054049A"/>
    <w:rsid w:val="00541103"/>
    <w:rsid w:val="005413AF"/>
    <w:rsid w:val="005418EA"/>
    <w:rsid w:val="00541DE5"/>
    <w:rsid w:val="0054309A"/>
    <w:rsid w:val="005430F8"/>
    <w:rsid w:val="0054329B"/>
    <w:rsid w:val="00543D1A"/>
    <w:rsid w:val="00544430"/>
    <w:rsid w:val="0054609D"/>
    <w:rsid w:val="00546385"/>
    <w:rsid w:val="0054674A"/>
    <w:rsid w:val="005472F8"/>
    <w:rsid w:val="005502C8"/>
    <w:rsid w:val="00551373"/>
    <w:rsid w:val="00551EC5"/>
    <w:rsid w:val="00553369"/>
    <w:rsid w:val="00553665"/>
    <w:rsid w:val="005542E8"/>
    <w:rsid w:val="00555370"/>
    <w:rsid w:val="005569F3"/>
    <w:rsid w:val="00561906"/>
    <w:rsid w:val="005645F5"/>
    <w:rsid w:val="005656DA"/>
    <w:rsid w:val="005658EB"/>
    <w:rsid w:val="005665FA"/>
    <w:rsid w:val="00566A2B"/>
    <w:rsid w:val="00566CCA"/>
    <w:rsid w:val="00566D3C"/>
    <w:rsid w:val="00566D7E"/>
    <w:rsid w:val="00567AB8"/>
    <w:rsid w:val="005705DA"/>
    <w:rsid w:val="00571511"/>
    <w:rsid w:val="005719F7"/>
    <w:rsid w:val="00571FFE"/>
    <w:rsid w:val="005731AB"/>
    <w:rsid w:val="00573DAB"/>
    <w:rsid w:val="0057588E"/>
    <w:rsid w:val="0057634B"/>
    <w:rsid w:val="005802B8"/>
    <w:rsid w:val="00581594"/>
    <w:rsid w:val="0058274B"/>
    <w:rsid w:val="00583651"/>
    <w:rsid w:val="005839FA"/>
    <w:rsid w:val="00584455"/>
    <w:rsid w:val="0058471E"/>
    <w:rsid w:val="005865B4"/>
    <w:rsid w:val="00590CDB"/>
    <w:rsid w:val="00591D37"/>
    <w:rsid w:val="00593EE5"/>
    <w:rsid w:val="005945D2"/>
    <w:rsid w:val="00594A98"/>
    <w:rsid w:val="00594DFF"/>
    <w:rsid w:val="005957EE"/>
    <w:rsid w:val="0059592F"/>
    <w:rsid w:val="00596644"/>
    <w:rsid w:val="005A053D"/>
    <w:rsid w:val="005A11F7"/>
    <w:rsid w:val="005A135A"/>
    <w:rsid w:val="005A28BD"/>
    <w:rsid w:val="005A41B4"/>
    <w:rsid w:val="005A55B6"/>
    <w:rsid w:val="005A561D"/>
    <w:rsid w:val="005A5BA9"/>
    <w:rsid w:val="005A76C0"/>
    <w:rsid w:val="005B0141"/>
    <w:rsid w:val="005B0267"/>
    <w:rsid w:val="005B1AF6"/>
    <w:rsid w:val="005B32F5"/>
    <w:rsid w:val="005B3C4B"/>
    <w:rsid w:val="005B41D7"/>
    <w:rsid w:val="005B4BCB"/>
    <w:rsid w:val="005B4FDB"/>
    <w:rsid w:val="005B653C"/>
    <w:rsid w:val="005B7E58"/>
    <w:rsid w:val="005C0EC5"/>
    <w:rsid w:val="005C1438"/>
    <w:rsid w:val="005C14E0"/>
    <w:rsid w:val="005C19A1"/>
    <w:rsid w:val="005C229C"/>
    <w:rsid w:val="005C3526"/>
    <w:rsid w:val="005C4929"/>
    <w:rsid w:val="005C4C06"/>
    <w:rsid w:val="005C5BFC"/>
    <w:rsid w:val="005C653A"/>
    <w:rsid w:val="005C7B88"/>
    <w:rsid w:val="005D0589"/>
    <w:rsid w:val="005D11B9"/>
    <w:rsid w:val="005D199F"/>
    <w:rsid w:val="005D1C19"/>
    <w:rsid w:val="005D2218"/>
    <w:rsid w:val="005D2CFA"/>
    <w:rsid w:val="005D47EC"/>
    <w:rsid w:val="005D6347"/>
    <w:rsid w:val="005D65D1"/>
    <w:rsid w:val="005D7D4C"/>
    <w:rsid w:val="005D7E95"/>
    <w:rsid w:val="005E0FDD"/>
    <w:rsid w:val="005E14E7"/>
    <w:rsid w:val="005E1F5C"/>
    <w:rsid w:val="005E218B"/>
    <w:rsid w:val="005E2CD4"/>
    <w:rsid w:val="005E32BC"/>
    <w:rsid w:val="005E554D"/>
    <w:rsid w:val="005F0114"/>
    <w:rsid w:val="005F1D43"/>
    <w:rsid w:val="005F212C"/>
    <w:rsid w:val="005F2CC6"/>
    <w:rsid w:val="005F36B8"/>
    <w:rsid w:val="005F3EDF"/>
    <w:rsid w:val="005F4961"/>
    <w:rsid w:val="005F4BD0"/>
    <w:rsid w:val="005F4FE8"/>
    <w:rsid w:val="005F678F"/>
    <w:rsid w:val="00600A9F"/>
    <w:rsid w:val="00601F30"/>
    <w:rsid w:val="00602AED"/>
    <w:rsid w:val="00603942"/>
    <w:rsid w:val="006039D6"/>
    <w:rsid w:val="006040D4"/>
    <w:rsid w:val="00604532"/>
    <w:rsid w:val="00605700"/>
    <w:rsid w:val="006061B7"/>
    <w:rsid w:val="00607C30"/>
    <w:rsid w:val="00607E75"/>
    <w:rsid w:val="006108F3"/>
    <w:rsid w:val="0061571B"/>
    <w:rsid w:val="00616BB3"/>
    <w:rsid w:val="00616DC6"/>
    <w:rsid w:val="00617906"/>
    <w:rsid w:val="00620CD7"/>
    <w:rsid w:val="0062273C"/>
    <w:rsid w:val="006227B0"/>
    <w:rsid w:val="0062328D"/>
    <w:rsid w:val="00625B46"/>
    <w:rsid w:val="006260E1"/>
    <w:rsid w:val="00626198"/>
    <w:rsid w:val="006265DA"/>
    <w:rsid w:val="006266D9"/>
    <w:rsid w:val="00626B47"/>
    <w:rsid w:val="006273FD"/>
    <w:rsid w:val="00627F2E"/>
    <w:rsid w:val="006301C5"/>
    <w:rsid w:val="00631BA4"/>
    <w:rsid w:val="00631D43"/>
    <w:rsid w:val="00631E06"/>
    <w:rsid w:val="006327B9"/>
    <w:rsid w:val="0063289F"/>
    <w:rsid w:val="00633625"/>
    <w:rsid w:val="006346B8"/>
    <w:rsid w:val="00634D2B"/>
    <w:rsid w:val="00634EA5"/>
    <w:rsid w:val="0064088D"/>
    <w:rsid w:val="00641E5D"/>
    <w:rsid w:val="00641FA4"/>
    <w:rsid w:val="00643E47"/>
    <w:rsid w:val="0064690B"/>
    <w:rsid w:val="00647312"/>
    <w:rsid w:val="0064784B"/>
    <w:rsid w:val="00652DD7"/>
    <w:rsid w:val="0065598D"/>
    <w:rsid w:val="00655B91"/>
    <w:rsid w:val="00655DA2"/>
    <w:rsid w:val="00656672"/>
    <w:rsid w:val="00657215"/>
    <w:rsid w:val="0065733E"/>
    <w:rsid w:val="00657507"/>
    <w:rsid w:val="0066226F"/>
    <w:rsid w:val="00662A5B"/>
    <w:rsid w:val="00662CD8"/>
    <w:rsid w:val="006641F2"/>
    <w:rsid w:val="0066593A"/>
    <w:rsid w:val="006672F3"/>
    <w:rsid w:val="00670956"/>
    <w:rsid w:val="00670FD9"/>
    <w:rsid w:val="00672893"/>
    <w:rsid w:val="00674AE0"/>
    <w:rsid w:val="0067798D"/>
    <w:rsid w:val="00677A06"/>
    <w:rsid w:val="00681383"/>
    <w:rsid w:val="00682095"/>
    <w:rsid w:val="00682986"/>
    <w:rsid w:val="00685C51"/>
    <w:rsid w:val="0068604F"/>
    <w:rsid w:val="0068719D"/>
    <w:rsid w:val="0068754F"/>
    <w:rsid w:val="006876DC"/>
    <w:rsid w:val="0069360D"/>
    <w:rsid w:val="00693CCE"/>
    <w:rsid w:val="0069465C"/>
    <w:rsid w:val="00695F71"/>
    <w:rsid w:val="006961F8"/>
    <w:rsid w:val="006A0F99"/>
    <w:rsid w:val="006A1706"/>
    <w:rsid w:val="006A2C3D"/>
    <w:rsid w:val="006A4D52"/>
    <w:rsid w:val="006A4E9C"/>
    <w:rsid w:val="006A5DFF"/>
    <w:rsid w:val="006A616A"/>
    <w:rsid w:val="006A7C6A"/>
    <w:rsid w:val="006B03B2"/>
    <w:rsid w:val="006B10EB"/>
    <w:rsid w:val="006B261E"/>
    <w:rsid w:val="006B45F9"/>
    <w:rsid w:val="006B487F"/>
    <w:rsid w:val="006B4E3E"/>
    <w:rsid w:val="006B507E"/>
    <w:rsid w:val="006B5606"/>
    <w:rsid w:val="006B653F"/>
    <w:rsid w:val="006B70DC"/>
    <w:rsid w:val="006B73D6"/>
    <w:rsid w:val="006B7872"/>
    <w:rsid w:val="006B791B"/>
    <w:rsid w:val="006B7976"/>
    <w:rsid w:val="006C100A"/>
    <w:rsid w:val="006C14B3"/>
    <w:rsid w:val="006C1DA9"/>
    <w:rsid w:val="006C1EC5"/>
    <w:rsid w:val="006C305E"/>
    <w:rsid w:val="006C34E8"/>
    <w:rsid w:val="006C4B9A"/>
    <w:rsid w:val="006C4EA3"/>
    <w:rsid w:val="006C5596"/>
    <w:rsid w:val="006C57BB"/>
    <w:rsid w:val="006C6244"/>
    <w:rsid w:val="006C7CED"/>
    <w:rsid w:val="006D0DE4"/>
    <w:rsid w:val="006D1B39"/>
    <w:rsid w:val="006D1B7D"/>
    <w:rsid w:val="006D1BD2"/>
    <w:rsid w:val="006D27D2"/>
    <w:rsid w:val="006D3135"/>
    <w:rsid w:val="006D3A90"/>
    <w:rsid w:val="006D6308"/>
    <w:rsid w:val="006D692D"/>
    <w:rsid w:val="006E1285"/>
    <w:rsid w:val="006E1EA5"/>
    <w:rsid w:val="006E25BD"/>
    <w:rsid w:val="006E39CF"/>
    <w:rsid w:val="006E44CC"/>
    <w:rsid w:val="006E4CDE"/>
    <w:rsid w:val="006E5ACA"/>
    <w:rsid w:val="006E5D77"/>
    <w:rsid w:val="006E63EF"/>
    <w:rsid w:val="006E7564"/>
    <w:rsid w:val="006F120B"/>
    <w:rsid w:val="006F13BF"/>
    <w:rsid w:val="006F252F"/>
    <w:rsid w:val="006F42B5"/>
    <w:rsid w:val="006F6B6E"/>
    <w:rsid w:val="006F71AE"/>
    <w:rsid w:val="006F78D7"/>
    <w:rsid w:val="007012BD"/>
    <w:rsid w:val="00701820"/>
    <w:rsid w:val="007031C2"/>
    <w:rsid w:val="00703CDC"/>
    <w:rsid w:val="00703F77"/>
    <w:rsid w:val="00704DD2"/>
    <w:rsid w:val="00707319"/>
    <w:rsid w:val="007076F6"/>
    <w:rsid w:val="0070783A"/>
    <w:rsid w:val="007105BE"/>
    <w:rsid w:val="00710BBC"/>
    <w:rsid w:val="00711145"/>
    <w:rsid w:val="00711D9D"/>
    <w:rsid w:val="0071377D"/>
    <w:rsid w:val="0071475D"/>
    <w:rsid w:val="00714E5D"/>
    <w:rsid w:val="00714E6E"/>
    <w:rsid w:val="00715C79"/>
    <w:rsid w:val="00715D9A"/>
    <w:rsid w:val="00717149"/>
    <w:rsid w:val="00717418"/>
    <w:rsid w:val="0071775D"/>
    <w:rsid w:val="00717E16"/>
    <w:rsid w:val="007205DB"/>
    <w:rsid w:val="007218FF"/>
    <w:rsid w:val="0072605D"/>
    <w:rsid w:val="007262B8"/>
    <w:rsid w:val="00726D2C"/>
    <w:rsid w:val="0072735B"/>
    <w:rsid w:val="007276C3"/>
    <w:rsid w:val="007305D4"/>
    <w:rsid w:val="00731AA1"/>
    <w:rsid w:val="00731EA5"/>
    <w:rsid w:val="00734958"/>
    <w:rsid w:val="00734D15"/>
    <w:rsid w:val="007359B3"/>
    <w:rsid w:val="0073607C"/>
    <w:rsid w:val="0073669C"/>
    <w:rsid w:val="00736FC4"/>
    <w:rsid w:val="0073746A"/>
    <w:rsid w:val="007375AB"/>
    <w:rsid w:val="00741568"/>
    <w:rsid w:val="007419AD"/>
    <w:rsid w:val="0074229E"/>
    <w:rsid w:val="007431A0"/>
    <w:rsid w:val="007432C8"/>
    <w:rsid w:val="00743CED"/>
    <w:rsid w:val="00744F72"/>
    <w:rsid w:val="00745971"/>
    <w:rsid w:val="007502CE"/>
    <w:rsid w:val="00750CB5"/>
    <w:rsid w:val="00751A89"/>
    <w:rsid w:val="007521DF"/>
    <w:rsid w:val="007524C0"/>
    <w:rsid w:val="00752708"/>
    <w:rsid w:val="00752878"/>
    <w:rsid w:val="007528DF"/>
    <w:rsid w:val="00753639"/>
    <w:rsid w:val="00753955"/>
    <w:rsid w:val="00753E25"/>
    <w:rsid w:val="00756B01"/>
    <w:rsid w:val="00757193"/>
    <w:rsid w:val="00757389"/>
    <w:rsid w:val="007602A7"/>
    <w:rsid w:val="007610B7"/>
    <w:rsid w:val="0076140A"/>
    <w:rsid w:val="007616FD"/>
    <w:rsid w:val="00762134"/>
    <w:rsid w:val="007626FC"/>
    <w:rsid w:val="00763340"/>
    <w:rsid w:val="00765ED3"/>
    <w:rsid w:val="00766049"/>
    <w:rsid w:val="007660C5"/>
    <w:rsid w:val="0076618C"/>
    <w:rsid w:val="00766ABA"/>
    <w:rsid w:val="0077014E"/>
    <w:rsid w:val="00771521"/>
    <w:rsid w:val="00771DF4"/>
    <w:rsid w:val="00771EC4"/>
    <w:rsid w:val="0077202A"/>
    <w:rsid w:val="00773877"/>
    <w:rsid w:val="00774DB7"/>
    <w:rsid w:val="0077665B"/>
    <w:rsid w:val="00776C3D"/>
    <w:rsid w:val="0077766B"/>
    <w:rsid w:val="0078065F"/>
    <w:rsid w:val="00780D4D"/>
    <w:rsid w:val="00780F7C"/>
    <w:rsid w:val="007815F9"/>
    <w:rsid w:val="00782D8D"/>
    <w:rsid w:val="0078332F"/>
    <w:rsid w:val="00783A00"/>
    <w:rsid w:val="007845CD"/>
    <w:rsid w:val="00785652"/>
    <w:rsid w:val="00785DA8"/>
    <w:rsid w:val="00787713"/>
    <w:rsid w:val="0079028B"/>
    <w:rsid w:val="00790F3B"/>
    <w:rsid w:val="0079129F"/>
    <w:rsid w:val="007912A3"/>
    <w:rsid w:val="007912D4"/>
    <w:rsid w:val="0079160B"/>
    <w:rsid w:val="00791949"/>
    <w:rsid w:val="00791F22"/>
    <w:rsid w:val="00792B72"/>
    <w:rsid w:val="00793D4E"/>
    <w:rsid w:val="007960BE"/>
    <w:rsid w:val="0079643F"/>
    <w:rsid w:val="007A0710"/>
    <w:rsid w:val="007A0933"/>
    <w:rsid w:val="007A0EED"/>
    <w:rsid w:val="007A1A1D"/>
    <w:rsid w:val="007A2BA1"/>
    <w:rsid w:val="007A3814"/>
    <w:rsid w:val="007A62AE"/>
    <w:rsid w:val="007A641E"/>
    <w:rsid w:val="007B13E1"/>
    <w:rsid w:val="007B1A36"/>
    <w:rsid w:val="007B3242"/>
    <w:rsid w:val="007B361A"/>
    <w:rsid w:val="007B46A2"/>
    <w:rsid w:val="007B5701"/>
    <w:rsid w:val="007B593C"/>
    <w:rsid w:val="007B596F"/>
    <w:rsid w:val="007B6118"/>
    <w:rsid w:val="007B75F4"/>
    <w:rsid w:val="007B7868"/>
    <w:rsid w:val="007B79CA"/>
    <w:rsid w:val="007C1E8D"/>
    <w:rsid w:val="007C26CD"/>
    <w:rsid w:val="007C2A85"/>
    <w:rsid w:val="007C2F28"/>
    <w:rsid w:val="007C30EA"/>
    <w:rsid w:val="007C3CA1"/>
    <w:rsid w:val="007C40D7"/>
    <w:rsid w:val="007D011D"/>
    <w:rsid w:val="007D1CDA"/>
    <w:rsid w:val="007D3806"/>
    <w:rsid w:val="007D4C6B"/>
    <w:rsid w:val="007D6530"/>
    <w:rsid w:val="007D72F0"/>
    <w:rsid w:val="007E4C93"/>
    <w:rsid w:val="007E76AF"/>
    <w:rsid w:val="007E77FB"/>
    <w:rsid w:val="007F130F"/>
    <w:rsid w:val="007F2C49"/>
    <w:rsid w:val="007F3504"/>
    <w:rsid w:val="007F3B7A"/>
    <w:rsid w:val="007F419A"/>
    <w:rsid w:val="007F5D31"/>
    <w:rsid w:val="007F68CF"/>
    <w:rsid w:val="007F68F6"/>
    <w:rsid w:val="007F6FB9"/>
    <w:rsid w:val="007F71D0"/>
    <w:rsid w:val="0080138E"/>
    <w:rsid w:val="008013FE"/>
    <w:rsid w:val="00801873"/>
    <w:rsid w:val="008024C3"/>
    <w:rsid w:val="008030FA"/>
    <w:rsid w:val="00803717"/>
    <w:rsid w:val="00803D4E"/>
    <w:rsid w:val="00805187"/>
    <w:rsid w:val="008059E5"/>
    <w:rsid w:val="008061FC"/>
    <w:rsid w:val="00806363"/>
    <w:rsid w:val="0080683A"/>
    <w:rsid w:val="008074C3"/>
    <w:rsid w:val="008104F2"/>
    <w:rsid w:val="00812B2F"/>
    <w:rsid w:val="00813897"/>
    <w:rsid w:val="00813A70"/>
    <w:rsid w:val="00813AB5"/>
    <w:rsid w:val="00813C59"/>
    <w:rsid w:val="008146AC"/>
    <w:rsid w:val="008150B3"/>
    <w:rsid w:val="008153D8"/>
    <w:rsid w:val="00815BDE"/>
    <w:rsid w:val="00816F4E"/>
    <w:rsid w:val="00822B21"/>
    <w:rsid w:val="00823163"/>
    <w:rsid w:val="00823C2D"/>
    <w:rsid w:val="00825CE9"/>
    <w:rsid w:val="00827652"/>
    <w:rsid w:val="00827A3D"/>
    <w:rsid w:val="00827FCD"/>
    <w:rsid w:val="008313E9"/>
    <w:rsid w:val="008317F0"/>
    <w:rsid w:val="00831A44"/>
    <w:rsid w:val="008346AD"/>
    <w:rsid w:val="00834A1C"/>
    <w:rsid w:val="00834CC3"/>
    <w:rsid w:val="008360F9"/>
    <w:rsid w:val="00836A74"/>
    <w:rsid w:val="00840107"/>
    <w:rsid w:val="008402F3"/>
    <w:rsid w:val="008407BD"/>
    <w:rsid w:val="00840D0E"/>
    <w:rsid w:val="00845DFC"/>
    <w:rsid w:val="0084663F"/>
    <w:rsid w:val="00846A68"/>
    <w:rsid w:val="00846AD6"/>
    <w:rsid w:val="00846B28"/>
    <w:rsid w:val="00846F88"/>
    <w:rsid w:val="0084728A"/>
    <w:rsid w:val="008512D2"/>
    <w:rsid w:val="00851707"/>
    <w:rsid w:val="00851729"/>
    <w:rsid w:val="00851975"/>
    <w:rsid w:val="008521B3"/>
    <w:rsid w:val="008544CC"/>
    <w:rsid w:val="00854969"/>
    <w:rsid w:val="008552B8"/>
    <w:rsid w:val="008569A4"/>
    <w:rsid w:val="008640DB"/>
    <w:rsid w:val="00864FC7"/>
    <w:rsid w:val="008653C2"/>
    <w:rsid w:val="00865D62"/>
    <w:rsid w:val="00865F91"/>
    <w:rsid w:val="00866C16"/>
    <w:rsid w:val="00870658"/>
    <w:rsid w:val="0087092F"/>
    <w:rsid w:val="00870A70"/>
    <w:rsid w:val="0087182A"/>
    <w:rsid w:val="00871BDF"/>
    <w:rsid w:val="00872060"/>
    <w:rsid w:val="008734F0"/>
    <w:rsid w:val="0087495F"/>
    <w:rsid w:val="00876267"/>
    <w:rsid w:val="008776C3"/>
    <w:rsid w:val="0088079A"/>
    <w:rsid w:val="00880C5D"/>
    <w:rsid w:val="008817E9"/>
    <w:rsid w:val="00882EE3"/>
    <w:rsid w:val="00883482"/>
    <w:rsid w:val="00884454"/>
    <w:rsid w:val="00885687"/>
    <w:rsid w:val="00885724"/>
    <w:rsid w:val="00885844"/>
    <w:rsid w:val="00886211"/>
    <w:rsid w:val="008863CB"/>
    <w:rsid w:val="00891349"/>
    <w:rsid w:val="00891BB6"/>
    <w:rsid w:val="00891CBB"/>
    <w:rsid w:val="00896326"/>
    <w:rsid w:val="008967C7"/>
    <w:rsid w:val="008974A9"/>
    <w:rsid w:val="008A116F"/>
    <w:rsid w:val="008A1675"/>
    <w:rsid w:val="008A1CA7"/>
    <w:rsid w:val="008A2C04"/>
    <w:rsid w:val="008A4E11"/>
    <w:rsid w:val="008A593C"/>
    <w:rsid w:val="008A5AA2"/>
    <w:rsid w:val="008A719A"/>
    <w:rsid w:val="008A736A"/>
    <w:rsid w:val="008A7874"/>
    <w:rsid w:val="008B01E8"/>
    <w:rsid w:val="008B0442"/>
    <w:rsid w:val="008B252F"/>
    <w:rsid w:val="008B2DB2"/>
    <w:rsid w:val="008B3E28"/>
    <w:rsid w:val="008B513A"/>
    <w:rsid w:val="008B6B30"/>
    <w:rsid w:val="008B71CD"/>
    <w:rsid w:val="008B7B8F"/>
    <w:rsid w:val="008B7DF1"/>
    <w:rsid w:val="008C0F1A"/>
    <w:rsid w:val="008C11B7"/>
    <w:rsid w:val="008C15DF"/>
    <w:rsid w:val="008C2E2A"/>
    <w:rsid w:val="008C3514"/>
    <w:rsid w:val="008C370E"/>
    <w:rsid w:val="008C3F27"/>
    <w:rsid w:val="008C65E2"/>
    <w:rsid w:val="008D0BF3"/>
    <w:rsid w:val="008D2347"/>
    <w:rsid w:val="008D401A"/>
    <w:rsid w:val="008D4D71"/>
    <w:rsid w:val="008D60A8"/>
    <w:rsid w:val="008D767A"/>
    <w:rsid w:val="008D789C"/>
    <w:rsid w:val="008E0F9C"/>
    <w:rsid w:val="008E10F5"/>
    <w:rsid w:val="008E295B"/>
    <w:rsid w:val="008E2B90"/>
    <w:rsid w:val="008E2D12"/>
    <w:rsid w:val="008E392B"/>
    <w:rsid w:val="008E47C8"/>
    <w:rsid w:val="008E5452"/>
    <w:rsid w:val="008E5622"/>
    <w:rsid w:val="008E5AA1"/>
    <w:rsid w:val="008E6299"/>
    <w:rsid w:val="008E72C9"/>
    <w:rsid w:val="008E7887"/>
    <w:rsid w:val="008F05BF"/>
    <w:rsid w:val="008F1756"/>
    <w:rsid w:val="008F1E8D"/>
    <w:rsid w:val="008F264D"/>
    <w:rsid w:val="008F285F"/>
    <w:rsid w:val="008F483F"/>
    <w:rsid w:val="008F5634"/>
    <w:rsid w:val="008F6186"/>
    <w:rsid w:val="008F6C61"/>
    <w:rsid w:val="00900BB4"/>
    <w:rsid w:val="00900C31"/>
    <w:rsid w:val="009010FC"/>
    <w:rsid w:val="0090112B"/>
    <w:rsid w:val="00901758"/>
    <w:rsid w:val="00901EEA"/>
    <w:rsid w:val="009026AE"/>
    <w:rsid w:val="009026CE"/>
    <w:rsid w:val="00902877"/>
    <w:rsid w:val="00904B30"/>
    <w:rsid w:val="00904BAC"/>
    <w:rsid w:val="00905640"/>
    <w:rsid w:val="009072C7"/>
    <w:rsid w:val="00910056"/>
    <w:rsid w:val="00910D98"/>
    <w:rsid w:val="00910E27"/>
    <w:rsid w:val="00913605"/>
    <w:rsid w:val="00913B23"/>
    <w:rsid w:val="00914392"/>
    <w:rsid w:val="009148AC"/>
    <w:rsid w:val="00914AF6"/>
    <w:rsid w:val="0091622C"/>
    <w:rsid w:val="0092117B"/>
    <w:rsid w:val="00921C5D"/>
    <w:rsid w:val="00922776"/>
    <w:rsid w:val="00923F06"/>
    <w:rsid w:val="00924227"/>
    <w:rsid w:val="0092444C"/>
    <w:rsid w:val="00925413"/>
    <w:rsid w:val="00925DB7"/>
    <w:rsid w:val="00926B0F"/>
    <w:rsid w:val="00927535"/>
    <w:rsid w:val="00930075"/>
    <w:rsid w:val="00930176"/>
    <w:rsid w:val="00930D08"/>
    <w:rsid w:val="00934CC7"/>
    <w:rsid w:val="00934D6A"/>
    <w:rsid w:val="00937C81"/>
    <w:rsid w:val="00943345"/>
    <w:rsid w:val="00945079"/>
    <w:rsid w:val="009452A3"/>
    <w:rsid w:val="00945F4E"/>
    <w:rsid w:val="00946B63"/>
    <w:rsid w:val="0095001A"/>
    <w:rsid w:val="00951281"/>
    <w:rsid w:val="00951D14"/>
    <w:rsid w:val="00951DF2"/>
    <w:rsid w:val="009527E4"/>
    <w:rsid w:val="00952BB8"/>
    <w:rsid w:val="00953E48"/>
    <w:rsid w:val="00953E8E"/>
    <w:rsid w:val="009545DA"/>
    <w:rsid w:val="00954978"/>
    <w:rsid w:val="00955067"/>
    <w:rsid w:val="00955A80"/>
    <w:rsid w:val="00956179"/>
    <w:rsid w:val="00956E78"/>
    <w:rsid w:val="00957685"/>
    <w:rsid w:val="009609C3"/>
    <w:rsid w:val="00960B6D"/>
    <w:rsid w:val="00961E7F"/>
    <w:rsid w:val="0096598B"/>
    <w:rsid w:val="00965D4E"/>
    <w:rsid w:val="00967519"/>
    <w:rsid w:val="00967827"/>
    <w:rsid w:val="00970A28"/>
    <w:rsid w:val="00971253"/>
    <w:rsid w:val="009717FB"/>
    <w:rsid w:val="009721A8"/>
    <w:rsid w:val="00972D09"/>
    <w:rsid w:val="00972F2C"/>
    <w:rsid w:val="0097407B"/>
    <w:rsid w:val="00974EC7"/>
    <w:rsid w:val="009753BB"/>
    <w:rsid w:val="009755DE"/>
    <w:rsid w:val="00975DF4"/>
    <w:rsid w:val="009766C9"/>
    <w:rsid w:val="00981240"/>
    <w:rsid w:val="00982194"/>
    <w:rsid w:val="0098244F"/>
    <w:rsid w:val="00984925"/>
    <w:rsid w:val="009875E8"/>
    <w:rsid w:val="009879E2"/>
    <w:rsid w:val="00990259"/>
    <w:rsid w:val="00990776"/>
    <w:rsid w:val="00991875"/>
    <w:rsid w:val="00992768"/>
    <w:rsid w:val="009931AD"/>
    <w:rsid w:val="0099527D"/>
    <w:rsid w:val="009956C1"/>
    <w:rsid w:val="00996302"/>
    <w:rsid w:val="00996D9A"/>
    <w:rsid w:val="009A0193"/>
    <w:rsid w:val="009A24BC"/>
    <w:rsid w:val="009A26B7"/>
    <w:rsid w:val="009A290E"/>
    <w:rsid w:val="009A2FB1"/>
    <w:rsid w:val="009A3307"/>
    <w:rsid w:val="009A37D6"/>
    <w:rsid w:val="009A4F98"/>
    <w:rsid w:val="009A6522"/>
    <w:rsid w:val="009A7BE3"/>
    <w:rsid w:val="009B0D4D"/>
    <w:rsid w:val="009B1F0A"/>
    <w:rsid w:val="009B3436"/>
    <w:rsid w:val="009B4472"/>
    <w:rsid w:val="009B5935"/>
    <w:rsid w:val="009B6F5B"/>
    <w:rsid w:val="009C0223"/>
    <w:rsid w:val="009C0D7D"/>
    <w:rsid w:val="009C3176"/>
    <w:rsid w:val="009C4039"/>
    <w:rsid w:val="009C4932"/>
    <w:rsid w:val="009C4D52"/>
    <w:rsid w:val="009C58F6"/>
    <w:rsid w:val="009C5B96"/>
    <w:rsid w:val="009C5E1F"/>
    <w:rsid w:val="009C743E"/>
    <w:rsid w:val="009D0A32"/>
    <w:rsid w:val="009D3E40"/>
    <w:rsid w:val="009D466B"/>
    <w:rsid w:val="009D56AB"/>
    <w:rsid w:val="009D7479"/>
    <w:rsid w:val="009E0B28"/>
    <w:rsid w:val="009E0B66"/>
    <w:rsid w:val="009E0BAB"/>
    <w:rsid w:val="009E0F34"/>
    <w:rsid w:val="009E179F"/>
    <w:rsid w:val="009E1C34"/>
    <w:rsid w:val="009E2A18"/>
    <w:rsid w:val="009E4AB6"/>
    <w:rsid w:val="009E4BB4"/>
    <w:rsid w:val="009E5811"/>
    <w:rsid w:val="009F03FE"/>
    <w:rsid w:val="009F06B7"/>
    <w:rsid w:val="009F07D2"/>
    <w:rsid w:val="009F10AA"/>
    <w:rsid w:val="009F2480"/>
    <w:rsid w:val="009F3AF9"/>
    <w:rsid w:val="009F3BF9"/>
    <w:rsid w:val="009F3FB5"/>
    <w:rsid w:val="009F42E4"/>
    <w:rsid w:val="009F4A5B"/>
    <w:rsid w:val="009F4CAF"/>
    <w:rsid w:val="009F4E66"/>
    <w:rsid w:val="009F520B"/>
    <w:rsid w:val="009F5647"/>
    <w:rsid w:val="009F5AB5"/>
    <w:rsid w:val="009F5C86"/>
    <w:rsid w:val="009F6327"/>
    <w:rsid w:val="009F7B53"/>
    <w:rsid w:val="00A0119A"/>
    <w:rsid w:val="00A01599"/>
    <w:rsid w:val="00A03B86"/>
    <w:rsid w:val="00A03E22"/>
    <w:rsid w:val="00A0467A"/>
    <w:rsid w:val="00A04EF2"/>
    <w:rsid w:val="00A05C8D"/>
    <w:rsid w:val="00A10586"/>
    <w:rsid w:val="00A10B6C"/>
    <w:rsid w:val="00A11DC0"/>
    <w:rsid w:val="00A128D9"/>
    <w:rsid w:val="00A129FC"/>
    <w:rsid w:val="00A13002"/>
    <w:rsid w:val="00A131DC"/>
    <w:rsid w:val="00A13515"/>
    <w:rsid w:val="00A145D7"/>
    <w:rsid w:val="00A14B08"/>
    <w:rsid w:val="00A14D2A"/>
    <w:rsid w:val="00A14DD6"/>
    <w:rsid w:val="00A15128"/>
    <w:rsid w:val="00A21F36"/>
    <w:rsid w:val="00A22A06"/>
    <w:rsid w:val="00A23934"/>
    <w:rsid w:val="00A2399E"/>
    <w:rsid w:val="00A24165"/>
    <w:rsid w:val="00A255E3"/>
    <w:rsid w:val="00A2567D"/>
    <w:rsid w:val="00A267CA"/>
    <w:rsid w:val="00A31049"/>
    <w:rsid w:val="00A31226"/>
    <w:rsid w:val="00A31B28"/>
    <w:rsid w:val="00A31BAB"/>
    <w:rsid w:val="00A32099"/>
    <w:rsid w:val="00A32148"/>
    <w:rsid w:val="00A32D5F"/>
    <w:rsid w:val="00A3386C"/>
    <w:rsid w:val="00A33BA2"/>
    <w:rsid w:val="00A34B4F"/>
    <w:rsid w:val="00A34D92"/>
    <w:rsid w:val="00A363B3"/>
    <w:rsid w:val="00A36E2D"/>
    <w:rsid w:val="00A41117"/>
    <w:rsid w:val="00A41B5F"/>
    <w:rsid w:val="00A430BE"/>
    <w:rsid w:val="00A435BB"/>
    <w:rsid w:val="00A439FD"/>
    <w:rsid w:val="00A44FB8"/>
    <w:rsid w:val="00A45044"/>
    <w:rsid w:val="00A46551"/>
    <w:rsid w:val="00A50A3C"/>
    <w:rsid w:val="00A50F1E"/>
    <w:rsid w:val="00A510E5"/>
    <w:rsid w:val="00A512C8"/>
    <w:rsid w:val="00A52405"/>
    <w:rsid w:val="00A52B39"/>
    <w:rsid w:val="00A53B01"/>
    <w:rsid w:val="00A53B11"/>
    <w:rsid w:val="00A53D21"/>
    <w:rsid w:val="00A545F8"/>
    <w:rsid w:val="00A54664"/>
    <w:rsid w:val="00A54A74"/>
    <w:rsid w:val="00A55332"/>
    <w:rsid w:val="00A559F0"/>
    <w:rsid w:val="00A60080"/>
    <w:rsid w:val="00A60214"/>
    <w:rsid w:val="00A618D6"/>
    <w:rsid w:val="00A618DF"/>
    <w:rsid w:val="00A61C38"/>
    <w:rsid w:val="00A61F4D"/>
    <w:rsid w:val="00A62486"/>
    <w:rsid w:val="00A630A6"/>
    <w:rsid w:val="00A633E7"/>
    <w:rsid w:val="00A63EA5"/>
    <w:rsid w:val="00A64C60"/>
    <w:rsid w:val="00A65A05"/>
    <w:rsid w:val="00A70433"/>
    <w:rsid w:val="00A70C95"/>
    <w:rsid w:val="00A71161"/>
    <w:rsid w:val="00A718F7"/>
    <w:rsid w:val="00A72B60"/>
    <w:rsid w:val="00A72F83"/>
    <w:rsid w:val="00A736F5"/>
    <w:rsid w:val="00A74197"/>
    <w:rsid w:val="00A80D7B"/>
    <w:rsid w:val="00A81484"/>
    <w:rsid w:val="00A81F5A"/>
    <w:rsid w:val="00A8437F"/>
    <w:rsid w:val="00A843FE"/>
    <w:rsid w:val="00A844D7"/>
    <w:rsid w:val="00A8548F"/>
    <w:rsid w:val="00A854FD"/>
    <w:rsid w:val="00A85730"/>
    <w:rsid w:val="00A86236"/>
    <w:rsid w:val="00A86380"/>
    <w:rsid w:val="00A86F7A"/>
    <w:rsid w:val="00A87F03"/>
    <w:rsid w:val="00A912C3"/>
    <w:rsid w:val="00A91EAC"/>
    <w:rsid w:val="00A92698"/>
    <w:rsid w:val="00A92751"/>
    <w:rsid w:val="00A93387"/>
    <w:rsid w:val="00A93A3A"/>
    <w:rsid w:val="00A9480D"/>
    <w:rsid w:val="00A94897"/>
    <w:rsid w:val="00A95629"/>
    <w:rsid w:val="00A96DA1"/>
    <w:rsid w:val="00AA0B63"/>
    <w:rsid w:val="00AA1AD4"/>
    <w:rsid w:val="00AA22E9"/>
    <w:rsid w:val="00AA2392"/>
    <w:rsid w:val="00AA3A0B"/>
    <w:rsid w:val="00AA53B0"/>
    <w:rsid w:val="00AB0FBA"/>
    <w:rsid w:val="00AB2500"/>
    <w:rsid w:val="00AB405F"/>
    <w:rsid w:val="00AB427A"/>
    <w:rsid w:val="00AB5ACD"/>
    <w:rsid w:val="00AB5ADB"/>
    <w:rsid w:val="00AB768C"/>
    <w:rsid w:val="00AC1333"/>
    <w:rsid w:val="00AC171F"/>
    <w:rsid w:val="00AC1A70"/>
    <w:rsid w:val="00AC1AF0"/>
    <w:rsid w:val="00AC3439"/>
    <w:rsid w:val="00AC3AA1"/>
    <w:rsid w:val="00AC466E"/>
    <w:rsid w:val="00AC48D5"/>
    <w:rsid w:val="00AC4ADC"/>
    <w:rsid w:val="00AC5B75"/>
    <w:rsid w:val="00AC6975"/>
    <w:rsid w:val="00AC74D1"/>
    <w:rsid w:val="00AD0206"/>
    <w:rsid w:val="00AD14E5"/>
    <w:rsid w:val="00AD259A"/>
    <w:rsid w:val="00AD2701"/>
    <w:rsid w:val="00AD2E18"/>
    <w:rsid w:val="00AD3059"/>
    <w:rsid w:val="00AD6211"/>
    <w:rsid w:val="00AD73D1"/>
    <w:rsid w:val="00AD747D"/>
    <w:rsid w:val="00AD74D7"/>
    <w:rsid w:val="00AE19C6"/>
    <w:rsid w:val="00AE2EBC"/>
    <w:rsid w:val="00AE33CC"/>
    <w:rsid w:val="00AE4FD2"/>
    <w:rsid w:val="00AE737D"/>
    <w:rsid w:val="00AE7643"/>
    <w:rsid w:val="00AF004F"/>
    <w:rsid w:val="00AF058D"/>
    <w:rsid w:val="00AF21EA"/>
    <w:rsid w:val="00AF223F"/>
    <w:rsid w:val="00AF4058"/>
    <w:rsid w:val="00AF4E13"/>
    <w:rsid w:val="00AF52E6"/>
    <w:rsid w:val="00AF56DD"/>
    <w:rsid w:val="00AF5901"/>
    <w:rsid w:val="00AF71EC"/>
    <w:rsid w:val="00AF795C"/>
    <w:rsid w:val="00B0096C"/>
    <w:rsid w:val="00B0148F"/>
    <w:rsid w:val="00B04602"/>
    <w:rsid w:val="00B050E3"/>
    <w:rsid w:val="00B0529C"/>
    <w:rsid w:val="00B05353"/>
    <w:rsid w:val="00B05A05"/>
    <w:rsid w:val="00B0634B"/>
    <w:rsid w:val="00B07770"/>
    <w:rsid w:val="00B07A0F"/>
    <w:rsid w:val="00B10A3C"/>
    <w:rsid w:val="00B129A6"/>
    <w:rsid w:val="00B12C1E"/>
    <w:rsid w:val="00B1343A"/>
    <w:rsid w:val="00B13848"/>
    <w:rsid w:val="00B138B4"/>
    <w:rsid w:val="00B17483"/>
    <w:rsid w:val="00B17806"/>
    <w:rsid w:val="00B17A56"/>
    <w:rsid w:val="00B21F6F"/>
    <w:rsid w:val="00B2212E"/>
    <w:rsid w:val="00B2226E"/>
    <w:rsid w:val="00B228A0"/>
    <w:rsid w:val="00B23064"/>
    <w:rsid w:val="00B2316A"/>
    <w:rsid w:val="00B266A0"/>
    <w:rsid w:val="00B31D63"/>
    <w:rsid w:val="00B349C9"/>
    <w:rsid w:val="00B35CDF"/>
    <w:rsid w:val="00B36799"/>
    <w:rsid w:val="00B41AFA"/>
    <w:rsid w:val="00B42071"/>
    <w:rsid w:val="00B4223A"/>
    <w:rsid w:val="00B42DA1"/>
    <w:rsid w:val="00B42F76"/>
    <w:rsid w:val="00B446B0"/>
    <w:rsid w:val="00B44D5A"/>
    <w:rsid w:val="00B462EB"/>
    <w:rsid w:val="00B46660"/>
    <w:rsid w:val="00B50743"/>
    <w:rsid w:val="00B50998"/>
    <w:rsid w:val="00B50AAC"/>
    <w:rsid w:val="00B51287"/>
    <w:rsid w:val="00B518F3"/>
    <w:rsid w:val="00B51B9A"/>
    <w:rsid w:val="00B521E9"/>
    <w:rsid w:val="00B52E60"/>
    <w:rsid w:val="00B53A9C"/>
    <w:rsid w:val="00B54AAF"/>
    <w:rsid w:val="00B5565F"/>
    <w:rsid w:val="00B57FFB"/>
    <w:rsid w:val="00B609E7"/>
    <w:rsid w:val="00B616B8"/>
    <w:rsid w:val="00B62A08"/>
    <w:rsid w:val="00B62EA9"/>
    <w:rsid w:val="00B62F91"/>
    <w:rsid w:val="00B64746"/>
    <w:rsid w:val="00B656CC"/>
    <w:rsid w:val="00B65786"/>
    <w:rsid w:val="00B66747"/>
    <w:rsid w:val="00B667AC"/>
    <w:rsid w:val="00B70207"/>
    <w:rsid w:val="00B70F0D"/>
    <w:rsid w:val="00B7165D"/>
    <w:rsid w:val="00B731BA"/>
    <w:rsid w:val="00B7368D"/>
    <w:rsid w:val="00B7514E"/>
    <w:rsid w:val="00B755A7"/>
    <w:rsid w:val="00B76F2D"/>
    <w:rsid w:val="00B76F40"/>
    <w:rsid w:val="00B8004A"/>
    <w:rsid w:val="00B81D11"/>
    <w:rsid w:val="00B8284D"/>
    <w:rsid w:val="00B831AB"/>
    <w:rsid w:val="00B837D6"/>
    <w:rsid w:val="00B83C7D"/>
    <w:rsid w:val="00B847B5"/>
    <w:rsid w:val="00B85EB5"/>
    <w:rsid w:val="00B85EF2"/>
    <w:rsid w:val="00B90066"/>
    <w:rsid w:val="00B9140A"/>
    <w:rsid w:val="00B93774"/>
    <w:rsid w:val="00B94917"/>
    <w:rsid w:val="00B960EE"/>
    <w:rsid w:val="00B962C1"/>
    <w:rsid w:val="00B9684F"/>
    <w:rsid w:val="00B96B37"/>
    <w:rsid w:val="00BA2C48"/>
    <w:rsid w:val="00BA6883"/>
    <w:rsid w:val="00BA6BC0"/>
    <w:rsid w:val="00BA7810"/>
    <w:rsid w:val="00BA7BCF"/>
    <w:rsid w:val="00BB1051"/>
    <w:rsid w:val="00BB18B0"/>
    <w:rsid w:val="00BB1A89"/>
    <w:rsid w:val="00BB1DEA"/>
    <w:rsid w:val="00BB1ED0"/>
    <w:rsid w:val="00BB2A63"/>
    <w:rsid w:val="00BB2CFD"/>
    <w:rsid w:val="00BB3E96"/>
    <w:rsid w:val="00BB4F09"/>
    <w:rsid w:val="00BB5C25"/>
    <w:rsid w:val="00BB6524"/>
    <w:rsid w:val="00BB7777"/>
    <w:rsid w:val="00BB7CF6"/>
    <w:rsid w:val="00BB7F43"/>
    <w:rsid w:val="00BC33AF"/>
    <w:rsid w:val="00BC4563"/>
    <w:rsid w:val="00BC4F59"/>
    <w:rsid w:val="00BC5CED"/>
    <w:rsid w:val="00BC6E4D"/>
    <w:rsid w:val="00BD1A1A"/>
    <w:rsid w:val="00BD1AB8"/>
    <w:rsid w:val="00BD2C4E"/>
    <w:rsid w:val="00BD2D13"/>
    <w:rsid w:val="00BD3167"/>
    <w:rsid w:val="00BD3666"/>
    <w:rsid w:val="00BD3F8D"/>
    <w:rsid w:val="00BD5085"/>
    <w:rsid w:val="00BD5762"/>
    <w:rsid w:val="00BD5F02"/>
    <w:rsid w:val="00BD7682"/>
    <w:rsid w:val="00BE0285"/>
    <w:rsid w:val="00BE10FD"/>
    <w:rsid w:val="00BE14CA"/>
    <w:rsid w:val="00BE2123"/>
    <w:rsid w:val="00BE2229"/>
    <w:rsid w:val="00BE25E2"/>
    <w:rsid w:val="00BE2C53"/>
    <w:rsid w:val="00BE4365"/>
    <w:rsid w:val="00BE4C3D"/>
    <w:rsid w:val="00BE4E9C"/>
    <w:rsid w:val="00BE77C7"/>
    <w:rsid w:val="00BE7ED7"/>
    <w:rsid w:val="00BE7EED"/>
    <w:rsid w:val="00BF127D"/>
    <w:rsid w:val="00BF16E4"/>
    <w:rsid w:val="00BF2527"/>
    <w:rsid w:val="00BF287A"/>
    <w:rsid w:val="00BF4964"/>
    <w:rsid w:val="00BF6C9D"/>
    <w:rsid w:val="00C0095D"/>
    <w:rsid w:val="00C02952"/>
    <w:rsid w:val="00C02B7F"/>
    <w:rsid w:val="00C03553"/>
    <w:rsid w:val="00C04DFE"/>
    <w:rsid w:val="00C06077"/>
    <w:rsid w:val="00C11FB0"/>
    <w:rsid w:val="00C12C17"/>
    <w:rsid w:val="00C15C20"/>
    <w:rsid w:val="00C16044"/>
    <w:rsid w:val="00C168BF"/>
    <w:rsid w:val="00C16B47"/>
    <w:rsid w:val="00C1780F"/>
    <w:rsid w:val="00C17A59"/>
    <w:rsid w:val="00C20821"/>
    <w:rsid w:val="00C20C72"/>
    <w:rsid w:val="00C21384"/>
    <w:rsid w:val="00C21B3E"/>
    <w:rsid w:val="00C22C1A"/>
    <w:rsid w:val="00C24632"/>
    <w:rsid w:val="00C25EF2"/>
    <w:rsid w:val="00C269E5"/>
    <w:rsid w:val="00C26D14"/>
    <w:rsid w:val="00C27AA9"/>
    <w:rsid w:val="00C3163E"/>
    <w:rsid w:val="00C318DA"/>
    <w:rsid w:val="00C31CF3"/>
    <w:rsid w:val="00C327DC"/>
    <w:rsid w:val="00C33CD6"/>
    <w:rsid w:val="00C352AE"/>
    <w:rsid w:val="00C356E0"/>
    <w:rsid w:val="00C366D1"/>
    <w:rsid w:val="00C372C1"/>
    <w:rsid w:val="00C37F8D"/>
    <w:rsid w:val="00C402A7"/>
    <w:rsid w:val="00C41702"/>
    <w:rsid w:val="00C41822"/>
    <w:rsid w:val="00C42E45"/>
    <w:rsid w:val="00C43176"/>
    <w:rsid w:val="00C466F7"/>
    <w:rsid w:val="00C47C4D"/>
    <w:rsid w:val="00C503F9"/>
    <w:rsid w:val="00C50CFA"/>
    <w:rsid w:val="00C51195"/>
    <w:rsid w:val="00C51621"/>
    <w:rsid w:val="00C525FA"/>
    <w:rsid w:val="00C527DE"/>
    <w:rsid w:val="00C530AC"/>
    <w:rsid w:val="00C559B7"/>
    <w:rsid w:val="00C56D19"/>
    <w:rsid w:val="00C57841"/>
    <w:rsid w:val="00C57AB0"/>
    <w:rsid w:val="00C60112"/>
    <w:rsid w:val="00C6174A"/>
    <w:rsid w:val="00C61CC5"/>
    <w:rsid w:val="00C62A7A"/>
    <w:rsid w:val="00C63FFE"/>
    <w:rsid w:val="00C6640F"/>
    <w:rsid w:val="00C66AB3"/>
    <w:rsid w:val="00C6745E"/>
    <w:rsid w:val="00C708AD"/>
    <w:rsid w:val="00C71774"/>
    <w:rsid w:val="00C7207D"/>
    <w:rsid w:val="00C7208F"/>
    <w:rsid w:val="00C73EE0"/>
    <w:rsid w:val="00C749E1"/>
    <w:rsid w:val="00C74D19"/>
    <w:rsid w:val="00C7514C"/>
    <w:rsid w:val="00C77EF1"/>
    <w:rsid w:val="00C80812"/>
    <w:rsid w:val="00C80E8A"/>
    <w:rsid w:val="00C80EC4"/>
    <w:rsid w:val="00C811E1"/>
    <w:rsid w:val="00C815F2"/>
    <w:rsid w:val="00C83585"/>
    <w:rsid w:val="00C87A0F"/>
    <w:rsid w:val="00C87ADD"/>
    <w:rsid w:val="00C9038F"/>
    <w:rsid w:val="00C9163D"/>
    <w:rsid w:val="00C921B9"/>
    <w:rsid w:val="00C9261F"/>
    <w:rsid w:val="00C92992"/>
    <w:rsid w:val="00C931C3"/>
    <w:rsid w:val="00C93A1E"/>
    <w:rsid w:val="00C9693E"/>
    <w:rsid w:val="00C979A6"/>
    <w:rsid w:val="00CA0340"/>
    <w:rsid w:val="00CA10E9"/>
    <w:rsid w:val="00CA178E"/>
    <w:rsid w:val="00CA3431"/>
    <w:rsid w:val="00CA4130"/>
    <w:rsid w:val="00CA4CC3"/>
    <w:rsid w:val="00CA5931"/>
    <w:rsid w:val="00CA593E"/>
    <w:rsid w:val="00CA6378"/>
    <w:rsid w:val="00CA66A6"/>
    <w:rsid w:val="00CA6777"/>
    <w:rsid w:val="00CA69D9"/>
    <w:rsid w:val="00CA79E2"/>
    <w:rsid w:val="00CB003E"/>
    <w:rsid w:val="00CB1775"/>
    <w:rsid w:val="00CB2089"/>
    <w:rsid w:val="00CB3D88"/>
    <w:rsid w:val="00CB3FB3"/>
    <w:rsid w:val="00CB4B19"/>
    <w:rsid w:val="00CB4CE1"/>
    <w:rsid w:val="00CB7816"/>
    <w:rsid w:val="00CB7BBD"/>
    <w:rsid w:val="00CC1FFA"/>
    <w:rsid w:val="00CC3015"/>
    <w:rsid w:val="00CC491B"/>
    <w:rsid w:val="00CC4C8B"/>
    <w:rsid w:val="00CC4D33"/>
    <w:rsid w:val="00CC506C"/>
    <w:rsid w:val="00CC7D14"/>
    <w:rsid w:val="00CC7D49"/>
    <w:rsid w:val="00CD09EB"/>
    <w:rsid w:val="00CD1256"/>
    <w:rsid w:val="00CD20A3"/>
    <w:rsid w:val="00CD25BA"/>
    <w:rsid w:val="00CD3C31"/>
    <w:rsid w:val="00CD4155"/>
    <w:rsid w:val="00CD4CB3"/>
    <w:rsid w:val="00CD4E57"/>
    <w:rsid w:val="00CD5A19"/>
    <w:rsid w:val="00CD7F18"/>
    <w:rsid w:val="00CE0D08"/>
    <w:rsid w:val="00CE1DF1"/>
    <w:rsid w:val="00CE1E0F"/>
    <w:rsid w:val="00CE4118"/>
    <w:rsid w:val="00CE460D"/>
    <w:rsid w:val="00CE483A"/>
    <w:rsid w:val="00CE60F2"/>
    <w:rsid w:val="00CE62F3"/>
    <w:rsid w:val="00CE6341"/>
    <w:rsid w:val="00CE71B1"/>
    <w:rsid w:val="00CE75A7"/>
    <w:rsid w:val="00CE7FFC"/>
    <w:rsid w:val="00CF0A87"/>
    <w:rsid w:val="00CF1F06"/>
    <w:rsid w:val="00CF2C82"/>
    <w:rsid w:val="00CF32FE"/>
    <w:rsid w:val="00CF5891"/>
    <w:rsid w:val="00CF670A"/>
    <w:rsid w:val="00CF6FDC"/>
    <w:rsid w:val="00CF7BAD"/>
    <w:rsid w:val="00D0023B"/>
    <w:rsid w:val="00D011AD"/>
    <w:rsid w:val="00D0144A"/>
    <w:rsid w:val="00D01687"/>
    <w:rsid w:val="00D04458"/>
    <w:rsid w:val="00D05700"/>
    <w:rsid w:val="00D05714"/>
    <w:rsid w:val="00D06519"/>
    <w:rsid w:val="00D07A55"/>
    <w:rsid w:val="00D10123"/>
    <w:rsid w:val="00D11D92"/>
    <w:rsid w:val="00D13097"/>
    <w:rsid w:val="00D13457"/>
    <w:rsid w:val="00D136BC"/>
    <w:rsid w:val="00D1512A"/>
    <w:rsid w:val="00D15CFC"/>
    <w:rsid w:val="00D169AC"/>
    <w:rsid w:val="00D200CE"/>
    <w:rsid w:val="00D20188"/>
    <w:rsid w:val="00D216DE"/>
    <w:rsid w:val="00D217C9"/>
    <w:rsid w:val="00D23336"/>
    <w:rsid w:val="00D26A12"/>
    <w:rsid w:val="00D2754D"/>
    <w:rsid w:val="00D30383"/>
    <w:rsid w:val="00D313DF"/>
    <w:rsid w:val="00D32065"/>
    <w:rsid w:val="00D33563"/>
    <w:rsid w:val="00D33D3A"/>
    <w:rsid w:val="00D342E3"/>
    <w:rsid w:val="00D34432"/>
    <w:rsid w:val="00D353CC"/>
    <w:rsid w:val="00D36725"/>
    <w:rsid w:val="00D36D8C"/>
    <w:rsid w:val="00D37CC9"/>
    <w:rsid w:val="00D40DEC"/>
    <w:rsid w:val="00D4106A"/>
    <w:rsid w:val="00D42E00"/>
    <w:rsid w:val="00D443FE"/>
    <w:rsid w:val="00D45517"/>
    <w:rsid w:val="00D4594F"/>
    <w:rsid w:val="00D4775A"/>
    <w:rsid w:val="00D5005D"/>
    <w:rsid w:val="00D547CE"/>
    <w:rsid w:val="00D54E7A"/>
    <w:rsid w:val="00D55EB5"/>
    <w:rsid w:val="00D56B16"/>
    <w:rsid w:val="00D56D1C"/>
    <w:rsid w:val="00D60851"/>
    <w:rsid w:val="00D60B58"/>
    <w:rsid w:val="00D617E2"/>
    <w:rsid w:val="00D62013"/>
    <w:rsid w:val="00D62E95"/>
    <w:rsid w:val="00D630FC"/>
    <w:rsid w:val="00D63336"/>
    <w:rsid w:val="00D63D3D"/>
    <w:rsid w:val="00D66875"/>
    <w:rsid w:val="00D67365"/>
    <w:rsid w:val="00D67C7F"/>
    <w:rsid w:val="00D70153"/>
    <w:rsid w:val="00D717B0"/>
    <w:rsid w:val="00D73902"/>
    <w:rsid w:val="00D7563F"/>
    <w:rsid w:val="00D75737"/>
    <w:rsid w:val="00D75F32"/>
    <w:rsid w:val="00D7645E"/>
    <w:rsid w:val="00D77ADF"/>
    <w:rsid w:val="00D77D4E"/>
    <w:rsid w:val="00D8005B"/>
    <w:rsid w:val="00D81292"/>
    <w:rsid w:val="00D83069"/>
    <w:rsid w:val="00D84C33"/>
    <w:rsid w:val="00D8640D"/>
    <w:rsid w:val="00D867B1"/>
    <w:rsid w:val="00D87529"/>
    <w:rsid w:val="00D878AE"/>
    <w:rsid w:val="00D87AC7"/>
    <w:rsid w:val="00D90D7E"/>
    <w:rsid w:val="00D91154"/>
    <w:rsid w:val="00D91BE1"/>
    <w:rsid w:val="00D93773"/>
    <w:rsid w:val="00D9386E"/>
    <w:rsid w:val="00D95BCA"/>
    <w:rsid w:val="00D95DF6"/>
    <w:rsid w:val="00D961E0"/>
    <w:rsid w:val="00D9717A"/>
    <w:rsid w:val="00D971D4"/>
    <w:rsid w:val="00D97E3E"/>
    <w:rsid w:val="00DA12F9"/>
    <w:rsid w:val="00DA1A04"/>
    <w:rsid w:val="00DA205C"/>
    <w:rsid w:val="00DA3068"/>
    <w:rsid w:val="00DA39D4"/>
    <w:rsid w:val="00DA6029"/>
    <w:rsid w:val="00DA6A3B"/>
    <w:rsid w:val="00DA72C7"/>
    <w:rsid w:val="00DB09A3"/>
    <w:rsid w:val="00DB1C75"/>
    <w:rsid w:val="00DB3A06"/>
    <w:rsid w:val="00DB43C9"/>
    <w:rsid w:val="00DB5F22"/>
    <w:rsid w:val="00DB621E"/>
    <w:rsid w:val="00DC2391"/>
    <w:rsid w:val="00DC3037"/>
    <w:rsid w:val="00DC3E8C"/>
    <w:rsid w:val="00DC4473"/>
    <w:rsid w:val="00DC528A"/>
    <w:rsid w:val="00DC5C0A"/>
    <w:rsid w:val="00DC721F"/>
    <w:rsid w:val="00DD269A"/>
    <w:rsid w:val="00DD297F"/>
    <w:rsid w:val="00DD35DF"/>
    <w:rsid w:val="00DD3B39"/>
    <w:rsid w:val="00DD49C5"/>
    <w:rsid w:val="00DD4EB7"/>
    <w:rsid w:val="00DD4F91"/>
    <w:rsid w:val="00DD51CF"/>
    <w:rsid w:val="00DD530A"/>
    <w:rsid w:val="00DD5ADA"/>
    <w:rsid w:val="00DD5EA8"/>
    <w:rsid w:val="00DE117A"/>
    <w:rsid w:val="00DE138A"/>
    <w:rsid w:val="00DE27B1"/>
    <w:rsid w:val="00DE3B85"/>
    <w:rsid w:val="00DE620D"/>
    <w:rsid w:val="00DE6887"/>
    <w:rsid w:val="00DF040B"/>
    <w:rsid w:val="00DF4C2C"/>
    <w:rsid w:val="00DF55BD"/>
    <w:rsid w:val="00DF5A5E"/>
    <w:rsid w:val="00DF67FC"/>
    <w:rsid w:val="00DF7128"/>
    <w:rsid w:val="00E017C3"/>
    <w:rsid w:val="00E02D7B"/>
    <w:rsid w:val="00E0507D"/>
    <w:rsid w:val="00E0553F"/>
    <w:rsid w:val="00E063A8"/>
    <w:rsid w:val="00E069A2"/>
    <w:rsid w:val="00E06F88"/>
    <w:rsid w:val="00E119B7"/>
    <w:rsid w:val="00E12051"/>
    <w:rsid w:val="00E13934"/>
    <w:rsid w:val="00E13E96"/>
    <w:rsid w:val="00E1569E"/>
    <w:rsid w:val="00E164F9"/>
    <w:rsid w:val="00E16CDF"/>
    <w:rsid w:val="00E2007A"/>
    <w:rsid w:val="00E21F28"/>
    <w:rsid w:val="00E237A6"/>
    <w:rsid w:val="00E243F9"/>
    <w:rsid w:val="00E251A5"/>
    <w:rsid w:val="00E2541B"/>
    <w:rsid w:val="00E25A65"/>
    <w:rsid w:val="00E25B0E"/>
    <w:rsid w:val="00E25F60"/>
    <w:rsid w:val="00E3016F"/>
    <w:rsid w:val="00E32C8D"/>
    <w:rsid w:val="00E33430"/>
    <w:rsid w:val="00E34401"/>
    <w:rsid w:val="00E3472B"/>
    <w:rsid w:val="00E349CE"/>
    <w:rsid w:val="00E34FA4"/>
    <w:rsid w:val="00E35584"/>
    <w:rsid w:val="00E359D1"/>
    <w:rsid w:val="00E36FF0"/>
    <w:rsid w:val="00E3746F"/>
    <w:rsid w:val="00E40ACA"/>
    <w:rsid w:val="00E40E77"/>
    <w:rsid w:val="00E419B4"/>
    <w:rsid w:val="00E420E2"/>
    <w:rsid w:val="00E42681"/>
    <w:rsid w:val="00E42A89"/>
    <w:rsid w:val="00E47A8F"/>
    <w:rsid w:val="00E5192A"/>
    <w:rsid w:val="00E52C88"/>
    <w:rsid w:val="00E5327D"/>
    <w:rsid w:val="00E54A43"/>
    <w:rsid w:val="00E5530D"/>
    <w:rsid w:val="00E55C3D"/>
    <w:rsid w:val="00E55FAD"/>
    <w:rsid w:val="00E57389"/>
    <w:rsid w:val="00E57782"/>
    <w:rsid w:val="00E60E77"/>
    <w:rsid w:val="00E6196D"/>
    <w:rsid w:val="00E61DF7"/>
    <w:rsid w:val="00E62299"/>
    <w:rsid w:val="00E63AE9"/>
    <w:rsid w:val="00E64F50"/>
    <w:rsid w:val="00E717EE"/>
    <w:rsid w:val="00E72012"/>
    <w:rsid w:val="00E725A3"/>
    <w:rsid w:val="00E729A2"/>
    <w:rsid w:val="00E739EC"/>
    <w:rsid w:val="00E74067"/>
    <w:rsid w:val="00E74B72"/>
    <w:rsid w:val="00E759F1"/>
    <w:rsid w:val="00E75A89"/>
    <w:rsid w:val="00E777E1"/>
    <w:rsid w:val="00E80BE1"/>
    <w:rsid w:val="00E80CB7"/>
    <w:rsid w:val="00E82539"/>
    <w:rsid w:val="00E85532"/>
    <w:rsid w:val="00E8597A"/>
    <w:rsid w:val="00E85DC6"/>
    <w:rsid w:val="00E8668E"/>
    <w:rsid w:val="00E867A7"/>
    <w:rsid w:val="00E8706F"/>
    <w:rsid w:val="00E870BC"/>
    <w:rsid w:val="00E90408"/>
    <w:rsid w:val="00E90E4E"/>
    <w:rsid w:val="00E9203E"/>
    <w:rsid w:val="00E92430"/>
    <w:rsid w:val="00E9262D"/>
    <w:rsid w:val="00E92830"/>
    <w:rsid w:val="00E964AA"/>
    <w:rsid w:val="00E9664A"/>
    <w:rsid w:val="00E96804"/>
    <w:rsid w:val="00E97FFC"/>
    <w:rsid w:val="00EA206B"/>
    <w:rsid w:val="00EA31F9"/>
    <w:rsid w:val="00EA486A"/>
    <w:rsid w:val="00EA4BD8"/>
    <w:rsid w:val="00EA53B2"/>
    <w:rsid w:val="00EA577D"/>
    <w:rsid w:val="00EA6421"/>
    <w:rsid w:val="00EA6969"/>
    <w:rsid w:val="00EA7F5C"/>
    <w:rsid w:val="00EB0AA9"/>
    <w:rsid w:val="00EB1471"/>
    <w:rsid w:val="00EB1F4A"/>
    <w:rsid w:val="00EB21DB"/>
    <w:rsid w:val="00EB636B"/>
    <w:rsid w:val="00EB68B0"/>
    <w:rsid w:val="00EB6CA2"/>
    <w:rsid w:val="00EB7FDB"/>
    <w:rsid w:val="00EC2964"/>
    <w:rsid w:val="00EC3523"/>
    <w:rsid w:val="00EC40FB"/>
    <w:rsid w:val="00EC4247"/>
    <w:rsid w:val="00EC4A63"/>
    <w:rsid w:val="00EC53F3"/>
    <w:rsid w:val="00EC58F1"/>
    <w:rsid w:val="00EC6379"/>
    <w:rsid w:val="00EC6AE7"/>
    <w:rsid w:val="00EC6F0B"/>
    <w:rsid w:val="00EC7651"/>
    <w:rsid w:val="00ED190B"/>
    <w:rsid w:val="00ED1C05"/>
    <w:rsid w:val="00ED2158"/>
    <w:rsid w:val="00ED3B17"/>
    <w:rsid w:val="00ED3BEC"/>
    <w:rsid w:val="00ED41AE"/>
    <w:rsid w:val="00ED4B2F"/>
    <w:rsid w:val="00ED4DC5"/>
    <w:rsid w:val="00ED5DEF"/>
    <w:rsid w:val="00EE0251"/>
    <w:rsid w:val="00EE08CB"/>
    <w:rsid w:val="00EE0B05"/>
    <w:rsid w:val="00EE2DFF"/>
    <w:rsid w:val="00EE362F"/>
    <w:rsid w:val="00EE4CF1"/>
    <w:rsid w:val="00EE5D2A"/>
    <w:rsid w:val="00EE702B"/>
    <w:rsid w:val="00EF2EE8"/>
    <w:rsid w:val="00EF3200"/>
    <w:rsid w:val="00EF39AF"/>
    <w:rsid w:val="00EF3F33"/>
    <w:rsid w:val="00EF6B61"/>
    <w:rsid w:val="00F01629"/>
    <w:rsid w:val="00F03476"/>
    <w:rsid w:val="00F04015"/>
    <w:rsid w:val="00F047A0"/>
    <w:rsid w:val="00F04DCC"/>
    <w:rsid w:val="00F0622C"/>
    <w:rsid w:val="00F07404"/>
    <w:rsid w:val="00F07569"/>
    <w:rsid w:val="00F07E5A"/>
    <w:rsid w:val="00F1112B"/>
    <w:rsid w:val="00F1132B"/>
    <w:rsid w:val="00F11424"/>
    <w:rsid w:val="00F11618"/>
    <w:rsid w:val="00F14275"/>
    <w:rsid w:val="00F1470D"/>
    <w:rsid w:val="00F15B2E"/>
    <w:rsid w:val="00F15B78"/>
    <w:rsid w:val="00F16B8E"/>
    <w:rsid w:val="00F1782C"/>
    <w:rsid w:val="00F20038"/>
    <w:rsid w:val="00F21EE5"/>
    <w:rsid w:val="00F22830"/>
    <w:rsid w:val="00F2517F"/>
    <w:rsid w:val="00F26164"/>
    <w:rsid w:val="00F26635"/>
    <w:rsid w:val="00F275DD"/>
    <w:rsid w:val="00F27F6B"/>
    <w:rsid w:val="00F31789"/>
    <w:rsid w:val="00F3218C"/>
    <w:rsid w:val="00F321ED"/>
    <w:rsid w:val="00F33EEA"/>
    <w:rsid w:val="00F35843"/>
    <w:rsid w:val="00F364FE"/>
    <w:rsid w:val="00F36FB4"/>
    <w:rsid w:val="00F40424"/>
    <w:rsid w:val="00F40E10"/>
    <w:rsid w:val="00F40EA5"/>
    <w:rsid w:val="00F428F0"/>
    <w:rsid w:val="00F42F32"/>
    <w:rsid w:val="00F43659"/>
    <w:rsid w:val="00F4554A"/>
    <w:rsid w:val="00F45CE1"/>
    <w:rsid w:val="00F45DFA"/>
    <w:rsid w:val="00F463FE"/>
    <w:rsid w:val="00F4731E"/>
    <w:rsid w:val="00F47F2B"/>
    <w:rsid w:val="00F50776"/>
    <w:rsid w:val="00F50C30"/>
    <w:rsid w:val="00F52C06"/>
    <w:rsid w:val="00F52D69"/>
    <w:rsid w:val="00F5330E"/>
    <w:rsid w:val="00F5371D"/>
    <w:rsid w:val="00F53AE1"/>
    <w:rsid w:val="00F53D51"/>
    <w:rsid w:val="00F53DF3"/>
    <w:rsid w:val="00F54FF0"/>
    <w:rsid w:val="00F55B24"/>
    <w:rsid w:val="00F56C8A"/>
    <w:rsid w:val="00F6090C"/>
    <w:rsid w:val="00F60B15"/>
    <w:rsid w:val="00F63BFE"/>
    <w:rsid w:val="00F640DB"/>
    <w:rsid w:val="00F640EB"/>
    <w:rsid w:val="00F64E68"/>
    <w:rsid w:val="00F64FE4"/>
    <w:rsid w:val="00F65338"/>
    <w:rsid w:val="00F6668E"/>
    <w:rsid w:val="00F66A34"/>
    <w:rsid w:val="00F67501"/>
    <w:rsid w:val="00F677E7"/>
    <w:rsid w:val="00F678BC"/>
    <w:rsid w:val="00F700C7"/>
    <w:rsid w:val="00F713E8"/>
    <w:rsid w:val="00F72658"/>
    <w:rsid w:val="00F72703"/>
    <w:rsid w:val="00F72ECC"/>
    <w:rsid w:val="00F73D70"/>
    <w:rsid w:val="00F744E5"/>
    <w:rsid w:val="00F74ADD"/>
    <w:rsid w:val="00F750B7"/>
    <w:rsid w:val="00F75754"/>
    <w:rsid w:val="00F7645A"/>
    <w:rsid w:val="00F77489"/>
    <w:rsid w:val="00F805AF"/>
    <w:rsid w:val="00F80807"/>
    <w:rsid w:val="00F80B84"/>
    <w:rsid w:val="00F8211B"/>
    <w:rsid w:val="00F8343A"/>
    <w:rsid w:val="00F848E7"/>
    <w:rsid w:val="00F84B57"/>
    <w:rsid w:val="00F86751"/>
    <w:rsid w:val="00F913D0"/>
    <w:rsid w:val="00F913E2"/>
    <w:rsid w:val="00F91810"/>
    <w:rsid w:val="00F920D6"/>
    <w:rsid w:val="00F933BC"/>
    <w:rsid w:val="00F93452"/>
    <w:rsid w:val="00F93585"/>
    <w:rsid w:val="00F93EE9"/>
    <w:rsid w:val="00F9463B"/>
    <w:rsid w:val="00F94818"/>
    <w:rsid w:val="00F94F6C"/>
    <w:rsid w:val="00F962D1"/>
    <w:rsid w:val="00F96BC6"/>
    <w:rsid w:val="00F97743"/>
    <w:rsid w:val="00FA0390"/>
    <w:rsid w:val="00FA1D47"/>
    <w:rsid w:val="00FA207E"/>
    <w:rsid w:val="00FA23EF"/>
    <w:rsid w:val="00FA39D8"/>
    <w:rsid w:val="00FA4242"/>
    <w:rsid w:val="00FA4456"/>
    <w:rsid w:val="00FA64E7"/>
    <w:rsid w:val="00FA6B2D"/>
    <w:rsid w:val="00FA6EF4"/>
    <w:rsid w:val="00FA7CF1"/>
    <w:rsid w:val="00FB2D58"/>
    <w:rsid w:val="00FB2DC6"/>
    <w:rsid w:val="00FB457D"/>
    <w:rsid w:val="00FB52A6"/>
    <w:rsid w:val="00FB7214"/>
    <w:rsid w:val="00FC1BBA"/>
    <w:rsid w:val="00FC23D0"/>
    <w:rsid w:val="00FC2CCC"/>
    <w:rsid w:val="00FC3340"/>
    <w:rsid w:val="00FC55B2"/>
    <w:rsid w:val="00FC5D67"/>
    <w:rsid w:val="00FC6148"/>
    <w:rsid w:val="00FC7677"/>
    <w:rsid w:val="00FD039B"/>
    <w:rsid w:val="00FD1941"/>
    <w:rsid w:val="00FD2CC5"/>
    <w:rsid w:val="00FD4403"/>
    <w:rsid w:val="00FD4EBD"/>
    <w:rsid w:val="00FD584E"/>
    <w:rsid w:val="00FD6CEB"/>
    <w:rsid w:val="00FD7951"/>
    <w:rsid w:val="00FE159D"/>
    <w:rsid w:val="00FE1666"/>
    <w:rsid w:val="00FE187C"/>
    <w:rsid w:val="00FE34A8"/>
    <w:rsid w:val="00FE6958"/>
    <w:rsid w:val="00FE6A55"/>
    <w:rsid w:val="00FE6DF1"/>
    <w:rsid w:val="00FE778E"/>
    <w:rsid w:val="00FF0381"/>
    <w:rsid w:val="00FF03D2"/>
    <w:rsid w:val="00FF16E5"/>
    <w:rsid w:val="00FF1CC0"/>
    <w:rsid w:val="00FF1EDD"/>
    <w:rsid w:val="00FF2681"/>
    <w:rsid w:val="00FF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E3721"/>
    <w:rPr>
      <w:sz w:val="24"/>
      <w:szCs w:val="24"/>
    </w:rPr>
  </w:style>
  <w:style w:type="paragraph" w:styleId="Heading1">
    <w:name w:val="heading 1"/>
    <w:basedOn w:val="Normal"/>
    <w:next w:val="Normal"/>
    <w:link w:val="Heading1Char"/>
    <w:qFormat/>
    <w:rsid w:val="00F6090C"/>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6090C"/>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6090C"/>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6090C"/>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6090C"/>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6090C"/>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6090C"/>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F6090C"/>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6090C"/>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3E3721"/>
    <w:pPr>
      <w:autoSpaceDE w:val="0"/>
      <w:autoSpaceDN w:val="0"/>
      <w:adjustRightInd w:val="0"/>
    </w:pPr>
    <w:rPr>
      <w:rFonts w:ascii="Arial" w:hAnsi="Arial"/>
      <w:sz w:val="24"/>
      <w:szCs w:val="24"/>
    </w:rPr>
  </w:style>
  <w:style w:type="character" w:customStyle="1" w:styleId="d1">
    <w:name w:val="d1"/>
    <w:rsid w:val="003E3721"/>
    <w:rPr>
      <w:sz w:val="18"/>
      <w:szCs w:val="18"/>
    </w:rPr>
  </w:style>
  <w:style w:type="paragraph" w:customStyle="1" w:styleId="1LargeBullet">
    <w:name w:val="1Large Bullet"/>
    <w:rsid w:val="003E3721"/>
    <w:pPr>
      <w:tabs>
        <w:tab w:val="left" w:pos="720"/>
      </w:tabs>
      <w:autoSpaceDE w:val="0"/>
      <w:autoSpaceDN w:val="0"/>
      <w:adjustRightInd w:val="0"/>
      <w:ind w:left="720" w:hanging="720"/>
    </w:pPr>
    <w:rPr>
      <w:rFonts w:ascii="Courier" w:hAnsi="Courier"/>
      <w:sz w:val="24"/>
      <w:szCs w:val="24"/>
    </w:rPr>
  </w:style>
  <w:style w:type="paragraph" w:styleId="BodyText">
    <w:name w:val="Body Text"/>
    <w:basedOn w:val="Normal"/>
    <w:rsid w:val="003E3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u w:val="single"/>
    </w:rPr>
  </w:style>
  <w:style w:type="paragraph" w:styleId="Header">
    <w:name w:val="header"/>
    <w:basedOn w:val="Normal"/>
    <w:rsid w:val="003E3721"/>
    <w:pPr>
      <w:tabs>
        <w:tab w:val="center" w:pos="4320"/>
        <w:tab w:val="right" w:pos="8640"/>
      </w:tabs>
    </w:pPr>
  </w:style>
  <w:style w:type="paragraph" w:styleId="Footer">
    <w:name w:val="footer"/>
    <w:basedOn w:val="Normal"/>
    <w:link w:val="FooterChar"/>
    <w:uiPriority w:val="99"/>
    <w:rsid w:val="003E3721"/>
    <w:pPr>
      <w:tabs>
        <w:tab w:val="center" w:pos="4320"/>
        <w:tab w:val="right" w:pos="8640"/>
      </w:tabs>
    </w:pPr>
  </w:style>
  <w:style w:type="character" w:styleId="PageNumber">
    <w:name w:val="page number"/>
    <w:basedOn w:val="DefaultParagraphFont"/>
    <w:rsid w:val="003E3721"/>
  </w:style>
  <w:style w:type="character" w:styleId="Hyperlink">
    <w:name w:val="Hyperlink"/>
    <w:rsid w:val="003E3721"/>
    <w:rPr>
      <w:color w:val="0000A0"/>
      <w:u w:val="single"/>
    </w:rPr>
  </w:style>
  <w:style w:type="character" w:styleId="EndnoteReference">
    <w:name w:val="endnote reference"/>
    <w:semiHidden/>
    <w:rsid w:val="003E3721"/>
    <w:rPr>
      <w:rFonts w:ascii="Times New Roman" w:hAnsi="Times New Roman"/>
      <w:sz w:val="24"/>
      <w:vertAlign w:val="baseline"/>
    </w:rPr>
  </w:style>
  <w:style w:type="paragraph" w:styleId="DocumentMap">
    <w:name w:val="Document Map"/>
    <w:basedOn w:val="Normal"/>
    <w:semiHidden/>
    <w:rsid w:val="00FC5D67"/>
    <w:pPr>
      <w:shd w:val="clear" w:color="auto" w:fill="000080"/>
    </w:pPr>
    <w:rPr>
      <w:rFonts w:ascii="Tahoma" w:hAnsi="Tahoma" w:cs="Tahoma"/>
      <w:sz w:val="20"/>
      <w:szCs w:val="20"/>
    </w:rPr>
  </w:style>
  <w:style w:type="paragraph" w:styleId="BalloonText">
    <w:name w:val="Balloon Text"/>
    <w:basedOn w:val="Normal"/>
    <w:semiHidden/>
    <w:rsid w:val="003E3721"/>
    <w:rPr>
      <w:rFonts w:ascii="Tahoma" w:hAnsi="Tahoma" w:cs="Tahoma"/>
      <w:sz w:val="16"/>
      <w:szCs w:val="16"/>
    </w:rPr>
  </w:style>
  <w:style w:type="character" w:styleId="CommentReference">
    <w:name w:val="annotation reference"/>
    <w:semiHidden/>
    <w:rsid w:val="003E3721"/>
    <w:rPr>
      <w:sz w:val="16"/>
      <w:szCs w:val="16"/>
    </w:rPr>
  </w:style>
  <w:style w:type="paragraph" w:styleId="CommentText">
    <w:name w:val="annotation text"/>
    <w:basedOn w:val="Normal"/>
    <w:semiHidden/>
    <w:rsid w:val="003E3721"/>
    <w:rPr>
      <w:sz w:val="20"/>
      <w:szCs w:val="20"/>
    </w:rPr>
  </w:style>
  <w:style w:type="paragraph" w:styleId="CommentSubject">
    <w:name w:val="annotation subject"/>
    <w:basedOn w:val="CommentText"/>
    <w:next w:val="CommentText"/>
    <w:semiHidden/>
    <w:rsid w:val="003E3721"/>
    <w:rPr>
      <w:b/>
      <w:bCs/>
    </w:rPr>
  </w:style>
  <w:style w:type="paragraph" w:customStyle="1" w:styleId="FormBodyTextHanging">
    <w:name w:val="Form Body Text Hanging"/>
    <w:basedOn w:val="Normal"/>
    <w:rsid w:val="003E3721"/>
    <w:pPr>
      <w:tabs>
        <w:tab w:val="right" w:pos="9360"/>
      </w:tabs>
      <w:spacing w:before="60" w:after="60"/>
      <w:ind w:left="720" w:hanging="720"/>
    </w:pPr>
    <w:rPr>
      <w:sz w:val="20"/>
    </w:rPr>
  </w:style>
  <w:style w:type="paragraph" w:customStyle="1" w:styleId="FormBodyText">
    <w:name w:val="Form Body Text"/>
    <w:basedOn w:val="FormBodyTextHanging"/>
    <w:rsid w:val="003E3721"/>
    <w:pPr>
      <w:ind w:left="0" w:firstLine="0"/>
    </w:pPr>
    <w:rPr>
      <w:szCs w:val="20"/>
    </w:rPr>
  </w:style>
  <w:style w:type="character" w:styleId="Emphasis">
    <w:name w:val="Emphasis"/>
    <w:qFormat/>
    <w:rsid w:val="00901EEA"/>
    <w:rPr>
      <w:b/>
      <w:bCs/>
      <w:i w:val="0"/>
      <w:iCs w:val="0"/>
    </w:rPr>
  </w:style>
  <w:style w:type="paragraph" w:styleId="ListParagraph">
    <w:name w:val="List Paragraph"/>
    <w:basedOn w:val="Normal"/>
    <w:uiPriority w:val="34"/>
    <w:qFormat/>
    <w:rsid w:val="00B755A7"/>
    <w:pPr>
      <w:ind w:left="720"/>
      <w:contextualSpacing/>
    </w:pPr>
  </w:style>
  <w:style w:type="paragraph" w:styleId="HTMLPreformatted">
    <w:name w:val="HTML Preformatted"/>
    <w:basedOn w:val="Normal"/>
    <w:link w:val="HTMLPreformattedChar"/>
    <w:uiPriority w:val="99"/>
    <w:unhideWhenUsed/>
    <w:rsid w:val="00670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670956"/>
    <w:rPr>
      <w:rFonts w:ascii="Courier New" w:eastAsia="Calibri" w:hAnsi="Courier New" w:cs="Courier New"/>
    </w:rPr>
  </w:style>
  <w:style w:type="paragraph" w:styleId="Revision">
    <w:name w:val="Revision"/>
    <w:hidden/>
    <w:uiPriority w:val="99"/>
    <w:semiHidden/>
    <w:rsid w:val="00DA12F9"/>
    <w:rPr>
      <w:sz w:val="24"/>
      <w:szCs w:val="24"/>
    </w:rPr>
  </w:style>
  <w:style w:type="character" w:customStyle="1" w:styleId="highlight">
    <w:name w:val="highlight"/>
    <w:rsid w:val="0023348C"/>
  </w:style>
  <w:style w:type="paragraph" w:styleId="FootnoteText">
    <w:name w:val="footnote text"/>
    <w:basedOn w:val="Normal"/>
    <w:link w:val="FootnoteTextChar"/>
    <w:rsid w:val="00955067"/>
    <w:rPr>
      <w:sz w:val="20"/>
      <w:szCs w:val="20"/>
    </w:rPr>
  </w:style>
  <w:style w:type="character" w:customStyle="1" w:styleId="FootnoteTextChar">
    <w:name w:val="Footnote Text Char"/>
    <w:link w:val="FootnoteText"/>
    <w:rsid w:val="00955067"/>
    <w:rPr>
      <w:lang w:eastAsia="en-US"/>
    </w:rPr>
  </w:style>
  <w:style w:type="character" w:styleId="FootnoteReference">
    <w:name w:val="footnote reference"/>
    <w:rsid w:val="00955067"/>
    <w:rPr>
      <w:vertAlign w:val="superscript"/>
    </w:rPr>
  </w:style>
  <w:style w:type="character" w:customStyle="1" w:styleId="FooterChar">
    <w:name w:val="Footer Char"/>
    <w:link w:val="Footer"/>
    <w:uiPriority w:val="99"/>
    <w:rsid w:val="002B7D2D"/>
    <w:rPr>
      <w:sz w:val="24"/>
      <w:szCs w:val="24"/>
    </w:rPr>
  </w:style>
  <w:style w:type="character" w:customStyle="1" w:styleId="Heading1Char">
    <w:name w:val="Heading 1 Char"/>
    <w:link w:val="Heading1"/>
    <w:rsid w:val="00F6090C"/>
    <w:rPr>
      <w:rFonts w:ascii="Cambria" w:hAnsi="Cambria"/>
      <w:b/>
      <w:bCs/>
      <w:kern w:val="32"/>
      <w:sz w:val="32"/>
      <w:szCs w:val="32"/>
    </w:rPr>
  </w:style>
  <w:style w:type="character" w:customStyle="1" w:styleId="Heading2Char">
    <w:name w:val="Heading 2 Char"/>
    <w:link w:val="Heading2"/>
    <w:rsid w:val="00F6090C"/>
    <w:rPr>
      <w:rFonts w:ascii="Cambria" w:hAnsi="Cambria"/>
      <w:b/>
      <w:bCs/>
      <w:i/>
      <w:iCs/>
      <w:sz w:val="28"/>
      <w:szCs w:val="28"/>
    </w:rPr>
  </w:style>
  <w:style w:type="character" w:customStyle="1" w:styleId="Heading3Char">
    <w:name w:val="Heading 3 Char"/>
    <w:link w:val="Heading3"/>
    <w:semiHidden/>
    <w:rsid w:val="00F6090C"/>
    <w:rPr>
      <w:rFonts w:ascii="Cambria" w:hAnsi="Cambria"/>
      <w:b/>
      <w:bCs/>
      <w:sz w:val="26"/>
      <w:szCs w:val="26"/>
    </w:rPr>
  </w:style>
  <w:style w:type="character" w:customStyle="1" w:styleId="Heading4Char">
    <w:name w:val="Heading 4 Char"/>
    <w:link w:val="Heading4"/>
    <w:semiHidden/>
    <w:rsid w:val="00F6090C"/>
    <w:rPr>
      <w:rFonts w:ascii="Calibri" w:hAnsi="Calibri"/>
      <w:b/>
      <w:bCs/>
      <w:sz w:val="28"/>
      <w:szCs w:val="28"/>
    </w:rPr>
  </w:style>
  <w:style w:type="character" w:customStyle="1" w:styleId="Heading5Char">
    <w:name w:val="Heading 5 Char"/>
    <w:link w:val="Heading5"/>
    <w:semiHidden/>
    <w:rsid w:val="00F6090C"/>
    <w:rPr>
      <w:rFonts w:ascii="Calibri" w:hAnsi="Calibri"/>
      <w:b/>
      <w:bCs/>
      <w:i/>
      <w:iCs/>
      <w:sz w:val="26"/>
      <w:szCs w:val="26"/>
    </w:rPr>
  </w:style>
  <w:style w:type="character" w:customStyle="1" w:styleId="Heading6Char">
    <w:name w:val="Heading 6 Char"/>
    <w:link w:val="Heading6"/>
    <w:semiHidden/>
    <w:rsid w:val="00F6090C"/>
    <w:rPr>
      <w:rFonts w:ascii="Calibri" w:hAnsi="Calibri"/>
      <w:b/>
      <w:bCs/>
      <w:sz w:val="22"/>
      <w:szCs w:val="22"/>
    </w:rPr>
  </w:style>
  <w:style w:type="character" w:customStyle="1" w:styleId="Heading7Char">
    <w:name w:val="Heading 7 Char"/>
    <w:link w:val="Heading7"/>
    <w:semiHidden/>
    <w:rsid w:val="00F6090C"/>
    <w:rPr>
      <w:rFonts w:ascii="Calibri" w:hAnsi="Calibri"/>
      <w:sz w:val="24"/>
      <w:szCs w:val="24"/>
    </w:rPr>
  </w:style>
  <w:style w:type="character" w:customStyle="1" w:styleId="Heading8Char">
    <w:name w:val="Heading 8 Char"/>
    <w:link w:val="Heading8"/>
    <w:semiHidden/>
    <w:rsid w:val="00F6090C"/>
    <w:rPr>
      <w:rFonts w:ascii="Calibri" w:hAnsi="Calibri"/>
      <w:i/>
      <w:iCs/>
      <w:sz w:val="24"/>
      <w:szCs w:val="24"/>
    </w:rPr>
  </w:style>
  <w:style w:type="character" w:customStyle="1" w:styleId="Heading9Char">
    <w:name w:val="Heading 9 Char"/>
    <w:link w:val="Heading9"/>
    <w:semiHidden/>
    <w:rsid w:val="00F6090C"/>
    <w:rPr>
      <w:rFonts w:ascii="Cambria" w:hAnsi="Cambria"/>
      <w:sz w:val="22"/>
      <w:szCs w:val="22"/>
    </w:rPr>
  </w:style>
  <w:style w:type="character" w:styleId="FollowedHyperlink">
    <w:name w:val="FollowedHyperlink"/>
    <w:rsid w:val="00E02D7B"/>
    <w:rPr>
      <w:color w:val="954F72"/>
      <w:u w:val="single"/>
    </w:rPr>
  </w:style>
  <w:style w:type="character" w:styleId="UnresolvedMention">
    <w:name w:val="Unresolved Mention"/>
    <w:uiPriority w:val="99"/>
    <w:semiHidden/>
    <w:unhideWhenUsed/>
    <w:rsid w:val="00EE362F"/>
    <w:rPr>
      <w:color w:val="605E5C"/>
      <w:shd w:val="clear" w:color="auto" w:fill="E1DFDD"/>
    </w:rPr>
  </w:style>
  <w:style w:type="table" w:styleId="TableGrid">
    <w:name w:val="Table Grid"/>
    <w:basedOn w:val="TableNormal"/>
    <w:uiPriority w:val="39"/>
    <w:rsid w:val="008569A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F7282"/>
    <w:pPr>
      <w:spacing w:after="100" w:line="276" w:lineRule="auto"/>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74959">
      <w:bodyDiv w:val="1"/>
      <w:marLeft w:val="0"/>
      <w:marRight w:val="0"/>
      <w:marTop w:val="0"/>
      <w:marBottom w:val="0"/>
      <w:divBdr>
        <w:top w:val="none" w:sz="0" w:space="0" w:color="auto"/>
        <w:left w:val="none" w:sz="0" w:space="0" w:color="auto"/>
        <w:bottom w:val="none" w:sz="0" w:space="0" w:color="auto"/>
        <w:right w:val="none" w:sz="0" w:space="0" w:color="auto"/>
      </w:divBdr>
    </w:div>
    <w:div w:id="437022226">
      <w:bodyDiv w:val="1"/>
      <w:marLeft w:val="0"/>
      <w:marRight w:val="0"/>
      <w:marTop w:val="0"/>
      <w:marBottom w:val="0"/>
      <w:divBdr>
        <w:top w:val="none" w:sz="0" w:space="0" w:color="auto"/>
        <w:left w:val="none" w:sz="0" w:space="0" w:color="auto"/>
        <w:bottom w:val="none" w:sz="0" w:space="0" w:color="auto"/>
        <w:right w:val="none" w:sz="0" w:space="0" w:color="auto"/>
      </w:divBdr>
    </w:div>
    <w:div w:id="463892511">
      <w:bodyDiv w:val="1"/>
      <w:marLeft w:val="0"/>
      <w:marRight w:val="0"/>
      <w:marTop w:val="0"/>
      <w:marBottom w:val="0"/>
      <w:divBdr>
        <w:top w:val="none" w:sz="0" w:space="0" w:color="auto"/>
        <w:left w:val="none" w:sz="0" w:space="0" w:color="auto"/>
        <w:bottom w:val="none" w:sz="0" w:space="0" w:color="auto"/>
        <w:right w:val="none" w:sz="0" w:space="0" w:color="auto"/>
      </w:divBdr>
    </w:div>
    <w:div w:id="526797921">
      <w:bodyDiv w:val="1"/>
      <w:marLeft w:val="0"/>
      <w:marRight w:val="0"/>
      <w:marTop w:val="0"/>
      <w:marBottom w:val="0"/>
      <w:divBdr>
        <w:top w:val="none" w:sz="0" w:space="0" w:color="auto"/>
        <w:left w:val="none" w:sz="0" w:space="0" w:color="auto"/>
        <w:bottom w:val="none" w:sz="0" w:space="0" w:color="auto"/>
        <w:right w:val="none" w:sz="0" w:space="0" w:color="auto"/>
      </w:divBdr>
    </w:div>
    <w:div w:id="568467795">
      <w:bodyDiv w:val="1"/>
      <w:marLeft w:val="0"/>
      <w:marRight w:val="0"/>
      <w:marTop w:val="0"/>
      <w:marBottom w:val="0"/>
      <w:divBdr>
        <w:top w:val="none" w:sz="0" w:space="0" w:color="auto"/>
        <w:left w:val="none" w:sz="0" w:space="0" w:color="auto"/>
        <w:bottom w:val="none" w:sz="0" w:space="0" w:color="auto"/>
        <w:right w:val="none" w:sz="0" w:space="0" w:color="auto"/>
      </w:divBdr>
    </w:div>
    <w:div w:id="590821638">
      <w:bodyDiv w:val="1"/>
      <w:marLeft w:val="0"/>
      <w:marRight w:val="0"/>
      <w:marTop w:val="0"/>
      <w:marBottom w:val="0"/>
      <w:divBdr>
        <w:top w:val="none" w:sz="0" w:space="0" w:color="auto"/>
        <w:left w:val="none" w:sz="0" w:space="0" w:color="auto"/>
        <w:bottom w:val="none" w:sz="0" w:space="0" w:color="auto"/>
        <w:right w:val="none" w:sz="0" w:space="0" w:color="auto"/>
      </w:divBdr>
    </w:div>
    <w:div w:id="639500450">
      <w:bodyDiv w:val="1"/>
      <w:marLeft w:val="0"/>
      <w:marRight w:val="0"/>
      <w:marTop w:val="0"/>
      <w:marBottom w:val="0"/>
      <w:divBdr>
        <w:top w:val="none" w:sz="0" w:space="0" w:color="auto"/>
        <w:left w:val="none" w:sz="0" w:space="0" w:color="auto"/>
        <w:bottom w:val="none" w:sz="0" w:space="0" w:color="auto"/>
        <w:right w:val="none" w:sz="0" w:space="0" w:color="auto"/>
      </w:divBdr>
    </w:div>
    <w:div w:id="840631290">
      <w:bodyDiv w:val="1"/>
      <w:marLeft w:val="0"/>
      <w:marRight w:val="0"/>
      <w:marTop w:val="0"/>
      <w:marBottom w:val="0"/>
      <w:divBdr>
        <w:top w:val="none" w:sz="0" w:space="0" w:color="auto"/>
        <w:left w:val="none" w:sz="0" w:space="0" w:color="auto"/>
        <w:bottom w:val="none" w:sz="0" w:space="0" w:color="auto"/>
        <w:right w:val="none" w:sz="0" w:space="0" w:color="auto"/>
      </w:divBdr>
    </w:div>
    <w:div w:id="1022971959">
      <w:bodyDiv w:val="1"/>
      <w:marLeft w:val="0"/>
      <w:marRight w:val="0"/>
      <w:marTop w:val="0"/>
      <w:marBottom w:val="0"/>
      <w:divBdr>
        <w:top w:val="none" w:sz="0" w:space="0" w:color="auto"/>
        <w:left w:val="none" w:sz="0" w:space="0" w:color="auto"/>
        <w:bottom w:val="none" w:sz="0" w:space="0" w:color="auto"/>
        <w:right w:val="none" w:sz="0" w:space="0" w:color="auto"/>
      </w:divBdr>
    </w:div>
    <w:div w:id="1045983169">
      <w:bodyDiv w:val="1"/>
      <w:marLeft w:val="0"/>
      <w:marRight w:val="0"/>
      <w:marTop w:val="0"/>
      <w:marBottom w:val="0"/>
      <w:divBdr>
        <w:top w:val="none" w:sz="0" w:space="0" w:color="auto"/>
        <w:left w:val="none" w:sz="0" w:space="0" w:color="auto"/>
        <w:bottom w:val="none" w:sz="0" w:space="0" w:color="auto"/>
        <w:right w:val="none" w:sz="0" w:space="0" w:color="auto"/>
      </w:divBdr>
    </w:div>
    <w:div w:id="1123381847">
      <w:bodyDiv w:val="1"/>
      <w:marLeft w:val="0"/>
      <w:marRight w:val="0"/>
      <w:marTop w:val="0"/>
      <w:marBottom w:val="0"/>
      <w:divBdr>
        <w:top w:val="none" w:sz="0" w:space="0" w:color="auto"/>
        <w:left w:val="none" w:sz="0" w:space="0" w:color="auto"/>
        <w:bottom w:val="none" w:sz="0" w:space="0" w:color="auto"/>
        <w:right w:val="none" w:sz="0" w:space="0" w:color="auto"/>
      </w:divBdr>
    </w:div>
    <w:div w:id="1242300507">
      <w:bodyDiv w:val="1"/>
      <w:marLeft w:val="0"/>
      <w:marRight w:val="0"/>
      <w:marTop w:val="0"/>
      <w:marBottom w:val="0"/>
      <w:divBdr>
        <w:top w:val="none" w:sz="0" w:space="0" w:color="auto"/>
        <w:left w:val="none" w:sz="0" w:space="0" w:color="auto"/>
        <w:bottom w:val="none" w:sz="0" w:space="0" w:color="auto"/>
        <w:right w:val="none" w:sz="0" w:space="0" w:color="auto"/>
      </w:divBdr>
    </w:div>
    <w:div w:id="1290278190">
      <w:bodyDiv w:val="1"/>
      <w:marLeft w:val="0"/>
      <w:marRight w:val="0"/>
      <w:marTop w:val="0"/>
      <w:marBottom w:val="0"/>
      <w:divBdr>
        <w:top w:val="none" w:sz="0" w:space="0" w:color="auto"/>
        <w:left w:val="none" w:sz="0" w:space="0" w:color="auto"/>
        <w:bottom w:val="none" w:sz="0" w:space="0" w:color="auto"/>
        <w:right w:val="none" w:sz="0" w:space="0" w:color="auto"/>
      </w:divBdr>
    </w:div>
    <w:div w:id="1407728615">
      <w:bodyDiv w:val="1"/>
      <w:marLeft w:val="0"/>
      <w:marRight w:val="0"/>
      <w:marTop w:val="0"/>
      <w:marBottom w:val="0"/>
      <w:divBdr>
        <w:top w:val="none" w:sz="0" w:space="0" w:color="auto"/>
        <w:left w:val="none" w:sz="0" w:space="0" w:color="auto"/>
        <w:bottom w:val="none" w:sz="0" w:space="0" w:color="auto"/>
        <w:right w:val="none" w:sz="0" w:space="0" w:color="auto"/>
      </w:divBdr>
    </w:div>
    <w:div w:id="1615358384">
      <w:bodyDiv w:val="1"/>
      <w:marLeft w:val="0"/>
      <w:marRight w:val="0"/>
      <w:marTop w:val="0"/>
      <w:marBottom w:val="0"/>
      <w:divBdr>
        <w:top w:val="none" w:sz="0" w:space="0" w:color="auto"/>
        <w:left w:val="none" w:sz="0" w:space="0" w:color="auto"/>
        <w:bottom w:val="none" w:sz="0" w:space="0" w:color="auto"/>
        <w:right w:val="none" w:sz="0" w:space="0" w:color="auto"/>
      </w:divBdr>
    </w:div>
    <w:div w:id="1666086642">
      <w:bodyDiv w:val="1"/>
      <w:marLeft w:val="0"/>
      <w:marRight w:val="0"/>
      <w:marTop w:val="0"/>
      <w:marBottom w:val="0"/>
      <w:divBdr>
        <w:top w:val="none" w:sz="0" w:space="0" w:color="auto"/>
        <w:left w:val="none" w:sz="0" w:space="0" w:color="auto"/>
        <w:bottom w:val="none" w:sz="0" w:space="0" w:color="auto"/>
        <w:right w:val="none" w:sz="0" w:space="0" w:color="auto"/>
      </w:divBdr>
    </w:div>
    <w:div w:id="197343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5D305-86A9-4751-BACC-8A186A36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13295</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2020-07-01T18:57:00Z</dcterms:created>
  <dcterms:modified xsi:type="dcterms:W3CDTF">2020-07-01T18:57:00Z</dcterms:modified>
</cp:coreProperties>
</file>