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2086" w:rsidP="001311C3" w:rsidRDefault="00CA2086">
      <w:pPr>
        <w:shd w:val="clear" w:color="auto" w:fill="FFFFFF"/>
        <w:spacing w:line="480" w:lineRule="auto"/>
        <w:contextualSpacing/>
        <w:jc w:val="center"/>
      </w:pPr>
      <w:bookmarkStart w:name="_GoBack" w:id="0"/>
      <w:bookmarkEnd w:id="0"/>
      <w:r>
        <w:t>United States Food and Drug Administration</w:t>
      </w:r>
    </w:p>
    <w:p w:rsidR="005425B7" w:rsidP="001311C3" w:rsidRDefault="005425B7">
      <w:pPr>
        <w:shd w:val="clear" w:color="auto" w:fill="FFFFFF"/>
        <w:spacing w:line="480" w:lineRule="auto"/>
        <w:contextualSpacing/>
        <w:jc w:val="center"/>
      </w:pPr>
      <w:r w:rsidRPr="00681993">
        <w:t>Study of Oncology Indications in Direct-to-Consumer Television Advertising</w:t>
      </w:r>
    </w:p>
    <w:p w:rsidR="00CA2086" w:rsidP="001311C3" w:rsidRDefault="00CA2086">
      <w:pPr>
        <w:shd w:val="clear" w:color="auto" w:fill="FFFFFF"/>
        <w:spacing w:line="480" w:lineRule="auto"/>
        <w:contextualSpacing/>
        <w:jc w:val="center"/>
      </w:pPr>
      <w:r>
        <w:t>OMB Control No. 0910-NEW</w:t>
      </w:r>
    </w:p>
    <w:p w:rsidRPr="00681993" w:rsidR="00CA2086" w:rsidP="001311C3" w:rsidRDefault="00CA2086">
      <w:pPr>
        <w:shd w:val="clear" w:color="auto" w:fill="FFFFFF"/>
        <w:spacing w:line="480" w:lineRule="auto"/>
        <w:contextualSpacing/>
        <w:jc w:val="center"/>
      </w:pPr>
      <w:r>
        <w:t>SUPPORTING STATEMENT</w:t>
      </w:r>
    </w:p>
    <w:p w:rsidRPr="00681993" w:rsidR="00EB7538" w:rsidP="00113487" w:rsidRDefault="00CA2086">
      <w:pPr>
        <w:shd w:val="clear" w:color="auto" w:fill="FFFFFF"/>
        <w:spacing w:before="100" w:beforeAutospacing="1" w:after="100" w:afterAutospacing="1"/>
        <w:ind w:left="288"/>
      </w:pPr>
      <w:r>
        <w:t xml:space="preserve">Part </w:t>
      </w:r>
      <w:r w:rsidRPr="00681993" w:rsidR="002D4799">
        <w:t>B.</w:t>
      </w:r>
      <w:r w:rsidRPr="00681993" w:rsidR="002D4799">
        <w:tab/>
      </w:r>
      <w:r w:rsidRPr="00681993" w:rsidR="00EB7538">
        <w:t>Statistical Methods</w:t>
      </w:r>
    </w:p>
    <w:p w:rsidRPr="00681993" w:rsidR="000B4906" w:rsidP="001311C3" w:rsidRDefault="00EB7538">
      <w:pPr>
        <w:numPr>
          <w:ilvl w:val="0"/>
          <w:numId w:val="2"/>
        </w:numPr>
        <w:shd w:val="clear" w:color="auto" w:fill="FFFFFF"/>
        <w:spacing w:before="100" w:beforeAutospacing="1" w:after="100" w:afterAutospacing="1"/>
        <w:rPr>
          <w:u w:val="single"/>
        </w:rPr>
      </w:pPr>
      <w:r w:rsidRPr="00681993">
        <w:rPr>
          <w:u w:val="single"/>
        </w:rPr>
        <w:t>Responden</w:t>
      </w:r>
      <w:r w:rsidRPr="00681993" w:rsidR="004846BF">
        <w:rPr>
          <w:u w:val="single"/>
        </w:rPr>
        <w:t>t Universe and Sampling Methods</w:t>
      </w:r>
    </w:p>
    <w:p w:rsidRPr="00681993" w:rsidR="00681993" w:rsidP="001311C3" w:rsidRDefault="00681993">
      <w:pPr>
        <w:shd w:val="clear" w:color="auto" w:fill="FFFFFF"/>
        <w:ind w:left="720"/>
      </w:pPr>
      <w:r w:rsidRPr="00681993">
        <w:t>For all phases of this research, we will recruit a general population sample of adult volunteers 18 years of age or older. For additional screening materials, see the “Participants” section below.</w:t>
      </w:r>
    </w:p>
    <w:p w:rsidRPr="00681993" w:rsidR="000B4906" w:rsidP="001311C3" w:rsidRDefault="000B4906">
      <w:pPr>
        <w:widowControl w:val="0"/>
        <w:shd w:val="clear" w:color="auto"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Pr="004F1781" w:rsidR="00B937B1" w:rsidP="004F1781" w:rsidRDefault="00E108CD">
      <w:pPr>
        <w:ind w:left="720"/>
      </w:pPr>
      <w:r>
        <w:t xml:space="preserve">For the cognitive interviews, </w:t>
      </w:r>
      <w:r w:rsidR="004F1781">
        <w:t>participants will be recruited from a panel managed by Shugoll Research</w:t>
      </w:r>
      <w:r>
        <w:t>, a professional recruitment firm</w:t>
      </w:r>
      <w:r w:rsidR="004F1781">
        <w:t xml:space="preserve">. </w:t>
      </w:r>
      <w:r>
        <w:t xml:space="preserve">The firm will utilize specialized staff and a telephone screener to recruit and screen </w:t>
      </w:r>
      <w:r w:rsidRPr="004F1781">
        <w:t>individuals</w:t>
      </w:r>
      <w:r w:rsidRPr="004F1781" w:rsidR="004F1781">
        <w:t xml:space="preserve"> </w:t>
      </w:r>
      <w:r w:rsidRPr="004F1781" w:rsidR="00681993">
        <w:t>(Appendix E)</w:t>
      </w:r>
      <w:r w:rsidRPr="004F1781" w:rsidR="004F1781">
        <w:t>.</w:t>
      </w:r>
    </w:p>
    <w:p w:rsidR="005640FD" w:rsidP="005640FD" w:rsidRDefault="005640FD">
      <w:pPr>
        <w:ind w:left="720"/>
        <w:rPr>
          <w:szCs w:val="22"/>
        </w:rPr>
      </w:pPr>
      <w:r>
        <w:t>We plan to enroll participants who are diverse in sex, education, and race/ethnicity. We will exclude individuals who have participated in an interview or focus group at the Shugoll Research facility during the previous 6 months to minimize the threat of trained responses or social desirability bias.</w:t>
      </w:r>
    </w:p>
    <w:p w:rsidR="00B937B1" w:rsidP="001311C3" w:rsidRDefault="00B937B1">
      <w:pPr>
        <w:pStyle w:val="BodyText"/>
        <w:shd w:val="clear" w:color="auto" w:fill="FFFFFF"/>
        <w:ind w:left="720"/>
        <w:contextualSpacing/>
      </w:pPr>
    </w:p>
    <w:p w:rsidRPr="00681993" w:rsidR="0065044F" w:rsidP="001311C3" w:rsidRDefault="00681993">
      <w:pPr>
        <w:pStyle w:val="BodyText"/>
        <w:shd w:val="clear" w:color="auto" w:fill="FFFFFF"/>
        <w:ind w:left="720"/>
        <w:rPr>
          <w:rFonts w:cs="Calibri"/>
        </w:rPr>
      </w:pPr>
      <w:r w:rsidRPr="00681993">
        <w:t xml:space="preserve">For the pretests and main studies, we will recruit participants from an Internet panel managed by Toluna. </w:t>
      </w:r>
      <w:bookmarkStart w:name="_Hlk14866803" w:id="1"/>
      <w:r w:rsidRPr="00681993">
        <w:rPr>
          <w:rFonts w:cs="Calibri"/>
        </w:rPr>
        <w:t xml:space="preserve">The Toluna community provides access to nearly 6.4 million members in North America, recruited using various methods including web banners, website referrals, pay-per-click, natural search optimization, affiliate marketing, e-mail, and online public relations activities. </w:t>
      </w:r>
      <w:bookmarkEnd w:id="1"/>
      <w:r w:rsidRPr="00681993" w:rsidR="00C81B29">
        <w:t>P</w:t>
      </w:r>
      <w:r w:rsidRPr="00681993" w:rsidR="00216419">
        <w:t>anel members</w:t>
      </w:r>
      <w:r w:rsidRPr="00681993" w:rsidR="009807AD">
        <w:t xml:space="preserve"> will be invited to participate by receiving an e-mail invitation (Appendix </w:t>
      </w:r>
      <w:r>
        <w:t>F</w:t>
      </w:r>
      <w:r w:rsidRPr="00681993" w:rsidR="009807AD">
        <w:t>)</w:t>
      </w:r>
      <w:r w:rsidRPr="00681993" w:rsidR="00216419">
        <w:t xml:space="preserve"> and, if interested, </w:t>
      </w:r>
      <w:r w:rsidRPr="00681993" w:rsidR="009807AD">
        <w:t>can click on a hyperlink within the e-mail and gain access to the screener (</w:t>
      </w:r>
      <w:r w:rsidRPr="00681993" w:rsidR="0056457A">
        <w:t xml:space="preserve">see </w:t>
      </w:r>
      <w:r w:rsidRPr="00681993" w:rsidR="009807AD">
        <w:t xml:space="preserve">Appendix </w:t>
      </w:r>
      <w:r>
        <w:t>G</w:t>
      </w:r>
      <w:r w:rsidRPr="00681993" w:rsidR="009807AD">
        <w:t xml:space="preserve">). </w:t>
      </w:r>
      <w:r w:rsidRPr="00681993" w:rsidR="00B0456C">
        <w:t>The sample will not be representative of the population, but s</w:t>
      </w:r>
      <w:r w:rsidRPr="00681993" w:rsidR="0065044F">
        <w:t xml:space="preserve">oft quotas </w:t>
      </w:r>
      <w:r w:rsidRPr="00681993" w:rsidR="009F0955">
        <w:t xml:space="preserve">will be used to ensure recruitment of a low health literacy population as well as a demographically diverse set of participants. </w:t>
      </w:r>
    </w:p>
    <w:p w:rsidRPr="00681993" w:rsidR="004C6979" w:rsidP="001311C3" w:rsidRDefault="00EB7538">
      <w:pPr>
        <w:numPr>
          <w:ilvl w:val="0"/>
          <w:numId w:val="2"/>
        </w:numPr>
        <w:shd w:val="clear" w:color="auto" w:fill="FFFFFF"/>
        <w:spacing w:before="100" w:beforeAutospacing="1" w:after="100" w:afterAutospacing="1"/>
        <w:rPr>
          <w:u w:val="single"/>
        </w:rPr>
      </w:pPr>
      <w:r w:rsidRPr="00681993">
        <w:rPr>
          <w:u w:val="single"/>
        </w:rPr>
        <w:t>Procedures fo</w:t>
      </w:r>
      <w:r w:rsidRPr="00681993" w:rsidR="004846BF">
        <w:rPr>
          <w:u w:val="single"/>
        </w:rPr>
        <w:t>r the Collection of Information</w:t>
      </w:r>
    </w:p>
    <w:p w:rsidRPr="00681993" w:rsidR="00BC79AD" w:rsidP="001311C3" w:rsidRDefault="00BC79AD">
      <w:pPr>
        <w:shd w:val="clear" w:color="auto" w:fill="FFFFFF"/>
        <w:jc w:val="center"/>
        <w:rPr>
          <w:b/>
        </w:rPr>
      </w:pPr>
      <w:r w:rsidRPr="00681993">
        <w:rPr>
          <w:b/>
        </w:rPr>
        <w:t>Design Overview</w:t>
      </w:r>
    </w:p>
    <w:p w:rsidRPr="00681993" w:rsidR="00BC79AD" w:rsidP="001311C3" w:rsidRDefault="00BC79AD">
      <w:pPr>
        <w:shd w:val="clear" w:color="auto" w:fill="FFFFFF"/>
        <w:jc w:val="center"/>
        <w:rPr>
          <w:b/>
        </w:rPr>
      </w:pPr>
    </w:p>
    <w:p w:rsidRPr="00681993" w:rsidR="000321D3" w:rsidP="001311C3" w:rsidRDefault="00091CF2">
      <w:pPr>
        <w:shd w:val="clear" w:color="auto" w:fill="FFFFFF"/>
        <w:ind w:left="720"/>
      </w:pPr>
      <w:r>
        <w:t>W</w:t>
      </w:r>
      <w:r w:rsidRPr="00681993">
        <w:t xml:space="preserve">e </w:t>
      </w:r>
      <w:r w:rsidRPr="00681993" w:rsidR="000321D3">
        <w:t xml:space="preserve">will create two television ads for fictitious oncology prescription drugs to increase the generalizability of the results (one solid tumor indication and one hematology indication).  </w:t>
      </w:r>
      <w:r w:rsidRPr="00681993">
        <w:t xml:space="preserve">For Study 1, </w:t>
      </w:r>
      <w:r>
        <w:t>t</w:t>
      </w:r>
      <w:r w:rsidRPr="00681993" w:rsidR="000321D3">
        <w:t xml:space="preserve">he ads will include audio claims about overall survival, overall response rate with and without a disclosure, or progression-free survival with and without a disclosure (see </w:t>
      </w:r>
      <w:r>
        <w:t>T</w:t>
      </w:r>
      <w:r w:rsidRPr="00681993">
        <w:t xml:space="preserve">able </w:t>
      </w:r>
      <w:r w:rsidRPr="00681993" w:rsidR="000321D3">
        <w:t xml:space="preserve">1 for the Study 1 design).  </w:t>
      </w:r>
    </w:p>
    <w:p w:rsidRPr="00681993" w:rsidR="000321D3" w:rsidP="001311C3" w:rsidRDefault="000321D3">
      <w:pPr>
        <w:shd w:val="clear" w:color="auto" w:fill="FFFFFF"/>
        <w:ind w:left="720"/>
      </w:pPr>
    </w:p>
    <w:p w:rsidRPr="00681993" w:rsidR="00675E2F" w:rsidP="001311C3" w:rsidRDefault="000321D3">
      <w:pPr>
        <w:shd w:val="clear" w:color="auto" w:fill="FFFFFF"/>
        <w:ind w:left="720"/>
      </w:pPr>
      <w:r w:rsidRPr="00681993">
        <w:lastRenderedPageBreak/>
        <w:t xml:space="preserve">In Study 2 we will vary the presentation of the products' indication, such that material information related to the indication will appear in superimposed text only, in the audio only, in both superimposed text and audio, or in neither (the control condition; see Tables 2 and 3 for the Study 2 design).  </w:t>
      </w:r>
    </w:p>
    <w:p w:rsidRPr="00681993" w:rsidR="004E309A" w:rsidP="001311C3" w:rsidRDefault="004E309A">
      <w:pPr>
        <w:shd w:val="clear" w:color="auto" w:fill="FFFFFF"/>
      </w:pPr>
    </w:p>
    <w:p w:rsidRPr="00681993" w:rsidR="00C76F75" w:rsidP="001311C3" w:rsidRDefault="00C76F75">
      <w:pPr>
        <w:shd w:val="clear" w:color="auto" w:fill="FFFFFF"/>
        <w:spacing w:line="480" w:lineRule="auto"/>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10"/>
        <w:gridCol w:w="1160"/>
        <w:gridCol w:w="1318"/>
        <w:gridCol w:w="1754"/>
        <w:gridCol w:w="1693"/>
        <w:gridCol w:w="2025"/>
      </w:tblGrid>
      <w:tr w:rsidRPr="00681993" w:rsidR="000321D3" w:rsidTr="001311C3">
        <w:tc>
          <w:tcPr>
            <w:tcW w:w="0" w:type="auto"/>
            <w:gridSpan w:val="6"/>
            <w:tcBorders>
              <w:top w:val="nil"/>
              <w:left w:val="nil"/>
              <w:right w:val="nil"/>
            </w:tcBorders>
            <w:shd w:val="clear" w:color="auto" w:fill="auto"/>
          </w:tcPr>
          <w:p w:rsidRPr="001311C3" w:rsidR="000321D3" w:rsidP="001311C3" w:rsidRDefault="000321D3">
            <w:pPr>
              <w:pStyle w:val="NoSpacing"/>
              <w:shd w:val="clear" w:color="auto" w:fill="FFFFFF"/>
              <w:jc w:val="center"/>
              <w:rPr>
                <w:szCs w:val="24"/>
              </w:rPr>
            </w:pPr>
            <w:r w:rsidRPr="001311C3">
              <w:rPr>
                <w:szCs w:val="24"/>
              </w:rPr>
              <w:t>Table 1.--Study 1 Design</w:t>
            </w:r>
          </w:p>
        </w:tc>
      </w:tr>
      <w:tr w:rsidRPr="00681993" w:rsidR="000321D3" w:rsidTr="001311C3">
        <w:trPr>
          <w:trHeight w:val="557"/>
        </w:trPr>
        <w:tc>
          <w:tcPr>
            <w:tcW w:w="0" w:type="auto"/>
            <w:shd w:val="clear" w:color="auto" w:fill="auto"/>
          </w:tcPr>
          <w:p w:rsidRPr="001311C3" w:rsidR="000321D3" w:rsidP="001311C3" w:rsidRDefault="000321D3">
            <w:pPr>
              <w:pStyle w:val="NoSpacing"/>
              <w:shd w:val="clear" w:color="auto" w:fill="FFFFFF"/>
              <w:jc w:val="center"/>
              <w:rPr>
                <w:szCs w:val="24"/>
              </w:rPr>
            </w:pPr>
            <w:r w:rsidRPr="001311C3">
              <w:rPr>
                <w:szCs w:val="24"/>
              </w:rPr>
              <w:t>Indication</w:t>
            </w:r>
          </w:p>
        </w:tc>
        <w:tc>
          <w:tcPr>
            <w:tcW w:w="0" w:type="auto"/>
            <w:shd w:val="clear" w:color="auto" w:fill="auto"/>
          </w:tcPr>
          <w:p w:rsidRPr="001311C3" w:rsidR="000321D3" w:rsidP="001311C3" w:rsidRDefault="000321D3">
            <w:pPr>
              <w:pStyle w:val="NoSpacing"/>
              <w:shd w:val="clear" w:color="auto" w:fill="FFFFFF"/>
              <w:jc w:val="center"/>
              <w:rPr>
                <w:szCs w:val="24"/>
              </w:rPr>
            </w:pPr>
            <w:r w:rsidRPr="001311C3">
              <w:rPr>
                <w:szCs w:val="24"/>
              </w:rPr>
              <w:t>Overall survival</w:t>
            </w:r>
          </w:p>
        </w:tc>
        <w:tc>
          <w:tcPr>
            <w:tcW w:w="0" w:type="auto"/>
            <w:shd w:val="clear" w:color="auto" w:fill="auto"/>
          </w:tcPr>
          <w:p w:rsidRPr="001311C3" w:rsidR="000321D3" w:rsidP="001311C3" w:rsidRDefault="000321D3">
            <w:pPr>
              <w:pStyle w:val="NoSpacing"/>
              <w:shd w:val="clear" w:color="auto" w:fill="FFFFFF"/>
              <w:jc w:val="center"/>
              <w:rPr>
                <w:szCs w:val="24"/>
              </w:rPr>
            </w:pPr>
            <w:r w:rsidRPr="001311C3">
              <w:rPr>
                <w:szCs w:val="24"/>
              </w:rPr>
              <w:t>Overall response rate</w:t>
            </w:r>
          </w:p>
        </w:tc>
        <w:tc>
          <w:tcPr>
            <w:tcW w:w="0" w:type="auto"/>
            <w:shd w:val="clear" w:color="auto" w:fill="auto"/>
          </w:tcPr>
          <w:p w:rsidRPr="001311C3" w:rsidR="000321D3" w:rsidP="001311C3" w:rsidRDefault="000321D3">
            <w:pPr>
              <w:pStyle w:val="NoSpacing"/>
              <w:shd w:val="clear" w:color="auto" w:fill="FFFFFF"/>
              <w:jc w:val="center"/>
              <w:rPr>
                <w:szCs w:val="24"/>
              </w:rPr>
            </w:pPr>
            <w:r w:rsidRPr="001311C3">
              <w:rPr>
                <w:szCs w:val="24"/>
              </w:rPr>
              <w:t>Overall response rate with disclosure</w:t>
            </w:r>
          </w:p>
        </w:tc>
        <w:tc>
          <w:tcPr>
            <w:tcW w:w="0" w:type="auto"/>
            <w:shd w:val="clear" w:color="auto" w:fill="auto"/>
          </w:tcPr>
          <w:p w:rsidRPr="001311C3" w:rsidR="000321D3" w:rsidP="001311C3" w:rsidRDefault="000321D3">
            <w:pPr>
              <w:pStyle w:val="NoSpacing"/>
              <w:shd w:val="clear" w:color="auto" w:fill="FFFFFF"/>
              <w:jc w:val="center"/>
              <w:rPr>
                <w:szCs w:val="24"/>
              </w:rPr>
            </w:pPr>
            <w:r w:rsidRPr="001311C3">
              <w:rPr>
                <w:szCs w:val="24"/>
              </w:rPr>
              <w:t>Progression-free survival</w:t>
            </w:r>
          </w:p>
        </w:tc>
        <w:tc>
          <w:tcPr>
            <w:tcW w:w="0" w:type="auto"/>
            <w:shd w:val="clear" w:color="auto" w:fill="auto"/>
          </w:tcPr>
          <w:p w:rsidRPr="001311C3" w:rsidR="000321D3" w:rsidP="001311C3" w:rsidRDefault="000321D3">
            <w:pPr>
              <w:pStyle w:val="NoSpacing"/>
              <w:shd w:val="clear" w:color="auto" w:fill="FFFFFF"/>
              <w:jc w:val="center"/>
              <w:rPr>
                <w:szCs w:val="24"/>
              </w:rPr>
            </w:pPr>
            <w:r w:rsidRPr="001311C3">
              <w:rPr>
                <w:szCs w:val="24"/>
              </w:rPr>
              <w:t>Progression-free survival with disclosure</w:t>
            </w:r>
          </w:p>
        </w:tc>
      </w:tr>
      <w:tr w:rsidRPr="00681993" w:rsidR="000321D3" w:rsidTr="001311C3">
        <w:tc>
          <w:tcPr>
            <w:tcW w:w="0" w:type="auto"/>
            <w:shd w:val="clear" w:color="auto" w:fill="auto"/>
          </w:tcPr>
          <w:p w:rsidRPr="001311C3" w:rsidR="000321D3" w:rsidP="001311C3" w:rsidRDefault="000321D3">
            <w:pPr>
              <w:pStyle w:val="NoSpacing"/>
              <w:shd w:val="clear" w:color="auto" w:fill="FFFFFF"/>
              <w:jc w:val="center"/>
              <w:rPr>
                <w:szCs w:val="24"/>
              </w:rPr>
            </w:pPr>
            <w:r w:rsidRPr="001311C3">
              <w:rPr>
                <w:szCs w:val="24"/>
              </w:rPr>
              <w:t>Solid Tumor</w:t>
            </w:r>
          </w:p>
        </w:tc>
        <w:tc>
          <w:tcPr>
            <w:tcW w:w="0" w:type="auto"/>
            <w:shd w:val="clear" w:color="auto" w:fill="auto"/>
          </w:tcPr>
          <w:p w:rsidRPr="001311C3" w:rsidR="000321D3" w:rsidP="001311C3" w:rsidRDefault="000321D3">
            <w:pPr>
              <w:pStyle w:val="NoSpacing"/>
              <w:shd w:val="clear" w:color="auto" w:fill="FFFFFF"/>
              <w:jc w:val="center"/>
              <w:rPr>
                <w:szCs w:val="24"/>
              </w:rPr>
            </w:pPr>
          </w:p>
        </w:tc>
        <w:tc>
          <w:tcPr>
            <w:tcW w:w="0" w:type="auto"/>
            <w:shd w:val="clear" w:color="auto" w:fill="auto"/>
          </w:tcPr>
          <w:p w:rsidRPr="001311C3" w:rsidR="000321D3" w:rsidP="001311C3" w:rsidRDefault="000321D3">
            <w:pPr>
              <w:pStyle w:val="NoSpacing"/>
              <w:shd w:val="clear" w:color="auto" w:fill="FFFFFF"/>
              <w:jc w:val="center"/>
              <w:rPr>
                <w:szCs w:val="24"/>
              </w:rPr>
            </w:pPr>
          </w:p>
        </w:tc>
        <w:tc>
          <w:tcPr>
            <w:tcW w:w="0" w:type="auto"/>
            <w:shd w:val="clear" w:color="auto" w:fill="auto"/>
          </w:tcPr>
          <w:p w:rsidRPr="001311C3" w:rsidR="000321D3" w:rsidP="001311C3" w:rsidRDefault="000321D3">
            <w:pPr>
              <w:pStyle w:val="NoSpacing"/>
              <w:shd w:val="clear" w:color="auto" w:fill="FFFFFF"/>
              <w:jc w:val="center"/>
              <w:rPr>
                <w:szCs w:val="24"/>
              </w:rPr>
            </w:pPr>
          </w:p>
        </w:tc>
        <w:tc>
          <w:tcPr>
            <w:tcW w:w="0" w:type="auto"/>
            <w:shd w:val="clear" w:color="auto" w:fill="auto"/>
          </w:tcPr>
          <w:p w:rsidRPr="001311C3" w:rsidR="000321D3" w:rsidP="001311C3" w:rsidRDefault="000321D3">
            <w:pPr>
              <w:pStyle w:val="NoSpacing"/>
              <w:shd w:val="clear" w:color="auto" w:fill="FFFFFF"/>
              <w:jc w:val="center"/>
              <w:rPr>
                <w:szCs w:val="24"/>
              </w:rPr>
            </w:pPr>
          </w:p>
        </w:tc>
        <w:tc>
          <w:tcPr>
            <w:tcW w:w="0" w:type="auto"/>
            <w:shd w:val="clear" w:color="auto" w:fill="auto"/>
          </w:tcPr>
          <w:p w:rsidRPr="001311C3" w:rsidR="000321D3" w:rsidP="001311C3" w:rsidRDefault="000321D3">
            <w:pPr>
              <w:pStyle w:val="NoSpacing"/>
              <w:shd w:val="clear" w:color="auto" w:fill="FFFFFF"/>
              <w:jc w:val="center"/>
              <w:rPr>
                <w:szCs w:val="24"/>
              </w:rPr>
            </w:pPr>
          </w:p>
        </w:tc>
      </w:tr>
      <w:tr w:rsidRPr="00681993" w:rsidR="000321D3" w:rsidTr="001311C3">
        <w:tc>
          <w:tcPr>
            <w:tcW w:w="0" w:type="auto"/>
            <w:shd w:val="clear" w:color="auto" w:fill="auto"/>
          </w:tcPr>
          <w:p w:rsidRPr="001311C3" w:rsidR="000321D3" w:rsidP="001311C3" w:rsidRDefault="000321D3">
            <w:pPr>
              <w:pStyle w:val="NoSpacing"/>
              <w:shd w:val="clear" w:color="auto" w:fill="FFFFFF"/>
              <w:jc w:val="center"/>
              <w:rPr>
                <w:szCs w:val="24"/>
              </w:rPr>
            </w:pPr>
            <w:r w:rsidRPr="001311C3">
              <w:rPr>
                <w:szCs w:val="24"/>
              </w:rPr>
              <w:t>Hematology</w:t>
            </w:r>
          </w:p>
        </w:tc>
        <w:tc>
          <w:tcPr>
            <w:tcW w:w="0" w:type="auto"/>
            <w:shd w:val="clear" w:color="auto" w:fill="auto"/>
          </w:tcPr>
          <w:p w:rsidRPr="001311C3" w:rsidR="000321D3" w:rsidP="001311C3" w:rsidRDefault="000321D3">
            <w:pPr>
              <w:pStyle w:val="NoSpacing"/>
              <w:shd w:val="clear" w:color="auto" w:fill="FFFFFF"/>
              <w:jc w:val="center"/>
              <w:rPr>
                <w:szCs w:val="24"/>
              </w:rPr>
            </w:pPr>
          </w:p>
        </w:tc>
        <w:tc>
          <w:tcPr>
            <w:tcW w:w="0" w:type="auto"/>
            <w:shd w:val="clear" w:color="auto" w:fill="auto"/>
          </w:tcPr>
          <w:p w:rsidRPr="001311C3" w:rsidR="000321D3" w:rsidP="001311C3" w:rsidRDefault="000321D3">
            <w:pPr>
              <w:pStyle w:val="NoSpacing"/>
              <w:shd w:val="clear" w:color="auto" w:fill="FFFFFF"/>
              <w:jc w:val="center"/>
              <w:rPr>
                <w:szCs w:val="24"/>
              </w:rPr>
            </w:pPr>
          </w:p>
        </w:tc>
        <w:tc>
          <w:tcPr>
            <w:tcW w:w="0" w:type="auto"/>
            <w:shd w:val="clear" w:color="auto" w:fill="auto"/>
          </w:tcPr>
          <w:p w:rsidRPr="001311C3" w:rsidR="000321D3" w:rsidP="001311C3" w:rsidRDefault="000321D3">
            <w:pPr>
              <w:pStyle w:val="NoSpacing"/>
              <w:shd w:val="clear" w:color="auto" w:fill="FFFFFF"/>
              <w:jc w:val="center"/>
              <w:rPr>
                <w:szCs w:val="24"/>
              </w:rPr>
            </w:pPr>
          </w:p>
        </w:tc>
        <w:tc>
          <w:tcPr>
            <w:tcW w:w="0" w:type="auto"/>
            <w:shd w:val="clear" w:color="auto" w:fill="auto"/>
          </w:tcPr>
          <w:p w:rsidRPr="001311C3" w:rsidR="000321D3" w:rsidP="001311C3" w:rsidRDefault="000321D3">
            <w:pPr>
              <w:pStyle w:val="NoSpacing"/>
              <w:shd w:val="clear" w:color="auto" w:fill="FFFFFF"/>
              <w:jc w:val="center"/>
              <w:rPr>
                <w:szCs w:val="24"/>
              </w:rPr>
            </w:pPr>
          </w:p>
        </w:tc>
        <w:tc>
          <w:tcPr>
            <w:tcW w:w="0" w:type="auto"/>
            <w:shd w:val="clear" w:color="auto" w:fill="auto"/>
          </w:tcPr>
          <w:p w:rsidRPr="001311C3" w:rsidR="000321D3" w:rsidP="001311C3" w:rsidRDefault="000321D3">
            <w:pPr>
              <w:pStyle w:val="NoSpacing"/>
              <w:shd w:val="clear" w:color="auto" w:fill="FFFFFF"/>
              <w:jc w:val="center"/>
              <w:rPr>
                <w:szCs w:val="24"/>
              </w:rPr>
            </w:pPr>
          </w:p>
        </w:tc>
      </w:tr>
      <w:tr w:rsidRPr="00681993" w:rsidR="000321D3" w:rsidTr="001311C3">
        <w:tc>
          <w:tcPr>
            <w:tcW w:w="9350" w:type="dxa"/>
            <w:gridSpan w:val="6"/>
            <w:shd w:val="clear" w:color="auto" w:fill="auto"/>
          </w:tcPr>
          <w:p w:rsidRPr="001311C3" w:rsidR="000321D3" w:rsidP="001311C3" w:rsidRDefault="000321D3">
            <w:pPr>
              <w:pStyle w:val="NoSpacing"/>
              <w:shd w:val="clear" w:color="auto" w:fill="FFFFFF"/>
              <w:rPr>
                <w:szCs w:val="24"/>
              </w:rPr>
            </w:pPr>
            <w:r w:rsidRPr="001311C3">
              <w:rPr>
                <w:i/>
                <w:szCs w:val="24"/>
              </w:rPr>
              <w:t>Note</w:t>
            </w:r>
            <w:r w:rsidRPr="001311C3">
              <w:rPr>
                <w:szCs w:val="24"/>
              </w:rPr>
              <w:t>: The solid tumor condition will be non-small cell lung cancer. The hematology condition will be multiple myeloma. Claims and disclosures are TBD, based on focus group feedback. Overall survival and progression-free survival claims will be the same for both indications. Study 1 will use the control ad from Study 2.</w:t>
            </w:r>
          </w:p>
        </w:tc>
      </w:tr>
    </w:tbl>
    <w:p w:rsidRPr="00681993" w:rsidR="000321D3" w:rsidP="001311C3" w:rsidRDefault="000321D3">
      <w:pPr>
        <w:shd w:val="clear" w:color="auto" w:fill="FFFFFF"/>
        <w:jc w:val="center"/>
        <w:rPr>
          <w:b/>
        </w:rPr>
      </w:pPr>
    </w:p>
    <w:tbl>
      <w:tblPr>
        <w:tblW w:w="5000" w:type="pct"/>
        <w:tblCellMar>
          <w:left w:w="0" w:type="dxa"/>
          <w:right w:w="0" w:type="dxa"/>
        </w:tblCellMar>
        <w:tblLook w:val="04A0" w:firstRow="1" w:lastRow="0" w:firstColumn="1" w:lastColumn="0" w:noHBand="0" w:noVBand="1"/>
      </w:tblPr>
      <w:tblGrid>
        <w:gridCol w:w="2404"/>
        <w:gridCol w:w="2271"/>
        <w:gridCol w:w="2336"/>
        <w:gridCol w:w="2349"/>
      </w:tblGrid>
      <w:tr w:rsidRPr="00681993" w:rsidR="000321D3" w:rsidTr="001311C3">
        <w:tc>
          <w:tcPr>
            <w:tcW w:w="5000" w:type="pct"/>
            <w:gridSpan w:val="4"/>
            <w:tcBorders>
              <w:bottom w:val="single" w:color="auto" w:sz="8" w:space="0"/>
            </w:tcBorders>
            <w:tcMar>
              <w:top w:w="0" w:type="dxa"/>
              <w:left w:w="108" w:type="dxa"/>
              <w:bottom w:w="0" w:type="dxa"/>
              <w:right w:w="108" w:type="dxa"/>
            </w:tcMar>
            <w:hideMark/>
          </w:tcPr>
          <w:p w:rsidRPr="00681993" w:rsidR="000321D3" w:rsidP="001311C3" w:rsidRDefault="000321D3">
            <w:pPr>
              <w:pStyle w:val="NoSpacing"/>
              <w:keepNext/>
              <w:shd w:val="clear" w:color="auto" w:fill="FFFFFF"/>
              <w:jc w:val="center"/>
              <w:rPr>
                <w:bCs/>
                <w:szCs w:val="24"/>
              </w:rPr>
            </w:pPr>
            <w:r w:rsidRPr="00681993">
              <w:rPr>
                <w:bCs/>
                <w:szCs w:val="24"/>
              </w:rPr>
              <w:t>Table 2.--Study 2 Design: Solid Tumor</w:t>
            </w:r>
          </w:p>
        </w:tc>
      </w:tr>
      <w:tr w:rsidRPr="00681993" w:rsidR="000321D3" w:rsidTr="001311C3">
        <w:tc>
          <w:tcPr>
            <w:tcW w:w="5000" w:type="pct"/>
            <w:gridSpan w:val="4"/>
            <w:tcBorders>
              <w:top w:val="nil"/>
              <w:left w:val="single" w:color="auto" w:sz="4" w:space="0"/>
              <w:bottom w:val="single" w:color="auto" w:sz="8" w:space="0"/>
              <w:right w:val="single" w:color="auto" w:sz="8" w:space="0"/>
            </w:tcBorders>
            <w:tcMar>
              <w:top w:w="0" w:type="dxa"/>
              <w:left w:w="108" w:type="dxa"/>
              <w:bottom w:w="0" w:type="dxa"/>
              <w:right w:w="108" w:type="dxa"/>
            </w:tcMar>
          </w:tcPr>
          <w:p w:rsidRPr="00681993" w:rsidR="000321D3" w:rsidP="001311C3" w:rsidRDefault="000321D3">
            <w:pPr>
              <w:pStyle w:val="NoSpacing"/>
              <w:keepNext/>
              <w:shd w:val="clear" w:color="auto" w:fill="FFFFFF"/>
              <w:jc w:val="center"/>
              <w:rPr>
                <w:szCs w:val="24"/>
              </w:rPr>
            </w:pPr>
            <w:r w:rsidRPr="00681993">
              <w:rPr>
                <w:szCs w:val="24"/>
              </w:rPr>
              <w:t>Indication presentation</w:t>
            </w:r>
          </w:p>
        </w:tc>
      </w:tr>
      <w:tr w:rsidRPr="00681993" w:rsidR="000321D3" w:rsidTr="001311C3">
        <w:tc>
          <w:tcPr>
            <w:tcW w:w="1284" w:type="pct"/>
            <w:tcBorders>
              <w:top w:val="nil"/>
              <w:left w:val="single" w:color="auto" w:sz="4" w:space="0"/>
              <w:bottom w:val="single" w:color="auto" w:sz="8" w:space="0"/>
              <w:right w:val="single" w:color="auto" w:sz="8" w:space="0"/>
            </w:tcBorders>
            <w:tcMar>
              <w:top w:w="0" w:type="dxa"/>
              <w:left w:w="108" w:type="dxa"/>
              <w:bottom w:w="0" w:type="dxa"/>
              <w:right w:w="108" w:type="dxa"/>
            </w:tcMar>
            <w:hideMark/>
          </w:tcPr>
          <w:p w:rsidRPr="00681993" w:rsidR="000321D3" w:rsidP="001311C3" w:rsidRDefault="000321D3">
            <w:pPr>
              <w:pStyle w:val="NoSpacing"/>
              <w:shd w:val="clear" w:color="auto" w:fill="FFFFFF"/>
              <w:jc w:val="center"/>
              <w:rPr>
                <w:szCs w:val="24"/>
              </w:rPr>
            </w:pPr>
            <w:r w:rsidRPr="00681993">
              <w:rPr>
                <w:szCs w:val="24"/>
              </w:rPr>
              <w:t>Material information in superimposed text only</w:t>
            </w:r>
          </w:p>
        </w:tc>
        <w:tc>
          <w:tcPr>
            <w:tcW w:w="1213" w:type="pct"/>
            <w:tcBorders>
              <w:top w:val="nil"/>
              <w:left w:val="nil"/>
              <w:bottom w:val="single" w:color="auto" w:sz="8" w:space="0"/>
              <w:right w:val="single" w:color="auto" w:sz="8" w:space="0"/>
            </w:tcBorders>
            <w:tcMar>
              <w:top w:w="0" w:type="dxa"/>
              <w:left w:w="108" w:type="dxa"/>
              <w:bottom w:w="0" w:type="dxa"/>
              <w:right w:w="108" w:type="dxa"/>
            </w:tcMar>
            <w:hideMark/>
          </w:tcPr>
          <w:p w:rsidRPr="00681993" w:rsidR="000321D3" w:rsidP="001311C3" w:rsidRDefault="000321D3">
            <w:pPr>
              <w:pStyle w:val="NoSpacing"/>
              <w:keepNext/>
              <w:shd w:val="clear" w:color="auto" w:fill="FFFFFF"/>
              <w:jc w:val="center"/>
              <w:rPr>
                <w:szCs w:val="24"/>
              </w:rPr>
            </w:pPr>
            <w:r w:rsidRPr="00681993">
              <w:rPr>
                <w:szCs w:val="24"/>
              </w:rPr>
              <w:t>Material information in audio only</w:t>
            </w:r>
          </w:p>
        </w:tc>
        <w:tc>
          <w:tcPr>
            <w:tcW w:w="1248" w:type="pct"/>
            <w:tcBorders>
              <w:top w:val="nil"/>
              <w:left w:val="nil"/>
              <w:bottom w:val="single" w:color="auto" w:sz="8" w:space="0"/>
              <w:right w:val="single" w:color="auto" w:sz="8" w:space="0"/>
            </w:tcBorders>
            <w:tcMar>
              <w:top w:w="0" w:type="dxa"/>
              <w:left w:w="108" w:type="dxa"/>
              <w:bottom w:w="0" w:type="dxa"/>
              <w:right w:w="108" w:type="dxa"/>
            </w:tcMar>
            <w:hideMark/>
          </w:tcPr>
          <w:p w:rsidRPr="00681993" w:rsidR="000321D3" w:rsidP="001311C3" w:rsidRDefault="000321D3">
            <w:pPr>
              <w:pStyle w:val="NoSpacing"/>
              <w:keepNext/>
              <w:shd w:val="clear" w:color="auto" w:fill="FFFFFF"/>
              <w:jc w:val="center"/>
              <w:rPr>
                <w:szCs w:val="24"/>
              </w:rPr>
            </w:pPr>
            <w:r w:rsidRPr="00681993">
              <w:rPr>
                <w:szCs w:val="24"/>
              </w:rPr>
              <w:t>Material information in superimposed text + audio</w:t>
            </w:r>
          </w:p>
        </w:tc>
        <w:tc>
          <w:tcPr>
            <w:tcW w:w="1255" w:type="pct"/>
            <w:tcBorders>
              <w:top w:val="nil"/>
              <w:left w:val="nil"/>
              <w:bottom w:val="single" w:color="auto" w:sz="8" w:space="0"/>
              <w:right w:val="single" w:color="auto" w:sz="8" w:space="0"/>
            </w:tcBorders>
            <w:tcMar>
              <w:top w:w="0" w:type="dxa"/>
              <w:left w:w="108" w:type="dxa"/>
              <w:bottom w:w="0" w:type="dxa"/>
              <w:right w:w="108" w:type="dxa"/>
            </w:tcMar>
            <w:hideMark/>
          </w:tcPr>
          <w:p w:rsidRPr="00681993" w:rsidR="000321D3" w:rsidP="001311C3" w:rsidRDefault="000321D3">
            <w:pPr>
              <w:pStyle w:val="NoSpacing"/>
              <w:keepNext/>
              <w:shd w:val="clear" w:color="auto" w:fill="FFFFFF"/>
              <w:jc w:val="center"/>
              <w:rPr>
                <w:szCs w:val="24"/>
              </w:rPr>
            </w:pPr>
            <w:r w:rsidRPr="00681993">
              <w:rPr>
                <w:szCs w:val="24"/>
              </w:rPr>
              <w:t>Material information not in superimposed text or audio (Control)</w:t>
            </w:r>
          </w:p>
        </w:tc>
      </w:tr>
      <w:tr w:rsidRPr="00681993" w:rsidR="000321D3" w:rsidTr="001311C3">
        <w:tc>
          <w:tcPr>
            <w:tcW w:w="1284" w:type="pct"/>
            <w:tcBorders>
              <w:top w:val="nil"/>
              <w:left w:val="single" w:color="auto" w:sz="4" w:space="0"/>
              <w:bottom w:val="single" w:color="auto" w:sz="4" w:space="0"/>
              <w:right w:val="single" w:color="auto" w:sz="8" w:space="0"/>
            </w:tcBorders>
            <w:tcMar>
              <w:top w:w="0" w:type="dxa"/>
              <w:left w:w="108" w:type="dxa"/>
              <w:bottom w:w="0" w:type="dxa"/>
              <w:right w:w="108" w:type="dxa"/>
            </w:tcMar>
          </w:tcPr>
          <w:p w:rsidRPr="00681993" w:rsidR="000321D3" w:rsidP="001311C3" w:rsidRDefault="000321D3">
            <w:pPr>
              <w:pStyle w:val="NoSpacing"/>
              <w:shd w:val="clear" w:color="auto" w:fill="FFFFFF"/>
              <w:rPr>
                <w:szCs w:val="24"/>
              </w:rPr>
            </w:pPr>
            <w:r w:rsidRPr="00681993">
              <w:rPr>
                <w:szCs w:val="24"/>
              </w:rPr>
              <w:t>Audio: Drug X is for adults with advanced non-small cell lung cancer.</w:t>
            </w:r>
          </w:p>
          <w:p w:rsidRPr="00681993" w:rsidR="000321D3" w:rsidP="001311C3" w:rsidRDefault="000321D3">
            <w:pPr>
              <w:pStyle w:val="CommentText"/>
              <w:shd w:val="clear" w:color="auto" w:fill="FFFFFF"/>
              <w:rPr>
                <w:sz w:val="24"/>
                <w:szCs w:val="24"/>
              </w:rPr>
            </w:pPr>
          </w:p>
          <w:p w:rsidRPr="00681993" w:rsidR="000321D3" w:rsidP="001311C3" w:rsidRDefault="000321D3">
            <w:pPr>
              <w:pStyle w:val="CommentText"/>
              <w:shd w:val="clear" w:color="auto" w:fill="FFFFFF"/>
              <w:rPr>
                <w:sz w:val="24"/>
                <w:szCs w:val="24"/>
              </w:rPr>
            </w:pPr>
          </w:p>
          <w:p w:rsidRPr="00681993" w:rsidR="000321D3" w:rsidP="001311C3" w:rsidRDefault="000321D3">
            <w:pPr>
              <w:pStyle w:val="CommentText"/>
              <w:shd w:val="clear" w:color="auto" w:fill="FFFFFF"/>
              <w:rPr>
                <w:sz w:val="24"/>
                <w:szCs w:val="24"/>
              </w:rPr>
            </w:pPr>
          </w:p>
          <w:p w:rsidRPr="00681993" w:rsidR="000321D3" w:rsidP="001311C3" w:rsidRDefault="000321D3">
            <w:pPr>
              <w:pStyle w:val="CommentText"/>
              <w:shd w:val="clear" w:color="auto" w:fill="FFFFFF"/>
              <w:rPr>
                <w:sz w:val="24"/>
                <w:szCs w:val="24"/>
              </w:rPr>
            </w:pPr>
          </w:p>
          <w:p w:rsidRPr="00681993" w:rsidR="000321D3" w:rsidP="001311C3" w:rsidRDefault="000321D3">
            <w:pPr>
              <w:pStyle w:val="CommentText"/>
              <w:shd w:val="clear" w:color="auto" w:fill="FFFFFF"/>
              <w:rPr>
                <w:szCs w:val="24"/>
              </w:rPr>
            </w:pPr>
            <w:r w:rsidRPr="00681993">
              <w:rPr>
                <w:sz w:val="24"/>
                <w:szCs w:val="24"/>
              </w:rPr>
              <w:t>Superimposed text: Drug X</w:t>
            </w:r>
            <w:r w:rsidRPr="00681993">
              <w:rPr>
                <w:sz w:val="24"/>
                <w:szCs w:val="24"/>
                <w:vertAlign w:val="superscript"/>
              </w:rPr>
              <w:t xml:space="preserve"> </w:t>
            </w:r>
            <w:r w:rsidRPr="00681993">
              <w:rPr>
                <w:sz w:val="24"/>
                <w:szCs w:val="24"/>
              </w:rPr>
              <w:t>is for adults with advanced non-small cell lung cancer previously treated with platinum-based chemotherapy, who have a certain type of ALK gene.</w:t>
            </w:r>
          </w:p>
        </w:tc>
        <w:tc>
          <w:tcPr>
            <w:tcW w:w="1213" w:type="pct"/>
            <w:tcBorders>
              <w:top w:val="nil"/>
              <w:left w:val="nil"/>
              <w:bottom w:val="single" w:color="auto" w:sz="4" w:space="0"/>
              <w:right w:val="single" w:color="auto" w:sz="8" w:space="0"/>
            </w:tcBorders>
            <w:tcMar>
              <w:top w:w="0" w:type="dxa"/>
              <w:left w:w="108" w:type="dxa"/>
              <w:bottom w:w="0" w:type="dxa"/>
              <w:right w:w="108" w:type="dxa"/>
            </w:tcMar>
          </w:tcPr>
          <w:p w:rsidRPr="00681993" w:rsidR="000321D3" w:rsidP="001311C3" w:rsidRDefault="000321D3">
            <w:pPr>
              <w:pStyle w:val="NoSpacing"/>
              <w:shd w:val="clear" w:color="auto" w:fill="FFFFFF"/>
              <w:rPr>
                <w:szCs w:val="24"/>
              </w:rPr>
            </w:pPr>
            <w:r w:rsidRPr="00681993">
              <w:rPr>
                <w:szCs w:val="24"/>
              </w:rPr>
              <w:t>Audio: Drug X</w:t>
            </w:r>
            <w:r w:rsidRPr="00681993">
              <w:rPr>
                <w:szCs w:val="24"/>
                <w:vertAlign w:val="superscript"/>
              </w:rPr>
              <w:t xml:space="preserve"> </w:t>
            </w:r>
            <w:r w:rsidRPr="00681993">
              <w:rPr>
                <w:szCs w:val="24"/>
              </w:rPr>
              <w:t>is for adults with advanced non-small cell lung cancer previously treated with platinum-based chemotherapy, who have a certain type of ALK gene.</w:t>
            </w:r>
          </w:p>
          <w:p w:rsidRPr="00681993" w:rsidR="000321D3" w:rsidP="001311C3" w:rsidRDefault="000321D3">
            <w:pPr>
              <w:pStyle w:val="NoSpacing"/>
              <w:shd w:val="clear" w:color="auto" w:fill="FFFFFF"/>
              <w:rPr>
                <w:szCs w:val="24"/>
              </w:rPr>
            </w:pPr>
          </w:p>
          <w:p w:rsidRPr="00681993" w:rsidR="000321D3" w:rsidP="001311C3" w:rsidRDefault="000321D3">
            <w:pPr>
              <w:pStyle w:val="NoSpacing"/>
              <w:shd w:val="clear" w:color="auto" w:fill="FFFFFF"/>
              <w:rPr>
                <w:szCs w:val="24"/>
              </w:rPr>
            </w:pPr>
            <w:r w:rsidRPr="00681993">
              <w:rPr>
                <w:szCs w:val="24"/>
              </w:rPr>
              <w:t>Superimposed text: Drug X</w:t>
            </w:r>
            <w:r w:rsidRPr="00681993">
              <w:rPr>
                <w:szCs w:val="24"/>
                <w:vertAlign w:val="superscript"/>
              </w:rPr>
              <w:t xml:space="preserve"> </w:t>
            </w:r>
            <w:r w:rsidRPr="00681993">
              <w:rPr>
                <w:szCs w:val="24"/>
              </w:rPr>
              <w:t>is for adults with advanced non-small cell lung cancer.</w:t>
            </w:r>
          </w:p>
        </w:tc>
        <w:tc>
          <w:tcPr>
            <w:tcW w:w="1248" w:type="pct"/>
            <w:tcBorders>
              <w:top w:val="nil"/>
              <w:left w:val="nil"/>
              <w:bottom w:val="single" w:color="auto" w:sz="4" w:space="0"/>
              <w:right w:val="single" w:color="auto" w:sz="8" w:space="0"/>
            </w:tcBorders>
            <w:tcMar>
              <w:top w:w="0" w:type="dxa"/>
              <w:left w:w="108" w:type="dxa"/>
              <w:bottom w:w="0" w:type="dxa"/>
              <w:right w:w="108" w:type="dxa"/>
            </w:tcMar>
          </w:tcPr>
          <w:p w:rsidRPr="00681993" w:rsidR="000321D3" w:rsidP="001311C3" w:rsidRDefault="000321D3">
            <w:pPr>
              <w:pStyle w:val="NoSpacing"/>
              <w:shd w:val="clear" w:color="auto" w:fill="FFFFFF"/>
              <w:rPr>
                <w:szCs w:val="24"/>
              </w:rPr>
            </w:pPr>
            <w:r w:rsidRPr="00681993">
              <w:rPr>
                <w:szCs w:val="24"/>
              </w:rPr>
              <w:t>Audio: Drug X</w:t>
            </w:r>
            <w:r w:rsidRPr="00681993">
              <w:rPr>
                <w:szCs w:val="24"/>
                <w:vertAlign w:val="superscript"/>
              </w:rPr>
              <w:t xml:space="preserve"> </w:t>
            </w:r>
            <w:r w:rsidRPr="00681993">
              <w:rPr>
                <w:szCs w:val="24"/>
              </w:rPr>
              <w:t>is for adults with advanced non-small cell lung cancer previously treated with platinum-based chemotherapy, who have a certain type of ALK gene.</w:t>
            </w:r>
          </w:p>
          <w:p w:rsidRPr="00681993" w:rsidR="000321D3" w:rsidP="001311C3" w:rsidRDefault="000321D3">
            <w:pPr>
              <w:pStyle w:val="NoSpacing"/>
              <w:shd w:val="clear" w:color="auto" w:fill="FFFFFF"/>
              <w:rPr>
                <w:szCs w:val="24"/>
              </w:rPr>
            </w:pPr>
          </w:p>
          <w:p w:rsidRPr="00681993" w:rsidR="000321D3" w:rsidP="001311C3" w:rsidRDefault="000321D3">
            <w:pPr>
              <w:pStyle w:val="NoSpacing"/>
              <w:shd w:val="clear" w:color="auto" w:fill="FFFFFF"/>
              <w:rPr>
                <w:szCs w:val="24"/>
              </w:rPr>
            </w:pPr>
            <w:r w:rsidRPr="00681993">
              <w:rPr>
                <w:szCs w:val="24"/>
              </w:rPr>
              <w:t>Superimposed text: Drug X</w:t>
            </w:r>
            <w:r w:rsidRPr="00681993">
              <w:rPr>
                <w:szCs w:val="24"/>
                <w:vertAlign w:val="superscript"/>
              </w:rPr>
              <w:t xml:space="preserve"> </w:t>
            </w:r>
            <w:r w:rsidRPr="00681993">
              <w:rPr>
                <w:szCs w:val="24"/>
              </w:rPr>
              <w:t>is for adults with advanced non-small cell lung cancer previously treated with platinum-based chemotherapy, who have a certain type of ALK gene.</w:t>
            </w:r>
          </w:p>
        </w:tc>
        <w:tc>
          <w:tcPr>
            <w:tcW w:w="1255" w:type="pct"/>
            <w:tcBorders>
              <w:top w:val="nil"/>
              <w:left w:val="nil"/>
              <w:bottom w:val="single" w:color="auto" w:sz="4" w:space="0"/>
              <w:right w:val="single" w:color="auto" w:sz="8" w:space="0"/>
            </w:tcBorders>
            <w:tcMar>
              <w:top w:w="0" w:type="dxa"/>
              <w:left w:w="108" w:type="dxa"/>
              <w:bottom w:w="0" w:type="dxa"/>
              <w:right w:w="108" w:type="dxa"/>
            </w:tcMar>
          </w:tcPr>
          <w:p w:rsidRPr="00681993" w:rsidR="000321D3" w:rsidP="001311C3" w:rsidRDefault="000321D3">
            <w:pPr>
              <w:pStyle w:val="NoSpacing"/>
              <w:shd w:val="clear" w:color="auto" w:fill="FFFFFF"/>
              <w:rPr>
                <w:szCs w:val="24"/>
              </w:rPr>
            </w:pPr>
            <w:r w:rsidRPr="00681993">
              <w:rPr>
                <w:szCs w:val="24"/>
              </w:rPr>
              <w:t>Audio: Drug X is for adults with advanced non-small cell lung cancer.</w:t>
            </w:r>
          </w:p>
          <w:p w:rsidRPr="00681993" w:rsidR="000321D3" w:rsidP="001311C3" w:rsidRDefault="000321D3">
            <w:pPr>
              <w:pStyle w:val="NoSpacing"/>
              <w:shd w:val="clear" w:color="auto" w:fill="FFFFFF"/>
              <w:rPr>
                <w:szCs w:val="24"/>
              </w:rPr>
            </w:pPr>
          </w:p>
          <w:p w:rsidRPr="00681993" w:rsidR="000321D3" w:rsidP="001311C3" w:rsidRDefault="000321D3">
            <w:pPr>
              <w:pStyle w:val="NoSpacing"/>
              <w:shd w:val="clear" w:color="auto" w:fill="FFFFFF"/>
              <w:rPr>
                <w:szCs w:val="24"/>
              </w:rPr>
            </w:pPr>
          </w:p>
          <w:p w:rsidRPr="00681993" w:rsidR="000321D3" w:rsidP="001311C3" w:rsidRDefault="000321D3">
            <w:pPr>
              <w:pStyle w:val="NoSpacing"/>
              <w:shd w:val="clear" w:color="auto" w:fill="FFFFFF"/>
              <w:rPr>
                <w:szCs w:val="24"/>
              </w:rPr>
            </w:pPr>
          </w:p>
          <w:p w:rsidRPr="00681993" w:rsidR="000321D3" w:rsidP="001311C3" w:rsidRDefault="000321D3">
            <w:pPr>
              <w:pStyle w:val="NoSpacing"/>
              <w:shd w:val="clear" w:color="auto" w:fill="FFFFFF"/>
              <w:rPr>
                <w:szCs w:val="24"/>
              </w:rPr>
            </w:pPr>
          </w:p>
          <w:p w:rsidRPr="00681993" w:rsidR="000321D3" w:rsidP="001311C3" w:rsidRDefault="000321D3">
            <w:pPr>
              <w:pStyle w:val="NoSpacing"/>
              <w:shd w:val="clear" w:color="auto" w:fill="FFFFFF"/>
              <w:rPr>
                <w:szCs w:val="24"/>
              </w:rPr>
            </w:pPr>
            <w:r w:rsidRPr="00681993">
              <w:rPr>
                <w:szCs w:val="24"/>
              </w:rPr>
              <w:t>Superimposed text: Drug X</w:t>
            </w:r>
            <w:r w:rsidRPr="00681993">
              <w:rPr>
                <w:szCs w:val="24"/>
                <w:vertAlign w:val="superscript"/>
              </w:rPr>
              <w:t xml:space="preserve"> </w:t>
            </w:r>
            <w:r w:rsidRPr="00681993">
              <w:rPr>
                <w:szCs w:val="24"/>
              </w:rPr>
              <w:t xml:space="preserve">is for adults with advanced non-small cell lung cancer. </w:t>
            </w:r>
          </w:p>
        </w:tc>
      </w:tr>
      <w:tr w:rsidRPr="00681993" w:rsidR="000321D3" w:rsidTr="001311C3">
        <w:tc>
          <w:tcPr>
            <w:tcW w:w="5000" w:type="pct"/>
            <w:gridSpan w:val="4"/>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tcPr>
          <w:p w:rsidRPr="00681993" w:rsidR="000321D3" w:rsidP="001311C3" w:rsidRDefault="000321D3">
            <w:pPr>
              <w:pStyle w:val="NoSpacing"/>
              <w:shd w:val="clear" w:color="auto" w:fill="FFFFFF"/>
              <w:rPr>
                <w:szCs w:val="24"/>
              </w:rPr>
            </w:pPr>
            <w:r w:rsidRPr="00681993">
              <w:rPr>
                <w:i/>
                <w:szCs w:val="24"/>
              </w:rPr>
              <w:t>Note</w:t>
            </w:r>
            <w:r w:rsidRPr="00681993">
              <w:rPr>
                <w:szCs w:val="24"/>
              </w:rPr>
              <w:t>. Study 2 will use the overall survival ad from Study 1.</w:t>
            </w:r>
          </w:p>
        </w:tc>
      </w:tr>
    </w:tbl>
    <w:p w:rsidR="000321D3" w:rsidP="001311C3" w:rsidRDefault="000321D3">
      <w:pPr>
        <w:shd w:val="clear" w:color="auto" w:fill="FFFFFF"/>
        <w:jc w:val="center"/>
        <w:rPr>
          <w:b/>
        </w:rPr>
      </w:pPr>
    </w:p>
    <w:p w:rsidR="00DC15ED" w:rsidP="001311C3" w:rsidRDefault="00DC15ED">
      <w:pPr>
        <w:shd w:val="clear" w:color="auto" w:fill="FFFFFF"/>
        <w:jc w:val="center"/>
        <w:rPr>
          <w:b/>
        </w:rPr>
      </w:pPr>
    </w:p>
    <w:p w:rsidR="00DC15ED" w:rsidP="001311C3" w:rsidRDefault="00DC15ED">
      <w:pPr>
        <w:shd w:val="clear" w:color="auto" w:fill="FFFFFF"/>
        <w:jc w:val="center"/>
        <w:rPr>
          <w:b/>
        </w:rPr>
      </w:pPr>
    </w:p>
    <w:p w:rsidR="00DC15ED" w:rsidP="001311C3" w:rsidRDefault="00DC15ED">
      <w:pPr>
        <w:shd w:val="clear" w:color="auto" w:fill="FFFFFF"/>
        <w:jc w:val="center"/>
        <w:rPr>
          <w:b/>
        </w:rPr>
      </w:pPr>
    </w:p>
    <w:p w:rsidR="00096B8B" w:rsidP="001311C3" w:rsidRDefault="00096B8B">
      <w:pPr>
        <w:shd w:val="clear" w:color="auto" w:fill="FFFFFF"/>
        <w:jc w:val="center"/>
        <w:rPr>
          <w:b/>
        </w:rPr>
      </w:pPr>
    </w:p>
    <w:p w:rsidR="00096B8B" w:rsidP="001311C3" w:rsidRDefault="00096B8B">
      <w:pPr>
        <w:shd w:val="clear" w:color="auto" w:fill="FFFFFF"/>
        <w:jc w:val="center"/>
        <w:rPr>
          <w:b/>
        </w:rPr>
      </w:pPr>
    </w:p>
    <w:p w:rsidR="00096B8B" w:rsidP="001311C3" w:rsidRDefault="00096B8B">
      <w:pPr>
        <w:shd w:val="clear" w:color="auto" w:fill="FFFFFF"/>
        <w:jc w:val="center"/>
        <w:rPr>
          <w:b/>
        </w:rPr>
      </w:pPr>
    </w:p>
    <w:p w:rsidR="00096B8B" w:rsidP="001311C3" w:rsidRDefault="00096B8B">
      <w:pPr>
        <w:shd w:val="clear" w:color="auto" w:fill="FFFFFF"/>
        <w:jc w:val="center"/>
        <w:rPr>
          <w:b/>
        </w:rPr>
      </w:pPr>
    </w:p>
    <w:p w:rsidR="00096B8B" w:rsidP="001311C3" w:rsidRDefault="00096B8B">
      <w:pPr>
        <w:shd w:val="clear" w:color="auto" w:fill="FFFFFF"/>
        <w:jc w:val="center"/>
        <w:rPr>
          <w:b/>
        </w:rPr>
      </w:pPr>
    </w:p>
    <w:p w:rsidRPr="00681993" w:rsidR="00DC15ED" w:rsidP="00096B8B" w:rsidRDefault="00DC15ED">
      <w:pPr>
        <w:shd w:val="clear" w:color="auto" w:fill="FFFFFF"/>
        <w:rPr>
          <w:b/>
        </w:rPr>
      </w:pPr>
    </w:p>
    <w:tbl>
      <w:tblPr>
        <w:tblW w:w="5000" w:type="pct"/>
        <w:tblCellMar>
          <w:left w:w="0" w:type="dxa"/>
          <w:right w:w="0" w:type="dxa"/>
        </w:tblCellMar>
        <w:tblLook w:val="04A0" w:firstRow="1" w:lastRow="0" w:firstColumn="1" w:lastColumn="0" w:noHBand="0" w:noVBand="1"/>
      </w:tblPr>
      <w:tblGrid>
        <w:gridCol w:w="2275"/>
        <w:gridCol w:w="2400"/>
        <w:gridCol w:w="2336"/>
        <w:gridCol w:w="2349"/>
      </w:tblGrid>
      <w:tr w:rsidRPr="00681993" w:rsidR="000321D3" w:rsidTr="001311C3">
        <w:tc>
          <w:tcPr>
            <w:tcW w:w="5000" w:type="pct"/>
            <w:gridSpan w:val="4"/>
            <w:tcBorders>
              <w:bottom w:val="single" w:color="auto" w:sz="8" w:space="0"/>
            </w:tcBorders>
            <w:tcMar>
              <w:top w:w="0" w:type="dxa"/>
              <w:left w:w="108" w:type="dxa"/>
              <w:bottom w:w="0" w:type="dxa"/>
              <w:right w:w="108" w:type="dxa"/>
            </w:tcMar>
            <w:hideMark/>
          </w:tcPr>
          <w:p w:rsidRPr="00681993" w:rsidR="000321D3" w:rsidP="001311C3" w:rsidRDefault="000321D3">
            <w:pPr>
              <w:pStyle w:val="NoSpacing"/>
              <w:shd w:val="clear" w:color="auto" w:fill="FFFFFF"/>
              <w:jc w:val="center"/>
              <w:rPr>
                <w:bCs/>
                <w:szCs w:val="24"/>
              </w:rPr>
            </w:pPr>
            <w:r w:rsidRPr="00681993">
              <w:rPr>
                <w:bCs/>
                <w:szCs w:val="24"/>
              </w:rPr>
              <w:t>Table 3.--Study 2 Design: Hematology</w:t>
            </w:r>
          </w:p>
        </w:tc>
      </w:tr>
      <w:tr w:rsidRPr="00681993" w:rsidR="000321D3" w:rsidTr="001311C3">
        <w:tc>
          <w:tcPr>
            <w:tcW w:w="5000" w:type="pct"/>
            <w:gridSpan w:val="4"/>
            <w:tcBorders>
              <w:top w:val="nil"/>
              <w:left w:val="single" w:color="auto" w:sz="4" w:space="0"/>
              <w:bottom w:val="single" w:color="auto" w:sz="8" w:space="0"/>
              <w:right w:val="single" w:color="auto" w:sz="8" w:space="0"/>
            </w:tcBorders>
            <w:tcMar>
              <w:top w:w="0" w:type="dxa"/>
              <w:left w:w="108" w:type="dxa"/>
              <w:bottom w:w="0" w:type="dxa"/>
              <w:right w:w="108" w:type="dxa"/>
            </w:tcMar>
          </w:tcPr>
          <w:p w:rsidRPr="00681993" w:rsidR="000321D3" w:rsidP="001311C3" w:rsidRDefault="000321D3">
            <w:pPr>
              <w:pStyle w:val="NoSpacing"/>
              <w:shd w:val="clear" w:color="auto" w:fill="FFFFFF"/>
              <w:jc w:val="center"/>
              <w:rPr>
                <w:szCs w:val="24"/>
              </w:rPr>
            </w:pPr>
            <w:r w:rsidRPr="00681993">
              <w:rPr>
                <w:szCs w:val="24"/>
              </w:rPr>
              <w:t>Indication presentation</w:t>
            </w:r>
          </w:p>
        </w:tc>
      </w:tr>
      <w:tr w:rsidRPr="00681993" w:rsidR="000321D3" w:rsidTr="001311C3">
        <w:tc>
          <w:tcPr>
            <w:tcW w:w="1215" w:type="pct"/>
            <w:tcBorders>
              <w:top w:val="nil"/>
              <w:left w:val="single" w:color="auto" w:sz="4" w:space="0"/>
              <w:bottom w:val="single" w:color="auto" w:sz="8" w:space="0"/>
              <w:right w:val="single" w:color="auto" w:sz="8" w:space="0"/>
            </w:tcBorders>
            <w:tcMar>
              <w:top w:w="0" w:type="dxa"/>
              <w:left w:w="108" w:type="dxa"/>
              <w:bottom w:w="0" w:type="dxa"/>
              <w:right w:w="108" w:type="dxa"/>
            </w:tcMar>
            <w:hideMark/>
          </w:tcPr>
          <w:p w:rsidRPr="00681993" w:rsidR="000321D3" w:rsidP="001311C3" w:rsidRDefault="000321D3">
            <w:pPr>
              <w:pStyle w:val="NoSpacing"/>
              <w:shd w:val="clear" w:color="auto" w:fill="FFFFFF"/>
              <w:jc w:val="center"/>
              <w:rPr>
                <w:szCs w:val="24"/>
              </w:rPr>
            </w:pPr>
            <w:r w:rsidRPr="00681993">
              <w:rPr>
                <w:szCs w:val="24"/>
              </w:rPr>
              <w:t>Material information in superimposed text only</w:t>
            </w:r>
          </w:p>
        </w:tc>
        <w:tc>
          <w:tcPr>
            <w:tcW w:w="1282" w:type="pct"/>
            <w:tcBorders>
              <w:top w:val="nil"/>
              <w:left w:val="nil"/>
              <w:bottom w:val="single" w:color="auto" w:sz="8" w:space="0"/>
              <w:right w:val="single" w:color="auto" w:sz="8" w:space="0"/>
            </w:tcBorders>
            <w:tcMar>
              <w:top w:w="0" w:type="dxa"/>
              <w:left w:w="108" w:type="dxa"/>
              <w:bottom w:w="0" w:type="dxa"/>
              <w:right w:w="108" w:type="dxa"/>
            </w:tcMar>
            <w:hideMark/>
          </w:tcPr>
          <w:p w:rsidRPr="00681993" w:rsidR="000321D3" w:rsidP="001311C3" w:rsidRDefault="000321D3">
            <w:pPr>
              <w:pStyle w:val="NoSpacing"/>
              <w:shd w:val="clear" w:color="auto" w:fill="FFFFFF"/>
              <w:jc w:val="center"/>
              <w:rPr>
                <w:szCs w:val="24"/>
              </w:rPr>
            </w:pPr>
            <w:r w:rsidRPr="00681993">
              <w:rPr>
                <w:szCs w:val="24"/>
              </w:rPr>
              <w:t>Material information in audio only</w:t>
            </w:r>
          </w:p>
        </w:tc>
        <w:tc>
          <w:tcPr>
            <w:tcW w:w="1248" w:type="pct"/>
            <w:tcBorders>
              <w:top w:val="nil"/>
              <w:left w:val="nil"/>
              <w:bottom w:val="single" w:color="auto" w:sz="8" w:space="0"/>
              <w:right w:val="single" w:color="auto" w:sz="8" w:space="0"/>
            </w:tcBorders>
            <w:tcMar>
              <w:top w:w="0" w:type="dxa"/>
              <w:left w:w="108" w:type="dxa"/>
              <w:bottom w:w="0" w:type="dxa"/>
              <w:right w:w="108" w:type="dxa"/>
            </w:tcMar>
            <w:hideMark/>
          </w:tcPr>
          <w:p w:rsidRPr="00681993" w:rsidR="000321D3" w:rsidP="001311C3" w:rsidRDefault="000321D3">
            <w:pPr>
              <w:pStyle w:val="NoSpacing"/>
              <w:shd w:val="clear" w:color="auto" w:fill="FFFFFF"/>
              <w:jc w:val="center"/>
              <w:rPr>
                <w:szCs w:val="24"/>
              </w:rPr>
            </w:pPr>
            <w:r w:rsidRPr="00681993">
              <w:rPr>
                <w:szCs w:val="24"/>
              </w:rPr>
              <w:t>Material information in superimposed text + audio</w:t>
            </w:r>
          </w:p>
        </w:tc>
        <w:tc>
          <w:tcPr>
            <w:tcW w:w="1255" w:type="pct"/>
            <w:tcBorders>
              <w:top w:val="nil"/>
              <w:left w:val="nil"/>
              <w:bottom w:val="single" w:color="auto" w:sz="8" w:space="0"/>
              <w:right w:val="single" w:color="auto" w:sz="8" w:space="0"/>
            </w:tcBorders>
            <w:tcMar>
              <w:top w:w="0" w:type="dxa"/>
              <w:left w:w="108" w:type="dxa"/>
              <w:bottom w:w="0" w:type="dxa"/>
              <w:right w:w="108" w:type="dxa"/>
            </w:tcMar>
            <w:hideMark/>
          </w:tcPr>
          <w:p w:rsidRPr="00681993" w:rsidR="000321D3" w:rsidP="001311C3" w:rsidRDefault="000321D3">
            <w:pPr>
              <w:pStyle w:val="NoSpacing"/>
              <w:shd w:val="clear" w:color="auto" w:fill="FFFFFF"/>
              <w:jc w:val="center"/>
              <w:rPr>
                <w:szCs w:val="24"/>
              </w:rPr>
            </w:pPr>
            <w:r w:rsidRPr="00681993">
              <w:rPr>
                <w:szCs w:val="24"/>
              </w:rPr>
              <w:t>Material information not in superimposed text or audio (Control)</w:t>
            </w:r>
          </w:p>
        </w:tc>
      </w:tr>
      <w:tr w:rsidRPr="00681993" w:rsidR="000321D3" w:rsidTr="001311C3">
        <w:tc>
          <w:tcPr>
            <w:tcW w:w="1215" w:type="pct"/>
            <w:tcBorders>
              <w:top w:val="nil"/>
              <w:left w:val="single" w:color="auto" w:sz="4" w:space="0"/>
              <w:bottom w:val="single" w:color="auto" w:sz="4" w:space="0"/>
              <w:right w:val="single" w:color="auto" w:sz="8" w:space="0"/>
            </w:tcBorders>
            <w:tcMar>
              <w:top w:w="0" w:type="dxa"/>
              <w:left w:w="108" w:type="dxa"/>
              <w:bottom w:w="0" w:type="dxa"/>
              <w:right w:w="108" w:type="dxa"/>
            </w:tcMar>
          </w:tcPr>
          <w:p w:rsidRPr="00681993" w:rsidR="000321D3" w:rsidP="001311C3" w:rsidRDefault="000321D3">
            <w:pPr>
              <w:pStyle w:val="NoSpacing"/>
              <w:shd w:val="clear" w:color="auto" w:fill="FFFFFF"/>
              <w:rPr>
                <w:szCs w:val="24"/>
              </w:rPr>
            </w:pPr>
            <w:r w:rsidRPr="00681993">
              <w:rPr>
                <w:szCs w:val="24"/>
              </w:rPr>
              <w:t xml:space="preserve">Audio: Drug Y is used to treat multiple myeloma. </w:t>
            </w:r>
          </w:p>
          <w:p w:rsidRPr="00681993" w:rsidR="000321D3" w:rsidP="001311C3" w:rsidRDefault="000321D3">
            <w:pPr>
              <w:pStyle w:val="CommentText"/>
              <w:shd w:val="clear" w:color="auto" w:fill="FFFFFF"/>
              <w:rPr>
                <w:sz w:val="24"/>
                <w:szCs w:val="24"/>
              </w:rPr>
            </w:pPr>
          </w:p>
          <w:p w:rsidRPr="00681993" w:rsidR="000321D3" w:rsidP="001311C3" w:rsidRDefault="000321D3">
            <w:pPr>
              <w:pStyle w:val="CommentText"/>
              <w:shd w:val="clear" w:color="auto" w:fill="FFFFFF"/>
              <w:rPr>
                <w:sz w:val="24"/>
                <w:szCs w:val="24"/>
              </w:rPr>
            </w:pPr>
            <w:r w:rsidRPr="00681993">
              <w:rPr>
                <w:sz w:val="24"/>
                <w:szCs w:val="24"/>
              </w:rPr>
              <w:t xml:space="preserve">Superimposed text: Drug Y is used to treat multiple myeloma in combination with dexamethasone, in people who have received at least three prior medicines to treat multiple myeloma. </w:t>
            </w:r>
          </w:p>
        </w:tc>
        <w:tc>
          <w:tcPr>
            <w:tcW w:w="1282" w:type="pct"/>
            <w:tcBorders>
              <w:top w:val="nil"/>
              <w:left w:val="nil"/>
              <w:bottom w:val="single" w:color="auto" w:sz="4" w:space="0"/>
              <w:right w:val="single" w:color="auto" w:sz="8" w:space="0"/>
            </w:tcBorders>
            <w:tcMar>
              <w:top w:w="0" w:type="dxa"/>
              <w:left w:w="108" w:type="dxa"/>
              <w:bottom w:w="0" w:type="dxa"/>
              <w:right w:w="108" w:type="dxa"/>
            </w:tcMar>
          </w:tcPr>
          <w:p w:rsidRPr="00681993" w:rsidR="000321D3" w:rsidP="001311C3" w:rsidRDefault="000321D3">
            <w:pPr>
              <w:pStyle w:val="NoSpacing"/>
              <w:shd w:val="clear" w:color="auto" w:fill="FFFFFF"/>
              <w:rPr>
                <w:szCs w:val="24"/>
              </w:rPr>
            </w:pPr>
            <w:r w:rsidRPr="00681993">
              <w:rPr>
                <w:szCs w:val="24"/>
              </w:rPr>
              <w:t xml:space="preserve">Audio: Drug Y is used to treat multiple myeloma in combination with dexamethasone, in people who have received at least three prior medicines to treat multiple myeloma. </w:t>
            </w:r>
          </w:p>
          <w:p w:rsidRPr="00681993" w:rsidR="000321D3" w:rsidP="001311C3" w:rsidRDefault="000321D3">
            <w:pPr>
              <w:pStyle w:val="NoSpacing"/>
              <w:shd w:val="clear" w:color="auto" w:fill="FFFFFF"/>
              <w:rPr>
                <w:szCs w:val="24"/>
              </w:rPr>
            </w:pPr>
          </w:p>
          <w:p w:rsidRPr="00681993" w:rsidR="000321D3" w:rsidP="001311C3" w:rsidRDefault="000321D3">
            <w:pPr>
              <w:pStyle w:val="NoSpacing"/>
              <w:shd w:val="clear" w:color="auto" w:fill="FFFFFF"/>
              <w:rPr>
                <w:szCs w:val="24"/>
              </w:rPr>
            </w:pPr>
            <w:r w:rsidRPr="00681993">
              <w:rPr>
                <w:szCs w:val="24"/>
              </w:rPr>
              <w:t>Superimposed text: Drug Y is used to treat multiple myeloma.</w:t>
            </w:r>
          </w:p>
        </w:tc>
        <w:tc>
          <w:tcPr>
            <w:tcW w:w="1248" w:type="pct"/>
            <w:tcBorders>
              <w:top w:val="nil"/>
              <w:left w:val="nil"/>
              <w:bottom w:val="single" w:color="auto" w:sz="4" w:space="0"/>
              <w:right w:val="single" w:color="auto" w:sz="8" w:space="0"/>
            </w:tcBorders>
            <w:tcMar>
              <w:top w:w="0" w:type="dxa"/>
              <w:left w:w="108" w:type="dxa"/>
              <w:bottom w:w="0" w:type="dxa"/>
              <w:right w:w="108" w:type="dxa"/>
            </w:tcMar>
          </w:tcPr>
          <w:p w:rsidRPr="00681993" w:rsidR="000321D3" w:rsidP="001311C3" w:rsidRDefault="000321D3">
            <w:pPr>
              <w:pStyle w:val="NoSpacing"/>
              <w:shd w:val="clear" w:color="auto" w:fill="FFFFFF"/>
              <w:rPr>
                <w:szCs w:val="24"/>
              </w:rPr>
            </w:pPr>
            <w:r w:rsidRPr="00681993">
              <w:rPr>
                <w:szCs w:val="24"/>
              </w:rPr>
              <w:t>Audio: Drug Y is used to treat multiple myeloma in combination with dexamethasone, in people who have received at least three prior medicines to treat multiple myeloma.</w:t>
            </w:r>
          </w:p>
          <w:p w:rsidRPr="00681993" w:rsidR="000321D3" w:rsidP="001311C3" w:rsidRDefault="000321D3">
            <w:pPr>
              <w:pStyle w:val="NoSpacing"/>
              <w:shd w:val="clear" w:color="auto" w:fill="FFFFFF"/>
              <w:rPr>
                <w:szCs w:val="24"/>
              </w:rPr>
            </w:pPr>
          </w:p>
          <w:p w:rsidRPr="00681993" w:rsidR="000321D3" w:rsidP="001311C3" w:rsidRDefault="000321D3">
            <w:pPr>
              <w:pStyle w:val="NoSpacing"/>
              <w:shd w:val="clear" w:color="auto" w:fill="FFFFFF"/>
              <w:rPr>
                <w:szCs w:val="24"/>
              </w:rPr>
            </w:pPr>
            <w:r w:rsidRPr="00681993">
              <w:rPr>
                <w:szCs w:val="24"/>
              </w:rPr>
              <w:t xml:space="preserve">Superimposed text: Drug Y is used to treat multiple myeloma in combination with dexamethasone, in people who have received at least three prior medicines to treat multiple myeloma. </w:t>
            </w:r>
          </w:p>
        </w:tc>
        <w:tc>
          <w:tcPr>
            <w:tcW w:w="1255" w:type="pct"/>
            <w:tcBorders>
              <w:top w:val="nil"/>
              <w:left w:val="nil"/>
              <w:bottom w:val="single" w:color="auto" w:sz="4" w:space="0"/>
              <w:right w:val="single" w:color="auto" w:sz="8" w:space="0"/>
            </w:tcBorders>
            <w:tcMar>
              <w:top w:w="0" w:type="dxa"/>
              <w:left w:w="108" w:type="dxa"/>
              <w:bottom w:w="0" w:type="dxa"/>
              <w:right w:w="108" w:type="dxa"/>
            </w:tcMar>
          </w:tcPr>
          <w:p w:rsidRPr="00681993" w:rsidR="000321D3" w:rsidP="001311C3" w:rsidRDefault="000321D3">
            <w:pPr>
              <w:pStyle w:val="NoSpacing"/>
              <w:shd w:val="clear" w:color="auto" w:fill="FFFFFF"/>
              <w:rPr>
                <w:szCs w:val="24"/>
              </w:rPr>
            </w:pPr>
            <w:r w:rsidRPr="00681993">
              <w:rPr>
                <w:szCs w:val="24"/>
              </w:rPr>
              <w:t>Audio: Drug Y is used to treat multiple myeloma.</w:t>
            </w:r>
          </w:p>
          <w:p w:rsidRPr="00681993" w:rsidR="000321D3" w:rsidP="001311C3" w:rsidRDefault="000321D3">
            <w:pPr>
              <w:pStyle w:val="NoSpacing"/>
              <w:shd w:val="clear" w:color="auto" w:fill="FFFFFF"/>
              <w:rPr>
                <w:szCs w:val="24"/>
              </w:rPr>
            </w:pPr>
          </w:p>
          <w:p w:rsidRPr="00681993" w:rsidR="000321D3" w:rsidP="001311C3" w:rsidRDefault="000321D3">
            <w:pPr>
              <w:pStyle w:val="NoSpacing"/>
              <w:shd w:val="clear" w:color="auto" w:fill="FFFFFF"/>
              <w:rPr>
                <w:szCs w:val="24"/>
              </w:rPr>
            </w:pPr>
            <w:r w:rsidRPr="00681993">
              <w:rPr>
                <w:szCs w:val="24"/>
              </w:rPr>
              <w:t>Superimposed text: Drug Y is used to treat multiple myeloma.</w:t>
            </w:r>
          </w:p>
        </w:tc>
      </w:tr>
      <w:tr w:rsidRPr="00681993" w:rsidR="000321D3" w:rsidTr="001311C3">
        <w:tc>
          <w:tcPr>
            <w:tcW w:w="5000" w:type="pct"/>
            <w:gridSpan w:val="4"/>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tcPr>
          <w:p w:rsidRPr="00681993" w:rsidR="000321D3" w:rsidP="001311C3" w:rsidRDefault="000321D3">
            <w:pPr>
              <w:pStyle w:val="NoSpacing"/>
              <w:shd w:val="clear" w:color="auto" w:fill="FFFFFF"/>
              <w:rPr>
                <w:szCs w:val="24"/>
              </w:rPr>
            </w:pPr>
            <w:r w:rsidRPr="00681993">
              <w:rPr>
                <w:i/>
                <w:szCs w:val="24"/>
              </w:rPr>
              <w:t>Note</w:t>
            </w:r>
            <w:r w:rsidRPr="00681993">
              <w:rPr>
                <w:szCs w:val="24"/>
              </w:rPr>
              <w:t>. Study 2 will use the overall survival ad from Study 1.</w:t>
            </w:r>
          </w:p>
        </w:tc>
      </w:tr>
    </w:tbl>
    <w:p w:rsidR="00B937B1" w:rsidP="001311C3" w:rsidRDefault="00B937B1">
      <w:pPr>
        <w:shd w:val="clear" w:color="auto" w:fill="FFFFFF"/>
        <w:jc w:val="center"/>
        <w:rPr>
          <w:b/>
        </w:rPr>
      </w:pPr>
    </w:p>
    <w:p w:rsidRPr="00681993" w:rsidR="00BC79AD" w:rsidP="001311C3" w:rsidRDefault="00BC79AD">
      <w:pPr>
        <w:shd w:val="clear" w:color="auto" w:fill="FFFFFF"/>
        <w:ind w:left="810" w:hanging="90"/>
        <w:jc w:val="center"/>
        <w:rPr>
          <w:b/>
        </w:rPr>
      </w:pPr>
      <w:r w:rsidRPr="00681993">
        <w:rPr>
          <w:b/>
        </w:rPr>
        <w:t>Procedure</w:t>
      </w:r>
    </w:p>
    <w:p w:rsidRPr="00681993" w:rsidR="00F83808" w:rsidP="001311C3" w:rsidRDefault="00F83808">
      <w:pPr>
        <w:shd w:val="clear" w:color="auto" w:fill="FFFFFF"/>
        <w:rPr>
          <w:b/>
        </w:rPr>
      </w:pPr>
    </w:p>
    <w:p w:rsidRPr="00681993" w:rsidR="00675E2F" w:rsidP="001311C3" w:rsidRDefault="00BF5A22">
      <w:pPr>
        <w:shd w:val="clear" w:color="auto" w:fill="FFFFFF"/>
        <w:ind w:left="720"/>
      </w:pPr>
      <w:r w:rsidRPr="00681993">
        <w:t>The pretest</w:t>
      </w:r>
      <w:r w:rsidRPr="00681993" w:rsidR="00001401">
        <w:t>s</w:t>
      </w:r>
      <w:r w:rsidRPr="00681993">
        <w:t xml:space="preserve"> and main stud</w:t>
      </w:r>
      <w:r w:rsidRPr="00681993" w:rsidR="00001401">
        <w:t>ies</w:t>
      </w:r>
      <w:r w:rsidRPr="00681993" w:rsidR="00F83808">
        <w:t xml:space="preserve"> will be </w:t>
      </w:r>
      <w:r w:rsidRPr="00681993" w:rsidR="00910CC3">
        <w:t xml:space="preserve">20 minutes long and </w:t>
      </w:r>
      <w:r w:rsidRPr="00681993" w:rsidR="00F83808">
        <w:t xml:space="preserve">conducted </w:t>
      </w:r>
      <w:r w:rsidRPr="00681993" w:rsidR="009765CB">
        <w:t>using an Internet panel</w:t>
      </w:r>
      <w:r w:rsidR="00096B8B">
        <w:t xml:space="preserve"> managed by Toluna</w:t>
      </w:r>
      <w:r w:rsidRPr="00681993" w:rsidR="00F83808">
        <w:t>.</w:t>
      </w:r>
      <w:r w:rsidRPr="00681993" w:rsidR="00910CC3">
        <w:t xml:space="preserve"> </w:t>
      </w:r>
      <w:r w:rsidRPr="00681993" w:rsidR="00946F1B">
        <w:t xml:space="preserve">Participants will be randomly assigned to see one version of the study </w:t>
      </w:r>
      <w:r w:rsidRPr="00681993" w:rsidR="005425B7">
        <w:t>television ad</w:t>
      </w:r>
      <w:r w:rsidRPr="00681993" w:rsidR="00597CD8">
        <w:t xml:space="preserve">. </w:t>
      </w:r>
      <w:r w:rsidRPr="00681993" w:rsidR="00675E2F">
        <w:t xml:space="preserve">After viewing the </w:t>
      </w:r>
      <w:r w:rsidRPr="00681993" w:rsidR="005425B7">
        <w:t>television ad</w:t>
      </w:r>
      <w:r w:rsidRPr="00681993" w:rsidR="00675E2F">
        <w:t xml:space="preserve">, participants will complete a questionnaire that assesses participants’ </w:t>
      </w:r>
      <w:r w:rsidRPr="00681993" w:rsidR="000321D3">
        <w:t xml:space="preserve">interpretation and recall of the indication information </w:t>
      </w:r>
      <w:r w:rsidRPr="00681993" w:rsidR="00675E2F">
        <w:t>and their perceptions of the drug’s risks and benefits</w:t>
      </w:r>
      <w:r w:rsidRPr="00681993" w:rsidR="00946F1B">
        <w:t xml:space="preserve"> (Appendi</w:t>
      </w:r>
      <w:r w:rsidRPr="00681993" w:rsidR="000321D3">
        <w:t>ces C and D</w:t>
      </w:r>
      <w:r w:rsidRPr="00681993" w:rsidR="00946F1B">
        <w:t>)</w:t>
      </w:r>
      <w:r w:rsidRPr="00681993" w:rsidR="00675E2F">
        <w:t xml:space="preserve">.  </w:t>
      </w:r>
      <w:r w:rsidRPr="00681993" w:rsidR="00675E2F">
        <w:lastRenderedPageBreak/>
        <w:t>We will also measure covariates such as demographics</w:t>
      </w:r>
      <w:r w:rsidRPr="00681993" w:rsidR="000321D3">
        <w:t>, cancer history,</w:t>
      </w:r>
      <w:r w:rsidRPr="00681993" w:rsidR="00675E2F">
        <w:t xml:space="preserve"> and health literacy.  </w:t>
      </w:r>
    </w:p>
    <w:p w:rsidR="00B937B1" w:rsidP="001311C3" w:rsidRDefault="00B937B1">
      <w:pPr>
        <w:shd w:val="clear" w:color="auto" w:fill="FFFFFF"/>
        <w:ind w:left="720"/>
      </w:pPr>
    </w:p>
    <w:p w:rsidRPr="00681993" w:rsidR="00635096" w:rsidP="001311C3" w:rsidRDefault="00BC79AD">
      <w:pPr>
        <w:shd w:val="clear" w:color="auto" w:fill="FFFFFF"/>
        <w:ind w:left="720"/>
        <w:jc w:val="center"/>
        <w:rPr>
          <w:b/>
        </w:rPr>
      </w:pPr>
      <w:r w:rsidRPr="00681993">
        <w:rPr>
          <w:b/>
        </w:rPr>
        <w:t>Participants</w:t>
      </w:r>
    </w:p>
    <w:p w:rsidRPr="00681993" w:rsidR="008D5E7F" w:rsidP="001311C3" w:rsidRDefault="008D5E7F">
      <w:pPr>
        <w:shd w:val="clear" w:color="auto" w:fill="FFFFFF"/>
        <w:ind w:left="720"/>
        <w:jc w:val="center"/>
        <w:rPr>
          <w:b/>
        </w:rPr>
      </w:pPr>
    </w:p>
    <w:p w:rsidRPr="00681993" w:rsidR="00BC79AD" w:rsidP="001311C3" w:rsidRDefault="00001401">
      <w:pPr>
        <w:widowControl w:val="0"/>
        <w:shd w:val="clear" w:color="auto"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681993">
        <w:t>For all phases of our research, w</w:t>
      </w:r>
      <w:r w:rsidRPr="00681993" w:rsidR="00945F04">
        <w:t>e will recruit a general population sample of adult volunteers 18 years of age or older</w:t>
      </w:r>
      <w:r w:rsidRPr="00681993">
        <w:t xml:space="preserve"> (see Appendi</w:t>
      </w:r>
      <w:r w:rsidR="005640FD">
        <w:t>ces E and</w:t>
      </w:r>
      <w:r w:rsidRPr="00681993">
        <w:t xml:space="preserve"> </w:t>
      </w:r>
      <w:r w:rsidR="000E75B0">
        <w:t>G</w:t>
      </w:r>
      <w:r w:rsidRPr="00681993">
        <w:t xml:space="preserve"> for the screening questions)</w:t>
      </w:r>
      <w:r w:rsidRPr="00681993" w:rsidR="00945F04">
        <w:t xml:space="preserve">. We will exclude individuals who work for the Department of Health and Human Services or work in the health care, marketing, advertising, or pharmaceutical industries. We will use health literacy quotas to ensure that our sample includes participants with </w:t>
      </w:r>
      <w:r w:rsidR="00096B8B">
        <w:t>lower</w:t>
      </w:r>
      <w:r w:rsidRPr="00681993" w:rsidR="00945F04">
        <w:t xml:space="preserve"> health literacy skills. </w:t>
      </w:r>
      <w:r w:rsidR="005640FD">
        <w:t>For t</w:t>
      </w:r>
      <w:r w:rsidRPr="00681993" w:rsidR="00910CC3">
        <w:t>he</w:t>
      </w:r>
      <w:r w:rsidRPr="00681993" w:rsidR="005425B7">
        <w:t xml:space="preserve"> pretests and main studies</w:t>
      </w:r>
      <w:r w:rsidR="005640FD">
        <w:t>,</w:t>
      </w:r>
      <w:r w:rsidRPr="00681993" w:rsidR="00910CC3">
        <w:t xml:space="preserve"> </w:t>
      </w:r>
      <w:r w:rsidR="005640FD">
        <w:t>internet p</w:t>
      </w:r>
      <w:r w:rsidRPr="00681993" w:rsidR="009807AD">
        <w:t>anel members can only participate in one of the studie</w:t>
      </w:r>
      <w:r w:rsidR="005640FD">
        <w:t>s</w:t>
      </w:r>
      <w:r w:rsidRPr="00681993" w:rsidR="007E48B6">
        <w:t xml:space="preserve">. </w:t>
      </w:r>
    </w:p>
    <w:p w:rsidRPr="00681993" w:rsidR="00945F04" w:rsidP="001311C3" w:rsidRDefault="00945F04">
      <w:pPr>
        <w:widowControl w:val="0"/>
        <w:shd w:val="clear" w:color="auto"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Pr="00681993" w:rsidR="00BC79AD" w:rsidP="001311C3" w:rsidRDefault="00BC79AD">
      <w:pPr>
        <w:shd w:val="clear" w:color="auto" w:fill="FFFFFF"/>
        <w:spacing w:line="480" w:lineRule="auto"/>
        <w:ind w:left="720"/>
        <w:jc w:val="center"/>
        <w:rPr>
          <w:b/>
        </w:rPr>
      </w:pPr>
      <w:r w:rsidRPr="00681993">
        <w:rPr>
          <w:b/>
        </w:rPr>
        <w:t>Hypotheses</w:t>
      </w:r>
    </w:p>
    <w:p w:rsidRPr="00681993" w:rsidR="00945F04" w:rsidP="001311C3" w:rsidRDefault="000321D3">
      <w:pPr>
        <w:shd w:val="clear" w:color="auto" w:fill="FFFFFF"/>
        <w:ind w:left="720"/>
      </w:pPr>
      <w:r w:rsidRPr="00681993">
        <w:t>Study 1: Without a disclosure, we hypothesize that participants will not differentiate between overall survival, overall response rate, and progression-free survival.  We hypothesize that a disclosure will help participants understand the surrogate endpoints (i.e., overall response rate and progression-free survival) and thus will lead to greater understanding of the drug's efficacy compared with conditions without the disclosure.  We will explore unintended effects of the disclosure, such as whether the disclosure lowers perceived efficacy compared with the overall survival condition.</w:t>
      </w:r>
    </w:p>
    <w:p w:rsidRPr="00681993" w:rsidR="000321D3" w:rsidP="001311C3" w:rsidRDefault="000321D3">
      <w:pPr>
        <w:shd w:val="clear" w:color="auto" w:fill="FFFFFF"/>
        <w:rPr>
          <w:b/>
        </w:rPr>
      </w:pPr>
    </w:p>
    <w:p w:rsidR="00DC15ED" w:rsidP="009703AD" w:rsidRDefault="000321D3">
      <w:pPr>
        <w:shd w:val="clear" w:color="auto" w:fill="FFFFFF"/>
        <w:tabs>
          <w:tab w:val="left" w:pos="720"/>
        </w:tabs>
        <w:ind w:left="720"/>
        <w:contextualSpacing/>
        <w:rPr>
          <w:b/>
        </w:rPr>
      </w:pPr>
      <w:r w:rsidRPr="00681993">
        <w:t>Study 2:</w:t>
      </w:r>
      <w:r w:rsidRPr="00681993">
        <w:rPr>
          <w:b/>
        </w:rPr>
        <w:t xml:space="preserve"> </w:t>
      </w:r>
      <w:bookmarkStart w:name="_Hlk535506561" w:id="2"/>
      <w:r w:rsidRPr="00681993">
        <w:t>Following previous research on dual-modality presentations, we hypothesize that participants who view an ad with the material information in the audio and text will have greater retention of that information than participants in any other condition.  We also hypothesize that participants who view an ad with the material information in the audio only will have greater retention of that information than participants in the superimposed text condition and the control condition.</w:t>
      </w:r>
      <w:bookmarkEnd w:id="2"/>
      <w:r w:rsidRPr="00681993">
        <w:t xml:space="preserve">  </w:t>
      </w:r>
    </w:p>
    <w:p w:rsidR="00DC15ED" w:rsidP="001311C3" w:rsidRDefault="00DC15ED">
      <w:pPr>
        <w:shd w:val="clear" w:color="auto" w:fill="FFFFFF"/>
        <w:tabs>
          <w:tab w:val="left" w:pos="720"/>
        </w:tabs>
        <w:ind w:left="720"/>
        <w:contextualSpacing/>
        <w:rPr>
          <w:b/>
        </w:rPr>
      </w:pPr>
    </w:p>
    <w:p w:rsidRPr="00681993" w:rsidR="00BC79AD" w:rsidP="001311C3" w:rsidRDefault="00BC79AD">
      <w:pPr>
        <w:shd w:val="clear" w:color="auto" w:fill="FFFFFF"/>
        <w:tabs>
          <w:tab w:val="left" w:pos="720"/>
        </w:tabs>
        <w:spacing w:line="480" w:lineRule="auto"/>
        <w:ind w:left="720"/>
        <w:contextualSpacing/>
        <w:jc w:val="center"/>
        <w:rPr>
          <w:b/>
        </w:rPr>
      </w:pPr>
      <w:r w:rsidRPr="00681993">
        <w:rPr>
          <w:b/>
        </w:rPr>
        <w:t>Analysis Plan</w:t>
      </w:r>
    </w:p>
    <w:p w:rsidRPr="00681993" w:rsidR="0082658B" w:rsidP="001311C3" w:rsidRDefault="0082658B">
      <w:pPr>
        <w:shd w:val="clear" w:color="auto" w:fill="FFFFFF"/>
        <w:tabs>
          <w:tab w:val="left" w:pos="720"/>
        </w:tabs>
        <w:ind w:left="720"/>
      </w:pPr>
      <w:r w:rsidRPr="00681993">
        <w:t xml:space="preserve">We will conduct ANOVAs </w:t>
      </w:r>
      <w:r w:rsidRPr="00681993" w:rsidR="005D6ED9">
        <w:t xml:space="preserve">(for continuous variables) and logistic regressions (for dichotomous variables) </w:t>
      </w:r>
      <w:r w:rsidRPr="00681993">
        <w:t xml:space="preserve">with interaction terms and planned comparisons to test the hypotheses outline above.  </w:t>
      </w:r>
    </w:p>
    <w:p w:rsidRPr="00681993" w:rsidR="00B937B1" w:rsidP="001311C3" w:rsidRDefault="00B937B1">
      <w:pPr>
        <w:shd w:val="clear" w:color="auto" w:fill="FFFFFF"/>
        <w:tabs>
          <w:tab w:val="left" w:pos="720"/>
        </w:tabs>
        <w:ind w:left="720"/>
      </w:pPr>
    </w:p>
    <w:p w:rsidRPr="00681993" w:rsidR="00E05FEE" w:rsidP="001311C3" w:rsidRDefault="00981612">
      <w:pPr>
        <w:shd w:val="clear" w:color="auto" w:fill="FFFFFF"/>
        <w:tabs>
          <w:tab w:val="left" w:pos="720"/>
        </w:tabs>
        <w:ind w:left="720"/>
        <w:jc w:val="center"/>
        <w:rPr>
          <w:b/>
        </w:rPr>
      </w:pPr>
      <w:r w:rsidRPr="00681993">
        <w:rPr>
          <w:b/>
        </w:rPr>
        <w:t>Power</w:t>
      </w:r>
    </w:p>
    <w:p w:rsidR="00001401" w:rsidP="009703AD" w:rsidRDefault="008D7C4F">
      <w:pPr>
        <w:pStyle w:val="BodyText"/>
        <w:shd w:val="clear" w:color="auto" w:fill="FFFFFF"/>
        <w:tabs>
          <w:tab w:val="left" w:pos="720"/>
        </w:tabs>
        <w:kinsoku w:val="0"/>
        <w:overflowPunct w:val="0"/>
        <w:spacing w:after="0"/>
        <w:ind w:left="720"/>
      </w:pPr>
      <w:r w:rsidRPr="00681993">
        <w:t>We conducted</w:t>
      </w:r>
      <w:r w:rsidRPr="00681993" w:rsidDel="008E4F4A">
        <w:t xml:space="preserve"> </w:t>
      </w:r>
      <w:r w:rsidRPr="00681993">
        <w:t xml:space="preserve">power analyses for each </w:t>
      </w:r>
      <w:r w:rsidRPr="00681993" w:rsidR="00001401">
        <w:t xml:space="preserve">main </w:t>
      </w:r>
      <w:r w:rsidRPr="00681993">
        <w:t xml:space="preserve">study, taking into consideration the study’s purpose, expected outcome measures, and potential key analyses. </w:t>
      </w:r>
    </w:p>
    <w:p w:rsidRPr="00681993" w:rsidR="009703AD" w:rsidP="00096B8B" w:rsidRDefault="009703AD">
      <w:pPr>
        <w:pStyle w:val="BodyText"/>
        <w:shd w:val="clear" w:color="auto" w:fill="FFFFFF"/>
        <w:tabs>
          <w:tab w:val="left" w:pos="720"/>
        </w:tabs>
        <w:kinsoku w:val="0"/>
        <w:overflowPunct w:val="0"/>
        <w:spacing w:after="0"/>
        <w:ind w:left="720"/>
      </w:pPr>
    </w:p>
    <w:p w:rsidR="00001401" w:rsidP="009703AD" w:rsidRDefault="00001401">
      <w:pPr>
        <w:pStyle w:val="BodyText"/>
        <w:shd w:val="clear" w:color="auto" w:fill="FFFFFF"/>
        <w:tabs>
          <w:tab w:val="left" w:pos="720"/>
        </w:tabs>
        <w:kinsoku w:val="0"/>
        <w:overflowPunct w:val="0"/>
        <w:spacing w:after="0"/>
        <w:ind w:left="720" w:right="158"/>
        <w:rPr>
          <w:rFonts w:cs="Calibri"/>
        </w:rPr>
      </w:pPr>
      <w:r w:rsidRPr="00681993">
        <w:t>In Study 1</w:t>
      </w:r>
      <w:r w:rsidRPr="00681993">
        <w:rPr>
          <w:rFonts w:cs="Calibri"/>
        </w:rPr>
        <w:t>, we plan to conduct one-way analysis of variance (ANOVA) to test for significant differences in continuous or binary outcome variables among experimental groups. We anticipate conducting up to four key comparisons (each condition vs. OS) with a Bonferroni-adjusted</w:t>
      </w:r>
      <w:r w:rsidRPr="00681993">
        <w:rPr>
          <w:rFonts w:cs="Calibri"/>
          <w:b/>
          <w:bCs/>
          <w:i/>
          <w:iCs/>
        </w:rPr>
        <w:t xml:space="preserve"> </w:t>
      </w:r>
      <w:r w:rsidRPr="00681993">
        <w:rPr>
          <w:rFonts w:cs="Calibri"/>
        </w:rPr>
        <w:t>alpha (</w:t>
      </w:r>
      <w:r w:rsidRPr="00681993">
        <w:rPr>
          <w:rFonts w:cs="Calibri"/>
          <w:i/>
          <w:iCs/>
        </w:rPr>
        <w:t>p </w:t>
      </w:r>
      <w:r w:rsidRPr="00681993">
        <w:rPr>
          <w:rFonts w:cs="Calibri"/>
        </w:rPr>
        <w:t xml:space="preserve">= .0125). </w:t>
      </w:r>
      <w:r w:rsidRPr="00681993" w:rsidR="008D7C4F">
        <w:rPr>
          <w:rFonts w:cs="Calibri"/>
        </w:rPr>
        <w:t>Study 1 has been powered to detect small to moderate effects (</w:t>
      </w:r>
      <w:r w:rsidRPr="00681993" w:rsidR="008D7C4F">
        <w:rPr>
          <w:rFonts w:cs="Calibri"/>
          <w:i/>
          <w:iCs/>
        </w:rPr>
        <w:t xml:space="preserve">f </w:t>
      </w:r>
      <w:r w:rsidRPr="00681993" w:rsidR="008D7C4F">
        <w:rPr>
          <w:rFonts w:cs="Calibri"/>
        </w:rPr>
        <w:t xml:space="preserve">= 0.24) with a power of 0.90 and an alpha of 0.0125. Given these </w:t>
      </w:r>
      <w:r w:rsidRPr="00681993" w:rsidR="008D7C4F">
        <w:rPr>
          <w:rFonts w:cs="Calibri"/>
        </w:rPr>
        <w:lastRenderedPageBreak/>
        <w:t xml:space="preserve">assumptions, we will need approximately 70 participants per experimental group (for a total of </w:t>
      </w:r>
      <w:r w:rsidRPr="00681993" w:rsidR="008D7C4F">
        <w:rPr>
          <w:rFonts w:cs="Calibri"/>
          <w:i/>
          <w:iCs/>
        </w:rPr>
        <w:t xml:space="preserve">N </w:t>
      </w:r>
      <w:r w:rsidRPr="00681993" w:rsidR="008D7C4F">
        <w:rPr>
          <w:rFonts w:cs="Calibri"/>
        </w:rPr>
        <w:t>= 350</w:t>
      </w:r>
      <w:r w:rsidRPr="00681993" w:rsidR="008D7C4F">
        <w:rPr>
          <w:rFonts w:cs="Calibri"/>
          <w:b/>
          <w:bCs/>
        </w:rPr>
        <w:t xml:space="preserve"> </w:t>
      </w:r>
      <w:r w:rsidRPr="00681993" w:rsidR="008D7C4F">
        <w:rPr>
          <w:rFonts w:cs="Calibri"/>
        </w:rPr>
        <w:t>for each drug indication, solid tumor and hematology).</w:t>
      </w:r>
      <w:r w:rsidRPr="00681993">
        <w:rPr>
          <w:rFonts w:cs="Calibri"/>
        </w:rPr>
        <w:t xml:space="preserve"> </w:t>
      </w:r>
    </w:p>
    <w:p w:rsidRPr="00681993" w:rsidR="009703AD" w:rsidP="00096B8B" w:rsidRDefault="009703AD">
      <w:pPr>
        <w:pStyle w:val="BodyText"/>
        <w:shd w:val="clear" w:color="auto" w:fill="FFFFFF"/>
        <w:tabs>
          <w:tab w:val="left" w:pos="720"/>
        </w:tabs>
        <w:kinsoku w:val="0"/>
        <w:overflowPunct w:val="0"/>
        <w:spacing w:after="0"/>
        <w:ind w:left="720" w:right="158"/>
        <w:rPr>
          <w:rFonts w:cs="Calibri"/>
        </w:rPr>
      </w:pPr>
    </w:p>
    <w:p w:rsidRPr="00681993" w:rsidR="00001401" w:rsidP="001311C3" w:rsidRDefault="00001401">
      <w:pPr>
        <w:pStyle w:val="BodyText"/>
        <w:shd w:val="clear" w:color="auto" w:fill="FFFFFF"/>
        <w:tabs>
          <w:tab w:val="left" w:pos="720"/>
        </w:tabs>
        <w:kinsoku w:val="0"/>
        <w:overflowPunct w:val="0"/>
        <w:ind w:left="720"/>
        <w:rPr>
          <w:rFonts w:cs="Calibri"/>
        </w:rPr>
      </w:pPr>
      <w:r w:rsidRPr="00681993">
        <w:rPr>
          <w:rFonts w:cs="Calibri"/>
        </w:rPr>
        <w:t xml:space="preserve">Study 2 has been powered to detect small to moderate effects with a power of 0.90 and an alpha of 0.05, assuming a fully-crossed 2 x 2 factorial design. Given these assumptions, we will need approximately 65 participants per experimental group (for a total of </w:t>
      </w:r>
      <w:r w:rsidRPr="00681993">
        <w:rPr>
          <w:rFonts w:cs="Calibri"/>
          <w:i/>
          <w:iCs/>
        </w:rPr>
        <w:t xml:space="preserve">N </w:t>
      </w:r>
      <w:r w:rsidRPr="00681993">
        <w:rPr>
          <w:rFonts w:cs="Calibri"/>
        </w:rPr>
        <w:t>= 260</w:t>
      </w:r>
      <w:r w:rsidRPr="00681993">
        <w:rPr>
          <w:rFonts w:cs="Calibri"/>
          <w:b/>
          <w:bCs/>
        </w:rPr>
        <w:t xml:space="preserve"> </w:t>
      </w:r>
      <w:r w:rsidRPr="00681993">
        <w:rPr>
          <w:rFonts w:cs="Calibri"/>
        </w:rPr>
        <w:t xml:space="preserve">for each drug indication). Assuming a power of 0.90 and an alpha of 0.05, our omnibus tests will be able to detect an effect size of </w:t>
      </w:r>
      <w:r w:rsidRPr="00681993">
        <w:rPr>
          <w:rFonts w:cs="Calibri"/>
          <w:i/>
          <w:iCs/>
        </w:rPr>
        <w:t xml:space="preserve">f </w:t>
      </w:r>
      <w:r w:rsidRPr="00681993">
        <w:rPr>
          <w:rFonts w:cs="Calibri"/>
        </w:rPr>
        <w:t>= 0.20 for the main effect of audio presence or main effect of superimposed text. If we find a significant interaction effect, we will also be able to conduct planned contrasts testing various combinations of group means with enough sensitivity to detect small to moderate effects (</w:t>
      </w:r>
      <w:r w:rsidRPr="00681993">
        <w:rPr>
          <w:rFonts w:cs="Calibri"/>
          <w:i/>
          <w:iCs/>
        </w:rPr>
        <w:t xml:space="preserve">f </w:t>
      </w:r>
      <w:r w:rsidRPr="00681993">
        <w:rPr>
          <w:rFonts w:cs="Calibri"/>
        </w:rPr>
        <w:t>= 0.24). We anticipate conducting up to four key comparisons (audio only vs. both; supers only vs. both; both vs. none [control]; audio only vs. super only) with a Bonferroni-adjusted alpha (</w:t>
      </w:r>
      <w:r w:rsidRPr="00681993">
        <w:rPr>
          <w:rFonts w:cs="Calibri"/>
          <w:i/>
          <w:iCs/>
        </w:rPr>
        <w:t>p </w:t>
      </w:r>
      <w:r w:rsidRPr="00681993">
        <w:rPr>
          <w:rFonts w:cs="Calibri"/>
        </w:rPr>
        <w:t>= .0125).</w:t>
      </w:r>
    </w:p>
    <w:p w:rsidRPr="00681993" w:rsidR="004C6979" w:rsidP="001311C3" w:rsidRDefault="00EB7538">
      <w:pPr>
        <w:numPr>
          <w:ilvl w:val="0"/>
          <w:numId w:val="2"/>
        </w:numPr>
        <w:shd w:val="clear" w:color="auto" w:fill="FFFFFF"/>
        <w:spacing w:before="100" w:beforeAutospacing="1" w:after="100" w:afterAutospacing="1"/>
        <w:rPr>
          <w:u w:val="single"/>
        </w:rPr>
      </w:pPr>
      <w:r w:rsidRPr="00681993">
        <w:rPr>
          <w:u w:val="single"/>
        </w:rPr>
        <w:t xml:space="preserve">Methods to Maximize Response </w:t>
      </w:r>
      <w:r w:rsidRPr="00681993" w:rsidR="004846BF">
        <w:rPr>
          <w:u w:val="single"/>
        </w:rPr>
        <w:t>Rates and Deal with Non</w:t>
      </w:r>
      <w:r w:rsidRPr="00681993" w:rsidR="00E00EA0">
        <w:rPr>
          <w:u w:val="single"/>
        </w:rPr>
        <w:t>-</w:t>
      </w:r>
      <w:r w:rsidRPr="00681993" w:rsidR="004846BF">
        <w:rPr>
          <w:u w:val="single"/>
        </w:rPr>
        <w:t>response</w:t>
      </w:r>
    </w:p>
    <w:p w:rsidRPr="00681993" w:rsidR="0021223F" w:rsidP="001311C3" w:rsidRDefault="005425B7">
      <w:pPr>
        <w:pStyle w:val="NormalWeb"/>
        <w:shd w:val="clear" w:color="auto" w:fill="FFFFFF"/>
        <w:spacing w:before="0" w:beforeAutospacing="0" w:after="0" w:afterAutospacing="0"/>
        <w:ind w:left="720"/>
      </w:pPr>
      <w:r w:rsidRPr="00681993">
        <w:rPr>
          <w:color w:val="000000"/>
        </w:rPr>
        <w:t>The pretests and main studies</w:t>
      </w:r>
      <w:r w:rsidRPr="00681993" w:rsidR="00423C0D">
        <w:rPr>
          <w:color w:val="000000"/>
        </w:rPr>
        <w:t xml:space="preserve"> will use an existing </w:t>
      </w:r>
      <w:r w:rsidRPr="00681993" w:rsidR="00907392">
        <w:rPr>
          <w:color w:val="000000"/>
        </w:rPr>
        <w:t>research</w:t>
      </w:r>
      <w:r w:rsidRPr="00681993" w:rsidR="00423C0D">
        <w:rPr>
          <w:color w:val="000000"/>
        </w:rPr>
        <w:t xml:space="preserve"> panel to draw a sample.  The panel comprises individuals who </w:t>
      </w:r>
      <w:r w:rsidRPr="00681993" w:rsidR="00907392">
        <w:rPr>
          <w:color w:val="000000"/>
        </w:rPr>
        <w:t xml:space="preserve">have signed up to participate in </w:t>
      </w:r>
      <w:r w:rsidRPr="00681993" w:rsidR="00E773C0">
        <w:rPr>
          <w:color w:val="000000"/>
        </w:rPr>
        <w:t xml:space="preserve">online </w:t>
      </w:r>
      <w:r w:rsidRPr="00681993" w:rsidR="00907392">
        <w:rPr>
          <w:color w:val="000000"/>
        </w:rPr>
        <w:t>studies</w:t>
      </w:r>
      <w:r w:rsidRPr="00681993" w:rsidR="0021223F">
        <w:rPr>
          <w:color w:val="000000"/>
        </w:rPr>
        <w:t>.  To help ensure that the par</w:t>
      </w:r>
      <w:r w:rsidRPr="00681993" w:rsidR="00423C0D">
        <w:rPr>
          <w:color w:val="000000"/>
        </w:rPr>
        <w:t>ticipation rate is as high as possible</w:t>
      </w:r>
      <w:r w:rsidRPr="00681993" w:rsidR="00423C0D">
        <w:t>, FDA will:</w:t>
      </w:r>
    </w:p>
    <w:p w:rsidRPr="00681993" w:rsidR="0021223F" w:rsidP="001311C3" w:rsidRDefault="0021223F">
      <w:pPr>
        <w:pStyle w:val="NormalWeb"/>
        <w:shd w:val="clear" w:color="auto" w:fill="FFFFFF"/>
        <w:spacing w:before="0" w:beforeAutospacing="0" w:after="0" w:afterAutospacing="0"/>
        <w:ind w:left="360"/>
      </w:pPr>
    </w:p>
    <w:p w:rsidRPr="00681993" w:rsidR="0021223F" w:rsidP="001311C3" w:rsidRDefault="00423C0D">
      <w:pPr>
        <w:pStyle w:val="NormalWeb"/>
        <w:numPr>
          <w:ilvl w:val="0"/>
          <w:numId w:val="44"/>
        </w:numPr>
        <w:shd w:val="clear" w:color="auto" w:fill="FFFFFF"/>
        <w:spacing w:before="0" w:beforeAutospacing="0" w:after="0" w:afterAutospacing="0"/>
      </w:pPr>
      <w:r w:rsidRPr="00681993">
        <w:t xml:space="preserve">Design an experimental protocol that minimizes burden (short in length, clearly written, and with appealing graphics); </w:t>
      </w:r>
    </w:p>
    <w:p w:rsidRPr="00681993" w:rsidR="0082658B" w:rsidP="001311C3" w:rsidRDefault="0082658B">
      <w:pPr>
        <w:pStyle w:val="NormalWeb"/>
        <w:numPr>
          <w:ilvl w:val="0"/>
          <w:numId w:val="44"/>
        </w:numPr>
        <w:shd w:val="clear" w:color="auto" w:fill="FFFFFF"/>
        <w:spacing w:before="0" w:beforeAutospacing="0" w:after="0" w:afterAutospacing="0"/>
      </w:pPr>
      <w:r w:rsidRPr="00681993">
        <w:t xml:space="preserve">Administer the </w:t>
      </w:r>
      <w:r w:rsidRPr="00681993" w:rsidR="005425B7">
        <w:t>pretests and main studies</w:t>
      </w:r>
      <w:r w:rsidRPr="00681993">
        <w:t xml:space="preserve"> over the Internet, allowing respondents to answer questions at a time </w:t>
      </w:r>
      <w:r w:rsidRPr="00681993" w:rsidR="00BF5A22">
        <w:t>and location of their choosing.</w:t>
      </w:r>
    </w:p>
    <w:p w:rsidRPr="00681993" w:rsidR="004C6979" w:rsidP="001311C3" w:rsidRDefault="00EB7538">
      <w:pPr>
        <w:numPr>
          <w:ilvl w:val="0"/>
          <w:numId w:val="2"/>
        </w:numPr>
        <w:shd w:val="clear" w:color="auto" w:fill="FFFFFF"/>
        <w:spacing w:before="100" w:beforeAutospacing="1" w:after="100" w:afterAutospacing="1"/>
        <w:rPr>
          <w:u w:val="single"/>
        </w:rPr>
      </w:pPr>
      <w:r w:rsidRPr="00681993">
        <w:rPr>
          <w:u w:val="single"/>
        </w:rPr>
        <w:t>Test of Procedu</w:t>
      </w:r>
      <w:r w:rsidRPr="00681993" w:rsidR="004846BF">
        <w:rPr>
          <w:u w:val="single"/>
        </w:rPr>
        <w:t>res or Methods to be Undertaken</w:t>
      </w:r>
    </w:p>
    <w:p w:rsidRPr="00681993" w:rsidR="00901043" w:rsidP="001311C3" w:rsidRDefault="005425B7">
      <w:pPr>
        <w:shd w:val="clear" w:color="auto" w:fill="FFFFFF"/>
        <w:spacing w:before="100" w:beforeAutospacing="1" w:after="100" w:afterAutospacing="1"/>
        <w:ind w:left="720"/>
      </w:pPr>
      <w:r w:rsidRPr="00681993">
        <w:t>For each main study, w</w:t>
      </w:r>
      <w:r w:rsidRPr="00681993" w:rsidR="00675E2F">
        <w:t xml:space="preserve">e will conduct nine hour-long qualitative interviews to cognitively test the study stimuli and materials. </w:t>
      </w:r>
      <w:r w:rsidRPr="00681993">
        <w:t xml:space="preserve">For each main study, we will conduct a </w:t>
      </w:r>
      <w:r w:rsidRPr="00681993" w:rsidR="00BF5A22">
        <w:t>pretest</w:t>
      </w:r>
      <w:r w:rsidRPr="00681993" w:rsidR="00910CC3">
        <w:t xml:space="preserve"> to </w:t>
      </w:r>
      <w:r w:rsidRPr="00681993" w:rsidR="00BF5A22">
        <w:t>test the experimental manipulations and pilot the main study procedures</w:t>
      </w:r>
      <w:r w:rsidRPr="00681993" w:rsidR="00910CC3">
        <w:t xml:space="preserve">.  </w:t>
      </w:r>
      <w:r w:rsidRPr="00681993" w:rsidR="00C76F75">
        <w:t>Final</w:t>
      </w:r>
      <w:r w:rsidRPr="00681993" w:rsidR="00BF5A22">
        <w:t xml:space="preserve">ly, we will run </w:t>
      </w:r>
      <w:r w:rsidRPr="00681993">
        <w:t xml:space="preserve">each </w:t>
      </w:r>
      <w:r w:rsidRPr="00681993" w:rsidR="00BF5A22">
        <w:t>main study</w:t>
      </w:r>
      <w:r w:rsidRPr="00681993" w:rsidR="00C76F75">
        <w:t xml:space="preserve"> as described elsewhere in this document.</w:t>
      </w:r>
      <w:r w:rsidRPr="00681993" w:rsidR="00423C0D">
        <w:t xml:space="preserve"> </w:t>
      </w:r>
    </w:p>
    <w:p w:rsidRPr="00681993" w:rsidR="00423C0D" w:rsidP="001311C3" w:rsidRDefault="00EB7538">
      <w:pPr>
        <w:numPr>
          <w:ilvl w:val="0"/>
          <w:numId w:val="2"/>
        </w:numPr>
        <w:shd w:val="clear" w:color="auto" w:fill="FFFFFF"/>
        <w:spacing w:before="100" w:beforeAutospacing="1" w:after="100" w:afterAutospacing="1"/>
      </w:pPr>
      <w:r w:rsidRPr="00681993">
        <w:rPr>
          <w:u w:val="single"/>
        </w:rPr>
        <w:t>Individuals Consulted on Statistical Aspects and Individuals Collecting and/or Analyzing Data</w:t>
      </w:r>
    </w:p>
    <w:p w:rsidR="00423C0D" w:rsidP="001311C3" w:rsidRDefault="00423C0D">
      <w:pPr>
        <w:shd w:val="clear" w:color="auto" w:fill="FFFFFF"/>
        <w:spacing w:before="100" w:beforeAutospacing="1" w:after="100" w:afterAutospacing="1"/>
        <w:ind w:left="720"/>
      </w:pPr>
      <w:r w:rsidRPr="00681993">
        <w:t xml:space="preserve">The contractor, </w:t>
      </w:r>
      <w:r w:rsidRPr="00681993" w:rsidR="005425B7">
        <w:t>RTI International</w:t>
      </w:r>
      <w:r w:rsidRPr="00681993">
        <w:t xml:space="preserve">, will collect the data on behalf of FDA as a task order under Contract </w:t>
      </w:r>
      <w:r w:rsidRPr="00681993" w:rsidR="00A718FB">
        <w:t>HHSF22320151000</w:t>
      </w:r>
      <w:r w:rsidRPr="00681993" w:rsidR="005425B7">
        <w:t>2</w:t>
      </w:r>
      <w:r w:rsidRPr="00681993" w:rsidR="00A718FB">
        <w:t>B</w:t>
      </w:r>
      <w:r w:rsidRPr="00681993">
        <w:t xml:space="preserve">. </w:t>
      </w:r>
      <w:r w:rsidRPr="00681993" w:rsidR="005425B7">
        <w:t>Vanessa Boudewyns</w:t>
      </w:r>
      <w:r w:rsidRPr="00681993">
        <w:t xml:space="preserve">, </w:t>
      </w:r>
      <w:r w:rsidRPr="00681993" w:rsidR="005425B7">
        <w:t>202-728-2092</w:t>
      </w:r>
      <w:r w:rsidRPr="00681993">
        <w:rPr>
          <w:noProof/>
        </w:rPr>
        <w:t xml:space="preserve">, </w:t>
      </w:r>
      <w:r w:rsidRPr="00681993">
        <w:t xml:space="preserve">is </w:t>
      </w:r>
      <w:r w:rsidRPr="00681993" w:rsidR="00C76F75">
        <w:t>the contractor’s</w:t>
      </w:r>
      <w:r w:rsidRPr="00681993">
        <w:t xml:space="preserve"> Project Director for this project</w:t>
      </w:r>
      <w:r w:rsidRPr="00681993">
        <w:rPr>
          <w:noProof/>
        </w:rPr>
        <w:t>.  Data</w:t>
      </w:r>
      <w:r w:rsidRPr="00681993">
        <w:rPr>
          <w:noProof/>
          <w:color w:val="000080"/>
        </w:rPr>
        <w:t xml:space="preserve"> </w:t>
      </w:r>
      <w:r w:rsidRPr="00681993">
        <w:t>analysis will be overseen by the Research Team, Office of Prescription Drug Promotion (OPDP), Office of Medical Policy, CDER, FDA, and coordinated</w:t>
      </w:r>
      <w:r w:rsidRPr="00681993" w:rsidR="00A718FB">
        <w:t xml:space="preserve"> by Helen W. Sullivan, Ph.D., MPH</w:t>
      </w:r>
      <w:r w:rsidRPr="00681993">
        <w:t>, 301-796-4188, and Amie C. O’Donoghue, Ph.D., 301-796-0574.</w:t>
      </w:r>
    </w:p>
    <w:p w:rsidRPr="004C6979" w:rsidR="00A718FB" w:rsidP="001311C3" w:rsidRDefault="00A718FB">
      <w:pPr>
        <w:shd w:val="clear" w:color="auto" w:fill="FFFFFF"/>
        <w:spacing w:before="100" w:beforeAutospacing="1" w:after="100" w:afterAutospacing="1"/>
        <w:ind w:left="720"/>
        <w:rPr>
          <w:b/>
        </w:rPr>
      </w:pPr>
    </w:p>
    <w:sectPr w:rsidRPr="004C6979" w:rsidR="00A718FB" w:rsidSect="00EB7538">
      <w:footerReference w:type="even"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30AA" w:rsidRDefault="00DF30AA">
      <w:r>
        <w:separator/>
      </w:r>
    </w:p>
  </w:endnote>
  <w:endnote w:type="continuationSeparator" w:id="0">
    <w:p w:rsidR="00DF30AA" w:rsidRDefault="00DF3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MDOK M+ Melio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3DE5" w:rsidRDefault="00E63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E59C0">
      <w:rPr>
        <w:rStyle w:val="PageNumber"/>
        <w:noProof/>
      </w:rPr>
      <w:t>4</w:t>
    </w:r>
    <w:r>
      <w:rPr>
        <w:rStyle w:val="PageNumber"/>
      </w:rPr>
      <w:fldChar w:fldCharType="end"/>
    </w:r>
  </w:p>
  <w:p w:rsidR="00E63DE5" w:rsidRDefault="00E63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30AA" w:rsidRDefault="00DF30AA">
      <w:r>
        <w:separator/>
      </w:r>
    </w:p>
  </w:footnote>
  <w:footnote w:type="continuationSeparator" w:id="0">
    <w:p w:rsidR="00DF30AA" w:rsidRDefault="00DF30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41126"/>
    <w:multiLevelType w:val="hybridMultilevel"/>
    <w:tmpl w:val="2C423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0AA34062"/>
    <w:multiLevelType w:val="hybridMultilevel"/>
    <w:tmpl w:val="4FE0C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6877C4A"/>
    <w:multiLevelType w:val="singleLevel"/>
    <w:tmpl w:val="745C8DE6"/>
    <w:lvl w:ilvl="0">
      <w:start w:val="1"/>
      <w:numFmt w:val="bullet"/>
      <w:pStyle w:val="CM12"/>
      <w:lvlText w:val=""/>
      <w:lvlJc w:val="left"/>
      <w:pPr>
        <w:tabs>
          <w:tab w:val="num" w:pos="1080"/>
        </w:tabs>
        <w:ind w:left="1080" w:hanging="360"/>
      </w:pPr>
      <w:rPr>
        <w:rFonts w:ascii="Wingdings" w:hAnsi="Wingdings" w:hint="default"/>
        <w:sz w:val="24"/>
      </w:rPr>
    </w:lvl>
  </w:abstractNum>
  <w:abstractNum w:abstractNumId="7" w15:restartNumberingAfterBreak="0">
    <w:nsid w:val="1A3B7D75"/>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DE7567"/>
    <w:multiLevelType w:val="hybridMultilevel"/>
    <w:tmpl w:val="7DFE1E6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2" w15:restartNumberingAfterBreak="0">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8FD062F"/>
    <w:multiLevelType w:val="hybridMultilevel"/>
    <w:tmpl w:val="EEB071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E015AFB"/>
    <w:multiLevelType w:val="hybridMultilevel"/>
    <w:tmpl w:val="4F7837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48B1A41"/>
    <w:multiLevelType w:val="hybridMultilevel"/>
    <w:tmpl w:val="EDFA11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96E0CED"/>
    <w:multiLevelType w:val="hybridMultilevel"/>
    <w:tmpl w:val="37540DB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5" w15:restartNumberingAfterBreak="0">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75297DBF"/>
    <w:multiLevelType w:val="hybridMultilevel"/>
    <w:tmpl w:val="7CF2AEDE"/>
    <w:lvl w:ilvl="0" w:tplc="253E0CAE">
      <w:start w:val="1"/>
      <w:numFmt w:val="decimal"/>
      <w:lvlText w:val="(%1)"/>
      <w:lvlJc w:val="left"/>
      <w:pPr>
        <w:ind w:left="450" w:hanging="360"/>
      </w:pPr>
      <w:rPr>
        <w:rFonts w:ascii="Franklin Gothic Medium" w:hAnsi="Franklin Gothic Medium" w:hint="default"/>
        <w:b/>
        <w:color w:val="DD4814"/>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E6655C5"/>
    <w:multiLevelType w:val="hybridMultilevel"/>
    <w:tmpl w:val="80165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6"/>
  </w:num>
  <w:num w:numId="2">
    <w:abstractNumId w:val="22"/>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7"/>
  </w:num>
  <w:num w:numId="5">
    <w:abstractNumId w:val="12"/>
  </w:num>
  <w:num w:numId="6">
    <w:abstractNumId w:val="31"/>
  </w:num>
  <w:num w:numId="7">
    <w:abstractNumId w:val="36"/>
  </w:num>
  <w:num w:numId="8">
    <w:abstractNumId w:val="9"/>
  </w:num>
  <w:num w:numId="9">
    <w:abstractNumId w:val="32"/>
  </w:num>
  <w:num w:numId="10">
    <w:abstractNumId w:val="26"/>
  </w:num>
  <w:num w:numId="11">
    <w:abstractNumId w:val="14"/>
  </w:num>
  <w:num w:numId="12">
    <w:abstractNumId w:val="40"/>
  </w:num>
  <w:num w:numId="13">
    <w:abstractNumId w:val="25"/>
  </w:num>
  <w:num w:numId="14">
    <w:abstractNumId w:val="13"/>
  </w:num>
  <w:num w:numId="15">
    <w:abstractNumId w:val="21"/>
  </w:num>
  <w:num w:numId="16">
    <w:abstractNumId w:val="20"/>
  </w:num>
  <w:num w:numId="17">
    <w:abstractNumId w:val="35"/>
  </w:num>
  <w:num w:numId="18">
    <w:abstractNumId w:val="39"/>
  </w:num>
  <w:num w:numId="19">
    <w:abstractNumId w:val="37"/>
  </w:num>
  <w:num w:numId="20">
    <w:abstractNumId w:val="24"/>
  </w:num>
  <w:num w:numId="21">
    <w:abstractNumId w:val="19"/>
  </w:num>
  <w:num w:numId="22">
    <w:abstractNumId w:val="5"/>
  </w:num>
  <w:num w:numId="23">
    <w:abstractNumId w:val="33"/>
  </w:num>
  <w:num w:numId="24">
    <w:abstractNumId w:val="28"/>
  </w:num>
  <w:num w:numId="25">
    <w:abstractNumId w:val="17"/>
  </w:num>
  <w:num w:numId="26">
    <w:abstractNumId w:val="11"/>
  </w:num>
  <w:num w:numId="27">
    <w:abstractNumId w:val="42"/>
  </w:num>
  <w:num w:numId="28">
    <w:abstractNumId w:val="34"/>
  </w:num>
  <w:num w:numId="29">
    <w:abstractNumId w:val="10"/>
  </w:num>
  <w:num w:numId="30">
    <w:abstractNumId w:val="23"/>
  </w:num>
  <w:num w:numId="31">
    <w:abstractNumId w:val="4"/>
  </w:num>
  <w:num w:numId="32">
    <w:abstractNumId w:val="2"/>
  </w:num>
  <w:num w:numId="33">
    <w:abstractNumId w:val="6"/>
  </w:num>
  <w:num w:numId="34">
    <w:abstractNumId w:val="30"/>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15"/>
  </w:num>
  <w:num w:numId="38">
    <w:abstractNumId w:val="3"/>
  </w:num>
  <w:num w:numId="39">
    <w:abstractNumId w:val="7"/>
  </w:num>
  <w:num w:numId="40">
    <w:abstractNumId w:val="38"/>
  </w:num>
  <w:num w:numId="41">
    <w:abstractNumId w:val="1"/>
  </w:num>
  <w:num w:numId="42">
    <w:abstractNumId w:val="18"/>
  </w:num>
  <w:num w:numId="43">
    <w:abstractNumId w:val="41"/>
  </w:num>
  <w:num w:numId="44">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1401"/>
    <w:rsid w:val="000321D3"/>
    <w:rsid w:val="000324D8"/>
    <w:rsid w:val="00040160"/>
    <w:rsid w:val="000532C8"/>
    <w:rsid w:val="0006570F"/>
    <w:rsid w:val="000739A4"/>
    <w:rsid w:val="000840C7"/>
    <w:rsid w:val="00091CF2"/>
    <w:rsid w:val="000964BB"/>
    <w:rsid w:val="00096B8B"/>
    <w:rsid w:val="000B4906"/>
    <w:rsid w:val="000B7714"/>
    <w:rsid w:val="000D48FD"/>
    <w:rsid w:val="000D7569"/>
    <w:rsid w:val="000D7C58"/>
    <w:rsid w:val="000E1C64"/>
    <w:rsid w:val="000E36BA"/>
    <w:rsid w:val="000E75B0"/>
    <w:rsid w:val="000F6CA6"/>
    <w:rsid w:val="00100739"/>
    <w:rsid w:val="00107885"/>
    <w:rsid w:val="00113487"/>
    <w:rsid w:val="00114FC4"/>
    <w:rsid w:val="0012329C"/>
    <w:rsid w:val="001311C3"/>
    <w:rsid w:val="0013231E"/>
    <w:rsid w:val="00134FA7"/>
    <w:rsid w:val="001370ED"/>
    <w:rsid w:val="00137950"/>
    <w:rsid w:val="00152F29"/>
    <w:rsid w:val="00165A9E"/>
    <w:rsid w:val="0016663D"/>
    <w:rsid w:val="00167BE3"/>
    <w:rsid w:val="0017237B"/>
    <w:rsid w:val="00172A34"/>
    <w:rsid w:val="0017723D"/>
    <w:rsid w:val="00177D6B"/>
    <w:rsid w:val="00181DF3"/>
    <w:rsid w:val="00185270"/>
    <w:rsid w:val="00193E2A"/>
    <w:rsid w:val="001A322F"/>
    <w:rsid w:val="001A3B5A"/>
    <w:rsid w:val="001A444E"/>
    <w:rsid w:val="001B7CE9"/>
    <w:rsid w:val="001B7E54"/>
    <w:rsid w:val="001C416C"/>
    <w:rsid w:val="001C42D8"/>
    <w:rsid w:val="001D2477"/>
    <w:rsid w:val="001D495A"/>
    <w:rsid w:val="001E3E05"/>
    <w:rsid w:val="001F59EE"/>
    <w:rsid w:val="0021223F"/>
    <w:rsid w:val="00213BCA"/>
    <w:rsid w:val="00216419"/>
    <w:rsid w:val="002259EF"/>
    <w:rsid w:val="00242ED1"/>
    <w:rsid w:val="00251EBF"/>
    <w:rsid w:val="0025328C"/>
    <w:rsid w:val="00254069"/>
    <w:rsid w:val="00256561"/>
    <w:rsid w:val="00263B82"/>
    <w:rsid w:val="0027039C"/>
    <w:rsid w:val="002734E5"/>
    <w:rsid w:val="0027419B"/>
    <w:rsid w:val="002746DB"/>
    <w:rsid w:val="00280CAF"/>
    <w:rsid w:val="00282F09"/>
    <w:rsid w:val="00294C80"/>
    <w:rsid w:val="002A4B47"/>
    <w:rsid w:val="002A4F7C"/>
    <w:rsid w:val="002A502B"/>
    <w:rsid w:val="002B2607"/>
    <w:rsid w:val="002C6B45"/>
    <w:rsid w:val="002D0C6C"/>
    <w:rsid w:val="002D14D8"/>
    <w:rsid w:val="002D4799"/>
    <w:rsid w:val="002D49E7"/>
    <w:rsid w:val="002E357B"/>
    <w:rsid w:val="002E3FA4"/>
    <w:rsid w:val="002E7C59"/>
    <w:rsid w:val="002F06A7"/>
    <w:rsid w:val="002F552B"/>
    <w:rsid w:val="002F5BB3"/>
    <w:rsid w:val="002F7854"/>
    <w:rsid w:val="00302419"/>
    <w:rsid w:val="0032277F"/>
    <w:rsid w:val="00343ED7"/>
    <w:rsid w:val="00345CE3"/>
    <w:rsid w:val="00350523"/>
    <w:rsid w:val="003517D8"/>
    <w:rsid w:val="00373CDC"/>
    <w:rsid w:val="003740BC"/>
    <w:rsid w:val="003801A3"/>
    <w:rsid w:val="003820D3"/>
    <w:rsid w:val="00383D90"/>
    <w:rsid w:val="003933F7"/>
    <w:rsid w:val="003A2364"/>
    <w:rsid w:val="003A551D"/>
    <w:rsid w:val="003B42B3"/>
    <w:rsid w:val="003B6384"/>
    <w:rsid w:val="003B7D6B"/>
    <w:rsid w:val="003C4EBB"/>
    <w:rsid w:val="003D1531"/>
    <w:rsid w:val="003D6B91"/>
    <w:rsid w:val="003E4EC6"/>
    <w:rsid w:val="003E527E"/>
    <w:rsid w:val="003E553E"/>
    <w:rsid w:val="003E7078"/>
    <w:rsid w:val="003F3DF5"/>
    <w:rsid w:val="0040001A"/>
    <w:rsid w:val="004069C6"/>
    <w:rsid w:val="00411B7E"/>
    <w:rsid w:val="00411D11"/>
    <w:rsid w:val="00415E23"/>
    <w:rsid w:val="00423C0D"/>
    <w:rsid w:val="00424061"/>
    <w:rsid w:val="00435DE8"/>
    <w:rsid w:val="00443969"/>
    <w:rsid w:val="004446D0"/>
    <w:rsid w:val="00446EB0"/>
    <w:rsid w:val="00447D74"/>
    <w:rsid w:val="00450A74"/>
    <w:rsid w:val="0046292A"/>
    <w:rsid w:val="00465350"/>
    <w:rsid w:val="004744BA"/>
    <w:rsid w:val="004846BF"/>
    <w:rsid w:val="004A15A1"/>
    <w:rsid w:val="004A655C"/>
    <w:rsid w:val="004B6AD4"/>
    <w:rsid w:val="004C47C2"/>
    <w:rsid w:val="004C6979"/>
    <w:rsid w:val="004C6DCB"/>
    <w:rsid w:val="004D3E7A"/>
    <w:rsid w:val="004E0E7D"/>
    <w:rsid w:val="004E309A"/>
    <w:rsid w:val="004F1781"/>
    <w:rsid w:val="00500A13"/>
    <w:rsid w:val="00523FA3"/>
    <w:rsid w:val="00531E80"/>
    <w:rsid w:val="005425B7"/>
    <w:rsid w:val="00544002"/>
    <w:rsid w:val="00544138"/>
    <w:rsid w:val="00550A33"/>
    <w:rsid w:val="00554DEF"/>
    <w:rsid w:val="005640FD"/>
    <w:rsid w:val="0056457A"/>
    <w:rsid w:val="0056599C"/>
    <w:rsid w:val="00570C72"/>
    <w:rsid w:val="0057509E"/>
    <w:rsid w:val="00576517"/>
    <w:rsid w:val="00584583"/>
    <w:rsid w:val="00597CD8"/>
    <w:rsid w:val="005A4099"/>
    <w:rsid w:val="005A59A1"/>
    <w:rsid w:val="005C38B2"/>
    <w:rsid w:val="005C5029"/>
    <w:rsid w:val="005C55C2"/>
    <w:rsid w:val="005D44CE"/>
    <w:rsid w:val="005D4DF5"/>
    <w:rsid w:val="005D6ED9"/>
    <w:rsid w:val="005F0651"/>
    <w:rsid w:val="005F1FC8"/>
    <w:rsid w:val="00600837"/>
    <w:rsid w:val="006023B1"/>
    <w:rsid w:val="00606E2B"/>
    <w:rsid w:val="00611D6B"/>
    <w:rsid w:val="00615D1E"/>
    <w:rsid w:val="00620F8E"/>
    <w:rsid w:val="006348DF"/>
    <w:rsid w:val="00635096"/>
    <w:rsid w:val="006364CA"/>
    <w:rsid w:val="0064391D"/>
    <w:rsid w:val="0065044F"/>
    <w:rsid w:val="00651E91"/>
    <w:rsid w:val="006664F8"/>
    <w:rsid w:val="0066768B"/>
    <w:rsid w:val="00675E2F"/>
    <w:rsid w:val="00681993"/>
    <w:rsid w:val="006830C1"/>
    <w:rsid w:val="00683687"/>
    <w:rsid w:val="00694C18"/>
    <w:rsid w:val="006974B3"/>
    <w:rsid w:val="006A26C6"/>
    <w:rsid w:val="006A27C6"/>
    <w:rsid w:val="006A6C67"/>
    <w:rsid w:val="006A6F4B"/>
    <w:rsid w:val="006A7D5D"/>
    <w:rsid w:val="006B5E70"/>
    <w:rsid w:val="006E48F4"/>
    <w:rsid w:val="006F4D6D"/>
    <w:rsid w:val="006F50C7"/>
    <w:rsid w:val="00705086"/>
    <w:rsid w:val="007409EF"/>
    <w:rsid w:val="007446CF"/>
    <w:rsid w:val="00746A87"/>
    <w:rsid w:val="00754497"/>
    <w:rsid w:val="00754BE0"/>
    <w:rsid w:val="007666A0"/>
    <w:rsid w:val="00783478"/>
    <w:rsid w:val="0078524B"/>
    <w:rsid w:val="00785D5F"/>
    <w:rsid w:val="00787C39"/>
    <w:rsid w:val="007940F0"/>
    <w:rsid w:val="00795DF3"/>
    <w:rsid w:val="007A212B"/>
    <w:rsid w:val="007A373C"/>
    <w:rsid w:val="007B225C"/>
    <w:rsid w:val="007B7A56"/>
    <w:rsid w:val="007C0AA6"/>
    <w:rsid w:val="007C75B1"/>
    <w:rsid w:val="007D3DFC"/>
    <w:rsid w:val="007D7C9C"/>
    <w:rsid w:val="007E48B6"/>
    <w:rsid w:val="0080776D"/>
    <w:rsid w:val="00810145"/>
    <w:rsid w:val="008108FA"/>
    <w:rsid w:val="00810FF1"/>
    <w:rsid w:val="00822336"/>
    <w:rsid w:val="00823DFA"/>
    <w:rsid w:val="0082658B"/>
    <w:rsid w:val="008424CA"/>
    <w:rsid w:val="00843752"/>
    <w:rsid w:val="00863CC5"/>
    <w:rsid w:val="00872AFC"/>
    <w:rsid w:val="00876526"/>
    <w:rsid w:val="00885B09"/>
    <w:rsid w:val="008910A2"/>
    <w:rsid w:val="00892400"/>
    <w:rsid w:val="008A209D"/>
    <w:rsid w:val="008B0E29"/>
    <w:rsid w:val="008B0EFA"/>
    <w:rsid w:val="008B30AB"/>
    <w:rsid w:val="008C5368"/>
    <w:rsid w:val="008D189F"/>
    <w:rsid w:val="008D5E7F"/>
    <w:rsid w:val="008D7C4F"/>
    <w:rsid w:val="008E0792"/>
    <w:rsid w:val="008F2743"/>
    <w:rsid w:val="008F4031"/>
    <w:rsid w:val="00901043"/>
    <w:rsid w:val="009051D2"/>
    <w:rsid w:val="00905DEF"/>
    <w:rsid w:val="00907392"/>
    <w:rsid w:val="00910CC3"/>
    <w:rsid w:val="00913B43"/>
    <w:rsid w:val="009210AD"/>
    <w:rsid w:val="00930203"/>
    <w:rsid w:val="009311D2"/>
    <w:rsid w:val="00931275"/>
    <w:rsid w:val="00936AC7"/>
    <w:rsid w:val="00945F04"/>
    <w:rsid w:val="00946F1B"/>
    <w:rsid w:val="009703AD"/>
    <w:rsid w:val="0097146A"/>
    <w:rsid w:val="009765CB"/>
    <w:rsid w:val="009807AD"/>
    <w:rsid w:val="00981612"/>
    <w:rsid w:val="009832AD"/>
    <w:rsid w:val="00987F45"/>
    <w:rsid w:val="0099022F"/>
    <w:rsid w:val="00990E8D"/>
    <w:rsid w:val="009950E0"/>
    <w:rsid w:val="009952E5"/>
    <w:rsid w:val="009A1674"/>
    <w:rsid w:val="009C666B"/>
    <w:rsid w:val="009C684F"/>
    <w:rsid w:val="009D074C"/>
    <w:rsid w:val="009E2FDB"/>
    <w:rsid w:val="009E64F5"/>
    <w:rsid w:val="009F0955"/>
    <w:rsid w:val="009F2B4F"/>
    <w:rsid w:val="009F66B5"/>
    <w:rsid w:val="00A10D1B"/>
    <w:rsid w:val="00A20A7D"/>
    <w:rsid w:val="00A35D42"/>
    <w:rsid w:val="00A46CCF"/>
    <w:rsid w:val="00A70426"/>
    <w:rsid w:val="00A718FB"/>
    <w:rsid w:val="00A725E8"/>
    <w:rsid w:val="00A73542"/>
    <w:rsid w:val="00A76D0D"/>
    <w:rsid w:val="00A91E9A"/>
    <w:rsid w:val="00A93ED9"/>
    <w:rsid w:val="00AA1F72"/>
    <w:rsid w:val="00AC6A64"/>
    <w:rsid w:val="00AC6A99"/>
    <w:rsid w:val="00AF5DE1"/>
    <w:rsid w:val="00B0456C"/>
    <w:rsid w:val="00B055EF"/>
    <w:rsid w:val="00B14278"/>
    <w:rsid w:val="00B23285"/>
    <w:rsid w:val="00B23769"/>
    <w:rsid w:val="00B47448"/>
    <w:rsid w:val="00B531F2"/>
    <w:rsid w:val="00B63ECB"/>
    <w:rsid w:val="00B725C5"/>
    <w:rsid w:val="00B73038"/>
    <w:rsid w:val="00B778F3"/>
    <w:rsid w:val="00B77C23"/>
    <w:rsid w:val="00B82974"/>
    <w:rsid w:val="00B86DFA"/>
    <w:rsid w:val="00B936D0"/>
    <w:rsid w:val="00B937B1"/>
    <w:rsid w:val="00BA2E82"/>
    <w:rsid w:val="00BA44A2"/>
    <w:rsid w:val="00BC79AD"/>
    <w:rsid w:val="00BD3046"/>
    <w:rsid w:val="00BE3600"/>
    <w:rsid w:val="00BF5A22"/>
    <w:rsid w:val="00C01F6F"/>
    <w:rsid w:val="00C149AB"/>
    <w:rsid w:val="00C26E55"/>
    <w:rsid w:val="00C27499"/>
    <w:rsid w:val="00C3097C"/>
    <w:rsid w:val="00C40694"/>
    <w:rsid w:val="00C63DB9"/>
    <w:rsid w:val="00C70542"/>
    <w:rsid w:val="00C75CBF"/>
    <w:rsid w:val="00C76F75"/>
    <w:rsid w:val="00C81B29"/>
    <w:rsid w:val="00C926B0"/>
    <w:rsid w:val="00CA2086"/>
    <w:rsid w:val="00CC2894"/>
    <w:rsid w:val="00CD77C3"/>
    <w:rsid w:val="00CE112C"/>
    <w:rsid w:val="00CE6036"/>
    <w:rsid w:val="00CF5212"/>
    <w:rsid w:val="00D0451B"/>
    <w:rsid w:val="00D608DA"/>
    <w:rsid w:val="00D730BF"/>
    <w:rsid w:val="00D763D0"/>
    <w:rsid w:val="00D8271B"/>
    <w:rsid w:val="00D92F2F"/>
    <w:rsid w:val="00D932AA"/>
    <w:rsid w:val="00DA0C2B"/>
    <w:rsid w:val="00DB6788"/>
    <w:rsid w:val="00DB7C18"/>
    <w:rsid w:val="00DC15ED"/>
    <w:rsid w:val="00DC67FE"/>
    <w:rsid w:val="00DC690B"/>
    <w:rsid w:val="00DC76C7"/>
    <w:rsid w:val="00DC7A33"/>
    <w:rsid w:val="00DD09F5"/>
    <w:rsid w:val="00DD3A4D"/>
    <w:rsid w:val="00DD4201"/>
    <w:rsid w:val="00DE5711"/>
    <w:rsid w:val="00DE574D"/>
    <w:rsid w:val="00DE59C0"/>
    <w:rsid w:val="00DF30AA"/>
    <w:rsid w:val="00DF38D5"/>
    <w:rsid w:val="00E00EA0"/>
    <w:rsid w:val="00E05FEE"/>
    <w:rsid w:val="00E108CD"/>
    <w:rsid w:val="00E13764"/>
    <w:rsid w:val="00E21E9C"/>
    <w:rsid w:val="00E26758"/>
    <w:rsid w:val="00E36779"/>
    <w:rsid w:val="00E4357B"/>
    <w:rsid w:val="00E52320"/>
    <w:rsid w:val="00E63DE5"/>
    <w:rsid w:val="00E649B8"/>
    <w:rsid w:val="00E652F9"/>
    <w:rsid w:val="00E65A37"/>
    <w:rsid w:val="00E666EB"/>
    <w:rsid w:val="00E7010E"/>
    <w:rsid w:val="00E773C0"/>
    <w:rsid w:val="00E77B48"/>
    <w:rsid w:val="00E802AD"/>
    <w:rsid w:val="00E803FD"/>
    <w:rsid w:val="00E90219"/>
    <w:rsid w:val="00E91799"/>
    <w:rsid w:val="00E97DF5"/>
    <w:rsid w:val="00EA34E3"/>
    <w:rsid w:val="00EA4CE0"/>
    <w:rsid w:val="00EB6A4F"/>
    <w:rsid w:val="00EB7538"/>
    <w:rsid w:val="00EC3D7A"/>
    <w:rsid w:val="00ED0C4A"/>
    <w:rsid w:val="00EF1CE0"/>
    <w:rsid w:val="00EF3CCE"/>
    <w:rsid w:val="00F10C5F"/>
    <w:rsid w:val="00F207A4"/>
    <w:rsid w:val="00F21F9D"/>
    <w:rsid w:val="00F2790D"/>
    <w:rsid w:val="00F355AC"/>
    <w:rsid w:val="00F57B45"/>
    <w:rsid w:val="00F57FD3"/>
    <w:rsid w:val="00F65B5B"/>
    <w:rsid w:val="00F71A5A"/>
    <w:rsid w:val="00F769E0"/>
    <w:rsid w:val="00F76EBC"/>
    <w:rsid w:val="00F83808"/>
    <w:rsid w:val="00F861E8"/>
    <w:rsid w:val="00FB373C"/>
    <w:rsid w:val="00FC6BDE"/>
    <w:rsid w:val="00FE5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242BB4F-FDF8-475D-A04A-A5F3E21EE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uiPriority w:val="59"/>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customStyle="1" w:styleId="CM12">
    <w:name w:val="CM12"/>
    <w:basedOn w:val="Normal"/>
    <w:next w:val="Normal"/>
    <w:rsid w:val="00411B7E"/>
    <w:pPr>
      <w:widowControl w:val="0"/>
      <w:numPr>
        <w:numId w:val="33"/>
      </w:numPr>
      <w:tabs>
        <w:tab w:val="clear" w:pos="1080"/>
      </w:tabs>
      <w:autoSpaceDE w:val="0"/>
      <w:autoSpaceDN w:val="0"/>
      <w:adjustRightInd w:val="0"/>
      <w:spacing w:line="120" w:lineRule="atLeast"/>
      <w:ind w:left="0" w:firstLine="0"/>
    </w:pPr>
    <w:rPr>
      <w:rFonts w:ascii="OMDOK M+ Melior" w:hAnsi="OMDOK M+ Melior"/>
    </w:rPr>
  </w:style>
  <w:style w:type="paragraph" w:customStyle="1" w:styleId="bullets">
    <w:name w:val="bullets"/>
    <w:basedOn w:val="Normal"/>
    <w:rsid w:val="00411B7E"/>
    <w:pPr>
      <w:numPr>
        <w:numId w:val="17"/>
      </w:numPr>
      <w:spacing w:after="240"/>
    </w:pPr>
    <w:rPr>
      <w:sz w:val="22"/>
      <w:szCs w:val="20"/>
    </w:rPr>
  </w:style>
  <w:style w:type="character" w:styleId="CommentReference">
    <w:name w:val="annotation reference"/>
    <w:uiPriority w:val="99"/>
    <w:rsid w:val="00411B7E"/>
    <w:rPr>
      <w:sz w:val="16"/>
      <w:szCs w:val="16"/>
    </w:rPr>
  </w:style>
  <w:style w:type="paragraph" w:styleId="CommentText">
    <w:name w:val="annotation text"/>
    <w:basedOn w:val="Normal"/>
    <w:link w:val="CommentTextChar"/>
    <w:uiPriority w:val="99"/>
    <w:rsid w:val="00411B7E"/>
    <w:rPr>
      <w:sz w:val="20"/>
      <w:szCs w:val="20"/>
    </w:rPr>
  </w:style>
  <w:style w:type="character" w:customStyle="1" w:styleId="CommentTextChar">
    <w:name w:val="Comment Text Char"/>
    <w:basedOn w:val="DefaultParagraphFont"/>
    <w:link w:val="CommentText"/>
    <w:uiPriority w:val="99"/>
    <w:rsid w:val="00411B7E"/>
  </w:style>
  <w:style w:type="paragraph" w:styleId="PlainText">
    <w:name w:val="Plain Text"/>
    <w:basedOn w:val="Normal"/>
    <w:link w:val="PlainTextChar"/>
    <w:uiPriority w:val="99"/>
    <w:unhideWhenUsed/>
    <w:rsid w:val="00E7010E"/>
    <w:rPr>
      <w:rFonts w:ascii="Calibri" w:eastAsia="Calibri" w:hAnsi="Calibri"/>
      <w:sz w:val="22"/>
      <w:szCs w:val="21"/>
    </w:rPr>
  </w:style>
  <w:style w:type="character" w:customStyle="1" w:styleId="PlainTextChar">
    <w:name w:val="Plain Text Char"/>
    <w:link w:val="PlainText"/>
    <w:uiPriority w:val="99"/>
    <w:rsid w:val="00E7010E"/>
    <w:rPr>
      <w:rFonts w:ascii="Calibri" w:eastAsia="Calibri" w:hAnsi="Calibri"/>
      <w:sz w:val="22"/>
      <w:szCs w:val="21"/>
    </w:rPr>
  </w:style>
  <w:style w:type="paragraph" w:styleId="ListParagraph">
    <w:name w:val="List Paragraph"/>
    <w:basedOn w:val="Normal"/>
    <w:link w:val="ListParagraphChar"/>
    <w:uiPriority w:val="34"/>
    <w:qFormat/>
    <w:rsid w:val="00F57B45"/>
    <w:pPr>
      <w:spacing w:after="200" w:line="276" w:lineRule="auto"/>
      <w:ind w:left="720"/>
      <w:contextualSpacing/>
    </w:pPr>
    <w:rPr>
      <w:rFonts w:ascii="Calibri" w:eastAsia="Calibri" w:hAnsi="Calibri"/>
      <w:sz w:val="22"/>
      <w:szCs w:val="22"/>
    </w:rPr>
  </w:style>
  <w:style w:type="character" w:customStyle="1" w:styleId="bodytextChar">
    <w:name w:val="body text Char"/>
    <w:aliases w:val="bt Char,body tx Char,indent Char,flush Char,memo body text Char,bt Char Char Char Char,body text1 Char Char Char Char,bt Char1,memo Char,memo body text Char Char,flush Char Char Char"/>
    <w:link w:val="BodyText1"/>
    <w:locked/>
    <w:rsid w:val="00F57B45"/>
    <w:rPr>
      <w:lang w:val="x-none" w:eastAsia="x-none"/>
    </w:rPr>
  </w:style>
  <w:style w:type="paragraph" w:customStyle="1" w:styleId="BodyText1">
    <w:name w:val="Body Text1"/>
    <w:basedOn w:val="Normal"/>
    <w:link w:val="bodytextChar"/>
    <w:rsid w:val="00F57B45"/>
    <w:pPr>
      <w:spacing w:before="120" w:after="120"/>
      <w:ind w:firstLine="720"/>
    </w:pPr>
    <w:rPr>
      <w:sz w:val="20"/>
      <w:szCs w:val="20"/>
      <w:lang w:val="x-none" w:eastAsia="x-none"/>
    </w:rPr>
  </w:style>
  <w:style w:type="character" w:customStyle="1" w:styleId="bodytextpsgChar">
    <w:name w:val="body text_psg Char"/>
    <w:link w:val="bodytextpsg"/>
    <w:locked/>
    <w:rsid w:val="00E90219"/>
  </w:style>
  <w:style w:type="paragraph" w:customStyle="1" w:styleId="bodytextpsg">
    <w:name w:val="body text_psg"/>
    <w:basedOn w:val="Normal"/>
    <w:link w:val="bodytextpsgChar"/>
    <w:rsid w:val="00E90219"/>
    <w:pPr>
      <w:spacing w:after="240" w:line="320" w:lineRule="exact"/>
      <w:ind w:firstLine="720"/>
    </w:pPr>
    <w:rPr>
      <w:sz w:val="20"/>
      <w:szCs w:val="20"/>
    </w:rPr>
  </w:style>
  <w:style w:type="paragraph" w:styleId="FootnoteText">
    <w:name w:val="footnote text"/>
    <w:basedOn w:val="Normal"/>
    <w:link w:val="FootnoteTextChar"/>
    <w:rsid w:val="00981612"/>
    <w:pPr>
      <w:widowControl w:val="0"/>
    </w:pPr>
    <w:rPr>
      <w:snapToGrid w:val="0"/>
      <w:sz w:val="20"/>
      <w:szCs w:val="20"/>
    </w:rPr>
  </w:style>
  <w:style w:type="character" w:customStyle="1" w:styleId="FootnoteTextChar">
    <w:name w:val="Footnote Text Char"/>
    <w:link w:val="FootnoteText"/>
    <w:rsid w:val="00981612"/>
    <w:rPr>
      <w:snapToGrid w:val="0"/>
    </w:rPr>
  </w:style>
  <w:style w:type="character" w:styleId="FootnoteReference">
    <w:name w:val="footnote reference"/>
    <w:rsid w:val="00981612"/>
    <w:rPr>
      <w:vertAlign w:val="superscript"/>
    </w:rPr>
  </w:style>
  <w:style w:type="paragraph" w:styleId="BodyText">
    <w:name w:val="Body Text"/>
    <w:basedOn w:val="Normal"/>
    <w:link w:val="BodyTextChar0"/>
    <w:rsid w:val="0099022F"/>
    <w:pPr>
      <w:spacing w:after="120"/>
    </w:pPr>
  </w:style>
  <w:style w:type="character" w:customStyle="1" w:styleId="BodyTextChar0">
    <w:name w:val="Body Text Char"/>
    <w:link w:val="BodyText"/>
    <w:rsid w:val="0099022F"/>
    <w:rPr>
      <w:sz w:val="24"/>
      <w:szCs w:val="24"/>
    </w:rPr>
  </w:style>
  <w:style w:type="paragraph" w:styleId="CommentSubject">
    <w:name w:val="annotation subject"/>
    <w:basedOn w:val="CommentText"/>
    <w:next w:val="CommentText"/>
    <w:link w:val="CommentSubjectChar"/>
    <w:rsid w:val="002D0C6C"/>
    <w:rPr>
      <w:b/>
      <w:bCs/>
    </w:rPr>
  </w:style>
  <w:style w:type="character" w:customStyle="1" w:styleId="CommentSubjectChar">
    <w:name w:val="Comment Subject Char"/>
    <w:link w:val="CommentSubject"/>
    <w:rsid w:val="002D0C6C"/>
    <w:rPr>
      <w:b/>
      <w:bCs/>
    </w:rPr>
  </w:style>
  <w:style w:type="character" w:styleId="Hyperlink">
    <w:name w:val="Hyperlink"/>
    <w:uiPriority w:val="99"/>
    <w:unhideWhenUsed/>
    <w:rsid w:val="00F76EBC"/>
    <w:rPr>
      <w:color w:val="0000FF"/>
      <w:u w:val="single"/>
    </w:rPr>
  </w:style>
  <w:style w:type="character" w:customStyle="1" w:styleId="cit-last-page">
    <w:name w:val="cit-last-page"/>
    <w:rsid w:val="00F76EBC"/>
  </w:style>
  <w:style w:type="paragraph" w:styleId="NoSpacing">
    <w:name w:val="No Spacing"/>
    <w:uiPriority w:val="1"/>
    <w:qFormat/>
    <w:rsid w:val="00606E2B"/>
    <w:rPr>
      <w:rFonts w:eastAsia="Calibri"/>
      <w:sz w:val="24"/>
      <w:szCs w:val="22"/>
    </w:rPr>
  </w:style>
  <w:style w:type="character" w:customStyle="1" w:styleId="st">
    <w:name w:val="st"/>
    <w:rsid w:val="001A322F"/>
  </w:style>
  <w:style w:type="character" w:customStyle="1" w:styleId="ListParagraphChar">
    <w:name w:val="List Paragraph Char"/>
    <w:link w:val="ListParagraph"/>
    <w:uiPriority w:val="34"/>
    <w:locked/>
    <w:rsid w:val="0065044F"/>
    <w:rPr>
      <w:rFonts w:ascii="Calibri" w:eastAsia="Calibri" w:hAnsi="Calibri"/>
      <w:sz w:val="22"/>
      <w:szCs w:val="22"/>
    </w:rPr>
  </w:style>
  <w:style w:type="paragraph" w:styleId="Revision">
    <w:name w:val="Revision"/>
    <w:hidden/>
    <w:uiPriority w:val="99"/>
    <w:semiHidden/>
    <w:rsid w:val="00DE59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288649">
      <w:bodyDiv w:val="1"/>
      <w:marLeft w:val="0"/>
      <w:marRight w:val="0"/>
      <w:marTop w:val="0"/>
      <w:marBottom w:val="0"/>
      <w:divBdr>
        <w:top w:val="none" w:sz="0" w:space="0" w:color="auto"/>
        <w:left w:val="none" w:sz="0" w:space="0" w:color="auto"/>
        <w:bottom w:val="none" w:sz="0" w:space="0" w:color="auto"/>
        <w:right w:val="none" w:sz="0" w:space="0" w:color="auto"/>
      </w:divBdr>
    </w:div>
    <w:div w:id="242685161">
      <w:bodyDiv w:val="1"/>
      <w:marLeft w:val="0"/>
      <w:marRight w:val="0"/>
      <w:marTop w:val="0"/>
      <w:marBottom w:val="0"/>
      <w:divBdr>
        <w:top w:val="none" w:sz="0" w:space="0" w:color="auto"/>
        <w:left w:val="none" w:sz="0" w:space="0" w:color="auto"/>
        <w:bottom w:val="none" w:sz="0" w:space="0" w:color="auto"/>
        <w:right w:val="none" w:sz="0" w:space="0" w:color="auto"/>
      </w:divBdr>
    </w:div>
    <w:div w:id="392966221">
      <w:bodyDiv w:val="1"/>
      <w:marLeft w:val="0"/>
      <w:marRight w:val="0"/>
      <w:marTop w:val="0"/>
      <w:marBottom w:val="0"/>
      <w:divBdr>
        <w:top w:val="none" w:sz="0" w:space="0" w:color="auto"/>
        <w:left w:val="none" w:sz="0" w:space="0" w:color="auto"/>
        <w:bottom w:val="none" w:sz="0" w:space="0" w:color="auto"/>
        <w:right w:val="none" w:sz="0" w:space="0" w:color="auto"/>
      </w:divBdr>
    </w:div>
    <w:div w:id="410196614">
      <w:bodyDiv w:val="1"/>
      <w:marLeft w:val="0"/>
      <w:marRight w:val="0"/>
      <w:marTop w:val="0"/>
      <w:marBottom w:val="0"/>
      <w:divBdr>
        <w:top w:val="none" w:sz="0" w:space="0" w:color="auto"/>
        <w:left w:val="none" w:sz="0" w:space="0" w:color="auto"/>
        <w:bottom w:val="none" w:sz="0" w:space="0" w:color="auto"/>
        <w:right w:val="none" w:sz="0" w:space="0" w:color="auto"/>
      </w:divBdr>
    </w:div>
    <w:div w:id="504443269">
      <w:bodyDiv w:val="1"/>
      <w:marLeft w:val="0"/>
      <w:marRight w:val="0"/>
      <w:marTop w:val="0"/>
      <w:marBottom w:val="0"/>
      <w:divBdr>
        <w:top w:val="none" w:sz="0" w:space="0" w:color="auto"/>
        <w:left w:val="none" w:sz="0" w:space="0" w:color="auto"/>
        <w:bottom w:val="none" w:sz="0" w:space="0" w:color="auto"/>
        <w:right w:val="none" w:sz="0" w:space="0" w:color="auto"/>
      </w:divBdr>
    </w:div>
    <w:div w:id="514005398">
      <w:bodyDiv w:val="1"/>
      <w:marLeft w:val="0"/>
      <w:marRight w:val="0"/>
      <w:marTop w:val="0"/>
      <w:marBottom w:val="0"/>
      <w:divBdr>
        <w:top w:val="none" w:sz="0" w:space="0" w:color="auto"/>
        <w:left w:val="none" w:sz="0" w:space="0" w:color="auto"/>
        <w:bottom w:val="none" w:sz="0" w:space="0" w:color="auto"/>
        <w:right w:val="none" w:sz="0" w:space="0" w:color="auto"/>
      </w:divBdr>
    </w:div>
    <w:div w:id="672343615">
      <w:bodyDiv w:val="1"/>
      <w:marLeft w:val="0"/>
      <w:marRight w:val="0"/>
      <w:marTop w:val="0"/>
      <w:marBottom w:val="0"/>
      <w:divBdr>
        <w:top w:val="none" w:sz="0" w:space="0" w:color="auto"/>
        <w:left w:val="none" w:sz="0" w:space="0" w:color="auto"/>
        <w:bottom w:val="none" w:sz="0" w:space="0" w:color="auto"/>
        <w:right w:val="none" w:sz="0" w:space="0" w:color="auto"/>
      </w:divBdr>
    </w:div>
    <w:div w:id="691150381">
      <w:bodyDiv w:val="1"/>
      <w:marLeft w:val="0"/>
      <w:marRight w:val="0"/>
      <w:marTop w:val="0"/>
      <w:marBottom w:val="0"/>
      <w:divBdr>
        <w:top w:val="none" w:sz="0" w:space="0" w:color="auto"/>
        <w:left w:val="none" w:sz="0" w:space="0" w:color="auto"/>
        <w:bottom w:val="none" w:sz="0" w:space="0" w:color="auto"/>
        <w:right w:val="none" w:sz="0" w:space="0" w:color="auto"/>
      </w:divBdr>
    </w:div>
    <w:div w:id="803352100">
      <w:bodyDiv w:val="1"/>
      <w:marLeft w:val="0"/>
      <w:marRight w:val="0"/>
      <w:marTop w:val="0"/>
      <w:marBottom w:val="0"/>
      <w:divBdr>
        <w:top w:val="none" w:sz="0" w:space="0" w:color="auto"/>
        <w:left w:val="none" w:sz="0" w:space="0" w:color="auto"/>
        <w:bottom w:val="none" w:sz="0" w:space="0" w:color="auto"/>
        <w:right w:val="none" w:sz="0" w:space="0" w:color="auto"/>
      </w:divBdr>
    </w:div>
    <w:div w:id="1034499774">
      <w:bodyDiv w:val="1"/>
      <w:marLeft w:val="0"/>
      <w:marRight w:val="0"/>
      <w:marTop w:val="0"/>
      <w:marBottom w:val="0"/>
      <w:divBdr>
        <w:top w:val="none" w:sz="0" w:space="0" w:color="auto"/>
        <w:left w:val="none" w:sz="0" w:space="0" w:color="auto"/>
        <w:bottom w:val="none" w:sz="0" w:space="0" w:color="auto"/>
        <w:right w:val="none" w:sz="0" w:space="0" w:color="auto"/>
      </w:divBdr>
    </w:div>
    <w:div w:id="1237088846">
      <w:bodyDiv w:val="1"/>
      <w:marLeft w:val="0"/>
      <w:marRight w:val="0"/>
      <w:marTop w:val="0"/>
      <w:marBottom w:val="0"/>
      <w:divBdr>
        <w:top w:val="none" w:sz="0" w:space="0" w:color="auto"/>
        <w:left w:val="none" w:sz="0" w:space="0" w:color="auto"/>
        <w:bottom w:val="none" w:sz="0" w:space="0" w:color="auto"/>
        <w:right w:val="none" w:sz="0" w:space="0" w:color="auto"/>
      </w:divBdr>
    </w:div>
    <w:div w:id="1253200176">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470395553">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63906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A47DF-89EE-4E77-8F78-356DA396E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1707</Words>
  <Characters>9504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subject/>
  <dc:creator>jcapezzu</dc:creator>
  <cp:keywords/>
  <cp:lastModifiedBy>Mizrachi, Ila</cp:lastModifiedBy>
  <cp:revision>3</cp:revision>
  <cp:lastPrinted>2010-12-08T19:17:00Z</cp:lastPrinted>
  <dcterms:created xsi:type="dcterms:W3CDTF">2020-01-27T16:31:00Z</dcterms:created>
  <dcterms:modified xsi:type="dcterms:W3CDTF">2020-01-27T16:32:00Z</dcterms:modified>
</cp:coreProperties>
</file>