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6E5A" w:rsidP="00AB566C" w:rsidRDefault="00136E5A" w14:paraId="3317D6B3" w14:textId="77777777">
      <w:pPr>
        <w:widowControl/>
        <w:tabs>
          <w:tab w:val="center" w:pos="4680"/>
        </w:tabs>
        <w:jc w:val="center"/>
        <w:rPr>
          <w:b/>
          <w:bCs/>
        </w:rPr>
      </w:pPr>
      <w:r>
        <w:rPr>
          <w:b/>
          <w:bCs/>
        </w:rPr>
        <w:t>SUPPORTING STATEMENT</w:t>
      </w:r>
    </w:p>
    <w:p w:rsidR="00734522" w:rsidP="00AB566C" w:rsidRDefault="00734522" w14:paraId="34945A88" w14:textId="77777777">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Pr="00137326" w:rsidR="00AE7370" w:rsidP="00AB566C" w:rsidRDefault="00AE7370" w14:paraId="3A61F484" w14:textId="77777777">
      <w:pPr>
        <w:widowControl/>
        <w:tabs>
          <w:tab w:val="center" w:pos="4680"/>
        </w:tabs>
        <w:jc w:val="center"/>
        <w:rPr>
          <w:b/>
          <w:bCs/>
        </w:rPr>
      </w:pPr>
      <w:r>
        <w:rPr>
          <w:b/>
        </w:rPr>
        <w:t>Office of the Secretary</w:t>
      </w:r>
    </w:p>
    <w:p w:rsidR="00297CA6" w:rsidP="00AB566C" w:rsidRDefault="007421D7" w14:paraId="5AEE2F03" w14:textId="77777777">
      <w:pPr>
        <w:widowControl/>
        <w:jc w:val="center"/>
        <w:rPr>
          <w:b/>
          <w:bCs/>
        </w:rPr>
      </w:pPr>
      <w:r>
        <w:rPr>
          <w:b/>
          <w:bCs/>
        </w:rPr>
        <w:t>D</w:t>
      </w:r>
      <w:r w:rsidR="00163B63">
        <w:rPr>
          <w:b/>
          <w:bCs/>
        </w:rPr>
        <w:t>O</w:t>
      </w:r>
      <w:r>
        <w:rPr>
          <w:b/>
          <w:bCs/>
        </w:rPr>
        <w:t>C National Environmental Policy Act</w:t>
      </w:r>
    </w:p>
    <w:p w:rsidR="00136E5A" w:rsidP="00AB566C" w:rsidRDefault="007421D7" w14:paraId="7E8E75BB" w14:textId="77777777">
      <w:pPr>
        <w:widowControl/>
        <w:jc w:val="center"/>
        <w:rPr>
          <w:b/>
          <w:bCs/>
        </w:rPr>
      </w:pPr>
      <w:r>
        <w:rPr>
          <w:b/>
          <w:bCs/>
        </w:rPr>
        <w:t>Environmental Questionnaire and Checklist</w:t>
      </w:r>
    </w:p>
    <w:p w:rsidR="00136E5A" w:rsidP="00AB566C" w:rsidRDefault="00DC7587" w14:paraId="3A477980" w14:textId="77777777">
      <w:pPr>
        <w:widowControl/>
        <w:jc w:val="center"/>
      </w:pPr>
      <w:r>
        <w:rPr>
          <w:b/>
          <w:bCs/>
        </w:rPr>
        <w:t>OMB Control</w:t>
      </w:r>
      <w:r w:rsidR="00136E5A">
        <w:rPr>
          <w:b/>
          <w:bCs/>
        </w:rPr>
        <w:t xml:space="preserve"> N</w:t>
      </w:r>
      <w:r>
        <w:rPr>
          <w:b/>
          <w:bCs/>
        </w:rPr>
        <w:t>o</w:t>
      </w:r>
      <w:r w:rsidR="00136E5A">
        <w:rPr>
          <w:b/>
          <w:bCs/>
        </w:rPr>
        <w:t xml:space="preserve">. </w:t>
      </w:r>
      <w:r w:rsidR="002D13AD">
        <w:rPr>
          <w:b/>
          <w:bCs/>
        </w:rPr>
        <w:t>0690</w:t>
      </w:r>
      <w:r w:rsidR="00136E5A">
        <w:rPr>
          <w:b/>
          <w:bCs/>
        </w:rPr>
        <w:t>-</w:t>
      </w:r>
      <w:r w:rsidR="00630F83">
        <w:rPr>
          <w:b/>
          <w:bCs/>
        </w:rPr>
        <w:t>0028</w:t>
      </w:r>
    </w:p>
    <w:p w:rsidR="00136E5A" w:rsidRDefault="00136E5A" w14:paraId="630CF2FF" w14:textId="77777777">
      <w:pPr>
        <w:widowControl/>
      </w:pPr>
    </w:p>
    <w:p w:rsidR="00136E5A" w:rsidRDefault="00136E5A" w14:paraId="02D31621" w14:textId="77777777">
      <w:pPr>
        <w:widowControl/>
      </w:pPr>
    </w:p>
    <w:p w:rsidR="00136E5A" w:rsidRDefault="00136E5A" w14:paraId="77049C45" w14:textId="77777777">
      <w:pPr>
        <w:widowControl/>
        <w:tabs>
          <w:tab w:val="left" w:pos="-1440"/>
        </w:tabs>
        <w:ind w:left="720" w:hanging="720"/>
        <w:rPr>
          <w:b/>
          <w:bCs/>
        </w:rPr>
      </w:pPr>
      <w:r>
        <w:rPr>
          <w:b/>
          <w:bCs/>
        </w:rPr>
        <w:t xml:space="preserve">A. </w:t>
      </w:r>
      <w:r>
        <w:rPr>
          <w:b/>
          <w:bCs/>
        </w:rPr>
        <w:tab/>
        <w:t>JUSTIFICATION</w:t>
      </w:r>
    </w:p>
    <w:p w:rsidR="00F32DB5" w:rsidRDefault="00F32DB5" w14:paraId="06EBEA53" w14:textId="77777777">
      <w:pPr>
        <w:widowControl/>
        <w:tabs>
          <w:tab w:val="left" w:pos="-1440"/>
        </w:tabs>
        <w:ind w:left="720" w:hanging="720"/>
        <w:rPr>
          <w:b/>
          <w:bCs/>
        </w:rPr>
      </w:pPr>
    </w:p>
    <w:p w:rsidR="00F32DB5" w:rsidP="00630F83" w:rsidRDefault="00EB055A" w14:paraId="238921E2" w14:textId="77777777">
      <w:pPr>
        <w:widowControl/>
        <w:tabs>
          <w:tab w:val="left" w:pos="-1440"/>
        </w:tabs>
        <w:rPr>
          <w:b/>
          <w:bCs/>
        </w:rPr>
      </w:pPr>
      <w:r>
        <w:rPr>
          <w:b/>
          <w:bCs/>
        </w:rPr>
        <w:t>This</w:t>
      </w:r>
      <w:r w:rsidR="00F4198C">
        <w:rPr>
          <w:b/>
          <w:bCs/>
        </w:rPr>
        <w:t xml:space="preserve"> request</w:t>
      </w:r>
      <w:r w:rsidR="004B33B7">
        <w:rPr>
          <w:b/>
          <w:bCs/>
        </w:rPr>
        <w:t xml:space="preserve"> is</w:t>
      </w:r>
      <w:r w:rsidR="00F4198C">
        <w:rPr>
          <w:b/>
          <w:bCs/>
        </w:rPr>
        <w:t xml:space="preserve"> for </w:t>
      </w:r>
      <w:r w:rsidR="004B33B7">
        <w:rPr>
          <w:b/>
          <w:bCs/>
        </w:rPr>
        <w:t>a</w:t>
      </w:r>
      <w:r w:rsidR="004A5861">
        <w:rPr>
          <w:b/>
          <w:bCs/>
        </w:rPr>
        <w:t>n</w:t>
      </w:r>
      <w:r w:rsidR="004B33B7">
        <w:rPr>
          <w:b/>
          <w:bCs/>
        </w:rPr>
        <w:t xml:space="preserve"> </w:t>
      </w:r>
      <w:r w:rsidR="00630F83">
        <w:rPr>
          <w:b/>
          <w:bCs/>
        </w:rPr>
        <w:t xml:space="preserve">extension </w:t>
      </w:r>
      <w:r w:rsidR="004B33B7">
        <w:rPr>
          <w:b/>
          <w:bCs/>
        </w:rPr>
        <w:t>of a current</w:t>
      </w:r>
      <w:r w:rsidR="004A5861">
        <w:rPr>
          <w:b/>
          <w:bCs/>
        </w:rPr>
        <w:t>ly approved</w:t>
      </w:r>
      <w:r w:rsidR="004B33B7">
        <w:rPr>
          <w:b/>
          <w:bCs/>
        </w:rPr>
        <w:t xml:space="preserve"> information collection.</w:t>
      </w:r>
      <w:r w:rsidR="00530FDE">
        <w:rPr>
          <w:b/>
          <w:bCs/>
        </w:rPr>
        <w:t xml:space="preserve"> </w:t>
      </w:r>
    </w:p>
    <w:p w:rsidR="003F3427" w:rsidP="00F32DB5" w:rsidRDefault="003F3427" w14:paraId="5EE5A9A0" w14:textId="77777777">
      <w:pPr>
        <w:widowControl/>
        <w:rPr>
          <w:b/>
          <w:bCs/>
        </w:rPr>
      </w:pPr>
    </w:p>
    <w:p w:rsidR="00136E5A" w:rsidP="00F32DB5" w:rsidRDefault="00F32DB5" w14:paraId="2BA946C1" w14:textId="77777777">
      <w:pPr>
        <w:widowControl/>
        <w:rPr>
          <w:b/>
          <w:bCs/>
          <w:u w:val="single"/>
        </w:rPr>
      </w:pPr>
      <w:r w:rsidRPr="00F32DB5">
        <w:rPr>
          <w:b/>
          <w:bCs/>
        </w:rPr>
        <w:t xml:space="preserve">1. </w:t>
      </w:r>
      <w:r>
        <w:rPr>
          <w:b/>
          <w:bCs/>
          <w:u w:val="single"/>
        </w:rPr>
        <w:t xml:space="preserve"> </w:t>
      </w:r>
      <w:r w:rsidR="00136E5A">
        <w:rPr>
          <w:b/>
          <w:bCs/>
          <w:u w:val="single"/>
        </w:rPr>
        <w:t>Explain the circumstances that make the collection of information necessary.</w:t>
      </w:r>
    </w:p>
    <w:p w:rsidR="007421D7" w:rsidP="007421D7" w:rsidRDefault="007421D7" w14:paraId="180C159C" w14:textId="77777777">
      <w:pPr>
        <w:widowControl/>
        <w:rPr>
          <w:b/>
          <w:bCs/>
          <w:u w:val="single"/>
        </w:rPr>
      </w:pPr>
    </w:p>
    <w:p w:rsidRPr="004B33B7" w:rsidR="004B33B7" w:rsidP="004B33B7" w:rsidRDefault="004B33B7" w14:paraId="22A5BDB1" w14:textId="22885B69">
      <w:pPr>
        <w:shd w:val="clear" w:color="auto" w:fill="FFFFFF"/>
        <w:rPr>
          <w:color w:val="222222"/>
          <w:shd w:val="clear" w:color="auto" w:fill="FFFFFF"/>
        </w:rPr>
      </w:pPr>
      <w:r w:rsidRPr="004B33B7">
        <w:rPr>
          <w:color w:val="222222"/>
          <w:shd w:val="clear" w:color="auto" w:fill="FFFFFF"/>
        </w:rPr>
        <w:t xml:space="preserve">The </w:t>
      </w:r>
      <w:r w:rsidRPr="001F18C4" w:rsidR="00CC52DC">
        <w:rPr>
          <w:color w:val="222222"/>
          <w:shd w:val="clear" w:color="auto" w:fill="FFFFFF"/>
        </w:rPr>
        <w:t>National Environmental Policy Act</w:t>
      </w:r>
      <w:r w:rsidRPr="004B33B7">
        <w:rPr>
          <w:color w:val="222222"/>
          <w:shd w:val="clear" w:color="auto" w:fill="FFFFFF"/>
        </w:rPr>
        <w:t xml:space="preserve"> (NEPA) (42 U.S.C. 4321-4347) and the Council on Environmental Quality’s (CEQ) Regulations for Implementing NEPA (</w:t>
      </w:r>
      <w:r w:rsidRPr="001F18C4" w:rsidR="00CC52DC">
        <w:rPr>
          <w:color w:val="222222"/>
          <w:shd w:val="clear" w:color="auto" w:fill="FFFFFF"/>
        </w:rPr>
        <w:t>40 CFR 1500-1508</w:t>
      </w:r>
      <w:r w:rsidRPr="004B33B7">
        <w:rPr>
          <w:color w:val="222222"/>
          <w:shd w:val="clear" w:color="auto" w:fill="FFFFFF"/>
        </w:rPr>
        <w:t>) require that an environmental analysis be completed for all major federal actions significantly affecting the environment.  NEPA applies only to the actions of federal agencies.  Those actions may include a federal agency’s decision to fund non-federal projects under grants and cooperative agreements.  </w:t>
      </w:r>
      <w:proofErr w:type="gramStart"/>
      <w:r w:rsidRPr="004B33B7">
        <w:rPr>
          <w:color w:val="222222"/>
          <w:shd w:val="clear" w:color="auto" w:fill="FFFFFF"/>
        </w:rPr>
        <w:t>In order to</w:t>
      </w:r>
      <w:proofErr w:type="gramEnd"/>
      <w:r w:rsidRPr="004B33B7">
        <w:rPr>
          <w:color w:val="222222"/>
          <w:shd w:val="clear" w:color="auto" w:fill="FFFFFF"/>
        </w:rPr>
        <w:t xml:space="preserve"> determine NEPA compliance requirements for a project receiving Department of Commerce (DOC) bureau-level funding, DOC must assess information which can only be provided by the applicant for federal financial assistance (grant).   </w:t>
      </w:r>
      <w:r w:rsidRPr="004B33B7">
        <w:rPr>
          <w:color w:val="222222"/>
        </w:rPr>
        <w:t>These include mainly grants to applicants for federal assistance and federal entities proposing construction or infrastructure projects. </w:t>
      </w:r>
      <w:r w:rsidRPr="004B33B7">
        <w:rPr>
          <w:color w:val="222222"/>
          <w:shd w:val="clear" w:color="auto" w:fill="FFFFFF"/>
        </w:rPr>
        <w:t xml:space="preserve"> NEPA requires that </w:t>
      </w:r>
      <w:proofErr w:type="gramStart"/>
      <w:r w:rsidRPr="004B33B7">
        <w:rPr>
          <w:color w:val="222222"/>
          <w:shd w:val="clear" w:color="auto" w:fill="FFFFFF"/>
        </w:rPr>
        <w:t>a number of</w:t>
      </w:r>
      <w:proofErr w:type="gramEnd"/>
      <w:r w:rsidRPr="004B33B7">
        <w:rPr>
          <w:color w:val="222222"/>
          <w:shd w:val="clear" w:color="auto" w:fill="FFFFFF"/>
        </w:rPr>
        <w:t xml:space="preserve"> items be considered prior to funding and conducting any activity.  </w:t>
      </w:r>
    </w:p>
    <w:p w:rsidR="004B33B7" w:rsidP="004B33B7" w:rsidRDefault="004B33B7" w14:paraId="4B6AF5BC" w14:textId="77777777">
      <w:pPr>
        <w:shd w:val="clear" w:color="auto" w:fill="FFFFFF"/>
        <w:rPr>
          <w:color w:val="222222"/>
          <w:shd w:val="clear" w:color="auto" w:fill="FFFFFF"/>
        </w:rPr>
      </w:pPr>
    </w:p>
    <w:p w:rsidR="00AE7370" w:rsidP="004B33B7" w:rsidRDefault="004B33B7" w14:paraId="6161FD3E" w14:textId="77777777">
      <w:pPr>
        <w:shd w:val="clear" w:color="auto" w:fill="FFFFFF"/>
        <w:rPr>
          <w:color w:val="222222"/>
        </w:rPr>
      </w:pPr>
      <w:r w:rsidRPr="004B33B7">
        <w:rPr>
          <w:color w:val="222222"/>
          <w:shd w:val="clear" w:color="auto" w:fill="FFFFFF"/>
        </w:rPr>
        <w:t>The Environmental Questionnaire and Checklist (EQC) provides federal financial assistance applicants and DOC staff with a tool to ensure that the necessary project and environmental information is obtained.  </w:t>
      </w:r>
      <w:r w:rsidRPr="004B33B7">
        <w:rPr>
          <w:color w:val="222222"/>
        </w:rPr>
        <w:t xml:space="preserve">The EQC was developed to collect data concerning potential environmental impacts and help educate the Federal reviewer about the project, streamline the collection of data, and maintain consistency in quality and quantity of information received. </w:t>
      </w:r>
    </w:p>
    <w:p w:rsidRPr="004B33B7" w:rsidR="004B33B7" w:rsidP="004B33B7" w:rsidRDefault="004B33B7" w14:paraId="073D2C76" w14:textId="64277E18">
      <w:pPr>
        <w:shd w:val="clear" w:color="auto" w:fill="FFFFFF"/>
        <w:rPr>
          <w:color w:val="222222"/>
          <w:shd w:val="clear" w:color="auto" w:fill="FFFFFF"/>
        </w:rPr>
      </w:pPr>
      <w:r w:rsidRPr="004B33B7">
        <w:rPr>
          <w:color w:val="222222"/>
        </w:rPr>
        <w:t xml:space="preserve">The EQC will allow for a more rapid review of infrastructure projects and facilitate DOC in evaluating the potential environmental impacts of a project and level of NEPA required. </w:t>
      </w:r>
      <w:r w:rsidRPr="004B33B7">
        <w:rPr>
          <w:color w:val="222222"/>
          <w:shd w:val="clear" w:color="auto" w:fill="FFFFFF"/>
        </w:rPr>
        <w:t xml:space="preserve">DOC staff will use the information provided in answers to the questionnaire to determine compliance requirements for NEPA and conduct subsequent NEPA analysis as needed. Information provided in the questionnaire may also be used for other regulatory review requirements associated with the proposed project, such as the </w:t>
      </w:r>
      <w:r w:rsidRPr="001F18C4" w:rsidR="00CC52DC">
        <w:rPr>
          <w:color w:val="222222"/>
          <w:shd w:val="clear" w:color="auto" w:fill="FFFFFF"/>
        </w:rPr>
        <w:t>National Historic Preservation Act</w:t>
      </w:r>
      <w:r w:rsidR="00987D49">
        <w:rPr>
          <w:color w:val="222222"/>
          <w:shd w:val="clear" w:color="auto" w:fill="FFFFFF"/>
        </w:rPr>
        <w:t xml:space="preserve"> (NHPA).</w:t>
      </w:r>
    </w:p>
    <w:p w:rsidR="004B33B7" w:rsidP="004B33B7" w:rsidRDefault="004B33B7" w14:paraId="50DF64C9" w14:textId="77777777">
      <w:pPr>
        <w:shd w:val="clear" w:color="auto" w:fill="FFFFFF"/>
        <w:rPr>
          <w:color w:val="222222"/>
          <w:shd w:val="clear" w:color="auto" w:fill="FFFFFF"/>
        </w:rPr>
      </w:pPr>
      <w:r w:rsidRPr="004B33B7">
        <w:rPr>
          <w:color w:val="222222"/>
          <w:shd w:val="clear" w:color="auto" w:fill="FFFFFF"/>
        </w:rPr>
        <w:tab/>
      </w:r>
    </w:p>
    <w:p w:rsidR="00136E5A" w:rsidRDefault="00136E5A" w14:paraId="252A5C85" w14:textId="77777777">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36E5A" w:rsidRDefault="00136E5A" w14:paraId="652C2A90" w14:textId="77777777">
      <w:pPr>
        <w:widowControl/>
      </w:pPr>
    </w:p>
    <w:p w:rsidR="00016B07" w:rsidP="00297CA6" w:rsidRDefault="00297CA6" w14:paraId="6A69C4C1" w14:textId="77777777">
      <w:pPr>
        <w:widowControl/>
      </w:pPr>
      <w:r>
        <w:t>The EQC is designed to be used</w:t>
      </w:r>
      <w:r w:rsidR="00C0385C">
        <w:t xml:space="preserve"> by both grants applicants and Federal entities</w:t>
      </w:r>
      <w:r>
        <w:t xml:space="preserve"> proposing construction or infrastructure projects. </w:t>
      </w:r>
      <w:r w:rsidR="00A777B3">
        <w:t xml:space="preserve"> </w:t>
      </w:r>
      <w:r>
        <w:t>The questions address a diverse range of potential environmental issues covered under Federal environmental laws and regul</w:t>
      </w:r>
      <w:r w:rsidR="00D07CEA">
        <w:t xml:space="preserve">ations and are </w:t>
      </w:r>
      <w:r w:rsidR="00D07CEA">
        <w:lastRenderedPageBreak/>
        <w:t>designed to provide</w:t>
      </w:r>
      <w:r>
        <w:t xml:space="preserve"> a reviewer enough information </w:t>
      </w:r>
      <w:r w:rsidR="00016B07">
        <w:t>to determine the level of NEPA documentation necessary to comply with the law.</w:t>
      </w:r>
    </w:p>
    <w:p w:rsidR="003824F1" w:rsidP="00297CA6" w:rsidRDefault="003824F1" w14:paraId="76AE1646" w14:textId="77777777">
      <w:pPr>
        <w:widowControl/>
      </w:pPr>
    </w:p>
    <w:p w:rsidR="00AD1BF1" w:rsidP="00297CA6" w:rsidRDefault="00016B07" w14:paraId="0F99666E" w14:textId="77777777">
      <w:pPr>
        <w:widowControl/>
      </w:pPr>
      <w:r>
        <w:t>If the project is either Ca</w:t>
      </w:r>
      <w:r w:rsidR="00C0385C">
        <w:t>tegorically Excluded or requires</w:t>
      </w:r>
      <w:r>
        <w:t xml:space="preserve"> the completion of an Environmental Assessment</w:t>
      </w:r>
      <w:r w:rsidR="00983E21">
        <w:t xml:space="preserve"> (EA)</w:t>
      </w:r>
      <w:r>
        <w:t xml:space="preserve">, the supporting documentation is kept at the certifying Operating Unit and not published in the Federal Register. </w:t>
      </w:r>
      <w:r w:rsidR="00A777B3">
        <w:t xml:space="preserve"> </w:t>
      </w:r>
      <w:r>
        <w:t xml:space="preserve">If the information indicates an Environmental Impact Statement </w:t>
      </w:r>
      <w:r w:rsidR="00983E21">
        <w:t xml:space="preserve">(EIS) </w:t>
      </w:r>
      <w:r w:rsidR="00C0385C">
        <w:t>is required</w:t>
      </w:r>
      <w:r>
        <w:t xml:space="preserve"> to comply with NEPA, that document will be published in the Federal Register and the associated administrative record (including the responses to this EQC</w:t>
      </w:r>
      <w:r w:rsidR="00A777B3">
        <w:t>)</w:t>
      </w:r>
      <w:r>
        <w:t xml:space="preserve"> will be available </w:t>
      </w:r>
      <w:r w:rsidR="00C0385C">
        <w:t xml:space="preserve">through the responsible </w:t>
      </w:r>
      <w:r w:rsidR="00EA3D11">
        <w:t xml:space="preserve">DOC </w:t>
      </w:r>
      <w:r w:rsidR="00C0385C">
        <w:t>program office</w:t>
      </w:r>
      <w:r>
        <w:t>.</w:t>
      </w:r>
    </w:p>
    <w:p w:rsidR="00AD1BF1" w:rsidP="00297CA6" w:rsidRDefault="00AD1BF1" w14:paraId="0AFB4C20" w14:textId="77777777">
      <w:pPr>
        <w:widowControl/>
      </w:pPr>
    </w:p>
    <w:p w:rsidR="00016B07" w:rsidP="00297CA6" w:rsidRDefault="004B33B7" w14:paraId="65A42A02" w14:textId="77777777">
      <w:pPr>
        <w:widowControl/>
      </w:pPr>
      <w:r>
        <w:t>Other than in the instances in which publication in the Federal Register is required, t</w:t>
      </w:r>
      <w:r w:rsidR="00AD1BF1">
        <w:t>he information</w:t>
      </w:r>
      <w:r>
        <w:t xml:space="preserve"> in the checklist</w:t>
      </w:r>
      <w:r w:rsidR="00AD1BF1">
        <w:t xml:space="preserve"> is for use solely by the DOC NEPA reviewer assigned to the project and is not to be disseminated to the public.</w:t>
      </w:r>
      <w:r w:rsidR="00016B07">
        <w:t xml:space="preserve">  </w:t>
      </w:r>
    </w:p>
    <w:p w:rsidR="004B33B7" w:rsidP="00297CA6" w:rsidRDefault="004B33B7" w14:paraId="65EC8C61" w14:textId="77777777">
      <w:pPr>
        <w:widowControl/>
      </w:pPr>
    </w:p>
    <w:p w:rsidR="004B33B7" w:rsidP="004B33B7" w:rsidRDefault="004B33B7" w14:paraId="3ED25688" w14:textId="5A1D4C56">
      <w:r w:rsidRPr="004B33B7">
        <w:t xml:space="preserve">DOC will retain control over the information and safeguard it from improper access, modification, and destruction, consistent with DOC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r w:rsidRPr="001F18C4" w:rsidR="00CC52DC">
        <w:t>Section 515 of Public Law 106-554</w:t>
      </w:r>
      <w:r w:rsidRPr="004B33B7">
        <w:t>.</w:t>
      </w:r>
    </w:p>
    <w:p w:rsidRPr="004B33B7" w:rsidR="00987D49" w:rsidP="004B33B7" w:rsidRDefault="00987D49" w14:paraId="264E6B76" w14:textId="77777777"/>
    <w:p w:rsidR="00136E5A" w:rsidRDefault="00136E5A" w14:paraId="297D4F5B" w14:textId="77777777">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14:paraId="475A2675" w14:textId="77777777">
      <w:pPr>
        <w:widowControl/>
      </w:pPr>
    </w:p>
    <w:p w:rsidR="00530FDE" w:rsidP="00CC52DC" w:rsidRDefault="00C0385C" w14:paraId="64F2D83C" w14:textId="3307B802">
      <w:pPr>
        <w:widowControl/>
      </w:pPr>
      <w:r>
        <w:t xml:space="preserve">The document </w:t>
      </w:r>
      <w:r w:rsidR="00F20F8B">
        <w:t xml:space="preserve">is designed to be filled out </w:t>
      </w:r>
      <w:r w:rsidR="003301D3">
        <w:t xml:space="preserve">and submitted </w:t>
      </w:r>
      <w:r w:rsidR="00F20F8B">
        <w:t>electronically</w:t>
      </w:r>
      <w:r w:rsidR="003301D3">
        <w:t xml:space="preserve">. </w:t>
      </w:r>
      <w:r w:rsidR="00F20F8B">
        <w:t xml:space="preserve"> </w:t>
      </w:r>
    </w:p>
    <w:p w:rsidR="0092201F" w:rsidP="00CC52DC" w:rsidRDefault="0092201F" w14:paraId="535E618B" w14:textId="77777777">
      <w:pPr>
        <w:widowControl/>
      </w:pPr>
    </w:p>
    <w:p w:rsidR="00136E5A" w:rsidP="00CC52DC" w:rsidRDefault="00136E5A" w14:paraId="790646B8" w14:textId="4A2B041C">
      <w:pPr>
        <w:widowControl/>
      </w:pPr>
      <w:r>
        <w:rPr>
          <w:b/>
          <w:bCs/>
        </w:rPr>
        <w:t xml:space="preserve">4.  </w:t>
      </w:r>
      <w:r>
        <w:rPr>
          <w:b/>
          <w:bCs/>
          <w:u w:val="single"/>
        </w:rPr>
        <w:t>Describe efforts to identify duplication</w:t>
      </w:r>
      <w:r>
        <w:rPr>
          <w:b/>
          <w:bCs/>
        </w:rPr>
        <w:t>.</w:t>
      </w:r>
    </w:p>
    <w:p w:rsidR="00136E5A" w:rsidRDefault="00136E5A" w14:paraId="00D40240" w14:textId="77777777">
      <w:pPr>
        <w:widowControl/>
      </w:pPr>
    </w:p>
    <w:p w:rsidR="00987D49" w:rsidP="003824F1" w:rsidRDefault="00F20F8B" w14:paraId="6066F909" w14:textId="77777777">
      <w:pPr>
        <w:widowControl/>
      </w:pPr>
      <w:r>
        <w:t>This data is not supplied through any other method.</w:t>
      </w:r>
      <w:r w:rsidR="00A777B3">
        <w:t xml:space="preserve"> </w:t>
      </w:r>
      <w:r>
        <w:t xml:space="preserve"> It is specific to compliance with NEPA and </w:t>
      </w:r>
      <w:r w:rsidR="00C0385C">
        <w:t>NHPA</w:t>
      </w:r>
      <w:r>
        <w:t xml:space="preserve">. </w:t>
      </w:r>
      <w:r w:rsidR="003824F1">
        <w:t>This data is not part of any other submission for either DOC grants or Federal projects</w:t>
      </w:r>
      <w:r w:rsidR="004B33B7">
        <w:t xml:space="preserve">, thus </w:t>
      </w:r>
      <w:r w:rsidR="003824F1">
        <w:t>there is no duplication of effort associated with the document.</w:t>
      </w:r>
    </w:p>
    <w:p w:rsidR="003824F1" w:rsidP="003824F1" w:rsidRDefault="003824F1" w14:paraId="696CB96A" w14:textId="77777777">
      <w:pPr>
        <w:widowControl/>
      </w:pPr>
      <w:r>
        <w:t xml:space="preserve"> </w:t>
      </w:r>
    </w:p>
    <w:p w:rsidR="00136E5A" w:rsidRDefault="00136E5A" w14:paraId="0B121970" w14:textId="77777777">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14:paraId="50668FD0" w14:textId="77777777">
      <w:pPr>
        <w:widowControl/>
      </w:pPr>
    </w:p>
    <w:p w:rsidR="0015410F" w:rsidRDefault="00F20F8B" w14:paraId="09A80C43" w14:textId="77777777">
      <w:pPr>
        <w:widowControl/>
      </w:pPr>
      <w:r>
        <w:t>If the entity is a small business, a Native American Tribe, or a disadvantaged or minority entity, t</w:t>
      </w:r>
      <w:r w:rsidR="00C0385C">
        <w:t>he responsible program office</w:t>
      </w:r>
      <w:r w:rsidR="00A777B3">
        <w:t xml:space="preserve"> is encouraged to</w:t>
      </w:r>
      <w:r>
        <w:t xml:space="preserve"> perform outreach to educate the entity about the informational needs</w:t>
      </w:r>
      <w:r w:rsidR="006C79D0">
        <w:t>, as necessary</w:t>
      </w:r>
      <w:r w:rsidR="00983E21">
        <w:t xml:space="preserve">. </w:t>
      </w:r>
      <w:r w:rsidR="0015410F">
        <w:t xml:space="preserve"> </w:t>
      </w:r>
      <w:r w:rsidR="00983E21">
        <w:t>This out</w:t>
      </w:r>
      <w:r w:rsidR="006C79D0">
        <w:t>reach can take the form of telephone</w:t>
      </w:r>
      <w:r w:rsidR="00A777B3">
        <w:t>, mail,</w:t>
      </w:r>
      <w:r w:rsidR="006C79D0">
        <w:t xml:space="preserve"> or email correspondence with the applicant</w:t>
      </w:r>
      <w:r w:rsidR="00983E21">
        <w:t>.</w:t>
      </w:r>
    </w:p>
    <w:p w:rsidR="00136E5A" w:rsidRDefault="00983E21" w14:paraId="0EEB16D2" w14:textId="77777777">
      <w:pPr>
        <w:widowControl/>
      </w:pPr>
      <w:r>
        <w:t xml:space="preserve"> </w:t>
      </w:r>
    </w:p>
    <w:p w:rsidR="00136E5A" w:rsidRDefault="00136E5A" w14:paraId="6BD73DC5" w14:textId="77777777">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rsidRDefault="00136E5A" w14:paraId="3B699358" w14:textId="77777777">
      <w:pPr>
        <w:widowControl/>
      </w:pPr>
    </w:p>
    <w:p w:rsidR="00983E21" w:rsidRDefault="00983E21" w14:paraId="5C467CA5" w14:textId="77777777">
      <w:pPr>
        <w:widowControl/>
      </w:pPr>
      <w:r>
        <w:lastRenderedPageBreak/>
        <w:t>If this collection does not oc</w:t>
      </w:r>
      <w:r w:rsidR="00C0385C">
        <w:t xml:space="preserve">cur, DOC </w:t>
      </w:r>
      <w:r w:rsidR="00A67658">
        <w:t xml:space="preserve">would be unable </w:t>
      </w:r>
      <w:r>
        <w:t xml:space="preserve">to </w:t>
      </w:r>
      <w:r w:rsidR="00A67658">
        <w:t xml:space="preserve">accurately </w:t>
      </w:r>
      <w:r>
        <w:t xml:space="preserve">determine the extent of NEPA documentation required. </w:t>
      </w:r>
      <w:r w:rsidR="00A67658">
        <w:t xml:space="preserve"> </w:t>
      </w:r>
      <w:r>
        <w:t xml:space="preserve">Under those circumstances, DOC would have no choice but to require the most onerous and comprehensive level of documentation possible to ensure compliance with NEPA. </w:t>
      </w:r>
      <w:r w:rsidR="00A67658">
        <w:t xml:space="preserve"> </w:t>
      </w:r>
      <w:r>
        <w:t>This would mean at a minimum</w:t>
      </w:r>
      <w:r w:rsidR="0042435F">
        <w:t xml:space="preserve"> that</w:t>
      </w:r>
      <w:r>
        <w:t xml:space="preserve"> an </w:t>
      </w:r>
      <w:r w:rsidR="0042435F">
        <w:t>environmental analysis</w:t>
      </w:r>
      <w:r>
        <w:t xml:space="preserve"> would have to be prepared on all projects seeking Federal funding or other Federal resources. </w:t>
      </w:r>
      <w:r w:rsidR="00A67658">
        <w:t xml:space="preserve"> </w:t>
      </w:r>
      <w:r>
        <w:t>The time delay associated with performing an EA versus a</w:t>
      </w:r>
      <w:r w:rsidR="00C0385C">
        <w:t xml:space="preserve">ssigning </w:t>
      </w:r>
      <w:r w:rsidR="0042435F">
        <w:t xml:space="preserve">an EQC </w:t>
      </w:r>
      <w:r>
        <w:t>to the project can be as much as a year and a cost differential of potentia</w:t>
      </w:r>
      <w:r w:rsidR="00A67658">
        <w:t>l</w:t>
      </w:r>
      <w:r>
        <w:t>l</w:t>
      </w:r>
      <w:r w:rsidR="00A67658">
        <w:t>y</w:t>
      </w:r>
      <w:r>
        <w:t xml:space="preserve"> thousands of dollars.</w:t>
      </w:r>
      <w:r w:rsidR="00A67658">
        <w:t xml:space="preserve"> </w:t>
      </w:r>
      <w:r>
        <w:t xml:space="preserve"> The difference between performing an EIS and a</w:t>
      </w:r>
      <w:r w:rsidR="00C0385C">
        <w:t xml:space="preserve">ssigning </w:t>
      </w:r>
      <w:r w:rsidR="0042435F">
        <w:t>an EQC</w:t>
      </w:r>
      <w:r>
        <w:t xml:space="preserve"> can be as much as two years and hundreds of thousands of dollars. </w:t>
      </w:r>
    </w:p>
    <w:p w:rsidR="00136E5A" w:rsidRDefault="00136E5A" w14:paraId="1728B271" w14:textId="77777777">
      <w:pPr>
        <w:widowControl/>
      </w:pPr>
    </w:p>
    <w:p w:rsidR="00136E5A" w:rsidRDefault="00136E5A" w14:paraId="0F524D21" w14:textId="77777777">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14:paraId="6365A7AE" w14:textId="77777777">
      <w:pPr>
        <w:widowControl/>
      </w:pPr>
    </w:p>
    <w:p w:rsidR="00136E5A" w:rsidRDefault="00604935" w14:paraId="4DDE9CFF" w14:textId="77777777">
      <w:pPr>
        <w:widowControl/>
      </w:pPr>
      <w:r>
        <w:t>Not Applicable.</w:t>
      </w:r>
    </w:p>
    <w:p w:rsidR="00136E5A" w:rsidRDefault="00136E5A" w14:paraId="7039B3DB" w14:textId="77777777">
      <w:pPr>
        <w:widowControl/>
      </w:pPr>
    </w:p>
    <w:p w:rsidR="00136E5A" w:rsidRDefault="00136E5A" w14:paraId="70B5D4DD" w14:textId="77777777">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14:paraId="0AB40951" w14:textId="77777777">
      <w:pPr>
        <w:widowControl/>
      </w:pPr>
    </w:p>
    <w:p w:rsidR="00CC52DC" w:rsidP="00CC52DC" w:rsidRDefault="00CC52DC" w14:paraId="2A94CEA1" w14:textId="77777777">
      <w:r>
        <w:t xml:space="preserve">A Federal Register Notice soliciting public comment was published on March 30, 2020 (85 FR 17532).  One comment was received from an individual stating that an Environmental Impact Statement was needed on every project.  The Department noted the comment.  </w:t>
      </w:r>
      <w:r w:rsidRPr="00CC52DC">
        <w:rPr>
          <w:rFonts w:cs="Calibri"/>
        </w:rPr>
        <w:t xml:space="preserve">The </w:t>
      </w:r>
      <w:r w:rsidRPr="00D84E42">
        <w:t>DOC National Environmental Policy Act Environmental Questionnaire and Checklist</w:t>
      </w:r>
      <w:r>
        <w:t xml:space="preserve"> is used to collect information about proposed activities for NEPA and to determine the appropriate level of NEPA review and whether a proposed action qualifies for a categorical exclusion or should be reviewed in an Environmental Assessment or Environmental Impact Statement. </w:t>
      </w:r>
    </w:p>
    <w:p w:rsidRPr="003A3A16" w:rsidR="00FD7B4E" w:rsidP="003A3A16" w:rsidRDefault="00FD7B4E" w14:paraId="29C7B5CE" w14:textId="77777777">
      <w:pPr>
        <w:shd w:val="clear" w:color="auto" w:fill="FFFFFF"/>
        <w:rPr>
          <w:color w:val="222222"/>
        </w:rPr>
      </w:pPr>
    </w:p>
    <w:p w:rsidR="00136E5A" w:rsidRDefault="00136E5A" w14:paraId="6D9665F7" w14:textId="77777777">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14:paraId="3DD2B588" w14:textId="77777777">
      <w:pPr>
        <w:widowControl/>
      </w:pPr>
    </w:p>
    <w:p w:rsidR="00B81177" w:rsidRDefault="00455495" w14:paraId="578B0589" w14:textId="77777777">
      <w:pPr>
        <w:widowControl/>
      </w:pPr>
      <w:r>
        <w:t xml:space="preserve">Not </w:t>
      </w:r>
      <w:r w:rsidR="00604935">
        <w:t>A</w:t>
      </w:r>
      <w:r>
        <w:t>pplicable.</w:t>
      </w:r>
    </w:p>
    <w:p w:rsidR="003A3A16" w:rsidRDefault="003A3A16" w14:paraId="0B603E87" w14:textId="77777777">
      <w:pPr>
        <w:widowControl/>
        <w:rPr>
          <w:b/>
          <w:bCs/>
        </w:rPr>
      </w:pPr>
    </w:p>
    <w:p w:rsidR="00136E5A" w:rsidRDefault="00136E5A" w14:paraId="064B67C9" w14:textId="77777777">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455495" w:rsidRDefault="00455495" w14:paraId="15D939FA" w14:textId="77777777">
      <w:pPr>
        <w:widowControl/>
      </w:pPr>
    </w:p>
    <w:p w:rsidR="00136E5A" w:rsidRDefault="00455495" w14:paraId="4991E8E3" w14:textId="360CA5A9">
      <w:pPr>
        <w:widowControl/>
      </w:pPr>
      <w:r>
        <w:t xml:space="preserve">No assurance of confidentiality is provided.  </w:t>
      </w:r>
      <w:r w:rsidR="005011C2">
        <w:t xml:space="preserve">The EQC, however, would be made </w:t>
      </w:r>
      <w:r>
        <w:t xml:space="preserve">available under the </w:t>
      </w:r>
      <w:r w:rsidRPr="001F18C4" w:rsidR="00CC52DC">
        <w:t xml:space="preserve">Freedom of Information Act </w:t>
      </w:r>
      <w:r w:rsidR="005011C2">
        <w:t xml:space="preserve">and would be included in the Administrative Record of an EIS. </w:t>
      </w:r>
    </w:p>
    <w:p w:rsidR="00136E5A" w:rsidRDefault="00136E5A" w14:paraId="7DA027B9" w14:textId="77777777">
      <w:pPr>
        <w:widowControl/>
      </w:pPr>
    </w:p>
    <w:p w:rsidR="00136E5A" w:rsidRDefault="00136E5A" w14:paraId="0420ED8E" w14:textId="77777777">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14:paraId="7E46121C" w14:textId="77777777">
      <w:pPr>
        <w:widowControl/>
      </w:pPr>
    </w:p>
    <w:p w:rsidR="00003439" w:rsidRDefault="005011C2" w14:paraId="6131BED8" w14:textId="77777777">
      <w:pPr>
        <w:widowControl/>
      </w:pPr>
      <w:r>
        <w:lastRenderedPageBreak/>
        <w:t>The EQC does not contain any questions that could</w:t>
      </w:r>
      <w:r w:rsidR="00D90DF6">
        <w:t xml:space="preserve"> be construed as “sensitive” in nature. </w:t>
      </w:r>
      <w:r>
        <w:t xml:space="preserve"> </w:t>
      </w:r>
    </w:p>
    <w:p w:rsidR="00136E5A" w:rsidRDefault="00D90DF6" w14:paraId="4C735C47" w14:textId="77777777">
      <w:pPr>
        <w:widowControl/>
      </w:pPr>
      <w:r>
        <w:t>All information requested are in accordance with existing envir</w:t>
      </w:r>
      <w:r w:rsidR="005011C2">
        <w:t>onmental and historic preservation requirements and laws</w:t>
      </w:r>
      <w:r w:rsidR="00EA3D11">
        <w:t>,</w:t>
      </w:r>
      <w:r w:rsidR="005011C2">
        <w:t xml:space="preserve"> and as such do not address sexual behavior, attitudes, religious </w:t>
      </w:r>
      <w:proofErr w:type="gramStart"/>
      <w:r w:rsidR="005011C2">
        <w:t>beliefs</w:t>
      </w:r>
      <w:proofErr w:type="gramEnd"/>
      <w:r w:rsidR="005011C2">
        <w:t xml:space="preserve"> or other matters commonly considered private. </w:t>
      </w:r>
    </w:p>
    <w:p w:rsidRPr="00D90DF6" w:rsidR="00656357" w:rsidRDefault="00656357" w14:paraId="00A7FAA5" w14:textId="77777777">
      <w:pPr>
        <w:widowControl/>
      </w:pPr>
    </w:p>
    <w:p w:rsidR="00136E5A" w:rsidRDefault="00136E5A" w14:paraId="4747402B" w14:textId="77777777">
      <w:pPr>
        <w:widowControl/>
      </w:pPr>
      <w:r>
        <w:rPr>
          <w:b/>
          <w:bCs/>
        </w:rPr>
        <w:t xml:space="preserve">12.  </w:t>
      </w:r>
      <w:r>
        <w:rPr>
          <w:b/>
          <w:bCs/>
          <w:u w:val="single"/>
        </w:rPr>
        <w:t>Provide an estimate in hours of the burden of the collection of information</w:t>
      </w:r>
      <w:r>
        <w:rPr>
          <w:b/>
          <w:bCs/>
        </w:rPr>
        <w:t>.</w:t>
      </w:r>
    </w:p>
    <w:p w:rsidR="00136E5A" w:rsidRDefault="00136E5A" w14:paraId="13757C41" w14:textId="77777777">
      <w:pPr>
        <w:widowControl/>
      </w:pPr>
    </w:p>
    <w:p w:rsidRPr="00455495" w:rsidR="00455495" w:rsidRDefault="00455495" w14:paraId="1D2C8542" w14:textId="77777777">
      <w:pPr>
        <w:widowControl/>
        <w:rPr>
          <w:b/>
        </w:rPr>
      </w:pPr>
      <w:r>
        <w:t xml:space="preserve">The estimated response time is </w:t>
      </w:r>
      <w:r w:rsidR="004D6C3C">
        <w:t>3</w:t>
      </w:r>
      <w:r>
        <w:t xml:space="preserve"> hours and the estimated number of respondents/responses is </w:t>
      </w:r>
      <w:r w:rsidR="004D6C3C">
        <w:t xml:space="preserve">1,000, for an estimated total of </w:t>
      </w:r>
      <w:r w:rsidR="004D6C3C">
        <w:rPr>
          <w:b/>
        </w:rPr>
        <w:t>3,000</w:t>
      </w:r>
      <w:r>
        <w:rPr>
          <w:b/>
        </w:rPr>
        <w:t xml:space="preserve"> burden hours.</w:t>
      </w:r>
    </w:p>
    <w:p w:rsidR="00455495" w:rsidRDefault="00455495" w14:paraId="5000FEEE" w14:textId="77777777">
      <w:pPr>
        <w:widowControl/>
      </w:pPr>
    </w:p>
    <w:p w:rsidR="00136E5A" w:rsidRDefault="00D90DF6" w14:paraId="5140D504" w14:textId="77777777">
      <w:pPr>
        <w:widowControl/>
      </w:pPr>
      <w:r>
        <w:t xml:space="preserve">The time it takes to fill out the application is dependant on the size of the project and the potential environmental issues present on the site. </w:t>
      </w:r>
      <w:r w:rsidR="005011C2">
        <w:t xml:space="preserve"> </w:t>
      </w:r>
      <w:r>
        <w:t>Generally, it should not take more t</w:t>
      </w:r>
      <w:r w:rsidR="00455495">
        <w:t xml:space="preserve">han </w:t>
      </w:r>
      <w:r w:rsidR="004D6C3C">
        <w:t xml:space="preserve">three </w:t>
      </w:r>
      <w:r w:rsidR="00C0385C">
        <w:t xml:space="preserve">hours to fill in the data. </w:t>
      </w:r>
      <w:r w:rsidR="00EE78D3">
        <w:t xml:space="preserve"> </w:t>
      </w:r>
      <w:r w:rsidR="00C0385C">
        <w:t>H</w:t>
      </w:r>
      <w:r>
        <w:t>owever, on a complex site covering multiple jurisdictions, it could take several days to obtain the data necessary to complete the checklist.</w:t>
      </w:r>
      <w:r w:rsidR="005011C2">
        <w:t xml:space="preserve"> </w:t>
      </w:r>
      <w:r w:rsidR="00C0385C">
        <w:t xml:space="preserve"> </w:t>
      </w:r>
    </w:p>
    <w:p w:rsidR="004D6C3C" w:rsidRDefault="004D6C3C" w14:paraId="3F38CB27" w14:textId="77777777">
      <w:pPr>
        <w:widowControl/>
      </w:pPr>
    </w:p>
    <w:p w:rsidR="00DC7587" w:rsidRDefault="00136E5A" w14:paraId="00D662B3" w14:textId="77777777">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14:paraId="3B95241A" w14:textId="77777777">
      <w:pPr>
        <w:widowControl/>
        <w:rPr>
          <w:b/>
          <w:bCs/>
        </w:rPr>
      </w:pPr>
      <w:r>
        <w:rPr>
          <w:b/>
          <w:bCs/>
          <w:u w:val="single"/>
        </w:rPr>
        <w:t xml:space="preserve">Question </w:t>
      </w:r>
      <w:r w:rsidR="00136E5A">
        <w:rPr>
          <w:b/>
          <w:bCs/>
          <w:u w:val="single"/>
        </w:rPr>
        <w:t>12 above)</w:t>
      </w:r>
      <w:r w:rsidR="00136E5A">
        <w:rPr>
          <w:b/>
          <w:bCs/>
        </w:rPr>
        <w:t>.</w:t>
      </w:r>
    </w:p>
    <w:p w:rsidRPr="004D6C3C" w:rsidR="004D6C3C" w:rsidP="004D6C3C" w:rsidRDefault="004D6C3C" w14:paraId="6396C054" w14:textId="77777777">
      <w:r>
        <w:br/>
      </w:r>
      <w:r w:rsidRPr="004D6C3C">
        <w:t>$1,000 in miscellaneous costs is estimated ($5 x approximately 200 respondents who would mail attachments rather than emailing them).</w:t>
      </w:r>
    </w:p>
    <w:p w:rsidR="00DC7587" w:rsidRDefault="00DC7587" w14:paraId="295D3560" w14:textId="77777777">
      <w:pPr>
        <w:widowControl/>
      </w:pPr>
    </w:p>
    <w:p w:rsidR="00136E5A" w:rsidRDefault="00136E5A" w14:paraId="77D57C10" w14:textId="77777777">
      <w:pPr>
        <w:widowControl/>
      </w:pPr>
      <w:r>
        <w:rPr>
          <w:b/>
          <w:bCs/>
        </w:rPr>
        <w:t xml:space="preserve">14.  </w:t>
      </w:r>
      <w:r>
        <w:rPr>
          <w:b/>
          <w:bCs/>
          <w:u w:val="single"/>
        </w:rPr>
        <w:t>Provide estimates of annualized cost to the Federal government</w:t>
      </w:r>
      <w:r>
        <w:rPr>
          <w:b/>
          <w:bCs/>
        </w:rPr>
        <w:t>.</w:t>
      </w:r>
    </w:p>
    <w:p w:rsidR="00136E5A" w:rsidRDefault="00136E5A" w14:paraId="540569FF" w14:textId="77777777">
      <w:pPr>
        <w:widowControl/>
      </w:pPr>
    </w:p>
    <w:p w:rsidR="004D6C3C" w:rsidP="004D6C3C" w:rsidRDefault="004D6C3C" w14:paraId="6EC042F6" w14:textId="77777777">
      <w:pPr>
        <w:widowControl/>
      </w:pPr>
      <w:r w:rsidRPr="00413CC3">
        <w:t xml:space="preserve">It is estimated that reviewing and distributing the information provided in the questionnaire will require 3 hours of an FTE’s time per application reviewed.  With an annual average salary of $24.00 an hour per FTE, it is estimated that each application reviewed will cost the government $72.00 for a total of $72,000 annually. </w:t>
      </w:r>
    </w:p>
    <w:p w:rsidR="00656357" w:rsidP="004D6C3C" w:rsidRDefault="00656357" w14:paraId="60D5C3B6" w14:textId="77777777">
      <w:pPr>
        <w:widowControl/>
      </w:pPr>
    </w:p>
    <w:p w:rsidR="00136E5A" w:rsidRDefault="00136E5A" w14:paraId="03C21023" w14:textId="77777777">
      <w:pPr>
        <w:widowControl/>
      </w:pPr>
      <w:r>
        <w:rPr>
          <w:b/>
          <w:bCs/>
        </w:rPr>
        <w:t xml:space="preserve">15.  </w:t>
      </w:r>
      <w:r>
        <w:rPr>
          <w:b/>
          <w:bCs/>
          <w:u w:val="single"/>
        </w:rPr>
        <w:t>Explain the reasons for any program changes or adjustments</w:t>
      </w:r>
      <w:r>
        <w:rPr>
          <w:b/>
          <w:bCs/>
        </w:rPr>
        <w:t>.</w:t>
      </w:r>
    </w:p>
    <w:p w:rsidR="00136E5A" w:rsidRDefault="00136E5A" w14:paraId="46F1BB39" w14:textId="77777777">
      <w:pPr>
        <w:widowControl/>
      </w:pPr>
    </w:p>
    <w:p w:rsidR="00136E5A" w:rsidRDefault="00993033" w14:paraId="42A84F80" w14:textId="77777777">
      <w:pPr>
        <w:widowControl/>
      </w:pPr>
      <w:r>
        <w:t>No change in estimated respondents/responses/burden hours.</w:t>
      </w:r>
    </w:p>
    <w:p w:rsidR="00DC7587" w:rsidRDefault="00DC7587" w14:paraId="4DFEBA84" w14:textId="77777777">
      <w:pPr>
        <w:widowControl/>
      </w:pPr>
    </w:p>
    <w:p w:rsidR="00136E5A" w:rsidRDefault="00136E5A" w14:paraId="40462BB3" w14:textId="77777777">
      <w:pPr>
        <w:widowControl/>
      </w:pPr>
      <w:r>
        <w:rPr>
          <w:b/>
          <w:bCs/>
        </w:rPr>
        <w:t xml:space="preserve">16.  </w:t>
      </w:r>
      <w:r>
        <w:rPr>
          <w:b/>
          <w:bCs/>
          <w:u w:val="single"/>
        </w:rPr>
        <w:t>For collections whose results will be published, outline the plans for tabulation and publication</w:t>
      </w:r>
      <w:r>
        <w:rPr>
          <w:b/>
          <w:bCs/>
        </w:rPr>
        <w:t>.</w:t>
      </w:r>
    </w:p>
    <w:p w:rsidR="00136E5A" w:rsidRDefault="00136E5A" w14:paraId="5F075262" w14:textId="77777777">
      <w:pPr>
        <w:widowControl/>
      </w:pPr>
    </w:p>
    <w:p w:rsidR="00136E5A" w:rsidRDefault="00CD0278" w14:paraId="36F06A12" w14:textId="77777777">
      <w:pPr>
        <w:widowControl/>
      </w:pPr>
      <w:r>
        <w:t>Not Applicable.</w:t>
      </w:r>
      <w:r w:rsidR="00D90DF6">
        <w:t xml:space="preserve"> </w:t>
      </w:r>
    </w:p>
    <w:p w:rsidR="00DC7587" w:rsidRDefault="00DC7587" w14:paraId="402200AB" w14:textId="77777777">
      <w:pPr>
        <w:widowControl/>
      </w:pPr>
    </w:p>
    <w:p w:rsidR="00136E5A" w:rsidRDefault="00136E5A" w14:paraId="73806893" w14:textId="77777777">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14:paraId="2038C20B" w14:textId="77777777">
      <w:pPr>
        <w:widowControl/>
      </w:pPr>
    </w:p>
    <w:p w:rsidRPr="00D90DF6" w:rsidR="00136E5A" w:rsidRDefault="002D13AD" w14:paraId="3C78F68A" w14:textId="77777777">
      <w:pPr>
        <w:widowControl/>
      </w:pPr>
      <w:r>
        <w:t>Not Applicable.</w:t>
      </w:r>
    </w:p>
    <w:p w:rsidR="004D6C3C" w:rsidRDefault="004D6C3C" w14:paraId="0796DE1C" w14:textId="77777777">
      <w:pPr>
        <w:widowControl/>
        <w:rPr>
          <w:b/>
          <w:bCs/>
        </w:rPr>
      </w:pPr>
    </w:p>
    <w:p w:rsidR="00136E5A" w:rsidRDefault="00136E5A" w14:paraId="41D380B5" w14:textId="77777777">
      <w:pPr>
        <w:widowControl/>
        <w:rPr>
          <w:b/>
          <w:bCs/>
        </w:rPr>
      </w:pPr>
      <w:r>
        <w:rPr>
          <w:b/>
          <w:bCs/>
        </w:rPr>
        <w:t xml:space="preserve">18.  </w:t>
      </w:r>
      <w:r>
        <w:rPr>
          <w:b/>
          <w:bCs/>
          <w:u w:val="single"/>
        </w:rPr>
        <w:t>Explain each exception to the certification statement</w:t>
      </w:r>
      <w:r>
        <w:rPr>
          <w:b/>
          <w:bCs/>
        </w:rPr>
        <w:t>.</w:t>
      </w:r>
    </w:p>
    <w:p w:rsidR="00C002D3" w:rsidRDefault="00C002D3" w14:paraId="69FD83DB" w14:textId="77777777">
      <w:pPr>
        <w:widowControl/>
        <w:rPr>
          <w:rFonts w:ascii="Shruti" w:hAnsi="Shruti" w:cs="Shruti"/>
        </w:rPr>
      </w:pPr>
    </w:p>
    <w:p w:rsidRPr="002D13AD" w:rsidR="00136E5A" w:rsidRDefault="002D13AD" w14:paraId="3DB85C2C" w14:textId="77777777">
      <w:pPr>
        <w:widowControl/>
      </w:pPr>
      <w:r>
        <w:t>Not Applicable.</w:t>
      </w:r>
    </w:p>
    <w:p w:rsidR="00C002D3" w:rsidP="00C002D3" w:rsidRDefault="00C002D3" w14:paraId="0B3E475A" w14:textId="77777777">
      <w:pPr>
        <w:widowControl/>
      </w:pPr>
      <w:r>
        <w:rPr>
          <w:b/>
          <w:bCs/>
        </w:rPr>
        <w:lastRenderedPageBreak/>
        <w:t>B.  COLLECTIONS OF INFORMATION EMPLOYING STATISTICAL METHODS</w:t>
      </w:r>
    </w:p>
    <w:p w:rsidR="001B5C62" w:rsidRDefault="001B5C62" w14:paraId="6F43FD57" w14:textId="77777777">
      <w:pPr>
        <w:widowControl/>
      </w:pPr>
    </w:p>
    <w:p w:rsidR="00D90DF6" w:rsidRDefault="00D90DF6" w14:paraId="1E5AF4E8" w14:textId="77777777">
      <w:pPr>
        <w:widowControl/>
      </w:pPr>
      <w:r>
        <w:t xml:space="preserve">This data collection does not include statistical information. </w:t>
      </w:r>
    </w:p>
    <w:p w:rsidR="003D4491" w:rsidP="003D4491" w:rsidRDefault="003D4491" w14:paraId="22723D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B5C62" w:rsidRDefault="001B5C62" w14:paraId="13A77937" w14:textId="77777777">
      <w:pPr>
        <w:widowControl/>
      </w:pPr>
    </w:p>
    <w:sectPr w:rsidR="001B5C62" w:rsidSect="00136E5A">
      <w:footerReference w:type="even" r:id="rId8"/>
      <w:footerReference w:type="default" r:id="rId9"/>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FA364" w14:textId="77777777" w:rsidR="009A3444" w:rsidRDefault="009A3444">
      <w:r>
        <w:separator/>
      </w:r>
    </w:p>
  </w:endnote>
  <w:endnote w:type="continuationSeparator" w:id="0">
    <w:p w14:paraId="263E0EDC" w14:textId="77777777" w:rsidR="009A3444" w:rsidRDefault="009A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59629" w14:textId="77777777" w:rsidR="00EA3D11" w:rsidRDefault="00EA3D11" w:rsidP="006B4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E6A86" w14:textId="77777777" w:rsidR="00EA3D11" w:rsidRDefault="00EA3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8C520" w14:textId="77777777" w:rsidR="00F4198C" w:rsidRDefault="00F4198C">
    <w:pPr>
      <w:spacing w:line="240" w:lineRule="exact"/>
    </w:pPr>
  </w:p>
  <w:p w14:paraId="45CF49DF" w14:textId="77777777" w:rsidR="00F4198C" w:rsidRDefault="00F4198C" w:rsidP="00EA3D11">
    <w:pPr>
      <w:framePr w:wrap="around" w:vAnchor="text" w:hAnchor="margin" w:xAlign="center" w:y="1"/>
      <w:jc w:val="center"/>
    </w:pPr>
    <w:r>
      <w:fldChar w:fldCharType="begin"/>
    </w:r>
    <w:r>
      <w:instrText xml:space="preserve">PAGE </w:instrText>
    </w:r>
    <w:r>
      <w:fldChar w:fldCharType="separate"/>
    </w:r>
    <w:r w:rsidR="00656357">
      <w:rPr>
        <w:noProof/>
      </w:rPr>
      <w:t>4</w:t>
    </w:r>
    <w:r>
      <w:fldChar w:fldCharType="end"/>
    </w:r>
  </w:p>
  <w:p w14:paraId="3C51C38F" w14:textId="77777777" w:rsidR="00F4198C" w:rsidRDefault="00F419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E137" w14:textId="77777777" w:rsidR="009A3444" w:rsidRDefault="009A3444">
      <w:r>
        <w:separator/>
      </w:r>
    </w:p>
  </w:footnote>
  <w:footnote w:type="continuationSeparator" w:id="0">
    <w:p w14:paraId="4B60EB64" w14:textId="77777777" w:rsidR="009A3444" w:rsidRDefault="009A3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BB0332"/>
    <w:multiLevelType w:val="hybridMultilevel"/>
    <w:tmpl w:val="174412F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8A0DFE"/>
    <w:multiLevelType w:val="multilevel"/>
    <w:tmpl w:val="E0CCA7A0"/>
    <w:lvl w:ilvl="0">
      <w:start w:val="1"/>
      <w:numFmt w:val="decimal"/>
      <w:lvlText w:val="%1."/>
      <w:lvlJc w:val="left"/>
      <w:pPr>
        <w:tabs>
          <w:tab w:val="num" w:pos="855"/>
        </w:tabs>
        <w:ind w:left="855" w:hanging="360"/>
      </w:pPr>
    </w:lvl>
    <w:lvl w:ilvl="1" w:tentative="1">
      <w:start w:val="1"/>
      <w:numFmt w:val="decimal"/>
      <w:lvlText w:val="%2."/>
      <w:lvlJc w:val="left"/>
      <w:pPr>
        <w:tabs>
          <w:tab w:val="num" w:pos="1575"/>
        </w:tabs>
        <w:ind w:left="1575" w:hanging="360"/>
      </w:pPr>
    </w:lvl>
    <w:lvl w:ilvl="2" w:tentative="1">
      <w:start w:val="1"/>
      <w:numFmt w:val="decimal"/>
      <w:lvlText w:val="%3."/>
      <w:lvlJc w:val="left"/>
      <w:pPr>
        <w:tabs>
          <w:tab w:val="num" w:pos="2295"/>
        </w:tabs>
        <w:ind w:left="2295" w:hanging="360"/>
      </w:pPr>
    </w:lvl>
    <w:lvl w:ilvl="3" w:tentative="1">
      <w:start w:val="1"/>
      <w:numFmt w:val="decimal"/>
      <w:lvlText w:val="%4."/>
      <w:lvlJc w:val="left"/>
      <w:pPr>
        <w:tabs>
          <w:tab w:val="num" w:pos="3015"/>
        </w:tabs>
        <w:ind w:left="3015" w:hanging="360"/>
      </w:pPr>
    </w:lvl>
    <w:lvl w:ilvl="4" w:tentative="1">
      <w:start w:val="1"/>
      <w:numFmt w:val="decimal"/>
      <w:lvlText w:val="%5."/>
      <w:lvlJc w:val="left"/>
      <w:pPr>
        <w:tabs>
          <w:tab w:val="num" w:pos="3735"/>
        </w:tabs>
        <w:ind w:left="3735" w:hanging="360"/>
      </w:pPr>
    </w:lvl>
    <w:lvl w:ilvl="5" w:tentative="1">
      <w:start w:val="1"/>
      <w:numFmt w:val="decimal"/>
      <w:lvlText w:val="%6."/>
      <w:lvlJc w:val="left"/>
      <w:pPr>
        <w:tabs>
          <w:tab w:val="num" w:pos="4455"/>
        </w:tabs>
        <w:ind w:left="4455" w:hanging="360"/>
      </w:pPr>
    </w:lvl>
    <w:lvl w:ilvl="6" w:tentative="1">
      <w:start w:val="1"/>
      <w:numFmt w:val="decimal"/>
      <w:lvlText w:val="%7."/>
      <w:lvlJc w:val="left"/>
      <w:pPr>
        <w:tabs>
          <w:tab w:val="num" w:pos="5175"/>
        </w:tabs>
        <w:ind w:left="5175" w:hanging="360"/>
      </w:pPr>
    </w:lvl>
    <w:lvl w:ilvl="7" w:tentative="1">
      <w:start w:val="1"/>
      <w:numFmt w:val="decimal"/>
      <w:lvlText w:val="%8."/>
      <w:lvlJc w:val="left"/>
      <w:pPr>
        <w:tabs>
          <w:tab w:val="num" w:pos="5895"/>
        </w:tabs>
        <w:ind w:left="5895" w:hanging="360"/>
      </w:pPr>
    </w:lvl>
    <w:lvl w:ilvl="8" w:tentative="1">
      <w:start w:val="1"/>
      <w:numFmt w:val="decimal"/>
      <w:lvlText w:val="%9."/>
      <w:lvlJc w:val="left"/>
      <w:pPr>
        <w:tabs>
          <w:tab w:val="num" w:pos="6615"/>
        </w:tabs>
        <w:ind w:left="6615" w:hanging="36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006BE"/>
    <w:rsid w:val="00003439"/>
    <w:rsid w:val="00016B07"/>
    <w:rsid w:val="000717B5"/>
    <w:rsid w:val="00074AF2"/>
    <w:rsid w:val="00077546"/>
    <w:rsid w:val="00083194"/>
    <w:rsid w:val="0009060A"/>
    <w:rsid w:val="000A27BC"/>
    <w:rsid w:val="000B21C1"/>
    <w:rsid w:val="000B2997"/>
    <w:rsid w:val="000E275C"/>
    <w:rsid w:val="000E679B"/>
    <w:rsid w:val="00136E5A"/>
    <w:rsid w:val="00137326"/>
    <w:rsid w:val="0015410F"/>
    <w:rsid w:val="00163B63"/>
    <w:rsid w:val="001B5C62"/>
    <w:rsid w:val="001C3089"/>
    <w:rsid w:val="001C598D"/>
    <w:rsid w:val="001F18C4"/>
    <w:rsid w:val="00280000"/>
    <w:rsid w:val="00297CA6"/>
    <w:rsid w:val="002D13AD"/>
    <w:rsid w:val="002F6C32"/>
    <w:rsid w:val="003245A9"/>
    <w:rsid w:val="003301D3"/>
    <w:rsid w:val="003824F1"/>
    <w:rsid w:val="00394888"/>
    <w:rsid w:val="003A3A16"/>
    <w:rsid w:val="003A506A"/>
    <w:rsid w:val="003D4491"/>
    <w:rsid w:val="003F17A7"/>
    <w:rsid w:val="003F3427"/>
    <w:rsid w:val="003F7DA5"/>
    <w:rsid w:val="00404289"/>
    <w:rsid w:val="0042435F"/>
    <w:rsid w:val="00434B25"/>
    <w:rsid w:val="00455495"/>
    <w:rsid w:val="0045640D"/>
    <w:rsid w:val="00460E46"/>
    <w:rsid w:val="004751BD"/>
    <w:rsid w:val="00483AF4"/>
    <w:rsid w:val="004A55D8"/>
    <w:rsid w:val="004A5861"/>
    <w:rsid w:val="004B33B7"/>
    <w:rsid w:val="004C7F06"/>
    <w:rsid w:val="004D6C3C"/>
    <w:rsid w:val="004F1F58"/>
    <w:rsid w:val="005009A0"/>
    <w:rsid w:val="005011C2"/>
    <w:rsid w:val="00530FDE"/>
    <w:rsid w:val="00540CAF"/>
    <w:rsid w:val="00552902"/>
    <w:rsid w:val="005A7DAD"/>
    <w:rsid w:val="00604935"/>
    <w:rsid w:val="00611A13"/>
    <w:rsid w:val="006219FF"/>
    <w:rsid w:val="00630F83"/>
    <w:rsid w:val="00631986"/>
    <w:rsid w:val="00656357"/>
    <w:rsid w:val="006B4D72"/>
    <w:rsid w:val="006C79D0"/>
    <w:rsid w:val="0070460F"/>
    <w:rsid w:val="00734522"/>
    <w:rsid w:val="007421D7"/>
    <w:rsid w:val="0074247C"/>
    <w:rsid w:val="00751434"/>
    <w:rsid w:val="007A63B6"/>
    <w:rsid w:val="007A7A7E"/>
    <w:rsid w:val="007E0657"/>
    <w:rsid w:val="00810CD5"/>
    <w:rsid w:val="00843573"/>
    <w:rsid w:val="00886F20"/>
    <w:rsid w:val="00891FBB"/>
    <w:rsid w:val="008C7319"/>
    <w:rsid w:val="008D14EB"/>
    <w:rsid w:val="008F1841"/>
    <w:rsid w:val="0091107F"/>
    <w:rsid w:val="0092201F"/>
    <w:rsid w:val="00983E21"/>
    <w:rsid w:val="00987D49"/>
    <w:rsid w:val="00993033"/>
    <w:rsid w:val="009A3444"/>
    <w:rsid w:val="009B3938"/>
    <w:rsid w:val="009E4F78"/>
    <w:rsid w:val="00A32D72"/>
    <w:rsid w:val="00A475F1"/>
    <w:rsid w:val="00A67658"/>
    <w:rsid w:val="00A777B3"/>
    <w:rsid w:val="00AB566C"/>
    <w:rsid w:val="00AD1BF1"/>
    <w:rsid w:val="00AE7370"/>
    <w:rsid w:val="00B5083D"/>
    <w:rsid w:val="00B65D45"/>
    <w:rsid w:val="00B81177"/>
    <w:rsid w:val="00B84A03"/>
    <w:rsid w:val="00BC4116"/>
    <w:rsid w:val="00C002D3"/>
    <w:rsid w:val="00C0385C"/>
    <w:rsid w:val="00C24871"/>
    <w:rsid w:val="00C33311"/>
    <w:rsid w:val="00C63141"/>
    <w:rsid w:val="00C71DF0"/>
    <w:rsid w:val="00CC52DC"/>
    <w:rsid w:val="00CD0278"/>
    <w:rsid w:val="00CD467A"/>
    <w:rsid w:val="00CE5FA7"/>
    <w:rsid w:val="00D07CEA"/>
    <w:rsid w:val="00D44404"/>
    <w:rsid w:val="00D61927"/>
    <w:rsid w:val="00D7199A"/>
    <w:rsid w:val="00D83ECF"/>
    <w:rsid w:val="00D90DF6"/>
    <w:rsid w:val="00DC7587"/>
    <w:rsid w:val="00DD7403"/>
    <w:rsid w:val="00E07E25"/>
    <w:rsid w:val="00E606F0"/>
    <w:rsid w:val="00EA3D11"/>
    <w:rsid w:val="00EA6D09"/>
    <w:rsid w:val="00EB055A"/>
    <w:rsid w:val="00EE78D3"/>
    <w:rsid w:val="00EF0FD5"/>
    <w:rsid w:val="00F20F8B"/>
    <w:rsid w:val="00F21057"/>
    <w:rsid w:val="00F311AE"/>
    <w:rsid w:val="00F32DB5"/>
    <w:rsid w:val="00F4198C"/>
    <w:rsid w:val="00FA2216"/>
    <w:rsid w:val="00FB461F"/>
    <w:rsid w:val="00FD1523"/>
    <w:rsid w:val="00FD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2CA24AE"/>
  <w15:chartTrackingRefBased/>
  <w15:docId w15:val="{15D841A8-F9FF-49EF-B208-F4A2B55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Footer">
    <w:name w:val="footer"/>
    <w:basedOn w:val="Normal"/>
    <w:rsid w:val="00EA3D11"/>
    <w:pPr>
      <w:tabs>
        <w:tab w:val="center" w:pos="4320"/>
        <w:tab w:val="right" w:pos="8640"/>
      </w:tabs>
    </w:pPr>
  </w:style>
  <w:style w:type="character" w:styleId="PageNumber">
    <w:name w:val="page number"/>
    <w:basedOn w:val="DefaultParagraphFont"/>
    <w:rsid w:val="00EA3D11"/>
  </w:style>
  <w:style w:type="character" w:styleId="Hyperlink">
    <w:name w:val="Hyperlink"/>
    <w:rsid w:val="0015410F"/>
    <w:rPr>
      <w:color w:val="0000FF"/>
      <w:u w:val="single"/>
    </w:rPr>
  </w:style>
  <w:style w:type="character" w:styleId="CommentReference">
    <w:name w:val="annotation reference"/>
    <w:rsid w:val="00C24871"/>
    <w:rPr>
      <w:sz w:val="16"/>
      <w:szCs w:val="16"/>
    </w:rPr>
  </w:style>
  <w:style w:type="paragraph" w:styleId="CommentText">
    <w:name w:val="annotation text"/>
    <w:basedOn w:val="Normal"/>
    <w:link w:val="CommentTextChar"/>
    <w:rsid w:val="00C24871"/>
    <w:rPr>
      <w:sz w:val="20"/>
      <w:szCs w:val="20"/>
    </w:rPr>
  </w:style>
  <w:style w:type="character" w:customStyle="1" w:styleId="CommentTextChar">
    <w:name w:val="Comment Text Char"/>
    <w:basedOn w:val="DefaultParagraphFont"/>
    <w:link w:val="CommentText"/>
    <w:rsid w:val="00C24871"/>
  </w:style>
  <w:style w:type="paragraph" w:styleId="CommentSubject">
    <w:name w:val="annotation subject"/>
    <w:basedOn w:val="CommentText"/>
    <w:next w:val="CommentText"/>
    <w:link w:val="CommentSubjectChar"/>
    <w:rsid w:val="00C24871"/>
    <w:rPr>
      <w:b/>
      <w:bCs/>
    </w:rPr>
  </w:style>
  <w:style w:type="character" w:customStyle="1" w:styleId="CommentSubjectChar">
    <w:name w:val="Comment Subject Char"/>
    <w:link w:val="CommentSubject"/>
    <w:rsid w:val="00C24871"/>
    <w:rPr>
      <w:b/>
      <w:bCs/>
    </w:rPr>
  </w:style>
  <w:style w:type="paragraph" w:styleId="BalloonText">
    <w:name w:val="Balloon Text"/>
    <w:basedOn w:val="Normal"/>
    <w:link w:val="BalloonTextChar"/>
    <w:rsid w:val="00C24871"/>
    <w:rPr>
      <w:rFonts w:ascii="Tahoma" w:hAnsi="Tahoma" w:cs="Tahoma"/>
      <w:sz w:val="16"/>
      <w:szCs w:val="16"/>
    </w:rPr>
  </w:style>
  <w:style w:type="character" w:customStyle="1" w:styleId="BalloonTextChar">
    <w:name w:val="Balloon Text Char"/>
    <w:link w:val="BalloonText"/>
    <w:rsid w:val="00C24871"/>
    <w:rPr>
      <w:rFonts w:ascii="Tahoma" w:hAnsi="Tahoma" w:cs="Tahoma"/>
      <w:sz w:val="16"/>
      <w:szCs w:val="16"/>
    </w:rPr>
  </w:style>
  <w:style w:type="character" w:styleId="FollowedHyperlink">
    <w:name w:val="FollowedHyperlink"/>
    <w:rsid w:val="00993033"/>
    <w:rPr>
      <w:color w:val="800080"/>
      <w:u w:val="single"/>
    </w:rPr>
  </w:style>
  <w:style w:type="character" w:customStyle="1" w:styleId="apple-converted-space">
    <w:name w:val="apple-converted-space"/>
    <w:rsid w:val="003A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265959">
      <w:bodyDiv w:val="1"/>
      <w:marLeft w:val="0"/>
      <w:marRight w:val="0"/>
      <w:marTop w:val="0"/>
      <w:marBottom w:val="0"/>
      <w:divBdr>
        <w:top w:val="none" w:sz="0" w:space="0" w:color="auto"/>
        <w:left w:val="none" w:sz="0" w:space="0" w:color="auto"/>
        <w:bottom w:val="none" w:sz="0" w:space="0" w:color="auto"/>
        <w:right w:val="none" w:sz="0" w:space="0" w:color="auto"/>
      </w:divBdr>
      <w:divsChild>
        <w:div w:id="210918900">
          <w:marLeft w:val="0"/>
          <w:marRight w:val="0"/>
          <w:marTop w:val="0"/>
          <w:marBottom w:val="0"/>
          <w:divBdr>
            <w:top w:val="none" w:sz="0" w:space="0" w:color="auto"/>
            <w:left w:val="none" w:sz="0" w:space="0" w:color="auto"/>
            <w:bottom w:val="none" w:sz="0" w:space="0" w:color="auto"/>
            <w:right w:val="none" w:sz="0" w:space="0" w:color="auto"/>
          </w:divBdr>
        </w:div>
        <w:div w:id="219287012">
          <w:marLeft w:val="0"/>
          <w:marRight w:val="0"/>
          <w:marTop w:val="0"/>
          <w:marBottom w:val="0"/>
          <w:divBdr>
            <w:top w:val="none" w:sz="0" w:space="0" w:color="auto"/>
            <w:left w:val="none" w:sz="0" w:space="0" w:color="auto"/>
            <w:bottom w:val="none" w:sz="0" w:space="0" w:color="auto"/>
            <w:right w:val="none" w:sz="0" w:space="0" w:color="auto"/>
          </w:divBdr>
        </w:div>
        <w:div w:id="379481533">
          <w:marLeft w:val="0"/>
          <w:marRight w:val="0"/>
          <w:marTop w:val="0"/>
          <w:marBottom w:val="0"/>
          <w:divBdr>
            <w:top w:val="none" w:sz="0" w:space="0" w:color="auto"/>
            <w:left w:val="none" w:sz="0" w:space="0" w:color="auto"/>
            <w:bottom w:val="none" w:sz="0" w:space="0" w:color="auto"/>
            <w:right w:val="none" w:sz="0" w:space="0" w:color="auto"/>
          </w:divBdr>
        </w:div>
        <w:div w:id="414787765">
          <w:marLeft w:val="0"/>
          <w:marRight w:val="0"/>
          <w:marTop w:val="0"/>
          <w:marBottom w:val="0"/>
          <w:divBdr>
            <w:top w:val="none" w:sz="0" w:space="0" w:color="auto"/>
            <w:left w:val="none" w:sz="0" w:space="0" w:color="auto"/>
            <w:bottom w:val="none" w:sz="0" w:space="0" w:color="auto"/>
            <w:right w:val="none" w:sz="0" w:space="0" w:color="auto"/>
          </w:divBdr>
        </w:div>
        <w:div w:id="421420019">
          <w:marLeft w:val="0"/>
          <w:marRight w:val="0"/>
          <w:marTop w:val="0"/>
          <w:marBottom w:val="0"/>
          <w:divBdr>
            <w:top w:val="none" w:sz="0" w:space="0" w:color="auto"/>
            <w:left w:val="none" w:sz="0" w:space="0" w:color="auto"/>
            <w:bottom w:val="none" w:sz="0" w:space="0" w:color="auto"/>
            <w:right w:val="none" w:sz="0" w:space="0" w:color="auto"/>
          </w:divBdr>
        </w:div>
        <w:div w:id="457602126">
          <w:marLeft w:val="0"/>
          <w:marRight w:val="0"/>
          <w:marTop w:val="0"/>
          <w:marBottom w:val="0"/>
          <w:divBdr>
            <w:top w:val="none" w:sz="0" w:space="0" w:color="auto"/>
            <w:left w:val="none" w:sz="0" w:space="0" w:color="auto"/>
            <w:bottom w:val="none" w:sz="0" w:space="0" w:color="auto"/>
            <w:right w:val="none" w:sz="0" w:space="0" w:color="auto"/>
          </w:divBdr>
        </w:div>
        <w:div w:id="471825347">
          <w:marLeft w:val="0"/>
          <w:marRight w:val="0"/>
          <w:marTop w:val="0"/>
          <w:marBottom w:val="0"/>
          <w:divBdr>
            <w:top w:val="none" w:sz="0" w:space="0" w:color="auto"/>
            <w:left w:val="none" w:sz="0" w:space="0" w:color="auto"/>
            <w:bottom w:val="none" w:sz="0" w:space="0" w:color="auto"/>
            <w:right w:val="none" w:sz="0" w:space="0" w:color="auto"/>
          </w:divBdr>
        </w:div>
        <w:div w:id="669219563">
          <w:marLeft w:val="0"/>
          <w:marRight w:val="0"/>
          <w:marTop w:val="0"/>
          <w:marBottom w:val="0"/>
          <w:divBdr>
            <w:top w:val="none" w:sz="0" w:space="0" w:color="auto"/>
            <w:left w:val="none" w:sz="0" w:space="0" w:color="auto"/>
            <w:bottom w:val="none" w:sz="0" w:space="0" w:color="auto"/>
            <w:right w:val="none" w:sz="0" w:space="0" w:color="auto"/>
          </w:divBdr>
        </w:div>
        <w:div w:id="793713261">
          <w:marLeft w:val="0"/>
          <w:marRight w:val="0"/>
          <w:marTop w:val="0"/>
          <w:marBottom w:val="0"/>
          <w:divBdr>
            <w:top w:val="none" w:sz="0" w:space="0" w:color="auto"/>
            <w:left w:val="none" w:sz="0" w:space="0" w:color="auto"/>
            <w:bottom w:val="none" w:sz="0" w:space="0" w:color="auto"/>
            <w:right w:val="none" w:sz="0" w:space="0" w:color="auto"/>
          </w:divBdr>
        </w:div>
        <w:div w:id="936401442">
          <w:marLeft w:val="0"/>
          <w:marRight w:val="0"/>
          <w:marTop w:val="0"/>
          <w:marBottom w:val="0"/>
          <w:divBdr>
            <w:top w:val="none" w:sz="0" w:space="0" w:color="auto"/>
            <w:left w:val="none" w:sz="0" w:space="0" w:color="auto"/>
            <w:bottom w:val="none" w:sz="0" w:space="0" w:color="auto"/>
            <w:right w:val="none" w:sz="0" w:space="0" w:color="auto"/>
          </w:divBdr>
        </w:div>
        <w:div w:id="1681080922">
          <w:marLeft w:val="0"/>
          <w:marRight w:val="0"/>
          <w:marTop w:val="0"/>
          <w:marBottom w:val="0"/>
          <w:divBdr>
            <w:top w:val="none" w:sz="0" w:space="0" w:color="auto"/>
            <w:left w:val="none" w:sz="0" w:space="0" w:color="auto"/>
            <w:bottom w:val="none" w:sz="0" w:space="0" w:color="auto"/>
            <w:right w:val="none" w:sz="0" w:space="0" w:color="auto"/>
          </w:divBdr>
        </w:div>
        <w:div w:id="1760298282">
          <w:marLeft w:val="0"/>
          <w:marRight w:val="0"/>
          <w:marTop w:val="0"/>
          <w:marBottom w:val="0"/>
          <w:divBdr>
            <w:top w:val="none" w:sz="0" w:space="0" w:color="auto"/>
            <w:left w:val="none" w:sz="0" w:space="0" w:color="auto"/>
            <w:bottom w:val="none" w:sz="0" w:space="0" w:color="auto"/>
            <w:right w:val="none" w:sz="0" w:space="0" w:color="auto"/>
          </w:divBdr>
        </w:div>
        <w:div w:id="1824392416">
          <w:marLeft w:val="0"/>
          <w:marRight w:val="0"/>
          <w:marTop w:val="0"/>
          <w:marBottom w:val="0"/>
          <w:divBdr>
            <w:top w:val="none" w:sz="0" w:space="0" w:color="auto"/>
            <w:left w:val="none" w:sz="0" w:space="0" w:color="auto"/>
            <w:bottom w:val="none" w:sz="0" w:space="0" w:color="auto"/>
            <w:right w:val="none" w:sz="0" w:space="0" w:color="auto"/>
          </w:divBdr>
        </w:div>
        <w:div w:id="1854032292">
          <w:marLeft w:val="0"/>
          <w:marRight w:val="0"/>
          <w:marTop w:val="0"/>
          <w:marBottom w:val="0"/>
          <w:divBdr>
            <w:top w:val="none" w:sz="0" w:space="0" w:color="auto"/>
            <w:left w:val="none" w:sz="0" w:space="0" w:color="auto"/>
            <w:bottom w:val="none" w:sz="0" w:space="0" w:color="auto"/>
            <w:right w:val="none" w:sz="0" w:space="0" w:color="auto"/>
          </w:divBdr>
        </w:div>
        <w:div w:id="1867408270">
          <w:marLeft w:val="0"/>
          <w:marRight w:val="0"/>
          <w:marTop w:val="0"/>
          <w:marBottom w:val="0"/>
          <w:divBdr>
            <w:top w:val="none" w:sz="0" w:space="0" w:color="auto"/>
            <w:left w:val="none" w:sz="0" w:space="0" w:color="auto"/>
            <w:bottom w:val="none" w:sz="0" w:space="0" w:color="auto"/>
            <w:right w:val="none" w:sz="0" w:space="0" w:color="auto"/>
          </w:divBdr>
        </w:div>
        <w:div w:id="208374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9C4E-C546-4341-AC37-423796C6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1588</Words>
  <Characters>9055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10622</CharactersWithSpaces>
  <SharedDoc>false</SharedDoc>
  <HLinks>
    <vt:vector size="36" baseType="variant">
      <vt:variant>
        <vt:i4>4587607</vt:i4>
      </vt:variant>
      <vt:variant>
        <vt:i4>15</vt:i4>
      </vt:variant>
      <vt:variant>
        <vt:i4>0</vt:i4>
      </vt:variant>
      <vt:variant>
        <vt:i4>5</vt:i4>
      </vt:variant>
      <vt:variant>
        <vt:lpwstr>http://www.law.cornell.edu/uscode/text/5/552</vt:lpwstr>
      </vt:variant>
      <vt:variant>
        <vt:lpwstr/>
      </vt:variant>
      <vt:variant>
        <vt:i4>393322</vt:i4>
      </vt:variant>
      <vt:variant>
        <vt:i4>12</vt:i4>
      </vt:variant>
      <vt:variant>
        <vt:i4>0</vt:i4>
      </vt:variant>
      <vt:variant>
        <vt:i4>5</vt:i4>
      </vt:variant>
      <vt:variant>
        <vt:lpwstr>http://ocio.os.doc.gov/s/groups/public/@doc/@os/@ocio/@oitpp/documents/content/prod01_008657.pdf</vt:lpwstr>
      </vt:variant>
      <vt:variant>
        <vt:lpwstr/>
      </vt:variant>
      <vt:variant>
        <vt:i4>852034</vt:i4>
      </vt:variant>
      <vt:variant>
        <vt:i4>9</vt:i4>
      </vt:variant>
      <vt:variant>
        <vt:i4>0</vt:i4>
      </vt:variant>
      <vt:variant>
        <vt:i4>5</vt:i4>
      </vt:variant>
      <vt:variant>
        <vt:lpwstr>http://www.fws.gov/informationquality/section515.html</vt:lpwstr>
      </vt:variant>
      <vt:variant>
        <vt:lpwstr/>
      </vt:variant>
      <vt:variant>
        <vt:i4>4194326</vt:i4>
      </vt:variant>
      <vt:variant>
        <vt:i4>6</vt:i4>
      </vt:variant>
      <vt:variant>
        <vt:i4>0</vt:i4>
      </vt:variant>
      <vt:variant>
        <vt:i4>5</vt:i4>
      </vt:variant>
      <vt:variant>
        <vt:lpwstr>http://www.achp.gov/nhpa.html</vt:lpwstr>
      </vt:variant>
      <vt:variant>
        <vt:lpwstr/>
      </vt:variant>
      <vt:variant>
        <vt:i4>2883663</vt:i4>
      </vt:variant>
      <vt:variant>
        <vt:i4>3</vt:i4>
      </vt:variant>
      <vt:variant>
        <vt:i4>0</vt:i4>
      </vt:variant>
      <vt:variant>
        <vt:i4>5</vt:i4>
      </vt:variant>
      <vt:variant>
        <vt:lpwstr>http://www.ecfr.gov/cgi-bin/text-idx?SID=e2fbf51381c17aae674f4c5a5ca90e54&amp;c=ecfr&amp;tpl=/ecfrbrowse/Title40/40cfrv34_02.tpl</vt:lpwstr>
      </vt:variant>
      <vt:variant>
        <vt:lpwstr/>
      </vt:variant>
      <vt:variant>
        <vt:i4>3473516</vt:i4>
      </vt:variant>
      <vt:variant>
        <vt:i4>0</vt:i4>
      </vt:variant>
      <vt:variant>
        <vt:i4>0</vt:i4>
      </vt:variant>
      <vt:variant>
        <vt:i4>5</vt:i4>
      </vt:variant>
      <vt:variant>
        <vt:lpwstr>http://ceq.hss.doe.gov/nepa/regs/nepa/nepaeqia.htm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gwalker</dc:creator>
  <cp:keywords/>
  <cp:lastModifiedBy>Dumas, Sheleen (Federal)</cp:lastModifiedBy>
  <cp:revision>2</cp:revision>
  <cp:lastPrinted>2009-11-11T16:40:00Z</cp:lastPrinted>
  <dcterms:created xsi:type="dcterms:W3CDTF">2020-07-01T15:53:00Z</dcterms:created>
  <dcterms:modified xsi:type="dcterms:W3CDTF">2020-07-01T15:53:00Z</dcterms:modified>
</cp:coreProperties>
</file>