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4ACD" w:rsidR="006039CA" w:rsidP="000274FC" w:rsidRDefault="006039CA">
      <w:pPr>
        <w:pStyle w:val="Title"/>
      </w:pPr>
      <w:r w:rsidRPr="00D94ACD">
        <w:t>SUPPORTING STATEMENT</w:t>
      </w:r>
    </w:p>
    <w:p w:rsidRPr="00D94ACD" w:rsidR="00147826" w:rsidP="00147826" w:rsidRDefault="00147826">
      <w:pPr>
        <w:spacing w:before="22" w:line="259" w:lineRule="auto"/>
        <w:ind w:firstLine="14"/>
        <w:jc w:val="center"/>
        <w:rPr>
          <w:b/>
          <w:sz w:val="24"/>
          <w:szCs w:val="24"/>
        </w:rPr>
      </w:pPr>
      <w:r w:rsidRPr="00D94ACD">
        <w:rPr>
          <w:b/>
          <w:sz w:val="24"/>
          <w:szCs w:val="24"/>
        </w:rPr>
        <w:t>U.S. Department of Commerce</w:t>
      </w:r>
    </w:p>
    <w:p w:rsidRPr="00D94ACD" w:rsidR="00147826" w:rsidP="00147826" w:rsidRDefault="00147826">
      <w:pPr>
        <w:spacing w:before="22" w:line="259" w:lineRule="auto"/>
        <w:ind w:firstLine="14"/>
        <w:jc w:val="center"/>
        <w:rPr>
          <w:b/>
          <w:sz w:val="24"/>
          <w:szCs w:val="24"/>
        </w:rPr>
      </w:pPr>
      <w:bookmarkStart w:name="_GoBack" w:id="0"/>
      <w:bookmarkEnd w:id="0"/>
      <w:r w:rsidRPr="00D94ACD">
        <w:rPr>
          <w:b/>
          <w:sz w:val="24"/>
          <w:szCs w:val="24"/>
        </w:rPr>
        <w:t>National Oceanic &amp; Atmospheric Administration</w:t>
      </w:r>
    </w:p>
    <w:p w:rsidRPr="00D94ACD" w:rsidR="00147826" w:rsidRDefault="00147826">
      <w:pPr>
        <w:pStyle w:val="Heading1"/>
      </w:pPr>
      <w:r w:rsidRPr="00D94ACD">
        <w:t>Reporting of Sea Turtle Entanglement in Fishing Gear or Marine Debris</w:t>
      </w:r>
    </w:p>
    <w:p w:rsidRPr="00D94ACD" w:rsidR="000274FC" w:rsidP="000274FC" w:rsidRDefault="000274FC">
      <w:pPr>
        <w:jc w:val="center"/>
        <w:rPr>
          <w:b/>
          <w:sz w:val="24"/>
          <w:szCs w:val="24"/>
        </w:rPr>
      </w:pPr>
      <w:r w:rsidRPr="00D94ACD">
        <w:rPr>
          <w:b/>
          <w:sz w:val="24"/>
          <w:szCs w:val="24"/>
        </w:rPr>
        <w:t>OMB Control No. 0648-0496</w:t>
      </w:r>
    </w:p>
    <w:p w:rsidRPr="00D94ACD" w:rsidR="006039CA" w:rsidRDefault="006039CA">
      <w:pPr>
        <w:rPr>
          <w:b/>
          <w:sz w:val="24"/>
          <w:szCs w:val="24"/>
        </w:rPr>
      </w:pPr>
    </w:p>
    <w:p w:rsidRPr="00D94ACD" w:rsidR="005D2C67" w:rsidRDefault="00147826">
      <w:pPr>
        <w:pStyle w:val="Heading2"/>
      </w:pPr>
      <w:r w:rsidRPr="00D94ACD">
        <w:t>Abstract</w:t>
      </w:r>
    </w:p>
    <w:p w:rsidRPr="00D94ACD" w:rsidR="005D2C67" w:rsidP="005D2C67" w:rsidRDefault="005D2C67">
      <w:pPr>
        <w:rPr>
          <w:b/>
          <w:sz w:val="24"/>
          <w:szCs w:val="24"/>
        </w:rPr>
      </w:pPr>
      <w:r w:rsidRPr="00D94ACD">
        <w:rPr>
          <w:sz w:val="24"/>
          <w:szCs w:val="24"/>
        </w:rPr>
        <w:t>NOAA’s National Marine Fisheries Service (NMFS) manages the Sea Turtle Disentanglement Network (STDN) to respond to sea turtle entanglement in active or discarded fishing gear (in particular those involving the vertical line of fixed gear fisheries), marine debris, or other line in the marine environment. Entanglement has the potential to cause serious injury or mortality, which would negatively impact the recovery of endangered and threatened sea turtle populations. The STDN’s goals are to increase reporting, to reduce serious injury and mortality to sea turtles, and to collect information that can be used for mitigation of these threats. As there is limited observer coverage of fixed gear fisheries, the STDN data are invaluable to NMFS in understanding the threat of entanglement and working towards mitigation.</w:t>
      </w:r>
    </w:p>
    <w:p w:rsidRPr="00D94ACD" w:rsidR="005D2C67" w:rsidRDefault="005D2C67">
      <w:pPr>
        <w:pStyle w:val="Heading2"/>
      </w:pPr>
    </w:p>
    <w:p w:rsidRPr="00D94ACD" w:rsidR="006039CA" w:rsidRDefault="00147826">
      <w:pPr>
        <w:pStyle w:val="Heading2"/>
      </w:pPr>
      <w:r w:rsidRPr="00D94ACD">
        <w:t>Justification</w:t>
      </w:r>
    </w:p>
    <w:p w:rsidRPr="00D94ACD" w:rsidR="006039CA" w:rsidRDefault="006039CA">
      <w:pPr>
        <w:rPr>
          <w:sz w:val="24"/>
          <w:szCs w:val="24"/>
        </w:rPr>
      </w:pPr>
    </w:p>
    <w:p w:rsidRPr="00D94ACD" w:rsidR="006039CA" w:rsidRDefault="006039CA">
      <w:pPr>
        <w:rPr>
          <w:sz w:val="24"/>
          <w:szCs w:val="24"/>
        </w:rPr>
        <w:sectPr w:rsidRPr="00D94ACD" w:rsidR="006039CA" w:rsidSect="000274FC">
          <w:footerReference w:type="default" r:id="rId8"/>
          <w:footnotePr>
            <w:numRestart w:val="eachSect"/>
          </w:footnotePr>
          <w:endnotePr>
            <w:numFmt w:val="decimal"/>
          </w:endnotePr>
          <w:type w:val="continuous"/>
          <w:pgSz w:w="12240" w:h="15840"/>
          <w:pgMar w:top="1440" w:right="1440" w:bottom="1440" w:left="1440" w:header="720" w:footer="720" w:gutter="0"/>
          <w:cols w:space="720"/>
          <w:docGrid w:linePitch="272"/>
        </w:sectPr>
      </w:pPr>
    </w:p>
    <w:p w:rsidRPr="00D94ACD" w:rsidR="00D94ACD" w:rsidP="00D94ACD" w:rsidRDefault="006039CA">
      <w:pPr>
        <w:pStyle w:val="ListParagraph"/>
        <w:tabs>
          <w:tab w:val="left" w:pos="360"/>
        </w:tabs>
        <w:spacing w:before="182" w:line="259" w:lineRule="auto"/>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  </w:t>
      </w:r>
      <w:r w:rsidRPr="00D94ACD" w:rsidR="00D94ACD">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94ACD" w:rsidR="006039CA" w:rsidRDefault="006039CA">
      <w:pPr>
        <w:rPr>
          <w:sz w:val="24"/>
          <w:szCs w:val="24"/>
        </w:rPr>
      </w:pPr>
    </w:p>
    <w:p w:rsidRPr="00D94ACD" w:rsidR="00A93298" w:rsidRDefault="00A93298">
      <w:pPr>
        <w:rPr>
          <w:sz w:val="24"/>
          <w:szCs w:val="24"/>
          <w:lang w:val="en-CA"/>
        </w:rPr>
      </w:pPr>
      <w:r w:rsidRPr="00D94ACD">
        <w:rPr>
          <w:sz w:val="24"/>
          <w:szCs w:val="24"/>
          <w:lang w:val="en-CA"/>
        </w:rPr>
        <w:t>This request is for extension of a current information collection.</w:t>
      </w:r>
    </w:p>
    <w:p w:rsidRPr="00D94ACD" w:rsidR="00A93298" w:rsidRDefault="00A93298">
      <w:pPr>
        <w:rPr>
          <w:sz w:val="24"/>
          <w:szCs w:val="24"/>
          <w:lang w:val="en-CA"/>
        </w:rPr>
      </w:pPr>
    </w:p>
    <w:p w:rsidRPr="00D94ACD" w:rsidR="000274FC" w:rsidRDefault="006039CA">
      <w:pPr>
        <w:rPr>
          <w:color w:val="000000"/>
          <w:sz w:val="24"/>
          <w:szCs w:val="24"/>
        </w:rPr>
      </w:pPr>
      <w:r w:rsidRPr="00D94ACD">
        <w:rPr>
          <w:sz w:val="24"/>
          <w:szCs w:val="24"/>
          <w:lang w:val="en-CA"/>
        </w:rPr>
        <w:t xml:space="preserve">Four </w:t>
      </w:r>
      <w:r w:rsidRPr="00D94ACD" w:rsidR="00874AD8">
        <w:rPr>
          <w:sz w:val="24"/>
          <w:szCs w:val="24"/>
          <w:lang w:val="en-CA"/>
        </w:rPr>
        <w:t xml:space="preserve">sea turtle </w:t>
      </w:r>
      <w:r w:rsidRPr="00D94ACD">
        <w:rPr>
          <w:sz w:val="24"/>
          <w:szCs w:val="24"/>
          <w:lang w:val="en-CA"/>
        </w:rPr>
        <w:t xml:space="preserve">species migrate northward along the </w:t>
      </w:r>
      <w:r w:rsidRPr="00D94ACD" w:rsidR="0095782A">
        <w:rPr>
          <w:sz w:val="24"/>
          <w:szCs w:val="24"/>
          <w:lang w:val="en-CA"/>
        </w:rPr>
        <w:t xml:space="preserve">east coast </w:t>
      </w:r>
      <w:r w:rsidRPr="00D94ACD">
        <w:rPr>
          <w:sz w:val="24"/>
          <w:szCs w:val="24"/>
          <w:lang w:val="en-CA"/>
        </w:rPr>
        <w:t xml:space="preserve">of </w:t>
      </w:r>
      <w:r w:rsidRPr="00D94ACD" w:rsidR="007C0034">
        <w:rPr>
          <w:sz w:val="24"/>
          <w:szCs w:val="24"/>
          <w:lang w:val="en-CA"/>
        </w:rPr>
        <w:t xml:space="preserve">the </w:t>
      </w:r>
      <w:r w:rsidRPr="00D94ACD" w:rsidR="00E027E5">
        <w:rPr>
          <w:sz w:val="24"/>
          <w:szCs w:val="24"/>
          <w:lang w:val="en-CA"/>
        </w:rPr>
        <w:t xml:space="preserve">Unites States </w:t>
      </w:r>
      <w:r w:rsidRPr="00D94ACD">
        <w:rPr>
          <w:sz w:val="24"/>
          <w:szCs w:val="24"/>
          <w:lang w:val="en-CA"/>
        </w:rPr>
        <w:t xml:space="preserve">to forage in </w:t>
      </w:r>
      <w:r w:rsidRPr="00D94ACD" w:rsidR="00232B51">
        <w:rPr>
          <w:sz w:val="24"/>
          <w:szCs w:val="24"/>
          <w:lang w:val="en-CA"/>
        </w:rPr>
        <w:t>nearshore</w:t>
      </w:r>
      <w:r w:rsidRPr="00D94ACD">
        <w:rPr>
          <w:sz w:val="24"/>
          <w:szCs w:val="24"/>
          <w:lang w:val="en-CA"/>
        </w:rPr>
        <w:t xml:space="preserve"> habitats </w:t>
      </w:r>
      <w:r w:rsidRPr="00D94ACD" w:rsidR="0095782A">
        <w:rPr>
          <w:sz w:val="24"/>
          <w:szCs w:val="24"/>
          <w:lang w:val="en-CA"/>
        </w:rPr>
        <w:t xml:space="preserve">of the </w:t>
      </w:r>
      <w:r w:rsidRPr="00D94ACD" w:rsidR="001F302A">
        <w:rPr>
          <w:sz w:val="24"/>
          <w:szCs w:val="24"/>
          <w:lang w:val="en-CA"/>
        </w:rPr>
        <w:t xml:space="preserve">Greater Atlantic </w:t>
      </w:r>
      <w:r w:rsidRPr="00D94ACD" w:rsidR="0095782A">
        <w:rPr>
          <w:sz w:val="24"/>
          <w:szCs w:val="24"/>
          <w:lang w:val="en-CA"/>
        </w:rPr>
        <w:t xml:space="preserve">Region (Virginia through Maine) </w:t>
      </w:r>
      <w:r w:rsidRPr="00D94ACD">
        <w:rPr>
          <w:sz w:val="24"/>
          <w:szCs w:val="24"/>
          <w:lang w:val="en-CA"/>
        </w:rPr>
        <w:t>during the spring, summer</w:t>
      </w:r>
      <w:r w:rsidRPr="00D94ACD" w:rsidR="007C0034">
        <w:rPr>
          <w:sz w:val="24"/>
          <w:szCs w:val="24"/>
          <w:lang w:val="en-CA"/>
        </w:rPr>
        <w:t>,</w:t>
      </w:r>
      <w:r w:rsidRPr="00D94ACD">
        <w:rPr>
          <w:sz w:val="24"/>
          <w:szCs w:val="24"/>
          <w:lang w:val="en-CA"/>
        </w:rPr>
        <w:t xml:space="preserve"> and fall. These </w:t>
      </w:r>
      <w:r w:rsidRPr="00D94ACD" w:rsidR="0095782A">
        <w:rPr>
          <w:sz w:val="24"/>
          <w:szCs w:val="24"/>
          <w:lang w:val="en-CA"/>
        </w:rPr>
        <w:t xml:space="preserve">species </w:t>
      </w:r>
      <w:r w:rsidRPr="00D94ACD">
        <w:rPr>
          <w:sz w:val="24"/>
          <w:szCs w:val="24"/>
          <w:lang w:val="en-CA"/>
        </w:rPr>
        <w:t>include juvenile and sub-adult loggerhead</w:t>
      </w:r>
      <w:r w:rsidRPr="00D94ACD" w:rsidR="007C0034">
        <w:rPr>
          <w:sz w:val="24"/>
          <w:szCs w:val="24"/>
          <w:lang w:val="en-CA"/>
        </w:rPr>
        <w:t xml:space="preserve"> (</w:t>
      </w:r>
      <w:proofErr w:type="spellStart"/>
      <w:r w:rsidRPr="00D94ACD" w:rsidR="007C0034">
        <w:rPr>
          <w:i/>
          <w:sz w:val="24"/>
          <w:szCs w:val="24"/>
          <w:lang w:val="en-CA"/>
        </w:rPr>
        <w:t>Caretta</w:t>
      </w:r>
      <w:proofErr w:type="spellEnd"/>
      <w:r w:rsidRPr="00D94ACD" w:rsidR="007C0034">
        <w:rPr>
          <w:i/>
          <w:sz w:val="24"/>
          <w:szCs w:val="24"/>
          <w:lang w:val="en-CA"/>
        </w:rPr>
        <w:t xml:space="preserve"> </w:t>
      </w:r>
      <w:proofErr w:type="spellStart"/>
      <w:r w:rsidRPr="00D94ACD" w:rsidR="007C0034">
        <w:rPr>
          <w:i/>
          <w:sz w:val="24"/>
          <w:szCs w:val="24"/>
          <w:lang w:val="en-CA"/>
        </w:rPr>
        <w:t>caretta</w:t>
      </w:r>
      <w:proofErr w:type="spellEnd"/>
      <w:r w:rsidRPr="00D94ACD" w:rsidR="007C0034">
        <w:rPr>
          <w:sz w:val="24"/>
          <w:szCs w:val="24"/>
          <w:lang w:val="en-CA"/>
        </w:rPr>
        <w:t>)</w:t>
      </w:r>
      <w:r w:rsidRPr="00D94ACD">
        <w:rPr>
          <w:sz w:val="24"/>
          <w:szCs w:val="24"/>
          <w:lang w:val="en-CA"/>
        </w:rPr>
        <w:t>, K</w:t>
      </w:r>
      <w:r w:rsidRPr="00D94ACD" w:rsidR="0095782A">
        <w:rPr>
          <w:sz w:val="24"/>
          <w:szCs w:val="24"/>
          <w:lang w:val="en-CA"/>
        </w:rPr>
        <w:t xml:space="preserve">emp’s </w:t>
      </w:r>
      <w:proofErr w:type="spellStart"/>
      <w:r w:rsidRPr="00D94ACD" w:rsidR="0095782A">
        <w:rPr>
          <w:sz w:val="24"/>
          <w:szCs w:val="24"/>
          <w:lang w:val="en-CA"/>
        </w:rPr>
        <w:t>ridley</w:t>
      </w:r>
      <w:proofErr w:type="spellEnd"/>
      <w:r w:rsidRPr="00D94ACD" w:rsidR="007C0034">
        <w:rPr>
          <w:sz w:val="24"/>
          <w:szCs w:val="24"/>
          <w:lang w:val="en-CA"/>
        </w:rPr>
        <w:t xml:space="preserve"> (</w:t>
      </w:r>
      <w:proofErr w:type="spellStart"/>
      <w:r w:rsidRPr="00D94ACD" w:rsidR="007C0034">
        <w:rPr>
          <w:i/>
          <w:sz w:val="24"/>
          <w:szCs w:val="24"/>
          <w:lang w:val="en-CA"/>
        </w:rPr>
        <w:t>Lepidochelys</w:t>
      </w:r>
      <w:proofErr w:type="spellEnd"/>
      <w:r w:rsidRPr="00D94ACD" w:rsidR="007C0034">
        <w:rPr>
          <w:i/>
          <w:sz w:val="24"/>
          <w:szCs w:val="24"/>
          <w:lang w:val="en-CA"/>
        </w:rPr>
        <w:t xml:space="preserve"> kempii</w:t>
      </w:r>
      <w:r w:rsidRPr="00D94ACD" w:rsidR="007C0034">
        <w:rPr>
          <w:sz w:val="24"/>
          <w:szCs w:val="24"/>
          <w:lang w:val="en-CA"/>
        </w:rPr>
        <w:t>)</w:t>
      </w:r>
      <w:r w:rsidRPr="00D94ACD" w:rsidR="0095782A">
        <w:rPr>
          <w:sz w:val="24"/>
          <w:szCs w:val="24"/>
          <w:lang w:val="en-CA"/>
        </w:rPr>
        <w:t xml:space="preserve">, and green </w:t>
      </w:r>
      <w:r w:rsidRPr="00D94ACD" w:rsidR="007C0034">
        <w:rPr>
          <w:sz w:val="24"/>
          <w:szCs w:val="24"/>
          <w:lang w:val="en-CA"/>
        </w:rPr>
        <w:t>(</w:t>
      </w:r>
      <w:proofErr w:type="spellStart"/>
      <w:r w:rsidRPr="00D94ACD" w:rsidR="007C0034">
        <w:rPr>
          <w:i/>
          <w:sz w:val="24"/>
          <w:szCs w:val="24"/>
          <w:lang w:val="en-CA"/>
        </w:rPr>
        <w:t>Chelonia</w:t>
      </w:r>
      <w:proofErr w:type="spellEnd"/>
      <w:r w:rsidRPr="00D94ACD" w:rsidR="007C0034">
        <w:rPr>
          <w:i/>
          <w:sz w:val="24"/>
          <w:szCs w:val="24"/>
          <w:lang w:val="en-CA"/>
        </w:rPr>
        <w:t xml:space="preserve"> </w:t>
      </w:r>
      <w:proofErr w:type="spellStart"/>
      <w:r w:rsidRPr="00D94ACD" w:rsidR="007C0034">
        <w:rPr>
          <w:i/>
          <w:sz w:val="24"/>
          <w:szCs w:val="24"/>
          <w:lang w:val="en-CA"/>
        </w:rPr>
        <w:t>mydas</w:t>
      </w:r>
      <w:proofErr w:type="spellEnd"/>
      <w:r w:rsidRPr="00D94ACD" w:rsidR="007C0034">
        <w:rPr>
          <w:sz w:val="24"/>
          <w:szCs w:val="24"/>
          <w:lang w:val="en-CA"/>
        </w:rPr>
        <w:t xml:space="preserve">) sea </w:t>
      </w:r>
      <w:r w:rsidRPr="00D94ACD" w:rsidR="0095782A">
        <w:rPr>
          <w:sz w:val="24"/>
          <w:szCs w:val="24"/>
          <w:lang w:val="en-CA"/>
        </w:rPr>
        <w:t>turtles,</w:t>
      </w:r>
      <w:r w:rsidRPr="00D94ACD">
        <w:rPr>
          <w:sz w:val="24"/>
          <w:szCs w:val="24"/>
          <w:lang w:val="en-CA"/>
        </w:rPr>
        <w:t xml:space="preserve"> and sub-adult and adult leatherback </w:t>
      </w:r>
      <w:r w:rsidRPr="00D94ACD" w:rsidR="007C0034">
        <w:rPr>
          <w:sz w:val="24"/>
          <w:szCs w:val="24"/>
          <w:lang w:val="en-CA"/>
        </w:rPr>
        <w:t xml:space="preserve">sea </w:t>
      </w:r>
      <w:r w:rsidRPr="00D94ACD">
        <w:rPr>
          <w:sz w:val="24"/>
          <w:szCs w:val="24"/>
          <w:lang w:val="en-CA"/>
        </w:rPr>
        <w:t>turtles</w:t>
      </w:r>
      <w:r w:rsidRPr="00D94ACD" w:rsidR="007C0034">
        <w:rPr>
          <w:sz w:val="24"/>
          <w:szCs w:val="24"/>
          <w:lang w:val="en-CA"/>
        </w:rPr>
        <w:t xml:space="preserve"> (</w:t>
      </w:r>
      <w:proofErr w:type="spellStart"/>
      <w:r w:rsidRPr="00D94ACD" w:rsidR="007C0034">
        <w:rPr>
          <w:i/>
          <w:sz w:val="24"/>
          <w:szCs w:val="24"/>
          <w:lang w:val="en-CA"/>
        </w:rPr>
        <w:t>Dermochelys</w:t>
      </w:r>
      <w:proofErr w:type="spellEnd"/>
      <w:r w:rsidRPr="00D94ACD" w:rsidR="007C0034">
        <w:rPr>
          <w:i/>
          <w:sz w:val="24"/>
          <w:szCs w:val="24"/>
          <w:lang w:val="en-CA"/>
        </w:rPr>
        <w:t xml:space="preserve"> </w:t>
      </w:r>
      <w:proofErr w:type="spellStart"/>
      <w:r w:rsidRPr="00D94ACD" w:rsidR="007C0034">
        <w:rPr>
          <w:i/>
          <w:sz w:val="24"/>
          <w:szCs w:val="24"/>
          <w:lang w:val="en-CA"/>
        </w:rPr>
        <w:t>coriacea</w:t>
      </w:r>
      <w:proofErr w:type="spellEnd"/>
      <w:r w:rsidRPr="00D94ACD" w:rsidR="007C0034">
        <w:rPr>
          <w:sz w:val="24"/>
          <w:szCs w:val="24"/>
          <w:lang w:val="en-CA"/>
        </w:rPr>
        <w:t>)</w:t>
      </w:r>
      <w:r w:rsidRPr="00D94ACD">
        <w:rPr>
          <w:sz w:val="24"/>
          <w:szCs w:val="24"/>
          <w:lang w:val="en-CA"/>
        </w:rPr>
        <w:t>.</w:t>
      </w:r>
      <w:r w:rsidRPr="00D94ACD">
        <w:rPr>
          <w:sz w:val="24"/>
          <w:szCs w:val="24"/>
          <w:lang w:val="en-CA"/>
        </w:rPr>
        <w:fldChar w:fldCharType="begin"/>
      </w:r>
      <w:r w:rsidRPr="00D94ACD">
        <w:rPr>
          <w:sz w:val="24"/>
          <w:szCs w:val="24"/>
          <w:lang w:val="en-CA"/>
        </w:rPr>
        <w:instrText xml:space="preserve"> SEQ CHAPTER \h \r 1</w:instrText>
      </w:r>
      <w:r w:rsidRPr="00D94ACD">
        <w:rPr>
          <w:sz w:val="24"/>
          <w:szCs w:val="24"/>
          <w:lang w:val="en-CA"/>
        </w:rPr>
        <w:fldChar w:fldCharType="end"/>
      </w:r>
      <w:r w:rsidRPr="00D94ACD">
        <w:rPr>
          <w:color w:val="000000"/>
          <w:sz w:val="24"/>
          <w:szCs w:val="24"/>
        </w:rPr>
        <w:t xml:space="preserve"> </w:t>
      </w:r>
      <w:r w:rsidRPr="00D94ACD" w:rsidR="00254D69">
        <w:rPr>
          <w:color w:val="000000"/>
          <w:sz w:val="24"/>
          <w:szCs w:val="24"/>
        </w:rPr>
        <w:t>The prevalence of vertical line from fixed gear fisheries (pot</w:t>
      </w:r>
      <w:r w:rsidRPr="00D94ACD" w:rsidR="00BF4F69">
        <w:rPr>
          <w:color w:val="000000"/>
          <w:sz w:val="24"/>
          <w:szCs w:val="24"/>
        </w:rPr>
        <w:t xml:space="preserve"> trap</w:t>
      </w:r>
      <w:r w:rsidRPr="00D94ACD" w:rsidR="00254D69">
        <w:rPr>
          <w:color w:val="000000"/>
          <w:sz w:val="24"/>
          <w:szCs w:val="24"/>
        </w:rPr>
        <w:t xml:space="preserve">s and gill nets) in these nearshore habitats makes the potential for interaction between turtles and fisheries high. </w:t>
      </w:r>
      <w:r w:rsidRPr="00D94ACD">
        <w:rPr>
          <w:color w:val="000000"/>
          <w:sz w:val="24"/>
          <w:szCs w:val="24"/>
        </w:rPr>
        <w:t xml:space="preserve">From </w:t>
      </w:r>
      <w:r w:rsidRPr="00D94ACD" w:rsidR="001C1EA0">
        <w:rPr>
          <w:color w:val="000000"/>
          <w:sz w:val="24"/>
          <w:szCs w:val="24"/>
        </w:rPr>
        <w:t>2010 through 2019</w:t>
      </w:r>
      <w:r w:rsidRPr="00D94ACD" w:rsidR="004C78B0">
        <w:rPr>
          <w:color w:val="000000"/>
          <w:sz w:val="24"/>
          <w:szCs w:val="24"/>
        </w:rPr>
        <w:t xml:space="preserve">, </w:t>
      </w:r>
      <w:r w:rsidRPr="00D94ACD" w:rsidR="005D2C67">
        <w:rPr>
          <w:color w:val="000000"/>
          <w:sz w:val="24"/>
          <w:szCs w:val="24"/>
        </w:rPr>
        <w:t>NOAA’s National Marine Fisheries Service (NMFS)</w:t>
      </w:r>
      <w:r w:rsidRPr="00D94ACD" w:rsidR="004C78B0">
        <w:rPr>
          <w:color w:val="000000"/>
          <w:sz w:val="24"/>
          <w:szCs w:val="24"/>
        </w:rPr>
        <w:t xml:space="preserve"> </w:t>
      </w:r>
      <w:r w:rsidRPr="00D94ACD" w:rsidR="00313161">
        <w:rPr>
          <w:color w:val="000000"/>
          <w:sz w:val="24"/>
          <w:szCs w:val="24"/>
        </w:rPr>
        <w:t xml:space="preserve">Greater Atlantic </w:t>
      </w:r>
      <w:r w:rsidRPr="00D94ACD" w:rsidR="004C78B0">
        <w:rPr>
          <w:color w:val="000000"/>
          <w:sz w:val="24"/>
          <w:szCs w:val="24"/>
        </w:rPr>
        <w:t>Region</w:t>
      </w:r>
      <w:r w:rsidRPr="00D94ACD" w:rsidR="00C36D60">
        <w:rPr>
          <w:color w:val="000000"/>
          <w:sz w:val="24"/>
          <w:szCs w:val="24"/>
        </w:rPr>
        <w:t>al Fisheries Office</w:t>
      </w:r>
      <w:r w:rsidRPr="00D94ACD" w:rsidR="005D2C67">
        <w:rPr>
          <w:color w:val="000000"/>
          <w:sz w:val="24"/>
          <w:szCs w:val="24"/>
        </w:rPr>
        <w:t xml:space="preserve"> (GARFO)</w:t>
      </w:r>
      <w:r w:rsidRPr="00D94ACD" w:rsidR="00C36D60">
        <w:rPr>
          <w:color w:val="000000"/>
          <w:sz w:val="24"/>
          <w:szCs w:val="24"/>
        </w:rPr>
        <w:t xml:space="preserve"> </w:t>
      </w:r>
      <w:r w:rsidRPr="00D94ACD" w:rsidR="004C78B0">
        <w:rPr>
          <w:color w:val="000000"/>
          <w:sz w:val="24"/>
          <w:szCs w:val="24"/>
        </w:rPr>
        <w:t>received</w:t>
      </w:r>
      <w:r w:rsidRPr="00D94ACD">
        <w:rPr>
          <w:color w:val="000000"/>
          <w:sz w:val="24"/>
          <w:szCs w:val="24"/>
        </w:rPr>
        <w:t xml:space="preserve"> </w:t>
      </w:r>
      <w:r w:rsidRPr="00D94ACD" w:rsidR="001C1EA0">
        <w:rPr>
          <w:color w:val="000000"/>
          <w:sz w:val="24"/>
          <w:szCs w:val="24"/>
        </w:rPr>
        <w:t>387</w:t>
      </w:r>
      <w:r w:rsidRPr="00D94ACD">
        <w:rPr>
          <w:color w:val="000000"/>
          <w:sz w:val="24"/>
          <w:szCs w:val="24"/>
        </w:rPr>
        <w:t xml:space="preserve"> </w:t>
      </w:r>
      <w:r w:rsidRPr="00D94ACD" w:rsidR="004C78B0">
        <w:rPr>
          <w:color w:val="000000"/>
          <w:sz w:val="24"/>
          <w:szCs w:val="24"/>
        </w:rPr>
        <w:t xml:space="preserve">reports of </w:t>
      </w:r>
      <w:r w:rsidRPr="00D94ACD">
        <w:rPr>
          <w:color w:val="000000"/>
          <w:sz w:val="24"/>
          <w:szCs w:val="24"/>
        </w:rPr>
        <w:t xml:space="preserve">entangled </w:t>
      </w:r>
      <w:r w:rsidRPr="00D94ACD" w:rsidR="0095782A">
        <w:rPr>
          <w:color w:val="000000"/>
          <w:sz w:val="24"/>
          <w:szCs w:val="24"/>
        </w:rPr>
        <w:t xml:space="preserve">sea turtles, </w:t>
      </w:r>
      <w:r w:rsidRPr="00D94ACD" w:rsidR="004C78B0">
        <w:rPr>
          <w:color w:val="000000"/>
          <w:sz w:val="24"/>
          <w:szCs w:val="24"/>
        </w:rPr>
        <w:t>the majority of which were</w:t>
      </w:r>
      <w:r w:rsidRPr="00D94ACD" w:rsidR="0095782A">
        <w:rPr>
          <w:color w:val="000000"/>
          <w:sz w:val="24"/>
          <w:szCs w:val="24"/>
        </w:rPr>
        <w:t xml:space="preserve"> leatherbacks (</w:t>
      </w:r>
      <w:r w:rsidRPr="00D94ACD" w:rsidR="001C1EA0">
        <w:rPr>
          <w:color w:val="000000"/>
          <w:sz w:val="24"/>
          <w:szCs w:val="24"/>
        </w:rPr>
        <w:t xml:space="preserve">311 </w:t>
      </w:r>
      <w:r w:rsidRPr="00D94ACD" w:rsidR="0095782A">
        <w:rPr>
          <w:color w:val="000000"/>
          <w:sz w:val="24"/>
          <w:szCs w:val="24"/>
        </w:rPr>
        <w:t>reports</w:t>
      </w:r>
      <w:r w:rsidRPr="00D94ACD" w:rsidR="001C1EA0">
        <w:rPr>
          <w:color w:val="000000"/>
          <w:sz w:val="24"/>
          <w:szCs w:val="24"/>
        </w:rPr>
        <w:t>, 80.4%</w:t>
      </w:r>
      <w:r w:rsidRPr="00D94ACD" w:rsidR="0095782A">
        <w:rPr>
          <w:color w:val="000000"/>
          <w:sz w:val="24"/>
          <w:szCs w:val="24"/>
        </w:rPr>
        <w:t>)</w:t>
      </w:r>
      <w:r w:rsidRPr="00D94ACD">
        <w:rPr>
          <w:color w:val="000000"/>
          <w:sz w:val="24"/>
          <w:szCs w:val="24"/>
        </w:rPr>
        <w:t>.</w:t>
      </w:r>
      <w:r w:rsidRPr="00D94ACD" w:rsidR="00746B38">
        <w:rPr>
          <w:color w:val="000000"/>
          <w:sz w:val="24"/>
          <w:szCs w:val="24"/>
        </w:rPr>
        <w:t xml:space="preserve"> Of those, </w:t>
      </w:r>
      <w:r w:rsidRPr="00D94ACD" w:rsidR="001C1EA0">
        <w:rPr>
          <w:color w:val="000000"/>
          <w:sz w:val="24"/>
          <w:szCs w:val="24"/>
        </w:rPr>
        <w:t>272 (70.3%)</w:t>
      </w:r>
      <w:r w:rsidRPr="00D94ACD" w:rsidR="00746B38">
        <w:rPr>
          <w:color w:val="000000"/>
          <w:sz w:val="24"/>
          <w:szCs w:val="24"/>
        </w:rPr>
        <w:t xml:space="preserve"> were cases involv</w:t>
      </w:r>
      <w:r w:rsidRPr="00D94ACD" w:rsidR="001C1EA0">
        <w:rPr>
          <w:color w:val="000000"/>
          <w:sz w:val="24"/>
          <w:szCs w:val="24"/>
        </w:rPr>
        <w:t>ing</w:t>
      </w:r>
      <w:r w:rsidRPr="00D94ACD" w:rsidR="00746B38">
        <w:rPr>
          <w:color w:val="000000"/>
          <w:sz w:val="24"/>
          <w:szCs w:val="24"/>
        </w:rPr>
        <w:t xml:space="preserve"> vertical line of commercial fisheries.</w:t>
      </w:r>
      <w:r w:rsidRPr="00D94ACD">
        <w:rPr>
          <w:color w:val="000000"/>
          <w:sz w:val="24"/>
          <w:szCs w:val="24"/>
        </w:rPr>
        <w:t xml:space="preserve"> </w:t>
      </w:r>
    </w:p>
    <w:p w:rsidRPr="00D94ACD" w:rsidR="000274FC" w:rsidRDefault="000274FC">
      <w:pPr>
        <w:rPr>
          <w:color w:val="000000"/>
          <w:sz w:val="24"/>
          <w:szCs w:val="24"/>
        </w:rPr>
      </w:pPr>
    </w:p>
    <w:p w:rsidRPr="00D94ACD" w:rsidR="004B153E" w:rsidRDefault="005D2C67">
      <w:pPr>
        <w:rPr>
          <w:color w:val="000000"/>
          <w:sz w:val="24"/>
          <w:szCs w:val="24"/>
        </w:rPr>
      </w:pPr>
      <w:r w:rsidRPr="00D94ACD">
        <w:rPr>
          <w:color w:val="000000"/>
          <w:sz w:val="24"/>
          <w:szCs w:val="24"/>
        </w:rPr>
        <w:t>NMFS GARFO</w:t>
      </w:r>
      <w:r w:rsidRPr="00D94ACD" w:rsidR="0099305C">
        <w:rPr>
          <w:color w:val="000000"/>
          <w:sz w:val="24"/>
          <w:szCs w:val="24"/>
        </w:rPr>
        <w:t xml:space="preserve"> </w:t>
      </w:r>
      <w:r w:rsidRPr="00D94ACD" w:rsidR="001C1EA0">
        <w:rPr>
          <w:color w:val="000000"/>
          <w:sz w:val="24"/>
          <w:szCs w:val="24"/>
        </w:rPr>
        <w:t xml:space="preserve">recognizes that </w:t>
      </w:r>
      <w:r w:rsidRPr="00D94ACD" w:rsidR="006039CA">
        <w:rPr>
          <w:color w:val="000000"/>
          <w:sz w:val="24"/>
          <w:szCs w:val="24"/>
        </w:rPr>
        <w:t xml:space="preserve">sea turtle mortality </w:t>
      </w:r>
      <w:r w:rsidRPr="00D94ACD" w:rsidR="00762072">
        <w:rPr>
          <w:color w:val="000000"/>
          <w:sz w:val="24"/>
          <w:szCs w:val="24"/>
        </w:rPr>
        <w:t>and serious injury associated with fixed fishing gear in</w:t>
      </w:r>
      <w:r w:rsidRPr="00D94ACD" w:rsidR="001258B8">
        <w:rPr>
          <w:color w:val="000000"/>
          <w:sz w:val="24"/>
          <w:szCs w:val="24"/>
        </w:rPr>
        <w:t>teractions</w:t>
      </w:r>
      <w:r w:rsidRPr="00D94ACD" w:rsidR="001C1EA0">
        <w:rPr>
          <w:color w:val="000000"/>
          <w:sz w:val="24"/>
          <w:szCs w:val="24"/>
        </w:rPr>
        <w:t xml:space="preserve"> is a significant issue in the region. To address these entanglements, GARFO facilitates the Sea</w:t>
      </w:r>
      <w:r w:rsidRPr="00D94ACD" w:rsidR="006039CA">
        <w:rPr>
          <w:color w:val="000000"/>
          <w:sz w:val="24"/>
          <w:szCs w:val="24"/>
        </w:rPr>
        <w:t xml:space="preserve"> Turtle Disentanglement Network</w:t>
      </w:r>
      <w:r w:rsidRPr="00D94ACD" w:rsidR="00C20255">
        <w:rPr>
          <w:color w:val="000000"/>
          <w:sz w:val="24"/>
          <w:szCs w:val="24"/>
        </w:rPr>
        <w:t xml:space="preserve"> (STDN)</w:t>
      </w:r>
      <w:r w:rsidRPr="00D94ACD" w:rsidR="006039CA">
        <w:rPr>
          <w:color w:val="000000"/>
          <w:sz w:val="24"/>
          <w:szCs w:val="24"/>
        </w:rPr>
        <w:t xml:space="preserve">. </w:t>
      </w:r>
      <w:r w:rsidRPr="00D94ACD" w:rsidR="001C1EA0">
        <w:rPr>
          <w:color w:val="000000"/>
          <w:sz w:val="24"/>
          <w:szCs w:val="24"/>
        </w:rPr>
        <w:t xml:space="preserve">The objectives of </w:t>
      </w:r>
      <w:r w:rsidRPr="00D94ACD" w:rsidR="006039CA">
        <w:rPr>
          <w:color w:val="000000"/>
          <w:sz w:val="24"/>
          <w:szCs w:val="24"/>
        </w:rPr>
        <w:t>th</w:t>
      </w:r>
      <w:r w:rsidRPr="00D94ACD" w:rsidR="001C1EA0">
        <w:rPr>
          <w:color w:val="000000"/>
          <w:sz w:val="24"/>
          <w:szCs w:val="24"/>
        </w:rPr>
        <w:t>e</w:t>
      </w:r>
      <w:r w:rsidRPr="00D94ACD" w:rsidR="006039CA">
        <w:rPr>
          <w:color w:val="000000"/>
          <w:sz w:val="24"/>
          <w:szCs w:val="24"/>
        </w:rPr>
        <w:t xml:space="preserve"> </w:t>
      </w:r>
      <w:r w:rsidRPr="00D94ACD" w:rsidR="001C1EA0">
        <w:rPr>
          <w:color w:val="000000"/>
          <w:sz w:val="24"/>
          <w:szCs w:val="24"/>
        </w:rPr>
        <w:t>STDN</w:t>
      </w:r>
      <w:r w:rsidRPr="00D94ACD" w:rsidR="006039CA">
        <w:rPr>
          <w:color w:val="000000"/>
          <w:sz w:val="24"/>
          <w:szCs w:val="24"/>
        </w:rPr>
        <w:t xml:space="preserve"> include: (1) </w:t>
      </w:r>
      <w:r w:rsidRPr="00D94ACD" w:rsidR="007C0034">
        <w:rPr>
          <w:color w:val="000000"/>
          <w:sz w:val="24"/>
          <w:szCs w:val="24"/>
        </w:rPr>
        <w:t xml:space="preserve">to </w:t>
      </w:r>
      <w:r w:rsidRPr="00D94ACD" w:rsidR="006039CA">
        <w:rPr>
          <w:color w:val="000000"/>
          <w:sz w:val="24"/>
          <w:szCs w:val="24"/>
        </w:rPr>
        <w:t>promote reporting and increa</w:t>
      </w:r>
      <w:r w:rsidRPr="00D94ACD" w:rsidR="004B1929">
        <w:rPr>
          <w:color w:val="000000"/>
          <w:sz w:val="24"/>
          <w:szCs w:val="24"/>
        </w:rPr>
        <w:t>se successful disentanglement</w:t>
      </w:r>
      <w:r w:rsidRPr="00D94ACD" w:rsidR="001C1EA0">
        <w:rPr>
          <w:color w:val="000000"/>
          <w:sz w:val="24"/>
          <w:szCs w:val="24"/>
        </w:rPr>
        <w:t>, thereby reducing sea turtle mortality</w:t>
      </w:r>
      <w:r w:rsidRPr="00D94ACD" w:rsidR="00232B51">
        <w:rPr>
          <w:color w:val="000000"/>
          <w:sz w:val="24"/>
          <w:szCs w:val="24"/>
        </w:rPr>
        <w:t>; (</w:t>
      </w:r>
      <w:r w:rsidRPr="00D94ACD" w:rsidR="006039CA">
        <w:rPr>
          <w:color w:val="000000"/>
          <w:sz w:val="24"/>
          <w:szCs w:val="24"/>
        </w:rPr>
        <w:t xml:space="preserve">2) </w:t>
      </w:r>
      <w:r w:rsidRPr="00D94ACD" w:rsidR="007C0034">
        <w:rPr>
          <w:color w:val="000000"/>
          <w:sz w:val="24"/>
          <w:szCs w:val="24"/>
        </w:rPr>
        <w:t xml:space="preserve">to </w:t>
      </w:r>
      <w:r w:rsidRPr="00D94ACD" w:rsidR="006039CA">
        <w:rPr>
          <w:color w:val="000000"/>
          <w:sz w:val="24"/>
          <w:szCs w:val="24"/>
        </w:rPr>
        <w:t xml:space="preserve">develop and disseminate disentanglement guidelines for </w:t>
      </w:r>
      <w:r w:rsidRPr="00D94ACD" w:rsidR="00BF4F69">
        <w:rPr>
          <w:color w:val="000000"/>
          <w:sz w:val="24"/>
          <w:szCs w:val="24"/>
        </w:rPr>
        <w:t>the STDN</w:t>
      </w:r>
      <w:r w:rsidRPr="00D94ACD" w:rsidR="00232B51">
        <w:rPr>
          <w:color w:val="000000"/>
          <w:sz w:val="24"/>
          <w:szCs w:val="24"/>
        </w:rPr>
        <w:t>; (</w:t>
      </w:r>
      <w:r w:rsidRPr="00D94ACD" w:rsidR="006039CA">
        <w:rPr>
          <w:color w:val="000000"/>
          <w:sz w:val="24"/>
          <w:szCs w:val="24"/>
        </w:rPr>
        <w:t xml:space="preserve">3) </w:t>
      </w:r>
      <w:r w:rsidRPr="00D94ACD" w:rsidR="007C0034">
        <w:rPr>
          <w:color w:val="000000"/>
          <w:sz w:val="24"/>
          <w:szCs w:val="24"/>
        </w:rPr>
        <w:t xml:space="preserve">to </w:t>
      </w:r>
      <w:r w:rsidRPr="00D94ACD" w:rsidR="001F302A">
        <w:rPr>
          <w:color w:val="000000"/>
          <w:sz w:val="24"/>
          <w:szCs w:val="24"/>
        </w:rPr>
        <w:t xml:space="preserve">disseminate </w:t>
      </w:r>
      <w:r w:rsidRPr="00D94ACD" w:rsidR="006039CA">
        <w:rPr>
          <w:color w:val="000000"/>
          <w:sz w:val="24"/>
          <w:szCs w:val="24"/>
        </w:rPr>
        <w:t xml:space="preserve">disentanglement tools specific to sea turtles; and (4) </w:t>
      </w:r>
      <w:r w:rsidRPr="00D94ACD" w:rsidR="007C0034">
        <w:rPr>
          <w:color w:val="000000"/>
          <w:sz w:val="24"/>
          <w:szCs w:val="24"/>
        </w:rPr>
        <w:t xml:space="preserve">to </w:t>
      </w:r>
      <w:r w:rsidRPr="00D94ACD" w:rsidR="001C1EA0">
        <w:rPr>
          <w:color w:val="000000"/>
          <w:sz w:val="24"/>
          <w:szCs w:val="24"/>
        </w:rPr>
        <w:t>maintain</w:t>
      </w:r>
      <w:r w:rsidRPr="00D94ACD" w:rsidR="006039CA">
        <w:rPr>
          <w:color w:val="000000"/>
          <w:sz w:val="24"/>
          <w:szCs w:val="24"/>
        </w:rPr>
        <w:t xml:space="preserve"> a trained and equipped network to respond to reported entanglement incidents. </w:t>
      </w:r>
      <w:r w:rsidRPr="00D94ACD" w:rsidR="004B153E">
        <w:rPr>
          <w:color w:val="000000"/>
          <w:sz w:val="24"/>
          <w:szCs w:val="24"/>
        </w:rPr>
        <w:t xml:space="preserve">The Sea Turtle Disentanglement Guidelines and the Sea Turtle Entanglement Report Form </w:t>
      </w:r>
      <w:r w:rsidRPr="00D94ACD" w:rsidR="000B502A">
        <w:rPr>
          <w:color w:val="000000"/>
          <w:sz w:val="24"/>
          <w:szCs w:val="24"/>
        </w:rPr>
        <w:t xml:space="preserve">(STERF) </w:t>
      </w:r>
      <w:r w:rsidRPr="00D94ACD" w:rsidR="004B153E">
        <w:rPr>
          <w:color w:val="000000"/>
          <w:sz w:val="24"/>
          <w:szCs w:val="24"/>
        </w:rPr>
        <w:t xml:space="preserve">(and </w:t>
      </w:r>
      <w:r w:rsidRPr="00D94ACD" w:rsidR="004B153E">
        <w:rPr>
          <w:color w:val="000000"/>
          <w:sz w:val="24"/>
          <w:szCs w:val="24"/>
        </w:rPr>
        <w:lastRenderedPageBreak/>
        <w:t>associated instructions) have been distributed to members of the STDN for the documentation of all entanglement events</w:t>
      </w:r>
      <w:r w:rsidRPr="00D94ACD" w:rsidR="00A93298">
        <w:rPr>
          <w:color w:val="000000"/>
          <w:sz w:val="24"/>
          <w:szCs w:val="24"/>
        </w:rPr>
        <w:t>.</w:t>
      </w:r>
      <w:r w:rsidRPr="00D94ACD" w:rsidR="001C1EA0">
        <w:rPr>
          <w:color w:val="000000"/>
          <w:sz w:val="24"/>
          <w:szCs w:val="24"/>
        </w:rPr>
        <w:t xml:space="preserve"> This information is key to understanding and potentially mitigating these events.</w:t>
      </w:r>
    </w:p>
    <w:p w:rsidRPr="00D94ACD" w:rsidR="004B153E" w:rsidRDefault="004B153E">
      <w:pPr>
        <w:rPr>
          <w:color w:val="000000"/>
          <w:sz w:val="24"/>
          <w:szCs w:val="24"/>
        </w:rPr>
      </w:pPr>
    </w:p>
    <w:p w:rsidRPr="00D94ACD" w:rsidR="006039CA" w:rsidRDefault="008F5F84">
      <w:pPr>
        <w:rPr>
          <w:sz w:val="24"/>
          <w:szCs w:val="24"/>
        </w:rPr>
      </w:pPr>
      <w:r w:rsidRPr="00D94ACD">
        <w:rPr>
          <w:color w:val="000000"/>
          <w:sz w:val="24"/>
          <w:szCs w:val="24"/>
        </w:rPr>
        <w:t xml:space="preserve">The STDN is made up of federal and state agencies, as well as members of the Sea Turtle Stranding and Salvage Network (STSSN). The STSSN includes </w:t>
      </w:r>
      <w:r w:rsidRPr="00D94ACD" w:rsidR="00762072">
        <w:rPr>
          <w:color w:val="000000"/>
          <w:sz w:val="24"/>
          <w:szCs w:val="24"/>
        </w:rPr>
        <w:t xml:space="preserve">non-profit </w:t>
      </w:r>
      <w:r w:rsidRPr="00D94ACD">
        <w:rPr>
          <w:color w:val="000000"/>
          <w:sz w:val="24"/>
          <w:szCs w:val="24"/>
        </w:rPr>
        <w:t>organizations</w:t>
      </w:r>
      <w:r w:rsidRPr="00D94ACD" w:rsidR="001F302A">
        <w:rPr>
          <w:color w:val="000000"/>
          <w:sz w:val="24"/>
          <w:szCs w:val="24"/>
        </w:rPr>
        <w:t xml:space="preserve">, state and municipal </w:t>
      </w:r>
      <w:r w:rsidRPr="00D94ACD" w:rsidR="00762072">
        <w:rPr>
          <w:color w:val="000000"/>
          <w:sz w:val="24"/>
          <w:szCs w:val="24"/>
        </w:rPr>
        <w:t>agencies that</w:t>
      </w:r>
      <w:r w:rsidRPr="00D94ACD">
        <w:rPr>
          <w:color w:val="000000"/>
          <w:sz w:val="24"/>
          <w:szCs w:val="24"/>
        </w:rPr>
        <w:t xml:space="preserve"> are trained and experienced </w:t>
      </w:r>
      <w:r w:rsidRPr="00D94ACD" w:rsidR="00762072">
        <w:rPr>
          <w:color w:val="000000"/>
          <w:sz w:val="24"/>
          <w:szCs w:val="24"/>
        </w:rPr>
        <w:t>in sea turtle stranding response on land</w:t>
      </w:r>
      <w:r w:rsidRPr="00D94ACD">
        <w:rPr>
          <w:color w:val="000000"/>
          <w:sz w:val="24"/>
          <w:szCs w:val="24"/>
        </w:rPr>
        <w:t>. Their skills and geographic distribution throughout the region make them ideal members of the STDN. Federal and state agencies involved in the STDN include the U</w:t>
      </w:r>
      <w:r w:rsidRPr="00D94ACD" w:rsidR="00A93298">
        <w:rPr>
          <w:color w:val="000000"/>
          <w:sz w:val="24"/>
          <w:szCs w:val="24"/>
        </w:rPr>
        <w:t>nited States</w:t>
      </w:r>
      <w:r w:rsidRPr="00D94ACD">
        <w:rPr>
          <w:color w:val="000000"/>
          <w:sz w:val="24"/>
          <w:szCs w:val="24"/>
        </w:rPr>
        <w:t xml:space="preserve"> Coast Guard, state environmental police, </w:t>
      </w:r>
      <w:r w:rsidRPr="00D94ACD" w:rsidR="00762072">
        <w:rPr>
          <w:color w:val="000000"/>
          <w:sz w:val="24"/>
          <w:szCs w:val="24"/>
        </w:rPr>
        <w:t xml:space="preserve">state marine patrols, </w:t>
      </w:r>
      <w:r w:rsidRPr="00D94ACD">
        <w:rPr>
          <w:color w:val="000000"/>
          <w:sz w:val="24"/>
          <w:szCs w:val="24"/>
        </w:rPr>
        <w:t xml:space="preserve">and other agencies whose primary function </w:t>
      </w:r>
      <w:r w:rsidRPr="00D94ACD" w:rsidR="004B153E">
        <w:rPr>
          <w:color w:val="000000"/>
          <w:sz w:val="24"/>
          <w:szCs w:val="24"/>
        </w:rPr>
        <w:t>involves</w:t>
      </w:r>
      <w:r w:rsidRPr="00D94ACD">
        <w:rPr>
          <w:color w:val="000000"/>
          <w:sz w:val="24"/>
          <w:szCs w:val="24"/>
        </w:rPr>
        <w:t xml:space="preserve"> the marine </w:t>
      </w:r>
      <w:r w:rsidRPr="00D94ACD" w:rsidR="004B153E">
        <w:rPr>
          <w:color w:val="000000"/>
          <w:sz w:val="24"/>
          <w:szCs w:val="24"/>
        </w:rPr>
        <w:t>environment. These agencies have line</w:t>
      </w:r>
      <w:r w:rsidRPr="00D94ACD" w:rsidR="001258B8">
        <w:rPr>
          <w:color w:val="000000"/>
          <w:sz w:val="24"/>
          <w:szCs w:val="24"/>
        </w:rPr>
        <w:t xml:space="preserve"> </w:t>
      </w:r>
      <w:r w:rsidRPr="00D94ACD" w:rsidR="004B153E">
        <w:rPr>
          <w:color w:val="000000"/>
          <w:sz w:val="24"/>
          <w:szCs w:val="24"/>
        </w:rPr>
        <w:t>handling and on-water expertise, as well as the accessibility to the marine environment to facilitate a safe and timely response to entangled sea turtles.</w:t>
      </w:r>
      <w:r w:rsidRPr="00D94ACD" w:rsidR="006039CA">
        <w:rPr>
          <w:color w:val="000000"/>
          <w:sz w:val="24"/>
          <w:szCs w:val="24"/>
        </w:rPr>
        <w:t xml:space="preserve"> </w:t>
      </w:r>
    </w:p>
    <w:p w:rsidRPr="00D94ACD" w:rsidR="006039CA" w:rsidRDefault="006039CA">
      <w:pPr>
        <w:rPr>
          <w:sz w:val="24"/>
          <w:szCs w:val="24"/>
        </w:rPr>
      </w:pPr>
    </w:p>
    <w:p w:rsidRPr="00D94ACD" w:rsidR="006039CA" w:rsidRDefault="004F023F">
      <w:pPr>
        <w:rPr>
          <w:sz w:val="24"/>
          <w:szCs w:val="24"/>
        </w:rPr>
      </w:pPr>
      <w:r w:rsidRPr="00D94ACD">
        <w:rPr>
          <w:sz w:val="24"/>
          <w:szCs w:val="24"/>
        </w:rPr>
        <w:t>Detailed information, including</w:t>
      </w:r>
      <w:r w:rsidRPr="00D94ACD" w:rsidR="001258B8">
        <w:rPr>
          <w:sz w:val="24"/>
          <w:szCs w:val="24"/>
        </w:rPr>
        <w:t xml:space="preserve"> </w:t>
      </w:r>
      <w:r w:rsidRPr="00D94ACD">
        <w:rPr>
          <w:sz w:val="24"/>
          <w:szCs w:val="24"/>
        </w:rPr>
        <w:t>frequency, geographic distribution,</w:t>
      </w:r>
      <w:r w:rsidRPr="00D94ACD" w:rsidR="007C0034">
        <w:rPr>
          <w:sz w:val="24"/>
          <w:szCs w:val="24"/>
        </w:rPr>
        <w:t xml:space="preserve"> </w:t>
      </w:r>
      <w:r w:rsidRPr="00D94ACD">
        <w:rPr>
          <w:sz w:val="24"/>
          <w:szCs w:val="24"/>
        </w:rPr>
        <w:t>configuration, gear description</w:t>
      </w:r>
      <w:r w:rsidRPr="00D94ACD" w:rsidR="00FF5315">
        <w:rPr>
          <w:sz w:val="24"/>
          <w:szCs w:val="24"/>
        </w:rPr>
        <w:t>, and associated injury</w:t>
      </w:r>
      <w:r w:rsidRPr="00D94ACD" w:rsidR="006039CA">
        <w:rPr>
          <w:sz w:val="24"/>
          <w:szCs w:val="24"/>
        </w:rPr>
        <w:t xml:space="preserve"> is necessary </w:t>
      </w:r>
      <w:r w:rsidRPr="00D94ACD">
        <w:rPr>
          <w:sz w:val="24"/>
          <w:szCs w:val="24"/>
        </w:rPr>
        <w:t xml:space="preserve">for </w:t>
      </w:r>
      <w:r w:rsidRPr="00D94ACD" w:rsidR="005D2C67">
        <w:rPr>
          <w:sz w:val="24"/>
          <w:szCs w:val="24"/>
        </w:rPr>
        <w:t>NMFS</w:t>
      </w:r>
      <w:r w:rsidRPr="00D94ACD">
        <w:rPr>
          <w:sz w:val="24"/>
          <w:szCs w:val="24"/>
        </w:rPr>
        <w:t xml:space="preserve"> to potentially mitigate th</w:t>
      </w:r>
      <w:r w:rsidRPr="00D94ACD" w:rsidR="00FF5315">
        <w:rPr>
          <w:sz w:val="24"/>
          <w:szCs w:val="24"/>
        </w:rPr>
        <w:t>e</w:t>
      </w:r>
      <w:r w:rsidRPr="00D94ACD">
        <w:rPr>
          <w:sz w:val="24"/>
          <w:szCs w:val="24"/>
        </w:rPr>
        <w:t xml:space="preserve"> threat</w:t>
      </w:r>
      <w:r w:rsidRPr="00D94ACD" w:rsidR="00FF5315">
        <w:rPr>
          <w:sz w:val="24"/>
          <w:szCs w:val="24"/>
        </w:rPr>
        <w:t xml:space="preserve"> of entanglement in fixed gear fisheries</w:t>
      </w:r>
      <w:r w:rsidRPr="00D94ACD" w:rsidR="001258B8">
        <w:rPr>
          <w:sz w:val="24"/>
          <w:szCs w:val="24"/>
        </w:rPr>
        <w:t xml:space="preserve">. </w:t>
      </w:r>
      <w:r w:rsidRPr="00D94ACD">
        <w:rPr>
          <w:sz w:val="24"/>
          <w:szCs w:val="24"/>
        </w:rPr>
        <w:t xml:space="preserve">Mitigating threats </w:t>
      </w:r>
      <w:r w:rsidRPr="00D94ACD" w:rsidR="00B874A4">
        <w:rPr>
          <w:sz w:val="24"/>
          <w:szCs w:val="24"/>
        </w:rPr>
        <w:t>and conserving these species</w:t>
      </w:r>
      <w:r w:rsidRPr="00D94ACD" w:rsidR="001258B8">
        <w:rPr>
          <w:sz w:val="24"/>
          <w:szCs w:val="24"/>
        </w:rPr>
        <w:t xml:space="preserve"> is </w:t>
      </w:r>
      <w:r w:rsidRPr="00D94ACD" w:rsidR="006039CA">
        <w:rPr>
          <w:sz w:val="24"/>
          <w:szCs w:val="24"/>
        </w:rPr>
        <w:t xml:space="preserve">mandated by the </w:t>
      </w:r>
      <w:hyperlink w:history="1" r:id="rId9">
        <w:r w:rsidRPr="00D94ACD" w:rsidR="006039CA">
          <w:rPr>
            <w:rStyle w:val="Hyperlink"/>
            <w:sz w:val="24"/>
            <w:szCs w:val="24"/>
          </w:rPr>
          <w:t>Endangered S</w:t>
        </w:r>
        <w:r w:rsidRPr="00D94ACD" w:rsidR="00900ECF">
          <w:rPr>
            <w:rStyle w:val="Hyperlink"/>
            <w:sz w:val="24"/>
            <w:szCs w:val="24"/>
          </w:rPr>
          <w:t>pecies Act of 1973, as amended</w:t>
        </w:r>
      </w:hyperlink>
      <w:r w:rsidRPr="00D94ACD" w:rsidR="00E027E5">
        <w:rPr>
          <w:sz w:val="24"/>
          <w:szCs w:val="24"/>
        </w:rPr>
        <w:t xml:space="preserve"> (ESA)</w:t>
      </w:r>
      <w:r w:rsidRPr="00D94ACD" w:rsidR="006039CA">
        <w:rPr>
          <w:sz w:val="24"/>
          <w:szCs w:val="24"/>
        </w:rPr>
        <w:t xml:space="preserve">. </w:t>
      </w:r>
      <w:r w:rsidRPr="00D94ACD" w:rsidR="007C0034">
        <w:rPr>
          <w:sz w:val="24"/>
          <w:szCs w:val="24"/>
        </w:rPr>
        <w:t>This information</w:t>
      </w:r>
      <w:r w:rsidRPr="00D94ACD" w:rsidR="006039CA">
        <w:rPr>
          <w:sz w:val="24"/>
          <w:szCs w:val="24"/>
        </w:rPr>
        <w:t xml:space="preserve"> will help </w:t>
      </w:r>
      <w:r w:rsidRPr="00D94ACD" w:rsidR="007C0034">
        <w:rPr>
          <w:sz w:val="24"/>
          <w:szCs w:val="24"/>
        </w:rPr>
        <w:t xml:space="preserve">to assess the impact of fixed fishing gear entanglement on sea turtle populations in the </w:t>
      </w:r>
      <w:r w:rsidRPr="00D94ACD" w:rsidR="001F302A">
        <w:rPr>
          <w:sz w:val="24"/>
          <w:szCs w:val="24"/>
        </w:rPr>
        <w:t xml:space="preserve">Greater Atlantic </w:t>
      </w:r>
      <w:r w:rsidRPr="00D94ACD" w:rsidR="007C0034">
        <w:rPr>
          <w:sz w:val="24"/>
          <w:szCs w:val="24"/>
        </w:rPr>
        <w:t>Region and</w:t>
      </w:r>
      <w:r w:rsidRPr="00D94ACD" w:rsidR="006039CA">
        <w:rPr>
          <w:sz w:val="24"/>
          <w:szCs w:val="24"/>
        </w:rPr>
        <w:t xml:space="preserve"> determine if regulatory actions or management measures are necessary. Lack of </w:t>
      </w:r>
      <w:r w:rsidRPr="00D94ACD" w:rsidR="009576CF">
        <w:rPr>
          <w:sz w:val="24"/>
          <w:szCs w:val="24"/>
        </w:rPr>
        <w:t xml:space="preserve">consistent </w:t>
      </w:r>
      <w:r w:rsidRPr="00D94ACD" w:rsidR="006039CA">
        <w:rPr>
          <w:sz w:val="24"/>
          <w:szCs w:val="24"/>
        </w:rPr>
        <w:t xml:space="preserve">observer coverage for the majority of </w:t>
      </w:r>
      <w:r w:rsidRPr="00D94ACD" w:rsidR="00254D69">
        <w:rPr>
          <w:sz w:val="24"/>
          <w:szCs w:val="24"/>
        </w:rPr>
        <w:t>pot</w:t>
      </w:r>
      <w:r w:rsidRPr="00D94ACD" w:rsidR="006039CA">
        <w:rPr>
          <w:sz w:val="24"/>
          <w:szCs w:val="24"/>
        </w:rPr>
        <w:t xml:space="preserve"> fisheries makes this information collection especially critical</w:t>
      </w:r>
      <w:r w:rsidRPr="00D94ACD" w:rsidR="009576CF">
        <w:rPr>
          <w:sz w:val="24"/>
          <w:szCs w:val="24"/>
        </w:rPr>
        <w:t>, as it is the only source of information about these events</w:t>
      </w:r>
      <w:r w:rsidRPr="00D94ACD" w:rsidR="006039CA">
        <w:rPr>
          <w:sz w:val="24"/>
          <w:szCs w:val="24"/>
        </w:rPr>
        <w:t xml:space="preserve">. </w:t>
      </w:r>
    </w:p>
    <w:p w:rsidRPr="00D94ACD" w:rsidR="00407112" w:rsidRDefault="00407112">
      <w:pPr>
        <w:rPr>
          <w:sz w:val="24"/>
          <w:szCs w:val="24"/>
        </w:rPr>
      </w:pPr>
    </w:p>
    <w:p w:rsidRPr="00D94ACD" w:rsidR="00D94ACD" w:rsidP="00D94ACD" w:rsidRDefault="006039CA">
      <w:pPr>
        <w:pStyle w:val="Heading1"/>
        <w:keepNext w:val="0"/>
        <w:tabs>
          <w:tab w:val="left" w:pos="360"/>
        </w:tabs>
        <w:spacing w:before="197"/>
        <w:jc w:val="left"/>
      </w:pPr>
      <w:r w:rsidRPr="00D94ACD">
        <w:t xml:space="preserve">2.  </w:t>
      </w:r>
      <w:r w:rsidRPr="00D94ACD" w:rsidR="00D94ACD">
        <w:rPr>
          <w:bCs w:val="0"/>
        </w:rPr>
        <w:t>Indicate how, by whom, and for what purpose the information is to be used. Except for a</w:t>
      </w:r>
      <w:r w:rsidRPr="00D94ACD" w:rsidR="00D94ACD">
        <w:t xml:space="preserve"> </w:t>
      </w:r>
      <w:r w:rsidRPr="00D94ACD" w:rsidR="00D94ACD">
        <w:rPr>
          <w:bCs w:val="0"/>
        </w:rPr>
        <w:t>new collection, indicate the actual use the agency has made of the information received from the</w:t>
      </w:r>
      <w:r w:rsidRPr="00D94ACD" w:rsidR="00D94ACD">
        <w:t xml:space="preserve"> current</w:t>
      </w:r>
      <w:r w:rsidRPr="00D94ACD" w:rsidR="00D94ACD">
        <w:rPr>
          <w:spacing w:val="-1"/>
        </w:rPr>
        <w:t xml:space="preserve"> </w:t>
      </w:r>
      <w:r w:rsidRPr="00D94ACD" w:rsidR="00D94ACD">
        <w:t>collection.</w:t>
      </w:r>
    </w:p>
    <w:p w:rsidRPr="00D94ACD" w:rsidR="006039CA" w:rsidRDefault="006039CA">
      <w:pPr>
        <w:rPr>
          <w:sz w:val="24"/>
          <w:szCs w:val="24"/>
        </w:rPr>
      </w:pPr>
    </w:p>
    <w:p w:rsidRPr="00D94ACD" w:rsidR="00E0236A" w:rsidRDefault="00900ECF">
      <w:pPr>
        <w:rPr>
          <w:sz w:val="24"/>
          <w:szCs w:val="24"/>
        </w:rPr>
      </w:pPr>
      <w:r w:rsidRPr="00D94ACD">
        <w:rPr>
          <w:sz w:val="24"/>
          <w:szCs w:val="24"/>
        </w:rPr>
        <w:t xml:space="preserve">The Sea Turtle Disentanglement Guidelines and </w:t>
      </w:r>
      <w:r w:rsidRPr="00D94ACD" w:rsidR="00E027E5">
        <w:rPr>
          <w:sz w:val="24"/>
          <w:szCs w:val="24"/>
        </w:rPr>
        <w:t>STERF</w:t>
      </w:r>
      <w:r w:rsidRPr="00D94ACD" w:rsidR="00E0236A">
        <w:rPr>
          <w:sz w:val="24"/>
          <w:szCs w:val="24"/>
        </w:rPr>
        <w:t xml:space="preserve"> </w:t>
      </w:r>
      <w:r w:rsidRPr="00D94ACD">
        <w:rPr>
          <w:sz w:val="24"/>
          <w:szCs w:val="24"/>
        </w:rPr>
        <w:t>were disseminated to the STDN in July of 2004 after OMB emergency clearance</w:t>
      </w:r>
      <w:r w:rsidRPr="00D94ACD" w:rsidR="00E0236A">
        <w:rPr>
          <w:sz w:val="24"/>
          <w:szCs w:val="24"/>
        </w:rPr>
        <w:t>,</w:t>
      </w:r>
      <w:r w:rsidRPr="00D94ACD">
        <w:rPr>
          <w:sz w:val="24"/>
          <w:szCs w:val="24"/>
        </w:rPr>
        <w:t xml:space="preserve"> effective June 25, 2004. </w:t>
      </w:r>
      <w:r w:rsidRPr="00D94ACD" w:rsidR="00E0236A">
        <w:rPr>
          <w:sz w:val="24"/>
          <w:szCs w:val="24"/>
        </w:rPr>
        <w:t xml:space="preserve"> </w:t>
      </w:r>
      <w:r w:rsidRPr="00D94ACD">
        <w:rPr>
          <w:sz w:val="24"/>
          <w:szCs w:val="24"/>
        </w:rPr>
        <w:t xml:space="preserve">Full </w:t>
      </w:r>
      <w:r w:rsidRPr="00D94ACD" w:rsidR="00E0236A">
        <w:rPr>
          <w:sz w:val="24"/>
          <w:szCs w:val="24"/>
        </w:rPr>
        <w:t xml:space="preserve">OMB </w:t>
      </w:r>
      <w:r w:rsidRPr="00D94ACD">
        <w:rPr>
          <w:sz w:val="24"/>
          <w:szCs w:val="24"/>
        </w:rPr>
        <w:t xml:space="preserve">clearance occurred in December of 2004. </w:t>
      </w:r>
    </w:p>
    <w:p w:rsidRPr="00D94ACD" w:rsidR="00900ECF" w:rsidRDefault="00900ECF">
      <w:pPr>
        <w:rPr>
          <w:sz w:val="24"/>
          <w:szCs w:val="24"/>
        </w:rPr>
      </w:pPr>
      <w:r w:rsidRPr="00D94ACD">
        <w:rPr>
          <w:sz w:val="24"/>
          <w:szCs w:val="24"/>
        </w:rPr>
        <w:t xml:space="preserve"> </w:t>
      </w:r>
    </w:p>
    <w:p w:rsidRPr="00D94ACD" w:rsidR="00E0236A" w:rsidRDefault="00E0236A">
      <w:pPr>
        <w:pStyle w:val="BodyText"/>
        <w:widowControl w:val="0"/>
      </w:pPr>
      <w:r w:rsidRPr="00D94ACD">
        <w:t xml:space="preserve">Since </w:t>
      </w:r>
      <w:r w:rsidRPr="00D94ACD" w:rsidR="00F27378">
        <w:t>then</w:t>
      </w:r>
      <w:r w:rsidRPr="00D94ACD">
        <w:t>, m</w:t>
      </w:r>
      <w:r w:rsidRPr="00D94ACD" w:rsidR="00254D69">
        <w:t xml:space="preserve">embers of </w:t>
      </w:r>
      <w:r w:rsidRPr="00D94ACD">
        <w:t>the public have been</w:t>
      </w:r>
      <w:r w:rsidRPr="00D94ACD" w:rsidR="006039CA">
        <w:t xml:space="preserve"> requested to </w:t>
      </w:r>
      <w:r w:rsidRPr="00D94ACD" w:rsidR="00F27378">
        <w:t xml:space="preserve">report any entangled sea turtles to </w:t>
      </w:r>
      <w:r w:rsidRPr="00D94ACD" w:rsidR="005D2C67">
        <w:t>NMFS</w:t>
      </w:r>
      <w:r w:rsidRPr="00D94ACD" w:rsidR="004B0392">
        <w:t>. In the last 10 years (2010-19), 52.7</w:t>
      </w:r>
      <w:r w:rsidRPr="00D94ACD" w:rsidR="00407112">
        <w:t xml:space="preserve">% of telephone reports came from private citizens, </w:t>
      </w:r>
      <w:r w:rsidRPr="00D94ACD" w:rsidR="004B0392">
        <w:t>17.6</w:t>
      </w:r>
      <w:r w:rsidRPr="00D94ACD" w:rsidR="00407112">
        <w:t>% from businesses (including charter vessels</w:t>
      </w:r>
      <w:r w:rsidRPr="00D94ACD" w:rsidR="008C0B72">
        <w:t xml:space="preserve">, </w:t>
      </w:r>
      <w:r w:rsidRPr="00D94ACD" w:rsidR="00407112">
        <w:t>ferries</w:t>
      </w:r>
      <w:r w:rsidRPr="00D94ACD" w:rsidR="008C0B72">
        <w:t>, and commercial fishermen</w:t>
      </w:r>
      <w:r w:rsidRPr="00D94ACD" w:rsidR="00407112">
        <w:t xml:space="preserve">), </w:t>
      </w:r>
      <w:r w:rsidRPr="00D94ACD" w:rsidR="004B0392">
        <w:t>8.5</w:t>
      </w:r>
      <w:r w:rsidRPr="00D94ACD" w:rsidR="00407112">
        <w:t xml:space="preserve">% from federal agencies, </w:t>
      </w:r>
      <w:r w:rsidRPr="00D94ACD" w:rsidR="004B0392">
        <w:t>5.7</w:t>
      </w:r>
      <w:r w:rsidRPr="00D94ACD" w:rsidR="00407112">
        <w:t xml:space="preserve">% from state and local agencies, </w:t>
      </w:r>
      <w:r w:rsidRPr="00D94ACD" w:rsidR="004B0392">
        <w:t>4.4</w:t>
      </w:r>
      <w:r w:rsidRPr="00D94ACD" w:rsidR="00407112">
        <w:t>% from non-pro</w:t>
      </w:r>
      <w:r w:rsidRPr="00D94ACD" w:rsidR="008C0B72">
        <w:t>fit institutions or researchers)</w:t>
      </w:r>
      <w:r w:rsidRPr="00D94ACD" w:rsidR="004B0392">
        <w:t>, and 11.1% from unknown sources</w:t>
      </w:r>
      <w:r w:rsidRPr="00D94ACD" w:rsidR="008C0B72">
        <w:t xml:space="preserve">. </w:t>
      </w:r>
      <w:r w:rsidRPr="00D94ACD" w:rsidR="006039CA">
        <w:t>Informatio</w:t>
      </w:r>
      <w:r w:rsidRPr="00D94ACD" w:rsidR="00BF4CFE">
        <w:t xml:space="preserve">n provided in these phone calls </w:t>
      </w:r>
      <w:r w:rsidRPr="00D94ACD" w:rsidR="006039CA">
        <w:t>include</w:t>
      </w:r>
      <w:r w:rsidRPr="00D94ACD" w:rsidR="00E53036">
        <w:t>d</w:t>
      </w:r>
      <w:r w:rsidRPr="00D94ACD" w:rsidR="006039CA">
        <w:t xml:space="preserve">: </w:t>
      </w:r>
      <w:r w:rsidRPr="00D94ACD" w:rsidR="00656F76">
        <w:t>reporting party name and contact information</w:t>
      </w:r>
      <w:r w:rsidRPr="00D94ACD" w:rsidR="00656F76">
        <w:rPr>
          <w:color w:val="000000"/>
        </w:rPr>
        <w:t xml:space="preserve">, date and </w:t>
      </w:r>
      <w:r w:rsidRPr="00D94ACD" w:rsidR="006039CA">
        <w:rPr>
          <w:color w:val="000000"/>
        </w:rPr>
        <w:t>time of</w:t>
      </w:r>
      <w:r w:rsidRPr="00D94ACD" w:rsidR="00656F76">
        <w:rPr>
          <w:color w:val="000000"/>
        </w:rPr>
        <w:t xml:space="preserve"> </w:t>
      </w:r>
      <w:r w:rsidRPr="00D94ACD" w:rsidR="00D35194">
        <w:rPr>
          <w:color w:val="000000"/>
        </w:rPr>
        <w:t>observation,</w:t>
      </w:r>
      <w:r w:rsidRPr="00D94ACD" w:rsidR="006039CA">
        <w:rPr>
          <w:color w:val="000000"/>
        </w:rPr>
        <w:t xml:space="preserve"> location (</w:t>
      </w:r>
      <w:r w:rsidRPr="00D94ACD" w:rsidR="00656F76">
        <w:rPr>
          <w:color w:val="000000"/>
        </w:rPr>
        <w:t xml:space="preserve">including </w:t>
      </w:r>
      <w:r w:rsidRPr="00D94ACD" w:rsidR="006039CA">
        <w:rPr>
          <w:color w:val="000000"/>
        </w:rPr>
        <w:t>latitude and longitude), description of turtle fo</w:t>
      </w:r>
      <w:r w:rsidRPr="00D94ACD" w:rsidR="00472DF3">
        <w:rPr>
          <w:color w:val="000000"/>
        </w:rPr>
        <w:t>r species identification, condition</w:t>
      </w:r>
      <w:r w:rsidRPr="00D94ACD" w:rsidR="006039CA">
        <w:rPr>
          <w:color w:val="000000"/>
        </w:rPr>
        <w:t xml:space="preserve"> of turtle– alive or dead, description of entangling gear (rope, line, buoys, colors, ID numbers), location of entangling gear on </w:t>
      </w:r>
      <w:r w:rsidRPr="00D94ACD" w:rsidR="00E53036">
        <w:rPr>
          <w:color w:val="000000"/>
        </w:rPr>
        <w:t xml:space="preserve">the </w:t>
      </w:r>
      <w:r w:rsidRPr="00D94ACD" w:rsidR="006039CA">
        <w:rPr>
          <w:color w:val="000000"/>
        </w:rPr>
        <w:t>turtle (head, flippers, single wrap, multiple wraps), descript</w:t>
      </w:r>
      <w:r w:rsidRPr="00D94ACD" w:rsidR="00C669C4">
        <w:rPr>
          <w:color w:val="000000"/>
        </w:rPr>
        <w:t>ion of any visible injuries,</w:t>
      </w:r>
      <w:r w:rsidRPr="00D94ACD" w:rsidR="006039CA">
        <w:rPr>
          <w:color w:val="000000"/>
        </w:rPr>
        <w:t xml:space="preserve"> </w:t>
      </w:r>
      <w:r w:rsidRPr="00D94ACD" w:rsidR="00C669C4">
        <w:rPr>
          <w:color w:val="000000"/>
        </w:rPr>
        <w:t>and if photo documentation c</w:t>
      </w:r>
      <w:r w:rsidRPr="00D94ACD" w:rsidR="00E53036">
        <w:rPr>
          <w:color w:val="000000"/>
        </w:rPr>
        <w:t>ould</w:t>
      </w:r>
      <w:r w:rsidRPr="00D94ACD" w:rsidR="00C669C4">
        <w:rPr>
          <w:color w:val="000000"/>
        </w:rPr>
        <w:t xml:space="preserve"> be obtained</w:t>
      </w:r>
      <w:r w:rsidRPr="00D94ACD" w:rsidR="006039CA">
        <w:rPr>
          <w:color w:val="000000"/>
        </w:rPr>
        <w:t>.</w:t>
      </w:r>
      <w:r w:rsidRPr="00D94ACD" w:rsidR="006039CA">
        <w:t xml:space="preserve"> </w:t>
      </w:r>
      <w:r w:rsidRPr="00D94ACD" w:rsidR="006944D0">
        <w:t xml:space="preserve">Upon receiving a report of an entangled sea turtle, the appropriate </w:t>
      </w:r>
      <w:r w:rsidRPr="00D94ACD" w:rsidR="001258B8">
        <w:t>STDN</w:t>
      </w:r>
      <w:r w:rsidRPr="00D94ACD" w:rsidR="00F27378">
        <w:t xml:space="preserve"> </w:t>
      </w:r>
      <w:r w:rsidRPr="00D94ACD" w:rsidR="00E53036">
        <w:t>member was deployed to respond</w:t>
      </w:r>
      <w:r w:rsidRPr="00D94ACD" w:rsidR="006944D0">
        <w:t xml:space="preserve"> </w:t>
      </w:r>
      <w:r w:rsidRPr="00D94ACD" w:rsidR="00254D69">
        <w:t>for</w:t>
      </w:r>
      <w:r w:rsidRPr="00D94ACD" w:rsidR="006944D0">
        <w:t xml:space="preserve"> further documentation</w:t>
      </w:r>
      <w:r w:rsidRPr="00D94ACD" w:rsidR="00254D69">
        <w:t>,</w:t>
      </w:r>
      <w:r w:rsidRPr="00D94ACD" w:rsidR="006944D0">
        <w:t xml:space="preserve"> disentanglement</w:t>
      </w:r>
      <w:r w:rsidRPr="00D94ACD" w:rsidR="00254D69">
        <w:t xml:space="preserve">, and/or </w:t>
      </w:r>
      <w:r w:rsidRPr="00D94ACD" w:rsidR="00E53036">
        <w:t xml:space="preserve">collection of the animal for </w:t>
      </w:r>
      <w:r w:rsidRPr="00D94ACD" w:rsidR="00254D69">
        <w:t>treatment</w:t>
      </w:r>
      <w:r w:rsidRPr="00D94ACD" w:rsidR="00E53036">
        <w:t xml:space="preserve"> at a rehabilitation facility</w:t>
      </w:r>
      <w:r w:rsidRPr="00D94ACD" w:rsidR="006944D0">
        <w:t xml:space="preserve">. The </w:t>
      </w:r>
      <w:r w:rsidRPr="00D94ACD" w:rsidR="001258B8">
        <w:t>STDN</w:t>
      </w:r>
      <w:r w:rsidRPr="00D94ACD" w:rsidR="00F27378">
        <w:t xml:space="preserve"> </w:t>
      </w:r>
      <w:r w:rsidRPr="00D94ACD" w:rsidR="006944D0">
        <w:t>member use</w:t>
      </w:r>
      <w:r w:rsidRPr="00D94ACD" w:rsidR="00E53036">
        <w:t>d</w:t>
      </w:r>
      <w:r w:rsidRPr="00D94ACD" w:rsidR="006944D0">
        <w:t xml:space="preserve"> the information from the initial report, plus details obtained during response, to fill out the STERF. </w:t>
      </w:r>
      <w:r w:rsidRPr="00D94ACD" w:rsidR="004B1929">
        <w:t>Th</w:t>
      </w:r>
      <w:r w:rsidRPr="00D94ACD" w:rsidR="00E53036">
        <w:t>e STERF wa</w:t>
      </w:r>
      <w:r w:rsidRPr="00D94ACD" w:rsidR="006944D0">
        <w:t xml:space="preserve">s submitted to </w:t>
      </w:r>
      <w:r w:rsidRPr="00D94ACD" w:rsidR="005D2C67">
        <w:t>NMFS</w:t>
      </w:r>
      <w:r w:rsidRPr="00D94ACD" w:rsidR="00C83ACC">
        <w:t xml:space="preserve"> almost exclusively via</w:t>
      </w:r>
      <w:r w:rsidRPr="00D94ACD" w:rsidR="004B1929">
        <w:t xml:space="preserve"> </w:t>
      </w:r>
      <w:r w:rsidRPr="00D94ACD" w:rsidR="006D2A11">
        <w:t>e</w:t>
      </w:r>
      <w:r w:rsidRPr="00D94ACD" w:rsidR="004B1929">
        <w:t>mail</w:t>
      </w:r>
      <w:r w:rsidRPr="00D94ACD" w:rsidR="00C83ACC">
        <w:t>, but could be sent via postal mail or fax, as well</w:t>
      </w:r>
      <w:r w:rsidRPr="00D94ACD" w:rsidR="004B1929">
        <w:t>.</w:t>
      </w:r>
    </w:p>
    <w:p w:rsidRPr="00D94ACD" w:rsidR="00E0236A" w:rsidRDefault="00E0236A">
      <w:pPr>
        <w:pStyle w:val="BodyText"/>
        <w:widowControl w:val="0"/>
      </w:pPr>
    </w:p>
    <w:p w:rsidRPr="00D94ACD" w:rsidR="00E0236A" w:rsidP="00E0236A" w:rsidRDefault="00D35194">
      <w:pPr>
        <w:pStyle w:val="BodyText"/>
      </w:pPr>
      <w:r w:rsidRPr="00D94ACD">
        <w:lastRenderedPageBreak/>
        <w:t xml:space="preserve">These </w:t>
      </w:r>
      <w:r w:rsidRPr="00D94ACD" w:rsidR="00272E6E">
        <w:t xml:space="preserve">report </w:t>
      </w:r>
      <w:r w:rsidRPr="00D94ACD">
        <w:t>forms are archived</w:t>
      </w:r>
      <w:r w:rsidRPr="00D94ACD" w:rsidR="00B90F9D">
        <w:t xml:space="preserve"> by </w:t>
      </w:r>
      <w:r w:rsidRPr="00D94ACD" w:rsidR="005D2C67">
        <w:t>NMFS</w:t>
      </w:r>
      <w:r w:rsidRPr="00D94ACD" w:rsidR="00C669C4">
        <w:t xml:space="preserve"> </w:t>
      </w:r>
      <w:r w:rsidRPr="00D94ACD" w:rsidR="0099305C">
        <w:t>GARFO</w:t>
      </w:r>
      <w:r w:rsidRPr="00D94ACD" w:rsidR="006039CA">
        <w:t xml:space="preserve"> Protected </w:t>
      </w:r>
      <w:r w:rsidRPr="00D94ACD">
        <w:t>R</w:t>
      </w:r>
      <w:r w:rsidRPr="00D94ACD" w:rsidR="006039CA">
        <w:t>esour</w:t>
      </w:r>
      <w:r w:rsidRPr="00D94ACD" w:rsidR="00E0236A">
        <w:t>ces Division</w:t>
      </w:r>
      <w:r w:rsidRPr="00D94ACD" w:rsidR="00E53036">
        <w:t xml:space="preserve"> and they are </w:t>
      </w:r>
      <w:r w:rsidRPr="00D94ACD" w:rsidR="00472DF3">
        <w:t xml:space="preserve">used to monitor the level </w:t>
      </w:r>
      <w:r w:rsidRPr="00D94ACD" w:rsidR="007B634A">
        <w:t xml:space="preserve">and nature </w:t>
      </w:r>
      <w:r w:rsidRPr="00D94ACD" w:rsidR="00472DF3">
        <w:t xml:space="preserve">of incidental take of sea turtles in </w:t>
      </w:r>
      <w:r w:rsidRPr="00D94ACD" w:rsidR="006D2A11">
        <w:t>fixed</w:t>
      </w:r>
      <w:r w:rsidRPr="00D94ACD" w:rsidR="00472DF3">
        <w:t xml:space="preserve"> gear fisheries</w:t>
      </w:r>
      <w:r w:rsidRPr="00D94ACD" w:rsidR="00E0236A">
        <w:t xml:space="preserve"> in the </w:t>
      </w:r>
      <w:r w:rsidRPr="00D94ACD" w:rsidR="00F27378">
        <w:t>r</w:t>
      </w:r>
      <w:r w:rsidRPr="00D94ACD" w:rsidR="00E0236A">
        <w:t>egion</w:t>
      </w:r>
      <w:r w:rsidRPr="00D94ACD" w:rsidR="00472DF3">
        <w:t xml:space="preserve">. The information </w:t>
      </w:r>
      <w:r w:rsidRPr="00D94ACD">
        <w:t>is</w:t>
      </w:r>
      <w:r w:rsidRPr="00D94ACD" w:rsidR="00472DF3">
        <w:t xml:space="preserve"> </w:t>
      </w:r>
      <w:r w:rsidRPr="00D94ACD" w:rsidR="006039CA">
        <w:t>distributed to the Northeast Fisheries Science Center and the Office of Protected Resources</w:t>
      </w:r>
      <w:r w:rsidRPr="00D94ACD" w:rsidR="00B90F9D">
        <w:t>, as needed</w:t>
      </w:r>
      <w:r w:rsidRPr="00D94ACD" w:rsidR="00694F35">
        <w:t xml:space="preserve"> and as requested</w:t>
      </w:r>
      <w:r w:rsidRPr="00D94ACD" w:rsidR="006039CA">
        <w:t xml:space="preserve">. </w:t>
      </w:r>
      <w:r w:rsidRPr="00D94ACD">
        <w:t xml:space="preserve">It is used within </w:t>
      </w:r>
      <w:r w:rsidRPr="00D94ACD" w:rsidR="0099305C">
        <w:t xml:space="preserve">GARFO </w:t>
      </w:r>
      <w:r w:rsidRPr="00D94ACD">
        <w:t>for management actions</w:t>
      </w:r>
      <w:r w:rsidRPr="00D94ACD" w:rsidR="00D54845">
        <w:t>,</w:t>
      </w:r>
      <w:r w:rsidRPr="00D94ACD">
        <w:t xml:space="preserve"> such as ESA section 7 </w:t>
      </w:r>
      <w:r w:rsidRPr="00D94ACD" w:rsidR="00BF4F69">
        <w:t>consultations</w:t>
      </w:r>
      <w:r w:rsidRPr="00D94ACD">
        <w:t>.</w:t>
      </w:r>
      <w:r w:rsidRPr="00D94ACD" w:rsidR="00D54845">
        <w:t xml:space="preserve"> It is also available to federal or state agencies, or the public upon request. </w:t>
      </w:r>
      <w:r w:rsidRPr="00D94ACD" w:rsidR="00E53036">
        <w:t xml:space="preserve">Multiple requests were received and filled during the last PRA period. </w:t>
      </w:r>
      <w:r w:rsidRPr="00D94ACD" w:rsidR="00D54845">
        <w:t xml:space="preserve">It </w:t>
      </w:r>
      <w:r w:rsidRPr="00D94ACD" w:rsidR="00E53036">
        <w:t>was</w:t>
      </w:r>
      <w:r w:rsidRPr="00D94ACD" w:rsidR="00D54845">
        <w:t xml:space="preserve"> used to inform the development of aquaculture Best Management Practices, for states to develop Habitat Conservation Plans, for conservation initiatives such as safe seafood evaluations, and more.</w:t>
      </w:r>
      <w:r w:rsidRPr="00D94ACD">
        <w:t xml:space="preserve">  </w:t>
      </w:r>
    </w:p>
    <w:p w:rsidRPr="00D94ACD" w:rsidR="00F547B1" w:rsidP="00E0236A" w:rsidRDefault="00F547B1">
      <w:pPr>
        <w:pStyle w:val="BodyText"/>
      </w:pPr>
    </w:p>
    <w:p w:rsidRPr="00D94ACD" w:rsidR="000374F7" w:rsidP="00E0236A" w:rsidRDefault="00F27378">
      <w:pPr>
        <w:pStyle w:val="BodyText"/>
      </w:pPr>
      <w:r w:rsidRPr="00D94ACD">
        <w:t>From 20</w:t>
      </w:r>
      <w:r w:rsidRPr="00D94ACD" w:rsidR="006D677C">
        <w:t>10</w:t>
      </w:r>
      <w:r w:rsidRPr="00D94ACD">
        <w:t xml:space="preserve"> to 201</w:t>
      </w:r>
      <w:r w:rsidRPr="00D94ACD" w:rsidR="006D677C">
        <w:t>9</w:t>
      </w:r>
      <w:r w:rsidRPr="00D94ACD" w:rsidR="00D35194">
        <w:t>,</w:t>
      </w:r>
      <w:r w:rsidRPr="00D94ACD" w:rsidR="000B502A">
        <w:t xml:space="preserve"> the STDN</w:t>
      </w:r>
      <w:r w:rsidRPr="00D94ACD" w:rsidR="00E0236A">
        <w:t xml:space="preserve"> received </w:t>
      </w:r>
      <w:r w:rsidRPr="00D94ACD" w:rsidR="006D677C">
        <w:t>387</w:t>
      </w:r>
      <w:r w:rsidRPr="00D94ACD">
        <w:t xml:space="preserve"> </w:t>
      </w:r>
      <w:r w:rsidRPr="00D94ACD" w:rsidR="00E0236A">
        <w:t>sea turtle entanglement reports</w:t>
      </w:r>
      <w:r w:rsidRPr="00D94ACD" w:rsidR="006D677C">
        <w:t>; the data collected from these events continues to expand</w:t>
      </w:r>
      <w:r w:rsidRPr="00D94ACD" w:rsidR="00E0236A">
        <w:t xml:space="preserve"> our understanding of sea turtle entanglement</w:t>
      </w:r>
      <w:r w:rsidRPr="00D94ACD" w:rsidR="00237A5C">
        <w:t>s</w:t>
      </w:r>
      <w:r w:rsidRPr="00D94ACD" w:rsidR="006D677C">
        <w:t>, including changing trends in distribution, gears involved, and level of injury</w:t>
      </w:r>
      <w:r w:rsidRPr="00D94ACD" w:rsidR="00E0236A">
        <w:t xml:space="preserve">. </w:t>
      </w:r>
      <w:r w:rsidRPr="00D94ACD" w:rsidR="00FE7D35">
        <w:t xml:space="preserve">We </w:t>
      </w:r>
      <w:r w:rsidRPr="00D94ACD" w:rsidR="00AF3EC0">
        <w:t xml:space="preserve">use the information collected </w:t>
      </w:r>
      <w:r w:rsidRPr="00D94ACD" w:rsidR="00BE3601">
        <w:t xml:space="preserve">in the </w:t>
      </w:r>
      <w:r w:rsidRPr="00D94ACD" w:rsidR="007714F9">
        <w:t xml:space="preserve">“Gear Type” and </w:t>
      </w:r>
      <w:r w:rsidRPr="00D94ACD" w:rsidR="00C92286">
        <w:t>“Gear Details”</w:t>
      </w:r>
      <w:r w:rsidRPr="00D94ACD" w:rsidR="00BE3601">
        <w:t xml:space="preserve"> section</w:t>
      </w:r>
      <w:r w:rsidRPr="00D94ACD" w:rsidR="007714F9">
        <w:t>s</w:t>
      </w:r>
      <w:r w:rsidRPr="00D94ACD" w:rsidR="00BE3601">
        <w:t xml:space="preserve"> </w:t>
      </w:r>
      <w:r w:rsidRPr="00D94ACD" w:rsidR="00076E17">
        <w:t xml:space="preserve">of the STERF </w:t>
      </w:r>
      <w:r w:rsidRPr="00D94ACD" w:rsidR="00BE3601">
        <w:t xml:space="preserve">to positively </w:t>
      </w:r>
      <w:r w:rsidRPr="00D94ACD" w:rsidR="00AF3EC0">
        <w:t xml:space="preserve">identify the </w:t>
      </w:r>
      <w:r w:rsidRPr="00D94ACD" w:rsidR="00FE7D35">
        <w:t xml:space="preserve">target </w:t>
      </w:r>
      <w:r w:rsidRPr="00D94ACD" w:rsidR="00BE3601">
        <w:t xml:space="preserve">fishery </w:t>
      </w:r>
      <w:r w:rsidRPr="00D94ACD" w:rsidR="007714F9">
        <w:t xml:space="preserve">and, when possible, the </w:t>
      </w:r>
      <w:r w:rsidRPr="00D94ACD" w:rsidR="004A79F9">
        <w:t>gear owner</w:t>
      </w:r>
      <w:r w:rsidRPr="00D94ACD" w:rsidR="007714F9">
        <w:t xml:space="preserve"> </w:t>
      </w:r>
      <w:r w:rsidRPr="00D94ACD" w:rsidR="00BE3601">
        <w:t xml:space="preserve">involved in </w:t>
      </w:r>
      <w:r w:rsidRPr="00D94ACD" w:rsidR="00AF3EC0">
        <w:t>entanglement</w:t>
      </w:r>
      <w:r w:rsidRPr="00D94ACD" w:rsidR="00237A5C">
        <w:t>s</w:t>
      </w:r>
      <w:r w:rsidRPr="00D94ACD" w:rsidR="007714F9">
        <w:t xml:space="preserve">. Identification of target fishery allows </w:t>
      </w:r>
      <w:r w:rsidRPr="00D94ACD" w:rsidR="00B434A8">
        <w:t>for better</w:t>
      </w:r>
      <w:r w:rsidRPr="00D94ACD" w:rsidR="00BE3601">
        <w:t xml:space="preserve"> </w:t>
      </w:r>
      <w:r w:rsidRPr="00D94ACD" w:rsidR="00B434A8">
        <w:t xml:space="preserve">monitoring </w:t>
      </w:r>
      <w:r w:rsidRPr="00D94ACD" w:rsidR="00237A5C">
        <w:t xml:space="preserve">of </w:t>
      </w:r>
      <w:r w:rsidRPr="00D94ACD" w:rsidR="00B434A8">
        <w:t>the number of takes per fishery.</w:t>
      </w:r>
      <w:r w:rsidRPr="00D94ACD" w:rsidR="00076E17">
        <w:t xml:space="preserve"> </w:t>
      </w:r>
      <w:r w:rsidRPr="00D94ACD" w:rsidR="007714F9">
        <w:t xml:space="preserve">Identification of gear owner </w:t>
      </w:r>
      <w:r w:rsidRPr="00D94ACD" w:rsidR="00076E17">
        <w:t>allow</w:t>
      </w:r>
      <w:r w:rsidRPr="00D94ACD" w:rsidR="007714F9">
        <w:t>s</w:t>
      </w:r>
      <w:r w:rsidRPr="00D94ACD" w:rsidR="00076E17">
        <w:t xml:space="preserve"> us to conduct a follow-up interview </w:t>
      </w:r>
      <w:r w:rsidRPr="00D94ACD" w:rsidR="007714F9">
        <w:t>to learn more about how and where the gear was set and its configuration</w:t>
      </w:r>
      <w:r w:rsidRPr="00D94ACD" w:rsidR="00076E17">
        <w:t>.</w:t>
      </w:r>
      <w:r w:rsidRPr="00D94ACD" w:rsidR="000374F7">
        <w:t xml:space="preserve"> </w:t>
      </w:r>
      <w:r w:rsidRPr="00D94ACD" w:rsidR="007714F9">
        <w:t xml:space="preserve">This information cannot be collected through alternate means and is invaluable to </w:t>
      </w:r>
      <w:r w:rsidRPr="00D94ACD" w:rsidR="006D677C">
        <w:t xml:space="preserve">a </w:t>
      </w:r>
      <w:r w:rsidRPr="00D94ACD" w:rsidR="007714F9">
        <w:t xml:space="preserve">better understanding of entanglements and potential mitigation measures. </w:t>
      </w:r>
      <w:r w:rsidRPr="00D94ACD" w:rsidR="000B502A">
        <w:t>The</w:t>
      </w:r>
      <w:r w:rsidRPr="00D94ACD" w:rsidR="00953C04">
        <w:t xml:space="preserve"> </w:t>
      </w:r>
      <w:r w:rsidRPr="00D94ACD" w:rsidR="0099305C">
        <w:t xml:space="preserve">GARFO Protected Resources Division </w:t>
      </w:r>
      <w:r w:rsidRPr="00D94ACD" w:rsidR="00953C04">
        <w:t>g</w:t>
      </w:r>
      <w:r w:rsidRPr="00D94ACD" w:rsidR="00885068">
        <w:t xml:space="preserve">ear </w:t>
      </w:r>
      <w:r w:rsidRPr="00D94ACD" w:rsidR="00953C04">
        <w:t>t</w:t>
      </w:r>
      <w:r w:rsidRPr="00D94ACD" w:rsidR="00885068">
        <w:t>eam</w:t>
      </w:r>
      <w:r w:rsidRPr="00D94ACD" w:rsidR="000374F7">
        <w:t xml:space="preserve"> conduct</w:t>
      </w:r>
      <w:r w:rsidRPr="00D94ACD" w:rsidR="00885068">
        <w:t>s</w:t>
      </w:r>
      <w:r w:rsidRPr="00D94ACD" w:rsidR="000374F7">
        <w:t xml:space="preserve"> </w:t>
      </w:r>
      <w:r w:rsidRPr="00D94ACD" w:rsidR="001B3E39">
        <w:t xml:space="preserve">these </w:t>
      </w:r>
      <w:r w:rsidRPr="00D94ACD" w:rsidR="000374F7">
        <w:t xml:space="preserve">interviews, which </w:t>
      </w:r>
      <w:r w:rsidRPr="00D94ACD" w:rsidR="001B3E39">
        <w:t>gather</w:t>
      </w:r>
      <w:r w:rsidRPr="00D94ACD" w:rsidR="000374F7">
        <w:t xml:space="preserve"> the following information:</w:t>
      </w:r>
    </w:p>
    <w:p w:rsidRPr="00D94ACD" w:rsidR="00030FDD" w:rsidP="00E0236A" w:rsidRDefault="00030FDD">
      <w:pPr>
        <w:pStyle w:val="BodyText"/>
      </w:pPr>
    </w:p>
    <w:p w:rsidRPr="00D94ACD" w:rsidR="000374F7" w:rsidP="000374F7" w:rsidRDefault="000374F7">
      <w:pPr>
        <w:pStyle w:val="BodyText"/>
        <w:numPr>
          <w:ilvl w:val="0"/>
          <w:numId w:val="5"/>
        </w:numPr>
      </w:pPr>
      <w:r w:rsidRPr="00D94ACD">
        <w:t>Gear type and target species;</w:t>
      </w:r>
    </w:p>
    <w:p w:rsidRPr="00D94ACD" w:rsidR="000374F7" w:rsidP="000374F7" w:rsidRDefault="000374F7">
      <w:pPr>
        <w:pStyle w:val="BodyText"/>
        <w:numPr>
          <w:ilvl w:val="0"/>
          <w:numId w:val="5"/>
        </w:numPr>
      </w:pPr>
      <w:r w:rsidRPr="00D94ACD">
        <w:t>Gear configuration and construction;</w:t>
      </w:r>
    </w:p>
    <w:p w:rsidRPr="00D94ACD" w:rsidR="000374F7" w:rsidP="000374F7" w:rsidRDefault="000374F7">
      <w:pPr>
        <w:pStyle w:val="BodyText"/>
        <w:numPr>
          <w:ilvl w:val="0"/>
          <w:numId w:val="5"/>
        </w:numPr>
      </w:pPr>
      <w:r w:rsidRPr="00D94ACD">
        <w:t>Date and location gear was last set;</w:t>
      </w:r>
    </w:p>
    <w:p w:rsidRPr="00D94ACD" w:rsidR="000374F7" w:rsidP="000374F7" w:rsidRDefault="000374F7">
      <w:pPr>
        <w:pStyle w:val="BodyText"/>
        <w:numPr>
          <w:ilvl w:val="0"/>
          <w:numId w:val="5"/>
        </w:numPr>
      </w:pPr>
      <w:r w:rsidRPr="00D94ACD">
        <w:t>Bottom type and current influence;</w:t>
      </w:r>
      <w:r w:rsidRPr="00D94ACD" w:rsidR="001D74B6">
        <w:t xml:space="preserve"> and</w:t>
      </w:r>
    </w:p>
    <w:p w:rsidRPr="00D94ACD" w:rsidR="000374F7" w:rsidP="000374F7" w:rsidRDefault="000374F7">
      <w:pPr>
        <w:pStyle w:val="BodyText"/>
        <w:numPr>
          <w:ilvl w:val="0"/>
          <w:numId w:val="5"/>
        </w:numPr>
      </w:pPr>
      <w:r w:rsidRPr="00D94ACD">
        <w:t>Whether the fisherman witnessed the entanglement and, if so, a description of the chain of events.</w:t>
      </w:r>
    </w:p>
    <w:p w:rsidRPr="00D94ACD" w:rsidR="00030FDD" w:rsidP="00030FDD" w:rsidRDefault="00030FDD">
      <w:pPr>
        <w:pStyle w:val="BodyText"/>
        <w:ind w:left="828"/>
      </w:pPr>
    </w:p>
    <w:p w:rsidRPr="00D94ACD" w:rsidR="006A30E5" w:rsidP="00E0236A" w:rsidRDefault="00C92286">
      <w:pPr>
        <w:pStyle w:val="BodyText"/>
      </w:pPr>
      <w:r w:rsidRPr="00D94ACD">
        <w:t xml:space="preserve">The “Entanglement </w:t>
      </w:r>
      <w:r w:rsidRPr="00D94ACD" w:rsidR="004B5ED8">
        <w:t>/Wound Description</w:t>
      </w:r>
      <w:r w:rsidRPr="00D94ACD" w:rsidR="001F302A">
        <w:t>”</w:t>
      </w:r>
      <w:r w:rsidRPr="00D94ACD" w:rsidR="004B5ED8">
        <w:t xml:space="preserve"> and “Behavioral Observations” sections provide vital information, including location of the gear on the turtle, associated wounds, and turtle demeanor, to allow us to </w:t>
      </w:r>
      <w:r w:rsidRPr="00D94ACD" w:rsidR="004A79F9">
        <w:t>estimate post interaction mortality</w:t>
      </w:r>
      <w:r w:rsidRPr="00D94ACD" w:rsidR="004B5ED8">
        <w:t xml:space="preserve">. </w:t>
      </w:r>
      <w:r w:rsidRPr="00D94ACD" w:rsidR="001D74B6">
        <w:t>These sections have been expanded from the original form to the current one in order to better assess the likelihood of survi</w:t>
      </w:r>
      <w:r w:rsidRPr="00D94ACD" w:rsidR="00E53036">
        <w:t>v</w:t>
      </w:r>
      <w:r w:rsidRPr="00D94ACD" w:rsidR="001D74B6">
        <w:t xml:space="preserve">al post release, an important to better evaluate overall mortality due to these interactions. </w:t>
      </w:r>
      <w:r w:rsidRPr="00D94ACD" w:rsidR="006A30E5">
        <w:t xml:space="preserve">Information is also collected on the sea turtle’s size and sex in order to define the age and sex classes that are most impacted by entanglement.  </w:t>
      </w:r>
      <w:r w:rsidRPr="00D94ACD">
        <w:t xml:space="preserve">  </w:t>
      </w:r>
    </w:p>
    <w:p w:rsidRPr="00D94ACD" w:rsidR="00407112" w:rsidP="00E0236A" w:rsidRDefault="00407112">
      <w:pPr>
        <w:pStyle w:val="BodyText"/>
      </w:pPr>
    </w:p>
    <w:p w:rsidRPr="00D94ACD" w:rsidR="00407112" w:rsidP="00407112" w:rsidRDefault="00394689">
      <w:pPr>
        <w:rPr>
          <w:sz w:val="24"/>
          <w:szCs w:val="24"/>
          <w:shd w:val="clear" w:color="auto" w:fill="FFFFFF"/>
        </w:rPr>
      </w:pPr>
      <w:r w:rsidRPr="00D94ACD">
        <w:rPr>
          <w:sz w:val="24"/>
          <w:szCs w:val="24"/>
          <w:shd w:val="clear" w:color="auto" w:fill="FFFFFF"/>
        </w:rPr>
        <w:t>There are three steps involved in this data collection</w:t>
      </w:r>
      <w:r w:rsidRPr="00D94ACD" w:rsidR="00407112">
        <w:rPr>
          <w:sz w:val="24"/>
          <w:szCs w:val="24"/>
          <w:shd w:val="clear" w:color="auto" w:fill="FFFFFF"/>
        </w:rPr>
        <w:t>:</w:t>
      </w:r>
    </w:p>
    <w:p w:rsidRPr="00D94ACD" w:rsidR="00407112" w:rsidP="00407112" w:rsidRDefault="00407112">
      <w:pPr>
        <w:rPr>
          <w:sz w:val="24"/>
          <w:szCs w:val="24"/>
          <w:shd w:val="clear" w:color="auto" w:fill="FFFFFF"/>
        </w:rPr>
      </w:pPr>
    </w:p>
    <w:p w:rsidRPr="00D94ACD" w:rsidR="00407112" w:rsidP="00407112" w:rsidRDefault="00407112">
      <w:pPr>
        <w:numPr>
          <w:ilvl w:val="0"/>
          <w:numId w:val="7"/>
        </w:numPr>
        <w:rPr>
          <w:sz w:val="24"/>
          <w:szCs w:val="24"/>
        </w:rPr>
      </w:pPr>
      <w:r w:rsidRPr="00D94ACD">
        <w:rPr>
          <w:sz w:val="24"/>
          <w:szCs w:val="24"/>
          <w:shd w:val="clear" w:color="auto" w:fill="FFFFFF"/>
        </w:rPr>
        <w:t>T</w:t>
      </w:r>
      <w:r w:rsidRPr="00D94ACD" w:rsidR="001D74B6">
        <w:rPr>
          <w:sz w:val="24"/>
          <w:szCs w:val="24"/>
          <w:shd w:val="clear" w:color="auto" w:fill="FFFFFF"/>
        </w:rPr>
        <w:t>he initial report comes in from</w:t>
      </w:r>
      <w:r w:rsidRPr="00D94ACD">
        <w:rPr>
          <w:sz w:val="24"/>
          <w:szCs w:val="24"/>
          <w:shd w:val="clear" w:color="auto" w:fill="FFFFFF"/>
        </w:rPr>
        <w:t xml:space="preserve"> private </w:t>
      </w:r>
      <w:r w:rsidRPr="00D94ACD" w:rsidR="001D74B6">
        <w:rPr>
          <w:sz w:val="24"/>
          <w:szCs w:val="24"/>
          <w:shd w:val="clear" w:color="auto" w:fill="FFFFFF"/>
        </w:rPr>
        <w:t>citizens, small businesses, federal, state, municipal, or tribal agencies, or non-profit organizations.</w:t>
      </w:r>
      <w:r w:rsidRPr="00D94ACD">
        <w:rPr>
          <w:sz w:val="24"/>
          <w:szCs w:val="24"/>
          <w:shd w:val="clear" w:color="auto" w:fill="FFFFFF"/>
        </w:rPr>
        <w:t xml:space="preserve"> Some of th</w:t>
      </w:r>
      <w:r w:rsidRPr="00D94ACD" w:rsidR="00953C04">
        <w:rPr>
          <w:sz w:val="24"/>
          <w:szCs w:val="24"/>
          <w:shd w:val="clear" w:color="auto" w:fill="FFFFFF"/>
        </w:rPr>
        <w:t xml:space="preserve">is initial </w:t>
      </w:r>
      <w:r w:rsidRPr="00D94ACD">
        <w:rPr>
          <w:sz w:val="24"/>
          <w:szCs w:val="24"/>
          <w:shd w:val="clear" w:color="auto" w:fill="FFFFFF"/>
        </w:rPr>
        <w:t>info</w:t>
      </w:r>
      <w:r w:rsidRPr="00D94ACD" w:rsidR="00953C04">
        <w:rPr>
          <w:sz w:val="24"/>
          <w:szCs w:val="24"/>
          <w:shd w:val="clear" w:color="auto" w:fill="FFFFFF"/>
        </w:rPr>
        <w:t>rmation</w:t>
      </w:r>
      <w:r w:rsidRPr="00D94ACD">
        <w:rPr>
          <w:sz w:val="24"/>
          <w:szCs w:val="24"/>
          <w:shd w:val="clear" w:color="auto" w:fill="FFFFFF"/>
        </w:rPr>
        <w:t xml:space="preserve"> will later be </w:t>
      </w:r>
      <w:r w:rsidRPr="00D94ACD" w:rsidR="00953C04">
        <w:rPr>
          <w:sz w:val="24"/>
          <w:szCs w:val="24"/>
          <w:shd w:val="clear" w:color="auto" w:fill="FFFFFF"/>
        </w:rPr>
        <w:t xml:space="preserve">used to fill out </w:t>
      </w:r>
      <w:r w:rsidRPr="00D94ACD">
        <w:rPr>
          <w:sz w:val="24"/>
          <w:szCs w:val="24"/>
          <w:shd w:val="clear" w:color="auto" w:fill="FFFFFF"/>
        </w:rPr>
        <w:t xml:space="preserve">the entanglement form. The reporting party will often also stand by the turtle to wait for responders to arrive. </w:t>
      </w:r>
    </w:p>
    <w:p w:rsidRPr="00D94ACD" w:rsidR="00407112" w:rsidP="00407112" w:rsidRDefault="001D74B6">
      <w:pPr>
        <w:numPr>
          <w:ilvl w:val="0"/>
          <w:numId w:val="7"/>
        </w:numPr>
        <w:rPr>
          <w:sz w:val="24"/>
          <w:szCs w:val="24"/>
        </w:rPr>
      </w:pPr>
      <w:r w:rsidRPr="00D94ACD">
        <w:rPr>
          <w:sz w:val="24"/>
          <w:szCs w:val="24"/>
          <w:shd w:val="clear" w:color="auto" w:fill="FFFFFF"/>
        </w:rPr>
        <w:t xml:space="preserve">The STDN, made up of non-profit organizations and federal and state agencies, </w:t>
      </w:r>
      <w:r w:rsidRPr="00D94ACD" w:rsidR="00407112">
        <w:rPr>
          <w:sz w:val="24"/>
          <w:szCs w:val="24"/>
          <w:shd w:val="clear" w:color="auto" w:fill="FFFFFF"/>
        </w:rPr>
        <w:t>responds and while they are on scene, they collect the rest of the information to fill out the form</w:t>
      </w:r>
      <w:r w:rsidRPr="00D94ACD">
        <w:rPr>
          <w:sz w:val="24"/>
          <w:szCs w:val="24"/>
          <w:shd w:val="clear" w:color="auto" w:fill="FFFFFF"/>
        </w:rPr>
        <w:t xml:space="preserve"> and later submit it, usually via email, to NMFS</w:t>
      </w:r>
      <w:r w:rsidRPr="00D94ACD" w:rsidR="00407112">
        <w:rPr>
          <w:sz w:val="24"/>
          <w:szCs w:val="24"/>
          <w:shd w:val="clear" w:color="auto" w:fill="FFFFFF"/>
        </w:rPr>
        <w:t xml:space="preserve">.   </w:t>
      </w:r>
    </w:p>
    <w:p w:rsidRPr="00D94ACD" w:rsidR="00407112" w:rsidP="00407112" w:rsidRDefault="00407112">
      <w:pPr>
        <w:numPr>
          <w:ilvl w:val="0"/>
          <w:numId w:val="7"/>
        </w:numPr>
        <w:rPr>
          <w:sz w:val="24"/>
          <w:szCs w:val="24"/>
        </w:rPr>
      </w:pPr>
      <w:r w:rsidRPr="00D94ACD">
        <w:rPr>
          <w:sz w:val="24"/>
          <w:szCs w:val="24"/>
          <w:shd w:val="clear" w:color="auto" w:fill="FFFFFF"/>
        </w:rPr>
        <w:t xml:space="preserve">If there is gear identification information (buoy numbers, </w:t>
      </w:r>
      <w:proofErr w:type="spellStart"/>
      <w:r w:rsidRPr="00D94ACD">
        <w:rPr>
          <w:sz w:val="24"/>
          <w:szCs w:val="24"/>
          <w:shd w:val="clear" w:color="auto" w:fill="FFFFFF"/>
        </w:rPr>
        <w:t>etc</w:t>
      </w:r>
      <w:proofErr w:type="spellEnd"/>
      <w:r w:rsidRPr="00D94ACD">
        <w:rPr>
          <w:sz w:val="24"/>
          <w:szCs w:val="24"/>
          <w:shd w:val="clear" w:color="auto" w:fill="FFFFFF"/>
        </w:rPr>
        <w:t>) that al</w:t>
      </w:r>
      <w:r w:rsidRPr="00D94ACD" w:rsidR="00953C04">
        <w:rPr>
          <w:sz w:val="24"/>
          <w:szCs w:val="24"/>
          <w:shd w:val="clear" w:color="auto" w:fill="FFFFFF"/>
        </w:rPr>
        <w:t xml:space="preserve">lows identification of </w:t>
      </w:r>
      <w:r w:rsidRPr="00D94ACD" w:rsidR="00953C04">
        <w:rPr>
          <w:sz w:val="24"/>
          <w:szCs w:val="24"/>
          <w:shd w:val="clear" w:color="auto" w:fill="FFFFFF"/>
        </w:rPr>
        <w:lastRenderedPageBreak/>
        <w:t>the gear</w:t>
      </w:r>
      <w:r w:rsidRPr="00D94ACD">
        <w:rPr>
          <w:sz w:val="24"/>
          <w:szCs w:val="24"/>
          <w:shd w:val="clear" w:color="auto" w:fill="FFFFFF"/>
        </w:rPr>
        <w:t xml:space="preserve"> owner</w:t>
      </w:r>
      <w:r w:rsidRPr="00D94ACD" w:rsidR="001D74B6">
        <w:rPr>
          <w:sz w:val="24"/>
          <w:szCs w:val="24"/>
          <w:shd w:val="clear" w:color="auto" w:fill="FFFFFF"/>
        </w:rPr>
        <w:t xml:space="preserve"> (i.e. a small business owner)</w:t>
      </w:r>
      <w:r w:rsidRPr="00D94ACD">
        <w:rPr>
          <w:sz w:val="24"/>
          <w:szCs w:val="24"/>
          <w:shd w:val="clear" w:color="auto" w:fill="FFFFFF"/>
        </w:rPr>
        <w:t xml:space="preserve">, our gear </w:t>
      </w:r>
      <w:r w:rsidRPr="00D94ACD" w:rsidR="00394689">
        <w:rPr>
          <w:sz w:val="24"/>
          <w:szCs w:val="24"/>
          <w:shd w:val="clear" w:color="auto" w:fill="FFFFFF"/>
        </w:rPr>
        <w:t xml:space="preserve">team can </w:t>
      </w:r>
      <w:r w:rsidRPr="00D94ACD" w:rsidR="001D74B6">
        <w:rPr>
          <w:sz w:val="24"/>
          <w:szCs w:val="24"/>
          <w:shd w:val="clear" w:color="auto" w:fill="FFFFFF"/>
        </w:rPr>
        <w:t xml:space="preserve">then </w:t>
      </w:r>
      <w:r w:rsidRPr="00D94ACD" w:rsidR="00394689">
        <w:rPr>
          <w:sz w:val="24"/>
          <w:szCs w:val="24"/>
          <w:shd w:val="clear" w:color="auto" w:fill="FFFFFF"/>
        </w:rPr>
        <w:t>conduct an interview</w:t>
      </w:r>
      <w:r w:rsidRPr="00D94ACD" w:rsidR="001D74B6">
        <w:rPr>
          <w:sz w:val="24"/>
          <w:szCs w:val="24"/>
          <w:shd w:val="clear" w:color="auto" w:fill="FFFFFF"/>
        </w:rPr>
        <w:t xml:space="preserve"> over the phone</w:t>
      </w:r>
      <w:r w:rsidRPr="00D94ACD">
        <w:rPr>
          <w:sz w:val="24"/>
          <w:szCs w:val="24"/>
          <w:shd w:val="clear" w:color="auto" w:fill="FFFFFF"/>
        </w:rPr>
        <w:t>.</w:t>
      </w:r>
      <w:r w:rsidRPr="00D94ACD">
        <w:rPr>
          <w:rStyle w:val="apple-converted-space"/>
          <w:sz w:val="24"/>
          <w:szCs w:val="24"/>
          <w:shd w:val="clear" w:color="auto" w:fill="FFFFFF"/>
        </w:rPr>
        <w:t> </w:t>
      </w:r>
    </w:p>
    <w:p w:rsidRPr="00D94ACD" w:rsidR="006A30E5" w:rsidP="00E0236A" w:rsidRDefault="006A30E5">
      <w:pPr>
        <w:pStyle w:val="BodyText"/>
      </w:pPr>
    </w:p>
    <w:p w:rsidRPr="00D94ACD" w:rsidR="00BE3601" w:rsidP="00E0236A" w:rsidRDefault="006A30E5">
      <w:pPr>
        <w:pStyle w:val="BodyText"/>
      </w:pPr>
      <w:r w:rsidRPr="00D94ACD">
        <w:t xml:space="preserve">Detailed information on the type and </w:t>
      </w:r>
      <w:r w:rsidRPr="00D94ACD" w:rsidR="002D6D6F">
        <w:t xml:space="preserve">configuration </w:t>
      </w:r>
      <w:r w:rsidRPr="00D94ACD">
        <w:t xml:space="preserve">of fishing gear, </w:t>
      </w:r>
      <w:r w:rsidRPr="00D94ACD" w:rsidR="002D6D6F">
        <w:t xml:space="preserve">location </w:t>
      </w:r>
      <w:r w:rsidRPr="00D94ACD">
        <w:t xml:space="preserve">of gear on the turtle, severity of injuries, </w:t>
      </w:r>
      <w:r w:rsidRPr="00D94ACD" w:rsidR="002D6D6F">
        <w:t>location</w:t>
      </w:r>
      <w:r w:rsidRPr="00D94ACD" w:rsidR="000B502A">
        <w:t xml:space="preserve"> and date of the event</w:t>
      </w:r>
      <w:r w:rsidRPr="00D94ACD" w:rsidR="002D6D6F">
        <w:t xml:space="preserve">, </w:t>
      </w:r>
      <w:r w:rsidRPr="00D94ACD">
        <w:t xml:space="preserve">and demographics of </w:t>
      </w:r>
      <w:r w:rsidRPr="00D94ACD" w:rsidR="00DF674A">
        <w:t xml:space="preserve">entangled </w:t>
      </w:r>
      <w:r w:rsidRPr="00D94ACD">
        <w:t xml:space="preserve">turtles </w:t>
      </w:r>
      <w:r w:rsidRPr="00D94ACD" w:rsidR="00BE3601">
        <w:t xml:space="preserve">create a base of </w:t>
      </w:r>
      <w:r w:rsidRPr="00D94ACD">
        <w:t>knowledge</w:t>
      </w:r>
      <w:r w:rsidRPr="00D94ACD" w:rsidR="00DF674A">
        <w:t xml:space="preserve"> of </w:t>
      </w:r>
      <w:r w:rsidRPr="00D94ACD" w:rsidR="00237A5C">
        <w:t>sea</w:t>
      </w:r>
      <w:r w:rsidRPr="00D94ACD" w:rsidR="00BE3601">
        <w:t xml:space="preserve"> turtle </w:t>
      </w:r>
      <w:r w:rsidRPr="00D94ACD" w:rsidR="00BF4CFE">
        <w:t>entangle</w:t>
      </w:r>
      <w:r w:rsidRPr="00D94ACD" w:rsidR="00272E6E">
        <w:t>ment</w:t>
      </w:r>
      <w:r w:rsidRPr="00D94ACD" w:rsidR="00BF4CFE">
        <w:t xml:space="preserve"> in </w:t>
      </w:r>
      <w:r w:rsidRPr="00D94ACD" w:rsidR="00237A5C">
        <w:t>fixed fishing</w:t>
      </w:r>
      <w:r w:rsidRPr="00D94ACD" w:rsidR="00BF4CFE">
        <w:t xml:space="preserve"> gear. </w:t>
      </w:r>
      <w:r w:rsidRPr="00D94ACD" w:rsidR="00076E17">
        <w:t xml:space="preserve">This information </w:t>
      </w:r>
      <w:r w:rsidRPr="00D94ACD">
        <w:t>will</w:t>
      </w:r>
      <w:r w:rsidRPr="00D94ACD" w:rsidR="00076E17">
        <w:t xml:space="preserve"> help direct future </w:t>
      </w:r>
      <w:r w:rsidRPr="00D94ACD" w:rsidR="008F7E41">
        <w:t xml:space="preserve">research on </w:t>
      </w:r>
      <w:r w:rsidRPr="00D94ACD" w:rsidR="00076E17">
        <w:t xml:space="preserve">gear modification and </w:t>
      </w:r>
      <w:r w:rsidRPr="00D94ACD" w:rsidR="008F7E41">
        <w:t xml:space="preserve">other </w:t>
      </w:r>
      <w:r w:rsidRPr="00D94ACD" w:rsidR="00076E17">
        <w:t xml:space="preserve">potential mitigation measures. In addition, it will help </w:t>
      </w:r>
      <w:r w:rsidRPr="00D94ACD" w:rsidR="00885068">
        <w:t xml:space="preserve">us </w:t>
      </w:r>
      <w:r w:rsidRPr="00D94ACD" w:rsidR="00076E17">
        <w:t xml:space="preserve">identify the safest and most efficient methods and tools for disentangling sea turtles, with the direct result of decreasing </w:t>
      </w:r>
      <w:r w:rsidRPr="00D94ACD" w:rsidR="00885068">
        <w:t xml:space="preserve">sea </w:t>
      </w:r>
      <w:r w:rsidRPr="00D94ACD" w:rsidR="00076E17">
        <w:t xml:space="preserve">turtle </w:t>
      </w:r>
      <w:r w:rsidRPr="00D94ACD" w:rsidR="00885068">
        <w:t xml:space="preserve">serious injury and </w:t>
      </w:r>
      <w:r w:rsidRPr="00D94ACD" w:rsidR="00076E17">
        <w:t xml:space="preserve">mortality in </w:t>
      </w:r>
      <w:r w:rsidRPr="00D94ACD" w:rsidR="001258B8">
        <w:t>these</w:t>
      </w:r>
      <w:r w:rsidRPr="00D94ACD" w:rsidR="00076E17">
        <w:t xml:space="preserve"> </w:t>
      </w:r>
      <w:r w:rsidRPr="00D94ACD" w:rsidR="008F7E41">
        <w:t>events</w:t>
      </w:r>
      <w:r w:rsidRPr="00D94ACD" w:rsidR="00076E17">
        <w:t xml:space="preserve">. </w:t>
      </w:r>
      <w:r w:rsidRPr="00D94ACD" w:rsidR="00237A5C">
        <w:t>The use of the</w:t>
      </w:r>
      <w:r w:rsidRPr="00D94ACD" w:rsidR="003627F8">
        <w:t>s</w:t>
      </w:r>
      <w:r w:rsidRPr="00D94ACD" w:rsidR="00237A5C">
        <w:t>e</w:t>
      </w:r>
      <w:r w:rsidRPr="00D94ACD" w:rsidR="003627F8">
        <w:t xml:space="preserve"> data is consistent with the general actions stated in the sea turtle recovery plans (i.e., minimize mortality from commercial fisheries).  </w:t>
      </w:r>
    </w:p>
    <w:p w:rsidRPr="00D94ACD" w:rsidR="00BE3601" w:rsidP="00E0236A" w:rsidRDefault="00BE3601">
      <w:pPr>
        <w:pStyle w:val="BodyText"/>
      </w:pPr>
    </w:p>
    <w:p w:rsidRPr="00D94ACD" w:rsidR="006039CA" w:rsidP="00E0236A" w:rsidRDefault="00E53036">
      <w:pPr>
        <w:pStyle w:val="BodyText"/>
      </w:pPr>
      <w:r w:rsidRPr="00D94ACD">
        <w:t xml:space="preserve">Although the data is available upon request by federal and state agencies, as well as the general public, </w:t>
      </w:r>
      <w:r w:rsidRPr="00D94ACD" w:rsidR="005D2C67">
        <w:t xml:space="preserve">NMFS </w:t>
      </w:r>
      <w:r w:rsidRPr="00D94ACD" w:rsidR="006039CA">
        <w:t xml:space="preserve">will retain control over the information and safeguard it from improper access, modification, and destruction, consistent with </w:t>
      </w:r>
      <w:r w:rsidRPr="00D94ACD" w:rsidR="005D2C67">
        <w:t>NMFS</w:t>
      </w:r>
      <w:r w:rsidRPr="00D94ACD" w:rsidR="006039CA">
        <w:t xml:space="preserve"> standards for confidentiality, privacy, and electronic information. See response</w:t>
      </w:r>
      <w:r w:rsidRPr="00D94ACD" w:rsidR="00E027E5">
        <w:t xml:space="preserve"> to Question</w:t>
      </w:r>
      <w:r w:rsidRPr="00D94ACD" w:rsidR="00BA6655">
        <w:t xml:space="preserve"> </w:t>
      </w:r>
      <w:r w:rsidRPr="00D94ACD" w:rsidR="006039CA">
        <w:t xml:space="preserve">10 of this Supporting Statement for more information on confidentiality and privacy. </w:t>
      </w:r>
      <w:r w:rsidRPr="00D94ACD" w:rsidR="005D4CBE">
        <w:t xml:space="preserve"> </w:t>
      </w:r>
      <w:r w:rsidRPr="00D94ACD" w:rsidR="006039CA">
        <w:t>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D94ACD" w:rsidR="000D062D" w:rsidP="00E0236A" w:rsidRDefault="000D062D">
      <w:pPr>
        <w:pStyle w:val="BodyTex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8"/>
        <w:gridCol w:w="2250"/>
        <w:gridCol w:w="5040"/>
      </w:tblGrid>
      <w:tr w:rsidRPr="00D94ACD" w:rsidR="00AF035D" w:rsidTr="0027667D">
        <w:tc>
          <w:tcPr>
            <w:tcW w:w="1908" w:type="dxa"/>
            <w:shd w:val="clear" w:color="auto" w:fill="auto"/>
          </w:tcPr>
          <w:p w:rsidRPr="00D94ACD" w:rsidR="00AF035D" w:rsidRDefault="00AF035D">
            <w:pPr>
              <w:rPr>
                <w:sz w:val="24"/>
                <w:szCs w:val="24"/>
              </w:rPr>
            </w:pPr>
            <w:r w:rsidRPr="00D94ACD">
              <w:rPr>
                <w:sz w:val="24"/>
                <w:szCs w:val="24"/>
              </w:rPr>
              <w:t xml:space="preserve">Item </w:t>
            </w:r>
          </w:p>
        </w:tc>
        <w:tc>
          <w:tcPr>
            <w:tcW w:w="2250" w:type="dxa"/>
            <w:shd w:val="clear" w:color="auto" w:fill="auto"/>
          </w:tcPr>
          <w:p w:rsidRPr="00D94ACD" w:rsidR="00AF035D" w:rsidRDefault="00AF035D">
            <w:pPr>
              <w:rPr>
                <w:sz w:val="24"/>
                <w:szCs w:val="24"/>
              </w:rPr>
            </w:pPr>
            <w:r w:rsidRPr="00D94ACD">
              <w:rPr>
                <w:sz w:val="24"/>
                <w:szCs w:val="24"/>
              </w:rPr>
              <w:t>Form</w:t>
            </w:r>
          </w:p>
        </w:tc>
        <w:tc>
          <w:tcPr>
            <w:tcW w:w="5040" w:type="dxa"/>
            <w:shd w:val="clear" w:color="auto" w:fill="auto"/>
          </w:tcPr>
          <w:p w:rsidRPr="00D94ACD" w:rsidR="00AF035D" w:rsidRDefault="00AF035D">
            <w:pPr>
              <w:rPr>
                <w:sz w:val="24"/>
                <w:szCs w:val="24"/>
              </w:rPr>
            </w:pPr>
            <w:r w:rsidRPr="00D94ACD">
              <w:rPr>
                <w:sz w:val="24"/>
                <w:szCs w:val="24"/>
              </w:rPr>
              <w:t>Needs and Uses</w:t>
            </w:r>
          </w:p>
        </w:tc>
      </w:tr>
      <w:tr w:rsidRPr="00D94ACD" w:rsidR="00AF035D" w:rsidTr="0027667D">
        <w:tc>
          <w:tcPr>
            <w:tcW w:w="1908" w:type="dxa"/>
            <w:shd w:val="clear" w:color="auto" w:fill="auto"/>
          </w:tcPr>
          <w:p w:rsidRPr="00D94ACD" w:rsidR="00AF035D" w:rsidRDefault="00AF035D">
            <w:pPr>
              <w:rPr>
                <w:sz w:val="24"/>
                <w:szCs w:val="24"/>
              </w:rPr>
            </w:pPr>
            <w:r w:rsidRPr="00D94ACD">
              <w:rPr>
                <w:sz w:val="24"/>
                <w:szCs w:val="24"/>
              </w:rPr>
              <w:t>Phone reports</w:t>
            </w:r>
          </w:p>
        </w:tc>
        <w:tc>
          <w:tcPr>
            <w:tcW w:w="2250" w:type="dxa"/>
            <w:shd w:val="clear" w:color="auto" w:fill="auto"/>
          </w:tcPr>
          <w:p w:rsidRPr="00D94ACD" w:rsidR="00AF035D" w:rsidRDefault="00AF035D">
            <w:pPr>
              <w:rPr>
                <w:sz w:val="24"/>
                <w:szCs w:val="24"/>
              </w:rPr>
            </w:pPr>
            <w:r w:rsidRPr="00D94ACD">
              <w:rPr>
                <w:sz w:val="24"/>
                <w:szCs w:val="24"/>
              </w:rPr>
              <w:t>Sea turtle entanglement report form (STERF)</w:t>
            </w:r>
          </w:p>
        </w:tc>
        <w:tc>
          <w:tcPr>
            <w:tcW w:w="5040" w:type="dxa"/>
            <w:shd w:val="clear" w:color="auto" w:fill="auto"/>
          </w:tcPr>
          <w:p w:rsidRPr="00D94ACD" w:rsidR="00AF035D" w:rsidRDefault="00AF035D">
            <w:pPr>
              <w:rPr>
                <w:sz w:val="24"/>
                <w:szCs w:val="24"/>
              </w:rPr>
            </w:pPr>
            <w:r w:rsidRPr="00D94ACD">
              <w:rPr>
                <w:sz w:val="24"/>
                <w:szCs w:val="24"/>
              </w:rPr>
              <w:t>Phone reports start to populate the STERF with information about the entanglement event. The report initiates response by the STDN. STDN response and subsequent disentanglement reduces mortality of endangered and threatened sea turtles.</w:t>
            </w:r>
          </w:p>
        </w:tc>
      </w:tr>
      <w:tr w:rsidRPr="00D94ACD" w:rsidR="00AF035D" w:rsidTr="0027667D">
        <w:tc>
          <w:tcPr>
            <w:tcW w:w="1908" w:type="dxa"/>
            <w:shd w:val="clear" w:color="auto" w:fill="auto"/>
          </w:tcPr>
          <w:p w:rsidRPr="00D94ACD" w:rsidR="00AF035D" w:rsidRDefault="00AF035D">
            <w:pPr>
              <w:rPr>
                <w:sz w:val="24"/>
                <w:szCs w:val="24"/>
              </w:rPr>
            </w:pPr>
            <w:r w:rsidRPr="00D94ACD">
              <w:rPr>
                <w:sz w:val="24"/>
                <w:szCs w:val="24"/>
              </w:rPr>
              <w:t>STDN data submission</w:t>
            </w:r>
          </w:p>
        </w:tc>
        <w:tc>
          <w:tcPr>
            <w:tcW w:w="2250" w:type="dxa"/>
            <w:shd w:val="clear" w:color="auto" w:fill="auto"/>
          </w:tcPr>
          <w:p w:rsidRPr="00D94ACD" w:rsidR="00AF035D" w:rsidP="00AF035D" w:rsidRDefault="00AF035D">
            <w:pPr>
              <w:rPr>
                <w:sz w:val="24"/>
                <w:szCs w:val="24"/>
              </w:rPr>
            </w:pPr>
            <w:r w:rsidRPr="00D94ACD">
              <w:rPr>
                <w:sz w:val="24"/>
                <w:szCs w:val="24"/>
              </w:rPr>
              <w:t>STERF</w:t>
            </w:r>
          </w:p>
        </w:tc>
        <w:tc>
          <w:tcPr>
            <w:tcW w:w="5040" w:type="dxa"/>
            <w:shd w:val="clear" w:color="auto" w:fill="auto"/>
          </w:tcPr>
          <w:p w:rsidRPr="00D94ACD" w:rsidR="00AF035D" w:rsidRDefault="00AF035D">
            <w:pPr>
              <w:rPr>
                <w:sz w:val="24"/>
                <w:szCs w:val="24"/>
              </w:rPr>
            </w:pPr>
            <w:r w:rsidRPr="00D94ACD">
              <w:rPr>
                <w:sz w:val="24"/>
                <w:szCs w:val="24"/>
              </w:rPr>
              <w:t>While disentangling a sea turtle, the STDN collects important information, including location, details of the gear, identifying numbers from the gear that will alter facilitate identification of fishery and gear owner, injuries and behavior of the turtle, and entanglement configuration. This information is vital for NMFS to understand the nature of these entanglements, the fisheries involved, and the level of injury and subsequent survival of the turtle.</w:t>
            </w:r>
          </w:p>
        </w:tc>
      </w:tr>
      <w:tr w:rsidRPr="00D94ACD" w:rsidR="00AF035D" w:rsidTr="0027667D">
        <w:tc>
          <w:tcPr>
            <w:tcW w:w="1908" w:type="dxa"/>
            <w:shd w:val="clear" w:color="auto" w:fill="auto"/>
          </w:tcPr>
          <w:p w:rsidRPr="00D94ACD" w:rsidR="00AF035D" w:rsidRDefault="00AF035D">
            <w:pPr>
              <w:rPr>
                <w:sz w:val="24"/>
                <w:szCs w:val="24"/>
              </w:rPr>
            </w:pPr>
            <w:r w:rsidRPr="00D94ACD">
              <w:rPr>
                <w:sz w:val="24"/>
                <w:szCs w:val="24"/>
              </w:rPr>
              <w:t>Fisherman interview</w:t>
            </w:r>
          </w:p>
        </w:tc>
        <w:tc>
          <w:tcPr>
            <w:tcW w:w="2250" w:type="dxa"/>
            <w:shd w:val="clear" w:color="auto" w:fill="auto"/>
          </w:tcPr>
          <w:p w:rsidRPr="00D94ACD" w:rsidR="00AF035D" w:rsidRDefault="00AF035D">
            <w:pPr>
              <w:rPr>
                <w:sz w:val="24"/>
                <w:szCs w:val="24"/>
              </w:rPr>
            </w:pPr>
            <w:r w:rsidRPr="00D94ACD">
              <w:rPr>
                <w:sz w:val="24"/>
                <w:szCs w:val="24"/>
              </w:rPr>
              <w:t>STERF</w:t>
            </w:r>
          </w:p>
        </w:tc>
        <w:tc>
          <w:tcPr>
            <w:tcW w:w="5040" w:type="dxa"/>
            <w:shd w:val="clear" w:color="auto" w:fill="auto"/>
          </w:tcPr>
          <w:p w:rsidRPr="00D94ACD" w:rsidR="00AF035D" w:rsidRDefault="00AF035D">
            <w:pPr>
              <w:rPr>
                <w:sz w:val="24"/>
                <w:szCs w:val="24"/>
              </w:rPr>
            </w:pPr>
            <w:r w:rsidRPr="00D94ACD">
              <w:rPr>
                <w:sz w:val="24"/>
                <w:szCs w:val="24"/>
              </w:rPr>
              <w:t>The last piece of information used to populate the STERF is the gear owner interview. This interview provides details on how the gear was set, when it went missing, and permit information that can further shed light on the fishery, type of gear, and portion of the gear most dangerous to turtles. Ultimately, all this information is needed to potentially mitigate these interactions.</w:t>
            </w:r>
          </w:p>
        </w:tc>
      </w:tr>
    </w:tbl>
    <w:p w:rsidRPr="00D94ACD" w:rsidR="006039CA" w:rsidRDefault="00587C08">
      <w:pPr>
        <w:rPr>
          <w:sz w:val="24"/>
          <w:szCs w:val="24"/>
        </w:rPr>
      </w:pPr>
      <w:r w:rsidRPr="00D94ACD">
        <w:rPr>
          <w:sz w:val="24"/>
          <w:szCs w:val="24"/>
        </w:rPr>
        <w:t xml:space="preserve">*There are no statutes related to this data collection beyond the Endangered Species Act of 1973 </w:t>
      </w:r>
      <w:r w:rsidRPr="00D94ACD">
        <w:rPr>
          <w:sz w:val="24"/>
          <w:szCs w:val="24"/>
        </w:rPr>
        <w:lastRenderedPageBreak/>
        <w:t>as amended, which provides the need for the data collection in order to better manage these protected species and mitigate the threats to their survival.</w:t>
      </w:r>
    </w:p>
    <w:p w:rsidRPr="00D94ACD" w:rsidR="00587C08" w:rsidRDefault="00587C08">
      <w:pPr>
        <w:rPr>
          <w:sz w:val="24"/>
          <w:szCs w:val="24"/>
        </w:rPr>
      </w:pPr>
    </w:p>
    <w:p w:rsidRPr="00D94ACD" w:rsidR="006039CA" w:rsidP="00D94ACD" w:rsidRDefault="006039CA">
      <w:pPr>
        <w:pStyle w:val="ListParagraph"/>
        <w:tabs>
          <w:tab w:val="left" w:pos="360"/>
        </w:tabs>
        <w:spacing w:before="199"/>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3.  </w:t>
      </w:r>
      <w:r w:rsidRPr="00D94ACD" w:rsidR="00D94ACD">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D94ACD" w:rsidR="00D94ACD">
        <w:rPr>
          <w:rFonts w:ascii="Times New Roman" w:hAnsi="Times New Roman" w:cs="Times New Roman"/>
          <w:b/>
          <w:spacing w:val="-6"/>
          <w:sz w:val="24"/>
          <w:szCs w:val="24"/>
        </w:rPr>
        <w:t xml:space="preserve"> </w:t>
      </w:r>
      <w:r w:rsidRPr="00D94ACD" w:rsidR="00D94ACD">
        <w:rPr>
          <w:rFonts w:ascii="Times New Roman" w:hAnsi="Times New Roman" w:cs="Times New Roman"/>
          <w:b/>
          <w:sz w:val="24"/>
          <w:szCs w:val="24"/>
        </w:rPr>
        <w:t>burden.</w:t>
      </w:r>
    </w:p>
    <w:p w:rsidRPr="00D94ACD" w:rsidR="006039CA" w:rsidRDefault="006039CA">
      <w:pPr>
        <w:rPr>
          <w:sz w:val="24"/>
          <w:szCs w:val="24"/>
        </w:rPr>
      </w:pPr>
    </w:p>
    <w:p w:rsidRPr="00D94ACD" w:rsidR="00FC71D8" w:rsidRDefault="00F547B1">
      <w:pPr>
        <w:rPr>
          <w:sz w:val="24"/>
          <w:szCs w:val="24"/>
        </w:rPr>
      </w:pPr>
      <w:r w:rsidRPr="00D94ACD">
        <w:rPr>
          <w:sz w:val="24"/>
          <w:szCs w:val="24"/>
        </w:rPr>
        <w:t xml:space="preserve">Members of the public are requested to report all sea turtle entanglements via telephone to the STDN or to </w:t>
      </w:r>
      <w:r w:rsidRPr="00D94ACD" w:rsidR="005D2C67">
        <w:rPr>
          <w:sz w:val="24"/>
          <w:szCs w:val="24"/>
        </w:rPr>
        <w:t>NMFS</w:t>
      </w:r>
      <w:r w:rsidRPr="00D94ACD" w:rsidR="00885068">
        <w:rPr>
          <w:sz w:val="24"/>
          <w:szCs w:val="24"/>
        </w:rPr>
        <w:t xml:space="preserve"> </w:t>
      </w:r>
      <w:r w:rsidRPr="00D94ACD">
        <w:rPr>
          <w:sz w:val="24"/>
          <w:szCs w:val="24"/>
        </w:rPr>
        <w:t xml:space="preserve">directly. </w:t>
      </w:r>
      <w:r w:rsidRPr="00D94ACD" w:rsidR="009855C0">
        <w:rPr>
          <w:sz w:val="24"/>
          <w:szCs w:val="24"/>
        </w:rPr>
        <w:t>T</w:t>
      </w:r>
      <w:r w:rsidRPr="00D94ACD">
        <w:rPr>
          <w:sz w:val="24"/>
          <w:szCs w:val="24"/>
        </w:rPr>
        <w:t xml:space="preserve">he STDN </w:t>
      </w:r>
      <w:r w:rsidRPr="00D94ACD" w:rsidR="009855C0">
        <w:rPr>
          <w:sz w:val="24"/>
          <w:szCs w:val="24"/>
        </w:rPr>
        <w:t xml:space="preserve">members that complete the </w:t>
      </w:r>
      <w:r w:rsidRPr="00D94ACD">
        <w:rPr>
          <w:sz w:val="24"/>
          <w:szCs w:val="24"/>
        </w:rPr>
        <w:t>STERF</w:t>
      </w:r>
      <w:r w:rsidRPr="00D94ACD" w:rsidR="009855C0">
        <w:rPr>
          <w:sz w:val="24"/>
          <w:szCs w:val="24"/>
        </w:rPr>
        <w:t xml:space="preserve"> will </w:t>
      </w:r>
      <w:r w:rsidRPr="00D94ACD" w:rsidR="00354BAC">
        <w:rPr>
          <w:sz w:val="24"/>
          <w:szCs w:val="24"/>
        </w:rPr>
        <w:t xml:space="preserve">do so either electronically </w:t>
      </w:r>
      <w:r w:rsidRPr="00D94ACD" w:rsidR="00CA400E">
        <w:rPr>
          <w:sz w:val="24"/>
          <w:szCs w:val="24"/>
        </w:rPr>
        <w:t>using</w:t>
      </w:r>
      <w:r w:rsidRPr="00D94ACD" w:rsidR="00354BAC">
        <w:rPr>
          <w:sz w:val="24"/>
          <w:szCs w:val="24"/>
        </w:rPr>
        <w:t xml:space="preserve"> the fillable PDF or in hard copy </w:t>
      </w:r>
      <w:r w:rsidRPr="00D94ACD" w:rsidR="000B502A">
        <w:rPr>
          <w:sz w:val="24"/>
          <w:szCs w:val="24"/>
        </w:rPr>
        <w:t xml:space="preserve">that is later </w:t>
      </w:r>
      <w:r w:rsidRPr="00D94ACD" w:rsidR="00354BAC">
        <w:rPr>
          <w:sz w:val="24"/>
          <w:szCs w:val="24"/>
        </w:rPr>
        <w:t>scann</w:t>
      </w:r>
      <w:r w:rsidRPr="00D94ACD" w:rsidR="000B502A">
        <w:rPr>
          <w:sz w:val="24"/>
          <w:szCs w:val="24"/>
        </w:rPr>
        <w:t>ed</w:t>
      </w:r>
      <w:r w:rsidRPr="00D94ACD" w:rsidR="00354BAC">
        <w:rPr>
          <w:sz w:val="24"/>
          <w:szCs w:val="24"/>
        </w:rPr>
        <w:t xml:space="preserve">. Either way, in the last three years, nearly 100% of </w:t>
      </w:r>
      <w:r w:rsidRPr="00D94ACD" w:rsidR="009855C0">
        <w:rPr>
          <w:sz w:val="24"/>
          <w:szCs w:val="24"/>
        </w:rPr>
        <w:t>submi</w:t>
      </w:r>
      <w:r w:rsidRPr="00D94ACD" w:rsidR="00354BAC">
        <w:rPr>
          <w:sz w:val="24"/>
          <w:szCs w:val="24"/>
        </w:rPr>
        <w:t xml:space="preserve">ssions to </w:t>
      </w:r>
      <w:r w:rsidRPr="00D94ACD" w:rsidR="005D2C67">
        <w:rPr>
          <w:sz w:val="24"/>
          <w:szCs w:val="24"/>
        </w:rPr>
        <w:t>NMFS</w:t>
      </w:r>
      <w:r w:rsidRPr="00D94ACD" w:rsidR="00354BAC">
        <w:rPr>
          <w:sz w:val="24"/>
          <w:szCs w:val="24"/>
        </w:rPr>
        <w:t xml:space="preserve"> </w:t>
      </w:r>
      <w:r w:rsidRPr="00D94ACD" w:rsidR="000B502A">
        <w:rPr>
          <w:sz w:val="24"/>
          <w:szCs w:val="24"/>
        </w:rPr>
        <w:t>we</w:t>
      </w:r>
      <w:r w:rsidRPr="00D94ACD" w:rsidR="00CA400E">
        <w:rPr>
          <w:sz w:val="24"/>
          <w:szCs w:val="24"/>
        </w:rPr>
        <w:t>re</w:t>
      </w:r>
      <w:r w:rsidRPr="00D94ACD" w:rsidR="00354BAC">
        <w:rPr>
          <w:sz w:val="24"/>
          <w:szCs w:val="24"/>
        </w:rPr>
        <w:t xml:space="preserve"> done via e</w:t>
      </w:r>
      <w:r w:rsidRPr="00D94ACD" w:rsidR="0083166C">
        <w:rPr>
          <w:sz w:val="24"/>
          <w:szCs w:val="24"/>
        </w:rPr>
        <w:t xml:space="preserve">lectronic </w:t>
      </w:r>
      <w:r w:rsidRPr="00D94ACD" w:rsidR="00354BAC">
        <w:rPr>
          <w:sz w:val="24"/>
          <w:szCs w:val="24"/>
        </w:rPr>
        <w:t>mail.</w:t>
      </w:r>
      <w:r w:rsidRPr="00D94ACD" w:rsidR="001258B8">
        <w:rPr>
          <w:sz w:val="24"/>
          <w:szCs w:val="24"/>
        </w:rPr>
        <w:t xml:space="preserve"> </w:t>
      </w:r>
      <w:r w:rsidRPr="00D94ACD" w:rsidR="006039CA">
        <w:rPr>
          <w:sz w:val="24"/>
          <w:szCs w:val="24"/>
        </w:rPr>
        <w:t xml:space="preserve">As only </w:t>
      </w:r>
      <w:r w:rsidRPr="00D94ACD" w:rsidR="00A13557">
        <w:rPr>
          <w:sz w:val="24"/>
          <w:szCs w:val="24"/>
        </w:rPr>
        <w:t xml:space="preserve">trained STDN </w:t>
      </w:r>
      <w:r w:rsidRPr="00D94ACD" w:rsidR="006039CA">
        <w:rPr>
          <w:sz w:val="24"/>
          <w:szCs w:val="24"/>
        </w:rPr>
        <w:t xml:space="preserve">responders </w:t>
      </w:r>
      <w:r w:rsidRPr="00D94ACD" w:rsidR="00A13557">
        <w:rPr>
          <w:sz w:val="24"/>
          <w:szCs w:val="24"/>
        </w:rPr>
        <w:t xml:space="preserve">are authorized to disentangle sea turtles, </w:t>
      </w:r>
      <w:r w:rsidRPr="00D94ACD" w:rsidR="006039CA">
        <w:rPr>
          <w:sz w:val="24"/>
          <w:szCs w:val="24"/>
        </w:rPr>
        <w:t>we only post the disentanglement guidelines</w:t>
      </w:r>
      <w:r w:rsidRPr="00D94ACD" w:rsidR="00762C86">
        <w:rPr>
          <w:sz w:val="24"/>
          <w:szCs w:val="24"/>
        </w:rPr>
        <w:t xml:space="preserve"> and </w:t>
      </w:r>
      <w:r w:rsidRPr="00D94ACD" w:rsidR="00A13557">
        <w:rPr>
          <w:sz w:val="24"/>
          <w:szCs w:val="24"/>
        </w:rPr>
        <w:t>STERF</w:t>
      </w:r>
      <w:r w:rsidRPr="00D94ACD" w:rsidR="00762C86">
        <w:rPr>
          <w:sz w:val="24"/>
          <w:szCs w:val="24"/>
        </w:rPr>
        <w:t xml:space="preserve"> </w:t>
      </w:r>
      <w:r w:rsidRPr="00D94ACD" w:rsidR="006039CA">
        <w:rPr>
          <w:sz w:val="24"/>
          <w:szCs w:val="24"/>
        </w:rPr>
        <w:t>on a private website with limited access.</w:t>
      </w:r>
      <w:r w:rsidRPr="00D94ACD" w:rsidR="004C5558">
        <w:rPr>
          <w:sz w:val="24"/>
          <w:szCs w:val="24"/>
        </w:rPr>
        <w:t xml:space="preserve">  </w:t>
      </w:r>
    </w:p>
    <w:p w:rsidRPr="00D94ACD" w:rsidR="00FC71D8" w:rsidRDefault="00FC71D8">
      <w:pPr>
        <w:rPr>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4.  </w:t>
      </w:r>
      <w:r w:rsidRPr="00D94ACD" w:rsidR="00D94ACD">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D94ACD" w:rsidR="00D94ACD">
        <w:rPr>
          <w:rFonts w:ascii="Times New Roman" w:hAnsi="Times New Roman" w:cs="Times New Roman"/>
          <w:b/>
          <w:spacing w:val="-42"/>
          <w:sz w:val="24"/>
          <w:szCs w:val="24"/>
        </w:rPr>
        <w:t xml:space="preserve"> </w:t>
      </w:r>
      <w:r w:rsidRPr="00D94ACD" w:rsidR="00D94ACD">
        <w:rPr>
          <w:rFonts w:ascii="Times New Roman" w:hAnsi="Times New Roman" w:cs="Times New Roman"/>
          <w:b/>
          <w:sz w:val="24"/>
          <w:szCs w:val="24"/>
        </w:rPr>
        <w:t>2</w:t>
      </w:r>
    </w:p>
    <w:p w:rsidRPr="00D94ACD" w:rsidR="006039CA" w:rsidRDefault="006039CA">
      <w:pPr>
        <w:rPr>
          <w:sz w:val="24"/>
          <w:szCs w:val="24"/>
        </w:rPr>
      </w:pPr>
    </w:p>
    <w:p w:rsidRPr="00D94ACD" w:rsidR="006039CA" w:rsidRDefault="006039CA">
      <w:pPr>
        <w:rPr>
          <w:sz w:val="24"/>
          <w:szCs w:val="24"/>
        </w:rPr>
      </w:pPr>
      <w:r w:rsidRPr="00D94ACD">
        <w:rPr>
          <w:sz w:val="24"/>
          <w:szCs w:val="24"/>
        </w:rPr>
        <w:t xml:space="preserve">Historically, </w:t>
      </w:r>
      <w:r w:rsidRPr="00D94ACD" w:rsidR="005D2C67">
        <w:rPr>
          <w:sz w:val="24"/>
          <w:szCs w:val="24"/>
        </w:rPr>
        <w:t xml:space="preserve">NMFS </w:t>
      </w:r>
      <w:r w:rsidRPr="00D94ACD">
        <w:rPr>
          <w:sz w:val="24"/>
          <w:szCs w:val="24"/>
        </w:rPr>
        <w:t xml:space="preserve">did not collect this information directly but occasionally received reports from a variety of agencies and the public. The establishment of the </w:t>
      </w:r>
      <w:r w:rsidRPr="00D94ACD" w:rsidR="00945E29">
        <w:rPr>
          <w:sz w:val="24"/>
          <w:szCs w:val="24"/>
        </w:rPr>
        <w:t>STDN</w:t>
      </w:r>
      <w:r w:rsidRPr="00D94ACD" w:rsidR="000505D3">
        <w:rPr>
          <w:sz w:val="24"/>
          <w:szCs w:val="24"/>
        </w:rPr>
        <w:t xml:space="preserve"> develop</w:t>
      </w:r>
      <w:r w:rsidRPr="00D94ACD" w:rsidR="00F547B1">
        <w:rPr>
          <w:sz w:val="24"/>
          <w:szCs w:val="24"/>
        </w:rPr>
        <w:t>ed</w:t>
      </w:r>
      <w:r w:rsidRPr="00D94ACD" w:rsidR="000505D3">
        <w:rPr>
          <w:sz w:val="24"/>
          <w:szCs w:val="24"/>
        </w:rPr>
        <w:t xml:space="preserve"> </w:t>
      </w:r>
      <w:r w:rsidRPr="00D94ACD">
        <w:rPr>
          <w:sz w:val="24"/>
          <w:szCs w:val="24"/>
        </w:rPr>
        <w:t>consistent disentanglement guidelines and report</w:t>
      </w:r>
      <w:r w:rsidRPr="00D94ACD" w:rsidR="000505D3">
        <w:rPr>
          <w:sz w:val="24"/>
          <w:szCs w:val="24"/>
        </w:rPr>
        <w:t>ing protocols</w:t>
      </w:r>
      <w:r w:rsidRPr="00D94ACD">
        <w:rPr>
          <w:sz w:val="24"/>
          <w:szCs w:val="24"/>
        </w:rPr>
        <w:t xml:space="preserve"> to standardize the collection of this information</w:t>
      </w:r>
      <w:r w:rsidRPr="00D94ACD" w:rsidR="00FE4183">
        <w:rPr>
          <w:sz w:val="24"/>
          <w:szCs w:val="24"/>
        </w:rPr>
        <w:t>. These documents ensure that</w:t>
      </w:r>
      <w:r w:rsidRPr="00D94ACD">
        <w:rPr>
          <w:sz w:val="24"/>
          <w:szCs w:val="24"/>
        </w:rPr>
        <w:t xml:space="preserve"> </w:t>
      </w:r>
      <w:r w:rsidRPr="00D94ACD" w:rsidR="008B6189">
        <w:rPr>
          <w:sz w:val="24"/>
          <w:szCs w:val="24"/>
        </w:rPr>
        <w:t xml:space="preserve">vital information on </w:t>
      </w:r>
      <w:r w:rsidRPr="00D94ACD">
        <w:rPr>
          <w:sz w:val="24"/>
          <w:szCs w:val="24"/>
        </w:rPr>
        <w:t xml:space="preserve">sea turtle entanglements </w:t>
      </w:r>
      <w:r w:rsidRPr="00D94ACD" w:rsidR="008B6189">
        <w:rPr>
          <w:sz w:val="24"/>
          <w:szCs w:val="24"/>
        </w:rPr>
        <w:t xml:space="preserve">are recorded </w:t>
      </w:r>
      <w:r w:rsidRPr="00D94ACD">
        <w:rPr>
          <w:sz w:val="24"/>
          <w:szCs w:val="24"/>
        </w:rPr>
        <w:t>on a real-time basis. Th</w:t>
      </w:r>
      <w:r w:rsidRPr="00D94ACD" w:rsidR="008B6189">
        <w:rPr>
          <w:sz w:val="24"/>
          <w:szCs w:val="24"/>
        </w:rPr>
        <w:t>e</w:t>
      </w:r>
      <w:r w:rsidRPr="00D94ACD">
        <w:rPr>
          <w:sz w:val="24"/>
          <w:szCs w:val="24"/>
        </w:rPr>
        <w:t xml:space="preserve"> </w:t>
      </w:r>
      <w:r w:rsidRPr="00D94ACD" w:rsidR="008B6189">
        <w:rPr>
          <w:sz w:val="24"/>
          <w:szCs w:val="24"/>
        </w:rPr>
        <w:t>data</w:t>
      </w:r>
      <w:r w:rsidRPr="00D94ACD">
        <w:rPr>
          <w:sz w:val="24"/>
          <w:szCs w:val="24"/>
        </w:rPr>
        <w:t xml:space="preserve"> requested in the Sea Turtle Disentanglement Guidelines</w:t>
      </w:r>
      <w:r w:rsidRPr="00D94ACD" w:rsidR="003B2322">
        <w:rPr>
          <w:sz w:val="24"/>
          <w:szCs w:val="24"/>
        </w:rPr>
        <w:t xml:space="preserve"> and</w:t>
      </w:r>
      <w:r w:rsidRPr="00D94ACD">
        <w:rPr>
          <w:sz w:val="24"/>
          <w:szCs w:val="24"/>
        </w:rPr>
        <w:t xml:space="preserve"> </w:t>
      </w:r>
      <w:r w:rsidRPr="00D94ACD" w:rsidR="001258B8">
        <w:rPr>
          <w:sz w:val="24"/>
          <w:szCs w:val="24"/>
        </w:rPr>
        <w:t>STERF</w:t>
      </w:r>
      <w:r w:rsidRPr="00D94ACD" w:rsidR="003B2322">
        <w:rPr>
          <w:sz w:val="24"/>
          <w:szCs w:val="24"/>
        </w:rPr>
        <w:t xml:space="preserve"> </w:t>
      </w:r>
      <w:r w:rsidRPr="00D94ACD" w:rsidR="00DA2006">
        <w:rPr>
          <w:sz w:val="24"/>
          <w:szCs w:val="24"/>
        </w:rPr>
        <w:t>were</w:t>
      </w:r>
      <w:r w:rsidRPr="00D94ACD">
        <w:rPr>
          <w:sz w:val="24"/>
          <w:szCs w:val="24"/>
        </w:rPr>
        <w:t xml:space="preserve"> not required or requested</w:t>
      </w:r>
      <w:r w:rsidRPr="00D94ACD" w:rsidR="00DA2006">
        <w:rPr>
          <w:sz w:val="24"/>
          <w:szCs w:val="24"/>
        </w:rPr>
        <w:t xml:space="preserve"> prior to the first PRA submission in 2004 and they are not collected elsewhere</w:t>
      </w:r>
      <w:r w:rsidRPr="00D94ACD">
        <w:rPr>
          <w:sz w:val="24"/>
          <w:szCs w:val="24"/>
        </w:rPr>
        <w:t xml:space="preserve">.  </w:t>
      </w:r>
    </w:p>
    <w:p w:rsidRPr="00D94ACD" w:rsidR="006039CA" w:rsidRDefault="006039CA">
      <w:pPr>
        <w:rPr>
          <w:sz w:val="24"/>
          <w:szCs w:val="24"/>
        </w:rPr>
      </w:pPr>
    </w:p>
    <w:p w:rsidRPr="00D94ACD" w:rsidR="00D94ACD" w:rsidP="00D94ACD" w:rsidRDefault="006039CA">
      <w:pPr>
        <w:tabs>
          <w:tab w:val="left" w:pos="360"/>
        </w:tabs>
        <w:spacing w:before="80"/>
        <w:rPr>
          <w:b/>
          <w:sz w:val="24"/>
          <w:szCs w:val="24"/>
        </w:rPr>
      </w:pPr>
      <w:r w:rsidRPr="00D94ACD">
        <w:rPr>
          <w:b/>
          <w:bCs/>
          <w:sz w:val="24"/>
          <w:szCs w:val="24"/>
        </w:rPr>
        <w:t xml:space="preserve">5.  </w:t>
      </w:r>
      <w:r w:rsidRPr="00D94ACD" w:rsidR="00D94ACD">
        <w:rPr>
          <w:b/>
          <w:sz w:val="24"/>
          <w:szCs w:val="24"/>
        </w:rPr>
        <w:t>If the collection of information impacts small businesses or other small entities, describe any methods used to minimize burden.</w:t>
      </w:r>
    </w:p>
    <w:p w:rsidRPr="00D94ACD" w:rsidR="006039CA" w:rsidRDefault="006039CA">
      <w:pPr>
        <w:rPr>
          <w:sz w:val="24"/>
          <w:szCs w:val="24"/>
        </w:rPr>
      </w:pPr>
    </w:p>
    <w:p w:rsidRPr="00D94ACD" w:rsidR="006039CA" w:rsidP="00F547B1" w:rsidRDefault="006039CA">
      <w:pPr>
        <w:pStyle w:val="BodyText"/>
      </w:pPr>
      <w:r w:rsidRPr="00D94ACD">
        <w:t xml:space="preserve">This information collection will not have a significant impact on small entities. </w:t>
      </w:r>
      <w:r w:rsidRPr="00D94ACD" w:rsidR="00EF1416">
        <w:t>S</w:t>
      </w:r>
      <w:r w:rsidRPr="00D94ACD">
        <w:t>mall entities</w:t>
      </w:r>
      <w:r w:rsidRPr="00D94ACD" w:rsidR="00EF1416">
        <w:t>,</w:t>
      </w:r>
      <w:r w:rsidRPr="00D94ACD" w:rsidR="000B6610">
        <w:t xml:space="preserve"> including</w:t>
      </w:r>
      <w:r w:rsidRPr="00D94ACD" w:rsidR="00EF1416">
        <w:t xml:space="preserve"> STDN</w:t>
      </w:r>
      <w:r w:rsidRPr="00D94ACD" w:rsidR="00DE1EFB">
        <w:t xml:space="preserve"> </w:t>
      </w:r>
      <w:r w:rsidRPr="00D94ACD" w:rsidR="000B6610">
        <w:t xml:space="preserve">members </w:t>
      </w:r>
      <w:r w:rsidRPr="00D94ACD" w:rsidR="00DE1EFB">
        <w:t>(</w:t>
      </w:r>
      <w:r w:rsidRPr="00D94ACD" w:rsidR="00E51A32">
        <w:t xml:space="preserve">typically </w:t>
      </w:r>
      <w:r w:rsidRPr="00D94ACD" w:rsidR="00DE1EFB">
        <w:t>no</w:t>
      </w:r>
      <w:r w:rsidRPr="00D94ACD" w:rsidR="00A81887">
        <w:t>n</w:t>
      </w:r>
      <w:r w:rsidRPr="00D94ACD" w:rsidR="00DE1EFB">
        <w:t>-profit institutions)</w:t>
      </w:r>
      <w:r w:rsidRPr="00D94ACD" w:rsidR="000B6610">
        <w:t xml:space="preserve"> and fishermen</w:t>
      </w:r>
      <w:r w:rsidRPr="00D94ACD" w:rsidR="00EF1416">
        <w:t>, are involved in this information collection</w:t>
      </w:r>
      <w:r w:rsidRPr="00D94ACD">
        <w:t xml:space="preserve"> but the impacts are minimized by the relatively infrequent nature of the reporting</w:t>
      </w:r>
      <w:r w:rsidRPr="00D94ACD" w:rsidR="00F547B1">
        <w:t xml:space="preserve">. Sea turtles are typically present in the </w:t>
      </w:r>
      <w:r w:rsidRPr="00D94ACD" w:rsidR="00AE1F6B">
        <w:t xml:space="preserve">Greater Atlantic </w:t>
      </w:r>
      <w:r w:rsidRPr="00D94ACD" w:rsidR="00F547B1">
        <w:t xml:space="preserve">Region from May to November; therefore, reporting and information collection occurs </w:t>
      </w:r>
      <w:r w:rsidRPr="00D94ACD" w:rsidR="00CD65E4">
        <w:t xml:space="preserve">only </w:t>
      </w:r>
      <w:r w:rsidRPr="00D94ACD" w:rsidR="00F547B1">
        <w:t xml:space="preserve">during these months. </w:t>
      </w:r>
      <w:r w:rsidRPr="00D94ACD" w:rsidR="00CD65E4">
        <w:t>All information collection is opportunistic and, therefore, is only collected as frequently as entangled turtle</w:t>
      </w:r>
      <w:r w:rsidRPr="00D94ACD" w:rsidR="00AE1F6B">
        <w:t>s</w:t>
      </w:r>
      <w:r w:rsidRPr="00D94ACD" w:rsidR="00CD65E4">
        <w:t xml:space="preserve"> </w:t>
      </w:r>
      <w:r w:rsidRPr="00D94ACD" w:rsidR="00AE1F6B">
        <w:t xml:space="preserve">are </w:t>
      </w:r>
      <w:r w:rsidRPr="00D94ACD" w:rsidR="00CD65E4">
        <w:t xml:space="preserve">encountered. </w:t>
      </w:r>
      <w:r w:rsidRPr="00D94ACD" w:rsidR="00F547B1">
        <w:t xml:space="preserve">The number of reports varies annually, but the most reports per year </w:t>
      </w:r>
      <w:r w:rsidRPr="00D94ACD" w:rsidR="001C5170">
        <w:t xml:space="preserve">in the last ten years </w:t>
      </w:r>
      <w:r w:rsidRPr="00D94ACD" w:rsidR="00CD65E4">
        <w:t>was</w:t>
      </w:r>
      <w:r w:rsidRPr="00D94ACD" w:rsidR="00F547B1">
        <w:t xml:space="preserve"> </w:t>
      </w:r>
      <w:r w:rsidRPr="00D94ACD" w:rsidR="00A81887">
        <w:t>7</w:t>
      </w:r>
      <w:r w:rsidRPr="00D94ACD" w:rsidR="00887066">
        <w:t>8</w:t>
      </w:r>
      <w:r w:rsidRPr="00D94ACD" w:rsidR="00F547B1">
        <w:t xml:space="preserve">, which occurred in </w:t>
      </w:r>
      <w:r w:rsidRPr="00D94ACD" w:rsidR="00AD4042">
        <w:t>20</w:t>
      </w:r>
      <w:r w:rsidRPr="00D94ACD" w:rsidR="00A81887">
        <w:t>13</w:t>
      </w:r>
      <w:r w:rsidRPr="00D94ACD" w:rsidR="00F547B1">
        <w:t xml:space="preserve">. </w:t>
      </w:r>
      <w:r w:rsidRPr="00D94ACD" w:rsidR="00EF1416">
        <w:t>The STERF</w:t>
      </w:r>
      <w:r w:rsidRPr="00D94ACD" w:rsidR="0088449A">
        <w:t xml:space="preserve"> is available in an electronically-</w:t>
      </w:r>
      <w:r w:rsidRPr="00D94ACD" w:rsidR="00F547B1">
        <w:t>fillable</w:t>
      </w:r>
      <w:r w:rsidRPr="00D94ACD" w:rsidR="00EF1416">
        <w:t xml:space="preserve"> form, which allows </w:t>
      </w:r>
      <w:r w:rsidRPr="00D94ACD" w:rsidR="000B6610">
        <w:t>STDN members</w:t>
      </w:r>
      <w:r w:rsidRPr="00D94ACD" w:rsidR="00EF1416">
        <w:t xml:space="preserve"> to </w:t>
      </w:r>
      <w:r w:rsidRPr="00D94ACD" w:rsidR="0088449A">
        <w:t xml:space="preserve">fill it out on the computer and </w:t>
      </w:r>
      <w:r w:rsidRPr="00D94ACD" w:rsidR="00EF1416">
        <w:t xml:space="preserve">send it to </w:t>
      </w:r>
      <w:r w:rsidRPr="00D94ACD" w:rsidR="005D2C67">
        <w:t>NMFS</w:t>
      </w:r>
      <w:r w:rsidRPr="00D94ACD" w:rsidR="00EF1416">
        <w:t xml:space="preserve"> using electronic mail. This method saves the cost of postage and requires less time</w:t>
      </w:r>
      <w:r w:rsidRPr="00D94ACD" w:rsidR="00F547B1">
        <w:t xml:space="preserve"> for submission</w:t>
      </w:r>
      <w:r w:rsidRPr="00D94ACD" w:rsidR="00EF1416">
        <w:t>. The cost</w:t>
      </w:r>
      <w:r w:rsidRPr="00D94ACD">
        <w:t xml:space="preserve"> of documentation involving photographs </w:t>
      </w:r>
      <w:r w:rsidRPr="00D94ACD" w:rsidR="00EF1416">
        <w:t>is</w:t>
      </w:r>
      <w:r w:rsidRPr="00D94ACD">
        <w:t xml:space="preserve"> minimized through the use </w:t>
      </w:r>
      <w:r w:rsidRPr="00D94ACD" w:rsidR="00F547B1">
        <w:t xml:space="preserve">of </w:t>
      </w:r>
      <w:r w:rsidRPr="00D94ACD" w:rsidR="003B2322">
        <w:t xml:space="preserve">digital cameras </w:t>
      </w:r>
      <w:r w:rsidRPr="00D94ACD" w:rsidR="0099305C">
        <w:t xml:space="preserve">often </w:t>
      </w:r>
      <w:r w:rsidRPr="00D94ACD" w:rsidR="00EF1416">
        <w:t>supplied to the STDN</w:t>
      </w:r>
      <w:r w:rsidRPr="00D94ACD">
        <w:t xml:space="preserve"> by </w:t>
      </w:r>
      <w:r w:rsidRPr="00D94ACD" w:rsidR="005D2C67">
        <w:t>NMFS</w:t>
      </w:r>
      <w:r w:rsidRPr="00D94ACD">
        <w:t xml:space="preserve">. </w:t>
      </w:r>
      <w:r w:rsidRPr="00D94ACD" w:rsidR="00F547B1">
        <w:t xml:space="preserve">Digital photographs can also be sent via electronic mail, meaning there is no cost to developing or sending these images. </w:t>
      </w:r>
      <w:r w:rsidRPr="00D94ACD" w:rsidR="005D2C67">
        <w:t>NMFS</w:t>
      </w:r>
      <w:r w:rsidRPr="00D94ACD" w:rsidR="00A81887">
        <w:t xml:space="preserve"> </w:t>
      </w:r>
      <w:r w:rsidRPr="00D94ACD" w:rsidR="00EF1416">
        <w:t>also</w:t>
      </w:r>
      <w:r w:rsidRPr="00D94ACD">
        <w:t xml:space="preserve"> cover</w:t>
      </w:r>
      <w:r w:rsidRPr="00D94ACD" w:rsidR="00EF1416">
        <w:t>s</w:t>
      </w:r>
      <w:r w:rsidRPr="00D94ACD">
        <w:t xml:space="preserve"> </w:t>
      </w:r>
      <w:r w:rsidRPr="00D94ACD" w:rsidR="00EF1416">
        <w:t xml:space="preserve">the </w:t>
      </w:r>
      <w:r w:rsidRPr="00D94ACD">
        <w:t>cost associa</w:t>
      </w:r>
      <w:r w:rsidRPr="00D94ACD" w:rsidR="00EF1416">
        <w:t xml:space="preserve">ted with shipping </w:t>
      </w:r>
      <w:r w:rsidRPr="00D94ACD" w:rsidR="00F547B1">
        <w:t xml:space="preserve">forms, </w:t>
      </w:r>
      <w:r w:rsidRPr="00D94ACD" w:rsidR="00EF1416">
        <w:t>photos, video</w:t>
      </w:r>
      <w:r w:rsidRPr="00D94ACD">
        <w:t xml:space="preserve"> and any removed gear</w:t>
      </w:r>
      <w:r w:rsidRPr="00D94ACD" w:rsidR="00F547B1">
        <w:t xml:space="preserve">, as </w:t>
      </w:r>
      <w:r w:rsidRPr="00D94ACD" w:rsidR="00F547B1">
        <w:lastRenderedPageBreak/>
        <w:t>necessary</w:t>
      </w:r>
      <w:r w:rsidRPr="00D94ACD">
        <w:t>.</w:t>
      </w:r>
      <w:r w:rsidRPr="00D94ACD" w:rsidR="000B6610">
        <w:t xml:space="preserve"> </w:t>
      </w:r>
      <w:r w:rsidRPr="00D94ACD" w:rsidR="000B6610">
        <w:rPr>
          <w:shd w:val="clear" w:color="auto" w:fill="FFFFFF"/>
        </w:rPr>
        <w:t xml:space="preserve">There would be no financial burden to fishermen because </w:t>
      </w:r>
      <w:r w:rsidRPr="00D94ACD" w:rsidR="0088449A">
        <w:rPr>
          <w:shd w:val="clear" w:color="auto" w:fill="FFFFFF"/>
        </w:rPr>
        <w:t xml:space="preserve">interview </w:t>
      </w:r>
      <w:r w:rsidRPr="00D94ACD" w:rsidR="000B6610">
        <w:rPr>
          <w:shd w:val="clear" w:color="auto" w:fill="FFFFFF"/>
        </w:rPr>
        <w:t xml:space="preserve">calls would be made by </w:t>
      </w:r>
      <w:r w:rsidRPr="00D94ACD" w:rsidR="005D2C67">
        <w:rPr>
          <w:shd w:val="clear" w:color="auto" w:fill="FFFFFF"/>
        </w:rPr>
        <w:t>NMFS</w:t>
      </w:r>
      <w:r w:rsidRPr="00D94ACD" w:rsidR="000B6610">
        <w:rPr>
          <w:shd w:val="clear" w:color="auto" w:fill="FFFFFF"/>
        </w:rPr>
        <w:t xml:space="preserve"> staff and all information would be gathered during that call.</w:t>
      </w:r>
    </w:p>
    <w:p w:rsidRPr="00D94ACD" w:rsidR="006039CA" w:rsidRDefault="006039CA">
      <w:pPr>
        <w:rPr>
          <w:sz w:val="24"/>
          <w:szCs w:val="24"/>
        </w:rPr>
      </w:pPr>
      <w:r w:rsidRPr="00D94ACD">
        <w:rPr>
          <w:sz w:val="24"/>
          <w:szCs w:val="24"/>
        </w:rPr>
        <w:t xml:space="preserve"> </w:t>
      </w: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6.  </w:t>
      </w:r>
      <w:r w:rsidRPr="00D94ACD" w:rsidR="00D94ACD">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D94ACD" w:rsidR="006039CA" w:rsidRDefault="006039CA">
      <w:pPr>
        <w:rPr>
          <w:sz w:val="24"/>
          <w:szCs w:val="24"/>
        </w:rPr>
      </w:pPr>
    </w:p>
    <w:p w:rsidRPr="00D94ACD" w:rsidR="00D5758C" w:rsidRDefault="005D2C67">
      <w:pPr>
        <w:rPr>
          <w:sz w:val="24"/>
          <w:szCs w:val="24"/>
        </w:rPr>
      </w:pPr>
      <w:r w:rsidRPr="00D94ACD">
        <w:rPr>
          <w:sz w:val="24"/>
          <w:szCs w:val="24"/>
        </w:rPr>
        <w:t>NMFS</w:t>
      </w:r>
      <w:r w:rsidRPr="00D94ACD" w:rsidR="00D61311">
        <w:rPr>
          <w:sz w:val="24"/>
          <w:szCs w:val="24"/>
        </w:rPr>
        <w:t xml:space="preserve"> </w:t>
      </w:r>
      <w:r w:rsidRPr="00D94ACD" w:rsidR="006039CA">
        <w:rPr>
          <w:sz w:val="24"/>
          <w:szCs w:val="24"/>
        </w:rPr>
        <w:t xml:space="preserve">believes that sea turtle entanglement in </w:t>
      </w:r>
      <w:r w:rsidRPr="00D94ACD" w:rsidR="0084754F">
        <w:rPr>
          <w:sz w:val="24"/>
          <w:szCs w:val="24"/>
        </w:rPr>
        <w:t>fixed fishing</w:t>
      </w:r>
      <w:r w:rsidRPr="00D94ACD" w:rsidR="006039CA">
        <w:rPr>
          <w:sz w:val="24"/>
          <w:szCs w:val="24"/>
        </w:rPr>
        <w:t xml:space="preserve"> gear is a significant source of mortality for leatherback and loggerhead sea turtles based on anecdotal reports and information collected </w:t>
      </w:r>
      <w:r w:rsidRPr="00D94ACD" w:rsidR="003B2322">
        <w:rPr>
          <w:sz w:val="24"/>
          <w:szCs w:val="24"/>
        </w:rPr>
        <w:t>to-date by the STDN</w:t>
      </w:r>
      <w:r w:rsidRPr="00D94ACD" w:rsidR="00D219E2">
        <w:rPr>
          <w:sz w:val="24"/>
          <w:szCs w:val="24"/>
        </w:rPr>
        <w:t xml:space="preserve"> and the STSSN</w:t>
      </w:r>
      <w:r w:rsidRPr="00D94ACD" w:rsidR="006039CA">
        <w:rPr>
          <w:sz w:val="24"/>
          <w:szCs w:val="24"/>
        </w:rPr>
        <w:t xml:space="preserve">. </w:t>
      </w:r>
      <w:r w:rsidRPr="00D94ACD" w:rsidR="002228E2">
        <w:rPr>
          <w:sz w:val="24"/>
          <w:szCs w:val="24"/>
        </w:rPr>
        <w:t xml:space="preserve">There is very </w:t>
      </w:r>
      <w:r w:rsidRPr="00D94ACD" w:rsidR="00AE1F6B">
        <w:rPr>
          <w:sz w:val="24"/>
          <w:szCs w:val="24"/>
        </w:rPr>
        <w:t xml:space="preserve">little </w:t>
      </w:r>
      <w:r w:rsidRPr="00D94ACD" w:rsidR="006039CA">
        <w:rPr>
          <w:sz w:val="24"/>
          <w:szCs w:val="24"/>
        </w:rPr>
        <w:t xml:space="preserve">observer coverage </w:t>
      </w:r>
      <w:r w:rsidRPr="00D94ACD" w:rsidR="00AE1F6B">
        <w:rPr>
          <w:sz w:val="24"/>
          <w:szCs w:val="24"/>
        </w:rPr>
        <w:t xml:space="preserve">in </w:t>
      </w:r>
      <w:r w:rsidRPr="00D94ACD" w:rsidR="006039CA">
        <w:rPr>
          <w:sz w:val="24"/>
          <w:szCs w:val="24"/>
        </w:rPr>
        <w:t xml:space="preserve">pot gear fisheries, </w:t>
      </w:r>
      <w:r w:rsidRPr="00D94ACD" w:rsidR="00AE1F6B">
        <w:rPr>
          <w:sz w:val="24"/>
          <w:szCs w:val="24"/>
        </w:rPr>
        <w:t>which means that data collect</w:t>
      </w:r>
      <w:r w:rsidRPr="00D94ACD" w:rsidR="002228E2">
        <w:rPr>
          <w:sz w:val="24"/>
          <w:szCs w:val="24"/>
        </w:rPr>
        <w:t>ed</w:t>
      </w:r>
      <w:r w:rsidRPr="00D94ACD" w:rsidR="00AE1F6B">
        <w:rPr>
          <w:sz w:val="24"/>
          <w:szCs w:val="24"/>
        </w:rPr>
        <w:t xml:space="preserve"> using the STERF</w:t>
      </w:r>
      <w:r w:rsidRPr="00D94ACD" w:rsidR="00D61311">
        <w:rPr>
          <w:sz w:val="24"/>
          <w:szCs w:val="24"/>
        </w:rPr>
        <w:t xml:space="preserve"> </w:t>
      </w:r>
      <w:r w:rsidRPr="00D94ACD" w:rsidR="002228E2">
        <w:rPr>
          <w:sz w:val="24"/>
          <w:szCs w:val="24"/>
        </w:rPr>
        <w:t xml:space="preserve">are the most comprehensive way </w:t>
      </w:r>
      <w:r w:rsidRPr="00D94ACD" w:rsidR="00D61311">
        <w:rPr>
          <w:sz w:val="24"/>
          <w:szCs w:val="24"/>
        </w:rPr>
        <w:t xml:space="preserve">of </w:t>
      </w:r>
      <w:r w:rsidRPr="00D94ACD" w:rsidR="006039CA">
        <w:rPr>
          <w:sz w:val="24"/>
          <w:szCs w:val="24"/>
        </w:rPr>
        <w:t xml:space="preserve">assessing sea turtle take in </w:t>
      </w:r>
      <w:r w:rsidRPr="00D94ACD" w:rsidR="007951B5">
        <w:rPr>
          <w:sz w:val="24"/>
          <w:szCs w:val="24"/>
        </w:rPr>
        <w:t>these</w:t>
      </w:r>
      <w:r w:rsidRPr="00D94ACD" w:rsidR="006039CA">
        <w:rPr>
          <w:sz w:val="24"/>
          <w:szCs w:val="24"/>
        </w:rPr>
        <w:t xml:space="preserve"> fisheries. If </w:t>
      </w:r>
      <w:r w:rsidRPr="00D94ACD">
        <w:rPr>
          <w:sz w:val="24"/>
          <w:szCs w:val="24"/>
        </w:rPr>
        <w:t>NMFS</w:t>
      </w:r>
      <w:r w:rsidRPr="00D94ACD" w:rsidR="00D61311">
        <w:rPr>
          <w:sz w:val="24"/>
          <w:szCs w:val="24"/>
        </w:rPr>
        <w:t xml:space="preserve"> </w:t>
      </w:r>
      <w:r w:rsidRPr="00D94ACD" w:rsidR="006039CA">
        <w:rPr>
          <w:sz w:val="24"/>
          <w:szCs w:val="24"/>
        </w:rPr>
        <w:t xml:space="preserve">does not </w:t>
      </w:r>
      <w:r w:rsidRPr="00D94ACD" w:rsidR="003B2322">
        <w:rPr>
          <w:sz w:val="24"/>
          <w:szCs w:val="24"/>
        </w:rPr>
        <w:t xml:space="preserve">continue to </w:t>
      </w:r>
      <w:r w:rsidRPr="00D94ACD" w:rsidR="006039CA">
        <w:rPr>
          <w:sz w:val="24"/>
          <w:szCs w:val="24"/>
        </w:rPr>
        <w:t>disseminate disentanglement guidelines</w:t>
      </w:r>
      <w:r w:rsidRPr="00D94ACD" w:rsidR="003B2322">
        <w:rPr>
          <w:sz w:val="24"/>
          <w:szCs w:val="24"/>
        </w:rPr>
        <w:t xml:space="preserve"> and </w:t>
      </w:r>
      <w:r w:rsidRPr="00D94ACD" w:rsidR="00D5758C">
        <w:rPr>
          <w:sz w:val="24"/>
          <w:szCs w:val="24"/>
        </w:rPr>
        <w:t>STERFs</w:t>
      </w:r>
      <w:r w:rsidRPr="00D94ACD" w:rsidR="006039CA">
        <w:rPr>
          <w:sz w:val="24"/>
          <w:szCs w:val="24"/>
        </w:rPr>
        <w:t xml:space="preserve">, information on sea turtle entanglement in </w:t>
      </w:r>
      <w:r w:rsidRPr="00D94ACD" w:rsidR="007951B5">
        <w:rPr>
          <w:sz w:val="24"/>
          <w:szCs w:val="24"/>
        </w:rPr>
        <w:t>fixed</w:t>
      </w:r>
      <w:r w:rsidRPr="00D94ACD" w:rsidR="006039CA">
        <w:rPr>
          <w:sz w:val="24"/>
          <w:szCs w:val="24"/>
        </w:rPr>
        <w:t xml:space="preserve"> gear fisheries </w:t>
      </w:r>
      <w:r w:rsidRPr="00D94ACD" w:rsidR="0083166C">
        <w:rPr>
          <w:sz w:val="24"/>
          <w:szCs w:val="24"/>
        </w:rPr>
        <w:t>would</w:t>
      </w:r>
      <w:r w:rsidRPr="00D94ACD" w:rsidR="006039CA">
        <w:rPr>
          <w:sz w:val="24"/>
          <w:szCs w:val="24"/>
        </w:rPr>
        <w:t xml:space="preserve"> </w:t>
      </w:r>
      <w:r w:rsidRPr="00D94ACD" w:rsidR="00D5758C">
        <w:rPr>
          <w:sz w:val="24"/>
          <w:szCs w:val="24"/>
        </w:rPr>
        <w:t xml:space="preserve">likely </w:t>
      </w:r>
      <w:r w:rsidRPr="00D94ACD" w:rsidR="003B2322">
        <w:rPr>
          <w:sz w:val="24"/>
          <w:szCs w:val="24"/>
        </w:rPr>
        <w:t>become</w:t>
      </w:r>
      <w:r w:rsidRPr="00D94ACD" w:rsidR="006039CA">
        <w:rPr>
          <w:sz w:val="24"/>
          <w:szCs w:val="24"/>
        </w:rPr>
        <w:t xml:space="preserve"> inconsistent, </w:t>
      </w:r>
      <w:r w:rsidRPr="00D94ACD" w:rsidR="00D61311">
        <w:rPr>
          <w:sz w:val="24"/>
          <w:szCs w:val="24"/>
        </w:rPr>
        <w:t xml:space="preserve">slow, and </w:t>
      </w:r>
      <w:r w:rsidRPr="00D94ACD" w:rsidR="007951B5">
        <w:rPr>
          <w:sz w:val="24"/>
          <w:szCs w:val="24"/>
        </w:rPr>
        <w:t xml:space="preserve">potentially </w:t>
      </w:r>
      <w:r w:rsidRPr="00D94ACD" w:rsidR="002228E2">
        <w:rPr>
          <w:sz w:val="24"/>
          <w:szCs w:val="24"/>
        </w:rPr>
        <w:t>incomplete</w:t>
      </w:r>
      <w:r w:rsidRPr="00D94ACD" w:rsidR="006039CA">
        <w:rPr>
          <w:sz w:val="24"/>
          <w:szCs w:val="24"/>
        </w:rPr>
        <w:t xml:space="preserve">. </w:t>
      </w:r>
      <w:r w:rsidRPr="00D94ACD" w:rsidR="0083166C">
        <w:rPr>
          <w:sz w:val="24"/>
          <w:szCs w:val="24"/>
        </w:rPr>
        <w:t xml:space="preserve">The disentanglement guidelines also provide the STDN with standard methodology for disentanglement that will ensure consistent and appropriate actions to maximize positive outcomes in these events.  </w:t>
      </w:r>
    </w:p>
    <w:p w:rsidRPr="00D94ACD" w:rsidR="0083166C" w:rsidRDefault="0083166C">
      <w:pPr>
        <w:rPr>
          <w:sz w:val="24"/>
          <w:szCs w:val="24"/>
        </w:rPr>
      </w:pPr>
    </w:p>
    <w:p w:rsidRPr="00D94ACD" w:rsidR="006039CA" w:rsidRDefault="00D5758C">
      <w:pPr>
        <w:rPr>
          <w:sz w:val="24"/>
          <w:szCs w:val="24"/>
        </w:rPr>
      </w:pPr>
      <w:r w:rsidRPr="00D94ACD">
        <w:rPr>
          <w:sz w:val="24"/>
          <w:szCs w:val="24"/>
        </w:rPr>
        <w:t xml:space="preserve">In addition, if reports are not received in a timely manner, turtles that are injured by entanglement in fixed fishing gear would not receive appropriate medical treatment. Dead entangled turtles would not be documented through thorough data collection and, if appropriate, necropsy by </w:t>
      </w:r>
      <w:r w:rsidRPr="00D94ACD" w:rsidR="0083166C">
        <w:rPr>
          <w:sz w:val="24"/>
          <w:szCs w:val="24"/>
        </w:rPr>
        <w:t xml:space="preserve">the </w:t>
      </w:r>
      <w:r w:rsidRPr="00D94ACD">
        <w:rPr>
          <w:sz w:val="24"/>
          <w:szCs w:val="24"/>
        </w:rPr>
        <w:t xml:space="preserve">STDN. </w:t>
      </w:r>
      <w:r w:rsidRPr="00D94ACD" w:rsidR="005D2C67">
        <w:rPr>
          <w:sz w:val="24"/>
          <w:szCs w:val="24"/>
        </w:rPr>
        <w:t>NMFS</w:t>
      </w:r>
      <w:r w:rsidRPr="00D94ACD" w:rsidR="006039CA">
        <w:rPr>
          <w:sz w:val="24"/>
          <w:szCs w:val="24"/>
        </w:rPr>
        <w:t xml:space="preserve"> </w:t>
      </w:r>
      <w:r w:rsidRPr="00D94ACD" w:rsidR="0099305C">
        <w:rPr>
          <w:sz w:val="24"/>
          <w:szCs w:val="24"/>
        </w:rPr>
        <w:t>GARFO</w:t>
      </w:r>
      <w:r w:rsidRPr="00D94ACD" w:rsidR="006039CA">
        <w:rPr>
          <w:sz w:val="24"/>
          <w:szCs w:val="24"/>
        </w:rPr>
        <w:t xml:space="preserve"> has dedicated a significant amount of funding and sta</w:t>
      </w:r>
      <w:r w:rsidRPr="00D94ACD" w:rsidR="00945E29">
        <w:rPr>
          <w:sz w:val="24"/>
          <w:szCs w:val="24"/>
        </w:rPr>
        <w:t xml:space="preserve">ff time to establishing the STDN </w:t>
      </w:r>
      <w:r w:rsidRPr="00D94ACD" w:rsidR="006039CA">
        <w:rPr>
          <w:sz w:val="24"/>
          <w:szCs w:val="24"/>
        </w:rPr>
        <w:t xml:space="preserve">and </w:t>
      </w:r>
      <w:r w:rsidRPr="00D94ACD">
        <w:rPr>
          <w:sz w:val="24"/>
          <w:szCs w:val="24"/>
        </w:rPr>
        <w:t>collecting</w:t>
      </w:r>
      <w:r w:rsidRPr="00D94ACD" w:rsidR="006039CA">
        <w:rPr>
          <w:sz w:val="24"/>
          <w:szCs w:val="24"/>
        </w:rPr>
        <w:t xml:space="preserve"> information </w:t>
      </w:r>
      <w:r w:rsidRPr="00D94ACD">
        <w:rPr>
          <w:sz w:val="24"/>
          <w:szCs w:val="24"/>
        </w:rPr>
        <w:t xml:space="preserve">that </w:t>
      </w:r>
      <w:r w:rsidRPr="00D94ACD" w:rsidR="006039CA">
        <w:rPr>
          <w:sz w:val="24"/>
          <w:szCs w:val="24"/>
        </w:rPr>
        <w:t xml:space="preserve">is essential to </w:t>
      </w:r>
      <w:r w:rsidRPr="00D94ACD">
        <w:rPr>
          <w:sz w:val="24"/>
          <w:szCs w:val="24"/>
        </w:rPr>
        <w:t xml:space="preserve">understanding sea turtle entanglement in fixed fishing gear and mitigating the negative impact of these interactions. </w:t>
      </w:r>
      <w:r w:rsidRPr="00D94ACD" w:rsidR="006039CA">
        <w:rPr>
          <w:sz w:val="24"/>
          <w:szCs w:val="24"/>
        </w:rPr>
        <w:t xml:space="preserve">Acquiring this information to fulfill the aforementioned objectives is an important aspect of the </w:t>
      </w:r>
      <w:r w:rsidRPr="00D94ACD" w:rsidR="005D2C67">
        <w:rPr>
          <w:sz w:val="24"/>
          <w:szCs w:val="24"/>
        </w:rPr>
        <w:t>NMFS GARFO</w:t>
      </w:r>
      <w:r w:rsidRPr="00D94ACD" w:rsidR="003B2322">
        <w:rPr>
          <w:sz w:val="24"/>
          <w:szCs w:val="24"/>
        </w:rPr>
        <w:t xml:space="preserve"> </w:t>
      </w:r>
      <w:r w:rsidRPr="00D94ACD" w:rsidR="006039CA">
        <w:rPr>
          <w:sz w:val="24"/>
          <w:szCs w:val="24"/>
        </w:rPr>
        <w:t>sea turtle program.</w:t>
      </w:r>
    </w:p>
    <w:p w:rsidRPr="00D94ACD" w:rsidR="006039CA" w:rsidRDefault="006039CA">
      <w:pPr>
        <w:rPr>
          <w:sz w:val="24"/>
          <w:szCs w:val="24"/>
        </w:rPr>
      </w:pPr>
    </w:p>
    <w:p w:rsidRPr="00D94ACD" w:rsidR="006039CA" w:rsidRDefault="006039CA">
      <w:pPr>
        <w:rPr>
          <w:sz w:val="24"/>
          <w:szCs w:val="24"/>
        </w:rPr>
      </w:pPr>
      <w:r w:rsidRPr="00D94ACD">
        <w:rPr>
          <w:b/>
          <w:bCs/>
          <w:sz w:val="24"/>
          <w:szCs w:val="24"/>
        </w:rPr>
        <w:t xml:space="preserve">7.  Explain any special circumstances that require the collection to be conducted in a manner inconsistent with OMB guidelines. </w:t>
      </w:r>
    </w:p>
    <w:p w:rsidRPr="00D94ACD" w:rsidR="006039CA" w:rsidRDefault="006039CA">
      <w:pPr>
        <w:rPr>
          <w:sz w:val="24"/>
          <w:szCs w:val="24"/>
        </w:rPr>
      </w:pPr>
    </w:p>
    <w:p w:rsidRPr="00D94ACD" w:rsidR="00F326FF" w:rsidRDefault="00D94ACD">
      <w:pPr>
        <w:rPr>
          <w:color w:val="222222"/>
          <w:sz w:val="24"/>
          <w:szCs w:val="24"/>
          <w:shd w:val="clear" w:color="auto" w:fill="FFFFFF"/>
        </w:rPr>
      </w:pPr>
      <w:r w:rsidRPr="00D94ACD">
        <w:rPr>
          <w:color w:val="222222"/>
          <w:sz w:val="24"/>
          <w:szCs w:val="24"/>
          <w:shd w:val="clear" w:color="auto" w:fill="FFFFFF"/>
        </w:rPr>
        <w:t>The collection of this information may be inconsistent with the OMB guideline that requires respondents to report information no more frequently than quarterly. Real-time reporting of entangled sea turtles is critical for STDN responders to be able to locate and free entangled sea turtles, thereby increasing their chance of survival. Reporting and documentation of entanglement would thus need to be collected more frequently than on a quarterly basis. Sea turtles are generally present in the Greater Atlantic Region from May to November and there could be reports of entangled sea turtles at any time during that period. For example, multiple entangled sea turtles may be encountered in one day or one entangled sea turtle may be encountered in a month. Given the necessity for real-time reporting, there is the potential for members of the STDN, though likely not any other specific member of the public, to report sea turtle entanglements more often than quarterly. </w:t>
      </w:r>
      <w:r w:rsidRPr="00D94ACD">
        <w:rPr>
          <w:color w:val="222222"/>
          <w:sz w:val="24"/>
          <w:szCs w:val="24"/>
          <w:shd w:val="clear" w:color="auto" w:fill="FFFFFF"/>
        </w:rPr>
        <w:br/>
        <w:t> </w:t>
      </w:r>
      <w:r w:rsidRPr="00D94ACD">
        <w:rPr>
          <w:color w:val="222222"/>
          <w:sz w:val="24"/>
          <w:szCs w:val="24"/>
          <w:shd w:val="clear" w:color="auto" w:fill="FFFFFF"/>
        </w:rPr>
        <w:br/>
        <w:t xml:space="preserve">The collection </w:t>
      </w:r>
      <w:r w:rsidRPr="00D94ACD">
        <w:rPr>
          <w:color w:val="222222"/>
          <w:sz w:val="24"/>
          <w:szCs w:val="24"/>
          <w:shd w:val="clear" w:color="auto" w:fill="FFFFFF"/>
        </w:rPr>
        <w:t xml:space="preserve">may </w:t>
      </w:r>
      <w:r w:rsidRPr="00D94ACD">
        <w:rPr>
          <w:color w:val="222222"/>
          <w:sz w:val="24"/>
          <w:szCs w:val="24"/>
          <w:shd w:val="clear" w:color="auto" w:fill="FFFFFF"/>
        </w:rPr>
        <w:t xml:space="preserve">also be inconsistent with OMB guidelines in that the sea turtle entanglement report form, including information about the identification of the fishing gear involved in the entanglement, must be submitted in a timely manner, i.e., sooner than 30 days in order to allow for the NMFS gear team to interview the gear owner. Interviews include information about how the gear was set, when it was last seen, when it was noted as missing, etc. that would not be </w:t>
      </w:r>
      <w:r w:rsidRPr="00D94ACD">
        <w:rPr>
          <w:color w:val="222222"/>
          <w:sz w:val="24"/>
          <w:szCs w:val="24"/>
          <w:shd w:val="clear" w:color="auto" w:fill="FFFFFF"/>
        </w:rPr>
        <w:lastRenderedPageBreak/>
        <w:t>remembered if too much time passed. Therefore, we ask STDN members to submit entanglement report forms as soon as possible following an event.</w:t>
      </w:r>
      <w:r w:rsidRPr="00D94ACD">
        <w:rPr>
          <w:color w:val="222222"/>
          <w:sz w:val="24"/>
          <w:szCs w:val="24"/>
          <w:shd w:val="clear" w:color="auto" w:fill="FFFFFF"/>
        </w:rPr>
        <w:br/>
        <w:t> </w:t>
      </w:r>
      <w:r w:rsidRPr="00D94ACD">
        <w:rPr>
          <w:color w:val="222222"/>
          <w:sz w:val="24"/>
          <w:szCs w:val="24"/>
          <w:shd w:val="clear" w:color="auto" w:fill="FFFFFF"/>
        </w:rPr>
        <w:br/>
        <w:t>The collection will otherwise be conducted in a manner consistent with OMB guidelines.</w:t>
      </w:r>
    </w:p>
    <w:p w:rsidRPr="00D94ACD" w:rsidR="00D94ACD" w:rsidRDefault="00D94ACD">
      <w:pPr>
        <w:rPr>
          <w:sz w:val="24"/>
          <w:szCs w:val="24"/>
        </w:rPr>
      </w:pPr>
    </w:p>
    <w:p w:rsidRPr="00D94ACD" w:rsidR="006039CA"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8.  </w:t>
      </w:r>
      <w:r w:rsidRPr="00D94ACD" w:rsidR="00D94ACD">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94ACD" w:rsidR="006039CA" w:rsidRDefault="006039CA">
      <w:pPr>
        <w:rPr>
          <w:sz w:val="24"/>
          <w:szCs w:val="24"/>
        </w:rPr>
      </w:pPr>
    </w:p>
    <w:p w:rsidRPr="00D94ACD" w:rsidR="005458DC" w:rsidRDefault="000E2FAB">
      <w:pPr>
        <w:rPr>
          <w:sz w:val="24"/>
          <w:szCs w:val="24"/>
        </w:rPr>
      </w:pPr>
      <w:r w:rsidRPr="00D94ACD">
        <w:rPr>
          <w:sz w:val="24"/>
          <w:szCs w:val="24"/>
        </w:rPr>
        <w:t xml:space="preserve">A </w:t>
      </w:r>
      <w:r w:rsidRPr="00D94ACD">
        <w:rPr>
          <w:sz w:val="24"/>
          <w:szCs w:val="24"/>
          <w:u w:val="single"/>
        </w:rPr>
        <w:t>Federal Register</w:t>
      </w:r>
      <w:r w:rsidRPr="00D94ACD">
        <w:rPr>
          <w:sz w:val="24"/>
          <w:szCs w:val="24"/>
        </w:rPr>
        <w:t xml:space="preserve"> </w:t>
      </w:r>
      <w:r w:rsidRPr="00D94ACD" w:rsidR="005458DC">
        <w:rPr>
          <w:sz w:val="24"/>
          <w:szCs w:val="24"/>
        </w:rPr>
        <w:t>N</w:t>
      </w:r>
      <w:r w:rsidRPr="00D94ACD">
        <w:rPr>
          <w:sz w:val="24"/>
          <w:szCs w:val="24"/>
        </w:rPr>
        <w:t xml:space="preserve">otice </w:t>
      </w:r>
      <w:r w:rsidRPr="00D94ACD" w:rsidR="003462D3">
        <w:rPr>
          <w:sz w:val="24"/>
          <w:szCs w:val="24"/>
        </w:rPr>
        <w:t xml:space="preserve">published on </w:t>
      </w:r>
      <w:r w:rsidRPr="00D94ACD" w:rsidR="009805C3">
        <w:rPr>
          <w:sz w:val="24"/>
          <w:szCs w:val="24"/>
        </w:rPr>
        <w:t>March 10, 2017 (82</w:t>
      </w:r>
      <w:r w:rsidRPr="00D94ACD" w:rsidR="00484410">
        <w:rPr>
          <w:sz w:val="24"/>
          <w:szCs w:val="24"/>
        </w:rPr>
        <w:t xml:space="preserve"> FR </w:t>
      </w:r>
      <w:r w:rsidRPr="00D94ACD" w:rsidR="00B81A2E">
        <w:rPr>
          <w:sz w:val="24"/>
          <w:szCs w:val="24"/>
        </w:rPr>
        <w:t>13309</w:t>
      </w:r>
      <w:r w:rsidRPr="00D94ACD" w:rsidR="00484410">
        <w:rPr>
          <w:sz w:val="24"/>
          <w:szCs w:val="24"/>
        </w:rPr>
        <w:t>)</w:t>
      </w:r>
      <w:r w:rsidRPr="00D94ACD" w:rsidR="00A0536E">
        <w:rPr>
          <w:sz w:val="24"/>
          <w:szCs w:val="24"/>
        </w:rPr>
        <w:t xml:space="preserve"> solicited public comment</w:t>
      </w:r>
      <w:r w:rsidRPr="00D94ACD" w:rsidR="003462D3">
        <w:rPr>
          <w:sz w:val="24"/>
          <w:szCs w:val="24"/>
        </w:rPr>
        <w:t xml:space="preserve">.  </w:t>
      </w:r>
    </w:p>
    <w:p w:rsidRPr="00D94ACD" w:rsidR="00F326FF" w:rsidRDefault="00F326FF">
      <w:pPr>
        <w:rPr>
          <w:sz w:val="24"/>
          <w:szCs w:val="24"/>
        </w:rPr>
      </w:pPr>
    </w:p>
    <w:p w:rsidRPr="00D94ACD" w:rsidR="00E14792" w:rsidRDefault="00E14792">
      <w:pPr>
        <w:rPr>
          <w:sz w:val="24"/>
          <w:szCs w:val="24"/>
        </w:rPr>
      </w:pPr>
      <w:r w:rsidRPr="00D94ACD">
        <w:rPr>
          <w:sz w:val="24"/>
          <w:szCs w:val="24"/>
        </w:rPr>
        <w:t>The following was the only response received</w:t>
      </w:r>
      <w:r w:rsidRPr="00D94ACD" w:rsidR="00D57B2D">
        <w:rPr>
          <w:sz w:val="24"/>
          <w:szCs w:val="24"/>
        </w:rPr>
        <w:t xml:space="preserve"> to the Federal Register notice. </w:t>
      </w:r>
      <w:r w:rsidRPr="00D94ACD">
        <w:rPr>
          <w:sz w:val="24"/>
          <w:szCs w:val="24"/>
        </w:rPr>
        <w:t>“</w:t>
      </w:r>
      <w:proofErr w:type="spellStart"/>
      <w:r w:rsidRPr="00D94ACD" w:rsidR="00D57B2D">
        <w:rPr>
          <w:i/>
          <w:sz w:val="24"/>
          <w:szCs w:val="24"/>
        </w:rPr>
        <w:t>N</w:t>
      </w:r>
      <w:r w:rsidRPr="00D94ACD">
        <w:rPr>
          <w:i/>
          <w:color w:val="222222"/>
          <w:sz w:val="24"/>
          <w:szCs w:val="24"/>
          <w:shd w:val="clear" w:color="auto" w:fill="FFFFFF"/>
        </w:rPr>
        <w:t>illions</w:t>
      </w:r>
      <w:proofErr w:type="spellEnd"/>
      <w:r w:rsidRPr="00D94ACD">
        <w:rPr>
          <w:i/>
          <w:color w:val="222222"/>
          <w:sz w:val="24"/>
          <w:szCs w:val="24"/>
          <w:shd w:val="clear" w:color="auto" w:fill="FFFFFF"/>
        </w:rPr>
        <w:t xml:space="preserve"> of turtles are dying every year because of negligent operation of any efforts by this agency to stop what is </w:t>
      </w:r>
      <w:proofErr w:type="spellStart"/>
      <w:r w:rsidRPr="00D94ACD">
        <w:rPr>
          <w:i/>
          <w:color w:val="222222"/>
          <w:sz w:val="24"/>
          <w:szCs w:val="24"/>
          <w:shd w:val="clear" w:color="auto" w:fill="FFFFFF"/>
        </w:rPr>
        <w:t>gon</w:t>
      </w:r>
      <w:proofErr w:type="spellEnd"/>
      <w:r w:rsidRPr="00D94ACD">
        <w:rPr>
          <w:i/>
          <w:color w:val="222222"/>
          <w:sz w:val="24"/>
          <w:szCs w:val="24"/>
          <w:shd w:val="clear" w:color="auto" w:fill="FFFFFF"/>
        </w:rPr>
        <w:t xml:space="preserve"> on in the commercial fishing </w:t>
      </w:r>
      <w:proofErr w:type="spellStart"/>
      <w:r w:rsidRPr="00D94ACD">
        <w:rPr>
          <w:i/>
          <w:color w:val="222222"/>
          <w:sz w:val="24"/>
          <w:szCs w:val="24"/>
          <w:shd w:val="clear" w:color="auto" w:fill="FFFFFF"/>
        </w:rPr>
        <w:t>indsutry</w:t>
      </w:r>
      <w:proofErr w:type="spellEnd"/>
      <w:r w:rsidRPr="00D94ACD">
        <w:rPr>
          <w:i/>
          <w:color w:val="222222"/>
          <w:sz w:val="24"/>
          <w:szCs w:val="24"/>
          <w:shd w:val="clear" w:color="auto" w:fill="FFFFFF"/>
        </w:rPr>
        <w:t xml:space="preserve">. </w:t>
      </w:r>
      <w:proofErr w:type="gramStart"/>
      <w:r w:rsidRPr="00D94ACD">
        <w:rPr>
          <w:i/>
          <w:color w:val="222222"/>
          <w:sz w:val="24"/>
          <w:szCs w:val="24"/>
          <w:shd w:val="clear" w:color="auto" w:fill="FFFFFF"/>
        </w:rPr>
        <w:t>these</w:t>
      </w:r>
      <w:proofErr w:type="gramEnd"/>
      <w:r w:rsidRPr="00D94ACD">
        <w:rPr>
          <w:i/>
          <w:color w:val="222222"/>
          <w:sz w:val="24"/>
          <w:szCs w:val="24"/>
          <w:shd w:val="clear" w:color="auto" w:fill="FFFFFF"/>
        </w:rPr>
        <w:t xml:space="preserve"> commercial fishing operations </w:t>
      </w:r>
      <w:proofErr w:type="spellStart"/>
      <w:r w:rsidRPr="00D94ACD">
        <w:rPr>
          <w:i/>
          <w:color w:val="222222"/>
          <w:sz w:val="24"/>
          <w:szCs w:val="24"/>
          <w:shd w:val="clear" w:color="auto" w:fill="FFFFFF"/>
        </w:rPr>
        <w:t>shoudl</w:t>
      </w:r>
      <w:proofErr w:type="spellEnd"/>
      <w:r w:rsidRPr="00D94ACD">
        <w:rPr>
          <w:i/>
          <w:color w:val="222222"/>
          <w:sz w:val="24"/>
          <w:szCs w:val="24"/>
          <w:shd w:val="clear" w:color="auto" w:fill="FFFFFF"/>
        </w:rPr>
        <w:t xml:space="preserve"> be checked by interstellar viewing and by the operatives on </w:t>
      </w:r>
      <w:proofErr w:type="spellStart"/>
      <w:r w:rsidRPr="00D94ACD">
        <w:rPr>
          <w:i/>
          <w:color w:val="222222"/>
          <w:sz w:val="24"/>
          <w:szCs w:val="24"/>
          <w:shd w:val="clear" w:color="auto" w:fill="FFFFFF"/>
        </w:rPr>
        <w:t>tehse</w:t>
      </w:r>
      <w:proofErr w:type="spellEnd"/>
      <w:r w:rsidRPr="00D94ACD">
        <w:rPr>
          <w:i/>
          <w:color w:val="222222"/>
          <w:sz w:val="24"/>
          <w:szCs w:val="24"/>
          <w:shd w:val="clear" w:color="auto" w:fill="FFFFFF"/>
        </w:rPr>
        <w:t xml:space="preserve"> ships to fine the fishing </w:t>
      </w:r>
      <w:proofErr w:type="spellStart"/>
      <w:r w:rsidRPr="00D94ACD">
        <w:rPr>
          <w:i/>
          <w:color w:val="222222"/>
          <w:sz w:val="24"/>
          <w:szCs w:val="24"/>
          <w:shd w:val="clear" w:color="auto" w:fill="FFFFFF"/>
        </w:rPr>
        <w:t>bessels</w:t>
      </w:r>
      <w:proofErr w:type="spellEnd"/>
      <w:r w:rsidRPr="00D94ACD">
        <w:rPr>
          <w:i/>
          <w:color w:val="222222"/>
          <w:sz w:val="24"/>
          <w:szCs w:val="24"/>
          <w:shd w:val="clear" w:color="auto" w:fill="FFFFFF"/>
        </w:rPr>
        <w:t xml:space="preserve"> $1,000 for every turtle they pick up </w:t>
      </w:r>
      <w:proofErr w:type="spellStart"/>
      <w:r w:rsidRPr="00D94ACD">
        <w:rPr>
          <w:i/>
          <w:color w:val="222222"/>
          <w:sz w:val="24"/>
          <w:szCs w:val="24"/>
          <w:shd w:val="clear" w:color="auto" w:fill="FFFFFF"/>
        </w:rPr>
        <w:t>gthat</w:t>
      </w:r>
      <w:proofErr w:type="spellEnd"/>
      <w:r w:rsidRPr="00D94ACD">
        <w:rPr>
          <w:i/>
          <w:color w:val="222222"/>
          <w:sz w:val="24"/>
          <w:szCs w:val="24"/>
          <w:shd w:val="clear" w:color="auto" w:fill="FFFFFF"/>
        </w:rPr>
        <w:t xml:space="preserve"> they allow to die. </w:t>
      </w:r>
      <w:proofErr w:type="spellStart"/>
      <w:proofErr w:type="gramStart"/>
      <w:r w:rsidRPr="00D94ACD">
        <w:rPr>
          <w:i/>
          <w:color w:val="222222"/>
          <w:sz w:val="24"/>
          <w:szCs w:val="24"/>
          <w:shd w:val="clear" w:color="auto" w:fill="FFFFFF"/>
        </w:rPr>
        <w:t>its</w:t>
      </w:r>
      <w:proofErr w:type="spellEnd"/>
      <w:proofErr w:type="gramEnd"/>
      <w:r w:rsidRPr="00D94ACD">
        <w:rPr>
          <w:i/>
          <w:color w:val="222222"/>
          <w:sz w:val="24"/>
          <w:szCs w:val="24"/>
          <w:shd w:val="clear" w:color="auto" w:fill="FFFFFF"/>
        </w:rPr>
        <w:t xml:space="preserve"> time to stop this industry from tit wasteful, horrific practices. </w:t>
      </w:r>
      <w:proofErr w:type="gramStart"/>
      <w:r w:rsidRPr="00D94ACD">
        <w:rPr>
          <w:i/>
          <w:color w:val="222222"/>
          <w:sz w:val="24"/>
          <w:szCs w:val="24"/>
          <w:shd w:val="clear" w:color="auto" w:fill="FFFFFF"/>
        </w:rPr>
        <w:t>this</w:t>
      </w:r>
      <w:proofErr w:type="gramEnd"/>
      <w:r w:rsidRPr="00D94ACD">
        <w:rPr>
          <w:i/>
          <w:color w:val="222222"/>
          <w:sz w:val="24"/>
          <w:szCs w:val="24"/>
          <w:shd w:val="clear" w:color="auto" w:fill="FFFFFF"/>
        </w:rPr>
        <w:t xml:space="preserve"> agency is doing </w:t>
      </w:r>
      <w:proofErr w:type="spellStart"/>
      <w:r w:rsidRPr="00D94ACD">
        <w:rPr>
          <w:i/>
          <w:color w:val="222222"/>
          <w:sz w:val="24"/>
          <w:szCs w:val="24"/>
          <w:shd w:val="clear" w:color="auto" w:fill="FFFFFF"/>
        </w:rPr>
        <w:t>noting</w:t>
      </w:r>
      <w:proofErr w:type="spellEnd"/>
      <w:r w:rsidRPr="00D94ACD">
        <w:rPr>
          <w:i/>
          <w:color w:val="222222"/>
          <w:sz w:val="24"/>
          <w:szCs w:val="24"/>
          <w:shd w:val="clear" w:color="auto" w:fill="FFFFFF"/>
        </w:rPr>
        <w:t xml:space="preserve"> to stop this horror at all. </w:t>
      </w:r>
      <w:proofErr w:type="gramStart"/>
      <w:r w:rsidRPr="00D94ACD">
        <w:rPr>
          <w:i/>
          <w:color w:val="222222"/>
          <w:sz w:val="24"/>
          <w:szCs w:val="24"/>
          <w:shd w:val="clear" w:color="auto" w:fill="FFFFFF"/>
        </w:rPr>
        <w:t>not</w:t>
      </w:r>
      <w:proofErr w:type="gramEnd"/>
      <w:r w:rsidRPr="00D94ACD">
        <w:rPr>
          <w:i/>
          <w:color w:val="222222"/>
          <w:sz w:val="24"/>
          <w:szCs w:val="24"/>
          <w:shd w:val="clear" w:color="auto" w:fill="FFFFFF"/>
        </w:rPr>
        <w:t xml:space="preserve"> one finger is </w:t>
      </w:r>
      <w:proofErr w:type="spellStart"/>
      <w:r w:rsidRPr="00D94ACD">
        <w:rPr>
          <w:i/>
          <w:color w:val="222222"/>
          <w:sz w:val="24"/>
          <w:szCs w:val="24"/>
          <w:shd w:val="clear" w:color="auto" w:fill="FFFFFF"/>
        </w:rPr>
        <w:t>lifte</w:t>
      </w:r>
      <w:proofErr w:type="spellEnd"/>
      <w:r w:rsidRPr="00D94ACD">
        <w:rPr>
          <w:i/>
          <w:color w:val="222222"/>
          <w:sz w:val="24"/>
          <w:szCs w:val="24"/>
          <w:shd w:val="clear" w:color="auto" w:fill="FFFFFF"/>
        </w:rPr>
        <w:t xml:space="preserve"> don </w:t>
      </w:r>
      <w:proofErr w:type="spellStart"/>
      <w:r w:rsidRPr="00D94ACD">
        <w:rPr>
          <w:i/>
          <w:color w:val="222222"/>
          <w:sz w:val="24"/>
          <w:szCs w:val="24"/>
          <w:shd w:val="clear" w:color="auto" w:fill="FFFFFF"/>
        </w:rPr>
        <w:t>thi</w:t>
      </w:r>
      <w:proofErr w:type="spellEnd"/>
      <w:r w:rsidRPr="00D94ACD">
        <w:rPr>
          <w:i/>
          <w:color w:val="222222"/>
          <w:sz w:val="24"/>
          <w:szCs w:val="24"/>
          <w:shd w:val="clear" w:color="auto" w:fill="FFFFFF"/>
        </w:rPr>
        <w:t xml:space="preserve"> s issue. </w:t>
      </w:r>
      <w:proofErr w:type="gramStart"/>
      <w:r w:rsidRPr="00D94ACD">
        <w:rPr>
          <w:i/>
          <w:color w:val="222222"/>
          <w:sz w:val="24"/>
          <w:szCs w:val="24"/>
          <w:shd w:val="clear" w:color="auto" w:fill="FFFFFF"/>
        </w:rPr>
        <w:t>this</w:t>
      </w:r>
      <w:proofErr w:type="gramEnd"/>
      <w:r w:rsidRPr="00D94ACD">
        <w:rPr>
          <w:i/>
          <w:color w:val="222222"/>
          <w:sz w:val="24"/>
          <w:szCs w:val="24"/>
          <w:shd w:val="clear" w:color="auto" w:fill="FFFFFF"/>
        </w:rPr>
        <w:t xml:space="preserve"> comment is for the public record please receipt.</w:t>
      </w:r>
      <w:r w:rsidRPr="00D94ACD" w:rsidR="00D57B2D">
        <w:rPr>
          <w:color w:val="222222"/>
          <w:sz w:val="24"/>
          <w:szCs w:val="24"/>
          <w:shd w:val="clear" w:color="auto" w:fill="FFFFFF"/>
        </w:rPr>
        <w:t xml:space="preserve">” This comment is not within the scope of this information collection and, therefore, is not addressed here. This program involves mitigation of and data collection about sea turtle entanglement in fishing gear, which is arguable and action being made to address the issue stated in the comment. </w:t>
      </w:r>
    </w:p>
    <w:p w:rsidRPr="00D94ACD" w:rsidR="005458DC" w:rsidRDefault="005458DC">
      <w:pPr>
        <w:rPr>
          <w:sz w:val="24"/>
          <w:szCs w:val="24"/>
        </w:rPr>
      </w:pPr>
    </w:p>
    <w:p w:rsidRPr="00D94ACD" w:rsidR="00A21BA1" w:rsidRDefault="006039CA">
      <w:pPr>
        <w:rPr>
          <w:sz w:val="24"/>
          <w:szCs w:val="24"/>
        </w:rPr>
      </w:pPr>
      <w:r w:rsidRPr="00D94ACD">
        <w:rPr>
          <w:sz w:val="24"/>
          <w:szCs w:val="24"/>
        </w:rPr>
        <w:t xml:space="preserve">The Sea Turtle Disentanglement </w:t>
      </w:r>
      <w:r w:rsidRPr="00D94ACD" w:rsidR="00FE3C3F">
        <w:rPr>
          <w:sz w:val="24"/>
          <w:szCs w:val="24"/>
        </w:rPr>
        <w:t xml:space="preserve">Guidelines and </w:t>
      </w:r>
      <w:r w:rsidRPr="00D94ACD" w:rsidR="008F25C5">
        <w:rPr>
          <w:sz w:val="24"/>
          <w:szCs w:val="24"/>
        </w:rPr>
        <w:t>STERF</w:t>
      </w:r>
      <w:r w:rsidRPr="00D94ACD">
        <w:rPr>
          <w:sz w:val="24"/>
          <w:szCs w:val="24"/>
        </w:rPr>
        <w:t xml:space="preserve"> were </w:t>
      </w:r>
      <w:r w:rsidRPr="00D94ACD" w:rsidR="00232B51">
        <w:rPr>
          <w:sz w:val="24"/>
          <w:szCs w:val="24"/>
        </w:rPr>
        <w:t>originally</w:t>
      </w:r>
      <w:r w:rsidRPr="00D94ACD" w:rsidR="00FE3C3F">
        <w:rPr>
          <w:sz w:val="24"/>
          <w:szCs w:val="24"/>
        </w:rPr>
        <w:t xml:space="preserve"> </w:t>
      </w:r>
      <w:r w:rsidRPr="00D94ACD">
        <w:rPr>
          <w:sz w:val="24"/>
          <w:szCs w:val="24"/>
        </w:rPr>
        <w:t>compiled with input from the fo</w:t>
      </w:r>
      <w:r w:rsidRPr="00D94ACD" w:rsidR="00ED7ADC">
        <w:rPr>
          <w:sz w:val="24"/>
          <w:szCs w:val="24"/>
        </w:rPr>
        <w:t>llowing organizations external to</w:t>
      </w:r>
      <w:r w:rsidRPr="00D94ACD">
        <w:rPr>
          <w:sz w:val="24"/>
          <w:szCs w:val="24"/>
        </w:rPr>
        <w:t xml:space="preserve"> </w:t>
      </w:r>
      <w:r w:rsidRPr="00D94ACD" w:rsidR="005D2C67">
        <w:rPr>
          <w:sz w:val="24"/>
          <w:szCs w:val="24"/>
        </w:rPr>
        <w:t>NMFS</w:t>
      </w:r>
      <w:r w:rsidRPr="00D94ACD">
        <w:rPr>
          <w:sz w:val="24"/>
          <w:szCs w:val="24"/>
        </w:rPr>
        <w:t xml:space="preserve">: the </w:t>
      </w:r>
      <w:r w:rsidRPr="00D94ACD" w:rsidR="00AE1F6B">
        <w:rPr>
          <w:sz w:val="24"/>
          <w:szCs w:val="24"/>
        </w:rPr>
        <w:t xml:space="preserve">Greater Atlantic </w:t>
      </w:r>
      <w:r w:rsidRPr="00D94ACD" w:rsidR="00964776">
        <w:rPr>
          <w:sz w:val="24"/>
          <w:szCs w:val="24"/>
        </w:rPr>
        <w:t xml:space="preserve">Region </w:t>
      </w:r>
      <w:r w:rsidRPr="00D94ACD" w:rsidR="00AE1F6B">
        <w:rPr>
          <w:sz w:val="24"/>
          <w:szCs w:val="24"/>
        </w:rPr>
        <w:t>ST</w:t>
      </w:r>
      <w:r w:rsidRPr="00D94ACD" w:rsidR="00C31023">
        <w:rPr>
          <w:sz w:val="24"/>
          <w:szCs w:val="24"/>
        </w:rPr>
        <w:t>D</w:t>
      </w:r>
      <w:r w:rsidRPr="00D94ACD" w:rsidR="00AE1F6B">
        <w:rPr>
          <w:sz w:val="24"/>
          <w:szCs w:val="24"/>
        </w:rPr>
        <w:t>N</w:t>
      </w:r>
      <w:r w:rsidRPr="00D94ACD">
        <w:rPr>
          <w:sz w:val="24"/>
          <w:szCs w:val="24"/>
        </w:rPr>
        <w:t>, state agencies, Canada D</w:t>
      </w:r>
      <w:r w:rsidRPr="00D94ACD" w:rsidR="00681DE5">
        <w:rPr>
          <w:sz w:val="24"/>
          <w:szCs w:val="24"/>
        </w:rPr>
        <w:t xml:space="preserve">epartment of </w:t>
      </w:r>
      <w:r w:rsidRPr="00D94ACD">
        <w:rPr>
          <w:sz w:val="24"/>
          <w:szCs w:val="24"/>
        </w:rPr>
        <w:t>F</w:t>
      </w:r>
      <w:r w:rsidRPr="00D94ACD" w:rsidR="00681DE5">
        <w:rPr>
          <w:sz w:val="24"/>
          <w:szCs w:val="24"/>
        </w:rPr>
        <w:t xml:space="preserve">isheries and </w:t>
      </w:r>
      <w:r w:rsidRPr="00D94ACD">
        <w:rPr>
          <w:sz w:val="24"/>
          <w:szCs w:val="24"/>
        </w:rPr>
        <w:t>O</w:t>
      </w:r>
      <w:r w:rsidRPr="00D94ACD" w:rsidR="00681DE5">
        <w:rPr>
          <w:sz w:val="24"/>
          <w:szCs w:val="24"/>
        </w:rPr>
        <w:t>ceans</w:t>
      </w:r>
      <w:r w:rsidRPr="00D94ACD">
        <w:rPr>
          <w:sz w:val="24"/>
          <w:szCs w:val="24"/>
        </w:rPr>
        <w:t xml:space="preserve">, </w:t>
      </w:r>
      <w:r w:rsidRPr="00D94ACD" w:rsidR="00681DE5">
        <w:rPr>
          <w:sz w:val="24"/>
          <w:szCs w:val="24"/>
        </w:rPr>
        <w:t xml:space="preserve">Dalhousie University, </w:t>
      </w:r>
      <w:r w:rsidRPr="00D94ACD">
        <w:rPr>
          <w:sz w:val="24"/>
          <w:szCs w:val="24"/>
        </w:rPr>
        <w:t>U</w:t>
      </w:r>
      <w:r w:rsidRPr="00D94ACD" w:rsidR="00964776">
        <w:rPr>
          <w:sz w:val="24"/>
          <w:szCs w:val="24"/>
        </w:rPr>
        <w:t>.</w:t>
      </w:r>
      <w:r w:rsidRPr="00D94ACD">
        <w:rPr>
          <w:sz w:val="24"/>
          <w:szCs w:val="24"/>
        </w:rPr>
        <w:t>S</w:t>
      </w:r>
      <w:r w:rsidRPr="00D94ACD" w:rsidR="00964776">
        <w:rPr>
          <w:sz w:val="24"/>
          <w:szCs w:val="24"/>
        </w:rPr>
        <w:t>.</w:t>
      </w:r>
      <w:r w:rsidRPr="00D94ACD">
        <w:rPr>
          <w:sz w:val="24"/>
          <w:szCs w:val="24"/>
        </w:rPr>
        <w:t xml:space="preserve"> Coast Guard, U</w:t>
      </w:r>
      <w:r w:rsidRPr="00D94ACD" w:rsidR="00964776">
        <w:rPr>
          <w:sz w:val="24"/>
          <w:szCs w:val="24"/>
        </w:rPr>
        <w:t>.</w:t>
      </w:r>
      <w:r w:rsidRPr="00D94ACD">
        <w:rPr>
          <w:sz w:val="24"/>
          <w:szCs w:val="24"/>
        </w:rPr>
        <w:t>S</w:t>
      </w:r>
      <w:r w:rsidRPr="00D94ACD" w:rsidR="00964776">
        <w:rPr>
          <w:sz w:val="24"/>
          <w:szCs w:val="24"/>
        </w:rPr>
        <w:t>.</w:t>
      </w:r>
      <w:r w:rsidRPr="00D94ACD">
        <w:rPr>
          <w:sz w:val="24"/>
          <w:szCs w:val="24"/>
        </w:rPr>
        <w:t xml:space="preserve"> Fish and Wildlife Service, Sea Grant, and fishermen.</w:t>
      </w:r>
      <w:r w:rsidRPr="00D94ACD" w:rsidR="001F5922">
        <w:rPr>
          <w:sz w:val="24"/>
          <w:szCs w:val="24"/>
        </w:rPr>
        <w:t xml:space="preserve"> </w:t>
      </w:r>
    </w:p>
    <w:p w:rsidRPr="00D94ACD" w:rsidR="00B81A2E" w:rsidRDefault="00B81A2E">
      <w:pPr>
        <w:rPr>
          <w:sz w:val="24"/>
          <w:szCs w:val="24"/>
        </w:rPr>
      </w:pPr>
    </w:p>
    <w:p w:rsidRPr="00D94ACD" w:rsidR="006B6FAC" w:rsidP="00B81A2E" w:rsidRDefault="005D2C67">
      <w:pPr>
        <w:rPr>
          <w:sz w:val="24"/>
          <w:szCs w:val="24"/>
        </w:rPr>
      </w:pPr>
      <w:r w:rsidRPr="00D94ACD">
        <w:rPr>
          <w:sz w:val="24"/>
          <w:szCs w:val="24"/>
        </w:rPr>
        <w:t xml:space="preserve">NMFS </w:t>
      </w:r>
      <w:r w:rsidRPr="00D94ACD" w:rsidR="00A21BA1">
        <w:rPr>
          <w:sz w:val="24"/>
          <w:szCs w:val="24"/>
        </w:rPr>
        <w:t xml:space="preserve">solicited comments about this data collection from </w:t>
      </w:r>
      <w:r w:rsidRPr="00D94ACD" w:rsidR="00D57B2D">
        <w:rPr>
          <w:sz w:val="24"/>
          <w:szCs w:val="24"/>
        </w:rPr>
        <w:t xml:space="preserve">two </w:t>
      </w:r>
      <w:r w:rsidRPr="00D94ACD" w:rsidR="00A21BA1">
        <w:rPr>
          <w:sz w:val="24"/>
          <w:szCs w:val="24"/>
        </w:rPr>
        <w:t>STDN members</w:t>
      </w:r>
      <w:r w:rsidRPr="00D94ACD" w:rsidR="00D57B2D">
        <w:rPr>
          <w:sz w:val="24"/>
          <w:szCs w:val="24"/>
        </w:rPr>
        <w:t>, the Center for Coastal Studies (CCS) and the Virginia Aquarium (VAQS),</w:t>
      </w:r>
      <w:r w:rsidRPr="00D94ACD" w:rsidR="00A21BA1">
        <w:rPr>
          <w:sz w:val="24"/>
          <w:szCs w:val="24"/>
        </w:rPr>
        <w:t xml:space="preserve"> during th</w:t>
      </w:r>
      <w:r w:rsidRPr="00D94ACD" w:rsidR="00B81A2E">
        <w:rPr>
          <w:sz w:val="24"/>
          <w:szCs w:val="24"/>
        </w:rPr>
        <w:t>e</w:t>
      </w:r>
      <w:r w:rsidRPr="00D94ACD" w:rsidR="00A21BA1">
        <w:rPr>
          <w:sz w:val="24"/>
          <w:szCs w:val="24"/>
        </w:rPr>
        <w:t xml:space="preserve"> renewal process in </w:t>
      </w:r>
      <w:r w:rsidRPr="00D94ACD" w:rsidR="00F326FF">
        <w:rPr>
          <w:sz w:val="24"/>
          <w:szCs w:val="24"/>
        </w:rPr>
        <w:t>2020</w:t>
      </w:r>
      <w:r w:rsidRPr="00D94ACD" w:rsidR="00A21BA1">
        <w:rPr>
          <w:sz w:val="24"/>
          <w:szCs w:val="24"/>
        </w:rPr>
        <w:t>.</w:t>
      </w:r>
      <w:r w:rsidRPr="00D94ACD" w:rsidR="00B81A2E">
        <w:rPr>
          <w:sz w:val="24"/>
          <w:szCs w:val="24"/>
        </w:rPr>
        <w:t xml:space="preserve"> </w:t>
      </w:r>
      <w:r w:rsidRPr="00D94ACD" w:rsidR="00D57B2D">
        <w:rPr>
          <w:sz w:val="24"/>
          <w:szCs w:val="24"/>
        </w:rPr>
        <w:t>CCS</w:t>
      </w:r>
      <w:r w:rsidRPr="00D94ACD" w:rsidR="00F326FF">
        <w:rPr>
          <w:sz w:val="24"/>
          <w:szCs w:val="24"/>
        </w:rPr>
        <w:t xml:space="preserve"> </w:t>
      </w:r>
      <w:r w:rsidRPr="00D94ACD" w:rsidR="00D57B2D">
        <w:rPr>
          <w:sz w:val="24"/>
          <w:szCs w:val="24"/>
        </w:rPr>
        <w:t xml:space="preserve">only had a minor editorial comment about the sea turtle entanglement report form. VAQS provided more detailed feedback, including that the instructions are clear, the frequency of collection is not an undue burden, the format for submission is adequate, and that most data requested is available for them to provide, though some elements may be missing in some cases. They also had relatively minor editorial comments on the sea turtle entanglement report form.  All editorial comments were </w:t>
      </w:r>
      <w:r w:rsidRPr="00D94ACD" w:rsidR="00F33B33">
        <w:rPr>
          <w:sz w:val="24"/>
          <w:szCs w:val="24"/>
        </w:rPr>
        <w:t>incorporated into the final draft.</w:t>
      </w:r>
      <w:r w:rsidRPr="00D94ACD" w:rsidR="00A21BA1">
        <w:rPr>
          <w:sz w:val="24"/>
          <w:szCs w:val="24"/>
        </w:rPr>
        <w:t xml:space="preserve">  </w:t>
      </w:r>
    </w:p>
    <w:p w:rsidRPr="00D94ACD" w:rsidR="006B6FAC" w:rsidRDefault="006B6FAC">
      <w:pPr>
        <w:rPr>
          <w:sz w:val="24"/>
          <w:szCs w:val="24"/>
        </w:rPr>
      </w:pPr>
    </w:p>
    <w:p w:rsidRPr="00D94ACD" w:rsidR="00A21BA1" w:rsidRDefault="005D2C67">
      <w:pPr>
        <w:rPr>
          <w:sz w:val="24"/>
          <w:szCs w:val="24"/>
        </w:rPr>
      </w:pPr>
      <w:r w:rsidRPr="00D94ACD">
        <w:rPr>
          <w:sz w:val="24"/>
          <w:szCs w:val="24"/>
        </w:rPr>
        <w:t>NMFS</w:t>
      </w:r>
      <w:r w:rsidRPr="00D94ACD" w:rsidR="00A21BA1">
        <w:rPr>
          <w:sz w:val="24"/>
          <w:szCs w:val="24"/>
        </w:rPr>
        <w:t xml:space="preserve"> received no further questions or comments.</w:t>
      </w:r>
    </w:p>
    <w:p w:rsidRPr="00D94ACD" w:rsidR="001F5922" w:rsidRDefault="001F5922">
      <w:pPr>
        <w:rPr>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9.  </w:t>
      </w:r>
      <w:r w:rsidRPr="00D94ACD" w:rsidR="00D94ACD">
        <w:rPr>
          <w:rFonts w:ascii="Times New Roman" w:hAnsi="Times New Roman" w:cs="Times New Roman"/>
          <w:b/>
          <w:sz w:val="24"/>
          <w:szCs w:val="24"/>
        </w:rPr>
        <w:t>Explain any decision to provide any payment or gift to respondents, other than remuneration of contractors or grantees.</w:t>
      </w:r>
    </w:p>
    <w:p w:rsidRPr="00D94ACD" w:rsidR="006039CA" w:rsidRDefault="006039CA">
      <w:pPr>
        <w:rPr>
          <w:sz w:val="24"/>
          <w:szCs w:val="24"/>
        </w:rPr>
      </w:pPr>
    </w:p>
    <w:p w:rsidRPr="00D94ACD" w:rsidR="006039CA" w:rsidRDefault="006039CA">
      <w:pPr>
        <w:rPr>
          <w:sz w:val="24"/>
          <w:szCs w:val="24"/>
        </w:rPr>
      </w:pPr>
      <w:r w:rsidRPr="00D94ACD">
        <w:rPr>
          <w:sz w:val="24"/>
          <w:szCs w:val="24"/>
        </w:rPr>
        <w:t xml:space="preserve">No payments or gifts will be provided to respondents.  </w:t>
      </w:r>
    </w:p>
    <w:p w:rsidRPr="00D94ACD" w:rsidR="006039CA" w:rsidRDefault="006039CA">
      <w:pPr>
        <w:rPr>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lastRenderedPageBreak/>
        <w:t xml:space="preserve">10.  </w:t>
      </w:r>
      <w:r w:rsidRPr="00D94ACD" w:rsidR="00D94ACD">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D94ACD" w:rsidR="006039CA" w:rsidRDefault="006039CA">
      <w:pPr>
        <w:rPr>
          <w:sz w:val="24"/>
          <w:szCs w:val="24"/>
        </w:rPr>
      </w:pPr>
    </w:p>
    <w:p w:rsidRPr="00D94ACD" w:rsidR="006039CA" w:rsidRDefault="00F326FF">
      <w:pPr>
        <w:rPr>
          <w:sz w:val="24"/>
          <w:szCs w:val="24"/>
        </w:rPr>
      </w:pPr>
      <w:r w:rsidRPr="00D94ACD">
        <w:rPr>
          <w:sz w:val="24"/>
          <w:szCs w:val="24"/>
        </w:rPr>
        <w:t xml:space="preserve">No Personal Identification Information (PII) will be collected. Information will be stored on GARFO’s server, accessible only to GARFO Protected Resources Division staff. </w:t>
      </w:r>
      <w:r w:rsidRPr="00D94ACD" w:rsidR="00781A36">
        <w:rPr>
          <w:sz w:val="24"/>
          <w:szCs w:val="24"/>
        </w:rPr>
        <w:t>P</w:t>
      </w:r>
      <w:r w:rsidRPr="00D94ACD" w:rsidR="006039CA">
        <w:rPr>
          <w:sz w:val="24"/>
          <w:szCs w:val="24"/>
        </w:rPr>
        <w:t>ersonal identifiers and any commercial information will be kept confidential to the extent permitted under the Freedom of Information Act (FOIA) (5 U.S.C. 552), the Department of Commerce FOIA re</w:t>
      </w:r>
      <w:r w:rsidRPr="00D94ACD" w:rsidR="00CA1BE0">
        <w:rPr>
          <w:sz w:val="24"/>
          <w:szCs w:val="24"/>
        </w:rPr>
        <w:t>gulations (15 CFR Part 4, Subtitle</w:t>
      </w:r>
      <w:r w:rsidRPr="00D94ACD" w:rsidR="006039CA">
        <w:rPr>
          <w:sz w:val="24"/>
          <w:szCs w:val="24"/>
        </w:rPr>
        <w:t xml:space="preserve"> A), the Trade Secrets Act (18 U.S.C. 1905), and NOAA Administrative Order 216-100.</w:t>
      </w:r>
    </w:p>
    <w:p w:rsidRPr="00D94ACD" w:rsidR="006039CA" w:rsidRDefault="006039CA">
      <w:pPr>
        <w:rPr>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11.  </w:t>
      </w:r>
      <w:r w:rsidRPr="00D94ACD" w:rsidR="00D94ACD">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4ACD" w:rsidR="006039CA" w:rsidRDefault="006039CA">
      <w:pPr>
        <w:rPr>
          <w:sz w:val="24"/>
          <w:szCs w:val="24"/>
        </w:rPr>
      </w:pPr>
    </w:p>
    <w:p w:rsidRPr="00D94ACD" w:rsidR="006039CA" w:rsidRDefault="006039CA">
      <w:pPr>
        <w:rPr>
          <w:sz w:val="24"/>
          <w:szCs w:val="24"/>
        </w:rPr>
      </w:pPr>
      <w:r w:rsidRPr="00D94ACD">
        <w:rPr>
          <w:sz w:val="24"/>
          <w:szCs w:val="24"/>
        </w:rPr>
        <w:t>This collection of information does not involve any questions of a sensitive nature.</w:t>
      </w:r>
    </w:p>
    <w:p w:rsidRPr="00D94ACD" w:rsidR="006039CA" w:rsidRDefault="006039CA">
      <w:pPr>
        <w:rPr>
          <w:sz w:val="24"/>
          <w:szCs w:val="24"/>
        </w:rPr>
      </w:pPr>
    </w:p>
    <w:p w:rsidRPr="00D94ACD" w:rsidR="006039CA" w:rsidRDefault="006039CA">
      <w:pPr>
        <w:rPr>
          <w:sz w:val="24"/>
          <w:szCs w:val="24"/>
        </w:rPr>
      </w:pPr>
      <w:r w:rsidRPr="00D94ACD">
        <w:rPr>
          <w:b/>
          <w:bCs/>
          <w:sz w:val="24"/>
          <w:szCs w:val="24"/>
        </w:rPr>
        <w:t>12.  Provide an estimate in hours of the burden of the collection of information.</w:t>
      </w:r>
    </w:p>
    <w:p w:rsidRPr="00D94ACD" w:rsidR="006039CA" w:rsidRDefault="006039CA">
      <w:pPr>
        <w:rPr>
          <w:sz w:val="24"/>
          <w:szCs w:val="24"/>
        </w:rPr>
      </w:pPr>
    </w:p>
    <w:p w:rsidRPr="00D94ACD" w:rsidR="006039CA" w:rsidRDefault="006039CA">
      <w:pPr>
        <w:rPr>
          <w:sz w:val="24"/>
          <w:szCs w:val="24"/>
        </w:rPr>
      </w:pPr>
      <w:r w:rsidRPr="00D94ACD">
        <w:rPr>
          <w:sz w:val="24"/>
          <w:szCs w:val="24"/>
        </w:rPr>
        <w:t xml:space="preserve">The total hour estimate for the reporting requirement was determined from the following information:  </w:t>
      </w:r>
    </w:p>
    <w:p w:rsidRPr="00521F27" w:rsidR="006039CA" w:rsidRDefault="006039CA">
      <w:pPr>
        <w:rPr>
          <w:sz w:val="24"/>
          <w:szCs w:val="24"/>
        </w:rPr>
      </w:pPr>
    </w:p>
    <w:p w:rsidRPr="00521F27" w:rsidR="008711A9" w:rsidRDefault="006039CA">
      <w:pPr>
        <w:rPr>
          <w:sz w:val="24"/>
          <w:szCs w:val="24"/>
        </w:rPr>
      </w:pPr>
      <w:r w:rsidRPr="00521F27">
        <w:rPr>
          <w:sz w:val="24"/>
          <w:szCs w:val="24"/>
        </w:rPr>
        <w:t xml:space="preserve">The number of reports was determined by the anticipated number of entangled sea turtles to be encountered annually in </w:t>
      </w:r>
      <w:r w:rsidRPr="00521F27" w:rsidR="00D82D01">
        <w:rPr>
          <w:sz w:val="24"/>
          <w:szCs w:val="24"/>
        </w:rPr>
        <w:t xml:space="preserve">the </w:t>
      </w:r>
      <w:r w:rsidRPr="00521F27">
        <w:rPr>
          <w:sz w:val="24"/>
          <w:szCs w:val="24"/>
        </w:rPr>
        <w:t>waters</w:t>
      </w:r>
      <w:r w:rsidRPr="00521F27" w:rsidR="00D82D01">
        <w:rPr>
          <w:sz w:val="24"/>
          <w:szCs w:val="24"/>
        </w:rPr>
        <w:t xml:space="preserve"> of the Greater Atlantic Region</w:t>
      </w:r>
      <w:r w:rsidRPr="00521F27">
        <w:rPr>
          <w:sz w:val="24"/>
          <w:szCs w:val="24"/>
        </w:rPr>
        <w:t xml:space="preserve">. </w:t>
      </w:r>
      <w:r w:rsidRPr="00521F27" w:rsidR="00964776">
        <w:rPr>
          <w:sz w:val="24"/>
          <w:szCs w:val="24"/>
        </w:rPr>
        <w:t xml:space="preserve">Since OMB’s initial clearance of the Sea Turtle Disentanglement Guidelines and STERF in 2004, </w:t>
      </w:r>
      <w:r w:rsidRPr="00521F27" w:rsidR="005D2C67">
        <w:rPr>
          <w:sz w:val="24"/>
          <w:szCs w:val="24"/>
        </w:rPr>
        <w:t xml:space="preserve">NMFS </w:t>
      </w:r>
      <w:r w:rsidRPr="00521F27" w:rsidR="00964776">
        <w:rPr>
          <w:sz w:val="24"/>
          <w:szCs w:val="24"/>
        </w:rPr>
        <w:t xml:space="preserve">has received </w:t>
      </w:r>
      <w:r w:rsidRPr="00521F27" w:rsidR="00D56CE1">
        <w:rPr>
          <w:sz w:val="24"/>
          <w:szCs w:val="24"/>
        </w:rPr>
        <w:t>582</w:t>
      </w:r>
      <w:r w:rsidRPr="00521F27" w:rsidR="00D82D01">
        <w:rPr>
          <w:sz w:val="24"/>
          <w:szCs w:val="24"/>
        </w:rPr>
        <w:t xml:space="preserve"> </w:t>
      </w:r>
      <w:r w:rsidRPr="00521F27" w:rsidR="00964776">
        <w:rPr>
          <w:sz w:val="24"/>
          <w:szCs w:val="24"/>
        </w:rPr>
        <w:t xml:space="preserve">reports of entangled sea turtles in the </w:t>
      </w:r>
      <w:r w:rsidRPr="00521F27" w:rsidR="00D82D01">
        <w:rPr>
          <w:sz w:val="24"/>
          <w:szCs w:val="24"/>
        </w:rPr>
        <w:t>r</w:t>
      </w:r>
      <w:r w:rsidRPr="00521F27" w:rsidR="00964776">
        <w:rPr>
          <w:sz w:val="24"/>
          <w:szCs w:val="24"/>
        </w:rPr>
        <w:t xml:space="preserve">egion. Those reports ranged from a low of 12 in 2006 to a high of </w:t>
      </w:r>
      <w:r w:rsidRPr="00521F27" w:rsidR="00D82D01">
        <w:rPr>
          <w:sz w:val="24"/>
          <w:szCs w:val="24"/>
        </w:rPr>
        <w:t>7</w:t>
      </w:r>
      <w:r w:rsidRPr="00521F27" w:rsidR="00D56CE1">
        <w:rPr>
          <w:sz w:val="24"/>
          <w:szCs w:val="24"/>
        </w:rPr>
        <w:t>8</w:t>
      </w:r>
      <w:r w:rsidRPr="00521F27" w:rsidR="00964776">
        <w:rPr>
          <w:sz w:val="24"/>
          <w:szCs w:val="24"/>
        </w:rPr>
        <w:t xml:space="preserve"> in 20</w:t>
      </w:r>
      <w:r w:rsidRPr="00521F27" w:rsidR="00D82D01">
        <w:rPr>
          <w:sz w:val="24"/>
          <w:szCs w:val="24"/>
        </w:rPr>
        <w:t>13</w:t>
      </w:r>
      <w:r w:rsidRPr="00521F27" w:rsidR="006622AD">
        <w:rPr>
          <w:sz w:val="24"/>
          <w:szCs w:val="24"/>
        </w:rPr>
        <w:t xml:space="preserve"> (note: the previous PRA submission had a high of 77 in 2013, but there was one more case discovered since that time)</w:t>
      </w:r>
      <w:r w:rsidRPr="00521F27" w:rsidR="00964776">
        <w:rPr>
          <w:sz w:val="24"/>
          <w:szCs w:val="24"/>
        </w:rPr>
        <w:t xml:space="preserve">, with an average of </w:t>
      </w:r>
      <w:r w:rsidRPr="00521F27" w:rsidR="00D82D01">
        <w:rPr>
          <w:sz w:val="24"/>
          <w:szCs w:val="24"/>
        </w:rPr>
        <w:t>3</w:t>
      </w:r>
      <w:r w:rsidRPr="00521F27" w:rsidR="00433B7C">
        <w:rPr>
          <w:sz w:val="24"/>
          <w:szCs w:val="24"/>
        </w:rPr>
        <w:t>6.</w:t>
      </w:r>
      <w:r w:rsidRPr="00521F27" w:rsidR="00D56CE1">
        <w:rPr>
          <w:sz w:val="24"/>
          <w:szCs w:val="24"/>
        </w:rPr>
        <w:t>4</w:t>
      </w:r>
      <w:r w:rsidRPr="00521F27" w:rsidR="00433B7C">
        <w:rPr>
          <w:sz w:val="24"/>
          <w:szCs w:val="24"/>
        </w:rPr>
        <w:t xml:space="preserve"> </w:t>
      </w:r>
      <w:r w:rsidRPr="00521F27" w:rsidR="00964776">
        <w:rPr>
          <w:sz w:val="24"/>
          <w:szCs w:val="24"/>
        </w:rPr>
        <w:t>reports per year.</w:t>
      </w:r>
      <w:r w:rsidRPr="00521F27" w:rsidR="009E6633">
        <w:rPr>
          <w:sz w:val="24"/>
          <w:szCs w:val="24"/>
        </w:rPr>
        <w:t xml:space="preserve"> We used the highest number of annual reports</w:t>
      </w:r>
      <w:r w:rsidRPr="00521F27" w:rsidR="00D82D01">
        <w:rPr>
          <w:sz w:val="24"/>
          <w:szCs w:val="24"/>
        </w:rPr>
        <w:t xml:space="preserve"> </w:t>
      </w:r>
      <w:r w:rsidRPr="00521F27" w:rsidR="009E6633">
        <w:rPr>
          <w:sz w:val="24"/>
          <w:szCs w:val="24"/>
        </w:rPr>
        <w:t>in this calculation</w:t>
      </w:r>
      <w:r w:rsidRPr="00521F27" w:rsidR="008711A9">
        <w:rPr>
          <w:sz w:val="24"/>
          <w:szCs w:val="24"/>
        </w:rPr>
        <w:t xml:space="preserve"> </w:t>
      </w:r>
      <w:r w:rsidRPr="00521F27" w:rsidR="00BE5DC6">
        <w:rPr>
          <w:sz w:val="24"/>
          <w:szCs w:val="24"/>
        </w:rPr>
        <w:t>but recogniz</w:t>
      </w:r>
      <w:r w:rsidRPr="00521F27" w:rsidR="00D56CE1">
        <w:rPr>
          <w:sz w:val="24"/>
          <w:szCs w:val="24"/>
        </w:rPr>
        <w:t>e</w:t>
      </w:r>
      <w:r w:rsidRPr="00521F27" w:rsidR="00BE5DC6">
        <w:rPr>
          <w:sz w:val="24"/>
          <w:szCs w:val="24"/>
        </w:rPr>
        <w:t xml:space="preserve"> that 2013 was likely an outlier and the </w:t>
      </w:r>
      <w:r w:rsidRPr="00521F27" w:rsidR="00D56CE1">
        <w:rPr>
          <w:sz w:val="24"/>
          <w:szCs w:val="24"/>
        </w:rPr>
        <w:t>average of the last five years is only 32.4 reports per year</w:t>
      </w:r>
      <w:r w:rsidRPr="00521F27" w:rsidR="00BE5DC6">
        <w:rPr>
          <w:sz w:val="24"/>
          <w:szCs w:val="24"/>
        </w:rPr>
        <w:t>.</w:t>
      </w:r>
    </w:p>
    <w:p w:rsidRPr="00521F27" w:rsidR="00C22B0D" w:rsidRDefault="00C0755E">
      <w:pPr>
        <w:rPr>
          <w:sz w:val="24"/>
          <w:szCs w:val="24"/>
        </w:rPr>
      </w:pPr>
      <w:r w:rsidRPr="00521F27">
        <w:rPr>
          <w:sz w:val="24"/>
          <w:szCs w:val="24"/>
        </w:rPr>
        <w:t xml:space="preserve"> </w:t>
      </w:r>
    </w:p>
    <w:p w:rsidRPr="00521F27" w:rsidR="009E6633" w:rsidRDefault="008711A9">
      <w:pPr>
        <w:rPr>
          <w:sz w:val="24"/>
          <w:szCs w:val="24"/>
        </w:rPr>
      </w:pPr>
      <w:r w:rsidRPr="00521F27">
        <w:rPr>
          <w:sz w:val="24"/>
          <w:szCs w:val="24"/>
        </w:rPr>
        <w:t xml:space="preserve">Each of these </w:t>
      </w:r>
      <w:r w:rsidRPr="00521F27" w:rsidR="000A189A">
        <w:rPr>
          <w:sz w:val="24"/>
          <w:szCs w:val="24"/>
        </w:rPr>
        <w:t>7</w:t>
      </w:r>
      <w:r w:rsidRPr="00521F27" w:rsidR="00D56CE1">
        <w:rPr>
          <w:sz w:val="24"/>
          <w:szCs w:val="24"/>
        </w:rPr>
        <w:t>8</w:t>
      </w:r>
      <w:r w:rsidRPr="00521F27">
        <w:rPr>
          <w:sz w:val="24"/>
          <w:szCs w:val="24"/>
        </w:rPr>
        <w:t xml:space="preserve"> reports </w:t>
      </w:r>
      <w:r w:rsidRPr="00521F27" w:rsidR="009E6633">
        <w:rPr>
          <w:sz w:val="24"/>
          <w:szCs w:val="24"/>
        </w:rPr>
        <w:t xml:space="preserve">begins with a telephone call to the STDN or to </w:t>
      </w:r>
      <w:r w:rsidRPr="00521F27" w:rsidR="005D2C67">
        <w:rPr>
          <w:sz w:val="24"/>
          <w:szCs w:val="24"/>
        </w:rPr>
        <w:t>NMFS</w:t>
      </w:r>
      <w:r w:rsidRPr="00521F27">
        <w:rPr>
          <w:sz w:val="24"/>
          <w:szCs w:val="24"/>
        </w:rPr>
        <w:t xml:space="preserve">. </w:t>
      </w:r>
      <w:r w:rsidRPr="00521F27" w:rsidR="006039CA">
        <w:rPr>
          <w:sz w:val="24"/>
          <w:szCs w:val="24"/>
        </w:rPr>
        <w:t xml:space="preserve">The hourly burden </w:t>
      </w:r>
      <w:r w:rsidRPr="00521F27">
        <w:rPr>
          <w:sz w:val="24"/>
          <w:szCs w:val="24"/>
        </w:rPr>
        <w:t xml:space="preserve">for these calls </w:t>
      </w:r>
      <w:r w:rsidRPr="00521F27" w:rsidR="006039CA">
        <w:rPr>
          <w:sz w:val="24"/>
          <w:szCs w:val="24"/>
        </w:rPr>
        <w:t xml:space="preserve">was calculated </w:t>
      </w:r>
      <w:r w:rsidRPr="00521F27" w:rsidR="00945E29">
        <w:rPr>
          <w:sz w:val="24"/>
          <w:szCs w:val="24"/>
        </w:rPr>
        <w:t xml:space="preserve">by assuming a phone </w:t>
      </w:r>
      <w:r w:rsidRPr="00521F27" w:rsidR="009E6633">
        <w:rPr>
          <w:sz w:val="24"/>
          <w:szCs w:val="24"/>
        </w:rPr>
        <w:t>report</w:t>
      </w:r>
      <w:r w:rsidRPr="00521F27" w:rsidR="00945E29">
        <w:rPr>
          <w:sz w:val="24"/>
          <w:szCs w:val="24"/>
        </w:rPr>
        <w:t xml:space="preserve"> </w:t>
      </w:r>
      <w:r w:rsidRPr="00521F27" w:rsidR="006039CA">
        <w:rPr>
          <w:sz w:val="24"/>
          <w:szCs w:val="24"/>
        </w:rPr>
        <w:t>will l</w:t>
      </w:r>
      <w:r w:rsidRPr="00521F27" w:rsidR="00733E37">
        <w:rPr>
          <w:sz w:val="24"/>
          <w:szCs w:val="24"/>
        </w:rPr>
        <w:t xml:space="preserve">ast for a maximum of one hour. </w:t>
      </w:r>
      <w:r w:rsidRPr="00521F27" w:rsidR="006039CA">
        <w:rPr>
          <w:sz w:val="24"/>
          <w:szCs w:val="24"/>
        </w:rPr>
        <w:t xml:space="preserve">The time of one hour per report is based on reports where the </w:t>
      </w:r>
      <w:r w:rsidRPr="00521F27" w:rsidR="0071531D">
        <w:rPr>
          <w:sz w:val="24"/>
          <w:szCs w:val="24"/>
        </w:rPr>
        <w:t>reporting party</w:t>
      </w:r>
      <w:r w:rsidRPr="00521F27" w:rsidR="006039CA">
        <w:rPr>
          <w:sz w:val="24"/>
          <w:szCs w:val="24"/>
        </w:rPr>
        <w:t xml:space="preserve"> </w:t>
      </w:r>
      <w:r w:rsidRPr="00521F27" w:rsidR="0071531D">
        <w:rPr>
          <w:sz w:val="24"/>
          <w:szCs w:val="24"/>
        </w:rPr>
        <w:t xml:space="preserve">provides information and also </w:t>
      </w:r>
      <w:r w:rsidRPr="00521F27" w:rsidR="006039CA">
        <w:rPr>
          <w:sz w:val="24"/>
          <w:szCs w:val="24"/>
        </w:rPr>
        <w:t>stand</w:t>
      </w:r>
      <w:r w:rsidRPr="00521F27" w:rsidR="0071531D">
        <w:rPr>
          <w:sz w:val="24"/>
          <w:szCs w:val="24"/>
        </w:rPr>
        <w:t>s</w:t>
      </w:r>
      <w:r w:rsidRPr="00521F27" w:rsidR="006039CA">
        <w:rPr>
          <w:sz w:val="24"/>
          <w:szCs w:val="24"/>
        </w:rPr>
        <w:t xml:space="preserve"> by </w:t>
      </w:r>
      <w:r w:rsidRPr="00521F27" w:rsidR="0071531D">
        <w:rPr>
          <w:sz w:val="24"/>
          <w:szCs w:val="24"/>
        </w:rPr>
        <w:t xml:space="preserve">the turtle </w:t>
      </w:r>
      <w:r w:rsidRPr="00521F27" w:rsidR="006039CA">
        <w:rPr>
          <w:sz w:val="24"/>
          <w:szCs w:val="24"/>
        </w:rPr>
        <w:t>while a disentanglement responder is dispatched to the scene. Such scenarios encompass the majority of sea turtle entanglement reports. Ther</w:t>
      </w:r>
      <w:r w:rsidRPr="00521F27" w:rsidR="006B00A3">
        <w:rPr>
          <w:sz w:val="24"/>
          <w:szCs w:val="24"/>
        </w:rPr>
        <w:t xml:space="preserve">efore, with </w:t>
      </w:r>
      <w:r w:rsidRPr="00521F27" w:rsidR="00BE5DC6">
        <w:rPr>
          <w:sz w:val="24"/>
          <w:szCs w:val="24"/>
        </w:rPr>
        <w:t>7</w:t>
      </w:r>
      <w:r w:rsidRPr="00521F27" w:rsidR="00D56CE1">
        <w:rPr>
          <w:sz w:val="24"/>
          <w:szCs w:val="24"/>
        </w:rPr>
        <w:t>8</w:t>
      </w:r>
      <w:r w:rsidRPr="00521F27" w:rsidR="006039CA">
        <w:rPr>
          <w:sz w:val="24"/>
          <w:szCs w:val="24"/>
        </w:rPr>
        <w:t xml:space="preserve"> reports lasting one hour per repor</w:t>
      </w:r>
      <w:r w:rsidRPr="00521F27" w:rsidR="006B00A3">
        <w:rPr>
          <w:sz w:val="24"/>
          <w:szCs w:val="24"/>
        </w:rPr>
        <w:t xml:space="preserve">t, the hourly burden would be </w:t>
      </w:r>
      <w:r w:rsidRPr="00521F27" w:rsidR="00BE5DC6">
        <w:rPr>
          <w:sz w:val="24"/>
          <w:szCs w:val="24"/>
        </w:rPr>
        <w:t>7</w:t>
      </w:r>
      <w:r w:rsidRPr="00521F27" w:rsidR="00D56CE1">
        <w:rPr>
          <w:sz w:val="24"/>
          <w:szCs w:val="24"/>
        </w:rPr>
        <w:t>8</w:t>
      </w:r>
      <w:r w:rsidRPr="00521F27" w:rsidR="006039CA">
        <w:rPr>
          <w:sz w:val="24"/>
          <w:szCs w:val="24"/>
        </w:rPr>
        <w:t xml:space="preserve"> hours.  </w:t>
      </w:r>
    </w:p>
    <w:p w:rsidRPr="00521F27" w:rsidR="009E6633" w:rsidRDefault="009E6633">
      <w:pPr>
        <w:rPr>
          <w:sz w:val="24"/>
          <w:szCs w:val="24"/>
        </w:rPr>
      </w:pPr>
    </w:p>
    <w:p w:rsidRPr="00521F27" w:rsidR="000231F6" w:rsidRDefault="006039CA">
      <w:pPr>
        <w:rPr>
          <w:sz w:val="24"/>
          <w:szCs w:val="24"/>
        </w:rPr>
      </w:pPr>
      <w:r w:rsidRPr="00521F27">
        <w:rPr>
          <w:sz w:val="24"/>
          <w:szCs w:val="24"/>
        </w:rPr>
        <w:t xml:space="preserve">The </w:t>
      </w:r>
      <w:r w:rsidRPr="00521F27" w:rsidR="009E6633">
        <w:rPr>
          <w:sz w:val="24"/>
          <w:szCs w:val="24"/>
        </w:rPr>
        <w:t xml:space="preserve">STDN </w:t>
      </w:r>
      <w:r w:rsidRPr="00521F27" w:rsidR="0071531D">
        <w:rPr>
          <w:sz w:val="24"/>
          <w:szCs w:val="24"/>
        </w:rPr>
        <w:t>responder</w:t>
      </w:r>
      <w:r w:rsidRPr="00521F27" w:rsidR="009E6633">
        <w:rPr>
          <w:sz w:val="24"/>
          <w:szCs w:val="24"/>
        </w:rPr>
        <w:t xml:space="preserve"> </w:t>
      </w:r>
      <w:r w:rsidRPr="00521F27" w:rsidR="008711A9">
        <w:rPr>
          <w:sz w:val="24"/>
          <w:szCs w:val="24"/>
        </w:rPr>
        <w:t>in close</w:t>
      </w:r>
      <w:r w:rsidRPr="00521F27" w:rsidR="0071531D">
        <w:rPr>
          <w:sz w:val="24"/>
          <w:szCs w:val="24"/>
        </w:rPr>
        <w:t>st proximity to the entangled turtle</w:t>
      </w:r>
      <w:r w:rsidRPr="00521F27" w:rsidR="008711A9">
        <w:rPr>
          <w:sz w:val="24"/>
          <w:szCs w:val="24"/>
        </w:rPr>
        <w:t xml:space="preserve"> will </w:t>
      </w:r>
      <w:r w:rsidRPr="00521F27" w:rsidR="0071531D">
        <w:rPr>
          <w:sz w:val="24"/>
          <w:szCs w:val="24"/>
        </w:rPr>
        <w:t xml:space="preserve">typically </w:t>
      </w:r>
      <w:r w:rsidRPr="00521F27" w:rsidR="008711A9">
        <w:rPr>
          <w:sz w:val="24"/>
          <w:szCs w:val="24"/>
        </w:rPr>
        <w:t>mount a response</w:t>
      </w:r>
      <w:r w:rsidRPr="00521F27" w:rsidR="009E6633">
        <w:rPr>
          <w:sz w:val="24"/>
          <w:szCs w:val="24"/>
        </w:rPr>
        <w:t xml:space="preserve">, </w:t>
      </w:r>
      <w:r w:rsidRPr="00521F27" w:rsidR="0071531D">
        <w:rPr>
          <w:sz w:val="24"/>
          <w:szCs w:val="24"/>
        </w:rPr>
        <w:t>during which they will collect further information ab</w:t>
      </w:r>
      <w:r w:rsidRPr="00521F27" w:rsidR="009C22DB">
        <w:rPr>
          <w:sz w:val="24"/>
          <w:szCs w:val="24"/>
        </w:rPr>
        <w:t xml:space="preserve">out the event and provide photo and video </w:t>
      </w:r>
      <w:r w:rsidRPr="00521F27" w:rsidR="0071531D">
        <w:rPr>
          <w:sz w:val="24"/>
          <w:szCs w:val="24"/>
        </w:rPr>
        <w:t xml:space="preserve">documentation. The STDN member then takes this information, as well as the information from the reporting party, and completes the STERF. They submit the photographs, </w:t>
      </w:r>
      <w:r w:rsidRPr="00521F27" w:rsidR="009C22DB">
        <w:rPr>
          <w:sz w:val="24"/>
          <w:szCs w:val="24"/>
        </w:rPr>
        <w:t xml:space="preserve">video, </w:t>
      </w:r>
      <w:r w:rsidRPr="00521F27" w:rsidR="0071531D">
        <w:rPr>
          <w:sz w:val="24"/>
          <w:szCs w:val="24"/>
        </w:rPr>
        <w:t xml:space="preserve">STERF, and any entangling gear collected during the response to </w:t>
      </w:r>
      <w:r w:rsidRPr="00521F27" w:rsidR="005D2C67">
        <w:rPr>
          <w:sz w:val="24"/>
          <w:szCs w:val="24"/>
        </w:rPr>
        <w:t>NMFS</w:t>
      </w:r>
      <w:r w:rsidRPr="00521F27" w:rsidR="0071531D">
        <w:rPr>
          <w:sz w:val="24"/>
          <w:szCs w:val="24"/>
        </w:rPr>
        <w:t xml:space="preserve">. We estimate that completing the </w:t>
      </w:r>
      <w:r w:rsidRPr="00521F27" w:rsidR="0071531D">
        <w:rPr>
          <w:sz w:val="24"/>
          <w:szCs w:val="24"/>
        </w:rPr>
        <w:lastRenderedPageBreak/>
        <w:t xml:space="preserve">form and data submission will take approximately one hour, requiring approximately an additional </w:t>
      </w:r>
      <w:r w:rsidRPr="00521F27" w:rsidR="00BE5DC6">
        <w:rPr>
          <w:sz w:val="24"/>
          <w:szCs w:val="24"/>
        </w:rPr>
        <w:t>7</w:t>
      </w:r>
      <w:r w:rsidRPr="00521F27" w:rsidR="00D56CE1">
        <w:rPr>
          <w:sz w:val="24"/>
          <w:szCs w:val="24"/>
        </w:rPr>
        <w:t>8</w:t>
      </w:r>
      <w:r w:rsidRPr="00521F27" w:rsidR="0018752C">
        <w:rPr>
          <w:sz w:val="24"/>
          <w:szCs w:val="24"/>
        </w:rPr>
        <w:t xml:space="preserve"> </w:t>
      </w:r>
      <w:r w:rsidRPr="00521F27" w:rsidR="00BD0E14">
        <w:rPr>
          <w:sz w:val="24"/>
          <w:szCs w:val="24"/>
        </w:rPr>
        <w:t>hours’ time</w:t>
      </w:r>
      <w:r w:rsidRPr="00521F27" w:rsidR="0018752C">
        <w:rPr>
          <w:sz w:val="24"/>
          <w:szCs w:val="24"/>
        </w:rPr>
        <w:t xml:space="preserve"> commitment annually</w:t>
      </w:r>
      <w:r w:rsidRPr="00521F27">
        <w:rPr>
          <w:sz w:val="24"/>
          <w:szCs w:val="24"/>
        </w:rPr>
        <w:t>.</w:t>
      </w:r>
      <w:r w:rsidRPr="00521F27" w:rsidR="0071531D">
        <w:rPr>
          <w:sz w:val="24"/>
          <w:szCs w:val="24"/>
        </w:rPr>
        <w:t xml:space="preserve">  </w:t>
      </w:r>
    </w:p>
    <w:p w:rsidRPr="00521F27" w:rsidR="004B2923" w:rsidRDefault="004B2923">
      <w:pPr>
        <w:rPr>
          <w:sz w:val="24"/>
          <w:szCs w:val="24"/>
        </w:rPr>
      </w:pPr>
    </w:p>
    <w:p w:rsidRPr="00521F27" w:rsidR="007B0AB3" w:rsidRDefault="00A31F33">
      <w:pPr>
        <w:rPr>
          <w:sz w:val="24"/>
          <w:szCs w:val="24"/>
        </w:rPr>
      </w:pPr>
      <w:r w:rsidRPr="00521F27">
        <w:rPr>
          <w:sz w:val="24"/>
          <w:szCs w:val="24"/>
        </w:rPr>
        <w:t xml:space="preserve">Interviews with fishermen can only be conducted if buoy or trap numbers are collected from entangling gear and transferred to the </w:t>
      </w:r>
      <w:r w:rsidRPr="00521F27" w:rsidR="005D2C67">
        <w:rPr>
          <w:sz w:val="24"/>
          <w:szCs w:val="24"/>
        </w:rPr>
        <w:t xml:space="preserve">NMFS </w:t>
      </w:r>
      <w:r w:rsidRPr="00521F27" w:rsidR="0099305C">
        <w:rPr>
          <w:sz w:val="24"/>
          <w:szCs w:val="24"/>
        </w:rPr>
        <w:t>GARFO</w:t>
      </w:r>
      <w:r w:rsidRPr="00521F27" w:rsidR="00BE5DC6">
        <w:rPr>
          <w:sz w:val="24"/>
          <w:szCs w:val="24"/>
        </w:rPr>
        <w:t xml:space="preserve"> </w:t>
      </w:r>
      <w:r w:rsidRPr="00521F27" w:rsidR="009C22DB">
        <w:rPr>
          <w:sz w:val="24"/>
          <w:szCs w:val="24"/>
        </w:rPr>
        <w:t>g</w:t>
      </w:r>
      <w:r w:rsidRPr="00521F27" w:rsidR="00BE5DC6">
        <w:rPr>
          <w:sz w:val="24"/>
          <w:szCs w:val="24"/>
        </w:rPr>
        <w:t xml:space="preserve">ear </w:t>
      </w:r>
      <w:r w:rsidRPr="00521F27" w:rsidR="009C22DB">
        <w:rPr>
          <w:sz w:val="24"/>
          <w:szCs w:val="24"/>
        </w:rPr>
        <w:t>t</w:t>
      </w:r>
      <w:r w:rsidRPr="00521F27" w:rsidR="00BE5DC6">
        <w:rPr>
          <w:sz w:val="24"/>
          <w:szCs w:val="24"/>
        </w:rPr>
        <w:t>eam</w:t>
      </w:r>
      <w:r w:rsidRPr="00521F27">
        <w:rPr>
          <w:sz w:val="24"/>
          <w:szCs w:val="24"/>
        </w:rPr>
        <w:t xml:space="preserve"> in a timely manner. </w:t>
      </w:r>
      <w:r w:rsidRPr="00521F27" w:rsidR="00246EB8">
        <w:rPr>
          <w:sz w:val="24"/>
          <w:szCs w:val="24"/>
        </w:rPr>
        <w:t>In the last five years</w:t>
      </w:r>
      <w:r w:rsidRPr="00521F27">
        <w:rPr>
          <w:sz w:val="24"/>
          <w:szCs w:val="24"/>
        </w:rPr>
        <w:t xml:space="preserve">, identification numbers were collected from entangling gear in approximately </w:t>
      </w:r>
      <w:r w:rsidRPr="00521F27" w:rsidR="00AF2841">
        <w:rPr>
          <w:sz w:val="24"/>
          <w:szCs w:val="24"/>
        </w:rPr>
        <w:t>31</w:t>
      </w:r>
      <w:r w:rsidRPr="00521F27" w:rsidR="00246EB8">
        <w:rPr>
          <w:sz w:val="24"/>
          <w:szCs w:val="24"/>
        </w:rPr>
        <w:t xml:space="preserve">.5% of </w:t>
      </w:r>
      <w:r w:rsidRPr="00521F27">
        <w:rPr>
          <w:sz w:val="24"/>
          <w:szCs w:val="24"/>
        </w:rPr>
        <w:t xml:space="preserve">sea turtle entanglements. Although interviews were not conducted in all of these cases, </w:t>
      </w:r>
      <w:r w:rsidRPr="00521F27" w:rsidR="00AF2841">
        <w:rPr>
          <w:sz w:val="24"/>
          <w:szCs w:val="24"/>
        </w:rPr>
        <w:t>31</w:t>
      </w:r>
      <w:r w:rsidRPr="00521F27" w:rsidR="00EC7F97">
        <w:rPr>
          <w:sz w:val="24"/>
          <w:szCs w:val="24"/>
        </w:rPr>
        <w:t>.5%</w:t>
      </w:r>
      <w:r w:rsidRPr="00521F27">
        <w:rPr>
          <w:sz w:val="24"/>
          <w:szCs w:val="24"/>
        </w:rPr>
        <w:t xml:space="preserve"> represents an estimated maximum percentage of cases wh</w:t>
      </w:r>
      <w:r w:rsidRPr="00521F27" w:rsidR="005A6B55">
        <w:rPr>
          <w:sz w:val="24"/>
          <w:szCs w:val="24"/>
        </w:rPr>
        <w:t xml:space="preserve">ere interviews </w:t>
      </w:r>
      <w:r w:rsidRPr="00521F27" w:rsidR="00EC7F97">
        <w:rPr>
          <w:sz w:val="24"/>
          <w:szCs w:val="24"/>
        </w:rPr>
        <w:t>would be possible</w:t>
      </w:r>
      <w:r w:rsidRPr="00521F27" w:rsidR="005A6B55">
        <w:rPr>
          <w:sz w:val="24"/>
          <w:szCs w:val="24"/>
        </w:rPr>
        <w:t>. Therefore, using the maximum number of entanglement reports (7</w:t>
      </w:r>
      <w:r w:rsidRPr="00521F27" w:rsidR="00AF2841">
        <w:rPr>
          <w:sz w:val="24"/>
          <w:szCs w:val="24"/>
        </w:rPr>
        <w:t>8</w:t>
      </w:r>
      <w:r w:rsidRPr="00521F27" w:rsidR="005A6B55">
        <w:rPr>
          <w:sz w:val="24"/>
          <w:szCs w:val="24"/>
        </w:rPr>
        <w:t>) and the maximum percentage of interviews (</w:t>
      </w:r>
      <w:r w:rsidRPr="00521F27" w:rsidR="00AF2841">
        <w:rPr>
          <w:sz w:val="24"/>
          <w:szCs w:val="24"/>
        </w:rPr>
        <w:t>31</w:t>
      </w:r>
      <w:r w:rsidRPr="00521F27" w:rsidR="005A6B55">
        <w:rPr>
          <w:sz w:val="24"/>
          <w:szCs w:val="24"/>
        </w:rPr>
        <w:t xml:space="preserve">.5%), the maximum number of </w:t>
      </w:r>
      <w:r w:rsidRPr="00521F27" w:rsidR="00EC7F97">
        <w:rPr>
          <w:sz w:val="24"/>
          <w:szCs w:val="24"/>
        </w:rPr>
        <w:t xml:space="preserve">potential </w:t>
      </w:r>
      <w:r w:rsidRPr="00521F27" w:rsidR="005A6B55">
        <w:rPr>
          <w:sz w:val="24"/>
          <w:szCs w:val="24"/>
        </w:rPr>
        <w:t xml:space="preserve">interviews is </w:t>
      </w:r>
      <w:r w:rsidRPr="00521F27" w:rsidR="00AF2841">
        <w:rPr>
          <w:sz w:val="24"/>
          <w:szCs w:val="24"/>
        </w:rPr>
        <w:t>25</w:t>
      </w:r>
      <w:r w:rsidRPr="00521F27" w:rsidR="005A6B55">
        <w:rPr>
          <w:sz w:val="24"/>
          <w:szCs w:val="24"/>
        </w:rPr>
        <w:t>.</w:t>
      </w:r>
      <w:r w:rsidRPr="00521F27" w:rsidR="00EC7F97">
        <w:rPr>
          <w:sz w:val="24"/>
          <w:szCs w:val="24"/>
        </w:rPr>
        <w:t xml:space="preserve"> We estimate that a fisherman interview will take approximately 30 minutes. </w:t>
      </w:r>
      <w:r w:rsidRPr="00521F27" w:rsidR="006039CA">
        <w:rPr>
          <w:sz w:val="24"/>
          <w:szCs w:val="24"/>
        </w:rPr>
        <w:t xml:space="preserve"> </w:t>
      </w:r>
    </w:p>
    <w:p w:rsidRPr="00521F27" w:rsidR="00304EFD" w:rsidRDefault="00304EFD">
      <w:pPr>
        <w:rPr>
          <w:sz w:val="24"/>
          <w:szCs w:val="24"/>
        </w:rPr>
      </w:pPr>
    </w:p>
    <w:p w:rsidRPr="00521F27" w:rsidR="00CC021A" w:rsidP="005458DC" w:rsidRDefault="000E1430">
      <w:pPr>
        <w:numPr>
          <w:ilvl w:val="0"/>
          <w:numId w:val="6"/>
        </w:numPr>
        <w:rPr>
          <w:sz w:val="24"/>
          <w:szCs w:val="24"/>
        </w:rPr>
      </w:pPr>
      <w:r w:rsidRPr="00521F27">
        <w:rPr>
          <w:sz w:val="24"/>
          <w:szCs w:val="24"/>
        </w:rPr>
        <w:t>7</w:t>
      </w:r>
      <w:r w:rsidRPr="00521F27" w:rsidR="00AF2841">
        <w:rPr>
          <w:sz w:val="24"/>
          <w:szCs w:val="24"/>
        </w:rPr>
        <w:t>8</w:t>
      </w:r>
      <w:r w:rsidRPr="00521F27" w:rsidR="006B00A3">
        <w:rPr>
          <w:sz w:val="24"/>
          <w:szCs w:val="24"/>
        </w:rPr>
        <w:t xml:space="preserve"> </w:t>
      </w:r>
      <w:r w:rsidRPr="00521F27" w:rsidR="008711A9">
        <w:rPr>
          <w:sz w:val="24"/>
          <w:szCs w:val="24"/>
        </w:rPr>
        <w:t xml:space="preserve">reports </w:t>
      </w:r>
      <w:r w:rsidRPr="00521F27" w:rsidR="006B00A3">
        <w:rPr>
          <w:sz w:val="24"/>
          <w:szCs w:val="24"/>
        </w:rPr>
        <w:t xml:space="preserve">x one hour </w:t>
      </w:r>
      <w:r w:rsidRPr="00521F27" w:rsidR="0018752C">
        <w:rPr>
          <w:sz w:val="24"/>
          <w:szCs w:val="24"/>
        </w:rPr>
        <w:t>for telephone report</w:t>
      </w:r>
      <w:r w:rsidRPr="00521F27" w:rsidR="006B00A3">
        <w:rPr>
          <w:sz w:val="24"/>
          <w:szCs w:val="24"/>
        </w:rPr>
        <w:t xml:space="preserve">= </w:t>
      </w:r>
      <w:r w:rsidRPr="00521F27">
        <w:rPr>
          <w:sz w:val="24"/>
          <w:szCs w:val="24"/>
        </w:rPr>
        <w:t>7</w:t>
      </w:r>
      <w:r w:rsidRPr="00521F27" w:rsidR="00AF2841">
        <w:rPr>
          <w:sz w:val="24"/>
          <w:szCs w:val="24"/>
        </w:rPr>
        <w:t>8</w:t>
      </w:r>
      <w:r w:rsidRPr="00521F27" w:rsidR="00CC021A">
        <w:rPr>
          <w:sz w:val="24"/>
          <w:szCs w:val="24"/>
        </w:rPr>
        <w:t xml:space="preserve"> hours</w:t>
      </w:r>
    </w:p>
    <w:p w:rsidRPr="00521F27" w:rsidR="0018752C" w:rsidP="005458DC" w:rsidRDefault="000E1430">
      <w:pPr>
        <w:numPr>
          <w:ilvl w:val="0"/>
          <w:numId w:val="6"/>
        </w:numPr>
        <w:rPr>
          <w:sz w:val="24"/>
          <w:szCs w:val="24"/>
        </w:rPr>
      </w:pPr>
      <w:r w:rsidRPr="00521F27">
        <w:rPr>
          <w:sz w:val="24"/>
          <w:szCs w:val="24"/>
        </w:rPr>
        <w:t>7</w:t>
      </w:r>
      <w:r w:rsidRPr="00521F27" w:rsidR="00AF2841">
        <w:rPr>
          <w:sz w:val="24"/>
          <w:szCs w:val="24"/>
        </w:rPr>
        <w:t>8</w:t>
      </w:r>
      <w:r w:rsidRPr="00521F27" w:rsidR="0018752C">
        <w:rPr>
          <w:sz w:val="24"/>
          <w:szCs w:val="24"/>
        </w:rPr>
        <w:t xml:space="preserve"> x </w:t>
      </w:r>
      <w:r w:rsidRPr="00521F27" w:rsidR="007277C1">
        <w:rPr>
          <w:sz w:val="24"/>
          <w:szCs w:val="24"/>
        </w:rPr>
        <w:t>one hour</w:t>
      </w:r>
      <w:r w:rsidRPr="00521F27" w:rsidR="0018752C">
        <w:rPr>
          <w:sz w:val="24"/>
          <w:szCs w:val="24"/>
        </w:rPr>
        <w:t xml:space="preserve"> for completing STERF and submitting STERF, photos and gear= </w:t>
      </w:r>
      <w:r w:rsidRPr="00521F27">
        <w:rPr>
          <w:sz w:val="24"/>
          <w:szCs w:val="24"/>
        </w:rPr>
        <w:t>7</w:t>
      </w:r>
      <w:r w:rsidRPr="00521F27" w:rsidR="00AF2841">
        <w:rPr>
          <w:sz w:val="24"/>
          <w:szCs w:val="24"/>
        </w:rPr>
        <w:t>8</w:t>
      </w:r>
      <w:r w:rsidRPr="00521F27" w:rsidR="0018752C">
        <w:rPr>
          <w:sz w:val="24"/>
          <w:szCs w:val="24"/>
        </w:rPr>
        <w:t xml:space="preserve"> hours</w:t>
      </w:r>
    </w:p>
    <w:p w:rsidRPr="00521F27" w:rsidR="00A31F33" w:rsidP="005458DC" w:rsidRDefault="005A6B55">
      <w:pPr>
        <w:numPr>
          <w:ilvl w:val="0"/>
          <w:numId w:val="6"/>
        </w:numPr>
        <w:rPr>
          <w:sz w:val="24"/>
          <w:szCs w:val="24"/>
        </w:rPr>
      </w:pPr>
      <w:r w:rsidRPr="00521F27">
        <w:rPr>
          <w:sz w:val="24"/>
          <w:szCs w:val="24"/>
        </w:rPr>
        <w:t>2</w:t>
      </w:r>
      <w:r w:rsidRPr="00521F27" w:rsidR="00AF2841">
        <w:rPr>
          <w:sz w:val="24"/>
          <w:szCs w:val="24"/>
        </w:rPr>
        <w:t>5</w:t>
      </w:r>
      <w:r w:rsidRPr="00521F27" w:rsidR="00A31F33">
        <w:rPr>
          <w:sz w:val="24"/>
          <w:szCs w:val="24"/>
        </w:rPr>
        <w:t xml:space="preserve"> x one half hour for fishermen interviews= </w:t>
      </w:r>
      <w:r w:rsidRPr="00521F27" w:rsidR="000E1430">
        <w:rPr>
          <w:sz w:val="24"/>
          <w:szCs w:val="24"/>
        </w:rPr>
        <w:t>1</w:t>
      </w:r>
      <w:r w:rsidRPr="00521F27" w:rsidR="00AF2841">
        <w:rPr>
          <w:sz w:val="24"/>
          <w:szCs w:val="24"/>
        </w:rPr>
        <w:t>2</w:t>
      </w:r>
      <w:r w:rsidRPr="00521F27">
        <w:rPr>
          <w:sz w:val="24"/>
          <w:szCs w:val="24"/>
        </w:rPr>
        <w:t>.</w:t>
      </w:r>
      <w:r w:rsidRPr="00521F27" w:rsidR="00304EFD">
        <w:rPr>
          <w:sz w:val="24"/>
          <w:szCs w:val="24"/>
        </w:rPr>
        <w:t>5</w:t>
      </w:r>
      <w:r w:rsidRPr="00521F27" w:rsidR="00A31F33">
        <w:rPr>
          <w:sz w:val="24"/>
          <w:szCs w:val="24"/>
        </w:rPr>
        <w:t xml:space="preserve"> hours</w:t>
      </w:r>
    </w:p>
    <w:p w:rsidRPr="00521F27" w:rsidR="00635A88" w:rsidP="007B0AB3" w:rsidRDefault="00635A88">
      <w:pPr>
        <w:jc w:val="center"/>
        <w:rPr>
          <w:sz w:val="24"/>
          <w:szCs w:val="24"/>
        </w:rPr>
      </w:pPr>
      <w:r w:rsidRPr="00521F27">
        <w:rPr>
          <w:b/>
          <w:sz w:val="24"/>
          <w:szCs w:val="24"/>
        </w:rPr>
        <w:t xml:space="preserve">Total annual time commitment= </w:t>
      </w:r>
      <w:r w:rsidRPr="00521F27" w:rsidR="005A6B55">
        <w:rPr>
          <w:b/>
          <w:sz w:val="24"/>
          <w:szCs w:val="24"/>
        </w:rPr>
        <w:t>16</w:t>
      </w:r>
      <w:r w:rsidRPr="00521F27" w:rsidR="00AF2841">
        <w:rPr>
          <w:b/>
          <w:sz w:val="24"/>
          <w:szCs w:val="24"/>
        </w:rPr>
        <w:t>8</w:t>
      </w:r>
      <w:r w:rsidRPr="00521F27" w:rsidR="00304EFD">
        <w:rPr>
          <w:b/>
          <w:sz w:val="24"/>
          <w:szCs w:val="24"/>
        </w:rPr>
        <w:t>.5</w:t>
      </w:r>
      <w:r w:rsidRPr="00521F27" w:rsidR="005A6B55">
        <w:rPr>
          <w:b/>
          <w:sz w:val="24"/>
          <w:szCs w:val="24"/>
        </w:rPr>
        <w:t xml:space="preserve"> </w:t>
      </w:r>
      <w:r w:rsidRPr="00521F27" w:rsidR="000E1430">
        <w:rPr>
          <w:b/>
          <w:sz w:val="24"/>
          <w:szCs w:val="24"/>
        </w:rPr>
        <w:t>hours</w:t>
      </w:r>
      <w:r w:rsidRPr="00521F27" w:rsidR="005A6B55">
        <w:rPr>
          <w:b/>
          <w:sz w:val="24"/>
          <w:szCs w:val="24"/>
        </w:rPr>
        <w:t xml:space="preserve"> </w:t>
      </w:r>
    </w:p>
    <w:p w:rsidRPr="00521F27" w:rsidR="00C31023" w:rsidP="007277C1" w:rsidRDefault="00C31023">
      <w:pPr>
        <w:rPr>
          <w:sz w:val="24"/>
          <w:szCs w:val="24"/>
        </w:rPr>
      </w:pPr>
    </w:p>
    <w:p w:rsidRPr="00521F27" w:rsidR="004B2923" w:rsidP="007277C1" w:rsidRDefault="004B2923">
      <w:pPr>
        <w:rPr>
          <w:sz w:val="24"/>
          <w:szCs w:val="24"/>
        </w:rPr>
      </w:pPr>
    </w:p>
    <w:p w:rsidR="007277C1" w:rsidP="004D1C65" w:rsidRDefault="004B2923">
      <w:pPr>
        <w:rPr>
          <w:sz w:val="24"/>
          <w:szCs w:val="24"/>
        </w:rPr>
      </w:pPr>
      <w:r w:rsidRPr="00521F27">
        <w:rPr>
          <w:sz w:val="24"/>
          <w:szCs w:val="24"/>
        </w:rPr>
        <w:t>There are currently 1</w:t>
      </w:r>
      <w:r w:rsidRPr="00521F27" w:rsidR="00EC7F97">
        <w:rPr>
          <w:sz w:val="24"/>
          <w:szCs w:val="24"/>
        </w:rPr>
        <w:t>3</w:t>
      </w:r>
      <w:r w:rsidRPr="00521F27">
        <w:rPr>
          <w:sz w:val="24"/>
          <w:szCs w:val="24"/>
        </w:rPr>
        <w:t xml:space="preserve"> (11 non-profit organizations and </w:t>
      </w:r>
      <w:r w:rsidRPr="00521F27" w:rsidR="00EC7F97">
        <w:rPr>
          <w:sz w:val="24"/>
          <w:szCs w:val="24"/>
        </w:rPr>
        <w:t>2</w:t>
      </w:r>
      <w:r w:rsidRPr="00521F27">
        <w:rPr>
          <w:sz w:val="24"/>
          <w:szCs w:val="24"/>
        </w:rPr>
        <w:t xml:space="preserve"> state agenc</w:t>
      </w:r>
      <w:r w:rsidRPr="00521F27" w:rsidR="00EC7F97">
        <w:rPr>
          <w:sz w:val="24"/>
          <w:szCs w:val="24"/>
        </w:rPr>
        <w:t>ies</w:t>
      </w:r>
      <w:r w:rsidRPr="00521F27">
        <w:rPr>
          <w:sz w:val="24"/>
          <w:szCs w:val="24"/>
        </w:rPr>
        <w:t>) STDN network members that have the potential to complete and submit the STERF, photos</w:t>
      </w:r>
      <w:r w:rsidRPr="00521F27" w:rsidR="00EC7F97">
        <w:rPr>
          <w:sz w:val="24"/>
          <w:szCs w:val="24"/>
        </w:rPr>
        <w:t>, video,</w:t>
      </w:r>
      <w:r w:rsidRPr="00521F27">
        <w:rPr>
          <w:sz w:val="24"/>
          <w:szCs w:val="24"/>
        </w:rPr>
        <w:t xml:space="preserve"> and gear.  There are 7</w:t>
      </w:r>
      <w:r w:rsidRPr="00521F27" w:rsidR="00AF2841">
        <w:rPr>
          <w:sz w:val="24"/>
          <w:szCs w:val="24"/>
        </w:rPr>
        <w:t>8</w:t>
      </w:r>
      <w:r w:rsidRPr="00521F27">
        <w:rPr>
          <w:sz w:val="24"/>
          <w:szCs w:val="24"/>
        </w:rPr>
        <w:t xml:space="preserve"> initial reporting parties (most often general public) and an additional 2</w:t>
      </w:r>
      <w:r w:rsidRPr="00521F27" w:rsidR="00AF2841">
        <w:rPr>
          <w:sz w:val="24"/>
          <w:szCs w:val="24"/>
        </w:rPr>
        <w:t>5</w:t>
      </w:r>
      <w:r w:rsidRPr="00521F27">
        <w:rPr>
          <w:sz w:val="24"/>
          <w:szCs w:val="24"/>
        </w:rPr>
        <w:t xml:space="preserve"> fishermen that will receive interviews. Therefore, the total number of respondents would be 11</w:t>
      </w:r>
      <w:r w:rsidRPr="00521F27" w:rsidR="00AF2841">
        <w:rPr>
          <w:sz w:val="24"/>
          <w:szCs w:val="24"/>
        </w:rPr>
        <w:t>6</w:t>
      </w:r>
      <w:r w:rsidRPr="00521F27">
        <w:rPr>
          <w:sz w:val="24"/>
          <w:szCs w:val="24"/>
        </w:rPr>
        <w:t>. Total responses would be the initial 7</w:t>
      </w:r>
      <w:r w:rsidRPr="00521F27" w:rsidR="00AF2841">
        <w:rPr>
          <w:sz w:val="24"/>
          <w:szCs w:val="24"/>
        </w:rPr>
        <w:t>8</w:t>
      </w:r>
      <w:r w:rsidRPr="00521F27">
        <w:rPr>
          <w:sz w:val="24"/>
          <w:szCs w:val="24"/>
        </w:rPr>
        <w:t xml:space="preserve"> reports, plus the 7</w:t>
      </w:r>
      <w:r w:rsidRPr="00521F27" w:rsidR="00AF2841">
        <w:rPr>
          <w:sz w:val="24"/>
          <w:szCs w:val="24"/>
        </w:rPr>
        <w:t>8</w:t>
      </w:r>
      <w:r w:rsidRPr="00521F27">
        <w:rPr>
          <w:sz w:val="24"/>
          <w:szCs w:val="24"/>
        </w:rPr>
        <w:t xml:space="preserve"> associated STERF forms, and 2</w:t>
      </w:r>
      <w:r w:rsidRPr="00521F27" w:rsidR="00AF2841">
        <w:rPr>
          <w:sz w:val="24"/>
          <w:szCs w:val="24"/>
        </w:rPr>
        <w:t>5</w:t>
      </w:r>
      <w:r w:rsidRPr="00521F27">
        <w:rPr>
          <w:sz w:val="24"/>
          <w:szCs w:val="24"/>
        </w:rPr>
        <w:t xml:space="preserve"> interviews for a total of 1</w:t>
      </w:r>
      <w:r w:rsidRPr="00521F27" w:rsidR="006622AD">
        <w:rPr>
          <w:sz w:val="24"/>
          <w:szCs w:val="24"/>
        </w:rPr>
        <w:t>81</w:t>
      </w:r>
      <w:r w:rsidRPr="00521F27">
        <w:rPr>
          <w:sz w:val="24"/>
          <w:szCs w:val="24"/>
        </w:rPr>
        <w:t>.</w:t>
      </w:r>
      <w:r>
        <w:rPr>
          <w:sz w:val="24"/>
          <w:szCs w:val="24"/>
        </w:rPr>
        <w:t xml:space="preserve">  </w:t>
      </w:r>
    </w:p>
    <w:p w:rsidR="00265AC5" w:rsidP="004D1C65" w:rsidRDefault="00265AC5">
      <w:pPr>
        <w:rPr>
          <w:sz w:val="24"/>
          <w:szCs w:val="24"/>
        </w:rPr>
      </w:pPr>
    </w:p>
    <w:tbl>
      <w:tblPr>
        <w:tblW w:w="10885" w:type="dxa"/>
        <w:jc w:val="center"/>
        <w:tblLook w:val="04A0" w:firstRow="1" w:lastRow="0" w:firstColumn="1" w:lastColumn="0" w:noHBand="0" w:noVBand="1"/>
      </w:tblPr>
      <w:tblGrid>
        <w:gridCol w:w="1986"/>
        <w:gridCol w:w="1611"/>
        <w:gridCol w:w="1080"/>
        <w:gridCol w:w="1016"/>
        <w:gridCol w:w="1100"/>
        <w:gridCol w:w="960"/>
        <w:gridCol w:w="960"/>
        <w:gridCol w:w="1066"/>
        <w:gridCol w:w="1106"/>
      </w:tblGrid>
      <w:tr w:rsidRPr="00673867" w:rsidR="00673867" w:rsidTr="008276C2">
        <w:trPr>
          <w:trHeight w:val="1060"/>
          <w:jc w:val="center"/>
        </w:trPr>
        <w:tc>
          <w:tcPr>
            <w:tcW w:w="1986"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673867" w:rsidR="00673867" w:rsidP="00673867" w:rsidRDefault="00673867">
            <w:pPr>
              <w:widowControl/>
              <w:autoSpaceDE/>
              <w:autoSpaceDN/>
              <w:rPr>
                <w:rFonts w:ascii="Calibri" w:hAnsi="Calibri" w:cs="Calibri"/>
                <w:b/>
                <w:bCs/>
                <w:color w:val="000000"/>
                <w:sz w:val="16"/>
                <w:szCs w:val="16"/>
              </w:rPr>
            </w:pPr>
            <w:r w:rsidRPr="00673867">
              <w:rPr>
                <w:rFonts w:ascii="Calibri" w:hAnsi="Calibri" w:cs="Calibri"/>
                <w:b/>
                <w:bCs/>
                <w:color w:val="000000"/>
                <w:sz w:val="16"/>
                <w:szCs w:val="16"/>
              </w:rPr>
              <w:t>Information Collection</w:t>
            </w:r>
          </w:p>
        </w:tc>
        <w:tc>
          <w:tcPr>
            <w:tcW w:w="1611" w:type="dxa"/>
            <w:tcBorders>
              <w:top w:val="single" w:color="auto" w:sz="8" w:space="0"/>
              <w:left w:val="nil"/>
              <w:bottom w:val="single" w:color="auto" w:sz="8" w:space="0"/>
              <w:right w:val="single" w:color="000000"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 of Respondents</w:t>
            </w:r>
            <w:r w:rsidRPr="00673867">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Annual # of Responses / Respondent</w:t>
            </w:r>
            <w:r w:rsidRPr="00673867">
              <w:rPr>
                <w:rFonts w:ascii="Calibri" w:hAnsi="Calibri" w:cs="Calibri"/>
                <w:b/>
                <w:bCs/>
                <w:color w:val="000000"/>
                <w:sz w:val="16"/>
                <w:szCs w:val="16"/>
              </w:rPr>
              <w:br/>
              <w:t>(b)</w:t>
            </w:r>
          </w:p>
        </w:tc>
        <w:tc>
          <w:tcPr>
            <w:tcW w:w="1100" w:type="dxa"/>
            <w:tcBorders>
              <w:top w:val="single" w:color="auto" w:sz="8" w:space="0"/>
              <w:left w:val="nil"/>
              <w:bottom w:val="single" w:color="auto" w:sz="8" w:space="0"/>
              <w:right w:val="single" w:color="auto"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 xml:space="preserve"> Total # of Annual Responses</w:t>
            </w:r>
            <w:r w:rsidRPr="00673867">
              <w:rPr>
                <w:rFonts w:ascii="Calibri" w:hAnsi="Calibri" w:cs="Calibri"/>
                <w:b/>
                <w:bCs/>
                <w:color w:val="000000"/>
                <w:sz w:val="16"/>
                <w:szCs w:val="16"/>
              </w:rPr>
              <w:br/>
              <w:t>(c) = (a) x (b)</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 xml:space="preserve">Burden </w:t>
            </w:r>
            <w:proofErr w:type="spellStart"/>
            <w:r w:rsidRPr="00673867">
              <w:rPr>
                <w:rFonts w:ascii="Calibri" w:hAnsi="Calibri" w:cs="Calibri"/>
                <w:b/>
                <w:bCs/>
                <w:color w:val="000000"/>
                <w:sz w:val="16"/>
                <w:szCs w:val="16"/>
              </w:rPr>
              <w:t>Hrs</w:t>
            </w:r>
            <w:proofErr w:type="spellEnd"/>
            <w:r w:rsidRPr="00673867">
              <w:rPr>
                <w:rFonts w:ascii="Calibri" w:hAnsi="Calibri" w:cs="Calibri"/>
                <w:b/>
                <w:bCs/>
                <w:color w:val="000000"/>
                <w:sz w:val="16"/>
                <w:szCs w:val="16"/>
              </w:rPr>
              <w:t xml:space="preserve"> / Response</w:t>
            </w:r>
            <w:r w:rsidRPr="00673867">
              <w:rPr>
                <w:rFonts w:ascii="Calibri" w:hAnsi="Calibri" w:cs="Calibri"/>
                <w:b/>
                <w:bCs/>
                <w:color w:val="000000"/>
                <w:sz w:val="16"/>
                <w:szCs w:val="16"/>
              </w:rPr>
              <w:br/>
              <w:t>(d)</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 xml:space="preserve">Total Annual Burden </w:t>
            </w:r>
            <w:proofErr w:type="spellStart"/>
            <w:r w:rsidRPr="00673867">
              <w:rPr>
                <w:rFonts w:ascii="Calibri" w:hAnsi="Calibri" w:cs="Calibri"/>
                <w:b/>
                <w:bCs/>
                <w:color w:val="000000"/>
                <w:sz w:val="16"/>
                <w:szCs w:val="16"/>
              </w:rPr>
              <w:t>Hrs</w:t>
            </w:r>
            <w:proofErr w:type="spellEnd"/>
            <w:r w:rsidRPr="00673867">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Hourly Wage Rate  (for Type of Respondent)</w:t>
            </w:r>
            <w:r w:rsidRPr="00673867">
              <w:rPr>
                <w:rFonts w:ascii="Calibri" w:hAnsi="Calibri" w:cs="Calibri"/>
                <w:b/>
                <w:bCs/>
                <w:color w:val="000000"/>
                <w:sz w:val="16"/>
                <w:szCs w:val="16"/>
              </w:rPr>
              <w:br/>
              <w:t>(f)</w:t>
            </w:r>
          </w:p>
        </w:tc>
        <w:tc>
          <w:tcPr>
            <w:tcW w:w="1106" w:type="dxa"/>
            <w:tcBorders>
              <w:top w:val="single" w:color="auto" w:sz="8" w:space="0"/>
              <w:left w:val="nil"/>
              <w:bottom w:val="single" w:color="auto" w:sz="8" w:space="0"/>
              <w:right w:val="single" w:color="auto" w:sz="8" w:space="0"/>
            </w:tcBorders>
            <w:shd w:val="clear" w:color="000000" w:fill="BDD7EE"/>
            <w:vAlign w:val="center"/>
            <w:hideMark/>
          </w:tcPr>
          <w:p w:rsidRPr="00673867" w:rsidR="00673867" w:rsidP="00673867" w:rsidRDefault="00673867">
            <w:pPr>
              <w:widowControl/>
              <w:autoSpaceDE/>
              <w:autoSpaceDN/>
              <w:jc w:val="center"/>
              <w:rPr>
                <w:rFonts w:ascii="Calibri" w:hAnsi="Calibri" w:cs="Calibri"/>
                <w:b/>
                <w:bCs/>
                <w:color w:val="000000"/>
                <w:sz w:val="16"/>
                <w:szCs w:val="16"/>
              </w:rPr>
            </w:pPr>
            <w:r w:rsidRPr="00673867">
              <w:rPr>
                <w:rFonts w:ascii="Calibri" w:hAnsi="Calibri" w:cs="Calibri"/>
                <w:b/>
                <w:bCs/>
                <w:color w:val="000000"/>
                <w:sz w:val="16"/>
                <w:szCs w:val="16"/>
              </w:rPr>
              <w:t>Total Annual Wage Burden Costs</w:t>
            </w:r>
            <w:r w:rsidRPr="00673867">
              <w:rPr>
                <w:rFonts w:ascii="Calibri" w:hAnsi="Calibri" w:cs="Calibri"/>
                <w:b/>
                <w:bCs/>
                <w:color w:val="000000"/>
                <w:sz w:val="16"/>
                <w:szCs w:val="16"/>
              </w:rPr>
              <w:br/>
              <w:t>(g) = (e) x (f)</w:t>
            </w:r>
          </w:p>
        </w:tc>
      </w:tr>
      <w:tr w:rsidRPr="00673867" w:rsidR="00673867" w:rsidTr="008276C2">
        <w:trPr>
          <w:trHeight w:val="290"/>
          <w:jc w:val="center"/>
        </w:trPr>
        <w:tc>
          <w:tcPr>
            <w:tcW w:w="1986" w:type="dxa"/>
            <w:tcBorders>
              <w:top w:val="nil"/>
              <w:left w:val="single" w:color="auto" w:sz="8" w:space="0"/>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rPr>
                <w:rFonts w:ascii="Calibri" w:hAnsi="Calibri" w:cs="Calibri"/>
                <w:color w:val="000000"/>
                <w:sz w:val="16"/>
                <w:szCs w:val="16"/>
              </w:rPr>
            </w:pPr>
            <w:r w:rsidRPr="00673867">
              <w:rPr>
                <w:rFonts w:ascii="Calibri" w:hAnsi="Calibri" w:cs="Calibri"/>
                <w:color w:val="000000"/>
                <w:sz w:val="16"/>
                <w:szCs w:val="16"/>
              </w:rPr>
              <w:t> </w:t>
            </w:r>
            <w:r>
              <w:rPr>
                <w:rFonts w:ascii="Calibri" w:hAnsi="Calibri" w:cs="Calibri"/>
                <w:color w:val="000000"/>
                <w:sz w:val="16"/>
                <w:szCs w:val="16"/>
              </w:rPr>
              <w:t>Telephone reports</w:t>
            </w:r>
          </w:p>
        </w:tc>
        <w:tc>
          <w:tcPr>
            <w:tcW w:w="1611"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center"/>
              <w:rPr>
                <w:rFonts w:ascii="Calibri" w:hAnsi="Calibri" w:cs="Calibri"/>
                <w:color w:val="000000"/>
                <w:sz w:val="16"/>
                <w:szCs w:val="16"/>
              </w:rPr>
            </w:pPr>
            <w:r w:rsidRPr="00673867">
              <w:rPr>
                <w:rFonts w:ascii="Calibri" w:hAnsi="Calibri" w:cs="Calibri"/>
                <w:color w:val="000000"/>
                <w:sz w:val="16"/>
                <w:szCs w:val="16"/>
              </w:rPr>
              <w:t> </w:t>
            </w:r>
            <w:r w:rsidR="00CE069B">
              <w:rPr>
                <w:rFonts w:ascii="Calibri" w:hAnsi="Calibri" w:cs="Calibri"/>
                <w:color w:val="000000"/>
                <w:sz w:val="16"/>
                <w:szCs w:val="16"/>
              </w:rPr>
              <w:t>Private citizens (majority), non-profit, small entities, federal, state or municipal agencies</w:t>
            </w:r>
          </w:p>
        </w:tc>
        <w:tc>
          <w:tcPr>
            <w:tcW w:w="108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78</w:t>
            </w:r>
          </w:p>
        </w:tc>
        <w:tc>
          <w:tcPr>
            <w:tcW w:w="1016"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1</w:t>
            </w:r>
            <w:r w:rsidRPr="00673867" w:rsidR="00673867">
              <w:rPr>
                <w:rFonts w:ascii="Calibri" w:hAnsi="Calibri" w:cs="Calibri"/>
                <w:color w:val="000000"/>
                <w:sz w:val="16"/>
                <w:szCs w:val="16"/>
              </w:rPr>
              <w:t> </w:t>
            </w:r>
          </w:p>
        </w:tc>
        <w:tc>
          <w:tcPr>
            <w:tcW w:w="110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78</w:t>
            </w:r>
            <w:r w:rsidRPr="00673867" w:rsidR="00673867">
              <w:rPr>
                <w:rFonts w:ascii="Calibri" w:hAnsi="Calibri" w:cs="Calibri"/>
                <w:color w:val="000000"/>
                <w:sz w:val="16"/>
                <w:szCs w:val="16"/>
              </w:rPr>
              <w:t> </w:t>
            </w:r>
          </w:p>
        </w:tc>
        <w:tc>
          <w:tcPr>
            <w:tcW w:w="96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1</w:t>
            </w:r>
            <w:r w:rsidRPr="00673867" w:rsidR="00673867">
              <w:rPr>
                <w:rFonts w:ascii="Calibri" w:hAnsi="Calibri" w:cs="Calibri"/>
                <w:color w:val="000000"/>
                <w:sz w:val="16"/>
                <w:szCs w:val="16"/>
              </w:rPr>
              <w:t> </w:t>
            </w:r>
          </w:p>
        </w:tc>
        <w:tc>
          <w:tcPr>
            <w:tcW w:w="96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78</w:t>
            </w:r>
            <w:r w:rsidRPr="00673867" w:rsidR="00673867">
              <w:rPr>
                <w:rFonts w:ascii="Calibri" w:hAnsi="Calibri"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$25.72</w:t>
            </w:r>
            <w:r w:rsidRPr="00C96228">
              <w:rPr>
                <w:rFonts w:ascii="Calibri" w:hAnsi="Calibri" w:cs="Calibri"/>
                <w:color w:val="000000"/>
                <w:sz w:val="18"/>
                <w:szCs w:val="16"/>
                <w:vertAlign w:val="superscript"/>
              </w:rPr>
              <w:t>1</w:t>
            </w:r>
            <w:r w:rsidRPr="00673867" w:rsidR="00673867">
              <w:rPr>
                <w:rFonts w:ascii="Calibri" w:hAnsi="Calibri" w:cs="Calibri"/>
                <w:color w:val="000000"/>
                <w:sz w:val="16"/>
                <w:szCs w:val="16"/>
              </w:rPr>
              <w:t> </w:t>
            </w:r>
          </w:p>
        </w:tc>
        <w:tc>
          <w:tcPr>
            <w:tcW w:w="1106" w:type="dxa"/>
            <w:tcBorders>
              <w:top w:val="nil"/>
              <w:left w:val="nil"/>
              <w:bottom w:val="single" w:color="auto" w:sz="4" w:space="0"/>
              <w:right w:val="single" w:color="auto" w:sz="8" w:space="0"/>
            </w:tcBorders>
            <w:shd w:val="clear" w:color="auto" w:fill="auto"/>
            <w:noWrap/>
            <w:vAlign w:val="bottom"/>
            <w:hideMark/>
          </w:tcPr>
          <w:p w:rsidRPr="00673867" w:rsidR="00673867" w:rsidP="00673867" w:rsidRDefault="00CE069B">
            <w:pPr>
              <w:widowControl/>
              <w:autoSpaceDE/>
              <w:autoSpaceDN/>
              <w:jc w:val="right"/>
              <w:rPr>
                <w:rFonts w:ascii="Calibri" w:hAnsi="Calibri" w:cs="Calibri"/>
                <w:color w:val="000000"/>
                <w:sz w:val="16"/>
                <w:szCs w:val="16"/>
              </w:rPr>
            </w:pPr>
            <w:r>
              <w:rPr>
                <w:rFonts w:ascii="Calibri" w:hAnsi="Calibri" w:cs="Calibri"/>
                <w:color w:val="000000"/>
                <w:sz w:val="16"/>
                <w:szCs w:val="16"/>
              </w:rPr>
              <w:t>$2006.16</w:t>
            </w:r>
            <w:r w:rsidRPr="00673867" w:rsidR="00673867">
              <w:rPr>
                <w:rFonts w:ascii="Calibri" w:hAnsi="Calibri" w:cs="Calibri"/>
                <w:color w:val="000000"/>
                <w:sz w:val="16"/>
                <w:szCs w:val="16"/>
              </w:rPr>
              <w:t> </w:t>
            </w:r>
          </w:p>
        </w:tc>
      </w:tr>
      <w:tr w:rsidRPr="00673867" w:rsidR="00673867" w:rsidTr="008276C2">
        <w:trPr>
          <w:trHeight w:val="290"/>
          <w:jc w:val="center"/>
        </w:trPr>
        <w:tc>
          <w:tcPr>
            <w:tcW w:w="1986" w:type="dxa"/>
            <w:tcBorders>
              <w:top w:val="nil"/>
              <w:left w:val="single" w:color="auto" w:sz="8" w:space="0"/>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rPr>
                <w:rFonts w:ascii="Calibri" w:hAnsi="Calibri" w:cs="Calibri"/>
                <w:color w:val="000000"/>
                <w:sz w:val="16"/>
                <w:szCs w:val="16"/>
              </w:rPr>
            </w:pPr>
            <w:r w:rsidRPr="00673867">
              <w:rPr>
                <w:rFonts w:ascii="Calibri" w:hAnsi="Calibri" w:cs="Calibri"/>
                <w:color w:val="000000"/>
                <w:sz w:val="16"/>
                <w:szCs w:val="16"/>
              </w:rPr>
              <w:t> </w:t>
            </w:r>
            <w:r>
              <w:rPr>
                <w:rFonts w:ascii="Calibri" w:hAnsi="Calibri" w:cs="Calibri"/>
                <w:color w:val="000000"/>
                <w:sz w:val="16"/>
                <w:szCs w:val="16"/>
              </w:rPr>
              <w:t>Submission of forms</w:t>
            </w:r>
          </w:p>
        </w:tc>
        <w:tc>
          <w:tcPr>
            <w:tcW w:w="1611"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center"/>
              <w:rPr>
                <w:rFonts w:ascii="Calibri" w:hAnsi="Calibri" w:cs="Calibri"/>
                <w:color w:val="000000"/>
                <w:sz w:val="16"/>
                <w:szCs w:val="16"/>
              </w:rPr>
            </w:pPr>
            <w:r w:rsidRPr="00673867">
              <w:rPr>
                <w:rFonts w:ascii="Calibri" w:hAnsi="Calibri" w:cs="Calibri"/>
                <w:color w:val="000000"/>
                <w:sz w:val="16"/>
                <w:szCs w:val="16"/>
              </w:rPr>
              <w:t> </w:t>
            </w:r>
            <w:r>
              <w:rPr>
                <w:rFonts w:ascii="Calibri" w:hAnsi="Calibri" w:cs="Calibri"/>
                <w:color w:val="000000"/>
                <w:sz w:val="16"/>
                <w:szCs w:val="16"/>
              </w:rPr>
              <w:t>Non-profit (stranding network)</w:t>
            </w:r>
          </w:p>
        </w:tc>
        <w:tc>
          <w:tcPr>
            <w:tcW w:w="108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13</w:t>
            </w:r>
          </w:p>
        </w:tc>
        <w:tc>
          <w:tcPr>
            <w:tcW w:w="1016"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Up to 50 per group</w:t>
            </w:r>
          </w:p>
        </w:tc>
        <w:tc>
          <w:tcPr>
            <w:tcW w:w="110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78</w:t>
            </w:r>
          </w:p>
        </w:tc>
        <w:tc>
          <w:tcPr>
            <w:tcW w:w="96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78</w:t>
            </w:r>
          </w:p>
        </w:tc>
        <w:tc>
          <w:tcPr>
            <w:tcW w:w="1066" w:type="dxa"/>
            <w:tcBorders>
              <w:top w:val="nil"/>
              <w:left w:val="nil"/>
              <w:bottom w:val="single" w:color="auto" w:sz="4" w:space="0"/>
              <w:right w:val="single" w:color="auto" w:sz="4" w:space="0"/>
            </w:tcBorders>
            <w:shd w:val="clear" w:color="auto" w:fill="auto"/>
            <w:noWrap/>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w:t>
            </w:r>
            <w:r w:rsidR="00C96228">
              <w:rPr>
                <w:rFonts w:ascii="Calibri" w:hAnsi="Calibri" w:cs="Calibri"/>
                <w:color w:val="000000"/>
                <w:sz w:val="16"/>
                <w:szCs w:val="16"/>
              </w:rPr>
              <w:t>32.23</w:t>
            </w:r>
            <w:r w:rsidRPr="00C96228" w:rsidR="00C96228">
              <w:rPr>
                <w:rFonts w:ascii="Calibri" w:hAnsi="Calibri" w:cs="Calibri"/>
                <w:color w:val="000000"/>
                <w:sz w:val="16"/>
                <w:szCs w:val="16"/>
                <w:vertAlign w:val="superscript"/>
              </w:rPr>
              <w:t>2</w:t>
            </w:r>
          </w:p>
        </w:tc>
        <w:tc>
          <w:tcPr>
            <w:tcW w:w="1106" w:type="dxa"/>
            <w:tcBorders>
              <w:top w:val="nil"/>
              <w:left w:val="nil"/>
              <w:bottom w:val="single" w:color="auto" w:sz="4" w:space="0"/>
              <w:right w:val="single" w:color="auto" w:sz="8" w:space="0"/>
            </w:tcBorders>
            <w:shd w:val="clear" w:color="auto" w:fill="auto"/>
            <w:noWrap/>
            <w:vAlign w:val="bottom"/>
            <w:hideMark/>
          </w:tcPr>
          <w:p w:rsidRPr="00673867" w:rsidR="00673867" w:rsidP="00C96228"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$25</w:t>
            </w:r>
            <w:r w:rsidR="00C96228">
              <w:rPr>
                <w:rFonts w:ascii="Calibri" w:hAnsi="Calibri" w:cs="Calibri"/>
                <w:color w:val="000000"/>
                <w:sz w:val="16"/>
                <w:szCs w:val="16"/>
              </w:rPr>
              <w:t>13.94</w:t>
            </w:r>
          </w:p>
        </w:tc>
      </w:tr>
      <w:tr w:rsidRPr="00673867" w:rsidR="00673867" w:rsidTr="008276C2">
        <w:trPr>
          <w:trHeight w:val="290"/>
          <w:jc w:val="center"/>
        </w:trPr>
        <w:tc>
          <w:tcPr>
            <w:tcW w:w="1986" w:type="dxa"/>
            <w:tcBorders>
              <w:top w:val="nil"/>
              <w:left w:val="single" w:color="auto" w:sz="8" w:space="0"/>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rPr>
                <w:rFonts w:ascii="Calibri" w:hAnsi="Calibri" w:cs="Calibri"/>
                <w:color w:val="000000"/>
                <w:sz w:val="16"/>
                <w:szCs w:val="16"/>
              </w:rPr>
            </w:pPr>
            <w:r w:rsidRPr="00673867">
              <w:rPr>
                <w:rFonts w:ascii="Calibri" w:hAnsi="Calibri" w:cs="Calibri"/>
                <w:color w:val="000000"/>
                <w:sz w:val="16"/>
                <w:szCs w:val="16"/>
              </w:rPr>
              <w:t> </w:t>
            </w:r>
            <w:r>
              <w:rPr>
                <w:rFonts w:ascii="Calibri" w:hAnsi="Calibri" w:cs="Calibri"/>
                <w:color w:val="000000"/>
                <w:sz w:val="16"/>
                <w:szCs w:val="16"/>
              </w:rPr>
              <w:t>Fisherman interviews</w:t>
            </w:r>
          </w:p>
        </w:tc>
        <w:tc>
          <w:tcPr>
            <w:tcW w:w="1611"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center"/>
              <w:rPr>
                <w:rFonts w:ascii="Calibri" w:hAnsi="Calibri" w:cs="Calibri"/>
                <w:color w:val="000000"/>
                <w:sz w:val="16"/>
                <w:szCs w:val="16"/>
              </w:rPr>
            </w:pPr>
            <w:r w:rsidRPr="00673867">
              <w:rPr>
                <w:rFonts w:ascii="Calibri" w:hAnsi="Calibri" w:cs="Calibri"/>
                <w:color w:val="000000"/>
                <w:sz w:val="16"/>
                <w:szCs w:val="16"/>
              </w:rPr>
              <w:t> </w:t>
            </w:r>
            <w:r>
              <w:rPr>
                <w:rFonts w:ascii="Calibri" w:hAnsi="Calibri" w:cs="Calibri"/>
                <w:color w:val="000000"/>
                <w:sz w:val="16"/>
                <w:szCs w:val="16"/>
              </w:rPr>
              <w:t>Small entities (commercial fishermen)</w:t>
            </w:r>
          </w:p>
        </w:tc>
        <w:tc>
          <w:tcPr>
            <w:tcW w:w="108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25</w:t>
            </w:r>
          </w:p>
        </w:tc>
        <w:tc>
          <w:tcPr>
            <w:tcW w:w="1016"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1</w:t>
            </w:r>
          </w:p>
        </w:tc>
        <w:tc>
          <w:tcPr>
            <w:tcW w:w="110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25</w:t>
            </w:r>
          </w:p>
        </w:tc>
        <w:tc>
          <w:tcPr>
            <w:tcW w:w="96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0.5</w:t>
            </w:r>
          </w:p>
        </w:tc>
        <w:tc>
          <w:tcPr>
            <w:tcW w:w="960" w:type="dxa"/>
            <w:tcBorders>
              <w:top w:val="nil"/>
              <w:left w:val="nil"/>
              <w:bottom w:val="single" w:color="auto" w:sz="4" w:space="0"/>
              <w:right w:val="single" w:color="auto" w:sz="4" w:space="0"/>
            </w:tcBorders>
            <w:shd w:val="clear" w:color="auto" w:fill="auto"/>
            <w:vAlign w:val="bottom"/>
            <w:hideMark/>
          </w:tcPr>
          <w:p w:rsidRPr="00673867" w:rsidR="00673867" w:rsidP="00673867" w:rsidRDefault="008F7AAD">
            <w:pPr>
              <w:widowControl/>
              <w:autoSpaceDE/>
              <w:autoSpaceDN/>
              <w:jc w:val="right"/>
              <w:rPr>
                <w:rFonts w:ascii="Calibri" w:hAnsi="Calibri" w:cs="Calibri"/>
                <w:color w:val="000000"/>
                <w:sz w:val="16"/>
                <w:szCs w:val="16"/>
              </w:rPr>
            </w:pPr>
            <w:r>
              <w:rPr>
                <w:rFonts w:ascii="Calibri" w:hAnsi="Calibri" w:cs="Calibri"/>
                <w:color w:val="000000"/>
                <w:sz w:val="16"/>
                <w:szCs w:val="16"/>
              </w:rPr>
              <w:t>13</w:t>
            </w:r>
          </w:p>
        </w:tc>
        <w:tc>
          <w:tcPr>
            <w:tcW w:w="1066" w:type="dxa"/>
            <w:tcBorders>
              <w:top w:val="nil"/>
              <w:left w:val="nil"/>
              <w:bottom w:val="single" w:color="auto" w:sz="4" w:space="0"/>
              <w:right w:val="single" w:color="auto" w:sz="4" w:space="0"/>
            </w:tcBorders>
            <w:shd w:val="clear" w:color="auto" w:fill="auto"/>
            <w:noWrap/>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$25.25</w:t>
            </w:r>
            <w:r w:rsidRPr="00C96228" w:rsidR="00C96228">
              <w:rPr>
                <w:rFonts w:ascii="Calibri" w:hAnsi="Calibri" w:cs="Calibri"/>
                <w:color w:val="000000"/>
                <w:sz w:val="16"/>
                <w:szCs w:val="16"/>
                <w:vertAlign w:val="superscript"/>
              </w:rPr>
              <w:t>3</w:t>
            </w:r>
          </w:p>
        </w:tc>
        <w:tc>
          <w:tcPr>
            <w:tcW w:w="1106" w:type="dxa"/>
            <w:tcBorders>
              <w:top w:val="nil"/>
              <w:left w:val="nil"/>
              <w:bottom w:val="single" w:color="auto" w:sz="4" w:space="0"/>
              <w:right w:val="single" w:color="auto" w:sz="8" w:space="0"/>
            </w:tcBorders>
            <w:shd w:val="clear" w:color="auto" w:fill="auto"/>
            <w:noWrap/>
            <w:vAlign w:val="bottom"/>
            <w:hideMark/>
          </w:tcPr>
          <w:p w:rsidRPr="00673867" w:rsidR="00673867" w:rsidP="00673867" w:rsidRDefault="00673867">
            <w:pPr>
              <w:widowControl/>
              <w:autoSpaceDE/>
              <w:autoSpaceDN/>
              <w:jc w:val="right"/>
              <w:rPr>
                <w:rFonts w:ascii="Calibri" w:hAnsi="Calibri" w:cs="Calibri"/>
                <w:color w:val="000000"/>
                <w:sz w:val="16"/>
                <w:szCs w:val="16"/>
              </w:rPr>
            </w:pPr>
            <w:r>
              <w:rPr>
                <w:rFonts w:ascii="Calibri" w:hAnsi="Calibri" w:cs="Calibri"/>
                <w:color w:val="000000"/>
                <w:sz w:val="16"/>
                <w:szCs w:val="16"/>
              </w:rPr>
              <w:t>$315.63</w:t>
            </w:r>
          </w:p>
        </w:tc>
      </w:tr>
      <w:tr w:rsidRPr="00673867" w:rsidR="00673867" w:rsidTr="008276C2">
        <w:trPr>
          <w:trHeight w:val="590"/>
          <w:jc w:val="center"/>
        </w:trPr>
        <w:tc>
          <w:tcPr>
            <w:tcW w:w="1986" w:type="dxa"/>
            <w:tcBorders>
              <w:top w:val="nil"/>
              <w:left w:val="single" w:color="auto" w:sz="8" w:space="0"/>
              <w:bottom w:val="single" w:color="auto" w:sz="8" w:space="0"/>
              <w:right w:val="single" w:color="auto" w:sz="8" w:space="0"/>
            </w:tcBorders>
            <w:shd w:val="clear" w:color="000000" w:fill="DDEBF7"/>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Totals</w:t>
            </w:r>
          </w:p>
        </w:tc>
        <w:tc>
          <w:tcPr>
            <w:tcW w:w="1611" w:type="dxa"/>
            <w:tcBorders>
              <w:top w:val="nil"/>
              <w:left w:val="nil"/>
              <w:bottom w:val="single" w:color="auto" w:sz="8" w:space="0"/>
              <w:right w:val="single" w:color="auto" w:sz="8" w:space="0"/>
            </w:tcBorders>
            <w:shd w:val="clear" w:color="000000" w:fill="000000"/>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p>
        </w:tc>
        <w:tc>
          <w:tcPr>
            <w:tcW w:w="1100" w:type="dxa"/>
            <w:tcBorders>
              <w:top w:val="nil"/>
              <w:left w:val="nil"/>
              <w:bottom w:val="single" w:color="auto" w:sz="8" w:space="0"/>
              <w:right w:val="single" w:color="auto" w:sz="8" w:space="0"/>
            </w:tcBorders>
            <w:shd w:val="clear" w:color="000000" w:fill="DDEBF7"/>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r w:rsidR="00521F27">
              <w:rPr>
                <w:rFonts w:ascii="Calibri" w:hAnsi="Calibri" w:cs="Calibri"/>
                <w:b/>
                <w:bCs/>
                <w:color w:val="000000"/>
                <w:sz w:val="22"/>
                <w:szCs w:val="22"/>
              </w:rPr>
              <w:t>181</w:t>
            </w:r>
          </w:p>
        </w:tc>
        <w:tc>
          <w:tcPr>
            <w:tcW w:w="960" w:type="dxa"/>
            <w:tcBorders>
              <w:top w:val="nil"/>
              <w:left w:val="nil"/>
              <w:bottom w:val="single" w:color="auto" w:sz="8" w:space="0"/>
              <w:right w:val="single" w:color="auto" w:sz="8" w:space="0"/>
            </w:tcBorders>
            <w:shd w:val="clear" w:color="000000" w:fill="000000"/>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p>
        </w:tc>
        <w:tc>
          <w:tcPr>
            <w:tcW w:w="960" w:type="dxa"/>
            <w:tcBorders>
              <w:top w:val="nil"/>
              <w:left w:val="nil"/>
              <w:bottom w:val="single" w:color="auto" w:sz="8" w:space="0"/>
              <w:right w:val="single" w:color="auto" w:sz="8" w:space="0"/>
            </w:tcBorders>
            <w:shd w:val="clear" w:color="000000" w:fill="DDEBF7"/>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r w:rsidR="008F7AAD">
              <w:rPr>
                <w:rFonts w:ascii="Calibri" w:hAnsi="Calibri" w:cs="Calibri"/>
                <w:b/>
                <w:bCs/>
                <w:color w:val="000000"/>
                <w:sz w:val="22"/>
                <w:szCs w:val="22"/>
              </w:rPr>
              <w:t>169</w:t>
            </w:r>
          </w:p>
        </w:tc>
        <w:tc>
          <w:tcPr>
            <w:tcW w:w="1066" w:type="dxa"/>
            <w:tcBorders>
              <w:top w:val="nil"/>
              <w:left w:val="nil"/>
              <w:bottom w:val="single" w:color="auto" w:sz="8" w:space="0"/>
              <w:right w:val="single" w:color="auto" w:sz="8" w:space="0"/>
            </w:tcBorders>
            <w:shd w:val="clear" w:color="000000" w:fill="000000"/>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p>
        </w:tc>
        <w:tc>
          <w:tcPr>
            <w:tcW w:w="1106" w:type="dxa"/>
            <w:tcBorders>
              <w:top w:val="nil"/>
              <w:left w:val="nil"/>
              <w:bottom w:val="single" w:color="auto" w:sz="8" w:space="0"/>
              <w:right w:val="single" w:color="auto" w:sz="8" w:space="0"/>
            </w:tcBorders>
            <w:shd w:val="clear" w:color="000000" w:fill="DDEBF7"/>
            <w:noWrap/>
            <w:vAlign w:val="bottom"/>
            <w:hideMark/>
          </w:tcPr>
          <w:p w:rsidRPr="00673867" w:rsidR="00673867" w:rsidP="00673867" w:rsidRDefault="00673867">
            <w:pPr>
              <w:widowControl/>
              <w:autoSpaceDE/>
              <w:autoSpaceDN/>
              <w:rPr>
                <w:rFonts w:ascii="Calibri" w:hAnsi="Calibri" w:cs="Calibri"/>
                <w:b/>
                <w:bCs/>
                <w:color w:val="000000"/>
                <w:sz w:val="22"/>
                <w:szCs w:val="22"/>
              </w:rPr>
            </w:pPr>
            <w:r w:rsidRPr="00673867">
              <w:rPr>
                <w:rFonts w:ascii="Calibri" w:hAnsi="Calibri" w:cs="Calibri"/>
                <w:b/>
                <w:bCs/>
                <w:color w:val="000000"/>
                <w:sz w:val="22"/>
                <w:szCs w:val="22"/>
              </w:rPr>
              <w:t> </w:t>
            </w:r>
            <w:r w:rsidR="00521F27">
              <w:rPr>
                <w:rFonts w:ascii="Calibri" w:hAnsi="Calibri" w:cs="Calibri"/>
                <w:b/>
                <w:bCs/>
                <w:color w:val="000000"/>
                <w:sz w:val="22"/>
                <w:szCs w:val="22"/>
              </w:rPr>
              <w:t>$4835.73</w:t>
            </w:r>
          </w:p>
        </w:tc>
      </w:tr>
    </w:tbl>
    <w:p w:rsidRPr="00C96228" w:rsidR="006039CA" w:rsidRDefault="00C96228">
      <w:pPr>
        <w:rPr>
          <w:sz w:val="24"/>
          <w:szCs w:val="24"/>
        </w:rPr>
      </w:pPr>
      <w:r w:rsidRPr="00C96228">
        <w:rPr>
          <w:sz w:val="24"/>
          <w:szCs w:val="24"/>
          <w:vertAlign w:val="superscript"/>
        </w:rPr>
        <w:t>1</w:t>
      </w:r>
      <w:r>
        <w:rPr>
          <w:sz w:val="24"/>
          <w:szCs w:val="24"/>
          <w:vertAlign w:val="superscript"/>
        </w:rPr>
        <w:t xml:space="preserve"> </w:t>
      </w:r>
      <w:r w:rsidRPr="00C96228">
        <w:rPr>
          <w:sz w:val="16"/>
          <w:szCs w:val="16"/>
        </w:rPr>
        <w:t>Due to the majority of response coming from private citizens, in this case private boaters, that are not working at the time of report and we have no way of knowing their occupation, as well as the wide variety of respondents in general, we used the mean wage for “all occupations.”</w:t>
      </w:r>
    </w:p>
    <w:p w:rsidR="00C96228" w:rsidRDefault="00C96228">
      <w:pPr>
        <w:rPr>
          <w:sz w:val="16"/>
          <w:szCs w:val="16"/>
        </w:rPr>
      </w:pPr>
      <w:r w:rsidRPr="00C96228">
        <w:rPr>
          <w:sz w:val="24"/>
          <w:szCs w:val="24"/>
          <w:vertAlign w:val="superscript"/>
        </w:rPr>
        <w:t>2</w:t>
      </w:r>
      <w:r>
        <w:rPr>
          <w:sz w:val="24"/>
          <w:szCs w:val="24"/>
          <w:vertAlign w:val="superscript"/>
        </w:rPr>
        <w:t xml:space="preserve"> </w:t>
      </w:r>
      <w:r>
        <w:rPr>
          <w:sz w:val="16"/>
          <w:szCs w:val="16"/>
        </w:rPr>
        <w:t>Respondents are members of the sea turtle disentanglement network, made up primarily of non-profit conservation groups, we used the mean wage for “conservation scientists.”</w:t>
      </w:r>
    </w:p>
    <w:p w:rsidRPr="00C96228" w:rsidR="00C96228" w:rsidRDefault="00C96228">
      <w:pPr>
        <w:rPr>
          <w:sz w:val="16"/>
          <w:szCs w:val="16"/>
        </w:rPr>
      </w:pPr>
      <w:r w:rsidRPr="00C96228">
        <w:rPr>
          <w:sz w:val="24"/>
          <w:szCs w:val="24"/>
          <w:vertAlign w:val="superscript"/>
        </w:rPr>
        <w:t>3</w:t>
      </w:r>
      <w:r>
        <w:rPr>
          <w:sz w:val="24"/>
          <w:szCs w:val="24"/>
          <w:vertAlign w:val="superscript"/>
        </w:rPr>
        <w:t xml:space="preserve"> </w:t>
      </w:r>
      <w:r>
        <w:rPr>
          <w:sz w:val="16"/>
          <w:szCs w:val="16"/>
        </w:rPr>
        <w:t>Respondents are commercial fisherman, so we used the mean wage for “first line supervisors of fishing workers.”</w:t>
      </w:r>
    </w:p>
    <w:p w:rsidR="00C96228" w:rsidRDefault="00C96228">
      <w:pPr>
        <w:rPr>
          <w:b/>
          <w:bCs/>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13.  </w:t>
      </w:r>
      <w:r w:rsidRPr="00D94ACD">
        <w:rPr>
          <w:rFonts w:ascii="Times New Roman" w:hAnsi="Times New Roman" w:cs="Times New Roman"/>
          <w:sz w:val="24"/>
          <w:szCs w:val="24"/>
          <w:lang w:val="en-CA"/>
        </w:rPr>
        <w:fldChar w:fldCharType="begin"/>
      </w:r>
      <w:r w:rsidRPr="00D94ACD">
        <w:rPr>
          <w:rFonts w:ascii="Times New Roman" w:hAnsi="Times New Roman" w:cs="Times New Roman"/>
          <w:sz w:val="24"/>
          <w:szCs w:val="24"/>
          <w:lang w:val="en-CA"/>
        </w:rPr>
        <w:instrText xml:space="preserve"> SEQ CHAPTER \h \r 1</w:instrText>
      </w:r>
      <w:r w:rsidRPr="00D94ACD">
        <w:rPr>
          <w:rFonts w:ascii="Times New Roman" w:hAnsi="Times New Roman" w:cs="Times New Roman"/>
          <w:sz w:val="24"/>
          <w:szCs w:val="24"/>
          <w:lang w:val="en-CA"/>
        </w:rPr>
        <w:fldChar w:fldCharType="end"/>
      </w:r>
      <w:r w:rsidRPr="00D94ACD" w:rsidR="00D94ACD">
        <w:rPr>
          <w:rFonts w:ascii="Times New Roman" w:hAnsi="Times New Roman" w:cs="Times New Roman"/>
          <w:b/>
          <w:sz w:val="24"/>
          <w:szCs w:val="24"/>
        </w:rPr>
        <w:t xml:space="preserve"> </w:t>
      </w:r>
      <w:r w:rsidRPr="00D94ACD" w:rsidR="00D94ACD">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D94ACD" w:rsidR="006039CA" w:rsidRDefault="006039CA">
      <w:pPr>
        <w:rPr>
          <w:sz w:val="24"/>
          <w:szCs w:val="24"/>
        </w:rPr>
      </w:pPr>
    </w:p>
    <w:p w:rsidRPr="00D94ACD" w:rsidR="006039CA" w:rsidRDefault="006039CA">
      <w:pPr>
        <w:rPr>
          <w:sz w:val="24"/>
          <w:szCs w:val="24"/>
        </w:rPr>
      </w:pPr>
      <w:r w:rsidRPr="00D94ACD">
        <w:rPr>
          <w:sz w:val="24"/>
          <w:szCs w:val="24"/>
        </w:rPr>
        <w:t>The cost burden was obtained by using the information on anticipated numbers of reports as presented in</w:t>
      </w:r>
      <w:r w:rsidRPr="00D94ACD" w:rsidR="005458DC">
        <w:rPr>
          <w:sz w:val="24"/>
          <w:szCs w:val="24"/>
        </w:rPr>
        <w:t xml:space="preserve"> Question </w:t>
      </w:r>
      <w:r w:rsidRPr="00D94ACD">
        <w:rPr>
          <w:sz w:val="24"/>
          <w:szCs w:val="24"/>
        </w:rPr>
        <w:t>12</w:t>
      </w:r>
      <w:r w:rsidRPr="00D94ACD" w:rsidR="00F92EE3">
        <w:rPr>
          <w:sz w:val="24"/>
          <w:szCs w:val="24"/>
        </w:rPr>
        <w:t>,</w:t>
      </w:r>
      <w:r w:rsidRPr="00D94ACD">
        <w:rPr>
          <w:sz w:val="24"/>
          <w:szCs w:val="24"/>
        </w:rPr>
        <w:t xml:space="preserve"> and the following information:</w:t>
      </w:r>
    </w:p>
    <w:p w:rsidRPr="00DA1A02" w:rsidR="006039CA" w:rsidRDefault="006039CA">
      <w:pPr>
        <w:rPr>
          <w:sz w:val="24"/>
          <w:szCs w:val="24"/>
        </w:rPr>
      </w:pPr>
    </w:p>
    <w:p w:rsidR="004446E2" w:rsidRDefault="006B00A3">
      <w:pPr>
        <w:rPr>
          <w:sz w:val="24"/>
          <w:szCs w:val="24"/>
        </w:rPr>
      </w:pPr>
      <w:r w:rsidRPr="00DA1A02">
        <w:rPr>
          <w:sz w:val="24"/>
          <w:szCs w:val="24"/>
        </w:rPr>
        <w:t xml:space="preserve">An estimated </w:t>
      </w:r>
      <w:r w:rsidRPr="00DA1A02" w:rsidR="000A189A">
        <w:rPr>
          <w:sz w:val="24"/>
          <w:szCs w:val="24"/>
        </w:rPr>
        <w:t>7</w:t>
      </w:r>
      <w:r w:rsidRPr="00DA1A02" w:rsidR="00E07609">
        <w:rPr>
          <w:sz w:val="24"/>
          <w:szCs w:val="24"/>
        </w:rPr>
        <w:t>8</w:t>
      </w:r>
      <w:r w:rsidRPr="00DA1A02" w:rsidR="006039CA">
        <w:rPr>
          <w:sz w:val="24"/>
          <w:szCs w:val="24"/>
        </w:rPr>
        <w:t xml:space="preserve"> reports</w:t>
      </w:r>
      <w:r w:rsidRPr="00DA1A02" w:rsidR="005458DC">
        <w:rPr>
          <w:sz w:val="24"/>
          <w:szCs w:val="24"/>
        </w:rPr>
        <w:t xml:space="preserve"> are anticipated annually.</w:t>
      </w:r>
      <w:r w:rsidRPr="00DA1A02" w:rsidR="006039CA">
        <w:rPr>
          <w:sz w:val="24"/>
          <w:szCs w:val="24"/>
        </w:rPr>
        <w:t xml:space="preserve"> </w:t>
      </w:r>
      <w:r w:rsidRPr="00DA1A02" w:rsidR="00E360AC">
        <w:rPr>
          <w:sz w:val="24"/>
          <w:szCs w:val="24"/>
        </w:rPr>
        <w:t xml:space="preserve">The vast majority of calls are made on cell phones, which typically have unlimited talk time. However, to be conservative, we estimated up to 20% of calls could come in on a land line. </w:t>
      </w:r>
      <w:r w:rsidRPr="00DA1A02" w:rsidR="006039CA">
        <w:rPr>
          <w:sz w:val="24"/>
          <w:szCs w:val="24"/>
        </w:rPr>
        <w:t>The cost of a one hour phone call</w:t>
      </w:r>
      <w:r w:rsidRPr="00DA1A02" w:rsidR="00E360AC">
        <w:rPr>
          <w:sz w:val="24"/>
          <w:szCs w:val="24"/>
        </w:rPr>
        <w:t xml:space="preserve"> </w:t>
      </w:r>
      <w:r w:rsidRPr="00DA1A02" w:rsidR="006039CA">
        <w:rPr>
          <w:sz w:val="24"/>
          <w:szCs w:val="24"/>
        </w:rPr>
        <w:t>was estimated to be $</w:t>
      </w:r>
      <w:r w:rsidRPr="00DA1A02" w:rsidR="000A189A">
        <w:rPr>
          <w:sz w:val="24"/>
          <w:szCs w:val="24"/>
        </w:rPr>
        <w:t>6</w:t>
      </w:r>
      <w:r w:rsidRPr="00DA1A02" w:rsidR="006039CA">
        <w:rPr>
          <w:sz w:val="24"/>
          <w:szCs w:val="24"/>
        </w:rPr>
        <w:t xml:space="preserve"> per call. </w:t>
      </w:r>
      <w:r w:rsidRPr="00DA1A02" w:rsidR="00E360AC">
        <w:rPr>
          <w:sz w:val="24"/>
          <w:szCs w:val="24"/>
        </w:rPr>
        <w:t>Sixteen calls at $6 per call is $96, rounded up to</w:t>
      </w:r>
      <w:r w:rsidRPr="00DA1A02" w:rsidR="00A020F7">
        <w:rPr>
          <w:sz w:val="24"/>
          <w:szCs w:val="24"/>
        </w:rPr>
        <w:t xml:space="preserve"> $100.</w:t>
      </w:r>
      <w:r w:rsidRPr="00DA1A02" w:rsidR="004446E2">
        <w:rPr>
          <w:sz w:val="24"/>
          <w:szCs w:val="24"/>
        </w:rPr>
        <w:t xml:space="preserve"> The STERF is most often sent via electronic mail. </w:t>
      </w:r>
      <w:r w:rsidRPr="00DA1A02" w:rsidR="005458DC">
        <w:rPr>
          <w:sz w:val="24"/>
          <w:szCs w:val="24"/>
        </w:rPr>
        <w:t xml:space="preserve">Any </w:t>
      </w:r>
      <w:r w:rsidRPr="00DA1A02" w:rsidR="000A189A">
        <w:rPr>
          <w:sz w:val="24"/>
          <w:szCs w:val="24"/>
        </w:rPr>
        <w:t>s</w:t>
      </w:r>
      <w:r w:rsidRPr="00DA1A02" w:rsidR="004446E2">
        <w:rPr>
          <w:sz w:val="24"/>
          <w:szCs w:val="24"/>
        </w:rPr>
        <w:t xml:space="preserve">hipping costs for STERFs, photos and/or video, and gear </w:t>
      </w:r>
      <w:r w:rsidRPr="00DA1A02" w:rsidR="005458DC">
        <w:rPr>
          <w:sz w:val="24"/>
          <w:szCs w:val="24"/>
        </w:rPr>
        <w:t xml:space="preserve">are </w:t>
      </w:r>
      <w:r w:rsidRPr="00DA1A02" w:rsidR="004446E2">
        <w:rPr>
          <w:sz w:val="24"/>
          <w:szCs w:val="24"/>
        </w:rPr>
        <w:t xml:space="preserve">covered by </w:t>
      </w:r>
      <w:r w:rsidRPr="00DA1A02" w:rsidR="005D2C67">
        <w:rPr>
          <w:sz w:val="24"/>
          <w:szCs w:val="24"/>
        </w:rPr>
        <w:t>NMFS</w:t>
      </w:r>
      <w:r w:rsidRPr="00DA1A02" w:rsidR="004446E2">
        <w:rPr>
          <w:sz w:val="24"/>
          <w:szCs w:val="24"/>
        </w:rPr>
        <w:t xml:space="preserve">. Finally, fishermen that participate in interviews will receive the telephone call from </w:t>
      </w:r>
      <w:r w:rsidRPr="00DA1A02" w:rsidR="0096502D">
        <w:rPr>
          <w:sz w:val="24"/>
          <w:szCs w:val="24"/>
        </w:rPr>
        <w:t xml:space="preserve">the </w:t>
      </w:r>
      <w:r w:rsidRPr="00DA1A02" w:rsidR="005D2C67">
        <w:rPr>
          <w:sz w:val="24"/>
          <w:szCs w:val="24"/>
        </w:rPr>
        <w:t>NMFS</w:t>
      </w:r>
      <w:r w:rsidRPr="00DA1A02" w:rsidR="00D32583">
        <w:rPr>
          <w:sz w:val="24"/>
          <w:szCs w:val="24"/>
        </w:rPr>
        <w:t xml:space="preserve"> Protected </w:t>
      </w:r>
      <w:r w:rsidRPr="00DA1A02" w:rsidR="0098597C">
        <w:rPr>
          <w:sz w:val="24"/>
          <w:szCs w:val="24"/>
        </w:rPr>
        <w:t>Resources g</w:t>
      </w:r>
      <w:r w:rsidRPr="00DA1A02" w:rsidR="00D32583">
        <w:rPr>
          <w:sz w:val="24"/>
          <w:szCs w:val="24"/>
        </w:rPr>
        <w:t xml:space="preserve">ear </w:t>
      </w:r>
      <w:r w:rsidRPr="00DA1A02" w:rsidR="0098597C">
        <w:rPr>
          <w:sz w:val="24"/>
          <w:szCs w:val="24"/>
        </w:rPr>
        <w:t>t</w:t>
      </w:r>
      <w:r w:rsidRPr="00DA1A02" w:rsidR="00D32583">
        <w:rPr>
          <w:sz w:val="24"/>
          <w:szCs w:val="24"/>
        </w:rPr>
        <w:t>eam</w:t>
      </w:r>
      <w:r w:rsidRPr="00DA1A02" w:rsidR="003B237F">
        <w:rPr>
          <w:sz w:val="24"/>
          <w:szCs w:val="24"/>
        </w:rPr>
        <w:t xml:space="preserve"> staff</w:t>
      </w:r>
      <w:r w:rsidRPr="00DA1A02" w:rsidR="004446E2">
        <w:rPr>
          <w:sz w:val="24"/>
          <w:szCs w:val="24"/>
        </w:rPr>
        <w:t xml:space="preserve"> and, therefore, would not incur a cost.</w:t>
      </w:r>
    </w:p>
    <w:p w:rsidR="00265AC5" w:rsidRDefault="00265AC5">
      <w:pPr>
        <w:rPr>
          <w:sz w:val="24"/>
          <w:szCs w:val="24"/>
        </w:rPr>
      </w:pPr>
    </w:p>
    <w:tbl>
      <w:tblPr>
        <w:tblW w:w="11040" w:type="dxa"/>
        <w:jc w:val="center"/>
        <w:tblLook w:val="04A0" w:firstRow="1" w:lastRow="0" w:firstColumn="1" w:lastColumn="0" w:noHBand="0" w:noVBand="1"/>
      </w:tblPr>
      <w:tblGrid>
        <w:gridCol w:w="3720"/>
        <w:gridCol w:w="2640"/>
        <w:gridCol w:w="1380"/>
        <w:gridCol w:w="1240"/>
        <w:gridCol w:w="1100"/>
        <w:gridCol w:w="960"/>
      </w:tblGrid>
      <w:tr w:rsidRPr="00E360AC" w:rsidR="00E360AC" w:rsidTr="00E360AC">
        <w:trPr>
          <w:trHeight w:val="850"/>
          <w:jc w:val="center"/>
        </w:trPr>
        <w:tc>
          <w:tcPr>
            <w:tcW w:w="372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360AC" w:rsidR="00E360AC" w:rsidP="00E360AC" w:rsidRDefault="00E360AC">
            <w:pPr>
              <w:widowControl/>
              <w:autoSpaceDE/>
              <w:autoSpaceDN/>
              <w:jc w:val="center"/>
              <w:rPr>
                <w:rFonts w:ascii="Calibri" w:hAnsi="Calibri" w:cs="Calibri"/>
                <w:b/>
                <w:bCs/>
                <w:color w:val="000000"/>
                <w:sz w:val="16"/>
                <w:szCs w:val="16"/>
              </w:rPr>
            </w:pPr>
            <w:r w:rsidRPr="00E360AC">
              <w:rPr>
                <w:rFonts w:ascii="Calibri" w:hAnsi="Calibri" w:cs="Calibri"/>
                <w:b/>
                <w:bCs/>
                <w:color w:val="000000"/>
                <w:sz w:val="16"/>
                <w:szCs w:val="16"/>
              </w:rPr>
              <w:t>Information Collection</w:t>
            </w:r>
          </w:p>
        </w:tc>
        <w:tc>
          <w:tcPr>
            <w:tcW w:w="2640" w:type="dxa"/>
            <w:tcBorders>
              <w:top w:val="single" w:color="auto" w:sz="8" w:space="0"/>
              <w:left w:val="nil"/>
              <w:bottom w:val="single" w:color="auto" w:sz="8" w:space="0"/>
              <w:right w:val="single" w:color="000000" w:sz="8" w:space="0"/>
            </w:tcBorders>
            <w:shd w:val="clear" w:color="000000" w:fill="BDD7EE"/>
            <w:vAlign w:val="center"/>
            <w:hideMark/>
          </w:tcPr>
          <w:p w:rsidRPr="00E360AC" w:rsidR="00E360AC" w:rsidP="00E360AC" w:rsidRDefault="00E360AC">
            <w:pPr>
              <w:widowControl/>
              <w:autoSpaceDE/>
              <w:autoSpaceDN/>
              <w:jc w:val="center"/>
              <w:rPr>
                <w:rFonts w:ascii="Calibri" w:hAnsi="Calibri" w:cs="Calibri"/>
                <w:b/>
                <w:bCs/>
                <w:color w:val="000000"/>
                <w:sz w:val="16"/>
                <w:szCs w:val="16"/>
              </w:rPr>
            </w:pPr>
            <w:r w:rsidRPr="00E360AC">
              <w:rPr>
                <w:rFonts w:ascii="Calibri" w:hAnsi="Calibri" w:cs="Calibri"/>
                <w:b/>
                <w:bCs/>
                <w:color w:val="000000"/>
                <w:sz w:val="16"/>
                <w:szCs w:val="16"/>
              </w:rPr>
              <w:t># of Respondents</w:t>
            </w:r>
            <w:r w:rsidRPr="00E360AC">
              <w:rPr>
                <w:rFonts w:ascii="Calibri" w:hAnsi="Calibri" w:cs="Calibri"/>
                <w:b/>
                <w:bCs/>
                <w:color w:val="000000"/>
                <w:sz w:val="16"/>
                <w:szCs w:val="16"/>
              </w:rPr>
              <w:br/>
              <w:t>(a)</w:t>
            </w:r>
          </w:p>
        </w:tc>
        <w:tc>
          <w:tcPr>
            <w:tcW w:w="1380" w:type="dxa"/>
            <w:tcBorders>
              <w:top w:val="single" w:color="auto" w:sz="8" w:space="0"/>
              <w:left w:val="nil"/>
              <w:bottom w:val="single" w:color="auto" w:sz="8" w:space="0"/>
              <w:right w:val="single" w:color="auto" w:sz="8" w:space="0"/>
            </w:tcBorders>
            <w:shd w:val="clear" w:color="000000" w:fill="BDD7EE"/>
            <w:vAlign w:val="center"/>
            <w:hideMark/>
          </w:tcPr>
          <w:p w:rsidRPr="00E360AC" w:rsidR="00E360AC" w:rsidP="00E360AC" w:rsidRDefault="00E360AC">
            <w:pPr>
              <w:widowControl/>
              <w:autoSpaceDE/>
              <w:autoSpaceDN/>
              <w:jc w:val="center"/>
              <w:rPr>
                <w:rFonts w:ascii="Calibri" w:hAnsi="Calibri" w:cs="Calibri"/>
                <w:b/>
                <w:bCs/>
                <w:color w:val="000000"/>
                <w:sz w:val="16"/>
                <w:szCs w:val="16"/>
              </w:rPr>
            </w:pPr>
            <w:r w:rsidRPr="00E360AC">
              <w:rPr>
                <w:rFonts w:ascii="Calibri" w:hAnsi="Calibri" w:cs="Calibri"/>
                <w:b/>
                <w:bCs/>
                <w:color w:val="000000"/>
                <w:sz w:val="16"/>
                <w:szCs w:val="16"/>
              </w:rPr>
              <w:t>Annual # of Responses / Respondent</w:t>
            </w:r>
            <w:r w:rsidRPr="00E360AC">
              <w:rPr>
                <w:rFonts w:ascii="Calibri" w:hAnsi="Calibri" w:cs="Calibri"/>
                <w:b/>
                <w:bCs/>
                <w:color w:val="000000"/>
                <w:sz w:val="16"/>
                <w:szCs w:val="16"/>
              </w:rPr>
              <w:br/>
              <w:t>(b)</w:t>
            </w:r>
          </w:p>
        </w:tc>
        <w:tc>
          <w:tcPr>
            <w:tcW w:w="1240" w:type="dxa"/>
            <w:tcBorders>
              <w:top w:val="single" w:color="auto" w:sz="8" w:space="0"/>
              <w:left w:val="nil"/>
              <w:bottom w:val="single" w:color="auto" w:sz="8" w:space="0"/>
              <w:right w:val="single" w:color="auto" w:sz="8" w:space="0"/>
            </w:tcBorders>
            <w:shd w:val="clear" w:color="000000" w:fill="BDD7EE"/>
            <w:vAlign w:val="center"/>
            <w:hideMark/>
          </w:tcPr>
          <w:p w:rsidRPr="00E360AC" w:rsidR="00E360AC" w:rsidP="00E360AC" w:rsidRDefault="00E360AC">
            <w:pPr>
              <w:widowControl/>
              <w:autoSpaceDE/>
              <w:autoSpaceDN/>
              <w:jc w:val="center"/>
              <w:rPr>
                <w:rFonts w:ascii="Calibri" w:hAnsi="Calibri" w:cs="Calibri"/>
                <w:b/>
                <w:bCs/>
                <w:color w:val="000000"/>
                <w:sz w:val="16"/>
                <w:szCs w:val="16"/>
              </w:rPr>
            </w:pPr>
            <w:r w:rsidRPr="00E360AC">
              <w:rPr>
                <w:rFonts w:ascii="Calibri" w:hAnsi="Calibri" w:cs="Calibri"/>
                <w:b/>
                <w:bCs/>
                <w:color w:val="000000"/>
                <w:sz w:val="16"/>
                <w:szCs w:val="16"/>
              </w:rPr>
              <w:t xml:space="preserve"> Total # of Annual Responses</w:t>
            </w:r>
            <w:r w:rsidRPr="00E360AC">
              <w:rPr>
                <w:rFonts w:ascii="Calibri" w:hAnsi="Calibri" w:cs="Calibri"/>
                <w:b/>
                <w:bCs/>
                <w:color w:val="000000"/>
                <w:sz w:val="16"/>
                <w:szCs w:val="16"/>
              </w:rPr>
              <w:br/>
              <w:t>(c) = (a) x (b)</w:t>
            </w:r>
          </w:p>
        </w:tc>
        <w:tc>
          <w:tcPr>
            <w:tcW w:w="1100" w:type="dxa"/>
            <w:tcBorders>
              <w:top w:val="single" w:color="auto" w:sz="8" w:space="0"/>
              <w:left w:val="nil"/>
              <w:bottom w:val="single" w:color="auto" w:sz="8" w:space="0"/>
              <w:right w:val="single" w:color="auto" w:sz="8" w:space="0"/>
            </w:tcBorders>
            <w:shd w:val="clear" w:color="000000" w:fill="BDD7EE"/>
            <w:vAlign w:val="center"/>
            <w:hideMark/>
          </w:tcPr>
          <w:p w:rsidRPr="00E360AC" w:rsidR="00E360AC" w:rsidP="00E360AC" w:rsidRDefault="00E360AC">
            <w:pPr>
              <w:widowControl/>
              <w:autoSpaceDE/>
              <w:autoSpaceDN/>
              <w:jc w:val="center"/>
              <w:rPr>
                <w:rFonts w:ascii="Calibri" w:hAnsi="Calibri" w:cs="Calibri"/>
                <w:b/>
                <w:bCs/>
                <w:color w:val="000000"/>
                <w:sz w:val="16"/>
                <w:szCs w:val="16"/>
              </w:rPr>
            </w:pPr>
            <w:r w:rsidRPr="00E360AC">
              <w:rPr>
                <w:rFonts w:ascii="Calibri" w:hAnsi="Calibri" w:cs="Calibri"/>
                <w:b/>
                <w:bCs/>
                <w:color w:val="000000"/>
                <w:sz w:val="16"/>
                <w:szCs w:val="16"/>
              </w:rPr>
              <w:t>Cost Burden / Respondent</w:t>
            </w:r>
            <w:r w:rsidRPr="00E360AC">
              <w:rPr>
                <w:rFonts w:ascii="Calibri" w:hAnsi="Calibri" w:cs="Calibri"/>
                <w:b/>
                <w:bCs/>
                <w:color w:val="000000"/>
                <w:sz w:val="16"/>
                <w:szCs w:val="16"/>
              </w:rPr>
              <w:br/>
              <w:t>(h)</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E360AC" w:rsidR="00E360AC" w:rsidP="00E360AC" w:rsidRDefault="00E360AC">
            <w:pPr>
              <w:widowControl/>
              <w:autoSpaceDE/>
              <w:autoSpaceDN/>
              <w:jc w:val="center"/>
              <w:rPr>
                <w:rFonts w:ascii="Calibri" w:hAnsi="Calibri" w:cs="Calibri"/>
                <w:b/>
                <w:bCs/>
                <w:color w:val="000000"/>
                <w:sz w:val="16"/>
                <w:szCs w:val="16"/>
              </w:rPr>
            </w:pPr>
            <w:r w:rsidRPr="00E360AC">
              <w:rPr>
                <w:rFonts w:ascii="Calibri" w:hAnsi="Calibri" w:cs="Calibri"/>
                <w:b/>
                <w:bCs/>
                <w:color w:val="000000"/>
                <w:sz w:val="16"/>
                <w:szCs w:val="16"/>
              </w:rPr>
              <w:t>Total Annual Cost Burden</w:t>
            </w:r>
            <w:r w:rsidRPr="00E360AC">
              <w:rPr>
                <w:rFonts w:ascii="Calibri" w:hAnsi="Calibri" w:cs="Calibri"/>
                <w:b/>
                <w:bCs/>
                <w:color w:val="000000"/>
                <w:sz w:val="16"/>
                <w:szCs w:val="16"/>
              </w:rPr>
              <w:br/>
              <w:t>(</w:t>
            </w:r>
            <w:proofErr w:type="spellStart"/>
            <w:r w:rsidRPr="00E360AC">
              <w:rPr>
                <w:rFonts w:ascii="Calibri" w:hAnsi="Calibri" w:cs="Calibri"/>
                <w:b/>
                <w:bCs/>
                <w:color w:val="000000"/>
                <w:sz w:val="16"/>
                <w:szCs w:val="16"/>
              </w:rPr>
              <w:t>i</w:t>
            </w:r>
            <w:proofErr w:type="spellEnd"/>
            <w:r w:rsidRPr="00E360AC">
              <w:rPr>
                <w:rFonts w:ascii="Calibri" w:hAnsi="Calibri" w:cs="Calibri"/>
                <w:b/>
                <w:bCs/>
                <w:color w:val="000000"/>
                <w:sz w:val="16"/>
                <w:szCs w:val="16"/>
              </w:rPr>
              <w:t>) = (c) x (h)</w:t>
            </w:r>
          </w:p>
        </w:tc>
      </w:tr>
      <w:tr w:rsidRPr="00E360AC" w:rsidR="00E360AC" w:rsidTr="00E360AC">
        <w:trPr>
          <w:trHeight w:val="290"/>
          <w:jc w:val="center"/>
        </w:trPr>
        <w:tc>
          <w:tcPr>
            <w:tcW w:w="3720" w:type="dxa"/>
            <w:tcBorders>
              <w:top w:val="nil"/>
              <w:left w:val="single" w:color="auto" w:sz="4" w:space="0"/>
              <w:bottom w:val="single" w:color="auto" w:sz="4" w:space="0"/>
              <w:right w:val="single" w:color="auto" w:sz="4" w:space="0"/>
            </w:tcBorders>
            <w:shd w:val="clear" w:color="auto" w:fill="auto"/>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Telephone report</w:t>
            </w:r>
            <w:r w:rsidR="00DA1A02">
              <w:rPr>
                <w:rFonts w:ascii="Calibri" w:hAnsi="Calibri" w:cs="Calibri"/>
                <w:color w:val="000000"/>
                <w:sz w:val="16"/>
                <w:szCs w:val="16"/>
              </w:rPr>
              <w:t>s</w:t>
            </w:r>
            <w:r w:rsidR="00E7204A">
              <w:rPr>
                <w:rFonts w:ascii="Calibri" w:hAnsi="Calibri" w:cs="Calibri"/>
                <w:color w:val="000000"/>
                <w:sz w:val="16"/>
                <w:szCs w:val="16"/>
              </w:rPr>
              <w:t xml:space="preserve"> (via cell phone)</w:t>
            </w:r>
          </w:p>
        </w:tc>
        <w:tc>
          <w:tcPr>
            <w:tcW w:w="264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7204A">
            <w:pPr>
              <w:widowControl/>
              <w:autoSpaceDE/>
              <w:autoSpaceDN/>
              <w:jc w:val="center"/>
              <w:rPr>
                <w:rFonts w:ascii="Calibri" w:hAnsi="Calibri" w:cs="Calibri"/>
                <w:color w:val="000000"/>
                <w:sz w:val="16"/>
                <w:szCs w:val="16"/>
              </w:rPr>
            </w:pPr>
            <w:r>
              <w:rPr>
                <w:rFonts w:ascii="Calibri" w:hAnsi="Calibri" w:cs="Calibri"/>
                <w:color w:val="000000"/>
                <w:sz w:val="16"/>
                <w:szCs w:val="16"/>
              </w:rPr>
              <w:t>62</w:t>
            </w:r>
          </w:p>
        </w:tc>
        <w:tc>
          <w:tcPr>
            <w:tcW w:w="138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24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7204A">
            <w:pPr>
              <w:widowControl/>
              <w:autoSpaceDE/>
              <w:autoSpaceDN/>
              <w:jc w:val="center"/>
              <w:rPr>
                <w:rFonts w:ascii="Calibri" w:hAnsi="Calibri" w:cs="Calibri"/>
                <w:color w:val="000000"/>
                <w:sz w:val="16"/>
                <w:szCs w:val="16"/>
              </w:rPr>
            </w:pPr>
            <w:r>
              <w:rPr>
                <w:rFonts w:ascii="Calibri" w:hAnsi="Calibri" w:cs="Calibri"/>
                <w:color w:val="000000"/>
                <w:sz w:val="16"/>
                <w:szCs w:val="16"/>
              </w:rPr>
              <w:t>62</w:t>
            </w:r>
          </w:p>
        </w:tc>
        <w:tc>
          <w:tcPr>
            <w:tcW w:w="110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7204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60" w:type="dxa"/>
            <w:tcBorders>
              <w:top w:val="nil"/>
              <w:left w:val="nil"/>
              <w:bottom w:val="single" w:color="auto" w:sz="4" w:space="0"/>
              <w:right w:val="single" w:color="auto" w:sz="8"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r>
      <w:tr w:rsidRPr="00E360AC" w:rsidR="00E360AC" w:rsidTr="00E360AC">
        <w:trPr>
          <w:trHeight w:val="290"/>
          <w:jc w:val="center"/>
        </w:trPr>
        <w:tc>
          <w:tcPr>
            <w:tcW w:w="3720" w:type="dxa"/>
            <w:tcBorders>
              <w:top w:val="nil"/>
              <w:left w:val="single" w:color="auto" w:sz="4" w:space="0"/>
              <w:bottom w:val="single" w:color="auto" w:sz="4" w:space="0"/>
              <w:right w:val="single" w:color="auto" w:sz="4" w:space="0"/>
            </w:tcBorders>
            <w:shd w:val="clear" w:color="auto" w:fill="auto"/>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Telephone report</w:t>
            </w:r>
            <w:r w:rsidR="00DA1A02">
              <w:rPr>
                <w:rFonts w:ascii="Calibri" w:hAnsi="Calibri" w:cs="Calibri"/>
                <w:color w:val="000000"/>
                <w:sz w:val="16"/>
                <w:szCs w:val="16"/>
              </w:rPr>
              <w:t>s</w:t>
            </w:r>
            <w:r>
              <w:rPr>
                <w:rFonts w:ascii="Calibri" w:hAnsi="Calibri" w:cs="Calibri"/>
                <w:color w:val="000000"/>
                <w:sz w:val="16"/>
                <w:szCs w:val="16"/>
              </w:rPr>
              <w:t xml:space="preserve"> (via land line, which is rare)</w:t>
            </w:r>
          </w:p>
        </w:tc>
        <w:tc>
          <w:tcPr>
            <w:tcW w:w="264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16</w:t>
            </w:r>
          </w:p>
        </w:tc>
        <w:tc>
          <w:tcPr>
            <w:tcW w:w="138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24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16</w:t>
            </w:r>
          </w:p>
        </w:tc>
        <w:tc>
          <w:tcPr>
            <w:tcW w:w="110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$6</w:t>
            </w:r>
          </w:p>
        </w:tc>
        <w:tc>
          <w:tcPr>
            <w:tcW w:w="960" w:type="dxa"/>
            <w:tcBorders>
              <w:top w:val="nil"/>
              <w:left w:val="nil"/>
              <w:bottom w:val="single" w:color="auto" w:sz="4" w:space="0"/>
              <w:right w:val="single" w:color="auto" w:sz="8"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$100</w:t>
            </w:r>
          </w:p>
        </w:tc>
      </w:tr>
      <w:tr w:rsidRPr="00E360AC" w:rsidR="00E360AC" w:rsidTr="00E360AC">
        <w:trPr>
          <w:trHeight w:val="290"/>
          <w:jc w:val="center"/>
        </w:trPr>
        <w:tc>
          <w:tcPr>
            <w:tcW w:w="3720" w:type="dxa"/>
            <w:tcBorders>
              <w:top w:val="nil"/>
              <w:left w:val="single" w:color="auto" w:sz="4" w:space="0"/>
              <w:bottom w:val="single" w:color="auto" w:sz="4" w:space="0"/>
              <w:right w:val="single" w:color="auto" w:sz="4" w:space="0"/>
            </w:tcBorders>
            <w:shd w:val="clear" w:color="auto" w:fill="auto"/>
            <w:vAlign w:val="center"/>
            <w:hideMark/>
          </w:tcPr>
          <w:p w:rsidRPr="00E360AC" w:rsidR="00E360AC" w:rsidP="00673867"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 xml:space="preserve">Submission of </w:t>
            </w:r>
            <w:r w:rsidR="00673867">
              <w:rPr>
                <w:rFonts w:ascii="Calibri" w:hAnsi="Calibri" w:cs="Calibri"/>
                <w:color w:val="000000"/>
                <w:sz w:val="16"/>
                <w:szCs w:val="16"/>
              </w:rPr>
              <w:t>forms (</w:t>
            </w:r>
            <w:r>
              <w:rPr>
                <w:rFonts w:ascii="Calibri" w:hAnsi="Calibri" w:cs="Calibri"/>
                <w:color w:val="000000"/>
                <w:sz w:val="16"/>
                <w:szCs w:val="16"/>
              </w:rPr>
              <w:t>via electronic mail</w:t>
            </w:r>
            <w:r w:rsidR="00673867">
              <w:rPr>
                <w:rFonts w:ascii="Calibri" w:hAnsi="Calibri" w:cs="Calibri"/>
                <w:color w:val="000000"/>
                <w:sz w:val="16"/>
                <w:szCs w:val="16"/>
              </w:rPr>
              <w:t>)</w:t>
            </w:r>
          </w:p>
        </w:tc>
        <w:tc>
          <w:tcPr>
            <w:tcW w:w="264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13</w:t>
            </w:r>
          </w:p>
        </w:tc>
        <w:tc>
          <w:tcPr>
            <w:tcW w:w="138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Up to 50</w:t>
            </w:r>
          </w:p>
        </w:tc>
        <w:tc>
          <w:tcPr>
            <w:tcW w:w="124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78</w:t>
            </w:r>
          </w:p>
        </w:tc>
        <w:tc>
          <w:tcPr>
            <w:tcW w:w="1100" w:type="dxa"/>
            <w:tcBorders>
              <w:top w:val="nil"/>
              <w:left w:val="nil"/>
              <w:bottom w:val="single" w:color="auto" w:sz="4" w:space="0"/>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60" w:type="dxa"/>
            <w:tcBorders>
              <w:top w:val="nil"/>
              <w:left w:val="nil"/>
              <w:bottom w:val="single" w:color="auto" w:sz="4" w:space="0"/>
              <w:right w:val="single" w:color="auto" w:sz="8"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r>
      <w:tr w:rsidRPr="00E360AC" w:rsidR="00E360AC" w:rsidTr="00E360AC">
        <w:trPr>
          <w:trHeight w:val="290"/>
          <w:jc w:val="center"/>
        </w:trPr>
        <w:tc>
          <w:tcPr>
            <w:tcW w:w="3720" w:type="dxa"/>
            <w:tcBorders>
              <w:top w:val="nil"/>
              <w:left w:val="single" w:color="auto" w:sz="4" w:space="0"/>
              <w:bottom w:val="nil"/>
              <w:right w:val="single" w:color="auto" w:sz="4" w:space="0"/>
            </w:tcBorders>
            <w:shd w:val="clear" w:color="auto" w:fill="auto"/>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Fisherman interviews</w:t>
            </w:r>
          </w:p>
        </w:tc>
        <w:tc>
          <w:tcPr>
            <w:tcW w:w="2640" w:type="dxa"/>
            <w:tcBorders>
              <w:top w:val="nil"/>
              <w:left w:val="nil"/>
              <w:bottom w:val="nil"/>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25</w:t>
            </w:r>
          </w:p>
        </w:tc>
        <w:tc>
          <w:tcPr>
            <w:tcW w:w="1380" w:type="dxa"/>
            <w:tcBorders>
              <w:top w:val="nil"/>
              <w:left w:val="nil"/>
              <w:bottom w:val="nil"/>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240" w:type="dxa"/>
            <w:tcBorders>
              <w:top w:val="nil"/>
              <w:left w:val="nil"/>
              <w:bottom w:val="nil"/>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25</w:t>
            </w:r>
          </w:p>
        </w:tc>
        <w:tc>
          <w:tcPr>
            <w:tcW w:w="1100" w:type="dxa"/>
            <w:tcBorders>
              <w:top w:val="nil"/>
              <w:left w:val="nil"/>
              <w:bottom w:val="nil"/>
              <w:right w:val="single" w:color="auto" w:sz="4" w:space="0"/>
            </w:tcBorders>
            <w:shd w:val="clear" w:color="000000" w:fill="FFFFFF"/>
            <w:vAlign w:val="center"/>
            <w:hideMark/>
          </w:tcPr>
          <w:p w:rsidRPr="00E360AC" w:rsidR="00E360AC" w:rsidP="00E360AC" w:rsidRDefault="00E360AC">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960" w:type="dxa"/>
            <w:tcBorders>
              <w:top w:val="nil"/>
              <w:left w:val="nil"/>
              <w:bottom w:val="nil"/>
              <w:right w:val="single" w:color="auto" w:sz="8" w:space="0"/>
            </w:tcBorders>
            <w:shd w:val="clear" w:color="000000" w:fill="FFFFFF"/>
            <w:vAlign w:val="center"/>
            <w:hideMark/>
          </w:tcPr>
          <w:p w:rsidRPr="00E360AC" w:rsidR="00E360AC" w:rsidP="00E360AC" w:rsidRDefault="00E7204A">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r>
      <w:tr w:rsidRPr="00E360AC" w:rsidR="00E360AC" w:rsidTr="00E360AC">
        <w:trPr>
          <w:trHeight w:val="300"/>
          <w:jc w:val="center"/>
        </w:trPr>
        <w:tc>
          <w:tcPr>
            <w:tcW w:w="372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360AC" w:rsidR="00E360AC" w:rsidP="00E360AC" w:rsidRDefault="00E360AC">
            <w:pPr>
              <w:widowControl/>
              <w:autoSpaceDE/>
              <w:autoSpaceDN/>
              <w:jc w:val="right"/>
              <w:rPr>
                <w:rFonts w:ascii="Calibri" w:hAnsi="Calibri" w:cs="Calibri"/>
                <w:b/>
                <w:bCs/>
                <w:color w:val="000000"/>
                <w:sz w:val="16"/>
                <w:szCs w:val="16"/>
              </w:rPr>
            </w:pPr>
            <w:r w:rsidRPr="00E360AC">
              <w:rPr>
                <w:rFonts w:ascii="Calibri" w:hAnsi="Calibri" w:cs="Calibri"/>
                <w:b/>
                <w:bCs/>
                <w:color w:val="000000"/>
                <w:sz w:val="16"/>
                <w:szCs w:val="16"/>
              </w:rPr>
              <w:t>TOTALS</w:t>
            </w:r>
          </w:p>
        </w:tc>
        <w:tc>
          <w:tcPr>
            <w:tcW w:w="2640" w:type="dxa"/>
            <w:tcBorders>
              <w:top w:val="single" w:color="auto" w:sz="8" w:space="0"/>
              <w:left w:val="nil"/>
              <w:bottom w:val="single" w:color="auto" w:sz="8" w:space="0"/>
              <w:right w:val="single" w:color="auto" w:sz="4" w:space="0"/>
            </w:tcBorders>
            <w:shd w:val="clear" w:color="000000" w:fill="DDEBF7"/>
            <w:vAlign w:val="center"/>
            <w:hideMark/>
          </w:tcPr>
          <w:p w:rsidRPr="00E360AC" w:rsidR="00E360AC" w:rsidP="00E360AC" w:rsidRDefault="00E360AC">
            <w:pPr>
              <w:widowControl/>
              <w:autoSpaceDE/>
              <w:autoSpaceDN/>
              <w:jc w:val="right"/>
              <w:rPr>
                <w:rFonts w:ascii="Calibri" w:hAnsi="Calibri" w:cs="Calibri"/>
                <w:b/>
                <w:bCs/>
                <w:color w:val="000000"/>
                <w:sz w:val="16"/>
                <w:szCs w:val="16"/>
              </w:rPr>
            </w:pPr>
            <w:r w:rsidRPr="00E360AC">
              <w:rPr>
                <w:rFonts w:ascii="Calibri" w:hAnsi="Calibri" w:cs="Calibri"/>
                <w:b/>
                <w:bCs/>
                <w:color w:val="000000"/>
                <w:sz w:val="16"/>
                <w:szCs w:val="16"/>
              </w:rPr>
              <w:t> </w:t>
            </w:r>
          </w:p>
        </w:tc>
        <w:tc>
          <w:tcPr>
            <w:tcW w:w="1380" w:type="dxa"/>
            <w:tcBorders>
              <w:top w:val="single" w:color="auto" w:sz="8" w:space="0"/>
              <w:left w:val="nil"/>
              <w:bottom w:val="single" w:color="auto" w:sz="8" w:space="0"/>
              <w:right w:val="single" w:color="auto" w:sz="4" w:space="0"/>
            </w:tcBorders>
            <w:shd w:val="clear" w:color="000000" w:fill="DDEBF7"/>
            <w:vAlign w:val="center"/>
            <w:hideMark/>
          </w:tcPr>
          <w:p w:rsidRPr="00E360AC" w:rsidR="00E360AC" w:rsidP="00E360AC" w:rsidRDefault="00E360AC">
            <w:pPr>
              <w:widowControl/>
              <w:autoSpaceDE/>
              <w:autoSpaceDN/>
              <w:jc w:val="right"/>
              <w:rPr>
                <w:rFonts w:ascii="Calibri" w:hAnsi="Calibri" w:cs="Calibri"/>
                <w:b/>
                <w:bCs/>
                <w:color w:val="000000"/>
                <w:sz w:val="16"/>
                <w:szCs w:val="16"/>
              </w:rPr>
            </w:pPr>
            <w:r w:rsidRPr="00E360AC">
              <w:rPr>
                <w:rFonts w:ascii="Calibri" w:hAnsi="Calibri" w:cs="Calibri"/>
                <w:b/>
                <w:bCs/>
                <w:color w:val="000000"/>
                <w:sz w:val="16"/>
                <w:szCs w:val="16"/>
              </w:rPr>
              <w:t> </w:t>
            </w:r>
          </w:p>
        </w:tc>
        <w:tc>
          <w:tcPr>
            <w:tcW w:w="1240" w:type="dxa"/>
            <w:tcBorders>
              <w:top w:val="single" w:color="auto" w:sz="8" w:space="0"/>
              <w:left w:val="nil"/>
              <w:bottom w:val="single" w:color="auto" w:sz="8" w:space="0"/>
              <w:right w:val="single" w:color="auto" w:sz="4" w:space="0"/>
            </w:tcBorders>
            <w:shd w:val="clear" w:color="000000" w:fill="DDEBF7"/>
            <w:vAlign w:val="center"/>
            <w:hideMark/>
          </w:tcPr>
          <w:p w:rsidRPr="00E360AC" w:rsidR="00E360AC" w:rsidP="00E7204A" w:rsidRDefault="00E360AC">
            <w:pPr>
              <w:widowControl/>
              <w:autoSpaceDE/>
              <w:autoSpaceDN/>
              <w:jc w:val="right"/>
              <w:rPr>
                <w:rFonts w:ascii="Calibri" w:hAnsi="Calibri" w:cs="Calibri"/>
                <w:b/>
                <w:bCs/>
                <w:color w:val="000000"/>
                <w:sz w:val="16"/>
                <w:szCs w:val="16"/>
              </w:rPr>
            </w:pPr>
            <w:r w:rsidRPr="00E360AC">
              <w:rPr>
                <w:rFonts w:ascii="Calibri" w:hAnsi="Calibri" w:cs="Calibri"/>
                <w:b/>
                <w:bCs/>
                <w:color w:val="000000"/>
                <w:sz w:val="16"/>
                <w:szCs w:val="16"/>
              </w:rPr>
              <w:t xml:space="preserve">              </w:t>
            </w:r>
            <w:r w:rsidR="00E7204A">
              <w:rPr>
                <w:rFonts w:ascii="Calibri" w:hAnsi="Calibri" w:cs="Calibri"/>
                <w:b/>
                <w:bCs/>
                <w:color w:val="000000"/>
                <w:sz w:val="16"/>
                <w:szCs w:val="16"/>
              </w:rPr>
              <w:t>181</w:t>
            </w:r>
            <w:r w:rsidRPr="00E360AC">
              <w:rPr>
                <w:rFonts w:ascii="Calibri" w:hAnsi="Calibri" w:cs="Calibri"/>
                <w:b/>
                <w:bCs/>
                <w:color w:val="000000"/>
                <w:sz w:val="16"/>
                <w:szCs w:val="16"/>
              </w:rPr>
              <w:t xml:space="preserve">              </w:t>
            </w:r>
          </w:p>
        </w:tc>
        <w:tc>
          <w:tcPr>
            <w:tcW w:w="1100" w:type="dxa"/>
            <w:tcBorders>
              <w:top w:val="single" w:color="auto" w:sz="8" w:space="0"/>
              <w:left w:val="nil"/>
              <w:bottom w:val="single" w:color="auto" w:sz="8" w:space="0"/>
              <w:right w:val="single" w:color="auto" w:sz="4" w:space="0"/>
            </w:tcBorders>
            <w:shd w:val="clear" w:color="000000" w:fill="DDEBF7"/>
            <w:vAlign w:val="center"/>
            <w:hideMark/>
          </w:tcPr>
          <w:p w:rsidRPr="00E360AC" w:rsidR="00E360AC" w:rsidP="00E360AC" w:rsidRDefault="00E360AC">
            <w:pPr>
              <w:widowControl/>
              <w:autoSpaceDE/>
              <w:autoSpaceDN/>
              <w:jc w:val="right"/>
              <w:rPr>
                <w:rFonts w:ascii="Calibri" w:hAnsi="Calibri" w:cs="Calibri"/>
                <w:b/>
                <w:bCs/>
                <w:color w:val="000000"/>
                <w:sz w:val="16"/>
                <w:szCs w:val="16"/>
              </w:rPr>
            </w:pPr>
            <w:r w:rsidRPr="00E360AC">
              <w:rPr>
                <w:rFonts w:ascii="Calibri" w:hAnsi="Calibri" w:cs="Calibri"/>
                <w:b/>
                <w:bCs/>
                <w:color w:val="000000"/>
                <w:sz w:val="16"/>
                <w:szCs w:val="16"/>
              </w:rPr>
              <w:t> </w:t>
            </w:r>
          </w:p>
        </w:tc>
        <w:tc>
          <w:tcPr>
            <w:tcW w:w="960" w:type="dxa"/>
            <w:tcBorders>
              <w:top w:val="single" w:color="auto" w:sz="8" w:space="0"/>
              <w:left w:val="nil"/>
              <w:bottom w:val="single" w:color="auto" w:sz="8" w:space="0"/>
              <w:right w:val="single" w:color="auto" w:sz="8" w:space="0"/>
            </w:tcBorders>
            <w:shd w:val="clear" w:color="000000" w:fill="DDEBF7"/>
            <w:vAlign w:val="center"/>
            <w:hideMark/>
          </w:tcPr>
          <w:p w:rsidRPr="00E360AC" w:rsidR="00E360AC" w:rsidP="00E7204A" w:rsidRDefault="00E7204A">
            <w:pPr>
              <w:widowControl/>
              <w:autoSpaceDE/>
              <w:autoSpaceDN/>
              <w:jc w:val="right"/>
              <w:rPr>
                <w:rFonts w:ascii="Calibri" w:hAnsi="Calibri" w:cs="Calibri"/>
                <w:b/>
                <w:bCs/>
                <w:color w:val="000000"/>
                <w:sz w:val="16"/>
                <w:szCs w:val="16"/>
              </w:rPr>
            </w:pPr>
            <w:r>
              <w:rPr>
                <w:rFonts w:ascii="Calibri" w:hAnsi="Calibri" w:cs="Calibri"/>
                <w:b/>
                <w:bCs/>
                <w:color w:val="000000"/>
                <w:sz w:val="16"/>
                <w:szCs w:val="16"/>
              </w:rPr>
              <w:t xml:space="preserve">             100</w:t>
            </w:r>
            <w:r w:rsidRPr="00E360AC" w:rsidR="00E360AC">
              <w:rPr>
                <w:rFonts w:ascii="Calibri" w:hAnsi="Calibri" w:cs="Calibri"/>
                <w:b/>
                <w:bCs/>
                <w:color w:val="000000"/>
                <w:sz w:val="16"/>
                <w:szCs w:val="16"/>
              </w:rPr>
              <w:t xml:space="preserve">   </w:t>
            </w:r>
          </w:p>
        </w:tc>
      </w:tr>
    </w:tbl>
    <w:p w:rsidRPr="00BD0E14" w:rsidR="006039CA" w:rsidRDefault="006039CA">
      <w:pPr>
        <w:rPr>
          <w:sz w:val="24"/>
          <w:szCs w:val="24"/>
        </w:rPr>
      </w:pPr>
      <w:r w:rsidRPr="00BD0E14">
        <w:rPr>
          <w:sz w:val="24"/>
          <w:szCs w:val="24"/>
        </w:rPr>
        <w:t xml:space="preserve"> </w:t>
      </w:r>
      <w:r w:rsidRPr="00BD0E14" w:rsidR="007A51B9">
        <w:rPr>
          <w:sz w:val="24"/>
          <w:szCs w:val="24"/>
        </w:rPr>
        <w:t xml:space="preserve"> </w:t>
      </w: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14.  </w:t>
      </w:r>
      <w:r w:rsidRPr="00D94ACD" w:rsidR="00D94ACD">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D0E14" w:rsidR="006039CA" w:rsidRDefault="006039CA">
      <w:pPr>
        <w:rPr>
          <w:sz w:val="24"/>
          <w:szCs w:val="24"/>
        </w:rPr>
      </w:pPr>
    </w:p>
    <w:p w:rsidR="006039CA" w:rsidRDefault="006039CA">
      <w:pPr>
        <w:rPr>
          <w:sz w:val="24"/>
          <w:szCs w:val="24"/>
        </w:rPr>
      </w:pPr>
      <w:r w:rsidRPr="007F5451">
        <w:rPr>
          <w:sz w:val="24"/>
          <w:szCs w:val="24"/>
        </w:rPr>
        <w:t xml:space="preserve">The estimated cost to the Federal government will be only in terms of staff hours </w:t>
      </w:r>
      <w:r w:rsidRPr="007F5451" w:rsidR="006B00A3">
        <w:rPr>
          <w:sz w:val="24"/>
          <w:szCs w:val="24"/>
        </w:rPr>
        <w:t>and supplies.  An anticipated</w:t>
      </w:r>
      <w:r w:rsidRPr="007F5451" w:rsidR="00586290">
        <w:rPr>
          <w:sz w:val="24"/>
          <w:szCs w:val="24"/>
        </w:rPr>
        <w:t xml:space="preserve"> </w:t>
      </w:r>
      <w:r w:rsidRPr="007F5451" w:rsidR="000A189A">
        <w:rPr>
          <w:sz w:val="24"/>
          <w:szCs w:val="24"/>
        </w:rPr>
        <w:t>7</w:t>
      </w:r>
      <w:r w:rsidR="00FE5B7F">
        <w:rPr>
          <w:sz w:val="24"/>
          <w:szCs w:val="24"/>
        </w:rPr>
        <w:t>8</w:t>
      </w:r>
      <w:r w:rsidRPr="007F5451">
        <w:rPr>
          <w:sz w:val="24"/>
          <w:szCs w:val="24"/>
        </w:rPr>
        <w:t xml:space="preserve"> reports will be called in to</w:t>
      </w:r>
      <w:r w:rsidRPr="007F5451" w:rsidR="00BD0E14">
        <w:rPr>
          <w:sz w:val="24"/>
          <w:szCs w:val="24"/>
        </w:rPr>
        <w:t xml:space="preserve"> </w:t>
      </w:r>
      <w:r w:rsidR="005D2C67">
        <w:rPr>
          <w:sz w:val="24"/>
          <w:szCs w:val="24"/>
        </w:rPr>
        <w:t>NMFS</w:t>
      </w:r>
      <w:r w:rsidRPr="007F5451">
        <w:rPr>
          <w:sz w:val="24"/>
          <w:szCs w:val="24"/>
        </w:rPr>
        <w:t xml:space="preserve"> and each call is expected to last a maximum of one hour. As such, the hourly burden</w:t>
      </w:r>
      <w:r w:rsidRPr="007F5451" w:rsidR="0096502D">
        <w:rPr>
          <w:sz w:val="24"/>
          <w:szCs w:val="24"/>
        </w:rPr>
        <w:t xml:space="preserve"> of initial reports to</w:t>
      </w:r>
      <w:r w:rsidRPr="007F5451">
        <w:rPr>
          <w:sz w:val="24"/>
          <w:szCs w:val="24"/>
        </w:rPr>
        <w:t xml:space="preserve"> </w:t>
      </w:r>
      <w:r w:rsidR="005D2C67">
        <w:rPr>
          <w:sz w:val="24"/>
          <w:szCs w:val="24"/>
        </w:rPr>
        <w:t>NMFS</w:t>
      </w:r>
      <w:r w:rsidRPr="007F5451" w:rsidDel="00BD0E14" w:rsidR="00BD0E14">
        <w:rPr>
          <w:sz w:val="24"/>
          <w:szCs w:val="24"/>
        </w:rPr>
        <w:t xml:space="preserve"> </w:t>
      </w:r>
      <w:r w:rsidRPr="007F5451">
        <w:rPr>
          <w:sz w:val="24"/>
          <w:szCs w:val="24"/>
        </w:rPr>
        <w:t xml:space="preserve">would be </w:t>
      </w:r>
      <w:r w:rsidRPr="007F5451" w:rsidR="00BD0E14">
        <w:rPr>
          <w:sz w:val="24"/>
          <w:szCs w:val="24"/>
        </w:rPr>
        <w:t>7</w:t>
      </w:r>
      <w:r w:rsidR="00FE5B7F">
        <w:rPr>
          <w:sz w:val="24"/>
          <w:szCs w:val="24"/>
        </w:rPr>
        <w:t>8</w:t>
      </w:r>
      <w:r w:rsidRPr="007F5451">
        <w:rPr>
          <w:sz w:val="24"/>
          <w:szCs w:val="24"/>
        </w:rPr>
        <w:t xml:space="preserve"> hours. In addition, </w:t>
      </w:r>
      <w:r w:rsidR="005D2C67">
        <w:rPr>
          <w:sz w:val="24"/>
          <w:szCs w:val="24"/>
        </w:rPr>
        <w:t xml:space="preserve">NMFS </w:t>
      </w:r>
      <w:r w:rsidRPr="007F5451">
        <w:rPr>
          <w:sz w:val="24"/>
          <w:szCs w:val="24"/>
        </w:rPr>
        <w:t xml:space="preserve">staff would receive and compile the </w:t>
      </w:r>
      <w:r w:rsidRPr="007F5451" w:rsidR="00794E16">
        <w:rPr>
          <w:sz w:val="24"/>
          <w:szCs w:val="24"/>
        </w:rPr>
        <w:t>STERFs</w:t>
      </w:r>
      <w:r w:rsidRPr="007F5451">
        <w:rPr>
          <w:sz w:val="24"/>
          <w:szCs w:val="24"/>
        </w:rPr>
        <w:t xml:space="preserve"> and input the data into a database. Each report is expected to take a maximum of </w:t>
      </w:r>
      <w:r w:rsidRPr="007F5451" w:rsidR="00794E16">
        <w:rPr>
          <w:sz w:val="24"/>
          <w:szCs w:val="24"/>
        </w:rPr>
        <w:t>3</w:t>
      </w:r>
      <w:r w:rsidRPr="007F5451">
        <w:rPr>
          <w:sz w:val="24"/>
          <w:szCs w:val="24"/>
        </w:rPr>
        <w:t xml:space="preserve">0 minutes to enter including obtaining follow-up information if any fields are left blank. This would require an additional </w:t>
      </w:r>
      <w:r w:rsidRPr="007F5451" w:rsidR="0074656E">
        <w:rPr>
          <w:sz w:val="24"/>
          <w:szCs w:val="24"/>
        </w:rPr>
        <w:t>39</w:t>
      </w:r>
      <w:r w:rsidRPr="007F5451">
        <w:rPr>
          <w:sz w:val="24"/>
          <w:szCs w:val="24"/>
        </w:rPr>
        <w:t xml:space="preserve"> hours of staff time</w:t>
      </w:r>
      <w:r w:rsidR="00FE5B7F">
        <w:rPr>
          <w:sz w:val="24"/>
          <w:szCs w:val="24"/>
        </w:rPr>
        <w:t xml:space="preserve">. In addition, the data will be analyzed periodically in response to requests or to produce annual summaries. The estimated annual burden of these analysis is estimated at </w:t>
      </w:r>
      <w:r w:rsidR="0012464A">
        <w:rPr>
          <w:sz w:val="24"/>
          <w:szCs w:val="24"/>
        </w:rPr>
        <w:t>5</w:t>
      </w:r>
      <w:r w:rsidR="00FE5B7F">
        <w:rPr>
          <w:sz w:val="24"/>
          <w:szCs w:val="24"/>
        </w:rPr>
        <w:t>0 hours, including approximately 20 requests per year at about an hour per request, plus time to conduct quality control analyses, and produce data summaries.</w:t>
      </w:r>
      <w:r w:rsidRPr="007F5451">
        <w:rPr>
          <w:sz w:val="24"/>
          <w:szCs w:val="24"/>
        </w:rPr>
        <w:t xml:space="preserve"> </w:t>
      </w:r>
      <w:r w:rsidR="0012464A">
        <w:rPr>
          <w:sz w:val="24"/>
          <w:szCs w:val="24"/>
        </w:rPr>
        <w:t>A</w:t>
      </w:r>
      <w:r w:rsidRPr="007F5451" w:rsidR="009A09E5">
        <w:rPr>
          <w:sz w:val="24"/>
          <w:szCs w:val="24"/>
        </w:rPr>
        <w:t>ll of these tasks would be completed by the Sea Turtle Stranding and Disentanglement Coordinator.</w:t>
      </w:r>
      <w:r w:rsidRPr="007F5451" w:rsidR="002B5943">
        <w:rPr>
          <w:sz w:val="24"/>
          <w:szCs w:val="24"/>
        </w:rPr>
        <w:t xml:space="preserve"> Therefore, the financial burden to </w:t>
      </w:r>
      <w:r w:rsidR="005D2C67">
        <w:rPr>
          <w:sz w:val="24"/>
          <w:szCs w:val="24"/>
        </w:rPr>
        <w:t>NMFS</w:t>
      </w:r>
      <w:r w:rsidRPr="007F5451" w:rsidR="002B5943">
        <w:rPr>
          <w:sz w:val="24"/>
          <w:szCs w:val="24"/>
        </w:rPr>
        <w:t xml:space="preserve"> would be 1</w:t>
      </w:r>
      <w:r w:rsidR="0012464A">
        <w:rPr>
          <w:sz w:val="24"/>
          <w:szCs w:val="24"/>
        </w:rPr>
        <w:t>1</w:t>
      </w:r>
      <w:r w:rsidRPr="007F5451" w:rsidR="0074656E">
        <w:rPr>
          <w:sz w:val="24"/>
          <w:szCs w:val="24"/>
        </w:rPr>
        <w:t>6</w:t>
      </w:r>
      <w:r w:rsidRPr="007F5451" w:rsidR="002B5943">
        <w:rPr>
          <w:sz w:val="24"/>
          <w:szCs w:val="24"/>
        </w:rPr>
        <w:t xml:space="preserve"> </w:t>
      </w:r>
      <w:r w:rsidRPr="007F5451" w:rsidR="00D656FE">
        <w:rPr>
          <w:sz w:val="24"/>
          <w:szCs w:val="24"/>
        </w:rPr>
        <w:t xml:space="preserve">hours </w:t>
      </w:r>
      <w:r w:rsidR="0012464A">
        <w:rPr>
          <w:sz w:val="24"/>
          <w:szCs w:val="24"/>
        </w:rPr>
        <w:t>for oversight (5.6% of annual time budget) and 50 hours for data request and quality control (2.4% of annual time budget), for a total of</w:t>
      </w:r>
      <w:r w:rsidRPr="003A076E" w:rsidR="00D656FE">
        <w:rPr>
          <w:sz w:val="24"/>
          <w:szCs w:val="24"/>
        </w:rPr>
        <w:t xml:space="preserve"> </w:t>
      </w:r>
      <w:r w:rsidRPr="003A076E" w:rsidR="00FE5B7F">
        <w:rPr>
          <w:sz w:val="24"/>
          <w:szCs w:val="24"/>
        </w:rPr>
        <w:t>$</w:t>
      </w:r>
      <w:r w:rsidRPr="003A076E" w:rsidR="003A076E">
        <w:rPr>
          <w:sz w:val="24"/>
          <w:szCs w:val="24"/>
        </w:rPr>
        <w:t>6</w:t>
      </w:r>
      <w:r w:rsidR="00CB7551">
        <w:rPr>
          <w:sz w:val="24"/>
          <w:szCs w:val="24"/>
        </w:rPr>
        <w:t>,</w:t>
      </w:r>
      <w:r w:rsidRPr="003A076E" w:rsidR="003A076E">
        <w:rPr>
          <w:sz w:val="24"/>
          <w:szCs w:val="24"/>
        </w:rPr>
        <w:t>9</w:t>
      </w:r>
      <w:r w:rsidR="00CB7551">
        <w:rPr>
          <w:sz w:val="24"/>
          <w:szCs w:val="24"/>
        </w:rPr>
        <w:t>18.64</w:t>
      </w:r>
      <w:r w:rsidRPr="003A076E" w:rsidR="00D656FE">
        <w:rPr>
          <w:sz w:val="24"/>
          <w:szCs w:val="24"/>
        </w:rPr>
        <w:t>.</w:t>
      </w:r>
    </w:p>
    <w:p w:rsidRPr="00BD0E14" w:rsidR="006039CA" w:rsidRDefault="006039CA">
      <w:pPr>
        <w:rPr>
          <w:sz w:val="24"/>
          <w:szCs w:val="24"/>
        </w:rPr>
      </w:pPr>
    </w:p>
    <w:p w:rsidR="006039CA" w:rsidRDefault="005D2C67">
      <w:pPr>
        <w:rPr>
          <w:sz w:val="24"/>
          <w:szCs w:val="24"/>
        </w:rPr>
      </w:pPr>
      <w:r>
        <w:rPr>
          <w:sz w:val="24"/>
          <w:szCs w:val="24"/>
        </w:rPr>
        <w:t xml:space="preserve">NMFS </w:t>
      </w:r>
      <w:r w:rsidRPr="00BD0E14" w:rsidR="00B25769">
        <w:rPr>
          <w:sz w:val="24"/>
          <w:szCs w:val="24"/>
        </w:rPr>
        <w:t>supplies the STDN with disentanglement kits and digital cameras on an as-needed basis. Disentanglement k</w:t>
      </w:r>
      <w:r w:rsidRPr="00BD0E14" w:rsidR="00A70272">
        <w:rPr>
          <w:sz w:val="24"/>
          <w:szCs w:val="24"/>
        </w:rPr>
        <w:t xml:space="preserve">its include disentanglement tools and equipment, documentation supplies, </w:t>
      </w:r>
      <w:r w:rsidRPr="00BD0E14" w:rsidR="002F6092">
        <w:rPr>
          <w:sz w:val="24"/>
          <w:szCs w:val="24"/>
        </w:rPr>
        <w:t xml:space="preserve">and </w:t>
      </w:r>
      <w:r w:rsidRPr="00BD0E14" w:rsidR="00A70272">
        <w:rPr>
          <w:sz w:val="24"/>
          <w:szCs w:val="24"/>
        </w:rPr>
        <w:t>safety gear</w:t>
      </w:r>
      <w:r w:rsidRPr="00BD0E14" w:rsidR="007845FE">
        <w:rPr>
          <w:sz w:val="24"/>
          <w:szCs w:val="24"/>
        </w:rPr>
        <w:t xml:space="preserve">. Replacing an entire </w:t>
      </w:r>
      <w:r w:rsidRPr="00BD0E14" w:rsidR="002F6092">
        <w:rPr>
          <w:sz w:val="24"/>
          <w:szCs w:val="24"/>
        </w:rPr>
        <w:t>kit costs approximately $500.00</w:t>
      </w:r>
      <w:r w:rsidR="00657E37">
        <w:rPr>
          <w:sz w:val="24"/>
          <w:szCs w:val="24"/>
        </w:rPr>
        <w:t>, but most often only one or two items is replaced at a time.</w:t>
      </w:r>
      <w:r w:rsidRPr="00BD0E14" w:rsidR="00B25769">
        <w:rPr>
          <w:sz w:val="24"/>
          <w:szCs w:val="24"/>
        </w:rPr>
        <w:t xml:space="preserve"> </w:t>
      </w:r>
      <w:r w:rsidRPr="00BD0E14" w:rsidR="002F6092">
        <w:rPr>
          <w:sz w:val="24"/>
          <w:szCs w:val="24"/>
        </w:rPr>
        <w:t xml:space="preserve">Digital cameras are used to document the majority of disentanglement </w:t>
      </w:r>
      <w:r w:rsidRPr="00BD0E14" w:rsidR="002F6092">
        <w:rPr>
          <w:sz w:val="24"/>
          <w:szCs w:val="24"/>
        </w:rPr>
        <w:lastRenderedPageBreak/>
        <w:t>e</w:t>
      </w:r>
      <w:r w:rsidRPr="00BD0E14" w:rsidR="00794E16">
        <w:rPr>
          <w:sz w:val="24"/>
          <w:szCs w:val="24"/>
        </w:rPr>
        <w:t>vents</w:t>
      </w:r>
      <w:r w:rsidRPr="00BD0E14" w:rsidR="00B25769">
        <w:rPr>
          <w:sz w:val="24"/>
          <w:szCs w:val="24"/>
        </w:rPr>
        <w:t>; the a</w:t>
      </w:r>
      <w:r w:rsidRPr="00BD0E14" w:rsidR="00794E16">
        <w:rPr>
          <w:sz w:val="24"/>
          <w:szCs w:val="24"/>
        </w:rPr>
        <w:t xml:space="preserve">pproximate cost of a digital camera is </w:t>
      </w:r>
      <w:r w:rsidRPr="00BD0E14" w:rsidR="00EE47C6">
        <w:rPr>
          <w:sz w:val="24"/>
          <w:szCs w:val="24"/>
        </w:rPr>
        <w:t>$170.00</w:t>
      </w:r>
      <w:r w:rsidRPr="00BD0E14" w:rsidR="00B25769">
        <w:rPr>
          <w:sz w:val="24"/>
          <w:szCs w:val="24"/>
        </w:rPr>
        <w:t xml:space="preserve">. The cost of these pieces of equipment would vary on an annual basis depending on whether or not previous equipment needs to be replaced. </w:t>
      </w:r>
      <w:r w:rsidR="00CB7551">
        <w:rPr>
          <w:sz w:val="24"/>
          <w:szCs w:val="24"/>
        </w:rPr>
        <w:t>However, it is estimated that annual equipment cost</w:t>
      </w:r>
      <w:r w:rsidR="00657E37">
        <w:rPr>
          <w:sz w:val="24"/>
          <w:szCs w:val="24"/>
        </w:rPr>
        <w:t>s would less than or equal to $200</w:t>
      </w:r>
      <w:r w:rsidR="00CB7551">
        <w:rPr>
          <w:sz w:val="24"/>
          <w:szCs w:val="24"/>
        </w:rPr>
        <w:t xml:space="preserve">. </w:t>
      </w:r>
      <w:r>
        <w:rPr>
          <w:sz w:val="24"/>
          <w:szCs w:val="24"/>
        </w:rPr>
        <w:t xml:space="preserve">NMFS </w:t>
      </w:r>
      <w:r w:rsidRPr="00BD0E14" w:rsidR="006039CA">
        <w:rPr>
          <w:sz w:val="24"/>
          <w:szCs w:val="24"/>
        </w:rPr>
        <w:t xml:space="preserve">would also cover shipping of report forms, </w:t>
      </w:r>
      <w:r w:rsidRPr="00BD0E14" w:rsidR="00EE47C6">
        <w:rPr>
          <w:sz w:val="24"/>
          <w:szCs w:val="24"/>
        </w:rPr>
        <w:t>photographs</w:t>
      </w:r>
      <w:r w:rsidRPr="00BD0E14" w:rsidR="006039CA">
        <w:rPr>
          <w:sz w:val="24"/>
          <w:szCs w:val="24"/>
        </w:rPr>
        <w:t xml:space="preserve">, </w:t>
      </w:r>
      <w:r w:rsidRPr="00BD0E14" w:rsidR="006B00A3">
        <w:rPr>
          <w:sz w:val="24"/>
          <w:szCs w:val="24"/>
        </w:rPr>
        <w:t xml:space="preserve">video, </w:t>
      </w:r>
      <w:r w:rsidRPr="00BD0E14" w:rsidR="006039CA">
        <w:rPr>
          <w:sz w:val="24"/>
          <w:szCs w:val="24"/>
        </w:rPr>
        <w:t>and any removed gear</w:t>
      </w:r>
      <w:r w:rsidRPr="00BD0E14" w:rsidR="007845FE">
        <w:rPr>
          <w:sz w:val="24"/>
          <w:szCs w:val="24"/>
        </w:rPr>
        <w:t xml:space="preserve"> from the STDN</w:t>
      </w:r>
      <w:r w:rsidRPr="00BD0E14" w:rsidR="006039CA">
        <w:rPr>
          <w:sz w:val="24"/>
          <w:szCs w:val="24"/>
        </w:rPr>
        <w:t>.  The cost of this w</w:t>
      </w:r>
      <w:r w:rsidRPr="00BD0E14" w:rsidR="006B00A3">
        <w:rPr>
          <w:sz w:val="24"/>
          <w:szCs w:val="24"/>
        </w:rPr>
        <w:t xml:space="preserve">ould vary depending on weight of gear </w:t>
      </w:r>
      <w:r w:rsidRPr="00BD0E14" w:rsidR="006039CA">
        <w:rPr>
          <w:sz w:val="24"/>
          <w:szCs w:val="24"/>
        </w:rPr>
        <w:t>shipped</w:t>
      </w:r>
      <w:r w:rsidRPr="00BD0E14" w:rsidR="006B00A3">
        <w:rPr>
          <w:sz w:val="24"/>
          <w:szCs w:val="24"/>
        </w:rPr>
        <w:t xml:space="preserve"> (with or without pot, multiple pots, etc.)</w:t>
      </w:r>
      <w:r w:rsidR="00CB7551">
        <w:rPr>
          <w:sz w:val="24"/>
          <w:szCs w:val="24"/>
        </w:rPr>
        <w:t xml:space="preserve">; </w:t>
      </w:r>
      <w:r w:rsidR="00657E37">
        <w:rPr>
          <w:sz w:val="24"/>
          <w:szCs w:val="24"/>
        </w:rPr>
        <w:t>the annual cost would likely be less than $200.</w:t>
      </w:r>
      <w:r w:rsidR="00CB7551">
        <w:rPr>
          <w:sz w:val="24"/>
          <w:szCs w:val="24"/>
        </w:rPr>
        <w:t xml:space="preserve"> </w:t>
      </w:r>
    </w:p>
    <w:p w:rsidR="00265AC5" w:rsidRDefault="00265AC5">
      <w:pPr>
        <w:rPr>
          <w:sz w:val="24"/>
          <w:szCs w:val="24"/>
        </w:rPr>
      </w:pPr>
    </w:p>
    <w:tbl>
      <w:tblPr>
        <w:tblW w:w="8660" w:type="dxa"/>
        <w:tblInd w:w="118" w:type="dxa"/>
        <w:tblLook w:val="04A0" w:firstRow="1" w:lastRow="0" w:firstColumn="1" w:lastColumn="0" w:noHBand="0" w:noVBand="1"/>
      </w:tblPr>
      <w:tblGrid>
        <w:gridCol w:w="2400"/>
        <w:gridCol w:w="1180"/>
        <w:gridCol w:w="1200"/>
        <w:gridCol w:w="1160"/>
        <w:gridCol w:w="1340"/>
        <w:gridCol w:w="1380"/>
      </w:tblGrid>
      <w:tr w:rsidRPr="00C501BD" w:rsidR="00C501BD" w:rsidTr="00C501BD">
        <w:trPr>
          <w:trHeight w:val="420"/>
        </w:trPr>
        <w:tc>
          <w:tcPr>
            <w:tcW w:w="2400" w:type="dxa"/>
            <w:tcBorders>
              <w:top w:val="single" w:color="auto" w:sz="8" w:space="0"/>
              <w:left w:val="single" w:color="auto" w:sz="8" w:space="0"/>
              <w:bottom w:val="nil"/>
              <w:right w:val="single" w:color="auto" w:sz="8" w:space="0"/>
            </w:tcBorders>
            <w:shd w:val="clear" w:color="000000" w:fill="BDD7EE"/>
            <w:vAlign w:val="center"/>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000000" w:fill="BDD7EE"/>
            <w:vAlign w:val="center"/>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000000" w:fill="BDD7EE"/>
            <w:vAlign w:val="center"/>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 of Effort</w:t>
            </w:r>
          </w:p>
        </w:tc>
        <w:tc>
          <w:tcPr>
            <w:tcW w:w="1340" w:type="dxa"/>
            <w:tcBorders>
              <w:top w:val="single" w:color="auto" w:sz="8" w:space="0"/>
              <w:left w:val="nil"/>
              <w:bottom w:val="nil"/>
              <w:right w:val="single" w:color="auto" w:sz="8" w:space="0"/>
            </w:tcBorders>
            <w:shd w:val="clear" w:color="000000" w:fill="BDD7EE"/>
            <w:vAlign w:val="center"/>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000000" w:fill="BDD7EE"/>
            <w:vAlign w:val="center"/>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Total Cost to Government</w:t>
            </w:r>
          </w:p>
        </w:tc>
      </w:tr>
      <w:tr w:rsidRPr="00C501BD" w:rsidR="00C501BD" w:rsidTr="00C501BD">
        <w:trPr>
          <w:trHeight w:val="290"/>
        </w:trPr>
        <w:tc>
          <w:tcPr>
            <w:tcW w:w="2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501BD" w:rsidR="00C501BD" w:rsidP="0012464A" w:rsidRDefault="00C501BD">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C501BD" w:rsidR="00C501BD"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ZP 03 01</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C501BD" w:rsidR="00C501BD"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$86.483</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C501BD" w:rsidR="00C501BD"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5.6%</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C501BD" w:rsidR="00C501BD" w:rsidP="0012464A" w:rsidRDefault="00657E37">
            <w:pPr>
              <w:widowControl/>
              <w:autoSpaceDE/>
              <w:autoSpaceDN/>
              <w:jc w:val="center"/>
              <w:rPr>
                <w:rFonts w:ascii="Calibri" w:hAnsi="Calibri" w:cs="Calibri"/>
                <w:color w:val="000000"/>
                <w:sz w:val="16"/>
                <w:szCs w:val="16"/>
              </w:rPr>
            </w:pPr>
            <w:r>
              <w:rPr>
                <w:rFonts w:ascii="Calibri" w:hAnsi="Calibri" w:cs="Calibri"/>
                <w:color w:val="000000"/>
                <w:sz w:val="16"/>
                <w:szCs w:val="16"/>
              </w:rPr>
              <w:t>$4843.05</w:t>
            </w:r>
          </w:p>
        </w:tc>
      </w:tr>
      <w:tr w:rsidRPr="00C501BD" w:rsidR="00C501BD" w:rsidTr="00C501BD">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r w:rsidRPr="00C501BD">
              <w:rPr>
                <w:rFonts w:ascii="Calibri" w:hAnsi="Calibri"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p>
        </w:tc>
        <w:tc>
          <w:tcPr>
            <w:tcW w:w="1200" w:type="dxa"/>
            <w:tcBorders>
              <w:top w:val="nil"/>
              <w:left w:val="nil"/>
              <w:bottom w:val="single" w:color="auto" w:sz="4" w:space="0"/>
              <w:right w:val="single" w:color="auto" w:sz="4" w:space="0"/>
            </w:tcBorders>
            <w:shd w:val="clear" w:color="auto" w:fill="auto"/>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p>
        </w:tc>
        <w:tc>
          <w:tcPr>
            <w:tcW w:w="1160" w:type="dxa"/>
            <w:tcBorders>
              <w:top w:val="nil"/>
              <w:left w:val="nil"/>
              <w:bottom w:val="single" w:color="auto" w:sz="4" w:space="0"/>
              <w:right w:val="single" w:color="auto" w:sz="4" w:space="0"/>
            </w:tcBorders>
            <w:shd w:val="clear" w:color="auto" w:fill="auto"/>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p>
        </w:tc>
        <w:tc>
          <w:tcPr>
            <w:tcW w:w="1340" w:type="dxa"/>
            <w:tcBorders>
              <w:top w:val="nil"/>
              <w:left w:val="nil"/>
              <w:bottom w:val="single" w:color="auto" w:sz="4" w:space="0"/>
              <w:right w:val="single" w:color="auto" w:sz="4" w:space="0"/>
            </w:tcBorders>
            <w:shd w:val="clear" w:color="000000" w:fill="808080"/>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p>
        </w:tc>
        <w:tc>
          <w:tcPr>
            <w:tcW w:w="1380" w:type="dxa"/>
            <w:tcBorders>
              <w:top w:val="nil"/>
              <w:left w:val="nil"/>
              <w:bottom w:val="single" w:color="auto" w:sz="4" w:space="0"/>
              <w:right w:val="single" w:color="auto" w:sz="8" w:space="0"/>
            </w:tcBorders>
            <w:shd w:val="clear" w:color="auto" w:fill="auto"/>
            <w:noWrap/>
            <w:vAlign w:val="bottom"/>
            <w:hideMark/>
          </w:tcPr>
          <w:p w:rsidRPr="00C501BD" w:rsidR="00C501BD" w:rsidP="0012464A" w:rsidRDefault="00C501BD">
            <w:pPr>
              <w:widowControl/>
              <w:autoSpaceDE/>
              <w:autoSpaceDN/>
              <w:jc w:val="center"/>
              <w:rPr>
                <w:rFonts w:ascii="Calibri" w:hAnsi="Calibri" w:cs="Calibri"/>
                <w:color w:val="000000"/>
                <w:sz w:val="16"/>
                <w:szCs w:val="16"/>
              </w:rPr>
            </w:pPr>
          </w:p>
        </w:tc>
      </w:tr>
      <w:tr w:rsidRPr="00C501BD" w:rsidR="0012464A" w:rsidTr="00C501BD">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C501BD" w:rsidR="0012464A"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Analysis of data</w:t>
            </w:r>
          </w:p>
        </w:tc>
        <w:tc>
          <w:tcPr>
            <w:tcW w:w="1180" w:type="dxa"/>
            <w:tcBorders>
              <w:top w:val="nil"/>
              <w:left w:val="nil"/>
              <w:bottom w:val="single" w:color="auto" w:sz="4" w:space="0"/>
              <w:right w:val="single" w:color="auto" w:sz="4" w:space="0"/>
            </w:tcBorders>
            <w:shd w:val="clear" w:color="auto" w:fill="auto"/>
            <w:noWrap/>
            <w:vAlign w:val="bottom"/>
            <w:hideMark/>
          </w:tcPr>
          <w:p w:rsidRPr="00C501BD" w:rsidR="0012464A"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ZP 03 01</w:t>
            </w:r>
          </w:p>
        </w:tc>
        <w:tc>
          <w:tcPr>
            <w:tcW w:w="1200" w:type="dxa"/>
            <w:tcBorders>
              <w:top w:val="nil"/>
              <w:left w:val="nil"/>
              <w:bottom w:val="single" w:color="auto" w:sz="4" w:space="0"/>
              <w:right w:val="single" w:color="auto" w:sz="4" w:space="0"/>
            </w:tcBorders>
            <w:shd w:val="clear" w:color="auto" w:fill="auto"/>
            <w:noWrap/>
            <w:vAlign w:val="bottom"/>
            <w:hideMark/>
          </w:tcPr>
          <w:p w:rsidRPr="00C501BD" w:rsidR="0012464A"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$86.483</w:t>
            </w:r>
          </w:p>
        </w:tc>
        <w:tc>
          <w:tcPr>
            <w:tcW w:w="1160" w:type="dxa"/>
            <w:tcBorders>
              <w:top w:val="nil"/>
              <w:left w:val="nil"/>
              <w:bottom w:val="single" w:color="auto" w:sz="4" w:space="0"/>
              <w:right w:val="single" w:color="auto" w:sz="4" w:space="0"/>
            </w:tcBorders>
            <w:shd w:val="clear" w:color="auto" w:fill="auto"/>
            <w:noWrap/>
            <w:vAlign w:val="bottom"/>
            <w:hideMark/>
          </w:tcPr>
          <w:p w:rsidRPr="00C501BD" w:rsidR="0012464A" w:rsidP="0012464A" w:rsidRDefault="0012464A">
            <w:pPr>
              <w:widowControl/>
              <w:autoSpaceDE/>
              <w:autoSpaceDN/>
              <w:jc w:val="center"/>
              <w:rPr>
                <w:rFonts w:ascii="Calibri" w:hAnsi="Calibri" w:cs="Calibri"/>
                <w:color w:val="000000"/>
                <w:sz w:val="16"/>
                <w:szCs w:val="16"/>
              </w:rPr>
            </w:pPr>
            <w:r>
              <w:rPr>
                <w:rFonts w:ascii="Calibri" w:hAnsi="Calibri" w:cs="Calibri"/>
                <w:color w:val="000000"/>
                <w:sz w:val="16"/>
                <w:szCs w:val="16"/>
              </w:rPr>
              <w:t>2.4%</w:t>
            </w:r>
          </w:p>
        </w:tc>
        <w:tc>
          <w:tcPr>
            <w:tcW w:w="1340" w:type="dxa"/>
            <w:tcBorders>
              <w:top w:val="nil"/>
              <w:left w:val="nil"/>
              <w:bottom w:val="single" w:color="auto" w:sz="4" w:space="0"/>
              <w:right w:val="single" w:color="auto" w:sz="4" w:space="0"/>
            </w:tcBorders>
            <w:shd w:val="clear" w:color="000000" w:fill="808080"/>
            <w:noWrap/>
            <w:vAlign w:val="bottom"/>
            <w:hideMark/>
          </w:tcPr>
          <w:p w:rsidRPr="00C501BD" w:rsidR="0012464A" w:rsidP="0012464A" w:rsidRDefault="0012464A">
            <w:pPr>
              <w:widowControl/>
              <w:autoSpaceDE/>
              <w:autoSpaceDN/>
              <w:jc w:val="center"/>
              <w:rPr>
                <w:rFonts w:ascii="Calibri" w:hAnsi="Calibri" w:cs="Calibri"/>
                <w:color w:val="000000"/>
                <w:sz w:val="16"/>
                <w:szCs w:val="16"/>
              </w:rPr>
            </w:pPr>
          </w:p>
        </w:tc>
        <w:tc>
          <w:tcPr>
            <w:tcW w:w="1380" w:type="dxa"/>
            <w:tcBorders>
              <w:top w:val="nil"/>
              <w:left w:val="nil"/>
              <w:bottom w:val="single" w:color="auto" w:sz="4" w:space="0"/>
              <w:right w:val="single" w:color="auto" w:sz="8" w:space="0"/>
            </w:tcBorders>
            <w:shd w:val="clear" w:color="auto" w:fill="auto"/>
            <w:noWrap/>
            <w:vAlign w:val="bottom"/>
            <w:hideMark/>
          </w:tcPr>
          <w:p w:rsidRPr="00C501BD" w:rsidR="0012464A" w:rsidP="0012464A" w:rsidRDefault="00657E37">
            <w:pPr>
              <w:widowControl/>
              <w:autoSpaceDE/>
              <w:autoSpaceDN/>
              <w:jc w:val="center"/>
              <w:rPr>
                <w:rFonts w:ascii="Calibri" w:hAnsi="Calibri" w:cs="Calibri"/>
                <w:color w:val="000000"/>
                <w:sz w:val="16"/>
                <w:szCs w:val="16"/>
              </w:rPr>
            </w:pPr>
            <w:r>
              <w:rPr>
                <w:rFonts w:ascii="Calibri" w:hAnsi="Calibri" w:cs="Calibri"/>
                <w:color w:val="000000"/>
                <w:sz w:val="16"/>
                <w:szCs w:val="16"/>
              </w:rPr>
              <w:t>$2075.59</w:t>
            </w:r>
          </w:p>
        </w:tc>
      </w:tr>
      <w:tr w:rsidRPr="00C501BD" w:rsidR="00657E37" w:rsidTr="002723CA">
        <w:trPr>
          <w:trHeight w:val="290"/>
        </w:trPr>
        <w:tc>
          <w:tcPr>
            <w:tcW w:w="2400" w:type="dxa"/>
            <w:tcBorders>
              <w:top w:val="nil"/>
              <w:left w:val="single" w:color="auto" w:sz="8" w:space="0"/>
              <w:bottom w:val="single" w:color="auto" w:sz="4" w:space="0"/>
              <w:right w:val="single" w:color="auto" w:sz="8" w:space="0"/>
            </w:tcBorders>
            <w:shd w:val="clear" w:color="auto" w:fill="auto"/>
            <w:vAlign w:val="bottom"/>
          </w:tcPr>
          <w:p w:rsidRPr="00657E37" w:rsidR="00657E37" w:rsidP="0012464A" w:rsidRDefault="00657E37">
            <w:pPr>
              <w:widowControl/>
              <w:autoSpaceDE/>
              <w:autoSpaceDN/>
              <w:jc w:val="center"/>
              <w:rPr>
                <w:rFonts w:ascii="Calibri" w:hAnsi="Calibri" w:cs="Calibri"/>
                <w:bCs/>
                <w:color w:val="000000"/>
                <w:sz w:val="16"/>
                <w:szCs w:val="16"/>
              </w:rPr>
            </w:pPr>
            <w:r>
              <w:rPr>
                <w:rFonts w:ascii="Calibri" w:hAnsi="Calibri" w:cs="Calibri"/>
                <w:color w:val="000000"/>
                <w:sz w:val="16"/>
                <w:szCs w:val="16"/>
              </w:rPr>
              <w:t>Shipping costs</w:t>
            </w:r>
          </w:p>
        </w:tc>
        <w:tc>
          <w:tcPr>
            <w:tcW w:w="1180" w:type="dxa"/>
            <w:tcBorders>
              <w:top w:val="nil"/>
              <w:left w:val="nil"/>
              <w:bottom w:val="single" w:color="auto" w:sz="4" w:space="0"/>
              <w:right w:val="single" w:color="auto" w:sz="4" w:space="0"/>
            </w:tcBorders>
            <w:shd w:val="clear" w:color="auto" w:fill="auto"/>
            <w:noWrap/>
            <w:vAlign w:val="bottom"/>
          </w:tcPr>
          <w:p w:rsidRPr="00657E37" w:rsidR="00657E37" w:rsidP="0012464A" w:rsidRDefault="00657E37">
            <w:pPr>
              <w:widowControl/>
              <w:autoSpaceDE/>
              <w:autoSpaceDN/>
              <w:jc w:val="center"/>
              <w:rPr>
                <w:rFonts w:ascii="Calibri" w:hAnsi="Calibri" w:cs="Calibri"/>
                <w:color w:val="000000"/>
                <w:sz w:val="16"/>
                <w:szCs w:val="16"/>
              </w:rPr>
            </w:pPr>
          </w:p>
        </w:tc>
        <w:tc>
          <w:tcPr>
            <w:tcW w:w="1200" w:type="dxa"/>
            <w:tcBorders>
              <w:top w:val="nil"/>
              <w:left w:val="nil"/>
              <w:bottom w:val="single" w:color="auto" w:sz="4" w:space="0"/>
              <w:right w:val="single" w:color="auto" w:sz="4" w:space="0"/>
            </w:tcBorders>
            <w:shd w:val="clear" w:color="auto" w:fill="auto"/>
            <w:noWrap/>
            <w:vAlign w:val="bottom"/>
          </w:tcPr>
          <w:p w:rsidRPr="00C501BD" w:rsidR="00657E37" w:rsidP="0012464A" w:rsidRDefault="00657E37">
            <w:pPr>
              <w:widowControl/>
              <w:autoSpaceDE/>
              <w:autoSpaceDN/>
              <w:jc w:val="center"/>
              <w:rPr>
                <w:rFonts w:ascii="Calibri" w:hAnsi="Calibri" w:cs="Calibri"/>
                <w:color w:val="000000"/>
                <w:sz w:val="16"/>
                <w:szCs w:val="16"/>
              </w:rPr>
            </w:pPr>
          </w:p>
        </w:tc>
        <w:tc>
          <w:tcPr>
            <w:tcW w:w="1160" w:type="dxa"/>
            <w:tcBorders>
              <w:top w:val="nil"/>
              <w:left w:val="nil"/>
              <w:bottom w:val="single" w:color="auto" w:sz="4" w:space="0"/>
              <w:right w:val="single" w:color="auto" w:sz="4" w:space="0"/>
            </w:tcBorders>
            <w:shd w:val="clear" w:color="auto" w:fill="auto"/>
            <w:noWrap/>
            <w:vAlign w:val="bottom"/>
          </w:tcPr>
          <w:p w:rsidRPr="00C501BD" w:rsidR="00657E37" w:rsidP="0012464A" w:rsidRDefault="00657E37">
            <w:pPr>
              <w:widowControl/>
              <w:autoSpaceDE/>
              <w:autoSpaceDN/>
              <w:jc w:val="center"/>
              <w:rPr>
                <w:rFonts w:ascii="Calibri" w:hAnsi="Calibri" w:cs="Calibri"/>
                <w:color w:val="000000"/>
                <w:sz w:val="16"/>
                <w:szCs w:val="16"/>
              </w:rPr>
            </w:pPr>
          </w:p>
        </w:tc>
        <w:tc>
          <w:tcPr>
            <w:tcW w:w="1340" w:type="dxa"/>
            <w:tcBorders>
              <w:top w:val="nil"/>
              <w:left w:val="nil"/>
              <w:bottom w:val="single" w:color="auto" w:sz="4" w:space="0"/>
              <w:right w:val="single" w:color="auto" w:sz="4" w:space="0"/>
            </w:tcBorders>
            <w:shd w:val="clear" w:color="auto" w:fill="auto"/>
            <w:noWrap/>
            <w:vAlign w:val="bottom"/>
          </w:tcPr>
          <w:p w:rsidRPr="00C501BD" w:rsidR="00657E37" w:rsidP="0012464A" w:rsidRDefault="00657E37">
            <w:pPr>
              <w:widowControl/>
              <w:autoSpaceDE/>
              <w:autoSpaceDN/>
              <w:jc w:val="center"/>
              <w:rPr>
                <w:rFonts w:ascii="Calibri" w:hAnsi="Calibri" w:cs="Calibri"/>
                <w:color w:val="000000"/>
                <w:sz w:val="16"/>
                <w:szCs w:val="16"/>
              </w:rPr>
            </w:pPr>
          </w:p>
        </w:tc>
        <w:tc>
          <w:tcPr>
            <w:tcW w:w="1380" w:type="dxa"/>
            <w:tcBorders>
              <w:top w:val="nil"/>
              <w:left w:val="nil"/>
              <w:bottom w:val="single" w:color="auto" w:sz="4" w:space="0"/>
              <w:right w:val="single" w:color="auto" w:sz="8" w:space="0"/>
            </w:tcBorders>
            <w:shd w:val="clear" w:color="auto" w:fill="auto"/>
            <w:noWrap/>
            <w:vAlign w:val="bottom"/>
          </w:tcPr>
          <w:p w:rsidRPr="00C501BD" w:rsidR="00657E37" w:rsidP="0012464A" w:rsidRDefault="00657E37">
            <w:pPr>
              <w:widowControl/>
              <w:autoSpaceDE/>
              <w:autoSpaceDN/>
              <w:jc w:val="center"/>
              <w:rPr>
                <w:rFonts w:ascii="Calibri" w:hAnsi="Calibri" w:cs="Calibri"/>
                <w:color w:val="000000"/>
                <w:sz w:val="16"/>
                <w:szCs w:val="16"/>
              </w:rPr>
            </w:pPr>
            <w:r>
              <w:rPr>
                <w:rFonts w:ascii="Calibri" w:hAnsi="Calibri" w:cs="Calibri"/>
                <w:color w:val="000000"/>
                <w:sz w:val="16"/>
                <w:szCs w:val="16"/>
              </w:rPr>
              <w:t>$200</w:t>
            </w:r>
          </w:p>
        </w:tc>
      </w:tr>
      <w:tr w:rsidRPr="00C501BD" w:rsidR="00657E37" w:rsidTr="00C501BD">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Pr>
                <w:rFonts w:ascii="Calibri" w:hAnsi="Calibri" w:cs="Calibri"/>
                <w:color w:val="000000"/>
                <w:sz w:val="16"/>
                <w:szCs w:val="16"/>
              </w:rPr>
              <w:t>Equipment costs</w:t>
            </w:r>
          </w:p>
        </w:tc>
        <w:tc>
          <w:tcPr>
            <w:tcW w:w="1180" w:type="dxa"/>
            <w:tcBorders>
              <w:top w:val="nil"/>
              <w:left w:val="nil"/>
              <w:bottom w:val="single" w:color="auto" w:sz="4" w:space="0"/>
              <w:right w:val="single" w:color="auto" w:sz="4"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200" w:type="dxa"/>
            <w:tcBorders>
              <w:top w:val="nil"/>
              <w:left w:val="nil"/>
              <w:bottom w:val="single" w:color="auto" w:sz="4" w:space="0"/>
              <w:right w:val="single" w:color="auto" w:sz="4"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160" w:type="dxa"/>
            <w:tcBorders>
              <w:top w:val="nil"/>
              <w:left w:val="nil"/>
              <w:bottom w:val="single" w:color="auto" w:sz="4" w:space="0"/>
              <w:right w:val="single" w:color="auto" w:sz="4"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340" w:type="dxa"/>
            <w:tcBorders>
              <w:top w:val="nil"/>
              <w:left w:val="nil"/>
              <w:bottom w:val="single" w:color="auto" w:sz="4" w:space="0"/>
              <w:right w:val="single" w:color="auto" w:sz="4"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380" w:type="dxa"/>
            <w:tcBorders>
              <w:top w:val="nil"/>
              <w:left w:val="nil"/>
              <w:bottom w:val="single" w:color="auto" w:sz="4" w:space="0"/>
              <w:right w:val="single" w:color="auto" w:sz="8"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Pr>
                <w:rFonts w:ascii="Calibri" w:hAnsi="Calibri" w:cs="Calibri"/>
                <w:color w:val="000000"/>
                <w:sz w:val="16"/>
                <w:szCs w:val="16"/>
              </w:rPr>
              <w:t>$200</w:t>
            </w:r>
          </w:p>
        </w:tc>
      </w:tr>
      <w:tr w:rsidRPr="00C501BD" w:rsidR="00657E37" w:rsidTr="002723CA">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18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20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16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34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c>
          <w:tcPr>
            <w:tcW w:w="1380" w:type="dxa"/>
            <w:tcBorders>
              <w:top w:val="nil"/>
              <w:left w:val="nil"/>
              <w:bottom w:val="single" w:color="auto" w:sz="4" w:space="0"/>
              <w:right w:val="single" w:color="auto" w:sz="8"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p>
        </w:tc>
      </w:tr>
      <w:tr w:rsidRPr="00C501BD" w:rsidR="00657E37" w:rsidTr="002723CA">
        <w:trPr>
          <w:trHeight w:val="290"/>
        </w:trPr>
        <w:tc>
          <w:tcPr>
            <w:tcW w:w="2400" w:type="dxa"/>
            <w:tcBorders>
              <w:top w:val="nil"/>
              <w:left w:val="single" w:color="auto" w:sz="8" w:space="0"/>
              <w:bottom w:val="nil"/>
              <w:right w:val="single" w:color="auto" w:sz="8" w:space="0"/>
            </w:tcBorders>
            <w:shd w:val="clear" w:color="auto" w:fill="auto"/>
            <w:noWrap/>
            <w:vAlign w:val="center"/>
            <w:hideMark/>
          </w:tcPr>
          <w:p w:rsidRPr="00C501BD" w:rsidR="00657E37" w:rsidP="0012464A" w:rsidRDefault="00657E37">
            <w:pPr>
              <w:widowControl/>
              <w:autoSpaceDE/>
              <w:autoSpaceDN/>
              <w:jc w:val="center"/>
              <w:rPr>
                <w:rFonts w:ascii="Calibri" w:hAnsi="Calibri" w:cs="Calibri"/>
                <w:b/>
                <w:bCs/>
                <w:color w:val="000000"/>
                <w:sz w:val="16"/>
                <w:szCs w:val="16"/>
              </w:rPr>
            </w:pPr>
            <w:r w:rsidRPr="00C501BD">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sidRPr="00C501BD">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sidRPr="00C501BD">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sidRPr="00C501BD">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sidRPr="00C501BD">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C501BD" w:rsidR="00657E37" w:rsidP="0012464A" w:rsidRDefault="00657E37">
            <w:pPr>
              <w:widowControl/>
              <w:autoSpaceDE/>
              <w:autoSpaceDN/>
              <w:jc w:val="center"/>
              <w:rPr>
                <w:rFonts w:ascii="Calibri" w:hAnsi="Calibri" w:cs="Calibri"/>
                <w:color w:val="000000"/>
                <w:sz w:val="16"/>
                <w:szCs w:val="16"/>
              </w:rPr>
            </w:pPr>
            <w:r w:rsidRPr="00C501BD">
              <w:rPr>
                <w:rFonts w:ascii="Calibri" w:hAnsi="Calibri" w:cs="Calibri"/>
                <w:color w:val="000000"/>
                <w:sz w:val="16"/>
                <w:szCs w:val="16"/>
              </w:rPr>
              <w:t> </w:t>
            </w:r>
          </w:p>
        </w:tc>
      </w:tr>
      <w:tr w:rsidRPr="00C501BD" w:rsidR="00657E37" w:rsidTr="002723CA">
        <w:trPr>
          <w:trHeight w:val="525"/>
        </w:trPr>
        <w:tc>
          <w:tcPr>
            <w:tcW w:w="2400" w:type="dxa"/>
            <w:tcBorders>
              <w:top w:val="single" w:color="auto" w:sz="8" w:space="0"/>
              <w:left w:val="single" w:color="auto" w:sz="8" w:space="0"/>
              <w:bottom w:val="single" w:color="auto" w:sz="8" w:space="0"/>
              <w:right w:val="single" w:color="auto" w:sz="8" w:space="0"/>
            </w:tcBorders>
            <w:shd w:val="clear" w:color="000000" w:fill="DDEBF7"/>
            <w:vAlign w:val="bottom"/>
            <w:hideMark/>
          </w:tcPr>
          <w:p w:rsidRPr="00C501BD" w:rsidR="00657E37" w:rsidP="0012464A" w:rsidRDefault="00657E37">
            <w:pPr>
              <w:widowControl/>
              <w:autoSpaceDE/>
              <w:autoSpaceDN/>
              <w:rPr>
                <w:rFonts w:ascii="Calibri" w:hAnsi="Calibri" w:cs="Calibri"/>
                <w:b/>
                <w:bCs/>
                <w:color w:val="000000"/>
                <w:sz w:val="16"/>
                <w:szCs w:val="16"/>
              </w:rPr>
            </w:pPr>
            <w:r w:rsidRPr="00C501BD">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C501BD" w:rsidR="00657E37" w:rsidP="0012464A" w:rsidRDefault="00657E37">
            <w:pPr>
              <w:widowControl/>
              <w:autoSpaceDE/>
              <w:autoSpaceDN/>
              <w:rPr>
                <w:rFonts w:ascii="Calibri" w:hAnsi="Calibri" w:cs="Calibri"/>
                <w:color w:val="000000"/>
                <w:sz w:val="16"/>
                <w:szCs w:val="16"/>
              </w:rPr>
            </w:pPr>
            <w:r w:rsidRPr="00C501BD">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000000" w:fill="DDEBF7"/>
            <w:noWrap/>
            <w:vAlign w:val="bottom"/>
            <w:hideMark/>
          </w:tcPr>
          <w:p w:rsidRPr="00C501BD" w:rsidR="00657E37" w:rsidP="0012464A" w:rsidRDefault="00657E37">
            <w:pPr>
              <w:widowControl/>
              <w:autoSpaceDE/>
              <w:autoSpaceDN/>
              <w:rPr>
                <w:rFonts w:ascii="Calibri" w:hAnsi="Calibri" w:cs="Calibri"/>
                <w:color w:val="000000"/>
                <w:sz w:val="16"/>
                <w:szCs w:val="16"/>
              </w:rPr>
            </w:pPr>
            <w:r w:rsidRPr="00C501BD">
              <w:rPr>
                <w:rFonts w:ascii="Calibri" w:hAnsi="Calibri"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C501BD" w:rsidR="00657E37" w:rsidP="0012464A" w:rsidRDefault="00657E37">
            <w:pPr>
              <w:widowControl/>
              <w:autoSpaceDE/>
              <w:autoSpaceDN/>
              <w:rPr>
                <w:rFonts w:ascii="Calibri" w:hAnsi="Calibri" w:cs="Calibri"/>
                <w:color w:val="000000"/>
                <w:sz w:val="16"/>
                <w:szCs w:val="16"/>
              </w:rPr>
            </w:pPr>
            <w:r w:rsidRPr="00C501BD">
              <w:rPr>
                <w:rFonts w:ascii="Calibri" w:hAnsi="Calibri"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000000" w:fill="DDEBF7"/>
            <w:noWrap/>
            <w:vAlign w:val="bottom"/>
            <w:hideMark/>
          </w:tcPr>
          <w:p w:rsidRPr="00C501BD" w:rsidR="00657E37" w:rsidP="0012464A" w:rsidRDefault="00657E37">
            <w:pPr>
              <w:widowControl/>
              <w:autoSpaceDE/>
              <w:autoSpaceDN/>
              <w:rPr>
                <w:rFonts w:ascii="Calibri" w:hAnsi="Calibri" w:cs="Calibri"/>
                <w:color w:val="000000"/>
                <w:sz w:val="16"/>
                <w:szCs w:val="16"/>
              </w:rPr>
            </w:pPr>
            <w:r w:rsidRPr="00C501BD">
              <w:rPr>
                <w:rFonts w:ascii="Calibri" w:hAnsi="Calibri"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000000" w:fill="DDEBF7"/>
            <w:noWrap/>
            <w:vAlign w:val="bottom"/>
            <w:hideMark/>
          </w:tcPr>
          <w:p w:rsidRPr="00C501BD" w:rsidR="00657E37" w:rsidP="0012464A" w:rsidRDefault="00657E37">
            <w:pPr>
              <w:widowControl/>
              <w:autoSpaceDE/>
              <w:autoSpaceDN/>
              <w:rPr>
                <w:rFonts w:ascii="Calibri" w:hAnsi="Calibri" w:cs="Calibri"/>
                <w:color w:val="000000"/>
                <w:sz w:val="16"/>
                <w:szCs w:val="16"/>
              </w:rPr>
            </w:pPr>
            <w:r w:rsidRPr="00C501BD">
              <w:rPr>
                <w:rFonts w:ascii="Calibri" w:hAnsi="Calibri" w:cs="Calibri"/>
                <w:color w:val="000000"/>
                <w:sz w:val="16"/>
                <w:szCs w:val="16"/>
              </w:rPr>
              <w:t> </w:t>
            </w:r>
            <w:r>
              <w:rPr>
                <w:rFonts w:ascii="Calibri" w:hAnsi="Calibri" w:cs="Calibri"/>
                <w:color w:val="000000"/>
                <w:sz w:val="16"/>
                <w:szCs w:val="16"/>
              </w:rPr>
              <w:t>$7318.64</w:t>
            </w:r>
          </w:p>
        </w:tc>
      </w:tr>
      <w:tr w:rsidRPr="00C501BD" w:rsidR="00657E37" w:rsidTr="002723CA">
        <w:trPr>
          <w:trHeight w:val="300"/>
        </w:trPr>
        <w:tc>
          <w:tcPr>
            <w:tcW w:w="2400" w:type="dxa"/>
            <w:tcBorders>
              <w:top w:val="single" w:color="auto" w:sz="8" w:space="0"/>
              <w:left w:val="single" w:color="auto" w:sz="8" w:space="0"/>
              <w:bottom w:val="single" w:color="auto" w:sz="8" w:space="0"/>
              <w:right w:val="single" w:color="auto" w:sz="8" w:space="0"/>
            </w:tcBorders>
            <w:shd w:val="clear" w:color="000000" w:fill="DDEBF7"/>
            <w:noWrap/>
            <w:vAlign w:val="bottom"/>
          </w:tcPr>
          <w:p w:rsidRPr="00C501BD" w:rsidR="00657E37" w:rsidP="0012464A" w:rsidRDefault="00657E37">
            <w:pPr>
              <w:widowControl/>
              <w:autoSpaceDE/>
              <w:autoSpaceDN/>
              <w:rPr>
                <w:rFonts w:ascii="Calibri" w:hAnsi="Calibri" w:cs="Calibri"/>
                <w:b/>
                <w:bCs/>
                <w:color w:val="000000"/>
                <w:sz w:val="16"/>
                <w:szCs w:val="16"/>
              </w:rPr>
            </w:pPr>
          </w:p>
        </w:tc>
        <w:tc>
          <w:tcPr>
            <w:tcW w:w="1180" w:type="dxa"/>
            <w:tcBorders>
              <w:top w:val="single" w:color="auto" w:sz="8" w:space="0"/>
              <w:left w:val="nil"/>
              <w:bottom w:val="single" w:color="auto" w:sz="8" w:space="0"/>
              <w:right w:val="single" w:color="auto" w:sz="8" w:space="0"/>
            </w:tcBorders>
            <w:shd w:val="clear" w:color="000000" w:fill="808080"/>
            <w:noWrap/>
            <w:vAlign w:val="bottom"/>
          </w:tcPr>
          <w:p w:rsidRPr="00C501BD" w:rsidR="00657E37" w:rsidP="0012464A" w:rsidRDefault="00657E37">
            <w:pPr>
              <w:widowControl/>
              <w:autoSpaceDE/>
              <w:autoSpaceDN/>
              <w:rPr>
                <w:rFonts w:ascii="Calibri" w:hAnsi="Calibri" w:cs="Calibri"/>
                <w:color w:val="000000"/>
                <w:sz w:val="16"/>
                <w:szCs w:val="16"/>
              </w:rPr>
            </w:pPr>
          </w:p>
        </w:tc>
        <w:tc>
          <w:tcPr>
            <w:tcW w:w="1200" w:type="dxa"/>
            <w:tcBorders>
              <w:top w:val="single" w:color="auto" w:sz="8" w:space="0"/>
              <w:left w:val="nil"/>
              <w:bottom w:val="single" w:color="auto" w:sz="8" w:space="0"/>
              <w:right w:val="single" w:color="auto" w:sz="8" w:space="0"/>
            </w:tcBorders>
            <w:shd w:val="clear" w:color="000000" w:fill="DDEBF7"/>
            <w:noWrap/>
            <w:vAlign w:val="bottom"/>
          </w:tcPr>
          <w:p w:rsidRPr="00C501BD" w:rsidR="00657E37" w:rsidP="0012464A" w:rsidRDefault="00657E37">
            <w:pPr>
              <w:widowControl/>
              <w:autoSpaceDE/>
              <w:autoSpaceDN/>
              <w:rPr>
                <w:rFonts w:ascii="Calibri" w:hAnsi="Calibri" w:cs="Calibri"/>
                <w:color w:val="000000"/>
                <w:sz w:val="16"/>
                <w:szCs w:val="16"/>
              </w:rPr>
            </w:pPr>
          </w:p>
        </w:tc>
        <w:tc>
          <w:tcPr>
            <w:tcW w:w="1160" w:type="dxa"/>
            <w:tcBorders>
              <w:top w:val="single" w:color="auto" w:sz="8" w:space="0"/>
              <w:left w:val="nil"/>
              <w:bottom w:val="single" w:color="auto" w:sz="8" w:space="0"/>
              <w:right w:val="single" w:color="auto" w:sz="8" w:space="0"/>
            </w:tcBorders>
            <w:shd w:val="clear" w:color="000000" w:fill="757171"/>
            <w:noWrap/>
            <w:vAlign w:val="bottom"/>
          </w:tcPr>
          <w:p w:rsidRPr="00C501BD" w:rsidR="00657E37" w:rsidP="0012464A" w:rsidRDefault="00657E37">
            <w:pPr>
              <w:widowControl/>
              <w:autoSpaceDE/>
              <w:autoSpaceDN/>
              <w:rPr>
                <w:rFonts w:ascii="Calibri" w:hAnsi="Calibri" w:cs="Calibri"/>
                <w:color w:val="000000"/>
                <w:sz w:val="16"/>
                <w:szCs w:val="16"/>
              </w:rPr>
            </w:pPr>
          </w:p>
        </w:tc>
        <w:tc>
          <w:tcPr>
            <w:tcW w:w="1340" w:type="dxa"/>
            <w:tcBorders>
              <w:top w:val="single" w:color="auto" w:sz="8" w:space="0"/>
              <w:left w:val="nil"/>
              <w:bottom w:val="single" w:color="auto" w:sz="8" w:space="0"/>
              <w:right w:val="single" w:color="auto" w:sz="8" w:space="0"/>
            </w:tcBorders>
            <w:shd w:val="clear" w:color="000000" w:fill="DDEBF7"/>
            <w:noWrap/>
            <w:vAlign w:val="bottom"/>
          </w:tcPr>
          <w:p w:rsidRPr="00C501BD" w:rsidR="00657E37" w:rsidP="0012464A" w:rsidRDefault="00657E37">
            <w:pPr>
              <w:widowControl/>
              <w:autoSpaceDE/>
              <w:autoSpaceDN/>
              <w:rPr>
                <w:rFonts w:ascii="Calibri" w:hAnsi="Calibri" w:cs="Calibri"/>
                <w:color w:val="000000"/>
                <w:sz w:val="16"/>
                <w:szCs w:val="16"/>
              </w:rPr>
            </w:pPr>
          </w:p>
        </w:tc>
        <w:tc>
          <w:tcPr>
            <w:tcW w:w="1380" w:type="dxa"/>
            <w:tcBorders>
              <w:top w:val="single" w:color="auto" w:sz="8" w:space="0"/>
              <w:left w:val="nil"/>
              <w:bottom w:val="single" w:color="auto" w:sz="8" w:space="0"/>
              <w:right w:val="single" w:color="auto" w:sz="8" w:space="0"/>
            </w:tcBorders>
            <w:shd w:val="clear" w:color="000000" w:fill="DDEBF7"/>
            <w:noWrap/>
            <w:vAlign w:val="bottom"/>
          </w:tcPr>
          <w:p w:rsidRPr="00C501BD" w:rsidR="00657E37" w:rsidP="0012464A" w:rsidRDefault="00657E37">
            <w:pPr>
              <w:widowControl/>
              <w:autoSpaceDE/>
              <w:autoSpaceDN/>
              <w:rPr>
                <w:rFonts w:ascii="Calibri" w:hAnsi="Calibri" w:cs="Calibri"/>
                <w:color w:val="000000"/>
                <w:sz w:val="16"/>
                <w:szCs w:val="16"/>
              </w:rPr>
            </w:pPr>
          </w:p>
        </w:tc>
      </w:tr>
    </w:tbl>
    <w:p w:rsidRPr="00BD0E14" w:rsidR="006039CA" w:rsidRDefault="006039CA">
      <w:pPr>
        <w:rPr>
          <w:sz w:val="24"/>
          <w:szCs w:val="24"/>
        </w:rPr>
      </w:pPr>
      <w:r w:rsidRPr="00BD0E14">
        <w:rPr>
          <w:sz w:val="24"/>
          <w:szCs w:val="24"/>
        </w:rPr>
        <w:t xml:space="preserve"> </w:t>
      </w: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15.  </w:t>
      </w:r>
      <w:r w:rsidRPr="00D94ACD" w:rsidR="00D94ACD">
        <w:rPr>
          <w:rFonts w:ascii="Times New Roman" w:hAnsi="Times New Roman" w:cs="Times New Roman"/>
          <w:b/>
          <w:sz w:val="24"/>
          <w:szCs w:val="24"/>
        </w:rPr>
        <w:t>Explain the reasons for any program changes or adjustments reported in ROCIS.</w:t>
      </w:r>
    </w:p>
    <w:p w:rsidRPr="00D94ACD" w:rsidR="006039CA" w:rsidRDefault="006039CA">
      <w:pPr>
        <w:rPr>
          <w:sz w:val="24"/>
          <w:szCs w:val="24"/>
        </w:rPr>
      </w:pPr>
    </w:p>
    <w:p w:rsidRPr="00D94ACD" w:rsidR="006039CA" w:rsidRDefault="005458DC">
      <w:pPr>
        <w:rPr>
          <w:sz w:val="24"/>
          <w:szCs w:val="24"/>
        </w:rPr>
      </w:pPr>
      <w:r w:rsidRPr="00D94ACD">
        <w:rPr>
          <w:sz w:val="24"/>
          <w:szCs w:val="24"/>
        </w:rPr>
        <w:t xml:space="preserve"> </w:t>
      </w:r>
      <w:r w:rsidRPr="00D94ACD" w:rsidR="00265AC5">
        <w:rPr>
          <w:sz w:val="24"/>
          <w:szCs w:val="24"/>
        </w:rPr>
        <w:t xml:space="preserve">The only change in the information collection is the addition of federal time required to analyze the data obtained from the collection. The time and financial burden to the public has not changed. </w:t>
      </w:r>
    </w:p>
    <w:p w:rsidR="008276C2" w:rsidRDefault="008276C2">
      <w:pPr>
        <w:rPr>
          <w:sz w:val="24"/>
          <w:szCs w:val="24"/>
        </w:rPr>
      </w:pPr>
    </w:p>
    <w:tbl>
      <w:tblPr>
        <w:tblW w:w="10053" w:type="dxa"/>
        <w:tblInd w:w="-350" w:type="dxa"/>
        <w:tblLook w:val="04A0" w:firstRow="1" w:lastRow="0" w:firstColumn="1" w:lastColumn="0" w:noHBand="0" w:noVBand="1"/>
      </w:tblPr>
      <w:tblGrid>
        <w:gridCol w:w="1780"/>
        <w:gridCol w:w="983"/>
        <w:gridCol w:w="990"/>
        <w:gridCol w:w="1170"/>
        <w:gridCol w:w="810"/>
        <w:gridCol w:w="1170"/>
        <w:gridCol w:w="1080"/>
        <w:gridCol w:w="2070"/>
      </w:tblGrid>
      <w:tr w:rsidRPr="008276C2" w:rsidR="008276C2" w:rsidTr="008276C2">
        <w:trPr>
          <w:trHeight w:val="300"/>
        </w:trPr>
        <w:tc>
          <w:tcPr>
            <w:tcW w:w="17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Information Collection</w:t>
            </w:r>
          </w:p>
        </w:tc>
        <w:tc>
          <w:tcPr>
            <w:tcW w:w="1973" w:type="dxa"/>
            <w:gridSpan w:val="2"/>
            <w:tcBorders>
              <w:top w:val="single" w:color="auto" w:sz="8" w:space="0"/>
              <w:left w:val="nil"/>
              <w:bottom w:val="single" w:color="auto" w:sz="8" w:space="0"/>
              <w:right w:val="single" w:color="000000" w:sz="8" w:space="0"/>
            </w:tcBorders>
            <w:shd w:val="clear" w:color="000000" w:fill="5B9BD5"/>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Respondents</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Burden Hours</w:t>
            </w:r>
          </w:p>
        </w:tc>
        <w:tc>
          <w:tcPr>
            <w:tcW w:w="2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Reason for change or adjustment</w:t>
            </w:r>
          </w:p>
        </w:tc>
      </w:tr>
      <w:tr w:rsidRPr="008276C2" w:rsidR="008276C2" w:rsidTr="008276C2">
        <w:trPr>
          <w:trHeight w:val="640"/>
        </w:trPr>
        <w:tc>
          <w:tcPr>
            <w:tcW w:w="1780" w:type="dxa"/>
            <w:vMerge/>
            <w:tcBorders>
              <w:top w:val="single" w:color="auto" w:sz="8" w:space="0"/>
              <w:left w:val="single" w:color="auto" w:sz="8" w:space="0"/>
              <w:bottom w:val="single" w:color="000000" w:sz="8" w:space="0"/>
              <w:right w:val="single" w:color="auto" w:sz="8" w:space="0"/>
            </w:tcBorders>
            <w:vAlign w:val="center"/>
            <w:hideMark/>
          </w:tcPr>
          <w:p w:rsidRPr="008276C2" w:rsidR="008276C2" w:rsidP="008276C2" w:rsidRDefault="008276C2">
            <w:pPr>
              <w:widowControl/>
              <w:autoSpaceDE/>
              <w:autoSpaceDN/>
              <w:rPr>
                <w:rFonts w:ascii="Calibri" w:hAnsi="Calibri" w:cs="Calibri"/>
                <w:b/>
                <w:bCs/>
                <w:color w:val="000000"/>
                <w:sz w:val="16"/>
                <w:szCs w:val="16"/>
              </w:rPr>
            </w:pPr>
          </w:p>
        </w:tc>
        <w:tc>
          <w:tcPr>
            <w:tcW w:w="983" w:type="dxa"/>
            <w:tcBorders>
              <w:top w:val="nil"/>
              <w:left w:val="nil"/>
              <w:bottom w:val="single" w:color="auto" w:sz="8" w:space="0"/>
              <w:right w:val="dashed" w:color="auto" w:sz="8" w:space="0"/>
            </w:tcBorders>
            <w:shd w:val="clear" w:color="000000" w:fill="FBE4D5"/>
            <w:vAlign w:val="center"/>
            <w:hideMark/>
          </w:tcPr>
          <w:p w:rsidRPr="008276C2" w:rsidR="008276C2" w:rsidP="008276C2" w:rsidRDefault="008276C2">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8276C2" w:rsidR="008276C2" w:rsidP="008276C2" w:rsidRDefault="008276C2">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8276C2" w:rsidR="008276C2" w:rsidP="008276C2" w:rsidRDefault="008276C2">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Current Renewal / Revision</w:t>
            </w:r>
          </w:p>
        </w:tc>
        <w:tc>
          <w:tcPr>
            <w:tcW w:w="810" w:type="dxa"/>
            <w:tcBorders>
              <w:top w:val="nil"/>
              <w:left w:val="nil"/>
              <w:bottom w:val="single" w:color="auto" w:sz="8" w:space="0"/>
              <w:right w:val="single" w:color="auto" w:sz="8" w:space="0"/>
            </w:tcBorders>
            <w:shd w:val="clear" w:color="000000" w:fill="FBE4D5"/>
            <w:vAlign w:val="center"/>
            <w:hideMark/>
          </w:tcPr>
          <w:p w:rsidRPr="008276C2" w:rsidR="008276C2" w:rsidP="008276C2" w:rsidRDefault="008276C2">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8276C2" w:rsidR="008276C2" w:rsidP="008276C2" w:rsidRDefault="008276C2">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8276C2" w:rsidR="008276C2" w:rsidP="008276C2" w:rsidRDefault="008276C2">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Previous Renewal / Revision</w:t>
            </w:r>
          </w:p>
        </w:tc>
        <w:tc>
          <w:tcPr>
            <w:tcW w:w="2070" w:type="dxa"/>
            <w:vMerge/>
            <w:tcBorders>
              <w:top w:val="single" w:color="auto" w:sz="8" w:space="0"/>
              <w:left w:val="single" w:color="auto" w:sz="8" w:space="0"/>
              <w:bottom w:val="single" w:color="000000" w:sz="8" w:space="0"/>
              <w:right w:val="single" w:color="auto" w:sz="8" w:space="0"/>
            </w:tcBorders>
            <w:vAlign w:val="center"/>
            <w:hideMark/>
          </w:tcPr>
          <w:p w:rsidRPr="008276C2" w:rsidR="008276C2" w:rsidP="008276C2" w:rsidRDefault="008276C2">
            <w:pPr>
              <w:widowControl/>
              <w:autoSpaceDE/>
              <w:autoSpaceDN/>
              <w:rPr>
                <w:rFonts w:ascii="Calibri" w:hAnsi="Calibri" w:cs="Calibri"/>
                <w:b/>
                <w:bCs/>
                <w:color w:val="000000"/>
                <w:sz w:val="16"/>
                <w:szCs w:val="16"/>
              </w:rPr>
            </w:pPr>
          </w:p>
        </w:tc>
      </w:tr>
      <w:tr w:rsidRPr="008276C2" w:rsidR="00F008F4" w:rsidTr="0028067A">
        <w:trPr>
          <w:trHeight w:val="30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8276C2" w:rsidR="00F008F4" w:rsidP="008276C2" w:rsidRDefault="00F008F4">
            <w:pPr>
              <w:widowControl/>
              <w:autoSpaceDE/>
              <w:autoSpaceDN/>
              <w:rPr>
                <w:rFonts w:ascii="Calibri" w:hAnsi="Calibri" w:cs="Calibri"/>
                <w:color w:val="000000"/>
                <w:sz w:val="16"/>
                <w:szCs w:val="16"/>
              </w:rPr>
            </w:pPr>
            <w:r w:rsidRPr="008276C2">
              <w:rPr>
                <w:rFonts w:ascii="Calibri" w:hAnsi="Calibri" w:cs="Calibri"/>
                <w:color w:val="000000"/>
                <w:sz w:val="16"/>
                <w:szCs w:val="16"/>
              </w:rPr>
              <w:t> Telephone reports</w:t>
            </w:r>
          </w:p>
        </w:tc>
        <w:tc>
          <w:tcPr>
            <w:tcW w:w="983"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78</w:t>
            </w:r>
          </w:p>
        </w:tc>
        <w:tc>
          <w:tcPr>
            <w:tcW w:w="99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77</w:t>
            </w:r>
          </w:p>
        </w:tc>
        <w:tc>
          <w:tcPr>
            <w:tcW w:w="1170"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78</w:t>
            </w:r>
          </w:p>
        </w:tc>
        <w:tc>
          <w:tcPr>
            <w:tcW w:w="81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77</w:t>
            </w:r>
          </w:p>
        </w:tc>
        <w:tc>
          <w:tcPr>
            <w:tcW w:w="1170"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78</w:t>
            </w:r>
          </w:p>
        </w:tc>
        <w:tc>
          <w:tcPr>
            <w:tcW w:w="108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77</w:t>
            </w:r>
          </w:p>
        </w:tc>
        <w:tc>
          <w:tcPr>
            <w:tcW w:w="2070" w:type="dxa"/>
            <w:vMerge w:val="restart"/>
            <w:tcBorders>
              <w:top w:val="nil"/>
              <w:left w:val="nil"/>
              <w:right w:val="single" w:color="auto" w:sz="8" w:space="0"/>
            </w:tcBorders>
            <w:shd w:val="clear" w:color="auto" w:fill="auto"/>
            <w:vAlign w:val="center"/>
            <w:hideMark/>
          </w:tcPr>
          <w:p w:rsidRPr="008276C2" w:rsidR="00F008F4" w:rsidP="00F008F4" w:rsidRDefault="00F008F4">
            <w:pPr>
              <w:widowControl/>
              <w:autoSpaceDE/>
              <w:autoSpaceDN/>
              <w:rPr>
                <w:rFonts w:ascii="Calibri" w:hAnsi="Calibri" w:cs="Calibri"/>
                <w:color w:val="000000"/>
                <w:sz w:val="16"/>
                <w:szCs w:val="16"/>
              </w:rPr>
            </w:pPr>
            <w:r>
              <w:rPr>
                <w:rFonts w:ascii="Calibri" w:hAnsi="Calibri" w:cs="Calibri"/>
                <w:color w:val="000000"/>
                <w:sz w:val="16"/>
                <w:szCs w:val="16"/>
              </w:rPr>
              <w:t>Updated estimate of number of reports received increase slightly due to historical averages</w:t>
            </w:r>
          </w:p>
          <w:p w:rsidRPr="008276C2" w:rsidR="00F008F4" w:rsidP="008276C2" w:rsidRDefault="00F008F4">
            <w:pPr>
              <w:widowControl/>
              <w:autoSpaceDE/>
              <w:autoSpaceDN/>
              <w:rPr>
                <w:rFonts w:ascii="Calibri" w:hAnsi="Calibri" w:cs="Calibri"/>
                <w:color w:val="000000"/>
                <w:sz w:val="16"/>
                <w:szCs w:val="16"/>
              </w:rPr>
            </w:pPr>
            <w:r w:rsidRPr="008276C2">
              <w:rPr>
                <w:rFonts w:ascii="Calibri" w:hAnsi="Calibri" w:cs="Calibri"/>
                <w:color w:val="000000"/>
                <w:sz w:val="16"/>
                <w:szCs w:val="16"/>
              </w:rPr>
              <w:t> </w:t>
            </w:r>
          </w:p>
          <w:p w:rsidRPr="008276C2" w:rsidR="00F008F4" w:rsidP="008276C2" w:rsidRDefault="00F008F4">
            <w:pPr>
              <w:ind w:firstLine="160" w:firstLineChars="100"/>
              <w:rPr>
                <w:rFonts w:ascii="Calibri" w:hAnsi="Calibri" w:cs="Calibri"/>
                <w:color w:val="000000"/>
                <w:sz w:val="16"/>
                <w:szCs w:val="16"/>
              </w:rPr>
            </w:pPr>
            <w:r w:rsidRPr="008276C2">
              <w:rPr>
                <w:rFonts w:ascii="Calibri" w:hAnsi="Calibri" w:cs="Calibri"/>
                <w:color w:val="000000"/>
                <w:sz w:val="16"/>
                <w:szCs w:val="16"/>
              </w:rPr>
              <w:t> </w:t>
            </w:r>
          </w:p>
        </w:tc>
      </w:tr>
      <w:tr w:rsidRPr="008276C2" w:rsidR="00F008F4" w:rsidTr="0028067A">
        <w:trPr>
          <w:trHeight w:val="30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8276C2" w:rsidR="00F008F4" w:rsidP="008276C2" w:rsidRDefault="00F008F4">
            <w:pPr>
              <w:widowControl/>
              <w:autoSpaceDE/>
              <w:autoSpaceDN/>
              <w:rPr>
                <w:rFonts w:ascii="Calibri" w:hAnsi="Calibri" w:cs="Calibri"/>
                <w:color w:val="000000"/>
                <w:sz w:val="16"/>
                <w:szCs w:val="16"/>
              </w:rPr>
            </w:pPr>
            <w:r w:rsidRPr="008276C2">
              <w:rPr>
                <w:rFonts w:ascii="Calibri" w:hAnsi="Calibri" w:cs="Calibri"/>
                <w:color w:val="000000"/>
                <w:sz w:val="16"/>
                <w:szCs w:val="16"/>
              </w:rPr>
              <w:t> Submission of forms</w:t>
            </w:r>
          </w:p>
        </w:tc>
        <w:tc>
          <w:tcPr>
            <w:tcW w:w="983"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13</w:t>
            </w:r>
          </w:p>
        </w:tc>
        <w:tc>
          <w:tcPr>
            <w:tcW w:w="99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77</w:t>
            </w:r>
          </w:p>
        </w:tc>
        <w:tc>
          <w:tcPr>
            <w:tcW w:w="1170"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78</w:t>
            </w:r>
          </w:p>
        </w:tc>
        <w:tc>
          <w:tcPr>
            <w:tcW w:w="81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77</w:t>
            </w:r>
          </w:p>
        </w:tc>
        <w:tc>
          <w:tcPr>
            <w:tcW w:w="1170"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78</w:t>
            </w:r>
          </w:p>
        </w:tc>
        <w:tc>
          <w:tcPr>
            <w:tcW w:w="108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77</w:t>
            </w:r>
          </w:p>
        </w:tc>
        <w:tc>
          <w:tcPr>
            <w:tcW w:w="2070" w:type="dxa"/>
            <w:vMerge/>
            <w:tcBorders>
              <w:left w:val="nil"/>
              <w:right w:val="single" w:color="auto" w:sz="8" w:space="0"/>
            </w:tcBorders>
            <w:shd w:val="clear" w:color="auto" w:fill="auto"/>
            <w:vAlign w:val="center"/>
            <w:hideMark/>
          </w:tcPr>
          <w:p w:rsidRPr="008276C2" w:rsidR="00F008F4" w:rsidP="008276C2" w:rsidRDefault="00F008F4">
            <w:pPr>
              <w:ind w:firstLine="160" w:firstLineChars="100"/>
              <w:rPr>
                <w:rFonts w:ascii="Calibri" w:hAnsi="Calibri" w:cs="Calibri"/>
                <w:color w:val="000000"/>
                <w:sz w:val="16"/>
                <w:szCs w:val="16"/>
              </w:rPr>
            </w:pPr>
          </w:p>
        </w:tc>
      </w:tr>
      <w:tr w:rsidRPr="008276C2" w:rsidR="00F008F4" w:rsidTr="0028067A">
        <w:trPr>
          <w:trHeight w:val="300"/>
        </w:trPr>
        <w:tc>
          <w:tcPr>
            <w:tcW w:w="1780" w:type="dxa"/>
            <w:tcBorders>
              <w:top w:val="nil"/>
              <w:left w:val="single" w:color="auto" w:sz="8" w:space="0"/>
              <w:bottom w:val="single" w:color="auto" w:sz="8" w:space="0"/>
              <w:right w:val="single" w:color="auto" w:sz="8" w:space="0"/>
            </w:tcBorders>
            <w:shd w:val="clear" w:color="auto" w:fill="auto"/>
            <w:vAlign w:val="center"/>
            <w:hideMark/>
          </w:tcPr>
          <w:p w:rsidRPr="008276C2" w:rsidR="00F008F4" w:rsidP="008276C2" w:rsidRDefault="00F008F4">
            <w:pPr>
              <w:widowControl/>
              <w:autoSpaceDE/>
              <w:autoSpaceDN/>
              <w:rPr>
                <w:rFonts w:ascii="Calibri" w:hAnsi="Calibri" w:cs="Calibri"/>
                <w:color w:val="000000"/>
                <w:sz w:val="16"/>
                <w:szCs w:val="16"/>
              </w:rPr>
            </w:pPr>
            <w:r w:rsidRPr="008276C2">
              <w:rPr>
                <w:rFonts w:ascii="Calibri" w:hAnsi="Calibri" w:cs="Calibri"/>
                <w:color w:val="000000"/>
                <w:sz w:val="16"/>
                <w:szCs w:val="16"/>
              </w:rPr>
              <w:t> Fisherman interviews</w:t>
            </w:r>
          </w:p>
        </w:tc>
        <w:tc>
          <w:tcPr>
            <w:tcW w:w="983"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25</w:t>
            </w:r>
          </w:p>
        </w:tc>
        <w:tc>
          <w:tcPr>
            <w:tcW w:w="99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21</w:t>
            </w:r>
          </w:p>
        </w:tc>
        <w:tc>
          <w:tcPr>
            <w:tcW w:w="1170"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25</w:t>
            </w:r>
          </w:p>
        </w:tc>
        <w:tc>
          <w:tcPr>
            <w:tcW w:w="81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21</w:t>
            </w:r>
          </w:p>
        </w:tc>
        <w:tc>
          <w:tcPr>
            <w:tcW w:w="1170" w:type="dxa"/>
            <w:tcBorders>
              <w:top w:val="nil"/>
              <w:left w:val="nil"/>
              <w:bottom w:val="dotted" w:color="auto" w:sz="4" w:space="0"/>
              <w:right w:val="dashed" w:color="auto" w:sz="8" w:space="0"/>
            </w:tcBorders>
            <w:shd w:val="clear" w:color="auto" w:fill="auto"/>
            <w:vAlign w:val="center"/>
            <w:hideMark/>
          </w:tcPr>
          <w:p w:rsidRPr="008276C2" w:rsidR="00F008F4" w:rsidP="008276C2" w:rsidRDefault="008F7AAD">
            <w:pPr>
              <w:widowControl/>
              <w:autoSpaceDE/>
              <w:autoSpaceDN/>
              <w:jc w:val="center"/>
              <w:rPr>
                <w:rFonts w:ascii="Calibri" w:hAnsi="Calibri" w:cs="Calibri"/>
                <w:color w:val="000000"/>
                <w:sz w:val="16"/>
                <w:szCs w:val="16"/>
              </w:rPr>
            </w:pPr>
            <w:r>
              <w:rPr>
                <w:rFonts w:ascii="Calibri" w:hAnsi="Calibri" w:cs="Calibri"/>
                <w:color w:val="000000"/>
                <w:sz w:val="16"/>
                <w:szCs w:val="16"/>
              </w:rPr>
              <w:t>13</w:t>
            </w:r>
          </w:p>
        </w:tc>
        <w:tc>
          <w:tcPr>
            <w:tcW w:w="1080" w:type="dxa"/>
            <w:tcBorders>
              <w:top w:val="nil"/>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jc w:val="center"/>
              <w:rPr>
                <w:rFonts w:ascii="Calibri" w:hAnsi="Calibri" w:cs="Calibri"/>
                <w:color w:val="000000"/>
                <w:sz w:val="16"/>
                <w:szCs w:val="16"/>
              </w:rPr>
            </w:pPr>
            <w:r w:rsidRPr="008276C2">
              <w:rPr>
                <w:rFonts w:ascii="Calibri" w:hAnsi="Calibri" w:cs="Calibri"/>
                <w:color w:val="000000"/>
                <w:sz w:val="16"/>
                <w:szCs w:val="16"/>
              </w:rPr>
              <w:t>11</w:t>
            </w:r>
          </w:p>
        </w:tc>
        <w:tc>
          <w:tcPr>
            <w:tcW w:w="2070" w:type="dxa"/>
            <w:vMerge/>
            <w:tcBorders>
              <w:left w:val="nil"/>
              <w:bottom w:val="dotted" w:color="auto" w:sz="4" w:space="0"/>
              <w:right w:val="single" w:color="auto" w:sz="8" w:space="0"/>
            </w:tcBorders>
            <w:shd w:val="clear" w:color="auto" w:fill="auto"/>
            <w:vAlign w:val="center"/>
            <w:hideMark/>
          </w:tcPr>
          <w:p w:rsidRPr="008276C2" w:rsidR="00F008F4" w:rsidP="008276C2" w:rsidRDefault="00F008F4">
            <w:pPr>
              <w:widowControl/>
              <w:autoSpaceDE/>
              <w:autoSpaceDN/>
              <w:ind w:firstLine="160" w:firstLineChars="100"/>
              <w:rPr>
                <w:rFonts w:ascii="Calibri" w:hAnsi="Calibri" w:cs="Calibri"/>
                <w:color w:val="000000"/>
                <w:sz w:val="16"/>
                <w:szCs w:val="16"/>
              </w:rPr>
            </w:pPr>
          </w:p>
        </w:tc>
      </w:tr>
      <w:tr w:rsidRPr="008276C2" w:rsidR="008276C2" w:rsidTr="008276C2">
        <w:trPr>
          <w:trHeight w:val="465"/>
        </w:trPr>
        <w:tc>
          <w:tcPr>
            <w:tcW w:w="1780" w:type="dxa"/>
            <w:tcBorders>
              <w:top w:val="nil"/>
              <w:left w:val="single" w:color="auto" w:sz="8" w:space="0"/>
              <w:bottom w:val="nil"/>
              <w:right w:val="single" w:color="auto" w:sz="8" w:space="0"/>
            </w:tcBorders>
            <w:shd w:val="clear" w:color="000000" w:fill="BDD6EE"/>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Total for Collection</w:t>
            </w:r>
          </w:p>
        </w:tc>
        <w:tc>
          <w:tcPr>
            <w:tcW w:w="983" w:type="dxa"/>
            <w:tcBorders>
              <w:top w:val="nil"/>
              <w:left w:val="nil"/>
              <w:bottom w:val="nil"/>
              <w:right w:val="dashed" w:color="auto" w:sz="8" w:space="0"/>
            </w:tcBorders>
            <w:shd w:val="clear" w:color="000000" w:fill="BDD6EE"/>
            <w:vAlign w:val="center"/>
            <w:hideMark/>
          </w:tcPr>
          <w:p w:rsidRPr="008276C2" w:rsidR="008276C2" w:rsidP="008276C2" w:rsidRDefault="008F7AAD">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116</w:t>
            </w:r>
            <w:r w:rsidRPr="008276C2" w:rsidR="008276C2">
              <w:rPr>
                <w:rFonts w:ascii="Calibri" w:hAnsi="Calibri" w:cs="Calibri"/>
                <w:b/>
                <w:bCs/>
                <w:color w:val="000000"/>
                <w:sz w:val="16"/>
                <w:szCs w:val="16"/>
              </w:rPr>
              <w:t> </w:t>
            </w:r>
          </w:p>
        </w:tc>
        <w:tc>
          <w:tcPr>
            <w:tcW w:w="990" w:type="dxa"/>
            <w:tcBorders>
              <w:top w:val="nil"/>
              <w:left w:val="nil"/>
              <w:bottom w:val="nil"/>
              <w:right w:val="single" w:color="auto" w:sz="8" w:space="0"/>
            </w:tcBorders>
            <w:shd w:val="clear" w:color="000000" w:fill="BDD6EE"/>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175</w:t>
            </w:r>
            <w:r w:rsidRPr="008276C2">
              <w:rPr>
                <w:rFonts w:ascii="Calibri" w:hAnsi="Calibri" w:cs="Calibri"/>
                <w:b/>
                <w:bCs/>
                <w:color w:val="000000"/>
                <w:sz w:val="16"/>
                <w:szCs w:val="16"/>
              </w:rPr>
              <w:t> </w:t>
            </w:r>
          </w:p>
        </w:tc>
        <w:tc>
          <w:tcPr>
            <w:tcW w:w="1170" w:type="dxa"/>
            <w:tcBorders>
              <w:top w:val="nil"/>
              <w:left w:val="nil"/>
              <w:bottom w:val="nil"/>
              <w:right w:val="dashed" w:color="auto" w:sz="8" w:space="0"/>
            </w:tcBorders>
            <w:shd w:val="clear" w:color="000000" w:fill="BDD6EE"/>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 </w:t>
            </w:r>
            <w:r w:rsidR="00F008F4">
              <w:rPr>
                <w:rFonts w:ascii="Calibri" w:hAnsi="Calibri" w:cs="Calibri"/>
                <w:b/>
                <w:bCs/>
                <w:color w:val="000000"/>
                <w:sz w:val="16"/>
                <w:szCs w:val="16"/>
              </w:rPr>
              <w:t>181</w:t>
            </w:r>
          </w:p>
        </w:tc>
        <w:tc>
          <w:tcPr>
            <w:tcW w:w="810" w:type="dxa"/>
            <w:tcBorders>
              <w:top w:val="nil"/>
              <w:left w:val="nil"/>
              <w:bottom w:val="nil"/>
              <w:right w:val="single" w:color="auto" w:sz="8" w:space="0"/>
            </w:tcBorders>
            <w:shd w:val="clear" w:color="000000" w:fill="BDD6EE"/>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 </w:t>
            </w:r>
            <w:r>
              <w:rPr>
                <w:rFonts w:ascii="Calibri" w:hAnsi="Calibri" w:cs="Calibri"/>
                <w:b/>
                <w:bCs/>
                <w:color w:val="000000"/>
                <w:sz w:val="16"/>
                <w:szCs w:val="16"/>
              </w:rPr>
              <w:t>175</w:t>
            </w:r>
          </w:p>
        </w:tc>
        <w:tc>
          <w:tcPr>
            <w:tcW w:w="1170" w:type="dxa"/>
            <w:tcBorders>
              <w:top w:val="nil"/>
              <w:left w:val="nil"/>
              <w:bottom w:val="nil"/>
              <w:right w:val="dashed" w:color="auto" w:sz="8" w:space="0"/>
            </w:tcBorders>
            <w:shd w:val="clear" w:color="000000" w:fill="BDD6EE"/>
            <w:vAlign w:val="center"/>
            <w:hideMark/>
          </w:tcPr>
          <w:p w:rsidRPr="008276C2" w:rsidR="008276C2" w:rsidP="008276C2" w:rsidRDefault="008F7AAD">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169</w:t>
            </w:r>
          </w:p>
        </w:tc>
        <w:tc>
          <w:tcPr>
            <w:tcW w:w="1080" w:type="dxa"/>
            <w:tcBorders>
              <w:top w:val="nil"/>
              <w:left w:val="nil"/>
              <w:bottom w:val="nil"/>
              <w:right w:val="single" w:color="auto" w:sz="8" w:space="0"/>
            </w:tcBorders>
            <w:shd w:val="clear" w:color="000000" w:fill="BDD6EE"/>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165</w:t>
            </w:r>
            <w:r w:rsidRPr="008276C2">
              <w:rPr>
                <w:rFonts w:ascii="Calibri" w:hAnsi="Calibri" w:cs="Calibri"/>
                <w:b/>
                <w:bCs/>
                <w:color w:val="000000"/>
                <w:sz w:val="16"/>
                <w:szCs w:val="16"/>
              </w:rPr>
              <w:t> </w:t>
            </w:r>
          </w:p>
        </w:tc>
        <w:tc>
          <w:tcPr>
            <w:tcW w:w="2070" w:type="dxa"/>
            <w:tcBorders>
              <w:top w:val="nil"/>
              <w:left w:val="nil"/>
              <w:bottom w:val="nil"/>
              <w:right w:val="single" w:color="auto" w:sz="8" w:space="0"/>
            </w:tcBorders>
            <w:shd w:val="clear" w:color="000000" w:fill="000000"/>
            <w:vAlign w:val="center"/>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 </w:t>
            </w:r>
          </w:p>
        </w:tc>
      </w:tr>
      <w:tr w:rsidRPr="008276C2" w:rsidR="008276C2" w:rsidTr="008276C2">
        <w:trPr>
          <w:trHeight w:val="300"/>
        </w:trPr>
        <w:tc>
          <w:tcPr>
            <w:tcW w:w="1780" w:type="dxa"/>
            <w:tcBorders>
              <w:top w:val="single" w:color="auto" w:sz="8" w:space="0"/>
              <w:left w:val="single" w:color="auto" w:sz="8" w:space="0"/>
              <w:bottom w:val="single" w:color="auto" w:sz="8" w:space="0"/>
              <w:right w:val="nil"/>
            </w:tcBorders>
            <w:shd w:val="clear" w:color="000000" w:fill="FCE4D6"/>
            <w:noWrap/>
            <w:vAlign w:val="bottom"/>
            <w:hideMark/>
          </w:tcPr>
          <w:p w:rsidRPr="008276C2" w:rsidR="008276C2" w:rsidP="008276C2" w:rsidRDefault="008276C2">
            <w:pPr>
              <w:widowControl/>
              <w:autoSpaceDE/>
              <w:autoSpaceDN/>
              <w:jc w:val="center"/>
              <w:rPr>
                <w:rFonts w:ascii="Calibri" w:hAnsi="Calibri" w:cs="Calibri"/>
                <w:b/>
                <w:bCs/>
                <w:color w:val="000000"/>
                <w:sz w:val="16"/>
                <w:szCs w:val="16"/>
              </w:rPr>
            </w:pPr>
            <w:r w:rsidRPr="008276C2">
              <w:rPr>
                <w:rFonts w:ascii="Calibri" w:hAnsi="Calibri" w:cs="Calibri"/>
                <w:b/>
                <w:bCs/>
                <w:color w:val="000000"/>
                <w:sz w:val="16"/>
                <w:szCs w:val="16"/>
              </w:rPr>
              <w:t>Difference</w:t>
            </w:r>
          </w:p>
        </w:tc>
        <w:tc>
          <w:tcPr>
            <w:tcW w:w="197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8276C2" w:rsidR="008276C2" w:rsidP="008276C2" w:rsidRDefault="008F7AAD">
            <w:pPr>
              <w:widowControl/>
              <w:autoSpaceDE/>
              <w:autoSpaceDN/>
              <w:jc w:val="center"/>
              <w:rPr>
                <w:rFonts w:ascii="Calibri" w:hAnsi="Calibri" w:cs="Calibri"/>
                <w:color w:val="000000"/>
                <w:sz w:val="22"/>
                <w:szCs w:val="22"/>
              </w:rPr>
            </w:pPr>
            <w:r>
              <w:rPr>
                <w:rFonts w:ascii="Calibri" w:hAnsi="Calibri" w:cs="Calibri"/>
                <w:color w:val="000000"/>
                <w:sz w:val="22"/>
                <w:szCs w:val="22"/>
              </w:rPr>
              <w:t>-59</w:t>
            </w:r>
            <w:r w:rsidRPr="008276C2" w:rsidR="008276C2">
              <w:rPr>
                <w:rFonts w:ascii="Calibri" w:hAnsi="Calibri" w:cs="Calibri"/>
                <w:color w:val="000000"/>
                <w:sz w:val="22"/>
                <w:szCs w:val="22"/>
              </w:rPr>
              <w:t> </w:t>
            </w:r>
          </w:p>
        </w:tc>
        <w:tc>
          <w:tcPr>
            <w:tcW w:w="198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8276C2" w:rsidR="008276C2" w:rsidP="008276C2" w:rsidRDefault="008F7AAD">
            <w:pPr>
              <w:widowControl/>
              <w:autoSpaceDE/>
              <w:autoSpaceDN/>
              <w:jc w:val="center"/>
              <w:rPr>
                <w:rFonts w:ascii="Calibri" w:hAnsi="Calibri" w:cs="Calibri"/>
                <w:color w:val="000000"/>
                <w:sz w:val="22"/>
                <w:szCs w:val="22"/>
              </w:rPr>
            </w:pPr>
            <w:r>
              <w:rPr>
                <w:rFonts w:ascii="Calibri" w:hAnsi="Calibri" w:cs="Calibri"/>
                <w:color w:val="000000"/>
                <w:sz w:val="22"/>
                <w:szCs w:val="22"/>
              </w:rPr>
              <w:t>+6</w:t>
            </w:r>
            <w:r w:rsidRPr="008276C2" w:rsidR="008276C2">
              <w:rPr>
                <w:rFonts w:ascii="Calibri" w:hAnsi="Calibri" w:cs="Calibri"/>
                <w:color w:val="000000"/>
                <w:sz w:val="22"/>
                <w:szCs w:val="22"/>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8276C2" w:rsidR="008276C2" w:rsidP="008276C2" w:rsidRDefault="008F7AAD">
            <w:pPr>
              <w:widowControl/>
              <w:autoSpaceDE/>
              <w:autoSpaceDN/>
              <w:jc w:val="center"/>
              <w:rPr>
                <w:rFonts w:ascii="Calibri" w:hAnsi="Calibri" w:cs="Calibri"/>
                <w:color w:val="000000"/>
                <w:sz w:val="22"/>
                <w:szCs w:val="22"/>
              </w:rPr>
            </w:pPr>
            <w:r>
              <w:rPr>
                <w:rFonts w:ascii="Calibri" w:hAnsi="Calibri" w:cs="Calibri"/>
                <w:color w:val="000000"/>
                <w:sz w:val="22"/>
                <w:szCs w:val="22"/>
              </w:rPr>
              <w:t>+4</w:t>
            </w:r>
            <w:r w:rsidRPr="008276C2" w:rsidR="008276C2">
              <w:rPr>
                <w:rFonts w:ascii="Calibri" w:hAnsi="Calibri" w:cs="Calibri"/>
                <w:color w:val="000000"/>
                <w:sz w:val="22"/>
                <w:szCs w:val="22"/>
              </w:rPr>
              <w:t> </w:t>
            </w:r>
          </w:p>
        </w:tc>
        <w:tc>
          <w:tcPr>
            <w:tcW w:w="2070" w:type="dxa"/>
            <w:tcBorders>
              <w:top w:val="single" w:color="auto" w:sz="8" w:space="0"/>
              <w:left w:val="nil"/>
              <w:bottom w:val="single" w:color="auto" w:sz="8" w:space="0"/>
              <w:right w:val="single" w:color="auto" w:sz="8" w:space="0"/>
            </w:tcBorders>
            <w:shd w:val="clear" w:color="000000" w:fill="000000"/>
            <w:noWrap/>
            <w:vAlign w:val="bottom"/>
            <w:hideMark/>
          </w:tcPr>
          <w:p w:rsidRPr="008276C2" w:rsidR="008276C2" w:rsidP="008276C2" w:rsidRDefault="008276C2">
            <w:pPr>
              <w:widowControl/>
              <w:autoSpaceDE/>
              <w:autoSpaceDN/>
              <w:rPr>
                <w:rFonts w:ascii="Calibri" w:hAnsi="Calibri" w:cs="Calibri"/>
                <w:color w:val="000000"/>
                <w:sz w:val="22"/>
                <w:szCs w:val="22"/>
              </w:rPr>
            </w:pPr>
            <w:r w:rsidRPr="008276C2">
              <w:rPr>
                <w:rFonts w:ascii="Calibri" w:hAnsi="Calibri" w:cs="Calibri"/>
                <w:color w:val="000000"/>
                <w:sz w:val="22"/>
                <w:szCs w:val="22"/>
              </w:rPr>
              <w:t> </w:t>
            </w:r>
          </w:p>
        </w:tc>
      </w:tr>
    </w:tbl>
    <w:p w:rsidRPr="00BD0E14" w:rsidR="008276C2" w:rsidRDefault="008276C2">
      <w:pPr>
        <w:rPr>
          <w:sz w:val="24"/>
          <w:szCs w:val="24"/>
        </w:rPr>
      </w:pPr>
    </w:p>
    <w:p w:rsidRPr="00BD0E14" w:rsidR="00BD0E14" w:rsidRDefault="00BD0E14">
      <w:pPr>
        <w:rPr>
          <w:sz w:val="24"/>
          <w:szCs w:val="24"/>
        </w:rPr>
      </w:pPr>
    </w:p>
    <w:p w:rsidRPr="00D94ACD" w:rsidR="006039CA"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16.  </w:t>
      </w:r>
      <w:r w:rsidRPr="00D94ACD" w:rsidR="00D94ACD">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94ACD" w:rsidR="006039CA" w:rsidRDefault="006039CA">
      <w:pPr>
        <w:rPr>
          <w:sz w:val="24"/>
          <w:szCs w:val="24"/>
        </w:rPr>
      </w:pPr>
    </w:p>
    <w:p w:rsidRPr="00D94ACD" w:rsidR="006039CA" w:rsidRDefault="006039CA">
      <w:pPr>
        <w:rPr>
          <w:sz w:val="24"/>
          <w:szCs w:val="24"/>
        </w:rPr>
      </w:pPr>
      <w:r w:rsidRPr="00D94ACD">
        <w:rPr>
          <w:sz w:val="24"/>
          <w:szCs w:val="24"/>
        </w:rPr>
        <w:t xml:space="preserve">It is not anticipated that the results of this collection will be published. </w:t>
      </w:r>
    </w:p>
    <w:p w:rsidRPr="00D94ACD" w:rsidR="006039CA" w:rsidRDefault="006039CA">
      <w:pPr>
        <w:rPr>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lastRenderedPageBreak/>
        <w:t xml:space="preserve">17.  </w:t>
      </w:r>
      <w:r w:rsidRPr="00D94ACD" w:rsidR="00D94ACD">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D94ACD" w:rsidR="006039CA" w:rsidRDefault="006039CA">
      <w:pPr>
        <w:rPr>
          <w:sz w:val="24"/>
          <w:szCs w:val="24"/>
        </w:rPr>
      </w:pPr>
    </w:p>
    <w:p w:rsidRPr="00D94ACD" w:rsidR="006039CA" w:rsidRDefault="008276C2">
      <w:pPr>
        <w:rPr>
          <w:sz w:val="24"/>
          <w:szCs w:val="24"/>
        </w:rPr>
      </w:pPr>
      <w:r w:rsidRPr="00D94ACD">
        <w:rPr>
          <w:sz w:val="24"/>
          <w:szCs w:val="24"/>
        </w:rPr>
        <w:t>The expiration date will be displayed.</w:t>
      </w:r>
    </w:p>
    <w:p w:rsidRPr="00D94ACD" w:rsidR="00A27FE2" w:rsidRDefault="00A27FE2">
      <w:pPr>
        <w:rPr>
          <w:sz w:val="24"/>
          <w:szCs w:val="24"/>
        </w:rPr>
      </w:pPr>
    </w:p>
    <w:p w:rsidRPr="00D94ACD" w:rsidR="00D94ACD" w:rsidP="00D94ACD" w:rsidRDefault="006039CA">
      <w:pPr>
        <w:pStyle w:val="ListParagraph"/>
        <w:tabs>
          <w:tab w:val="left" w:pos="360"/>
        </w:tabs>
        <w:spacing w:before="80"/>
        <w:ind w:left="0" w:firstLine="0"/>
        <w:rPr>
          <w:rFonts w:ascii="Times New Roman" w:hAnsi="Times New Roman" w:cs="Times New Roman"/>
          <w:b/>
          <w:sz w:val="24"/>
          <w:szCs w:val="24"/>
        </w:rPr>
      </w:pPr>
      <w:r w:rsidRPr="00D94ACD">
        <w:rPr>
          <w:rFonts w:ascii="Times New Roman" w:hAnsi="Times New Roman" w:cs="Times New Roman"/>
          <w:b/>
          <w:bCs/>
          <w:sz w:val="24"/>
          <w:szCs w:val="24"/>
        </w:rPr>
        <w:t xml:space="preserve">18.  </w:t>
      </w:r>
      <w:r w:rsidRPr="00D94ACD" w:rsidR="00D94ACD">
        <w:rPr>
          <w:rFonts w:ascii="Times New Roman" w:hAnsi="Times New Roman" w:cs="Times New Roman"/>
          <w:b/>
          <w:sz w:val="24"/>
          <w:szCs w:val="24"/>
        </w:rPr>
        <w:t>Explain each exception to the certification statement identified in “Certification for Paperwork Reduction Act Submissions."</w:t>
      </w:r>
    </w:p>
    <w:p w:rsidRPr="00D94ACD" w:rsidR="006039CA" w:rsidRDefault="006039CA">
      <w:pPr>
        <w:rPr>
          <w:sz w:val="24"/>
          <w:szCs w:val="24"/>
        </w:rPr>
      </w:pPr>
    </w:p>
    <w:p w:rsidRPr="00D94ACD" w:rsidR="006039CA" w:rsidRDefault="00265AC5">
      <w:pPr>
        <w:rPr>
          <w:sz w:val="24"/>
          <w:szCs w:val="24"/>
        </w:rPr>
      </w:pPr>
      <w:r w:rsidRPr="00D94ACD">
        <w:rPr>
          <w:sz w:val="24"/>
          <w:szCs w:val="24"/>
        </w:rPr>
        <w:t>The agency certifies compliance with 5 CFR 1320.9 and the related provisions of 5 CFR 1320/8(b</w:t>
      </w:r>
      <w:proofErr w:type="gramStart"/>
      <w:r w:rsidRPr="00D94ACD">
        <w:rPr>
          <w:sz w:val="24"/>
          <w:szCs w:val="24"/>
        </w:rPr>
        <w:t>)(</w:t>
      </w:r>
      <w:proofErr w:type="gramEnd"/>
      <w:r w:rsidRPr="00D94ACD">
        <w:rPr>
          <w:sz w:val="24"/>
          <w:szCs w:val="24"/>
        </w:rPr>
        <w:t>3).</w:t>
      </w:r>
    </w:p>
    <w:p w:rsidRPr="00D94ACD" w:rsidR="00A27FE2" w:rsidRDefault="00A27FE2">
      <w:pPr>
        <w:rPr>
          <w:sz w:val="24"/>
          <w:szCs w:val="24"/>
        </w:rPr>
      </w:pPr>
    </w:p>
    <w:p w:rsidRPr="00D94ACD" w:rsidR="006039CA" w:rsidRDefault="006039CA">
      <w:pPr>
        <w:rPr>
          <w:sz w:val="24"/>
          <w:szCs w:val="24"/>
        </w:rPr>
      </w:pPr>
      <w:r w:rsidRPr="00D94ACD">
        <w:rPr>
          <w:b/>
          <w:bCs/>
          <w:sz w:val="24"/>
          <w:szCs w:val="24"/>
        </w:rPr>
        <w:t>B.  COLLECTIONS OF INFORMATION EMPLOYING STATISTICAL METHODS</w:t>
      </w:r>
    </w:p>
    <w:p w:rsidRPr="00D94ACD" w:rsidR="006039CA" w:rsidRDefault="006039CA">
      <w:pPr>
        <w:rPr>
          <w:sz w:val="24"/>
          <w:szCs w:val="24"/>
        </w:rPr>
      </w:pPr>
    </w:p>
    <w:p w:rsidRPr="00D94ACD" w:rsidR="006039CA" w:rsidRDefault="006039CA">
      <w:pPr>
        <w:pStyle w:val="BodyText"/>
        <w:widowControl w:val="0"/>
      </w:pPr>
      <w:r w:rsidRPr="00D94ACD">
        <w:t>This information collection request does not employ statistical methods.</w:t>
      </w:r>
    </w:p>
    <w:sectPr w:rsidRPr="00D94ACD" w:rsidR="006039CA">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351" w:rsidRDefault="00EB1351">
      <w:r>
        <w:separator/>
      </w:r>
    </w:p>
  </w:endnote>
  <w:endnote w:type="continuationSeparator" w:id="0">
    <w:p w:rsidR="00EB1351" w:rsidRDefault="00EB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84" w:rsidRDefault="008F5F84">
    <w:pPr>
      <w:pStyle w:val="Footer"/>
      <w:jc w:val="right"/>
    </w:pPr>
    <w:r>
      <w:fldChar w:fldCharType="begin"/>
    </w:r>
    <w:r>
      <w:instrText xml:space="preserve"> PAGE   \* MERGEFORMAT </w:instrText>
    </w:r>
    <w:r>
      <w:fldChar w:fldCharType="separate"/>
    </w:r>
    <w:r w:rsidR="00D94ACD">
      <w:rPr>
        <w:noProof/>
      </w:rPr>
      <w:t>10</w:t>
    </w:r>
    <w:r>
      <w:fldChar w:fldCharType="end"/>
    </w:r>
  </w:p>
  <w:p w:rsidR="008F5F84" w:rsidRDefault="008F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351" w:rsidRDefault="00EB1351">
      <w:r>
        <w:separator/>
      </w:r>
    </w:p>
  </w:footnote>
  <w:footnote w:type="continuationSeparator" w:id="0">
    <w:p w:rsidR="00EB1351" w:rsidRDefault="00EB1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D78"/>
    <w:multiLevelType w:val="multilevel"/>
    <w:tmpl w:val="9A36A3C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58704F9"/>
    <w:multiLevelType w:val="hybridMultilevel"/>
    <w:tmpl w:val="04CC7C02"/>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3" w15:restartNumberingAfterBreak="0">
    <w:nsid w:val="26112493"/>
    <w:multiLevelType w:val="multilevel"/>
    <w:tmpl w:val="9A36A3C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2A856B39"/>
    <w:multiLevelType w:val="hybridMultilevel"/>
    <w:tmpl w:val="6D5A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07EF1"/>
    <w:multiLevelType w:val="hybridMultilevel"/>
    <w:tmpl w:val="5EF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645F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76B1909"/>
    <w:multiLevelType w:val="hybridMultilevel"/>
    <w:tmpl w:val="ABB6EA74"/>
    <w:lvl w:ilvl="0" w:tplc="03C26888">
      <w:start w:val="1"/>
      <w:numFmt w:val="decimal"/>
      <w:lvlText w:val="%1."/>
      <w:lvlJc w:val="left"/>
      <w:pPr>
        <w:ind w:left="720" w:hanging="360"/>
      </w:pPr>
      <w:rPr>
        <w:rFonts w:ascii="Arial" w:hAnsi="Arial" w:cs="Arial" w:hint="default"/>
        <w:color w:val="0033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94813"/>
    <w:multiLevelType w:val="singleLevel"/>
    <w:tmpl w:val="0409000F"/>
    <w:lvl w:ilvl="0">
      <w:start w:val="3"/>
      <w:numFmt w:val="decimal"/>
      <w:lvlText w:val="%1."/>
      <w:lvlJc w:val="left"/>
      <w:pPr>
        <w:tabs>
          <w:tab w:val="num" w:pos="360"/>
        </w:tabs>
        <w:ind w:left="360" w:hanging="360"/>
      </w:pPr>
      <w:rPr>
        <w:rFonts w:hint="default"/>
      </w:rPr>
    </w:lvl>
  </w:abstractNum>
  <w:num w:numId="1">
    <w:abstractNumId w:val="6"/>
  </w:num>
  <w:num w:numId="2">
    <w:abstractNumId w:val="8"/>
  </w:num>
  <w:num w:numId="3">
    <w:abstractNumId w:val="3"/>
  </w:num>
  <w:num w:numId="4">
    <w:abstractNumId w:val="0"/>
  </w:num>
  <w:num w:numId="5">
    <w:abstractNumId w:val="1"/>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76"/>
    <w:rsid w:val="000065D2"/>
    <w:rsid w:val="00013726"/>
    <w:rsid w:val="00014055"/>
    <w:rsid w:val="000231F6"/>
    <w:rsid w:val="000274FC"/>
    <w:rsid w:val="00030FDD"/>
    <w:rsid w:val="000374F7"/>
    <w:rsid w:val="000505D3"/>
    <w:rsid w:val="000616B8"/>
    <w:rsid w:val="00067C5B"/>
    <w:rsid w:val="000761D3"/>
    <w:rsid w:val="00076E17"/>
    <w:rsid w:val="00084198"/>
    <w:rsid w:val="000A189A"/>
    <w:rsid w:val="000B502A"/>
    <w:rsid w:val="000B6610"/>
    <w:rsid w:val="000D062D"/>
    <w:rsid w:val="000D75E3"/>
    <w:rsid w:val="000E1430"/>
    <w:rsid w:val="000E2FAB"/>
    <w:rsid w:val="000F0FAE"/>
    <w:rsid w:val="0012464A"/>
    <w:rsid w:val="001258B8"/>
    <w:rsid w:val="00147826"/>
    <w:rsid w:val="001521CE"/>
    <w:rsid w:val="00162A0B"/>
    <w:rsid w:val="0018752C"/>
    <w:rsid w:val="001B3E39"/>
    <w:rsid w:val="001C1EA0"/>
    <w:rsid w:val="001C5170"/>
    <w:rsid w:val="001D0293"/>
    <w:rsid w:val="001D04A7"/>
    <w:rsid w:val="001D74B6"/>
    <w:rsid w:val="001E1060"/>
    <w:rsid w:val="001F302A"/>
    <w:rsid w:val="001F5922"/>
    <w:rsid w:val="002001BA"/>
    <w:rsid w:val="002228E2"/>
    <w:rsid w:val="00232B51"/>
    <w:rsid w:val="00237A5C"/>
    <w:rsid w:val="00246EB8"/>
    <w:rsid w:val="00254D69"/>
    <w:rsid w:val="00265AC5"/>
    <w:rsid w:val="002723CA"/>
    <w:rsid w:val="00272E6E"/>
    <w:rsid w:val="0027667D"/>
    <w:rsid w:val="0028067A"/>
    <w:rsid w:val="0028534D"/>
    <w:rsid w:val="002920B8"/>
    <w:rsid w:val="002A319D"/>
    <w:rsid w:val="002B12F5"/>
    <w:rsid w:val="002B5943"/>
    <w:rsid w:val="002C1912"/>
    <w:rsid w:val="002D2F3A"/>
    <w:rsid w:val="002D6D6F"/>
    <w:rsid w:val="002F6092"/>
    <w:rsid w:val="00304EFD"/>
    <w:rsid w:val="00305D43"/>
    <w:rsid w:val="00313161"/>
    <w:rsid w:val="003462D3"/>
    <w:rsid w:val="00346E14"/>
    <w:rsid w:val="00354BAC"/>
    <w:rsid w:val="003627F8"/>
    <w:rsid w:val="00394689"/>
    <w:rsid w:val="0039751B"/>
    <w:rsid w:val="003A076E"/>
    <w:rsid w:val="003A2A1C"/>
    <w:rsid w:val="003A6536"/>
    <w:rsid w:val="003B2322"/>
    <w:rsid w:val="003B237F"/>
    <w:rsid w:val="003E02B2"/>
    <w:rsid w:val="004003AC"/>
    <w:rsid w:val="0040096F"/>
    <w:rsid w:val="00407112"/>
    <w:rsid w:val="00413C46"/>
    <w:rsid w:val="00433B7C"/>
    <w:rsid w:val="004446E2"/>
    <w:rsid w:val="00472DF3"/>
    <w:rsid w:val="00484410"/>
    <w:rsid w:val="0049543E"/>
    <w:rsid w:val="004A0D5A"/>
    <w:rsid w:val="004A56EB"/>
    <w:rsid w:val="004A79F9"/>
    <w:rsid w:val="004B0392"/>
    <w:rsid w:val="004B153E"/>
    <w:rsid w:val="004B1929"/>
    <w:rsid w:val="004B2923"/>
    <w:rsid w:val="004B5ED8"/>
    <w:rsid w:val="004C4E72"/>
    <w:rsid w:val="004C5558"/>
    <w:rsid w:val="004C6E2E"/>
    <w:rsid w:val="004C78B0"/>
    <w:rsid w:val="004D1C65"/>
    <w:rsid w:val="004D52C1"/>
    <w:rsid w:val="004D5E5A"/>
    <w:rsid w:val="004E23E5"/>
    <w:rsid w:val="004E2E4E"/>
    <w:rsid w:val="004F023F"/>
    <w:rsid w:val="005047BD"/>
    <w:rsid w:val="00520106"/>
    <w:rsid w:val="00521165"/>
    <w:rsid w:val="00521931"/>
    <w:rsid w:val="00521F27"/>
    <w:rsid w:val="00537BCB"/>
    <w:rsid w:val="005458DC"/>
    <w:rsid w:val="0055153A"/>
    <w:rsid w:val="0055188E"/>
    <w:rsid w:val="00565998"/>
    <w:rsid w:val="00565B6B"/>
    <w:rsid w:val="00575BFB"/>
    <w:rsid w:val="00586290"/>
    <w:rsid w:val="00587C08"/>
    <w:rsid w:val="00590776"/>
    <w:rsid w:val="005A21AF"/>
    <w:rsid w:val="005A6B55"/>
    <w:rsid w:val="005B022C"/>
    <w:rsid w:val="005C6972"/>
    <w:rsid w:val="005D2C67"/>
    <w:rsid w:val="005D4CBE"/>
    <w:rsid w:val="006039CA"/>
    <w:rsid w:val="00635A88"/>
    <w:rsid w:val="00640D27"/>
    <w:rsid w:val="00644935"/>
    <w:rsid w:val="00644EC3"/>
    <w:rsid w:val="00656F76"/>
    <w:rsid w:val="00657E37"/>
    <w:rsid w:val="006622AD"/>
    <w:rsid w:val="00673867"/>
    <w:rsid w:val="00681DE5"/>
    <w:rsid w:val="00692221"/>
    <w:rsid w:val="006944D0"/>
    <w:rsid w:val="00694F35"/>
    <w:rsid w:val="006A1CCB"/>
    <w:rsid w:val="006A30E5"/>
    <w:rsid w:val="006A3CC8"/>
    <w:rsid w:val="006B00A3"/>
    <w:rsid w:val="006B6FAC"/>
    <w:rsid w:val="006D2A11"/>
    <w:rsid w:val="006D677C"/>
    <w:rsid w:val="006F0C40"/>
    <w:rsid w:val="006F35B8"/>
    <w:rsid w:val="00704692"/>
    <w:rsid w:val="00714D6D"/>
    <w:rsid w:val="0071531D"/>
    <w:rsid w:val="007277C1"/>
    <w:rsid w:val="00733E37"/>
    <w:rsid w:val="0074656E"/>
    <w:rsid w:val="00746B38"/>
    <w:rsid w:val="00762072"/>
    <w:rsid w:val="00762C86"/>
    <w:rsid w:val="007714F9"/>
    <w:rsid w:val="00781A36"/>
    <w:rsid w:val="007845FE"/>
    <w:rsid w:val="00794E16"/>
    <w:rsid w:val="007951B5"/>
    <w:rsid w:val="007A51B9"/>
    <w:rsid w:val="007B0AB3"/>
    <w:rsid w:val="007B634A"/>
    <w:rsid w:val="007C0034"/>
    <w:rsid w:val="007E61C5"/>
    <w:rsid w:val="007F4FE7"/>
    <w:rsid w:val="007F5451"/>
    <w:rsid w:val="008117F9"/>
    <w:rsid w:val="00825E14"/>
    <w:rsid w:val="00826C7D"/>
    <w:rsid w:val="008276C2"/>
    <w:rsid w:val="0083166C"/>
    <w:rsid w:val="00832846"/>
    <w:rsid w:val="0084754F"/>
    <w:rsid w:val="008711A9"/>
    <w:rsid w:val="00874AD8"/>
    <w:rsid w:val="0088449A"/>
    <w:rsid w:val="00885068"/>
    <w:rsid w:val="00887066"/>
    <w:rsid w:val="008B315C"/>
    <w:rsid w:val="008B6189"/>
    <w:rsid w:val="008C0B72"/>
    <w:rsid w:val="008F25C5"/>
    <w:rsid w:val="008F5F84"/>
    <w:rsid w:val="008F7AAD"/>
    <w:rsid w:val="008F7E41"/>
    <w:rsid w:val="00900ECF"/>
    <w:rsid w:val="00930B3A"/>
    <w:rsid w:val="00932E26"/>
    <w:rsid w:val="00945E29"/>
    <w:rsid w:val="00953C04"/>
    <w:rsid w:val="009576CF"/>
    <w:rsid w:val="0095782A"/>
    <w:rsid w:val="009630EC"/>
    <w:rsid w:val="00963B9C"/>
    <w:rsid w:val="00964776"/>
    <w:rsid w:val="0096502D"/>
    <w:rsid w:val="009722A7"/>
    <w:rsid w:val="009805C3"/>
    <w:rsid w:val="009855C0"/>
    <w:rsid w:val="0098597C"/>
    <w:rsid w:val="0099305C"/>
    <w:rsid w:val="009946FB"/>
    <w:rsid w:val="009A09E5"/>
    <w:rsid w:val="009A13B5"/>
    <w:rsid w:val="009C22DB"/>
    <w:rsid w:val="009D303A"/>
    <w:rsid w:val="009E6633"/>
    <w:rsid w:val="00A020F7"/>
    <w:rsid w:val="00A0536E"/>
    <w:rsid w:val="00A131C1"/>
    <w:rsid w:val="00A13557"/>
    <w:rsid w:val="00A21BA1"/>
    <w:rsid w:val="00A27FE2"/>
    <w:rsid w:val="00A31F33"/>
    <w:rsid w:val="00A34E50"/>
    <w:rsid w:val="00A40C66"/>
    <w:rsid w:val="00A70272"/>
    <w:rsid w:val="00A72470"/>
    <w:rsid w:val="00A81887"/>
    <w:rsid w:val="00A93298"/>
    <w:rsid w:val="00AA72F3"/>
    <w:rsid w:val="00AA78F1"/>
    <w:rsid w:val="00AD4042"/>
    <w:rsid w:val="00AE1F6B"/>
    <w:rsid w:val="00AF035D"/>
    <w:rsid w:val="00AF2841"/>
    <w:rsid w:val="00AF3EC0"/>
    <w:rsid w:val="00B152B6"/>
    <w:rsid w:val="00B25769"/>
    <w:rsid w:val="00B32FB9"/>
    <w:rsid w:val="00B434A8"/>
    <w:rsid w:val="00B61E04"/>
    <w:rsid w:val="00B81A2E"/>
    <w:rsid w:val="00B874A4"/>
    <w:rsid w:val="00B90F9D"/>
    <w:rsid w:val="00BA104B"/>
    <w:rsid w:val="00BA6655"/>
    <w:rsid w:val="00BD0E14"/>
    <w:rsid w:val="00BD2D78"/>
    <w:rsid w:val="00BE3601"/>
    <w:rsid w:val="00BE48E2"/>
    <w:rsid w:val="00BE5DC6"/>
    <w:rsid w:val="00BF4CFE"/>
    <w:rsid w:val="00BF4F69"/>
    <w:rsid w:val="00C0755E"/>
    <w:rsid w:val="00C20255"/>
    <w:rsid w:val="00C20F94"/>
    <w:rsid w:val="00C22B0D"/>
    <w:rsid w:val="00C31023"/>
    <w:rsid w:val="00C36D60"/>
    <w:rsid w:val="00C36E82"/>
    <w:rsid w:val="00C501BD"/>
    <w:rsid w:val="00C669C4"/>
    <w:rsid w:val="00C81E61"/>
    <w:rsid w:val="00C83ACC"/>
    <w:rsid w:val="00C91CEB"/>
    <w:rsid w:val="00C92286"/>
    <w:rsid w:val="00C96228"/>
    <w:rsid w:val="00CA1BE0"/>
    <w:rsid w:val="00CA400E"/>
    <w:rsid w:val="00CB326F"/>
    <w:rsid w:val="00CB7551"/>
    <w:rsid w:val="00CC021A"/>
    <w:rsid w:val="00CD65E4"/>
    <w:rsid w:val="00CE069B"/>
    <w:rsid w:val="00D06177"/>
    <w:rsid w:val="00D06EA3"/>
    <w:rsid w:val="00D219E2"/>
    <w:rsid w:val="00D31515"/>
    <w:rsid w:val="00D32583"/>
    <w:rsid w:val="00D35194"/>
    <w:rsid w:val="00D4323A"/>
    <w:rsid w:val="00D54845"/>
    <w:rsid w:val="00D56CE1"/>
    <w:rsid w:val="00D5758C"/>
    <w:rsid w:val="00D57B2D"/>
    <w:rsid w:val="00D61311"/>
    <w:rsid w:val="00D656FE"/>
    <w:rsid w:val="00D82D01"/>
    <w:rsid w:val="00D94ACD"/>
    <w:rsid w:val="00DA1A02"/>
    <w:rsid w:val="00DA2006"/>
    <w:rsid w:val="00DD2F08"/>
    <w:rsid w:val="00DE1EFB"/>
    <w:rsid w:val="00DF674A"/>
    <w:rsid w:val="00E0236A"/>
    <w:rsid w:val="00E027E5"/>
    <w:rsid w:val="00E07609"/>
    <w:rsid w:val="00E121D8"/>
    <w:rsid w:val="00E14792"/>
    <w:rsid w:val="00E173EE"/>
    <w:rsid w:val="00E360AC"/>
    <w:rsid w:val="00E51A32"/>
    <w:rsid w:val="00E53036"/>
    <w:rsid w:val="00E53964"/>
    <w:rsid w:val="00E7076F"/>
    <w:rsid w:val="00E7204A"/>
    <w:rsid w:val="00E8737A"/>
    <w:rsid w:val="00EB1351"/>
    <w:rsid w:val="00EB7F14"/>
    <w:rsid w:val="00EC058C"/>
    <w:rsid w:val="00EC7F97"/>
    <w:rsid w:val="00ED7ADC"/>
    <w:rsid w:val="00EE47C6"/>
    <w:rsid w:val="00EE5DA5"/>
    <w:rsid w:val="00EF1416"/>
    <w:rsid w:val="00F008F4"/>
    <w:rsid w:val="00F22090"/>
    <w:rsid w:val="00F2459F"/>
    <w:rsid w:val="00F27378"/>
    <w:rsid w:val="00F326FF"/>
    <w:rsid w:val="00F33B33"/>
    <w:rsid w:val="00F36CCC"/>
    <w:rsid w:val="00F547B1"/>
    <w:rsid w:val="00F63E62"/>
    <w:rsid w:val="00F672F4"/>
    <w:rsid w:val="00F820AA"/>
    <w:rsid w:val="00F92EE3"/>
    <w:rsid w:val="00FC71D8"/>
    <w:rsid w:val="00FD20B2"/>
    <w:rsid w:val="00FE3C3F"/>
    <w:rsid w:val="00FE4183"/>
    <w:rsid w:val="00FE5B7F"/>
    <w:rsid w:val="00FE7D35"/>
    <w:rsid w:val="00FF21E9"/>
    <w:rsid w:val="00FF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E0C00"/>
  <w15:chartTrackingRefBased/>
  <w15:docId w15:val="{EEEC703B-1685-45EA-A28A-399065A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pPr>
      <w:keepNext/>
      <w:tabs>
        <w:tab w:val="left" w:pos="720"/>
      </w:tabs>
      <w:ind w:left="72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ind w:left="-1440"/>
      <w:jc w:val="both"/>
    </w:pPr>
    <w:rPr>
      <w:sz w:val="24"/>
      <w:szCs w:val="24"/>
    </w:rPr>
  </w:style>
  <w:style w:type="paragraph" w:customStyle="1" w:styleId="2AutoList1">
    <w:name w:val="2AutoList1"/>
    <w:pPr>
      <w:widowControl w:val="0"/>
      <w:autoSpaceDE w:val="0"/>
      <w:autoSpaceDN w:val="0"/>
      <w:ind w:left="-1440"/>
      <w:jc w:val="both"/>
    </w:pPr>
    <w:rPr>
      <w:sz w:val="24"/>
      <w:szCs w:val="24"/>
    </w:rPr>
  </w:style>
  <w:style w:type="paragraph" w:customStyle="1" w:styleId="3AutoList1">
    <w:name w:val="3AutoList1"/>
    <w:pPr>
      <w:widowControl w:val="0"/>
      <w:autoSpaceDE w:val="0"/>
      <w:autoSpaceDN w:val="0"/>
      <w:ind w:left="-1440"/>
      <w:jc w:val="both"/>
    </w:pPr>
    <w:rPr>
      <w:sz w:val="24"/>
      <w:szCs w:val="24"/>
    </w:rPr>
  </w:style>
  <w:style w:type="paragraph" w:customStyle="1" w:styleId="4AutoList1">
    <w:name w:val="4AutoList1"/>
    <w:pPr>
      <w:widowControl w:val="0"/>
      <w:autoSpaceDE w:val="0"/>
      <w:autoSpaceDN w:val="0"/>
      <w:ind w:left="-1440"/>
      <w:jc w:val="both"/>
    </w:pPr>
    <w:rPr>
      <w:sz w:val="24"/>
      <w:szCs w:val="24"/>
    </w:rPr>
  </w:style>
  <w:style w:type="paragraph" w:customStyle="1" w:styleId="5AutoList1">
    <w:name w:val="5AutoList1"/>
    <w:pPr>
      <w:widowControl w:val="0"/>
      <w:autoSpaceDE w:val="0"/>
      <w:autoSpaceDN w:val="0"/>
      <w:ind w:left="-1440"/>
      <w:jc w:val="both"/>
    </w:pPr>
    <w:rPr>
      <w:sz w:val="24"/>
      <w:szCs w:val="24"/>
    </w:rPr>
  </w:style>
  <w:style w:type="paragraph" w:customStyle="1" w:styleId="6AutoList1">
    <w:name w:val="6AutoList1"/>
    <w:pPr>
      <w:widowControl w:val="0"/>
      <w:autoSpaceDE w:val="0"/>
      <w:autoSpaceDN w:val="0"/>
      <w:ind w:left="-1440"/>
      <w:jc w:val="both"/>
    </w:pPr>
    <w:rPr>
      <w:sz w:val="24"/>
      <w:szCs w:val="24"/>
    </w:rPr>
  </w:style>
  <w:style w:type="paragraph" w:customStyle="1" w:styleId="7AutoList1">
    <w:name w:val="7AutoList1"/>
    <w:pPr>
      <w:widowControl w:val="0"/>
      <w:autoSpaceDE w:val="0"/>
      <w:autoSpaceDN w:val="0"/>
      <w:ind w:left="-1440"/>
      <w:jc w:val="both"/>
    </w:pPr>
    <w:rPr>
      <w:sz w:val="24"/>
      <w:szCs w:val="24"/>
    </w:rPr>
  </w:style>
  <w:style w:type="paragraph" w:customStyle="1" w:styleId="8AutoList1">
    <w:name w:val="8AutoList1"/>
    <w:pPr>
      <w:widowControl w:val="0"/>
      <w:autoSpaceDE w:val="0"/>
      <w:autoSpaceDN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widowControl/>
    </w:pPr>
    <w:rPr>
      <w:sz w:val="24"/>
      <w:szCs w:val="24"/>
    </w:rPr>
  </w:style>
  <w:style w:type="paragraph" w:styleId="Title">
    <w:name w:val="Title"/>
    <w:basedOn w:val="Normal"/>
    <w:qFormat/>
    <w:pPr>
      <w:jc w:val="center"/>
    </w:pPr>
    <w:rPr>
      <w:b/>
      <w:bCs/>
      <w:sz w:val="24"/>
      <w:szCs w:val="24"/>
    </w:rPr>
  </w:style>
  <w:style w:type="paragraph" w:customStyle="1" w:styleId="Level1">
    <w:name w:val="Level 1"/>
    <w:pPr>
      <w:autoSpaceDE w:val="0"/>
      <w:autoSpaceDN w:val="0"/>
      <w:adjustRightInd w:val="0"/>
      <w:ind w:left="720"/>
    </w:pPr>
    <w:rPr>
      <w:sz w:val="24"/>
      <w:szCs w:val="24"/>
    </w:rPr>
  </w:style>
  <w:style w:type="paragraph" w:customStyle="1" w:styleId="bodytext0">
    <w:name w:val="bodytext"/>
    <w:basedOn w:val="Normal"/>
    <w:rsid w:val="00BA104B"/>
    <w:pPr>
      <w:widowControl/>
      <w:autoSpaceDE/>
      <w:autoSpaceDN/>
      <w:spacing w:before="100" w:beforeAutospacing="1" w:after="100" w:afterAutospacing="1"/>
    </w:pPr>
    <w:rPr>
      <w:rFonts w:ascii="Arial" w:hAnsi="Arial" w:cs="Arial"/>
    </w:rPr>
  </w:style>
  <w:style w:type="character" w:styleId="Strong">
    <w:name w:val="Strong"/>
    <w:qFormat/>
    <w:rsid w:val="00BA104B"/>
    <w:rPr>
      <w:b/>
      <w:bCs/>
    </w:rPr>
  </w:style>
  <w:style w:type="character" w:styleId="CommentReference">
    <w:name w:val="annotation reference"/>
    <w:uiPriority w:val="99"/>
    <w:semiHidden/>
    <w:unhideWhenUsed/>
    <w:rsid w:val="00656F76"/>
    <w:rPr>
      <w:sz w:val="16"/>
      <w:szCs w:val="16"/>
    </w:rPr>
  </w:style>
  <w:style w:type="paragraph" w:styleId="CommentText">
    <w:name w:val="annotation text"/>
    <w:basedOn w:val="Normal"/>
    <w:link w:val="CommentTextChar"/>
    <w:uiPriority w:val="99"/>
    <w:semiHidden/>
    <w:unhideWhenUsed/>
    <w:rsid w:val="00656F76"/>
  </w:style>
  <w:style w:type="character" w:customStyle="1" w:styleId="CommentTextChar">
    <w:name w:val="Comment Text Char"/>
    <w:basedOn w:val="DefaultParagraphFont"/>
    <w:link w:val="CommentText"/>
    <w:uiPriority w:val="99"/>
    <w:semiHidden/>
    <w:rsid w:val="00656F76"/>
  </w:style>
  <w:style w:type="paragraph" w:styleId="CommentSubject">
    <w:name w:val="annotation subject"/>
    <w:basedOn w:val="CommentText"/>
    <w:next w:val="CommentText"/>
    <w:link w:val="CommentSubjectChar"/>
    <w:uiPriority w:val="99"/>
    <w:semiHidden/>
    <w:unhideWhenUsed/>
    <w:rsid w:val="00656F76"/>
    <w:rPr>
      <w:b/>
      <w:bCs/>
    </w:rPr>
  </w:style>
  <w:style w:type="character" w:customStyle="1" w:styleId="CommentSubjectChar">
    <w:name w:val="Comment Subject Char"/>
    <w:link w:val="CommentSubject"/>
    <w:uiPriority w:val="99"/>
    <w:semiHidden/>
    <w:rsid w:val="00656F76"/>
    <w:rPr>
      <w:b/>
      <w:bCs/>
    </w:rPr>
  </w:style>
  <w:style w:type="paragraph" w:styleId="BalloonText">
    <w:name w:val="Balloon Text"/>
    <w:basedOn w:val="Normal"/>
    <w:link w:val="BalloonTextChar"/>
    <w:uiPriority w:val="99"/>
    <w:semiHidden/>
    <w:unhideWhenUsed/>
    <w:rsid w:val="00656F76"/>
    <w:rPr>
      <w:rFonts w:ascii="Tahoma" w:hAnsi="Tahoma" w:cs="Tahoma"/>
      <w:sz w:val="16"/>
      <w:szCs w:val="16"/>
    </w:rPr>
  </w:style>
  <w:style w:type="character" w:customStyle="1" w:styleId="BalloonTextChar">
    <w:name w:val="Balloon Text Char"/>
    <w:link w:val="BalloonText"/>
    <w:uiPriority w:val="99"/>
    <w:semiHidden/>
    <w:rsid w:val="00656F76"/>
    <w:rPr>
      <w:rFonts w:ascii="Tahoma" w:hAnsi="Tahoma" w:cs="Tahoma"/>
      <w:sz w:val="16"/>
      <w:szCs w:val="16"/>
    </w:rPr>
  </w:style>
  <w:style w:type="character" w:customStyle="1" w:styleId="FooterChar">
    <w:name w:val="Footer Char"/>
    <w:basedOn w:val="DefaultParagraphFont"/>
    <w:link w:val="Footer"/>
    <w:uiPriority w:val="99"/>
    <w:rsid w:val="00E7076F"/>
  </w:style>
  <w:style w:type="character" w:styleId="Hyperlink">
    <w:name w:val="Hyperlink"/>
    <w:uiPriority w:val="99"/>
    <w:unhideWhenUsed/>
    <w:rsid w:val="00E027E5"/>
    <w:rPr>
      <w:color w:val="0000FF"/>
      <w:u w:val="single"/>
    </w:rPr>
  </w:style>
  <w:style w:type="character" w:styleId="FollowedHyperlink">
    <w:name w:val="FollowedHyperlink"/>
    <w:uiPriority w:val="99"/>
    <w:semiHidden/>
    <w:unhideWhenUsed/>
    <w:rsid w:val="00B874A4"/>
    <w:rPr>
      <w:color w:val="800080"/>
      <w:u w:val="single"/>
    </w:rPr>
  </w:style>
  <w:style w:type="character" w:customStyle="1" w:styleId="volume">
    <w:name w:val="volume"/>
    <w:rsid w:val="00D82D01"/>
  </w:style>
  <w:style w:type="character" w:customStyle="1" w:styleId="apple-converted-space">
    <w:name w:val="apple-converted-space"/>
    <w:rsid w:val="00D82D01"/>
  </w:style>
  <w:style w:type="character" w:customStyle="1" w:styleId="page">
    <w:name w:val="page"/>
    <w:rsid w:val="00D82D01"/>
  </w:style>
  <w:style w:type="table" w:styleId="TableGrid">
    <w:name w:val="Table Grid"/>
    <w:basedOn w:val="TableNormal"/>
    <w:uiPriority w:val="59"/>
    <w:rsid w:val="00AF0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94ACD"/>
    <w:pPr>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3969">
      <w:bodyDiv w:val="1"/>
      <w:marLeft w:val="0"/>
      <w:marRight w:val="0"/>
      <w:marTop w:val="0"/>
      <w:marBottom w:val="0"/>
      <w:divBdr>
        <w:top w:val="none" w:sz="0" w:space="0" w:color="auto"/>
        <w:left w:val="none" w:sz="0" w:space="0" w:color="auto"/>
        <w:bottom w:val="none" w:sz="0" w:space="0" w:color="auto"/>
        <w:right w:val="none" w:sz="0" w:space="0" w:color="auto"/>
      </w:divBdr>
      <w:divsChild>
        <w:div w:id="108306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7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2694167">
      <w:bodyDiv w:val="1"/>
      <w:marLeft w:val="0"/>
      <w:marRight w:val="0"/>
      <w:marTop w:val="0"/>
      <w:marBottom w:val="0"/>
      <w:divBdr>
        <w:top w:val="none" w:sz="0" w:space="0" w:color="auto"/>
        <w:left w:val="none" w:sz="0" w:space="0" w:color="auto"/>
        <w:bottom w:val="none" w:sz="0" w:space="0" w:color="auto"/>
        <w:right w:val="none" w:sz="0" w:space="0" w:color="auto"/>
      </w:divBdr>
    </w:div>
    <w:div w:id="748236071">
      <w:bodyDiv w:val="1"/>
      <w:marLeft w:val="0"/>
      <w:marRight w:val="0"/>
      <w:marTop w:val="0"/>
      <w:marBottom w:val="0"/>
      <w:divBdr>
        <w:top w:val="none" w:sz="0" w:space="0" w:color="auto"/>
        <w:left w:val="none" w:sz="0" w:space="0" w:color="auto"/>
        <w:bottom w:val="none" w:sz="0" w:space="0" w:color="auto"/>
        <w:right w:val="none" w:sz="0" w:space="0" w:color="auto"/>
      </w:divBdr>
    </w:div>
    <w:div w:id="1005591317">
      <w:bodyDiv w:val="1"/>
      <w:marLeft w:val="0"/>
      <w:marRight w:val="0"/>
      <w:marTop w:val="0"/>
      <w:marBottom w:val="0"/>
      <w:divBdr>
        <w:top w:val="none" w:sz="0" w:space="0" w:color="auto"/>
        <w:left w:val="none" w:sz="0" w:space="0" w:color="auto"/>
        <w:bottom w:val="none" w:sz="0" w:space="0" w:color="auto"/>
        <w:right w:val="none" w:sz="0" w:space="0" w:color="auto"/>
      </w:divBdr>
    </w:div>
    <w:div w:id="15874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mfs.noaa.gov/pr/pdfs/laws/e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9CF2-0070-4CFB-ACE1-F81DA7D9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5229</Words>
  <Characters>29809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34969</CharactersWithSpaces>
  <SharedDoc>false</SharedDoc>
  <HLinks>
    <vt:vector size="6" baseType="variant">
      <vt:variant>
        <vt:i4>5701634</vt:i4>
      </vt:variant>
      <vt:variant>
        <vt:i4>2</vt:i4>
      </vt:variant>
      <vt:variant>
        <vt:i4>0</vt:i4>
      </vt:variant>
      <vt:variant>
        <vt:i4>5</vt:i4>
      </vt:variant>
      <vt:variant>
        <vt:lpwstr>http://www.nmfs.noaa.gov/pr/pdfs/laws/esa.pdf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3</cp:revision>
  <cp:lastPrinted>2017-05-10T18:56:00Z</cp:lastPrinted>
  <dcterms:created xsi:type="dcterms:W3CDTF">2020-07-02T18:15:00Z</dcterms:created>
  <dcterms:modified xsi:type="dcterms:W3CDTF">2020-07-13T18:33:00Z</dcterms:modified>
</cp:coreProperties>
</file>