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3242" w:rsidR="00AA659C" w:rsidP="00AA659C" w:rsidRDefault="00AA659C">
      <w:pPr>
        <w:widowControl w:val="0"/>
        <w:ind w:left="2880" w:firstLine="720"/>
        <w:rPr>
          <w:sz w:val="16"/>
          <w:szCs w:val="16"/>
          <w:lang w:val="pt-BR"/>
        </w:rPr>
      </w:pPr>
      <w:bookmarkStart w:name="_GoBack" w:id="0"/>
      <w:bookmarkEnd w:id="0"/>
      <w:r w:rsidRPr="00703242">
        <w:rPr>
          <w:sz w:val="18"/>
          <w:szCs w:val="18"/>
          <w:lang w:val="pt-BR"/>
        </w:rPr>
        <w:t xml:space="preserve">                                                                                                   </w:t>
      </w:r>
      <w:r w:rsidRPr="00703242">
        <w:rPr>
          <w:sz w:val="16"/>
          <w:szCs w:val="16"/>
          <w:lang w:val="pt-BR"/>
        </w:rPr>
        <w:t>Approved OMB No. 0581-0093</w:t>
      </w:r>
    </w:p>
    <w:tbl>
      <w:tblPr>
        <w:tblW w:w="11070" w:type="dxa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040"/>
      </w:tblGrid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70" w:type="dxa"/>
            <w:gridSpan w:val="3"/>
            <w:tcBorders>
              <w:top w:val="double" w:color="000000" w:sz="6" w:space="0"/>
              <w:left w:val="nil"/>
              <w:bottom w:val="nil"/>
              <w:right w:val="nil"/>
            </w:tcBorders>
            <w:vAlign w:val="center"/>
          </w:tcPr>
          <w:p w:rsidRPr="00703242" w:rsidR="00AA659C" w:rsidP="00890C4A" w:rsidRDefault="00AA659C">
            <w:pPr>
              <w:tabs>
                <w:tab w:val="left" w:pos="6165"/>
              </w:tabs>
              <w:jc w:val="center"/>
              <w:rPr>
                <w:b/>
                <w:bCs/>
                <w:sz w:val="18"/>
                <w:szCs w:val="18"/>
                <w:lang w:val="pt-BR"/>
              </w:rPr>
            </w:pPr>
          </w:p>
          <w:p w:rsidRPr="00703242" w:rsidR="00AA659C" w:rsidP="00AA659C" w:rsidRDefault="00AA659C">
            <w:pPr>
              <w:spacing w:after="120"/>
              <w:jc w:val="center"/>
              <w:rPr>
                <w:b/>
                <w:sz w:val="22"/>
                <w:szCs w:val="22"/>
                <w:lang w:val="pt-BR"/>
              </w:rPr>
            </w:pPr>
            <w:r w:rsidRPr="00703242">
              <w:rPr>
                <w:b/>
                <w:bCs/>
                <w:sz w:val="22"/>
                <w:szCs w:val="22"/>
                <w:lang w:val="pt-BR"/>
              </w:rPr>
              <w:t>NATIONAL MANGO BOARD</w:t>
            </w:r>
          </w:p>
        </w:tc>
      </w:tr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7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Pr="00703242" w:rsidR="00AA659C" w:rsidP="00890C4A" w:rsidRDefault="00AA659C">
            <w:pPr>
              <w:widowControl w:val="0"/>
              <w:jc w:val="center"/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DESIGNAÇÃO PARA PRESTAR SERVIÇO NA NATIONAL MANGO BOARD</w:t>
            </w:r>
          </w:p>
          <w:p w:rsidRPr="00703242" w:rsidR="00AA659C" w:rsidP="00AA659C" w:rsidRDefault="00AA659C">
            <w:pPr>
              <w:spacing w:after="120"/>
              <w:jc w:val="center"/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(Conforme o Decreto de Promoção, Investigação e Informação da Manga)</w:t>
            </w:r>
          </w:p>
        </w:tc>
      </w:tr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10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:rsidRPr="00703242" w:rsidR="00AA659C" w:rsidP="00890C4A" w:rsidRDefault="00AA659C">
            <w:pPr>
              <w:rPr>
                <w:sz w:val="16"/>
                <w:szCs w:val="16"/>
                <w:lang w:val="pt-BR"/>
              </w:rPr>
            </w:pPr>
            <w:r w:rsidRPr="00703242">
              <w:rPr>
                <w:sz w:val="16"/>
                <w:szCs w:val="16"/>
                <w:lang w:val="pt-BR"/>
              </w:rPr>
              <w:t>O decreto da National Mango Board determina que todos importadores, primeiros manejadores, produtores domésticos e organizações de produtores estrangeiros, podem designar membros candidatos a prestar serviço na National Mango Board.</w:t>
            </w:r>
          </w:p>
          <w:p w:rsidRPr="00703242" w:rsidR="00AA659C" w:rsidP="00890C4A" w:rsidRDefault="00AA659C">
            <w:pPr>
              <w:rPr>
                <w:bCs/>
                <w:i/>
                <w:iCs/>
                <w:sz w:val="16"/>
                <w:szCs w:val="16"/>
                <w:lang w:val="pt-BR"/>
              </w:rPr>
            </w:pPr>
          </w:p>
          <w:p w:rsidRPr="00703242" w:rsidR="00AA659C" w:rsidP="00890C4A" w:rsidRDefault="00AA659C">
            <w:pPr>
              <w:rPr>
                <w:bCs/>
                <w:i/>
                <w:iCs/>
                <w:sz w:val="16"/>
                <w:szCs w:val="16"/>
                <w:lang w:val="pt-BR"/>
              </w:rPr>
            </w:pPr>
            <w:r w:rsidRPr="00703242">
              <w:rPr>
                <w:bCs/>
                <w:i/>
                <w:iCs/>
                <w:sz w:val="16"/>
                <w:szCs w:val="16"/>
                <w:lang w:val="pt-BR"/>
              </w:rPr>
              <w:t xml:space="preserve">Anexe uma folha em separado se for necesario espaço adicional. Favor apresentar um formulário individual para </w:t>
            </w:r>
            <w:r w:rsidRPr="00703242">
              <w:rPr>
                <w:bCs/>
                <w:i/>
                <w:iCs/>
                <w:sz w:val="16"/>
                <w:szCs w:val="16"/>
                <w:u w:val="single"/>
                <w:lang w:val="pt-BR"/>
              </w:rPr>
              <w:t>cada</w:t>
            </w:r>
            <w:r w:rsidRPr="00703242">
              <w:rPr>
                <w:bCs/>
                <w:i/>
                <w:iCs/>
                <w:sz w:val="16"/>
                <w:szCs w:val="16"/>
                <w:lang w:val="pt-BR"/>
              </w:rPr>
              <w:t xml:space="preserve"> candidato.</w:t>
            </w:r>
          </w:p>
        </w:tc>
      </w:tr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  <w:trHeight w:val="650" w:hRule="exact"/>
        </w:trPr>
        <w:tc>
          <w:tcPr>
            <w:tcW w:w="57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:rsidRPr="00703242" w:rsidR="00AA659C" w:rsidP="00890C4A" w:rsidRDefault="00AA659C">
            <w:pPr>
              <w:widowControl w:val="0"/>
              <w:spacing w:before="120"/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NOME, ENDEREÇO COMERCIAL E TELEFONE DO CANDIDATO</w:t>
            </w:r>
          </w:p>
          <w:p w:rsidRPr="00703242" w:rsidR="00AA659C" w:rsidP="00890C4A" w:rsidRDefault="00AA659C">
            <w:pPr>
              <w:widowControl w:val="0"/>
              <w:spacing w:before="120"/>
              <w:rPr>
                <w:sz w:val="18"/>
                <w:szCs w:val="18"/>
                <w:lang w:val="pt-BR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:rsidRPr="00703242" w:rsidR="00AA659C" w:rsidP="00890C4A" w:rsidRDefault="00AA659C">
            <w:pPr>
              <w:widowControl w:val="0"/>
              <w:spacing w:before="120"/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 xml:space="preserve">     MARQUE UM</w:t>
            </w:r>
          </w:p>
        </w:tc>
      </w:tr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  <w:trHeight w:val="2610"/>
        </w:trPr>
        <w:tc>
          <w:tcPr>
            <w:tcW w:w="5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703242" w:rsidR="00AA659C" w:rsidP="00890C4A" w:rsidRDefault="00AA659C">
            <w:pPr>
              <w:widowControl w:val="0"/>
              <w:spacing w:before="12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</w:tc>
        <w:tc>
          <w:tcPr>
            <w:tcW w:w="27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</w:tcPr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Pr="00703242" w:rsidR="00AA659C" w:rsidP="00890C4A" w:rsidRDefault="00AA659C">
            <w:pPr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(   )  PRODUTOR NACIONAL</w:t>
            </w:r>
          </w:p>
          <w:p w:rsidRPr="00703242" w:rsidR="00AA659C" w:rsidP="00890C4A" w:rsidRDefault="00AA659C">
            <w:pPr>
              <w:ind w:left="420"/>
              <w:rPr>
                <w:sz w:val="14"/>
                <w:lang w:val="pt-BR"/>
              </w:rPr>
            </w:pPr>
            <w:r w:rsidRPr="00703242">
              <w:rPr>
                <w:b/>
                <w:i/>
                <w:sz w:val="14"/>
                <w:lang w:val="pt-BR"/>
              </w:rPr>
              <w:t>Produtor Nacional</w:t>
            </w:r>
            <w:r w:rsidRPr="00703242">
              <w:rPr>
                <w:sz w:val="14"/>
                <w:lang w:val="pt-BR"/>
              </w:rPr>
              <w:t xml:space="preserve"> se define como qualquer pessoa que se dedica à produção e venda de manga nos Estados Unidos e que seja proprietário ou tenha participação na propriedade e risco de perda da colheita, ou uma pessoa que se dedique ao negócio de produzir ou causar a produção de mangas além do consumo de sua  própria familia e que tenha valor como o primeiro ponto de venda.</w:t>
            </w:r>
          </w:p>
          <w:p w:rsidRPr="00703242" w:rsidR="00AA659C" w:rsidP="00890C4A" w:rsidRDefault="00AA659C">
            <w:pPr>
              <w:rPr>
                <w:sz w:val="12"/>
                <w:szCs w:val="16"/>
                <w:lang w:val="pt-BR"/>
              </w:rPr>
            </w:pPr>
          </w:p>
          <w:p w:rsidRPr="00703242" w:rsidR="00AA659C" w:rsidP="00890C4A" w:rsidRDefault="00AA659C">
            <w:pPr>
              <w:rPr>
                <w:sz w:val="20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 xml:space="preserve">(   )  </w:t>
            </w:r>
            <w:r w:rsidRPr="00703242">
              <w:rPr>
                <w:sz w:val="20"/>
                <w:lang w:val="pt-BR"/>
              </w:rPr>
              <w:t>PRIMEIRO MANEJADOR</w:t>
            </w:r>
          </w:p>
          <w:p w:rsidRPr="00703242" w:rsidR="00AA659C" w:rsidP="00890C4A" w:rsidRDefault="00AA659C">
            <w:pPr>
              <w:tabs>
                <w:tab w:val="left" w:pos="420"/>
              </w:tabs>
              <w:rPr>
                <w:sz w:val="14"/>
                <w:lang w:val="pt-BR"/>
              </w:rPr>
            </w:pPr>
            <w:r w:rsidRPr="00703242">
              <w:rPr>
                <w:b/>
                <w:i/>
                <w:sz w:val="14"/>
                <w:lang w:val="pt-BR"/>
              </w:rPr>
              <w:t xml:space="preserve">         Primeiro Manejador </w:t>
            </w:r>
            <w:r w:rsidRPr="00703242">
              <w:rPr>
                <w:sz w:val="14"/>
                <w:lang w:val="pt-BR"/>
              </w:rPr>
              <w:t xml:space="preserve">se define como qualquer pessoa (excluindo-se   </w:t>
            </w:r>
          </w:p>
          <w:p w:rsidRPr="00703242" w:rsidR="00AA659C" w:rsidP="00890C4A" w:rsidRDefault="00AA659C">
            <w:pPr>
              <w:tabs>
                <w:tab w:val="left" w:pos="420"/>
              </w:tabs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Um  fretista cumum ou contratado) que receba 500,000 ou mais libras   </w:t>
            </w:r>
          </w:p>
          <w:p w:rsidRPr="00703242" w:rsidR="00AA659C" w:rsidP="00890C4A" w:rsidRDefault="00AA659C">
            <w:pPr>
              <w:tabs>
                <w:tab w:val="left" w:pos="420"/>
              </w:tabs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de mangas de produtores durante um ano de calendário e que como </w:t>
            </w:r>
          </w:p>
          <w:p w:rsidRPr="00703242" w:rsidR="00AA659C" w:rsidP="00890C4A" w:rsidRDefault="00AA659C">
            <w:pPr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proprietário, agente ou outra função embarque ou cause o embarque  </w:t>
            </w:r>
          </w:p>
          <w:p w:rsidRPr="00703242" w:rsidR="00AA659C" w:rsidP="00890C4A" w:rsidRDefault="00AA659C">
            <w:pPr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de manga como definido no Decreto. Esta definição inclue aqueles que </w:t>
            </w:r>
          </w:p>
          <w:p w:rsidRPr="00703242" w:rsidR="00AA659C" w:rsidP="00890C4A" w:rsidRDefault="00AA659C">
            <w:pPr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se dedicam ao negócio de compra, venda e/ou oferta de venda;  </w:t>
            </w:r>
          </w:p>
          <w:p w:rsidRPr="00703242" w:rsidR="00AA659C" w:rsidP="00890C4A" w:rsidRDefault="00AA659C">
            <w:pPr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recepção, empacotamento, classificação, comercialização; ou  </w:t>
            </w:r>
          </w:p>
          <w:p w:rsidRPr="00703242" w:rsidR="00AA659C" w:rsidP="00890C4A" w:rsidRDefault="00AA659C">
            <w:pPr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distribuição de manga em quantidades comerciais. O termo primeiro  </w:t>
            </w:r>
          </w:p>
          <w:p w:rsidRPr="00703242" w:rsidR="00AA659C" w:rsidP="00890C4A" w:rsidRDefault="00AA659C">
            <w:pPr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manejador inclue qualquer  produtor que maneje ou comercialize sua  </w:t>
            </w:r>
          </w:p>
          <w:p w:rsidRPr="00703242" w:rsidR="00AA659C" w:rsidP="00890C4A" w:rsidRDefault="00AA659C">
            <w:pPr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própria produção,</w:t>
            </w:r>
          </w:p>
          <w:p w:rsidRPr="00703242" w:rsidR="00AA659C" w:rsidP="00890C4A" w:rsidRDefault="00AA659C">
            <w:pPr>
              <w:tabs>
                <w:tab w:val="left" w:pos="420"/>
              </w:tabs>
              <w:ind w:left="420"/>
              <w:rPr>
                <w:sz w:val="20"/>
                <w:lang w:val="pt-BR"/>
              </w:rPr>
            </w:pPr>
          </w:p>
          <w:p w:rsidRPr="00703242" w:rsidR="00AA659C" w:rsidP="00890C4A" w:rsidRDefault="00AA659C">
            <w:pPr>
              <w:rPr>
                <w:sz w:val="20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 xml:space="preserve">(   )  </w:t>
            </w:r>
            <w:r w:rsidRPr="00703242">
              <w:rPr>
                <w:sz w:val="20"/>
                <w:lang w:val="pt-BR"/>
              </w:rPr>
              <w:t>IMPORTADOR</w:t>
            </w:r>
          </w:p>
          <w:p w:rsidRPr="00703242" w:rsidR="00AA659C" w:rsidP="00890C4A" w:rsidRDefault="00AA659C">
            <w:pPr>
              <w:jc w:val="both"/>
              <w:rPr>
                <w:sz w:val="14"/>
                <w:lang w:val="pt-BR"/>
              </w:rPr>
            </w:pPr>
            <w:r w:rsidRPr="00703242">
              <w:rPr>
                <w:b/>
                <w:i/>
                <w:sz w:val="14"/>
                <w:lang w:val="pt-BR"/>
              </w:rPr>
              <w:t xml:space="preserve">         Importador</w:t>
            </w:r>
            <w:r w:rsidRPr="00703242">
              <w:rPr>
                <w:sz w:val="14"/>
                <w:lang w:val="pt-BR"/>
              </w:rPr>
              <w:t xml:space="preserve"> se define como qualquer pessoa que importa 500.000 ou  </w:t>
            </w:r>
          </w:p>
          <w:p w:rsidRPr="00703242" w:rsidR="00AA659C" w:rsidP="00890C4A" w:rsidRDefault="00AA659C">
            <w:pPr>
              <w:jc w:val="both"/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mais libras de mangas nos Estados Unidos em um ano de calendário  </w:t>
            </w:r>
          </w:p>
          <w:p w:rsidRPr="00703242" w:rsidR="00AA659C" w:rsidP="00890C4A" w:rsidRDefault="00AA659C">
            <w:pPr>
              <w:jc w:val="both"/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como principal, ou como agente, ou consignatário de qualquer pessoa  </w:t>
            </w:r>
          </w:p>
          <w:p w:rsidRPr="00703242" w:rsidR="00AA659C" w:rsidP="00890C4A" w:rsidRDefault="00AA659C">
            <w:pPr>
              <w:jc w:val="both"/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que produza ou manuseie manga fora dos Estados Unidos para venda  </w:t>
            </w:r>
          </w:p>
          <w:p w:rsidRPr="00703242" w:rsidR="00AA659C" w:rsidP="00890C4A" w:rsidRDefault="00AA659C">
            <w:pPr>
              <w:jc w:val="both"/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nos Estados Unidos; e quem seja listado como importdor registrado de </w:t>
            </w:r>
          </w:p>
          <w:p w:rsidRPr="00703242" w:rsidR="00AA659C" w:rsidP="00890C4A" w:rsidRDefault="00AA659C">
            <w:pPr>
              <w:jc w:val="both"/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 xml:space="preserve">         tais mangas.</w:t>
            </w:r>
          </w:p>
          <w:p w:rsidRPr="00703242" w:rsidR="00AA659C" w:rsidP="00890C4A" w:rsidRDefault="00AA659C">
            <w:pPr>
              <w:rPr>
                <w:sz w:val="20"/>
                <w:lang w:val="pt-BR"/>
              </w:rPr>
            </w:pPr>
          </w:p>
          <w:p w:rsidRPr="00703242" w:rsidR="00AA659C" w:rsidP="00890C4A" w:rsidRDefault="00AA659C">
            <w:pPr>
              <w:rPr>
                <w:sz w:val="20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(</w:t>
            </w:r>
            <w:r w:rsidRPr="00703242">
              <w:rPr>
                <w:color w:val="0000FF"/>
                <w:sz w:val="18"/>
                <w:szCs w:val="18"/>
                <w:lang w:val="pt-BR"/>
              </w:rPr>
              <w:t xml:space="preserve"> </w:t>
            </w:r>
            <w:r w:rsidRPr="00703242">
              <w:rPr>
                <w:sz w:val="18"/>
                <w:szCs w:val="18"/>
                <w:lang w:val="pt-BR"/>
              </w:rPr>
              <w:t xml:space="preserve">  </w:t>
            </w:r>
            <w:r w:rsidRPr="00703242">
              <w:rPr>
                <w:sz w:val="20"/>
                <w:lang w:val="pt-BR"/>
              </w:rPr>
              <w:t>)  PRODUTOR ESTRANGEIRO</w:t>
            </w:r>
          </w:p>
          <w:p w:rsidRPr="00703242" w:rsidR="00AA659C" w:rsidP="00890C4A" w:rsidRDefault="00AA659C">
            <w:pPr>
              <w:rPr>
                <w:sz w:val="14"/>
                <w:lang w:val="pt-BR"/>
              </w:rPr>
            </w:pPr>
            <w:r w:rsidRPr="00703242">
              <w:rPr>
                <w:i/>
                <w:sz w:val="14"/>
                <w:lang w:val="pt-BR"/>
              </w:rPr>
              <w:t xml:space="preserve">                   Produtor Estrangeiro</w:t>
            </w:r>
            <w:r w:rsidRPr="00703242">
              <w:rPr>
                <w:sz w:val="14"/>
                <w:lang w:val="pt-BR"/>
              </w:rPr>
              <w:t xml:space="preserve"> se define como qualquer pessoa que:</w:t>
            </w:r>
          </w:p>
          <w:p w:rsidRPr="00703242" w:rsidR="00AA659C" w:rsidP="00890C4A" w:rsidRDefault="00AA659C">
            <w:pPr>
              <w:numPr>
                <w:ilvl w:val="0"/>
                <w:numId w:val="2"/>
              </w:numPr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>Se dedica à produção de manga fora dos Estados Unidos e que seja proprietário, ou tenha participação  na propriedade e risco de perda da colheita a ser vendida no mercado dos Estados Unidos ou</w:t>
            </w:r>
          </w:p>
          <w:p w:rsidRPr="00703242" w:rsidR="00AA659C" w:rsidP="00890C4A" w:rsidRDefault="00AA659C">
            <w:pPr>
              <w:ind w:left="390"/>
              <w:rPr>
                <w:sz w:val="14"/>
                <w:lang w:val="pt-BR"/>
              </w:rPr>
            </w:pPr>
          </w:p>
          <w:p w:rsidRPr="00703242" w:rsidR="00AA659C" w:rsidP="00890C4A" w:rsidRDefault="00AA659C">
            <w:pPr>
              <w:numPr>
                <w:ilvl w:val="0"/>
                <w:numId w:val="2"/>
              </w:numPr>
              <w:jc w:val="both"/>
              <w:rPr>
                <w:sz w:val="14"/>
                <w:lang w:val="pt-BR"/>
              </w:rPr>
            </w:pPr>
            <w:r w:rsidRPr="00703242">
              <w:rPr>
                <w:sz w:val="14"/>
                <w:lang w:val="pt-BR"/>
              </w:rPr>
              <w:t>Que se dedica fora dos Estados Unidos ao negócio de produzir, ou causar a produção de mangas além do consumo de sua própria familia, tendo valor como o primeiro ponto de venda.</w:t>
            </w:r>
          </w:p>
        </w:tc>
      </w:tr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:rsidRPr="00703242" w:rsidR="00AA659C" w:rsidP="00890C4A" w:rsidRDefault="00AA659C">
            <w:pPr>
              <w:widowControl w:val="0"/>
              <w:spacing w:before="120"/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NOME E ENDEREÇO DA PESSOA OU ORGANIZAÇÃO ESTRANGEIRA  ELEGÍVEL APRESENTANDO A DESIGNAÇÃO</w:t>
            </w: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</w:tc>
      </w:tr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NOME DA PESSOA RESPONSÁVEL (LETRA DE FORMA)</w:t>
            </w: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Pr="00703242" w:rsidR="00AA659C" w:rsidP="00890C4A" w:rsidRDefault="00AA659C">
            <w:pPr>
              <w:widowControl w:val="0"/>
              <w:spacing w:before="120"/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ASSINATURA</w:t>
            </w: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</w:tc>
      </w:tr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Pr="00703242" w:rsidR="00AA659C" w:rsidP="00890C4A" w:rsidRDefault="00AA659C">
            <w:pPr>
              <w:widowControl w:val="0"/>
              <w:spacing w:before="120"/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CARGO DA PESSOA RESPONSÁVEL (LETRA DE FORMA)</w:t>
            </w: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Pr="00703242" w:rsidR="00AA659C" w:rsidP="00890C4A" w:rsidRDefault="00AA659C">
            <w:pPr>
              <w:widowControl w:val="0"/>
              <w:spacing w:before="120"/>
              <w:rPr>
                <w:sz w:val="18"/>
                <w:szCs w:val="18"/>
                <w:lang w:val="pt-BR"/>
              </w:rPr>
            </w:pPr>
            <w:r w:rsidRPr="00703242">
              <w:rPr>
                <w:sz w:val="18"/>
                <w:szCs w:val="18"/>
                <w:lang w:val="pt-BR"/>
              </w:rPr>
              <w:t>DATA</w:t>
            </w: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</w:tc>
      </w:tr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:rsidRPr="00703242" w:rsidR="00AA659C" w:rsidP="00890C4A" w:rsidRDefault="00AA659C">
            <w:pPr>
              <w:widowControl w:val="0"/>
              <w:rPr>
                <w:sz w:val="16"/>
                <w:szCs w:val="16"/>
                <w:lang w:val="pt-BR"/>
              </w:rPr>
            </w:pPr>
            <w:r w:rsidRPr="00703242">
              <w:rPr>
                <w:sz w:val="16"/>
                <w:szCs w:val="16"/>
                <w:lang w:val="pt-BR"/>
              </w:rPr>
              <w:t>ENVIE O ORIGINAL PARA: NATIONAL MANGO BOARD</w:t>
            </w:r>
          </w:p>
          <w:p w:rsidRPr="00703242" w:rsidR="00AA659C" w:rsidP="00890C4A" w:rsidRDefault="00AA659C">
            <w:pPr>
              <w:widowControl w:val="0"/>
              <w:tabs>
                <w:tab w:val="left" w:pos="2295"/>
                <w:tab w:val="left" w:pos="2400"/>
              </w:tabs>
              <w:rPr>
                <w:sz w:val="16"/>
                <w:szCs w:val="16"/>
                <w:lang w:val="pt-BR"/>
              </w:rPr>
            </w:pPr>
            <w:r w:rsidRPr="00703242">
              <w:rPr>
                <w:sz w:val="16"/>
                <w:szCs w:val="16"/>
                <w:lang w:val="pt-BR"/>
              </w:rPr>
              <w:t xml:space="preserve">                                               </w:t>
            </w:r>
            <w:r w:rsidR="00BB1884">
              <w:rPr>
                <w:sz w:val="16"/>
                <w:szCs w:val="16"/>
                <w:lang w:val="pt-BR"/>
              </w:rPr>
              <w:t xml:space="preserve">   </w:t>
            </w:r>
            <w:r w:rsidRPr="00703242" w:rsidR="00FD0B87">
              <w:rPr>
                <w:sz w:val="16"/>
                <w:szCs w:val="16"/>
                <w:lang w:val="pt-BR"/>
              </w:rPr>
              <w:t>Street</w:t>
            </w:r>
          </w:p>
          <w:p w:rsidRPr="00703242" w:rsidR="00AA659C" w:rsidP="00890C4A" w:rsidRDefault="00AA659C">
            <w:pPr>
              <w:widowControl w:val="0"/>
              <w:tabs>
                <w:tab w:val="left" w:pos="2295"/>
                <w:tab w:val="left" w:pos="2400"/>
              </w:tabs>
              <w:rPr>
                <w:sz w:val="16"/>
                <w:szCs w:val="16"/>
                <w:lang w:val="pt-BR"/>
              </w:rPr>
            </w:pPr>
            <w:r w:rsidRPr="00703242">
              <w:rPr>
                <w:sz w:val="16"/>
                <w:szCs w:val="16"/>
                <w:lang w:val="pt-BR"/>
              </w:rPr>
              <w:t xml:space="preserve">                                            </w:t>
            </w:r>
            <w:r w:rsidR="00BB1884">
              <w:rPr>
                <w:sz w:val="16"/>
                <w:szCs w:val="16"/>
                <w:lang w:val="pt-BR"/>
              </w:rPr>
              <w:t xml:space="preserve">   </w:t>
            </w:r>
            <w:r w:rsidRPr="00703242">
              <w:rPr>
                <w:sz w:val="16"/>
                <w:szCs w:val="16"/>
                <w:lang w:val="pt-BR"/>
              </w:rPr>
              <w:t xml:space="preserve">   </w:t>
            </w:r>
            <w:r w:rsidRPr="00703242" w:rsidR="00FD0B87">
              <w:rPr>
                <w:sz w:val="16"/>
                <w:szCs w:val="16"/>
                <w:lang w:val="pt-BR"/>
              </w:rPr>
              <w:t>City, State, Zip</w:t>
            </w:r>
          </w:p>
          <w:p w:rsidRPr="00703242" w:rsidR="00AA659C" w:rsidP="00890C4A" w:rsidRDefault="00AA659C">
            <w:pPr>
              <w:widowControl w:val="0"/>
              <w:tabs>
                <w:tab w:val="left" w:pos="2400"/>
              </w:tabs>
              <w:rPr>
                <w:sz w:val="16"/>
                <w:szCs w:val="16"/>
                <w:lang w:val="pt-BR"/>
              </w:rPr>
            </w:pPr>
            <w:r w:rsidRPr="00703242">
              <w:rPr>
                <w:sz w:val="16"/>
                <w:szCs w:val="16"/>
                <w:lang w:val="pt-BR"/>
              </w:rPr>
              <w:t xml:space="preserve">                                              </w:t>
            </w:r>
            <w:r w:rsidR="00BB1884">
              <w:rPr>
                <w:sz w:val="16"/>
                <w:szCs w:val="16"/>
                <w:lang w:val="pt-BR"/>
              </w:rPr>
              <w:t xml:space="preserve">    </w:t>
            </w:r>
            <w:r w:rsidR="00C86F96">
              <w:rPr>
                <w:sz w:val="16"/>
                <w:szCs w:val="16"/>
                <w:lang w:val="pt-BR"/>
              </w:rPr>
              <w:t>Telephone No. (XXX) XXX-XXXX</w:t>
            </w:r>
          </w:p>
          <w:p w:rsidRPr="00703242" w:rsidR="00AA659C" w:rsidP="00890C4A" w:rsidRDefault="00AA659C">
            <w:pPr>
              <w:widowControl w:val="0"/>
              <w:tabs>
                <w:tab w:val="left" w:pos="5190"/>
              </w:tabs>
              <w:rPr>
                <w:sz w:val="18"/>
                <w:szCs w:val="18"/>
                <w:lang w:val="pt-BR"/>
              </w:rPr>
            </w:pPr>
            <w:r w:rsidRPr="00703242">
              <w:rPr>
                <w:sz w:val="16"/>
                <w:szCs w:val="16"/>
                <w:lang w:val="pt-BR"/>
              </w:rPr>
              <w:t xml:space="preserve">                                               </w:t>
            </w:r>
          </w:p>
        </w:tc>
      </w:tr>
      <w:tr w:rsidRPr="00703242" w:rsidR="00AA659C" w:rsidTr="00890C4A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1070" w:type="dxa"/>
            <w:gridSpan w:val="3"/>
            <w:tcBorders>
              <w:top w:val="single" w:color="000000" w:sz="8" w:space="0"/>
              <w:left w:val="nil"/>
              <w:bottom w:val="double" w:color="000000" w:sz="6" w:space="0"/>
              <w:right w:val="nil"/>
            </w:tcBorders>
          </w:tcPr>
          <w:p w:rsidRPr="00703242" w:rsidR="00AA659C" w:rsidP="00890C4A" w:rsidRDefault="00AA659C">
            <w:pPr>
              <w:widowControl w:val="0"/>
              <w:rPr>
                <w:sz w:val="18"/>
                <w:szCs w:val="18"/>
                <w:lang w:val="pt-BR"/>
              </w:rPr>
            </w:pPr>
          </w:p>
        </w:tc>
      </w:tr>
    </w:tbl>
    <w:p w:rsidRPr="00703242" w:rsidR="00274426" w:rsidP="00AA659C" w:rsidRDefault="00274426">
      <w:pPr>
        <w:widowControl w:val="0"/>
        <w:spacing w:line="360" w:lineRule="auto"/>
        <w:rPr>
          <w:sz w:val="16"/>
          <w:szCs w:val="16"/>
          <w:lang w:val="pt-BR"/>
        </w:rPr>
        <w:sectPr w:rsidRPr="00703242" w:rsidR="00274426" w:rsidSect="005E6C0A">
          <w:headerReference w:type="default" r:id="rId7"/>
          <w:footerReference w:type="even" r:id="rId8"/>
          <w:footerReference w:type="default" r:id="rId9"/>
          <w:footnotePr>
            <w:numFmt w:val="lowerLetter"/>
          </w:footnotePr>
          <w:endnotePr>
            <w:numFmt w:val="lowerLetter"/>
          </w:endnotePr>
          <w:pgSz w:w="12240" w:h="15840"/>
          <w:pgMar w:top="432" w:right="720" w:bottom="720" w:left="720" w:header="576" w:footer="288" w:gutter="0"/>
          <w:cols w:space="720"/>
          <w:docGrid w:linePitch="326"/>
        </w:sectPr>
      </w:pPr>
    </w:p>
    <w:p w:rsidRPr="00703242" w:rsidR="00AA659C" w:rsidP="00AA659C" w:rsidRDefault="00AA659C">
      <w:pPr>
        <w:spacing w:line="202" w:lineRule="auto"/>
        <w:ind w:right="-51"/>
        <w:rPr>
          <w:i/>
          <w:iCs/>
          <w:sz w:val="18"/>
          <w:szCs w:val="18"/>
        </w:rPr>
      </w:pPr>
    </w:p>
    <w:p w:rsidRPr="00703242" w:rsidR="009D01CE" w:rsidP="009D01CE" w:rsidRDefault="009D01CE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center"/>
        <w:rPr>
          <w:b/>
          <w:sz w:val="20"/>
          <w:lang w:val="pt-BR"/>
        </w:rPr>
      </w:pPr>
      <w:r w:rsidRPr="00703242">
        <w:rPr>
          <w:b/>
          <w:sz w:val="20"/>
          <w:lang w:val="pt-BR"/>
        </w:rPr>
        <w:t>DECLARAÇÃO SOBRE DIVERSIDADE</w:t>
      </w:r>
    </w:p>
    <w:p w:rsidRPr="00703242" w:rsidR="009D01CE" w:rsidP="009D01CE" w:rsidRDefault="009D01CE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b/>
          <w:sz w:val="20"/>
          <w:lang w:val="pt-BR"/>
        </w:rPr>
      </w:pPr>
    </w:p>
    <w:p w:rsidRPr="00703242" w:rsidR="009D01CE" w:rsidP="009D01CE" w:rsidRDefault="009D01C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lang w:val="pt-BR"/>
        </w:rPr>
      </w:pPr>
      <w:r w:rsidRPr="00703242">
        <w:rPr>
          <w:sz w:val="20"/>
          <w:lang w:val="pt-BR"/>
        </w:rPr>
        <w:t xml:space="preserve">A NMB incentiva os membros da indústria da manga a participarem das atividades da NMB e buscarem uma posição na NMB, sem distinção de raça, cor, origem, sexo, religião, idade, incapacidade física, convicções </w:t>
      </w:r>
      <w:r w:rsidRPr="00703242">
        <w:rPr>
          <w:b/>
          <w:sz w:val="20"/>
          <w:lang w:val="pt-BR"/>
        </w:rPr>
        <w:t>políticas, orientação sexual, porte da empresa/operação, estado civil ou situação familiar ou outro caso protegigo</w:t>
      </w:r>
      <w:r w:rsidRPr="00703242">
        <w:rPr>
          <w:sz w:val="20"/>
          <w:lang w:val="pt-BR"/>
        </w:rPr>
        <w:t xml:space="preserve"> pelas leis dos Estados Unidos.</w:t>
      </w:r>
    </w:p>
    <w:p w:rsidRPr="00703242" w:rsidR="00713D8D" w:rsidP="00274426" w:rsidRDefault="00713D8D">
      <w:pPr>
        <w:spacing w:line="202" w:lineRule="auto"/>
        <w:ind w:right="-51"/>
        <w:rPr>
          <w:i/>
          <w:iCs/>
          <w:sz w:val="18"/>
          <w:szCs w:val="18"/>
          <w:lang w:val="pt-BR"/>
        </w:rPr>
      </w:pPr>
    </w:p>
    <w:p w:rsidRPr="00703242" w:rsidR="00713D8D" w:rsidP="00274426" w:rsidRDefault="00713D8D">
      <w:pPr>
        <w:spacing w:line="202" w:lineRule="auto"/>
        <w:ind w:right="-51"/>
        <w:rPr>
          <w:i/>
          <w:iCs/>
          <w:sz w:val="18"/>
          <w:szCs w:val="18"/>
          <w:lang w:val="pt-BR"/>
        </w:rPr>
      </w:pPr>
    </w:p>
    <w:p w:rsidRPr="00703242" w:rsidR="00713D8D" w:rsidP="00274426" w:rsidRDefault="00713D8D">
      <w:pPr>
        <w:spacing w:line="202" w:lineRule="auto"/>
        <w:ind w:right="-51"/>
        <w:rPr>
          <w:i/>
          <w:iCs/>
          <w:sz w:val="18"/>
          <w:szCs w:val="18"/>
          <w:lang w:val="pt-BR"/>
        </w:rPr>
      </w:pPr>
    </w:p>
    <w:p w:rsidRPr="00703242" w:rsidR="00713D8D" w:rsidP="00274426" w:rsidRDefault="00713D8D">
      <w:pPr>
        <w:spacing w:line="202" w:lineRule="auto"/>
        <w:ind w:right="-51"/>
        <w:rPr>
          <w:i/>
          <w:iCs/>
          <w:sz w:val="18"/>
          <w:szCs w:val="18"/>
          <w:lang w:val="pt-BR"/>
        </w:rPr>
      </w:pPr>
    </w:p>
    <w:p w:rsidRPr="00703242" w:rsidR="00AA659C" w:rsidP="00274426" w:rsidRDefault="00AA659C">
      <w:pPr>
        <w:spacing w:line="202" w:lineRule="auto"/>
        <w:ind w:right="-51"/>
        <w:rPr>
          <w:i/>
          <w:sz w:val="20"/>
          <w:lang w:val="pt-BR"/>
        </w:rPr>
      </w:pPr>
      <w:r w:rsidRPr="00703242">
        <w:rPr>
          <w:i/>
          <w:iCs/>
          <w:sz w:val="20"/>
          <w:lang w:val="pt-BR"/>
        </w:rPr>
        <w:t>De acordo com a Lei de 1995 sobre Reduç</w:t>
      </w:r>
      <w:r w:rsidRPr="00703242">
        <w:rPr>
          <w:i/>
          <w:sz w:val="20"/>
          <w:lang w:val="pt-BR"/>
        </w:rPr>
        <w:t>ão de Documentos Burocráticos, não é permitido a uma agencia direcionar ou patrocinar alguém e  também  um indivíduo não tem a obrigatoriedade de fornecer coletanea de informações a não ser que exista um  número de controle OMB válido. O número OMB válido para esta coletanea de informações é 0581-0093. O tempo necessário  para completar esta coletanea de informações é estimado em média 15 minutos por resposta, incluindo o tempo para revisar as instruções, pesquisar  fontes de dados existentes, coletar e manter os dados recebidos e preencher e revisar a coletanea de informações.</w:t>
      </w:r>
    </w:p>
    <w:p w:rsidRPr="00703242" w:rsidR="00A26A1C" w:rsidP="00274426" w:rsidRDefault="00A26A1C">
      <w:pPr>
        <w:spacing w:line="202" w:lineRule="auto"/>
        <w:ind w:right="-51"/>
        <w:rPr>
          <w:i/>
          <w:sz w:val="20"/>
          <w:lang w:val="pt-BR"/>
        </w:rPr>
      </w:pPr>
    </w:p>
    <w:p w:rsidRPr="00703242" w:rsidR="00A26A1C" w:rsidP="00274426" w:rsidRDefault="00A26A1C">
      <w:pPr>
        <w:spacing w:line="202" w:lineRule="auto"/>
        <w:ind w:right="-51"/>
        <w:rPr>
          <w:i/>
          <w:sz w:val="20"/>
          <w:lang w:val="pt-BR"/>
        </w:rPr>
      </w:pPr>
      <w:r w:rsidRPr="00703242">
        <w:rPr>
          <w:i/>
          <w:sz w:val="20"/>
          <w:lang w:val="pt-BR"/>
        </w:rPr>
        <w:t>De acordo com a legislação federal de direitos civis e a regulamentação e políticas do Departamento de Agricultura dos EUA (USDA), é proibido que suas agências, escritórios e instituições que participam em ou administram os programas do USDA discriminem, seja por raça, cor, nação de origem, religião, sexo, identidade de gênero (inclusive a expressão de gênero), orientação sexual, deficiência física, idade, estado civil, estado familiar/parental, renda derivada de um programa de assistência pública, crenças políticas ou represálias ou retaliações por atividades prévias de direitos civis, em qualquer programa ou atividade conduzida ou financiada pelo USDA</w:t>
      </w:r>
      <w:r w:rsidRPr="00703242" w:rsidR="00CB2C9E">
        <w:rPr>
          <w:i/>
          <w:sz w:val="20"/>
          <w:lang w:val="pt-BR"/>
        </w:rPr>
        <w:t xml:space="preserve"> (nem todas as bases são aplicáveis a todos os programas). Os prazos para recursos legais e denúncias variam dependendo do programa ou atividade.</w:t>
      </w:r>
    </w:p>
    <w:p w:rsidRPr="00703242" w:rsidR="00C8125B" w:rsidP="00274426" w:rsidRDefault="00C8125B">
      <w:pPr>
        <w:spacing w:line="202" w:lineRule="auto"/>
        <w:ind w:right="-51"/>
        <w:rPr>
          <w:i/>
          <w:sz w:val="20"/>
          <w:lang w:val="pt-BR"/>
        </w:rPr>
      </w:pPr>
    </w:p>
    <w:p w:rsidRPr="00703242" w:rsidR="00CB2C9E" w:rsidP="00274426" w:rsidRDefault="00C8125B">
      <w:pPr>
        <w:spacing w:line="202" w:lineRule="auto"/>
        <w:ind w:right="-51"/>
        <w:rPr>
          <w:i/>
          <w:sz w:val="20"/>
          <w:lang w:val="pt-BR"/>
        </w:rPr>
      </w:pPr>
      <w:r w:rsidRPr="00703242">
        <w:rPr>
          <w:i/>
          <w:sz w:val="20"/>
          <w:lang w:val="pt-BR"/>
        </w:rPr>
        <w:t>Indivíduos</w:t>
      </w:r>
      <w:r w:rsidRPr="00703242" w:rsidR="00CB2C9E">
        <w:rPr>
          <w:i/>
          <w:sz w:val="20"/>
          <w:lang w:val="pt-BR"/>
        </w:rPr>
        <w:t xml:space="preserve"> com deficiências que </w:t>
      </w:r>
      <w:r w:rsidRPr="00703242">
        <w:rPr>
          <w:i/>
          <w:sz w:val="20"/>
          <w:lang w:val="pt-BR"/>
        </w:rPr>
        <w:t>requeiram</w:t>
      </w:r>
      <w:r w:rsidRPr="00703242" w:rsidR="00CB2C9E">
        <w:rPr>
          <w:i/>
          <w:sz w:val="20"/>
          <w:lang w:val="pt-BR"/>
        </w:rPr>
        <w:t xml:space="preserve"> meios alternativos de comunicação para </w:t>
      </w:r>
      <w:r w:rsidRPr="00703242">
        <w:rPr>
          <w:i/>
          <w:sz w:val="20"/>
          <w:lang w:val="pt-BR"/>
        </w:rPr>
        <w:t xml:space="preserve">acessar </w:t>
      </w:r>
      <w:r w:rsidRPr="00703242" w:rsidR="00CB2C9E">
        <w:rPr>
          <w:i/>
          <w:sz w:val="20"/>
          <w:lang w:val="pt-BR"/>
        </w:rPr>
        <w:t xml:space="preserve">as informações </w:t>
      </w:r>
      <w:r w:rsidRPr="00703242">
        <w:rPr>
          <w:i/>
          <w:sz w:val="20"/>
          <w:lang w:val="pt-BR"/>
        </w:rPr>
        <w:t>sobre programas (por exemplo,</w:t>
      </w:r>
      <w:r w:rsidRPr="00703242" w:rsidR="00CB2C9E">
        <w:rPr>
          <w:i/>
          <w:sz w:val="20"/>
          <w:lang w:val="pt-BR"/>
        </w:rPr>
        <w:t xml:space="preserve"> Braille, letra grande, gravações, linguagem gestual, etc.) devem comunicar com a agência responsável ou com o Centro TARGET do USDA (fone: 202 720-2600 (voz e TTY)</w:t>
      </w:r>
      <w:r w:rsidRPr="00703242">
        <w:rPr>
          <w:i/>
          <w:sz w:val="20"/>
          <w:lang w:val="pt-BR"/>
        </w:rPr>
        <w:t>) ou comunicar</w:t>
      </w:r>
      <w:r w:rsidRPr="00703242" w:rsidR="00CB2C9E">
        <w:rPr>
          <w:i/>
          <w:sz w:val="20"/>
          <w:lang w:val="pt-BR"/>
        </w:rPr>
        <w:t xml:space="preserve"> com o USDA através do serviço Federal Relay (fone: 800 877-8339). Ademais, informações </w:t>
      </w:r>
      <w:r w:rsidRPr="00703242">
        <w:rPr>
          <w:i/>
          <w:sz w:val="20"/>
          <w:lang w:val="pt-BR"/>
        </w:rPr>
        <w:t>sobre os programas</w:t>
      </w:r>
      <w:r w:rsidRPr="00703242" w:rsidR="00CB2C9E">
        <w:rPr>
          <w:i/>
          <w:sz w:val="20"/>
          <w:lang w:val="pt-BR"/>
        </w:rPr>
        <w:t xml:space="preserve"> podem ser disponibilizadas em outras línguas além do inglês.</w:t>
      </w:r>
    </w:p>
    <w:p w:rsidRPr="00703242" w:rsidR="00CB2C9E" w:rsidP="00274426" w:rsidRDefault="00CB2C9E">
      <w:pPr>
        <w:spacing w:line="202" w:lineRule="auto"/>
        <w:ind w:right="-51"/>
        <w:rPr>
          <w:i/>
          <w:sz w:val="20"/>
          <w:lang w:val="pt-BR"/>
        </w:rPr>
      </w:pPr>
    </w:p>
    <w:p w:rsidRPr="00703242" w:rsidR="00CB2C9E" w:rsidP="00274426" w:rsidRDefault="00C8125B">
      <w:pPr>
        <w:spacing w:line="202" w:lineRule="auto"/>
        <w:ind w:right="-51"/>
        <w:rPr>
          <w:i/>
          <w:sz w:val="20"/>
          <w:lang w:val="pt-BR"/>
        </w:rPr>
      </w:pPr>
      <w:r w:rsidRPr="00703242">
        <w:rPr>
          <w:i/>
          <w:sz w:val="20"/>
          <w:lang w:val="pt-BR"/>
        </w:rPr>
        <w:t>Para apresentar uma denúncia</w:t>
      </w:r>
      <w:r w:rsidRPr="00703242" w:rsidR="009427B7">
        <w:rPr>
          <w:i/>
          <w:sz w:val="20"/>
          <w:lang w:val="pt-BR"/>
        </w:rPr>
        <w:t xml:space="preserve"> é preciso preencher o formulário de denúncias de discriminação </w:t>
      </w:r>
      <w:r w:rsidRPr="00703242">
        <w:rPr>
          <w:i/>
          <w:sz w:val="20"/>
          <w:lang w:val="pt-BR"/>
        </w:rPr>
        <w:t>em</w:t>
      </w:r>
      <w:r w:rsidRPr="00703242" w:rsidR="009427B7">
        <w:rPr>
          <w:i/>
          <w:sz w:val="20"/>
          <w:lang w:val="pt-BR"/>
        </w:rPr>
        <w:t xml:space="preserve"> programas do USDA (USDA Program Discrimination Complaint Form), AD-3027, </w:t>
      </w:r>
      <w:r w:rsidRPr="00703242">
        <w:rPr>
          <w:i/>
          <w:sz w:val="20"/>
          <w:lang w:val="pt-BR"/>
        </w:rPr>
        <w:t xml:space="preserve">acessível no site </w:t>
      </w:r>
      <w:r w:rsidRPr="00703242" w:rsidR="009427B7">
        <w:rPr>
          <w:i/>
          <w:sz w:val="20"/>
          <w:lang w:val="pt-BR"/>
        </w:rPr>
        <w:t>(</w:t>
      </w:r>
      <w:hyperlink w:history="1" r:id="rId10">
        <w:r w:rsidRPr="00703242" w:rsidR="009427B7">
          <w:rPr>
            <w:rStyle w:val="Hyperlink"/>
            <w:i/>
            <w:sz w:val="20"/>
            <w:lang w:val="pt-BR"/>
          </w:rPr>
          <w:t>http://www.ascr.usda.gov/complaint_filing_cust.html</w:t>
        </w:r>
      </w:hyperlink>
      <w:r w:rsidRPr="00703242" w:rsidR="009427B7">
        <w:rPr>
          <w:i/>
          <w:sz w:val="20"/>
          <w:lang w:val="pt-BR"/>
        </w:rPr>
        <w:t xml:space="preserve">), como também em qualquer </w:t>
      </w:r>
      <w:r w:rsidRPr="00703242">
        <w:rPr>
          <w:i/>
          <w:sz w:val="20"/>
          <w:lang w:val="pt-BR"/>
        </w:rPr>
        <w:t>agência do USDA,</w:t>
      </w:r>
      <w:r w:rsidRPr="00703242" w:rsidR="009427B7">
        <w:rPr>
          <w:i/>
          <w:sz w:val="20"/>
          <w:lang w:val="pt-BR"/>
        </w:rPr>
        <w:t xml:space="preserve"> ou por carta dirigida ao USDA que contenha </w:t>
      </w:r>
      <w:r w:rsidRPr="00703242">
        <w:rPr>
          <w:i/>
          <w:sz w:val="20"/>
          <w:lang w:val="pt-BR"/>
        </w:rPr>
        <w:t>as mesma</w:t>
      </w:r>
      <w:r w:rsidRPr="00703242" w:rsidR="009427B7">
        <w:rPr>
          <w:i/>
          <w:sz w:val="20"/>
          <w:lang w:val="pt-BR"/>
        </w:rPr>
        <w:t xml:space="preserve">s </w:t>
      </w:r>
      <w:r w:rsidRPr="00703242">
        <w:rPr>
          <w:i/>
          <w:sz w:val="20"/>
          <w:lang w:val="pt-BR"/>
        </w:rPr>
        <w:t>informações contida</w:t>
      </w:r>
      <w:r w:rsidRPr="00703242" w:rsidR="009427B7">
        <w:rPr>
          <w:i/>
          <w:sz w:val="20"/>
          <w:lang w:val="pt-BR"/>
        </w:rPr>
        <w:t>s no formulário. Para encomendar uma cópia do formulário de denúncias, ligue ao (866) 632-9992. Apresente seu formulário preenchido ou sua carta ao USDA através d</w:t>
      </w:r>
      <w:r w:rsidRPr="00703242">
        <w:rPr>
          <w:i/>
          <w:sz w:val="20"/>
          <w:lang w:val="pt-BR"/>
        </w:rPr>
        <w:t>e um dos seguintes meios</w:t>
      </w:r>
      <w:r w:rsidRPr="00703242" w:rsidR="009427B7">
        <w:rPr>
          <w:i/>
          <w:sz w:val="20"/>
          <w:lang w:val="pt-BR"/>
        </w:rPr>
        <w:t>: 1) correio: U.S. Department of Agriculture Office of the Assistant Secretary for Civil Rights, 1400 Independence Avenue, SW</w:t>
      </w:r>
      <w:r w:rsidR="005E6C0A">
        <w:rPr>
          <w:i/>
          <w:sz w:val="20"/>
          <w:lang w:val="pt-BR"/>
        </w:rPr>
        <w:t>.,</w:t>
      </w:r>
      <w:r w:rsidRPr="00703242" w:rsidR="009427B7">
        <w:rPr>
          <w:i/>
          <w:sz w:val="20"/>
          <w:lang w:val="pt-BR"/>
        </w:rPr>
        <w:t xml:space="preserve"> Washington, D.C. 20250-9410; 2) fax: (202) 690-7442; ou 3) email: </w:t>
      </w:r>
      <w:hyperlink w:history="1" r:id="rId11">
        <w:r w:rsidRPr="00703242" w:rsidR="009427B7">
          <w:rPr>
            <w:rStyle w:val="Hyperlink"/>
            <w:i/>
            <w:sz w:val="20"/>
            <w:lang w:val="pt-BR"/>
          </w:rPr>
          <w:t>program.intake@usda.gov</w:t>
        </w:r>
      </w:hyperlink>
      <w:r w:rsidRPr="00703242" w:rsidR="009427B7">
        <w:rPr>
          <w:i/>
          <w:sz w:val="20"/>
          <w:lang w:val="pt-BR"/>
        </w:rPr>
        <w:t>.</w:t>
      </w:r>
    </w:p>
    <w:p w:rsidRPr="00703242" w:rsidR="009427B7" w:rsidP="00274426" w:rsidRDefault="009427B7">
      <w:pPr>
        <w:spacing w:line="202" w:lineRule="auto"/>
        <w:ind w:right="-51"/>
        <w:rPr>
          <w:i/>
          <w:sz w:val="20"/>
          <w:lang w:val="pt-BR"/>
        </w:rPr>
      </w:pPr>
    </w:p>
    <w:p w:rsidRPr="00703242" w:rsidR="009427B7" w:rsidP="009427B7" w:rsidRDefault="009427B7">
      <w:pPr>
        <w:spacing w:line="202" w:lineRule="auto"/>
        <w:ind w:right="-51"/>
        <w:jc w:val="center"/>
        <w:rPr>
          <w:i/>
          <w:sz w:val="20"/>
          <w:lang w:val="pt-BR"/>
        </w:rPr>
      </w:pPr>
      <w:r w:rsidRPr="00703242">
        <w:rPr>
          <w:i/>
          <w:sz w:val="20"/>
          <w:lang w:val="pt-BR"/>
        </w:rPr>
        <w:t>USDA fornece, contrata e financia</w:t>
      </w:r>
      <w:r w:rsidRPr="00703242" w:rsidR="00C8125B">
        <w:rPr>
          <w:i/>
          <w:sz w:val="20"/>
          <w:lang w:val="pt-BR"/>
        </w:rPr>
        <w:t xml:space="preserve"> sempre</w:t>
      </w:r>
      <w:r w:rsidRPr="00703242">
        <w:rPr>
          <w:i/>
          <w:sz w:val="20"/>
          <w:lang w:val="pt-BR"/>
        </w:rPr>
        <w:t xml:space="preserve"> respeitando a equidade de oportunidade</w:t>
      </w:r>
      <w:r w:rsidRPr="00703242" w:rsidR="00C8125B">
        <w:rPr>
          <w:i/>
          <w:sz w:val="20"/>
          <w:lang w:val="pt-BR"/>
        </w:rPr>
        <w:t xml:space="preserve"> para todos.</w:t>
      </w:r>
    </w:p>
    <w:p w:rsidRPr="00703242" w:rsidR="009427B7" w:rsidP="00274426" w:rsidRDefault="009427B7">
      <w:pPr>
        <w:spacing w:line="202" w:lineRule="auto"/>
        <w:ind w:right="-51"/>
        <w:rPr>
          <w:i/>
          <w:sz w:val="18"/>
          <w:szCs w:val="18"/>
          <w:lang w:val="pt-BR"/>
        </w:rPr>
      </w:pPr>
    </w:p>
    <w:p w:rsidRPr="00703242" w:rsidR="009427B7" w:rsidP="00274426" w:rsidRDefault="009427B7">
      <w:pPr>
        <w:spacing w:line="202" w:lineRule="auto"/>
        <w:ind w:right="-51"/>
        <w:rPr>
          <w:i/>
          <w:sz w:val="18"/>
          <w:szCs w:val="18"/>
          <w:lang w:val="pt-BR"/>
        </w:rPr>
      </w:pPr>
    </w:p>
    <w:p w:rsidRPr="00703242" w:rsidR="00AA659C" w:rsidP="00274426" w:rsidRDefault="00AA659C">
      <w:pPr>
        <w:spacing w:line="202" w:lineRule="auto"/>
        <w:ind w:right="-51"/>
        <w:rPr>
          <w:i/>
          <w:sz w:val="18"/>
          <w:szCs w:val="18"/>
          <w:lang w:val="pt-BR"/>
        </w:rPr>
      </w:pPr>
    </w:p>
    <w:p w:rsidRPr="00703242" w:rsidR="00BF4F3A" w:rsidP="00BF4F3A" w:rsidRDefault="00BF4F3A">
      <w:pPr>
        <w:spacing w:line="202" w:lineRule="auto"/>
        <w:ind w:right="-51"/>
        <w:rPr>
          <w:i/>
          <w:sz w:val="18"/>
          <w:szCs w:val="18"/>
          <w:lang w:val="pt-BR"/>
        </w:rPr>
      </w:pPr>
    </w:p>
    <w:p w:rsidRPr="00703242" w:rsidR="003163A6" w:rsidP="00274426" w:rsidRDefault="003163A6">
      <w:pPr>
        <w:spacing w:line="202" w:lineRule="auto"/>
        <w:ind w:right="-51"/>
        <w:rPr>
          <w:i/>
          <w:sz w:val="18"/>
          <w:szCs w:val="18"/>
          <w:lang w:val="pt-BR"/>
        </w:rPr>
      </w:pPr>
    </w:p>
    <w:p w:rsidRPr="00703242" w:rsidR="003163A6" w:rsidP="00274426" w:rsidRDefault="003163A6">
      <w:pPr>
        <w:spacing w:line="202" w:lineRule="auto"/>
        <w:ind w:right="-51"/>
        <w:rPr>
          <w:i/>
          <w:sz w:val="18"/>
          <w:szCs w:val="18"/>
          <w:lang w:val="pt-BR"/>
        </w:rPr>
      </w:pPr>
    </w:p>
    <w:p w:rsidRPr="00703242" w:rsidR="003163A6" w:rsidP="00274426" w:rsidRDefault="003163A6">
      <w:pPr>
        <w:spacing w:line="202" w:lineRule="auto"/>
        <w:ind w:right="-51"/>
        <w:rPr>
          <w:i/>
          <w:sz w:val="18"/>
          <w:szCs w:val="18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33546F" w:rsidP="00274426" w:rsidRDefault="0033546F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33546F" w:rsidP="00274426" w:rsidRDefault="0033546F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33546F" w:rsidP="00274426" w:rsidRDefault="0033546F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33546F" w:rsidP="00274426" w:rsidRDefault="0033546F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p w:rsidRPr="00703242" w:rsidR="00274426" w:rsidP="00274426" w:rsidRDefault="00274426">
      <w:pPr>
        <w:widowControl w:val="0"/>
        <w:spacing w:line="360" w:lineRule="auto"/>
        <w:rPr>
          <w:sz w:val="16"/>
          <w:szCs w:val="16"/>
          <w:lang w:val="pt-BR"/>
        </w:rPr>
      </w:pPr>
    </w:p>
    <w:sectPr w:rsidRPr="00703242" w:rsidR="00274426" w:rsidSect="00CA7BFC">
      <w:headerReference w:type="default" r:id="rId12"/>
      <w:pgSz w:w="12240" w:h="15840" w:code="1"/>
      <w:pgMar w:top="1008" w:right="1080" w:bottom="72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E9F" w:rsidRDefault="00155E9F">
      <w:r>
        <w:separator/>
      </w:r>
    </w:p>
  </w:endnote>
  <w:endnote w:type="continuationSeparator" w:id="0">
    <w:p w:rsidR="00155E9F" w:rsidRDefault="0015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C0A" w:rsidRDefault="005E6C0A">
    <w:pPr>
      <w:pStyle w:val="Footer"/>
    </w:pPr>
    <w:r w:rsidRPr="00703242">
      <w:rPr>
        <w:sz w:val="16"/>
        <w:szCs w:val="16"/>
        <w:lang w:val="pt-BR"/>
      </w:rPr>
      <w:t>MAN-NOM  (Portuguese)</w:t>
    </w:r>
    <w:r>
      <w:rPr>
        <w:sz w:val="16"/>
        <w:szCs w:val="16"/>
        <w:lang w:val="pt-BR"/>
      </w:rPr>
      <w:t xml:space="preserve"> </w:t>
    </w:r>
    <w:r w:rsidRPr="00703242">
      <w:rPr>
        <w:sz w:val="16"/>
        <w:szCs w:val="16"/>
        <w:lang w:val="pt-BR"/>
      </w:rPr>
      <w:t>(</w:t>
    </w:r>
    <w:r>
      <w:rPr>
        <w:sz w:val="16"/>
        <w:szCs w:val="16"/>
        <w:lang w:val="pt-BR"/>
      </w:rPr>
      <w:t>Expiration Date XX/XX/20XX)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7B7" w:rsidRPr="005E6C0A" w:rsidRDefault="00703242" w:rsidP="005E6C0A">
    <w:pPr>
      <w:widowControl w:val="0"/>
      <w:rPr>
        <w:rFonts w:ascii="Arial" w:hAnsi="Arial" w:cs="Arial"/>
        <w:i/>
        <w:iCs/>
        <w:sz w:val="16"/>
        <w:szCs w:val="16"/>
      </w:rPr>
    </w:pPr>
    <w:bookmarkStart w:id="1" w:name="_Hlk37685571"/>
    <w:r w:rsidRPr="00703242">
      <w:rPr>
        <w:sz w:val="16"/>
        <w:szCs w:val="16"/>
        <w:lang w:val="pt-BR"/>
      </w:rPr>
      <w:t>MAN-NOM  (Portuguese)</w:t>
    </w:r>
    <w:r w:rsidR="005E6C0A">
      <w:rPr>
        <w:sz w:val="16"/>
        <w:szCs w:val="16"/>
        <w:lang w:val="pt-BR"/>
      </w:rPr>
      <w:t xml:space="preserve"> </w:t>
    </w:r>
    <w:r w:rsidRPr="00703242">
      <w:rPr>
        <w:sz w:val="16"/>
        <w:szCs w:val="16"/>
        <w:lang w:val="pt-BR"/>
      </w:rPr>
      <w:t>(</w:t>
    </w:r>
    <w:r>
      <w:rPr>
        <w:sz w:val="16"/>
        <w:szCs w:val="16"/>
        <w:lang w:val="pt-BR"/>
      </w:rPr>
      <w:t>Exp</w:t>
    </w:r>
    <w:r w:rsidR="005E6C0A">
      <w:rPr>
        <w:sz w:val="16"/>
        <w:szCs w:val="16"/>
        <w:lang w:val="pt-BR"/>
      </w:rPr>
      <w:t>iration</w:t>
    </w:r>
    <w:r>
      <w:rPr>
        <w:sz w:val="16"/>
        <w:szCs w:val="16"/>
        <w:lang w:val="pt-BR"/>
      </w:rPr>
      <w:t xml:space="preserve"> Date XX/XX/</w:t>
    </w:r>
    <w:r w:rsidR="005E6C0A">
      <w:rPr>
        <w:sz w:val="16"/>
        <w:szCs w:val="16"/>
        <w:lang w:val="pt-BR"/>
      </w:rPr>
      <w:t>20</w:t>
    </w:r>
    <w:r>
      <w:rPr>
        <w:sz w:val="16"/>
        <w:szCs w:val="16"/>
        <w:lang w:val="pt-BR"/>
      </w:rPr>
      <w:t>XX</w:t>
    </w:r>
    <w:r w:rsidR="005E6C0A">
      <w:rPr>
        <w:sz w:val="16"/>
        <w:szCs w:val="16"/>
        <w:lang w:val="pt-BR"/>
      </w:rPr>
      <w:t>)</w:t>
    </w:r>
    <w:bookmarkEnd w:id="1"/>
    <w:r w:rsidR="005E6C0A">
      <w:rPr>
        <w:sz w:val="16"/>
        <w:szCs w:val="16"/>
        <w:lang w:val="pt-BR"/>
      </w:rPr>
      <w:tab/>
    </w:r>
    <w:r w:rsidR="005E6C0A">
      <w:rPr>
        <w:sz w:val="16"/>
        <w:szCs w:val="16"/>
        <w:lang w:val="pt-BR"/>
      </w:rPr>
      <w:tab/>
    </w:r>
    <w:r w:rsidR="005E6C0A">
      <w:rPr>
        <w:sz w:val="16"/>
        <w:szCs w:val="16"/>
        <w:lang w:val="pt-BR"/>
      </w:rPr>
      <w:tab/>
    </w:r>
    <w:r w:rsidR="005E6C0A">
      <w:rPr>
        <w:sz w:val="16"/>
        <w:szCs w:val="16"/>
        <w:lang w:val="pt-BR"/>
      </w:rPr>
      <w:tab/>
    </w:r>
    <w:r w:rsidR="005E6C0A">
      <w:rPr>
        <w:sz w:val="16"/>
        <w:szCs w:val="16"/>
        <w:lang w:val="pt-BR"/>
      </w:rPr>
      <w:tab/>
    </w:r>
    <w:r w:rsidR="005E6C0A" w:rsidRPr="005E6C0A">
      <w:rPr>
        <w:i/>
        <w:iCs/>
        <w:sz w:val="16"/>
        <w:szCs w:val="16"/>
        <w:lang w:val="pt-BR"/>
      </w:rPr>
      <w:t>See reverse for burden/non-discrimination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E9F" w:rsidRDefault="00155E9F">
      <w:r>
        <w:separator/>
      </w:r>
    </w:p>
  </w:footnote>
  <w:footnote w:type="continuationSeparator" w:id="0">
    <w:p w:rsidR="00155E9F" w:rsidRDefault="0015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7B7" w:rsidRDefault="009427B7" w:rsidP="00026A6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7B7" w:rsidRPr="00703242" w:rsidRDefault="009427B7" w:rsidP="00890C4A">
    <w:pPr>
      <w:jc w:val="right"/>
      <w:rPr>
        <w:b/>
        <w:bCs/>
        <w:sz w:val="16"/>
        <w:szCs w:val="16"/>
      </w:rPr>
    </w:pPr>
    <w:r w:rsidRPr="00703242">
      <w:rPr>
        <w:b/>
        <w:bCs/>
        <w:sz w:val="16"/>
        <w:szCs w:val="16"/>
      </w:rPr>
      <w:t>OMB No.  0581-0093</w:t>
    </w:r>
  </w:p>
  <w:p w:rsidR="009427B7" w:rsidRDefault="00942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ACCD6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454A2"/>
    <w:multiLevelType w:val="hybridMultilevel"/>
    <w:tmpl w:val="33DCCD86"/>
    <w:lvl w:ilvl="0" w:tplc="660072B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768350F9"/>
    <w:multiLevelType w:val="hybridMultilevel"/>
    <w:tmpl w:val="4ED4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742"/>
    <w:rsid w:val="000117B5"/>
    <w:rsid w:val="00026A63"/>
    <w:rsid w:val="000306EA"/>
    <w:rsid w:val="00032E08"/>
    <w:rsid w:val="00033D19"/>
    <w:rsid w:val="00041B60"/>
    <w:rsid w:val="000458F9"/>
    <w:rsid w:val="000607C6"/>
    <w:rsid w:val="00065D7B"/>
    <w:rsid w:val="00070DC1"/>
    <w:rsid w:val="0007487E"/>
    <w:rsid w:val="000C3A5E"/>
    <w:rsid w:val="00100C3D"/>
    <w:rsid w:val="0012773F"/>
    <w:rsid w:val="00155E9F"/>
    <w:rsid w:val="0015736B"/>
    <w:rsid w:val="00174878"/>
    <w:rsid w:val="001A583C"/>
    <w:rsid w:val="001B1BC4"/>
    <w:rsid w:val="001D4F02"/>
    <w:rsid w:val="001D55D0"/>
    <w:rsid w:val="002060E3"/>
    <w:rsid w:val="002146B1"/>
    <w:rsid w:val="002158E9"/>
    <w:rsid w:val="00224742"/>
    <w:rsid w:val="00236EF0"/>
    <w:rsid w:val="00246034"/>
    <w:rsid w:val="00256780"/>
    <w:rsid w:val="00261C55"/>
    <w:rsid w:val="00274426"/>
    <w:rsid w:val="00297582"/>
    <w:rsid w:val="0029784C"/>
    <w:rsid w:val="002C046D"/>
    <w:rsid w:val="002C49A1"/>
    <w:rsid w:val="002C4AFD"/>
    <w:rsid w:val="002C7145"/>
    <w:rsid w:val="002D6A1A"/>
    <w:rsid w:val="002E6BA8"/>
    <w:rsid w:val="002F2E28"/>
    <w:rsid w:val="00300436"/>
    <w:rsid w:val="003133C5"/>
    <w:rsid w:val="003145DA"/>
    <w:rsid w:val="003163A6"/>
    <w:rsid w:val="003244C1"/>
    <w:rsid w:val="003275C7"/>
    <w:rsid w:val="0033546F"/>
    <w:rsid w:val="00351B8E"/>
    <w:rsid w:val="0036114E"/>
    <w:rsid w:val="0037483A"/>
    <w:rsid w:val="003A2FCB"/>
    <w:rsid w:val="003C772C"/>
    <w:rsid w:val="003E46C4"/>
    <w:rsid w:val="00405ADD"/>
    <w:rsid w:val="0040687B"/>
    <w:rsid w:val="00452476"/>
    <w:rsid w:val="00471BED"/>
    <w:rsid w:val="00480223"/>
    <w:rsid w:val="004840E9"/>
    <w:rsid w:val="00491CB0"/>
    <w:rsid w:val="0049739D"/>
    <w:rsid w:val="00497AB1"/>
    <w:rsid w:val="004A7D1D"/>
    <w:rsid w:val="004B012A"/>
    <w:rsid w:val="004B33E8"/>
    <w:rsid w:val="004E6BA0"/>
    <w:rsid w:val="00537BEA"/>
    <w:rsid w:val="00547D39"/>
    <w:rsid w:val="00560350"/>
    <w:rsid w:val="00567424"/>
    <w:rsid w:val="0057418D"/>
    <w:rsid w:val="0057712B"/>
    <w:rsid w:val="005C7D59"/>
    <w:rsid w:val="005E6C0A"/>
    <w:rsid w:val="005F725E"/>
    <w:rsid w:val="00610D0B"/>
    <w:rsid w:val="0062356F"/>
    <w:rsid w:val="00627257"/>
    <w:rsid w:val="00630B4A"/>
    <w:rsid w:val="00637AB2"/>
    <w:rsid w:val="00650D7A"/>
    <w:rsid w:val="0065328C"/>
    <w:rsid w:val="00673013"/>
    <w:rsid w:val="00686AE9"/>
    <w:rsid w:val="00686BF0"/>
    <w:rsid w:val="00703242"/>
    <w:rsid w:val="00705425"/>
    <w:rsid w:val="00713D8D"/>
    <w:rsid w:val="00722EA5"/>
    <w:rsid w:val="0072330A"/>
    <w:rsid w:val="00782241"/>
    <w:rsid w:val="00787639"/>
    <w:rsid w:val="00796BC2"/>
    <w:rsid w:val="007B00D5"/>
    <w:rsid w:val="007B40B1"/>
    <w:rsid w:val="007B47B3"/>
    <w:rsid w:val="007C304B"/>
    <w:rsid w:val="007F2FF8"/>
    <w:rsid w:val="007F5970"/>
    <w:rsid w:val="00803321"/>
    <w:rsid w:val="008045FA"/>
    <w:rsid w:val="00810831"/>
    <w:rsid w:val="00857415"/>
    <w:rsid w:val="00890955"/>
    <w:rsid w:val="00890C4A"/>
    <w:rsid w:val="008940B7"/>
    <w:rsid w:val="008B68A4"/>
    <w:rsid w:val="00910FE2"/>
    <w:rsid w:val="009427B7"/>
    <w:rsid w:val="00973961"/>
    <w:rsid w:val="009A57D3"/>
    <w:rsid w:val="009D01CE"/>
    <w:rsid w:val="009D669E"/>
    <w:rsid w:val="009D768D"/>
    <w:rsid w:val="009E104C"/>
    <w:rsid w:val="009E4EFF"/>
    <w:rsid w:val="009F3D55"/>
    <w:rsid w:val="00A04A79"/>
    <w:rsid w:val="00A26A1C"/>
    <w:rsid w:val="00A50BAF"/>
    <w:rsid w:val="00A62B7D"/>
    <w:rsid w:val="00AA659C"/>
    <w:rsid w:val="00AB087B"/>
    <w:rsid w:val="00AC10B3"/>
    <w:rsid w:val="00AE1286"/>
    <w:rsid w:val="00B02D7E"/>
    <w:rsid w:val="00B07101"/>
    <w:rsid w:val="00B53C2A"/>
    <w:rsid w:val="00B90072"/>
    <w:rsid w:val="00B909F0"/>
    <w:rsid w:val="00BB1884"/>
    <w:rsid w:val="00BC042D"/>
    <w:rsid w:val="00BE2DC5"/>
    <w:rsid w:val="00BE6BE4"/>
    <w:rsid w:val="00BF4F3A"/>
    <w:rsid w:val="00BF7E92"/>
    <w:rsid w:val="00C57FAC"/>
    <w:rsid w:val="00C60392"/>
    <w:rsid w:val="00C611EF"/>
    <w:rsid w:val="00C62400"/>
    <w:rsid w:val="00C6461A"/>
    <w:rsid w:val="00C8125B"/>
    <w:rsid w:val="00C86F96"/>
    <w:rsid w:val="00C94774"/>
    <w:rsid w:val="00CA7BFC"/>
    <w:rsid w:val="00CB2C9E"/>
    <w:rsid w:val="00CC1898"/>
    <w:rsid w:val="00CC3DCA"/>
    <w:rsid w:val="00CD3591"/>
    <w:rsid w:val="00CD4B4A"/>
    <w:rsid w:val="00CD79D6"/>
    <w:rsid w:val="00CF155D"/>
    <w:rsid w:val="00D23426"/>
    <w:rsid w:val="00D30D81"/>
    <w:rsid w:val="00D43BFA"/>
    <w:rsid w:val="00D53B8D"/>
    <w:rsid w:val="00D661A7"/>
    <w:rsid w:val="00DA39B7"/>
    <w:rsid w:val="00DB1B2B"/>
    <w:rsid w:val="00DD1E58"/>
    <w:rsid w:val="00DD6BBA"/>
    <w:rsid w:val="00E014CA"/>
    <w:rsid w:val="00E04AF3"/>
    <w:rsid w:val="00E07DF8"/>
    <w:rsid w:val="00E10210"/>
    <w:rsid w:val="00E21A95"/>
    <w:rsid w:val="00E224C6"/>
    <w:rsid w:val="00E22E77"/>
    <w:rsid w:val="00E27D6D"/>
    <w:rsid w:val="00E47557"/>
    <w:rsid w:val="00E53A49"/>
    <w:rsid w:val="00E54DD3"/>
    <w:rsid w:val="00E86485"/>
    <w:rsid w:val="00E94BE2"/>
    <w:rsid w:val="00EA247B"/>
    <w:rsid w:val="00EC5211"/>
    <w:rsid w:val="00EE196E"/>
    <w:rsid w:val="00EF5399"/>
    <w:rsid w:val="00F07947"/>
    <w:rsid w:val="00F457C8"/>
    <w:rsid w:val="00F600E4"/>
    <w:rsid w:val="00FC1B93"/>
    <w:rsid w:val="00FD0B87"/>
    <w:rsid w:val="00FE40BC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00FBD54-5553-4DF0-9E6C-37F19BEC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947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4774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026A63"/>
    <w:rPr>
      <w:sz w:val="16"/>
      <w:szCs w:val="16"/>
    </w:rPr>
  </w:style>
  <w:style w:type="paragraph" w:styleId="CommentText">
    <w:name w:val="annotation text"/>
    <w:basedOn w:val="Normal"/>
    <w:semiHidden/>
    <w:rsid w:val="00026A63"/>
    <w:rPr>
      <w:sz w:val="20"/>
    </w:rPr>
  </w:style>
  <w:style w:type="paragraph" w:styleId="CommentSubject">
    <w:name w:val="annotation subject"/>
    <w:basedOn w:val="CommentText"/>
    <w:next w:val="CommentText"/>
    <w:semiHidden/>
    <w:rsid w:val="00026A63"/>
    <w:rPr>
      <w:b/>
      <w:bCs/>
    </w:rPr>
  </w:style>
  <w:style w:type="paragraph" w:styleId="BalloonText">
    <w:name w:val="Balloon Text"/>
    <w:basedOn w:val="Normal"/>
    <w:semiHidden/>
    <w:rsid w:val="00026A63"/>
    <w:rPr>
      <w:rFonts w:ascii="Tahoma" w:hAnsi="Tahoma" w:cs="Tahoma"/>
      <w:sz w:val="16"/>
      <w:szCs w:val="16"/>
    </w:rPr>
  </w:style>
  <w:style w:type="character" w:styleId="Hyperlink">
    <w:name w:val="Hyperlink"/>
    <w:rsid w:val="00BF4F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.intake@usd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scr.usda.gov/complaint_filing_cust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Reproduce locally</vt:lpstr>
    </vt:vector>
  </TitlesOfParts>
  <Company/>
  <LinksUpToDate>false</LinksUpToDate>
  <CharactersWithSpaces>6544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Reproduce locally</dc:title>
  <dc:subject/>
  <dc:creator>asalinas</dc:creator>
  <cp:keywords/>
  <cp:lastModifiedBy>Pish, Marylin - AMS</cp:lastModifiedBy>
  <cp:revision>2</cp:revision>
  <cp:lastPrinted>2007-09-11T14:04:00Z</cp:lastPrinted>
  <dcterms:created xsi:type="dcterms:W3CDTF">2020-04-22T12:48:00Z</dcterms:created>
  <dcterms:modified xsi:type="dcterms:W3CDTF">2020-04-22T12:48:00Z</dcterms:modified>
</cp:coreProperties>
</file>