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32E" w:rsidP="0001732E" w:rsidRDefault="0001732E" w14:paraId="43C4D7B1" w14:textId="77777777">
      <w:pPr>
        <w:pStyle w:val="CM10"/>
        <w:jc w:val="center"/>
        <w:rPr>
          <w:b/>
          <w:bCs/>
          <w:color w:val="000000"/>
        </w:rPr>
      </w:pPr>
      <w:r w:rsidRPr="00BF04B4">
        <w:rPr>
          <w:b/>
          <w:bCs/>
          <w:color w:val="000000"/>
        </w:rPr>
        <w:t>CONSUMER FINANCIAL PROTECTION BUREAU</w:t>
      </w:r>
    </w:p>
    <w:p w:rsidRPr="0008568D" w:rsidR="0001732E" w:rsidP="0001732E" w:rsidRDefault="0001732E" w14:paraId="719387CD" w14:textId="77777777">
      <w:pPr>
        <w:pStyle w:val="Default"/>
      </w:pPr>
    </w:p>
    <w:p w:rsidR="0001732E" w:rsidP="0001732E" w:rsidRDefault="0001732E" w14:paraId="43CDAFE5" w14:textId="77777777">
      <w:pPr>
        <w:pStyle w:val="CM1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REQUEST FOR A NO MATERIAL NON-SUBSTANTIVE CHANGE</w:t>
      </w:r>
    </w:p>
    <w:p w:rsidRPr="0008568D" w:rsidR="0001732E" w:rsidP="0001732E" w:rsidRDefault="0001732E" w14:paraId="44E1B7BD" w14:textId="77777777">
      <w:pPr>
        <w:pStyle w:val="Default"/>
      </w:pPr>
    </w:p>
    <w:p w:rsidRPr="00BF04B4" w:rsidR="0001732E" w:rsidP="0001732E" w:rsidRDefault="0001732E" w14:paraId="22529572" w14:textId="77777777">
      <w:pPr>
        <w:pStyle w:val="CM10"/>
        <w:jc w:val="center"/>
        <w:rPr>
          <w:b/>
          <w:bCs/>
          <w:color w:val="000000"/>
        </w:rPr>
      </w:pPr>
      <w:r w:rsidRPr="00BF04B4">
        <w:rPr>
          <w:b/>
          <w:bCs/>
          <w:color w:val="000000"/>
        </w:rPr>
        <w:t>ELECTRONIC FUND TRANSFER ACT (REGULATION E) 12 CFR 1005</w:t>
      </w:r>
    </w:p>
    <w:p w:rsidR="0001732E" w:rsidP="0001732E" w:rsidRDefault="0001732E" w14:paraId="553BEA57" w14:textId="77777777">
      <w:pPr>
        <w:pStyle w:val="Default"/>
        <w:jc w:val="center"/>
        <w:rPr>
          <w:b/>
        </w:rPr>
      </w:pPr>
      <w:r w:rsidRPr="00BF04B4">
        <w:rPr>
          <w:b/>
        </w:rPr>
        <w:t>(OMB CONTROL NUMBER:  3170-0014</w:t>
      </w:r>
      <w:r>
        <w:rPr>
          <w:b/>
        </w:rPr>
        <w:t>)</w:t>
      </w:r>
    </w:p>
    <w:p w:rsidR="0001732E" w:rsidP="0001732E" w:rsidRDefault="0001732E" w14:paraId="7699E0B9" w14:textId="77777777">
      <w:pPr>
        <w:pStyle w:val="Default"/>
        <w:pBdr>
          <w:bottom w:val="single" w:color="auto" w:sz="6" w:space="1"/>
        </w:pBdr>
        <w:jc w:val="center"/>
        <w:rPr>
          <w:b/>
        </w:rPr>
      </w:pPr>
    </w:p>
    <w:p w:rsidR="0001732E" w:rsidP="0001732E" w:rsidRDefault="0001732E" w14:paraId="084F003D" w14:textId="77777777"/>
    <w:p w:rsidR="0049475F" w:rsidP="0001732E" w:rsidRDefault="0049475F" w14:paraId="2A49126E" w14:textId="77777777"/>
    <w:p w:rsidR="0001732E" w:rsidP="0001732E" w:rsidRDefault="0001732E" w14:paraId="59C8CE58" w14:textId="3FCBDEFA">
      <w:r>
        <w:t xml:space="preserve">On June 5, 2020 the Bureau of Consumer Financial Protection (Bureau) published a final rule for </w:t>
      </w:r>
      <w:r w:rsidRPr="0001732E">
        <w:t>12 CFR Part 1005</w:t>
      </w:r>
      <w:r>
        <w:t xml:space="preserve"> (Regulation E), </w:t>
      </w:r>
      <w:r w:rsidR="00611B53">
        <w:t>8</w:t>
      </w:r>
      <w:r>
        <w:t xml:space="preserve">5 FR </w:t>
      </w:r>
      <w:r w:rsidRPr="00A8597A" w:rsidR="00A8597A">
        <w:t>34870</w:t>
      </w:r>
      <w:r>
        <w:t>.  The Electronic Fund Transfer Act, as amended by the Dodd-Frank Wall Street Reform and Consumer Protection Act, establishes certain protections for consumers sending international money transfers, or remittance transfers. The Bureau’s emittance rule in Regulation E (Remittance Rule or Rule) implements these protections. The Bureau is amending Regulation E and the official interpretations of Regulation E to provide tailored exceptions to address compliance challenges that insured institutions may face in certain circumstances upon the expiration of a statutory exception that allows insured institutions to disclose estimates instead of exact amounts to consume</w:t>
      </w:r>
      <w:bookmarkStart w:name="_GoBack" w:id="0"/>
      <w:bookmarkEnd w:id="0"/>
      <w:r>
        <w:t>rs. That exception expires on July 21, 2020. In addition, the Bureau is increasing a safe harbor threshold in the Rule related to whether a person makes remittance transfers in the normal course of its business. None of the underlying information collection requirements are changed as a result of this final rule.</w:t>
      </w:r>
    </w:p>
    <w:p w:rsidR="0049475F" w:rsidP="0001732E" w:rsidRDefault="0049475F" w14:paraId="607FAB25" w14:textId="77777777"/>
    <w:p w:rsidR="00BD0C50" w:rsidP="0001732E" w:rsidRDefault="0001732E" w14:paraId="07A0E9ED" w14:textId="5054CE6A">
      <w:r>
        <w:t>Under Regulation E, the Bureau generally accounts for the paperwork burden for the following respondents pursuant to its administrative enforcement authority: Federally insured depository institutions with more than $10 billion in total assets, their depository institution affiliates, and certain non-depository institutions. The Bureau and the Federal Trade Commission (FTC) generally both have enforcement authority over non-depository institutions subject to Regulation E. Accordingly, the Bureau would generally allocate to itself half of this final rule’s estimated reduction in burden on non-depository financial institutions subject to Regulation E, but estimates no reduction in burden on these institutions from this final rule.</w:t>
      </w:r>
    </w:p>
    <w:p w:rsidR="0049475F" w:rsidP="00BD0C50" w:rsidRDefault="0049475F" w14:paraId="4B7C1390" w14:textId="77777777"/>
    <w:p w:rsidR="0001732E" w:rsidP="00BD0C50" w:rsidRDefault="0001732E" w14:paraId="433AE86A" w14:textId="1CD5A733">
      <w:r>
        <w:t>The Bureau concludes that the overall impact of the increase in the normal course of</w:t>
      </w:r>
      <w:r w:rsidR="00BD0C50">
        <w:t xml:space="preserve"> </w:t>
      </w:r>
      <w:r>
        <w:t>business safe harbor threshold from 100 transfers annually to 500 transfers annually and</w:t>
      </w:r>
      <w:r w:rsidR="00BD0C50">
        <w:t xml:space="preserve"> </w:t>
      </w:r>
      <w:r>
        <w:t>allowing limited use of estimates for covered third-party fee and exchange rate disclosures is</w:t>
      </w:r>
      <w:r w:rsidR="00BD0C50">
        <w:t xml:space="preserve"> </w:t>
      </w:r>
      <w:r>
        <w:t>small. In addition, the Bureau concludes that this final rule will have no material change in</w:t>
      </w:r>
      <w:r w:rsidR="00BD0C50">
        <w:t xml:space="preserve"> </w:t>
      </w:r>
      <w:r>
        <w:t xml:space="preserve">burden on remittance transfer providers that are non-depository financial institutions. </w:t>
      </w:r>
    </w:p>
    <w:p w:rsidR="0049475F" w:rsidP="00BD0C50" w:rsidRDefault="0049475F" w14:paraId="1DF30F7F" w14:textId="77777777">
      <w:pPr>
        <w:rPr>
          <w:u w:val="single"/>
        </w:rPr>
      </w:pPr>
    </w:p>
    <w:p w:rsidR="0049475F" w:rsidP="00BD0C50" w:rsidRDefault="0049475F" w14:paraId="5747D5CD" w14:textId="77777777">
      <w:pPr>
        <w:rPr>
          <w:u w:val="single"/>
        </w:rPr>
      </w:pPr>
    </w:p>
    <w:p w:rsidR="0049475F" w:rsidP="00BD0C50" w:rsidRDefault="0049475F" w14:paraId="7067A5E2" w14:textId="77777777">
      <w:pPr>
        <w:rPr>
          <w:u w:val="single"/>
        </w:rPr>
      </w:pPr>
    </w:p>
    <w:p w:rsidR="00BD0C50" w:rsidP="00BD0C50" w:rsidRDefault="00BD0C50" w14:paraId="45F2F0A4" w14:textId="79E20F08">
      <w:r w:rsidRPr="00BD0C50">
        <w:rPr>
          <w:u w:val="single"/>
        </w:rPr>
        <w:t>Summary of Burden Change</w:t>
      </w:r>
      <w:r>
        <w:t>:</w:t>
      </w:r>
    </w:p>
    <w:p w:rsidR="0001732E" w:rsidP="00BD0C50" w:rsidRDefault="0001732E" w14:paraId="14069E05" w14:textId="77777777">
      <w:r>
        <w:lastRenderedPageBreak/>
        <w:t>Current Total Annual Burden Hours on Bureau Respondents, Regulation E: 3,445,033</w:t>
      </w:r>
    </w:p>
    <w:p w:rsidR="0001732E" w:rsidP="00BD0C50" w:rsidRDefault="0001732E" w14:paraId="5CE8E282" w14:textId="77777777">
      <w:r>
        <w:t>Current Total Annual Burden Hours on Bureau Respondents, Subpart B only: 1,471,808</w:t>
      </w:r>
    </w:p>
    <w:p w:rsidR="0001732E" w:rsidP="00BD0C50" w:rsidRDefault="0001732E" w14:paraId="6D467402" w14:textId="77777777">
      <w:r>
        <w:t>Estimated Total Annual Burden Hours on Bureau Respondents under the Rule, Subpart B</w:t>
      </w:r>
    </w:p>
    <w:p w:rsidR="0001732E" w:rsidP="00BD0C50" w:rsidRDefault="0001732E" w14:paraId="42DD6850" w14:textId="77777777">
      <w:r>
        <w:t>only: 1,448,938.</w:t>
      </w:r>
    </w:p>
    <w:p w:rsidR="00BD0C50" w:rsidP="00BD0C50" w:rsidRDefault="0001732E" w14:paraId="42F79B01" w14:textId="77777777">
      <w:r>
        <w:t>Estimated Change in Total Annual Burden Hours on Bureau Respondents under the Rule:</w:t>
      </w:r>
    </w:p>
    <w:p w:rsidR="0001732E" w:rsidP="00BD0C50" w:rsidRDefault="0001732E" w14:paraId="30025C51" w14:textId="77777777">
      <w:pPr>
        <w:pStyle w:val="ListParagraph"/>
      </w:pPr>
      <w:r>
        <w:t>-22,870.</w:t>
      </w:r>
    </w:p>
    <w:p w:rsidR="0049475F" w:rsidP="0001732E" w:rsidRDefault="0049475F" w14:paraId="4CE96743" w14:textId="77777777"/>
    <w:p w:rsidR="00BD0C50" w:rsidP="0001732E" w:rsidRDefault="0001732E" w14:paraId="659C58EE" w14:textId="5353B23B">
      <w:r>
        <w:t>The Bureau has determined that this final rule does not contain any new or substantively</w:t>
      </w:r>
      <w:r w:rsidR="00BD0C50">
        <w:t xml:space="preserve"> </w:t>
      </w:r>
      <w:r>
        <w:t>revised information collection requirements as defined by the PRA and that the burden estimate</w:t>
      </w:r>
      <w:r w:rsidR="00BD0C50">
        <w:t xml:space="preserve"> </w:t>
      </w:r>
      <w:r>
        <w:t>for the previously approved information collections should be revised as explained above.</w:t>
      </w:r>
    </w:p>
    <w:p w:rsidR="0049475F" w:rsidP="0001732E" w:rsidRDefault="0049475F" w14:paraId="64AC1357" w14:textId="77777777"/>
    <w:p w:rsidR="00BD0C50" w:rsidP="0001732E" w:rsidRDefault="00BD0C50" w14:paraId="3A0C8392" w14:textId="386ED469">
      <w:r>
        <w:t xml:space="preserve">A copy of the referenced published final is included with this change request. </w:t>
      </w:r>
    </w:p>
    <w:p w:rsidR="0049475F" w:rsidP="0001732E" w:rsidRDefault="0049475F" w14:paraId="0ED797E4" w14:textId="7FEAADD6"/>
    <w:p w:rsidR="0049475F" w:rsidP="0001732E" w:rsidRDefault="0049475F" w14:paraId="691BEACB" w14:textId="6F0B57EB"/>
    <w:p w:rsidR="0049475F" w:rsidP="00B02D4D" w:rsidRDefault="0049475F" w14:paraId="2138BAF9" w14:textId="14CB09B1">
      <w:pPr>
        <w:jc w:val="center"/>
      </w:pPr>
      <w:r>
        <w:t>##</w:t>
      </w:r>
      <w:r w:rsidR="00B02D4D">
        <w:t>#</w:t>
      </w:r>
    </w:p>
    <w:sectPr w:rsidR="0049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129"/>
    <w:multiLevelType w:val="hybridMultilevel"/>
    <w:tmpl w:val="9F50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B4994"/>
    <w:multiLevelType w:val="hybridMultilevel"/>
    <w:tmpl w:val="3B86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2E"/>
    <w:rsid w:val="0001732E"/>
    <w:rsid w:val="0049475F"/>
    <w:rsid w:val="00611B53"/>
    <w:rsid w:val="00A8597A"/>
    <w:rsid w:val="00B02D4D"/>
    <w:rsid w:val="00B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68C6"/>
  <w15:chartTrackingRefBased/>
  <w15:docId w15:val="{0BC2C66A-EB16-4DA8-9EFD-B5F1533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7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01732E"/>
    <w:rPr>
      <w:color w:val="auto"/>
    </w:rPr>
  </w:style>
  <w:style w:type="paragraph" w:styleId="ListParagraph">
    <w:name w:val="List Paragraph"/>
    <w:basedOn w:val="Normal"/>
    <w:uiPriority w:val="34"/>
    <w:qFormat/>
    <w:rsid w:val="00BD0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190E2FEB88440A39C3F89755716B8" ma:contentTypeVersion="12" ma:contentTypeDescription="Create a new document." ma:contentTypeScope="" ma:versionID="4f0d03ea3dde7eb451a624c7d5626bdd">
  <xsd:schema xmlns:xsd="http://www.w3.org/2001/XMLSchema" xmlns:xs="http://www.w3.org/2001/XMLSchema" xmlns:p="http://schemas.microsoft.com/office/2006/metadata/properties" xmlns:ns3="de889ae0-8a1a-4232-9f8d-124a150fc1b6" xmlns:ns4="22f72fb6-db45-40e3-833c-b31fec6cc4ed" targetNamespace="http://schemas.microsoft.com/office/2006/metadata/properties" ma:root="true" ma:fieldsID="25d55b18e8ca413aa5c6c4bcc2c77863" ns3:_="" ns4:_="">
    <xsd:import namespace="de889ae0-8a1a-4232-9f8d-124a150fc1b6"/>
    <xsd:import namespace="22f72fb6-db45-40e3-833c-b31fec6cc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9ae0-8a1a-4232-9f8d-124a150fc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72fb6-db45-40e3-833c-b31fec6c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2BD65-7B8D-45E5-A50C-74515178F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E40ED-85D1-4684-820D-BBB98C660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89ae0-8a1a-4232-9f8d-124a150fc1b6"/>
    <ds:schemaRef ds:uri="22f72fb6-db45-40e3-833c-b31fec6cc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FC231-0392-41D1-808D-79D21C54D46E}">
  <ds:schemaRefs>
    <ds:schemaRef ds:uri="22f72fb6-db45-40e3-833c-b31fec6cc4ed"/>
    <ds:schemaRef ds:uri="http://schemas.microsoft.com/office/2006/metadata/properties"/>
    <ds:schemaRef ds:uri="http://schemas.microsoft.com/office/2006/documentManagement/types"/>
    <ds:schemaRef ds:uri="de889ae0-8a1a-4232-9f8d-124a150fc1b6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XenApp 6.5 Deployment 1.01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Darrin King</dc:creator>
  <cp:keywords/>
  <dc:description/>
  <cp:lastModifiedBy>Darrin King</cp:lastModifiedBy>
  <cp:revision>5</cp:revision>
  <dcterms:created xsi:type="dcterms:W3CDTF">2020-06-05T01:01:00Z</dcterms:created>
  <dcterms:modified xsi:type="dcterms:W3CDTF">2020-06-05T12:08:00Z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0x0101009A3190E2FEB88440A39C3F89755716B8</vt:lpwstr>
  </property>
</Properties>
</file>