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1752" w:rsidR="005F7C62" w:rsidP="00ED010C" w:rsidRDefault="005F7C62" w14:paraId="02087EFA" w14:textId="77777777">
      <w:pPr>
        <w:rPr>
          <w:rFonts w:eastAsia="Times New Roman" w:cs="Times New Roman"/>
          <w:sz w:val="20"/>
          <w:szCs w:val="20"/>
        </w:rPr>
      </w:pPr>
    </w:p>
    <w:p w:rsidRPr="00CA1752" w:rsidR="005F7C62" w:rsidP="00ED010C" w:rsidRDefault="005F7C62" w14:paraId="1AFBEF1A" w14:textId="77777777">
      <w:pPr>
        <w:rPr>
          <w:rFonts w:eastAsia="Times New Roman" w:cs="Times New Roman"/>
          <w:sz w:val="20"/>
          <w:szCs w:val="20"/>
        </w:rPr>
      </w:pPr>
    </w:p>
    <w:p w:rsidRPr="00CA1752" w:rsidR="005F7C62" w:rsidP="00ED010C" w:rsidRDefault="005F7C62" w14:paraId="4E10675A" w14:textId="77777777">
      <w:pPr>
        <w:rPr>
          <w:rFonts w:eastAsia="Times New Roman" w:cs="Times New Roman"/>
          <w:sz w:val="20"/>
          <w:szCs w:val="20"/>
        </w:rPr>
      </w:pPr>
    </w:p>
    <w:p w:rsidRPr="00CA1752" w:rsidR="005F7C62" w:rsidP="00ED010C" w:rsidRDefault="005F7C62" w14:paraId="6659CD4C" w14:textId="77777777">
      <w:pPr>
        <w:rPr>
          <w:rFonts w:eastAsia="Times New Roman" w:cs="Times New Roman"/>
          <w:sz w:val="20"/>
          <w:szCs w:val="20"/>
        </w:rPr>
      </w:pPr>
    </w:p>
    <w:p w:rsidRPr="00CA1752" w:rsidR="005F7C62" w:rsidP="00342B07" w:rsidRDefault="005F7C62" w14:paraId="1E25C224" w14:textId="77777777">
      <w:pPr>
        <w:rPr>
          <w:rFonts w:eastAsia="Times New Roman" w:cs="Times New Roman"/>
          <w:sz w:val="23"/>
          <w:szCs w:val="23"/>
        </w:rPr>
      </w:pPr>
    </w:p>
    <w:p w:rsidRPr="00CA1752" w:rsidR="00894A54" w:rsidP="00342B07" w:rsidRDefault="008C752D" w14:paraId="06782529" w14:textId="6E6662F0">
      <w:pPr>
        <w:ind w:right="119"/>
        <w:jc w:val="right"/>
        <w:rPr>
          <w:rFonts w:eastAsia="Times New Roman" w:cs="Times New Roman"/>
          <w:spacing w:val="-22"/>
          <w:sz w:val="56"/>
          <w:szCs w:val="56"/>
        </w:rPr>
      </w:pPr>
      <w:r w:rsidRPr="00CA1752">
        <w:rPr>
          <w:rFonts w:eastAsia="Times New Roman" w:cs="Times New Roman"/>
          <w:spacing w:val="-1"/>
          <w:sz w:val="56"/>
          <w:szCs w:val="56"/>
        </w:rPr>
        <w:t>20</w:t>
      </w:r>
      <w:r w:rsidR="00941411">
        <w:rPr>
          <w:rFonts w:eastAsia="Times New Roman" w:cs="Times New Roman"/>
          <w:spacing w:val="-1"/>
          <w:sz w:val="56"/>
          <w:szCs w:val="56"/>
        </w:rPr>
        <w:t>20</w:t>
      </w:r>
      <w:r w:rsidRPr="00CA1752">
        <w:rPr>
          <w:rFonts w:eastAsia="Times New Roman" w:cs="Times New Roman"/>
          <w:spacing w:val="-1"/>
          <w:sz w:val="56"/>
          <w:szCs w:val="56"/>
        </w:rPr>
        <w:t>−20</w:t>
      </w:r>
      <w:r w:rsidR="00941411">
        <w:rPr>
          <w:rFonts w:eastAsia="Times New Roman" w:cs="Times New Roman"/>
          <w:spacing w:val="-1"/>
          <w:sz w:val="56"/>
          <w:szCs w:val="56"/>
        </w:rPr>
        <w:t>22</w:t>
      </w:r>
      <w:r w:rsidRPr="00CA1752">
        <w:rPr>
          <w:rFonts w:eastAsia="Times New Roman" w:cs="Times New Roman"/>
          <w:spacing w:val="-22"/>
          <w:sz w:val="56"/>
          <w:szCs w:val="56"/>
        </w:rPr>
        <w:t xml:space="preserve"> </w:t>
      </w:r>
    </w:p>
    <w:p w:rsidRPr="00CA1752" w:rsidR="005F7C62" w:rsidP="00342B07" w:rsidRDefault="008C752D" w14:paraId="29959747" w14:textId="19C3C563">
      <w:pPr>
        <w:ind w:right="119"/>
        <w:jc w:val="right"/>
        <w:rPr>
          <w:rFonts w:eastAsia="Times New Roman" w:cs="Times New Roman"/>
          <w:sz w:val="56"/>
          <w:szCs w:val="56"/>
        </w:rPr>
      </w:pPr>
      <w:r w:rsidRPr="00CA1752">
        <w:rPr>
          <w:rFonts w:eastAsia="Times New Roman" w:cs="Times New Roman"/>
          <w:sz w:val="56"/>
          <w:szCs w:val="56"/>
        </w:rPr>
        <w:t>Survey</w:t>
      </w:r>
      <w:r w:rsidRPr="00CA1752">
        <w:rPr>
          <w:rFonts w:eastAsia="Times New Roman" w:cs="Times New Roman"/>
          <w:spacing w:val="-21"/>
          <w:sz w:val="56"/>
          <w:szCs w:val="56"/>
        </w:rPr>
        <w:t xml:space="preserve"> </w:t>
      </w:r>
      <w:r w:rsidRPr="00CA1752">
        <w:rPr>
          <w:rFonts w:eastAsia="Times New Roman" w:cs="Times New Roman"/>
          <w:spacing w:val="-1"/>
          <w:sz w:val="56"/>
          <w:szCs w:val="56"/>
        </w:rPr>
        <w:t>of</w:t>
      </w:r>
      <w:r w:rsidRPr="00CA1752">
        <w:rPr>
          <w:rFonts w:eastAsia="Times New Roman" w:cs="Times New Roman"/>
          <w:spacing w:val="-22"/>
          <w:sz w:val="56"/>
          <w:szCs w:val="56"/>
        </w:rPr>
        <w:t xml:space="preserve"> </w:t>
      </w:r>
      <w:r w:rsidRPr="00CA1752">
        <w:rPr>
          <w:rFonts w:eastAsia="Times New Roman" w:cs="Times New Roman"/>
          <w:spacing w:val="-1"/>
          <w:sz w:val="56"/>
          <w:szCs w:val="56"/>
        </w:rPr>
        <w:t>Graduate</w:t>
      </w:r>
      <w:r w:rsidRPr="00CA1752">
        <w:rPr>
          <w:rFonts w:eastAsia="Times New Roman" w:cs="Times New Roman"/>
          <w:spacing w:val="-21"/>
          <w:sz w:val="56"/>
          <w:szCs w:val="56"/>
        </w:rPr>
        <w:t xml:space="preserve"> </w:t>
      </w:r>
      <w:r w:rsidRPr="00CA1752">
        <w:rPr>
          <w:rFonts w:eastAsia="Times New Roman" w:cs="Times New Roman"/>
          <w:sz w:val="56"/>
          <w:szCs w:val="56"/>
        </w:rPr>
        <w:t>Students</w:t>
      </w:r>
    </w:p>
    <w:p w:rsidRPr="00CA1752" w:rsidR="005F7C62" w:rsidP="00ED010C" w:rsidRDefault="008C752D" w14:paraId="6AD93B1C" w14:textId="77777777">
      <w:pPr>
        <w:ind w:left="2975" w:right="118" w:firstLine="2070"/>
        <w:jc w:val="right"/>
        <w:rPr>
          <w:rFonts w:eastAsia="Times New Roman" w:cs="Times New Roman"/>
          <w:sz w:val="56"/>
          <w:szCs w:val="56"/>
        </w:rPr>
      </w:pPr>
      <w:r w:rsidRPr="00CA1752">
        <w:rPr>
          <w:spacing w:val="-1"/>
          <w:sz w:val="56"/>
        </w:rPr>
        <w:t>and</w:t>
      </w:r>
      <w:r w:rsidRPr="00CA1752">
        <w:rPr>
          <w:spacing w:val="-41"/>
          <w:sz w:val="56"/>
        </w:rPr>
        <w:t xml:space="preserve"> </w:t>
      </w:r>
      <w:r w:rsidRPr="00CA1752">
        <w:rPr>
          <w:spacing w:val="-1"/>
          <w:sz w:val="56"/>
        </w:rPr>
        <w:t>Postdoctorates</w:t>
      </w:r>
      <w:r w:rsidRPr="00CA1752">
        <w:rPr>
          <w:spacing w:val="27"/>
          <w:w w:val="99"/>
          <w:sz w:val="56"/>
        </w:rPr>
        <w:t xml:space="preserve"> </w:t>
      </w:r>
      <w:r w:rsidRPr="00CA1752">
        <w:rPr>
          <w:sz w:val="56"/>
        </w:rPr>
        <w:t>in</w:t>
      </w:r>
      <w:r w:rsidRPr="00CA1752">
        <w:rPr>
          <w:spacing w:val="-20"/>
          <w:sz w:val="56"/>
        </w:rPr>
        <w:t xml:space="preserve"> </w:t>
      </w:r>
      <w:r w:rsidRPr="00CA1752">
        <w:rPr>
          <w:spacing w:val="-1"/>
          <w:sz w:val="56"/>
        </w:rPr>
        <w:t>Science</w:t>
      </w:r>
      <w:r w:rsidRPr="00CA1752">
        <w:rPr>
          <w:spacing w:val="-19"/>
          <w:sz w:val="56"/>
        </w:rPr>
        <w:t xml:space="preserve"> </w:t>
      </w:r>
      <w:r w:rsidRPr="00CA1752">
        <w:rPr>
          <w:spacing w:val="-1"/>
          <w:sz w:val="56"/>
        </w:rPr>
        <w:t>and</w:t>
      </w:r>
      <w:r w:rsidRPr="00CA1752">
        <w:rPr>
          <w:spacing w:val="-19"/>
          <w:sz w:val="56"/>
        </w:rPr>
        <w:t xml:space="preserve"> </w:t>
      </w:r>
      <w:r w:rsidRPr="00CA1752">
        <w:rPr>
          <w:sz w:val="56"/>
        </w:rPr>
        <w:t>Engineering</w:t>
      </w:r>
    </w:p>
    <w:p w:rsidRPr="00CA1752" w:rsidR="005F7C62" w:rsidP="00342B07" w:rsidRDefault="005F7C62" w14:paraId="2ABD837B" w14:textId="77777777">
      <w:pPr>
        <w:rPr>
          <w:rFonts w:eastAsia="Times New Roman" w:cs="Times New Roman"/>
          <w:sz w:val="56"/>
          <w:szCs w:val="56"/>
        </w:rPr>
      </w:pPr>
    </w:p>
    <w:p w:rsidR="00F3270F" w:rsidP="00F3270F" w:rsidRDefault="00F3270F" w14:paraId="72304256" w14:textId="77777777">
      <w:pPr>
        <w:spacing w:after="240"/>
        <w:ind w:right="115"/>
        <w:jc w:val="right"/>
        <w:rPr>
          <w:spacing w:val="-1"/>
          <w:sz w:val="56"/>
        </w:rPr>
      </w:pPr>
      <w:r w:rsidRPr="00CA1752">
        <w:rPr>
          <w:sz w:val="56"/>
        </w:rPr>
        <w:t>OMB</w:t>
      </w:r>
      <w:r w:rsidRPr="00CA1752">
        <w:rPr>
          <w:spacing w:val="-32"/>
          <w:sz w:val="56"/>
        </w:rPr>
        <w:t xml:space="preserve"> </w:t>
      </w:r>
      <w:r w:rsidRPr="00CA1752">
        <w:rPr>
          <w:sz w:val="56"/>
        </w:rPr>
        <w:t>Supporting</w:t>
      </w:r>
      <w:r w:rsidRPr="00CA1752">
        <w:rPr>
          <w:spacing w:val="-31"/>
          <w:sz w:val="56"/>
        </w:rPr>
        <w:t xml:space="preserve"> </w:t>
      </w:r>
      <w:r w:rsidRPr="00CA1752">
        <w:rPr>
          <w:spacing w:val="-1"/>
          <w:sz w:val="56"/>
        </w:rPr>
        <w:t>Statement</w:t>
      </w:r>
    </w:p>
    <w:p w:rsidRPr="00CA1752" w:rsidR="00F3270F" w:rsidP="00F3270F" w:rsidRDefault="00F3270F" w14:paraId="406DE1DE" w14:textId="64E2BCAC">
      <w:pPr>
        <w:spacing w:after="360"/>
        <w:ind w:right="115"/>
        <w:jc w:val="right"/>
        <w:rPr>
          <w:rFonts w:eastAsia="Times New Roman" w:cs="Times New Roman"/>
          <w:sz w:val="56"/>
          <w:szCs w:val="56"/>
        </w:rPr>
      </w:pPr>
      <w:r>
        <w:rPr>
          <w:spacing w:val="-1"/>
          <w:sz w:val="56"/>
        </w:rPr>
        <w:t>Section B</w:t>
      </w:r>
    </w:p>
    <w:p w:rsidRPr="00CA1752" w:rsidR="005F7C62" w:rsidP="00ED010C" w:rsidRDefault="005F7C62" w14:paraId="4BBD16E0" w14:textId="77777777">
      <w:pPr>
        <w:rPr>
          <w:rFonts w:eastAsia="Times New Roman" w:cs="Times New Roman"/>
          <w:sz w:val="56"/>
          <w:szCs w:val="56"/>
        </w:rPr>
      </w:pPr>
    </w:p>
    <w:p w:rsidRPr="00CA1752" w:rsidR="005F7C62" w:rsidP="00ED010C" w:rsidRDefault="005F7C62" w14:paraId="30236193" w14:textId="77777777">
      <w:pPr>
        <w:rPr>
          <w:rFonts w:eastAsia="Times New Roman" w:cs="Times New Roman"/>
          <w:sz w:val="56"/>
          <w:szCs w:val="56"/>
        </w:rPr>
      </w:pPr>
    </w:p>
    <w:p w:rsidRPr="00CA1752" w:rsidR="005F7C62" w:rsidP="00ED010C" w:rsidRDefault="005F7C62" w14:paraId="586301D8" w14:textId="77777777">
      <w:pPr>
        <w:rPr>
          <w:rFonts w:eastAsia="Times New Roman" w:cs="Times New Roman"/>
          <w:sz w:val="56"/>
          <w:szCs w:val="56"/>
        </w:rPr>
      </w:pPr>
    </w:p>
    <w:p w:rsidRPr="00CA1752" w:rsidR="005F7C62" w:rsidP="00ED010C" w:rsidRDefault="005F7C62" w14:paraId="694A9335" w14:textId="77777777">
      <w:pPr>
        <w:rPr>
          <w:rFonts w:eastAsia="Times New Roman" w:cs="Times New Roman"/>
          <w:sz w:val="56"/>
          <w:szCs w:val="56"/>
        </w:rPr>
      </w:pPr>
    </w:p>
    <w:p w:rsidRPr="00CA1752" w:rsidR="005F7C62" w:rsidP="00342B07" w:rsidRDefault="005F7C62" w14:paraId="6CFE4CFD" w14:textId="77777777">
      <w:pPr>
        <w:rPr>
          <w:rFonts w:eastAsia="Times New Roman" w:cs="Times New Roman"/>
          <w:sz w:val="47"/>
          <w:szCs w:val="47"/>
        </w:rPr>
      </w:pPr>
    </w:p>
    <w:p w:rsidRPr="00CA1752" w:rsidR="005F7C62" w:rsidP="00ED010C" w:rsidRDefault="00AA3A35" w14:paraId="72DC85F6" w14:textId="06D7050F">
      <w:pPr>
        <w:ind w:right="115"/>
        <w:jc w:val="right"/>
        <w:rPr>
          <w:rFonts w:eastAsia="Times New Roman" w:cs="Times New Roman"/>
          <w:sz w:val="36"/>
          <w:szCs w:val="36"/>
        </w:rPr>
      </w:pPr>
      <w:r>
        <w:rPr>
          <w:spacing w:val="-1"/>
          <w:sz w:val="36"/>
        </w:rPr>
        <w:t>Revised, March 2020</w:t>
      </w:r>
    </w:p>
    <w:p w:rsidRPr="00CA1752" w:rsidR="005F7C62" w:rsidP="00ED010C" w:rsidRDefault="005F7C62" w14:paraId="110C188B" w14:textId="77777777">
      <w:pPr>
        <w:jc w:val="right"/>
        <w:rPr>
          <w:rFonts w:eastAsia="Times New Roman" w:cs="Times New Roman"/>
          <w:sz w:val="36"/>
          <w:szCs w:val="36"/>
        </w:rPr>
        <w:sectPr w:rsidRPr="00CA1752" w:rsidR="005F7C62" w:rsidSect="00E170C6">
          <w:headerReference w:type="default" r:id="rId8"/>
          <w:footerReference w:type="default" r:id="rId9"/>
          <w:type w:val="oddPage"/>
          <w:pgSz w:w="12240" w:h="15840" w:code="1"/>
          <w:pgMar w:top="1440" w:right="1440" w:bottom="1440" w:left="1440" w:header="720" w:footer="720" w:gutter="0"/>
          <w:cols w:space="720"/>
        </w:sectPr>
      </w:pPr>
    </w:p>
    <w:bookmarkStart w:name="_Toc490122264" w:displacedByCustomXml="next" w:id="0"/>
    <w:sdt>
      <w:sdtPr>
        <w:rPr>
          <w:rFonts w:ascii="Times New Roman" w:hAnsi="Times New Roman" w:eastAsiaTheme="minorHAnsi"/>
          <w:b w:val="0"/>
          <w:bCs w:val="0"/>
          <w:caps w:val="0"/>
          <w:spacing w:val="0"/>
          <w:szCs w:val="22"/>
        </w:rPr>
        <w:id w:val="-194007355"/>
        <w:docPartObj>
          <w:docPartGallery w:val="Table of Contents"/>
          <w:docPartUnique/>
        </w:docPartObj>
      </w:sdtPr>
      <w:sdtEndPr>
        <w:rPr>
          <w:noProof/>
        </w:rPr>
      </w:sdtEndPr>
      <w:sdtContent>
        <w:p w:rsidR="00FB45EB" w:rsidP="00453D8C" w:rsidRDefault="00453D8C" w14:paraId="3C5F660B" w14:textId="45B9559A">
          <w:pPr>
            <w:pStyle w:val="TOC0"/>
            <w:jc w:val="left"/>
          </w:pPr>
          <w:r>
            <w:t>Table of Contents</w:t>
          </w:r>
        </w:p>
        <w:p w:rsidR="00453D8C" w:rsidRDefault="00FB45EB" w14:paraId="6F91685F" w14:textId="22C427FC">
          <w:pPr>
            <w:pStyle w:val="TOC1"/>
            <w:tabs>
              <w:tab w:val="right" w:leader="dot" w:pos="10070"/>
            </w:tabs>
            <w:rPr>
              <w:rFonts w:asciiTheme="minorHAnsi" w:hAnsiTheme="minorHAnsi" w:eastAsiaTheme="minorEastAsia"/>
              <w:b w:val="0"/>
              <w:noProof/>
              <w:sz w:val="22"/>
              <w:szCs w:val="22"/>
            </w:rPr>
          </w:pPr>
          <w:r>
            <w:fldChar w:fldCharType="begin"/>
          </w:r>
          <w:r>
            <w:instrText xml:space="preserve"> TOC \o "1-3" \h \z \u </w:instrText>
          </w:r>
          <w:r>
            <w:fldChar w:fldCharType="separate"/>
          </w:r>
          <w:hyperlink w:history="1" w:anchor="_Toc34383073">
            <w:r w:rsidRPr="000D27DE" w:rsidR="00453D8C">
              <w:rPr>
                <w:rStyle w:val="Hyperlink"/>
                <w:noProof/>
              </w:rPr>
              <w:t>EXHIBIT</w:t>
            </w:r>
            <w:r w:rsidR="00294E0A">
              <w:rPr>
                <w:rStyle w:val="Hyperlink"/>
                <w:noProof/>
              </w:rPr>
              <w:t>S</w:t>
            </w:r>
            <w:r w:rsidR="00453D8C">
              <w:rPr>
                <w:noProof/>
                <w:webHidden/>
              </w:rPr>
              <w:tab/>
            </w:r>
            <w:r w:rsidR="00453D8C">
              <w:rPr>
                <w:noProof/>
                <w:webHidden/>
              </w:rPr>
              <w:fldChar w:fldCharType="begin"/>
            </w:r>
            <w:r w:rsidR="00453D8C">
              <w:rPr>
                <w:noProof/>
                <w:webHidden/>
              </w:rPr>
              <w:instrText xml:space="preserve"> PAGEREF _Toc34383073 \h </w:instrText>
            </w:r>
            <w:r w:rsidR="00453D8C">
              <w:rPr>
                <w:noProof/>
                <w:webHidden/>
              </w:rPr>
            </w:r>
            <w:r w:rsidR="00453D8C">
              <w:rPr>
                <w:noProof/>
                <w:webHidden/>
              </w:rPr>
              <w:fldChar w:fldCharType="separate"/>
            </w:r>
            <w:r w:rsidR="003B63CF">
              <w:rPr>
                <w:noProof/>
                <w:webHidden/>
              </w:rPr>
              <w:t>iii</w:t>
            </w:r>
            <w:r w:rsidR="00453D8C">
              <w:rPr>
                <w:noProof/>
                <w:webHidden/>
              </w:rPr>
              <w:fldChar w:fldCharType="end"/>
            </w:r>
          </w:hyperlink>
        </w:p>
        <w:p w:rsidR="00453D8C" w:rsidRDefault="00C0155F" w14:paraId="385DE65E" w14:textId="5BD66D2E">
          <w:pPr>
            <w:pStyle w:val="TOC1"/>
            <w:tabs>
              <w:tab w:val="right" w:leader="dot" w:pos="10070"/>
            </w:tabs>
            <w:rPr>
              <w:rFonts w:asciiTheme="minorHAnsi" w:hAnsiTheme="minorHAnsi" w:eastAsiaTheme="minorEastAsia"/>
              <w:b w:val="0"/>
              <w:noProof/>
              <w:sz w:val="22"/>
              <w:szCs w:val="22"/>
            </w:rPr>
          </w:pPr>
          <w:hyperlink w:history="1" w:anchor="_Toc34383074">
            <w:r w:rsidRPr="000D27DE" w:rsidR="00453D8C">
              <w:rPr>
                <w:rStyle w:val="Hyperlink"/>
                <w:noProof/>
              </w:rPr>
              <w:t>LIST OF</w:t>
            </w:r>
            <w:r w:rsidRPr="000D27DE" w:rsidR="00453D8C">
              <w:rPr>
                <w:rStyle w:val="Hyperlink"/>
                <w:noProof/>
                <w:spacing w:val="-3"/>
              </w:rPr>
              <w:t xml:space="preserve"> </w:t>
            </w:r>
            <w:r w:rsidRPr="000D27DE" w:rsidR="00453D8C">
              <w:rPr>
                <w:rStyle w:val="Hyperlink"/>
                <w:noProof/>
              </w:rPr>
              <w:t>ATTACHMENTS</w:t>
            </w:r>
            <w:r w:rsidR="00453D8C">
              <w:rPr>
                <w:noProof/>
                <w:webHidden/>
              </w:rPr>
              <w:tab/>
            </w:r>
            <w:r w:rsidR="00453D8C">
              <w:rPr>
                <w:noProof/>
                <w:webHidden/>
              </w:rPr>
              <w:fldChar w:fldCharType="begin"/>
            </w:r>
            <w:r w:rsidR="00453D8C">
              <w:rPr>
                <w:noProof/>
                <w:webHidden/>
              </w:rPr>
              <w:instrText xml:space="preserve"> PAGEREF _Toc34383074 \h </w:instrText>
            </w:r>
            <w:r w:rsidR="00453D8C">
              <w:rPr>
                <w:noProof/>
                <w:webHidden/>
              </w:rPr>
            </w:r>
            <w:r w:rsidR="00453D8C">
              <w:rPr>
                <w:noProof/>
                <w:webHidden/>
              </w:rPr>
              <w:fldChar w:fldCharType="separate"/>
            </w:r>
            <w:r w:rsidR="003B63CF">
              <w:rPr>
                <w:noProof/>
                <w:webHidden/>
              </w:rPr>
              <w:t>iii</w:t>
            </w:r>
            <w:r w:rsidR="00453D8C">
              <w:rPr>
                <w:noProof/>
                <w:webHidden/>
              </w:rPr>
              <w:fldChar w:fldCharType="end"/>
            </w:r>
          </w:hyperlink>
        </w:p>
        <w:p w:rsidR="00453D8C" w:rsidRDefault="00C0155F" w14:paraId="055B86AF" w14:textId="1F4D6BC1">
          <w:pPr>
            <w:pStyle w:val="TOC1"/>
            <w:tabs>
              <w:tab w:val="left" w:pos="742"/>
              <w:tab w:val="right" w:leader="dot" w:pos="10070"/>
            </w:tabs>
            <w:rPr>
              <w:rFonts w:asciiTheme="minorHAnsi" w:hAnsiTheme="minorHAnsi" w:eastAsiaTheme="minorEastAsia"/>
              <w:b w:val="0"/>
              <w:noProof/>
              <w:sz w:val="22"/>
              <w:szCs w:val="22"/>
            </w:rPr>
          </w:pPr>
          <w:hyperlink w:history="1" w:anchor="_Toc34383075">
            <w:r w:rsidRPr="000D27DE" w:rsidR="00453D8C">
              <w:rPr>
                <w:rStyle w:val="Hyperlink"/>
                <w:noProof/>
              </w:rPr>
              <w:t>B.</w:t>
            </w:r>
            <w:r w:rsidR="00453D8C">
              <w:rPr>
                <w:rFonts w:asciiTheme="minorHAnsi" w:hAnsiTheme="minorHAnsi" w:eastAsiaTheme="minorEastAsia"/>
                <w:b w:val="0"/>
                <w:noProof/>
                <w:sz w:val="22"/>
                <w:szCs w:val="22"/>
              </w:rPr>
              <w:tab/>
            </w:r>
            <w:r w:rsidRPr="000D27DE" w:rsidR="00453D8C">
              <w:rPr>
                <w:rStyle w:val="Hyperlink"/>
                <w:noProof/>
              </w:rPr>
              <w:t>COLLECTION OF</w:t>
            </w:r>
            <w:r w:rsidRPr="000D27DE" w:rsidR="00453D8C">
              <w:rPr>
                <w:rStyle w:val="Hyperlink"/>
                <w:noProof/>
                <w:spacing w:val="-3"/>
              </w:rPr>
              <w:t xml:space="preserve"> </w:t>
            </w:r>
            <w:r w:rsidRPr="000D27DE" w:rsidR="00453D8C">
              <w:rPr>
                <w:rStyle w:val="Hyperlink"/>
                <w:noProof/>
              </w:rPr>
              <w:t>INFORMATION EMPLOYING</w:t>
            </w:r>
            <w:r w:rsidRPr="000D27DE" w:rsidR="00453D8C">
              <w:rPr>
                <w:rStyle w:val="Hyperlink"/>
                <w:noProof/>
                <w:spacing w:val="-2"/>
              </w:rPr>
              <w:t xml:space="preserve"> </w:t>
            </w:r>
            <w:r w:rsidRPr="000D27DE" w:rsidR="00453D8C">
              <w:rPr>
                <w:rStyle w:val="Hyperlink"/>
                <w:noProof/>
              </w:rPr>
              <w:t>STATISTICAL METHODS</w:t>
            </w:r>
            <w:r w:rsidR="00453D8C">
              <w:rPr>
                <w:noProof/>
                <w:webHidden/>
              </w:rPr>
              <w:tab/>
            </w:r>
            <w:r w:rsidR="00453D8C">
              <w:rPr>
                <w:noProof/>
                <w:webHidden/>
              </w:rPr>
              <w:fldChar w:fldCharType="begin"/>
            </w:r>
            <w:r w:rsidR="00453D8C">
              <w:rPr>
                <w:noProof/>
                <w:webHidden/>
              </w:rPr>
              <w:instrText xml:space="preserve"> PAGEREF _Toc34383075 \h </w:instrText>
            </w:r>
            <w:r w:rsidR="00453D8C">
              <w:rPr>
                <w:noProof/>
                <w:webHidden/>
              </w:rPr>
            </w:r>
            <w:r w:rsidR="00453D8C">
              <w:rPr>
                <w:noProof/>
                <w:webHidden/>
              </w:rPr>
              <w:fldChar w:fldCharType="separate"/>
            </w:r>
            <w:r w:rsidR="003B63CF">
              <w:rPr>
                <w:noProof/>
                <w:webHidden/>
              </w:rPr>
              <w:t>1</w:t>
            </w:r>
            <w:r w:rsidR="00453D8C">
              <w:rPr>
                <w:noProof/>
                <w:webHidden/>
              </w:rPr>
              <w:fldChar w:fldCharType="end"/>
            </w:r>
          </w:hyperlink>
        </w:p>
        <w:p w:rsidR="00453D8C" w:rsidRDefault="00C0155F" w14:paraId="234A9595" w14:textId="3B41CEE3">
          <w:pPr>
            <w:pStyle w:val="TOC2"/>
            <w:tabs>
              <w:tab w:val="left" w:pos="1371"/>
              <w:tab w:val="right" w:leader="dot" w:pos="10070"/>
            </w:tabs>
            <w:rPr>
              <w:rFonts w:asciiTheme="minorHAnsi" w:hAnsiTheme="minorHAnsi" w:eastAsiaTheme="minorEastAsia"/>
              <w:noProof/>
              <w:sz w:val="22"/>
              <w:szCs w:val="22"/>
            </w:rPr>
          </w:pPr>
          <w:hyperlink w:history="1" w:anchor="_Toc34383076">
            <w:r w:rsidRPr="000D27DE" w:rsidR="00453D8C">
              <w:rPr>
                <w:rStyle w:val="Hyperlink"/>
                <w:noProof/>
              </w:rPr>
              <w:t>B.1</w:t>
            </w:r>
            <w:r w:rsidR="00453D8C">
              <w:rPr>
                <w:rFonts w:asciiTheme="minorHAnsi" w:hAnsiTheme="minorHAnsi" w:eastAsiaTheme="minorEastAsia"/>
                <w:noProof/>
                <w:sz w:val="22"/>
                <w:szCs w:val="22"/>
              </w:rPr>
              <w:tab/>
            </w:r>
            <w:r w:rsidRPr="000D27DE" w:rsidR="00453D8C">
              <w:rPr>
                <w:rStyle w:val="Hyperlink"/>
                <w:noProof/>
              </w:rPr>
              <w:t>Universe and Sampling Description</w:t>
            </w:r>
            <w:r w:rsidR="00453D8C">
              <w:rPr>
                <w:noProof/>
                <w:webHidden/>
              </w:rPr>
              <w:tab/>
            </w:r>
            <w:r w:rsidR="00453D8C">
              <w:rPr>
                <w:noProof/>
                <w:webHidden/>
              </w:rPr>
              <w:fldChar w:fldCharType="begin"/>
            </w:r>
            <w:r w:rsidR="00453D8C">
              <w:rPr>
                <w:noProof/>
                <w:webHidden/>
              </w:rPr>
              <w:instrText xml:space="preserve"> PAGEREF _Toc34383076 \h </w:instrText>
            </w:r>
            <w:r w:rsidR="00453D8C">
              <w:rPr>
                <w:noProof/>
                <w:webHidden/>
              </w:rPr>
            </w:r>
            <w:r w:rsidR="00453D8C">
              <w:rPr>
                <w:noProof/>
                <w:webHidden/>
              </w:rPr>
              <w:fldChar w:fldCharType="separate"/>
            </w:r>
            <w:r w:rsidR="003B63CF">
              <w:rPr>
                <w:noProof/>
                <w:webHidden/>
              </w:rPr>
              <w:t>1</w:t>
            </w:r>
            <w:r w:rsidR="00453D8C">
              <w:rPr>
                <w:noProof/>
                <w:webHidden/>
              </w:rPr>
              <w:fldChar w:fldCharType="end"/>
            </w:r>
          </w:hyperlink>
        </w:p>
        <w:p w:rsidR="00453D8C" w:rsidRDefault="00C0155F" w14:paraId="7F593CD5" w14:textId="3A5E8DD7">
          <w:pPr>
            <w:pStyle w:val="TOC3"/>
            <w:tabs>
              <w:tab w:val="left" w:pos="2111"/>
              <w:tab w:val="right" w:leader="dot" w:pos="10070"/>
            </w:tabs>
            <w:rPr>
              <w:rFonts w:asciiTheme="minorHAnsi" w:hAnsiTheme="minorHAnsi" w:eastAsiaTheme="minorEastAsia"/>
              <w:noProof/>
              <w:sz w:val="22"/>
              <w:szCs w:val="22"/>
            </w:rPr>
          </w:pPr>
          <w:hyperlink w:history="1" w:anchor="_Toc34383077">
            <w:r w:rsidRPr="000D27DE" w:rsidR="00453D8C">
              <w:rPr>
                <w:rStyle w:val="Hyperlink"/>
                <w:noProof/>
              </w:rPr>
              <w:t>B.1.1</w:t>
            </w:r>
            <w:r w:rsidR="00453D8C">
              <w:rPr>
                <w:rFonts w:asciiTheme="minorHAnsi" w:hAnsiTheme="minorHAnsi" w:eastAsiaTheme="minorEastAsia"/>
                <w:noProof/>
                <w:sz w:val="22"/>
                <w:szCs w:val="22"/>
              </w:rPr>
              <w:tab/>
            </w:r>
            <w:r w:rsidRPr="000D27DE" w:rsidR="00453D8C">
              <w:rPr>
                <w:rStyle w:val="Hyperlink"/>
                <w:noProof/>
              </w:rPr>
              <w:t xml:space="preserve">Discussion </w:t>
            </w:r>
            <w:r w:rsidRPr="000D27DE" w:rsidR="00453D8C">
              <w:rPr>
                <w:rStyle w:val="Hyperlink"/>
                <w:noProof/>
                <w:spacing w:val="-2"/>
              </w:rPr>
              <w:t>of</w:t>
            </w:r>
            <w:r w:rsidRPr="000D27DE" w:rsidR="00453D8C">
              <w:rPr>
                <w:rStyle w:val="Hyperlink"/>
                <w:noProof/>
                <w:spacing w:val="1"/>
              </w:rPr>
              <w:t xml:space="preserve"> </w:t>
            </w:r>
            <w:r w:rsidRPr="000D27DE" w:rsidR="00453D8C">
              <w:rPr>
                <w:rStyle w:val="Hyperlink"/>
                <w:noProof/>
              </w:rPr>
              <w:t>Institutional Frame</w:t>
            </w:r>
            <w:r w:rsidR="00453D8C">
              <w:rPr>
                <w:noProof/>
                <w:webHidden/>
              </w:rPr>
              <w:tab/>
            </w:r>
            <w:r w:rsidR="00453D8C">
              <w:rPr>
                <w:noProof/>
                <w:webHidden/>
              </w:rPr>
              <w:fldChar w:fldCharType="begin"/>
            </w:r>
            <w:r w:rsidR="00453D8C">
              <w:rPr>
                <w:noProof/>
                <w:webHidden/>
              </w:rPr>
              <w:instrText xml:space="preserve"> PAGEREF _Toc34383077 \h </w:instrText>
            </w:r>
            <w:r w:rsidR="00453D8C">
              <w:rPr>
                <w:noProof/>
                <w:webHidden/>
              </w:rPr>
            </w:r>
            <w:r w:rsidR="00453D8C">
              <w:rPr>
                <w:noProof/>
                <w:webHidden/>
              </w:rPr>
              <w:fldChar w:fldCharType="separate"/>
            </w:r>
            <w:r w:rsidR="003B63CF">
              <w:rPr>
                <w:noProof/>
                <w:webHidden/>
              </w:rPr>
              <w:t>1</w:t>
            </w:r>
            <w:r w:rsidR="00453D8C">
              <w:rPr>
                <w:noProof/>
                <w:webHidden/>
              </w:rPr>
              <w:fldChar w:fldCharType="end"/>
            </w:r>
          </w:hyperlink>
        </w:p>
        <w:p w:rsidR="00453D8C" w:rsidRDefault="00C0155F" w14:paraId="1D7FB111" w14:textId="00D932AD">
          <w:pPr>
            <w:pStyle w:val="TOC3"/>
            <w:tabs>
              <w:tab w:val="left" w:pos="2111"/>
              <w:tab w:val="right" w:leader="dot" w:pos="10070"/>
            </w:tabs>
            <w:rPr>
              <w:rFonts w:asciiTheme="minorHAnsi" w:hAnsiTheme="minorHAnsi" w:eastAsiaTheme="minorEastAsia"/>
              <w:noProof/>
              <w:sz w:val="22"/>
              <w:szCs w:val="22"/>
            </w:rPr>
          </w:pPr>
          <w:hyperlink w:history="1" w:anchor="_Toc34383078">
            <w:r w:rsidRPr="000D27DE" w:rsidR="00453D8C">
              <w:rPr>
                <w:rStyle w:val="Hyperlink"/>
                <w:noProof/>
              </w:rPr>
              <w:t>B.1.2</w:t>
            </w:r>
            <w:r w:rsidR="00453D8C">
              <w:rPr>
                <w:rFonts w:asciiTheme="minorHAnsi" w:hAnsiTheme="minorHAnsi" w:eastAsiaTheme="minorEastAsia"/>
                <w:noProof/>
                <w:sz w:val="22"/>
                <w:szCs w:val="22"/>
              </w:rPr>
              <w:tab/>
            </w:r>
            <w:r w:rsidRPr="000D27DE" w:rsidR="00453D8C">
              <w:rPr>
                <w:rStyle w:val="Hyperlink"/>
                <w:noProof/>
              </w:rPr>
              <w:t>Response Rates</w:t>
            </w:r>
            <w:r w:rsidR="00453D8C">
              <w:rPr>
                <w:noProof/>
                <w:webHidden/>
              </w:rPr>
              <w:tab/>
            </w:r>
            <w:r w:rsidR="00453D8C">
              <w:rPr>
                <w:noProof/>
                <w:webHidden/>
              </w:rPr>
              <w:fldChar w:fldCharType="begin"/>
            </w:r>
            <w:r w:rsidR="00453D8C">
              <w:rPr>
                <w:noProof/>
                <w:webHidden/>
              </w:rPr>
              <w:instrText xml:space="preserve"> PAGEREF _Toc34383078 \h </w:instrText>
            </w:r>
            <w:r w:rsidR="00453D8C">
              <w:rPr>
                <w:noProof/>
                <w:webHidden/>
              </w:rPr>
            </w:r>
            <w:r w:rsidR="00453D8C">
              <w:rPr>
                <w:noProof/>
                <w:webHidden/>
              </w:rPr>
              <w:fldChar w:fldCharType="separate"/>
            </w:r>
            <w:r w:rsidR="003B63CF">
              <w:rPr>
                <w:noProof/>
                <w:webHidden/>
              </w:rPr>
              <w:t>2</w:t>
            </w:r>
            <w:r w:rsidR="00453D8C">
              <w:rPr>
                <w:noProof/>
                <w:webHidden/>
              </w:rPr>
              <w:fldChar w:fldCharType="end"/>
            </w:r>
          </w:hyperlink>
        </w:p>
        <w:p w:rsidR="00453D8C" w:rsidRDefault="00C0155F" w14:paraId="46B88C0D" w14:textId="05C9AA09">
          <w:pPr>
            <w:pStyle w:val="TOC2"/>
            <w:tabs>
              <w:tab w:val="left" w:pos="1371"/>
              <w:tab w:val="right" w:leader="dot" w:pos="10070"/>
            </w:tabs>
            <w:rPr>
              <w:rFonts w:asciiTheme="minorHAnsi" w:hAnsiTheme="minorHAnsi" w:eastAsiaTheme="minorEastAsia"/>
              <w:noProof/>
              <w:sz w:val="22"/>
              <w:szCs w:val="22"/>
            </w:rPr>
          </w:pPr>
          <w:hyperlink w:history="1" w:anchor="_Toc34383079">
            <w:r w:rsidRPr="000D27DE" w:rsidR="00453D8C">
              <w:rPr>
                <w:rStyle w:val="Hyperlink"/>
                <w:noProof/>
              </w:rPr>
              <w:t>B.2</w:t>
            </w:r>
            <w:r w:rsidR="00453D8C">
              <w:rPr>
                <w:rFonts w:asciiTheme="minorHAnsi" w:hAnsiTheme="minorHAnsi" w:eastAsiaTheme="minorEastAsia"/>
                <w:noProof/>
                <w:sz w:val="22"/>
                <w:szCs w:val="22"/>
              </w:rPr>
              <w:tab/>
            </w:r>
            <w:r w:rsidRPr="000D27DE" w:rsidR="00453D8C">
              <w:rPr>
                <w:rStyle w:val="Hyperlink"/>
                <w:noProof/>
              </w:rPr>
              <w:t>Information Collection</w:t>
            </w:r>
            <w:r w:rsidR="00453D8C">
              <w:rPr>
                <w:noProof/>
                <w:webHidden/>
              </w:rPr>
              <w:tab/>
            </w:r>
            <w:r w:rsidR="00453D8C">
              <w:rPr>
                <w:noProof/>
                <w:webHidden/>
              </w:rPr>
              <w:fldChar w:fldCharType="begin"/>
            </w:r>
            <w:r w:rsidR="00453D8C">
              <w:rPr>
                <w:noProof/>
                <w:webHidden/>
              </w:rPr>
              <w:instrText xml:space="preserve"> PAGEREF _Toc34383079 \h </w:instrText>
            </w:r>
            <w:r w:rsidR="00453D8C">
              <w:rPr>
                <w:noProof/>
                <w:webHidden/>
              </w:rPr>
            </w:r>
            <w:r w:rsidR="00453D8C">
              <w:rPr>
                <w:noProof/>
                <w:webHidden/>
              </w:rPr>
              <w:fldChar w:fldCharType="separate"/>
            </w:r>
            <w:r w:rsidR="003B63CF">
              <w:rPr>
                <w:noProof/>
                <w:webHidden/>
              </w:rPr>
              <w:t>2</w:t>
            </w:r>
            <w:r w:rsidR="00453D8C">
              <w:rPr>
                <w:noProof/>
                <w:webHidden/>
              </w:rPr>
              <w:fldChar w:fldCharType="end"/>
            </w:r>
          </w:hyperlink>
        </w:p>
        <w:p w:rsidR="00453D8C" w:rsidRDefault="00C0155F" w14:paraId="30E1B560" w14:textId="4B7239A3">
          <w:pPr>
            <w:pStyle w:val="TOC3"/>
            <w:tabs>
              <w:tab w:val="left" w:pos="2231"/>
              <w:tab w:val="right" w:leader="dot" w:pos="10070"/>
            </w:tabs>
            <w:rPr>
              <w:rFonts w:asciiTheme="minorHAnsi" w:hAnsiTheme="minorHAnsi" w:eastAsiaTheme="minorEastAsia"/>
              <w:noProof/>
              <w:sz w:val="22"/>
              <w:szCs w:val="22"/>
            </w:rPr>
          </w:pPr>
          <w:hyperlink w:history="1" w:anchor="_Toc34383080">
            <w:r w:rsidRPr="000D27DE" w:rsidR="00453D8C">
              <w:rPr>
                <w:rStyle w:val="Hyperlink"/>
                <w:noProof/>
              </w:rPr>
              <w:t xml:space="preserve">B.2.1. </w:t>
            </w:r>
            <w:r w:rsidR="00453D8C">
              <w:rPr>
                <w:rFonts w:asciiTheme="minorHAnsi" w:hAnsiTheme="minorHAnsi" w:eastAsiaTheme="minorEastAsia"/>
                <w:noProof/>
                <w:sz w:val="22"/>
                <w:szCs w:val="22"/>
              </w:rPr>
              <w:tab/>
            </w:r>
            <w:r w:rsidRPr="000D27DE" w:rsidR="00453D8C">
              <w:rPr>
                <w:rStyle w:val="Hyperlink"/>
                <w:noProof/>
              </w:rPr>
              <w:t>Collection of Data Based on Updated CIP Codes</w:t>
            </w:r>
            <w:r w:rsidR="00453D8C">
              <w:rPr>
                <w:noProof/>
                <w:webHidden/>
              </w:rPr>
              <w:tab/>
            </w:r>
            <w:r w:rsidR="00453D8C">
              <w:rPr>
                <w:noProof/>
                <w:webHidden/>
              </w:rPr>
              <w:fldChar w:fldCharType="begin"/>
            </w:r>
            <w:r w:rsidR="00453D8C">
              <w:rPr>
                <w:noProof/>
                <w:webHidden/>
              </w:rPr>
              <w:instrText xml:space="preserve"> PAGEREF _Toc34383080 \h </w:instrText>
            </w:r>
            <w:r w:rsidR="00453D8C">
              <w:rPr>
                <w:noProof/>
                <w:webHidden/>
              </w:rPr>
            </w:r>
            <w:r w:rsidR="00453D8C">
              <w:rPr>
                <w:noProof/>
                <w:webHidden/>
              </w:rPr>
              <w:fldChar w:fldCharType="separate"/>
            </w:r>
            <w:r w:rsidR="003B63CF">
              <w:rPr>
                <w:noProof/>
                <w:webHidden/>
              </w:rPr>
              <w:t>3</w:t>
            </w:r>
            <w:r w:rsidR="00453D8C">
              <w:rPr>
                <w:noProof/>
                <w:webHidden/>
              </w:rPr>
              <w:fldChar w:fldCharType="end"/>
            </w:r>
          </w:hyperlink>
        </w:p>
        <w:p w:rsidR="00453D8C" w:rsidRDefault="00C0155F" w14:paraId="5DF7F7DE" w14:textId="1830C380">
          <w:pPr>
            <w:pStyle w:val="TOC2"/>
            <w:tabs>
              <w:tab w:val="left" w:pos="1371"/>
              <w:tab w:val="right" w:leader="dot" w:pos="10070"/>
            </w:tabs>
            <w:rPr>
              <w:rFonts w:asciiTheme="minorHAnsi" w:hAnsiTheme="minorHAnsi" w:eastAsiaTheme="minorEastAsia"/>
              <w:noProof/>
              <w:sz w:val="22"/>
              <w:szCs w:val="22"/>
            </w:rPr>
          </w:pPr>
          <w:hyperlink w:history="1" w:anchor="_Toc34383081">
            <w:r w:rsidRPr="000D27DE" w:rsidR="00453D8C">
              <w:rPr>
                <w:rStyle w:val="Hyperlink"/>
                <w:noProof/>
              </w:rPr>
              <w:t>B.3</w:t>
            </w:r>
            <w:r w:rsidR="00453D8C">
              <w:rPr>
                <w:rFonts w:asciiTheme="minorHAnsi" w:hAnsiTheme="minorHAnsi" w:eastAsiaTheme="minorEastAsia"/>
                <w:noProof/>
                <w:sz w:val="22"/>
                <w:szCs w:val="22"/>
              </w:rPr>
              <w:tab/>
            </w:r>
            <w:r w:rsidRPr="000D27DE" w:rsidR="00453D8C">
              <w:rPr>
                <w:rStyle w:val="Hyperlink"/>
                <w:noProof/>
              </w:rPr>
              <w:t>Statistical Accuracy of the Collection</w:t>
            </w:r>
            <w:r w:rsidR="00453D8C">
              <w:rPr>
                <w:noProof/>
                <w:webHidden/>
              </w:rPr>
              <w:tab/>
            </w:r>
            <w:r w:rsidR="00453D8C">
              <w:rPr>
                <w:noProof/>
                <w:webHidden/>
              </w:rPr>
              <w:fldChar w:fldCharType="begin"/>
            </w:r>
            <w:r w:rsidR="00453D8C">
              <w:rPr>
                <w:noProof/>
                <w:webHidden/>
              </w:rPr>
              <w:instrText xml:space="preserve"> PAGEREF _Toc34383081 \h </w:instrText>
            </w:r>
            <w:r w:rsidR="00453D8C">
              <w:rPr>
                <w:noProof/>
                <w:webHidden/>
              </w:rPr>
            </w:r>
            <w:r w:rsidR="00453D8C">
              <w:rPr>
                <w:noProof/>
                <w:webHidden/>
              </w:rPr>
              <w:fldChar w:fldCharType="separate"/>
            </w:r>
            <w:r w:rsidR="003B63CF">
              <w:rPr>
                <w:noProof/>
                <w:webHidden/>
              </w:rPr>
              <w:t>4</w:t>
            </w:r>
            <w:r w:rsidR="00453D8C">
              <w:rPr>
                <w:noProof/>
                <w:webHidden/>
              </w:rPr>
              <w:fldChar w:fldCharType="end"/>
            </w:r>
          </w:hyperlink>
        </w:p>
        <w:p w:rsidR="00453D8C" w:rsidRDefault="00C0155F" w14:paraId="0CECF13E" w14:textId="2E6709BB">
          <w:pPr>
            <w:pStyle w:val="TOC3"/>
            <w:tabs>
              <w:tab w:val="right" w:leader="dot" w:pos="10070"/>
            </w:tabs>
            <w:rPr>
              <w:rFonts w:asciiTheme="minorHAnsi" w:hAnsiTheme="minorHAnsi" w:eastAsiaTheme="minorEastAsia"/>
              <w:noProof/>
              <w:sz w:val="22"/>
              <w:szCs w:val="22"/>
            </w:rPr>
          </w:pPr>
          <w:hyperlink w:history="1" w:anchor="_Toc34383082">
            <w:r w:rsidRPr="000D27DE" w:rsidR="00453D8C">
              <w:rPr>
                <w:rStyle w:val="Hyperlink"/>
                <w:noProof/>
              </w:rPr>
              <w:t>B.3.1  Methods used to maximize response rates</w:t>
            </w:r>
            <w:r w:rsidR="00453D8C">
              <w:rPr>
                <w:noProof/>
                <w:webHidden/>
              </w:rPr>
              <w:tab/>
            </w:r>
            <w:r w:rsidR="00453D8C">
              <w:rPr>
                <w:noProof/>
                <w:webHidden/>
              </w:rPr>
              <w:fldChar w:fldCharType="begin"/>
            </w:r>
            <w:r w:rsidR="00453D8C">
              <w:rPr>
                <w:noProof/>
                <w:webHidden/>
              </w:rPr>
              <w:instrText xml:space="preserve"> PAGEREF _Toc34383082 \h </w:instrText>
            </w:r>
            <w:r w:rsidR="00453D8C">
              <w:rPr>
                <w:noProof/>
                <w:webHidden/>
              </w:rPr>
            </w:r>
            <w:r w:rsidR="00453D8C">
              <w:rPr>
                <w:noProof/>
                <w:webHidden/>
              </w:rPr>
              <w:fldChar w:fldCharType="separate"/>
            </w:r>
            <w:r w:rsidR="003B63CF">
              <w:rPr>
                <w:noProof/>
                <w:webHidden/>
              </w:rPr>
              <w:t>4</w:t>
            </w:r>
            <w:r w:rsidR="00453D8C">
              <w:rPr>
                <w:noProof/>
                <w:webHidden/>
              </w:rPr>
              <w:fldChar w:fldCharType="end"/>
            </w:r>
          </w:hyperlink>
        </w:p>
        <w:p w:rsidR="00453D8C" w:rsidRDefault="00C0155F" w14:paraId="78EF9915" w14:textId="42214C2C">
          <w:pPr>
            <w:pStyle w:val="TOC3"/>
            <w:tabs>
              <w:tab w:val="left" w:pos="2111"/>
              <w:tab w:val="right" w:leader="dot" w:pos="10070"/>
            </w:tabs>
            <w:rPr>
              <w:rFonts w:asciiTheme="minorHAnsi" w:hAnsiTheme="minorHAnsi" w:eastAsiaTheme="minorEastAsia"/>
              <w:noProof/>
              <w:sz w:val="22"/>
              <w:szCs w:val="22"/>
            </w:rPr>
          </w:pPr>
          <w:hyperlink w:history="1" w:anchor="_Toc34383083">
            <w:r w:rsidRPr="000D27DE" w:rsidR="00453D8C">
              <w:rPr>
                <w:rStyle w:val="Hyperlink"/>
                <w:noProof/>
              </w:rPr>
              <w:t>B.3.2</w:t>
            </w:r>
            <w:r w:rsidR="00453D8C">
              <w:rPr>
                <w:rFonts w:asciiTheme="minorHAnsi" w:hAnsiTheme="minorHAnsi" w:eastAsiaTheme="minorEastAsia"/>
                <w:noProof/>
                <w:sz w:val="22"/>
                <w:szCs w:val="22"/>
              </w:rPr>
              <w:tab/>
            </w:r>
            <w:r w:rsidRPr="000D27DE" w:rsidR="00453D8C">
              <w:rPr>
                <w:rStyle w:val="Hyperlink"/>
                <w:noProof/>
              </w:rPr>
              <w:t>Imputation Methods for Unit and Item</w:t>
            </w:r>
            <w:r w:rsidRPr="000D27DE" w:rsidR="00453D8C">
              <w:rPr>
                <w:rStyle w:val="Hyperlink"/>
                <w:noProof/>
                <w:spacing w:val="-4"/>
              </w:rPr>
              <w:t xml:space="preserve"> </w:t>
            </w:r>
            <w:r w:rsidRPr="000D27DE" w:rsidR="00453D8C">
              <w:rPr>
                <w:rStyle w:val="Hyperlink"/>
                <w:noProof/>
              </w:rPr>
              <w:t>Nonresponse</w:t>
            </w:r>
            <w:r w:rsidR="00453D8C">
              <w:rPr>
                <w:noProof/>
                <w:webHidden/>
              </w:rPr>
              <w:tab/>
            </w:r>
            <w:r w:rsidR="00453D8C">
              <w:rPr>
                <w:noProof/>
                <w:webHidden/>
              </w:rPr>
              <w:fldChar w:fldCharType="begin"/>
            </w:r>
            <w:r w:rsidR="00453D8C">
              <w:rPr>
                <w:noProof/>
                <w:webHidden/>
              </w:rPr>
              <w:instrText xml:space="preserve"> PAGEREF _Toc34383083 \h </w:instrText>
            </w:r>
            <w:r w:rsidR="00453D8C">
              <w:rPr>
                <w:noProof/>
                <w:webHidden/>
              </w:rPr>
            </w:r>
            <w:r w:rsidR="00453D8C">
              <w:rPr>
                <w:noProof/>
                <w:webHidden/>
              </w:rPr>
              <w:fldChar w:fldCharType="separate"/>
            </w:r>
            <w:r w:rsidR="003B63CF">
              <w:rPr>
                <w:noProof/>
                <w:webHidden/>
              </w:rPr>
              <w:t>5</w:t>
            </w:r>
            <w:r w:rsidR="00453D8C">
              <w:rPr>
                <w:noProof/>
                <w:webHidden/>
              </w:rPr>
              <w:fldChar w:fldCharType="end"/>
            </w:r>
          </w:hyperlink>
        </w:p>
        <w:p w:rsidR="00453D8C" w:rsidRDefault="00C0155F" w14:paraId="1AD0B85C" w14:textId="0640CBFD">
          <w:pPr>
            <w:pStyle w:val="TOC3"/>
            <w:tabs>
              <w:tab w:val="right" w:leader="dot" w:pos="10070"/>
            </w:tabs>
            <w:rPr>
              <w:rFonts w:asciiTheme="minorHAnsi" w:hAnsiTheme="minorHAnsi" w:eastAsiaTheme="minorEastAsia"/>
              <w:noProof/>
              <w:sz w:val="22"/>
              <w:szCs w:val="22"/>
            </w:rPr>
          </w:pPr>
          <w:hyperlink w:history="1" w:anchor="_Toc34383084">
            <w:r w:rsidRPr="000D27DE" w:rsidR="00453D8C">
              <w:rPr>
                <w:rStyle w:val="Hyperlink"/>
                <w:noProof/>
              </w:rPr>
              <w:t>B.3.3  Accuracy and Reliability of data</w:t>
            </w:r>
            <w:r w:rsidR="00453D8C">
              <w:rPr>
                <w:noProof/>
                <w:webHidden/>
              </w:rPr>
              <w:tab/>
            </w:r>
            <w:r w:rsidR="00453D8C">
              <w:rPr>
                <w:noProof/>
                <w:webHidden/>
              </w:rPr>
              <w:fldChar w:fldCharType="begin"/>
            </w:r>
            <w:r w:rsidR="00453D8C">
              <w:rPr>
                <w:noProof/>
                <w:webHidden/>
              </w:rPr>
              <w:instrText xml:space="preserve"> PAGEREF _Toc34383084 \h </w:instrText>
            </w:r>
            <w:r w:rsidR="00453D8C">
              <w:rPr>
                <w:noProof/>
                <w:webHidden/>
              </w:rPr>
            </w:r>
            <w:r w:rsidR="00453D8C">
              <w:rPr>
                <w:noProof/>
                <w:webHidden/>
              </w:rPr>
              <w:fldChar w:fldCharType="separate"/>
            </w:r>
            <w:r w:rsidR="003B63CF">
              <w:rPr>
                <w:noProof/>
                <w:webHidden/>
              </w:rPr>
              <w:t>7</w:t>
            </w:r>
            <w:r w:rsidR="00453D8C">
              <w:rPr>
                <w:noProof/>
                <w:webHidden/>
              </w:rPr>
              <w:fldChar w:fldCharType="end"/>
            </w:r>
          </w:hyperlink>
        </w:p>
        <w:p w:rsidR="00453D8C" w:rsidRDefault="00C0155F" w14:paraId="543D7378" w14:textId="32436262">
          <w:pPr>
            <w:pStyle w:val="TOC2"/>
            <w:tabs>
              <w:tab w:val="left" w:pos="1371"/>
              <w:tab w:val="right" w:leader="dot" w:pos="10070"/>
            </w:tabs>
            <w:rPr>
              <w:rFonts w:asciiTheme="minorHAnsi" w:hAnsiTheme="minorHAnsi" w:eastAsiaTheme="minorEastAsia"/>
              <w:noProof/>
              <w:sz w:val="22"/>
              <w:szCs w:val="22"/>
            </w:rPr>
          </w:pPr>
          <w:hyperlink w:history="1" w:anchor="_Toc34383085">
            <w:r w:rsidRPr="000D27DE" w:rsidR="00453D8C">
              <w:rPr>
                <w:rStyle w:val="Hyperlink"/>
                <w:noProof/>
              </w:rPr>
              <w:t>B.4</w:t>
            </w:r>
            <w:r w:rsidR="00453D8C">
              <w:rPr>
                <w:rFonts w:asciiTheme="minorHAnsi" w:hAnsiTheme="minorHAnsi" w:eastAsiaTheme="minorEastAsia"/>
                <w:noProof/>
                <w:sz w:val="22"/>
                <w:szCs w:val="22"/>
              </w:rPr>
              <w:tab/>
            </w:r>
            <w:r w:rsidRPr="000D27DE" w:rsidR="00453D8C">
              <w:rPr>
                <w:rStyle w:val="Hyperlink"/>
                <w:noProof/>
              </w:rPr>
              <w:t>Testing of</w:t>
            </w:r>
            <w:r w:rsidRPr="000D27DE" w:rsidR="00453D8C">
              <w:rPr>
                <w:rStyle w:val="Hyperlink"/>
                <w:noProof/>
                <w:spacing w:val="1"/>
              </w:rPr>
              <w:t xml:space="preserve"> </w:t>
            </w:r>
            <w:r w:rsidRPr="000D27DE" w:rsidR="00453D8C">
              <w:rPr>
                <w:rStyle w:val="Hyperlink"/>
                <w:noProof/>
              </w:rPr>
              <w:t>Procedures</w:t>
            </w:r>
            <w:r w:rsidR="00453D8C">
              <w:rPr>
                <w:noProof/>
                <w:webHidden/>
              </w:rPr>
              <w:tab/>
            </w:r>
            <w:r w:rsidR="00453D8C">
              <w:rPr>
                <w:noProof/>
                <w:webHidden/>
              </w:rPr>
              <w:fldChar w:fldCharType="begin"/>
            </w:r>
            <w:r w:rsidR="00453D8C">
              <w:rPr>
                <w:noProof/>
                <w:webHidden/>
              </w:rPr>
              <w:instrText xml:space="preserve"> PAGEREF _Toc34383085 \h </w:instrText>
            </w:r>
            <w:r w:rsidR="00453D8C">
              <w:rPr>
                <w:noProof/>
                <w:webHidden/>
              </w:rPr>
            </w:r>
            <w:r w:rsidR="00453D8C">
              <w:rPr>
                <w:noProof/>
                <w:webHidden/>
              </w:rPr>
              <w:fldChar w:fldCharType="separate"/>
            </w:r>
            <w:r w:rsidR="003B63CF">
              <w:rPr>
                <w:noProof/>
                <w:webHidden/>
              </w:rPr>
              <w:t>7</w:t>
            </w:r>
            <w:r w:rsidR="00453D8C">
              <w:rPr>
                <w:noProof/>
                <w:webHidden/>
              </w:rPr>
              <w:fldChar w:fldCharType="end"/>
            </w:r>
          </w:hyperlink>
        </w:p>
        <w:p w:rsidR="00453D8C" w:rsidRDefault="00C0155F" w14:paraId="54839876" w14:textId="5A4FAA6B">
          <w:pPr>
            <w:pStyle w:val="TOC2"/>
            <w:tabs>
              <w:tab w:val="left" w:pos="1371"/>
              <w:tab w:val="right" w:leader="dot" w:pos="10070"/>
            </w:tabs>
            <w:rPr>
              <w:rFonts w:asciiTheme="minorHAnsi" w:hAnsiTheme="minorHAnsi" w:eastAsiaTheme="minorEastAsia"/>
              <w:noProof/>
              <w:sz w:val="22"/>
              <w:szCs w:val="22"/>
            </w:rPr>
          </w:pPr>
          <w:hyperlink w:history="1" w:anchor="_Toc34383086">
            <w:r w:rsidRPr="000D27DE" w:rsidR="00453D8C">
              <w:rPr>
                <w:rStyle w:val="Hyperlink"/>
                <w:noProof/>
              </w:rPr>
              <w:t>B.5</w:t>
            </w:r>
            <w:r w:rsidR="00453D8C">
              <w:rPr>
                <w:rFonts w:asciiTheme="minorHAnsi" w:hAnsiTheme="minorHAnsi" w:eastAsiaTheme="minorEastAsia"/>
                <w:noProof/>
                <w:sz w:val="22"/>
                <w:szCs w:val="22"/>
              </w:rPr>
              <w:tab/>
            </w:r>
            <w:r w:rsidRPr="000D27DE" w:rsidR="00453D8C">
              <w:rPr>
                <w:rStyle w:val="Hyperlink"/>
                <w:noProof/>
              </w:rPr>
              <w:t>Individuals</w:t>
            </w:r>
            <w:r w:rsidRPr="000D27DE" w:rsidR="00453D8C">
              <w:rPr>
                <w:rStyle w:val="Hyperlink"/>
                <w:noProof/>
                <w:spacing w:val="-3"/>
              </w:rPr>
              <w:t xml:space="preserve"> </w:t>
            </w:r>
            <w:r w:rsidRPr="000D27DE" w:rsidR="00453D8C">
              <w:rPr>
                <w:rStyle w:val="Hyperlink"/>
                <w:noProof/>
              </w:rPr>
              <w:t>Consulted</w:t>
            </w:r>
            <w:r w:rsidR="00453D8C">
              <w:rPr>
                <w:noProof/>
                <w:webHidden/>
              </w:rPr>
              <w:tab/>
            </w:r>
            <w:r w:rsidR="00453D8C">
              <w:rPr>
                <w:noProof/>
                <w:webHidden/>
              </w:rPr>
              <w:fldChar w:fldCharType="begin"/>
            </w:r>
            <w:r w:rsidR="00453D8C">
              <w:rPr>
                <w:noProof/>
                <w:webHidden/>
              </w:rPr>
              <w:instrText xml:space="preserve"> PAGEREF _Toc34383086 \h </w:instrText>
            </w:r>
            <w:r w:rsidR="00453D8C">
              <w:rPr>
                <w:noProof/>
                <w:webHidden/>
              </w:rPr>
            </w:r>
            <w:r w:rsidR="00453D8C">
              <w:rPr>
                <w:noProof/>
                <w:webHidden/>
              </w:rPr>
              <w:fldChar w:fldCharType="separate"/>
            </w:r>
            <w:r w:rsidR="003B63CF">
              <w:rPr>
                <w:noProof/>
                <w:webHidden/>
              </w:rPr>
              <w:t>7</w:t>
            </w:r>
            <w:r w:rsidR="00453D8C">
              <w:rPr>
                <w:noProof/>
                <w:webHidden/>
              </w:rPr>
              <w:fldChar w:fldCharType="end"/>
            </w:r>
          </w:hyperlink>
        </w:p>
        <w:p w:rsidR="00FB45EB" w:rsidRDefault="00FB45EB" w14:paraId="32DA7D5A" w14:textId="577CC6D9">
          <w:r>
            <w:rPr>
              <w:b/>
              <w:bCs/>
              <w:noProof/>
            </w:rPr>
            <w:fldChar w:fldCharType="end"/>
          </w:r>
        </w:p>
      </w:sdtContent>
    </w:sdt>
    <w:p w:rsidRPr="00453D8C" w:rsidR="00453D8C" w:rsidP="00453D8C" w:rsidRDefault="008C752D" w14:paraId="0799B0CB" w14:textId="1C2F3FC9">
      <w:pPr>
        <w:pStyle w:val="TOC0"/>
        <w:spacing w:after="360"/>
        <w:ind w:left="720"/>
      </w:pPr>
      <w:bookmarkStart w:name="_Toc34383073" w:id="1"/>
      <w:r w:rsidRPr="002D4A7C">
        <w:t>EXHIBIT</w:t>
      </w:r>
      <w:bookmarkEnd w:id="1"/>
      <w:bookmarkEnd w:id="0"/>
      <w:r w:rsidR="00294E0A">
        <w:t>S</w:t>
      </w:r>
      <w:r w:rsidRPr="00453D8C" w:rsidR="00453D8C">
        <w:tab/>
        <w:t xml:space="preserve">      </w:t>
      </w:r>
    </w:p>
    <w:p w:rsidRPr="007832D3" w:rsidR="00453D8C" w:rsidP="007832D3" w:rsidRDefault="00453D8C" w14:paraId="2E201BD0" w14:textId="782A8A39">
      <w:pPr>
        <w:pStyle w:val="BodyText"/>
        <w:spacing w:after="0"/>
        <w:ind w:left="720" w:firstLine="0"/>
        <w:rPr>
          <w:bCs/>
          <w:sz w:val="22"/>
          <w:szCs w:val="22"/>
        </w:rPr>
      </w:pPr>
      <w:r w:rsidRPr="007832D3">
        <w:rPr>
          <w:bCs/>
          <w:sz w:val="22"/>
          <w:szCs w:val="22"/>
        </w:rPr>
        <w:t>Exhibit 9. Number of GSS Institutions, Schools, Units and Enrollment, 2016-2018....................................1</w:t>
      </w:r>
    </w:p>
    <w:p w:rsidRPr="007832D3" w:rsidR="00453D8C" w:rsidP="007832D3" w:rsidRDefault="00453D8C" w14:paraId="20D7B9A8" w14:textId="55C8CA9F">
      <w:pPr>
        <w:pStyle w:val="BodyText"/>
        <w:spacing w:after="0"/>
        <w:ind w:left="720" w:firstLine="0"/>
        <w:rPr>
          <w:bCs/>
          <w:sz w:val="22"/>
          <w:szCs w:val="22"/>
        </w:rPr>
      </w:pPr>
      <w:r w:rsidRPr="007832D3">
        <w:rPr>
          <w:bCs/>
          <w:sz w:val="22"/>
          <w:szCs w:val="22"/>
        </w:rPr>
        <w:t>Exhibit 10. GSS Institution, School, and Unit Response Rates: 2016–18.....................................................2</w:t>
      </w:r>
    </w:p>
    <w:p w:rsidRPr="007832D3" w:rsidR="00453D8C" w:rsidP="007832D3" w:rsidRDefault="00453D8C" w14:paraId="0EFA1343" w14:textId="0FDB5B41">
      <w:pPr>
        <w:pStyle w:val="BodyText"/>
        <w:spacing w:after="0"/>
        <w:ind w:left="720" w:firstLine="0"/>
        <w:rPr>
          <w:bCs/>
          <w:sz w:val="22"/>
          <w:szCs w:val="22"/>
        </w:rPr>
      </w:pPr>
      <w:r w:rsidRPr="007832D3">
        <w:rPr>
          <w:bCs/>
          <w:sz w:val="22"/>
          <w:szCs w:val="22"/>
        </w:rPr>
        <w:t>Exhibit 11. School and unit level nonresponse rates: 2014–18.....................................................................5</w:t>
      </w:r>
    </w:p>
    <w:p w:rsidRPr="007832D3" w:rsidR="00B44820" w:rsidP="007832D3" w:rsidRDefault="00453D8C" w14:paraId="18CF7109" w14:textId="27ABB44B">
      <w:pPr>
        <w:pStyle w:val="BodyText"/>
        <w:spacing w:after="0"/>
        <w:ind w:left="720" w:firstLine="0"/>
        <w:rPr>
          <w:spacing w:val="-2"/>
          <w:sz w:val="22"/>
          <w:szCs w:val="22"/>
        </w:rPr>
      </w:pPr>
      <w:r w:rsidRPr="007832D3">
        <w:rPr>
          <w:bCs/>
          <w:spacing w:val="-2"/>
          <w:sz w:val="22"/>
          <w:szCs w:val="22"/>
        </w:rPr>
        <w:t>Exhibit 12. Item nonresponse, by data entry type: 2017...........................................................................</w:t>
      </w:r>
      <w:r w:rsidRPr="007832D3" w:rsidR="007832D3">
        <w:rPr>
          <w:bCs/>
          <w:spacing w:val="-2"/>
          <w:sz w:val="22"/>
          <w:szCs w:val="22"/>
        </w:rPr>
        <w:t>.........</w:t>
      </w:r>
      <w:r w:rsidRPr="007832D3">
        <w:rPr>
          <w:bCs/>
          <w:spacing w:val="-2"/>
          <w:sz w:val="22"/>
          <w:szCs w:val="22"/>
        </w:rPr>
        <w:t>6</w:t>
      </w:r>
    </w:p>
    <w:p w:rsidRPr="00CA1752" w:rsidR="00B25E73" w:rsidP="00F3270F" w:rsidRDefault="00453D8C" w14:paraId="42455AAD" w14:textId="3ADC96D7">
      <w:pPr>
        <w:pStyle w:val="BodyText"/>
        <w:spacing w:after="240" w:line="240" w:lineRule="auto"/>
        <w:ind w:left="720" w:firstLine="0"/>
      </w:pPr>
      <w:r w:rsidRPr="007832D3">
        <w:rPr>
          <w:rFonts w:cs="Times New Roman"/>
          <w:sz w:val="22"/>
        </w:rPr>
        <w:t>Exhibit 13. Individuals Consulted on GSS Technical and Statistical Issues</w:t>
      </w:r>
      <w:r w:rsidRPr="007832D3">
        <w:rPr>
          <w:bCs/>
          <w:sz w:val="22"/>
        </w:rPr>
        <w:t>.........................</w:t>
      </w:r>
      <w:r w:rsidRPr="007832D3" w:rsidR="007832D3">
        <w:rPr>
          <w:bCs/>
          <w:sz w:val="22"/>
        </w:rPr>
        <w:t>...........</w:t>
      </w:r>
      <w:r w:rsidR="007832D3">
        <w:rPr>
          <w:bCs/>
          <w:sz w:val="22"/>
        </w:rPr>
        <w:t>.</w:t>
      </w:r>
      <w:r w:rsidRPr="007832D3" w:rsidR="007832D3">
        <w:rPr>
          <w:bCs/>
          <w:sz w:val="22"/>
        </w:rPr>
        <w:t>...........</w:t>
      </w:r>
      <w:r w:rsidRPr="007832D3">
        <w:rPr>
          <w:bCs/>
          <w:sz w:val="22"/>
        </w:rPr>
        <w:t>.</w:t>
      </w:r>
      <w:r w:rsidRPr="007832D3" w:rsidR="007832D3">
        <w:rPr>
          <w:bCs/>
          <w:sz w:val="22"/>
        </w:rPr>
        <w:t>8</w:t>
      </w:r>
      <w:r w:rsidR="00B44820">
        <w:rPr>
          <w:rFonts w:cs="Times New Roman" w:eastAsiaTheme="minorHAnsi"/>
          <w:szCs w:val="22"/>
        </w:rPr>
        <w:fldChar w:fldCharType="begin"/>
      </w:r>
      <w:r w:rsidR="00B44820">
        <w:rPr>
          <w:rFonts w:cs="Times New Roman"/>
        </w:rPr>
        <w:instrText xml:space="preserve"> TOC \h \z \t "Table Title" \c </w:instrText>
      </w:r>
      <w:r w:rsidR="00B44820">
        <w:rPr>
          <w:rFonts w:cs="Times New Roman" w:eastAsiaTheme="minorHAnsi"/>
          <w:szCs w:val="22"/>
        </w:rPr>
        <w:fldChar w:fldCharType="end"/>
      </w:r>
    </w:p>
    <w:p w:rsidR="005F7C62" w:rsidP="007044A5" w:rsidRDefault="008C752D" w14:paraId="5909C9B6" w14:textId="086AEFF9">
      <w:pPr>
        <w:pStyle w:val="TOC0"/>
        <w:spacing w:before="0" w:after="360"/>
      </w:pPr>
      <w:bookmarkStart w:name="_Toc488073258" w:id="2"/>
      <w:bookmarkStart w:name="_Toc490122265" w:id="3"/>
      <w:bookmarkStart w:name="_Toc34383074" w:id="4"/>
      <w:r w:rsidRPr="00CA1752">
        <w:t>LIST OF</w:t>
      </w:r>
      <w:r w:rsidRPr="00CA1752">
        <w:rPr>
          <w:spacing w:val="-3"/>
        </w:rPr>
        <w:t xml:space="preserve"> </w:t>
      </w:r>
      <w:r w:rsidRPr="00CA1752">
        <w:t>ATTACHMENTS</w:t>
      </w:r>
      <w:bookmarkEnd w:id="2"/>
      <w:bookmarkEnd w:id="3"/>
      <w:bookmarkEnd w:id="4"/>
    </w:p>
    <w:p w:rsidR="00166F38" w:rsidP="00166F38" w:rsidRDefault="00166F38" w14:paraId="46EEAF3D" w14:textId="77777777">
      <w:pPr>
        <w:pStyle w:val="TOC1"/>
        <w:spacing w:before="0" w:after="300"/>
        <w:ind w:hanging="202"/>
        <w:rPr>
          <w:b w:val="0"/>
        </w:rPr>
      </w:pPr>
      <w:r>
        <w:rPr>
          <w:b w:val="0"/>
        </w:rPr>
        <w:t>Attachment 1.</w:t>
      </w:r>
      <w:r>
        <w:rPr>
          <w:b w:val="0"/>
        </w:rPr>
        <w:tab/>
        <w:t>America COMPETES Reauthorization Act of 2010</w:t>
      </w:r>
    </w:p>
    <w:p w:rsidR="00166F38" w:rsidP="00166F38" w:rsidRDefault="00166F38" w14:paraId="4DC599FD" w14:textId="77777777">
      <w:pPr>
        <w:pStyle w:val="TOC1"/>
        <w:spacing w:before="0" w:after="300"/>
        <w:ind w:hanging="202"/>
        <w:rPr>
          <w:b w:val="0"/>
        </w:rPr>
      </w:pPr>
      <w:r>
        <w:rPr>
          <w:b w:val="0"/>
        </w:rPr>
        <w:t>Attachment 2.</w:t>
      </w:r>
      <w:r>
        <w:rPr>
          <w:b w:val="0"/>
        </w:rPr>
        <w:tab/>
        <w:t>NSF Act of 1950</w:t>
      </w:r>
    </w:p>
    <w:p w:rsidRPr="003E1136" w:rsidR="00166F38" w:rsidP="00166F38" w:rsidRDefault="00166F38" w14:paraId="30B16F27" w14:textId="77777777">
      <w:pPr>
        <w:pStyle w:val="TOC1"/>
        <w:spacing w:before="0" w:after="300"/>
        <w:ind w:hanging="202"/>
        <w:rPr>
          <w:b w:val="0"/>
        </w:rPr>
      </w:pPr>
      <w:r w:rsidRPr="003E1136">
        <w:rPr>
          <w:b w:val="0"/>
        </w:rPr>
        <w:t xml:space="preserve">Attachment </w:t>
      </w:r>
      <w:r>
        <w:rPr>
          <w:b w:val="0"/>
        </w:rPr>
        <w:t>3</w:t>
      </w:r>
      <w:r w:rsidRPr="003E1136">
        <w:rPr>
          <w:b w:val="0"/>
        </w:rPr>
        <w:t>.</w:t>
      </w:r>
      <w:r>
        <w:rPr>
          <w:b w:val="0"/>
        </w:rPr>
        <w:tab/>
      </w:r>
      <w:r w:rsidRPr="003E1136">
        <w:rPr>
          <w:b w:val="0"/>
        </w:rPr>
        <w:t>GSS Instrument Screen Shots</w:t>
      </w:r>
    </w:p>
    <w:p w:rsidR="00166F38" w:rsidP="00166F38" w:rsidRDefault="00166F38" w14:paraId="220208C1" w14:textId="77777777">
      <w:pPr>
        <w:pStyle w:val="TOC1"/>
        <w:spacing w:before="0" w:after="300"/>
        <w:ind w:left="2160" w:hanging="1620"/>
        <w:rPr>
          <w:b w:val="0"/>
        </w:rPr>
      </w:pPr>
      <w:r w:rsidRPr="003E1136">
        <w:rPr>
          <w:b w:val="0"/>
        </w:rPr>
        <w:t xml:space="preserve">Attachment </w:t>
      </w:r>
      <w:r>
        <w:rPr>
          <w:b w:val="0"/>
        </w:rPr>
        <w:t>4</w:t>
      </w:r>
      <w:r w:rsidRPr="003E1136">
        <w:rPr>
          <w:b w:val="0"/>
        </w:rPr>
        <w:t>.</w:t>
      </w:r>
      <w:r>
        <w:rPr>
          <w:b w:val="0"/>
        </w:rPr>
        <w:tab/>
      </w:r>
      <w:r w:rsidRPr="003E1136">
        <w:rPr>
          <w:b w:val="0"/>
        </w:rPr>
        <w:t>Federally Funded Research and Development Center</w:t>
      </w:r>
      <w:r>
        <w:rPr>
          <w:b w:val="0"/>
        </w:rPr>
        <w:t>s</w:t>
      </w:r>
      <w:r w:rsidRPr="003E1136">
        <w:rPr>
          <w:b w:val="0"/>
        </w:rPr>
        <w:t xml:space="preserve"> (FFRDC</w:t>
      </w:r>
      <w:r>
        <w:rPr>
          <w:b w:val="0"/>
        </w:rPr>
        <w:t>s</w:t>
      </w:r>
      <w:r w:rsidRPr="003E1136">
        <w:rPr>
          <w:b w:val="0"/>
        </w:rPr>
        <w:t>) Postdoc Survey Instrument Screen Shots</w:t>
      </w:r>
    </w:p>
    <w:p w:rsidRPr="003E1136" w:rsidR="00166F38" w:rsidP="00166F38" w:rsidRDefault="00166F38" w14:paraId="4316A8EF" w14:textId="77777777">
      <w:pPr>
        <w:pStyle w:val="TOC1"/>
        <w:spacing w:before="0" w:after="300"/>
        <w:ind w:left="2160" w:hanging="1620"/>
        <w:rPr>
          <w:b w:val="0"/>
        </w:rPr>
      </w:pPr>
      <w:r>
        <w:rPr>
          <w:b w:val="0"/>
        </w:rPr>
        <w:t>Attachment 5.</w:t>
      </w:r>
      <w:r>
        <w:rPr>
          <w:b w:val="0"/>
        </w:rPr>
        <w:tab/>
        <w:t>GSS InfoBrief, March 2020</w:t>
      </w:r>
    </w:p>
    <w:p w:rsidR="00166F38" w:rsidP="00166F38" w:rsidRDefault="00166F38" w14:paraId="575BA3FA" w14:textId="77777777">
      <w:pPr>
        <w:pStyle w:val="TOC1"/>
        <w:spacing w:before="0" w:after="300"/>
        <w:ind w:hanging="202"/>
        <w:rPr>
          <w:b w:val="0"/>
        </w:rPr>
      </w:pPr>
      <w:r w:rsidRPr="003E1136">
        <w:rPr>
          <w:b w:val="0"/>
        </w:rPr>
        <w:t xml:space="preserve">Attachment </w:t>
      </w:r>
      <w:r>
        <w:rPr>
          <w:b w:val="0"/>
        </w:rPr>
        <w:t>6</w:t>
      </w:r>
      <w:r w:rsidRPr="003E1136">
        <w:rPr>
          <w:b w:val="0"/>
        </w:rPr>
        <w:t>.</w:t>
      </w:r>
      <w:r>
        <w:rPr>
          <w:b w:val="0"/>
        </w:rPr>
        <w:tab/>
      </w:r>
      <w:r w:rsidRPr="003E1136">
        <w:rPr>
          <w:b w:val="0"/>
        </w:rPr>
        <w:t>First Federal Register Notice</w:t>
      </w:r>
    </w:p>
    <w:p w:rsidRPr="003E1136" w:rsidR="00166F38" w:rsidP="00166F38" w:rsidRDefault="00166F38" w14:paraId="71AE8EC6" w14:textId="77777777">
      <w:pPr>
        <w:pStyle w:val="TOC1"/>
        <w:spacing w:before="0" w:after="300"/>
        <w:ind w:hanging="202"/>
        <w:rPr>
          <w:b w:val="0"/>
        </w:rPr>
      </w:pPr>
      <w:r w:rsidRPr="003E1136">
        <w:rPr>
          <w:b w:val="0"/>
        </w:rPr>
        <w:t xml:space="preserve">Attachment </w:t>
      </w:r>
      <w:r>
        <w:rPr>
          <w:b w:val="0"/>
        </w:rPr>
        <w:t>7</w:t>
      </w:r>
      <w:r w:rsidRPr="003E1136">
        <w:rPr>
          <w:b w:val="0"/>
        </w:rPr>
        <w:t>.</w:t>
      </w:r>
      <w:r>
        <w:rPr>
          <w:b w:val="0"/>
        </w:rPr>
        <w:tab/>
      </w:r>
      <w:r w:rsidRPr="003E1136">
        <w:rPr>
          <w:b w:val="0"/>
        </w:rPr>
        <w:t>GSS Taxonomy Tool Prototype</w:t>
      </w:r>
    </w:p>
    <w:p w:rsidR="00166F38" w:rsidP="00166F38" w:rsidRDefault="00166F38" w14:paraId="50A843C8" w14:textId="77777777">
      <w:pPr>
        <w:pStyle w:val="TOC1"/>
        <w:spacing w:before="0" w:after="300"/>
        <w:ind w:hanging="202"/>
        <w:rPr>
          <w:b w:val="0"/>
        </w:rPr>
      </w:pPr>
      <w:r w:rsidRPr="003E1136">
        <w:rPr>
          <w:b w:val="0"/>
        </w:rPr>
        <w:t xml:space="preserve">Attachment </w:t>
      </w:r>
      <w:r>
        <w:rPr>
          <w:b w:val="0"/>
        </w:rPr>
        <w:t>8</w:t>
      </w:r>
      <w:r w:rsidRPr="003E1136">
        <w:rPr>
          <w:b w:val="0"/>
        </w:rPr>
        <w:t>.</w:t>
      </w:r>
      <w:r w:rsidRPr="003E1136">
        <w:rPr>
          <w:b w:val="0"/>
        </w:rPr>
        <w:tab/>
        <w:t>GSS Schedule</w:t>
      </w:r>
    </w:p>
    <w:p w:rsidR="00166F38" w:rsidP="00166F38" w:rsidRDefault="00166F38" w14:paraId="623D2140" w14:textId="77777777">
      <w:pPr>
        <w:pStyle w:val="TOC1"/>
        <w:spacing w:before="0" w:after="300"/>
        <w:ind w:hanging="202"/>
        <w:rPr>
          <w:b w:val="0"/>
        </w:rPr>
      </w:pPr>
      <w:r>
        <w:rPr>
          <w:b w:val="0"/>
        </w:rPr>
        <w:lastRenderedPageBreak/>
        <w:t>Attachment 9.</w:t>
      </w:r>
      <w:r>
        <w:rPr>
          <w:b w:val="0"/>
        </w:rPr>
        <w:tab/>
        <w:t>List of Changes During Last Clearance (GSS 2017-2019)</w:t>
      </w:r>
    </w:p>
    <w:p w:rsidRPr="003E1136" w:rsidR="00166F38" w:rsidP="00166F38" w:rsidRDefault="00166F38" w14:paraId="5E318D08" w14:textId="731D0DCC">
      <w:pPr>
        <w:pStyle w:val="TOC1"/>
        <w:spacing w:before="0" w:after="300"/>
        <w:ind w:hanging="202"/>
        <w:rPr>
          <w:b w:val="0"/>
        </w:rPr>
      </w:pPr>
      <w:r>
        <w:rPr>
          <w:b w:val="0"/>
        </w:rPr>
        <w:t>Attachment 10.</w:t>
      </w:r>
      <w:r>
        <w:rPr>
          <w:b w:val="0"/>
        </w:rPr>
        <w:tab/>
      </w:r>
      <w:r w:rsidR="00B72007">
        <w:rPr>
          <w:b w:val="0"/>
        </w:rPr>
        <w:t>Summary</w:t>
      </w:r>
      <w:r>
        <w:rPr>
          <w:b w:val="0"/>
        </w:rPr>
        <w:t xml:space="preserve"> of </w:t>
      </w:r>
      <w:r w:rsidR="00B72007">
        <w:rPr>
          <w:b w:val="0"/>
        </w:rPr>
        <w:t xml:space="preserve">Proposed </w:t>
      </w:r>
      <w:r>
        <w:rPr>
          <w:b w:val="0"/>
        </w:rPr>
        <w:t>Changes for 2020</w:t>
      </w:r>
      <w:r w:rsidR="00B72007">
        <w:rPr>
          <w:b w:val="0"/>
        </w:rPr>
        <w:t>-2022</w:t>
      </w:r>
      <w:r w:rsidR="00326653">
        <w:rPr>
          <w:b w:val="0"/>
        </w:rPr>
        <w:t xml:space="preserve"> GSS</w:t>
      </w:r>
    </w:p>
    <w:p w:rsidRPr="003E1136" w:rsidR="00166F38" w:rsidP="00166F38" w:rsidRDefault="00166F38" w14:paraId="2DFC649E" w14:textId="77777777">
      <w:pPr>
        <w:pStyle w:val="TOC1"/>
        <w:spacing w:before="0" w:after="300"/>
        <w:ind w:hanging="202"/>
        <w:rPr>
          <w:b w:val="0"/>
          <w:spacing w:val="67"/>
        </w:rPr>
      </w:pPr>
      <w:r w:rsidRPr="003E1136">
        <w:rPr>
          <w:b w:val="0"/>
        </w:rPr>
        <w:t xml:space="preserve">Attachment </w:t>
      </w:r>
      <w:r>
        <w:rPr>
          <w:b w:val="0"/>
        </w:rPr>
        <w:t>11</w:t>
      </w:r>
      <w:r w:rsidRPr="003E1136">
        <w:rPr>
          <w:b w:val="0"/>
        </w:rPr>
        <w:t>.</w:t>
      </w:r>
      <w:r>
        <w:rPr>
          <w:b w:val="0"/>
        </w:rPr>
        <w:tab/>
      </w:r>
      <w:r w:rsidRPr="003E1136">
        <w:rPr>
          <w:b w:val="0"/>
        </w:rPr>
        <w:t>GSS Code</w:t>
      </w:r>
      <w:r w:rsidRPr="003E1136">
        <w:rPr>
          <w:b w:val="0"/>
          <w:spacing w:val="1"/>
        </w:rPr>
        <w:t xml:space="preserve"> </w:t>
      </w:r>
      <w:r w:rsidRPr="003E1136">
        <w:rPr>
          <w:b w:val="0"/>
        </w:rPr>
        <w:t>List—Complete</w:t>
      </w:r>
      <w:r w:rsidRPr="003E1136">
        <w:rPr>
          <w:b w:val="0"/>
          <w:spacing w:val="1"/>
        </w:rPr>
        <w:t xml:space="preserve"> </w:t>
      </w:r>
      <w:r w:rsidRPr="003E1136">
        <w:rPr>
          <w:b w:val="0"/>
          <w:spacing w:val="-2"/>
        </w:rPr>
        <w:t>List</w:t>
      </w:r>
      <w:r w:rsidRPr="003E1136">
        <w:rPr>
          <w:b w:val="0"/>
        </w:rPr>
        <w:t xml:space="preserve"> of GSS Eligible</w:t>
      </w:r>
      <w:r w:rsidRPr="003E1136">
        <w:rPr>
          <w:b w:val="0"/>
          <w:spacing w:val="1"/>
        </w:rPr>
        <w:t xml:space="preserve"> </w:t>
      </w:r>
      <w:r w:rsidRPr="003E1136">
        <w:rPr>
          <w:b w:val="0"/>
        </w:rPr>
        <w:t>Fields and Codes</w:t>
      </w:r>
    </w:p>
    <w:p w:rsidRPr="003E1136" w:rsidR="00166F38" w:rsidP="00166F38" w:rsidRDefault="00166F38" w14:paraId="46ACCCC7" w14:textId="77777777">
      <w:pPr>
        <w:pStyle w:val="TOC1"/>
        <w:spacing w:before="0" w:after="300"/>
        <w:ind w:hanging="202"/>
        <w:rPr>
          <w:b w:val="0"/>
          <w:spacing w:val="43"/>
        </w:rPr>
      </w:pPr>
      <w:r w:rsidRPr="003E1136">
        <w:rPr>
          <w:b w:val="0"/>
        </w:rPr>
        <w:t xml:space="preserve">Attachment </w:t>
      </w:r>
      <w:r>
        <w:rPr>
          <w:b w:val="0"/>
        </w:rPr>
        <w:t>12</w:t>
      </w:r>
      <w:r w:rsidRPr="003E1136">
        <w:rPr>
          <w:b w:val="0"/>
        </w:rPr>
        <w:t>.</w:t>
      </w:r>
      <w:r>
        <w:rPr>
          <w:b w:val="0"/>
        </w:rPr>
        <w:tab/>
      </w:r>
      <w:r w:rsidRPr="003E1136">
        <w:rPr>
          <w:b w:val="0"/>
        </w:rPr>
        <w:t>GSS Data Collection Plan</w:t>
      </w:r>
      <w:r w:rsidRPr="003E1136">
        <w:rPr>
          <w:b w:val="0"/>
          <w:spacing w:val="43"/>
        </w:rPr>
        <w:t xml:space="preserve"> </w:t>
      </w:r>
    </w:p>
    <w:p w:rsidR="00166F38" w:rsidP="00166F38" w:rsidRDefault="00166F38" w14:paraId="6E38BDCA" w14:textId="77777777">
      <w:pPr>
        <w:pStyle w:val="TOC1"/>
        <w:spacing w:before="0" w:after="300"/>
        <w:ind w:hanging="202"/>
        <w:rPr>
          <w:b w:val="0"/>
        </w:rPr>
      </w:pPr>
      <w:r w:rsidRPr="003E1136">
        <w:rPr>
          <w:b w:val="0"/>
        </w:rPr>
        <w:t xml:space="preserve">Attachment </w:t>
      </w:r>
      <w:r>
        <w:rPr>
          <w:b w:val="0"/>
        </w:rPr>
        <w:t>13</w:t>
      </w:r>
      <w:r w:rsidRPr="003E1136">
        <w:rPr>
          <w:b w:val="0"/>
        </w:rPr>
        <w:t>.</w:t>
      </w:r>
      <w:r>
        <w:rPr>
          <w:b w:val="0"/>
        </w:rPr>
        <w:tab/>
      </w:r>
      <w:r w:rsidRPr="003E1136">
        <w:rPr>
          <w:b w:val="0"/>
        </w:rPr>
        <w:t>GSS Data File Upload Templates</w:t>
      </w:r>
    </w:p>
    <w:p w:rsidRPr="003E1136" w:rsidR="00166F38" w:rsidP="00166F38" w:rsidRDefault="00166F38" w14:paraId="11D5E3E0" w14:textId="77777777">
      <w:pPr>
        <w:pStyle w:val="TOC1"/>
        <w:spacing w:before="0" w:after="300"/>
        <w:ind w:hanging="202"/>
        <w:rPr>
          <w:b w:val="0"/>
        </w:rPr>
      </w:pPr>
      <w:r w:rsidRPr="003E1136">
        <w:rPr>
          <w:b w:val="0"/>
        </w:rPr>
        <w:t xml:space="preserve">Attachment </w:t>
      </w:r>
      <w:r>
        <w:rPr>
          <w:b w:val="0"/>
        </w:rPr>
        <w:t>14</w:t>
      </w:r>
      <w:r w:rsidRPr="003E1136">
        <w:rPr>
          <w:b w:val="0"/>
        </w:rPr>
        <w:t>.</w:t>
      </w:r>
      <w:r>
        <w:rPr>
          <w:b w:val="0"/>
        </w:rPr>
        <w:tab/>
      </w:r>
      <w:r w:rsidRPr="003E1136">
        <w:rPr>
          <w:b w:val="0"/>
        </w:rPr>
        <w:t xml:space="preserve">GSS Worksheet </w:t>
      </w:r>
    </w:p>
    <w:p w:rsidRPr="003E1136" w:rsidR="00166F38" w:rsidP="00166F38" w:rsidRDefault="00166F38" w14:paraId="5593B4A8" w14:textId="77777777">
      <w:pPr>
        <w:pStyle w:val="TOC1"/>
        <w:spacing w:before="0" w:after="300"/>
        <w:ind w:hanging="202"/>
        <w:rPr>
          <w:b w:val="0"/>
        </w:rPr>
      </w:pPr>
      <w:r w:rsidRPr="003E1136">
        <w:rPr>
          <w:b w:val="0"/>
        </w:rPr>
        <w:t xml:space="preserve">Attachment </w:t>
      </w:r>
      <w:r>
        <w:rPr>
          <w:b w:val="0"/>
        </w:rPr>
        <w:t>15</w:t>
      </w:r>
      <w:r w:rsidRPr="003E1136">
        <w:rPr>
          <w:b w:val="0"/>
        </w:rPr>
        <w:t>.</w:t>
      </w:r>
      <w:r>
        <w:rPr>
          <w:b w:val="0"/>
          <w:spacing w:val="21"/>
        </w:rPr>
        <w:tab/>
      </w:r>
      <w:r w:rsidRPr="003E1136">
        <w:rPr>
          <w:b w:val="0"/>
        </w:rPr>
        <w:t>CIP and GSS Code Crosswalk</w:t>
      </w:r>
    </w:p>
    <w:p w:rsidRPr="003E1136" w:rsidR="00166F38" w:rsidP="00166F38" w:rsidRDefault="00166F38" w14:paraId="1E867849" w14:textId="77777777">
      <w:pPr>
        <w:pStyle w:val="TOC1"/>
        <w:spacing w:before="0" w:after="300"/>
        <w:ind w:hanging="202"/>
        <w:rPr>
          <w:b w:val="0"/>
        </w:rPr>
      </w:pPr>
      <w:r w:rsidRPr="003E1136">
        <w:rPr>
          <w:b w:val="0"/>
        </w:rPr>
        <w:t>Attachment 1</w:t>
      </w:r>
      <w:r>
        <w:rPr>
          <w:b w:val="0"/>
        </w:rPr>
        <w:t>6</w:t>
      </w:r>
      <w:r w:rsidRPr="003E1136">
        <w:rPr>
          <w:b w:val="0"/>
        </w:rPr>
        <w:t>.</w:t>
      </w:r>
      <w:r>
        <w:rPr>
          <w:b w:val="0"/>
        </w:rPr>
        <w:tab/>
      </w:r>
      <w:r w:rsidRPr="003E1136">
        <w:rPr>
          <w:b w:val="0"/>
        </w:rPr>
        <w:t>List of Changes to GSS Taxonomy</w:t>
      </w:r>
    </w:p>
    <w:p w:rsidRPr="003E1136" w:rsidR="00166F38" w:rsidP="00166F38" w:rsidRDefault="00166F38" w14:paraId="27C14789" w14:textId="77777777">
      <w:pPr>
        <w:pStyle w:val="TOC1"/>
        <w:spacing w:before="0"/>
        <w:ind w:hanging="202"/>
        <w:rPr>
          <w:b w:val="0"/>
          <w:i/>
          <w:spacing w:val="-1"/>
        </w:rPr>
      </w:pPr>
      <w:r w:rsidRPr="003E1136">
        <w:rPr>
          <w:b w:val="0"/>
        </w:rPr>
        <w:t>Attachment 1</w:t>
      </w:r>
      <w:r>
        <w:rPr>
          <w:b w:val="0"/>
        </w:rPr>
        <w:t>7</w:t>
      </w:r>
      <w:r w:rsidRPr="003E1136">
        <w:rPr>
          <w:b w:val="0"/>
        </w:rPr>
        <w:t>.</w:t>
      </w:r>
      <w:r>
        <w:rPr>
          <w:b w:val="0"/>
        </w:rPr>
        <w:tab/>
        <w:t>Imputation Section from GSS Methodology Report</w:t>
      </w:r>
      <w:r w:rsidRPr="003E1136">
        <w:rPr>
          <w:b w:val="0"/>
        </w:rPr>
        <w:t xml:space="preserve"> </w:t>
      </w:r>
    </w:p>
    <w:p w:rsidRPr="007B18AC" w:rsidR="00166F38" w:rsidP="007B18AC" w:rsidRDefault="00166F38" w14:paraId="0984CE65" w14:textId="77777777">
      <w:pPr>
        <w:pStyle w:val="TOC0"/>
        <w:spacing w:before="0" w:after="360"/>
        <w:jc w:val="left"/>
        <w:rPr>
          <w:b w:val="0"/>
          <w:bCs w:val="0"/>
        </w:rPr>
      </w:pPr>
    </w:p>
    <w:p w:rsidRPr="00CA1752" w:rsidR="00EB0851" w:rsidP="00342B07" w:rsidRDefault="00EB0851" w14:paraId="232F62EF" w14:textId="2F5C1DF3">
      <w:pPr>
        <w:pStyle w:val="BodyText"/>
        <w:tabs>
          <w:tab w:val="left" w:pos="1710"/>
        </w:tabs>
        <w:spacing w:before="120"/>
        <w:ind w:left="1710" w:right="40" w:hanging="1599"/>
        <w:rPr>
          <w:spacing w:val="-1"/>
        </w:rPr>
        <w:sectPr w:rsidRPr="00CA1752" w:rsidR="00EB0851" w:rsidSect="007044A5">
          <w:footerReference w:type="default" r:id="rId10"/>
          <w:type w:val="oddPage"/>
          <w:pgSz w:w="12240" w:h="15840" w:code="1"/>
          <w:pgMar w:top="1170" w:right="1260" w:bottom="1260" w:left="900" w:header="720" w:footer="720" w:gutter="0"/>
          <w:pgNumType w:fmt="lowerRoman" w:start="2"/>
          <w:cols w:space="720"/>
        </w:sectPr>
      </w:pPr>
    </w:p>
    <w:p w:rsidR="00CF2CBC" w:rsidP="00453D8C" w:rsidRDefault="00CF2CBC" w14:paraId="6AB31E7C" w14:textId="4DEAA4A0">
      <w:pPr>
        <w:pStyle w:val="Heading1"/>
      </w:pPr>
      <w:bookmarkStart w:name="_Toc488074616" w:id="5"/>
      <w:bookmarkStart w:name="_Toc490123777" w:id="6"/>
      <w:bookmarkStart w:name="_Toc34383075" w:id="7"/>
      <w:r w:rsidRPr="00F3270F">
        <w:lastRenderedPageBreak/>
        <w:t>B.</w:t>
      </w:r>
      <w:r w:rsidRPr="00F3270F">
        <w:tab/>
        <w:t>COLLECTION OF</w:t>
      </w:r>
      <w:r w:rsidRPr="00F3270F">
        <w:rPr>
          <w:spacing w:val="-3"/>
        </w:rPr>
        <w:t xml:space="preserve"> </w:t>
      </w:r>
      <w:r w:rsidRPr="00F3270F">
        <w:t>INFORMATION EMPLOYING</w:t>
      </w:r>
      <w:r w:rsidRPr="00F3270F">
        <w:rPr>
          <w:spacing w:val="-2"/>
        </w:rPr>
        <w:t xml:space="preserve"> </w:t>
      </w:r>
      <w:r w:rsidRPr="00F3270F">
        <w:t>STATISTICAL METHODS</w:t>
      </w:r>
      <w:bookmarkEnd w:id="5"/>
      <w:bookmarkEnd w:id="6"/>
      <w:bookmarkEnd w:id="7"/>
    </w:p>
    <w:p w:rsidRPr="0054259D" w:rsidR="00B35967" w:rsidP="0054259D" w:rsidRDefault="005D6226" w14:paraId="3DBA76A7" w14:textId="40D17D92">
      <w:pPr>
        <w:widowControl w:val="0"/>
        <w:spacing w:after="120" w:line="360" w:lineRule="auto"/>
        <w:ind w:firstLine="720"/>
        <w:rPr>
          <w:bCs/>
        </w:rPr>
      </w:pPr>
      <w:r>
        <w:rPr>
          <w:bCs/>
        </w:rPr>
        <w:t>T</w:t>
      </w:r>
      <w:r w:rsidR="00B35967">
        <w:rPr>
          <w:bCs/>
        </w:rPr>
        <w:t>he only change proposed for GSS 2020-2022 is to implement the new</w:t>
      </w:r>
      <w:r>
        <w:rPr>
          <w:bCs/>
        </w:rPr>
        <w:t xml:space="preserve"> </w:t>
      </w:r>
      <w:r w:rsidR="002E5542">
        <w:rPr>
          <w:bCs/>
        </w:rPr>
        <w:t>Classification of</w:t>
      </w:r>
      <w:r>
        <w:rPr>
          <w:bCs/>
        </w:rPr>
        <w:t xml:space="preserve"> Instructional Program</w:t>
      </w:r>
      <w:r w:rsidR="002E5542">
        <w:rPr>
          <w:bCs/>
        </w:rPr>
        <w:t>s</w:t>
      </w:r>
      <w:r w:rsidR="00B35967">
        <w:rPr>
          <w:bCs/>
        </w:rPr>
        <w:t xml:space="preserve"> </w:t>
      </w:r>
      <w:r>
        <w:rPr>
          <w:bCs/>
        </w:rPr>
        <w:t>(</w:t>
      </w:r>
      <w:r w:rsidR="00B35967">
        <w:rPr>
          <w:bCs/>
        </w:rPr>
        <w:t>CIP</w:t>
      </w:r>
      <w:r>
        <w:rPr>
          <w:bCs/>
        </w:rPr>
        <w:t>)</w:t>
      </w:r>
      <w:r w:rsidR="00B35967">
        <w:rPr>
          <w:bCs/>
        </w:rPr>
        <w:t xml:space="preserve"> 2020 taxonomy</w:t>
      </w:r>
      <w:r w:rsidR="007D0F9A">
        <w:rPr>
          <w:bCs/>
        </w:rPr>
        <w:t>, described in section B.</w:t>
      </w:r>
      <w:r>
        <w:rPr>
          <w:bCs/>
        </w:rPr>
        <w:t>2</w:t>
      </w:r>
      <w:r w:rsidR="007D0F9A">
        <w:rPr>
          <w:bCs/>
        </w:rPr>
        <w:t>.</w:t>
      </w:r>
      <w:r>
        <w:rPr>
          <w:bCs/>
        </w:rPr>
        <w:t>1</w:t>
      </w:r>
      <w:r w:rsidR="00B35967">
        <w:rPr>
          <w:bCs/>
        </w:rPr>
        <w:t xml:space="preserve">.  The procedures and methodology described in </w:t>
      </w:r>
      <w:r w:rsidR="007D0F9A">
        <w:rPr>
          <w:bCs/>
        </w:rPr>
        <w:t>other</w:t>
      </w:r>
      <w:r w:rsidR="00B35967">
        <w:rPr>
          <w:bCs/>
        </w:rPr>
        <w:t xml:space="preserve"> section</w:t>
      </w:r>
      <w:r w:rsidR="007D0F9A">
        <w:rPr>
          <w:bCs/>
        </w:rPr>
        <w:t>s</w:t>
      </w:r>
      <w:r w:rsidR="00B35967">
        <w:rPr>
          <w:bCs/>
        </w:rPr>
        <w:t xml:space="preserve"> are in current use on GSS 2019 and will be continued without change.</w:t>
      </w:r>
      <w:r w:rsidR="00775FD1">
        <w:rPr>
          <w:bCs/>
        </w:rPr>
        <w:t xml:space="preserve"> Attachment </w:t>
      </w:r>
      <w:r>
        <w:rPr>
          <w:bCs/>
        </w:rPr>
        <w:t>9</w:t>
      </w:r>
      <w:r w:rsidR="00775FD1">
        <w:rPr>
          <w:bCs/>
        </w:rPr>
        <w:t xml:space="preserve"> describes changes implemented in 2017 under the last clearance and Attachment </w:t>
      </w:r>
      <w:r>
        <w:rPr>
          <w:bCs/>
        </w:rPr>
        <w:t>10</w:t>
      </w:r>
      <w:r w:rsidR="00775FD1">
        <w:rPr>
          <w:bCs/>
        </w:rPr>
        <w:t xml:space="preserve"> describes changes proposed for 20</w:t>
      </w:r>
      <w:r w:rsidR="005E2015">
        <w:rPr>
          <w:bCs/>
        </w:rPr>
        <w:t>20-2</w:t>
      </w:r>
      <w:r>
        <w:rPr>
          <w:bCs/>
        </w:rPr>
        <w:t>2</w:t>
      </w:r>
      <w:r w:rsidR="002E5542">
        <w:rPr>
          <w:bCs/>
        </w:rPr>
        <w:t>.</w:t>
      </w:r>
    </w:p>
    <w:p w:rsidRPr="00C20E4A" w:rsidR="00CF2CBC" w:rsidP="003A5408" w:rsidRDefault="00CF2CBC" w14:paraId="74A561FF" w14:textId="30C1F758">
      <w:pPr>
        <w:pStyle w:val="Heading2"/>
        <w:spacing w:before="360"/>
        <w:rPr>
          <w:rFonts w:eastAsia="Times New Roman" w:cs="Times New Roman"/>
          <w:szCs w:val="24"/>
        </w:rPr>
      </w:pPr>
      <w:bookmarkStart w:name="_Toc488074617" w:id="8"/>
      <w:bookmarkStart w:name="_Toc34383076" w:id="9"/>
      <w:r w:rsidRPr="00C20E4A">
        <w:t>B.1</w:t>
      </w:r>
      <w:r w:rsidRPr="00C20E4A">
        <w:tab/>
        <w:t xml:space="preserve">Universe and Sampling </w:t>
      </w:r>
      <w:r w:rsidR="00C12A0B">
        <w:t>Description</w:t>
      </w:r>
      <w:bookmarkEnd w:id="8"/>
      <w:bookmarkEnd w:id="9"/>
    </w:p>
    <w:p w:rsidRPr="00C20E4A" w:rsidR="00CF2CBC" w:rsidP="00044100" w:rsidRDefault="00CF2CBC" w14:paraId="07AD6382" w14:textId="5E1D6575">
      <w:pPr>
        <w:pStyle w:val="BodyText"/>
        <w:spacing w:after="0"/>
      </w:pPr>
      <w:r w:rsidRPr="00C20E4A">
        <w:t>The GSS is an annual census of eligible institutions. The</w:t>
      </w:r>
      <w:r w:rsidRPr="00C20E4A" w:rsidR="001F2DE8">
        <w:t xml:space="preserve"> GSS</w:t>
      </w:r>
      <w:r w:rsidRPr="00C20E4A">
        <w:t xml:space="preserve"> universe is intended to cover</w:t>
      </w:r>
      <w:r w:rsidRPr="00C20E4A" w:rsidR="0063584D">
        <w:t xml:space="preserve"> </w:t>
      </w:r>
      <w:r w:rsidRPr="00C20E4A">
        <w:t xml:space="preserve">all academic institutions in the United States and its territories that grant research-oriented master's degrees or doctorates, appoint postdocs, or employ non-faculty researchers (NFRs) in </w:t>
      </w:r>
      <w:r w:rsidRPr="00C20E4A" w:rsidR="001F2DE8">
        <w:t>s</w:t>
      </w:r>
      <w:r w:rsidRPr="00C20E4A">
        <w:t xml:space="preserve">cience, </w:t>
      </w:r>
      <w:r w:rsidRPr="00C20E4A" w:rsidR="001F2DE8">
        <w:t>e</w:t>
      </w:r>
      <w:r w:rsidRPr="00C20E4A">
        <w:t xml:space="preserve">ngineering, and </w:t>
      </w:r>
      <w:r w:rsidRPr="00C20E4A" w:rsidR="001F2DE8">
        <w:t>h</w:t>
      </w:r>
      <w:r w:rsidRPr="00C20E4A">
        <w:t>ealth (SEH) fields as of the fall term. An institution is considered eligible</w:t>
      </w:r>
      <w:r w:rsidRPr="00C20E4A">
        <w:rPr>
          <w:spacing w:val="1"/>
        </w:rPr>
        <w:t xml:space="preserve"> </w:t>
      </w:r>
      <w:r w:rsidRPr="00C20E4A">
        <w:t>for the GSS if</w:t>
      </w:r>
      <w:r w:rsidRPr="00C20E4A">
        <w:rPr>
          <w:spacing w:val="1"/>
        </w:rPr>
        <w:t xml:space="preserve"> </w:t>
      </w:r>
      <w:r w:rsidRPr="00C20E4A">
        <w:t>it grants at least one master’s or doctoral degree in</w:t>
      </w:r>
      <w:r w:rsidRPr="00C20E4A">
        <w:rPr>
          <w:spacing w:val="2"/>
        </w:rPr>
        <w:t xml:space="preserve"> </w:t>
      </w:r>
      <w:r w:rsidRPr="00C20E4A">
        <w:t>at least one program l</w:t>
      </w:r>
      <w:r w:rsidR="00360DD5">
        <w:t>isted in a GSS-eligible field (s</w:t>
      </w:r>
      <w:r w:rsidRPr="00C20E4A">
        <w:t xml:space="preserve">ee Attachment </w:t>
      </w:r>
      <w:r w:rsidR="000B2FB9">
        <w:t>11</w:t>
      </w:r>
      <w:r w:rsidRPr="00C20E4A">
        <w:t xml:space="preserve"> for the list of GSS fields).</w:t>
      </w:r>
    </w:p>
    <w:p w:rsidRPr="00C20E4A" w:rsidR="00CF2CBC" w:rsidP="003A5408" w:rsidRDefault="00CF2CBC" w14:paraId="21CF2D0C" w14:textId="3039F611">
      <w:pPr>
        <w:pStyle w:val="Heading3"/>
        <w:rPr>
          <w:bCs/>
          <w:color w:val="auto"/>
        </w:rPr>
      </w:pPr>
      <w:bookmarkStart w:name="_Toc488074618" w:id="10"/>
      <w:bookmarkStart w:name="_Toc34383077" w:id="11"/>
      <w:r w:rsidRPr="00C20E4A">
        <w:rPr>
          <w:color w:val="auto"/>
        </w:rPr>
        <w:t>B.1.</w:t>
      </w:r>
      <w:r w:rsidR="00003B74">
        <w:rPr>
          <w:color w:val="auto"/>
        </w:rPr>
        <w:t>1</w:t>
      </w:r>
      <w:r w:rsidRPr="00C20E4A">
        <w:rPr>
          <w:color w:val="auto"/>
        </w:rPr>
        <w:tab/>
        <w:t xml:space="preserve">Discussion </w:t>
      </w:r>
      <w:r w:rsidRPr="00C20E4A">
        <w:rPr>
          <w:color w:val="auto"/>
          <w:spacing w:val="-2"/>
        </w:rPr>
        <w:t>of</w:t>
      </w:r>
      <w:r w:rsidRPr="00C20E4A">
        <w:rPr>
          <w:color w:val="auto"/>
          <w:spacing w:val="1"/>
        </w:rPr>
        <w:t xml:space="preserve"> </w:t>
      </w:r>
      <w:r w:rsidRPr="00C20E4A">
        <w:rPr>
          <w:color w:val="auto"/>
        </w:rPr>
        <w:t>Institutional Frame</w:t>
      </w:r>
      <w:bookmarkEnd w:id="10"/>
      <w:bookmarkEnd w:id="11"/>
    </w:p>
    <w:p w:rsidR="00DA5CEA" w:rsidP="00DA5CEA" w:rsidRDefault="00DA5CEA" w14:paraId="303A4824" w14:textId="6C437DE7">
      <w:pPr>
        <w:pStyle w:val="BodyText"/>
      </w:pPr>
      <w:r>
        <w:t>T</w:t>
      </w:r>
      <w:r w:rsidR="00941411">
        <w:t xml:space="preserve">he frame is updated annually, in advance of data collection. </w:t>
      </w:r>
      <w:r w:rsidR="005D6226">
        <w:t>The Integrated Postsecondary Education Data System (</w:t>
      </w:r>
      <w:r w:rsidR="00941411">
        <w:t>IPEDS</w:t>
      </w:r>
      <w:r w:rsidR="005D6226">
        <w:t>)</w:t>
      </w:r>
      <w:r w:rsidR="00941411">
        <w:t xml:space="preserve"> and other sources are used to identify new institutions, and</w:t>
      </w:r>
      <w:r w:rsidR="00532655">
        <w:t xml:space="preserve"> existing</w:t>
      </w:r>
      <w:r w:rsidR="00941411">
        <w:t xml:space="preserve"> institutions that now offer </w:t>
      </w:r>
      <w:r w:rsidR="00532655">
        <w:t xml:space="preserve">graduate </w:t>
      </w:r>
      <w:r w:rsidR="00941411">
        <w:t>degrees in GSS-eligible fields</w:t>
      </w:r>
      <w:r w:rsidR="00532655">
        <w:t>.</w:t>
      </w:r>
      <w:r w:rsidRPr="00DA5CEA">
        <w:t xml:space="preserve"> </w:t>
      </w:r>
      <w:r w:rsidRPr="00C20E4A">
        <w:t xml:space="preserve">See Exhibit </w:t>
      </w:r>
      <w:r w:rsidR="00D61C97">
        <w:t>9</w:t>
      </w:r>
      <w:r w:rsidRPr="00C20E4A">
        <w:t xml:space="preserve"> for a comparison of the number of GSS institutions, schools, units, and enrollment in 201</w:t>
      </w:r>
      <w:r>
        <w:t>6</w:t>
      </w:r>
      <w:r w:rsidRPr="00C20E4A">
        <w:t>-201</w:t>
      </w:r>
      <w:r>
        <w:t>8</w:t>
      </w:r>
      <w:r w:rsidRPr="00C20E4A">
        <w:t>.</w:t>
      </w:r>
      <w:r>
        <w:t xml:space="preserve"> Note that i</w:t>
      </w:r>
      <w:r w:rsidRPr="00C20E4A">
        <w:t xml:space="preserve">n the 2016 GSS cycle, to be consistent with the NCSES </w:t>
      </w:r>
      <w:r w:rsidRPr="00C20E4A">
        <w:rPr>
          <w:rFonts w:cs="Times New Roman"/>
        </w:rPr>
        <w:t>Higher Education Research</w:t>
      </w:r>
      <w:r w:rsidRPr="00C20E4A">
        <w:rPr>
          <w:rFonts w:cs="Times New Roman"/>
          <w:spacing w:val="2"/>
        </w:rPr>
        <w:t xml:space="preserve"> </w:t>
      </w:r>
      <w:r w:rsidRPr="00C20E4A">
        <w:rPr>
          <w:rFonts w:cs="Times New Roman"/>
        </w:rPr>
        <w:t>and Development (H</w:t>
      </w:r>
      <w:r w:rsidRPr="00C20E4A">
        <w:t>ERD) survey, for-profit institutions were declared ineligible since they are typically not research institutions but rather focus on practitioner-oriented degrees.</w:t>
      </w:r>
    </w:p>
    <w:tbl>
      <w:tblPr>
        <w:tblW w:w="7880" w:type="dxa"/>
        <w:tblLook w:val="04A0" w:firstRow="1" w:lastRow="0" w:firstColumn="1" w:lastColumn="0" w:noHBand="0" w:noVBand="1"/>
      </w:tblPr>
      <w:tblGrid>
        <w:gridCol w:w="723"/>
        <w:gridCol w:w="1390"/>
        <w:gridCol w:w="1027"/>
        <w:gridCol w:w="1165"/>
        <w:gridCol w:w="1284"/>
        <w:gridCol w:w="1496"/>
        <w:gridCol w:w="1284"/>
      </w:tblGrid>
      <w:tr w:rsidRPr="00285D5B" w:rsidR="00285D5B" w:rsidTr="00285D5B" w14:paraId="7A1FBBC7" w14:textId="77777777">
        <w:trPr>
          <w:trHeight w:val="300"/>
        </w:trPr>
        <w:tc>
          <w:tcPr>
            <w:tcW w:w="7880" w:type="dxa"/>
            <w:gridSpan w:val="7"/>
            <w:tcBorders>
              <w:top w:val="nil"/>
              <w:left w:val="nil"/>
              <w:bottom w:val="nil"/>
              <w:right w:val="nil"/>
            </w:tcBorders>
            <w:shd w:val="clear" w:color="auto" w:fill="auto"/>
            <w:noWrap/>
            <w:vAlign w:val="bottom"/>
            <w:hideMark/>
          </w:tcPr>
          <w:p w:rsidR="00DE46B8" w:rsidP="00285D5B" w:rsidRDefault="00285D5B" w14:paraId="0497F3EC" w14:textId="07A11832">
            <w:pPr>
              <w:rPr>
                <w:rFonts w:eastAsia="Times New Roman" w:cs="Times New Roman"/>
                <w:b/>
                <w:bCs/>
                <w:color w:val="000000"/>
                <w:szCs w:val="24"/>
              </w:rPr>
            </w:pPr>
            <w:bookmarkStart w:name="_Ref476061336" w:id="12"/>
            <w:r w:rsidRPr="0054259D">
              <w:rPr>
                <w:rFonts w:eastAsia="Times New Roman" w:cs="Times New Roman"/>
                <w:b/>
                <w:bCs/>
                <w:color w:val="000000"/>
                <w:szCs w:val="24"/>
              </w:rPr>
              <w:t xml:space="preserve">Exhibit </w:t>
            </w:r>
            <w:r w:rsidR="00D61C97">
              <w:rPr>
                <w:rFonts w:eastAsia="Times New Roman" w:cs="Times New Roman"/>
                <w:b/>
                <w:bCs/>
                <w:color w:val="000000"/>
                <w:szCs w:val="24"/>
              </w:rPr>
              <w:t>9</w:t>
            </w:r>
            <w:r w:rsidRPr="0054259D">
              <w:rPr>
                <w:rFonts w:eastAsia="Times New Roman" w:cs="Times New Roman"/>
                <w:b/>
                <w:bCs/>
                <w:color w:val="000000"/>
                <w:szCs w:val="24"/>
              </w:rPr>
              <w:t xml:space="preserve">.  Number of GSS Institutions, Schools, Units and Enrollment, </w:t>
            </w:r>
          </w:p>
          <w:p w:rsidRPr="0054259D" w:rsidR="00285D5B" w:rsidP="00285D5B" w:rsidRDefault="00285D5B" w14:paraId="4C3DCE4A" w14:textId="10360CDB">
            <w:pPr>
              <w:rPr>
                <w:rFonts w:eastAsia="Times New Roman" w:cs="Times New Roman"/>
                <w:b/>
                <w:bCs/>
                <w:color w:val="000000"/>
                <w:szCs w:val="24"/>
              </w:rPr>
            </w:pPr>
            <w:r w:rsidRPr="0054259D">
              <w:rPr>
                <w:rFonts w:eastAsia="Times New Roman" w:cs="Times New Roman"/>
                <w:b/>
                <w:bCs/>
                <w:color w:val="000000"/>
                <w:szCs w:val="24"/>
              </w:rPr>
              <w:t>2016-2018</w:t>
            </w:r>
          </w:p>
        </w:tc>
      </w:tr>
      <w:tr w:rsidRPr="00285D5B" w:rsidR="00285D5B" w:rsidTr="00285D5B" w14:paraId="62AB29C2" w14:textId="77777777">
        <w:trPr>
          <w:trHeight w:val="300"/>
        </w:trPr>
        <w:tc>
          <w:tcPr>
            <w:tcW w:w="510" w:type="dxa"/>
            <w:tcBorders>
              <w:top w:val="single" w:color="auto" w:sz="4" w:space="0"/>
              <w:left w:val="single" w:color="auto" w:sz="4" w:space="0"/>
              <w:bottom w:val="nil"/>
              <w:right w:val="nil"/>
            </w:tcBorders>
            <w:shd w:val="clear" w:color="auto" w:fill="auto"/>
            <w:noWrap/>
            <w:vAlign w:val="bottom"/>
            <w:hideMark/>
          </w:tcPr>
          <w:p w:rsidRPr="0054259D" w:rsidR="00285D5B" w:rsidP="00285D5B" w:rsidRDefault="00285D5B" w14:paraId="2E73CBC3" w14:textId="77777777">
            <w:pPr>
              <w:rPr>
                <w:rFonts w:eastAsia="Times New Roman" w:cs="Times New Roman"/>
                <w:color w:val="000000"/>
                <w:szCs w:val="24"/>
              </w:rPr>
            </w:pPr>
            <w:r w:rsidRPr="0054259D">
              <w:rPr>
                <w:rFonts w:eastAsia="Times New Roman" w:cs="Times New Roman"/>
                <w:color w:val="000000"/>
                <w:szCs w:val="24"/>
              </w:rPr>
              <w:t> </w:t>
            </w:r>
          </w:p>
        </w:tc>
        <w:tc>
          <w:tcPr>
            <w:tcW w:w="1114" w:type="dxa"/>
            <w:tcBorders>
              <w:top w:val="single" w:color="auto" w:sz="4" w:space="0"/>
              <w:left w:val="nil"/>
              <w:bottom w:val="nil"/>
              <w:right w:val="nil"/>
            </w:tcBorders>
            <w:shd w:val="clear" w:color="auto" w:fill="auto"/>
            <w:noWrap/>
            <w:vAlign w:val="bottom"/>
            <w:hideMark/>
          </w:tcPr>
          <w:p w:rsidRPr="0054259D" w:rsidR="00285D5B" w:rsidP="00285D5B" w:rsidRDefault="00285D5B" w14:paraId="2B5CC518" w14:textId="77777777">
            <w:pPr>
              <w:rPr>
                <w:rFonts w:eastAsia="Times New Roman" w:cs="Times New Roman"/>
                <w:color w:val="000000"/>
                <w:szCs w:val="24"/>
              </w:rPr>
            </w:pPr>
            <w:r w:rsidRPr="0054259D">
              <w:rPr>
                <w:rFonts w:eastAsia="Times New Roman" w:cs="Times New Roman"/>
                <w:color w:val="000000"/>
                <w:szCs w:val="24"/>
              </w:rPr>
              <w:t> </w:t>
            </w:r>
          </w:p>
        </w:tc>
        <w:tc>
          <w:tcPr>
            <w:tcW w:w="1027" w:type="dxa"/>
            <w:tcBorders>
              <w:top w:val="single" w:color="auto" w:sz="4" w:space="0"/>
              <w:left w:val="nil"/>
              <w:bottom w:val="nil"/>
              <w:right w:val="nil"/>
            </w:tcBorders>
            <w:shd w:val="clear" w:color="auto" w:fill="auto"/>
            <w:noWrap/>
            <w:vAlign w:val="bottom"/>
            <w:hideMark/>
          </w:tcPr>
          <w:p w:rsidRPr="0054259D" w:rsidR="00285D5B" w:rsidP="00285D5B" w:rsidRDefault="00285D5B" w14:paraId="2101E79D" w14:textId="77777777">
            <w:pPr>
              <w:rPr>
                <w:rFonts w:eastAsia="Times New Roman" w:cs="Times New Roman"/>
                <w:color w:val="000000"/>
                <w:szCs w:val="24"/>
              </w:rPr>
            </w:pPr>
            <w:r w:rsidRPr="0054259D">
              <w:rPr>
                <w:rFonts w:eastAsia="Times New Roman" w:cs="Times New Roman"/>
                <w:color w:val="000000"/>
                <w:szCs w:val="24"/>
              </w:rPr>
              <w:t> </w:t>
            </w:r>
          </w:p>
        </w:tc>
        <w:tc>
          <w:tcPr>
            <w:tcW w:w="1165" w:type="dxa"/>
            <w:tcBorders>
              <w:top w:val="single" w:color="auto" w:sz="4" w:space="0"/>
              <w:left w:val="nil"/>
              <w:bottom w:val="nil"/>
              <w:right w:val="nil"/>
            </w:tcBorders>
            <w:shd w:val="clear" w:color="auto" w:fill="auto"/>
            <w:noWrap/>
            <w:vAlign w:val="bottom"/>
            <w:hideMark/>
          </w:tcPr>
          <w:p w:rsidRPr="0054259D" w:rsidR="00285D5B" w:rsidP="00285D5B" w:rsidRDefault="00285D5B" w14:paraId="611F26DC" w14:textId="77777777">
            <w:pPr>
              <w:rPr>
                <w:rFonts w:eastAsia="Times New Roman" w:cs="Times New Roman"/>
                <w:color w:val="000000"/>
                <w:szCs w:val="24"/>
              </w:rPr>
            </w:pPr>
            <w:r w:rsidRPr="0054259D">
              <w:rPr>
                <w:rFonts w:eastAsia="Times New Roman" w:cs="Times New Roman"/>
                <w:color w:val="000000"/>
                <w:szCs w:val="24"/>
              </w:rPr>
              <w:t> </w:t>
            </w:r>
          </w:p>
        </w:tc>
        <w:tc>
          <w:tcPr>
            <w:tcW w:w="4064" w:type="dxa"/>
            <w:gridSpan w:val="3"/>
            <w:tcBorders>
              <w:top w:val="single" w:color="auto" w:sz="4" w:space="0"/>
              <w:left w:val="nil"/>
              <w:bottom w:val="nil"/>
              <w:right w:val="single" w:color="000000" w:sz="4" w:space="0"/>
            </w:tcBorders>
            <w:shd w:val="clear" w:color="auto" w:fill="auto"/>
            <w:noWrap/>
            <w:vAlign w:val="bottom"/>
            <w:hideMark/>
          </w:tcPr>
          <w:p w:rsidRPr="0054259D" w:rsidR="00285D5B" w:rsidP="00285D5B" w:rsidRDefault="00285D5B" w14:paraId="0322A1F0" w14:textId="1FF1392C">
            <w:pPr>
              <w:rPr>
                <w:rFonts w:eastAsia="Times New Roman" w:cs="Times New Roman"/>
                <w:b/>
                <w:bCs/>
                <w:color w:val="000000"/>
                <w:szCs w:val="24"/>
              </w:rPr>
            </w:pPr>
            <w:r w:rsidRPr="0054259D">
              <w:rPr>
                <w:rFonts w:eastAsia="Times New Roman" w:cs="Times New Roman"/>
                <w:b/>
                <w:bCs/>
                <w:color w:val="000000"/>
                <w:szCs w:val="24"/>
              </w:rPr>
              <w:t xml:space="preserve">Graduate </w:t>
            </w:r>
            <w:r w:rsidR="00DE46B8">
              <w:rPr>
                <w:rFonts w:eastAsia="Times New Roman" w:cs="Times New Roman"/>
                <w:b/>
                <w:bCs/>
                <w:color w:val="000000"/>
                <w:szCs w:val="24"/>
              </w:rPr>
              <w:t>e</w:t>
            </w:r>
            <w:r w:rsidRPr="0054259D">
              <w:rPr>
                <w:rFonts w:eastAsia="Times New Roman" w:cs="Times New Roman"/>
                <w:b/>
                <w:bCs/>
                <w:color w:val="000000"/>
                <w:szCs w:val="24"/>
              </w:rPr>
              <w:t>nrollment by degree level</w:t>
            </w:r>
          </w:p>
        </w:tc>
      </w:tr>
      <w:tr w:rsidRPr="00285D5B" w:rsidR="00285D5B" w:rsidTr="00285D5B" w14:paraId="094BB819" w14:textId="77777777">
        <w:trPr>
          <w:trHeight w:val="300"/>
        </w:trPr>
        <w:tc>
          <w:tcPr>
            <w:tcW w:w="510" w:type="dxa"/>
            <w:tcBorders>
              <w:top w:val="single" w:color="auto" w:sz="4" w:space="0"/>
              <w:left w:val="single" w:color="auto" w:sz="4" w:space="0"/>
              <w:bottom w:val="single" w:color="auto" w:sz="4" w:space="0"/>
              <w:right w:val="nil"/>
            </w:tcBorders>
            <w:shd w:val="clear" w:color="auto" w:fill="auto"/>
            <w:noWrap/>
            <w:vAlign w:val="bottom"/>
            <w:hideMark/>
          </w:tcPr>
          <w:p w:rsidRPr="0054259D" w:rsidR="00285D5B" w:rsidP="00285D5B" w:rsidRDefault="00285D5B" w14:paraId="5B6DF2CF" w14:textId="77777777">
            <w:pPr>
              <w:rPr>
                <w:rFonts w:eastAsia="Times New Roman" w:cs="Times New Roman"/>
                <w:b/>
                <w:bCs/>
                <w:color w:val="000000"/>
                <w:szCs w:val="24"/>
              </w:rPr>
            </w:pPr>
            <w:r w:rsidRPr="0054259D">
              <w:rPr>
                <w:rFonts w:eastAsia="Times New Roman" w:cs="Times New Roman"/>
                <w:b/>
                <w:bCs/>
                <w:color w:val="000000"/>
                <w:szCs w:val="24"/>
              </w:rPr>
              <w:t>Year</w:t>
            </w:r>
          </w:p>
        </w:tc>
        <w:tc>
          <w:tcPr>
            <w:tcW w:w="1114" w:type="dxa"/>
            <w:tcBorders>
              <w:top w:val="single" w:color="auto" w:sz="4" w:space="0"/>
              <w:left w:val="single" w:color="auto" w:sz="4" w:space="0"/>
              <w:bottom w:val="single" w:color="auto" w:sz="4" w:space="0"/>
              <w:right w:val="nil"/>
            </w:tcBorders>
            <w:shd w:val="clear" w:color="auto" w:fill="auto"/>
            <w:noWrap/>
            <w:vAlign w:val="bottom"/>
            <w:hideMark/>
          </w:tcPr>
          <w:p w:rsidRPr="0054259D" w:rsidR="00285D5B" w:rsidP="00285D5B" w:rsidRDefault="00285D5B" w14:paraId="2408DF4B" w14:textId="77777777">
            <w:pPr>
              <w:rPr>
                <w:rFonts w:eastAsia="Times New Roman" w:cs="Times New Roman"/>
                <w:b/>
                <w:bCs/>
                <w:color w:val="000000"/>
                <w:szCs w:val="24"/>
              </w:rPr>
            </w:pPr>
            <w:r w:rsidRPr="0054259D">
              <w:rPr>
                <w:rFonts w:eastAsia="Times New Roman" w:cs="Times New Roman"/>
                <w:b/>
                <w:bCs/>
                <w:color w:val="000000"/>
                <w:szCs w:val="24"/>
              </w:rPr>
              <w:t>Institutions</w:t>
            </w:r>
          </w:p>
        </w:tc>
        <w:tc>
          <w:tcPr>
            <w:tcW w:w="1027" w:type="dxa"/>
            <w:tcBorders>
              <w:top w:val="single" w:color="auto" w:sz="4" w:space="0"/>
              <w:left w:val="nil"/>
              <w:bottom w:val="single" w:color="auto" w:sz="4" w:space="0"/>
              <w:right w:val="nil"/>
            </w:tcBorders>
            <w:shd w:val="clear" w:color="auto" w:fill="auto"/>
            <w:noWrap/>
            <w:vAlign w:val="bottom"/>
            <w:hideMark/>
          </w:tcPr>
          <w:p w:rsidRPr="0054259D" w:rsidR="00285D5B" w:rsidP="00285D5B" w:rsidRDefault="00285D5B" w14:paraId="036B0FE6" w14:textId="77777777">
            <w:pPr>
              <w:rPr>
                <w:rFonts w:eastAsia="Times New Roman" w:cs="Times New Roman"/>
                <w:b/>
                <w:bCs/>
                <w:color w:val="000000"/>
                <w:szCs w:val="24"/>
              </w:rPr>
            </w:pPr>
            <w:r w:rsidRPr="0054259D">
              <w:rPr>
                <w:rFonts w:eastAsia="Times New Roman" w:cs="Times New Roman"/>
                <w:b/>
                <w:bCs/>
                <w:color w:val="000000"/>
                <w:szCs w:val="24"/>
              </w:rPr>
              <w:t>Schools</w:t>
            </w:r>
          </w:p>
        </w:tc>
        <w:tc>
          <w:tcPr>
            <w:tcW w:w="1165" w:type="dxa"/>
            <w:tcBorders>
              <w:top w:val="single" w:color="auto" w:sz="4" w:space="0"/>
              <w:left w:val="nil"/>
              <w:bottom w:val="single" w:color="auto" w:sz="4" w:space="0"/>
              <w:right w:val="single" w:color="auto" w:sz="4" w:space="0"/>
            </w:tcBorders>
            <w:shd w:val="clear" w:color="auto" w:fill="auto"/>
            <w:noWrap/>
            <w:vAlign w:val="bottom"/>
            <w:hideMark/>
          </w:tcPr>
          <w:p w:rsidRPr="0054259D" w:rsidR="00285D5B" w:rsidP="00285D5B" w:rsidRDefault="00285D5B" w14:paraId="3D4DA141" w14:textId="77777777">
            <w:pPr>
              <w:rPr>
                <w:rFonts w:eastAsia="Times New Roman" w:cs="Times New Roman"/>
                <w:b/>
                <w:bCs/>
                <w:color w:val="000000"/>
                <w:szCs w:val="24"/>
              </w:rPr>
            </w:pPr>
            <w:r w:rsidRPr="0054259D">
              <w:rPr>
                <w:rFonts w:eastAsia="Times New Roman" w:cs="Times New Roman"/>
                <w:b/>
                <w:bCs/>
                <w:color w:val="000000"/>
                <w:szCs w:val="24"/>
              </w:rPr>
              <w:t>Units</w:t>
            </w:r>
          </w:p>
        </w:tc>
        <w:tc>
          <w:tcPr>
            <w:tcW w:w="1284" w:type="dxa"/>
            <w:tcBorders>
              <w:top w:val="single" w:color="auto" w:sz="4" w:space="0"/>
              <w:left w:val="nil"/>
              <w:bottom w:val="single" w:color="auto" w:sz="4" w:space="0"/>
              <w:right w:val="nil"/>
            </w:tcBorders>
            <w:shd w:val="clear" w:color="auto" w:fill="auto"/>
            <w:noWrap/>
            <w:vAlign w:val="bottom"/>
            <w:hideMark/>
          </w:tcPr>
          <w:p w:rsidRPr="0054259D" w:rsidR="00285D5B" w:rsidP="00285D5B" w:rsidRDefault="00285D5B" w14:paraId="66300504" w14:textId="77777777">
            <w:pPr>
              <w:rPr>
                <w:rFonts w:eastAsia="Times New Roman" w:cs="Times New Roman"/>
                <w:b/>
                <w:bCs/>
                <w:color w:val="000000"/>
                <w:szCs w:val="24"/>
              </w:rPr>
            </w:pPr>
            <w:r w:rsidRPr="0054259D">
              <w:rPr>
                <w:rFonts w:eastAsia="Times New Roman" w:cs="Times New Roman"/>
                <w:b/>
                <w:bCs/>
                <w:color w:val="000000"/>
                <w:szCs w:val="24"/>
              </w:rPr>
              <w:t>Total</w:t>
            </w:r>
          </w:p>
        </w:tc>
        <w:tc>
          <w:tcPr>
            <w:tcW w:w="1496" w:type="dxa"/>
            <w:tcBorders>
              <w:top w:val="single" w:color="auto" w:sz="4" w:space="0"/>
              <w:left w:val="nil"/>
              <w:bottom w:val="single" w:color="auto" w:sz="4" w:space="0"/>
              <w:right w:val="nil"/>
            </w:tcBorders>
            <w:shd w:val="clear" w:color="auto" w:fill="auto"/>
            <w:noWrap/>
            <w:vAlign w:val="bottom"/>
            <w:hideMark/>
          </w:tcPr>
          <w:p w:rsidRPr="0054259D" w:rsidR="00285D5B" w:rsidP="00285D5B" w:rsidRDefault="00285D5B" w14:paraId="5B3D5274" w14:textId="77777777">
            <w:pPr>
              <w:rPr>
                <w:rFonts w:eastAsia="Times New Roman" w:cs="Times New Roman"/>
                <w:b/>
                <w:bCs/>
                <w:color w:val="000000"/>
                <w:szCs w:val="24"/>
              </w:rPr>
            </w:pPr>
            <w:r w:rsidRPr="0054259D">
              <w:rPr>
                <w:rFonts w:eastAsia="Times New Roman" w:cs="Times New Roman"/>
                <w:b/>
                <w:bCs/>
                <w:color w:val="000000"/>
                <w:szCs w:val="24"/>
              </w:rPr>
              <w:t>Masters</w:t>
            </w:r>
          </w:p>
        </w:tc>
        <w:tc>
          <w:tcPr>
            <w:tcW w:w="1284" w:type="dxa"/>
            <w:tcBorders>
              <w:top w:val="single" w:color="auto" w:sz="4" w:space="0"/>
              <w:left w:val="nil"/>
              <w:bottom w:val="single" w:color="auto" w:sz="4" w:space="0"/>
              <w:right w:val="single" w:color="auto" w:sz="4" w:space="0"/>
            </w:tcBorders>
            <w:shd w:val="clear" w:color="auto" w:fill="auto"/>
            <w:noWrap/>
            <w:vAlign w:val="bottom"/>
            <w:hideMark/>
          </w:tcPr>
          <w:p w:rsidRPr="0054259D" w:rsidR="00285D5B" w:rsidP="00285D5B" w:rsidRDefault="00285D5B" w14:paraId="5A910A79" w14:textId="77777777">
            <w:pPr>
              <w:rPr>
                <w:rFonts w:eastAsia="Times New Roman" w:cs="Times New Roman"/>
                <w:b/>
                <w:bCs/>
                <w:color w:val="000000"/>
                <w:szCs w:val="24"/>
              </w:rPr>
            </w:pPr>
            <w:r w:rsidRPr="0054259D">
              <w:rPr>
                <w:rFonts w:eastAsia="Times New Roman" w:cs="Times New Roman"/>
                <w:b/>
                <w:bCs/>
                <w:color w:val="000000"/>
                <w:szCs w:val="24"/>
              </w:rPr>
              <w:t>Doctorate</w:t>
            </w:r>
          </w:p>
        </w:tc>
      </w:tr>
      <w:tr w:rsidRPr="00285D5B" w:rsidR="00285D5B" w:rsidTr="00285D5B" w14:paraId="794E9EA6" w14:textId="77777777">
        <w:trPr>
          <w:trHeight w:val="300"/>
        </w:trPr>
        <w:tc>
          <w:tcPr>
            <w:tcW w:w="510" w:type="dxa"/>
            <w:tcBorders>
              <w:top w:val="nil"/>
              <w:left w:val="single" w:color="auto" w:sz="4" w:space="0"/>
              <w:bottom w:val="nil"/>
              <w:right w:val="nil"/>
            </w:tcBorders>
            <w:shd w:val="clear" w:color="auto" w:fill="auto"/>
            <w:noWrap/>
            <w:vAlign w:val="bottom"/>
            <w:hideMark/>
          </w:tcPr>
          <w:p w:rsidRPr="0054259D" w:rsidR="00285D5B" w:rsidP="00285D5B" w:rsidRDefault="00285D5B" w14:paraId="38E25F63" w14:textId="77777777">
            <w:pPr>
              <w:jc w:val="right"/>
              <w:rPr>
                <w:rFonts w:eastAsia="Times New Roman" w:cs="Times New Roman"/>
                <w:b/>
                <w:bCs/>
                <w:color w:val="000000"/>
                <w:szCs w:val="24"/>
              </w:rPr>
            </w:pPr>
            <w:r w:rsidRPr="0054259D">
              <w:rPr>
                <w:rFonts w:eastAsia="Times New Roman" w:cs="Times New Roman"/>
                <w:b/>
                <w:bCs/>
                <w:color w:val="000000"/>
                <w:szCs w:val="24"/>
              </w:rPr>
              <w:t>2016</w:t>
            </w:r>
          </w:p>
        </w:tc>
        <w:tc>
          <w:tcPr>
            <w:tcW w:w="1114" w:type="dxa"/>
            <w:tcBorders>
              <w:top w:val="nil"/>
              <w:left w:val="single" w:color="auto" w:sz="4" w:space="0"/>
              <w:bottom w:val="nil"/>
              <w:right w:val="nil"/>
            </w:tcBorders>
            <w:shd w:val="clear" w:color="auto" w:fill="auto"/>
            <w:noWrap/>
            <w:vAlign w:val="bottom"/>
            <w:hideMark/>
          </w:tcPr>
          <w:p w:rsidRPr="0054259D" w:rsidR="00285D5B" w:rsidP="0054259D" w:rsidRDefault="00285D5B" w14:paraId="5F723DAB" w14:textId="04D9ED54">
            <w:pPr>
              <w:jc w:val="center"/>
              <w:rPr>
                <w:rFonts w:eastAsia="Times New Roman" w:cs="Times New Roman"/>
                <w:color w:val="000000"/>
                <w:szCs w:val="24"/>
              </w:rPr>
            </w:pPr>
            <w:r w:rsidRPr="0054259D">
              <w:rPr>
                <w:rFonts w:eastAsia="Times New Roman" w:cs="Times New Roman"/>
                <w:color w:val="000000"/>
                <w:szCs w:val="24"/>
              </w:rPr>
              <w:t>714</w:t>
            </w:r>
          </w:p>
        </w:tc>
        <w:tc>
          <w:tcPr>
            <w:tcW w:w="1027" w:type="dxa"/>
            <w:tcBorders>
              <w:top w:val="nil"/>
              <w:left w:val="nil"/>
              <w:bottom w:val="nil"/>
              <w:right w:val="nil"/>
            </w:tcBorders>
            <w:shd w:val="clear" w:color="auto" w:fill="auto"/>
            <w:noWrap/>
            <w:vAlign w:val="bottom"/>
            <w:hideMark/>
          </w:tcPr>
          <w:p w:rsidRPr="0054259D" w:rsidR="00285D5B" w:rsidP="00285D5B" w:rsidRDefault="00285D5B" w14:paraId="3CB4A7C2" w14:textId="77777777">
            <w:pPr>
              <w:rPr>
                <w:rFonts w:eastAsia="Times New Roman" w:cs="Times New Roman"/>
                <w:color w:val="000000"/>
                <w:szCs w:val="24"/>
              </w:rPr>
            </w:pPr>
            <w:r w:rsidRPr="0054259D">
              <w:rPr>
                <w:rFonts w:eastAsia="Times New Roman" w:cs="Times New Roman"/>
                <w:color w:val="000000"/>
                <w:szCs w:val="24"/>
              </w:rPr>
              <w:t xml:space="preserve">            828 </w:t>
            </w:r>
          </w:p>
        </w:tc>
        <w:tc>
          <w:tcPr>
            <w:tcW w:w="1165" w:type="dxa"/>
            <w:tcBorders>
              <w:top w:val="nil"/>
              <w:left w:val="nil"/>
              <w:bottom w:val="nil"/>
              <w:right w:val="single" w:color="auto" w:sz="4" w:space="0"/>
            </w:tcBorders>
            <w:shd w:val="clear" w:color="auto" w:fill="auto"/>
            <w:noWrap/>
            <w:vAlign w:val="bottom"/>
            <w:hideMark/>
          </w:tcPr>
          <w:p w:rsidRPr="0054259D" w:rsidR="00285D5B" w:rsidP="00285D5B" w:rsidRDefault="00285D5B" w14:paraId="799480C2" w14:textId="77777777">
            <w:pPr>
              <w:rPr>
                <w:rFonts w:eastAsia="Times New Roman" w:cs="Times New Roman"/>
                <w:color w:val="000000"/>
                <w:szCs w:val="24"/>
              </w:rPr>
            </w:pPr>
            <w:r w:rsidRPr="0054259D">
              <w:rPr>
                <w:rFonts w:eastAsia="Times New Roman" w:cs="Times New Roman"/>
                <w:color w:val="000000"/>
                <w:szCs w:val="24"/>
              </w:rPr>
              <w:t xml:space="preserve">         15,583 </w:t>
            </w:r>
          </w:p>
        </w:tc>
        <w:tc>
          <w:tcPr>
            <w:tcW w:w="1284" w:type="dxa"/>
            <w:tcBorders>
              <w:top w:val="nil"/>
              <w:left w:val="nil"/>
              <w:bottom w:val="nil"/>
              <w:right w:val="nil"/>
            </w:tcBorders>
            <w:shd w:val="clear" w:color="auto" w:fill="auto"/>
            <w:noWrap/>
            <w:vAlign w:val="bottom"/>
            <w:hideMark/>
          </w:tcPr>
          <w:p w:rsidRPr="0054259D" w:rsidR="00285D5B" w:rsidP="00285D5B" w:rsidRDefault="00285D5B" w14:paraId="511C9706" w14:textId="77777777">
            <w:pPr>
              <w:rPr>
                <w:rFonts w:eastAsia="Times New Roman" w:cs="Times New Roman"/>
                <w:color w:val="000000"/>
                <w:szCs w:val="24"/>
              </w:rPr>
            </w:pPr>
            <w:r w:rsidRPr="0054259D">
              <w:rPr>
                <w:rFonts w:eastAsia="Times New Roman" w:cs="Times New Roman"/>
                <w:color w:val="000000"/>
                <w:szCs w:val="24"/>
              </w:rPr>
              <w:t xml:space="preserve">         684,825 </w:t>
            </w:r>
          </w:p>
        </w:tc>
        <w:tc>
          <w:tcPr>
            <w:tcW w:w="1496" w:type="dxa"/>
            <w:tcBorders>
              <w:top w:val="nil"/>
              <w:left w:val="nil"/>
              <w:bottom w:val="nil"/>
              <w:right w:val="nil"/>
            </w:tcBorders>
            <w:shd w:val="clear" w:color="auto" w:fill="auto"/>
            <w:noWrap/>
            <w:vAlign w:val="bottom"/>
            <w:hideMark/>
          </w:tcPr>
          <w:p w:rsidRPr="0054259D" w:rsidR="00285D5B" w:rsidP="0054259D" w:rsidRDefault="00285D5B" w14:paraId="50DAA775" w14:textId="19B24EB0">
            <w:pPr>
              <w:jc w:val="center"/>
              <w:rPr>
                <w:rFonts w:eastAsia="Times New Roman" w:cs="Times New Roman"/>
                <w:color w:val="000000"/>
                <w:szCs w:val="24"/>
              </w:rPr>
            </w:pPr>
            <w:proofErr w:type="spellStart"/>
            <w:r w:rsidRPr="0054259D">
              <w:rPr>
                <w:rFonts w:eastAsia="Times New Roman" w:cs="Times New Roman"/>
                <w:color w:val="000000"/>
                <w:szCs w:val="24"/>
              </w:rPr>
              <w:t>na</w:t>
            </w:r>
            <w:proofErr w:type="spellEnd"/>
          </w:p>
        </w:tc>
        <w:tc>
          <w:tcPr>
            <w:tcW w:w="1284" w:type="dxa"/>
            <w:tcBorders>
              <w:top w:val="nil"/>
              <w:left w:val="nil"/>
              <w:bottom w:val="nil"/>
              <w:right w:val="single" w:color="auto" w:sz="4" w:space="0"/>
            </w:tcBorders>
            <w:shd w:val="clear" w:color="auto" w:fill="auto"/>
            <w:noWrap/>
            <w:vAlign w:val="bottom"/>
            <w:hideMark/>
          </w:tcPr>
          <w:p w:rsidRPr="0054259D" w:rsidR="00285D5B" w:rsidP="0054259D" w:rsidRDefault="00285D5B" w14:paraId="6F570B05" w14:textId="48BE4D48">
            <w:pPr>
              <w:jc w:val="center"/>
              <w:rPr>
                <w:rFonts w:eastAsia="Times New Roman" w:cs="Times New Roman"/>
                <w:color w:val="000000"/>
                <w:szCs w:val="24"/>
              </w:rPr>
            </w:pPr>
            <w:proofErr w:type="spellStart"/>
            <w:r w:rsidRPr="0054259D">
              <w:rPr>
                <w:rFonts w:eastAsia="Times New Roman" w:cs="Times New Roman"/>
                <w:color w:val="000000"/>
                <w:szCs w:val="24"/>
              </w:rPr>
              <w:t>na</w:t>
            </w:r>
            <w:proofErr w:type="spellEnd"/>
          </w:p>
        </w:tc>
      </w:tr>
      <w:tr w:rsidRPr="00285D5B" w:rsidR="00285D5B" w:rsidTr="00285D5B" w14:paraId="56DDA2DB" w14:textId="77777777">
        <w:trPr>
          <w:trHeight w:val="300"/>
        </w:trPr>
        <w:tc>
          <w:tcPr>
            <w:tcW w:w="510" w:type="dxa"/>
            <w:tcBorders>
              <w:top w:val="nil"/>
              <w:left w:val="single" w:color="auto" w:sz="4" w:space="0"/>
              <w:bottom w:val="nil"/>
              <w:right w:val="nil"/>
            </w:tcBorders>
            <w:shd w:val="clear" w:color="auto" w:fill="auto"/>
            <w:noWrap/>
            <w:vAlign w:val="bottom"/>
            <w:hideMark/>
          </w:tcPr>
          <w:p w:rsidRPr="0054259D" w:rsidR="00285D5B" w:rsidP="00285D5B" w:rsidRDefault="00285D5B" w14:paraId="58292C6E" w14:textId="77777777">
            <w:pPr>
              <w:jc w:val="right"/>
              <w:rPr>
                <w:rFonts w:eastAsia="Times New Roman" w:cs="Times New Roman"/>
                <w:b/>
                <w:bCs/>
                <w:color w:val="000000"/>
                <w:szCs w:val="24"/>
              </w:rPr>
            </w:pPr>
            <w:r w:rsidRPr="0054259D">
              <w:rPr>
                <w:rFonts w:eastAsia="Times New Roman" w:cs="Times New Roman"/>
                <w:b/>
                <w:bCs/>
                <w:color w:val="000000"/>
                <w:szCs w:val="24"/>
              </w:rPr>
              <w:t>2017</w:t>
            </w:r>
          </w:p>
        </w:tc>
        <w:tc>
          <w:tcPr>
            <w:tcW w:w="1114" w:type="dxa"/>
            <w:tcBorders>
              <w:top w:val="nil"/>
              <w:left w:val="single" w:color="auto" w:sz="4" w:space="0"/>
              <w:bottom w:val="nil"/>
              <w:right w:val="nil"/>
            </w:tcBorders>
            <w:shd w:val="clear" w:color="auto" w:fill="auto"/>
            <w:noWrap/>
            <w:vAlign w:val="bottom"/>
            <w:hideMark/>
          </w:tcPr>
          <w:p w:rsidRPr="0054259D" w:rsidR="00285D5B" w:rsidP="0054259D" w:rsidRDefault="00285D5B" w14:paraId="3E9A67FB" w14:textId="3B606F88">
            <w:pPr>
              <w:jc w:val="center"/>
              <w:rPr>
                <w:rFonts w:eastAsia="Times New Roman" w:cs="Times New Roman"/>
                <w:color w:val="000000"/>
                <w:szCs w:val="24"/>
              </w:rPr>
            </w:pPr>
            <w:r w:rsidRPr="0054259D">
              <w:rPr>
                <w:rFonts w:eastAsia="Times New Roman" w:cs="Times New Roman"/>
                <w:color w:val="000000"/>
                <w:szCs w:val="24"/>
              </w:rPr>
              <w:t>703</w:t>
            </w:r>
          </w:p>
        </w:tc>
        <w:tc>
          <w:tcPr>
            <w:tcW w:w="1027" w:type="dxa"/>
            <w:tcBorders>
              <w:top w:val="nil"/>
              <w:left w:val="nil"/>
              <w:bottom w:val="nil"/>
              <w:right w:val="nil"/>
            </w:tcBorders>
            <w:shd w:val="clear" w:color="auto" w:fill="auto"/>
            <w:noWrap/>
            <w:vAlign w:val="bottom"/>
            <w:hideMark/>
          </w:tcPr>
          <w:p w:rsidRPr="0054259D" w:rsidR="00285D5B" w:rsidP="00285D5B" w:rsidRDefault="00285D5B" w14:paraId="4493D0DD" w14:textId="77777777">
            <w:pPr>
              <w:rPr>
                <w:rFonts w:eastAsia="Times New Roman" w:cs="Times New Roman"/>
                <w:color w:val="000000"/>
                <w:szCs w:val="24"/>
              </w:rPr>
            </w:pPr>
            <w:r w:rsidRPr="0054259D">
              <w:rPr>
                <w:rFonts w:eastAsia="Times New Roman" w:cs="Times New Roman"/>
                <w:color w:val="000000"/>
                <w:szCs w:val="24"/>
              </w:rPr>
              <w:t xml:space="preserve">            814 </w:t>
            </w:r>
          </w:p>
        </w:tc>
        <w:tc>
          <w:tcPr>
            <w:tcW w:w="1165" w:type="dxa"/>
            <w:tcBorders>
              <w:top w:val="nil"/>
              <w:left w:val="nil"/>
              <w:bottom w:val="nil"/>
              <w:right w:val="single" w:color="auto" w:sz="4" w:space="0"/>
            </w:tcBorders>
            <w:shd w:val="clear" w:color="auto" w:fill="auto"/>
            <w:noWrap/>
            <w:vAlign w:val="bottom"/>
            <w:hideMark/>
          </w:tcPr>
          <w:p w:rsidRPr="0054259D" w:rsidR="00285D5B" w:rsidP="00285D5B" w:rsidRDefault="00285D5B" w14:paraId="75C08F77" w14:textId="77777777">
            <w:pPr>
              <w:rPr>
                <w:rFonts w:eastAsia="Times New Roman" w:cs="Times New Roman"/>
                <w:color w:val="000000"/>
                <w:szCs w:val="24"/>
              </w:rPr>
            </w:pPr>
            <w:r w:rsidRPr="0054259D">
              <w:rPr>
                <w:rFonts w:eastAsia="Times New Roman" w:cs="Times New Roman"/>
                <w:color w:val="000000"/>
                <w:szCs w:val="24"/>
              </w:rPr>
              <w:t xml:space="preserve">         18,745 </w:t>
            </w:r>
          </w:p>
        </w:tc>
        <w:tc>
          <w:tcPr>
            <w:tcW w:w="1284" w:type="dxa"/>
            <w:tcBorders>
              <w:top w:val="nil"/>
              <w:left w:val="nil"/>
              <w:bottom w:val="nil"/>
              <w:right w:val="nil"/>
            </w:tcBorders>
            <w:shd w:val="clear" w:color="auto" w:fill="auto"/>
            <w:noWrap/>
            <w:vAlign w:val="bottom"/>
            <w:hideMark/>
          </w:tcPr>
          <w:p w:rsidRPr="0054259D" w:rsidR="00285D5B" w:rsidP="00285D5B" w:rsidRDefault="00285D5B" w14:paraId="774CB89F" w14:textId="77777777">
            <w:pPr>
              <w:rPr>
                <w:rFonts w:eastAsia="Times New Roman" w:cs="Times New Roman"/>
                <w:color w:val="000000"/>
                <w:szCs w:val="24"/>
              </w:rPr>
            </w:pPr>
            <w:r w:rsidRPr="0054259D">
              <w:rPr>
                <w:rFonts w:eastAsia="Times New Roman" w:cs="Times New Roman"/>
                <w:color w:val="000000"/>
                <w:szCs w:val="24"/>
              </w:rPr>
              <w:t xml:space="preserve">         649,112 </w:t>
            </w:r>
          </w:p>
        </w:tc>
        <w:tc>
          <w:tcPr>
            <w:tcW w:w="1496" w:type="dxa"/>
            <w:tcBorders>
              <w:top w:val="nil"/>
              <w:left w:val="nil"/>
              <w:bottom w:val="nil"/>
              <w:right w:val="nil"/>
            </w:tcBorders>
            <w:shd w:val="clear" w:color="auto" w:fill="auto"/>
            <w:noWrap/>
            <w:vAlign w:val="bottom"/>
            <w:hideMark/>
          </w:tcPr>
          <w:p w:rsidRPr="0054259D" w:rsidR="00285D5B" w:rsidP="00285D5B" w:rsidRDefault="00285D5B" w14:paraId="55539748" w14:textId="77777777">
            <w:pPr>
              <w:rPr>
                <w:rFonts w:eastAsia="Times New Roman" w:cs="Times New Roman"/>
                <w:color w:val="000000"/>
                <w:szCs w:val="24"/>
              </w:rPr>
            </w:pPr>
            <w:r w:rsidRPr="0054259D">
              <w:rPr>
                <w:rFonts w:eastAsia="Times New Roman" w:cs="Times New Roman"/>
                <w:color w:val="000000"/>
                <w:szCs w:val="24"/>
              </w:rPr>
              <w:t xml:space="preserve">             378,587 </w:t>
            </w:r>
          </w:p>
        </w:tc>
        <w:tc>
          <w:tcPr>
            <w:tcW w:w="1284" w:type="dxa"/>
            <w:tcBorders>
              <w:top w:val="nil"/>
              <w:left w:val="nil"/>
              <w:bottom w:val="nil"/>
              <w:right w:val="single" w:color="auto" w:sz="4" w:space="0"/>
            </w:tcBorders>
            <w:shd w:val="clear" w:color="auto" w:fill="auto"/>
            <w:noWrap/>
            <w:vAlign w:val="bottom"/>
            <w:hideMark/>
          </w:tcPr>
          <w:p w:rsidRPr="0054259D" w:rsidR="00285D5B" w:rsidP="00285D5B" w:rsidRDefault="00285D5B" w14:paraId="02DF982D" w14:textId="77777777">
            <w:pPr>
              <w:rPr>
                <w:rFonts w:eastAsia="Times New Roman" w:cs="Times New Roman"/>
                <w:color w:val="000000"/>
                <w:szCs w:val="24"/>
              </w:rPr>
            </w:pPr>
            <w:r w:rsidRPr="0054259D">
              <w:rPr>
                <w:rFonts w:eastAsia="Times New Roman" w:cs="Times New Roman"/>
                <w:color w:val="000000"/>
                <w:szCs w:val="24"/>
              </w:rPr>
              <w:t xml:space="preserve">         270,525 </w:t>
            </w:r>
          </w:p>
        </w:tc>
      </w:tr>
      <w:tr w:rsidRPr="00285D5B" w:rsidR="00285D5B" w:rsidTr="00285D5B" w14:paraId="580910DD" w14:textId="77777777">
        <w:trPr>
          <w:trHeight w:val="300"/>
        </w:trPr>
        <w:tc>
          <w:tcPr>
            <w:tcW w:w="510" w:type="dxa"/>
            <w:tcBorders>
              <w:top w:val="nil"/>
              <w:left w:val="single" w:color="auto" w:sz="4" w:space="0"/>
              <w:bottom w:val="single" w:color="auto" w:sz="4" w:space="0"/>
              <w:right w:val="nil"/>
            </w:tcBorders>
            <w:shd w:val="clear" w:color="auto" w:fill="auto"/>
            <w:noWrap/>
            <w:vAlign w:val="bottom"/>
            <w:hideMark/>
          </w:tcPr>
          <w:p w:rsidRPr="0054259D" w:rsidR="00285D5B" w:rsidP="00285D5B" w:rsidRDefault="00285D5B" w14:paraId="0FBD815B" w14:textId="77777777">
            <w:pPr>
              <w:jc w:val="right"/>
              <w:rPr>
                <w:rFonts w:eastAsia="Times New Roman" w:cs="Times New Roman"/>
                <w:b/>
                <w:bCs/>
                <w:color w:val="000000"/>
                <w:szCs w:val="24"/>
              </w:rPr>
            </w:pPr>
            <w:r w:rsidRPr="0054259D">
              <w:rPr>
                <w:rFonts w:eastAsia="Times New Roman" w:cs="Times New Roman"/>
                <w:b/>
                <w:bCs/>
                <w:color w:val="000000"/>
                <w:szCs w:val="24"/>
              </w:rPr>
              <w:t>2018</w:t>
            </w:r>
          </w:p>
        </w:tc>
        <w:tc>
          <w:tcPr>
            <w:tcW w:w="1114" w:type="dxa"/>
            <w:tcBorders>
              <w:top w:val="nil"/>
              <w:left w:val="single" w:color="auto" w:sz="4" w:space="0"/>
              <w:bottom w:val="single" w:color="auto" w:sz="4" w:space="0"/>
              <w:right w:val="nil"/>
            </w:tcBorders>
            <w:shd w:val="clear" w:color="auto" w:fill="auto"/>
            <w:noWrap/>
            <w:vAlign w:val="bottom"/>
            <w:hideMark/>
          </w:tcPr>
          <w:p w:rsidRPr="0054259D" w:rsidR="00285D5B" w:rsidP="0054259D" w:rsidRDefault="00285D5B" w14:paraId="741849B6" w14:textId="04B7AE08">
            <w:pPr>
              <w:jc w:val="center"/>
              <w:rPr>
                <w:rFonts w:eastAsia="Times New Roman" w:cs="Times New Roman"/>
                <w:color w:val="000000"/>
                <w:szCs w:val="24"/>
              </w:rPr>
            </w:pPr>
            <w:r w:rsidRPr="0054259D">
              <w:rPr>
                <w:rFonts w:eastAsia="Times New Roman" w:cs="Times New Roman"/>
                <w:color w:val="000000"/>
                <w:szCs w:val="24"/>
              </w:rPr>
              <w:t>715</w:t>
            </w:r>
          </w:p>
        </w:tc>
        <w:tc>
          <w:tcPr>
            <w:tcW w:w="1027" w:type="dxa"/>
            <w:tcBorders>
              <w:top w:val="nil"/>
              <w:left w:val="nil"/>
              <w:bottom w:val="single" w:color="auto" w:sz="4" w:space="0"/>
              <w:right w:val="nil"/>
            </w:tcBorders>
            <w:shd w:val="clear" w:color="auto" w:fill="auto"/>
            <w:noWrap/>
            <w:vAlign w:val="bottom"/>
            <w:hideMark/>
          </w:tcPr>
          <w:p w:rsidRPr="0054259D" w:rsidR="00285D5B" w:rsidP="00285D5B" w:rsidRDefault="00285D5B" w14:paraId="62D0BA29" w14:textId="77777777">
            <w:pPr>
              <w:rPr>
                <w:rFonts w:eastAsia="Times New Roman" w:cs="Times New Roman"/>
                <w:color w:val="000000"/>
                <w:szCs w:val="24"/>
              </w:rPr>
            </w:pPr>
            <w:r w:rsidRPr="0054259D">
              <w:rPr>
                <w:rFonts w:eastAsia="Times New Roman" w:cs="Times New Roman"/>
                <w:color w:val="000000"/>
                <w:szCs w:val="24"/>
              </w:rPr>
              <w:t xml:space="preserve">            817 </w:t>
            </w:r>
          </w:p>
        </w:tc>
        <w:tc>
          <w:tcPr>
            <w:tcW w:w="1165" w:type="dxa"/>
            <w:tcBorders>
              <w:top w:val="nil"/>
              <w:left w:val="nil"/>
              <w:bottom w:val="single" w:color="auto" w:sz="4" w:space="0"/>
              <w:right w:val="single" w:color="auto" w:sz="4" w:space="0"/>
            </w:tcBorders>
            <w:shd w:val="clear" w:color="auto" w:fill="auto"/>
            <w:noWrap/>
            <w:vAlign w:val="bottom"/>
            <w:hideMark/>
          </w:tcPr>
          <w:p w:rsidRPr="0054259D" w:rsidR="00285D5B" w:rsidP="00285D5B" w:rsidRDefault="00285D5B" w14:paraId="7C829839" w14:textId="77777777">
            <w:pPr>
              <w:rPr>
                <w:rFonts w:eastAsia="Times New Roman" w:cs="Times New Roman"/>
                <w:color w:val="000000"/>
                <w:szCs w:val="24"/>
              </w:rPr>
            </w:pPr>
            <w:r w:rsidRPr="0054259D">
              <w:rPr>
                <w:rFonts w:eastAsia="Times New Roman" w:cs="Times New Roman"/>
                <w:color w:val="000000"/>
                <w:szCs w:val="24"/>
              </w:rPr>
              <w:t xml:space="preserve">         19,592 </w:t>
            </w:r>
          </w:p>
        </w:tc>
        <w:tc>
          <w:tcPr>
            <w:tcW w:w="1284" w:type="dxa"/>
            <w:tcBorders>
              <w:top w:val="nil"/>
              <w:left w:val="nil"/>
              <w:bottom w:val="single" w:color="auto" w:sz="4" w:space="0"/>
              <w:right w:val="nil"/>
            </w:tcBorders>
            <w:shd w:val="clear" w:color="auto" w:fill="auto"/>
            <w:noWrap/>
            <w:vAlign w:val="bottom"/>
            <w:hideMark/>
          </w:tcPr>
          <w:p w:rsidRPr="0054259D" w:rsidR="00285D5B" w:rsidP="00285D5B" w:rsidRDefault="00285D5B" w14:paraId="3916C109" w14:textId="77777777">
            <w:pPr>
              <w:rPr>
                <w:rFonts w:eastAsia="Times New Roman" w:cs="Times New Roman"/>
                <w:color w:val="000000"/>
                <w:szCs w:val="24"/>
              </w:rPr>
            </w:pPr>
            <w:r w:rsidRPr="0054259D">
              <w:rPr>
                <w:rFonts w:eastAsia="Times New Roman" w:cs="Times New Roman"/>
                <w:color w:val="000000"/>
                <w:szCs w:val="24"/>
              </w:rPr>
              <w:t xml:space="preserve">         668,307 </w:t>
            </w:r>
          </w:p>
        </w:tc>
        <w:tc>
          <w:tcPr>
            <w:tcW w:w="1496" w:type="dxa"/>
            <w:tcBorders>
              <w:top w:val="nil"/>
              <w:left w:val="nil"/>
              <w:bottom w:val="single" w:color="auto" w:sz="4" w:space="0"/>
              <w:right w:val="nil"/>
            </w:tcBorders>
            <w:shd w:val="clear" w:color="auto" w:fill="auto"/>
            <w:noWrap/>
            <w:vAlign w:val="bottom"/>
            <w:hideMark/>
          </w:tcPr>
          <w:p w:rsidRPr="0054259D" w:rsidR="00285D5B" w:rsidP="00285D5B" w:rsidRDefault="00285D5B" w14:paraId="38F859B3" w14:textId="77777777">
            <w:pPr>
              <w:rPr>
                <w:rFonts w:eastAsia="Times New Roman" w:cs="Times New Roman"/>
                <w:color w:val="000000"/>
                <w:szCs w:val="24"/>
              </w:rPr>
            </w:pPr>
            <w:r w:rsidRPr="0054259D">
              <w:rPr>
                <w:rFonts w:eastAsia="Times New Roman" w:cs="Times New Roman"/>
                <w:color w:val="000000"/>
                <w:szCs w:val="24"/>
              </w:rPr>
              <w:t xml:space="preserve">             391,211 </w:t>
            </w:r>
          </w:p>
        </w:tc>
        <w:tc>
          <w:tcPr>
            <w:tcW w:w="1284" w:type="dxa"/>
            <w:tcBorders>
              <w:top w:val="nil"/>
              <w:left w:val="nil"/>
              <w:bottom w:val="single" w:color="auto" w:sz="4" w:space="0"/>
              <w:right w:val="single" w:color="auto" w:sz="4" w:space="0"/>
            </w:tcBorders>
            <w:shd w:val="clear" w:color="auto" w:fill="auto"/>
            <w:noWrap/>
            <w:vAlign w:val="bottom"/>
            <w:hideMark/>
          </w:tcPr>
          <w:p w:rsidRPr="0054259D" w:rsidR="00285D5B" w:rsidP="00285D5B" w:rsidRDefault="00285D5B" w14:paraId="2A96034B" w14:textId="77777777">
            <w:pPr>
              <w:rPr>
                <w:rFonts w:eastAsia="Times New Roman" w:cs="Times New Roman"/>
                <w:color w:val="000000"/>
                <w:szCs w:val="24"/>
              </w:rPr>
            </w:pPr>
            <w:r w:rsidRPr="0054259D">
              <w:rPr>
                <w:rFonts w:eastAsia="Times New Roman" w:cs="Times New Roman"/>
                <w:color w:val="000000"/>
                <w:szCs w:val="24"/>
              </w:rPr>
              <w:t xml:space="preserve">         277,096 </w:t>
            </w:r>
          </w:p>
        </w:tc>
      </w:tr>
    </w:tbl>
    <w:p w:rsidR="00CF2CBC" w:rsidP="00CF2CBC" w:rsidRDefault="00CF2CBC" w14:paraId="2C8F947D" w14:textId="4A29FA93"/>
    <w:p w:rsidRPr="006F30CA" w:rsidR="000B51D0" w:rsidP="0054259D" w:rsidRDefault="000B51D0" w14:paraId="6C196B8B" w14:textId="79936F76">
      <w:pPr>
        <w:pStyle w:val="Heading3"/>
        <w:rPr>
          <w:color w:val="auto"/>
        </w:rPr>
      </w:pPr>
      <w:bookmarkStart w:name="_Toc34383078" w:id="13"/>
      <w:r w:rsidRPr="006F30CA">
        <w:rPr>
          <w:color w:val="auto"/>
        </w:rPr>
        <w:lastRenderedPageBreak/>
        <w:t>B.1.</w:t>
      </w:r>
      <w:r w:rsidRPr="006F30CA" w:rsidR="00003B74">
        <w:rPr>
          <w:color w:val="auto"/>
        </w:rPr>
        <w:t>2</w:t>
      </w:r>
      <w:r w:rsidRPr="006F30CA">
        <w:rPr>
          <w:color w:val="auto"/>
        </w:rPr>
        <w:tab/>
        <w:t>Response Rates</w:t>
      </w:r>
      <w:bookmarkEnd w:id="13"/>
      <w:r w:rsidRPr="006F30CA">
        <w:rPr>
          <w:color w:val="auto"/>
        </w:rPr>
        <w:t xml:space="preserve"> </w:t>
      </w:r>
    </w:p>
    <w:p w:rsidRPr="00C20E4A" w:rsidR="000B51D0" w:rsidP="000B51D0" w:rsidRDefault="00CC1419" w14:paraId="6FFED52B" w14:textId="3CAE0523">
      <w:pPr>
        <w:pStyle w:val="BodyText"/>
        <w:spacing w:before="240"/>
      </w:pPr>
      <w:r>
        <w:t>Exhibit 10</w:t>
      </w:r>
      <w:r w:rsidRPr="00C20E4A" w:rsidR="000B51D0">
        <w:rPr>
          <w:spacing w:val="-1"/>
        </w:rPr>
        <w:t xml:space="preserve"> displays</w:t>
      </w:r>
      <w:r w:rsidRPr="00C20E4A" w:rsidR="000B51D0">
        <w:t xml:space="preserve"> unit, school, </w:t>
      </w:r>
      <w:r w:rsidRPr="00C20E4A" w:rsidR="000B51D0">
        <w:rPr>
          <w:spacing w:val="-1"/>
        </w:rPr>
        <w:t>and</w:t>
      </w:r>
      <w:r w:rsidRPr="00C20E4A" w:rsidR="000B51D0">
        <w:t xml:space="preserve"> </w:t>
      </w:r>
      <w:r w:rsidRPr="00C20E4A" w:rsidR="000B51D0">
        <w:rPr>
          <w:spacing w:val="-1"/>
        </w:rPr>
        <w:t>institutional</w:t>
      </w:r>
      <w:r w:rsidRPr="00C20E4A" w:rsidR="000B51D0">
        <w:t xml:space="preserve"> </w:t>
      </w:r>
      <w:r w:rsidRPr="00C20E4A" w:rsidR="000B51D0">
        <w:rPr>
          <w:spacing w:val="-1"/>
        </w:rPr>
        <w:t>response rates</w:t>
      </w:r>
      <w:r w:rsidRPr="00C20E4A" w:rsidR="000B51D0">
        <w:t xml:space="preserve"> for</w:t>
      </w:r>
      <w:r w:rsidRPr="00C20E4A" w:rsidR="000B51D0">
        <w:rPr>
          <w:spacing w:val="-1"/>
        </w:rPr>
        <w:t xml:space="preserve"> </w:t>
      </w:r>
      <w:r w:rsidRPr="00C20E4A" w:rsidR="000B51D0">
        <w:t>the</w:t>
      </w:r>
      <w:r w:rsidRPr="00C20E4A" w:rsidR="000B51D0">
        <w:rPr>
          <w:spacing w:val="-1"/>
        </w:rPr>
        <w:t xml:space="preserve"> </w:t>
      </w:r>
      <w:r w:rsidRPr="00C20E4A" w:rsidR="000B51D0">
        <w:t>201</w:t>
      </w:r>
      <w:r w:rsidR="000B51D0">
        <w:t>6</w:t>
      </w:r>
      <w:r w:rsidRPr="00C20E4A" w:rsidR="000B51D0">
        <w:t>-201</w:t>
      </w:r>
      <w:r w:rsidR="000B51D0">
        <w:t>8</w:t>
      </w:r>
      <w:r w:rsidRPr="00C20E4A" w:rsidR="000B51D0">
        <w:t xml:space="preserve"> survey</w:t>
      </w:r>
      <w:r w:rsidRPr="00C20E4A" w:rsidR="000B51D0">
        <w:rPr>
          <w:spacing w:val="-5"/>
        </w:rPr>
        <w:t xml:space="preserve"> </w:t>
      </w:r>
      <w:r w:rsidRPr="00C20E4A" w:rsidR="000B51D0">
        <w:rPr>
          <w:spacing w:val="-1"/>
        </w:rPr>
        <w:t>cycles.</w:t>
      </w:r>
      <w:r w:rsidR="000B51D0">
        <w:rPr>
          <w:spacing w:val="-1"/>
        </w:rPr>
        <w:t xml:space="preserve">  Response rates from GSS 2018 were very high:  96.6 percent at the institution level, 96.5 percent at the school level, and 83.8 percent at the unit level.  Response rates are projected to remain stable during the next four cycles.</w:t>
      </w:r>
    </w:p>
    <w:p w:rsidR="000B51D0" w:rsidP="000B51D0" w:rsidRDefault="00CC1419" w14:paraId="1E44C890" w14:textId="2AEE8192">
      <w:pPr>
        <w:pStyle w:val="TableTitle"/>
        <w:spacing w:before="0"/>
      </w:pPr>
      <w:r>
        <w:t>Exhibit 10</w:t>
      </w:r>
      <w:r w:rsidRPr="00C20E4A" w:rsidR="000B51D0">
        <w:t xml:space="preserve">. GSS </w:t>
      </w:r>
      <w:r w:rsidRPr="00C20E4A" w:rsidR="000B51D0">
        <w:rPr>
          <w:spacing w:val="-1"/>
        </w:rPr>
        <w:t>Institution,</w:t>
      </w:r>
      <w:r w:rsidRPr="00C20E4A" w:rsidR="000B51D0">
        <w:t xml:space="preserve"> </w:t>
      </w:r>
      <w:r w:rsidRPr="00C20E4A" w:rsidR="000B51D0">
        <w:rPr>
          <w:spacing w:val="-1"/>
        </w:rPr>
        <w:t>School,</w:t>
      </w:r>
      <w:r w:rsidRPr="00C20E4A" w:rsidR="000B51D0">
        <w:t xml:space="preserve"> </w:t>
      </w:r>
      <w:r w:rsidRPr="00C20E4A" w:rsidR="000B51D0">
        <w:rPr>
          <w:spacing w:val="-1"/>
        </w:rPr>
        <w:t>and</w:t>
      </w:r>
      <w:r w:rsidRPr="00C20E4A" w:rsidR="000B51D0">
        <w:rPr>
          <w:spacing w:val="-2"/>
        </w:rPr>
        <w:t xml:space="preserve"> </w:t>
      </w:r>
      <w:r w:rsidRPr="00C20E4A" w:rsidR="000B51D0">
        <w:rPr>
          <w:spacing w:val="-1"/>
        </w:rPr>
        <w:t xml:space="preserve">Unit Response Rates: </w:t>
      </w:r>
      <w:r w:rsidRPr="00C20E4A" w:rsidR="000B51D0">
        <w:t>201</w:t>
      </w:r>
      <w:r w:rsidR="000B51D0">
        <w:t>6</w:t>
      </w:r>
      <w:r w:rsidRPr="00C20E4A" w:rsidR="000B51D0">
        <w:t>–1</w:t>
      </w:r>
      <w:r w:rsidR="000B51D0">
        <w:t>8</w:t>
      </w:r>
    </w:p>
    <w:tbl>
      <w:tblPr>
        <w:tblW w:w="0" w:type="auto"/>
        <w:tblLook w:val="04A0" w:firstRow="1" w:lastRow="0" w:firstColumn="1" w:lastColumn="0" w:noHBand="0" w:noVBand="1"/>
      </w:tblPr>
      <w:tblGrid>
        <w:gridCol w:w="1121"/>
        <w:gridCol w:w="1001"/>
        <w:gridCol w:w="1001"/>
        <w:gridCol w:w="1001"/>
        <w:gridCol w:w="901"/>
        <w:gridCol w:w="895"/>
        <w:gridCol w:w="895"/>
        <w:gridCol w:w="785"/>
        <w:gridCol w:w="785"/>
        <w:gridCol w:w="785"/>
      </w:tblGrid>
      <w:tr w:rsidRPr="00F534EC" w:rsidR="000B51D0" w:rsidTr="00775FD1" w14:paraId="1AD7F6E7" w14:textId="77777777">
        <w:trPr>
          <w:cantSplit/>
          <w:trHeight w:val="330"/>
        </w:trPr>
        <w:tc>
          <w:tcPr>
            <w:tcW w:w="0" w:type="auto"/>
            <w:vMerge w:val="restart"/>
            <w:tcBorders>
              <w:top w:val="single" w:color="auto" w:sz="12" w:space="0"/>
              <w:left w:val="nil"/>
              <w:bottom w:val="single" w:color="000000" w:sz="8" w:space="0"/>
              <w:right w:val="single" w:color="auto" w:sz="8" w:space="0"/>
            </w:tcBorders>
            <w:shd w:val="clear" w:color="auto" w:fill="auto"/>
            <w:vAlign w:val="center"/>
            <w:hideMark/>
          </w:tcPr>
          <w:p w:rsidRPr="00F534EC" w:rsidR="000B51D0" w:rsidP="00775FD1" w:rsidRDefault="000B51D0" w14:paraId="4FCEEC31" w14:textId="77777777">
            <w:pPr>
              <w:jc w:val="center"/>
              <w:rPr>
                <w:rFonts w:eastAsia="Times New Roman" w:cs="Times New Roman"/>
                <w:b/>
                <w:bCs/>
                <w:color w:val="000000"/>
                <w:sz w:val="22"/>
              </w:rPr>
            </w:pPr>
            <w:r w:rsidRPr="00F534EC">
              <w:rPr>
                <w:rFonts w:eastAsia="Times New Roman" w:cs="Times New Roman"/>
                <w:b/>
                <w:bCs/>
                <w:color w:val="000000"/>
                <w:sz w:val="22"/>
                <w:szCs w:val="20"/>
              </w:rPr>
              <w:t> </w:t>
            </w:r>
          </w:p>
        </w:tc>
        <w:tc>
          <w:tcPr>
            <w:tcW w:w="0" w:type="auto"/>
            <w:gridSpan w:val="3"/>
            <w:tcBorders>
              <w:top w:val="single" w:color="auto" w:sz="12" w:space="0"/>
              <w:left w:val="nil"/>
              <w:bottom w:val="single" w:color="auto" w:sz="8" w:space="0"/>
              <w:right w:val="single" w:color="000000" w:sz="8" w:space="0"/>
            </w:tcBorders>
            <w:shd w:val="clear" w:color="auto" w:fill="auto"/>
            <w:vAlign w:val="center"/>
            <w:hideMark/>
          </w:tcPr>
          <w:p w:rsidRPr="00F534EC" w:rsidR="000B51D0" w:rsidP="00775FD1" w:rsidRDefault="000B51D0" w14:paraId="5047F043" w14:textId="77777777">
            <w:pPr>
              <w:jc w:val="center"/>
              <w:rPr>
                <w:rFonts w:eastAsia="Times New Roman" w:cs="Times New Roman"/>
                <w:b/>
                <w:bCs/>
                <w:color w:val="000000"/>
                <w:sz w:val="22"/>
              </w:rPr>
            </w:pPr>
            <w:r w:rsidRPr="00F534EC">
              <w:rPr>
                <w:rFonts w:eastAsia="Times New Roman" w:cs="Times New Roman"/>
                <w:b/>
                <w:bCs/>
                <w:color w:val="000000"/>
                <w:spacing w:val="-1"/>
                <w:sz w:val="22"/>
                <w:szCs w:val="20"/>
              </w:rPr>
              <w:t>Complete Respondents</w:t>
            </w:r>
          </w:p>
        </w:tc>
        <w:tc>
          <w:tcPr>
            <w:tcW w:w="0" w:type="auto"/>
            <w:gridSpan w:val="3"/>
            <w:tcBorders>
              <w:top w:val="single" w:color="auto" w:sz="12" w:space="0"/>
              <w:left w:val="nil"/>
              <w:bottom w:val="single" w:color="auto" w:sz="8" w:space="0"/>
              <w:right w:val="single" w:color="000000" w:sz="8" w:space="0"/>
            </w:tcBorders>
            <w:shd w:val="clear" w:color="auto" w:fill="auto"/>
            <w:vAlign w:val="center"/>
            <w:hideMark/>
          </w:tcPr>
          <w:p w:rsidRPr="00F534EC" w:rsidR="000B51D0" w:rsidP="00775FD1" w:rsidRDefault="000B51D0" w14:paraId="72D919B9" w14:textId="77777777">
            <w:pPr>
              <w:jc w:val="center"/>
              <w:rPr>
                <w:rFonts w:eastAsia="Times New Roman" w:cs="Times New Roman"/>
                <w:b/>
                <w:bCs/>
                <w:color w:val="000000"/>
                <w:sz w:val="22"/>
              </w:rPr>
            </w:pPr>
            <w:r w:rsidRPr="00F534EC">
              <w:rPr>
                <w:rFonts w:eastAsia="Times New Roman" w:cs="Times New Roman"/>
                <w:b/>
                <w:bCs/>
                <w:color w:val="000000"/>
                <w:spacing w:val="-1"/>
                <w:sz w:val="22"/>
                <w:szCs w:val="20"/>
              </w:rPr>
              <w:t>Partial Respondents</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F534EC" w:rsidR="000B51D0" w:rsidP="00775FD1" w:rsidRDefault="000B51D0" w14:paraId="0DBCB0D1" w14:textId="77777777">
            <w:pPr>
              <w:jc w:val="center"/>
              <w:rPr>
                <w:rFonts w:eastAsia="Times New Roman" w:cs="Times New Roman"/>
                <w:b/>
                <w:bCs/>
                <w:color w:val="000000"/>
                <w:sz w:val="22"/>
              </w:rPr>
            </w:pPr>
            <w:proofErr w:type="spellStart"/>
            <w:r w:rsidRPr="00F534EC">
              <w:rPr>
                <w:rFonts w:eastAsia="Times New Roman" w:cs="Times New Roman"/>
                <w:b/>
                <w:bCs/>
                <w:color w:val="000000"/>
                <w:spacing w:val="-1"/>
                <w:sz w:val="22"/>
                <w:szCs w:val="20"/>
              </w:rPr>
              <w:t>Nonrespondents</w:t>
            </w:r>
            <w:proofErr w:type="spellEnd"/>
          </w:p>
        </w:tc>
      </w:tr>
      <w:tr w:rsidRPr="00F534EC" w:rsidR="000B51D0" w:rsidTr="00775FD1" w14:paraId="1F927E0D" w14:textId="77777777">
        <w:trPr>
          <w:trHeight w:val="315"/>
        </w:trPr>
        <w:tc>
          <w:tcPr>
            <w:tcW w:w="0" w:type="auto"/>
            <w:vMerge/>
            <w:tcBorders>
              <w:top w:val="single" w:color="auto" w:sz="12" w:space="0"/>
              <w:left w:val="nil"/>
              <w:bottom w:val="single" w:color="000000" w:sz="8" w:space="0"/>
              <w:right w:val="single" w:color="auto" w:sz="8" w:space="0"/>
            </w:tcBorders>
            <w:vAlign w:val="center"/>
            <w:hideMark/>
          </w:tcPr>
          <w:p w:rsidRPr="00F534EC" w:rsidR="000B51D0" w:rsidP="00775FD1" w:rsidRDefault="000B51D0" w14:paraId="6A27BF80" w14:textId="77777777">
            <w:pPr>
              <w:rPr>
                <w:rFonts w:eastAsia="Times New Roman" w:cs="Times New Roman"/>
                <w:b/>
                <w:bCs/>
                <w:color w:val="000000"/>
                <w:sz w:val="22"/>
              </w:rPr>
            </w:pPr>
          </w:p>
        </w:tc>
        <w:tc>
          <w:tcPr>
            <w:tcW w:w="0" w:type="auto"/>
            <w:tcBorders>
              <w:top w:val="nil"/>
              <w:left w:val="nil"/>
              <w:bottom w:val="single" w:color="auto" w:sz="8" w:space="0"/>
              <w:right w:val="single" w:color="auto" w:sz="8" w:space="0"/>
            </w:tcBorders>
            <w:shd w:val="clear" w:color="auto" w:fill="auto"/>
            <w:vAlign w:val="center"/>
            <w:hideMark/>
          </w:tcPr>
          <w:p w:rsidRPr="00F534EC" w:rsidR="000B51D0" w:rsidP="00775FD1" w:rsidRDefault="000B51D0" w14:paraId="11EA8B90" w14:textId="77777777">
            <w:pPr>
              <w:jc w:val="center"/>
              <w:rPr>
                <w:rFonts w:eastAsia="Times New Roman" w:cs="Times New Roman"/>
                <w:b/>
                <w:bCs/>
                <w:color w:val="000000"/>
                <w:sz w:val="22"/>
              </w:rPr>
            </w:pPr>
            <w:r w:rsidRPr="00F534EC">
              <w:rPr>
                <w:rFonts w:eastAsia="Times New Roman" w:cs="Times New Roman"/>
                <w:b/>
                <w:bCs/>
                <w:color w:val="000000"/>
                <w:sz w:val="22"/>
                <w:szCs w:val="20"/>
              </w:rPr>
              <w:t>2016</w:t>
            </w:r>
          </w:p>
        </w:tc>
        <w:tc>
          <w:tcPr>
            <w:tcW w:w="0" w:type="auto"/>
            <w:tcBorders>
              <w:top w:val="nil"/>
              <w:left w:val="nil"/>
              <w:bottom w:val="single" w:color="auto" w:sz="8" w:space="0"/>
              <w:right w:val="single" w:color="auto" w:sz="8" w:space="0"/>
            </w:tcBorders>
            <w:shd w:val="clear" w:color="auto" w:fill="auto"/>
            <w:vAlign w:val="center"/>
            <w:hideMark/>
          </w:tcPr>
          <w:p w:rsidRPr="00F534EC" w:rsidR="000B51D0" w:rsidP="00775FD1" w:rsidRDefault="000B51D0" w14:paraId="6DF8C2AA" w14:textId="77777777">
            <w:pPr>
              <w:jc w:val="center"/>
              <w:rPr>
                <w:rFonts w:eastAsia="Times New Roman" w:cs="Times New Roman"/>
                <w:b/>
                <w:bCs/>
                <w:color w:val="000000"/>
                <w:sz w:val="22"/>
              </w:rPr>
            </w:pPr>
            <w:r w:rsidRPr="00F534EC">
              <w:rPr>
                <w:rFonts w:eastAsia="Times New Roman" w:cs="Times New Roman"/>
                <w:b/>
                <w:bCs/>
                <w:color w:val="000000"/>
                <w:sz w:val="22"/>
                <w:szCs w:val="20"/>
              </w:rPr>
              <w:t>2017</w:t>
            </w:r>
          </w:p>
        </w:tc>
        <w:tc>
          <w:tcPr>
            <w:tcW w:w="0" w:type="auto"/>
            <w:tcBorders>
              <w:top w:val="nil"/>
              <w:left w:val="nil"/>
              <w:bottom w:val="single" w:color="auto" w:sz="8" w:space="0"/>
              <w:right w:val="single" w:color="auto" w:sz="8" w:space="0"/>
            </w:tcBorders>
            <w:shd w:val="clear" w:color="auto" w:fill="auto"/>
            <w:vAlign w:val="center"/>
            <w:hideMark/>
          </w:tcPr>
          <w:p w:rsidRPr="00F534EC" w:rsidR="000B51D0" w:rsidP="00775FD1" w:rsidRDefault="000B51D0" w14:paraId="7B50EC2A" w14:textId="77777777">
            <w:pPr>
              <w:jc w:val="center"/>
              <w:rPr>
                <w:rFonts w:eastAsia="Times New Roman" w:cs="Times New Roman"/>
                <w:b/>
                <w:bCs/>
                <w:color w:val="000000"/>
                <w:sz w:val="22"/>
              </w:rPr>
            </w:pPr>
            <w:r w:rsidRPr="00F534EC">
              <w:rPr>
                <w:rFonts w:eastAsia="Times New Roman" w:cs="Times New Roman"/>
                <w:b/>
                <w:bCs/>
                <w:color w:val="000000"/>
                <w:sz w:val="22"/>
                <w:szCs w:val="20"/>
              </w:rPr>
              <w:t>2018</w:t>
            </w:r>
          </w:p>
        </w:tc>
        <w:tc>
          <w:tcPr>
            <w:tcW w:w="0" w:type="auto"/>
            <w:tcBorders>
              <w:top w:val="nil"/>
              <w:left w:val="nil"/>
              <w:bottom w:val="single" w:color="auto" w:sz="8" w:space="0"/>
              <w:right w:val="single" w:color="auto" w:sz="8" w:space="0"/>
            </w:tcBorders>
            <w:shd w:val="clear" w:color="auto" w:fill="auto"/>
            <w:vAlign w:val="center"/>
            <w:hideMark/>
          </w:tcPr>
          <w:p w:rsidRPr="00F534EC" w:rsidR="000B51D0" w:rsidP="00775FD1" w:rsidRDefault="000B51D0" w14:paraId="6A810390" w14:textId="77777777">
            <w:pPr>
              <w:jc w:val="center"/>
              <w:rPr>
                <w:rFonts w:eastAsia="Times New Roman" w:cs="Times New Roman"/>
                <w:b/>
                <w:bCs/>
                <w:color w:val="000000"/>
                <w:sz w:val="22"/>
              </w:rPr>
            </w:pPr>
            <w:r w:rsidRPr="00F534EC">
              <w:rPr>
                <w:rFonts w:eastAsia="Times New Roman" w:cs="Times New Roman"/>
                <w:b/>
                <w:bCs/>
                <w:color w:val="000000"/>
                <w:sz w:val="22"/>
                <w:szCs w:val="20"/>
              </w:rPr>
              <w:t>2016</w:t>
            </w:r>
          </w:p>
        </w:tc>
        <w:tc>
          <w:tcPr>
            <w:tcW w:w="0" w:type="auto"/>
            <w:tcBorders>
              <w:top w:val="nil"/>
              <w:left w:val="nil"/>
              <w:bottom w:val="single" w:color="auto" w:sz="8" w:space="0"/>
              <w:right w:val="single" w:color="auto" w:sz="8" w:space="0"/>
            </w:tcBorders>
            <w:shd w:val="clear" w:color="auto" w:fill="auto"/>
            <w:vAlign w:val="center"/>
            <w:hideMark/>
          </w:tcPr>
          <w:p w:rsidRPr="00F534EC" w:rsidR="000B51D0" w:rsidP="00775FD1" w:rsidRDefault="000B51D0" w14:paraId="72729256" w14:textId="77777777">
            <w:pPr>
              <w:jc w:val="center"/>
              <w:rPr>
                <w:rFonts w:eastAsia="Times New Roman" w:cs="Times New Roman"/>
                <w:b/>
                <w:bCs/>
                <w:color w:val="000000"/>
                <w:sz w:val="22"/>
              </w:rPr>
            </w:pPr>
            <w:r w:rsidRPr="00F534EC">
              <w:rPr>
                <w:rFonts w:eastAsia="Times New Roman" w:cs="Times New Roman"/>
                <w:b/>
                <w:bCs/>
                <w:color w:val="000000"/>
                <w:sz w:val="22"/>
              </w:rPr>
              <w:t>2017</w:t>
            </w:r>
          </w:p>
        </w:tc>
        <w:tc>
          <w:tcPr>
            <w:tcW w:w="0" w:type="auto"/>
            <w:tcBorders>
              <w:top w:val="nil"/>
              <w:left w:val="nil"/>
              <w:bottom w:val="single" w:color="auto" w:sz="8" w:space="0"/>
              <w:right w:val="single" w:color="auto" w:sz="8" w:space="0"/>
            </w:tcBorders>
            <w:shd w:val="clear" w:color="auto" w:fill="auto"/>
            <w:noWrap/>
            <w:vAlign w:val="bottom"/>
            <w:hideMark/>
          </w:tcPr>
          <w:p w:rsidRPr="00F534EC" w:rsidR="000B51D0" w:rsidP="00775FD1" w:rsidRDefault="000B51D0" w14:paraId="3064E414" w14:textId="77777777">
            <w:pPr>
              <w:jc w:val="center"/>
              <w:rPr>
                <w:rFonts w:ascii="Calibri" w:hAnsi="Calibri" w:eastAsia="Times New Roman" w:cs="Calibri"/>
                <w:b/>
                <w:bCs/>
                <w:color w:val="000000"/>
                <w:sz w:val="22"/>
              </w:rPr>
            </w:pPr>
            <w:r w:rsidRPr="00F534EC">
              <w:rPr>
                <w:rFonts w:ascii="Calibri" w:hAnsi="Calibri" w:eastAsia="Times New Roman" w:cs="Calibri"/>
                <w:b/>
                <w:bCs/>
                <w:color w:val="000000"/>
                <w:sz w:val="22"/>
              </w:rPr>
              <w:t>2018</w:t>
            </w:r>
          </w:p>
        </w:tc>
        <w:tc>
          <w:tcPr>
            <w:tcW w:w="0" w:type="auto"/>
            <w:tcBorders>
              <w:top w:val="nil"/>
              <w:left w:val="nil"/>
              <w:bottom w:val="single" w:color="auto" w:sz="8" w:space="0"/>
              <w:right w:val="nil"/>
            </w:tcBorders>
            <w:shd w:val="clear" w:color="auto" w:fill="auto"/>
            <w:vAlign w:val="center"/>
            <w:hideMark/>
          </w:tcPr>
          <w:p w:rsidRPr="00F534EC" w:rsidR="000B51D0" w:rsidP="00775FD1" w:rsidRDefault="000B51D0" w14:paraId="298EB067" w14:textId="77777777">
            <w:pPr>
              <w:jc w:val="center"/>
              <w:rPr>
                <w:rFonts w:eastAsia="Times New Roman" w:cs="Times New Roman"/>
                <w:b/>
                <w:bCs/>
                <w:color w:val="000000"/>
                <w:sz w:val="22"/>
              </w:rPr>
            </w:pPr>
            <w:r w:rsidRPr="00F534EC">
              <w:rPr>
                <w:rFonts w:eastAsia="Times New Roman" w:cs="Times New Roman"/>
                <w:b/>
                <w:bCs/>
                <w:color w:val="000000"/>
                <w:sz w:val="22"/>
                <w:szCs w:val="20"/>
              </w:rPr>
              <w:t>2016</w:t>
            </w:r>
          </w:p>
        </w:tc>
        <w:tc>
          <w:tcPr>
            <w:tcW w:w="0" w:type="auto"/>
            <w:tcBorders>
              <w:top w:val="nil"/>
              <w:left w:val="nil"/>
              <w:bottom w:val="single" w:color="auto" w:sz="8" w:space="0"/>
              <w:right w:val="nil"/>
            </w:tcBorders>
            <w:shd w:val="clear" w:color="auto" w:fill="auto"/>
            <w:vAlign w:val="center"/>
            <w:hideMark/>
          </w:tcPr>
          <w:p w:rsidRPr="00F534EC" w:rsidR="000B51D0" w:rsidP="00775FD1" w:rsidRDefault="000B51D0" w14:paraId="621230CA" w14:textId="77777777">
            <w:pPr>
              <w:jc w:val="center"/>
              <w:rPr>
                <w:rFonts w:eastAsia="Times New Roman" w:cs="Times New Roman"/>
                <w:b/>
                <w:bCs/>
                <w:color w:val="000000"/>
                <w:sz w:val="22"/>
              </w:rPr>
            </w:pPr>
            <w:r w:rsidRPr="00F534EC">
              <w:rPr>
                <w:rFonts w:eastAsia="Times New Roman" w:cs="Times New Roman"/>
                <w:b/>
                <w:bCs/>
                <w:color w:val="000000"/>
                <w:sz w:val="22"/>
                <w:szCs w:val="20"/>
              </w:rPr>
              <w:t>2017</w:t>
            </w:r>
          </w:p>
        </w:tc>
        <w:tc>
          <w:tcPr>
            <w:tcW w:w="0" w:type="auto"/>
            <w:tcBorders>
              <w:top w:val="nil"/>
              <w:left w:val="nil"/>
              <w:bottom w:val="single" w:color="auto" w:sz="8" w:space="0"/>
              <w:right w:val="single" w:color="auto" w:sz="8" w:space="0"/>
            </w:tcBorders>
            <w:shd w:val="clear" w:color="auto" w:fill="auto"/>
            <w:vAlign w:val="center"/>
            <w:hideMark/>
          </w:tcPr>
          <w:p w:rsidRPr="00F534EC" w:rsidR="000B51D0" w:rsidP="00775FD1" w:rsidRDefault="000B51D0" w14:paraId="6EE69942" w14:textId="77777777">
            <w:pPr>
              <w:jc w:val="center"/>
              <w:rPr>
                <w:rFonts w:eastAsia="Times New Roman" w:cs="Times New Roman"/>
                <w:b/>
                <w:bCs/>
                <w:color w:val="000000"/>
                <w:sz w:val="22"/>
              </w:rPr>
            </w:pPr>
            <w:r w:rsidRPr="00F534EC">
              <w:rPr>
                <w:rFonts w:eastAsia="Times New Roman" w:cs="Times New Roman"/>
                <w:b/>
                <w:bCs/>
                <w:color w:val="000000"/>
                <w:sz w:val="22"/>
                <w:szCs w:val="20"/>
              </w:rPr>
              <w:t>2018</w:t>
            </w:r>
          </w:p>
        </w:tc>
      </w:tr>
      <w:tr w:rsidRPr="00F534EC" w:rsidR="000B51D0" w:rsidTr="00775FD1" w14:paraId="714FC69F" w14:textId="77777777">
        <w:trPr>
          <w:cantSplit/>
          <w:trHeight w:val="300"/>
        </w:trPr>
        <w:tc>
          <w:tcPr>
            <w:tcW w:w="0" w:type="auto"/>
            <w:tcBorders>
              <w:top w:val="nil"/>
              <w:left w:val="nil"/>
              <w:bottom w:val="nil"/>
              <w:right w:val="single" w:color="auto" w:sz="8" w:space="0"/>
            </w:tcBorders>
            <w:shd w:val="clear" w:color="auto" w:fill="auto"/>
            <w:vAlign w:val="center"/>
            <w:hideMark/>
          </w:tcPr>
          <w:p w:rsidRPr="00F534EC" w:rsidR="000B51D0" w:rsidP="00775FD1" w:rsidRDefault="000B51D0" w14:paraId="51FA82FA" w14:textId="4A07DCD5">
            <w:pPr>
              <w:rPr>
                <w:rFonts w:eastAsia="Times New Roman" w:cs="Times New Roman"/>
                <w:color w:val="000000"/>
                <w:sz w:val="22"/>
              </w:rPr>
            </w:pPr>
            <w:r w:rsidRPr="00F534EC">
              <w:rPr>
                <w:rFonts w:eastAsia="Times New Roman" w:cs="Times New Roman"/>
                <w:color w:val="000000"/>
                <w:sz w:val="22"/>
                <w:szCs w:val="20"/>
              </w:rPr>
              <w:t>Institutio</w:t>
            </w:r>
            <w:r w:rsidR="003A0401">
              <w:rPr>
                <w:rFonts w:eastAsia="Times New Roman" w:cs="Times New Roman"/>
                <w:color w:val="000000"/>
                <w:sz w:val="22"/>
                <w:szCs w:val="20"/>
              </w:rPr>
              <w:t>n</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127F8AE3" w14:textId="77777777">
            <w:pPr>
              <w:jc w:val="center"/>
              <w:rPr>
                <w:rFonts w:eastAsia="Times New Roman" w:cs="Times New Roman"/>
                <w:color w:val="000000"/>
                <w:sz w:val="22"/>
              </w:rPr>
            </w:pPr>
            <w:r w:rsidRPr="009D1263">
              <w:rPr>
                <w:rFonts w:eastAsia="Times New Roman" w:cs="Times New Roman"/>
                <w:color w:val="000000"/>
                <w:sz w:val="22"/>
                <w:szCs w:val="20"/>
              </w:rPr>
              <w:t>98.00%</w:t>
            </w:r>
          </w:p>
        </w:tc>
        <w:tc>
          <w:tcPr>
            <w:tcW w:w="0" w:type="auto"/>
            <w:tcBorders>
              <w:top w:val="nil"/>
              <w:left w:val="nil"/>
              <w:bottom w:val="nil"/>
              <w:right w:val="single" w:color="auto" w:sz="8" w:space="0"/>
            </w:tcBorders>
            <w:shd w:val="clear" w:color="auto" w:fill="auto"/>
            <w:vAlign w:val="center"/>
            <w:hideMark/>
          </w:tcPr>
          <w:p w:rsidRPr="004D4C71" w:rsidR="000B51D0" w:rsidP="00775FD1" w:rsidRDefault="000B51D0" w14:paraId="41FFE6AE" w14:textId="77777777">
            <w:pPr>
              <w:jc w:val="center"/>
              <w:rPr>
                <w:rFonts w:eastAsia="Times New Roman" w:cs="Times New Roman"/>
                <w:color w:val="000000"/>
                <w:sz w:val="22"/>
              </w:rPr>
            </w:pPr>
            <w:r w:rsidRPr="009D1263">
              <w:rPr>
                <w:rFonts w:eastAsia="Times New Roman" w:cs="Times New Roman"/>
                <w:color w:val="000000"/>
                <w:sz w:val="22"/>
              </w:rPr>
              <w:t>94.60%</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11416E3E" w14:textId="77777777">
            <w:pPr>
              <w:jc w:val="center"/>
              <w:rPr>
                <w:rFonts w:eastAsia="Times New Roman" w:cs="Times New Roman"/>
                <w:color w:val="000000"/>
                <w:sz w:val="22"/>
              </w:rPr>
            </w:pPr>
            <w:r w:rsidRPr="009D1263">
              <w:rPr>
                <w:rFonts w:eastAsia="Times New Roman" w:cs="Times New Roman"/>
                <w:color w:val="000000"/>
                <w:sz w:val="22"/>
              </w:rPr>
              <w:t>96.60%</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162EE983" w14:textId="77777777">
            <w:pPr>
              <w:jc w:val="center"/>
              <w:rPr>
                <w:rFonts w:eastAsia="Times New Roman" w:cs="Times New Roman"/>
                <w:color w:val="000000"/>
                <w:sz w:val="22"/>
              </w:rPr>
            </w:pPr>
            <w:r w:rsidRPr="009D1263">
              <w:rPr>
                <w:rFonts w:eastAsia="Times New Roman" w:cs="Times New Roman"/>
                <w:color w:val="000000"/>
                <w:sz w:val="22"/>
                <w:szCs w:val="20"/>
              </w:rPr>
              <w:t>0.40%</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20C107C8" w14:textId="77777777">
            <w:pPr>
              <w:jc w:val="center"/>
              <w:rPr>
                <w:rFonts w:eastAsia="Times New Roman" w:cs="Times New Roman"/>
                <w:color w:val="000000"/>
                <w:sz w:val="22"/>
              </w:rPr>
            </w:pPr>
            <w:r w:rsidRPr="009D1263">
              <w:rPr>
                <w:rFonts w:eastAsia="Times New Roman" w:cs="Times New Roman"/>
                <w:color w:val="000000"/>
                <w:sz w:val="22"/>
              </w:rPr>
              <w:t>1%</w:t>
            </w:r>
          </w:p>
        </w:tc>
        <w:tc>
          <w:tcPr>
            <w:tcW w:w="0" w:type="auto"/>
            <w:tcBorders>
              <w:top w:val="nil"/>
              <w:left w:val="nil"/>
              <w:bottom w:val="nil"/>
              <w:right w:val="single" w:color="auto" w:sz="8" w:space="0"/>
            </w:tcBorders>
            <w:shd w:val="clear" w:color="auto" w:fill="auto"/>
            <w:noWrap/>
            <w:vAlign w:val="bottom"/>
            <w:hideMark/>
          </w:tcPr>
          <w:p w:rsidRPr="009D1263" w:rsidR="000B51D0" w:rsidP="00775FD1" w:rsidRDefault="000B51D0" w14:paraId="2854382F" w14:textId="77777777">
            <w:pPr>
              <w:jc w:val="center"/>
              <w:rPr>
                <w:rFonts w:eastAsia="Times New Roman" w:cs="Times New Roman"/>
                <w:color w:val="000000"/>
                <w:sz w:val="22"/>
              </w:rPr>
            </w:pPr>
            <w:r w:rsidRPr="009D1263">
              <w:rPr>
                <w:rFonts w:eastAsia="Times New Roman" w:cs="Times New Roman"/>
                <w:color w:val="000000"/>
                <w:sz w:val="22"/>
              </w:rPr>
              <w:t>0.70%</w:t>
            </w:r>
          </w:p>
        </w:tc>
        <w:tc>
          <w:tcPr>
            <w:tcW w:w="0" w:type="auto"/>
            <w:tcBorders>
              <w:top w:val="nil"/>
              <w:left w:val="nil"/>
              <w:bottom w:val="nil"/>
              <w:right w:val="nil"/>
            </w:tcBorders>
            <w:shd w:val="clear" w:color="auto" w:fill="auto"/>
            <w:vAlign w:val="center"/>
            <w:hideMark/>
          </w:tcPr>
          <w:p w:rsidRPr="009D1263" w:rsidR="000B51D0" w:rsidP="00775FD1" w:rsidRDefault="000B51D0" w14:paraId="41FC2337" w14:textId="77777777">
            <w:pPr>
              <w:jc w:val="center"/>
              <w:rPr>
                <w:rFonts w:eastAsia="Times New Roman" w:cs="Times New Roman"/>
                <w:color w:val="000000"/>
                <w:sz w:val="22"/>
              </w:rPr>
            </w:pPr>
            <w:r w:rsidRPr="009D1263">
              <w:rPr>
                <w:rFonts w:eastAsia="Times New Roman" w:cs="Times New Roman"/>
                <w:color w:val="000000"/>
                <w:sz w:val="22"/>
                <w:szCs w:val="20"/>
              </w:rPr>
              <w:t>1.50%</w:t>
            </w:r>
          </w:p>
        </w:tc>
        <w:tc>
          <w:tcPr>
            <w:tcW w:w="0" w:type="auto"/>
            <w:tcBorders>
              <w:top w:val="nil"/>
              <w:left w:val="single" w:color="auto" w:sz="8" w:space="0"/>
              <w:bottom w:val="nil"/>
              <w:right w:val="single" w:color="auto" w:sz="8" w:space="0"/>
            </w:tcBorders>
            <w:shd w:val="clear" w:color="auto" w:fill="auto"/>
            <w:vAlign w:val="center"/>
            <w:hideMark/>
          </w:tcPr>
          <w:p w:rsidRPr="009D1263" w:rsidR="000B51D0" w:rsidP="00775FD1" w:rsidRDefault="000B51D0" w14:paraId="00DFBB0B" w14:textId="77777777">
            <w:pPr>
              <w:jc w:val="center"/>
              <w:rPr>
                <w:rFonts w:eastAsia="Times New Roman" w:cs="Times New Roman"/>
                <w:color w:val="000000"/>
                <w:sz w:val="22"/>
              </w:rPr>
            </w:pPr>
            <w:r w:rsidRPr="009D1263">
              <w:rPr>
                <w:rFonts w:eastAsia="Times New Roman" w:cs="Times New Roman"/>
                <w:color w:val="000000"/>
                <w:sz w:val="22"/>
              </w:rPr>
              <w:t>4.40%</w:t>
            </w:r>
          </w:p>
        </w:tc>
        <w:tc>
          <w:tcPr>
            <w:tcW w:w="0" w:type="auto"/>
            <w:tcBorders>
              <w:top w:val="nil"/>
              <w:left w:val="nil"/>
              <w:bottom w:val="nil"/>
              <w:right w:val="single" w:color="auto" w:sz="8" w:space="0"/>
            </w:tcBorders>
            <w:shd w:val="clear" w:color="auto" w:fill="auto"/>
            <w:noWrap/>
            <w:vAlign w:val="bottom"/>
            <w:hideMark/>
          </w:tcPr>
          <w:p w:rsidRPr="00E82BB4" w:rsidR="000B51D0" w:rsidP="00775FD1" w:rsidRDefault="000B51D0" w14:paraId="2217421B" w14:textId="77777777">
            <w:pPr>
              <w:jc w:val="center"/>
              <w:rPr>
                <w:rFonts w:eastAsia="Times New Roman" w:cs="Times New Roman"/>
                <w:color w:val="000000"/>
                <w:sz w:val="22"/>
              </w:rPr>
            </w:pPr>
            <w:r w:rsidRPr="00E82BB4">
              <w:rPr>
                <w:rFonts w:eastAsia="Times New Roman" w:cs="Times New Roman"/>
                <w:color w:val="000000"/>
                <w:sz w:val="22"/>
              </w:rPr>
              <w:t>2.70%</w:t>
            </w:r>
          </w:p>
        </w:tc>
      </w:tr>
      <w:tr w:rsidRPr="00F534EC" w:rsidR="000B51D0" w:rsidTr="00775FD1" w14:paraId="2AAA6E92" w14:textId="77777777">
        <w:trPr>
          <w:cantSplit/>
          <w:trHeight w:val="315"/>
        </w:trPr>
        <w:tc>
          <w:tcPr>
            <w:tcW w:w="0" w:type="auto"/>
            <w:tcBorders>
              <w:top w:val="nil"/>
              <w:left w:val="nil"/>
              <w:bottom w:val="single" w:color="auto" w:sz="8" w:space="0"/>
              <w:right w:val="single" w:color="auto" w:sz="8" w:space="0"/>
            </w:tcBorders>
            <w:shd w:val="clear" w:color="auto" w:fill="auto"/>
            <w:vAlign w:val="center"/>
            <w:hideMark/>
          </w:tcPr>
          <w:p w:rsidRPr="00F534EC" w:rsidR="000B51D0" w:rsidP="00775FD1" w:rsidRDefault="000B51D0" w14:paraId="1C83ABAD" w14:textId="77777777">
            <w:pPr>
              <w:rPr>
                <w:rFonts w:eastAsia="Times New Roman" w:cs="Times New Roman"/>
                <w:color w:val="000000"/>
                <w:sz w:val="22"/>
              </w:rPr>
            </w:pPr>
            <w:r w:rsidRPr="00F534EC">
              <w:rPr>
                <w:rFonts w:eastAsia="Times New Roman" w:cs="Times New Roman"/>
                <w:color w:val="000000"/>
                <w:sz w:val="22"/>
                <w:szCs w:val="20"/>
              </w:rPr>
              <w:t> </w:t>
            </w:r>
          </w:p>
        </w:tc>
        <w:tc>
          <w:tcPr>
            <w:tcW w:w="0" w:type="auto"/>
            <w:tcBorders>
              <w:top w:val="nil"/>
              <w:left w:val="nil"/>
              <w:bottom w:val="single" w:color="auto" w:sz="8" w:space="0"/>
              <w:right w:val="single" w:color="auto" w:sz="8" w:space="0"/>
            </w:tcBorders>
            <w:shd w:val="clear" w:color="auto" w:fill="auto"/>
            <w:vAlign w:val="center"/>
            <w:hideMark/>
          </w:tcPr>
          <w:p w:rsidRPr="009D1263" w:rsidR="000B51D0" w:rsidP="00775FD1" w:rsidRDefault="000B51D0" w14:paraId="025DC8EB" w14:textId="77777777">
            <w:pPr>
              <w:jc w:val="center"/>
              <w:rPr>
                <w:rFonts w:eastAsia="Times New Roman" w:cs="Times New Roman"/>
                <w:i/>
                <w:iCs/>
                <w:color w:val="000000"/>
                <w:sz w:val="22"/>
              </w:rPr>
            </w:pPr>
            <w:r w:rsidRPr="009D1263">
              <w:rPr>
                <w:rFonts w:eastAsia="Times New Roman" w:cs="Times New Roman"/>
                <w:i/>
                <w:iCs/>
                <w:color w:val="000000"/>
                <w:sz w:val="22"/>
                <w:szCs w:val="20"/>
              </w:rPr>
              <w:t>n=700</w:t>
            </w:r>
          </w:p>
        </w:tc>
        <w:tc>
          <w:tcPr>
            <w:tcW w:w="0" w:type="auto"/>
            <w:tcBorders>
              <w:top w:val="nil"/>
              <w:left w:val="nil"/>
              <w:bottom w:val="single" w:color="auto" w:sz="8" w:space="0"/>
              <w:right w:val="single" w:color="auto" w:sz="8" w:space="0"/>
            </w:tcBorders>
            <w:shd w:val="clear" w:color="auto" w:fill="auto"/>
            <w:vAlign w:val="center"/>
            <w:hideMark/>
          </w:tcPr>
          <w:p w:rsidRPr="004D4C71" w:rsidR="000B51D0" w:rsidP="00775FD1" w:rsidRDefault="000B51D0" w14:paraId="62F19445" w14:textId="77777777">
            <w:pPr>
              <w:jc w:val="center"/>
              <w:rPr>
                <w:rFonts w:eastAsia="Times New Roman" w:cs="Times New Roman"/>
                <w:i/>
                <w:iCs/>
                <w:color w:val="000000"/>
                <w:sz w:val="22"/>
              </w:rPr>
            </w:pPr>
            <w:r w:rsidRPr="009D1263">
              <w:rPr>
                <w:rFonts w:eastAsia="Times New Roman" w:cs="Times New Roman"/>
                <w:i/>
                <w:iCs/>
                <w:color w:val="000000"/>
                <w:sz w:val="22"/>
              </w:rPr>
              <w:t>n=665</w:t>
            </w:r>
          </w:p>
        </w:tc>
        <w:tc>
          <w:tcPr>
            <w:tcW w:w="0" w:type="auto"/>
            <w:tcBorders>
              <w:top w:val="nil"/>
              <w:left w:val="nil"/>
              <w:bottom w:val="single" w:color="auto" w:sz="8" w:space="0"/>
              <w:right w:val="single" w:color="auto" w:sz="8" w:space="0"/>
            </w:tcBorders>
            <w:shd w:val="clear" w:color="auto" w:fill="auto"/>
            <w:vAlign w:val="center"/>
            <w:hideMark/>
          </w:tcPr>
          <w:p w:rsidRPr="009D1263" w:rsidR="000B51D0" w:rsidP="00775FD1" w:rsidRDefault="000B51D0" w14:paraId="68D1FE0C" w14:textId="77777777">
            <w:pPr>
              <w:jc w:val="center"/>
              <w:rPr>
                <w:rFonts w:eastAsia="Times New Roman" w:cs="Times New Roman"/>
                <w:i/>
                <w:iCs/>
                <w:color w:val="000000"/>
                <w:sz w:val="22"/>
              </w:rPr>
            </w:pPr>
            <w:r w:rsidRPr="009D1263">
              <w:rPr>
                <w:rFonts w:eastAsia="Times New Roman" w:cs="Times New Roman"/>
                <w:i/>
                <w:iCs/>
                <w:color w:val="000000"/>
                <w:sz w:val="22"/>
              </w:rPr>
              <w:t>n=691</w:t>
            </w:r>
          </w:p>
        </w:tc>
        <w:tc>
          <w:tcPr>
            <w:tcW w:w="0" w:type="auto"/>
            <w:tcBorders>
              <w:top w:val="nil"/>
              <w:left w:val="nil"/>
              <w:bottom w:val="single" w:color="auto" w:sz="8" w:space="0"/>
              <w:right w:val="single" w:color="auto" w:sz="8" w:space="0"/>
            </w:tcBorders>
            <w:shd w:val="clear" w:color="auto" w:fill="auto"/>
            <w:vAlign w:val="center"/>
            <w:hideMark/>
          </w:tcPr>
          <w:p w:rsidRPr="009D1263" w:rsidR="000B51D0" w:rsidP="00775FD1" w:rsidRDefault="000B51D0" w14:paraId="5B0C012D" w14:textId="77777777">
            <w:pPr>
              <w:jc w:val="center"/>
              <w:rPr>
                <w:rFonts w:eastAsia="Times New Roman" w:cs="Times New Roman"/>
                <w:i/>
                <w:iCs/>
                <w:color w:val="000000"/>
                <w:sz w:val="22"/>
              </w:rPr>
            </w:pPr>
            <w:r w:rsidRPr="009D1263">
              <w:rPr>
                <w:rFonts w:eastAsia="Times New Roman" w:cs="Times New Roman"/>
                <w:i/>
                <w:iCs/>
                <w:color w:val="000000"/>
                <w:sz w:val="22"/>
                <w:szCs w:val="20"/>
              </w:rPr>
              <w:t>n=3</w:t>
            </w:r>
          </w:p>
        </w:tc>
        <w:tc>
          <w:tcPr>
            <w:tcW w:w="0" w:type="auto"/>
            <w:tcBorders>
              <w:top w:val="nil"/>
              <w:left w:val="nil"/>
              <w:bottom w:val="single" w:color="auto" w:sz="8" w:space="0"/>
              <w:right w:val="single" w:color="auto" w:sz="8" w:space="0"/>
            </w:tcBorders>
            <w:shd w:val="clear" w:color="auto" w:fill="auto"/>
            <w:vAlign w:val="center"/>
            <w:hideMark/>
          </w:tcPr>
          <w:p w:rsidRPr="009D1263" w:rsidR="000B51D0" w:rsidP="00775FD1" w:rsidRDefault="000B51D0" w14:paraId="76960DFC" w14:textId="77777777">
            <w:pPr>
              <w:jc w:val="center"/>
              <w:rPr>
                <w:rFonts w:eastAsia="Times New Roman" w:cs="Times New Roman"/>
                <w:i/>
                <w:iCs/>
                <w:color w:val="000000"/>
                <w:sz w:val="22"/>
              </w:rPr>
            </w:pPr>
            <w:r w:rsidRPr="009D1263">
              <w:rPr>
                <w:rFonts w:eastAsia="Times New Roman" w:cs="Times New Roman"/>
                <w:i/>
                <w:iCs/>
                <w:color w:val="000000"/>
                <w:sz w:val="22"/>
              </w:rPr>
              <w:t>n=7</w:t>
            </w:r>
          </w:p>
        </w:tc>
        <w:tc>
          <w:tcPr>
            <w:tcW w:w="0" w:type="auto"/>
            <w:tcBorders>
              <w:top w:val="nil"/>
              <w:left w:val="nil"/>
              <w:bottom w:val="single" w:color="auto" w:sz="8" w:space="0"/>
              <w:right w:val="single" w:color="auto" w:sz="8" w:space="0"/>
            </w:tcBorders>
            <w:shd w:val="clear" w:color="auto" w:fill="auto"/>
            <w:noWrap/>
            <w:vAlign w:val="bottom"/>
            <w:hideMark/>
          </w:tcPr>
          <w:p w:rsidRPr="009D1263" w:rsidR="000B51D0" w:rsidP="00775FD1" w:rsidRDefault="000B51D0" w14:paraId="75A3794D" w14:textId="77777777">
            <w:pPr>
              <w:jc w:val="center"/>
              <w:rPr>
                <w:rFonts w:eastAsia="Times New Roman" w:cs="Times New Roman"/>
                <w:i/>
                <w:iCs/>
                <w:color w:val="000000"/>
                <w:sz w:val="22"/>
              </w:rPr>
            </w:pPr>
            <w:r w:rsidRPr="009D1263">
              <w:rPr>
                <w:rFonts w:eastAsia="Times New Roman" w:cs="Times New Roman"/>
                <w:i/>
                <w:iCs/>
                <w:color w:val="000000"/>
                <w:sz w:val="22"/>
              </w:rPr>
              <w:t>n=5</w:t>
            </w:r>
          </w:p>
        </w:tc>
        <w:tc>
          <w:tcPr>
            <w:tcW w:w="0" w:type="auto"/>
            <w:tcBorders>
              <w:top w:val="nil"/>
              <w:left w:val="nil"/>
              <w:bottom w:val="single" w:color="auto" w:sz="8" w:space="0"/>
              <w:right w:val="nil"/>
            </w:tcBorders>
            <w:shd w:val="clear" w:color="auto" w:fill="auto"/>
            <w:vAlign w:val="center"/>
            <w:hideMark/>
          </w:tcPr>
          <w:p w:rsidRPr="009D1263" w:rsidR="000B51D0" w:rsidP="00775FD1" w:rsidRDefault="000B51D0" w14:paraId="1B716973" w14:textId="77777777">
            <w:pPr>
              <w:jc w:val="center"/>
              <w:rPr>
                <w:rFonts w:eastAsia="Times New Roman" w:cs="Times New Roman"/>
                <w:i/>
                <w:iCs/>
                <w:color w:val="000000"/>
                <w:sz w:val="22"/>
              </w:rPr>
            </w:pPr>
            <w:r w:rsidRPr="009D1263">
              <w:rPr>
                <w:rFonts w:eastAsia="Times New Roman" w:cs="Times New Roman"/>
                <w:i/>
                <w:iCs/>
                <w:color w:val="000000"/>
                <w:sz w:val="22"/>
                <w:szCs w:val="20"/>
              </w:rPr>
              <w:t>n=11</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9D1263" w:rsidR="000B51D0" w:rsidP="00775FD1" w:rsidRDefault="000B51D0" w14:paraId="68E71899" w14:textId="77777777">
            <w:pPr>
              <w:jc w:val="center"/>
              <w:rPr>
                <w:rFonts w:eastAsia="Times New Roman" w:cs="Times New Roman"/>
                <w:i/>
                <w:iCs/>
                <w:color w:val="000000"/>
                <w:sz w:val="22"/>
              </w:rPr>
            </w:pPr>
            <w:r w:rsidRPr="009D1263">
              <w:rPr>
                <w:rFonts w:eastAsia="Times New Roman" w:cs="Times New Roman"/>
                <w:i/>
                <w:iCs/>
                <w:color w:val="000000"/>
                <w:sz w:val="22"/>
              </w:rPr>
              <w:t>n=31</w:t>
            </w:r>
          </w:p>
        </w:tc>
        <w:tc>
          <w:tcPr>
            <w:tcW w:w="0" w:type="auto"/>
            <w:tcBorders>
              <w:top w:val="nil"/>
              <w:left w:val="nil"/>
              <w:bottom w:val="single" w:color="auto" w:sz="8" w:space="0"/>
              <w:right w:val="single" w:color="auto" w:sz="8" w:space="0"/>
            </w:tcBorders>
            <w:shd w:val="clear" w:color="auto" w:fill="auto"/>
            <w:noWrap/>
            <w:vAlign w:val="bottom"/>
            <w:hideMark/>
          </w:tcPr>
          <w:p w:rsidRPr="00E82BB4" w:rsidR="000B51D0" w:rsidP="00775FD1" w:rsidRDefault="000B51D0" w14:paraId="04A78BCA" w14:textId="77777777">
            <w:pPr>
              <w:jc w:val="center"/>
              <w:rPr>
                <w:rFonts w:eastAsia="Times New Roman" w:cs="Times New Roman"/>
                <w:i/>
                <w:iCs/>
                <w:color w:val="000000"/>
                <w:sz w:val="22"/>
              </w:rPr>
            </w:pPr>
            <w:r w:rsidRPr="00E82BB4">
              <w:rPr>
                <w:rFonts w:eastAsia="Times New Roman" w:cs="Times New Roman"/>
                <w:i/>
                <w:iCs/>
                <w:color w:val="000000"/>
                <w:sz w:val="22"/>
              </w:rPr>
              <w:t>n=19</w:t>
            </w:r>
          </w:p>
        </w:tc>
      </w:tr>
      <w:tr w:rsidRPr="00F534EC" w:rsidR="000B51D0" w:rsidTr="00775FD1" w14:paraId="2D2B56CF" w14:textId="77777777">
        <w:trPr>
          <w:cantSplit/>
          <w:trHeight w:val="300"/>
        </w:trPr>
        <w:tc>
          <w:tcPr>
            <w:tcW w:w="0" w:type="auto"/>
            <w:tcBorders>
              <w:top w:val="nil"/>
              <w:left w:val="nil"/>
              <w:bottom w:val="nil"/>
              <w:right w:val="single" w:color="auto" w:sz="8" w:space="0"/>
            </w:tcBorders>
            <w:shd w:val="clear" w:color="auto" w:fill="auto"/>
            <w:vAlign w:val="center"/>
            <w:hideMark/>
          </w:tcPr>
          <w:p w:rsidRPr="00F534EC" w:rsidR="000B51D0" w:rsidP="00775FD1" w:rsidRDefault="000B51D0" w14:paraId="676094A1" w14:textId="77777777">
            <w:pPr>
              <w:rPr>
                <w:rFonts w:eastAsia="Times New Roman" w:cs="Times New Roman"/>
                <w:color w:val="000000"/>
                <w:sz w:val="22"/>
              </w:rPr>
            </w:pPr>
            <w:r w:rsidRPr="00F534EC">
              <w:rPr>
                <w:rFonts w:eastAsia="Times New Roman" w:cs="Times New Roman"/>
                <w:color w:val="000000"/>
                <w:sz w:val="22"/>
                <w:szCs w:val="20"/>
              </w:rPr>
              <w:t>School</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7F32CA2A" w14:textId="77777777">
            <w:pPr>
              <w:jc w:val="center"/>
              <w:rPr>
                <w:rFonts w:eastAsia="Times New Roman" w:cs="Times New Roman"/>
                <w:color w:val="000000"/>
                <w:sz w:val="22"/>
              </w:rPr>
            </w:pPr>
            <w:r w:rsidRPr="009D1263">
              <w:rPr>
                <w:rFonts w:eastAsia="Times New Roman" w:cs="Times New Roman"/>
                <w:color w:val="000000"/>
                <w:sz w:val="22"/>
                <w:szCs w:val="20"/>
              </w:rPr>
              <w:t>98.30%</w:t>
            </w:r>
          </w:p>
        </w:tc>
        <w:tc>
          <w:tcPr>
            <w:tcW w:w="0" w:type="auto"/>
            <w:tcBorders>
              <w:top w:val="nil"/>
              <w:left w:val="nil"/>
              <w:bottom w:val="nil"/>
              <w:right w:val="single" w:color="auto" w:sz="8" w:space="0"/>
            </w:tcBorders>
            <w:shd w:val="clear" w:color="auto" w:fill="auto"/>
            <w:vAlign w:val="center"/>
            <w:hideMark/>
          </w:tcPr>
          <w:p w:rsidRPr="004D4C71" w:rsidR="000B51D0" w:rsidP="00775FD1" w:rsidRDefault="000B51D0" w14:paraId="5A8299C1" w14:textId="77777777">
            <w:pPr>
              <w:jc w:val="center"/>
              <w:rPr>
                <w:rFonts w:eastAsia="Times New Roman" w:cs="Times New Roman"/>
                <w:color w:val="000000"/>
                <w:sz w:val="22"/>
              </w:rPr>
            </w:pPr>
            <w:r w:rsidRPr="009D1263">
              <w:rPr>
                <w:rFonts w:eastAsia="Times New Roman" w:cs="Times New Roman"/>
                <w:color w:val="000000"/>
                <w:sz w:val="22"/>
              </w:rPr>
              <w:t>94.50%</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5F515B8D" w14:textId="77777777">
            <w:pPr>
              <w:jc w:val="center"/>
              <w:rPr>
                <w:rFonts w:eastAsia="Times New Roman" w:cs="Times New Roman"/>
                <w:color w:val="000000"/>
                <w:sz w:val="22"/>
              </w:rPr>
            </w:pPr>
            <w:r w:rsidRPr="009D1263">
              <w:rPr>
                <w:rFonts w:eastAsia="Times New Roman" w:cs="Times New Roman"/>
                <w:color w:val="000000"/>
                <w:sz w:val="22"/>
              </w:rPr>
              <w:t>96.50%</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4F321347" w14:textId="77777777">
            <w:pPr>
              <w:jc w:val="center"/>
              <w:rPr>
                <w:rFonts w:eastAsia="Times New Roman" w:cs="Times New Roman"/>
                <w:color w:val="000000"/>
                <w:sz w:val="22"/>
              </w:rPr>
            </w:pPr>
            <w:r w:rsidRPr="009D1263">
              <w:rPr>
                <w:rFonts w:eastAsia="Times New Roman" w:cs="Times New Roman"/>
                <w:color w:val="000000"/>
                <w:sz w:val="22"/>
                <w:szCs w:val="20"/>
              </w:rPr>
              <w:t>0.40%</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4F1A6994" w14:textId="77777777">
            <w:pPr>
              <w:jc w:val="center"/>
              <w:rPr>
                <w:rFonts w:eastAsia="Times New Roman" w:cs="Times New Roman"/>
                <w:color w:val="000000"/>
                <w:sz w:val="22"/>
              </w:rPr>
            </w:pPr>
            <w:r w:rsidRPr="009D1263">
              <w:rPr>
                <w:rFonts w:eastAsia="Times New Roman" w:cs="Times New Roman"/>
                <w:color w:val="000000"/>
                <w:sz w:val="22"/>
              </w:rPr>
              <w:t>1.10%</w:t>
            </w:r>
          </w:p>
        </w:tc>
        <w:tc>
          <w:tcPr>
            <w:tcW w:w="0" w:type="auto"/>
            <w:tcBorders>
              <w:top w:val="nil"/>
              <w:left w:val="nil"/>
              <w:bottom w:val="nil"/>
              <w:right w:val="single" w:color="auto" w:sz="8" w:space="0"/>
            </w:tcBorders>
            <w:shd w:val="clear" w:color="auto" w:fill="auto"/>
            <w:noWrap/>
            <w:vAlign w:val="bottom"/>
            <w:hideMark/>
          </w:tcPr>
          <w:p w:rsidRPr="00E82BB4" w:rsidR="000B51D0" w:rsidP="00775FD1" w:rsidRDefault="000B51D0" w14:paraId="435123FD" w14:textId="77777777">
            <w:pPr>
              <w:jc w:val="center"/>
              <w:rPr>
                <w:rFonts w:eastAsia="Times New Roman" w:cs="Times New Roman"/>
                <w:color w:val="000000"/>
                <w:sz w:val="22"/>
              </w:rPr>
            </w:pPr>
            <w:r w:rsidRPr="00E82BB4">
              <w:rPr>
                <w:rFonts w:eastAsia="Times New Roman" w:cs="Times New Roman"/>
                <w:color w:val="000000"/>
                <w:sz w:val="22"/>
              </w:rPr>
              <w:t>1.00%</w:t>
            </w:r>
          </w:p>
        </w:tc>
        <w:tc>
          <w:tcPr>
            <w:tcW w:w="0" w:type="auto"/>
            <w:tcBorders>
              <w:top w:val="nil"/>
              <w:left w:val="nil"/>
              <w:bottom w:val="nil"/>
              <w:right w:val="nil"/>
            </w:tcBorders>
            <w:shd w:val="clear" w:color="auto" w:fill="auto"/>
            <w:vAlign w:val="center"/>
            <w:hideMark/>
          </w:tcPr>
          <w:p w:rsidRPr="009D1263" w:rsidR="000B51D0" w:rsidP="00775FD1" w:rsidRDefault="000B51D0" w14:paraId="1ADE76DB" w14:textId="77777777">
            <w:pPr>
              <w:jc w:val="center"/>
              <w:rPr>
                <w:rFonts w:eastAsia="Times New Roman" w:cs="Times New Roman"/>
                <w:color w:val="000000"/>
                <w:sz w:val="22"/>
              </w:rPr>
            </w:pPr>
            <w:r w:rsidRPr="009D1263">
              <w:rPr>
                <w:rFonts w:eastAsia="Times New Roman" w:cs="Times New Roman"/>
                <w:color w:val="000000"/>
                <w:sz w:val="22"/>
                <w:szCs w:val="20"/>
              </w:rPr>
              <w:t>1.30%</w:t>
            </w:r>
          </w:p>
        </w:tc>
        <w:tc>
          <w:tcPr>
            <w:tcW w:w="0" w:type="auto"/>
            <w:tcBorders>
              <w:top w:val="nil"/>
              <w:left w:val="single" w:color="auto" w:sz="8" w:space="0"/>
              <w:bottom w:val="nil"/>
              <w:right w:val="single" w:color="auto" w:sz="8" w:space="0"/>
            </w:tcBorders>
            <w:shd w:val="clear" w:color="auto" w:fill="auto"/>
            <w:vAlign w:val="center"/>
            <w:hideMark/>
          </w:tcPr>
          <w:p w:rsidRPr="009D1263" w:rsidR="000B51D0" w:rsidP="00775FD1" w:rsidRDefault="000B51D0" w14:paraId="63827025" w14:textId="77777777">
            <w:pPr>
              <w:jc w:val="center"/>
              <w:rPr>
                <w:rFonts w:eastAsia="Times New Roman" w:cs="Times New Roman"/>
                <w:color w:val="000000"/>
                <w:sz w:val="22"/>
              </w:rPr>
            </w:pPr>
            <w:r w:rsidRPr="004D4C71">
              <w:rPr>
                <w:rFonts w:eastAsia="Times New Roman" w:cs="Times New Roman"/>
                <w:color w:val="000000"/>
                <w:sz w:val="22"/>
              </w:rPr>
              <w:t>4.40%</w:t>
            </w:r>
          </w:p>
        </w:tc>
        <w:tc>
          <w:tcPr>
            <w:tcW w:w="0" w:type="auto"/>
            <w:tcBorders>
              <w:top w:val="nil"/>
              <w:left w:val="nil"/>
              <w:bottom w:val="nil"/>
              <w:right w:val="single" w:color="auto" w:sz="8" w:space="0"/>
            </w:tcBorders>
            <w:shd w:val="clear" w:color="auto" w:fill="auto"/>
            <w:noWrap/>
            <w:vAlign w:val="bottom"/>
            <w:hideMark/>
          </w:tcPr>
          <w:p w:rsidRPr="00E82BB4" w:rsidR="000B51D0" w:rsidP="00775FD1" w:rsidRDefault="000B51D0" w14:paraId="1E152B50" w14:textId="77777777">
            <w:pPr>
              <w:jc w:val="center"/>
              <w:rPr>
                <w:rFonts w:eastAsia="Times New Roman" w:cs="Times New Roman"/>
                <w:color w:val="000000"/>
                <w:sz w:val="22"/>
              </w:rPr>
            </w:pPr>
            <w:r w:rsidRPr="00E82BB4">
              <w:rPr>
                <w:rFonts w:eastAsia="Times New Roman" w:cs="Times New Roman"/>
                <w:color w:val="000000"/>
                <w:sz w:val="22"/>
              </w:rPr>
              <w:t>2.60%</w:t>
            </w:r>
          </w:p>
        </w:tc>
      </w:tr>
      <w:tr w:rsidRPr="00F534EC" w:rsidR="000B51D0" w:rsidTr="00775FD1" w14:paraId="334DCBAB" w14:textId="77777777">
        <w:trPr>
          <w:cantSplit/>
          <w:trHeight w:val="315"/>
        </w:trPr>
        <w:tc>
          <w:tcPr>
            <w:tcW w:w="0" w:type="auto"/>
            <w:tcBorders>
              <w:top w:val="nil"/>
              <w:left w:val="nil"/>
              <w:bottom w:val="single" w:color="auto" w:sz="8" w:space="0"/>
              <w:right w:val="single" w:color="auto" w:sz="8" w:space="0"/>
            </w:tcBorders>
            <w:shd w:val="clear" w:color="auto" w:fill="auto"/>
            <w:vAlign w:val="center"/>
            <w:hideMark/>
          </w:tcPr>
          <w:p w:rsidRPr="00F534EC" w:rsidR="000B51D0" w:rsidP="00775FD1" w:rsidRDefault="000B51D0" w14:paraId="72AE0642" w14:textId="77777777">
            <w:pPr>
              <w:rPr>
                <w:rFonts w:eastAsia="Times New Roman" w:cs="Times New Roman"/>
                <w:i/>
                <w:iCs/>
                <w:color w:val="000000"/>
                <w:sz w:val="22"/>
              </w:rPr>
            </w:pPr>
            <w:r w:rsidRPr="00F534EC">
              <w:rPr>
                <w:rFonts w:eastAsia="Times New Roman" w:cs="Times New Roman"/>
                <w:i/>
                <w:iCs/>
                <w:color w:val="000000"/>
                <w:sz w:val="22"/>
                <w:szCs w:val="20"/>
              </w:rPr>
              <w:t> </w:t>
            </w:r>
          </w:p>
        </w:tc>
        <w:tc>
          <w:tcPr>
            <w:tcW w:w="0" w:type="auto"/>
            <w:tcBorders>
              <w:top w:val="nil"/>
              <w:left w:val="nil"/>
              <w:bottom w:val="single" w:color="auto" w:sz="8" w:space="0"/>
              <w:right w:val="single" w:color="auto" w:sz="8" w:space="0"/>
            </w:tcBorders>
            <w:shd w:val="clear" w:color="auto" w:fill="auto"/>
            <w:vAlign w:val="center"/>
            <w:hideMark/>
          </w:tcPr>
          <w:p w:rsidRPr="009D1263" w:rsidR="000B51D0" w:rsidP="00775FD1" w:rsidRDefault="000B51D0" w14:paraId="1933019F" w14:textId="77777777">
            <w:pPr>
              <w:jc w:val="center"/>
              <w:rPr>
                <w:rFonts w:eastAsia="Times New Roman" w:cs="Times New Roman"/>
                <w:i/>
                <w:iCs/>
                <w:color w:val="000000"/>
                <w:sz w:val="22"/>
              </w:rPr>
            </w:pPr>
            <w:r w:rsidRPr="009D1263">
              <w:rPr>
                <w:rFonts w:eastAsia="Times New Roman" w:cs="Times New Roman"/>
                <w:i/>
                <w:iCs/>
                <w:color w:val="000000"/>
                <w:sz w:val="22"/>
                <w:szCs w:val="20"/>
              </w:rPr>
              <w:t>n=814</w:t>
            </w:r>
          </w:p>
        </w:tc>
        <w:tc>
          <w:tcPr>
            <w:tcW w:w="0" w:type="auto"/>
            <w:tcBorders>
              <w:top w:val="nil"/>
              <w:left w:val="nil"/>
              <w:bottom w:val="single" w:color="auto" w:sz="8" w:space="0"/>
              <w:right w:val="single" w:color="auto" w:sz="8" w:space="0"/>
            </w:tcBorders>
            <w:shd w:val="clear" w:color="auto" w:fill="auto"/>
            <w:vAlign w:val="center"/>
            <w:hideMark/>
          </w:tcPr>
          <w:p w:rsidRPr="004D4C71" w:rsidR="000B51D0" w:rsidP="00775FD1" w:rsidRDefault="000B51D0" w14:paraId="54D1FD1D" w14:textId="77777777">
            <w:pPr>
              <w:jc w:val="center"/>
              <w:rPr>
                <w:rFonts w:eastAsia="Times New Roman" w:cs="Times New Roman"/>
                <w:i/>
                <w:iCs/>
                <w:color w:val="000000"/>
                <w:sz w:val="22"/>
              </w:rPr>
            </w:pPr>
            <w:r w:rsidRPr="009D1263">
              <w:rPr>
                <w:rFonts w:eastAsia="Times New Roman" w:cs="Times New Roman"/>
                <w:i/>
                <w:iCs/>
                <w:color w:val="000000"/>
                <w:sz w:val="22"/>
              </w:rPr>
              <w:t>n=769</w:t>
            </w:r>
          </w:p>
        </w:tc>
        <w:tc>
          <w:tcPr>
            <w:tcW w:w="0" w:type="auto"/>
            <w:tcBorders>
              <w:top w:val="nil"/>
              <w:left w:val="nil"/>
              <w:bottom w:val="single" w:color="auto" w:sz="8" w:space="0"/>
              <w:right w:val="single" w:color="auto" w:sz="8" w:space="0"/>
            </w:tcBorders>
            <w:shd w:val="clear" w:color="auto" w:fill="auto"/>
            <w:vAlign w:val="center"/>
            <w:hideMark/>
          </w:tcPr>
          <w:p w:rsidRPr="009D1263" w:rsidR="000B51D0" w:rsidP="00775FD1" w:rsidRDefault="000B51D0" w14:paraId="16E81EE6" w14:textId="77777777">
            <w:pPr>
              <w:jc w:val="center"/>
              <w:rPr>
                <w:rFonts w:eastAsia="Times New Roman" w:cs="Times New Roman"/>
                <w:i/>
                <w:iCs/>
                <w:color w:val="000000"/>
                <w:sz w:val="22"/>
              </w:rPr>
            </w:pPr>
            <w:r w:rsidRPr="009D1263">
              <w:rPr>
                <w:rFonts w:eastAsia="Times New Roman" w:cs="Times New Roman"/>
                <w:i/>
                <w:iCs/>
                <w:color w:val="000000"/>
                <w:sz w:val="22"/>
              </w:rPr>
              <w:t>n=788</w:t>
            </w:r>
          </w:p>
        </w:tc>
        <w:tc>
          <w:tcPr>
            <w:tcW w:w="0" w:type="auto"/>
            <w:tcBorders>
              <w:top w:val="nil"/>
              <w:left w:val="nil"/>
              <w:bottom w:val="single" w:color="auto" w:sz="8" w:space="0"/>
              <w:right w:val="single" w:color="auto" w:sz="8" w:space="0"/>
            </w:tcBorders>
            <w:shd w:val="clear" w:color="auto" w:fill="auto"/>
            <w:vAlign w:val="center"/>
            <w:hideMark/>
          </w:tcPr>
          <w:p w:rsidRPr="009D1263" w:rsidR="000B51D0" w:rsidP="00775FD1" w:rsidRDefault="000B51D0" w14:paraId="61F61D77" w14:textId="77777777">
            <w:pPr>
              <w:jc w:val="center"/>
              <w:rPr>
                <w:rFonts w:eastAsia="Times New Roman" w:cs="Times New Roman"/>
                <w:i/>
                <w:iCs/>
                <w:color w:val="000000"/>
                <w:sz w:val="22"/>
              </w:rPr>
            </w:pPr>
            <w:r w:rsidRPr="009D1263">
              <w:rPr>
                <w:rFonts w:eastAsia="Times New Roman" w:cs="Times New Roman"/>
                <w:i/>
                <w:iCs/>
                <w:color w:val="000000"/>
                <w:sz w:val="22"/>
                <w:szCs w:val="20"/>
              </w:rPr>
              <w:t>n=3</w:t>
            </w:r>
          </w:p>
        </w:tc>
        <w:tc>
          <w:tcPr>
            <w:tcW w:w="0" w:type="auto"/>
            <w:tcBorders>
              <w:top w:val="nil"/>
              <w:left w:val="nil"/>
              <w:bottom w:val="single" w:color="auto" w:sz="8" w:space="0"/>
              <w:right w:val="single" w:color="auto" w:sz="8" w:space="0"/>
            </w:tcBorders>
            <w:shd w:val="clear" w:color="auto" w:fill="auto"/>
            <w:vAlign w:val="center"/>
            <w:hideMark/>
          </w:tcPr>
          <w:p w:rsidRPr="009D1263" w:rsidR="000B51D0" w:rsidP="00775FD1" w:rsidRDefault="000B51D0" w14:paraId="39D55C1C" w14:textId="77777777">
            <w:pPr>
              <w:jc w:val="center"/>
              <w:rPr>
                <w:rFonts w:eastAsia="Times New Roman" w:cs="Times New Roman"/>
                <w:i/>
                <w:iCs/>
                <w:color w:val="000000"/>
                <w:sz w:val="22"/>
              </w:rPr>
            </w:pPr>
            <w:r w:rsidRPr="009D1263">
              <w:rPr>
                <w:rFonts w:eastAsia="Times New Roman" w:cs="Times New Roman"/>
                <w:i/>
                <w:iCs/>
                <w:color w:val="000000"/>
                <w:sz w:val="22"/>
              </w:rPr>
              <w:t>n=9</w:t>
            </w:r>
          </w:p>
        </w:tc>
        <w:tc>
          <w:tcPr>
            <w:tcW w:w="0" w:type="auto"/>
            <w:tcBorders>
              <w:top w:val="nil"/>
              <w:left w:val="nil"/>
              <w:bottom w:val="single" w:color="auto" w:sz="8" w:space="0"/>
              <w:right w:val="single" w:color="auto" w:sz="8" w:space="0"/>
            </w:tcBorders>
            <w:shd w:val="clear" w:color="auto" w:fill="auto"/>
            <w:noWrap/>
            <w:vAlign w:val="bottom"/>
            <w:hideMark/>
          </w:tcPr>
          <w:p w:rsidRPr="009D1263" w:rsidR="000B51D0" w:rsidP="00775FD1" w:rsidRDefault="000B51D0" w14:paraId="493B7E01" w14:textId="77777777">
            <w:pPr>
              <w:jc w:val="center"/>
              <w:rPr>
                <w:rFonts w:eastAsia="Times New Roman" w:cs="Times New Roman"/>
                <w:i/>
                <w:iCs/>
                <w:color w:val="000000"/>
                <w:sz w:val="22"/>
              </w:rPr>
            </w:pPr>
            <w:r w:rsidRPr="009D1263">
              <w:rPr>
                <w:rFonts w:eastAsia="Times New Roman" w:cs="Times New Roman"/>
                <w:i/>
                <w:iCs/>
                <w:color w:val="000000"/>
                <w:sz w:val="22"/>
              </w:rPr>
              <w:t>n=8</w:t>
            </w:r>
          </w:p>
        </w:tc>
        <w:tc>
          <w:tcPr>
            <w:tcW w:w="0" w:type="auto"/>
            <w:tcBorders>
              <w:top w:val="nil"/>
              <w:left w:val="nil"/>
              <w:bottom w:val="single" w:color="auto" w:sz="8" w:space="0"/>
              <w:right w:val="nil"/>
            </w:tcBorders>
            <w:shd w:val="clear" w:color="auto" w:fill="auto"/>
            <w:vAlign w:val="center"/>
            <w:hideMark/>
          </w:tcPr>
          <w:p w:rsidRPr="009D1263" w:rsidR="000B51D0" w:rsidP="00775FD1" w:rsidRDefault="000B51D0" w14:paraId="0A5DD26B" w14:textId="77777777">
            <w:pPr>
              <w:jc w:val="center"/>
              <w:rPr>
                <w:rFonts w:eastAsia="Times New Roman" w:cs="Times New Roman"/>
                <w:i/>
                <w:iCs/>
                <w:color w:val="000000"/>
                <w:sz w:val="22"/>
              </w:rPr>
            </w:pPr>
            <w:r w:rsidRPr="009D1263">
              <w:rPr>
                <w:rFonts w:eastAsia="Times New Roman" w:cs="Times New Roman"/>
                <w:i/>
                <w:iCs/>
                <w:color w:val="000000"/>
                <w:sz w:val="22"/>
                <w:szCs w:val="20"/>
              </w:rPr>
              <w:t>n=11</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9D1263" w:rsidR="000B51D0" w:rsidP="00775FD1" w:rsidRDefault="000B51D0" w14:paraId="4C5E157B" w14:textId="77777777">
            <w:pPr>
              <w:jc w:val="center"/>
              <w:rPr>
                <w:rFonts w:eastAsia="Times New Roman" w:cs="Times New Roman"/>
                <w:i/>
                <w:iCs/>
                <w:color w:val="000000"/>
                <w:sz w:val="22"/>
              </w:rPr>
            </w:pPr>
            <w:r w:rsidRPr="009D1263">
              <w:rPr>
                <w:rFonts w:eastAsia="Times New Roman" w:cs="Times New Roman"/>
                <w:i/>
                <w:iCs/>
                <w:color w:val="000000"/>
                <w:sz w:val="22"/>
              </w:rPr>
              <w:t>n=36</w:t>
            </w:r>
          </w:p>
        </w:tc>
        <w:tc>
          <w:tcPr>
            <w:tcW w:w="0" w:type="auto"/>
            <w:tcBorders>
              <w:top w:val="nil"/>
              <w:left w:val="nil"/>
              <w:bottom w:val="single" w:color="auto" w:sz="8" w:space="0"/>
              <w:right w:val="single" w:color="auto" w:sz="8" w:space="0"/>
            </w:tcBorders>
            <w:shd w:val="clear" w:color="auto" w:fill="auto"/>
            <w:noWrap/>
            <w:vAlign w:val="bottom"/>
            <w:hideMark/>
          </w:tcPr>
          <w:p w:rsidRPr="009D1263" w:rsidR="000B51D0" w:rsidP="00775FD1" w:rsidRDefault="000B51D0" w14:paraId="506AFBE1" w14:textId="77777777">
            <w:pPr>
              <w:jc w:val="center"/>
              <w:rPr>
                <w:rFonts w:eastAsia="Times New Roman" w:cs="Times New Roman"/>
                <w:i/>
                <w:iCs/>
                <w:color w:val="000000"/>
                <w:sz w:val="22"/>
              </w:rPr>
            </w:pPr>
            <w:r w:rsidRPr="009D1263">
              <w:rPr>
                <w:rFonts w:eastAsia="Times New Roman" w:cs="Times New Roman"/>
                <w:i/>
                <w:iCs/>
                <w:color w:val="000000"/>
                <w:sz w:val="22"/>
              </w:rPr>
              <w:t>n=21</w:t>
            </w:r>
          </w:p>
        </w:tc>
      </w:tr>
      <w:tr w:rsidRPr="00F534EC" w:rsidR="000B51D0" w:rsidTr="00775FD1" w14:paraId="503FD196" w14:textId="77777777">
        <w:trPr>
          <w:cantSplit/>
          <w:trHeight w:val="300"/>
        </w:trPr>
        <w:tc>
          <w:tcPr>
            <w:tcW w:w="0" w:type="auto"/>
            <w:vMerge w:val="restart"/>
            <w:tcBorders>
              <w:top w:val="nil"/>
              <w:left w:val="nil"/>
              <w:bottom w:val="single" w:color="000000" w:sz="12" w:space="0"/>
              <w:right w:val="single" w:color="auto" w:sz="8" w:space="0"/>
            </w:tcBorders>
            <w:shd w:val="clear" w:color="auto" w:fill="auto"/>
            <w:vAlign w:val="center"/>
            <w:hideMark/>
          </w:tcPr>
          <w:p w:rsidRPr="00F534EC" w:rsidR="000B51D0" w:rsidP="00775FD1" w:rsidRDefault="000B51D0" w14:paraId="4A8B2C4C" w14:textId="77777777">
            <w:pPr>
              <w:rPr>
                <w:rFonts w:eastAsia="Times New Roman" w:cs="Times New Roman"/>
                <w:color w:val="000000"/>
                <w:sz w:val="22"/>
              </w:rPr>
            </w:pPr>
            <w:r w:rsidRPr="00F534EC">
              <w:rPr>
                <w:rFonts w:eastAsia="Times New Roman" w:cs="Times New Roman"/>
                <w:color w:val="000000"/>
                <w:sz w:val="22"/>
                <w:szCs w:val="20"/>
              </w:rPr>
              <w:t>Unit</w:t>
            </w:r>
          </w:p>
        </w:tc>
        <w:tc>
          <w:tcPr>
            <w:tcW w:w="0" w:type="auto"/>
            <w:tcBorders>
              <w:top w:val="nil"/>
              <w:left w:val="nil"/>
              <w:bottom w:val="nil"/>
              <w:right w:val="single" w:color="auto" w:sz="8" w:space="0"/>
            </w:tcBorders>
            <w:shd w:val="clear" w:color="auto" w:fill="auto"/>
            <w:vAlign w:val="center"/>
            <w:hideMark/>
          </w:tcPr>
          <w:p w:rsidRPr="004D4C71" w:rsidR="000B51D0" w:rsidP="00775FD1" w:rsidRDefault="000B51D0" w14:paraId="582F3CE5" w14:textId="77777777">
            <w:pPr>
              <w:jc w:val="center"/>
              <w:rPr>
                <w:rFonts w:eastAsia="Times New Roman" w:cs="Times New Roman"/>
                <w:color w:val="000000"/>
                <w:sz w:val="22"/>
              </w:rPr>
            </w:pPr>
            <w:r w:rsidRPr="009D1263">
              <w:rPr>
                <w:rFonts w:eastAsia="Times New Roman" w:cs="Times New Roman"/>
                <w:color w:val="000000"/>
                <w:sz w:val="22"/>
                <w:szCs w:val="20"/>
              </w:rPr>
              <w:t>85.90%</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273FFC81" w14:textId="77777777">
            <w:pPr>
              <w:jc w:val="center"/>
              <w:rPr>
                <w:rFonts w:eastAsia="Times New Roman" w:cs="Times New Roman"/>
                <w:color w:val="000000"/>
                <w:sz w:val="22"/>
              </w:rPr>
            </w:pPr>
            <w:r w:rsidRPr="009D1263">
              <w:rPr>
                <w:rFonts w:eastAsia="Times New Roman" w:cs="Times New Roman"/>
                <w:color w:val="000000"/>
                <w:sz w:val="22"/>
              </w:rPr>
              <w:t>85.10%</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5CC69623" w14:textId="77777777">
            <w:pPr>
              <w:jc w:val="center"/>
              <w:rPr>
                <w:rFonts w:eastAsia="Times New Roman" w:cs="Times New Roman"/>
                <w:color w:val="000000"/>
                <w:sz w:val="22"/>
              </w:rPr>
            </w:pPr>
            <w:r w:rsidRPr="009D1263">
              <w:rPr>
                <w:rFonts w:eastAsia="Times New Roman" w:cs="Times New Roman"/>
                <w:color w:val="000000"/>
                <w:sz w:val="22"/>
              </w:rPr>
              <w:t>83.80%</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497A9C2C" w14:textId="77777777">
            <w:pPr>
              <w:jc w:val="center"/>
              <w:rPr>
                <w:rFonts w:eastAsia="Times New Roman" w:cs="Times New Roman"/>
                <w:color w:val="000000"/>
                <w:sz w:val="22"/>
              </w:rPr>
            </w:pPr>
            <w:r w:rsidRPr="009D1263">
              <w:rPr>
                <w:rFonts w:eastAsia="Times New Roman" w:cs="Times New Roman"/>
                <w:color w:val="000000"/>
                <w:sz w:val="22"/>
                <w:szCs w:val="20"/>
              </w:rPr>
              <w:t>13.60%</w:t>
            </w:r>
          </w:p>
        </w:tc>
        <w:tc>
          <w:tcPr>
            <w:tcW w:w="0" w:type="auto"/>
            <w:tcBorders>
              <w:top w:val="nil"/>
              <w:left w:val="nil"/>
              <w:bottom w:val="nil"/>
              <w:right w:val="single" w:color="auto" w:sz="8" w:space="0"/>
            </w:tcBorders>
            <w:shd w:val="clear" w:color="auto" w:fill="auto"/>
            <w:vAlign w:val="center"/>
            <w:hideMark/>
          </w:tcPr>
          <w:p w:rsidRPr="009D1263" w:rsidR="000B51D0" w:rsidP="00775FD1" w:rsidRDefault="000B51D0" w14:paraId="7FC62D8E" w14:textId="77777777">
            <w:pPr>
              <w:jc w:val="center"/>
              <w:rPr>
                <w:rFonts w:eastAsia="Times New Roman" w:cs="Times New Roman"/>
                <w:color w:val="000000"/>
                <w:sz w:val="22"/>
              </w:rPr>
            </w:pPr>
            <w:r w:rsidRPr="009D1263">
              <w:rPr>
                <w:rFonts w:eastAsia="Times New Roman" w:cs="Times New Roman"/>
                <w:color w:val="000000"/>
                <w:sz w:val="22"/>
              </w:rPr>
              <w:t>12.50%</w:t>
            </w:r>
          </w:p>
        </w:tc>
        <w:tc>
          <w:tcPr>
            <w:tcW w:w="0" w:type="auto"/>
            <w:tcBorders>
              <w:top w:val="nil"/>
              <w:left w:val="nil"/>
              <w:bottom w:val="nil"/>
              <w:right w:val="single" w:color="auto" w:sz="8" w:space="0"/>
            </w:tcBorders>
            <w:shd w:val="clear" w:color="auto" w:fill="auto"/>
            <w:noWrap/>
            <w:vAlign w:val="bottom"/>
            <w:hideMark/>
          </w:tcPr>
          <w:p w:rsidRPr="00E82BB4" w:rsidR="000B51D0" w:rsidP="00775FD1" w:rsidRDefault="000B51D0" w14:paraId="70CE9E2A" w14:textId="77777777">
            <w:pPr>
              <w:jc w:val="center"/>
              <w:rPr>
                <w:rFonts w:eastAsia="Times New Roman" w:cs="Times New Roman"/>
                <w:color w:val="000000"/>
                <w:sz w:val="22"/>
              </w:rPr>
            </w:pPr>
            <w:r w:rsidRPr="00E82BB4">
              <w:rPr>
                <w:rFonts w:eastAsia="Times New Roman" w:cs="Times New Roman"/>
                <w:color w:val="000000"/>
                <w:sz w:val="22"/>
              </w:rPr>
              <w:t>15.20%</w:t>
            </w:r>
          </w:p>
        </w:tc>
        <w:tc>
          <w:tcPr>
            <w:tcW w:w="0" w:type="auto"/>
            <w:tcBorders>
              <w:top w:val="nil"/>
              <w:left w:val="nil"/>
              <w:bottom w:val="nil"/>
              <w:right w:val="nil"/>
            </w:tcBorders>
            <w:shd w:val="clear" w:color="auto" w:fill="auto"/>
            <w:vAlign w:val="center"/>
            <w:hideMark/>
          </w:tcPr>
          <w:p w:rsidRPr="004D4C71" w:rsidR="000B51D0" w:rsidP="00775FD1" w:rsidRDefault="000B51D0" w14:paraId="41969B95" w14:textId="77777777">
            <w:pPr>
              <w:jc w:val="center"/>
              <w:rPr>
                <w:rFonts w:eastAsia="Times New Roman" w:cs="Times New Roman"/>
                <w:color w:val="000000"/>
                <w:sz w:val="22"/>
              </w:rPr>
            </w:pPr>
            <w:r w:rsidRPr="009D1263">
              <w:rPr>
                <w:rFonts w:eastAsia="Times New Roman" w:cs="Times New Roman"/>
                <w:color w:val="000000"/>
                <w:sz w:val="22"/>
                <w:szCs w:val="20"/>
              </w:rPr>
              <w:t>0.50%</w:t>
            </w:r>
          </w:p>
        </w:tc>
        <w:tc>
          <w:tcPr>
            <w:tcW w:w="0" w:type="auto"/>
            <w:tcBorders>
              <w:top w:val="nil"/>
              <w:left w:val="single" w:color="auto" w:sz="8" w:space="0"/>
              <w:bottom w:val="nil"/>
              <w:right w:val="single" w:color="auto" w:sz="8" w:space="0"/>
            </w:tcBorders>
            <w:shd w:val="clear" w:color="auto" w:fill="auto"/>
            <w:vAlign w:val="center"/>
            <w:hideMark/>
          </w:tcPr>
          <w:p w:rsidRPr="009D1263" w:rsidR="000B51D0" w:rsidP="00775FD1" w:rsidRDefault="000B51D0" w14:paraId="49DB7360" w14:textId="77777777">
            <w:pPr>
              <w:jc w:val="center"/>
              <w:rPr>
                <w:rFonts w:eastAsia="Times New Roman" w:cs="Times New Roman"/>
                <w:color w:val="000000"/>
                <w:sz w:val="22"/>
              </w:rPr>
            </w:pPr>
            <w:r w:rsidRPr="009D1263">
              <w:rPr>
                <w:rFonts w:eastAsia="Times New Roman" w:cs="Times New Roman"/>
                <w:color w:val="000000"/>
                <w:sz w:val="22"/>
              </w:rPr>
              <w:t>2.40%</w:t>
            </w:r>
          </w:p>
        </w:tc>
        <w:tc>
          <w:tcPr>
            <w:tcW w:w="0" w:type="auto"/>
            <w:tcBorders>
              <w:top w:val="nil"/>
              <w:left w:val="nil"/>
              <w:bottom w:val="nil"/>
              <w:right w:val="single" w:color="auto" w:sz="8" w:space="0"/>
            </w:tcBorders>
            <w:shd w:val="clear" w:color="auto" w:fill="auto"/>
            <w:noWrap/>
            <w:vAlign w:val="bottom"/>
            <w:hideMark/>
          </w:tcPr>
          <w:p w:rsidRPr="00E82BB4" w:rsidR="000B51D0" w:rsidP="00775FD1" w:rsidRDefault="000B51D0" w14:paraId="02E61853" w14:textId="77777777">
            <w:pPr>
              <w:jc w:val="center"/>
              <w:rPr>
                <w:rFonts w:eastAsia="Times New Roman" w:cs="Times New Roman"/>
                <w:color w:val="000000"/>
                <w:sz w:val="22"/>
              </w:rPr>
            </w:pPr>
            <w:r w:rsidRPr="00E82BB4">
              <w:rPr>
                <w:rFonts w:eastAsia="Times New Roman" w:cs="Times New Roman"/>
                <w:color w:val="000000"/>
                <w:sz w:val="22"/>
              </w:rPr>
              <w:t>1.10%</w:t>
            </w:r>
          </w:p>
        </w:tc>
      </w:tr>
      <w:tr w:rsidRPr="00F534EC" w:rsidR="000B51D0" w:rsidTr="00775FD1" w14:paraId="613CDCF6" w14:textId="77777777">
        <w:trPr>
          <w:trHeight w:val="315"/>
        </w:trPr>
        <w:tc>
          <w:tcPr>
            <w:tcW w:w="0" w:type="auto"/>
            <w:vMerge/>
            <w:tcBorders>
              <w:top w:val="nil"/>
              <w:left w:val="nil"/>
              <w:bottom w:val="single" w:color="000000" w:sz="12" w:space="0"/>
              <w:right w:val="single" w:color="auto" w:sz="8" w:space="0"/>
            </w:tcBorders>
            <w:vAlign w:val="center"/>
            <w:hideMark/>
          </w:tcPr>
          <w:p w:rsidRPr="00F534EC" w:rsidR="000B51D0" w:rsidP="00775FD1" w:rsidRDefault="000B51D0" w14:paraId="3B58527E" w14:textId="77777777">
            <w:pPr>
              <w:rPr>
                <w:rFonts w:eastAsia="Times New Roman" w:cs="Times New Roman"/>
                <w:color w:val="000000"/>
                <w:sz w:val="22"/>
              </w:rPr>
            </w:pPr>
          </w:p>
        </w:tc>
        <w:tc>
          <w:tcPr>
            <w:tcW w:w="0" w:type="auto"/>
            <w:tcBorders>
              <w:top w:val="nil"/>
              <w:left w:val="nil"/>
              <w:bottom w:val="single" w:color="auto" w:sz="12" w:space="0"/>
              <w:right w:val="single" w:color="auto" w:sz="8" w:space="0"/>
            </w:tcBorders>
            <w:shd w:val="clear" w:color="auto" w:fill="auto"/>
            <w:vAlign w:val="center"/>
            <w:hideMark/>
          </w:tcPr>
          <w:p w:rsidRPr="004D4C71" w:rsidR="000B51D0" w:rsidP="00775FD1" w:rsidRDefault="000B51D0" w14:paraId="466184F0" w14:textId="77777777">
            <w:pPr>
              <w:jc w:val="center"/>
              <w:rPr>
                <w:rFonts w:eastAsia="Times New Roman" w:cs="Times New Roman"/>
                <w:i/>
                <w:iCs/>
                <w:color w:val="000000"/>
                <w:sz w:val="20"/>
                <w:szCs w:val="20"/>
              </w:rPr>
            </w:pPr>
            <w:r w:rsidRPr="009D1263">
              <w:rPr>
                <w:rFonts w:eastAsia="Times New Roman" w:cs="Times New Roman"/>
                <w:i/>
                <w:iCs/>
                <w:color w:val="000000"/>
                <w:sz w:val="20"/>
                <w:szCs w:val="20"/>
              </w:rPr>
              <w:t>n=13,617</w:t>
            </w:r>
          </w:p>
        </w:tc>
        <w:tc>
          <w:tcPr>
            <w:tcW w:w="0" w:type="auto"/>
            <w:tcBorders>
              <w:top w:val="nil"/>
              <w:left w:val="nil"/>
              <w:bottom w:val="single" w:color="auto" w:sz="12" w:space="0"/>
              <w:right w:val="single" w:color="auto" w:sz="8" w:space="0"/>
            </w:tcBorders>
            <w:shd w:val="clear" w:color="auto" w:fill="auto"/>
            <w:vAlign w:val="center"/>
            <w:hideMark/>
          </w:tcPr>
          <w:p w:rsidRPr="009D1263" w:rsidR="000B51D0" w:rsidP="00775FD1" w:rsidRDefault="000B51D0" w14:paraId="2635CADF" w14:textId="77777777">
            <w:pPr>
              <w:jc w:val="center"/>
              <w:rPr>
                <w:rFonts w:eastAsia="Times New Roman" w:cs="Times New Roman"/>
                <w:i/>
                <w:iCs/>
                <w:color w:val="000000"/>
                <w:sz w:val="20"/>
                <w:szCs w:val="20"/>
              </w:rPr>
            </w:pPr>
            <w:r w:rsidRPr="009D1263">
              <w:rPr>
                <w:rFonts w:eastAsia="Times New Roman" w:cs="Times New Roman"/>
                <w:i/>
                <w:iCs/>
                <w:color w:val="000000"/>
                <w:sz w:val="20"/>
                <w:szCs w:val="20"/>
              </w:rPr>
              <w:t>n=15,946</w:t>
            </w:r>
          </w:p>
        </w:tc>
        <w:tc>
          <w:tcPr>
            <w:tcW w:w="0" w:type="auto"/>
            <w:tcBorders>
              <w:top w:val="nil"/>
              <w:left w:val="nil"/>
              <w:bottom w:val="single" w:color="auto" w:sz="12" w:space="0"/>
              <w:right w:val="single" w:color="auto" w:sz="8" w:space="0"/>
            </w:tcBorders>
            <w:shd w:val="clear" w:color="auto" w:fill="auto"/>
            <w:vAlign w:val="center"/>
            <w:hideMark/>
          </w:tcPr>
          <w:p w:rsidRPr="009D1263" w:rsidR="000B51D0" w:rsidP="00775FD1" w:rsidRDefault="000B51D0" w14:paraId="78B4A520" w14:textId="77777777">
            <w:pPr>
              <w:jc w:val="center"/>
              <w:rPr>
                <w:rFonts w:eastAsia="Times New Roman" w:cs="Times New Roman"/>
                <w:i/>
                <w:iCs/>
                <w:color w:val="000000"/>
                <w:sz w:val="20"/>
                <w:szCs w:val="20"/>
              </w:rPr>
            </w:pPr>
            <w:r w:rsidRPr="009D1263">
              <w:rPr>
                <w:rFonts w:eastAsia="Times New Roman" w:cs="Times New Roman"/>
                <w:i/>
                <w:iCs/>
                <w:color w:val="000000"/>
                <w:sz w:val="20"/>
                <w:szCs w:val="20"/>
              </w:rPr>
              <w:t>n=16,410</w:t>
            </w:r>
          </w:p>
        </w:tc>
        <w:tc>
          <w:tcPr>
            <w:tcW w:w="0" w:type="auto"/>
            <w:tcBorders>
              <w:top w:val="nil"/>
              <w:left w:val="nil"/>
              <w:bottom w:val="single" w:color="auto" w:sz="12" w:space="0"/>
              <w:right w:val="single" w:color="auto" w:sz="8" w:space="0"/>
            </w:tcBorders>
            <w:shd w:val="clear" w:color="auto" w:fill="auto"/>
            <w:vAlign w:val="center"/>
            <w:hideMark/>
          </w:tcPr>
          <w:p w:rsidRPr="009D1263" w:rsidR="000B51D0" w:rsidP="00775FD1" w:rsidRDefault="000B51D0" w14:paraId="452FADD7" w14:textId="77777777">
            <w:pPr>
              <w:jc w:val="center"/>
              <w:rPr>
                <w:rFonts w:eastAsia="Times New Roman" w:cs="Times New Roman"/>
                <w:i/>
                <w:iCs/>
                <w:color w:val="000000"/>
                <w:sz w:val="20"/>
                <w:szCs w:val="20"/>
              </w:rPr>
            </w:pPr>
            <w:r w:rsidRPr="009D1263">
              <w:rPr>
                <w:rFonts w:eastAsia="Times New Roman" w:cs="Times New Roman"/>
                <w:i/>
                <w:iCs/>
                <w:color w:val="000000"/>
                <w:sz w:val="20"/>
                <w:szCs w:val="20"/>
              </w:rPr>
              <w:t>n=2,157</w:t>
            </w:r>
          </w:p>
        </w:tc>
        <w:tc>
          <w:tcPr>
            <w:tcW w:w="0" w:type="auto"/>
            <w:tcBorders>
              <w:top w:val="nil"/>
              <w:left w:val="nil"/>
              <w:bottom w:val="single" w:color="auto" w:sz="12" w:space="0"/>
              <w:right w:val="single" w:color="auto" w:sz="8" w:space="0"/>
            </w:tcBorders>
            <w:shd w:val="clear" w:color="auto" w:fill="auto"/>
            <w:vAlign w:val="center"/>
            <w:hideMark/>
          </w:tcPr>
          <w:p w:rsidRPr="009D1263" w:rsidR="000B51D0" w:rsidP="00775FD1" w:rsidRDefault="000B51D0" w14:paraId="512CFCA0" w14:textId="77777777">
            <w:pPr>
              <w:jc w:val="center"/>
              <w:rPr>
                <w:rFonts w:eastAsia="Times New Roman" w:cs="Times New Roman"/>
                <w:i/>
                <w:iCs/>
                <w:color w:val="000000"/>
                <w:sz w:val="20"/>
                <w:szCs w:val="20"/>
              </w:rPr>
            </w:pPr>
            <w:r w:rsidRPr="009D1263">
              <w:rPr>
                <w:rFonts w:eastAsia="Times New Roman" w:cs="Times New Roman"/>
                <w:i/>
                <w:iCs/>
                <w:color w:val="000000"/>
                <w:sz w:val="20"/>
                <w:szCs w:val="20"/>
              </w:rPr>
              <w:t>n=2347</w:t>
            </w:r>
          </w:p>
        </w:tc>
        <w:tc>
          <w:tcPr>
            <w:tcW w:w="0" w:type="auto"/>
            <w:tcBorders>
              <w:top w:val="nil"/>
              <w:left w:val="nil"/>
              <w:bottom w:val="single" w:color="auto" w:sz="8" w:space="0"/>
              <w:right w:val="single" w:color="auto" w:sz="8" w:space="0"/>
            </w:tcBorders>
            <w:shd w:val="clear" w:color="auto" w:fill="auto"/>
            <w:noWrap/>
            <w:vAlign w:val="bottom"/>
            <w:hideMark/>
          </w:tcPr>
          <w:p w:rsidRPr="009D1263" w:rsidR="000B51D0" w:rsidP="00775FD1" w:rsidRDefault="000B51D0" w14:paraId="45E47911" w14:textId="77777777">
            <w:pPr>
              <w:jc w:val="center"/>
              <w:rPr>
                <w:rFonts w:eastAsia="Times New Roman" w:cs="Times New Roman"/>
                <w:i/>
                <w:iCs/>
                <w:color w:val="000000"/>
                <w:sz w:val="20"/>
                <w:szCs w:val="20"/>
              </w:rPr>
            </w:pPr>
            <w:r w:rsidRPr="009D1263">
              <w:rPr>
                <w:rFonts w:eastAsia="Times New Roman" w:cs="Times New Roman"/>
                <w:i/>
                <w:iCs/>
                <w:color w:val="000000"/>
                <w:sz w:val="20"/>
                <w:szCs w:val="20"/>
              </w:rPr>
              <w:t>n=2974</w:t>
            </w:r>
          </w:p>
        </w:tc>
        <w:tc>
          <w:tcPr>
            <w:tcW w:w="0" w:type="auto"/>
            <w:tcBorders>
              <w:top w:val="nil"/>
              <w:left w:val="nil"/>
              <w:bottom w:val="single" w:color="auto" w:sz="8" w:space="0"/>
              <w:right w:val="nil"/>
            </w:tcBorders>
            <w:shd w:val="clear" w:color="auto" w:fill="auto"/>
            <w:vAlign w:val="center"/>
            <w:hideMark/>
          </w:tcPr>
          <w:p w:rsidRPr="009D1263" w:rsidR="000B51D0" w:rsidP="00775FD1" w:rsidRDefault="000B51D0" w14:paraId="69054D13" w14:textId="77777777">
            <w:pPr>
              <w:jc w:val="center"/>
              <w:rPr>
                <w:rFonts w:eastAsia="Times New Roman" w:cs="Times New Roman"/>
                <w:i/>
                <w:iCs/>
                <w:color w:val="000000"/>
                <w:sz w:val="20"/>
                <w:szCs w:val="20"/>
              </w:rPr>
            </w:pPr>
            <w:r w:rsidRPr="009D1263">
              <w:rPr>
                <w:rFonts w:eastAsia="Times New Roman" w:cs="Times New Roman"/>
                <w:i/>
                <w:iCs/>
                <w:color w:val="000000"/>
                <w:sz w:val="20"/>
                <w:szCs w:val="20"/>
              </w:rPr>
              <w:t>n=79</w:t>
            </w:r>
          </w:p>
        </w:tc>
        <w:tc>
          <w:tcPr>
            <w:tcW w:w="0" w:type="auto"/>
            <w:tcBorders>
              <w:top w:val="nil"/>
              <w:left w:val="single" w:color="auto" w:sz="8" w:space="0"/>
              <w:bottom w:val="single" w:color="auto" w:sz="8" w:space="0"/>
              <w:right w:val="single" w:color="auto" w:sz="8" w:space="0"/>
            </w:tcBorders>
            <w:shd w:val="clear" w:color="auto" w:fill="auto"/>
            <w:vAlign w:val="center"/>
            <w:hideMark/>
          </w:tcPr>
          <w:p w:rsidRPr="009D1263" w:rsidR="000B51D0" w:rsidP="00775FD1" w:rsidRDefault="000B51D0" w14:paraId="0B6AD22F" w14:textId="77777777">
            <w:pPr>
              <w:jc w:val="center"/>
              <w:rPr>
                <w:rFonts w:eastAsia="Times New Roman" w:cs="Times New Roman"/>
                <w:i/>
                <w:iCs/>
                <w:color w:val="000000"/>
                <w:sz w:val="20"/>
                <w:szCs w:val="20"/>
              </w:rPr>
            </w:pPr>
            <w:r w:rsidRPr="009D1263">
              <w:rPr>
                <w:rFonts w:eastAsia="Times New Roman" w:cs="Times New Roman"/>
                <w:i/>
                <w:iCs/>
                <w:color w:val="000000"/>
                <w:sz w:val="20"/>
                <w:szCs w:val="20"/>
              </w:rPr>
              <w:t>n=452</w:t>
            </w:r>
          </w:p>
        </w:tc>
        <w:tc>
          <w:tcPr>
            <w:tcW w:w="0" w:type="auto"/>
            <w:tcBorders>
              <w:top w:val="nil"/>
              <w:left w:val="nil"/>
              <w:bottom w:val="single" w:color="auto" w:sz="8" w:space="0"/>
              <w:right w:val="single" w:color="auto" w:sz="8" w:space="0"/>
            </w:tcBorders>
            <w:shd w:val="clear" w:color="auto" w:fill="auto"/>
            <w:noWrap/>
            <w:vAlign w:val="bottom"/>
            <w:hideMark/>
          </w:tcPr>
          <w:p w:rsidRPr="009D1263" w:rsidR="000B51D0" w:rsidP="00775FD1" w:rsidRDefault="000B51D0" w14:paraId="1C0E075B" w14:textId="77777777">
            <w:pPr>
              <w:jc w:val="center"/>
              <w:rPr>
                <w:rFonts w:eastAsia="Times New Roman" w:cs="Times New Roman"/>
                <w:i/>
                <w:iCs/>
                <w:color w:val="000000"/>
                <w:sz w:val="20"/>
                <w:szCs w:val="20"/>
              </w:rPr>
            </w:pPr>
            <w:r w:rsidRPr="009D1263">
              <w:rPr>
                <w:rFonts w:eastAsia="Times New Roman" w:cs="Times New Roman"/>
                <w:i/>
                <w:iCs/>
                <w:color w:val="000000"/>
                <w:sz w:val="20"/>
                <w:szCs w:val="20"/>
              </w:rPr>
              <w:t>n=208</w:t>
            </w:r>
          </w:p>
        </w:tc>
      </w:tr>
    </w:tbl>
    <w:p w:rsidRPr="00C20E4A" w:rsidR="00EE4B16" w:rsidP="00CF2CBC" w:rsidRDefault="00EE4B16" w14:paraId="5999772C" w14:textId="76F5BE54">
      <w:pPr>
        <w:rPr>
          <w:b/>
          <w:iCs/>
          <w:szCs w:val="18"/>
        </w:rPr>
      </w:pPr>
    </w:p>
    <w:bookmarkEnd w:id="12"/>
    <w:p w:rsidRPr="00C20E4A" w:rsidR="00CF2CBC" w:rsidP="0054259D" w:rsidRDefault="00CF2CBC" w14:paraId="6F79C5DF" w14:textId="77777777">
      <w:pPr>
        <w:pStyle w:val="TableFigureSource"/>
        <w:spacing w:before="0" w:after="120" w:line="360" w:lineRule="auto"/>
        <w:ind w:left="0" w:firstLine="720"/>
        <w:rPr>
          <w:snapToGrid w:val="0"/>
        </w:rPr>
      </w:pPr>
    </w:p>
    <w:p w:rsidRPr="00C20E4A" w:rsidR="00CF2CBC" w:rsidP="00D1769B" w:rsidRDefault="00CF2CBC" w14:paraId="2DA8F493" w14:textId="6178A224">
      <w:pPr>
        <w:pStyle w:val="Heading2"/>
        <w:rPr>
          <w:bCs/>
        </w:rPr>
      </w:pPr>
      <w:bookmarkStart w:name="_Toc488074620" w:id="14"/>
      <w:bookmarkStart w:name="_Toc34383079" w:id="15"/>
      <w:r w:rsidRPr="00C20E4A">
        <w:t>B.2</w:t>
      </w:r>
      <w:r w:rsidRPr="00C20E4A">
        <w:tab/>
      </w:r>
      <w:r w:rsidR="008E2E6C">
        <w:t>Information Collection</w:t>
      </w:r>
      <w:bookmarkEnd w:id="14"/>
      <w:bookmarkEnd w:id="15"/>
    </w:p>
    <w:p w:rsidRPr="00C20E4A" w:rsidR="00CF2CBC" w:rsidP="00CF2CBC" w:rsidRDefault="00CF2CBC" w14:paraId="45BB68EB" w14:textId="50030A84">
      <w:pPr>
        <w:pStyle w:val="BodyText"/>
      </w:pPr>
      <w:r w:rsidRPr="00C20E4A">
        <w:t>Each institution has one or more</w:t>
      </w:r>
      <w:r w:rsidR="005D6226">
        <w:t xml:space="preserve"> school coordinators</w:t>
      </w:r>
      <w:r w:rsidRPr="00C20E4A">
        <w:t xml:space="preserve"> </w:t>
      </w:r>
      <w:r w:rsidR="005D6226">
        <w:t>(</w:t>
      </w:r>
      <w:r w:rsidR="00DB4FE0">
        <w:t>SCs</w:t>
      </w:r>
      <w:r w:rsidR="005D6226">
        <w:t>)</w:t>
      </w:r>
      <w:r w:rsidRPr="00C20E4A">
        <w:t xml:space="preserve"> that</w:t>
      </w:r>
      <w:r w:rsidRPr="00C20E4A">
        <w:rPr>
          <w:spacing w:val="2"/>
        </w:rPr>
        <w:t xml:space="preserve"> </w:t>
      </w:r>
      <w:r w:rsidRPr="00C20E4A">
        <w:t>manage data collection activities. Some</w:t>
      </w:r>
      <w:r w:rsidRPr="00C20E4A" w:rsidR="001F48E3">
        <w:t xml:space="preserve"> </w:t>
      </w:r>
      <w:r w:rsidRPr="00C20E4A">
        <w:t>institutions have separate</w:t>
      </w:r>
      <w:r w:rsidRPr="00C20E4A">
        <w:rPr>
          <w:spacing w:val="1"/>
        </w:rPr>
        <w:t xml:space="preserve"> </w:t>
      </w:r>
      <w:r w:rsidRPr="00C20E4A">
        <w:t>coordinators for the</w:t>
      </w:r>
      <w:r w:rsidRPr="00C20E4A">
        <w:rPr>
          <w:spacing w:val="1"/>
        </w:rPr>
        <w:t xml:space="preserve"> </w:t>
      </w:r>
      <w:r w:rsidRPr="00C20E4A">
        <w:t>graduate en</w:t>
      </w:r>
      <w:r w:rsidRPr="00C20E4A" w:rsidR="001F48E3">
        <w:t xml:space="preserve">rollment section and the postdoc </w:t>
      </w:r>
      <w:r w:rsidRPr="00C20E4A">
        <w:t>section, and some have separate coordinators for the graduate and medical</w:t>
      </w:r>
      <w:r w:rsidRPr="00C20E4A">
        <w:rPr>
          <w:spacing w:val="2"/>
        </w:rPr>
        <w:t xml:space="preserve"> </w:t>
      </w:r>
      <w:r w:rsidRPr="00C20E4A">
        <w:t>schools. Each GSS survey</w:t>
      </w:r>
      <w:r w:rsidRPr="00C20E4A">
        <w:rPr>
          <w:spacing w:val="-5"/>
        </w:rPr>
        <w:t xml:space="preserve"> </w:t>
      </w:r>
      <w:r w:rsidRPr="00C20E4A">
        <w:t>cycle begins with a pre-data collection e-mail to the</w:t>
      </w:r>
      <w:r w:rsidRPr="00C20E4A" w:rsidR="00D16F1F">
        <w:t xml:space="preserve"> previous survey cycle’s</w:t>
      </w:r>
      <w:r w:rsidRPr="00C20E4A">
        <w:t xml:space="preserve"> SC</w:t>
      </w:r>
      <w:r w:rsidRPr="00C20E4A" w:rsidR="001F48E3">
        <w:t xml:space="preserve"> </w:t>
      </w:r>
      <w:r w:rsidRPr="00C20E4A">
        <w:t>to</w:t>
      </w:r>
      <w:r w:rsidRPr="00C20E4A">
        <w:rPr>
          <w:spacing w:val="2"/>
        </w:rPr>
        <w:t xml:space="preserve"> </w:t>
      </w:r>
      <w:r w:rsidRPr="00C20E4A">
        <w:t>determine if he/she is still the appropriate</w:t>
      </w:r>
      <w:r w:rsidRPr="00C20E4A">
        <w:rPr>
          <w:spacing w:val="1"/>
        </w:rPr>
        <w:t xml:space="preserve"> </w:t>
      </w:r>
      <w:r w:rsidRPr="00C20E4A">
        <w:t>contact</w:t>
      </w:r>
      <w:r w:rsidRPr="00C20E4A">
        <w:rPr>
          <w:spacing w:val="2"/>
        </w:rPr>
        <w:t xml:space="preserve"> </w:t>
      </w:r>
      <w:r w:rsidRPr="00C20E4A" w:rsidR="001F48E3">
        <w:t>for the upcoming c</w:t>
      </w:r>
      <w:r w:rsidRPr="00C20E4A">
        <w:t>ycle. The</w:t>
      </w:r>
      <w:r w:rsidRPr="00C20E4A">
        <w:rPr>
          <w:spacing w:val="1"/>
        </w:rPr>
        <w:t xml:space="preserve"> </w:t>
      </w:r>
      <w:r w:rsidRPr="00C20E4A">
        <w:t>e-mail is typically</w:t>
      </w:r>
      <w:r w:rsidRPr="00C20E4A">
        <w:rPr>
          <w:spacing w:val="-5"/>
        </w:rPr>
        <w:t xml:space="preserve"> </w:t>
      </w:r>
      <w:r w:rsidRPr="00C20E4A">
        <w:t>sent in early</w:t>
      </w:r>
      <w:r w:rsidRPr="00C20E4A">
        <w:rPr>
          <w:spacing w:val="-5"/>
        </w:rPr>
        <w:t xml:space="preserve"> </w:t>
      </w:r>
      <w:r w:rsidRPr="00C20E4A">
        <w:t>September with a telephone follow-up if confirmatio</w:t>
      </w:r>
      <w:r w:rsidRPr="00C20E4A" w:rsidR="001F48E3">
        <w:t>n is</w:t>
      </w:r>
      <w:r w:rsidRPr="00C20E4A">
        <w:t xml:space="preserve"> not received. Once the</w:t>
      </w:r>
      <w:r w:rsidRPr="00C20E4A">
        <w:rPr>
          <w:spacing w:val="1"/>
        </w:rPr>
        <w:t xml:space="preserve"> </w:t>
      </w:r>
      <w:r w:rsidRPr="00C20E4A">
        <w:t>SC is confirmed/updated, data collection commences. Data</w:t>
      </w:r>
      <w:r w:rsidRPr="00C20E4A">
        <w:rPr>
          <w:spacing w:val="1"/>
        </w:rPr>
        <w:t xml:space="preserve"> </w:t>
      </w:r>
      <w:r w:rsidRPr="00C20E4A" w:rsidR="001F48E3">
        <w:t>collection b</w:t>
      </w:r>
      <w:r w:rsidRPr="00C20E4A">
        <w:t>egins in October with an e-mail and FedEx</w:t>
      </w:r>
      <w:r w:rsidRPr="00C20E4A">
        <w:rPr>
          <w:spacing w:val="2"/>
        </w:rPr>
        <w:t xml:space="preserve"> </w:t>
      </w:r>
      <w:r w:rsidRPr="00C20E4A">
        <w:t>package providing</w:t>
      </w:r>
      <w:r w:rsidRPr="00C20E4A">
        <w:rPr>
          <w:spacing w:val="-3"/>
        </w:rPr>
        <w:t xml:space="preserve"> </w:t>
      </w:r>
      <w:r w:rsidRPr="00C20E4A">
        <w:t>the SC with Web acce</w:t>
      </w:r>
      <w:r w:rsidRPr="00C20E4A" w:rsidR="001F48E3">
        <w:t>ss i</w:t>
      </w:r>
      <w:r w:rsidRPr="00C20E4A">
        <w:t>nformation and information about the GSS-eligible degree programs.</w:t>
      </w:r>
    </w:p>
    <w:p w:rsidRPr="00C20E4A" w:rsidR="00CF2CBC" w:rsidP="00CF2CBC" w:rsidRDefault="00CF2CBC" w14:paraId="41B4DE15" w14:textId="24825D27">
      <w:pPr>
        <w:pStyle w:val="BodyText"/>
        <w:spacing w:before="123"/>
        <w:ind w:right="40"/>
        <w:rPr>
          <w:spacing w:val="-1"/>
        </w:rPr>
      </w:pPr>
      <w:r w:rsidRPr="00C20E4A">
        <w:rPr>
          <w:spacing w:val="-1"/>
        </w:rPr>
        <w:t xml:space="preserve">For </w:t>
      </w:r>
      <w:r w:rsidRPr="00C20E4A" w:rsidR="001F48E3">
        <w:t>new i</w:t>
      </w:r>
      <w:r w:rsidRPr="00C20E4A">
        <w:t xml:space="preserve">nstitutions, </w:t>
      </w:r>
      <w:r w:rsidR="00624212">
        <w:rPr>
          <w:spacing w:val="-1"/>
        </w:rPr>
        <w:t xml:space="preserve">NCSES </w:t>
      </w:r>
      <w:r w:rsidRPr="00C20E4A">
        <w:rPr>
          <w:spacing w:val="-1"/>
        </w:rPr>
        <w:t>mails</w:t>
      </w:r>
      <w:r w:rsidRPr="00C20E4A">
        <w:t xml:space="preserve"> </w:t>
      </w:r>
      <w:r w:rsidRPr="00C20E4A">
        <w:rPr>
          <w:spacing w:val="-1"/>
        </w:rPr>
        <w:t>the president</w:t>
      </w:r>
      <w:r w:rsidRPr="00C20E4A">
        <w:t xml:space="preserve"> a</w:t>
      </w:r>
      <w:r w:rsidRPr="00C20E4A">
        <w:rPr>
          <w:spacing w:val="-1"/>
        </w:rPr>
        <w:t xml:space="preserve"> </w:t>
      </w:r>
      <w:r w:rsidRPr="00C20E4A">
        <w:t>survey</w:t>
      </w:r>
      <w:r w:rsidRPr="00C20E4A">
        <w:rPr>
          <w:spacing w:val="-1"/>
        </w:rPr>
        <w:t xml:space="preserve"> </w:t>
      </w:r>
      <w:r w:rsidRPr="00C20E4A">
        <w:t xml:space="preserve">invitation letter </w:t>
      </w:r>
      <w:r w:rsidRPr="00C20E4A">
        <w:rPr>
          <w:spacing w:val="-1"/>
        </w:rPr>
        <w:t xml:space="preserve">that </w:t>
      </w:r>
      <w:r w:rsidRPr="00C20E4A">
        <w:t>asks the</w:t>
      </w:r>
      <w:r w:rsidRPr="00C20E4A">
        <w:rPr>
          <w:spacing w:val="-1"/>
        </w:rPr>
        <w:t xml:space="preserve"> president</w:t>
      </w:r>
      <w:r w:rsidRPr="00C20E4A">
        <w:t xml:space="preserve"> to </w:t>
      </w:r>
      <w:r w:rsidRPr="00C20E4A">
        <w:rPr>
          <w:spacing w:val="-1"/>
        </w:rPr>
        <w:t xml:space="preserve">name </w:t>
      </w:r>
      <w:r w:rsidRPr="00C20E4A" w:rsidR="001F48E3">
        <w:t xml:space="preserve">a </w:t>
      </w:r>
      <w:r w:rsidRPr="00C20E4A" w:rsidR="00BD4727">
        <w:rPr>
          <w:spacing w:val="-1"/>
        </w:rPr>
        <w:t xml:space="preserve">SC </w:t>
      </w:r>
      <w:r w:rsidRPr="00C20E4A">
        <w:rPr>
          <w:spacing w:val="-1"/>
        </w:rPr>
        <w:t xml:space="preserve">for </w:t>
      </w:r>
      <w:r w:rsidRPr="00C20E4A">
        <w:t>the</w:t>
      </w:r>
      <w:r w:rsidRPr="00C20E4A">
        <w:rPr>
          <w:spacing w:val="-1"/>
        </w:rPr>
        <w:t xml:space="preserve"> </w:t>
      </w:r>
      <w:r w:rsidRPr="00C20E4A">
        <w:t>survey</w:t>
      </w:r>
      <w:r w:rsidRPr="00C20E4A">
        <w:rPr>
          <w:spacing w:val="-5"/>
        </w:rPr>
        <w:t xml:space="preserve"> </w:t>
      </w:r>
      <w:r w:rsidRPr="00C20E4A">
        <w:rPr>
          <w:spacing w:val="-1"/>
        </w:rPr>
        <w:t>and</w:t>
      </w:r>
      <w:r w:rsidRPr="00C20E4A">
        <w:t xml:space="preserve"> to verify</w:t>
      </w:r>
      <w:r w:rsidRPr="00C20E4A">
        <w:rPr>
          <w:spacing w:val="-5"/>
        </w:rPr>
        <w:t xml:space="preserve"> </w:t>
      </w:r>
      <w:r w:rsidRPr="00C20E4A">
        <w:t>the</w:t>
      </w:r>
      <w:r w:rsidRPr="00C20E4A">
        <w:rPr>
          <w:spacing w:val="-1"/>
        </w:rPr>
        <w:t xml:space="preserve"> </w:t>
      </w:r>
      <w:r w:rsidRPr="00C20E4A">
        <w:t>institutions’</w:t>
      </w:r>
      <w:r w:rsidRPr="00C20E4A">
        <w:rPr>
          <w:spacing w:val="-1"/>
        </w:rPr>
        <w:t xml:space="preserve"> eligibility for </w:t>
      </w:r>
      <w:r w:rsidR="00624212">
        <w:rPr>
          <w:spacing w:val="-1"/>
        </w:rPr>
        <w:t xml:space="preserve">the </w:t>
      </w:r>
      <w:r w:rsidRPr="00C20E4A">
        <w:rPr>
          <w:spacing w:val="-1"/>
        </w:rPr>
        <w:t>GSS.</w:t>
      </w:r>
      <w:r w:rsidRPr="00C20E4A">
        <w:rPr>
          <w:spacing w:val="2"/>
        </w:rPr>
        <w:t xml:space="preserve"> </w:t>
      </w:r>
      <w:r w:rsidRPr="00C20E4A">
        <w:rPr>
          <w:spacing w:val="-1"/>
        </w:rPr>
        <w:t>Institution</w:t>
      </w:r>
      <w:r w:rsidRPr="00C20E4A" w:rsidR="001F48E3">
        <w:rPr>
          <w:spacing w:val="-1"/>
        </w:rPr>
        <w:t>s th</w:t>
      </w:r>
      <w:r w:rsidRPr="00C20E4A">
        <w:rPr>
          <w:spacing w:val="-1"/>
        </w:rPr>
        <w:t>at</w:t>
      </w:r>
      <w:r w:rsidRPr="00C20E4A">
        <w:t xml:space="preserve"> do not </w:t>
      </w:r>
      <w:r w:rsidRPr="00C20E4A">
        <w:rPr>
          <w:spacing w:val="-1"/>
        </w:rPr>
        <w:t>respond</w:t>
      </w:r>
      <w:r w:rsidRPr="00C20E4A">
        <w:t xml:space="preserve"> to the</w:t>
      </w:r>
      <w:r w:rsidRPr="00C20E4A">
        <w:rPr>
          <w:spacing w:val="-1"/>
        </w:rPr>
        <w:t xml:space="preserve"> letter </w:t>
      </w:r>
      <w:r w:rsidRPr="00C20E4A">
        <w:t>are</w:t>
      </w:r>
      <w:r w:rsidRPr="00C20E4A">
        <w:rPr>
          <w:spacing w:val="-1"/>
        </w:rPr>
        <w:t xml:space="preserve"> followed</w:t>
      </w:r>
      <w:r w:rsidRPr="00C20E4A">
        <w:t xml:space="preserve"> up via</w:t>
      </w:r>
      <w:r w:rsidRPr="00C20E4A">
        <w:rPr>
          <w:spacing w:val="-1"/>
        </w:rPr>
        <w:t xml:space="preserve"> </w:t>
      </w:r>
      <w:r w:rsidRPr="00C20E4A">
        <w:t>phone</w:t>
      </w:r>
      <w:r w:rsidRPr="00C20E4A">
        <w:rPr>
          <w:spacing w:val="-1"/>
        </w:rPr>
        <w:t xml:space="preserve"> </w:t>
      </w:r>
      <w:r w:rsidRPr="00C20E4A">
        <w:t xml:space="preserve">call </w:t>
      </w:r>
      <w:r w:rsidRPr="00C20E4A">
        <w:rPr>
          <w:spacing w:val="-1"/>
        </w:rPr>
        <w:t>and</w:t>
      </w:r>
      <w:r w:rsidRPr="00C20E4A">
        <w:t xml:space="preserve"> </w:t>
      </w:r>
      <w:r w:rsidRPr="00C20E4A">
        <w:rPr>
          <w:spacing w:val="-1"/>
        </w:rPr>
        <w:t>e-mail. Hard</w:t>
      </w:r>
      <w:r w:rsidRPr="00C20E4A">
        <w:t xml:space="preserve"> </w:t>
      </w:r>
      <w:r w:rsidRPr="00C20E4A">
        <w:rPr>
          <w:spacing w:val="1"/>
        </w:rPr>
        <w:t>copy GS</w:t>
      </w:r>
      <w:r w:rsidRPr="00C20E4A" w:rsidR="001F48E3">
        <w:rPr>
          <w:spacing w:val="1"/>
        </w:rPr>
        <w:t>S w</w:t>
      </w:r>
      <w:r w:rsidRPr="00C20E4A">
        <w:rPr>
          <w:spacing w:val="-1"/>
        </w:rPr>
        <w:t>orksheets</w:t>
      </w:r>
      <w:r w:rsidRPr="00C20E4A">
        <w:t xml:space="preserve"> are</w:t>
      </w:r>
      <w:r w:rsidRPr="00C20E4A">
        <w:rPr>
          <w:spacing w:val="-1"/>
        </w:rPr>
        <w:t xml:space="preserve"> </w:t>
      </w:r>
      <w:r w:rsidRPr="00C20E4A">
        <w:t>provided</w:t>
      </w:r>
      <w:r w:rsidRPr="00C20E4A">
        <w:rPr>
          <w:spacing w:val="2"/>
        </w:rPr>
        <w:t xml:space="preserve"> </w:t>
      </w:r>
      <w:r w:rsidRPr="00C20E4A">
        <w:t>to the</w:t>
      </w:r>
      <w:r w:rsidRPr="00C20E4A">
        <w:rPr>
          <w:spacing w:val="-1"/>
        </w:rPr>
        <w:t xml:space="preserve"> new </w:t>
      </w:r>
      <w:r w:rsidRPr="00C20E4A">
        <w:t xml:space="preserve">institutions to </w:t>
      </w:r>
      <w:r w:rsidRPr="00C20E4A">
        <w:rPr>
          <w:spacing w:val="-1"/>
        </w:rPr>
        <w:t>allow them</w:t>
      </w:r>
      <w:r w:rsidRPr="00C20E4A">
        <w:t xml:space="preserve"> to </w:t>
      </w:r>
      <w:r w:rsidRPr="00C20E4A">
        <w:rPr>
          <w:spacing w:val="-1"/>
        </w:rPr>
        <w:t xml:space="preserve">see </w:t>
      </w:r>
      <w:r w:rsidRPr="00C20E4A">
        <w:t>the</w:t>
      </w:r>
      <w:r w:rsidRPr="00C20E4A">
        <w:rPr>
          <w:spacing w:val="-1"/>
        </w:rPr>
        <w:t xml:space="preserve"> types</w:t>
      </w:r>
      <w:r w:rsidRPr="00C20E4A">
        <w:t xml:space="preserve"> of</w:t>
      </w:r>
      <w:r w:rsidRPr="00C20E4A">
        <w:rPr>
          <w:spacing w:val="-1"/>
        </w:rPr>
        <w:t xml:space="preserve"> information</w:t>
      </w:r>
      <w:r w:rsidRPr="00C20E4A">
        <w:t xml:space="preserve"> </w:t>
      </w:r>
      <w:r w:rsidRPr="00C20E4A">
        <w:rPr>
          <w:spacing w:val="-1"/>
        </w:rPr>
        <w:t>requested</w:t>
      </w:r>
      <w:r w:rsidRPr="00C20E4A">
        <w:t xml:space="preserve"> in</w:t>
      </w:r>
      <w:r w:rsidRPr="00C20E4A" w:rsidR="00D16F1F">
        <w:t xml:space="preserve"> </w:t>
      </w:r>
      <w:r w:rsidRPr="00C20E4A">
        <w:t>the</w:t>
      </w:r>
      <w:r w:rsidRPr="00C20E4A">
        <w:rPr>
          <w:spacing w:val="-1"/>
        </w:rPr>
        <w:t xml:space="preserve"> survey.</w:t>
      </w:r>
      <w:r w:rsidRPr="00C20E4A">
        <w:t xml:space="preserve"> </w:t>
      </w:r>
    </w:p>
    <w:p w:rsidRPr="00C20E4A" w:rsidR="00CF2CBC" w:rsidP="00CF2CBC" w:rsidRDefault="00CF2CBC" w14:paraId="52B895E2" w14:textId="383C553E">
      <w:pPr>
        <w:pStyle w:val="BodyText"/>
      </w:pPr>
      <w:r w:rsidRPr="00C20E4A">
        <w:rPr>
          <w:spacing w:val="-1"/>
        </w:rPr>
        <w:lastRenderedPageBreak/>
        <w:t>The SC</w:t>
      </w:r>
      <w:r w:rsidRPr="00C20E4A">
        <w:t xml:space="preserve"> </w:t>
      </w:r>
      <w:r w:rsidRPr="00C20E4A">
        <w:rPr>
          <w:spacing w:val="-1"/>
        </w:rPr>
        <w:t>serves</w:t>
      </w:r>
      <w:r w:rsidRPr="00C20E4A">
        <w:t xml:space="preserve"> </w:t>
      </w:r>
      <w:r w:rsidRPr="00C20E4A">
        <w:rPr>
          <w:spacing w:val="-1"/>
        </w:rPr>
        <w:t>as</w:t>
      </w:r>
      <w:r w:rsidRPr="00C20E4A">
        <w:t xml:space="preserve"> the</w:t>
      </w:r>
      <w:r w:rsidRPr="00C20E4A">
        <w:rPr>
          <w:spacing w:val="-1"/>
        </w:rPr>
        <w:t xml:space="preserve"> </w:t>
      </w:r>
      <w:r w:rsidRPr="00C20E4A">
        <w:t>point of</w:t>
      </w:r>
      <w:r w:rsidRPr="00C20E4A">
        <w:rPr>
          <w:spacing w:val="-1"/>
        </w:rPr>
        <w:t xml:space="preserve"> contact</w:t>
      </w:r>
      <w:r w:rsidRPr="00C20E4A">
        <w:t xml:space="preserve"> </w:t>
      </w:r>
      <w:r w:rsidRPr="00C20E4A">
        <w:rPr>
          <w:spacing w:val="-1"/>
        </w:rPr>
        <w:t>at</w:t>
      </w:r>
      <w:r w:rsidRPr="00C20E4A">
        <w:t xml:space="preserve"> the</w:t>
      </w:r>
      <w:r w:rsidRPr="00C20E4A">
        <w:rPr>
          <w:spacing w:val="-1"/>
        </w:rPr>
        <w:t xml:space="preserve"> </w:t>
      </w:r>
      <w:r w:rsidRPr="00C20E4A">
        <w:t xml:space="preserve">institution </w:t>
      </w:r>
      <w:r w:rsidRPr="00C20E4A">
        <w:rPr>
          <w:spacing w:val="-1"/>
        </w:rPr>
        <w:t>for all</w:t>
      </w:r>
      <w:r w:rsidRPr="00C20E4A">
        <w:t xml:space="preserve"> </w:t>
      </w:r>
      <w:r w:rsidRPr="00C20E4A">
        <w:rPr>
          <w:spacing w:val="-1"/>
        </w:rPr>
        <w:t>internal</w:t>
      </w:r>
      <w:r w:rsidRPr="00C20E4A">
        <w:t xml:space="preserve"> </w:t>
      </w:r>
      <w:r w:rsidRPr="00C20E4A">
        <w:rPr>
          <w:spacing w:val="-1"/>
        </w:rPr>
        <w:t>and</w:t>
      </w:r>
      <w:r w:rsidRPr="00C20E4A">
        <w:t xml:space="preserve"> external</w:t>
      </w:r>
      <w:r w:rsidRPr="00C20E4A">
        <w:rPr>
          <w:spacing w:val="49"/>
        </w:rPr>
        <w:t xml:space="preserve"> </w:t>
      </w:r>
      <w:r w:rsidRPr="00C20E4A">
        <w:rPr>
          <w:spacing w:val="-1"/>
        </w:rPr>
        <w:t>communications</w:t>
      </w:r>
      <w:r w:rsidRPr="00C20E4A">
        <w:t xml:space="preserve"> </w:t>
      </w:r>
      <w:r w:rsidRPr="00C20E4A">
        <w:rPr>
          <w:spacing w:val="-1"/>
        </w:rPr>
        <w:t>about</w:t>
      </w:r>
      <w:r w:rsidRPr="00C20E4A">
        <w:t xml:space="preserve"> the</w:t>
      </w:r>
      <w:r w:rsidRPr="00C20E4A">
        <w:rPr>
          <w:spacing w:val="-1"/>
        </w:rPr>
        <w:t xml:space="preserve"> GSS.</w:t>
      </w:r>
      <w:r w:rsidRPr="00C20E4A">
        <w:t xml:space="preserve"> The SC may choose to delegate some reporting activity to unit respondents (URs) </w:t>
      </w:r>
      <w:r w:rsidRPr="00C20E4A" w:rsidR="00156971">
        <w:t xml:space="preserve">at their institutions </w:t>
      </w:r>
      <w:r w:rsidRPr="00C20E4A">
        <w:t>or they may report</w:t>
      </w:r>
      <w:r w:rsidRPr="00C20E4A" w:rsidR="00356A29">
        <w:t xml:space="preserve"> the</w:t>
      </w:r>
      <w:r w:rsidRPr="00C20E4A">
        <w:t xml:space="preserve"> GSS data themselves. If using URs, t</w:t>
      </w:r>
      <w:r w:rsidRPr="00C20E4A">
        <w:rPr>
          <w:spacing w:val="-1"/>
        </w:rPr>
        <w:t>he SC’s</w:t>
      </w:r>
      <w:r w:rsidRPr="00C20E4A">
        <w:t xml:space="preserve"> </w:t>
      </w:r>
      <w:r w:rsidRPr="00C20E4A">
        <w:rPr>
          <w:spacing w:val="-1"/>
        </w:rPr>
        <w:t>responsibilities</w:t>
      </w:r>
      <w:r w:rsidRPr="00C20E4A">
        <w:t xml:space="preserve"> </w:t>
      </w:r>
      <w:r w:rsidRPr="00C20E4A">
        <w:rPr>
          <w:spacing w:val="-1"/>
        </w:rPr>
        <w:t>include notifying</w:t>
      </w:r>
      <w:r w:rsidRPr="00C20E4A">
        <w:t xml:space="preserve"> the</w:t>
      </w:r>
      <w:r w:rsidRPr="00C20E4A">
        <w:rPr>
          <w:spacing w:val="-1"/>
        </w:rPr>
        <w:t xml:space="preserve"> URs</w:t>
      </w:r>
      <w:r w:rsidRPr="00C20E4A">
        <w:t xml:space="preserve"> of</w:t>
      </w:r>
      <w:r w:rsidRPr="00C20E4A">
        <w:rPr>
          <w:spacing w:val="-1"/>
        </w:rPr>
        <w:t xml:space="preserve"> their</w:t>
      </w:r>
      <w:r w:rsidRPr="00C20E4A" w:rsidR="001F48E3">
        <w:rPr>
          <w:spacing w:val="-1"/>
        </w:rPr>
        <w:t xml:space="preserve"> </w:t>
      </w:r>
      <w:r w:rsidRPr="00C20E4A">
        <w:rPr>
          <w:spacing w:val="-1"/>
        </w:rPr>
        <w:t>assignments</w:t>
      </w:r>
      <w:r w:rsidRPr="00C20E4A">
        <w:t xml:space="preserve"> </w:t>
      </w:r>
      <w:r w:rsidRPr="00C20E4A">
        <w:rPr>
          <w:spacing w:val="-1"/>
        </w:rPr>
        <w:t>and</w:t>
      </w:r>
      <w:r w:rsidRPr="00C20E4A">
        <w:rPr>
          <w:spacing w:val="2"/>
        </w:rPr>
        <w:t xml:space="preserve"> </w:t>
      </w:r>
      <w:r w:rsidRPr="00C20E4A">
        <w:t>ensuring</w:t>
      </w:r>
      <w:r w:rsidRPr="00C20E4A">
        <w:rPr>
          <w:spacing w:val="-3"/>
        </w:rPr>
        <w:t xml:space="preserve"> </w:t>
      </w:r>
      <w:r w:rsidRPr="00C20E4A">
        <w:rPr>
          <w:spacing w:val="-1"/>
        </w:rPr>
        <w:t>that</w:t>
      </w:r>
      <w:r w:rsidRPr="00C20E4A">
        <w:t xml:space="preserve"> the</w:t>
      </w:r>
      <w:r w:rsidRPr="00C20E4A">
        <w:rPr>
          <w:spacing w:val="-1"/>
        </w:rPr>
        <w:t xml:space="preserve"> UR</w:t>
      </w:r>
      <w:r w:rsidRPr="00C20E4A">
        <w:t xml:space="preserve"> submits the</w:t>
      </w:r>
      <w:r w:rsidRPr="00C20E4A">
        <w:rPr>
          <w:spacing w:val="-1"/>
        </w:rPr>
        <w:t xml:space="preserve"> completed</w:t>
      </w:r>
      <w:r w:rsidRPr="00C20E4A">
        <w:t xml:space="preserve"> </w:t>
      </w:r>
      <w:r w:rsidRPr="00C20E4A">
        <w:rPr>
          <w:spacing w:val="-1"/>
        </w:rPr>
        <w:t xml:space="preserve">data </w:t>
      </w:r>
      <w:r w:rsidRPr="00C20E4A">
        <w:rPr>
          <w:spacing w:val="2"/>
        </w:rPr>
        <w:t>by</w:t>
      </w:r>
      <w:r w:rsidRPr="00C20E4A">
        <w:rPr>
          <w:spacing w:val="-5"/>
        </w:rPr>
        <w:t xml:space="preserve"> </w:t>
      </w:r>
      <w:r w:rsidRPr="00C20E4A">
        <w:t>the</w:t>
      </w:r>
      <w:r w:rsidRPr="00C20E4A">
        <w:rPr>
          <w:spacing w:val="1"/>
        </w:rPr>
        <w:t xml:space="preserve"> </w:t>
      </w:r>
      <w:r w:rsidRPr="00C20E4A">
        <w:rPr>
          <w:spacing w:val="-1"/>
        </w:rPr>
        <w:t>established</w:t>
      </w:r>
      <w:r w:rsidRPr="00C20E4A">
        <w:t xml:space="preserve"> due</w:t>
      </w:r>
      <w:r w:rsidRPr="00C20E4A">
        <w:rPr>
          <w:spacing w:val="-1"/>
        </w:rPr>
        <w:t xml:space="preserve"> date. The 20</w:t>
      </w:r>
      <w:r w:rsidR="00CF50EE">
        <w:rPr>
          <w:spacing w:val="-1"/>
        </w:rPr>
        <w:t>20</w:t>
      </w:r>
      <w:r w:rsidRPr="00C20E4A">
        <w:rPr>
          <w:spacing w:val="-1"/>
        </w:rPr>
        <w:t xml:space="preserve"> data collection</w:t>
      </w:r>
      <w:r w:rsidRPr="00C20E4A">
        <w:t xml:space="preserve"> plan, including a timetable and communications with GSS stakeholders, is </w:t>
      </w:r>
      <w:r w:rsidRPr="00C20E4A">
        <w:rPr>
          <w:spacing w:val="-1"/>
        </w:rPr>
        <w:t>included</w:t>
      </w:r>
      <w:r w:rsidRPr="00C20E4A">
        <w:t xml:space="preserve"> in </w:t>
      </w:r>
      <w:r w:rsidRPr="00C20E4A">
        <w:rPr>
          <w:spacing w:val="-1"/>
        </w:rPr>
        <w:t>Attachment</w:t>
      </w:r>
      <w:r w:rsidRPr="00C20E4A">
        <w:t xml:space="preserve"> </w:t>
      </w:r>
      <w:r w:rsidR="00775FD1">
        <w:t>1</w:t>
      </w:r>
      <w:r w:rsidR="000B2FB9">
        <w:t>2</w:t>
      </w:r>
      <w:r w:rsidR="0078248D">
        <w:t>.</w:t>
      </w:r>
    </w:p>
    <w:p w:rsidRPr="00C20E4A" w:rsidR="00CF2CBC" w:rsidP="001F48E3" w:rsidRDefault="00295209" w14:paraId="3BF7B0EB" w14:textId="07E9E43B">
      <w:pPr>
        <w:pStyle w:val="BodyText"/>
        <w:spacing w:after="0"/>
      </w:pPr>
      <w:r>
        <w:t>T</w:t>
      </w:r>
      <w:r w:rsidRPr="00C20E4A" w:rsidR="00CF2CBC">
        <w:t xml:space="preserve">he </w:t>
      </w:r>
      <w:r w:rsidRPr="00C20E4A" w:rsidR="00375086">
        <w:t>SC</w:t>
      </w:r>
      <w:r w:rsidRPr="00C20E4A" w:rsidR="00CF2CBC">
        <w:t xml:space="preserve">s </w:t>
      </w:r>
      <w:r>
        <w:t>are</w:t>
      </w:r>
      <w:r w:rsidRPr="00C20E4A" w:rsidR="00CF2CBC">
        <w:t xml:space="preserve"> asked to prepare data files that can be uploaded directly into the GSS web survey instrument for the units that enroll graduate students, and/or employ postdocs or NFRs. The </w:t>
      </w:r>
      <w:r w:rsidRPr="00C20E4A" w:rsidR="00375086">
        <w:t>SC</w:t>
      </w:r>
      <w:r w:rsidRPr="00C20E4A" w:rsidR="00CF2CBC">
        <w:t xml:space="preserve">s </w:t>
      </w:r>
      <w:r>
        <w:t xml:space="preserve">are </w:t>
      </w:r>
      <w:r w:rsidRPr="00C20E4A" w:rsidR="00CF2CBC">
        <w:t xml:space="preserve">provided with survey variable and file specifications for each type of GSS data requested—graduate students, postdocs, and NFRs—as well as file templates (in the form of Microsoft Excel spreadsheets; </w:t>
      </w:r>
      <w:r w:rsidRPr="003B63CF" w:rsidR="00CF2CBC">
        <w:t xml:space="preserve">see </w:t>
      </w:r>
      <w:r w:rsidR="00C0155F">
        <w:t>(</w:t>
      </w:r>
      <w:r w:rsidRPr="003B63CF" w:rsidR="006C4365">
        <w:t>Attachment</w:t>
      </w:r>
      <w:r w:rsidR="004D4C71">
        <w:t>s</w:t>
      </w:r>
      <w:r w:rsidRPr="003B63CF" w:rsidR="006C4365">
        <w:t xml:space="preserve"> </w:t>
      </w:r>
      <w:r w:rsidRPr="003B63CF" w:rsidR="00775FD1">
        <w:t>1</w:t>
      </w:r>
      <w:r w:rsidR="000B2FB9">
        <w:t>3</w:t>
      </w:r>
      <w:r w:rsidR="004D4C71">
        <w:t>a, 13b and 13c</w:t>
      </w:r>
      <w:r w:rsidRPr="00C20E4A" w:rsidR="00CF2CBC">
        <w:t xml:space="preserve">) to organize their data. </w:t>
      </w:r>
    </w:p>
    <w:p w:rsidR="00CF2CBC" w:rsidP="00D04A9F" w:rsidRDefault="00CF2CBC" w14:paraId="1569483F" w14:textId="59FF228C">
      <w:pPr>
        <w:pStyle w:val="BodyText"/>
        <w:spacing w:after="0"/>
      </w:pPr>
      <w:r w:rsidRPr="00C20E4A">
        <w:t xml:space="preserve">The </w:t>
      </w:r>
      <w:r w:rsidRPr="00C20E4A" w:rsidR="00375086">
        <w:t>SC</w:t>
      </w:r>
      <w:r w:rsidRPr="00C20E4A">
        <w:t xml:space="preserve">s who are not ready or </w:t>
      </w:r>
      <w:r w:rsidR="00295209">
        <w:t xml:space="preserve">are </w:t>
      </w:r>
      <w:r w:rsidRPr="00C20E4A">
        <w:t>unable to provide data through data upload method will be allowed to provide their data through the manual entry of requested data in</w:t>
      </w:r>
      <w:r w:rsidR="005E2015">
        <w:t>to</w:t>
      </w:r>
      <w:r w:rsidRPr="00C20E4A">
        <w:t xml:space="preserve"> a series of grids on the GSS web instrument. A hard copy of the GSS</w:t>
      </w:r>
      <w:r w:rsidRPr="00C20E4A">
        <w:rPr>
          <w:spacing w:val="1"/>
        </w:rPr>
        <w:t xml:space="preserve"> </w:t>
      </w:r>
      <w:r w:rsidRPr="00C20E4A" w:rsidR="00C45DDE">
        <w:t>worksheet t</w:t>
      </w:r>
      <w:r w:rsidRPr="00C20E4A">
        <w:t>hat corresponds</w:t>
      </w:r>
      <w:r w:rsidRPr="00C20E4A">
        <w:rPr>
          <w:spacing w:val="-3"/>
        </w:rPr>
        <w:t xml:space="preserve"> </w:t>
      </w:r>
      <w:r w:rsidRPr="00C20E4A">
        <w:t xml:space="preserve">to </w:t>
      </w:r>
      <w:r w:rsidRPr="00C20E4A" w:rsidR="00530F4E">
        <w:t>the GSS web instrument</w:t>
      </w:r>
      <w:r w:rsidRPr="00C20E4A">
        <w:t xml:space="preserve"> will be provided with the survey</w:t>
      </w:r>
      <w:r w:rsidRPr="00C20E4A">
        <w:rPr>
          <w:spacing w:val="-3"/>
        </w:rPr>
        <w:t xml:space="preserve"> </w:t>
      </w:r>
      <w:r w:rsidRPr="00C20E4A">
        <w:t xml:space="preserve">materials to the </w:t>
      </w:r>
      <w:r w:rsidRPr="00C20E4A" w:rsidR="00375086">
        <w:t>SC</w:t>
      </w:r>
      <w:r w:rsidRPr="00C20E4A">
        <w:t>s, i</w:t>
      </w:r>
      <w:r w:rsidRPr="00C20E4A" w:rsidR="00C45DDE">
        <w:t>f r</w:t>
      </w:r>
      <w:r w:rsidRPr="00C20E4A">
        <w:t>equested (</w:t>
      </w:r>
      <w:r w:rsidR="003B63CF">
        <w:t>s</w:t>
      </w:r>
      <w:r w:rsidRPr="003B63CF">
        <w:t xml:space="preserve">ee </w:t>
      </w:r>
      <w:r w:rsidRPr="003B63CF" w:rsidR="006C4365">
        <w:t>Attachment</w:t>
      </w:r>
      <w:r w:rsidRPr="003B63CF" w:rsidR="009B2CDA">
        <w:t xml:space="preserve"> </w:t>
      </w:r>
      <w:r w:rsidRPr="003B63CF" w:rsidR="00775FD1">
        <w:t>1</w:t>
      </w:r>
      <w:r w:rsidR="000B2FB9">
        <w:t>4</w:t>
      </w:r>
      <w:r w:rsidRPr="00C20E4A">
        <w:t>).</w:t>
      </w:r>
      <w:r w:rsidRPr="00C20E4A">
        <w:rPr>
          <w:spacing w:val="2"/>
        </w:rPr>
        <w:t xml:space="preserve"> </w:t>
      </w:r>
      <w:r w:rsidRPr="00C20E4A">
        <w:t>Information can be</w:t>
      </w:r>
      <w:r w:rsidRPr="00C20E4A">
        <w:rPr>
          <w:spacing w:val="1"/>
        </w:rPr>
        <w:t xml:space="preserve"> </w:t>
      </w:r>
      <w:r w:rsidRPr="00C20E4A">
        <w:t>compiled on this worksheet for each unit prior to data entry</w:t>
      </w:r>
      <w:r w:rsidRPr="00C20E4A">
        <w:rPr>
          <w:spacing w:val="-5"/>
        </w:rPr>
        <w:t xml:space="preserve"> </w:t>
      </w:r>
      <w:r w:rsidRPr="00C20E4A">
        <w:t>into the w</w:t>
      </w:r>
      <w:bookmarkStart w:name="_GoBack" w:id="16"/>
      <w:bookmarkEnd w:id="16"/>
      <w:r w:rsidRPr="00C20E4A">
        <w:t>eb instrument.</w:t>
      </w:r>
    </w:p>
    <w:p w:rsidRPr="00C20E4A" w:rsidR="00B52A03" w:rsidP="00B52A03" w:rsidRDefault="00B52A03" w14:paraId="44C45289" w14:textId="1FDBF5C5">
      <w:pPr>
        <w:pStyle w:val="Heading3"/>
        <w:rPr>
          <w:bCs/>
          <w:color w:val="auto"/>
        </w:rPr>
      </w:pPr>
      <w:bookmarkStart w:name="_Toc34383080" w:id="17"/>
      <w:r w:rsidRPr="00C20E4A">
        <w:rPr>
          <w:color w:val="auto"/>
        </w:rPr>
        <w:t>B.</w:t>
      </w:r>
      <w:r>
        <w:rPr>
          <w:color w:val="auto"/>
        </w:rPr>
        <w:t>2.</w:t>
      </w:r>
      <w:r w:rsidR="00003B74">
        <w:rPr>
          <w:color w:val="auto"/>
        </w:rPr>
        <w:t>1</w:t>
      </w:r>
      <w:r>
        <w:rPr>
          <w:color w:val="auto"/>
        </w:rPr>
        <w:t xml:space="preserve">. </w:t>
      </w:r>
      <w:r w:rsidRPr="00C20E4A">
        <w:rPr>
          <w:color w:val="auto"/>
        </w:rPr>
        <w:tab/>
        <w:t>Collecti</w:t>
      </w:r>
      <w:r>
        <w:rPr>
          <w:color w:val="auto"/>
        </w:rPr>
        <w:t>on of</w:t>
      </w:r>
      <w:r w:rsidRPr="00C20E4A">
        <w:rPr>
          <w:color w:val="auto"/>
        </w:rPr>
        <w:t xml:space="preserve"> Data Based on </w:t>
      </w:r>
      <w:r>
        <w:rPr>
          <w:color w:val="auto"/>
        </w:rPr>
        <w:t xml:space="preserve">Updated </w:t>
      </w:r>
      <w:r w:rsidRPr="00C20E4A">
        <w:rPr>
          <w:color w:val="auto"/>
        </w:rPr>
        <w:t>CIP Codes</w:t>
      </w:r>
      <w:bookmarkEnd w:id="17"/>
    </w:p>
    <w:p w:rsidRPr="00C20E4A" w:rsidR="00B52A03" w:rsidP="00B52A03" w:rsidRDefault="00B52A03" w14:paraId="3A9F2C0F" w14:textId="63CD673A">
      <w:pPr>
        <w:pStyle w:val="BodyText"/>
      </w:pPr>
      <w:r>
        <w:t>In 2017</w:t>
      </w:r>
      <w:r w:rsidRPr="00C20E4A">
        <w:t xml:space="preserve">, the GSS </w:t>
      </w:r>
      <w:r>
        <w:t xml:space="preserve">began </w:t>
      </w:r>
      <w:r w:rsidRPr="00C20E4A">
        <w:t>collect</w:t>
      </w:r>
      <w:r>
        <w:t>ing</w:t>
      </w:r>
      <w:r w:rsidRPr="00C20E4A">
        <w:t xml:space="preserve"> disciplinary field data from institutions based on the CIP codes rather than NCSES’s GSS codes. The collection of data by CIP codes </w:t>
      </w:r>
      <w:r>
        <w:t xml:space="preserve">has contributed to a </w:t>
      </w:r>
      <w:r w:rsidRPr="00C20E4A">
        <w:t>reduc</w:t>
      </w:r>
      <w:r>
        <w:t>tion in</w:t>
      </w:r>
      <w:r w:rsidRPr="00C20E4A">
        <w:t xml:space="preserve"> response burden because these codes are commonly used at institutions. CIP is the academic field taxonomy used by the</w:t>
      </w:r>
      <w:r w:rsidR="005D6226">
        <w:t xml:space="preserve"> National Center for Education Statistics (</w:t>
      </w:r>
      <w:r w:rsidRPr="00C20E4A">
        <w:t>NCES</w:t>
      </w:r>
      <w:r w:rsidR="005D6226">
        <w:t>)</w:t>
      </w:r>
      <w:r w:rsidRPr="00C20E4A">
        <w:t xml:space="preserve"> for the IPEDS, a mandatory reporting requirement for institutions receiving Title IV funding. </w:t>
      </w:r>
      <w:r>
        <w:t>S</w:t>
      </w:r>
      <w:r w:rsidRPr="00C20E4A">
        <w:t xml:space="preserve">chools </w:t>
      </w:r>
      <w:r>
        <w:t>still</w:t>
      </w:r>
      <w:r w:rsidRPr="00C20E4A">
        <w:t xml:space="preserve"> have the option of using either CIP codes or GSS codes for reporting postdoc and NFR data only. </w:t>
      </w:r>
      <w:r>
        <w:t xml:space="preserve">In 2018, approximately </w:t>
      </w:r>
      <w:r w:rsidRPr="0054259D">
        <w:t>80%</w:t>
      </w:r>
      <w:r>
        <w:t xml:space="preserve"> of institutions were able to provide student data using CIP codes.</w:t>
      </w:r>
    </w:p>
    <w:p w:rsidRPr="00C20E4A" w:rsidR="00B52A03" w:rsidP="00B52A03" w:rsidRDefault="00B52A03" w14:paraId="076A1092" w14:textId="59FDFEE6">
      <w:pPr>
        <w:spacing w:after="120" w:line="360" w:lineRule="auto"/>
        <w:ind w:firstLine="720"/>
      </w:pPr>
      <w:r>
        <w:t xml:space="preserve">NCES has recently released the 2020 CIP code list. We </w:t>
      </w:r>
      <w:r w:rsidR="009B2CDA">
        <w:t>plan</w:t>
      </w:r>
      <w:r>
        <w:t xml:space="preserve"> to implement these codes in </w:t>
      </w:r>
      <w:r w:rsidR="00624212">
        <w:t xml:space="preserve">the </w:t>
      </w:r>
      <w:r>
        <w:t xml:space="preserve">GSS 2020 because institutions will be required to report IPEDS 2020 data using the new codes, and the GSS data collection follows the IPED data collection. </w:t>
      </w:r>
      <w:r w:rsidRPr="00C20E4A">
        <w:t xml:space="preserve">For SCs uploading data with CIP codes, the recoding of GSS codes will be completed automatically as part of the data </w:t>
      </w:r>
      <w:r w:rsidRPr="00C20E4A">
        <w:lastRenderedPageBreak/>
        <w:t xml:space="preserve">upload process, without further input from respondents. This should mitigate reporting burden for SCs using this method. </w:t>
      </w:r>
    </w:p>
    <w:p w:rsidRPr="00C20E4A" w:rsidR="00B52A03" w:rsidP="00B52A03" w:rsidRDefault="00B52A03" w14:paraId="0B0A71B5" w14:textId="6D84FDA7">
      <w:pPr>
        <w:spacing w:after="120" w:line="360" w:lineRule="auto"/>
        <w:ind w:firstLine="720"/>
      </w:pPr>
      <w:r w:rsidRPr="00C20E4A">
        <w:t xml:space="preserve">SCs that have units without associated CIP codes will need to use a Taxonomy Tool provided in the GSS web instrument to identify the impacted units and recode them to revised GSS codes before either uploading or reporting the data for those units. The Taxonomy Tool </w:t>
      </w:r>
      <w:r>
        <w:t>will be adapted from the one used during the</w:t>
      </w:r>
      <w:r w:rsidRPr="00C20E4A">
        <w:t xml:space="preserve"> 2017 survey cycle. A prototype of the Taxonomy Tool is provided in Attachment </w:t>
      </w:r>
      <w:r w:rsidR="00166F38">
        <w:t>7</w:t>
      </w:r>
      <w:r w:rsidRPr="00C20E4A">
        <w:t>.</w:t>
      </w:r>
      <w:r>
        <w:t xml:space="preserve"> </w:t>
      </w:r>
      <w:r w:rsidRPr="00C20E4A">
        <w:t>To assist SCs, they will be provided with a revised GSS Code List, a GSS/CIP Crosswalk</w:t>
      </w:r>
      <w:r>
        <w:t xml:space="preserve"> </w:t>
      </w:r>
      <w:r w:rsidR="00AC1725">
        <w:t>(Attachment 1</w:t>
      </w:r>
      <w:r w:rsidR="00166F38">
        <w:t>5</w:t>
      </w:r>
      <w:r w:rsidR="00AC1725">
        <w:t xml:space="preserve">) </w:t>
      </w:r>
      <w:r>
        <w:t xml:space="preserve">and </w:t>
      </w:r>
      <w:r w:rsidRPr="00C20E4A">
        <w:t>a</w:t>
      </w:r>
      <w:r>
        <w:t xml:space="preserve"> list of GSS codes with changes</w:t>
      </w:r>
      <w:r w:rsidR="00AC1725">
        <w:t xml:space="preserve"> (Attachment 1</w:t>
      </w:r>
      <w:r w:rsidR="00166F38">
        <w:t>6</w:t>
      </w:r>
      <w:r w:rsidR="00AC1725">
        <w:t>)</w:t>
      </w:r>
      <w:r w:rsidRPr="00C20E4A">
        <w:t xml:space="preserve">. </w:t>
      </w:r>
    </w:p>
    <w:p w:rsidRPr="00C20E4A" w:rsidR="00B52A03" w:rsidP="00D04A9F" w:rsidRDefault="00B52A03" w14:paraId="5D1ED573" w14:textId="77777777">
      <w:pPr>
        <w:pStyle w:val="BodyText"/>
        <w:spacing w:after="0"/>
      </w:pPr>
    </w:p>
    <w:p w:rsidR="00CF2CBC" w:rsidP="00D04A9F" w:rsidRDefault="00CF2CBC" w14:paraId="3255353E" w14:textId="1F61F3DC">
      <w:pPr>
        <w:pStyle w:val="Heading2"/>
        <w:spacing w:before="360"/>
      </w:pPr>
      <w:bookmarkStart w:name="_bookmark0" w:id="18"/>
      <w:bookmarkStart w:name="_Toc488074623" w:id="19"/>
      <w:bookmarkStart w:name="_Toc34383081" w:id="20"/>
      <w:bookmarkEnd w:id="18"/>
      <w:r w:rsidRPr="00C20E4A">
        <w:t>B.3</w:t>
      </w:r>
      <w:r w:rsidRPr="00C20E4A">
        <w:tab/>
      </w:r>
      <w:r w:rsidR="008E2E6C">
        <w:t>Statistical Accuracy of the Collection</w:t>
      </w:r>
      <w:bookmarkEnd w:id="19"/>
      <w:bookmarkEnd w:id="20"/>
    </w:p>
    <w:p w:rsidRPr="003B63CF" w:rsidR="008E2E6C" w:rsidP="00453D8C" w:rsidRDefault="008E2E6C" w14:paraId="271546CF" w14:textId="3523DB2A">
      <w:pPr>
        <w:pStyle w:val="Heading3"/>
        <w:rPr>
          <w:color w:val="auto"/>
        </w:rPr>
      </w:pPr>
      <w:bookmarkStart w:name="_Toc34383082" w:id="21"/>
      <w:proofErr w:type="gramStart"/>
      <w:r w:rsidRPr="003B63CF">
        <w:rPr>
          <w:color w:val="auto"/>
        </w:rPr>
        <w:t>B.3.</w:t>
      </w:r>
      <w:r w:rsidRPr="003B63CF" w:rsidR="00003B74">
        <w:rPr>
          <w:color w:val="auto"/>
        </w:rPr>
        <w:t>1</w:t>
      </w:r>
      <w:r w:rsidRPr="003B63CF">
        <w:rPr>
          <w:color w:val="auto"/>
        </w:rPr>
        <w:t xml:space="preserve">  Methods</w:t>
      </w:r>
      <w:proofErr w:type="gramEnd"/>
      <w:r w:rsidRPr="003B63CF">
        <w:rPr>
          <w:color w:val="auto"/>
        </w:rPr>
        <w:t xml:space="preserve"> </w:t>
      </w:r>
      <w:r w:rsidR="003B63CF">
        <w:rPr>
          <w:color w:val="auto"/>
        </w:rPr>
        <w:t>U</w:t>
      </w:r>
      <w:r w:rsidRPr="003B63CF">
        <w:rPr>
          <w:color w:val="auto"/>
        </w:rPr>
        <w:t xml:space="preserve">sed to </w:t>
      </w:r>
      <w:r w:rsidR="003B63CF">
        <w:rPr>
          <w:color w:val="auto"/>
        </w:rPr>
        <w:t>M</w:t>
      </w:r>
      <w:r w:rsidRPr="003B63CF">
        <w:rPr>
          <w:color w:val="auto"/>
        </w:rPr>
        <w:t xml:space="preserve">aximize </w:t>
      </w:r>
      <w:r w:rsidR="003B63CF">
        <w:rPr>
          <w:color w:val="auto"/>
        </w:rPr>
        <w:t>R</w:t>
      </w:r>
      <w:r w:rsidRPr="003B63CF">
        <w:rPr>
          <w:color w:val="auto"/>
        </w:rPr>
        <w:t xml:space="preserve">esponse </w:t>
      </w:r>
      <w:r w:rsidR="003B63CF">
        <w:rPr>
          <w:color w:val="auto"/>
        </w:rPr>
        <w:t>R</w:t>
      </w:r>
      <w:r w:rsidRPr="003B63CF">
        <w:rPr>
          <w:color w:val="auto"/>
        </w:rPr>
        <w:t>ates</w:t>
      </w:r>
      <w:bookmarkEnd w:id="21"/>
    </w:p>
    <w:p w:rsidRPr="003D6169" w:rsidR="008E2E6C" w:rsidP="0054259D" w:rsidRDefault="008E2E6C" w14:paraId="0135EFEE" w14:textId="77777777"/>
    <w:p w:rsidRPr="00C20E4A" w:rsidR="00CF2CBC" w:rsidP="00CF2CBC" w:rsidRDefault="00CF2CBC" w14:paraId="09E856FB" w14:textId="390BF17F">
      <w:pPr>
        <w:pStyle w:val="BodyText"/>
      </w:pPr>
      <w:r w:rsidRPr="00C20E4A">
        <w:t>Because the</w:t>
      </w:r>
      <w:r w:rsidRPr="00C20E4A">
        <w:rPr>
          <w:spacing w:val="1"/>
        </w:rPr>
        <w:t xml:space="preserve"> </w:t>
      </w:r>
      <w:r w:rsidRPr="00C20E4A">
        <w:t>GSS is designed to produce</w:t>
      </w:r>
      <w:r w:rsidRPr="00C20E4A">
        <w:rPr>
          <w:spacing w:val="1"/>
        </w:rPr>
        <w:t xml:space="preserve"> </w:t>
      </w:r>
      <w:r w:rsidRPr="00C20E4A">
        <w:t>estimates for all U.S. postsecondary institutions that offe</w:t>
      </w:r>
      <w:r w:rsidRPr="00C20E4A" w:rsidR="00C45DDE">
        <w:t>r g</w:t>
      </w:r>
      <w:r w:rsidRPr="00C20E4A">
        <w:t>raduate degree programs in SEH fields, care is made to maximize response rates</w:t>
      </w:r>
      <w:r w:rsidR="006C3291">
        <w:t xml:space="preserve"> and thus reduce the likelihood of biased estimates</w:t>
      </w:r>
      <w:r w:rsidRPr="00C20E4A">
        <w:t xml:space="preserve">. The </w:t>
      </w:r>
      <w:r w:rsidRPr="00C20E4A" w:rsidR="0063765E">
        <w:t>survey staff</w:t>
      </w:r>
      <w:r w:rsidRPr="00C20E4A">
        <w:t xml:space="preserve"> work closely</w:t>
      </w:r>
      <w:r w:rsidRPr="00C20E4A">
        <w:rPr>
          <w:spacing w:val="-5"/>
        </w:rPr>
        <w:t xml:space="preserve"> </w:t>
      </w:r>
      <w:r w:rsidRPr="00C20E4A">
        <w:t>with the SCs to build strong</w:t>
      </w:r>
      <w:r w:rsidRPr="00C20E4A">
        <w:rPr>
          <w:spacing w:val="-3"/>
        </w:rPr>
        <w:t xml:space="preserve"> </w:t>
      </w:r>
      <w:r w:rsidRPr="00C20E4A" w:rsidR="0063765E">
        <w:t>working relationships with all pa</w:t>
      </w:r>
      <w:r w:rsidRPr="00C20E4A">
        <w:t>rticipating</w:t>
      </w:r>
      <w:r w:rsidRPr="00C20E4A">
        <w:rPr>
          <w:spacing w:val="-3"/>
        </w:rPr>
        <w:t xml:space="preserve"> </w:t>
      </w:r>
      <w:r w:rsidRPr="00C20E4A">
        <w:t>institutions and try</w:t>
      </w:r>
      <w:r w:rsidRPr="00C20E4A">
        <w:rPr>
          <w:spacing w:val="-5"/>
        </w:rPr>
        <w:t xml:space="preserve"> </w:t>
      </w:r>
      <w:r w:rsidRPr="00C20E4A">
        <w:t>to</w:t>
      </w:r>
      <w:r w:rsidRPr="00C20E4A">
        <w:rPr>
          <w:spacing w:val="2"/>
        </w:rPr>
        <w:t xml:space="preserve"> </w:t>
      </w:r>
      <w:r w:rsidRPr="00C20E4A">
        <w:t>ensure that</w:t>
      </w:r>
      <w:r w:rsidRPr="00C20E4A">
        <w:rPr>
          <w:spacing w:val="2"/>
        </w:rPr>
        <w:t xml:space="preserve"> </w:t>
      </w:r>
      <w:r w:rsidRPr="00C20E4A">
        <w:t>all contacts are positive.</w:t>
      </w:r>
    </w:p>
    <w:p w:rsidRPr="00C20E4A" w:rsidR="00CF2CBC" w:rsidP="001F48E3" w:rsidRDefault="00CF2CBC" w14:paraId="315D8B4A" w14:textId="77777777">
      <w:pPr>
        <w:pStyle w:val="BodyText"/>
        <w:spacing w:after="0"/>
        <w:ind w:right="-90"/>
      </w:pPr>
      <w:r w:rsidRPr="00C20E4A">
        <w:t>Survey</w:t>
      </w:r>
      <w:r w:rsidRPr="00C20E4A">
        <w:rPr>
          <w:spacing w:val="-5"/>
        </w:rPr>
        <w:t xml:space="preserve"> </w:t>
      </w:r>
      <w:r w:rsidRPr="00C20E4A">
        <w:t>techniques proven successful in past surveys</w:t>
      </w:r>
      <w:r w:rsidRPr="00C20E4A">
        <w:rPr>
          <w:spacing w:val="2"/>
        </w:rPr>
        <w:t xml:space="preserve"> </w:t>
      </w:r>
      <w:r w:rsidRPr="00C20E4A">
        <w:t>will again be used to</w:t>
      </w:r>
      <w:r w:rsidRPr="00C20E4A">
        <w:rPr>
          <w:spacing w:val="2"/>
        </w:rPr>
        <w:t xml:space="preserve"> </w:t>
      </w:r>
      <w:r w:rsidRPr="00C20E4A">
        <w:t>maximize the</w:t>
      </w:r>
      <w:r w:rsidRPr="00C20E4A">
        <w:rPr>
          <w:spacing w:val="61"/>
        </w:rPr>
        <w:t xml:space="preserve"> </w:t>
      </w:r>
      <w:r w:rsidRPr="00C20E4A">
        <w:t>GSS response rate. These</w:t>
      </w:r>
      <w:r w:rsidRPr="00C20E4A">
        <w:rPr>
          <w:spacing w:val="1"/>
        </w:rPr>
        <w:t xml:space="preserve"> </w:t>
      </w:r>
      <w:r w:rsidRPr="00C20E4A">
        <w:t>techniques include:</w:t>
      </w:r>
    </w:p>
    <w:p w:rsidRPr="00C20E4A" w:rsidR="00CF2CBC" w:rsidP="00BE2F63" w:rsidRDefault="00CF2CBC" w14:paraId="6CB560E2" w14:textId="77777777">
      <w:pPr>
        <w:pStyle w:val="ListBullet"/>
        <w:ind w:right="180"/>
      </w:pPr>
      <w:r w:rsidRPr="00C20E4A">
        <w:t>Early</w:t>
      </w:r>
      <w:r w:rsidRPr="00C20E4A">
        <w:rPr>
          <w:spacing w:val="-5"/>
        </w:rPr>
        <w:t xml:space="preserve"> </w:t>
      </w:r>
      <w:r w:rsidRPr="00C20E4A">
        <w:rPr>
          <w:spacing w:val="-1"/>
        </w:rPr>
        <w:t>pre-data</w:t>
      </w:r>
      <w:r w:rsidRPr="00C20E4A">
        <w:rPr>
          <w:spacing w:val="1"/>
        </w:rPr>
        <w:t xml:space="preserve"> </w:t>
      </w:r>
      <w:r w:rsidRPr="00C20E4A">
        <w:rPr>
          <w:spacing w:val="-1"/>
        </w:rPr>
        <w:t>collection</w:t>
      </w:r>
      <w:r w:rsidRPr="00C20E4A">
        <w:t xml:space="preserve"> </w:t>
      </w:r>
      <w:r w:rsidRPr="00C20E4A">
        <w:rPr>
          <w:spacing w:val="-1"/>
        </w:rPr>
        <w:t>confirmation</w:t>
      </w:r>
      <w:r w:rsidRPr="00C20E4A">
        <w:t xml:space="preserve"> of</w:t>
      </w:r>
      <w:r w:rsidRPr="00C20E4A">
        <w:rPr>
          <w:spacing w:val="-1"/>
        </w:rPr>
        <w:t xml:space="preserve"> </w:t>
      </w:r>
      <w:r w:rsidRPr="00C20E4A">
        <w:t>the</w:t>
      </w:r>
      <w:r w:rsidRPr="00C20E4A">
        <w:rPr>
          <w:spacing w:val="-1"/>
        </w:rPr>
        <w:t xml:space="preserve"> </w:t>
      </w:r>
      <w:r w:rsidRPr="00C20E4A">
        <w:t>SC and their contact information</w:t>
      </w:r>
    </w:p>
    <w:p w:rsidRPr="00C20E4A" w:rsidR="00CF2CBC" w:rsidP="00BE2F63" w:rsidRDefault="00CF2CBC" w14:paraId="0552B77D" w14:textId="77777777">
      <w:pPr>
        <w:pStyle w:val="ListBullet"/>
        <w:ind w:right="180"/>
      </w:pPr>
      <w:r w:rsidRPr="00C20E4A">
        <w:rPr>
          <w:spacing w:val="-1"/>
        </w:rPr>
        <w:t>Targeted</w:t>
      </w:r>
      <w:r w:rsidRPr="00C20E4A">
        <w:rPr>
          <w:spacing w:val="2"/>
        </w:rPr>
        <w:t xml:space="preserve"> </w:t>
      </w:r>
      <w:r w:rsidRPr="00C20E4A">
        <w:rPr>
          <w:spacing w:val="-1"/>
        </w:rPr>
        <w:t>e-mails</w:t>
      </w:r>
      <w:r w:rsidRPr="00C20E4A">
        <w:t xml:space="preserve"> </w:t>
      </w:r>
      <w:r w:rsidRPr="00C20E4A">
        <w:rPr>
          <w:spacing w:val="-1"/>
        </w:rPr>
        <w:t>and</w:t>
      </w:r>
      <w:r w:rsidRPr="00C20E4A">
        <w:t xml:space="preserve"> telephone</w:t>
      </w:r>
      <w:r w:rsidRPr="00C20E4A">
        <w:rPr>
          <w:spacing w:val="-1"/>
        </w:rPr>
        <w:t xml:space="preserve"> follow-up</w:t>
      </w:r>
      <w:r w:rsidRPr="00C20E4A">
        <w:t xml:space="preserve"> based </w:t>
      </w:r>
      <w:r w:rsidRPr="00C20E4A">
        <w:rPr>
          <w:spacing w:val="1"/>
        </w:rPr>
        <w:t>on</w:t>
      </w:r>
      <w:r w:rsidRPr="00C20E4A">
        <w:t xml:space="preserve"> </w:t>
      </w:r>
      <w:r w:rsidRPr="00C20E4A">
        <w:rPr>
          <w:spacing w:val="-1"/>
        </w:rPr>
        <w:t>response status</w:t>
      </w:r>
    </w:p>
    <w:p w:rsidRPr="00C20E4A" w:rsidR="00CF2CBC" w:rsidP="00BE2F63" w:rsidRDefault="000B2FB9" w14:paraId="5155F3C7" w14:textId="5FC5DE80">
      <w:pPr>
        <w:pStyle w:val="ListBullet"/>
        <w:ind w:right="180"/>
      </w:pPr>
      <w:r>
        <w:rPr>
          <w:spacing w:val="-1"/>
        </w:rPr>
        <w:t>K</w:t>
      </w:r>
      <w:r w:rsidRPr="00C20E4A" w:rsidR="0063765E">
        <w:rPr>
          <w:spacing w:val="-1"/>
        </w:rPr>
        <w:t xml:space="preserve">nowledgeable survey staff </w:t>
      </w:r>
      <w:r>
        <w:rPr>
          <w:spacing w:val="-1"/>
        </w:rPr>
        <w:t>working at</w:t>
      </w:r>
      <w:r w:rsidRPr="00C20E4A" w:rsidR="0063765E">
        <w:rPr>
          <w:spacing w:val="-1"/>
        </w:rPr>
        <w:t xml:space="preserve"> </w:t>
      </w:r>
      <w:r w:rsidR="00657500">
        <w:rPr>
          <w:spacing w:val="-1"/>
        </w:rPr>
        <w:t xml:space="preserve">the </w:t>
      </w:r>
      <w:r w:rsidRPr="00C20E4A" w:rsidR="0063765E">
        <w:rPr>
          <w:spacing w:val="-1"/>
        </w:rPr>
        <w:t xml:space="preserve">GSS Help Desk </w:t>
      </w:r>
      <w:r w:rsidR="00657500">
        <w:rPr>
          <w:spacing w:val="-1"/>
        </w:rPr>
        <w:t xml:space="preserve">to </w:t>
      </w:r>
      <w:r w:rsidRPr="00C20E4A" w:rsidR="0063765E">
        <w:rPr>
          <w:spacing w:val="-1"/>
        </w:rPr>
        <w:t>respond to questions</w:t>
      </w:r>
      <w:r w:rsidR="00657500">
        <w:rPr>
          <w:spacing w:val="-1"/>
        </w:rPr>
        <w:t xml:space="preserve"> and</w:t>
      </w:r>
      <w:r w:rsidRPr="00C20E4A" w:rsidR="00657500">
        <w:rPr>
          <w:spacing w:val="-1"/>
        </w:rPr>
        <w:t xml:space="preserve"> </w:t>
      </w:r>
      <w:proofErr w:type="gramStart"/>
      <w:r w:rsidRPr="00C20E4A" w:rsidR="0063765E">
        <w:rPr>
          <w:spacing w:val="-1"/>
        </w:rPr>
        <w:t>concerns</w:t>
      </w:r>
      <w:r w:rsidR="00657500">
        <w:rPr>
          <w:spacing w:val="-1"/>
        </w:rPr>
        <w:t xml:space="preserve">, </w:t>
      </w:r>
      <w:r w:rsidRPr="00C20E4A" w:rsidR="0063765E">
        <w:rPr>
          <w:spacing w:val="-1"/>
        </w:rPr>
        <w:t>and</w:t>
      </w:r>
      <w:proofErr w:type="gramEnd"/>
      <w:r w:rsidRPr="00C20E4A" w:rsidR="0063765E">
        <w:rPr>
          <w:spacing w:val="-1"/>
        </w:rPr>
        <w:t xml:space="preserve"> </w:t>
      </w:r>
      <w:r w:rsidR="00657500">
        <w:rPr>
          <w:spacing w:val="-1"/>
        </w:rPr>
        <w:t xml:space="preserve">provide </w:t>
      </w:r>
      <w:r w:rsidRPr="00C20E4A" w:rsidR="00CF2CBC">
        <w:rPr>
          <w:spacing w:val="-1"/>
        </w:rPr>
        <w:t xml:space="preserve">assistance </w:t>
      </w:r>
      <w:r w:rsidRPr="00C20E4A" w:rsidR="00CF2CBC">
        <w:t>to</w:t>
      </w:r>
      <w:r w:rsidRPr="00C20E4A" w:rsidR="00CF2CBC">
        <w:rPr>
          <w:spacing w:val="2"/>
        </w:rPr>
        <w:t xml:space="preserve"> </w:t>
      </w:r>
      <w:r w:rsidRPr="00C20E4A" w:rsidR="00CF2CBC">
        <w:t>the</w:t>
      </w:r>
      <w:r w:rsidRPr="00C20E4A" w:rsidR="0063765E">
        <w:t xml:space="preserve"> </w:t>
      </w:r>
      <w:r w:rsidRPr="00C20E4A" w:rsidR="00375086">
        <w:rPr>
          <w:spacing w:val="-1"/>
        </w:rPr>
        <w:t>SC</w:t>
      </w:r>
      <w:r w:rsidRPr="00C20E4A" w:rsidR="00CF2CBC">
        <w:rPr>
          <w:spacing w:val="-1"/>
        </w:rPr>
        <w:t>s</w:t>
      </w:r>
      <w:r w:rsidRPr="00C20E4A" w:rsidR="00CF2CBC">
        <w:t xml:space="preserve"> </w:t>
      </w:r>
      <w:r w:rsidRPr="00C20E4A" w:rsidR="00CF2CBC">
        <w:rPr>
          <w:spacing w:val="-1"/>
        </w:rPr>
        <w:t>and</w:t>
      </w:r>
      <w:r w:rsidRPr="00C20E4A" w:rsidR="00CF2CBC">
        <w:t xml:space="preserve"> unit </w:t>
      </w:r>
      <w:r w:rsidRPr="00C20E4A" w:rsidR="00CF2CBC">
        <w:rPr>
          <w:spacing w:val="-1"/>
        </w:rPr>
        <w:t>respondents</w:t>
      </w:r>
      <w:r w:rsidRPr="00C20E4A" w:rsidR="0063765E">
        <w:rPr>
          <w:spacing w:val="-1"/>
        </w:rPr>
        <w:t xml:space="preserve"> via telephone and emails.</w:t>
      </w:r>
    </w:p>
    <w:p w:rsidRPr="00C20E4A" w:rsidR="00CF2CBC" w:rsidP="00BE2F63" w:rsidRDefault="00CF2CBC" w14:paraId="6975EA10" w14:textId="1F873583">
      <w:pPr>
        <w:pStyle w:val="ListBullet"/>
        <w:ind w:right="180"/>
      </w:pPr>
      <w:r w:rsidRPr="00C20E4A">
        <w:t>Multiple</w:t>
      </w:r>
      <w:r w:rsidRPr="00C20E4A">
        <w:rPr>
          <w:spacing w:val="-1"/>
        </w:rPr>
        <w:t xml:space="preserve"> modes</w:t>
      </w:r>
      <w:r w:rsidRPr="00C20E4A">
        <w:t xml:space="preserve"> of</w:t>
      </w:r>
      <w:r w:rsidRPr="00C20E4A">
        <w:rPr>
          <w:spacing w:val="-1"/>
        </w:rPr>
        <w:t xml:space="preserve"> data collection</w:t>
      </w:r>
      <w:r w:rsidRPr="00C20E4A">
        <w:t xml:space="preserve"> </w:t>
      </w:r>
      <w:r w:rsidRPr="00C20E4A">
        <w:rPr>
          <w:spacing w:val="-1"/>
        </w:rPr>
        <w:t>allowed</w:t>
      </w:r>
      <w:r w:rsidRPr="00C20E4A">
        <w:t xml:space="preserve"> </w:t>
      </w:r>
      <w:r w:rsidRPr="00C20E4A">
        <w:rPr>
          <w:spacing w:val="-1"/>
        </w:rPr>
        <w:t>(</w:t>
      </w:r>
      <w:r w:rsidRPr="00C20E4A">
        <w:rPr>
          <w:spacing w:val="2"/>
        </w:rPr>
        <w:t>t</w:t>
      </w:r>
      <w:r w:rsidR="00BE2F63">
        <w:rPr>
          <w:spacing w:val="2"/>
        </w:rPr>
        <w:t>wo</w:t>
      </w:r>
      <w:r w:rsidRPr="00C20E4A">
        <w:rPr>
          <w:spacing w:val="2"/>
        </w:rPr>
        <w:t xml:space="preserve"> </w:t>
      </w:r>
      <w:r w:rsidRPr="00C20E4A">
        <w:rPr>
          <w:spacing w:val="-1"/>
        </w:rPr>
        <w:t>data upload options</w:t>
      </w:r>
      <w:r w:rsidR="008E2E6C">
        <w:rPr>
          <w:spacing w:val="-1"/>
        </w:rPr>
        <w:t xml:space="preserve">, </w:t>
      </w:r>
      <w:r w:rsidR="00657500">
        <w:rPr>
          <w:spacing w:val="-1"/>
        </w:rPr>
        <w:t xml:space="preserve">web </w:t>
      </w:r>
      <w:r w:rsidR="008E2E6C">
        <w:rPr>
          <w:spacing w:val="-1"/>
        </w:rPr>
        <w:t>instrument</w:t>
      </w:r>
      <w:r w:rsidRPr="00C20E4A">
        <w:t>)</w:t>
      </w:r>
    </w:p>
    <w:p w:rsidRPr="00C20E4A" w:rsidR="00CF2CBC" w:rsidP="00BE2F63" w:rsidRDefault="00CF2CBC" w14:paraId="29067FCD" w14:textId="77777777">
      <w:pPr>
        <w:pStyle w:val="ListBullet"/>
        <w:ind w:right="180"/>
      </w:pPr>
      <w:r w:rsidRPr="00C20E4A">
        <w:rPr>
          <w:spacing w:val="-1"/>
        </w:rPr>
        <w:t>The inclusion</w:t>
      </w:r>
      <w:r w:rsidRPr="00C20E4A">
        <w:t xml:space="preserve"> of</w:t>
      </w:r>
      <w:r w:rsidRPr="00C20E4A">
        <w:rPr>
          <w:spacing w:val="-1"/>
        </w:rPr>
        <w:t xml:space="preserve"> </w:t>
      </w:r>
      <w:r w:rsidRPr="00C20E4A">
        <w:t>cover</w:t>
      </w:r>
      <w:r w:rsidRPr="00C20E4A">
        <w:rPr>
          <w:spacing w:val="-1"/>
        </w:rPr>
        <w:t xml:space="preserve"> letters</w:t>
      </w:r>
      <w:r w:rsidRPr="00C20E4A">
        <w:t xml:space="preserve"> explaining</w:t>
      </w:r>
      <w:r w:rsidRPr="00C20E4A">
        <w:rPr>
          <w:spacing w:val="-3"/>
        </w:rPr>
        <w:t xml:space="preserve"> </w:t>
      </w:r>
      <w:r w:rsidRPr="00C20E4A">
        <w:t>how</w:t>
      </w:r>
      <w:r w:rsidRPr="00C20E4A">
        <w:rPr>
          <w:spacing w:val="-1"/>
        </w:rPr>
        <w:t xml:space="preserve"> </w:t>
      </w:r>
      <w:r w:rsidRPr="00C20E4A">
        <w:t>the</w:t>
      </w:r>
      <w:r w:rsidRPr="00C20E4A">
        <w:rPr>
          <w:spacing w:val="1"/>
        </w:rPr>
        <w:t xml:space="preserve"> </w:t>
      </w:r>
      <w:r w:rsidRPr="00C20E4A">
        <w:rPr>
          <w:spacing w:val="-1"/>
        </w:rPr>
        <w:t>provided</w:t>
      </w:r>
      <w:r w:rsidRPr="00C20E4A">
        <w:t xml:space="preserve"> </w:t>
      </w:r>
      <w:r w:rsidRPr="00C20E4A">
        <w:rPr>
          <w:spacing w:val="-1"/>
        </w:rPr>
        <w:t xml:space="preserve">data </w:t>
      </w:r>
      <w:r w:rsidRPr="00C20E4A">
        <w:t>are</w:t>
      </w:r>
      <w:r w:rsidRPr="00C20E4A">
        <w:rPr>
          <w:spacing w:val="-1"/>
        </w:rPr>
        <w:t xml:space="preserve"> used</w:t>
      </w:r>
    </w:p>
    <w:p w:rsidRPr="00C20E4A" w:rsidR="00CF2CBC" w:rsidP="00BE2F63" w:rsidRDefault="00CF2CBC" w14:paraId="7961A2BA" w14:textId="6339BEE0">
      <w:pPr>
        <w:pStyle w:val="ListBullet"/>
        <w:ind w:right="180"/>
      </w:pPr>
      <w:r w:rsidRPr="00C20E4A">
        <w:rPr>
          <w:spacing w:val="-1"/>
        </w:rPr>
        <w:t>The inclusion</w:t>
      </w:r>
      <w:r w:rsidRPr="00C20E4A">
        <w:t xml:space="preserve"> </w:t>
      </w:r>
      <w:r w:rsidRPr="00C20E4A" w:rsidR="0063765E">
        <w:t xml:space="preserve">of </w:t>
      </w:r>
      <w:r w:rsidRPr="00C20E4A">
        <w:t>a</w:t>
      </w:r>
      <w:r w:rsidRPr="00C20E4A">
        <w:rPr>
          <w:spacing w:val="-1"/>
        </w:rPr>
        <w:t xml:space="preserve"> “crosswalk”</w:t>
      </w:r>
      <w:r w:rsidRPr="00C20E4A">
        <w:rPr>
          <w:spacing w:val="49"/>
        </w:rPr>
        <w:t xml:space="preserve"> </w:t>
      </w:r>
      <w:r w:rsidRPr="00C20E4A">
        <w:t>listing</w:t>
      </w:r>
      <w:r w:rsidRPr="00C20E4A">
        <w:rPr>
          <w:spacing w:val="-3"/>
        </w:rPr>
        <w:t xml:space="preserve"> </w:t>
      </w:r>
      <w:r w:rsidRPr="00C20E4A">
        <w:t>the</w:t>
      </w:r>
      <w:r w:rsidRPr="00C20E4A">
        <w:rPr>
          <w:spacing w:val="-1"/>
        </w:rPr>
        <w:t xml:space="preserve"> fields</w:t>
      </w:r>
      <w:r w:rsidRPr="00C20E4A">
        <w:t xml:space="preserve"> of</w:t>
      </w:r>
      <w:r w:rsidRPr="00C20E4A">
        <w:rPr>
          <w:spacing w:val="-1"/>
        </w:rPr>
        <w:t xml:space="preserve"> </w:t>
      </w:r>
      <w:r w:rsidRPr="00C20E4A">
        <w:t>study</w:t>
      </w:r>
      <w:r w:rsidRPr="00C20E4A">
        <w:rPr>
          <w:spacing w:val="-3"/>
        </w:rPr>
        <w:t xml:space="preserve"> </w:t>
      </w:r>
      <w:r w:rsidRPr="00C20E4A">
        <w:rPr>
          <w:spacing w:val="-1"/>
        </w:rPr>
        <w:t>for which</w:t>
      </w:r>
      <w:r w:rsidRPr="00C20E4A">
        <w:t xml:space="preserve"> data</w:t>
      </w:r>
      <w:r w:rsidRPr="00C20E4A">
        <w:rPr>
          <w:spacing w:val="-1"/>
        </w:rPr>
        <w:t xml:space="preserve"> </w:t>
      </w:r>
      <w:r w:rsidRPr="00C20E4A">
        <w:t>are</w:t>
      </w:r>
      <w:r w:rsidRPr="00C20E4A">
        <w:rPr>
          <w:spacing w:val="-1"/>
        </w:rPr>
        <w:t xml:space="preserve"> </w:t>
      </w:r>
      <w:r w:rsidRPr="00C20E4A">
        <w:t>requested along</w:t>
      </w:r>
      <w:r w:rsidRPr="00C20E4A">
        <w:rPr>
          <w:spacing w:val="-3"/>
        </w:rPr>
        <w:t xml:space="preserve"> </w:t>
      </w:r>
      <w:r w:rsidRPr="00C20E4A">
        <w:rPr>
          <w:spacing w:val="-1"/>
        </w:rPr>
        <w:t>with</w:t>
      </w:r>
      <w:r w:rsidRPr="00C20E4A">
        <w:t xml:space="preserve"> </w:t>
      </w:r>
      <w:r w:rsidRPr="00C20E4A">
        <w:rPr>
          <w:spacing w:val="-1"/>
        </w:rPr>
        <w:t>CIP</w:t>
      </w:r>
      <w:r w:rsidRPr="00C20E4A">
        <w:t xml:space="preserve"> </w:t>
      </w:r>
      <w:r w:rsidRPr="00C20E4A">
        <w:rPr>
          <w:spacing w:val="-1"/>
        </w:rPr>
        <w:t>codes</w:t>
      </w:r>
      <w:r w:rsidRPr="00C20E4A">
        <w:t xml:space="preserve"> for</w:t>
      </w:r>
      <w:r w:rsidRPr="00C20E4A">
        <w:rPr>
          <w:spacing w:val="-1"/>
        </w:rPr>
        <w:t xml:space="preserve"> </w:t>
      </w:r>
      <w:r w:rsidRPr="00C20E4A">
        <w:t>these</w:t>
      </w:r>
      <w:r w:rsidRPr="00C20E4A">
        <w:rPr>
          <w:spacing w:val="-1"/>
        </w:rPr>
        <w:t xml:space="preserve"> fields.</w:t>
      </w:r>
      <w:r w:rsidRPr="00C20E4A">
        <w:t xml:space="preserve"> </w:t>
      </w:r>
      <w:r w:rsidRPr="00C20E4A">
        <w:rPr>
          <w:spacing w:val="-1"/>
        </w:rPr>
        <w:t>This</w:t>
      </w:r>
      <w:r w:rsidRPr="00C20E4A">
        <w:t xml:space="preserve"> </w:t>
      </w:r>
      <w:r w:rsidRPr="00C20E4A">
        <w:rPr>
          <w:spacing w:val="-1"/>
        </w:rPr>
        <w:t>crosswalk</w:t>
      </w:r>
      <w:r w:rsidRPr="00C20E4A">
        <w:t xml:space="preserve"> is </w:t>
      </w:r>
      <w:r w:rsidRPr="00C20E4A">
        <w:rPr>
          <w:spacing w:val="-1"/>
        </w:rPr>
        <w:t xml:space="preserve">for </w:t>
      </w:r>
      <w:r w:rsidRPr="00C20E4A">
        <w:t>the</w:t>
      </w:r>
      <w:r w:rsidRPr="00C20E4A">
        <w:rPr>
          <w:spacing w:val="-1"/>
        </w:rPr>
        <w:t xml:space="preserve"> convenience</w:t>
      </w:r>
      <w:r w:rsidRPr="00C20E4A">
        <w:rPr>
          <w:spacing w:val="1"/>
        </w:rPr>
        <w:t xml:space="preserve"> </w:t>
      </w:r>
      <w:r w:rsidRPr="00C20E4A">
        <w:t>of</w:t>
      </w:r>
      <w:r w:rsidRPr="00C20E4A">
        <w:rPr>
          <w:spacing w:val="-1"/>
        </w:rPr>
        <w:t xml:space="preserve"> </w:t>
      </w:r>
      <w:r w:rsidRPr="00C20E4A">
        <w:t>the</w:t>
      </w:r>
      <w:r w:rsidRPr="00C20E4A">
        <w:rPr>
          <w:spacing w:val="-1"/>
        </w:rPr>
        <w:t xml:space="preserve"> </w:t>
      </w:r>
      <w:r w:rsidRPr="00C20E4A">
        <w:t xml:space="preserve">institutions </w:t>
      </w:r>
      <w:r w:rsidRPr="00C20E4A">
        <w:rPr>
          <w:spacing w:val="-1"/>
        </w:rPr>
        <w:t>using</w:t>
      </w:r>
      <w:r w:rsidRPr="00C20E4A">
        <w:rPr>
          <w:spacing w:val="-3"/>
        </w:rPr>
        <w:t xml:space="preserve"> </w:t>
      </w:r>
      <w:r w:rsidRPr="00C20E4A">
        <w:rPr>
          <w:spacing w:val="-1"/>
        </w:rPr>
        <w:t>CIP</w:t>
      </w:r>
      <w:r w:rsidRPr="00C20E4A">
        <w:t xml:space="preserve"> </w:t>
      </w:r>
      <w:r w:rsidRPr="00C20E4A">
        <w:rPr>
          <w:spacing w:val="-1"/>
        </w:rPr>
        <w:t>codes</w:t>
      </w:r>
      <w:r w:rsidRPr="00C20E4A" w:rsidR="006C4365">
        <w:rPr>
          <w:spacing w:val="-1"/>
        </w:rPr>
        <w:t xml:space="preserve"> </w:t>
      </w:r>
      <w:r w:rsidRPr="00C20E4A">
        <w:t xml:space="preserve">in </w:t>
      </w:r>
      <w:r w:rsidRPr="00C20E4A">
        <w:rPr>
          <w:spacing w:val="-1"/>
        </w:rPr>
        <w:t>reporting</w:t>
      </w:r>
      <w:r w:rsidRPr="00C20E4A">
        <w:rPr>
          <w:spacing w:val="-3"/>
        </w:rPr>
        <w:t xml:space="preserve"> </w:t>
      </w:r>
      <w:r w:rsidRPr="00C20E4A">
        <w:t>their</w:t>
      </w:r>
      <w:r w:rsidRPr="00C20E4A">
        <w:rPr>
          <w:spacing w:val="-1"/>
        </w:rPr>
        <w:t xml:space="preserve"> enrollment</w:t>
      </w:r>
      <w:r w:rsidRPr="00C20E4A">
        <w:t xml:space="preserve"> </w:t>
      </w:r>
      <w:r w:rsidRPr="00C20E4A">
        <w:rPr>
          <w:spacing w:val="-1"/>
        </w:rPr>
        <w:t>and</w:t>
      </w:r>
      <w:r w:rsidRPr="00C20E4A">
        <w:t xml:space="preserve"> </w:t>
      </w:r>
      <w:r w:rsidRPr="00C20E4A">
        <w:rPr>
          <w:spacing w:val="-1"/>
        </w:rPr>
        <w:t>degree award data</w:t>
      </w:r>
      <w:r w:rsidRPr="00C20E4A">
        <w:t xml:space="preserve"> to the</w:t>
      </w:r>
      <w:r w:rsidRPr="00C20E4A">
        <w:rPr>
          <w:spacing w:val="1"/>
        </w:rPr>
        <w:t xml:space="preserve"> NCES </w:t>
      </w:r>
      <w:r w:rsidRPr="00C20E4A">
        <w:rPr>
          <w:spacing w:val="-1"/>
        </w:rPr>
        <w:t>IPEDS</w:t>
      </w:r>
      <w:r w:rsidRPr="00C20E4A">
        <w:t xml:space="preserve"> data collection </w:t>
      </w:r>
      <w:r w:rsidR="00BA1A0D">
        <w:rPr>
          <w:spacing w:val="-1"/>
        </w:rPr>
        <w:t>(s</w:t>
      </w:r>
      <w:r w:rsidRPr="00C20E4A">
        <w:rPr>
          <w:spacing w:val="-1"/>
        </w:rPr>
        <w:t>ee</w:t>
      </w:r>
      <w:r w:rsidRPr="00C20E4A">
        <w:rPr>
          <w:spacing w:val="1"/>
        </w:rPr>
        <w:t xml:space="preserve"> </w:t>
      </w:r>
      <w:r w:rsidRPr="00C20E4A">
        <w:rPr>
          <w:spacing w:val="-1"/>
        </w:rPr>
        <w:t>Attachment</w:t>
      </w:r>
      <w:r w:rsidRPr="00C20E4A">
        <w:t xml:space="preserve"> </w:t>
      </w:r>
      <w:r w:rsidR="00AC1725">
        <w:t>1</w:t>
      </w:r>
      <w:r w:rsidR="00166F38">
        <w:t>5</w:t>
      </w:r>
      <w:r w:rsidRPr="00C20E4A">
        <w:t>)</w:t>
      </w:r>
    </w:p>
    <w:p w:rsidRPr="00C20E4A" w:rsidR="00CF2CBC" w:rsidP="00BE2F63" w:rsidRDefault="00CF2CBC" w14:paraId="31ACAFCF" w14:textId="77777777">
      <w:pPr>
        <w:pStyle w:val="ListBullet"/>
        <w:spacing w:after="0"/>
        <w:ind w:right="180"/>
      </w:pPr>
      <w:r w:rsidRPr="00C20E4A">
        <w:rPr>
          <w:spacing w:val="-1"/>
        </w:rPr>
        <w:t>Enlistment</w:t>
      </w:r>
      <w:r w:rsidRPr="00C20E4A">
        <w:t xml:space="preserve"> of</w:t>
      </w:r>
      <w:r w:rsidRPr="00C20E4A">
        <w:rPr>
          <w:spacing w:val="-1"/>
        </w:rPr>
        <w:t xml:space="preserve"> others</w:t>
      </w:r>
      <w:r w:rsidRPr="00C20E4A">
        <w:t xml:space="preserve"> </w:t>
      </w:r>
      <w:r w:rsidRPr="00C20E4A">
        <w:rPr>
          <w:spacing w:val="-1"/>
        </w:rPr>
        <w:t>at</w:t>
      </w:r>
      <w:r w:rsidRPr="00C20E4A">
        <w:t xml:space="preserve"> the</w:t>
      </w:r>
      <w:r w:rsidRPr="00C20E4A">
        <w:rPr>
          <w:spacing w:val="-1"/>
        </w:rPr>
        <w:t xml:space="preserve"> </w:t>
      </w:r>
      <w:r w:rsidRPr="00C20E4A">
        <w:t xml:space="preserve">institution, </w:t>
      </w:r>
      <w:r w:rsidRPr="00C20E4A">
        <w:rPr>
          <w:spacing w:val="-1"/>
        </w:rPr>
        <w:t>as</w:t>
      </w:r>
      <w:r w:rsidRPr="00C20E4A">
        <w:t xml:space="preserve"> </w:t>
      </w:r>
      <w:r w:rsidRPr="00C20E4A">
        <w:rPr>
          <w:spacing w:val="-1"/>
        </w:rPr>
        <w:t>appropriate,</w:t>
      </w:r>
      <w:r w:rsidRPr="00C20E4A">
        <w:t xml:space="preserve"> to </w:t>
      </w:r>
      <w:r w:rsidRPr="00C20E4A">
        <w:rPr>
          <w:spacing w:val="-1"/>
        </w:rPr>
        <w:t>gain</w:t>
      </w:r>
      <w:r w:rsidRPr="00C20E4A">
        <w:rPr>
          <w:spacing w:val="2"/>
        </w:rPr>
        <w:t xml:space="preserve"> </w:t>
      </w:r>
      <w:r w:rsidRPr="00C20E4A">
        <w:rPr>
          <w:spacing w:val="-1"/>
        </w:rPr>
        <w:t>cooperation</w:t>
      </w:r>
    </w:p>
    <w:p w:rsidR="00CF2CBC" w:rsidP="001D398B" w:rsidRDefault="00CF2CBC" w14:paraId="52524B70" w14:textId="5DE73CBC">
      <w:pPr>
        <w:pStyle w:val="BodyText"/>
        <w:spacing w:before="240" w:after="0"/>
      </w:pPr>
      <w:r w:rsidRPr="00C20E4A">
        <w:lastRenderedPageBreak/>
        <w:t>In addition to the methods listed above, a series of workshops and presentations w</w:t>
      </w:r>
      <w:r w:rsidR="00145C52">
        <w:t>ere</w:t>
      </w:r>
      <w:r w:rsidR="006D22BB">
        <w:t xml:space="preserve"> </w:t>
      </w:r>
      <w:r w:rsidRPr="00C20E4A">
        <w:t xml:space="preserve">offered at professional conferences that GSS </w:t>
      </w:r>
      <w:r w:rsidRPr="00C20E4A" w:rsidR="00375086">
        <w:t>SC</w:t>
      </w:r>
      <w:r w:rsidRPr="00C20E4A">
        <w:t xml:space="preserve">s frequently attend to introduce institutions to the </w:t>
      </w:r>
      <w:r w:rsidRPr="00C20E4A" w:rsidR="003010C1">
        <w:t>changes planned as part of the 2017 data collection</w:t>
      </w:r>
      <w:r w:rsidRPr="00C20E4A">
        <w:t xml:space="preserve">. </w:t>
      </w:r>
      <w:r w:rsidRPr="00C20E4A" w:rsidR="003010C1">
        <w:t>To date, p</w:t>
      </w:r>
      <w:r w:rsidRPr="00C20E4A">
        <w:t xml:space="preserve">resentations and workshops </w:t>
      </w:r>
      <w:r w:rsidRPr="00C20E4A" w:rsidR="003010C1">
        <w:t xml:space="preserve">have been offered </w:t>
      </w:r>
      <w:r w:rsidRPr="00C20E4A">
        <w:t>at the Association for Institutional Research Annual Forum (AIR), regional AIR conferences, and the Council on Graduate Schools</w:t>
      </w:r>
      <w:r w:rsidR="00657500">
        <w:t xml:space="preserve"> annual meeting</w:t>
      </w:r>
      <w:r w:rsidRPr="00C20E4A">
        <w:t xml:space="preserve">. Additionally, </w:t>
      </w:r>
      <w:r w:rsidR="00657500">
        <w:t xml:space="preserve">the </w:t>
      </w:r>
      <w:r w:rsidRPr="00C20E4A">
        <w:t xml:space="preserve">GSS </w:t>
      </w:r>
      <w:r w:rsidR="00657500">
        <w:t xml:space="preserve">survey staff </w:t>
      </w:r>
      <w:r w:rsidRPr="00C20E4A">
        <w:t xml:space="preserve">will conduct a series of webinars to provide specific instructions and support for </w:t>
      </w:r>
      <w:r w:rsidRPr="00C20E4A" w:rsidR="00375086">
        <w:t>SC</w:t>
      </w:r>
      <w:r w:rsidRPr="00C20E4A">
        <w:t xml:space="preserve">s navigating the changes in </w:t>
      </w:r>
      <w:r w:rsidR="00657500">
        <w:t xml:space="preserve">the </w:t>
      </w:r>
      <w:r w:rsidRPr="00C20E4A" w:rsidR="003010C1">
        <w:t xml:space="preserve">GSS </w:t>
      </w:r>
      <w:r w:rsidRPr="00C20E4A">
        <w:t>data collection.</w:t>
      </w:r>
    </w:p>
    <w:p w:rsidRPr="00C20E4A" w:rsidR="007C57C0" w:rsidP="007C57C0" w:rsidRDefault="007C57C0" w14:paraId="424A2049" w14:textId="0FE485DD">
      <w:pPr>
        <w:pStyle w:val="Heading3"/>
        <w:spacing w:before="120"/>
        <w:rPr>
          <w:bCs/>
          <w:color w:val="auto"/>
        </w:rPr>
      </w:pPr>
      <w:bookmarkStart w:name="_Toc34383083" w:id="22"/>
      <w:r w:rsidRPr="00C20E4A">
        <w:rPr>
          <w:color w:val="auto"/>
        </w:rPr>
        <w:t>B.</w:t>
      </w:r>
      <w:r>
        <w:rPr>
          <w:color w:val="auto"/>
        </w:rPr>
        <w:t>3</w:t>
      </w:r>
      <w:r w:rsidRPr="00C20E4A">
        <w:rPr>
          <w:color w:val="auto"/>
        </w:rPr>
        <w:t>.</w:t>
      </w:r>
      <w:r w:rsidR="00003B74">
        <w:rPr>
          <w:color w:val="auto"/>
        </w:rPr>
        <w:t>2</w:t>
      </w:r>
      <w:r w:rsidRPr="00C20E4A">
        <w:rPr>
          <w:color w:val="auto"/>
        </w:rPr>
        <w:tab/>
      </w:r>
      <w:r>
        <w:rPr>
          <w:color w:val="auto"/>
        </w:rPr>
        <w:t>Imputation Methods for Unit</w:t>
      </w:r>
      <w:r w:rsidRPr="000D7964">
        <w:rPr>
          <w:color w:val="auto"/>
        </w:rPr>
        <w:t xml:space="preserve"> </w:t>
      </w:r>
      <w:r>
        <w:rPr>
          <w:color w:val="auto"/>
        </w:rPr>
        <w:t xml:space="preserve">and </w:t>
      </w:r>
      <w:r w:rsidRPr="00C20E4A">
        <w:rPr>
          <w:color w:val="auto"/>
        </w:rPr>
        <w:t>Item</w:t>
      </w:r>
      <w:r w:rsidRPr="00C20E4A">
        <w:rPr>
          <w:color w:val="auto"/>
          <w:spacing w:val="-4"/>
        </w:rPr>
        <w:t xml:space="preserve"> </w:t>
      </w:r>
      <w:r w:rsidRPr="00C20E4A">
        <w:rPr>
          <w:color w:val="auto"/>
        </w:rPr>
        <w:t>Nonresponse</w:t>
      </w:r>
      <w:bookmarkEnd w:id="22"/>
      <w:r w:rsidRPr="00C20E4A">
        <w:rPr>
          <w:color w:val="auto"/>
        </w:rPr>
        <w:t xml:space="preserve"> </w:t>
      </w:r>
    </w:p>
    <w:p w:rsidR="007C57C0" w:rsidP="007C57C0" w:rsidRDefault="007C57C0" w14:paraId="30C56650" w14:textId="6BD58FD4">
      <w:pPr>
        <w:pStyle w:val="BodyText"/>
      </w:pPr>
      <w:r>
        <w:rPr>
          <w:b/>
          <w:bCs/>
        </w:rPr>
        <w:t xml:space="preserve">Unit and </w:t>
      </w:r>
      <w:r w:rsidRPr="00F77927">
        <w:rPr>
          <w:b/>
          <w:bCs/>
        </w:rPr>
        <w:t xml:space="preserve">Item nonresponse.  </w:t>
      </w:r>
      <w:r w:rsidRPr="002D0F65">
        <w:t xml:space="preserve">One of the key goals of the redesign was to improve the quality of data collected by </w:t>
      </w:r>
      <w:r>
        <w:t xml:space="preserve">the </w:t>
      </w:r>
      <w:r w:rsidRPr="002D0F65">
        <w:t>GSS.</w:t>
      </w:r>
      <w:r>
        <w:t xml:space="preserve"> </w:t>
      </w:r>
      <w:r w:rsidRPr="002D0F65">
        <w:t xml:space="preserve">Balancing the request for additional detail by degree level </w:t>
      </w:r>
      <w:r>
        <w:t xml:space="preserve">and </w:t>
      </w:r>
      <w:r w:rsidRPr="002D0F65">
        <w:t>revising the primary method of data reporting while maintaining historically high response rates on a voluntary survey w</w:t>
      </w:r>
      <w:r>
        <w:t>ere</w:t>
      </w:r>
      <w:r w:rsidRPr="002D0F65">
        <w:t xml:space="preserve"> overarching challenge</w:t>
      </w:r>
      <w:r>
        <w:t>s</w:t>
      </w:r>
      <w:r w:rsidRPr="002D0F65">
        <w:t xml:space="preserve"> for </w:t>
      </w:r>
      <w:r>
        <w:t>NCSES</w:t>
      </w:r>
      <w:r w:rsidRPr="002D0F65">
        <w:t xml:space="preserve">. </w:t>
      </w:r>
      <w:r>
        <w:t xml:space="preserve">NCSES </w:t>
      </w:r>
      <w:r w:rsidRPr="002D0F65">
        <w:t xml:space="preserve">understood that in light of major changes to the survey methodology, some respondents might choose not to participate in </w:t>
      </w:r>
      <w:r w:rsidR="00657500">
        <w:t xml:space="preserve">the 2017 </w:t>
      </w:r>
      <w:r w:rsidRPr="002D0F65">
        <w:t>GSS.</w:t>
      </w:r>
      <w:r>
        <w:t xml:space="preserve"> </w:t>
      </w:r>
      <w:r w:rsidRPr="002D0F65">
        <w:t xml:space="preserve">As </w:t>
      </w:r>
      <w:r w:rsidR="002814FC">
        <w:t>Exhibit</w:t>
      </w:r>
      <w:r>
        <w:t xml:space="preserve"> 1</w:t>
      </w:r>
      <w:r w:rsidR="002814FC">
        <w:t>1</w:t>
      </w:r>
      <w:r w:rsidRPr="002D0F65">
        <w:t xml:space="preserve"> demonstrates, this concern was appropriate.</w:t>
      </w:r>
      <w:r>
        <w:t xml:space="preserve"> </w:t>
      </w:r>
      <w:r w:rsidRPr="002D0F65">
        <w:t>School nonresponse increased from 1.3</w:t>
      </w:r>
      <w:r>
        <w:t>%</w:t>
      </w:r>
      <w:r w:rsidRPr="002D0F65">
        <w:t xml:space="preserve"> in 2016 to 4.4</w:t>
      </w:r>
      <w:r>
        <w:t>%</w:t>
      </w:r>
      <w:r w:rsidRPr="002D0F65">
        <w:t xml:space="preserve"> in 2017, and unit nonresponse increased from 0.5</w:t>
      </w:r>
      <w:r>
        <w:t>%</w:t>
      </w:r>
      <w:r w:rsidRPr="002D0F65">
        <w:t xml:space="preserve"> to 2.4</w:t>
      </w:r>
      <w:r>
        <w:t>%</w:t>
      </w:r>
      <w:r w:rsidRPr="002D0F65">
        <w:t>.</w:t>
      </w:r>
      <w:r>
        <w:t xml:space="preserve"> </w:t>
      </w:r>
      <w:r w:rsidRPr="002D0F65">
        <w:t>However, results from the</w:t>
      </w:r>
      <w:r w:rsidR="00657500">
        <w:t xml:space="preserve"> </w:t>
      </w:r>
      <w:r w:rsidR="006D22BB">
        <w:t>2018</w:t>
      </w:r>
      <w:r w:rsidRPr="002D0F65">
        <w:t xml:space="preserve"> GSS</w:t>
      </w:r>
      <w:r>
        <w:t xml:space="preserve"> </w:t>
      </w:r>
      <w:r w:rsidRPr="002D0F65">
        <w:t>data collection show that the increase in school nonresponse rates may be temporary.</w:t>
      </w:r>
      <w:r>
        <w:t xml:space="preserve"> T</w:t>
      </w:r>
      <w:r w:rsidRPr="002D0F65">
        <w:t>he school</w:t>
      </w:r>
      <w:r>
        <w:t>-</w:t>
      </w:r>
      <w:r w:rsidRPr="002D0F65">
        <w:t xml:space="preserve">level nonresponse rate for </w:t>
      </w:r>
      <w:r w:rsidR="00657500">
        <w:t xml:space="preserve">the </w:t>
      </w:r>
      <w:r w:rsidRPr="002D0F65">
        <w:t xml:space="preserve">2018 </w:t>
      </w:r>
      <w:r w:rsidR="00657500">
        <w:t xml:space="preserve">survey cycle </w:t>
      </w:r>
      <w:r w:rsidRPr="002D0F65">
        <w:t>was 2</w:t>
      </w:r>
      <w:r>
        <w:t>.6%</w:t>
      </w:r>
      <w:r w:rsidRPr="002D0F65">
        <w:t>, while unit nonresponse was 1.</w:t>
      </w:r>
      <w:r>
        <w:t>1%</w:t>
      </w:r>
      <w:r w:rsidRPr="002D0F65">
        <w:t>.</w:t>
      </w:r>
      <w:r>
        <w:t xml:space="preserve"> Item-level nonresponse increased slightly in 2018 but still remains lower than the levels seen prior to the redesign. </w:t>
      </w:r>
    </w:p>
    <w:p w:rsidR="007C57C0" w:rsidP="007C57C0" w:rsidRDefault="007C57C0" w14:paraId="1FF2E414" w14:textId="77777777">
      <w:pPr>
        <w:widowControl w:val="0"/>
        <w:rPr>
          <w:b/>
          <w:iCs/>
          <w:szCs w:val="18"/>
        </w:rPr>
      </w:pPr>
    </w:p>
    <w:p w:rsidRPr="00DC1B91" w:rsidR="007C57C0" w:rsidP="007C57C0" w:rsidRDefault="002814FC" w14:paraId="4424A503" w14:textId="282A76D1">
      <w:pPr>
        <w:pStyle w:val="TableTitle"/>
        <w:rPr>
          <w:rFonts w:eastAsia="Times New Roman" w:cs="Arial"/>
          <w:bCs/>
          <w:color w:val="000000"/>
        </w:rPr>
      </w:pPr>
      <w:r>
        <w:t>Exhibit</w:t>
      </w:r>
      <w:r w:rsidRPr="00DC1B91" w:rsidR="007C57C0">
        <w:rPr>
          <w:rFonts w:eastAsia="Times New Roman" w:cs="Arial"/>
          <w:bCs/>
          <w:color w:val="000000"/>
        </w:rPr>
        <w:t xml:space="preserve"> </w:t>
      </w:r>
      <w:r w:rsidR="007C57C0">
        <w:rPr>
          <w:rFonts w:eastAsia="Times New Roman" w:cs="Arial"/>
          <w:bCs/>
          <w:color w:val="000000"/>
        </w:rPr>
        <w:t>1</w:t>
      </w:r>
      <w:r>
        <w:rPr>
          <w:rFonts w:eastAsia="Times New Roman" w:cs="Arial"/>
          <w:bCs/>
          <w:color w:val="000000"/>
        </w:rPr>
        <w:t>1</w:t>
      </w:r>
      <w:r w:rsidRPr="00DC1B91" w:rsidR="007C57C0">
        <w:rPr>
          <w:rFonts w:eastAsia="Times New Roman" w:cs="Arial"/>
          <w:bCs/>
          <w:color w:val="000000"/>
        </w:rPr>
        <w:t>. School and unit level nonresponse rates: 2014</w:t>
      </w:r>
      <w:r w:rsidRPr="00DC1B91" w:rsidR="007C57C0">
        <w:rPr>
          <w:rFonts w:eastAsia="Times New Roman" w:cs="Calibri"/>
          <w:bCs/>
          <w:color w:val="000000"/>
        </w:rPr>
        <w:t>–</w:t>
      </w:r>
      <w:r w:rsidRPr="00DC1B91" w:rsidR="007C57C0">
        <w:rPr>
          <w:rFonts w:eastAsia="Times New Roman" w:cs="Arial"/>
          <w:bCs/>
          <w:color w:val="000000"/>
        </w:rPr>
        <w:t>18</w:t>
      </w:r>
    </w:p>
    <w:tbl>
      <w:tblPr>
        <w:tblStyle w:val="TableGridNSF"/>
        <w:tblW w:w="5940" w:type="dxa"/>
        <w:tblLook w:val="0620" w:firstRow="1" w:lastRow="0" w:firstColumn="0" w:lastColumn="0" w:noHBand="1" w:noVBand="1"/>
      </w:tblPr>
      <w:tblGrid>
        <w:gridCol w:w="990"/>
        <w:gridCol w:w="990"/>
        <w:gridCol w:w="990"/>
        <w:gridCol w:w="990"/>
        <w:gridCol w:w="990"/>
        <w:gridCol w:w="990"/>
      </w:tblGrid>
      <w:tr w:rsidRPr="003468A9" w:rsidR="007C57C0" w:rsidTr="00775FD1" w14:paraId="5AA5D11B" w14:textId="77777777">
        <w:trPr>
          <w:cnfStyle w:val="100000000000" w:firstRow="1" w:lastRow="0" w:firstColumn="0" w:lastColumn="0" w:oddVBand="0" w:evenVBand="0" w:oddHBand="0" w:evenHBand="0" w:firstRowFirstColumn="0" w:firstRowLastColumn="0" w:lastRowFirstColumn="0" w:lastRowLastColumn="0"/>
          <w:trHeight w:val="255"/>
          <w:tblHeader/>
        </w:trPr>
        <w:tc>
          <w:tcPr>
            <w:tcW w:w="990" w:type="dxa"/>
            <w:vMerge w:val="restart"/>
            <w:tcBorders>
              <w:bottom w:val="single" w:color="auto" w:sz="4" w:space="0"/>
            </w:tcBorders>
            <w:vAlign w:val="bottom"/>
            <w:hideMark/>
          </w:tcPr>
          <w:p w:rsidRPr="003468A9" w:rsidR="007C57C0" w:rsidP="00775FD1" w:rsidRDefault="007C57C0" w14:paraId="4CDB4472" w14:textId="77777777">
            <w:pPr>
              <w:pStyle w:val="TableHeader"/>
              <w:jc w:val="left"/>
            </w:pPr>
            <w:bookmarkStart w:name="_Hlk19258993" w:id="23"/>
            <w:r w:rsidRPr="003468A9">
              <w:t>Year</w:t>
            </w:r>
          </w:p>
        </w:tc>
        <w:tc>
          <w:tcPr>
            <w:tcW w:w="990" w:type="dxa"/>
            <w:vMerge w:val="restart"/>
            <w:vAlign w:val="bottom"/>
          </w:tcPr>
          <w:p w:rsidRPr="003468A9" w:rsidR="007C57C0" w:rsidP="00775FD1" w:rsidRDefault="007C57C0" w14:paraId="12DDB9E2" w14:textId="77777777">
            <w:pPr>
              <w:pStyle w:val="TableHeader"/>
              <w:jc w:val="right"/>
            </w:pPr>
            <w:r w:rsidRPr="003468A9">
              <w:t>Schools</w:t>
            </w:r>
          </w:p>
        </w:tc>
        <w:tc>
          <w:tcPr>
            <w:tcW w:w="990" w:type="dxa"/>
            <w:vMerge w:val="restart"/>
            <w:vAlign w:val="bottom"/>
          </w:tcPr>
          <w:p w:rsidRPr="003468A9" w:rsidR="007C57C0" w:rsidP="00775FD1" w:rsidRDefault="007C57C0" w14:paraId="5F30DF3A" w14:textId="77777777">
            <w:pPr>
              <w:pStyle w:val="TableHeader"/>
              <w:jc w:val="right"/>
            </w:pPr>
            <w:r w:rsidRPr="003468A9">
              <w:t>Units</w:t>
            </w:r>
          </w:p>
        </w:tc>
        <w:tc>
          <w:tcPr>
            <w:tcW w:w="2970" w:type="dxa"/>
            <w:gridSpan w:val="3"/>
            <w:tcBorders>
              <w:bottom w:val="single" w:color="auto" w:sz="4" w:space="0"/>
            </w:tcBorders>
            <w:hideMark/>
          </w:tcPr>
          <w:p w:rsidRPr="003468A9" w:rsidR="007C57C0" w:rsidP="00775FD1" w:rsidRDefault="007C57C0" w14:paraId="70F0A2E3" w14:textId="77777777">
            <w:pPr>
              <w:pStyle w:val="TableHeader"/>
            </w:pPr>
            <w:r w:rsidRPr="003468A9">
              <w:t>Nonresponse rate</w:t>
            </w:r>
          </w:p>
        </w:tc>
      </w:tr>
      <w:tr w:rsidRPr="003468A9" w:rsidR="007C57C0" w:rsidTr="00775FD1" w14:paraId="1922C3DE" w14:textId="77777777">
        <w:trPr>
          <w:cnfStyle w:val="100000000000" w:firstRow="1" w:lastRow="0" w:firstColumn="0" w:lastColumn="0" w:oddVBand="0" w:evenVBand="0" w:oddHBand="0" w:evenHBand="0" w:firstRowFirstColumn="0" w:firstRowLastColumn="0" w:lastRowFirstColumn="0" w:lastRowLastColumn="0"/>
          <w:trHeight w:val="255"/>
          <w:tblHeader/>
        </w:trPr>
        <w:tc>
          <w:tcPr>
            <w:tcW w:w="990" w:type="dxa"/>
            <w:vMerge/>
            <w:vAlign w:val="bottom"/>
            <w:hideMark/>
          </w:tcPr>
          <w:p w:rsidRPr="003468A9" w:rsidR="007C57C0" w:rsidP="00775FD1" w:rsidRDefault="007C57C0" w14:paraId="2653CF5A" w14:textId="77777777">
            <w:pPr>
              <w:pStyle w:val="TableHeader"/>
              <w:jc w:val="left"/>
            </w:pPr>
          </w:p>
        </w:tc>
        <w:tc>
          <w:tcPr>
            <w:tcW w:w="990" w:type="dxa"/>
            <w:vMerge/>
            <w:vAlign w:val="bottom"/>
            <w:hideMark/>
          </w:tcPr>
          <w:p w:rsidRPr="003468A9" w:rsidR="007C57C0" w:rsidP="00775FD1" w:rsidRDefault="007C57C0" w14:paraId="784681AA" w14:textId="77777777">
            <w:pPr>
              <w:pStyle w:val="TableHeader"/>
              <w:jc w:val="right"/>
            </w:pPr>
          </w:p>
        </w:tc>
        <w:tc>
          <w:tcPr>
            <w:tcW w:w="990" w:type="dxa"/>
            <w:vMerge/>
            <w:vAlign w:val="bottom"/>
            <w:hideMark/>
          </w:tcPr>
          <w:p w:rsidRPr="003468A9" w:rsidR="007C57C0" w:rsidP="00775FD1" w:rsidRDefault="007C57C0" w14:paraId="43E94C05" w14:textId="77777777">
            <w:pPr>
              <w:pStyle w:val="TableHeader"/>
              <w:jc w:val="right"/>
            </w:pPr>
          </w:p>
        </w:tc>
        <w:tc>
          <w:tcPr>
            <w:tcW w:w="990" w:type="dxa"/>
            <w:tcBorders>
              <w:top w:val="single" w:color="auto" w:sz="4" w:space="0"/>
            </w:tcBorders>
            <w:vAlign w:val="bottom"/>
            <w:hideMark/>
          </w:tcPr>
          <w:p w:rsidRPr="003468A9" w:rsidR="007C57C0" w:rsidP="00775FD1" w:rsidRDefault="007C57C0" w14:paraId="68163FFE" w14:textId="77777777">
            <w:pPr>
              <w:pStyle w:val="TableHeader"/>
              <w:jc w:val="right"/>
            </w:pPr>
            <w:r w:rsidRPr="003468A9">
              <w:t>School</w:t>
            </w:r>
          </w:p>
        </w:tc>
        <w:tc>
          <w:tcPr>
            <w:tcW w:w="990" w:type="dxa"/>
            <w:tcBorders>
              <w:top w:val="single" w:color="auto" w:sz="4" w:space="0"/>
            </w:tcBorders>
            <w:vAlign w:val="bottom"/>
            <w:hideMark/>
          </w:tcPr>
          <w:p w:rsidRPr="003468A9" w:rsidR="007C57C0" w:rsidP="00775FD1" w:rsidRDefault="007C57C0" w14:paraId="38A1EDDB" w14:textId="77777777">
            <w:pPr>
              <w:pStyle w:val="TableHeader"/>
              <w:jc w:val="right"/>
            </w:pPr>
            <w:r w:rsidRPr="003468A9">
              <w:t>Unit</w:t>
            </w:r>
          </w:p>
        </w:tc>
        <w:tc>
          <w:tcPr>
            <w:tcW w:w="990" w:type="dxa"/>
            <w:tcBorders>
              <w:top w:val="single" w:color="auto" w:sz="4" w:space="0"/>
            </w:tcBorders>
            <w:vAlign w:val="bottom"/>
            <w:hideMark/>
          </w:tcPr>
          <w:p w:rsidRPr="003468A9" w:rsidR="007C57C0" w:rsidP="00775FD1" w:rsidRDefault="007C57C0" w14:paraId="372ECAB1" w14:textId="77777777">
            <w:pPr>
              <w:pStyle w:val="TableHeader"/>
              <w:jc w:val="right"/>
            </w:pPr>
            <w:r w:rsidRPr="003468A9">
              <w:t>Item</w:t>
            </w:r>
          </w:p>
        </w:tc>
      </w:tr>
      <w:tr w:rsidRPr="003468A9" w:rsidR="007C57C0" w:rsidTr="00775FD1" w14:paraId="14AB733F" w14:textId="77777777">
        <w:trPr>
          <w:trHeight w:val="255"/>
        </w:trPr>
        <w:tc>
          <w:tcPr>
            <w:tcW w:w="990" w:type="dxa"/>
            <w:hideMark/>
          </w:tcPr>
          <w:p w:rsidRPr="003468A9" w:rsidR="007C57C0" w:rsidP="00775FD1" w:rsidRDefault="007C57C0" w14:paraId="65C0CDC6" w14:textId="77777777">
            <w:pPr>
              <w:pStyle w:val="TableText"/>
            </w:pPr>
            <w:r w:rsidRPr="003468A9">
              <w:t>2014</w:t>
            </w:r>
          </w:p>
        </w:tc>
        <w:tc>
          <w:tcPr>
            <w:tcW w:w="990" w:type="dxa"/>
            <w:vAlign w:val="bottom"/>
            <w:hideMark/>
          </w:tcPr>
          <w:p w:rsidRPr="003468A9" w:rsidR="007C57C0" w:rsidP="00775FD1" w:rsidRDefault="007C57C0" w14:paraId="30A312A0" w14:textId="77777777">
            <w:pPr>
              <w:pStyle w:val="TableText"/>
              <w:jc w:val="right"/>
            </w:pPr>
            <w:r w:rsidRPr="003468A9">
              <w:t>821</w:t>
            </w:r>
          </w:p>
        </w:tc>
        <w:tc>
          <w:tcPr>
            <w:tcW w:w="990" w:type="dxa"/>
            <w:tcBorders>
              <w:right w:val="nil"/>
            </w:tcBorders>
            <w:vAlign w:val="bottom"/>
            <w:hideMark/>
          </w:tcPr>
          <w:p w:rsidRPr="003468A9" w:rsidR="007C57C0" w:rsidP="00775FD1" w:rsidRDefault="007C57C0" w14:paraId="7B0E5AF7" w14:textId="77777777">
            <w:pPr>
              <w:pStyle w:val="TableText"/>
              <w:jc w:val="right"/>
            </w:pPr>
            <w:r w:rsidRPr="003468A9">
              <w:t>14,845</w:t>
            </w:r>
          </w:p>
        </w:tc>
        <w:tc>
          <w:tcPr>
            <w:tcW w:w="990" w:type="dxa"/>
            <w:tcBorders>
              <w:left w:val="nil"/>
            </w:tcBorders>
            <w:vAlign w:val="bottom"/>
            <w:hideMark/>
          </w:tcPr>
          <w:p w:rsidRPr="003468A9" w:rsidR="007C57C0" w:rsidP="00775FD1" w:rsidRDefault="007C57C0" w14:paraId="70C4A393" w14:textId="77777777">
            <w:pPr>
              <w:pStyle w:val="TableText"/>
              <w:jc w:val="right"/>
            </w:pPr>
            <w:r w:rsidRPr="003468A9">
              <w:t>0.9</w:t>
            </w:r>
          </w:p>
        </w:tc>
        <w:tc>
          <w:tcPr>
            <w:tcW w:w="990" w:type="dxa"/>
            <w:vAlign w:val="bottom"/>
            <w:hideMark/>
          </w:tcPr>
          <w:p w:rsidRPr="003468A9" w:rsidR="007C57C0" w:rsidP="00775FD1" w:rsidRDefault="007C57C0" w14:paraId="42C42355" w14:textId="77777777">
            <w:pPr>
              <w:pStyle w:val="TableText"/>
              <w:jc w:val="right"/>
            </w:pPr>
            <w:r w:rsidRPr="003468A9">
              <w:t>0.3</w:t>
            </w:r>
          </w:p>
        </w:tc>
        <w:tc>
          <w:tcPr>
            <w:tcW w:w="990" w:type="dxa"/>
            <w:vAlign w:val="bottom"/>
            <w:hideMark/>
          </w:tcPr>
          <w:p w:rsidRPr="003468A9" w:rsidR="007C57C0" w:rsidP="00775FD1" w:rsidRDefault="007C57C0" w14:paraId="798C4120" w14:textId="77777777">
            <w:pPr>
              <w:pStyle w:val="TableText"/>
              <w:jc w:val="right"/>
            </w:pPr>
            <w:r w:rsidRPr="003468A9">
              <w:t>3.7</w:t>
            </w:r>
          </w:p>
        </w:tc>
      </w:tr>
      <w:tr w:rsidRPr="003468A9" w:rsidR="007C57C0" w:rsidTr="00775FD1" w14:paraId="0708774B" w14:textId="77777777">
        <w:trPr>
          <w:trHeight w:val="255"/>
        </w:trPr>
        <w:tc>
          <w:tcPr>
            <w:tcW w:w="990" w:type="dxa"/>
            <w:hideMark/>
          </w:tcPr>
          <w:p w:rsidRPr="003468A9" w:rsidR="007C57C0" w:rsidP="00775FD1" w:rsidRDefault="007C57C0" w14:paraId="1070ECDD" w14:textId="77777777">
            <w:pPr>
              <w:pStyle w:val="TableText"/>
            </w:pPr>
            <w:r w:rsidRPr="003468A9">
              <w:t>2015</w:t>
            </w:r>
          </w:p>
        </w:tc>
        <w:tc>
          <w:tcPr>
            <w:tcW w:w="990" w:type="dxa"/>
            <w:vAlign w:val="bottom"/>
            <w:hideMark/>
          </w:tcPr>
          <w:p w:rsidRPr="003468A9" w:rsidR="007C57C0" w:rsidP="00775FD1" w:rsidRDefault="007C57C0" w14:paraId="573B9DDF" w14:textId="77777777">
            <w:pPr>
              <w:pStyle w:val="TableText"/>
              <w:jc w:val="right"/>
            </w:pPr>
            <w:r w:rsidRPr="003468A9">
              <w:t>824</w:t>
            </w:r>
          </w:p>
        </w:tc>
        <w:tc>
          <w:tcPr>
            <w:tcW w:w="990" w:type="dxa"/>
            <w:tcBorders>
              <w:right w:val="nil"/>
            </w:tcBorders>
            <w:vAlign w:val="bottom"/>
            <w:hideMark/>
          </w:tcPr>
          <w:p w:rsidRPr="003468A9" w:rsidR="007C57C0" w:rsidP="00775FD1" w:rsidRDefault="007C57C0" w14:paraId="252447B5" w14:textId="77777777">
            <w:pPr>
              <w:pStyle w:val="TableText"/>
              <w:jc w:val="right"/>
            </w:pPr>
            <w:r w:rsidRPr="003468A9">
              <w:t>15,202</w:t>
            </w:r>
          </w:p>
        </w:tc>
        <w:tc>
          <w:tcPr>
            <w:tcW w:w="990" w:type="dxa"/>
            <w:tcBorders>
              <w:left w:val="nil"/>
            </w:tcBorders>
            <w:vAlign w:val="bottom"/>
            <w:hideMark/>
          </w:tcPr>
          <w:p w:rsidRPr="003468A9" w:rsidR="007C57C0" w:rsidP="00775FD1" w:rsidRDefault="007C57C0" w14:paraId="7BDFC078" w14:textId="77777777">
            <w:pPr>
              <w:pStyle w:val="TableText"/>
              <w:jc w:val="right"/>
            </w:pPr>
            <w:r w:rsidRPr="003468A9">
              <w:t>1.3</w:t>
            </w:r>
          </w:p>
        </w:tc>
        <w:tc>
          <w:tcPr>
            <w:tcW w:w="990" w:type="dxa"/>
            <w:vAlign w:val="bottom"/>
            <w:hideMark/>
          </w:tcPr>
          <w:p w:rsidRPr="003468A9" w:rsidR="007C57C0" w:rsidP="00775FD1" w:rsidRDefault="007C57C0" w14:paraId="51E7B401" w14:textId="77777777">
            <w:pPr>
              <w:pStyle w:val="TableText"/>
              <w:jc w:val="right"/>
            </w:pPr>
            <w:r w:rsidRPr="003468A9">
              <w:t>0.5</w:t>
            </w:r>
          </w:p>
        </w:tc>
        <w:tc>
          <w:tcPr>
            <w:tcW w:w="990" w:type="dxa"/>
            <w:vAlign w:val="bottom"/>
            <w:hideMark/>
          </w:tcPr>
          <w:p w:rsidRPr="003468A9" w:rsidR="007C57C0" w:rsidP="00775FD1" w:rsidRDefault="007C57C0" w14:paraId="40F1604E" w14:textId="77777777">
            <w:pPr>
              <w:pStyle w:val="TableText"/>
              <w:jc w:val="right"/>
            </w:pPr>
            <w:r w:rsidRPr="003468A9">
              <w:t>3.7</w:t>
            </w:r>
          </w:p>
        </w:tc>
      </w:tr>
      <w:tr w:rsidRPr="003468A9" w:rsidR="007C57C0" w:rsidTr="00775FD1" w14:paraId="7E28CF6B" w14:textId="77777777">
        <w:trPr>
          <w:trHeight w:val="255"/>
        </w:trPr>
        <w:tc>
          <w:tcPr>
            <w:tcW w:w="990" w:type="dxa"/>
            <w:hideMark/>
          </w:tcPr>
          <w:p w:rsidRPr="003468A9" w:rsidR="007C57C0" w:rsidP="00775FD1" w:rsidRDefault="007C57C0" w14:paraId="6AD51B63" w14:textId="77777777">
            <w:pPr>
              <w:pStyle w:val="TableText"/>
            </w:pPr>
            <w:r w:rsidRPr="003468A9">
              <w:t>2016</w:t>
            </w:r>
          </w:p>
        </w:tc>
        <w:tc>
          <w:tcPr>
            <w:tcW w:w="990" w:type="dxa"/>
            <w:vAlign w:val="bottom"/>
            <w:hideMark/>
          </w:tcPr>
          <w:p w:rsidRPr="003468A9" w:rsidR="007C57C0" w:rsidP="00775FD1" w:rsidRDefault="007C57C0" w14:paraId="0C888613" w14:textId="77777777">
            <w:pPr>
              <w:pStyle w:val="TableText"/>
              <w:jc w:val="right"/>
            </w:pPr>
            <w:r w:rsidRPr="003468A9">
              <w:t>828</w:t>
            </w:r>
          </w:p>
        </w:tc>
        <w:tc>
          <w:tcPr>
            <w:tcW w:w="990" w:type="dxa"/>
            <w:tcBorders>
              <w:right w:val="nil"/>
            </w:tcBorders>
            <w:vAlign w:val="bottom"/>
            <w:hideMark/>
          </w:tcPr>
          <w:p w:rsidRPr="003468A9" w:rsidR="007C57C0" w:rsidP="00775FD1" w:rsidRDefault="007C57C0" w14:paraId="6C8C49F6" w14:textId="77777777">
            <w:pPr>
              <w:pStyle w:val="TableText"/>
              <w:jc w:val="right"/>
            </w:pPr>
            <w:r w:rsidRPr="003468A9">
              <w:t>15,853</w:t>
            </w:r>
          </w:p>
        </w:tc>
        <w:tc>
          <w:tcPr>
            <w:tcW w:w="990" w:type="dxa"/>
            <w:tcBorders>
              <w:left w:val="nil"/>
            </w:tcBorders>
            <w:vAlign w:val="bottom"/>
            <w:hideMark/>
          </w:tcPr>
          <w:p w:rsidRPr="003468A9" w:rsidR="007C57C0" w:rsidP="00775FD1" w:rsidRDefault="007C57C0" w14:paraId="5CFE5202" w14:textId="77777777">
            <w:pPr>
              <w:pStyle w:val="TableText"/>
              <w:jc w:val="right"/>
            </w:pPr>
            <w:r w:rsidRPr="003468A9">
              <w:t>1.3</w:t>
            </w:r>
          </w:p>
        </w:tc>
        <w:tc>
          <w:tcPr>
            <w:tcW w:w="990" w:type="dxa"/>
            <w:vAlign w:val="bottom"/>
            <w:hideMark/>
          </w:tcPr>
          <w:p w:rsidRPr="003468A9" w:rsidR="007C57C0" w:rsidP="00775FD1" w:rsidRDefault="007C57C0" w14:paraId="239D0972" w14:textId="77777777">
            <w:pPr>
              <w:pStyle w:val="TableText"/>
              <w:jc w:val="right"/>
            </w:pPr>
            <w:r w:rsidRPr="003468A9">
              <w:t>0.5</w:t>
            </w:r>
          </w:p>
        </w:tc>
        <w:tc>
          <w:tcPr>
            <w:tcW w:w="990" w:type="dxa"/>
            <w:vAlign w:val="bottom"/>
            <w:hideMark/>
          </w:tcPr>
          <w:p w:rsidRPr="003468A9" w:rsidR="007C57C0" w:rsidP="00775FD1" w:rsidRDefault="007C57C0" w14:paraId="5A801169" w14:textId="77777777">
            <w:pPr>
              <w:pStyle w:val="TableText"/>
              <w:jc w:val="right"/>
            </w:pPr>
            <w:r w:rsidRPr="003468A9">
              <w:t>3.3</w:t>
            </w:r>
          </w:p>
        </w:tc>
      </w:tr>
      <w:tr w:rsidRPr="003468A9" w:rsidR="007C57C0" w:rsidTr="00775FD1" w14:paraId="543EE8AE" w14:textId="77777777">
        <w:trPr>
          <w:trHeight w:val="255"/>
        </w:trPr>
        <w:tc>
          <w:tcPr>
            <w:tcW w:w="990" w:type="dxa"/>
            <w:hideMark/>
          </w:tcPr>
          <w:p w:rsidRPr="003468A9" w:rsidR="007C57C0" w:rsidP="00775FD1" w:rsidRDefault="007C57C0" w14:paraId="7EAA39BF" w14:textId="77777777">
            <w:pPr>
              <w:pStyle w:val="TableText"/>
            </w:pPr>
            <w:r w:rsidRPr="003468A9">
              <w:t>2017</w:t>
            </w:r>
          </w:p>
        </w:tc>
        <w:tc>
          <w:tcPr>
            <w:tcW w:w="990" w:type="dxa"/>
            <w:vAlign w:val="bottom"/>
            <w:hideMark/>
          </w:tcPr>
          <w:p w:rsidRPr="003468A9" w:rsidR="007C57C0" w:rsidP="00775FD1" w:rsidRDefault="007C57C0" w14:paraId="63765A95" w14:textId="77777777">
            <w:pPr>
              <w:pStyle w:val="TableText"/>
              <w:jc w:val="right"/>
            </w:pPr>
            <w:r w:rsidRPr="003468A9">
              <w:t>814</w:t>
            </w:r>
          </w:p>
        </w:tc>
        <w:tc>
          <w:tcPr>
            <w:tcW w:w="990" w:type="dxa"/>
            <w:tcBorders>
              <w:right w:val="nil"/>
            </w:tcBorders>
            <w:vAlign w:val="bottom"/>
            <w:hideMark/>
          </w:tcPr>
          <w:p w:rsidRPr="003468A9" w:rsidR="007C57C0" w:rsidP="00775FD1" w:rsidRDefault="007C57C0" w14:paraId="4E7DEC41" w14:textId="77777777">
            <w:pPr>
              <w:pStyle w:val="TableText"/>
              <w:jc w:val="right"/>
            </w:pPr>
            <w:r w:rsidRPr="003468A9">
              <w:t>18,745</w:t>
            </w:r>
          </w:p>
        </w:tc>
        <w:tc>
          <w:tcPr>
            <w:tcW w:w="990" w:type="dxa"/>
            <w:tcBorders>
              <w:left w:val="nil"/>
            </w:tcBorders>
            <w:vAlign w:val="bottom"/>
            <w:hideMark/>
          </w:tcPr>
          <w:p w:rsidRPr="003468A9" w:rsidR="007C57C0" w:rsidP="00775FD1" w:rsidRDefault="007C57C0" w14:paraId="4FDD698E" w14:textId="77777777">
            <w:pPr>
              <w:pStyle w:val="TableText"/>
              <w:jc w:val="right"/>
            </w:pPr>
            <w:r w:rsidRPr="003468A9">
              <w:t>4.4</w:t>
            </w:r>
          </w:p>
        </w:tc>
        <w:tc>
          <w:tcPr>
            <w:tcW w:w="990" w:type="dxa"/>
            <w:vAlign w:val="bottom"/>
            <w:hideMark/>
          </w:tcPr>
          <w:p w:rsidRPr="003468A9" w:rsidR="007C57C0" w:rsidP="00775FD1" w:rsidRDefault="007C57C0" w14:paraId="7C2754A8" w14:textId="77777777">
            <w:pPr>
              <w:pStyle w:val="TableText"/>
              <w:jc w:val="right"/>
            </w:pPr>
            <w:r w:rsidRPr="003468A9">
              <w:t>2.4</w:t>
            </w:r>
          </w:p>
        </w:tc>
        <w:tc>
          <w:tcPr>
            <w:tcW w:w="990" w:type="dxa"/>
            <w:vAlign w:val="bottom"/>
            <w:hideMark/>
          </w:tcPr>
          <w:p w:rsidRPr="003468A9" w:rsidR="007C57C0" w:rsidP="00775FD1" w:rsidRDefault="007C57C0" w14:paraId="0BE7BCB3" w14:textId="77777777">
            <w:pPr>
              <w:pStyle w:val="TableText"/>
              <w:jc w:val="right"/>
            </w:pPr>
            <w:r w:rsidRPr="003468A9">
              <w:t>2.3</w:t>
            </w:r>
          </w:p>
        </w:tc>
      </w:tr>
      <w:tr w:rsidRPr="003468A9" w:rsidR="007C57C0" w:rsidTr="00775FD1" w14:paraId="47F3A79E" w14:textId="77777777">
        <w:trPr>
          <w:trHeight w:val="255"/>
        </w:trPr>
        <w:tc>
          <w:tcPr>
            <w:tcW w:w="990" w:type="dxa"/>
            <w:tcBorders>
              <w:bottom w:val="single" w:color="auto" w:sz="4" w:space="0"/>
            </w:tcBorders>
            <w:hideMark/>
          </w:tcPr>
          <w:p w:rsidRPr="0014371E" w:rsidR="007C57C0" w:rsidP="00775FD1" w:rsidRDefault="007C57C0" w14:paraId="0C714A42" w14:textId="77777777">
            <w:pPr>
              <w:pStyle w:val="TableText"/>
            </w:pPr>
            <w:r w:rsidRPr="0014371E">
              <w:t>2018</w:t>
            </w:r>
          </w:p>
        </w:tc>
        <w:tc>
          <w:tcPr>
            <w:tcW w:w="990" w:type="dxa"/>
            <w:tcBorders>
              <w:bottom w:val="single" w:color="auto" w:sz="4" w:space="0"/>
            </w:tcBorders>
            <w:vAlign w:val="bottom"/>
            <w:hideMark/>
          </w:tcPr>
          <w:p w:rsidRPr="0014371E" w:rsidR="007C57C0" w:rsidP="00775FD1" w:rsidRDefault="007C57C0" w14:paraId="713A80CB" w14:textId="77777777">
            <w:pPr>
              <w:pStyle w:val="TableText"/>
              <w:jc w:val="right"/>
            </w:pPr>
            <w:r w:rsidRPr="0014371E">
              <w:t>81</w:t>
            </w:r>
            <w:r>
              <w:t>6</w:t>
            </w:r>
          </w:p>
        </w:tc>
        <w:tc>
          <w:tcPr>
            <w:tcW w:w="990" w:type="dxa"/>
            <w:tcBorders>
              <w:bottom w:val="single" w:color="auto" w:sz="4" w:space="0"/>
              <w:right w:val="nil"/>
            </w:tcBorders>
            <w:vAlign w:val="bottom"/>
            <w:hideMark/>
          </w:tcPr>
          <w:p w:rsidRPr="0014371E" w:rsidR="007C57C0" w:rsidP="00775FD1" w:rsidRDefault="007C57C0" w14:paraId="6C6BDC23" w14:textId="77777777">
            <w:pPr>
              <w:pStyle w:val="TableText"/>
              <w:jc w:val="right"/>
            </w:pPr>
            <w:r w:rsidRPr="0014371E">
              <w:t>1</w:t>
            </w:r>
            <w:r>
              <w:t>9,592</w:t>
            </w:r>
          </w:p>
        </w:tc>
        <w:tc>
          <w:tcPr>
            <w:tcW w:w="990" w:type="dxa"/>
            <w:tcBorders>
              <w:left w:val="nil"/>
            </w:tcBorders>
            <w:vAlign w:val="bottom"/>
            <w:hideMark/>
          </w:tcPr>
          <w:p w:rsidRPr="0014371E" w:rsidR="007C57C0" w:rsidP="00775FD1" w:rsidRDefault="007C57C0" w14:paraId="00E9163E" w14:textId="77777777">
            <w:pPr>
              <w:pStyle w:val="TableText"/>
              <w:jc w:val="right"/>
            </w:pPr>
            <w:r>
              <w:t>2.6</w:t>
            </w:r>
          </w:p>
        </w:tc>
        <w:tc>
          <w:tcPr>
            <w:tcW w:w="990" w:type="dxa"/>
            <w:vAlign w:val="bottom"/>
            <w:hideMark/>
          </w:tcPr>
          <w:p w:rsidRPr="0014371E" w:rsidR="007C57C0" w:rsidP="00775FD1" w:rsidRDefault="007C57C0" w14:paraId="0906EED1" w14:textId="77777777">
            <w:pPr>
              <w:pStyle w:val="TableText"/>
              <w:jc w:val="right"/>
            </w:pPr>
            <w:r w:rsidRPr="0014371E">
              <w:t>1.</w:t>
            </w:r>
            <w:r>
              <w:t>1</w:t>
            </w:r>
          </w:p>
        </w:tc>
        <w:tc>
          <w:tcPr>
            <w:tcW w:w="990" w:type="dxa"/>
            <w:vAlign w:val="bottom"/>
            <w:hideMark/>
          </w:tcPr>
          <w:p w:rsidRPr="0014371E" w:rsidR="007C57C0" w:rsidP="00775FD1" w:rsidRDefault="007C57C0" w14:paraId="6A04746F" w14:textId="77777777">
            <w:pPr>
              <w:pStyle w:val="TableText"/>
              <w:jc w:val="right"/>
            </w:pPr>
            <w:r>
              <w:t>2.8</w:t>
            </w:r>
          </w:p>
        </w:tc>
      </w:tr>
    </w:tbl>
    <w:p w:rsidR="007C57C0" w:rsidP="007C57C0" w:rsidRDefault="007C57C0" w14:paraId="69724019" w14:textId="77777777">
      <w:pPr>
        <w:pStyle w:val="Exhibitsource"/>
        <w:spacing w:after="0"/>
      </w:pPr>
      <w:bookmarkStart w:name="_Hlk19259015" w:id="24"/>
      <w:bookmarkEnd w:id="23"/>
      <w:r w:rsidRPr="007D2B2A">
        <w:t>SOURCE: National Center for Science and Engineering Statistics, National Science Foundation,</w:t>
      </w:r>
    </w:p>
    <w:p w:rsidR="007C57C0" w:rsidP="007C57C0" w:rsidRDefault="007C57C0" w14:paraId="5F11E7E8" w14:textId="77777777">
      <w:pPr>
        <w:pStyle w:val="Exhibitsource"/>
      </w:pPr>
      <w:r w:rsidRPr="007D2B2A">
        <w:t>Survey of Graduate Students and Postdoctorates in Science and Engineering.</w:t>
      </w:r>
    </w:p>
    <w:bookmarkEnd w:id="24"/>
    <w:p w:rsidRPr="002D0F65" w:rsidR="007C57C0" w:rsidP="007C57C0" w:rsidRDefault="007C57C0" w14:paraId="4CFA8D8A" w14:textId="02831F84">
      <w:pPr>
        <w:pStyle w:val="BodyText"/>
      </w:pPr>
      <w:r w:rsidRPr="002D0F65">
        <w:t xml:space="preserve">There is evidence that the improvement in nonresponse rates may be due to the shift to </w:t>
      </w:r>
      <w:r w:rsidR="000B2FB9">
        <w:t xml:space="preserve">electronic data interchange </w:t>
      </w:r>
      <w:r w:rsidR="002E5542">
        <w:t>(</w:t>
      </w:r>
      <w:r w:rsidRPr="002D0F65">
        <w:t>EDI</w:t>
      </w:r>
      <w:r w:rsidR="002E5542">
        <w:t>)</w:t>
      </w:r>
      <w:r w:rsidRPr="002D0F65">
        <w:t xml:space="preserve"> as the primary form of data reporting.</w:t>
      </w:r>
      <w:r>
        <w:t xml:space="preserve"> </w:t>
      </w:r>
      <w:r w:rsidR="002814FC">
        <w:t>Exhibit</w:t>
      </w:r>
      <w:r w:rsidRPr="00A7708C">
        <w:t xml:space="preserve"> 1</w:t>
      </w:r>
      <w:r w:rsidR="002814FC">
        <w:t>2</w:t>
      </w:r>
      <w:r w:rsidRPr="002D0F65">
        <w:t xml:space="preserve"> presents 2017 item nonresponse by data entry type.</w:t>
      </w:r>
      <w:r>
        <w:t xml:space="preserve"> </w:t>
      </w:r>
      <w:r w:rsidRPr="002D0F65">
        <w:t xml:space="preserve">As can be seen, item nonresponse for data provided through </w:t>
      </w:r>
      <w:r w:rsidRPr="002D0F65">
        <w:lastRenderedPageBreak/>
        <w:t>EDI is lower than that provided through manual data entry for nearly every data type.</w:t>
      </w:r>
      <w:r>
        <w:t xml:space="preserve"> </w:t>
      </w:r>
      <w:r w:rsidRPr="002D0F65">
        <w:t>The overall nonresponse rate for uploaded data items was 2.1%, while the nonresponse rate for manually entered data was 3.1%.</w:t>
      </w:r>
      <w:r>
        <w:t xml:space="preserve"> </w:t>
      </w:r>
      <w:r w:rsidRPr="002D0F65">
        <w:t xml:space="preserve">Differences were most dramatic for student demographic counts (0.7% for uploaders, 4.1% for manual data entry) and for NFR counts (0.4% for uploaders, 4.7% for manual data entry). These results are promising and </w:t>
      </w:r>
      <w:r w:rsidR="00A3715A">
        <w:t>will</w:t>
      </w:r>
      <w:r w:rsidRPr="002D0F65" w:rsidR="00A3715A">
        <w:t xml:space="preserve"> </w:t>
      </w:r>
      <w:r w:rsidRPr="002D0F65">
        <w:t>continue to be monitored in future data collections.</w:t>
      </w:r>
    </w:p>
    <w:p w:rsidRPr="00564C4A" w:rsidR="007C57C0" w:rsidP="007C57C0" w:rsidRDefault="002814FC" w14:paraId="4314D44E" w14:textId="29155940">
      <w:pPr>
        <w:pStyle w:val="TableTitle"/>
      </w:pPr>
      <w:bookmarkStart w:name="_Toc9931255" w:id="25"/>
      <w:r>
        <w:t>Exhibit</w:t>
      </w:r>
      <w:r w:rsidRPr="00564C4A" w:rsidR="007C57C0">
        <w:t xml:space="preserve"> 1</w:t>
      </w:r>
      <w:r>
        <w:t>2</w:t>
      </w:r>
      <w:r w:rsidRPr="00564C4A" w:rsidR="007C57C0">
        <w:t>. Item nonresponse</w:t>
      </w:r>
      <w:r w:rsidR="007C57C0">
        <w:t>,</w:t>
      </w:r>
      <w:r w:rsidRPr="00564C4A" w:rsidR="007C57C0">
        <w:t xml:space="preserve"> by data entry type: 2017</w:t>
      </w:r>
      <w:bookmarkEnd w:id="25"/>
    </w:p>
    <w:tbl>
      <w:tblPr>
        <w:tblStyle w:val="TableGridNSF"/>
        <w:tblW w:w="8739" w:type="dxa"/>
        <w:tblLayout w:type="fixed"/>
        <w:tblLook w:val="0620" w:firstRow="1" w:lastRow="0" w:firstColumn="0" w:lastColumn="0" w:noHBand="1" w:noVBand="1"/>
      </w:tblPr>
      <w:tblGrid>
        <w:gridCol w:w="2537"/>
        <w:gridCol w:w="973"/>
        <w:gridCol w:w="820"/>
        <w:gridCol w:w="820"/>
        <w:gridCol w:w="820"/>
        <w:gridCol w:w="279"/>
        <w:gridCol w:w="830"/>
        <w:gridCol w:w="830"/>
        <w:gridCol w:w="830"/>
      </w:tblGrid>
      <w:tr w:rsidRPr="003468A9" w:rsidR="007C57C0" w:rsidTr="00775FD1" w14:paraId="4DEAD869" w14:textId="77777777">
        <w:trPr>
          <w:cnfStyle w:val="100000000000" w:firstRow="1" w:lastRow="0" w:firstColumn="0" w:lastColumn="0" w:oddVBand="0" w:evenVBand="0" w:oddHBand="0" w:evenHBand="0" w:firstRowFirstColumn="0" w:firstRowLastColumn="0" w:lastRowFirstColumn="0" w:lastRowLastColumn="0"/>
          <w:cantSplit/>
          <w:tblHeader/>
        </w:trPr>
        <w:tc>
          <w:tcPr>
            <w:tcW w:w="2537" w:type="dxa"/>
            <w:vMerge w:val="restart"/>
            <w:vAlign w:val="bottom"/>
            <w:hideMark/>
          </w:tcPr>
          <w:p w:rsidRPr="00F77927" w:rsidR="007C57C0" w:rsidP="00775FD1" w:rsidRDefault="007C57C0" w14:paraId="112180C4" w14:textId="77777777">
            <w:pPr>
              <w:pStyle w:val="TableHeader"/>
              <w:jc w:val="left"/>
              <w:rPr>
                <w:sz w:val="18"/>
                <w:szCs w:val="18"/>
              </w:rPr>
            </w:pPr>
            <w:r w:rsidRPr="00F77927">
              <w:rPr>
                <w:sz w:val="18"/>
                <w:szCs w:val="18"/>
              </w:rPr>
              <w:t>Data type</w:t>
            </w:r>
          </w:p>
        </w:tc>
        <w:tc>
          <w:tcPr>
            <w:tcW w:w="973" w:type="dxa"/>
            <w:vMerge w:val="restart"/>
            <w:vAlign w:val="bottom"/>
            <w:hideMark/>
          </w:tcPr>
          <w:p w:rsidRPr="00F77927" w:rsidR="007C57C0" w:rsidP="00775FD1" w:rsidRDefault="007C57C0" w14:paraId="4D559D2B" w14:textId="77777777">
            <w:pPr>
              <w:pStyle w:val="TableHeader"/>
              <w:jc w:val="right"/>
              <w:rPr>
                <w:sz w:val="18"/>
                <w:szCs w:val="18"/>
              </w:rPr>
            </w:pPr>
            <w:r w:rsidRPr="00F77927">
              <w:rPr>
                <w:sz w:val="18"/>
                <w:szCs w:val="18"/>
              </w:rPr>
              <w:t>Number of items</w:t>
            </w:r>
          </w:p>
        </w:tc>
        <w:tc>
          <w:tcPr>
            <w:tcW w:w="2460" w:type="dxa"/>
            <w:gridSpan w:val="3"/>
            <w:tcBorders>
              <w:bottom w:val="single" w:color="auto" w:sz="4" w:space="0"/>
            </w:tcBorders>
            <w:hideMark/>
          </w:tcPr>
          <w:p w:rsidRPr="00F77927" w:rsidR="007C57C0" w:rsidP="00775FD1" w:rsidRDefault="007C57C0" w14:paraId="687B5CC6" w14:textId="77777777">
            <w:pPr>
              <w:pStyle w:val="TableHeader"/>
              <w:rPr>
                <w:sz w:val="18"/>
                <w:szCs w:val="18"/>
              </w:rPr>
            </w:pPr>
            <w:r w:rsidRPr="00F77927">
              <w:rPr>
                <w:sz w:val="18"/>
                <w:szCs w:val="18"/>
              </w:rPr>
              <w:t>Uploaded</w:t>
            </w:r>
          </w:p>
        </w:tc>
        <w:tc>
          <w:tcPr>
            <w:tcW w:w="279" w:type="dxa"/>
            <w:hideMark/>
          </w:tcPr>
          <w:p w:rsidRPr="00F77927" w:rsidR="007C57C0" w:rsidP="00775FD1" w:rsidRDefault="007C57C0" w14:paraId="5FA3162F" w14:textId="77777777">
            <w:pPr>
              <w:pStyle w:val="TableHeader"/>
              <w:rPr>
                <w:sz w:val="18"/>
                <w:szCs w:val="18"/>
              </w:rPr>
            </w:pPr>
            <w:r w:rsidRPr="00F77927">
              <w:rPr>
                <w:sz w:val="18"/>
                <w:szCs w:val="18"/>
              </w:rPr>
              <w:t> </w:t>
            </w:r>
          </w:p>
        </w:tc>
        <w:tc>
          <w:tcPr>
            <w:tcW w:w="2490" w:type="dxa"/>
            <w:gridSpan w:val="3"/>
            <w:tcBorders>
              <w:bottom w:val="single" w:color="auto" w:sz="4" w:space="0"/>
            </w:tcBorders>
            <w:hideMark/>
          </w:tcPr>
          <w:p w:rsidRPr="00F77927" w:rsidR="007C57C0" w:rsidP="00775FD1" w:rsidRDefault="007C57C0" w14:paraId="0E96E564" w14:textId="77777777">
            <w:pPr>
              <w:pStyle w:val="TableHeader"/>
              <w:rPr>
                <w:sz w:val="18"/>
                <w:szCs w:val="18"/>
              </w:rPr>
            </w:pPr>
            <w:r w:rsidRPr="00F77927">
              <w:rPr>
                <w:sz w:val="18"/>
                <w:szCs w:val="18"/>
              </w:rPr>
              <w:t>Manual</w:t>
            </w:r>
          </w:p>
        </w:tc>
      </w:tr>
      <w:tr w:rsidRPr="003468A9" w:rsidR="007C57C0" w:rsidTr="00775FD1" w14:paraId="5B3618A4" w14:textId="77777777">
        <w:trPr>
          <w:cnfStyle w:val="100000000000" w:firstRow="1" w:lastRow="0" w:firstColumn="0" w:lastColumn="0" w:oddVBand="0" w:evenVBand="0" w:oddHBand="0" w:evenHBand="0" w:firstRowFirstColumn="0" w:firstRowLastColumn="0" w:lastRowFirstColumn="0" w:lastRowLastColumn="0"/>
          <w:cantSplit/>
          <w:tblHeader/>
        </w:trPr>
        <w:tc>
          <w:tcPr>
            <w:tcW w:w="2537" w:type="dxa"/>
            <w:vMerge/>
            <w:hideMark/>
          </w:tcPr>
          <w:p w:rsidRPr="00F77927" w:rsidR="007C57C0" w:rsidP="00775FD1" w:rsidRDefault="007C57C0" w14:paraId="457D1EFE" w14:textId="77777777">
            <w:pPr>
              <w:pStyle w:val="TableHeader"/>
              <w:rPr>
                <w:sz w:val="18"/>
                <w:szCs w:val="18"/>
              </w:rPr>
            </w:pPr>
          </w:p>
        </w:tc>
        <w:tc>
          <w:tcPr>
            <w:tcW w:w="973" w:type="dxa"/>
            <w:vMerge/>
            <w:hideMark/>
          </w:tcPr>
          <w:p w:rsidRPr="00F77927" w:rsidR="007C57C0" w:rsidP="00775FD1" w:rsidRDefault="007C57C0" w14:paraId="6C1AD0DC" w14:textId="77777777">
            <w:pPr>
              <w:pStyle w:val="TableHeader"/>
              <w:rPr>
                <w:sz w:val="18"/>
                <w:szCs w:val="18"/>
              </w:rPr>
            </w:pPr>
          </w:p>
        </w:tc>
        <w:tc>
          <w:tcPr>
            <w:tcW w:w="820" w:type="dxa"/>
            <w:tcBorders>
              <w:top w:val="single" w:color="auto" w:sz="4" w:space="0"/>
            </w:tcBorders>
            <w:vAlign w:val="bottom"/>
            <w:hideMark/>
          </w:tcPr>
          <w:p w:rsidRPr="00F77927" w:rsidR="007C57C0" w:rsidP="00775FD1" w:rsidRDefault="007C57C0" w14:paraId="5BCB78EA" w14:textId="77777777">
            <w:pPr>
              <w:pStyle w:val="TableHeader"/>
              <w:jc w:val="right"/>
              <w:rPr>
                <w:sz w:val="18"/>
                <w:szCs w:val="18"/>
              </w:rPr>
            </w:pPr>
            <w:r w:rsidRPr="00F77927">
              <w:rPr>
                <w:sz w:val="18"/>
                <w:szCs w:val="18"/>
              </w:rPr>
              <w:t>Master's</w:t>
            </w:r>
          </w:p>
        </w:tc>
        <w:tc>
          <w:tcPr>
            <w:tcW w:w="820" w:type="dxa"/>
            <w:tcBorders>
              <w:top w:val="single" w:color="auto" w:sz="4" w:space="0"/>
            </w:tcBorders>
            <w:vAlign w:val="bottom"/>
            <w:hideMark/>
          </w:tcPr>
          <w:p w:rsidRPr="00F77927" w:rsidR="007C57C0" w:rsidP="00775FD1" w:rsidRDefault="007C57C0" w14:paraId="27EA7F8D" w14:textId="77777777">
            <w:pPr>
              <w:pStyle w:val="TableHeader"/>
              <w:jc w:val="right"/>
              <w:rPr>
                <w:sz w:val="18"/>
                <w:szCs w:val="18"/>
              </w:rPr>
            </w:pPr>
            <w:r w:rsidRPr="00F77927">
              <w:rPr>
                <w:sz w:val="18"/>
                <w:szCs w:val="18"/>
              </w:rPr>
              <w:t>Doctoral</w:t>
            </w:r>
          </w:p>
        </w:tc>
        <w:tc>
          <w:tcPr>
            <w:tcW w:w="820" w:type="dxa"/>
            <w:tcBorders>
              <w:top w:val="single" w:color="auto" w:sz="4" w:space="0"/>
            </w:tcBorders>
            <w:vAlign w:val="bottom"/>
            <w:hideMark/>
          </w:tcPr>
          <w:p w:rsidRPr="00F77927" w:rsidR="007C57C0" w:rsidP="00775FD1" w:rsidRDefault="007C57C0" w14:paraId="6A2C1631" w14:textId="77777777">
            <w:pPr>
              <w:pStyle w:val="TableHeader"/>
              <w:jc w:val="right"/>
              <w:rPr>
                <w:sz w:val="18"/>
                <w:szCs w:val="18"/>
              </w:rPr>
            </w:pPr>
            <w:r w:rsidRPr="00F77927">
              <w:rPr>
                <w:sz w:val="18"/>
                <w:szCs w:val="18"/>
              </w:rPr>
              <w:t>All</w:t>
            </w:r>
          </w:p>
        </w:tc>
        <w:tc>
          <w:tcPr>
            <w:tcW w:w="279" w:type="dxa"/>
            <w:vAlign w:val="bottom"/>
            <w:hideMark/>
          </w:tcPr>
          <w:p w:rsidRPr="00F77927" w:rsidR="007C57C0" w:rsidP="00775FD1" w:rsidRDefault="007C57C0" w14:paraId="385C4B10" w14:textId="77777777">
            <w:pPr>
              <w:pStyle w:val="TableHeader"/>
              <w:jc w:val="right"/>
              <w:rPr>
                <w:sz w:val="18"/>
                <w:szCs w:val="18"/>
              </w:rPr>
            </w:pPr>
            <w:r w:rsidRPr="00F77927">
              <w:rPr>
                <w:sz w:val="18"/>
                <w:szCs w:val="18"/>
              </w:rPr>
              <w:t> </w:t>
            </w:r>
          </w:p>
        </w:tc>
        <w:tc>
          <w:tcPr>
            <w:tcW w:w="830" w:type="dxa"/>
            <w:tcBorders>
              <w:top w:val="single" w:color="auto" w:sz="4" w:space="0"/>
            </w:tcBorders>
            <w:vAlign w:val="bottom"/>
            <w:hideMark/>
          </w:tcPr>
          <w:p w:rsidRPr="00F77927" w:rsidR="007C57C0" w:rsidP="00775FD1" w:rsidRDefault="007C57C0" w14:paraId="47B888EB" w14:textId="77777777">
            <w:pPr>
              <w:pStyle w:val="TableHeader"/>
              <w:jc w:val="right"/>
              <w:rPr>
                <w:sz w:val="18"/>
                <w:szCs w:val="18"/>
              </w:rPr>
            </w:pPr>
            <w:r w:rsidRPr="00F77927">
              <w:rPr>
                <w:sz w:val="18"/>
                <w:szCs w:val="18"/>
              </w:rPr>
              <w:t>Master's</w:t>
            </w:r>
          </w:p>
        </w:tc>
        <w:tc>
          <w:tcPr>
            <w:tcW w:w="830" w:type="dxa"/>
            <w:tcBorders>
              <w:top w:val="single" w:color="auto" w:sz="4" w:space="0"/>
            </w:tcBorders>
            <w:vAlign w:val="bottom"/>
            <w:hideMark/>
          </w:tcPr>
          <w:p w:rsidRPr="00F77927" w:rsidR="007C57C0" w:rsidP="00775FD1" w:rsidRDefault="007C57C0" w14:paraId="0D696CA0" w14:textId="77777777">
            <w:pPr>
              <w:pStyle w:val="TableHeader"/>
              <w:jc w:val="right"/>
              <w:rPr>
                <w:sz w:val="18"/>
                <w:szCs w:val="18"/>
              </w:rPr>
            </w:pPr>
            <w:r w:rsidRPr="00F77927">
              <w:rPr>
                <w:sz w:val="18"/>
                <w:szCs w:val="18"/>
              </w:rPr>
              <w:t>Doctoral</w:t>
            </w:r>
          </w:p>
        </w:tc>
        <w:tc>
          <w:tcPr>
            <w:tcW w:w="830" w:type="dxa"/>
            <w:tcBorders>
              <w:top w:val="single" w:color="auto" w:sz="4" w:space="0"/>
            </w:tcBorders>
            <w:vAlign w:val="bottom"/>
            <w:hideMark/>
          </w:tcPr>
          <w:p w:rsidRPr="00F77927" w:rsidR="007C57C0" w:rsidP="00775FD1" w:rsidRDefault="007C57C0" w14:paraId="2078F405" w14:textId="77777777">
            <w:pPr>
              <w:pStyle w:val="TableHeader"/>
              <w:jc w:val="right"/>
              <w:rPr>
                <w:sz w:val="18"/>
                <w:szCs w:val="18"/>
              </w:rPr>
            </w:pPr>
            <w:r w:rsidRPr="00F77927">
              <w:rPr>
                <w:sz w:val="18"/>
                <w:szCs w:val="18"/>
              </w:rPr>
              <w:t>All</w:t>
            </w:r>
          </w:p>
        </w:tc>
      </w:tr>
      <w:tr w:rsidRPr="003468A9" w:rsidR="007C57C0" w:rsidTr="00775FD1" w14:paraId="4A891C38" w14:textId="77777777">
        <w:trPr>
          <w:cantSplit/>
        </w:trPr>
        <w:tc>
          <w:tcPr>
            <w:tcW w:w="2537" w:type="dxa"/>
            <w:noWrap/>
            <w:hideMark/>
          </w:tcPr>
          <w:p w:rsidRPr="003468A9" w:rsidR="007C57C0" w:rsidP="00775FD1" w:rsidRDefault="007C57C0" w14:paraId="455C2797" w14:textId="77777777">
            <w:pPr>
              <w:pStyle w:val="TableText"/>
              <w:spacing w:before="60"/>
            </w:pPr>
            <w:r w:rsidRPr="003468A9">
              <w:t>Graduate enrollment</w:t>
            </w:r>
          </w:p>
        </w:tc>
        <w:tc>
          <w:tcPr>
            <w:tcW w:w="973" w:type="dxa"/>
            <w:noWrap/>
            <w:vAlign w:val="bottom"/>
            <w:hideMark/>
          </w:tcPr>
          <w:p w:rsidRPr="003468A9" w:rsidR="007C57C0" w:rsidP="00775FD1" w:rsidRDefault="007C57C0" w14:paraId="7B67A7CA" w14:textId="77777777">
            <w:pPr>
              <w:pStyle w:val="TableText"/>
              <w:spacing w:before="60"/>
              <w:jc w:val="right"/>
            </w:pPr>
            <w:r w:rsidRPr="003468A9">
              <w:t>188</w:t>
            </w:r>
          </w:p>
        </w:tc>
        <w:tc>
          <w:tcPr>
            <w:tcW w:w="820" w:type="dxa"/>
            <w:vAlign w:val="bottom"/>
            <w:hideMark/>
          </w:tcPr>
          <w:p w:rsidRPr="00564C4A" w:rsidR="007C57C0" w:rsidP="00775FD1" w:rsidRDefault="007C57C0" w14:paraId="529CEBB7" w14:textId="77777777">
            <w:pPr>
              <w:pStyle w:val="TableText"/>
              <w:spacing w:before="60"/>
              <w:jc w:val="right"/>
            </w:pPr>
            <w:r w:rsidRPr="00564C4A">
              <w:t>2.8</w:t>
            </w:r>
          </w:p>
        </w:tc>
        <w:tc>
          <w:tcPr>
            <w:tcW w:w="820" w:type="dxa"/>
            <w:vAlign w:val="bottom"/>
            <w:hideMark/>
          </w:tcPr>
          <w:p w:rsidRPr="00564C4A" w:rsidR="007C57C0" w:rsidP="00775FD1" w:rsidRDefault="007C57C0" w14:paraId="690BA4B8" w14:textId="77777777">
            <w:pPr>
              <w:pStyle w:val="TableText"/>
              <w:spacing w:before="60"/>
              <w:jc w:val="right"/>
            </w:pPr>
            <w:r w:rsidRPr="00564C4A">
              <w:t>1.7</w:t>
            </w:r>
          </w:p>
        </w:tc>
        <w:tc>
          <w:tcPr>
            <w:tcW w:w="820" w:type="dxa"/>
            <w:vAlign w:val="bottom"/>
            <w:hideMark/>
          </w:tcPr>
          <w:p w:rsidRPr="00586EA5" w:rsidR="007C57C0" w:rsidP="00775FD1" w:rsidRDefault="007C57C0" w14:paraId="7EBB0D7E" w14:textId="77777777">
            <w:pPr>
              <w:pStyle w:val="TableText"/>
              <w:spacing w:before="60"/>
              <w:jc w:val="right"/>
            </w:pPr>
            <w:r w:rsidRPr="00586EA5">
              <w:t>3.6</w:t>
            </w:r>
          </w:p>
        </w:tc>
        <w:tc>
          <w:tcPr>
            <w:tcW w:w="279" w:type="dxa"/>
            <w:vAlign w:val="bottom"/>
            <w:hideMark/>
          </w:tcPr>
          <w:p w:rsidRPr="00586EA5" w:rsidR="007C57C0" w:rsidP="00775FD1" w:rsidRDefault="007C57C0" w14:paraId="69019521" w14:textId="77777777">
            <w:pPr>
              <w:pStyle w:val="TableText"/>
              <w:spacing w:before="60"/>
              <w:jc w:val="right"/>
            </w:pPr>
            <w:r w:rsidRPr="00586EA5">
              <w:t> </w:t>
            </w:r>
          </w:p>
        </w:tc>
        <w:tc>
          <w:tcPr>
            <w:tcW w:w="830" w:type="dxa"/>
            <w:vAlign w:val="bottom"/>
            <w:hideMark/>
          </w:tcPr>
          <w:p w:rsidRPr="00586EA5" w:rsidR="007C57C0" w:rsidP="00775FD1" w:rsidRDefault="007C57C0" w14:paraId="7CC304A7" w14:textId="77777777">
            <w:pPr>
              <w:pStyle w:val="TableText"/>
              <w:spacing w:before="60"/>
              <w:jc w:val="right"/>
            </w:pPr>
            <w:r w:rsidRPr="00586EA5">
              <w:t>4.2</w:t>
            </w:r>
          </w:p>
        </w:tc>
        <w:tc>
          <w:tcPr>
            <w:tcW w:w="830" w:type="dxa"/>
            <w:vAlign w:val="bottom"/>
            <w:hideMark/>
          </w:tcPr>
          <w:p w:rsidRPr="00586EA5" w:rsidR="007C57C0" w:rsidP="00775FD1" w:rsidRDefault="007C57C0" w14:paraId="6096698F" w14:textId="77777777">
            <w:pPr>
              <w:pStyle w:val="TableText"/>
              <w:spacing w:before="60"/>
              <w:jc w:val="right"/>
            </w:pPr>
            <w:r w:rsidRPr="00586EA5">
              <w:t>2.5</w:t>
            </w:r>
          </w:p>
        </w:tc>
        <w:tc>
          <w:tcPr>
            <w:tcW w:w="830" w:type="dxa"/>
            <w:vAlign w:val="bottom"/>
            <w:hideMark/>
          </w:tcPr>
          <w:p w:rsidRPr="00586EA5" w:rsidR="007C57C0" w:rsidP="00775FD1" w:rsidRDefault="007C57C0" w14:paraId="055C8C90" w14:textId="77777777">
            <w:pPr>
              <w:pStyle w:val="TableText"/>
              <w:spacing w:before="60"/>
              <w:jc w:val="right"/>
            </w:pPr>
            <w:r w:rsidRPr="00586EA5">
              <w:t>5.5</w:t>
            </w:r>
          </w:p>
        </w:tc>
      </w:tr>
      <w:tr w:rsidRPr="003468A9" w:rsidR="007C57C0" w:rsidTr="00775FD1" w14:paraId="4A8F58CF" w14:textId="77777777">
        <w:trPr>
          <w:cantSplit/>
        </w:trPr>
        <w:tc>
          <w:tcPr>
            <w:tcW w:w="2537" w:type="dxa"/>
            <w:noWrap/>
            <w:hideMark/>
          </w:tcPr>
          <w:p w:rsidRPr="003468A9" w:rsidR="007C57C0" w:rsidP="00775FD1" w:rsidRDefault="007C57C0" w14:paraId="090C7B1F" w14:textId="77777777">
            <w:pPr>
              <w:pStyle w:val="TableText2"/>
            </w:pPr>
            <w:r w:rsidRPr="003468A9">
              <w:t>Demographics</w:t>
            </w:r>
          </w:p>
        </w:tc>
        <w:tc>
          <w:tcPr>
            <w:tcW w:w="973" w:type="dxa"/>
            <w:noWrap/>
            <w:vAlign w:val="bottom"/>
            <w:hideMark/>
          </w:tcPr>
          <w:p w:rsidRPr="003468A9" w:rsidR="007C57C0" w:rsidP="00775FD1" w:rsidRDefault="007C57C0" w14:paraId="3EDC0185" w14:textId="77777777">
            <w:pPr>
              <w:pStyle w:val="TableText"/>
              <w:jc w:val="right"/>
            </w:pPr>
            <w:r w:rsidRPr="003468A9">
              <w:t>90</w:t>
            </w:r>
          </w:p>
        </w:tc>
        <w:tc>
          <w:tcPr>
            <w:tcW w:w="820" w:type="dxa"/>
            <w:vAlign w:val="bottom"/>
            <w:hideMark/>
          </w:tcPr>
          <w:p w:rsidRPr="00564C4A" w:rsidR="007C57C0" w:rsidP="00775FD1" w:rsidRDefault="007C57C0" w14:paraId="19331A12" w14:textId="77777777">
            <w:pPr>
              <w:pStyle w:val="TableText"/>
              <w:jc w:val="right"/>
            </w:pPr>
            <w:r w:rsidRPr="00564C4A">
              <w:t>0.5</w:t>
            </w:r>
          </w:p>
        </w:tc>
        <w:tc>
          <w:tcPr>
            <w:tcW w:w="820" w:type="dxa"/>
            <w:vAlign w:val="bottom"/>
            <w:hideMark/>
          </w:tcPr>
          <w:p w:rsidRPr="00564C4A" w:rsidR="007C57C0" w:rsidP="00775FD1" w:rsidRDefault="007C57C0" w14:paraId="587BD458" w14:textId="77777777">
            <w:pPr>
              <w:pStyle w:val="TableText"/>
              <w:jc w:val="right"/>
            </w:pPr>
            <w:r w:rsidRPr="00564C4A">
              <w:t>0.3</w:t>
            </w:r>
          </w:p>
        </w:tc>
        <w:tc>
          <w:tcPr>
            <w:tcW w:w="820" w:type="dxa"/>
            <w:vAlign w:val="bottom"/>
            <w:hideMark/>
          </w:tcPr>
          <w:p w:rsidRPr="00586EA5" w:rsidR="007C57C0" w:rsidP="00775FD1" w:rsidRDefault="007C57C0" w14:paraId="218E0977" w14:textId="77777777">
            <w:pPr>
              <w:pStyle w:val="TableText"/>
              <w:jc w:val="right"/>
            </w:pPr>
            <w:r w:rsidRPr="00586EA5">
              <w:t>0.7</w:t>
            </w:r>
          </w:p>
        </w:tc>
        <w:tc>
          <w:tcPr>
            <w:tcW w:w="279" w:type="dxa"/>
            <w:vAlign w:val="bottom"/>
            <w:hideMark/>
          </w:tcPr>
          <w:p w:rsidRPr="00586EA5" w:rsidR="007C57C0" w:rsidP="00775FD1" w:rsidRDefault="007C57C0" w14:paraId="610DD75F" w14:textId="77777777">
            <w:pPr>
              <w:pStyle w:val="TableText"/>
              <w:jc w:val="right"/>
            </w:pPr>
            <w:r w:rsidRPr="00586EA5">
              <w:t> </w:t>
            </w:r>
          </w:p>
        </w:tc>
        <w:tc>
          <w:tcPr>
            <w:tcW w:w="830" w:type="dxa"/>
            <w:vAlign w:val="bottom"/>
            <w:hideMark/>
          </w:tcPr>
          <w:p w:rsidRPr="00586EA5" w:rsidR="007C57C0" w:rsidP="00775FD1" w:rsidRDefault="007C57C0" w14:paraId="6B0C39BE" w14:textId="77777777">
            <w:pPr>
              <w:pStyle w:val="TableText"/>
              <w:jc w:val="right"/>
            </w:pPr>
            <w:r w:rsidRPr="00586EA5">
              <w:t>3.4</w:t>
            </w:r>
          </w:p>
        </w:tc>
        <w:tc>
          <w:tcPr>
            <w:tcW w:w="830" w:type="dxa"/>
            <w:vAlign w:val="bottom"/>
            <w:hideMark/>
          </w:tcPr>
          <w:p w:rsidRPr="00586EA5" w:rsidR="007C57C0" w:rsidP="00775FD1" w:rsidRDefault="007C57C0" w14:paraId="4F100CE2" w14:textId="77777777">
            <w:pPr>
              <w:pStyle w:val="TableText"/>
              <w:jc w:val="right"/>
            </w:pPr>
            <w:r w:rsidRPr="00586EA5">
              <w:t>1.4</w:t>
            </w:r>
          </w:p>
        </w:tc>
        <w:tc>
          <w:tcPr>
            <w:tcW w:w="830" w:type="dxa"/>
            <w:vAlign w:val="bottom"/>
            <w:hideMark/>
          </w:tcPr>
          <w:p w:rsidRPr="00586EA5" w:rsidR="007C57C0" w:rsidP="00775FD1" w:rsidRDefault="007C57C0" w14:paraId="35CB1271" w14:textId="77777777">
            <w:pPr>
              <w:pStyle w:val="TableText"/>
              <w:jc w:val="right"/>
            </w:pPr>
            <w:r w:rsidRPr="00586EA5">
              <w:t>4.1</w:t>
            </w:r>
          </w:p>
        </w:tc>
      </w:tr>
      <w:tr w:rsidRPr="003468A9" w:rsidR="007C57C0" w:rsidTr="00775FD1" w14:paraId="49532DD6" w14:textId="77777777">
        <w:trPr>
          <w:cantSplit/>
        </w:trPr>
        <w:tc>
          <w:tcPr>
            <w:tcW w:w="2537" w:type="dxa"/>
            <w:noWrap/>
            <w:hideMark/>
          </w:tcPr>
          <w:p w:rsidRPr="003468A9" w:rsidR="007C57C0" w:rsidP="00775FD1" w:rsidRDefault="007C57C0" w14:paraId="784EDC48" w14:textId="77777777">
            <w:pPr>
              <w:pStyle w:val="TableText2"/>
            </w:pPr>
            <w:r w:rsidRPr="003468A9">
              <w:t xml:space="preserve">Primary </w:t>
            </w:r>
            <w:r>
              <w:t>s</w:t>
            </w:r>
            <w:r w:rsidRPr="003468A9">
              <w:t>upport</w:t>
            </w:r>
          </w:p>
        </w:tc>
        <w:tc>
          <w:tcPr>
            <w:tcW w:w="973" w:type="dxa"/>
            <w:noWrap/>
            <w:vAlign w:val="bottom"/>
            <w:hideMark/>
          </w:tcPr>
          <w:p w:rsidRPr="003468A9" w:rsidR="007C57C0" w:rsidP="00775FD1" w:rsidRDefault="007C57C0" w14:paraId="0465A341" w14:textId="77777777">
            <w:pPr>
              <w:pStyle w:val="TableText"/>
              <w:jc w:val="right"/>
            </w:pPr>
            <w:r w:rsidRPr="003468A9">
              <w:t>98</w:t>
            </w:r>
          </w:p>
        </w:tc>
        <w:tc>
          <w:tcPr>
            <w:tcW w:w="820" w:type="dxa"/>
            <w:vAlign w:val="bottom"/>
            <w:hideMark/>
          </w:tcPr>
          <w:p w:rsidRPr="00564C4A" w:rsidR="007C57C0" w:rsidP="00775FD1" w:rsidRDefault="007C57C0" w14:paraId="4A34BA12" w14:textId="77777777">
            <w:pPr>
              <w:pStyle w:val="TableText"/>
              <w:jc w:val="right"/>
            </w:pPr>
            <w:r w:rsidRPr="00564C4A">
              <w:t>4.9</w:t>
            </w:r>
          </w:p>
        </w:tc>
        <w:tc>
          <w:tcPr>
            <w:tcW w:w="820" w:type="dxa"/>
            <w:vAlign w:val="bottom"/>
            <w:hideMark/>
          </w:tcPr>
          <w:p w:rsidRPr="00564C4A" w:rsidR="007C57C0" w:rsidP="00775FD1" w:rsidRDefault="007C57C0" w14:paraId="63D32CFD" w14:textId="77777777">
            <w:pPr>
              <w:pStyle w:val="TableText"/>
              <w:jc w:val="right"/>
            </w:pPr>
            <w:r w:rsidRPr="00564C4A">
              <w:t>3.0</w:t>
            </w:r>
          </w:p>
        </w:tc>
        <w:tc>
          <w:tcPr>
            <w:tcW w:w="820" w:type="dxa"/>
            <w:vAlign w:val="bottom"/>
            <w:hideMark/>
          </w:tcPr>
          <w:p w:rsidRPr="00586EA5" w:rsidR="007C57C0" w:rsidP="00775FD1" w:rsidRDefault="007C57C0" w14:paraId="3771C7B1" w14:textId="77777777">
            <w:pPr>
              <w:pStyle w:val="TableText"/>
              <w:jc w:val="right"/>
            </w:pPr>
            <w:r w:rsidRPr="00586EA5">
              <w:t>6.3</w:t>
            </w:r>
          </w:p>
        </w:tc>
        <w:tc>
          <w:tcPr>
            <w:tcW w:w="279" w:type="dxa"/>
            <w:vAlign w:val="bottom"/>
            <w:hideMark/>
          </w:tcPr>
          <w:p w:rsidRPr="00586EA5" w:rsidR="007C57C0" w:rsidP="00775FD1" w:rsidRDefault="007C57C0" w14:paraId="2306ACB7" w14:textId="77777777">
            <w:pPr>
              <w:pStyle w:val="TableText"/>
              <w:jc w:val="right"/>
            </w:pPr>
            <w:r w:rsidRPr="00586EA5">
              <w:t> </w:t>
            </w:r>
          </w:p>
        </w:tc>
        <w:tc>
          <w:tcPr>
            <w:tcW w:w="830" w:type="dxa"/>
            <w:vAlign w:val="bottom"/>
            <w:hideMark/>
          </w:tcPr>
          <w:p w:rsidRPr="00586EA5" w:rsidR="007C57C0" w:rsidP="00775FD1" w:rsidRDefault="007C57C0" w14:paraId="521CB309" w14:textId="77777777">
            <w:pPr>
              <w:pStyle w:val="TableText"/>
              <w:jc w:val="right"/>
            </w:pPr>
            <w:r w:rsidRPr="00586EA5">
              <w:t>4.9</w:t>
            </w:r>
          </w:p>
        </w:tc>
        <w:tc>
          <w:tcPr>
            <w:tcW w:w="830" w:type="dxa"/>
            <w:vAlign w:val="bottom"/>
            <w:hideMark/>
          </w:tcPr>
          <w:p w:rsidRPr="00586EA5" w:rsidR="007C57C0" w:rsidP="00775FD1" w:rsidRDefault="007C57C0" w14:paraId="320D2FD8" w14:textId="77777777">
            <w:pPr>
              <w:pStyle w:val="TableText"/>
              <w:jc w:val="right"/>
            </w:pPr>
            <w:r w:rsidRPr="00586EA5">
              <w:t>3.5</w:t>
            </w:r>
          </w:p>
        </w:tc>
        <w:tc>
          <w:tcPr>
            <w:tcW w:w="830" w:type="dxa"/>
            <w:vAlign w:val="bottom"/>
            <w:hideMark/>
          </w:tcPr>
          <w:p w:rsidRPr="00586EA5" w:rsidR="007C57C0" w:rsidP="00775FD1" w:rsidRDefault="007C57C0" w14:paraId="3EF14790" w14:textId="77777777">
            <w:pPr>
              <w:pStyle w:val="TableText"/>
              <w:jc w:val="right"/>
            </w:pPr>
            <w:r w:rsidRPr="00586EA5">
              <w:t>6.9</w:t>
            </w:r>
          </w:p>
        </w:tc>
      </w:tr>
      <w:tr w:rsidRPr="003468A9" w:rsidR="007C57C0" w:rsidTr="00775FD1" w14:paraId="26851847" w14:textId="77777777">
        <w:trPr>
          <w:cantSplit/>
          <w:trHeight w:val="331"/>
        </w:trPr>
        <w:tc>
          <w:tcPr>
            <w:tcW w:w="0" w:type="dxa"/>
            <w:noWrap/>
            <w:vAlign w:val="bottom"/>
          </w:tcPr>
          <w:p w:rsidRPr="003468A9" w:rsidR="007C57C0" w:rsidP="00775FD1" w:rsidRDefault="007C57C0" w14:paraId="1712525F" w14:textId="77777777">
            <w:pPr>
              <w:pStyle w:val="TableText2"/>
              <w:spacing w:before="120"/>
              <w:ind w:left="0"/>
            </w:pPr>
            <w:r w:rsidRPr="003468A9">
              <w:t>Postdoctoral appointments</w:t>
            </w:r>
          </w:p>
        </w:tc>
        <w:tc>
          <w:tcPr>
            <w:tcW w:w="0" w:type="dxa"/>
            <w:noWrap/>
            <w:vAlign w:val="bottom"/>
          </w:tcPr>
          <w:p w:rsidRPr="003468A9" w:rsidR="007C57C0" w:rsidP="00775FD1" w:rsidRDefault="007C57C0" w14:paraId="34EEC201" w14:textId="77777777">
            <w:pPr>
              <w:pStyle w:val="TableText"/>
              <w:jc w:val="right"/>
            </w:pPr>
            <w:r>
              <w:t>152</w:t>
            </w:r>
          </w:p>
        </w:tc>
        <w:tc>
          <w:tcPr>
            <w:tcW w:w="0" w:type="dxa"/>
            <w:vAlign w:val="bottom"/>
          </w:tcPr>
          <w:p w:rsidRPr="00796963" w:rsidR="007C57C0" w:rsidP="00775FD1" w:rsidRDefault="007C57C0" w14:paraId="469582BE" w14:textId="77777777">
            <w:pPr>
              <w:pStyle w:val="TableText"/>
              <w:jc w:val="right"/>
            </w:pPr>
            <w:r>
              <w:t>-</w:t>
            </w:r>
          </w:p>
        </w:tc>
        <w:tc>
          <w:tcPr>
            <w:tcW w:w="0" w:type="dxa"/>
            <w:vAlign w:val="bottom"/>
          </w:tcPr>
          <w:p w:rsidRPr="00796963" w:rsidR="007C57C0" w:rsidP="00775FD1" w:rsidRDefault="007C57C0" w14:paraId="70C59FD1" w14:textId="77777777">
            <w:pPr>
              <w:pStyle w:val="TableText"/>
              <w:jc w:val="right"/>
            </w:pPr>
            <w:r>
              <w:t>-</w:t>
            </w:r>
          </w:p>
        </w:tc>
        <w:tc>
          <w:tcPr>
            <w:tcW w:w="0" w:type="dxa"/>
            <w:vAlign w:val="bottom"/>
          </w:tcPr>
          <w:p w:rsidRPr="00564C4A" w:rsidR="007C57C0" w:rsidP="00775FD1" w:rsidRDefault="007C57C0" w14:paraId="68910B3C" w14:textId="77777777">
            <w:pPr>
              <w:pStyle w:val="TableText"/>
              <w:jc w:val="right"/>
            </w:pPr>
            <w:r>
              <w:t>1.9</w:t>
            </w:r>
          </w:p>
        </w:tc>
        <w:tc>
          <w:tcPr>
            <w:tcW w:w="0" w:type="dxa"/>
            <w:vAlign w:val="bottom"/>
          </w:tcPr>
          <w:p w:rsidRPr="003468A9" w:rsidR="007C57C0" w:rsidP="00775FD1" w:rsidRDefault="007C57C0" w14:paraId="1F68F5CF" w14:textId="77777777">
            <w:pPr>
              <w:pStyle w:val="TableText"/>
              <w:jc w:val="right"/>
            </w:pPr>
          </w:p>
        </w:tc>
        <w:tc>
          <w:tcPr>
            <w:tcW w:w="830" w:type="dxa"/>
            <w:vAlign w:val="bottom"/>
          </w:tcPr>
          <w:p w:rsidRPr="00981175" w:rsidR="007C57C0" w:rsidP="00775FD1" w:rsidRDefault="007C57C0" w14:paraId="18AAC717" w14:textId="77777777">
            <w:pPr>
              <w:pStyle w:val="TableText"/>
              <w:jc w:val="right"/>
            </w:pPr>
            <w:r>
              <w:t>-</w:t>
            </w:r>
          </w:p>
        </w:tc>
        <w:tc>
          <w:tcPr>
            <w:tcW w:w="830" w:type="dxa"/>
            <w:vAlign w:val="bottom"/>
          </w:tcPr>
          <w:p w:rsidRPr="00981175" w:rsidR="007C57C0" w:rsidP="00775FD1" w:rsidRDefault="007C57C0" w14:paraId="6AA47C5E" w14:textId="77777777">
            <w:pPr>
              <w:pStyle w:val="TableText"/>
              <w:jc w:val="right"/>
            </w:pPr>
            <w:r>
              <w:t>-</w:t>
            </w:r>
          </w:p>
        </w:tc>
        <w:tc>
          <w:tcPr>
            <w:tcW w:w="830" w:type="dxa"/>
            <w:vAlign w:val="bottom"/>
          </w:tcPr>
          <w:p w:rsidRPr="003468A9" w:rsidR="007C57C0" w:rsidP="00775FD1" w:rsidRDefault="007C57C0" w14:paraId="43441922" w14:textId="77777777">
            <w:pPr>
              <w:pStyle w:val="TableText"/>
              <w:jc w:val="right"/>
            </w:pPr>
            <w:r>
              <w:t>2.4</w:t>
            </w:r>
          </w:p>
        </w:tc>
      </w:tr>
      <w:tr w:rsidRPr="003468A9" w:rsidR="007C57C0" w:rsidTr="00775FD1" w14:paraId="24DA0656" w14:textId="77777777">
        <w:trPr>
          <w:cantSplit/>
        </w:trPr>
        <w:tc>
          <w:tcPr>
            <w:tcW w:w="2537" w:type="dxa"/>
            <w:noWrap/>
            <w:hideMark/>
          </w:tcPr>
          <w:p w:rsidRPr="003468A9" w:rsidR="007C57C0" w:rsidP="00775FD1" w:rsidRDefault="007C57C0" w14:paraId="5B0116FC" w14:textId="77777777">
            <w:pPr>
              <w:pStyle w:val="TableText2"/>
            </w:pPr>
            <w:r w:rsidRPr="003468A9">
              <w:t>Demographics</w:t>
            </w:r>
          </w:p>
        </w:tc>
        <w:tc>
          <w:tcPr>
            <w:tcW w:w="973" w:type="dxa"/>
            <w:noWrap/>
            <w:vAlign w:val="bottom"/>
            <w:hideMark/>
          </w:tcPr>
          <w:p w:rsidRPr="003468A9" w:rsidR="007C57C0" w:rsidP="00775FD1" w:rsidRDefault="007C57C0" w14:paraId="53DBAE6B" w14:textId="77777777">
            <w:pPr>
              <w:pStyle w:val="TableText"/>
              <w:jc w:val="right"/>
            </w:pPr>
            <w:r w:rsidRPr="003468A9">
              <w:t>30</w:t>
            </w:r>
          </w:p>
        </w:tc>
        <w:tc>
          <w:tcPr>
            <w:tcW w:w="820" w:type="dxa"/>
            <w:vAlign w:val="bottom"/>
            <w:hideMark/>
          </w:tcPr>
          <w:p w:rsidRPr="00564C4A" w:rsidR="007C57C0" w:rsidP="00775FD1" w:rsidRDefault="007C57C0" w14:paraId="2DBF15CA" w14:textId="77777777">
            <w:pPr>
              <w:pStyle w:val="TableText"/>
              <w:jc w:val="right"/>
            </w:pPr>
            <w:r w:rsidRPr="00796963">
              <w:t>-</w:t>
            </w:r>
          </w:p>
        </w:tc>
        <w:tc>
          <w:tcPr>
            <w:tcW w:w="820" w:type="dxa"/>
            <w:vAlign w:val="bottom"/>
            <w:hideMark/>
          </w:tcPr>
          <w:p w:rsidRPr="00564C4A" w:rsidR="007C57C0" w:rsidP="00775FD1" w:rsidRDefault="007C57C0" w14:paraId="16B3B4D6" w14:textId="77777777">
            <w:pPr>
              <w:pStyle w:val="TableText"/>
              <w:jc w:val="right"/>
            </w:pPr>
            <w:r w:rsidRPr="00796963">
              <w:t>-</w:t>
            </w:r>
          </w:p>
        </w:tc>
        <w:tc>
          <w:tcPr>
            <w:tcW w:w="820" w:type="dxa"/>
            <w:vAlign w:val="bottom"/>
            <w:hideMark/>
          </w:tcPr>
          <w:p w:rsidRPr="00564C4A" w:rsidR="007C57C0" w:rsidP="00775FD1" w:rsidRDefault="007C57C0" w14:paraId="072D300A" w14:textId="77777777">
            <w:pPr>
              <w:pStyle w:val="TableText"/>
              <w:jc w:val="right"/>
            </w:pPr>
            <w:r w:rsidRPr="00564C4A">
              <w:t>1.9</w:t>
            </w:r>
          </w:p>
        </w:tc>
        <w:tc>
          <w:tcPr>
            <w:tcW w:w="279" w:type="dxa"/>
            <w:vAlign w:val="bottom"/>
            <w:hideMark/>
          </w:tcPr>
          <w:p w:rsidRPr="003468A9" w:rsidR="007C57C0" w:rsidP="00775FD1" w:rsidRDefault="007C57C0" w14:paraId="6B98AF3F" w14:textId="77777777">
            <w:pPr>
              <w:pStyle w:val="TableText"/>
              <w:jc w:val="right"/>
            </w:pPr>
            <w:r w:rsidRPr="003468A9">
              <w:t> </w:t>
            </w:r>
          </w:p>
        </w:tc>
        <w:tc>
          <w:tcPr>
            <w:tcW w:w="830" w:type="dxa"/>
            <w:vAlign w:val="bottom"/>
            <w:hideMark/>
          </w:tcPr>
          <w:p w:rsidRPr="003468A9" w:rsidR="007C57C0" w:rsidP="00775FD1" w:rsidRDefault="007C57C0" w14:paraId="5B87E5E4" w14:textId="77777777">
            <w:pPr>
              <w:pStyle w:val="TableText"/>
              <w:jc w:val="right"/>
            </w:pPr>
            <w:r w:rsidRPr="00981175">
              <w:t>-</w:t>
            </w:r>
          </w:p>
        </w:tc>
        <w:tc>
          <w:tcPr>
            <w:tcW w:w="830" w:type="dxa"/>
            <w:vAlign w:val="bottom"/>
            <w:hideMark/>
          </w:tcPr>
          <w:p w:rsidRPr="003468A9" w:rsidR="007C57C0" w:rsidP="00775FD1" w:rsidRDefault="007C57C0" w14:paraId="078B4C26" w14:textId="77777777">
            <w:pPr>
              <w:pStyle w:val="TableText"/>
              <w:jc w:val="right"/>
            </w:pPr>
            <w:r w:rsidRPr="00981175">
              <w:t>-</w:t>
            </w:r>
          </w:p>
        </w:tc>
        <w:tc>
          <w:tcPr>
            <w:tcW w:w="830" w:type="dxa"/>
            <w:vAlign w:val="bottom"/>
            <w:hideMark/>
          </w:tcPr>
          <w:p w:rsidRPr="003468A9" w:rsidR="007C57C0" w:rsidP="00775FD1" w:rsidRDefault="007C57C0" w14:paraId="05F50C00" w14:textId="77777777">
            <w:pPr>
              <w:pStyle w:val="TableText"/>
              <w:jc w:val="right"/>
            </w:pPr>
            <w:r w:rsidRPr="003468A9">
              <w:t>2.0</w:t>
            </w:r>
          </w:p>
        </w:tc>
      </w:tr>
      <w:tr w:rsidRPr="003468A9" w:rsidR="007C57C0" w:rsidTr="00775FD1" w14:paraId="2EBC0721" w14:textId="77777777">
        <w:trPr>
          <w:cantSplit/>
        </w:trPr>
        <w:tc>
          <w:tcPr>
            <w:tcW w:w="2537" w:type="dxa"/>
            <w:noWrap/>
            <w:hideMark/>
          </w:tcPr>
          <w:p w:rsidRPr="003468A9" w:rsidR="007C57C0" w:rsidP="00775FD1" w:rsidRDefault="007C57C0" w14:paraId="5B31DCC5" w14:textId="77777777">
            <w:pPr>
              <w:pStyle w:val="TableText2"/>
            </w:pPr>
            <w:r w:rsidRPr="003468A9">
              <w:t xml:space="preserve">Primary </w:t>
            </w:r>
            <w:r>
              <w:t>s</w:t>
            </w:r>
            <w:r w:rsidRPr="003468A9">
              <w:t>upport</w:t>
            </w:r>
          </w:p>
        </w:tc>
        <w:tc>
          <w:tcPr>
            <w:tcW w:w="973" w:type="dxa"/>
            <w:noWrap/>
            <w:vAlign w:val="bottom"/>
            <w:hideMark/>
          </w:tcPr>
          <w:p w:rsidRPr="003468A9" w:rsidR="007C57C0" w:rsidP="00775FD1" w:rsidRDefault="007C57C0" w14:paraId="22EF4F01" w14:textId="77777777">
            <w:pPr>
              <w:pStyle w:val="TableText"/>
              <w:jc w:val="right"/>
            </w:pPr>
            <w:r>
              <w:t>8</w:t>
            </w:r>
            <w:r w:rsidRPr="003468A9">
              <w:t>7</w:t>
            </w:r>
          </w:p>
        </w:tc>
        <w:tc>
          <w:tcPr>
            <w:tcW w:w="820" w:type="dxa"/>
            <w:vAlign w:val="bottom"/>
            <w:hideMark/>
          </w:tcPr>
          <w:p w:rsidRPr="00564C4A" w:rsidR="007C57C0" w:rsidP="00775FD1" w:rsidRDefault="007C57C0" w14:paraId="51B6A03F" w14:textId="77777777">
            <w:pPr>
              <w:pStyle w:val="TableText"/>
              <w:jc w:val="right"/>
            </w:pPr>
            <w:r w:rsidRPr="00796963">
              <w:t>-</w:t>
            </w:r>
          </w:p>
        </w:tc>
        <w:tc>
          <w:tcPr>
            <w:tcW w:w="820" w:type="dxa"/>
            <w:vAlign w:val="bottom"/>
            <w:hideMark/>
          </w:tcPr>
          <w:p w:rsidRPr="00564C4A" w:rsidR="007C57C0" w:rsidP="00775FD1" w:rsidRDefault="007C57C0" w14:paraId="662E6448" w14:textId="77777777">
            <w:pPr>
              <w:pStyle w:val="TableText"/>
              <w:jc w:val="right"/>
            </w:pPr>
            <w:r w:rsidRPr="00796963">
              <w:t>-</w:t>
            </w:r>
          </w:p>
        </w:tc>
        <w:tc>
          <w:tcPr>
            <w:tcW w:w="820" w:type="dxa"/>
            <w:vAlign w:val="bottom"/>
            <w:hideMark/>
          </w:tcPr>
          <w:p w:rsidRPr="00564C4A" w:rsidR="007C57C0" w:rsidP="00775FD1" w:rsidRDefault="007C57C0" w14:paraId="1CC9FE5E" w14:textId="77777777">
            <w:pPr>
              <w:pStyle w:val="TableText"/>
              <w:jc w:val="right"/>
            </w:pPr>
            <w:r w:rsidRPr="00564C4A">
              <w:t>2.1</w:t>
            </w:r>
          </w:p>
        </w:tc>
        <w:tc>
          <w:tcPr>
            <w:tcW w:w="279" w:type="dxa"/>
            <w:vAlign w:val="bottom"/>
            <w:hideMark/>
          </w:tcPr>
          <w:p w:rsidRPr="003468A9" w:rsidR="007C57C0" w:rsidP="00775FD1" w:rsidRDefault="007C57C0" w14:paraId="0C301852" w14:textId="77777777">
            <w:pPr>
              <w:pStyle w:val="TableText"/>
              <w:jc w:val="right"/>
            </w:pPr>
            <w:r w:rsidRPr="003468A9">
              <w:t> </w:t>
            </w:r>
          </w:p>
        </w:tc>
        <w:tc>
          <w:tcPr>
            <w:tcW w:w="830" w:type="dxa"/>
            <w:vAlign w:val="bottom"/>
            <w:hideMark/>
          </w:tcPr>
          <w:p w:rsidRPr="003468A9" w:rsidR="007C57C0" w:rsidP="00775FD1" w:rsidRDefault="007C57C0" w14:paraId="2C21AFCC" w14:textId="77777777">
            <w:pPr>
              <w:pStyle w:val="TableText"/>
              <w:jc w:val="right"/>
            </w:pPr>
            <w:r w:rsidRPr="00981175">
              <w:t>-</w:t>
            </w:r>
          </w:p>
        </w:tc>
        <w:tc>
          <w:tcPr>
            <w:tcW w:w="830" w:type="dxa"/>
            <w:vAlign w:val="bottom"/>
            <w:hideMark/>
          </w:tcPr>
          <w:p w:rsidRPr="003468A9" w:rsidR="007C57C0" w:rsidP="00775FD1" w:rsidRDefault="007C57C0" w14:paraId="2361ECD1" w14:textId="77777777">
            <w:pPr>
              <w:pStyle w:val="TableText"/>
              <w:jc w:val="right"/>
            </w:pPr>
            <w:r w:rsidRPr="00981175">
              <w:t>-</w:t>
            </w:r>
          </w:p>
        </w:tc>
        <w:tc>
          <w:tcPr>
            <w:tcW w:w="830" w:type="dxa"/>
            <w:vAlign w:val="bottom"/>
            <w:hideMark/>
          </w:tcPr>
          <w:p w:rsidRPr="003468A9" w:rsidR="007C57C0" w:rsidP="00775FD1" w:rsidRDefault="007C57C0" w14:paraId="7EC6E13E" w14:textId="77777777">
            <w:pPr>
              <w:pStyle w:val="TableText"/>
              <w:jc w:val="right"/>
            </w:pPr>
            <w:r w:rsidRPr="003468A9">
              <w:t>2.6</w:t>
            </w:r>
          </w:p>
        </w:tc>
      </w:tr>
      <w:tr w:rsidRPr="003468A9" w:rsidR="007C57C0" w:rsidTr="00775FD1" w14:paraId="0884516D" w14:textId="77777777">
        <w:trPr>
          <w:cantSplit/>
        </w:trPr>
        <w:tc>
          <w:tcPr>
            <w:tcW w:w="2537" w:type="dxa"/>
            <w:noWrap/>
            <w:hideMark/>
          </w:tcPr>
          <w:p w:rsidRPr="003468A9" w:rsidR="007C57C0" w:rsidP="00775FD1" w:rsidRDefault="007C57C0" w14:paraId="7E6A3D59" w14:textId="77777777">
            <w:pPr>
              <w:pStyle w:val="TableText2"/>
            </w:pPr>
            <w:r w:rsidRPr="003468A9">
              <w:t>Type</w:t>
            </w:r>
          </w:p>
        </w:tc>
        <w:tc>
          <w:tcPr>
            <w:tcW w:w="973" w:type="dxa"/>
            <w:noWrap/>
            <w:vAlign w:val="bottom"/>
            <w:hideMark/>
          </w:tcPr>
          <w:p w:rsidRPr="003468A9" w:rsidR="007C57C0" w:rsidP="00775FD1" w:rsidRDefault="007C57C0" w14:paraId="4CC080A8" w14:textId="77777777">
            <w:pPr>
              <w:pStyle w:val="TableText"/>
              <w:jc w:val="right"/>
            </w:pPr>
            <w:r>
              <w:t>3</w:t>
            </w:r>
            <w:r w:rsidRPr="003468A9">
              <w:t>5</w:t>
            </w:r>
          </w:p>
        </w:tc>
        <w:tc>
          <w:tcPr>
            <w:tcW w:w="820" w:type="dxa"/>
            <w:vAlign w:val="bottom"/>
            <w:hideMark/>
          </w:tcPr>
          <w:p w:rsidRPr="00564C4A" w:rsidR="007C57C0" w:rsidP="00775FD1" w:rsidRDefault="007C57C0" w14:paraId="10149AA8" w14:textId="77777777">
            <w:pPr>
              <w:pStyle w:val="TableText"/>
              <w:jc w:val="right"/>
            </w:pPr>
            <w:r w:rsidRPr="00796963">
              <w:t>-</w:t>
            </w:r>
          </w:p>
        </w:tc>
        <w:tc>
          <w:tcPr>
            <w:tcW w:w="820" w:type="dxa"/>
            <w:vAlign w:val="bottom"/>
            <w:hideMark/>
          </w:tcPr>
          <w:p w:rsidRPr="00564C4A" w:rsidR="007C57C0" w:rsidP="00775FD1" w:rsidRDefault="007C57C0" w14:paraId="017DC88C" w14:textId="77777777">
            <w:pPr>
              <w:pStyle w:val="TableText"/>
              <w:jc w:val="right"/>
            </w:pPr>
            <w:r w:rsidRPr="00796963">
              <w:t>-</w:t>
            </w:r>
          </w:p>
        </w:tc>
        <w:tc>
          <w:tcPr>
            <w:tcW w:w="820" w:type="dxa"/>
            <w:vAlign w:val="bottom"/>
            <w:hideMark/>
          </w:tcPr>
          <w:p w:rsidRPr="00564C4A" w:rsidR="007C57C0" w:rsidP="00775FD1" w:rsidRDefault="007C57C0" w14:paraId="51834819" w14:textId="77777777">
            <w:pPr>
              <w:pStyle w:val="TableText"/>
              <w:jc w:val="right"/>
            </w:pPr>
            <w:r w:rsidRPr="00564C4A">
              <w:t>1.</w:t>
            </w:r>
            <w:r>
              <w:t>5</w:t>
            </w:r>
          </w:p>
        </w:tc>
        <w:tc>
          <w:tcPr>
            <w:tcW w:w="279" w:type="dxa"/>
            <w:vAlign w:val="bottom"/>
            <w:hideMark/>
          </w:tcPr>
          <w:p w:rsidRPr="003468A9" w:rsidR="007C57C0" w:rsidP="00775FD1" w:rsidRDefault="007C57C0" w14:paraId="3471CB7D" w14:textId="77777777">
            <w:pPr>
              <w:pStyle w:val="TableText"/>
              <w:jc w:val="right"/>
            </w:pPr>
            <w:r w:rsidRPr="003468A9">
              <w:t> </w:t>
            </w:r>
          </w:p>
        </w:tc>
        <w:tc>
          <w:tcPr>
            <w:tcW w:w="830" w:type="dxa"/>
            <w:vAlign w:val="bottom"/>
            <w:hideMark/>
          </w:tcPr>
          <w:p w:rsidRPr="003468A9" w:rsidR="007C57C0" w:rsidP="00775FD1" w:rsidRDefault="007C57C0" w14:paraId="0C9848A4" w14:textId="77777777">
            <w:pPr>
              <w:pStyle w:val="TableText"/>
              <w:jc w:val="right"/>
            </w:pPr>
            <w:r w:rsidRPr="00981175">
              <w:t>-</w:t>
            </w:r>
          </w:p>
        </w:tc>
        <w:tc>
          <w:tcPr>
            <w:tcW w:w="830" w:type="dxa"/>
            <w:vAlign w:val="bottom"/>
            <w:hideMark/>
          </w:tcPr>
          <w:p w:rsidRPr="003468A9" w:rsidR="007C57C0" w:rsidP="00775FD1" w:rsidRDefault="007C57C0" w14:paraId="492760F8" w14:textId="77777777">
            <w:pPr>
              <w:pStyle w:val="TableText"/>
              <w:jc w:val="right"/>
            </w:pPr>
            <w:r w:rsidRPr="00981175">
              <w:t>-</w:t>
            </w:r>
          </w:p>
        </w:tc>
        <w:tc>
          <w:tcPr>
            <w:tcW w:w="830" w:type="dxa"/>
            <w:vAlign w:val="bottom"/>
            <w:hideMark/>
          </w:tcPr>
          <w:p w:rsidRPr="003468A9" w:rsidR="007C57C0" w:rsidP="00775FD1" w:rsidRDefault="007C57C0" w14:paraId="06BFD613" w14:textId="77777777">
            <w:pPr>
              <w:pStyle w:val="TableText"/>
              <w:jc w:val="right"/>
            </w:pPr>
            <w:r w:rsidRPr="003468A9">
              <w:t>2.</w:t>
            </w:r>
            <w:r>
              <w:t>3</w:t>
            </w:r>
          </w:p>
        </w:tc>
      </w:tr>
      <w:tr w:rsidRPr="003468A9" w:rsidR="007C57C0" w:rsidTr="00775FD1" w14:paraId="1B58D12F" w14:textId="77777777">
        <w:trPr>
          <w:cantSplit/>
        </w:trPr>
        <w:tc>
          <w:tcPr>
            <w:tcW w:w="2537" w:type="dxa"/>
            <w:noWrap/>
            <w:hideMark/>
          </w:tcPr>
          <w:p w:rsidRPr="003468A9" w:rsidR="007C57C0" w:rsidP="00775FD1" w:rsidRDefault="007C57C0" w14:paraId="573470C1" w14:textId="77777777">
            <w:pPr>
              <w:pStyle w:val="TableText"/>
              <w:spacing w:before="120"/>
            </w:pPr>
            <w:r w:rsidRPr="003468A9">
              <w:t>Nonfacu</w:t>
            </w:r>
            <w:r>
              <w:t>l</w:t>
            </w:r>
            <w:r w:rsidRPr="003468A9">
              <w:t>ty researchers</w:t>
            </w:r>
          </w:p>
        </w:tc>
        <w:tc>
          <w:tcPr>
            <w:tcW w:w="973" w:type="dxa"/>
            <w:noWrap/>
            <w:vAlign w:val="bottom"/>
            <w:hideMark/>
          </w:tcPr>
          <w:p w:rsidRPr="003468A9" w:rsidR="007C57C0" w:rsidP="00775FD1" w:rsidRDefault="007C57C0" w14:paraId="11D671C2" w14:textId="77777777">
            <w:pPr>
              <w:pStyle w:val="TableText"/>
              <w:spacing w:before="120"/>
              <w:jc w:val="right"/>
            </w:pPr>
            <w:r w:rsidRPr="003468A9">
              <w:t>15</w:t>
            </w:r>
          </w:p>
        </w:tc>
        <w:tc>
          <w:tcPr>
            <w:tcW w:w="820" w:type="dxa"/>
            <w:vAlign w:val="bottom"/>
            <w:hideMark/>
          </w:tcPr>
          <w:p w:rsidRPr="00564C4A" w:rsidR="007C57C0" w:rsidP="00775FD1" w:rsidRDefault="007C57C0" w14:paraId="6AD6EA8D" w14:textId="77777777">
            <w:pPr>
              <w:pStyle w:val="TableText"/>
              <w:spacing w:before="120"/>
              <w:jc w:val="right"/>
            </w:pPr>
            <w:r w:rsidRPr="00796963">
              <w:t>-</w:t>
            </w:r>
          </w:p>
        </w:tc>
        <w:tc>
          <w:tcPr>
            <w:tcW w:w="820" w:type="dxa"/>
            <w:vAlign w:val="bottom"/>
            <w:hideMark/>
          </w:tcPr>
          <w:p w:rsidRPr="00564C4A" w:rsidR="007C57C0" w:rsidP="00775FD1" w:rsidRDefault="007C57C0" w14:paraId="51F12393" w14:textId="77777777">
            <w:pPr>
              <w:pStyle w:val="TableText"/>
              <w:spacing w:before="120"/>
              <w:jc w:val="right"/>
            </w:pPr>
            <w:r w:rsidRPr="00796963">
              <w:t>-</w:t>
            </w:r>
          </w:p>
        </w:tc>
        <w:tc>
          <w:tcPr>
            <w:tcW w:w="820" w:type="dxa"/>
            <w:vAlign w:val="bottom"/>
            <w:hideMark/>
          </w:tcPr>
          <w:p w:rsidRPr="00564C4A" w:rsidR="007C57C0" w:rsidP="00775FD1" w:rsidRDefault="007C57C0" w14:paraId="2AEE9E16" w14:textId="77777777">
            <w:pPr>
              <w:pStyle w:val="TableText"/>
              <w:spacing w:before="120"/>
              <w:jc w:val="right"/>
            </w:pPr>
            <w:r w:rsidRPr="00564C4A">
              <w:t>0.4</w:t>
            </w:r>
          </w:p>
        </w:tc>
        <w:tc>
          <w:tcPr>
            <w:tcW w:w="279" w:type="dxa"/>
            <w:vAlign w:val="bottom"/>
            <w:hideMark/>
          </w:tcPr>
          <w:p w:rsidRPr="003468A9" w:rsidR="007C57C0" w:rsidP="00775FD1" w:rsidRDefault="007C57C0" w14:paraId="1F338A1C" w14:textId="77777777">
            <w:pPr>
              <w:pStyle w:val="TableText"/>
              <w:spacing w:before="120"/>
              <w:jc w:val="right"/>
            </w:pPr>
            <w:r w:rsidRPr="003468A9">
              <w:t> </w:t>
            </w:r>
          </w:p>
        </w:tc>
        <w:tc>
          <w:tcPr>
            <w:tcW w:w="830" w:type="dxa"/>
            <w:vAlign w:val="bottom"/>
            <w:hideMark/>
          </w:tcPr>
          <w:p w:rsidRPr="003468A9" w:rsidR="007C57C0" w:rsidP="00775FD1" w:rsidRDefault="007C57C0" w14:paraId="17461F07" w14:textId="77777777">
            <w:pPr>
              <w:pStyle w:val="TableText"/>
              <w:spacing w:before="120"/>
              <w:jc w:val="right"/>
            </w:pPr>
            <w:r w:rsidRPr="00981175">
              <w:t>-</w:t>
            </w:r>
          </w:p>
        </w:tc>
        <w:tc>
          <w:tcPr>
            <w:tcW w:w="830" w:type="dxa"/>
            <w:vAlign w:val="bottom"/>
            <w:hideMark/>
          </w:tcPr>
          <w:p w:rsidRPr="003468A9" w:rsidR="007C57C0" w:rsidP="00775FD1" w:rsidRDefault="007C57C0" w14:paraId="782114A0" w14:textId="77777777">
            <w:pPr>
              <w:pStyle w:val="TableText"/>
              <w:spacing w:before="120"/>
              <w:jc w:val="right"/>
            </w:pPr>
            <w:r w:rsidRPr="00981175">
              <w:t>-</w:t>
            </w:r>
          </w:p>
        </w:tc>
        <w:tc>
          <w:tcPr>
            <w:tcW w:w="830" w:type="dxa"/>
            <w:vAlign w:val="bottom"/>
            <w:hideMark/>
          </w:tcPr>
          <w:p w:rsidRPr="003468A9" w:rsidR="007C57C0" w:rsidP="00775FD1" w:rsidRDefault="007C57C0" w14:paraId="28212A19" w14:textId="77777777">
            <w:pPr>
              <w:pStyle w:val="TableText"/>
              <w:spacing w:before="120"/>
              <w:jc w:val="right"/>
            </w:pPr>
            <w:r w:rsidRPr="003468A9">
              <w:t>4.7</w:t>
            </w:r>
          </w:p>
        </w:tc>
      </w:tr>
      <w:tr w:rsidRPr="003468A9" w:rsidR="007C57C0" w:rsidTr="00775FD1" w14:paraId="33EFE6D6" w14:textId="77777777">
        <w:trPr>
          <w:cantSplit/>
        </w:trPr>
        <w:tc>
          <w:tcPr>
            <w:tcW w:w="2537" w:type="dxa"/>
            <w:noWrap/>
            <w:hideMark/>
          </w:tcPr>
          <w:p w:rsidRPr="003468A9" w:rsidR="007C57C0" w:rsidP="00775FD1" w:rsidRDefault="007C57C0" w14:paraId="395DB238" w14:textId="77777777">
            <w:pPr>
              <w:pStyle w:val="TableText"/>
              <w:spacing w:before="120"/>
            </w:pPr>
            <w:r w:rsidRPr="003468A9">
              <w:t>Overall item nonresponse rate</w:t>
            </w:r>
          </w:p>
        </w:tc>
        <w:tc>
          <w:tcPr>
            <w:tcW w:w="973" w:type="dxa"/>
            <w:noWrap/>
            <w:vAlign w:val="bottom"/>
            <w:hideMark/>
          </w:tcPr>
          <w:p w:rsidRPr="003468A9" w:rsidR="007C57C0" w:rsidP="00775FD1" w:rsidRDefault="007C57C0" w14:paraId="5A8AE662" w14:textId="77777777">
            <w:pPr>
              <w:pStyle w:val="TableText"/>
              <w:spacing w:before="120"/>
              <w:jc w:val="right"/>
            </w:pPr>
          </w:p>
        </w:tc>
        <w:tc>
          <w:tcPr>
            <w:tcW w:w="820" w:type="dxa"/>
            <w:noWrap/>
            <w:hideMark/>
          </w:tcPr>
          <w:p w:rsidRPr="0020712A" w:rsidR="007C57C0" w:rsidP="00775FD1" w:rsidRDefault="007C57C0" w14:paraId="1DB527DA" w14:textId="77777777">
            <w:pPr>
              <w:pStyle w:val="TableText"/>
              <w:spacing w:before="120"/>
              <w:jc w:val="right"/>
            </w:pPr>
            <w:r w:rsidRPr="00FE6714">
              <w:t> </w:t>
            </w:r>
          </w:p>
        </w:tc>
        <w:tc>
          <w:tcPr>
            <w:tcW w:w="820" w:type="dxa"/>
            <w:noWrap/>
            <w:hideMark/>
          </w:tcPr>
          <w:p w:rsidRPr="0020712A" w:rsidR="007C57C0" w:rsidP="00775FD1" w:rsidRDefault="007C57C0" w14:paraId="49C69F66" w14:textId="77777777">
            <w:pPr>
              <w:pStyle w:val="TableText"/>
              <w:spacing w:before="120"/>
              <w:jc w:val="right"/>
            </w:pPr>
            <w:r w:rsidRPr="00FE6714">
              <w:t> </w:t>
            </w:r>
          </w:p>
        </w:tc>
        <w:tc>
          <w:tcPr>
            <w:tcW w:w="820" w:type="dxa"/>
            <w:noWrap/>
            <w:hideMark/>
          </w:tcPr>
          <w:p w:rsidRPr="0020712A" w:rsidR="007C57C0" w:rsidP="00775FD1" w:rsidRDefault="007C57C0" w14:paraId="63DDF7A6" w14:textId="77777777">
            <w:pPr>
              <w:pStyle w:val="TableText"/>
              <w:spacing w:before="120"/>
              <w:jc w:val="right"/>
            </w:pPr>
            <w:r w:rsidRPr="00FE6714">
              <w:t> </w:t>
            </w:r>
          </w:p>
        </w:tc>
        <w:tc>
          <w:tcPr>
            <w:tcW w:w="279" w:type="dxa"/>
            <w:noWrap/>
            <w:hideMark/>
          </w:tcPr>
          <w:p w:rsidRPr="003468A9" w:rsidR="007C57C0" w:rsidP="00775FD1" w:rsidRDefault="007C57C0" w14:paraId="55729536" w14:textId="77777777">
            <w:pPr>
              <w:pStyle w:val="TableText"/>
              <w:spacing w:before="120"/>
              <w:jc w:val="right"/>
            </w:pPr>
            <w:r w:rsidRPr="00FE6714">
              <w:t> </w:t>
            </w:r>
          </w:p>
        </w:tc>
        <w:tc>
          <w:tcPr>
            <w:tcW w:w="830" w:type="dxa"/>
            <w:noWrap/>
            <w:hideMark/>
          </w:tcPr>
          <w:p w:rsidRPr="003468A9" w:rsidR="007C57C0" w:rsidP="00775FD1" w:rsidRDefault="007C57C0" w14:paraId="27D326C3" w14:textId="77777777">
            <w:pPr>
              <w:pStyle w:val="TableText"/>
              <w:spacing w:before="120"/>
              <w:jc w:val="right"/>
            </w:pPr>
            <w:r w:rsidRPr="00FE6714">
              <w:t> </w:t>
            </w:r>
          </w:p>
        </w:tc>
        <w:tc>
          <w:tcPr>
            <w:tcW w:w="830" w:type="dxa"/>
            <w:noWrap/>
            <w:hideMark/>
          </w:tcPr>
          <w:p w:rsidRPr="003468A9" w:rsidR="007C57C0" w:rsidP="00775FD1" w:rsidRDefault="007C57C0" w14:paraId="6A82E120" w14:textId="77777777">
            <w:pPr>
              <w:pStyle w:val="TableText"/>
              <w:spacing w:before="120"/>
              <w:jc w:val="right"/>
            </w:pPr>
            <w:r w:rsidRPr="00FE6714">
              <w:t> </w:t>
            </w:r>
          </w:p>
        </w:tc>
        <w:tc>
          <w:tcPr>
            <w:tcW w:w="830" w:type="dxa"/>
            <w:noWrap/>
            <w:hideMark/>
          </w:tcPr>
          <w:p w:rsidRPr="003468A9" w:rsidR="007C57C0" w:rsidP="00775FD1" w:rsidRDefault="007C57C0" w14:paraId="3A03841C" w14:textId="77777777">
            <w:pPr>
              <w:pStyle w:val="TableText"/>
              <w:spacing w:before="120"/>
              <w:jc w:val="right"/>
            </w:pPr>
            <w:r w:rsidRPr="00FE6714">
              <w:t> </w:t>
            </w:r>
          </w:p>
        </w:tc>
      </w:tr>
      <w:tr w:rsidRPr="003468A9" w:rsidR="007C57C0" w:rsidTr="00775FD1" w14:paraId="30C5A348" w14:textId="77777777">
        <w:trPr>
          <w:cantSplit/>
        </w:trPr>
        <w:tc>
          <w:tcPr>
            <w:tcW w:w="2537" w:type="dxa"/>
            <w:noWrap/>
            <w:hideMark/>
          </w:tcPr>
          <w:p w:rsidRPr="003468A9" w:rsidR="007C57C0" w:rsidP="00775FD1" w:rsidRDefault="007C57C0" w14:paraId="15777038" w14:textId="77777777">
            <w:pPr>
              <w:pStyle w:val="TableText2"/>
            </w:pPr>
            <w:r w:rsidRPr="003468A9">
              <w:t>All survey items</w:t>
            </w:r>
          </w:p>
        </w:tc>
        <w:tc>
          <w:tcPr>
            <w:tcW w:w="973" w:type="dxa"/>
            <w:noWrap/>
            <w:vAlign w:val="bottom"/>
            <w:hideMark/>
          </w:tcPr>
          <w:p w:rsidRPr="003468A9" w:rsidR="007C57C0" w:rsidP="00775FD1" w:rsidRDefault="007C57C0" w14:paraId="2218CAF8" w14:textId="77777777">
            <w:pPr>
              <w:pStyle w:val="TableText"/>
              <w:jc w:val="right"/>
            </w:pPr>
            <w:r>
              <w:t>-</w:t>
            </w:r>
          </w:p>
        </w:tc>
        <w:tc>
          <w:tcPr>
            <w:tcW w:w="820" w:type="dxa"/>
            <w:vAlign w:val="bottom"/>
          </w:tcPr>
          <w:p w:rsidRPr="00564C4A" w:rsidR="007C57C0" w:rsidP="00775FD1" w:rsidRDefault="007C57C0" w14:paraId="2C2F4F88" w14:textId="77777777">
            <w:pPr>
              <w:pStyle w:val="TableText"/>
              <w:jc w:val="right"/>
            </w:pPr>
            <w:r>
              <w:t>-</w:t>
            </w:r>
          </w:p>
        </w:tc>
        <w:tc>
          <w:tcPr>
            <w:tcW w:w="820" w:type="dxa"/>
            <w:vAlign w:val="bottom"/>
          </w:tcPr>
          <w:p w:rsidRPr="00564C4A" w:rsidR="007C57C0" w:rsidP="00775FD1" w:rsidRDefault="007C57C0" w14:paraId="2E0ADA2A" w14:textId="77777777">
            <w:pPr>
              <w:pStyle w:val="TableText"/>
              <w:jc w:val="right"/>
            </w:pPr>
            <w:r>
              <w:t>-</w:t>
            </w:r>
          </w:p>
        </w:tc>
        <w:tc>
          <w:tcPr>
            <w:tcW w:w="820" w:type="dxa"/>
            <w:vAlign w:val="bottom"/>
          </w:tcPr>
          <w:p w:rsidRPr="00564C4A" w:rsidR="007C57C0" w:rsidP="00775FD1" w:rsidRDefault="007C57C0" w14:paraId="71605B37" w14:textId="77777777">
            <w:pPr>
              <w:pStyle w:val="TableText"/>
              <w:jc w:val="right"/>
            </w:pPr>
            <w:r w:rsidRPr="00564C4A">
              <w:t>2.1</w:t>
            </w:r>
          </w:p>
        </w:tc>
        <w:tc>
          <w:tcPr>
            <w:tcW w:w="279" w:type="dxa"/>
            <w:vAlign w:val="bottom"/>
            <w:hideMark/>
          </w:tcPr>
          <w:p w:rsidRPr="003468A9" w:rsidR="007C57C0" w:rsidP="00775FD1" w:rsidRDefault="007C57C0" w14:paraId="189844A5" w14:textId="77777777">
            <w:pPr>
              <w:pStyle w:val="TableText"/>
              <w:jc w:val="right"/>
            </w:pPr>
            <w:r w:rsidRPr="003468A9">
              <w:t> </w:t>
            </w:r>
          </w:p>
        </w:tc>
        <w:tc>
          <w:tcPr>
            <w:tcW w:w="830" w:type="dxa"/>
            <w:vAlign w:val="bottom"/>
          </w:tcPr>
          <w:p w:rsidRPr="003468A9" w:rsidR="007C57C0" w:rsidP="00775FD1" w:rsidRDefault="007C57C0" w14:paraId="248E2491" w14:textId="77777777">
            <w:pPr>
              <w:pStyle w:val="TableText"/>
              <w:jc w:val="right"/>
            </w:pPr>
            <w:r>
              <w:t>-</w:t>
            </w:r>
          </w:p>
        </w:tc>
        <w:tc>
          <w:tcPr>
            <w:tcW w:w="830" w:type="dxa"/>
            <w:vAlign w:val="bottom"/>
          </w:tcPr>
          <w:p w:rsidRPr="003468A9" w:rsidR="007C57C0" w:rsidP="00775FD1" w:rsidRDefault="007C57C0" w14:paraId="7C1D921C" w14:textId="77777777">
            <w:pPr>
              <w:pStyle w:val="TableText"/>
              <w:jc w:val="right"/>
            </w:pPr>
            <w:r>
              <w:t>-</w:t>
            </w:r>
          </w:p>
        </w:tc>
        <w:tc>
          <w:tcPr>
            <w:tcW w:w="830" w:type="dxa"/>
            <w:vAlign w:val="bottom"/>
          </w:tcPr>
          <w:p w:rsidRPr="003468A9" w:rsidR="007C57C0" w:rsidP="00775FD1" w:rsidRDefault="007C57C0" w14:paraId="157B284C" w14:textId="77777777">
            <w:pPr>
              <w:pStyle w:val="TableText"/>
              <w:jc w:val="right"/>
            </w:pPr>
            <w:r w:rsidRPr="003468A9">
              <w:t>3.1</w:t>
            </w:r>
          </w:p>
        </w:tc>
      </w:tr>
      <w:tr w:rsidRPr="003468A9" w:rsidR="007C57C0" w:rsidTr="00775FD1" w14:paraId="35FEE534" w14:textId="77777777">
        <w:trPr>
          <w:cantSplit/>
        </w:trPr>
        <w:tc>
          <w:tcPr>
            <w:tcW w:w="2537" w:type="dxa"/>
            <w:noWrap/>
            <w:hideMark/>
          </w:tcPr>
          <w:p w:rsidRPr="003468A9" w:rsidR="007C57C0" w:rsidP="00775FD1" w:rsidRDefault="007C57C0" w14:paraId="2915D96C" w14:textId="77777777">
            <w:pPr>
              <w:pStyle w:val="TableText2"/>
            </w:pPr>
            <w:r w:rsidRPr="003468A9">
              <w:t xml:space="preserve">355 </w:t>
            </w:r>
            <w:r>
              <w:t>i</w:t>
            </w:r>
            <w:r w:rsidRPr="003468A9">
              <w:t>tems asked 2010</w:t>
            </w:r>
            <w:r>
              <w:rPr>
                <w:rFonts w:ascii="Calibri" w:hAnsi="Calibri" w:cs="Calibri"/>
              </w:rPr>
              <w:t>–</w:t>
            </w:r>
            <w:r w:rsidRPr="003468A9">
              <w:t xml:space="preserve">16 </w:t>
            </w:r>
          </w:p>
        </w:tc>
        <w:tc>
          <w:tcPr>
            <w:tcW w:w="973" w:type="dxa"/>
            <w:noWrap/>
            <w:vAlign w:val="bottom"/>
            <w:hideMark/>
          </w:tcPr>
          <w:p w:rsidRPr="003468A9" w:rsidR="007C57C0" w:rsidP="00775FD1" w:rsidRDefault="007C57C0" w14:paraId="4642DD06" w14:textId="77777777">
            <w:pPr>
              <w:pStyle w:val="TableText"/>
              <w:jc w:val="right"/>
            </w:pPr>
            <w:r>
              <w:t>-</w:t>
            </w:r>
          </w:p>
        </w:tc>
        <w:tc>
          <w:tcPr>
            <w:tcW w:w="820" w:type="dxa"/>
            <w:vAlign w:val="bottom"/>
          </w:tcPr>
          <w:p w:rsidRPr="00564C4A" w:rsidR="007C57C0" w:rsidP="00775FD1" w:rsidRDefault="007C57C0" w14:paraId="0E261263" w14:textId="77777777">
            <w:pPr>
              <w:pStyle w:val="TableText"/>
              <w:jc w:val="right"/>
            </w:pPr>
            <w:r>
              <w:t>-</w:t>
            </w:r>
          </w:p>
        </w:tc>
        <w:tc>
          <w:tcPr>
            <w:tcW w:w="820" w:type="dxa"/>
            <w:vAlign w:val="bottom"/>
          </w:tcPr>
          <w:p w:rsidRPr="00564C4A" w:rsidR="007C57C0" w:rsidP="00775FD1" w:rsidRDefault="007C57C0" w14:paraId="659C2652" w14:textId="77777777">
            <w:pPr>
              <w:pStyle w:val="TableText"/>
              <w:jc w:val="right"/>
            </w:pPr>
            <w:r>
              <w:t>-</w:t>
            </w:r>
          </w:p>
        </w:tc>
        <w:tc>
          <w:tcPr>
            <w:tcW w:w="820" w:type="dxa"/>
            <w:vAlign w:val="bottom"/>
          </w:tcPr>
          <w:p w:rsidRPr="00564C4A" w:rsidR="007C57C0" w:rsidP="00775FD1" w:rsidRDefault="007C57C0" w14:paraId="32770722" w14:textId="77777777">
            <w:pPr>
              <w:pStyle w:val="TableText"/>
              <w:jc w:val="right"/>
            </w:pPr>
            <w:r w:rsidRPr="00564C4A">
              <w:t>2.7</w:t>
            </w:r>
          </w:p>
        </w:tc>
        <w:tc>
          <w:tcPr>
            <w:tcW w:w="279" w:type="dxa"/>
            <w:vAlign w:val="bottom"/>
            <w:hideMark/>
          </w:tcPr>
          <w:p w:rsidRPr="003468A9" w:rsidR="007C57C0" w:rsidP="00775FD1" w:rsidRDefault="007C57C0" w14:paraId="1B597A0C" w14:textId="77777777">
            <w:pPr>
              <w:pStyle w:val="TableText"/>
              <w:jc w:val="right"/>
            </w:pPr>
            <w:r w:rsidRPr="003468A9">
              <w:t> </w:t>
            </w:r>
          </w:p>
        </w:tc>
        <w:tc>
          <w:tcPr>
            <w:tcW w:w="830" w:type="dxa"/>
            <w:vAlign w:val="bottom"/>
          </w:tcPr>
          <w:p w:rsidRPr="003468A9" w:rsidR="007C57C0" w:rsidP="00775FD1" w:rsidRDefault="007C57C0" w14:paraId="52ABD7E7" w14:textId="77777777">
            <w:pPr>
              <w:pStyle w:val="TableText"/>
              <w:jc w:val="right"/>
            </w:pPr>
            <w:r>
              <w:t>-</w:t>
            </w:r>
          </w:p>
        </w:tc>
        <w:tc>
          <w:tcPr>
            <w:tcW w:w="830" w:type="dxa"/>
            <w:vAlign w:val="bottom"/>
          </w:tcPr>
          <w:p w:rsidRPr="003468A9" w:rsidR="007C57C0" w:rsidP="00775FD1" w:rsidRDefault="007C57C0" w14:paraId="2586A5F1" w14:textId="77777777">
            <w:pPr>
              <w:pStyle w:val="TableText"/>
              <w:jc w:val="right"/>
            </w:pPr>
            <w:r>
              <w:t>-</w:t>
            </w:r>
          </w:p>
        </w:tc>
        <w:tc>
          <w:tcPr>
            <w:tcW w:w="830" w:type="dxa"/>
            <w:vAlign w:val="bottom"/>
          </w:tcPr>
          <w:p w:rsidRPr="003468A9" w:rsidR="007C57C0" w:rsidP="00775FD1" w:rsidRDefault="007C57C0" w14:paraId="3998CD0B" w14:textId="77777777">
            <w:pPr>
              <w:pStyle w:val="TableText"/>
              <w:jc w:val="right"/>
            </w:pPr>
            <w:r w:rsidRPr="003468A9">
              <w:t>4.2</w:t>
            </w:r>
          </w:p>
        </w:tc>
      </w:tr>
    </w:tbl>
    <w:p w:rsidR="007C57C0" w:rsidP="007C57C0" w:rsidRDefault="007C57C0" w14:paraId="0EABDD4D" w14:textId="77777777">
      <w:pPr>
        <w:pStyle w:val="Exhibitsource"/>
        <w:spacing w:after="60"/>
      </w:pPr>
      <w:r w:rsidRPr="00586EA5">
        <w:t xml:space="preserve">NOTE: Graduate enrollment, demographics, and primary support for “All” uploaded data and “All” manually entered data were derived from addition of </w:t>
      </w:r>
      <w:r>
        <w:br/>
      </w:r>
      <w:r w:rsidRPr="00586EA5">
        <w:t>master’s and doctoral enrollment data.</w:t>
      </w:r>
    </w:p>
    <w:p w:rsidR="007C57C0" w:rsidP="007C57C0" w:rsidRDefault="007C57C0" w14:paraId="72558B8A" w14:textId="77777777">
      <w:pPr>
        <w:pStyle w:val="Exhibitsource"/>
      </w:pPr>
      <w:r w:rsidRPr="007D2B2A">
        <w:t xml:space="preserve">SOURCE: National Center for Science and Engineering Statistics, National Science Foundation, Survey of Graduate Students and Postdoctorates in </w:t>
      </w:r>
      <w:r>
        <w:br/>
      </w:r>
      <w:r w:rsidRPr="007D2B2A">
        <w:t>Science and Engineering</w:t>
      </w:r>
      <w:r>
        <w:t>, 2017</w:t>
      </w:r>
      <w:r w:rsidRPr="007D2B2A">
        <w:t>.</w:t>
      </w:r>
    </w:p>
    <w:p w:rsidR="007C57C0" w:rsidP="007C57C0" w:rsidRDefault="007C57C0" w14:paraId="56D732A7" w14:textId="69987BF6">
      <w:pPr>
        <w:pStyle w:val="eTableBodyText"/>
        <w:spacing w:before="120" w:line="360" w:lineRule="auto"/>
        <w:ind w:firstLine="720"/>
      </w:pPr>
      <w:r w:rsidRPr="009D0635">
        <w:rPr>
          <w:i/>
          <w:iCs/>
        </w:rPr>
        <w:t>Imputation</w:t>
      </w:r>
      <w:r>
        <w:rPr>
          <w:i/>
          <w:iCs/>
        </w:rPr>
        <w:t xml:space="preserve"> Methods</w:t>
      </w:r>
      <w:r w:rsidRPr="009D0635">
        <w:rPr>
          <w:i/>
          <w:iCs/>
        </w:rPr>
        <w:t xml:space="preserve">. </w:t>
      </w:r>
      <w:r>
        <w:t xml:space="preserve">The 2018 GSS collected 543 data items related to enrollment and financial support for master’s and doctoral full-time and part-time students, postdocs, and NFRs. </w:t>
      </w:r>
      <w:r w:rsidRPr="00D96CA9">
        <w:t>All missing</w:t>
      </w:r>
      <w:r w:rsidRPr="009D0635">
        <w:t xml:space="preserve"> data </w:t>
      </w:r>
      <w:r>
        <w:t xml:space="preserve">within partial responding and total nonresponding units were </w:t>
      </w:r>
      <w:r w:rsidRPr="009D0635">
        <w:t>imput</w:t>
      </w:r>
      <w:r>
        <w:t>ed</w:t>
      </w:r>
      <w:r w:rsidRPr="009D0635">
        <w:t xml:space="preserve">. </w:t>
      </w:r>
      <w:r>
        <w:t xml:space="preserve">To address the unit and item nonresponse, three methods of imputation were used including a carry-forward imputation method, a nearest neighbor method, and adjusted enrollment </w:t>
      </w:r>
      <w:r w:rsidRPr="006E68D5">
        <w:t>method based on</w:t>
      </w:r>
      <w:r w:rsidRPr="006E68D5">
        <w:rPr>
          <w:color w:val="3C4043"/>
          <w:shd w:val="clear" w:color="auto" w:fill="FFFFFF"/>
        </w:rPr>
        <w:t> </w:t>
      </w:r>
      <w:r w:rsidR="00A3715A">
        <w:rPr>
          <w:color w:val="3C4043"/>
          <w:shd w:val="clear" w:color="auto" w:fill="FFFFFF"/>
        </w:rPr>
        <w:t>IPEDS data</w:t>
      </w:r>
      <w:r>
        <w:rPr>
          <w:color w:val="3C4043"/>
          <w:shd w:val="clear" w:color="auto" w:fill="FFFFFF"/>
        </w:rPr>
        <w:t>. Details for these methods are documented in the 2017 GSS Methodology Report.</w:t>
      </w:r>
      <w:r w:rsidR="00A3715A">
        <w:rPr>
          <w:rStyle w:val="FootnoteReference"/>
          <w:color w:val="3C4043"/>
          <w:shd w:val="clear" w:color="auto" w:fill="FFFFFF"/>
        </w:rPr>
        <w:footnoteReference w:id="2"/>
      </w:r>
      <w:r w:rsidR="00AC1725">
        <w:rPr>
          <w:color w:val="3C4043"/>
          <w:shd w:val="clear" w:color="auto" w:fill="FFFFFF"/>
        </w:rPr>
        <w:t xml:space="preserve">  The imputation section from that report is included in A</w:t>
      </w:r>
      <w:r w:rsidR="008272E8">
        <w:rPr>
          <w:color w:val="3C4043"/>
          <w:shd w:val="clear" w:color="auto" w:fill="FFFFFF"/>
        </w:rPr>
        <w:t>ttachment</w:t>
      </w:r>
      <w:r w:rsidR="00AC1725">
        <w:rPr>
          <w:color w:val="3C4043"/>
          <w:shd w:val="clear" w:color="auto" w:fill="FFFFFF"/>
        </w:rPr>
        <w:t xml:space="preserve"> 1</w:t>
      </w:r>
      <w:r w:rsidR="000B2FB9">
        <w:rPr>
          <w:color w:val="3C4043"/>
          <w:shd w:val="clear" w:color="auto" w:fill="FFFFFF"/>
        </w:rPr>
        <w:t>7</w:t>
      </w:r>
      <w:r w:rsidR="00AC1725">
        <w:rPr>
          <w:color w:val="3C4043"/>
          <w:shd w:val="clear" w:color="auto" w:fill="FFFFFF"/>
        </w:rPr>
        <w:t>.</w:t>
      </w:r>
      <w:r w:rsidRPr="006E68D5">
        <w:t xml:space="preserve"> </w:t>
      </w:r>
    </w:p>
    <w:p w:rsidRPr="003B63CF" w:rsidR="007D72D9" w:rsidP="00453D8C" w:rsidRDefault="007D72D9" w14:paraId="644C658E" w14:textId="3D8F4DAE">
      <w:pPr>
        <w:pStyle w:val="Heading3"/>
        <w:rPr>
          <w:color w:val="auto"/>
        </w:rPr>
      </w:pPr>
      <w:bookmarkStart w:name="_Toc34383084" w:id="26"/>
      <w:proofErr w:type="gramStart"/>
      <w:r w:rsidRPr="003B63CF">
        <w:rPr>
          <w:color w:val="auto"/>
        </w:rPr>
        <w:lastRenderedPageBreak/>
        <w:t>B.3</w:t>
      </w:r>
      <w:r w:rsidRPr="003B63CF" w:rsidR="00003B74">
        <w:rPr>
          <w:color w:val="auto"/>
        </w:rPr>
        <w:t>.3</w:t>
      </w:r>
      <w:r w:rsidRPr="003B63CF">
        <w:rPr>
          <w:color w:val="auto"/>
        </w:rPr>
        <w:t xml:space="preserve">  Accuracy</w:t>
      </w:r>
      <w:proofErr w:type="gramEnd"/>
      <w:r w:rsidRPr="003B63CF">
        <w:rPr>
          <w:color w:val="auto"/>
        </w:rPr>
        <w:t xml:space="preserve"> and Reliability of </w:t>
      </w:r>
      <w:r w:rsidR="003B63CF">
        <w:rPr>
          <w:color w:val="auto"/>
        </w:rPr>
        <w:t>D</w:t>
      </w:r>
      <w:r w:rsidRPr="003B63CF">
        <w:rPr>
          <w:color w:val="auto"/>
        </w:rPr>
        <w:t>ata</w:t>
      </w:r>
      <w:bookmarkEnd w:id="26"/>
      <w:r w:rsidRPr="003B63CF">
        <w:rPr>
          <w:color w:val="auto"/>
        </w:rPr>
        <w:t xml:space="preserve"> </w:t>
      </w:r>
    </w:p>
    <w:p w:rsidRPr="007D72D9" w:rsidR="007D72D9" w:rsidP="0054259D" w:rsidRDefault="007D72D9" w14:paraId="17D9B633" w14:textId="3B2C2B4B">
      <w:pPr>
        <w:pStyle w:val="BodyText"/>
        <w:spacing w:before="240" w:after="0"/>
        <w:ind w:firstLine="0"/>
      </w:pPr>
      <w:r>
        <w:t xml:space="preserve">Because this is a census with a high response rate, and statistical imputation is conducted for nonresponse, the accuracy of these data </w:t>
      </w:r>
      <w:proofErr w:type="gramStart"/>
      <w:r>
        <w:t>are</w:t>
      </w:r>
      <w:proofErr w:type="gramEnd"/>
      <w:r>
        <w:t xml:space="preserve"> very high.  The use of CIP codes for reporting helps ensure reliability as these codes are used for IPEDS which is a mandatory data collection.  And GSS has an extensive review process to check the consistency of each coordinator’s data within and across years.  </w:t>
      </w:r>
    </w:p>
    <w:p w:rsidRPr="003D6169" w:rsidR="00CF2CBC" w:rsidP="001D398B" w:rsidRDefault="00CF2CBC" w14:paraId="3A24F529" w14:textId="0706D14F">
      <w:pPr>
        <w:pStyle w:val="Heading2"/>
        <w:rPr>
          <w:bCs/>
        </w:rPr>
      </w:pPr>
      <w:bookmarkStart w:name="_Toc488074624" w:id="27"/>
      <w:bookmarkStart w:name="_Toc34383085" w:id="28"/>
      <w:r w:rsidRPr="003D6169">
        <w:t>B.4</w:t>
      </w:r>
      <w:r w:rsidRPr="003D6169">
        <w:tab/>
        <w:t>Testing of</w:t>
      </w:r>
      <w:r w:rsidRPr="003D6169">
        <w:rPr>
          <w:spacing w:val="1"/>
        </w:rPr>
        <w:t xml:space="preserve"> </w:t>
      </w:r>
      <w:r w:rsidRPr="003D6169">
        <w:t>Procedures</w:t>
      </w:r>
      <w:bookmarkEnd w:id="27"/>
      <w:bookmarkEnd w:id="28"/>
    </w:p>
    <w:p w:rsidRPr="00CA6A6E" w:rsidR="00055502" w:rsidP="0054259D" w:rsidRDefault="00F72F8D" w14:paraId="7E8B400D" w14:textId="7A13FC92">
      <w:pPr>
        <w:pStyle w:val="BodyText"/>
        <w:spacing w:after="0"/>
      </w:pPr>
      <w:r w:rsidRPr="0054259D">
        <w:t xml:space="preserve">No methodological research is planned for GSS 2020.  </w:t>
      </w:r>
      <w:r w:rsidRPr="003D6169" w:rsidR="00055502">
        <w:t>NCSES will submit plans informing OMB of its intention to use methodological research burden hours before any applicable studies are undertaken.</w:t>
      </w:r>
    </w:p>
    <w:p w:rsidR="003B6A28" w:rsidRDefault="003B6A28" w14:paraId="76E6E224" w14:textId="6BCD7003">
      <w:pPr>
        <w:widowControl w:val="0"/>
        <w:rPr>
          <w:rFonts w:eastAsiaTheme="majorEastAsia" w:cstheme="majorBidi"/>
          <w:b/>
          <w:szCs w:val="26"/>
        </w:rPr>
      </w:pPr>
      <w:bookmarkStart w:name="_Toc488074630" w:id="29"/>
    </w:p>
    <w:p w:rsidRPr="00CA1752" w:rsidR="00CF2CBC" w:rsidP="00BA650B" w:rsidRDefault="00CF2CBC" w14:paraId="5CC850D8" w14:textId="01F6DF73">
      <w:pPr>
        <w:pStyle w:val="Heading2"/>
        <w:spacing w:before="120" w:after="80"/>
      </w:pPr>
      <w:bookmarkStart w:name="_Toc34383086" w:id="30"/>
      <w:r w:rsidRPr="00CA1752">
        <w:t>B.5</w:t>
      </w:r>
      <w:r w:rsidRPr="00CA1752">
        <w:tab/>
        <w:t>Individuals</w:t>
      </w:r>
      <w:r w:rsidRPr="00CA1752">
        <w:rPr>
          <w:spacing w:val="-3"/>
        </w:rPr>
        <w:t xml:space="preserve"> </w:t>
      </w:r>
      <w:r w:rsidRPr="00CA1752">
        <w:t>Consulted</w:t>
      </w:r>
      <w:bookmarkEnd w:id="29"/>
      <w:bookmarkEnd w:id="30"/>
    </w:p>
    <w:p w:rsidR="002814FC" w:rsidP="003A5408" w:rsidRDefault="00CF2CBC" w14:paraId="12B819AC" w14:textId="6A18B168">
      <w:pPr>
        <w:pStyle w:val="BodyText"/>
        <w:spacing w:after="60"/>
      </w:pPr>
      <w:r w:rsidRPr="00CA1752">
        <w:t>The individuals consulted on GSS technical and statistical issues are listed in Exhibit 13</w:t>
      </w:r>
      <w:r w:rsidR="00F72F8D">
        <w:t>, along with project staff at RTI International, the contractor that conducts the GSS</w:t>
      </w:r>
      <w:r w:rsidRPr="00CA1752">
        <w:t>.</w:t>
      </w:r>
      <w:bookmarkStart w:name="_Ref476062999" w:id="31"/>
      <w:bookmarkStart w:name="_Ref476062991" w:id="32"/>
      <w:bookmarkStart w:name="_Toc488074669" w:id="33"/>
    </w:p>
    <w:p w:rsidR="002814FC" w:rsidRDefault="002814FC" w14:paraId="505ACE87" w14:textId="77777777">
      <w:pPr>
        <w:widowControl w:val="0"/>
        <w:rPr>
          <w:rFonts w:eastAsia="Times New Roman"/>
          <w:szCs w:val="24"/>
        </w:rPr>
      </w:pPr>
      <w:r>
        <w:br w:type="page"/>
      </w:r>
    </w:p>
    <w:p w:rsidR="00D04A9F" w:rsidP="003A5408" w:rsidRDefault="00D04A9F" w14:paraId="25E1FFA2" w14:textId="77777777">
      <w:pPr>
        <w:pStyle w:val="BodyText"/>
        <w:spacing w:after="60"/>
      </w:pPr>
    </w:p>
    <w:p w:rsidRPr="00D04A9F" w:rsidR="00CF2CBC" w:rsidP="003A5408" w:rsidRDefault="00CF2CBC" w14:paraId="68B1FF74" w14:textId="2296EABD">
      <w:pPr>
        <w:pStyle w:val="TableTitle"/>
        <w:spacing w:before="0"/>
        <w:rPr>
          <w:rFonts w:cs="Times New Roman"/>
          <w:bCs/>
          <w:sz w:val="25"/>
          <w:szCs w:val="25"/>
          <w:highlight w:val="yellow"/>
        </w:rPr>
      </w:pPr>
      <w:bookmarkStart w:name="_Toc490125431" w:id="34"/>
      <w:r w:rsidRPr="00D04A9F">
        <w:t xml:space="preserve">Exhibit </w:t>
      </w:r>
      <w:bookmarkEnd w:id="31"/>
      <w:r w:rsidRPr="00D04A9F">
        <w:t xml:space="preserve">13. Individuals Consulted </w:t>
      </w:r>
      <w:r w:rsidRPr="00D04A9F">
        <w:rPr>
          <w:spacing w:val="-2"/>
        </w:rPr>
        <w:t>on</w:t>
      </w:r>
      <w:r w:rsidRPr="00D04A9F">
        <w:t xml:space="preserve"> GSS Technical and</w:t>
      </w:r>
      <w:r w:rsidRPr="00D04A9F">
        <w:rPr>
          <w:spacing w:val="-2"/>
        </w:rPr>
        <w:t xml:space="preserve"> </w:t>
      </w:r>
      <w:r w:rsidRPr="00D04A9F">
        <w:t>Statistical Issues</w:t>
      </w:r>
      <w:bookmarkEnd w:id="32"/>
      <w:bookmarkEnd w:id="33"/>
      <w:bookmarkEnd w:id="34"/>
    </w:p>
    <w:tbl>
      <w:tblPr>
        <w:tblStyle w:val="OMB"/>
        <w:tblW w:w="9360" w:type="dxa"/>
        <w:tblLayout w:type="fixed"/>
        <w:tblCellMar>
          <w:left w:w="86" w:type="dxa"/>
          <w:right w:w="86" w:type="dxa"/>
        </w:tblCellMar>
        <w:tblLook w:val="0620" w:firstRow="1" w:lastRow="0" w:firstColumn="0" w:lastColumn="0" w:noHBand="1" w:noVBand="1"/>
      </w:tblPr>
      <w:tblGrid>
        <w:gridCol w:w="3764"/>
        <w:gridCol w:w="3338"/>
        <w:gridCol w:w="2258"/>
      </w:tblGrid>
      <w:tr w:rsidRPr="00CA1752" w:rsidR="00CF2CBC" w:rsidTr="0054259D" w14:paraId="1B4FA4D9" w14:textId="77777777">
        <w:trPr>
          <w:cnfStyle w:val="100000000000" w:firstRow="1" w:lastRow="0" w:firstColumn="0" w:lastColumn="0" w:oddVBand="0" w:evenVBand="0" w:oddHBand="0" w:evenHBand="0" w:firstRowFirstColumn="0" w:firstRowLastColumn="0" w:lastRowFirstColumn="0" w:lastRowLastColumn="0"/>
          <w:cantSplit/>
        </w:trPr>
        <w:tc>
          <w:tcPr>
            <w:tcW w:w="3764" w:type="dxa"/>
            <w:tcBorders>
              <w:right w:val="single" w:color="auto" w:sz="4" w:space="0"/>
            </w:tcBorders>
            <w:vAlign w:val="bottom"/>
          </w:tcPr>
          <w:p w:rsidRPr="00CA1752" w:rsidR="00CF2CBC" w:rsidP="00D04A9F" w:rsidRDefault="00CF2CBC" w14:paraId="0FA1F310" w14:textId="77777777">
            <w:pPr>
              <w:pStyle w:val="TableHeader"/>
              <w:spacing w:before="60" w:after="40"/>
              <w:ind w:right="705"/>
              <w:rPr>
                <w:rFonts w:eastAsia="Times New Roman"/>
                <w:szCs w:val="24"/>
              </w:rPr>
            </w:pPr>
            <w:r w:rsidRPr="00CA1752">
              <w:t>Name</w:t>
            </w:r>
          </w:p>
        </w:tc>
        <w:tc>
          <w:tcPr>
            <w:tcW w:w="3338" w:type="dxa"/>
            <w:tcBorders>
              <w:left w:val="single" w:color="auto" w:sz="4" w:space="0"/>
              <w:right w:val="single" w:color="auto" w:sz="4" w:space="0"/>
            </w:tcBorders>
            <w:vAlign w:val="bottom"/>
          </w:tcPr>
          <w:p w:rsidRPr="00CA1752" w:rsidR="00CF2CBC" w:rsidP="00D04A9F" w:rsidRDefault="00CF2CBC" w14:paraId="52F67232" w14:textId="77777777">
            <w:pPr>
              <w:pStyle w:val="TableHeader"/>
              <w:spacing w:before="60" w:after="40"/>
              <w:ind w:right="630"/>
              <w:rPr>
                <w:rFonts w:eastAsia="Times New Roman"/>
                <w:szCs w:val="24"/>
              </w:rPr>
            </w:pPr>
            <w:r w:rsidRPr="00CA1752">
              <w:t>Affiliation</w:t>
            </w:r>
          </w:p>
        </w:tc>
        <w:tc>
          <w:tcPr>
            <w:tcW w:w="2258" w:type="dxa"/>
            <w:tcBorders>
              <w:left w:val="single" w:color="auto" w:sz="4" w:space="0"/>
            </w:tcBorders>
            <w:vAlign w:val="bottom"/>
          </w:tcPr>
          <w:p w:rsidRPr="00CA1752" w:rsidR="00CF2CBC" w:rsidP="00D04A9F" w:rsidRDefault="00CF2CBC" w14:paraId="5387C9A5" w14:textId="77777777">
            <w:pPr>
              <w:pStyle w:val="TableHeader"/>
              <w:spacing w:before="60" w:after="40"/>
              <w:rPr>
                <w:rFonts w:eastAsia="Times New Roman"/>
                <w:szCs w:val="24"/>
              </w:rPr>
            </w:pPr>
            <w:r w:rsidRPr="00CA1752">
              <w:t>Telephone Number</w:t>
            </w:r>
          </w:p>
        </w:tc>
      </w:tr>
      <w:tr w:rsidRPr="00CA1752" w:rsidR="00CF2CBC" w:rsidTr="0054259D" w14:paraId="5AEFF463" w14:textId="77777777">
        <w:trPr>
          <w:cantSplit/>
        </w:trPr>
        <w:tc>
          <w:tcPr>
            <w:tcW w:w="3764" w:type="dxa"/>
            <w:tcBorders>
              <w:right w:val="single" w:color="auto" w:sz="4" w:space="0"/>
            </w:tcBorders>
          </w:tcPr>
          <w:p w:rsidRPr="00CA1752" w:rsidR="00CF2CBC" w:rsidP="00D04A9F" w:rsidRDefault="00CF2CBC" w14:paraId="5973CD81" w14:textId="43B91842">
            <w:pPr>
              <w:pStyle w:val="Tabletext1"/>
              <w:spacing w:before="100"/>
              <w:rPr>
                <w:rFonts w:eastAsia="Times New Roman"/>
                <w:szCs w:val="24"/>
              </w:rPr>
            </w:pPr>
            <w:r w:rsidRPr="00CA1752">
              <w:t>Mr. Michael Yamaner</w:t>
            </w:r>
            <w:r w:rsidRPr="00CA1752">
              <w:rPr>
                <w:rFonts w:eastAsia="Times New Roman"/>
                <w:szCs w:val="24"/>
              </w:rPr>
              <w:br/>
            </w:r>
            <w:r w:rsidRPr="00CA1752">
              <w:t>GSS Project Officer</w:t>
            </w:r>
          </w:p>
        </w:tc>
        <w:tc>
          <w:tcPr>
            <w:tcW w:w="3338" w:type="dxa"/>
            <w:tcBorders>
              <w:left w:val="single" w:color="auto" w:sz="4" w:space="0"/>
              <w:right w:val="single" w:color="auto" w:sz="4" w:space="0"/>
            </w:tcBorders>
          </w:tcPr>
          <w:p w:rsidRPr="00CA1752" w:rsidR="00CF2CBC" w:rsidP="00D04A9F" w:rsidRDefault="00CF2CBC" w14:paraId="4A9FC24D" w14:textId="2EE46AE1">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rsidR="00CF1483">
              <w:t>Alexandria</w:t>
            </w:r>
            <w:r w:rsidRPr="00CA1752">
              <w:t>, VA</w:t>
            </w:r>
          </w:p>
        </w:tc>
        <w:tc>
          <w:tcPr>
            <w:tcW w:w="2258" w:type="dxa"/>
            <w:tcBorders>
              <w:left w:val="single" w:color="auto" w:sz="4" w:space="0"/>
            </w:tcBorders>
          </w:tcPr>
          <w:p w:rsidRPr="00CA1752" w:rsidR="00CF2CBC" w:rsidP="00D04A9F" w:rsidRDefault="00CF2CBC" w14:paraId="6DEDE826" w14:textId="77777777">
            <w:pPr>
              <w:pStyle w:val="Tabletext1"/>
              <w:spacing w:before="100"/>
              <w:rPr>
                <w:rFonts w:eastAsia="Times New Roman"/>
                <w:szCs w:val="24"/>
              </w:rPr>
            </w:pPr>
            <w:r w:rsidRPr="00CA1752">
              <w:t>703-292-7815</w:t>
            </w:r>
          </w:p>
        </w:tc>
      </w:tr>
      <w:tr w:rsidRPr="00CA1752" w:rsidR="00CF2CBC" w:rsidTr="0054259D" w14:paraId="0DA9DDD1" w14:textId="77777777">
        <w:trPr>
          <w:cantSplit/>
        </w:trPr>
        <w:tc>
          <w:tcPr>
            <w:tcW w:w="3764" w:type="dxa"/>
            <w:tcBorders>
              <w:right w:val="single" w:color="auto" w:sz="4" w:space="0"/>
            </w:tcBorders>
          </w:tcPr>
          <w:p w:rsidRPr="00CA1752" w:rsidR="00CF2CBC" w:rsidP="00D04A9F" w:rsidRDefault="00CF2CBC" w14:paraId="028646E1" w14:textId="0BE4F77C">
            <w:pPr>
              <w:pStyle w:val="Tabletext1"/>
              <w:spacing w:before="100"/>
              <w:rPr>
                <w:rFonts w:eastAsia="Times New Roman"/>
                <w:szCs w:val="24"/>
              </w:rPr>
            </w:pPr>
            <w:r w:rsidRPr="00CA1752">
              <w:t>Mr. John Finamore</w:t>
            </w:r>
            <w:r w:rsidRPr="00CA1752">
              <w:rPr>
                <w:spacing w:val="29"/>
              </w:rPr>
              <w:br/>
            </w:r>
            <w:r w:rsidRPr="00CA1752">
              <w:t>Program Director</w:t>
            </w:r>
          </w:p>
        </w:tc>
        <w:tc>
          <w:tcPr>
            <w:tcW w:w="3338" w:type="dxa"/>
            <w:tcBorders>
              <w:left w:val="single" w:color="auto" w:sz="4" w:space="0"/>
              <w:right w:val="single" w:color="auto" w:sz="4" w:space="0"/>
            </w:tcBorders>
          </w:tcPr>
          <w:p w:rsidRPr="00CA1752" w:rsidR="00CF2CBC" w:rsidP="00D04A9F" w:rsidRDefault="00CF2CBC" w14:paraId="7459C6EE" w14:textId="69F6F6EF">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rsidR="00CF1483">
              <w:t>Alexandria</w:t>
            </w:r>
            <w:r w:rsidRPr="00CA1752">
              <w:t>, VA</w:t>
            </w:r>
          </w:p>
        </w:tc>
        <w:tc>
          <w:tcPr>
            <w:tcW w:w="2258" w:type="dxa"/>
            <w:tcBorders>
              <w:left w:val="single" w:color="auto" w:sz="4" w:space="0"/>
            </w:tcBorders>
          </w:tcPr>
          <w:p w:rsidRPr="00CA1752" w:rsidR="00CF2CBC" w:rsidP="00D04A9F" w:rsidRDefault="00CF2CBC" w14:paraId="33318436" w14:textId="77777777">
            <w:pPr>
              <w:pStyle w:val="Tabletext1"/>
              <w:spacing w:before="100"/>
              <w:rPr>
                <w:rFonts w:eastAsia="Times New Roman"/>
                <w:szCs w:val="24"/>
              </w:rPr>
            </w:pPr>
            <w:r w:rsidRPr="00CA1752">
              <w:t>703-292-2258</w:t>
            </w:r>
          </w:p>
        </w:tc>
      </w:tr>
      <w:tr w:rsidRPr="00CA1752" w:rsidR="00CF2CBC" w:rsidTr="0054259D" w14:paraId="6064E694" w14:textId="77777777">
        <w:trPr>
          <w:cantSplit/>
        </w:trPr>
        <w:tc>
          <w:tcPr>
            <w:tcW w:w="3764" w:type="dxa"/>
            <w:tcBorders>
              <w:right w:val="single" w:color="auto" w:sz="4" w:space="0"/>
            </w:tcBorders>
          </w:tcPr>
          <w:p w:rsidRPr="00CA1752" w:rsidR="00CF2CBC" w:rsidP="00D04A9F" w:rsidRDefault="00993CDC" w14:paraId="48AF585E" w14:textId="15CC32B6">
            <w:pPr>
              <w:pStyle w:val="Tabletext1"/>
              <w:spacing w:before="100"/>
              <w:rPr>
                <w:rFonts w:eastAsia="Times New Roman"/>
                <w:szCs w:val="24"/>
              </w:rPr>
            </w:pPr>
            <w:r>
              <w:t>Dr</w:t>
            </w:r>
            <w:r w:rsidRPr="00CA1752" w:rsidR="00CF2CBC">
              <w:t>. Wan-Ying</w:t>
            </w:r>
            <w:r w:rsidRPr="00CA1752" w:rsidR="00CF2CBC">
              <w:rPr>
                <w:spacing w:val="-3"/>
              </w:rPr>
              <w:t xml:space="preserve"> </w:t>
            </w:r>
            <w:r w:rsidRPr="00CA1752" w:rsidR="00CF2CBC">
              <w:t>Chang</w:t>
            </w:r>
            <w:r w:rsidRPr="00CA1752" w:rsidR="00CF2CBC">
              <w:rPr>
                <w:spacing w:val="27"/>
              </w:rPr>
              <w:t xml:space="preserve"> </w:t>
            </w:r>
            <w:r w:rsidRPr="00CA1752" w:rsidR="00CF2CBC">
              <w:rPr>
                <w:spacing w:val="27"/>
              </w:rPr>
              <w:br/>
            </w:r>
            <w:r w:rsidRPr="00CA1752" w:rsidR="00CF2CBC">
              <w:t>Mathematical Statistician</w:t>
            </w:r>
          </w:p>
        </w:tc>
        <w:tc>
          <w:tcPr>
            <w:tcW w:w="3338" w:type="dxa"/>
            <w:tcBorders>
              <w:left w:val="single" w:color="auto" w:sz="4" w:space="0"/>
              <w:right w:val="single" w:color="auto" w:sz="4" w:space="0"/>
            </w:tcBorders>
          </w:tcPr>
          <w:p w:rsidRPr="00CA1752" w:rsidR="00CF2CBC" w:rsidP="00D04A9F" w:rsidRDefault="00CF2CBC" w14:paraId="09DDE5E5" w14:textId="426C1314">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rsidR="00CF1483">
              <w:t>Alexandria</w:t>
            </w:r>
            <w:r w:rsidRPr="00CA1752">
              <w:t>, VA</w:t>
            </w:r>
          </w:p>
        </w:tc>
        <w:tc>
          <w:tcPr>
            <w:tcW w:w="2258" w:type="dxa"/>
            <w:tcBorders>
              <w:left w:val="single" w:color="auto" w:sz="4" w:space="0"/>
            </w:tcBorders>
          </w:tcPr>
          <w:p w:rsidRPr="00CA1752" w:rsidR="00CF2CBC" w:rsidP="00D04A9F" w:rsidRDefault="00CF2CBC" w14:paraId="20C92A35" w14:textId="77777777">
            <w:pPr>
              <w:pStyle w:val="Tabletext1"/>
              <w:spacing w:before="100"/>
              <w:rPr>
                <w:rFonts w:eastAsia="Times New Roman"/>
                <w:szCs w:val="24"/>
              </w:rPr>
            </w:pPr>
            <w:r w:rsidRPr="00CA1752">
              <w:t>703 292-2310</w:t>
            </w:r>
          </w:p>
        </w:tc>
      </w:tr>
      <w:tr w:rsidRPr="00CA1752" w:rsidR="00CF2CBC" w:rsidTr="0054259D" w14:paraId="1B283BC8" w14:textId="77777777">
        <w:trPr>
          <w:cantSplit/>
        </w:trPr>
        <w:tc>
          <w:tcPr>
            <w:tcW w:w="3764" w:type="dxa"/>
            <w:tcBorders>
              <w:right w:val="single" w:color="auto" w:sz="4" w:space="0"/>
            </w:tcBorders>
          </w:tcPr>
          <w:p w:rsidRPr="00CA1752" w:rsidR="00CF2CBC" w:rsidP="00D04A9F" w:rsidRDefault="00CF2CBC" w14:paraId="19EEA5DE" w14:textId="500BDC92">
            <w:pPr>
              <w:pStyle w:val="Tabletext1"/>
              <w:spacing w:before="100"/>
              <w:rPr>
                <w:rFonts w:eastAsia="Times New Roman"/>
                <w:szCs w:val="24"/>
              </w:rPr>
            </w:pPr>
            <w:r w:rsidRPr="00CA1752">
              <w:t xml:space="preserve">Ms. Rebecca </w:t>
            </w:r>
            <w:r w:rsidR="00116B8C">
              <w:t xml:space="preserve">L. </w:t>
            </w:r>
            <w:r w:rsidRPr="00CA1752">
              <w:t>Morrison</w:t>
            </w:r>
            <w:r w:rsidRPr="00CA1752">
              <w:rPr>
                <w:spacing w:val="23"/>
              </w:rPr>
              <w:t xml:space="preserve"> </w:t>
            </w:r>
            <w:r w:rsidRPr="00CA1752">
              <w:rPr>
                <w:spacing w:val="23"/>
              </w:rPr>
              <w:br/>
            </w:r>
            <w:r w:rsidRPr="00CA1752">
              <w:t>Survey</w:t>
            </w:r>
            <w:r w:rsidRPr="00CA1752">
              <w:rPr>
                <w:spacing w:val="-5"/>
              </w:rPr>
              <w:t xml:space="preserve"> Methodologist</w:t>
            </w:r>
          </w:p>
        </w:tc>
        <w:tc>
          <w:tcPr>
            <w:tcW w:w="3338" w:type="dxa"/>
            <w:tcBorders>
              <w:left w:val="single" w:color="auto" w:sz="4" w:space="0"/>
              <w:right w:val="single" w:color="auto" w:sz="4" w:space="0"/>
            </w:tcBorders>
          </w:tcPr>
          <w:p w:rsidRPr="00CA1752" w:rsidR="00CF2CBC" w:rsidP="00D04A9F" w:rsidRDefault="00CF2CBC" w14:paraId="735DF0EA" w14:textId="4724C174">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rsidR="00CF1483">
              <w:t>Alexandria</w:t>
            </w:r>
            <w:r w:rsidRPr="00CA1752">
              <w:t>, VA</w:t>
            </w:r>
          </w:p>
        </w:tc>
        <w:tc>
          <w:tcPr>
            <w:tcW w:w="2258" w:type="dxa"/>
            <w:tcBorders>
              <w:left w:val="single" w:color="auto" w:sz="4" w:space="0"/>
            </w:tcBorders>
          </w:tcPr>
          <w:p w:rsidRPr="00CA1752" w:rsidR="00CF2CBC" w:rsidP="00D04A9F" w:rsidRDefault="00CF2CBC" w14:paraId="75F034D8" w14:textId="77777777">
            <w:pPr>
              <w:pStyle w:val="Tabletext1"/>
              <w:spacing w:before="100"/>
              <w:rPr>
                <w:rFonts w:eastAsia="Times New Roman"/>
                <w:szCs w:val="24"/>
              </w:rPr>
            </w:pPr>
            <w:r w:rsidRPr="00CA1752">
              <w:t>703 292-7794</w:t>
            </w:r>
          </w:p>
        </w:tc>
      </w:tr>
      <w:tr w:rsidRPr="00CA1752" w:rsidR="00CF2CBC" w:rsidTr="0054259D" w14:paraId="6C0A9B1D" w14:textId="77777777">
        <w:trPr>
          <w:cantSplit/>
        </w:trPr>
        <w:tc>
          <w:tcPr>
            <w:tcW w:w="3764" w:type="dxa"/>
            <w:tcBorders>
              <w:right w:val="single" w:color="auto" w:sz="4" w:space="0"/>
            </w:tcBorders>
          </w:tcPr>
          <w:p w:rsidRPr="00CA1752" w:rsidR="00CF2CBC" w:rsidP="00D04A9F" w:rsidRDefault="00CF2CBC" w14:paraId="718A1E20" w14:textId="2624B20C">
            <w:pPr>
              <w:pStyle w:val="Tabletext1"/>
              <w:spacing w:before="100"/>
              <w:rPr>
                <w:rFonts w:eastAsia="Times New Roman"/>
                <w:szCs w:val="24"/>
              </w:rPr>
            </w:pPr>
            <w:r w:rsidRPr="00CA1752">
              <w:t>Dr. Patricia Green</w:t>
            </w:r>
            <w:r w:rsidRPr="00CA1752">
              <w:rPr>
                <w:spacing w:val="28"/>
              </w:rPr>
              <w:t xml:space="preserve"> </w:t>
            </w:r>
            <w:r w:rsidRPr="00CA1752">
              <w:rPr>
                <w:spacing w:val="28"/>
              </w:rPr>
              <w:br/>
            </w:r>
            <w:r w:rsidR="00CF1483">
              <w:t xml:space="preserve">GSS </w:t>
            </w:r>
            <w:r w:rsidRPr="00CA1752">
              <w:t>Project Director</w:t>
            </w:r>
          </w:p>
        </w:tc>
        <w:tc>
          <w:tcPr>
            <w:tcW w:w="3338" w:type="dxa"/>
            <w:tcBorders>
              <w:left w:val="single" w:color="auto" w:sz="4" w:space="0"/>
              <w:right w:val="single" w:color="auto" w:sz="4" w:space="0"/>
            </w:tcBorders>
          </w:tcPr>
          <w:p w:rsidRPr="00CA1752" w:rsidR="00CF2CBC" w:rsidP="00D04A9F" w:rsidRDefault="00CF2CBC" w14:paraId="5AB2B3D9" w14:textId="77777777">
            <w:pPr>
              <w:pStyle w:val="Tabletext1"/>
              <w:spacing w:before="100"/>
              <w:rPr>
                <w:rFonts w:eastAsia="Times New Roman"/>
                <w:szCs w:val="24"/>
              </w:rPr>
            </w:pPr>
            <w:r w:rsidRPr="00CA1752">
              <w:t>RTI</w:t>
            </w:r>
            <w:r w:rsidRPr="00CA1752">
              <w:rPr>
                <w:spacing w:val="-4"/>
              </w:rPr>
              <w:t xml:space="preserve"> </w:t>
            </w:r>
            <w:r w:rsidRPr="00CA1752">
              <w:t>International</w:t>
            </w:r>
            <w:r w:rsidRPr="00CA1752">
              <w:rPr>
                <w:spacing w:val="29"/>
              </w:rPr>
              <w:t xml:space="preserve"> </w:t>
            </w:r>
            <w:r w:rsidRPr="00CA1752">
              <w:rPr>
                <w:spacing w:val="29"/>
              </w:rPr>
              <w:br/>
            </w:r>
            <w:r w:rsidRPr="00CA1752">
              <w:t>Chicago,</w:t>
            </w:r>
            <w:r w:rsidRPr="00CA1752">
              <w:rPr>
                <w:spacing w:val="4"/>
              </w:rPr>
              <w:t xml:space="preserve"> </w:t>
            </w:r>
            <w:r w:rsidRPr="00CA1752">
              <w:t>IL</w:t>
            </w:r>
          </w:p>
        </w:tc>
        <w:tc>
          <w:tcPr>
            <w:tcW w:w="2258" w:type="dxa"/>
            <w:tcBorders>
              <w:left w:val="single" w:color="auto" w:sz="4" w:space="0"/>
            </w:tcBorders>
          </w:tcPr>
          <w:p w:rsidRPr="00CA1752" w:rsidR="00CF2CBC" w:rsidP="00D04A9F" w:rsidRDefault="00CF2CBC" w14:paraId="14AA8059" w14:textId="77777777">
            <w:pPr>
              <w:pStyle w:val="Tabletext1"/>
              <w:spacing w:before="100"/>
              <w:rPr>
                <w:rFonts w:eastAsia="Times New Roman"/>
                <w:szCs w:val="24"/>
              </w:rPr>
            </w:pPr>
            <w:r w:rsidRPr="00CA1752">
              <w:t>312-456-5260</w:t>
            </w:r>
          </w:p>
        </w:tc>
      </w:tr>
      <w:tr w:rsidRPr="00CA1752" w:rsidR="00CF2CBC" w:rsidTr="0054259D" w14:paraId="052CB9B2" w14:textId="77777777">
        <w:trPr>
          <w:cantSplit/>
        </w:trPr>
        <w:tc>
          <w:tcPr>
            <w:tcW w:w="3764" w:type="dxa"/>
            <w:tcBorders>
              <w:right w:val="single" w:color="auto" w:sz="4" w:space="0"/>
            </w:tcBorders>
          </w:tcPr>
          <w:p w:rsidRPr="00CA1752" w:rsidR="00CF2CBC" w:rsidP="00D04A9F" w:rsidRDefault="00CF2CBC" w14:paraId="6DED9DFF" w14:textId="77777777">
            <w:pPr>
              <w:pStyle w:val="Tabletext1"/>
              <w:spacing w:before="100"/>
            </w:pPr>
            <w:r w:rsidRPr="00CA1752">
              <w:t>Dr. Jonathan Gordon</w:t>
            </w:r>
            <w:r w:rsidRPr="00CA1752">
              <w:br/>
              <w:t>Redesign Task Leader</w:t>
            </w:r>
          </w:p>
        </w:tc>
        <w:tc>
          <w:tcPr>
            <w:tcW w:w="3338" w:type="dxa"/>
            <w:tcBorders>
              <w:left w:val="single" w:color="auto" w:sz="4" w:space="0"/>
              <w:right w:val="single" w:color="auto" w:sz="4" w:space="0"/>
            </w:tcBorders>
          </w:tcPr>
          <w:p w:rsidRPr="00CA1752" w:rsidR="00CF2CBC" w:rsidP="00D04A9F" w:rsidRDefault="00CF2CBC" w14:paraId="4FD32038" w14:textId="77777777">
            <w:pPr>
              <w:pStyle w:val="Tabletext1"/>
              <w:spacing w:before="100"/>
            </w:pPr>
            <w:r w:rsidRPr="00CA1752">
              <w:t>RTI International</w:t>
            </w:r>
            <w:r w:rsidRPr="00CA1752">
              <w:br/>
              <w:t>Atlanta, GA</w:t>
            </w:r>
          </w:p>
        </w:tc>
        <w:tc>
          <w:tcPr>
            <w:tcW w:w="2258" w:type="dxa"/>
            <w:tcBorders>
              <w:left w:val="single" w:color="auto" w:sz="4" w:space="0"/>
            </w:tcBorders>
          </w:tcPr>
          <w:p w:rsidRPr="00CA1752" w:rsidR="00CF2CBC" w:rsidP="00D04A9F" w:rsidRDefault="00CF2CBC" w14:paraId="7187E36D" w14:textId="77777777">
            <w:pPr>
              <w:pStyle w:val="Tabletext1"/>
              <w:spacing w:before="100"/>
            </w:pPr>
            <w:r w:rsidRPr="00CA1752">
              <w:t>770-407-4952</w:t>
            </w:r>
          </w:p>
        </w:tc>
      </w:tr>
      <w:tr w:rsidRPr="00CA1752" w:rsidR="00CF2CBC" w:rsidTr="0054259D" w14:paraId="7E37760A" w14:textId="77777777">
        <w:trPr>
          <w:cantSplit/>
        </w:trPr>
        <w:tc>
          <w:tcPr>
            <w:tcW w:w="3764" w:type="dxa"/>
            <w:tcBorders>
              <w:right w:val="single" w:color="auto" w:sz="4" w:space="0"/>
            </w:tcBorders>
          </w:tcPr>
          <w:p w:rsidRPr="00CA1752" w:rsidR="00CF2CBC" w:rsidP="00D04A9F" w:rsidRDefault="00CF2CBC" w14:paraId="1FDCA720" w14:textId="77777777">
            <w:pPr>
              <w:pStyle w:val="Tabletext1"/>
              <w:spacing w:before="100"/>
              <w:rPr>
                <w:rFonts w:eastAsia="Times New Roman"/>
                <w:szCs w:val="24"/>
              </w:rPr>
            </w:pPr>
            <w:r w:rsidRPr="00CA1752">
              <w:t>Mr. Peter Einaudi</w:t>
            </w:r>
            <w:r w:rsidRPr="00CA1752">
              <w:rPr>
                <w:rFonts w:eastAsia="Times New Roman"/>
                <w:szCs w:val="24"/>
              </w:rPr>
              <w:br/>
            </w:r>
            <w:r w:rsidRPr="00CA1752">
              <w:t>Data Analysis Task</w:t>
            </w:r>
            <w:r w:rsidRPr="00CA1752">
              <w:rPr>
                <w:spacing w:val="2"/>
              </w:rPr>
              <w:t xml:space="preserve"> </w:t>
            </w:r>
            <w:r w:rsidRPr="00CA1752">
              <w:t>Leader</w:t>
            </w:r>
          </w:p>
        </w:tc>
        <w:tc>
          <w:tcPr>
            <w:tcW w:w="3338" w:type="dxa"/>
            <w:tcBorders>
              <w:left w:val="single" w:color="auto" w:sz="4" w:space="0"/>
              <w:right w:val="single" w:color="auto" w:sz="4" w:space="0"/>
            </w:tcBorders>
          </w:tcPr>
          <w:p w:rsidRPr="00CA1752" w:rsidR="00CF2CBC" w:rsidP="00D04A9F" w:rsidRDefault="00CF2CBC" w14:paraId="6F0438B6" w14:textId="77777777">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258" w:type="dxa"/>
            <w:tcBorders>
              <w:left w:val="single" w:color="auto" w:sz="4" w:space="0"/>
            </w:tcBorders>
          </w:tcPr>
          <w:p w:rsidRPr="00CA1752" w:rsidR="00CF2CBC" w:rsidP="00D04A9F" w:rsidRDefault="00CF2CBC" w14:paraId="10007FE7" w14:textId="77777777">
            <w:pPr>
              <w:pStyle w:val="Tabletext1"/>
              <w:spacing w:before="100"/>
              <w:rPr>
                <w:rFonts w:eastAsia="Times New Roman"/>
                <w:szCs w:val="24"/>
              </w:rPr>
            </w:pPr>
            <w:r w:rsidRPr="00CA1752">
              <w:t>919-541-8765</w:t>
            </w:r>
          </w:p>
        </w:tc>
      </w:tr>
      <w:tr w:rsidRPr="00CA1752" w:rsidR="00CF2CBC" w:rsidTr="0054259D" w14:paraId="44617A46" w14:textId="77777777">
        <w:trPr>
          <w:cantSplit/>
        </w:trPr>
        <w:tc>
          <w:tcPr>
            <w:tcW w:w="3764" w:type="dxa"/>
            <w:tcBorders>
              <w:right w:val="single" w:color="auto" w:sz="4" w:space="0"/>
            </w:tcBorders>
          </w:tcPr>
          <w:p w:rsidRPr="00CA1752" w:rsidR="00CF2CBC" w:rsidP="00D04A9F" w:rsidRDefault="00CF2CBC" w14:paraId="30B85585" w14:textId="77777777">
            <w:pPr>
              <w:pStyle w:val="Tabletext1"/>
              <w:spacing w:before="100"/>
              <w:rPr>
                <w:rFonts w:eastAsia="Times New Roman"/>
                <w:szCs w:val="24"/>
              </w:rPr>
            </w:pPr>
            <w:r w:rsidRPr="00CA1752">
              <w:t>Ms. Jennifer Pauli</w:t>
            </w:r>
            <w:r w:rsidRPr="00CA1752">
              <w:rPr>
                <w:rFonts w:eastAsia="Times New Roman"/>
                <w:szCs w:val="24"/>
              </w:rPr>
              <w:br/>
            </w:r>
            <w:r w:rsidRPr="00CA1752">
              <w:t>Data Collection Task</w:t>
            </w:r>
            <w:r w:rsidRPr="00CA1752">
              <w:rPr>
                <w:spacing w:val="2"/>
              </w:rPr>
              <w:t xml:space="preserve"> </w:t>
            </w:r>
            <w:r w:rsidRPr="00CA1752">
              <w:t>Leader</w:t>
            </w:r>
          </w:p>
        </w:tc>
        <w:tc>
          <w:tcPr>
            <w:tcW w:w="3338" w:type="dxa"/>
            <w:tcBorders>
              <w:left w:val="single" w:color="auto" w:sz="4" w:space="0"/>
              <w:right w:val="single" w:color="auto" w:sz="4" w:space="0"/>
            </w:tcBorders>
          </w:tcPr>
          <w:p w:rsidRPr="00CA1752" w:rsidR="00CF2CBC" w:rsidP="00D04A9F" w:rsidRDefault="00CF2CBC" w14:paraId="2AB59AC5" w14:textId="77777777">
            <w:pPr>
              <w:pStyle w:val="Tabletext1"/>
              <w:spacing w:before="100"/>
            </w:pPr>
            <w:r w:rsidRPr="00CA1752">
              <w:t xml:space="preserve">RTI International </w:t>
            </w:r>
            <w:r w:rsidRPr="00CA1752">
              <w:br/>
              <w:t>Research Triangle Park, NC</w:t>
            </w:r>
          </w:p>
        </w:tc>
        <w:tc>
          <w:tcPr>
            <w:tcW w:w="2258" w:type="dxa"/>
            <w:tcBorders>
              <w:left w:val="single" w:color="auto" w:sz="4" w:space="0"/>
            </w:tcBorders>
          </w:tcPr>
          <w:p w:rsidRPr="00CA1752" w:rsidR="00CF2CBC" w:rsidP="00D04A9F" w:rsidRDefault="00CF2CBC" w14:paraId="13FF4E09" w14:textId="77777777">
            <w:pPr>
              <w:pStyle w:val="Tabletext1"/>
              <w:spacing w:before="100"/>
              <w:rPr>
                <w:rFonts w:eastAsia="Times New Roman"/>
                <w:szCs w:val="24"/>
              </w:rPr>
            </w:pPr>
            <w:r w:rsidRPr="00CA1752">
              <w:t>919-485-5598</w:t>
            </w:r>
          </w:p>
        </w:tc>
      </w:tr>
      <w:tr w:rsidRPr="00CA1752" w:rsidR="00CF2CBC" w:rsidTr="0054259D" w14:paraId="6338EF7F" w14:textId="77777777">
        <w:trPr>
          <w:cantSplit/>
        </w:trPr>
        <w:tc>
          <w:tcPr>
            <w:tcW w:w="3764" w:type="dxa"/>
            <w:tcBorders>
              <w:right w:val="single" w:color="auto" w:sz="4" w:space="0"/>
            </w:tcBorders>
          </w:tcPr>
          <w:p w:rsidR="00CF1483" w:rsidP="00D04A9F" w:rsidRDefault="00B1728D" w14:paraId="045885ED" w14:textId="77777777">
            <w:pPr>
              <w:pStyle w:val="Tabletext1"/>
              <w:spacing w:before="100"/>
            </w:pPr>
            <w:r>
              <w:t>Dr. Caren Arbeit</w:t>
            </w:r>
          </w:p>
          <w:p w:rsidRPr="00CA1752" w:rsidR="00CF2CBC" w:rsidP="00D04A9F" w:rsidRDefault="00CF2CBC" w14:paraId="6A9CA273" w14:textId="58F684FB">
            <w:pPr>
              <w:pStyle w:val="Tabletext1"/>
              <w:spacing w:before="100"/>
              <w:rPr>
                <w:rFonts w:eastAsia="Times New Roman"/>
                <w:szCs w:val="24"/>
              </w:rPr>
            </w:pPr>
            <w:r w:rsidRPr="00CA1752">
              <w:t>FFRDC Postdoc Survey</w:t>
            </w:r>
            <w:r w:rsidRPr="00CA1752">
              <w:rPr>
                <w:spacing w:val="-3"/>
              </w:rPr>
              <w:t xml:space="preserve"> </w:t>
            </w:r>
            <w:r w:rsidRPr="00CA1752">
              <w:t>Task</w:t>
            </w:r>
            <w:r w:rsidRPr="00CA1752">
              <w:rPr>
                <w:spacing w:val="2"/>
              </w:rPr>
              <w:t xml:space="preserve"> </w:t>
            </w:r>
            <w:r w:rsidRPr="00CA1752">
              <w:t>Leader</w:t>
            </w:r>
          </w:p>
        </w:tc>
        <w:tc>
          <w:tcPr>
            <w:tcW w:w="3338" w:type="dxa"/>
            <w:tcBorders>
              <w:left w:val="single" w:color="auto" w:sz="4" w:space="0"/>
              <w:right w:val="single" w:color="auto" w:sz="4" w:space="0"/>
            </w:tcBorders>
          </w:tcPr>
          <w:p w:rsidRPr="00CA1752" w:rsidR="00CF2CBC" w:rsidP="00D04A9F" w:rsidRDefault="00CF2CBC" w14:paraId="1610F983" w14:textId="68CF4A6D">
            <w:pPr>
              <w:pStyle w:val="Tabletext1"/>
              <w:spacing w:before="100"/>
              <w:rPr>
                <w:rFonts w:eastAsia="Times New Roman"/>
                <w:szCs w:val="24"/>
              </w:rPr>
            </w:pPr>
            <w:r w:rsidRPr="00CA1752">
              <w:t>RTI</w:t>
            </w:r>
            <w:r w:rsidRPr="00CA1752">
              <w:rPr>
                <w:spacing w:val="-4"/>
              </w:rPr>
              <w:t xml:space="preserve"> </w:t>
            </w:r>
            <w:r w:rsidRPr="00CA1752">
              <w:t>International</w:t>
            </w:r>
            <w:r w:rsidR="00CF1483">
              <w:t xml:space="preserve"> </w:t>
            </w:r>
            <w:r w:rsidR="00B1728D">
              <w:t>Berkeley, CA</w:t>
            </w:r>
          </w:p>
        </w:tc>
        <w:tc>
          <w:tcPr>
            <w:tcW w:w="2258" w:type="dxa"/>
            <w:tcBorders>
              <w:left w:val="single" w:color="auto" w:sz="4" w:space="0"/>
            </w:tcBorders>
          </w:tcPr>
          <w:p w:rsidRPr="00CA1752" w:rsidR="00CF2CBC" w:rsidP="00D04A9F" w:rsidRDefault="00B1728D" w14:paraId="2440C100" w14:textId="6B736018">
            <w:pPr>
              <w:pStyle w:val="Tabletext1"/>
              <w:spacing w:before="100"/>
              <w:rPr>
                <w:rFonts w:eastAsia="Times New Roman"/>
                <w:szCs w:val="24"/>
              </w:rPr>
            </w:pPr>
            <w:r w:rsidRPr="00B1728D">
              <w:t>510-898-4812</w:t>
            </w:r>
          </w:p>
        </w:tc>
      </w:tr>
      <w:tr w:rsidRPr="00CA1752" w:rsidR="00CF2CBC" w:rsidTr="0054259D" w14:paraId="71F3E336" w14:textId="77777777">
        <w:trPr>
          <w:cantSplit/>
        </w:trPr>
        <w:tc>
          <w:tcPr>
            <w:tcW w:w="3764" w:type="dxa"/>
            <w:tcBorders>
              <w:right w:val="single" w:color="auto" w:sz="4" w:space="0"/>
            </w:tcBorders>
          </w:tcPr>
          <w:p w:rsidRPr="00CA1752" w:rsidR="00CF2CBC" w:rsidP="00D04A9F" w:rsidRDefault="00CF2CBC" w14:paraId="1A48B474" w14:textId="77777777">
            <w:pPr>
              <w:pStyle w:val="Tabletext1"/>
              <w:spacing w:before="100"/>
              <w:rPr>
                <w:rFonts w:eastAsia="Times New Roman"/>
                <w:szCs w:val="24"/>
              </w:rPr>
            </w:pPr>
            <w:r w:rsidRPr="00CA1752">
              <w:t>Mr. Jim</w:t>
            </w:r>
            <w:r w:rsidRPr="00CA1752">
              <w:rPr>
                <w:spacing w:val="-2"/>
              </w:rPr>
              <w:t xml:space="preserve"> </w:t>
            </w:r>
            <w:r w:rsidRPr="00CA1752">
              <w:t>Rogers</w:t>
            </w:r>
            <w:r w:rsidRPr="00CA1752">
              <w:rPr>
                <w:rFonts w:eastAsia="Times New Roman"/>
                <w:szCs w:val="24"/>
              </w:rPr>
              <w:br/>
            </w:r>
            <w:r w:rsidRPr="00CA1752">
              <w:t>Data Delivery</w:t>
            </w:r>
            <w:r w:rsidRPr="00CA1752">
              <w:rPr>
                <w:spacing w:val="-5"/>
              </w:rPr>
              <w:t xml:space="preserve"> </w:t>
            </w:r>
            <w:r w:rsidRPr="00CA1752">
              <w:t>Task</w:t>
            </w:r>
            <w:r w:rsidRPr="00CA1752">
              <w:rPr>
                <w:spacing w:val="2"/>
              </w:rPr>
              <w:t xml:space="preserve"> </w:t>
            </w:r>
            <w:r w:rsidRPr="00CA1752">
              <w:t>Leader</w:t>
            </w:r>
          </w:p>
        </w:tc>
        <w:tc>
          <w:tcPr>
            <w:tcW w:w="3338" w:type="dxa"/>
            <w:tcBorders>
              <w:left w:val="single" w:color="auto" w:sz="4" w:space="0"/>
              <w:right w:val="single" w:color="auto" w:sz="4" w:space="0"/>
            </w:tcBorders>
          </w:tcPr>
          <w:p w:rsidRPr="00CA1752" w:rsidR="00CF2CBC" w:rsidP="00D04A9F" w:rsidRDefault="00CF2CBC" w14:paraId="723F8D65" w14:textId="77777777">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258" w:type="dxa"/>
            <w:tcBorders>
              <w:left w:val="single" w:color="auto" w:sz="4" w:space="0"/>
            </w:tcBorders>
          </w:tcPr>
          <w:p w:rsidRPr="00CA1752" w:rsidR="00CF2CBC" w:rsidP="00D04A9F" w:rsidRDefault="00CF2CBC" w14:paraId="0B2051EF" w14:textId="77777777">
            <w:pPr>
              <w:pStyle w:val="Tabletext1"/>
              <w:spacing w:before="100"/>
              <w:rPr>
                <w:rFonts w:eastAsia="Times New Roman"/>
                <w:szCs w:val="24"/>
              </w:rPr>
            </w:pPr>
            <w:r w:rsidRPr="00CA1752">
              <w:t>919-541-7291</w:t>
            </w:r>
          </w:p>
        </w:tc>
      </w:tr>
      <w:tr w:rsidRPr="00CA1752" w:rsidR="00CF2CBC" w:rsidTr="0054259D" w14:paraId="5520F41F" w14:textId="77777777">
        <w:trPr>
          <w:cantSplit/>
        </w:trPr>
        <w:tc>
          <w:tcPr>
            <w:tcW w:w="3764" w:type="dxa"/>
            <w:tcBorders>
              <w:right w:val="single" w:color="auto" w:sz="4" w:space="0"/>
            </w:tcBorders>
          </w:tcPr>
          <w:p w:rsidRPr="00CA1752" w:rsidR="00CF2CBC" w:rsidP="00D04A9F" w:rsidRDefault="00CF2CBC" w14:paraId="346080F5" w14:textId="77777777">
            <w:pPr>
              <w:pStyle w:val="Tabletext1"/>
              <w:spacing w:before="100"/>
              <w:rPr>
                <w:rFonts w:eastAsia="Times New Roman"/>
                <w:szCs w:val="24"/>
              </w:rPr>
            </w:pPr>
            <w:r w:rsidRPr="00CA1752">
              <w:t>Mr. Bob Steele</w:t>
            </w:r>
            <w:r w:rsidRPr="00CA1752">
              <w:rPr>
                <w:rFonts w:eastAsia="Times New Roman"/>
                <w:szCs w:val="24"/>
              </w:rPr>
              <w:br/>
            </w:r>
            <w:r w:rsidRPr="00CA1752">
              <w:t>Systems Development Task</w:t>
            </w:r>
            <w:r w:rsidRPr="00CA1752">
              <w:rPr>
                <w:spacing w:val="2"/>
              </w:rPr>
              <w:t xml:space="preserve"> </w:t>
            </w:r>
            <w:r w:rsidRPr="00CA1752">
              <w:t>Leader</w:t>
            </w:r>
          </w:p>
        </w:tc>
        <w:tc>
          <w:tcPr>
            <w:tcW w:w="3338" w:type="dxa"/>
            <w:tcBorders>
              <w:left w:val="single" w:color="auto" w:sz="4" w:space="0"/>
              <w:right w:val="single" w:color="auto" w:sz="4" w:space="0"/>
            </w:tcBorders>
          </w:tcPr>
          <w:p w:rsidRPr="00CA1752" w:rsidR="00CF2CBC" w:rsidP="00D04A9F" w:rsidRDefault="00CF2CBC" w14:paraId="75401808" w14:textId="77777777">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258" w:type="dxa"/>
            <w:tcBorders>
              <w:left w:val="single" w:color="auto" w:sz="4" w:space="0"/>
            </w:tcBorders>
          </w:tcPr>
          <w:p w:rsidRPr="00CA1752" w:rsidR="00CF2CBC" w:rsidP="00D04A9F" w:rsidRDefault="00CF2CBC" w14:paraId="36E6F3BA" w14:textId="77777777">
            <w:pPr>
              <w:pStyle w:val="Tabletext1"/>
              <w:spacing w:before="100"/>
              <w:rPr>
                <w:rFonts w:eastAsia="Times New Roman"/>
                <w:szCs w:val="24"/>
              </w:rPr>
            </w:pPr>
            <w:r w:rsidRPr="00CA1752">
              <w:t>919-316-3836</w:t>
            </w:r>
          </w:p>
        </w:tc>
      </w:tr>
      <w:tr w:rsidRPr="00CA1752" w:rsidR="00CF2CBC" w:rsidTr="0054259D" w14:paraId="4208CAC7" w14:textId="77777777">
        <w:trPr>
          <w:cantSplit/>
        </w:trPr>
        <w:tc>
          <w:tcPr>
            <w:tcW w:w="3764" w:type="dxa"/>
            <w:tcBorders>
              <w:bottom w:val="single" w:color="auto" w:sz="12" w:space="0"/>
              <w:right w:val="single" w:color="auto" w:sz="4" w:space="0"/>
            </w:tcBorders>
          </w:tcPr>
          <w:p w:rsidRPr="00CA1752" w:rsidR="00CF2CBC" w:rsidP="00BA650B" w:rsidRDefault="00CF2CBC" w14:paraId="6C422306" w14:textId="77777777">
            <w:pPr>
              <w:pStyle w:val="Tabletext1"/>
              <w:spacing w:before="100" w:after="0"/>
              <w:rPr>
                <w:rFonts w:eastAsia="Times New Roman"/>
                <w:szCs w:val="24"/>
              </w:rPr>
            </w:pPr>
            <w:r w:rsidRPr="00CA1752">
              <w:t>Dr. Kimberly Ault</w:t>
            </w:r>
            <w:r w:rsidRPr="00CA1752">
              <w:rPr>
                <w:rFonts w:eastAsia="Times New Roman"/>
                <w:szCs w:val="24"/>
              </w:rPr>
              <w:br/>
            </w:r>
            <w:r w:rsidRPr="00CA1752">
              <w:t>Mathematical Statistical Task</w:t>
            </w:r>
            <w:r w:rsidRPr="00CA1752">
              <w:rPr>
                <w:spacing w:val="2"/>
              </w:rPr>
              <w:t xml:space="preserve"> </w:t>
            </w:r>
            <w:r w:rsidRPr="00CA1752">
              <w:t>Leader</w:t>
            </w:r>
          </w:p>
        </w:tc>
        <w:tc>
          <w:tcPr>
            <w:tcW w:w="3338" w:type="dxa"/>
            <w:tcBorders>
              <w:left w:val="single" w:color="auto" w:sz="4" w:space="0"/>
              <w:bottom w:val="single" w:color="auto" w:sz="12" w:space="0"/>
              <w:right w:val="single" w:color="auto" w:sz="4" w:space="0"/>
            </w:tcBorders>
          </w:tcPr>
          <w:p w:rsidRPr="00CA1752" w:rsidR="00CF2CBC" w:rsidP="00D04A9F" w:rsidRDefault="00CF2CBC" w14:paraId="40468E3F" w14:textId="77777777">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258" w:type="dxa"/>
            <w:tcBorders>
              <w:left w:val="single" w:color="auto" w:sz="4" w:space="0"/>
              <w:bottom w:val="single" w:color="auto" w:sz="12" w:space="0"/>
            </w:tcBorders>
          </w:tcPr>
          <w:p w:rsidRPr="00CA1752" w:rsidR="00CF2CBC" w:rsidP="00D04A9F" w:rsidRDefault="00CF2CBC" w14:paraId="6DCBE478" w14:textId="77777777">
            <w:pPr>
              <w:pStyle w:val="Tabletext1"/>
              <w:spacing w:before="100"/>
              <w:rPr>
                <w:rFonts w:eastAsia="Times New Roman"/>
                <w:szCs w:val="24"/>
              </w:rPr>
            </w:pPr>
            <w:r w:rsidRPr="00CA1752">
              <w:t>919-541-7455</w:t>
            </w:r>
          </w:p>
        </w:tc>
      </w:tr>
    </w:tbl>
    <w:p w:rsidRPr="00CA1752" w:rsidR="00CF2CBC" w:rsidP="00CF2CBC" w:rsidRDefault="00CF2CBC" w14:paraId="6E4E4898" w14:textId="77777777">
      <w:pPr>
        <w:pStyle w:val="BodyText"/>
        <w:ind w:firstLine="0"/>
      </w:pPr>
    </w:p>
    <w:sectPr w:rsidRPr="00CA1752" w:rsidR="00CF2CBC" w:rsidSect="001D398B">
      <w:pgSz w:w="12240" w:h="15840" w:code="1"/>
      <w:pgMar w:top="1440" w:right="1440" w:bottom="126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0ABA" w16cex:dateUtc="2020-04-08T12:32:00Z"/>
  <w16cex:commentExtensible w16cex:durableId="22381635" w16cex:dateUtc="2020-04-08T13: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FA1FF" w14:textId="77777777" w:rsidR="00F62745" w:rsidRDefault="00F62745">
      <w:r>
        <w:separator/>
      </w:r>
    </w:p>
  </w:endnote>
  <w:endnote w:type="continuationSeparator" w:id="0">
    <w:p w14:paraId="1E4CC90E" w14:textId="77777777" w:rsidR="00F62745" w:rsidRDefault="00F62745">
      <w:r>
        <w:continuationSeparator/>
      </w:r>
    </w:p>
  </w:endnote>
  <w:endnote w:type="continuationNotice" w:id="1">
    <w:p w14:paraId="12D85A3B" w14:textId="77777777" w:rsidR="00F62745" w:rsidRDefault="00F62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799C" w14:textId="77777777" w:rsidR="00817449" w:rsidRDefault="00817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2EFB" w14:textId="77777777" w:rsidR="00817449" w:rsidRDefault="00817449">
    <w:pPr>
      <w:spacing w:line="14" w:lineRule="auto"/>
      <w:rPr>
        <w:sz w:val="20"/>
        <w:szCs w:val="20"/>
      </w:rPr>
    </w:pPr>
    <w:r>
      <w:rPr>
        <w:noProof/>
        <w:lang w:eastAsia="ko-KR"/>
      </w:rPr>
      <mc:AlternateContent>
        <mc:Choice Requires="wps">
          <w:drawing>
            <wp:anchor distT="0" distB="0" distL="114300" distR="114300" simplePos="0" relativeHeight="251657728" behindDoc="1" locked="0" layoutInCell="1" allowOverlap="1" wp14:anchorId="7D4E9005" wp14:editId="49F80FDE">
              <wp:simplePos x="0" y="0"/>
              <wp:positionH relativeFrom="page">
                <wp:posOffset>3757295</wp:posOffset>
              </wp:positionH>
              <wp:positionV relativeFrom="page">
                <wp:posOffset>9427845</wp:posOffset>
              </wp:positionV>
              <wp:extent cx="203200" cy="177800"/>
              <wp:effectExtent l="444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5A1D2" w14:textId="7AF6FA2E" w:rsidR="00817449" w:rsidRDefault="00817449">
                          <w:pPr>
                            <w:pStyle w:val="BodyText"/>
                            <w:spacing w:line="265" w:lineRule="exact"/>
                            <w:ind w:left="40" w:firstLine="0"/>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7D4E9005" id="_x0000_t202" coordsize="21600,21600" o:spt="202" path="m,l,21600r21600,l21600,xe">
              <v:stroke joinstyle="miter"/>
              <v:path gradientshapeok="t" o:connecttype="rect"/>
            </v:shapetype>
            <v:shape id="Text Box 1" o:spid="_x0000_s1026" type="#_x0000_t202" style="position:absolute;margin-left:295.85pt;margin-top:742.3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" filled="f" stroked="f">
              <v:textbox inset="0,0,0,0">
                <w:txbxContent>
                  <w:p w14:paraId="4C85A1D2" w14:textId="7AF6FA2E" w:rsidR="00817449" w:rsidRDefault="00817449">
                    <w:pPr>
                      <w:pStyle w:val="BodyText"/>
                      <w:spacing w:line="265" w:lineRule="exact"/>
                      <w:ind w:left="40" w:firstLine="0"/>
                    </w:pPr>
                    <w:r>
                      <w:fldChar w:fldCharType="begin"/>
                    </w:r>
                    <w:r>
                      <w:instrText xml:space="preserve"> PAGE </w:instrText>
                    </w:r>
                    <w:r>
                      <w:fldChar w:fldCharType="separate"/>
                    </w:r>
                    <w:r>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3487C" w14:textId="77777777" w:rsidR="00F62745" w:rsidRDefault="00F62745">
      <w:r>
        <w:separator/>
      </w:r>
    </w:p>
  </w:footnote>
  <w:footnote w:type="continuationSeparator" w:id="0">
    <w:p w14:paraId="4DF37970" w14:textId="77777777" w:rsidR="00F62745" w:rsidRDefault="00F62745">
      <w:r>
        <w:continuationSeparator/>
      </w:r>
    </w:p>
  </w:footnote>
  <w:footnote w:type="continuationNotice" w:id="1">
    <w:p w14:paraId="18B1ADB9" w14:textId="77777777" w:rsidR="00F62745" w:rsidRDefault="00F62745"/>
  </w:footnote>
  <w:footnote w:id="2">
    <w:p w14:paraId="13153D91" w14:textId="23EB4637" w:rsidR="00817449" w:rsidRDefault="00817449" w:rsidP="00A3715A">
      <w:pPr>
        <w:pStyle w:val="biblio"/>
        <w:ind w:left="0" w:firstLine="0"/>
        <w:rPr>
          <w:rFonts w:asciiTheme="majorBidi" w:hAnsiTheme="majorBidi" w:cstheme="majorBidi"/>
          <w:szCs w:val="22"/>
        </w:rPr>
      </w:pPr>
      <w:r>
        <w:rPr>
          <w:rStyle w:val="FootnoteReference"/>
        </w:rPr>
        <w:footnoteRef/>
      </w:r>
      <w:r>
        <w:t xml:space="preserve"> </w:t>
      </w:r>
      <w:r w:rsidRPr="00B3114F">
        <w:rPr>
          <w:iCs/>
          <w:szCs w:val="22"/>
        </w:rPr>
        <w:t>RTI</w:t>
      </w:r>
      <w:r>
        <w:rPr>
          <w:iCs/>
          <w:szCs w:val="22"/>
        </w:rPr>
        <w:t>.</w:t>
      </w:r>
      <w:r w:rsidRPr="00B3114F">
        <w:rPr>
          <w:iCs/>
          <w:szCs w:val="22"/>
        </w:rPr>
        <w:t xml:space="preserve"> (201</w:t>
      </w:r>
      <w:r>
        <w:rPr>
          <w:iCs/>
          <w:szCs w:val="22"/>
        </w:rPr>
        <w:t>9</w:t>
      </w:r>
      <w:r w:rsidRPr="00B3114F">
        <w:rPr>
          <w:iCs/>
          <w:szCs w:val="22"/>
        </w:rPr>
        <w:t>)</w:t>
      </w:r>
      <w:r>
        <w:rPr>
          <w:iCs/>
          <w:szCs w:val="22"/>
        </w:rPr>
        <w:t xml:space="preserve">. </w:t>
      </w:r>
      <w:r w:rsidRPr="00C02E67">
        <w:rPr>
          <w:i/>
          <w:iCs/>
        </w:rPr>
        <w:t>2017 Survey of Graduate Students and Postdoctorates in Science and Engineering: Survey Methodology Report</w:t>
      </w:r>
      <w:r w:rsidRPr="00C02E67">
        <w:rPr>
          <w:i/>
          <w:iCs/>
          <w:szCs w:val="22"/>
        </w:rPr>
        <w:t xml:space="preserve"> </w:t>
      </w:r>
      <w:r w:rsidRPr="00B3114F">
        <w:rPr>
          <w:iCs/>
          <w:szCs w:val="22"/>
        </w:rPr>
        <w:t>Deliverable</w:t>
      </w:r>
      <w:r>
        <w:rPr>
          <w:iCs/>
          <w:szCs w:val="22"/>
        </w:rPr>
        <w:t xml:space="preserve"> under </w:t>
      </w:r>
      <w:r w:rsidRPr="00B3114F">
        <w:rPr>
          <w:iCs/>
          <w:szCs w:val="22"/>
        </w:rPr>
        <w:t xml:space="preserve">contract </w:t>
      </w:r>
      <w:r>
        <w:rPr>
          <w:rFonts w:asciiTheme="majorBidi" w:hAnsiTheme="majorBidi" w:cstheme="majorBidi"/>
          <w:szCs w:val="22"/>
        </w:rPr>
        <w:t>NSFDACS49100418F1261 Prepared by RTI International, April 2019.</w:t>
      </w:r>
    </w:p>
    <w:p w14:paraId="0BF59C10" w14:textId="30E7B08E" w:rsidR="00817449" w:rsidRDefault="008174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CDB73" w14:textId="77777777" w:rsidR="00817449" w:rsidRDefault="00817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16BB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32ED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A44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1615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D2CE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5456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C01A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70E61A"/>
    <w:lvl w:ilvl="0">
      <w:start w:val="1"/>
      <w:numFmt w:val="bullet"/>
      <w:pStyle w:val="ListBullet2"/>
      <w:lvlText w:val="–"/>
      <w:lvlJc w:val="left"/>
      <w:pPr>
        <w:ind w:left="720" w:hanging="360"/>
      </w:pPr>
      <w:rPr>
        <w:rFonts w:ascii="Times New Roman" w:eastAsia="Times New Roman" w:hAnsi="Times New Roman" w:hint="default"/>
        <w:sz w:val="24"/>
        <w:szCs w:val="24"/>
      </w:rPr>
    </w:lvl>
  </w:abstractNum>
  <w:abstractNum w:abstractNumId="8" w15:restartNumberingAfterBreak="0">
    <w:nsid w:val="FFFFFF88"/>
    <w:multiLevelType w:val="singleLevel"/>
    <w:tmpl w:val="2E06E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D44A68"/>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02718A5"/>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11" w15:restartNumberingAfterBreak="0">
    <w:nsid w:val="006B3CCA"/>
    <w:multiLevelType w:val="hybridMultilevel"/>
    <w:tmpl w:val="81B46D00"/>
    <w:lvl w:ilvl="0" w:tplc="FBE88A06">
      <w:start w:val="1"/>
      <w:numFmt w:val="bullet"/>
      <w:lvlText w:val=""/>
      <w:lvlJc w:val="left"/>
      <w:pPr>
        <w:ind w:left="1102" w:hanging="272"/>
      </w:pPr>
      <w:rPr>
        <w:rFonts w:ascii="Symbol" w:eastAsia="Symbol" w:hAnsi="Symbol" w:hint="default"/>
        <w:sz w:val="16"/>
        <w:szCs w:val="16"/>
      </w:rPr>
    </w:lvl>
    <w:lvl w:ilvl="1" w:tplc="7FEC12E0">
      <w:start w:val="1"/>
      <w:numFmt w:val="bullet"/>
      <w:lvlText w:val="•"/>
      <w:lvlJc w:val="left"/>
      <w:pPr>
        <w:ind w:left="1958" w:hanging="272"/>
      </w:pPr>
      <w:rPr>
        <w:rFonts w:hint="default"/>
      </w:rPr>
    </w:lvl>
    <w:lvl w:ilvl="2" w:tplc="631A3082">
      <w:start w:val="1"/>
      <w:numFmt w:val="bullet"/>
      <w:lvlText w:val="•"/>
      <w:lvlJc w:val="left"/>
      <w:pPr>
        <w:ind w:left="2813" w:hanging="272"/>
      </w:pPr>
      <w:rPr>
        <w:rFonts w:hint="default"/>
      </w:rPr>
    </w:lvl>
    <w:lvl w:ilvl="3" w:tplc="3BACA186">
      <w:start w:val="1"/>
      <w:numFmt w:val="bullet"/>
      <w:lvlText w:val="•"/>
      <w:lvlJc w:val="left"/>
      <w:pPr>
        <w:ind w:left="3669" w:hanging="272"/>
      </w:pPr>
      <w:rPr>
        <w:rFonts w:hint="default"/>
      </w:rPr>
    </w:lvl>
    <w:lvl w:ilvl="4" w:tplc="2ED4E2D4">
      <w:start w:val="1"/>
      <w:numFmt w:val="bullet"/>
      <w:lvlText w:val="•"/>
      <w:lvlJc w:val="left"/>
      <w:pPr>
        <w:ind w:left="4525" w:hanging="272"/>
      </w:pPr>
      <w:rPr>
        <w:rFonts w:hint="default"/>
      </w:rPr>
    </w:lvl>
    <w:lvl w:ilvl="5" w:tplc="7DEE9F9E">
      <w:start w:val="1"/>
      <w:numFmt w:val="bullet"/>
      <w:lvlText w:val="•"/>
      <w:lvlJc w:val="left"/>
      <w:pPr>
        <w:ind w:left="5381" w:hanging="272"/>
      </w:pPr>
      <w:rPr>
        <w:rFonts w:hint="default"/>
      </w:rPr>
    </w:lvl>
    <w:lvl w:ilvl="6" w:tplc="046872AA">
      <w:start w:val="1"/>
      <w:numFmt w:val="bullet"/>
      <w:lvlText w:val="•"/>
      <w:lvlJc w:val="left"/>
      <w:pPr>
        <w:ind w:left="6236" w:hanging="272"/>
      </w:pPr>
      <w:rPr>
        <w:rFonts w:hint="default"/>
      </w:rPr>
    </w:lvl>
    <w:lvl w:ilvl="7" w:tplc="4A54C5DA">
      <w:start w:val="1"/>
      <w:numFmt w:val="bullet"/>
      <w:lvlText w:val="•"/>
      <w:lvlJc w:val="left"/>
      <w:pPr>
        <w:ind w:left="7092" w:hanging="272"/>
      </w:pPr>
      <w:rPr>
        <w:rFonts w:hint="default"/>
      </w:rPr>
    </w:lvl>
    <w:lvl w:ilvl="8" w:tplc="E3D61136">
      <w:start w:val="1"/>
      <w:numFmt w:val="bullet"/>
      <w:lvlText w:val="•"/>
      <w:lvlJc w:val="left"/>
      <w:pPr>
        <w:ind w:left="7948" w:hanging="272"/>
      </w:pPr>
      <w:rPr>
        <w:rFonts w:hint="default"/>
      </w:rPr>
    </w:lvl>
  </w:abstractNum>
  <w:abstractNum w:abstractNumId="12" w15:restartNumberingAfterBreak="0">
    <w:nsid w:val="0A466379"/>
    <w:multiLevelType w:val="hybridMultilevel"/>
    <w:tmpl w:val="BEE85B8A"/>
    <w:lvl w:ilvl="0" w:tplc="8BC6BD0A">
      <w:start w:val="1"/>
      <w:numFmt w:val="decimal"/>
      <w:lvlText w:val="(%1)"/>
      <w:lvlJc w:val="left"/>
      <w:pPr>
        <w:ind w:left="191" w:hanging="339"/>
      </w:pPr>
      <w:rPr>
        <w:rFonts w:ascii="Times New Roman" w:eastAsia="Times New Roman" w:hAnsi="Times New Roman" w:hint="default"/>
        <w:spacing w:val="-1"/>
        <w:sz w:val="24"/>
        <w:szCs w:val="24"/>
      </w:rPr>
    </w:lvl>
    <w:lvl w:ilvl="1" w:tplc="04090001">
      <w:start w:val="1"/>
      <w:numFmt w:val="bullet"/>
      <w:lvlText w:val=""/>
      <w:lvlJc w:val="left"/>
      <w:pPr>
        <w:ind w:left="1271" w:hanging="360"/>
      </w:pPr>
      <w:rPr>
        <w:rFonts w:ascii="Symbol" w:hAnsi="Symbol" w:hint="default"/>
        <w:sz w:val="22"/>
        <w:szCs w:val="22"/>
      </w:rPr>
    </w:lvl>
    <w:lvl w:ilvl="2" w:tplc="6FD6C2B4">
      <w:start w:val="1"/>
      <w:numFmt w:val="bullet"/>
      <w:lvlText w:val="•"/>
      <w:lvlJc w:val="left"/>
      <w:pPr>
        <w:ind w:left="2212" w:hanging="360"/>
      </w:pPr>
      <w:rPr>
        <w:rFonts w:hint="default"/>
      </w:rPr>
    </w:lvl>
    <w:lvl w:ilvl="3" w:tplc="27D22590">
      <w:start w:val="1"/>
      <w:numFmt w:val="bullet"/>
      <w:lvlText w:val="•"/>
      <w:lvlJc w:val="left"/>
      <w:pPr>
        <w:ind w:left="3153" w:hanging="360"/>
      </w:pPr>
      <w:rPr>
        <w:rFonts w:hint="default"/>
      </w:rPr>
    </w:lvl>
    <w:lvl w:ilvl="4" w:tplc="5C6857D2">
      <w:start w:val="1"/>
      <w:numFmt w:val="bullet"/>
      <w:lvlText w:val="•"/>
      <w:lvlJc w:val="left"/>
      <w:pPr>
        <w:ind w:left="4094" w:hanging="360"/>
      </w:pPr>
      <w:rPr>
        <w:rFonts w:hint="default"/>
      </w:rPr>
    </w:lvl>
    <w:lvl w:ilvl="5" w:tplc="7A92D396">
      <w:start w:val="1"/>
      <w:numFmt w:val="bullet"/>
      <w:lvlText w:val="•"/>
      <w:lvlJc w:val="left"/>
      <w:pPr>
        <w:ind w:left="5035" w:hanging="360"/>
      </w:pPr>
      <w:rPr>
        <w:rFonts w:hint="default"/>
      </w:rPr>
    </w:lvl>
    <w:lvl w:ilvl="6" w:tplc="C70A4748">
      <w:start w:val="1"/>
      <w:numFmt w:val="bullet"/>
      <w:lvlText w:val="•"/>
      <w:lvlJc w:val="left"/>
      <w:pPr>
        <w:ind w:left="5976" w:hanging="360"/>
      </w:pPr>
      <w:rPr>
        <w:rFonts w:hint="default"/>
      </w:rPr>
    </w:lvl>
    <w:lvl w:ilvl="7" w:tplc="0AC0D34E">
      <w:start w:val="1"/>
      <w:numFmt w:val="bullet"/>
      <w:lvlText w:val="•"/>
      <w:lvlJc w:val="left"/>
      <w:pPr>
        <w:ind w:left="6917" w:hanging="360"/>
      </w:pPr>
      <w:rPr>
        <w:rFonts w:hint="default"/>
      </w:rPr>
    </w:lvl>
    <w:lvl w:ilvl="8" w:tplc="E376C8BA">
      <w:start w:val="1"/>
      <w:numFmt w:val="bullet"/>
      <w:lvlText w:val="•"/>
      <w:lvlJc w:val="left"/>
      <w:pPr>
        <w:ind w:left="7858" w:hanging="360"/>
      </w:pPr>
      <w:rPr>
        <w:rFonts w:hint="default"/>
      </w:rPr>
    </w:lvl>
  </w:abstractNum>
  <w:abstractNum w:abstractNumId="13" w15:restartNumberingAfterBreak="0">
    <w:nsid w:val="0DC20F94"/>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4" w15:restartNumberingAfterBreak="0">
    <w:nsid w:val="0E0037C5"/>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5" w15:restartNumberingAfterBreak="0">
    <w:nsid w:val="0F747B30"/>
    <w:multiLevelType w:val="hybridMultilevel"/>
    <w:tmpl w:val="737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3027E"/>
    <w:multiLevelType w:val="hybridMultilevel"/>
    <w:tmpl w:val="784C81EC"/>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7" w15:restartNumberingAfterBreak="0">
    <w:nsid w:val="149D0679"/>
    <w:multiLevelType w:val="hybridMultilevel"/>
    <w:tmpl w:val="AB9ABE50"/>
    <w:lvl w:ilvl="0" w:tplc="04090001">
      <w:start w:val="1"/>
      <w:numFmt w:val="bullet"/>
      <w:lvlText w:val=""/>
      <w:lvlJc w:val="left"/>
      <w:pPr>
        <w:ind w:left="459" w:hanging="360"/>
      </w:pPr>
      <w:rPr>
        <w:rFonts w:ascii="Symbol" w:hAnsi="Symbol" w:hint="default"/>
        <w:sz w:val="22"/>
        <w:szCs w:val="22"/>
      </w:rPr>
    </w:lvl>
    <w:lvl w:ilvl="1" w:tplc="2C96DF52">
      <w:start w:val="1"/>
      <w:numFmt w:val="bullet"/>
      <w:lvlText w:val="–"/>
      <w:lvlJc w:val="left"/>
      <w:pPr>
        <w:ind w:left="819" w:hanging="360"/>
      </w:pPr>
      <w:rPr>
        <w:rFonts w:ascii="Times New Roman" w:eastAsia="Times New Roman" w:hAnsi="Times New Roman" w:hint="default"/>
        <w:sz w:val="24"/>
        <w:szCs w:val="24"/>
      </w:rPr>
    </w:lvl>
    <w:lvl w:ilvl="2" w:tplc="D618116C">
      <w:start w:val="1"/>
      <w:numFmt w:val="bullet"/>
      <w:lvlText w:val="•"/>
      <w:lvlJc w:val="left"/>
      <w:pPr>
        <w:ind w:left="1720" w:hanging="360"/>
      </w:pPr>
      <w:rPr>
        <w:rFonts w:hint="default"/>
      </w:rPr>
    </w:lvl>
    <w:lvl w:ilvl="3" w:tplc="CE2C1336">
      <w:start w:val="1"/>
      <w:numFmt w:val="bullet"/>
      <w:lvlText w:val="•"/>
      <w:lvlJc w:val="left"/>
      <w:pPr>
        <w:ind w:left="2621" w:hanging="360"/>
      </w:pPr>
      <w:rPr>
        <w:rFonts w:hint="default"/>
      </w:rPr>
    </w:lvl>
    <w:lvl w:ilvl="4" w:tplc="6B90CBAE">
      <w:start w:val="1"/>
      <w:numFmt w:val="bullet"/>
      <w:lvlText w:val="•"/>
      <w:lvlJc w:val="left"/>
      <w:pPr>
        <w:ind w:left="3522" w:hanging="360"/>
      </w:pPr>
      <w:rPr>
        <w:rFonts w:hint="default"/>
      </w:rPr>
    </w:lvl>
    <w:lvl w:ilvl="5" w:tplc="5D12F40C">
      <w:start w:val="1"/>
      <w:numFmt w:val="bullet"/>
      <w:lvlText w:val="•"/>
      <w:lvlJc w:val="left"/>
      <w:pPr>
        <w:ind w:left="4423" w:hanging="360"/>
      </w:pPr>
      <w:rPr>
        <w:rFonts w:hint="default"/>
      </w:rPr>
    </w:lvl>
    <w:lvl w:ilvl="6" w:tplc="09DEE948">
      <w:start w:val="1"/>
      <w:numFmt w:val="bullet"/>
      <w:lvlText w:val="•"/>
      <w:lvlJc w:val="left"/>
      <w:pPr>
        <w:ind w:left="5324" w:hanging="360"/>
      </w:pPr>
      <w:rPr>
        <w:rFonts w:hint="default"/>
      </w:rPr>
    </w:lvl>
    <w:lvl w:ilvl="7" w:tplc="0DEEC8E6">
      <w:start w:val="1"/>
      <w:numFmt w:val="bullet"/>
      <w:lvlText w:val="•"/>
      <w:lvlJc w:val="left"/>
      <w:pPr>
        <w:ind w:left="6225" w:hanging="360"/>
      </w:pPr>
      <w:rPr>
        <w:rFonts w:hint="default"/>
      </w:rPr>
    </w:lvl>
    <w:lvl w:ilvl="8" w:tplc="A5427F6A">
      <w:start w:val="1"/>
      <w:numFmt w:val="bullet"/>
      <w:lvlText w:val="•"/>
      <w:lvlJc w:val="left"/>
      <w:pPr>
        <w:ind w:left="7126" w:hanging="360"/>
      </w:pPr>
      <w:rPr>
        <w:rFonts w:hint="default"/>
      </w:rPr>
    </w:lvl>
  </w:abstractNum>
  <w:abstractNum w:abstractNumId="18" w15:restartNumberingAfterBreak="0">
    <w:nsid w:val="19E22497"/>
    <w:multiLevelType w:val="multilevel"/>
    <w:tmpl w:val="5FEEAF80"/>
    <w:numStyleLink w:val="Exhibits"/>
  </w:abstractNum>
  <w:abstractNum w:abstractNumId="19" w15:restartNumberingAfterBreak="0">
    <w:nsid w:val="1BC748A9"/>
    <w:multiLevelType w:val="hybridMultilevel"/>
    <w:tmpl w:val="8384E982"/>
    <w:lvl w:ilvl="0" w:tplc="5724942E">
      <w:start w:val="1"/>
      <w:numFmt w:val="bullet"/>
      <w:lvlText w:val="•"/>
      <w:lvlJc w:val="left"/>
      <w:pPr>
        <w:ind w:left="540" w:hanging="360"/>
      </w:pPr>
      <w:rPr>
        <w:rFonts w:ascii="Times New Roman" w:eastAsia="Times New Roman" w:hAnsi="Times New Roman" w:hint="default"/>
        <w:sz w:val="22"/>
        <w:szCs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1D615C1D"/>
    <w:multiLevelType w:val="hybridMultilevel"/>
    <w:tmpl w:val="09F4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C14E2"/>
    <w:multiLevelType w:val="hybridMultilevel"/>
    <w:tmpl w:val="F8DCD4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CB61F5"/>
    <w:multiLevelType w:val="multilevel"/>
    <w:tmpl w:val="5FEEAF80"/>
    <w:styleLink w:val="Exhibits"/>
    <w:lvl w:ilvl="0">
      <w:start w:val="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075CD2"/>
    <w:multiLevelType w:val="hybridMultilevel"/>
    <w:tmpl w:val="6A34E4A6"/>
    <w:lvl w:ilvl="0" w:tplc="5724942E">
      <w:start w:val="1"/>
      <w:numFmt w:val="bullet"/>
      <w:lvlText w:val="•"/>
      <w:lvlJc w:val="left"/>
      <w:pPr>
        <w:ind w:left="1291" w:hanging="360"/>
      </w:pPr>
      <w:rPr>
        <w:rFonts w:ascii="Times New Roman" w:eastAsia="Times New Roman" w:hAnsi="Times New Roman" w:hint="default"/>
        <w:sz w:val="22"/>
        <w:szCs w:val="22"/>
      </w:rPr>
    </w:lvl>
    <w:lvl w:ilvl="1" w:tplc="162034E2">
      <w:start w:val="1"/>
      <w:numFmt w:val="bullet"/>
      <w:lvlText w:val="•"/>
      <w:lvlJc w:val="left"/>
      <w:pPr>
        <w:ind w:left="2150" w:hanging="360"/>
      </w:pPr>
      <w:rPr>
        <w:rFonts w:hint="default"/>
      </w:rPr>
    </w:lvl>
    <w:lvl w:ilvl="2" w:tplc="1E32B40A">
      <w:start w:val="1"/>
      <w:numFmt w:val="bullet"/>
      <w:lvlText w:val="•"/>
      <w:lvlJc w:val="left"/>
      <w:pPr>
        <w:ind w:left="3008" w:hanging="360"/>
      </w:pPr>
      <w:rPr>
        <w:rFonts w:hint="default"/>
      </w:rPr>
    </w:lvl>
    <w:lvl w:ilvl="3" w:tplc="8494B024">
      <w:start w:val="1"/>
      <w:numFmt w:val="bullet"/>
      <w:lvlText w:val="•"/>
      <w:lvlJc w:val="left"/>
      <w:pPr>
        <w:ind w:left="3867" w:hanging="360"/>
      </w:pPr>
      <w:rPr>
        <w:rFonts w:hint="default"/>
      </w:rPr>
    </w:lvl>
    <w:lvl w:ilvl="4" w:tplc="01545E16">
      <w:start w:val="1"/>
      <w:numFmt w:val="bullet"/>
      <w:lvlText w:val="•"/>
      <w:lvlJc w:val="left"/>
      <w:pPr>
        <w:ind w:left="4726" w:hanging="360"/>
      </w:pPr>
      <w:rPr>
        <w:rFonts w:hint="default"/>
      </w:rPr>
    </w:lvl>
    <w:lvl w:ilvl="5" w:tplc="D49C0090">
      <w:start w:val="1"/>
      <w:numFmt w:val="bullet"/>
      <w:lvlText w:val="•"/>
      <w:lvlJc w:val="left"/>
      <w:pPr>
        <w:ind w:left="5585" w:hanging="360"/>
      </w:pPr>
      <w:rPr>
        <w:rFonts w:hint="default"/>
      </w:rPr>
    </w:lvl>
    <w:lvl w:ilvl="6" w:tplc="059CA90A">
      <w:start w:val="1"/>
      <w:numFmt w:val="bullet"/>
      <w:lvlText w:val="•"/>
      <w:lvlJc w:val="left"/>
      <w:pPr>
        <w:ind w:left="6444" w:hanging="360"/>
      </w:pPr>
      <w:rPr>
        <w:rFonts w:hint="default"/>
      </w:rPr>
    </w:lvl>
    <w:lvl w:ilvl="7" w:tplc="998C2DA2">
      <w:start w:val="1"/>
      <w:numFmt w:val="bullet"/>
      <w:lvlText w:val="•"/>
      <w:lvlJc w:val="left"/>
      <w:pPr>
        <w:ind w:left="7303" w:hanging="360"/>
      </w:pPr>
      <w:rPr>
        <w:rFonts w:hint="default"/>
      </w:rPr>
    </w:lvl>
    <w:lvl w:ilvl="8" w:tplc="04022FE6">
      <w:start w:val="1"/>
      <w:numFmt w:val="bullet"/>
      <w:lvlText w:val="•"/>
      <w:lvlJc w:val="left"/>
      <w:pPr>
        <w:ind w:left="8162" w:hanging="360"/>
      </w:pPr>
      <w:rPr>
        <w:rFonts w:hint="default"/>
      </w:rPr>
    </w:lvl>
  </w:abstractNum>
  <w:abstractNum w:abstractNumId="24" w15:restartNumberingAfterBreak="0">
    <w:nsid w:val="2F3E2715"/>
    <w:multiLevelType w:val="multilevel"/>
    <w:tmpl w:val="484E3414"/>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31"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25" w15:restartNumberingAfterBreak="0">
    <w:nsid w:val="31036FD4"/>
    <w:multiLevelType w:val="hybridMultilevel"/>
    <w:tmpl w:val="57083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055214"/>
    <w:multiLevelType w:val="hybridMultilevel"/>
    <w:tmpl w:val="2B70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4938C8"/>
    <w:multiLevelType w:val="multilevel"/>
    <w:tmpl w:val="04744EFE"/>
    <w:lvl w:ilvl="0">
      <w:start w:val="1"/>
      <w:numFmt w:val="upperLetter"/>
      <w:lvlText w:val="%1."/>
      <w:lvlJc w:val="left"/>
      <w:pPr>
        <w:ind w:left="742" w:hanging="452"/>
      </w:pPr>
      <w:rPr>
        <w:rFonts w:ascii="Times New Roman" w:eastAsia="Times New Roman" w:hAnsi="Times New Roman" w:hint="default"/>
        <w:spacing w:val="-1"/>
        <w:sz w:val="24"/>
        <w:szCs w:val="24"/>
      </w:rPr>
    </w:lvl>
    <w:lvl w:ilvl="1">
      <w:start w:val="1"/>
      <w:numFmt w:val="decimal"/>
      <w:lvlText w:val="%1.%2"/>
      <w:lvlJc w:val="left"/>
      <w:pPr>
        <w:ind w:left="1371" w:hanging="629"/>
      </w:pPr>
      <w:rPr>
        <w:rFonts w:ascii="Times New Roman" w:eastAsia="Times New Roman" w:hAnsi="Times New Roman" w:hint="default"/>
        <w:spacing w:val="-1"/>
        <w:sz w:val="24"/>
        <w:szCs w:val="24"/>
      </w:rPr>
    </w:lvl>
    <w:lvl w:ilvl="2">
      <w:start w:val="1"/>
      <w:numFmt w:val="decimal"/>
      <w:lvlText w:val="%1.%2.%3"/>
      <w:lvlJc w:val="left"/>
      <w:pPr>
        <w:ind w:left="2091" w:hanging="720"/>
      </w:pPr>
      <w:rPr>
        <w:rFonts w:ascii="Times New Roman" w:eastAsia="Times New Roman" w:hAnsi="Times New Roman" w:hint="default"/>
        <w:spacing w:val="-1"/>
        <w:sz w:val="24"/>
        <w:szCs w:val="24"/>
      </w:rPr>
    </w:lvl>
    <w:lvl w:ilvl="3">
      <w:start w:val="1"/>
      <w:numFmt w:val="bullet"/>
      <w:lvlText w:val="•"/>
      <w:lvlJc w:val="left"/>
      <w:pPr>
        <w:ind w:left="2091" w:hanging="720"/>
      </w:pPr>
      <w:rPr>
        <w:rFonts w:hint="default"/>
      </w:rPr>
    </w:lvl>
    <w:lvl w:ilvl="4">
      <w:start w:val="1"/>
      <w:numFmt w:val="bullet"/>
      <w:lvlText w:val="•"/>
      <w:lvlJc w:val="left"/>
      <w:pPr>
        <w:ind w:left="3135" w:hanging="720"/>
      </w:pPr>
      <w:rPr>
        <w:rFonts w:hint="default"/>
      </w:rPr>
    </w:lvl>
    <w:lvl w:ilvl="5">
      <w:start w:val="1"/>
      <w:numFmt w:val="bullet"/>
      <w:lvlText w:val="•"/>
      <w:lvlJc w:val="left"/>
      <w:pPr>
        <w:ind w:left="4179" w:hanging="720"/>
      </w:pPr>
      <w:rPr>
        <w:rFonts w:hint="default"/>
      </w:rPr>
    </w:lvl>
    <w:lvl w:ilvl="6">
      <w:start w:val="1"/>
      <w:numFmt w:val="bullet"/>
      <w:lvlText w:val="•"/>
      <w:lvlJc w:val="left"/>
      <w:pPr>
        <w:ind w:left="5223" w:hanging="720"/>
      </w:pPr>
      <w:rPr>
        <w:rFonts w:hint="default"/>
      </w:rPr>
    </w:lvl>
    <w:lvl w:ilvl="7">
      <w:start w:val="1"/>
      <w:numFmt w:val="bullet"/>
      <w:lvlText w:val="•"/>
      <w:lvlJc w:val="left"/>
      <w:pPr>
        <w:ind w:left="6267" w:hanging="720"/>
      </w:pPr>
      <w:rPr>
        <w:rFonts w:hint="default"/>
      </w:rPr>
    </w:lvl>
    <w:lvl w:ilvl="8">
      <w:start w:val="1"/>
      <w:numFmt w:val="bullet"/>
      <w:lvlText w:val="•"/>
      <w:lvlJc w:val="left"/>
      <w:pPr>
        <w:ind w:left="7311" w:hanging="720"/>
      </w:pPr>
      <w:rPr>
        <w:rFonts w:hint="default"/>
      </w:rPr>
    </w:lvl>
  </w:abstractNum>
  <w:abstractNum w:abstractNumId="28" w15:restartNumberingAfterBreak="0">
    <w:nsid w:val="3E0A4A2D"/>
    <w:multiLevelType w:val="hybridMultilevel"/>
    <w:tmpl w:val="A98E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855F05"/>
    <w:multiLevelType w:val="multilevel"/>
    <w:tmpl w:val="E53E2A0A"/>
    <w:lvl w:ilvl="0">
      <w:start w:val="1"/>
      <w:numFmt w:val="upperLetter"/>
      <w:lvlText w:val="%1"/>
      <w:lvlJc w:val="left"/>
      <w:pPr>
        <w:ind w:left="851" w:hanging="720"/>
      </w:pPr>
      <w:rPr>
        <w:rFonts w:hint="default"/>
      </w:rPr>
    </w:lvl>
    <w:lvl w:ilvl="1">
      <w:start w:val="13"/>
      <w:numFmt w:val="decimal"/>
      <w:lvlText w:val="%1.%2"/>
      <w:lvlJc w:val="left"/>
      <w:pPr>
        <w:ind w:left="851" w:hanging="720"/>
      </w:pPr>
      <w:rPr>
        <w:rFonts w:ascii="Times New Roman" w:eastAsia="Times New Roman" w:hAnsi="Times New Roman" w:hint="default"/>
        <w:b/>
        <w:bCs/>
        <w:spacing w:val="-1"/>
        <w:sz w:val="24"/>
        <w:szCs w:val="24"/>
      </w:rPr>
    </w:lvl>
    <w:lvl w:ilvl="2">
      <w:start w:val="1"/>
      <w:numFmt w:val="bullet"/>
      <w:lvlText w:val="•"/>
      <w:lvlJc w:val="left"/>
      <w:pPr>
        <w:ind w:left="2608" w:hanging="720"/>
      </w:pPr>
      <w:rPr>
        <w:rFonts w:hint="default"/>
      </w:rPr>
    </w:lvl>
    <w:lvl w:ilvl="3">
      <w:start w:val="1"/>
      <w:numFmt w:val="bullet"/>
      <w:lvlText w:val="•"/>
      <w:lvlJc w:val="left"/>
      <w:pPr>
        <w:ind w:left="3487" w:hanging="720"/>
      </w:pPr>
      <w:rPr>
        <w:rFonts w:hint="default"/>
      </w:rPr>
    </w:lvl>
    <w:lvl w:ilvl="4">
      <w:start w:val="1"/>
      <w:numFmt w:val="bullet"/>
      <w:lvlText w:val="•"/>
      <w:lvlJc w:val="left"/>
      <w:pPr>
        <w:ind w:left="4366"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7003" w:hanging="720"/>
      </w:pPr>
      <w:rPr>
        <w:rFonts w:hint="default"/>
      </w:rPr>
    </w:lvl>
    <w:lvl w:ilvl="8">
      <w:start w:val="1"/>
      <w:numFmt w:val="bullet"/>
      <w:lvlText w:val="•"/>
      <w:lvlJc w:val="left"/>
      <w:pPr>
        <w:ind w:left="7882" w:hanging="720"/>
      </w:pPr>
      <w:rPr>
        <w:rFonts w:hint="default"/>
      </w:rPr>
    </w:lvl>
  </w:abstractNum>
  <w:abstractNum w:abstractNumId="30" w15:restartNumberingAfterBreak="0">
    <w:nsid w:val="41F64013"/>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31" w15:restartNumberingAfterBreak="0">
    <w:nsid w:val="426A2E01"/>
    <w:multiLevelType w:val="hybridMultilevel"/>
    <w:tmpl w:val="4DEA592C"/>
    <w:lvl w:ilvl="0" w:tplc="04090001">
      <w:start w:val="1"/>
      <w:numFmt w:val="bullet"/>
      <w:lvlText w:val=""/>
      <w:lvlJc w:val="left"/>
      <w:pPr>
        <w:ind w:left="459" w:hanging="360"/>
      </w:pPr>
      <w:rPr>
        <w:rFonts w:ascii="Symbol" w:hAnsi="Symbol" w:hint="default"/>
        <w:sz w:val="22"/>
        <w:szCs w:val="22"/>
      </w:rPr>
    </w:lvl>
    <w:lvl w:ilvl="1" w:tplc="E2660530">
      <w:start w:val="1"/>
      <w:numFmt w:val="bullet"/>
      <w:lvlText w:val="–"/>
      <w:lvlJc w:val="left"/>
      <w:pPr>
        <w:ind w:left="819" w:hanging="360"/>
      </w:pPr>
      <w:rPr>
        <w:rFonts w:ascii="Times New Roman" w:eastAsia="Times New Roman" w:hAnsi="Times New Roman" w:hint="default"/>
        <w:sz w:val="24"/>
        <w:szCs w:val="24"/>
      </w:rPr>
    </w:lvl>
    <w:lvl w:ilvl="2" w:tplc="45006EF6">
      <w:start w:val="1"/>
      <w:numFmt w:val="bullet"/>
      <w:lvlText w:val="•"/>
      <w:lvlJc w:val="left"/>
      <w:pPr>
        <w:ind w:left="1720" w:hanging="360"/>
      </w:pPr>
      <w:rPr>
        <w:rFonts w:hint="default"/>
      </w:rPr>
    </w:lvl>
    <w:lvl w:ilvl="3" w:tplc="301AE61A">
      <w:start w:val="1"/>
      <w:numFmt w:val="bullet"/>
      <w:lvlText w:val="•"/>
      <w:lvlJc w:val="left"/>
      <w:pPr>
        <w:ind w:left="2621" w:hanging="360"/>
      </w:pPr>
      <w:rPr>
        <w:rFonts w:hint="default"/>
      </w:rPr>
    </w:lvl>
    <w:lvl w:ilvl="4" w:tplc="286C39D2">
      <w:start w:val="1"/>
      <w:numFmt w:val="bullet"/>
      <w:lvlText w:val="•"/>
      <w:lvlJc w:val="left"/>
      <w:pPr>
        <w:ind w:left="3522" w:hanging="360"/>
      </w:pPr>
      <w:rPr>
        <w:rFonts w:hint="default"/>
      </w:rPr>
    </w:lvl>
    <w:lvl w:ilvl="5" w:tplc="91ACFC3E">
      <w:start w:val="1"/>
      <w:numFmt w:val="bullet"/>
      <w:lvlText w:val="•"/>
      <w:lvlJc w:val="left"/>
      <w:pPr>
        <w:ind w:left="4423" w:hanging="360"/>
      </w:pPr>
      <w:rPr>
        <w:rFonts w:hint="default"/>
      </w:rPr>
    </w:lvl>
    <w:lvl w:ilvl="6" w:tplc="86001248">
      <w:start w:val="1"/>
      <w:numFmt w:val="bullet"/>
      <w:lvlText w:val="•"/>
      <w:lvlJc w:val="left"/>
      <w:pPr>
        <w:ind w:left="5324" w:hanging="360"/>
      </w:pPr>
      <w:rPr>
        <w:rFonts w:hint="default"/>
      </w:rPr>
    </w:lvl>
    <w:lvl w:ilvl="7" w:tplc="CE34350C">
      <w:start w:val="1"/>
      <w:numFmt w:val="bullet"/>
      <w:lvlText w:val="•"/>
      <w:lvlJc w:val="left"/>
      <w:pPr>
        <w:ind w:left="6225" w:hanging="360"/>
      </w:pPr>
      <w:rPr>
        <w:rFonts w:hint="default"/>
      </w:rPr>
    </w:lvl>
    <w:lvl w:ilvl="8" w:tplc="749E2DD0">
      <w:start w:val="1"/>
      <w:numFmt w:val="bullet"/>
      <w:lvlText w:val="•"/>
      <w:lvlJc w:val="left"/>
      <w:pPr>
        <w:ind w:left="7126" w:hanging="360"/>
      </w:pPr>
      <w:rPr>
        <w:rFonts w:hint="default"/>
      </w:rPr>
    </w:lvl>
  </w:abstractNum>
  <w:abstractNum w:abstractNumId="32" w15:restartNumberingAfterBreak="0">
    <w:nsid w:val="42D94DD0"/>
    <w:multiLevelType w:val="hybridMultilevel"/>
    <w:tmpl w:val="65BC5FC2"/>
    <w:lvl w:ilvl="0" w:tplc="519EB3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4B7FD4"/>
    <w:multiLevelType w:val="hybridMultilevel"/>
    <w:tmpl w:val="8448661A"/>
    <w:lvl w:ilvl="0" w:tplc="8BC6BD0A">
      <w:start w:val="1"/>
      <w:numFmt w:val="decimal"/>
      <w:lvlText w:val="(%1)"/>
      <w:lvlJc w:val="left"/>
      <w:pPr>
        <w:ind w:left="191" w:hanging="339"/>
      </w:pPr>
      <w:rPr>
        <w:rFonts w:ascii="Times New Roman" w:eastAsia="Times New Roman" w:hAnsi="Times New Roman" w:hint="default"/>
        <w:spacing w:val="-1"/>
        <w:sz w:val="24"/>
        <w:szCs w:val="24"/>
      </w:rPr>
    </w:lvl>
    <w:lvl w:ilvl="1" w:tplc="BD028784">
      <w:start w:val="1"/>
      <w:numFmt w:val="bullet"/>
      <w:lvlText w:val="•"/>
      <w:lvlJc w:val="left"/>
      <w:pPr>
        <w:ind w:left="1271" w:hanging="360"/>
      </w:pPr>
      <w:rPr>
        <w:rFonts w:ascii="Times New Roman" w:eastAsia="Times New Roman" w:hAnsi="Times New Roman" w:hint="default"/>
        <w:sz w:val="22"/>
        <w:szCs w:val="22"/>
      </w:rPr>
    </w:lvl>
    <w:lvl w:ilvl="2" w:tplc="6FD6C2B4">
      <w:start w:val="1"/>
      <w:numFmt w:val="bullet"/>
      <w:lvlText w:val="•"/>
      <w:lvlJc w:val="left"/>
      <w:pPr>
        <w:ind w:left="2212" w:hanging="360"/>
      </w:pPr>
      <w:rPr>
        <w:rFonts w:hint="default"/>
      </w:rPr>
    </w:lvl>
    <w:lvl w:ilvl="3" w:tplc="27D22590">
      <w:start w:val="1"/>
      <w:numFmt w:val="bullet"/>
      <w:lvlText w:val="•"/>
      <w:lvlJc w:val="left"/>
      <w:pPr>
        <w:ind w:left="3153" w:hanging="360"/>
      </w:pPr>
      <w:rPr>
        <w:rFonts w:hint="default"/>
      </w:rPr>
    </w:lvl>
    <w:lvl w:ilvl="4" w:tplc="5C6857D2">
      <w:start w:val="1"/>
      <w:numFmt w:val="bullet"/>
      <w:lvlText w:val="•"/>
      <w:lvlJc w:val="left"/>
      <w:pPr>
        <w:ind w:left="4094" w:hanging="360"/>
      </w:pPr>
      <w:rPr>
        <w:rFonts w:hint="default"/>
      </w:rPr>
    </w:lvl>
    <w:lvl w:ilvl="5" w:tplc="7A92D396">
      <w:start w:val="1"/>
      <w:numFmt w:val="bullet"/>
      <w:lvlText w:val="•"/>
      <w:lvlJc w:val="left"/>
      <w:pPr>
        <w:ind w:left="5035" w:hanging="360"/>
      </w:pPr>
      <w:rPr>
        <w:rFonts w:hint="default"/>
      </w:rPr>
    </w:lvl>
    <w:lvl w:ilvl="6" w:tplc="C70A4748">
      <w:start w:val="1"/>
      <w:numFmt w:val="bullet"/>
      <w:lvlText w:val="•"/>
      <w:lvlJc w:val="left"/>
      <w:pPr>
        <w:ind w:left="5976" w:hanging="360"/>
      </w:pPr>
      <w:rPr>
        <w:rFonts w:hint="default"/>
      </w:rPr>
    </w:lvl>
    <w:lvl w:ilvl="7" w:tplc="0AC0D34E">
      <w:start w:val="1"/>
      <w:numFmt w:val="bullet"/>
      <w:lvlText w:val="•"/>
      <w:lvlJc w:val="left"/>
      <w:pPr>
        <w:ind w:left="6917" w:hanging="360"/>
      </w:pPr>
      <w:rPr>
        <w:rFonts w:hint="default"/>
      </w:rPr>
    </w:lvl>
    <w:lvl w:ilvl="8" w:tplc="E376C8BA">
      <w:start w:val="1"/>
      <w:numFmt w:val="bullet"/>
      <w:lvlText w:val="•"/>
      <w:lvlJc w:val="left"/>
      <w:pPr>
        <w:ind w:left="7858" w:hanging="360"/>
      </w:pPr>
      <w:rPr>
        <w:rFonts w:hint="default"/>
      </w:rPr>
    </w:lvl>
  </w:abstractNum>
  <w:abstractNum w:abstractNumId="34" w15:restartNumberingAfterBreak="0">
    <w:nsid w:val="46B54E4E"/>
    <w:multiLevelType w:val="hybridMultilevel"/>
    <w:tmpl w:val="A4D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5C1E73"/>
    <w:multiLevelType w:val="hybridMultilevel"/>
    <w:tmpl w:val="CBB2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9A0673"/>
    <w:multiLevelType w:val="hybridMultilevel"/>
    <w:tmpl w:val="80AA791E"/>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37" w15:restartNumberingAfterBreak="0">
    <w:nsid w:val="4CA63229"/>
    <w:multiLevelType w:val="hybridMultilevel"/>
    <w:tmpl w:val="1ECE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080E33"/>
    <w:multiLevelType w:val="multilevel"/>
    <w:tmpl w:val="50424FF4"/>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6"/>
      <w:numFmt w:val="decimal"/>
      <w:lvlText w:val="%1.%2.%3"/>
      <w:lvlJc w:val="left"/>
      <w:pPr>
        <w:ind w:left="1350" w:hanging="720"/>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abstractNum w:abstractNumId="39" w15:restartNumberingAfterBreak="0">
    <w:nsid w:val="54A87662"/>
    <w:multiLevelType w:val="multilevel"/>
    <w:tmpl w:val="BA143146"/>
    <w:lvl w:ilvl="0">
      <w:start w:val="2"/>
      <w:numFmt w:val="upperLetter"/>
      <w:lvlText w:val="%1."/>
      <w:lvlJc w:val="left"/>
      <w:pPr>
        <w:ind w:left="831" w:hanging="720"/>
      </w:pPr>
      <w:rPr>
        <w:rFonts w:ascii="Times New Roman" w:eastAsia="Times New Roman" w:hAnsi="Times New Roman" w:hint="default"/>
        <w:b/>
        <w:bCs/>
        <w:sz w:val="24"/>
        <w:szCs w:val="24"/>
      </w:rPr>
    </w:lvl>
    <w:lvl w:ilvl="1">
      <w:start w:val="2"/>
      <w:numFmt w:val="decimal"/>
      <w:lvlText w:val="%1.%2"/>
      <w:lvlJc w:val="left"/>
      <w:pPr>
        <w:ind w:left="831" w:hanging="720"/>
      </w:pPr>
      <w:rPr>
        <w:rFonts w:ascii="Times New Roman" w:eastAsia="Times New Roman" w:hAnsi="Times New Roman" w:hint="default"/>
        <w:b/>
        <w:bCs/>
        <w:sz w:val="24"/>
        <w:szCs w:val="24"/>
      </w:rPr>
    </w:lvl>
    <w:lvl w:ilvl="2">
      <w:start w:val="2"/>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0" w15:restartNumberingAfterBreak="0">
    <w:nsid w:val="54C41EB5"/>
    <w:multiLevelType w:val="multilevel"/>
    <w:tmpl w:val="5FEEAF80"/>
    <w:numStyleLink w:val="Exhibits"/>
  </w:abstractNum>
  <w:abstractNum w:abstractNumId="41" w15:restartNumberingAfterBreak="0">
    <w:nsid w:val="584B7792"/>
    <w:multiLevelType w:val="hybridMultilevel"/>
    <w:tmpl w:val="1A14C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545DEF"/>
    <w:multiLevelType w:val="hybridMultilevel"/>
    <w:tmpl w:val="AE26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F03DF7"/>
    <w:multiLevelType w:val="hybridMultilevel"/>
    <w:tmpl w:val="C142A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27E576A"/>
    <w:multiLevelType w:val="hybridMultilevel"/>
    <w:tmpl w:val="746C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FE2D0B"/>
    <w:multiLevelType w:val="multilevel"/>
    <w:tmpl w:val="AABC6532"/>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10"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6" w15:restartNumberingAfterBreak="0">
    <w:nsid w:val="6640024E"/>
    <w:multiLevelType w:val="hybridMultilevel"/>
    <w:tmpl w:val="2E1C354A"/>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47" w15:restartNumberingAfterBreak="0">
    <w:nsid w:val="76C778DF"/>
    <w:multiLevelType w:val="multilevel"/>
    <w:tmpl w:val="3216CB7E"/>
    <w:lvl w:ilvl="0">
      <w:start w:val="1"/>
      <w:numFmt w:val="upperLetter"/>
      <w:lvlText w:val="%1"/>
      <w:lvlJc w:val="left"/>
      <w:pPr>
        <w:ind w:left="831" w:hanging="720"/>
      </w:pPr>
      <w:rPr>
        <w:rFonts w:hint="default"/>
      </w:rPr>
    </w:lvl>
    <w:lvl w:ilvl="1">
      <w:start w:val="3"/>
      <w:numFmt w:val="decimal"/>
      <w:lvlText w:val="%1.%2"/>
      <w:lvlJc w:val="left"/>
      <w:pPr>
        <w:ind w:left="831" w:hanging="720"/>
      </w:pPr>
      <w:rPr>
        <w:rFonts w:ascii="Times New Roman" w:eastAsia="Times New Roman" w:hAnsi="Times New Roman" w:hint="default"/>
        <w:b/>
        <w:bCs/>
        <w:spacing w:val="-1"/>
        <w:sz w:val="24"/>
        <w:szCs w:val="24"/>
      </w:rPr>
    </w:lvl>
    <w:lvl w:ilvl="2">
      <w:start w:val="1"/>
      <w:numFmt w:val="bullet"/>
      <w:lvlText w:val="•"/>
      <w:lvlJc w:val="left"/>
      <w:pPr>
        <w:ind w:left="2596" w:hanging="720"/>
      </w:pPr>
      <w:rPr>
        <w:rFonts w:hint="default"/>
      </w:rPr>
    </w:lvl>
    <w:lvl w:ilvl="3">
      <w:start w:val="1"/>
      <w:numFmt w:val="bullet"/>
      <w:lvlText w:val="•"/>
      <w:lvlJc w:val="left"/>
      <w:pPr>
        <w:ind w:left="3479" w:hanging="720"/>
      </w:pPr>
      <w:rPr>
        <w:rFonts w:hint="default"/>
      </w:rPr>
    </w:lvl>
    <w:lvl w:ilvl="4">
      <w:start w:val="1"/>
      <w:numFmt w:val="bullet"/>
      <w:lvlText w:val="•"/>
      <w:lvlJc w:val="left"/>
      <w:pPr>
        <w:ind w:left="4362"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94" w:hanging="720"/>
      </w:pPr>
      <w:rPr>
        <w:rFonts w:hint="default"/>
      </w:rPr>
    </w:lvl>
  </w:abstractNum>
  <w:abstractNum w:abstractNumId="48" w15:restartNumberingAfterBreak="0">
    <w:nsid w:val="778A4A77"/>
    <w:multiLevelType w:val="hybridMultilevel"/>
    <w:tmpl w:val="E3F4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316"/>
    <w:multiLevelType w:val="multilevel"/>
    <w:tmpl w:val="45EAA21E"/>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1"/>
      <w:numFmt w:val="decimal"/>
      <w:lvlText w:val="%1.%2.%3"/>
      <w:lvlJc w:val="left"/>
      <w:pPr>
        <w:ind w:left="1350" w:hanging="720"/>
        <w:jc w:val="right"/>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num w:numId="1">
    <w:abstractNumId w:val="29"/>
  </w:num>
  <w:num w:numId="2">
    <w:abstractNumId w:val="17"/>
  </w:num>
  <w:num w:numId="3">
    <w:abstractNumId w:val="31"/>
  </w:num>
  <w:num w:numId="4">
    <w:abstractNumId w:val="47"/>
  </w:num>
  <w:num w:numId="5">
    <w:abstractNumId w:val="33"/>
  </w:num>
  <w:num w:numId="6">
    <w:abstractNumId w:val="49"/>
  </w:num>
  <w:num w:numId="7">
    <w:abstractNumId w:val="13"/>
  </w:num>
  <w:num w:numId="8">
    <w:abstractNumId w:val="27"/>
  </w:num>
  <w:num w:numId="9">
    <w:abstractNumId w:val="38"/>
  </w:num>
  <w:num w:numId="10">
    <w:abstractNumId w:val="41"/>
  </w:num>
  <w:num w:numId="11">
    <w:abstractNumId w:val="26"/>
  </w:num>
  <w:num w:numId="12">
    <w:abstractNumId w:val="42"/>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9"/>
    <w:lvlOverride w:ilvl="0">
      <w:startOverride w:val="1"/>
    </w:lvlOverride>
  </w:num>
  <w:num w:numId="25">
    <w:abstractNumId w:val="14"/>
  </w:num>
  <w:num w:numId="26">
    <w:abstractNumId w:val="23"/>
  </w:num>
  <w:num w:numId="27">
    <w:abstractNumId w:val="11"/>
  </w:num>
  <w:num w:numId="28">
    <w:abstractNumId w:val="30"/>
  </w:num>
  <w:num w:numId="29">
    <w:abstractNumId w:val="44"/>
  </w:num>
  <w:num w:numId="30">
    <w:abstractNumId w:val="19"/>
  </w:num>
  <w:num w:numId="31">
    <w:abstractNumId w:val="48"/>
  </w:num>
  <w:num w:numId="32">
    <w:abstractNumId w:val="20"/>
  </w:num>
  <w:num w:numId="33">
    <w:abstractNumId w:val="46"/>
  </w:num>
  <w:num w:numId="34">
    <w:abstractNumId w:val="36"/>
  </w:num>
  <w:num w:numId="35">
    <w:abstractNumId w:val="35"/>
  </w:num>
  <w:num w:numId="36">
    <w:abstractNumId w:val="34"/>
  </w:num>
  <w:num w:numId="37">
    <w:abstractNumId w:val="16"/>
  </w:num>
  <w:num w:numId="38">
    <w:abstractNumId w:val="10"/>
  </w:num>
  <w:num w:numId="39">
    <w:abstractNumId w:val="25"/>
  </w:num>
  <w:num w:numId="40">
    <w:abstractNumId w:val="45"/>
  </w:num>
  <w:num w:numId="41">
    <w:abstractNumId w:val="28"/>
  </w:num>
  <w:num w:numId="42">
    <w:abstractNumId w:val="39"/>
  </w:num>
  <w:num w:numId="43">
    <w:abstractNumId w:val="37"/>
  </w:num>
  <w:num w:numId="44">
    <w:abstractNumId w:val="22"/>
  </w:num>
  <w:num w:numId="45">
    <w:abstractNumId w:val="18"/>
  </w:num>
  <w:num w:numId="46">
    <w:abstractNumId w:val="40"/>
  </w:num>
  <w:num w:numId="47">
    <w:abstractNumId w:val="24"/>
  </w:num>
  <w:num w:numId="48">
    <w:abstractNumId w:val="43"/>
  </w:num>
  <w:num w:numId="49">
    <w:abstractNumId w:val="32"/>
  </w:num>
  <w:num w:numId="50">
    <w:abstractNumId w:val="15"/>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en-US" w:vendorID="64" w:dllVersion="0" w:nlCheck="1" w:checkStyle="1"/>
  <w:activeWritingStyle w:appName="MSWord" w:lang="en-US"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62"/>
    <w:rsid w:val="0000250A"/>
    <w:rsid w:val="000029E8"/>
    <w:rsid w:val="00002F3C"/>
    <w:rsid w:val="00003B74"/>
    <w:rsid w:val="0001718F"/>
    <w:rsid w:val="00027572"/>
    <w:rsid w:val="00037820"/>
    <w:rsid w:val="0004040B"/>
    <w:rsid w:val="00044100"/>
    <w:rsid w:val="00046CA0"/>
    <w:rsid w:val="00055502"/>
    <w:rsid w:val="0005695D"/>
    <w:rsid w:val="00064321"/>
    <w:rsid w:val="00064FE4"/>
    <w:rsid w:val="000664E3"/>
    <w:rsid w:val="00076237"/>
    <w:rsid w:val="00082EDB"/>
    <w:rsid w:val="00087D22"/>
    <w:rsid w:val="00091742"/>
    <w:rsid w:val="000942FC"/>
    <w:rsid w:val="000A2521"/>
    <w:rsid w:val="000A65EE"/>
    <w:rsid w:val="000B2101"/>
    <w:rsid w:val="000B2FB9"/>
    <w:rsid w:val="000B3961"/>
    <w:rsid w:val="000B51D0"/>
    <w:rsid w:val="000C04CA"/>
    <w:rsid w:val="000C14FD"/>
    <w:rsid w:val="000D0385"/>
    <w:rsid w:val="000D3F18"/>
    <w:rsid w:val="000E142B"/>
    <w:rsid w:val="000E352A"/>
    <w:rsid w:val="000F08AD"/>
    <w:rsid w:val="000F1814"/>
    <w:rsid w:val="00112681"/>
    <w:rsid w:val="00116B15"/>
    <w:rsid w:val="00116B8C"/>
    <w:rsid w:val="00117FA8"/>
    <w:rsid w:val="00131AA0"/>
    <w:rsid w:val="001368E6"/>
    <w:rsid w:val="00136A1D"/>
    <w:rsid w:val="00137E7A"/>
    <w:rsid w:val="001403E5"/>
    <w:rsid w:val="00144811"/>
    <w:rsid w:val="00145C52"/>
    <w:rsid w:val="00150F75"/>
    <w:rsid w:val="001563CF"/>
    <w:rsid w:val="00156971"/>
    <w:rsid w:val="00161A69"/>
    <w:rsid w:val="00166A7C"/>
    <w:rsid w:val="00166F38"/>
    <w:rsid w:val="00171B29"/>
    <w:rsid w:val="00172663"/>
    <w:rsid w:val="0017639B"/>
    <w:rsid w:val="001772B8"/>
    <w:rsid w:val="001A6466"/>
    <w:rsid w:val="001A79B5"/>
    <w:rsid w:val="001B30CA"/>
    <w:rsid w:val="001C0BD0"/>
    <w:rsid w:val="001C0F11"/>
    <w:rsid w:val="001C1EAC"/>
    <w:rsid w:val="001C3F80"/>
    <w:rsid w:val="001C7178"/>
    <w:rsid w:val="001D398B"/>
    <w:rsid w:val="001E7C0C"/>
    <w:rsid w:val="001F2DE8"/>
    <w:rsid w:val="001F4117"/>
    <w:rsid w:val="001F48E3"/>
    <w:rsid w:val="001F5A82"/>
    <w:rsid w:val="001F5E5E"/>
    <w:rsid w:val="00201FFA"/>
    <w:rsid w:val="00205907"/>
    <w:rsid w:val="00216D35"/>
    <w:rsid w:val="00222F3C"/>
    <w:rsid w:val="0022580F"/>
    <w:rsid w:val="00225895"/>
    <w:rsid w:val="00231F7E"/>
    <w:rsid w:val="00234805"/>
    <w:rsid w:val="0024247E"/>
    <w:rsid w:val="002451C9"/>
    <w:rsid w:val="00251BE0"/>
    <w:rsid w:val="00254E18"/>
    <w:rsid w:val="00265597"/>
    <w:rsid w:val="0026593B"/>
    <w:rsid w:val="0027273A"/>
    <w:rsid w:val="00272D0A"/>
    <w:rsid w:val="00273982"/>
    <w:rsid w:val="002814FC"/>
    <w:rsid w:val="00281F2E"/>
    <w:rsid w:val="00285D5B"/>
    <w:rsid w:val="00292251"/>
    <w:rsid w:val="002944F4"/>
    <w:rsid w:val="00294E0A"/>
    <w:rsid w:val="00295209"/>
    <w:rsid w:val="002A36D8"/>
    <w:rsid w:val="002A54E2"/>
    <w:rsid w:val="002C1698"/>
    <w:rsid w:val="002C53E8"/>
    <w:rsid w:val="002C74FC"/>
    <w:rsid w:val="002D12AE"/>
    <w:rsid w:val="002D32E7"/>
    <w:rsid w:val="002D4A7C"/>
    <w:rsid w:val="002E0958"/>
    <w:rsid w:val="002E1002"/>
    <w:rsid w:val="002E5542"/>
    <w:rsid w:val="003010C1"/>
    <w:rsid w:val="00306664"/>
    <w:rsid w:val="00306B83"/>
    <w:rsid w:val="00311AEB"/>
    <w:rsid w:val="00312068"/>
    <w:rsid w:val="003165CB"/>
    <w:rsid w:val="00316B58"/>
    <w:rsid w:val="00317EE0"/>
    <w:rsid w:val="00326653"/>
    <w:rsid w:val="00342B07"/>
    <w:rsid w:val="00343CB6"/>
    <w:rsid w:val="00350B3A"/>
    <w:rsid w:val="0035375F"/>
    <w:rsid w:val="00356A29"/>
    <w:rsid w:val="00360DD5"/>
    <w:rsid w:val="00362D12"/>
    <w:rsid w:val="00364871"/>
    <w:rsid w:val="00375086"/>
    <w:rsid w:val="00375DA7"/>
    <w:rsid w:val="00385BC9"/>
    <w:rsid w:val="00395F13"/>
    <w:rsid w:val="003A0401"/>
    <w:rsid w:val="003A5408"/>
    <w:rsid w:val="003A72CA"/>
    <w:rsid w:val="003A78E4"/>
    <w:rsid w:val="003B209C"/>
    <w:rsid w:val="003B54C8"/>
    <w:rsid w:val="003B63CF"/>
    <w:rsid w:val="003B6A28"/>
    <w:rsid w:val="003C649F"/>
    <w:rsid w:val="003C7A47"/>
    <w:rsid w:val="003D6169"/>
    <w:rsid w:val="003D78DE"/>
    <w:rsid w:val="003E0C1D"/>
    <w:rsid w:val="003E1A2A"/>
    <w:rsid w:val="003E5565"/>
    <w:rsid w:val="003E6CF8"/>
    <w:rsid w:val="003F202F"/>
    <w:rsid w:val="00404FE1"/>
    <w:rsid w:val="00410F0C"/>
    <w:rsid w:val="00415B85"/>
    <w:rsid w:val="0042073B"/>
    <w:rsid w:val="0042122A"/>
    <w:rsid w:val="00423DB3"/>
    <w:rsid w:val="004249AF"/>
    <w:rsid w:val="00431287"/>
    <w:rsid w:val="004332FC"/>
    <w:rsid w:val="004424A8"/>
    <w:rsid w:val="00442D7B"/>
    <w:rsid w:val="00444A2A"/>
    <w:rsid w:val="004459B7"/>
    <w:rsid w:val="00453D8C"/>
    <w:rsid w:val="004570D7"/>
    <w:rsid w:val="0046398D"/>
    <w:rsid w:val="00467147"/>
    <w:rsid w:val="00471944"/>
    <w:rsid w:val="00471C38"/>
    <w:rsid w:val="00471EF7"/>
    <w:rsid w:val="00477B2C"/>
    <w:rsid w:val="004829CE"/>
    <w:rsid w:val="00482DB4"/>
    <w:rsid w:val="004929CE"/>
    <w:rsid w:val="004956E0"/>
    <w:rsid w:val="00497223"/>
    <w:rsid w:val="004A5A52"/>
    <w:rsid w:val="004B41E9"/>
    <w:rsid w:val="004B749C"/>
    <w:rsid w:val="004C0F5F"/>
    <w:rsid w:val="004C1AD2"/>
    <w:rsid w:val="004C5D86"/>
    <w:rsid w:val="004C6402"/>
    <w:rsid w:val="004D4C71"/>
    <w:rsid w:val="004D6299"/>
    <w:rsid w:val="004D7AA3"/>
    <w:rsid w:val="004E4274"/>
    <w:rsid w:val="004E5EC1"/>
    <w:rsid w:val="004E618B"/>
    <w:rsid w:val="004F4517"/>
    <w:rsid w:val="004F5736"/>
    <w:rsid w:val="00507DAD"/>
    <w:rsid w:val="00510E99"/>
    <w:rsid w:val="0051155A"/>
    <w:rsid w:val="005158DA"/>
    <w:rsid w:val="0051759E"/>
    <w:rsid w:val="0052177D"/>
    <w:rsid w:val="005305A3"/>
    <w:rsid w:val="00530F4E"/>
    <w:rsid w:val="005316CE"/>
    <w:rsid w:val="00532655"/>
    <w:rsid w:val="0054259D"/>
    <w:rsid w:val="0054470E"/>
    <w:rsid w:val="0054590A"/>
    <w:rsid w:val="005464E4"/>
    <w:rsid w:val="00547C8C"/>
    <w:rsid w:val="00552A35"/>
    <w:rsid w:val="005576BA"/>
    <w:rsid w:val="0057193A"/>
    <w:rsid w:val="005734B7"/>
    <w:rsid w:val="00584879"/>
    <w:rsid w:val="00587AAE"/>
    <w:rsid w:val="00596937"/>
    <w:rsid w:val="005B31E4"/>
    <w:rsid w:val="005B3D40"/>
    <w:rsid w:val="005B4C3C"/>
    <w:rsid w:val="005B54D0"/>
    <w:rsid w:val="005C0523"/>
    <w:rsid w:val="005C241E"/>
    <w:rsid w:val="005D6226"/>
    <w:rsid w:val="005D64E0"/>
    <w:rsid w:val="005E2015"/>
    <w:rsid w:val="005E20E7"/>
    <w:rsid w:val="005E6445"/>
    <w:rsid w:val="005F006B"/>
    <w:rsid w:val="005F0264"/>
    <w:rsid w:val="005F7C62"/>
    <w:rsid w:val="0060526B"/>
    <w:rsid w:val="006106DD"/>
    <w:rsid w:val="0061211F"/>
    <w:rsid w:val="00620BCC"/>
    <w:rsid w:val="00621C2B"/>
    <w:rsid w:val="00624212"/>
    <w:rsid w:val="00633641"/>
    <w:rsid w:val="0063584D"/>
    <w:rsid w:val="0063765E"/>
    <w:rsid w:val="00637CE2"/>
    <w:rsid w:val="0064288C"/>
    <w:rsid w:val="0065061B"/>
    <w:rsid w:val="006525B7"/>
    <w:rsid w:val="00657500"/>
    <w:rsid w:val="00660515"/>
    <w:rsid w:val="006605D9"/>
    <w:rsid w:val="00662DD8"/>
    <w:rsid w:val="006659A4"/>
    <w:rsid w:val="0067400A"/>
    <w:rsid w:val="006745A7"/>
    <w:rsid w:val="00675621"/>
    <w:rsid w:val="00677440"/>
    <w:rsid w:val="006837C7"/>
    <w:rsid w:val="00684562"/>
    <w:rsid w:val="006851CA"/>
    <w:rsid w:val="006A1418"/>
    <w:rsid w:val="006A744C"/>
    <w:rsid w:val="006A791E"/>
    <w:rsid w:val="006A7DF5"/>
    <w:rsid w:val="006B6EC4"/>
    <w:rsid w:val="006C18D9"/>
    <w:rsid w:val="006C2360"/>
    <w:rsid w:val="006C3291"/>
    <w:rsid w:val="006C4365"/>
    <w:rsid w:val="006D1A0F"/>
    <w:rsid w:val="006D22BB"/>
    <w:rsid w:val="006E5F6A"/>
    <w:rsid w:val="006F30CA"/>
    <w:rsid w:val="006F3877"/>
    <w:rsid w:val="006F6B9C"/>
    <w:rsid w:val="006F71AC"/>
    <w:rsid w:val="007044A5"/>
    <w:rsid w:val="00712438"/>
    <w:rsid w:val="00714B8B"/>
    <w:rsid w:val="00716059"/>
    <w:rsid w:val="00721C79"/>
    <w:rsid w:val="00725E47"/>
    <w:rsid w:val="007273D6"/>
    <w:rsid w:val="00740CC5"/>
    <w:rsid w:val="007446C2"/>
    <w:rsid w:val="007575DB"/>
    <w:rsid w:val="00757B12"/>
    <w:rsid w:val="0076410B"/>
    <w:rsid w:val="007660DA"/>
    <w:rsid w:val="00771CF4"/>
    <w:rsid w:val="00775FD1"/>
    <w:rsid w:val="0078248D"/>
    <w:rsid w:val="007832D3"/>
    <w:rsid w:val="0079061E"/>
    <w:rsid w:val="00792CDF"/>
    <w:rsid w:val="007A0EF3"/>
    <w:rsid w:val="007A1926"/>
    <w:rsid w:val="007B0997"/>
    <w:rsid w:val="007B18AC"/>
    <w:rsid w:val="007C3DAD"/>
    <w:rsid w:val="007C41DC"/>
    <w:rsid w:val="007C57C0"/>
    <w:rsid w:val="007D0F9A"/>
    <w:rsid w:val="007D250B"/>
    <w:rsid w:val="007D2BCB"/>
    <w:rsid w:val="007D72D9"/>
    <w:rsid w:val="007D7E1C"/>
    <w:rsid w:val="007E0467"/>
    <w:rsid w:val="007E6373"/>
    <w:rsid w:val="007F11A7"/>
    <w:rsid w:val="00800A48"/>
    <w:rsid w:val="008020E0"/>
    <w:rsid w:val="008058E8"/>
    <w:rsid w:val="00815F28"/>
    <w:rsid w:val="008164C1"/>
    <w:rsid w:val="00817449"/>
    <w:rsid w:val="0082338B"/>
    <w:rsid w:val="008272E8"/>
    <w:rsid w:val="00833985"/>
    <w:rsid w:val="0083451D"/>
    <w:rsid w:val="00835A81"/>
    <w:rsid w:val="00847B4C"/>
    <w:rsid w:val="00855F5B"/>
    <w:rsid w:val="008605CE"/>
    <w:rsid w:val="00861657"/>
    <w:rsid w:val="008637A9"/>
    <w:rsid w:val="00864C2D"/>
    <w:rsid w:val="008762D3"/>
    <w:rsid w:val="0088042B"/>
    <w:rsid w:val="00883345"/>
    <w:rsid w:val="008862E2"/>
    <w:rsid w:val="00890EEB"/>
    <w:rsid w:val="00894A54"/>
    <w:rsid w:val="008A3D4D"/>
    <w:rsid w:val="008B082F"/>
    <w:rsid w:val="008B2E43"/>
    <w:rsid w:val="008B4060"/>
    <w:rsid w:val="008B5C12"/>
    <w:rsid w:val="008C7340"/>
    <w:rsid w:val="008C752D"/>
    <w:rsid w:val="008E022C"/>
    <w:rsid w:val="008E0CB6"/>
    <w:rsid w:val="008E2E6C"/>
    <w:rsid w:val="008E7FDA"/>
    <w:rsid w:val="008F60A1"/>
    <w:rsid w:val="0090108A"/>
    <w:rsid w:val="009079F0"/>
    <w:rsid w:val="009114EA"/>
    <w:rsid w:val="009132B6"/>
    <w:rsid w:val="0091605A"/>
    <w:rsid w:val="00925638"/>
    <w:rsid w:val="00941411"/>
    <w:rsid w:val="009452FB"/>
    <w:rsid w:val="00947C56"/>
    <w:rsid w:val="00954360"/>
    <w:rsid w:val="00961F42"/>
    <w:rsid w:val="00963206"/>
    <w:rsid w:val="0097032C"/>
    <w:rsid w:val="0097374A"/>
    <w:rsid w:val="00993CDC"/>
    <w:rsid w:val="00994D5F"/>
    <w:rsid w:val="009977C5"/>
    <w:rsid w:val="009A3E60"/>
    <w:rsid w:val="009B2CDA"/>
    <w:rsid w:val="009C08E1"/>
    <w:rsid w:val="009C1E93"/>
    <w:rsid w:val="009C34CC"/>
    <w:rsid w:val="009C4D98"/>
    <w:rsid w:val="009D1263"/>
    <w:rsid w:val="009D254F"/>
    <w:rsid w:val="009E318F"/>
    <w:rsid w:val="009E697B"/>
    <w:rsid w:val="009F7A6C"/>
    <w:rsid w:val="00A023FE"/>
    <w:rsid w:val="00A13A20"/>
    <w:rsid w:val="00A21684"/>
    <w:rsid w:val="00A3715A"/>
    <w:rsid w:val="00A54505"/>
    <w:rsid w:val="00A571A6"/>
    <w:rsid w:val="00A62CFB"/>
    <w:rsid w:val="00A65414"/>
    <w:rsid w:val="00A7161E"/>
    <w:rsid w:val="00A75EE4"/>
    <w:rsid w:val="00A766D4"/>
    <w:rsid w:val="00A768DA"/>
    <w:rsid w:val="00A77014"/>
    <w:rsid w:val="00A8313E"/>
    <w:rsid w:val="00A84C0E"/>
    <w:rsid w:val="00A851BB"/>
    <w:rsid w:val="00A97321"/>
    <w:rsid w:val="00A97C5A"/>
    <w:rsid w:val="00AA1470"/>
    <w:rsid w:val="00AA2131"/>
    <w:rsid w:val="00AA3A35"/>
    <w:rsid w:val="00AA7262"/>
    <w:rsid w:val="00AA7CF0"/>
    <w:rsid w:val="00AB54A1"/>
    <w:rsid w:val="00AC0BC4"/>
    <w:rsid w:val="00AC164E"/>
    <w:rsid w:val="00AC1725"/>
    <w:rsid w:val="00AC5A4D"/>
    <w:rsid w:val="00AC6703"/>
    <w:rsid w:val="00AD2005"/>
    <w:rsid w:val="00AD424C"/>
    <w:rsid w:val="00AE00A2"/>
    <w:rsid w:val="00AF30C6"/>
    <w:rsid w:val="00AF6A56"/>
    <w:rsid w:val="00AF6F8A"/>
    <w:rsid w:val="00B05394"/>
    <w:rsid w:val="00B07C35"/>
    <w:rsid w:val="00B10FAF"/>
    <w:rsid w:val="00B165EA"/>
    <w:rsid w:val="00B1728D"/>
    <w:rsid w:val="00B228E7"/>
    <w:rsid w:val="00B22ECD"/>
    <w:rsid w:val="00B25E73"/>
    <w:rsid w:val="00B27628"/>
    <w:rsid w:val="00B35967"/>
    <w:rsid w:val="00B42920"/>
    <w:rsid w:val="00B44820"/>
    <w:rsid w:val="00B45A35"/>
    <w:rsid w:val="00B5255A"/>
    <w:rsid w:val="00B52A03"/>
    <w:rsid w:val="00B5495D"/>
    <w:rsid w:val="00B565A3"/>
    <w:rsid w:val="00B56936"/>
    <w:rsid w:val="00B6434C"/>
    <w:rsid w:val="00B65F06"/>
    <w:rsid w:val="00B72007"/>
    <w:rsid w:val="00B74BF6"/>
    <w:rsid w:val="00BA1A0D"/>
    <w:rsid w:val="00BA650B"/>
    <w:rsid w:val="00BB27CC"/>
    <w:rsid w:val="00BB4FD6"/>
    <w:rsid w:val="00BB6687"/>
    <w:rsid w:val="00BB670B"/>
    <w:rsid w:val="00BB6BD2"/>
    <w:rsid w:val="00BC3483"/>
    <w:rsid w:val="00BC5012"/>
    <w:rsid w:val="00BD12A2"/>
    <w:rsid w:val="00BD18CA"/>
    <w:rsid w:val="00BD4727"/>
    <w:rsid w:val="00BD77E3"/>
    <w:rsid w:val="00BE2258"/>
    <w:rsid w:val="00BE2F63"/>
    <w:rsid w:val="00C0155F"/>
    <w:rsid w:val="00C051EE"/>
    <w:rsid w:val="00C11C4D"/>
    <w:rsid w:val="00C12A0B"/>
    <w:rsid w:val="00C20E4A"/>
    <w:rsid w:val="00C327C7"/>
    <w:rsid w:val="00C42509"/>
    <w:rsid w:val="00C44203"/>
    <w:rsid w:val="00C45A91"/>
    <w:rsid w:val="00C45DDE"/>
    <w:rsid w:val="00C477C6"/>
    <w:rsid w:val="00C477F1"/>
    <w:rsid w:val="00C71E32"/>
    <w:rsid w:val="00C75A66"/>
    <w:rsid w:val="00C80534"/>
    <w:rsid w:val="00CA0C5D"/>
    <w:rsid w:val="00CA1752"/>
    <w:rsid w:val="00CA6A6E"/>
    <w:rsid w:val="00CC1419"/>
    <w:rsid w:val="00CC2CFE"/>
    <w:rsid w:val="00CC7F21"/>
    <w:rsid w:val="00CD065F"/>
    <w:rsid w:val="00CD7B4A"/>
    <w:rsid w:val="00CE0C6A"/>
    <w:rsid w:val="00CE2DB6"/>
    <w:rsid w:val="00CE7F0B"/>
    <w:rsid w:val="00CF1483"/>
    <w:rsid w:val="00CF2CBC"/>
    <w:rsid w:val="00CF400B"/>
    <w:rsid w:val="00CF50EE"/>
    <w:rsid w:val="00D028C1"/>
    <w:rsid w:val="00D04A9F"/>
    <w:rsid w:val="00D04F40"/>
    <w:rsid w:val="00D16F1F"/>
    <w:rsid w:val="00D1769B"/>
    <w:rsid w:val="00D228B7"/>
    <w:rsid w:val="00D254EE"/>
    <w:rsid w:val="00D33E09"/>
    <w:rsid w:val="00D4426B"/>
    <w:rsid w:val="00D478A8"/>
    <w:rsid w:val="00D47AE8"/>
    <w:rsid w:val="00D545F3"/>
    <w:rsid w:val="00D60196"/>
    <w:rsid w:val="00D60583"/>
    <w:rsid w:val="00D61C97"/>
    <w:rsid w:val="00D7134C"/>
    <w:rsid w:val="00D73FD5"/>
    <w:rsid w:val="00D85E24"/>
    <w:rsid w:val="00D97C87"/>
    <w:rsid w:val="00DA115A"/>
    <w:rsid w:val="00DA162B"/>
    <w:rsid w:val="00DA35D8"/>
    <w:rsid w:val="00DA5CEA"/>
    <w:rsid w:val="00DB4EC1"/>
    <w:rsid w:val="00DB4FE0"/>
    <w:rsid w:val="00DC3D23"/>
    <w:rsid w:val="00DC455B"/>
    <w:rsid w:val="00DC695A"/>
    <w:rsid w:val="00DD0BD3"/>
    <w:rsid w:val="00DD594E"/>
    <w:rsid w:val="00DD697E"/>
    <w:rsid w:val="00DE274B"/>
    <w:rsid w:val="00DE309C"/>
    <w:rsid w:val="00DE46B8"/>
    <w:rsid w:val="00DE5FD4"/>
    <w:rsid w:val="00DF0BB5"/>
    <w:rsid w:val="00DF459A"/>
    <w:rsid w:val="00DF681C"/>
    <w:rsid w:val="00E042FA"/>
    <w:rsid w:val="00E10963"/>
    <w:rsid w:val="00E1296F"/>
    <w:rsid w:val="00E170C6"/>
    <w:rsid w:val="00E206CF"/>
    <w:rsid w:val="00E515C6"/>
    <w:rsid w:val="00E551F5"/>
    <w:rsid w:val="00E563AB"/>
    <w:rsid w:val="00E60674"/>
    <w:rsid w:val="00E623E5"/>
    <w:rsid w:val="00E668D4"/>
    <w:rsid w:val="00E70F4E"/>
    <w:rsid w:val="00E738BA"/>
    <w:rsid w:val="00E76881"/>
    <w:rsid w:val="00E829AB"/>
    <w:rsid w:val="00E82BB4"/>
    <w:rsid w:val="00E84D52"/>
    <w:rsid w:val="00E92358"/>
    <w:rsid w:val="00EA033D"/>
    <w:rsid w:val="00EA2953"/>
    <w:rsid w:val="00EA65F2"/>
    <w:rsid w:val="00EA6682"/>
    <w:rsid w:val="00EA6941"/>
    <w:rsid w:val="00EB0851"/>
    <w:rsid w:val="00EB1571"/>
    <w:rsid w:val="00EB3A35"/>
    <w:rsid w:val="00EB45B8"/>
    <w:rsid w:val="00EC15F5"/>
    <w:rsid w:val="00EC4312"/>
    <w:rsid w:val="00ED010C"/>
    <w:rsid w:val="00ED3B99"/>
    <w:rsid w:val="00ED56C2"/>
    <w:rsid w:val="00EE2674"/>
    <w:rsid w:val="00EE2FC0"/>
    <w:rsid w:val="00EE4B16"/>
    <w:rsid w:val="00EF0696"/>
    <w:rsid w:val="00EF1A29"/>
    <w:rsid w:val="00EF6D40"/>
    <w:rsid w:val="00F06D44"/>
    <w:rsid w:val="00F07079"/>
    <w:rsid w:val="00F2262F"/>
    <w:rsid w:val="00F22C36"/>
    <w:rsid w:val="00F2446E"/>
    <w:rsid w:val="00F24484"/>
    <w:rsid w:val="00F305C3"/>
    <w:rsid w:val="00F31DD9"/>
    <w:rsid w:val="00F3270F"/>
    <w:rsid w:val="00F32C6E"/>
    <w:rsid w:val="00F3429E"/>
    <w:rsid w:val="00F4319F"/>
    <w:rsid w:val="00F534EC"/>
    <w:rsid w:val="00F53AD1"/>
    <w:rsid w:val="00F571B9"/>
    <w:rsid w:val="00F61AB5"/>
    <w:rsid w:val="00F62745"/>
    <w:rsid w:val="00F62C3D"/>
    <w:rsid w:val="00F64691"/>
    <w:rsid w:val="00F6477F"/>
    <w:rsid w:val="00F674DE"/>
    <w:rsid w:val="00F71705"/>
    <w:rsid w:val="00F72F8D"/>
    <w:rsid w:val="00F743C3"/>
    <w:rsid w:val="00F74AB0"/>
    <w:rsid w:val="00F77F72"/>
    <w:rsid w:val="00F80856"/>
    <w:rsid w:val="00F81EB2"/>
    <w:rsid w:val="00F869CD"/>
    <w:rsid w:val="00F905DA"/>
    <w:rsid w:val="00F92193"/>
    <w:rsid w:val="00F95C17"/>
    <w:rsid w:val="00F95EE3"/>
    <w:rsid w:val="00F96CF0"/>
    <w:rsid w:val="00FB45EB"/>
    <w:rsid w:val="00FB694C"/>
    <w:rsid w:val="00FB6BC3"/>
    <w:rsid w:val="00FB7EF1"/>
    <w:rsid w:val="00FC2B29"/>
    <w:rsid w:val="00FC790A"/>
    <w:rsid w:val="00FC7D56"/>
    <w:rsid w:val="00FD6C7A"/>
    <w:rsid w:val="00FD7C77"/>
    <w:rsid w:val="00FE0287"/>
    <w:rsid w:val="00FE1F34"/>
    <w:rsid w:val="00FE5549"/>
    <w:rsid w:val="00FE5EC1"/>
    <w:rsid w:val="00FE62A2"/>
    <w:rsid w:val="00FF1049"/>
    <w:rsid w:val="00FF1C43"/>
    <w:rsid w:val="00FF1CE2"/>
    <w:rsid w:val="00FF2E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0C757"/>
  <w15:docId w15:val="{9B871323-1FA4-4850-BEEF-82FD3244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1"/>
    <w:qFormat/>
    <w:rsid w:val="00E170C6"/>
    <w:pPr>
      <w:widowControl/>
    </w:pPr>
    <w:rPr>
      <w:rFonts w:ascii="Times New Roman" w:hAnsi="Times New Roman"/>
      <w:sz w:val="24"/>
    </w:rPr>
  </w:style>
  <w:style w:type="paragraph" w:styleId="Heading1">
    <w:name w:val="heading 1"/>
    <w:basedOn w:val="Normal"/>
    <w:link w:val="Heading1Char"/>
    <w:uiPriority w:val="1"/>
    <w:qFormat/>
    <w:rsid w:val="00E170C6"/>
    <w:pPr>
      <w:keepNext/>
      <w:spacing w:after="240"/>
      <w:ind w:left="720" w:hanging="720"/>
      <w:outlineLvl w:val="0"/>
    </w:pPr>
    <w:rPr>
      <w:rFonts w:ascii="Times New Roman Bold" w:eastAsia="Times New Roman" w:hAnsi="Times New Roman Bold"/>
      <w:b/>
      <w:bCs/>
      <w:caps/>
      <w:szCs w:val="24"/>
    </w:rPr>
  </w:style>
  <w:style w:type="paragraph" w:styleId="Heading2">
    <w:name w:val="heading 2"/>
    <w:basedOn w:val="Normal"/>
    <w:next w:val="Normal"/>
    <w:link w:val="Heading2Char"/>
    <w:uiPriority w:val="9"/>
    <w:unhideWhenUsed/>
    <w:qFormat/>
    <w:rsid w:val="00E170C6"/>
    <w:pPr>
      <w:keepNext/>
      <w:keepLines/>
      <w:spacing w:before="240" w:after="240"/>
      <w:ind w:left="720"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0E99"/>
    <w:pPr>
      <w:keepNext/>
      <w:keepLines/>
      <w:spacing w:before="240" w:after="240"/>
      <w:ind w:left="720" w:hanging="720"/>
      <w:outlineLvl w:val="2"/>
    </w:pPr>
    <w:rPr>
      <w:rFonts w:eastAsiaTheme="majorEastAsia" w:cstheme="majorBidi"/>
      <w:b/>
      <w:i/>
      <w:color w:val="243F60" w:themeColor="accent1" w:themeShade="7F"/>
      <w:szCs w:val="24"/>
    </w:rPr>
  </w:style>
  <w:style w:type="paragraph" w:styleId="Heading4">
    <w:name w:val="heading 4"/>
    <w:basedOn w:val="Normal"/>
    <w:next w:val="Normal"/>
    <w:link w:val="Heading4Char"/>
    <w:uiPriority w:val="9"/>
    <w:unhideWhenUsed/>
    <w:qFormat/>
    <w:rsid w:val="00E170C6"/>
    <w:pPr>
      <w:keepNext/>
      <w:keepLines/>
      <w:spacing w:before="120" w:after="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A162B"/>
    <w:pPr>
      <w:spacing w:before="120" w:after="120"/>
      <w:ind w:left="742" w:hanging="451"/>
    </w:pPr>
    <w:rPr>
      <w:rFonts w:eastAsia="Times New Roman"/>
      <w:b/>
      <w:szCs w:val="24"/>
    </w:rPr>
  </w:style>
  <w:style w:type="paragraph" w:styleId="TOC2">
    <w:name w:val="toc 2"/>
    <w:basedOn w:val="Normal"/>
    <w:uiPriority w:val="39"/>
    <w:qFormat/>
    <w:rsid w:val="00DA162B"/>
    <w:pPr>
      <w:ind w:left="1371" w:hanging="629"/>
    </w:pPr>
    <w:rPr>
      <w:rFonts w:eastAsia="Times New Roman"/>
      <w:szCs w:val="24"/>
    </w:rPr>
  </w:style>
  <w:style w:type="paragraph" w:styleId="TOC3">
    <w:name w:val="toc 3"/>
    <w:basedOn w:val="Normal"/>
    <w:uiPriority w:val="39"/>
    <w:qFormat/>
    <w:rsid w:val="00DA162B"/>
    <w:pPr>
      <w:ind w:left="2091" w:hanging="720"/>
    </w:pPr>
    <w:rPr>
      <w:rFonts w:eastAsia="Times New Roman"/>
      <w:szCs w:val="24"/>
    </w:rPr>
  </w:style>
  <w:style w:type="paragraph" w:styleId="BodyText">
    <w:name w:val="Body Text"/>
    <w:basedOn w:val="Normal"/>
    <w:link w:val="BodyTextChar"/>
    <w:uiPriority w:val="1"/>
    <w:qFormat/>
    <w:rsid w:val="00172663"/>
    <w:pPr>
      <w:spacing w:after="120" w:line="360" w:lineRule="auto"/>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0196"/>
    <w:rPr>
      <w:color w:val="0000FF" w:themeColor="hyperlink"/>
      <w:u w:val="single"/>
    </w:rPr>
  </w:style>
  <w:style w:type="character" w:styleId="CommentReference">
    <w:name w:val="annotation reference"/>
    <w:basedOn w:val="DefaultParagraphFont"/>
    <w:unhideWhenUsed/>
    <w:rsid w:val="008C752D"/>
    <w:rPr>
      <w:sz w:val="16"/>
      <w:szCs w:val="16"/>
    </w:rPr>
  </w:style>
  <w:style w:type="paragraph" w:styleId="CommentText">
    <w:name w:val="annotation text"/>
    <w:basedOn w:val="Normal"/>
    <w:link w:val="CommentTextChar"/>
    <w:unhideWhenUsed/>
    <w:rsid w:val="008C752D"/>
    <w:rPr>
      <w:sz w:val="20"/>
      <w:szCs w:val="20"/>
    </w:rPr>
  </w:style>
  <w:style w:type="character" w:customStyle="1" w:styleId="CommentTextChar">
    <w:name w:val="Comment Text Char"/>
    <w:basedOn w:val="DefaultParagraphFont"/>
    <w:link w:val="CommentText"/>
    <w:rsid w:val="008C752D"/>
    <w:rPr>
      <w:sz w:val="20"/>
      <w:szCs w:val="20"/>
    </w:rPr>
  </w:style>
  <w:style w:type="paragraph" w:styleId="CommentSubject">
    <w:name w:val="annotation subject"/>
    <w:basedOn w:val="CommentText"/>
    <w:next w:val="CommentText"/>
    <w:link w:val="CommentSubjectChar"/>
    <w:uiPriority w:val="99"/>
    <w:semiHidden/>
    <w:unhideWhenUsed/>
    <w:rsid w:val="008C752D"/>
    <w:rPr>
      <w:b/>
      <w:bCs/>
    </w:rPr>
  </w:style>
  <w:style w:type="character" w:customStyle="1" w:styleId="CommentSubjectChar">
    <w:name w:val="Comment Subject Char"/>
    <w:basedOn w:val="CommentTextChar"/>
    <w:link w:val="CommentSubject"/>
    <w:uiPriority w:val="99"/>
    <w:semiHidden/>
    <w:rsid w:val="008C752D"/>
    <w:rPr>
      <w:b/>
      <w:bCs/>
      <w:sz w:val="20"/>
      <w:szCs w:val="20"/>
    </w:rPr>
  </w:style>
  <w:style w:type="paragraph" w:styleId="BalloonText">
    <w:name w:val="Balloon Text"/>
    <w:basedOn w:val="Normal"/>
    <w:link w:val="BalloonTextChar"/>
    <w:uiPriority w:val="99"/>
    <w:semiHidden/>
    <w:unhideWhenUsed/>
    <w:rsid w:val="008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2D"/>
    <w:rPr>
      <w:rFonts w:ascii="Segoe UI" w:hAnsi="Segoe UI" w:cs="Segoe UI"/>
      <w:sz w:val="18"/>
      <w:szCs w:val="18"/>
    </w:rPr>
  </w:style>
  <w:style w:type="character" w:styleId="FollowedHyperlink">
    <w:name w:val="FollowedHyperlink"/>
    <w:basedOn w:val="DefaultParagraphFont"/>
    <w:uiPriority w:val="99"/>
    <w:semiHidden/>
    <w:unhideWhenUsed/>
    <w:rsid w:val="00A571A6"/>
    <w:rPr>
      <w:color w:val="800080" w:themeColor="followedHyperlink"/>
      <w:u w:val="single"/>
    </w:rPr>
  </w:style>
  <w:style w:type="paragraph" w:styleId="HTMLPreformatted">
    <w:name w:val="HTML Preformatted"/>
    <w:basedOn w:val="Normal"/>
    <w:link w:val="HTMLPreformattedChar"/>
    <w:uiPriority w:val="99"/>
    <w:semiHidden/>
    <w:unhideWhenUsed/>
    <w:rsid w:val="00A5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1A6"/>
    <w:rPr>
      <w:rFonts w:ascii="Courier New" w:eastAsia="Times New Roman" w:hAnsi="Courier New" w:cs="Courier New"/>
      <w:sz w:val="20"/>
      <w:szCs w:val="20"/>
    </w:rPr>
  </w:style>
  <w:style w:type="paragraph" w:customStyle="1" w:styleId="statutory-body-1em">
    <w:name w:val="statutory-body-1em"/>
    <w:basedOn w:val="Normal"/>
    <w:rsid w:val="009A3E60"/>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510E99"/>
    <w:pPr>
      <w:ind w:left="187" w:hanging="187"/>
    </w:pPr>
    <w:rPr>
      <w:sz w:val="20"/>
      <w:szCs w:val="20"/>
    </w:rPr>
  </w:style>
  <w:style w:type="character" w:customStyle="1" w:styleId="FootnoteTextChar">
    <w:name w:val="Footnote Text Char"/>
    <w:basedOn w:val="DefaultParagraphFont"/>
    <w:link w:val="FootnoteText"/>
    <w:uiPriority w:val="99"/>
    <w:rsid w:val="00510E99"/>
    <w:rPr>
      <w:rFonts w:ascii="Times New Roman" w:hAnsi="Times New Roman"/>
      <w:sz w:val="20"/>
      <w:szCs w:val="20"/>
    </w:rPr>
  </w:style>
  <w:style w:type="character" w:styleId="FootnoteReference">
    <w:name w:val="footnote reference"/>
    <w:basedOn w:val="DefaultParagraphFont"/>
    <w:uiPriority w:val="99"/>
    <w:unhideWhenUsed/>
    <w:rsid w:val="000F08AD"/>
    <w:rPr>
      <w:vertAlign w:val="superscript"/>
    </w:rPr>
  </w:style>
  <w:style w:type="paragraph" w:styleId="Caption">
    <w:name w:val="caption"/>
    <w:basedOn w:val="Normal"/>
    <w:next w:val="Normal"/>
    <w:uiPriority w:val="35"/>
    <w:unhideWhenUsed/>
    <w:qFormat/>
    <w:rsid w:val="00B10FAF"/>
    <w:pPr>
      <w:keepNext/>
      <w:spacing w:before="240" w:after="120"/>
    </w:pPr>
    <w:rPr>
      <w:b/>
      <w:iCs/>
      <w:color w:val="1F497D" w:themeColor="text2"/>
      <w:szCs w:val="18"/>
    </w:rPr>
  </w:style>
  <w:style w:type="character" w:customStyle="1" w:styleId="Heading1Char">
    <w:name w:val="Heading 1 Char"/>
    <w:basedOn w:val="DefaultParagraphFont"/>
    <w:link w:val="Heading1"/>
    <w:uiPriority w:val="1"/>
    <w:rsid w:val="00E170C6"/>
    <w:rPr>
      <w:rFonts w:ascii="Times New Roman Bold" w:eastAsia="Times New Roman" w:hAnsi="Times New Roman Bold"/>
      <w:b/>
      <w:bCs/>
      <w:caps/>
      <w:sz w:val="24"/>
      <w:szCs w:val="24"/>
    </w:rPr>
  </w:style>
  <w:style w:type="character" w:customStyle="1" w:styleId="BodyTextChar">
    <w:name w:val="Body Text Char"/>
    <w:basedOn w:val="DefaultParagraphFont"/>
    <w:link w:val="BodyText"/>
    <w:uiPriority w:val="1"/>
    <w:rsid w:val="00172663"/>
    <w:rPr>
      <w:rFonts w:ascii="Times New Roman" w:eastAsia="Times New Roman" w:hAnsi="Times New Roman"/>
      <w:sz w:val="24"/>
      <w:szCs w:val="24"/>
    </w:rPr>
  </w:style>
  <w:style w:type="paragraph" w:styleId="Revision">
    <w:name w:val="Revision"/>
    <w:hidden/>
    <w:uiPriority w:val="99"/>
    <w:semiHidden/>
    <w:rsid w:val="00ED010C"/>
    <w:pPr>
      <w:widowControl/>
    </w:pPr>
  </w:style>
  <w:style w:type="character" w:customStyle="1" w:styleId="Mention1">
    <w:name w:val="Mention1"/>
    <w:basedOn w:val="DefaultParagraphFont"/>
    <w:uiPriority w:val="99"/>
    <w:semiHidden/>
    <w:unhideWhenUsed/>
    <w:rsid w:val="00E206CF"/>
    <w:rPr>
      <w:color w:val="2B579A"/>
      <w:shd w:val="clear" w:color="auto" w:fill="E6E6E6"/>
    </w:rPr>
  </w:style>
  <w:style w:type="paragraph" w:styleId="Header">
    <w:name w:val="header"/>
    <w:basedOn w:val="Normal"/>
    <w:link w:val="HeaderChar"/>
    <w:uiPriority w:val="99"/>
    <w:unhideWhenUsed/>
    <w:rsid w:val="00E206CF"/>
    <w:pPr>
      <w:tabs>
        <w:tab w:val="center" w:pos="4680"/>
        <w:tab w:val="right" w:pos="9360"/>
      </w:tabs>
    </w:pPr>
  </w:style>
  <w:style w:type="character" w:customStyle="1" w:styleId="HeaderChar">
    <w:name w:val="Header Char"/>
    <w:basedOn w:val="DefaultParagraphFont"/>
    <w:link w:val="Header"/>
    <w:uiPriority w:val="99"/>
    <w:rsid w:val="00E206CF"/>
  </w:style>
  <w:style w:type="paragraph" w:styleId="Footer">
    <w:name w:val="footer"/>
    <w:basedOn w:val="Normal"/>
    <w:link w:val="FooterChar"/>
    <w:uiPriority w:val="99"/>
    <w:unhideWhenUsed/>
    <w:rsid w:val="00E206CF"/>
    <w:pPr>
      <w:tabs>
        <w:tab w:val="center" w:pos="4680"/>
        <w:tab w:val="right" w:pos="9360"/>
      </w:tabs>
    </w:pPr>
  </w:style>
  <w:style w:type="character" w:customStyle="1" w:styleId="FooterChar">
    <w:name w:val="Footer Char"/>
    <w:basedOn w:val="DefaultParagraphFont"/>
    <w:link w:val="Footer"/>
    <w:uiPriority w:val="99"/>
    <w:rsid w:val="00E206CF"/>
  </w:style>
  <w:style w:type="character" w:customStyle="1" w:styleId="Heading2Char">
    <w:name w:val="Heading 2 Char"/>
    <w:basedOn w:val="DefaultParagraphFont"/>
    <w:link w:val="Heading2"/>
    <w:uiPriority w:val="9"/>
    <w:rsid w:val="00E170C6"/>
    <w:rPr>
      <w:rFonts w:ascii="Times New Roman" w:eastAsiaTheme="majorEastAsia" w:hAnsi="Times New Roman" w:cstheme="majorBidi"/>
      <w:b/>
      <w:sz w:val="24"/>
      <w:szCs w:val="26"/>
    </w:rPr>
  </w:style>
  <w:style w:type="paragraph" w:styleId="ListBullet">
    <w:name w:val="List Bullet"/>
    <w:basedOn w:val="Normal"/>
    <w:uiPriority w:val="99"/>
    <w:unhideWhenUsed/>
    <w:rsid w:val="00E170C6"/>
    <w:pPr>
      <w:numPr>
        <w:numId w:val="14"/>
      </w:numPr>
      <w:spacing w:after="120"/>
    </w:pPr>
  </w:style>
  <w:style w:type="paragraph" w:styleId="BodyTextIndent">
    <w:name w:val="Body Text Indent"/>
    <w:basedOn w:val="Normal"/>
    <w:link w:val="BodyTextIndentChar"/>
    <w:uiPriority w:val="99"/>
    <w:unhideWhenUsed/>
    <w:rsid w:val="00510E99"/>
    <w:pPr>
      <w:spacing w:after="120"/>
      <w:ind w:left="720"/>
    </w:pPr>
  </w:style>
  <w:style w:type="character" w:customStyle="1" w:styleId="BodyTextIndentChar">
    <w:name w:val="Body Text Indent Char"/>
    <w:basedOn w:val="DefaultParagraphFont"/>
    <w:link w:val="BodyTextIndent"/>
    <w:uiPriority w:val="99"/>
    <w:rsid w:val="00510E99"/>
    <w:rPr>
      <w:rFonts w:ascii="Times New Roman" w:hAnsi="Times New Roman"/>
      <w:sz w:val="24"/>
    </w:rPr>
  </w:style>
  <w:style w:type="paragraph" w:styleId="BodyTextIndent2">
    <w:name w:val="Body Text Indent 2"/>
    <w:basedOn w:val="Normal"/>
    <w:link w:val="BodyTextIndent2Char"/>
    <w:uiPriority w:val="99"/>
    <w:unhideWhenUsed/>
    <w:rsid w:val="00510E99"/>
    <w:pPr>
      <w:spacing w:after="120"/>
      <w:ind w:left="1080"/>
    </w:pPr>
  </w:style>
  <w:style w:type="character" w:customStyle="1" w:styleId="BodyTextIndent2Char">
    <w:name w:val="Body Text Indent 2 Char"/>
    <w:basedOn w:val="DefaultParagraphFont"/>
    <w:link w:val="BodyTextIndent2"/>
    <w:uiPriority w:val="99"/>
    <w:rsid w:val="00510E99"/>
    <w:rPr>
      <w:rFonts w:ascii="Times New Roman" w:hAnsi="Times New Roman"/>
      <w:sz w:val="24"/>
    </w:rPr>
  </w:style>
  <w:style w:type="paragraph" w:styleId="BodyTextIndent3">
    <w:name w:val="Body Text Indent 3"/>
    <w:basedOn w:val="Normal"/>
    <w:link w:val="BodyTextIndent3Char"/>
    <w:uiPriority w:val="99"/>
    <w:unhideWhenUsed/>
    <w:rsid w:val="00510E99"/>
    <w:pPr>
      <w:spacing w:after="120"/>
      <w:ind w:left="1440"/>
    </w:pPr>
    <w:rPr>
      <w:szCs w:val="16"/>
    </w:rPr>
  </w:style>
  <w:style w:type="character" w:customStyle="1" w:styleId="BodyTextIndent3Char">
    <w:name w:val="Body Text Indent 3 Char"/>
    <w:basedOn w:val="DefaultParagraphFont"/>
    <w:link w:val="BodyTextIndent3"/>
    <w:uiPriority w:val="99"/>
    <w:rsid w:val="00510E99"/>
    <w:rPr>
      <w:rFonts w:ascii="Times New Roman" w:hAnsi="Times New Roman"/>
      <w:sz w:val="24"/>
      <w:szCs w:val="16"/>
    </w:rPr>
  </w:style>
  <w:style w:type="character" w:customStyle="1" w:styleId="Heading3Char">
    <w:name w:val="Heading 3 Char"/>
    <w:basedOn w:val="DefaultParagraphFont"/>
    <w:link w:val="Heading3"/>
    <w:uiPriority w:val="9"/>
    <w:rsid w:val="00510E99"/>
    <w:rPr>
      <w:rFonts w:ascii="Times New Roman" w:eastAsiaTheme="majorEastAsia" w:hAnsi="Times New Roman" w:cstheme="majorBidi"/>
      <w:b/>
      <w:i/>
      <w:color w:val="243F60" w:themeColor="accent1" w:themeShade="7F"/>
      <w:sz w:val="24"/>
      <w:szCs w:val="24"/>
    </w:rPr>
  </w:style>
  <w:style w:type="character" w:customStyle="1" w:styleId="Heading4Char">
    <w:name w:val="Heading 4 Char"/>
    <w:basedOn w:val="DefaultParagraphFont"/>
    <w:link w:val="Heading4"/>
    <w:uiPriority w:val="9"/>
    <w:rsid w:val="00E170C6"/>
    <w:rPr>
      <w:rFonts w:ascii="Times New Roman" w:eastAsiaTheme="majorEastAsia" w:hAnsi="Times New Roman" w:cstheme="majorBidi"/>
      <w:i/>
      <w:iCs/>
      <w:sz w:val="24"/>
    </w:rPr>
  </w:style>
  <w:style w:type="paragraph" w:styleId="ListBullet2">
    <w:name w:val="List Bullet 2"/>
    <w:basedOn w:val="Normal"/>
    <w:uiPriority w:val="99"/>
    <w:unhideWhenUsed/>
    <w:rsid w:val="00E170C6"/>
    <w:pPr>
      <w:numPr>
        <w:numId w:val="15"/>
      </w:numPr>
      <w:spacing w:after="120"/>
      <w:ind w:left="1440"/>
    </w:pPr>
  </w:style>
  <w:style w:type="paragraph" w:customStyle="1" w:styleId="TableTitle">
    <w:name w:val="Table Title"/>
    <w:basedOn w:val="Caption"/>
    <w:qFormat/>
    <w:rsid w:val="00675621"/>
    <w:rPr>
      <w:color w:val="auto"/>
    </w:rPr>
  </w:style>
  <w:style w:type="paragraph" w:customStyle="1" w:styleId="TableFigureSource">
    <w:name w:val="Table/Figure Source"/>
    <w:basedOn w:val="Normal"/>
    <w:uiPriority w:val="1"/>
    <w:qFormat/>
    <w:rsid w:val="00675621"/>
    <w:pPr>
      <w:spacing w:before="120" w:after="240"/>
      <w:ind w:left="216" w:hanging="216"/>
      <w:contextualSpacing/>
    </w:pPr>
  </w:style>
  <w:style w:type="table" w:styleId="PlainTable2">
    <w:name w:val="Plain Table 2"/>
    <w:basedOn w:val="TableNormal"/>
    <w:uiPriority w:val="42"/>
    <w:rsid w:val="00B10F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
    <w:name w:val="OMB"/>
    <w:basedOn w:val="TableNormal"/>
    <w:uiPriority w:val="99"/>
    <w:rsid w:val="00477B2C"/>
    <w:pPr>
      <w:widowControl/>
    </w:pPr>
    <w:rPr>
      <w:rFonts w:ascii="Times New Roman" w:hAnsi="Times New Roman"/>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er">
    <w:name w:val="Table Header"/>
    <w:basedOn w:val="TableParagraph"/>
    <w:qFormat/>
    <w:rsid w:val="00477B2C"/>
    <w:pPr>
      <w:keepNext/>
      <w:keepLines/>
      <w:spacing w:before="80" w:after="80"/>
      <w:jc w:val="center"/>
    </w:pPr>
    <w:rPr>
      <w:b/>
      <w:bCs/>
    </w:rPr>
  </w:style>
  <w:style w:type="paragraph" w:customStyle="1" w:styleId="Tabletext1">
    <w:name w:val="Table text1"/>
    <w:basedOn w:val="TableParagraph"/>
    <w:uiPriority w:val="1"/>
    <w:qFormat/>
    <w:rsid w:val="00675621"/>
    <w:pPr>
      <w:spacing w:before="60" w:after="60"/>
    </w:pPr>
    <w:rPr>
      <w:spacing w:val="-1"/>
    </w:rPr>
  </w:style>
  <w:style w:type="paragraph" w:customStyle="1" w:styleId="Tabletextindent1">
    <w:name w:val="Table text indent1"/>
    <w:basedOn w:val="Tabletext1"/>
    <w:uiPriority w:val="1"/>
    <w:qFormat/>
    <w:rsid w:val="00675621"/>
    <w:pPr>
      <w:ind w:left="216"/>
    </w:pPr>
  </w:style>
  <w:style w:type="paragraph" w:customStyle="1" w:styleId="AppHeading1">
    <w:name w:val="App Heading 1"/>
    <w:basedOn w:val="Heading1"/>
    <w:uiPriority w:val="1"/>
    <w:qFormat/>
    <w:rsid w:val="00E170C6"/>
    <w:pPr>
      <w:spacing w:before="240"/>
      <w:ind w:left="0" w:firstLine="0"/>
      <w:jc w:val="center"/>
    </w:pPr>
    <w:rPr>
      <w:spacing w:val="-1"/>
    </w:rPr>
  </w:style>
  <w:style w:type="paragraph" w:customStyle="1" w:styleId="TOCHead">
    <w:name w:val="TOC Head"/>
    <w:basedOn w:val="Normal"/>
    <w:uiPriority w:val="1"/>
    <w:qFormat/>
    <w:rsid w:val="00E170C6"/>
    <w:pPr>
      <w:keepNext/>
      <w:tabs>
        <w:tab w:val="left" w:pos="8868"/>
      </w:tabs>
      <w:spacing w:before="120" w:after="240"/>
      <w:jc w:val="center"/>
    </w:pPr>
    <w:rPr>
      <w:b/>
      <w:spacing w:val="-1"/>
    </w:rPr>
  </w:style>
  <w:style w:type="paragraph" w:customStyle="1" w:styleId="TOC0">
    <w:name w:val="TOC 0"/>
    <w:basedOn w:val="AppHeading1"/>
    <w:uiPriority w:val="1"/>
    <w:qFormat/>
    <w:rsid w:val="00E170C6"/>
  </w:style>
  <w:style w:type="paragraph" w:styleId="TableofFigures">
    <w:name w:val="table of figures"/>
    <w:basedOn w:val="Normal"/>
    <w:next w:val="Normal"/>
    <w:uiPriority w:val="99"/>
    <w:unhideWhenUsed/>
    <w:rsid w:val="00471C38"/>
    <w:pPr>
      <w:tabs>
        <w:tab w:val="right" w:leader="dot" w:pos="9360"/>
      </w:tabs>
      <w:spacing w:after="120"/>
      <w:ind w:left="504" w:right="720" w:hanging="288"/>
    </w:pPr>
  </w:style>
  <w:style w:type="numbering" w:customStyle="1" w:styleId="Exhibits">
    <w:name w:val="Exhibits"/>
    <w:uiPriority w:val="99"/>
    <w:rsid w:val="00CF2CBC"/>
    <w:pPr>
      <w:numPr>
        <w:numId w:val="44"/>
      </w:numPr>
    </w:pPr>
  </w:style>
  <w:style w:type="paragraph" w:customStyle="1" w:styleId="NormalSS">
    <w:name w:val="NormalSS"/>
    <w:basedOn w:val="Normal"/>
    <w:qFormat/>
    <w:rsid w:val="00FF1049"/>
    <w:pPr>
      <w:tabs>
        <w:tab w:val="left" w:pos="432"/>
      </w:tabs>
      <w:ind w:firstLine="432"/>
      <w:jc w:val="both"/>
    </w:pPr>
    <w:rPr>
      <w:rFonts w:eastAsia="Times New Roman" w:cs="Times New Roman"/>
      <w:szCs w:val="20"/>
    </w:rPr>
  </w:style>
  <w:style w:type="character" w:styleId="Mention">
    <w:name w:val="Mention"/>
    <w:basedOn w:val="DefaultParagraphFont"/>
    <w:uiPriority w:val="99"/>
    <w:semiHidden/>
    <w:unhideWhenUsed/>
    <w:rsid w:val="00B228E7"/>
    <w:rPr>
      <w:color w:val="2B579A"/>
      <w:shd w:val="clear" w:color="auto" w:fill="E6E6E6"/>
    </w:rPr>
  </w:style>
  <w:style w:type="paragraph" w:styleId="TOCHeading">
    <w:name w:val="TOC Heading"/>
    <w:basedOn w:val="Heading1"/>
    <w:next w:val="Normal"/>
    <w:uiPriority w:val="39"/>
    <w:unhideWhenUsed/>
    <w:qFormat/>
    <w:rsid w:val="00AB54A1"/>
    <w:pPr>
      <w:keepLines/>
      <w:spacing w:before="240" w:after="0" w:line="259" w:lineRule="auto"/>
      <w:ind w:left="0" w:firstLine="0"/>
      <w:outlineLvl w:val="9"/>
    </w:pPr>
    <w:rPr>
      <w:rFonts w:asciiTheme="majorHAnsi" w:eastAsiaTheme="majorEastAsia" w:hAnsiTheme="majorHAnsi" w:cstheme="majorBidi"/>
      <w:b w:val="0"/>
      <w:bCs w:val="0"/>
      <w:caps w:val="0"/>
      <w:color w:val="365F91" w:themeColor="accent1" w:themeShade="BF"/>
      <w:sz w:val="32"/>
      <w:szCs w:val="32"/>
    </w:rPr>
  </w:style>
  <w:style w:type="paragraph" w:styleId="TOC4">
    <w:name w:val="toc 4"/>
    <w:basedOn w:val="Normal"/>
    <w:next w:val="Normal"/>
    <w:autoRedefine/>
    <w:uiPriority w:val="39"/>
    <w:unhideWhenUsed/>
    <w:rsid w:val="00DA162B"/>
    <w:pPr>
      <w:spacing w:after="100"/>
      <w:ind w:left="720"/>
    </w:pPr>
  </w:style>
  <w:style w:type="paragraph" w:customStyle="1" w:styleId="Exhibitsource">
    <w:name w:val="Exhibit source"/>
    <w:basedOn w:val="Normal"/>
    <w:rsid w:val="00F6477F"/>
    <w:pPr>
      <w:keepLines/>
      <w:spacing w:before="40" w:after="240"/>
    </w:pPr>
    <w:rPr>
      <w:rFonts w:ascii="Arial Narrow" w:eastAsia="MS Mincho" w:hAnsi="Arial Narrow" w:cs="Times New Roman"/>
      <w:sz w:val="16"/>
      <w:szCs w:val="20"/>
    </w:rPr>
  </w:style>
  <w:style w:type="paragraph" w:customStyle="1" w:styleId="TableText2">
    <w:name w:val="Table Text2"/>
    <w:basedOn w:val="Tabletext1"/>
    <w:qFormat/>
    <w:rsid w:val="00F6477F"/>
    <w:pPr>
      <w:spacing w:before="20" w:after="20"/>
      <w:ind w:left="173"/>
    </w:pPr>
    <w:rPr>
      <w:rFonts w:ascii="Arial Narrow" w:eastAsia="Times New Roman" w:hAnsi="Arial Narrow" w:cs="Arial"/>
      <w:color w:val="000000"/>
      <w:spacing w:val="0"/>
      <w:sz w:val="16"/>
      <w:szCs w:val="18"/>
    </w:rPr>
  </w:style>
  <w:style w:type="table" w:customStyle="1" w:styleId="TableGridNSF">
    <w:name w:val="Table Grid_NSF"/>
    <w:basedOn w:val="TableNormal"/>
    <w:next w:val="TableGrid"/>
    <w:uiPriority w:val="59"/>
    <w:rsid w:val="00F6477F"/>
    <w:pPr>
      <w:widowControl/>
    </w:pPr>
    <w:rPr>
      <w:rFonts w:ascii="Arial Narrow" w:eastAsia="Calibri" w:hAnsi="Arial Narrow" w:cs="Arial"/>
      <w:sz w:val="16"/>
    </w:rPr>
    <w:tblPr>
      <w:tblBorders>
        <w:top w:val="single" w:sz="4" w:space="0" w:color="auto"/>
        <w:bottom w:val="single" w:sz="4" w:space="0" w:color="auto"/>
      </w:tblBorders>
      <w:tblCellMar>
        <w:left w:w="72" w:type="dxa"/>
        <w:right w:w="72"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Text">
    <w:name w:val="Table Text"/>
    <w:basedOn w:val="Normal"/>
    <w:rsid w:val="00F6477F"/>
    <w:pPr>
      <w:spacing w:before="20" w:after="20"/>
    </w:pPr>
    <w:rPr>
      <w:rFonts w:ascii="Arial Narrow" w:eastAsia="Calibri" w:hAnsi="Arial Narrow" w:cs="Times New Roman"/>
      <w:sz w:val="16"/>
      <w:szCs w:val="16"/>
    </w:rPr>
  </w:style>
  <w:style w:type="paragraph" w:customStyle="1" w:styleId="eTableBodyText">
    <w:name w:val="eTable Body Text"/>
    <w:basedOn w:val="Normal"/>
    <w:link w:val="eTableBodyTextChar"/>
    <w:qFormat/>
    <w:rsid w:val="00B1728D"/>
    <w:pPr>
      <w:spacing w:after="240"/>
    </w:pPr>
    <w:rPr>
      <w:rFonts w:eastAsia="Times New Roman" w:cs="Times New Roman"/>
      <w:szCs w:val="24"/>
    </w:rPr>
  </w:style>
  <w:style w:type="character" w:customStyle="1" w:styleId="eTableBodyTextChar">
    <w:name w:val="eTable Body Text Char"/>
    <w:basedOn w:val="DefaultParagraphFont"/>
    <w:link w:val="eTableBodyText"/>
    <w:rsid w:val="00B1728D"/>
    <w:rPr>
      <w:rFonts w:ascii="Times New Roman" w:eastAsia="Times New Roman" w:hAnsi="Times New Roman" w:cs="Times New Roman"/>
      <w:sz w:val="24"/>
      <w:szCs w:val="24"/>
    </w:rPr>
  </w:style>
  <w:style w:type="character" w:styleId="Emphasis">
    <w:name w:val="Emphasis"/>
    <w:basedOn w:val="DefaultParagraphFont"/>
    <w:uiPriority w:val="20"/>
    <w:qFormat/>
    <w:rsid w:val="007C57C0"/>
    <w:rPr>
      <w:i/>
      <w:iCs/>
    </w:rPr>
  </w:style>
  <w:style w:type="paragraph" w:customStyle="1" w:styleId="biblio">
    <w:name w:val="biblio"/>
    <w:basedOn w:val="Normal"/>
    <w:rsid w:val="007C57C0"/>
    <w:pPr>
      <w:keepLines/>
      <w:spacing w:after="240"/>
      <w:ind w:left="720" w:hanging="720"/>
    </w:pPr>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69427">
      <w:bodyDiv w:val="1"/>
      <w:marLeft w:val="0"/>
      <w:marRight w:val="0"/>
      <w:marTop w:val="0"/>
      <w:marBottom w:val="0"/>
      <w:divBdr>
        <w:top w:val="none" w:sz="0" w:space="0" w:color="auto"/>
        <w:left w:val="none" w:sz="0" w:space="0" w:color="auto"/>
        <w:bottom w:val="none" w:sz="0" w:space="0" w:color="auto"/>
        <w:right w:val="none" w:sz="0" w:space="0" w:color="auto"/>
      </w:divBdr>
    </w:div>
    <w:div w:id="458301291">
      <w:bodyDiv w:val="1"/>
      <w:marLeft w:val="0"/>
      <w:marRight w:val="0"/>
      <w:marTop w:val="0"/>
      <w:marBottom w:val="0"/>
      <w:divBdr>
        <w:top w:val="none" w:sz="0" w:space="0" w:color="auto"/>
        <w:left w:val="none" w:sz="0" w:space="0" w:color="auto"/>
        <w:bottom w:val="none" w:sz="0" w:space="0" w:color="auto"/>
        <w:right w:val="none" w:sz="0" w:space="0" w:color="auto"/>
      </w:divBdr>
    </w:div>
    <w:div w:id="644429863">
      <w:bodyDiv w:val="1"/>
      <w:marLeft w:val="0"/>
      <w:marRight w:val="0"/>
      <w:marTop w:val="0"/>
      <w:marBottom w:val="0"/>
      <w:divBdr>
        <w:top w:val="none" w:sz="0" w:space="0" w:color="auto"/>
        <w:left w:val="none" w:sz="0" w:space="0" w:color="auto"/>
        <w:bottom w:val="none" w:sz="0" w:space="0" w:color="auto"/>
        <w:right w:val="none" w:sz="0" w:space="0" w:color="auto"/>
      </w:divBdr>
    </w:div>
    <w:div w:id="874922355">
      <w:bodyDiv w:val="1"/>
      <w:marLeft w:val="0"/>
      <w:marRight w:val="0"/>
      <w:marTop w:val="0"/>
      <w:marBottom w:val="0"/>
      <w:divBdr>
        <w:top w:val="none" w:sz="0" w:space="0" w:color="auto"/>
        <w:left w:val="none" w:sz="0" w:space="0" w:color="auto"/>
        <w:bottom w:val="none" w:sz="0" w:space="0" w:color="auto"/>
        <w:right w:val="none" w:sz="0" w:space="0" w:color="auto"/>
      </w:divBdr>
    </w:div>
    <w:div w:id="1002397899">
      <w:bodyDiv w:val="1"/>
      <w:marLeft w:val="0"/>
      <w:marRight w:val="0"/>
      <w:marTop w:val="0"/>
      <w:marBottom w:val="0"/>
      <w:divBdr>
        <w:top w:val="none" w:sz="0" w:space="0" w:color="auto"/>
        <w:left w:val="none" w:sz="0" w:space="0" w:color="auto"/>
        <w:bottom w:val="none" w:sz="0" w:space="0" w:color="auto"/>
        <w:right w:val="none" w:sz="0" w:space="0" w:color="auto"/>
      </w:divBdr>
    </w:div>
    <w:div w:id="1491478800">
      <w:bodyDiv w:val="1"/>
      <w:marLeft w:val="0"/>
      <w:marRight w:val="0"/>
      <w:marTop w:val="0"/>
      <w:marBottom w:val="0"/>
      <w:divBdr>
        <w:top w:val="none" w:sz="0" w:space="0" w:color="auto"/>
        <w:left w:val="none" w:sz="0" w:space="0" w:color="auto"/>
        <w:bottom w:val="none" w:sz="0" w:space="0" w:color="auto"/>
        <w:right w:val="none" w:sz="0" w:space="0" w:color="auto"/>
      </w:divBdr>
    </w:div>
    <w:div w:id="1676299612">
      <w:bodyDiv w:val="1"/>
      <w:marLeft w:val="0"/>
      <w:marRight w:val="0"/>
      <w:marTop w:val="0"/>
      <w:marBottom w:val="0"/>
      <w:divBdr>
        <w:top w:val="none" w:sz="0" w:space="0" w:color="auto"/>
        <w:left w:val="none" w:sz="0" w:space="0" w:color="auto"/>
        <w:bottom w:val="none" w:sz="0" w:space="0" w:color="auto"/>
        <w:right w:val="none" w:sz="0" w:space="0" w:color="auto"/>
      </w:divBdr>
    </w:div>
    <w:div w:id="1848060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1FC9-DFA7-419C-AA3C-3E779A08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Yamaner, Michael I</dc:creator>
  <cp:lastModifiedBy>Yamaner, Michael I</cp:lastModifiedBy>
  <cp:revision>3</cp:revision>
  <cp:lastPrinted>2020-03-06T20:36:00Z</cp:lastPrinted>
  <dcterms:created xsi:type="dcterms:W3CDTF">2020-04-10T14:58:00Z</dcterms:created>
  <dcterms:modified xsi:type="dcterms:W3CDTF">2020-04-10T15:00:00Z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2014-08-01T00:00:00Z</vt:filetime>
  </property>
  <property fmtid="{D5CDD505-2E9C-101B-9397-08002B2CF9AE}" pid="3" name="LastSaved">
    <vt:filetime>2017-01-05T00:00:00Z</vt:filetime>
  </property>
</Properties>
</file>