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7E0F9D" w14:paraId="34905309" w14:textId="4E3C802B">
      <w:pPr>
        <w:pStyle w:val="Heading2"/>
        <w:tabs>
          <w:tab w:val="left" w:pos="900"/>
        </w:tabs>
        <w:ind w:right="-180"/>
      </w:pPr>
      <w:proofErr w:type="spellStart"/>
      <w:r>
        <w:rPr>
          <w:sz w:val="28"/>
        </w:rPr>
        <w:t>h</w:t>
      </w:r>
      <w:r w:rsidR="00F06866">
        <w:rPr>
          <w:sz w:val="28"/>
        </w:rPr>
        <w:t>Request</w:t>
      </w:r>
      <w:proofErr w:type="spellEnd"/>
      <w:r w:rsidR="00F06866">
        <w:rPr>
          <w:sz w:val="28"/>
        </w:rPr>
        <w:t xml:space="preserve"> for Approval under the </w:t>
      </w:r>
      <w:r w:rsidRPr="00F06866" w:rsidR="00F06866">
        <w:rPr>
          <w:sz w:val="28"/>
        </w:rPr>
        <w:t>“Generic Clearance for the Collection of Routine Customer Feedback”</w:t>
      </w:r>
      <w:r w:rsidR="00F06866">
        <w:rPr>
          <w:sz w:val="28"/>
        </w:rPr>
        <w:t xml:space="preserve"> (OMB Control Number: </w:t>
      </w:r>
      <w:r w:rsidR="006D6F04">
        <w:rPr>
          <w:sz w:val="28"/>
        </w:rPr>
        <w:t>3145</w:t>
      </w:r>
      <w:r w:rsidR="00F06866">
        <w:rPr>
          <w:sz w:val="28"/>
        </w:rPr>
        <w:t>-</w:t>
      </w:r>
      <w:r w:rsidR="006D6F04">
        <w:rPr>
          <w:sz w:val="28"/>
        </w:rPr>
        <w:t>0215</w:t>
      </w:r>
      <w:r w:rsidR="00F06866">
        <w:rPr>
          <w:sz w:val="28"/>
        </w:rPr>
        <w:t>)</w:t>
      </w:r>
    </w:p>
    <w:p w:rsidRPr="009239AA" w:rsidR="00E50293" w:rsidP="00434E33" w:rsidRDefault="002C423D" w14:paraId="1FCE4941" w14:textId="6FD10F11">
      <w:pPr>
        <w:rPr>
          <w:b/>
        </w:rPr>
      </w:pPr>
      <w:r>
        <w:rPr>
          <w:b/>
          <w:noProof/>
        </w:rPr>
        <mc:AlternateContent>
          <mc:Choice Requires="wps">
            <w:drawing>
              <wp:anchor distT="0" distB="0" distL="114300" distR="114300" simplePos="0" relativeHeight="251657728" behindDoc="0" locked="0" layoutInCell="0" allowOverlap="1" wp14:editId="52F6A1D7" wp14:anchorId="37F5B9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13E7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E30583">
        <w:t xml:space="preserve">NSF </w:t>
      </w:r>
      <w:r w:rsidR="00AA7C88">
        <w:t xml:space="preserve">Audience Survey </w:t>
      </w:r>
    </w:p>
    <w:p w:rsidR="005E714A" w:rsidRDefault="005E714A" w14:paraId="47DCF2F1" w14:textId="77777777"/>
    <w:p w:rsidR="001B0AAA" w:rsidRDefault="00F15956" w14:paraId="0260E777" w14:textId="30D9C6D1">
      <w:pPr>
        <w:rPr>
          <w:bCs/>
        </w:rPr>
      </w:pPr>
      <w:r>
        <w:rPr>
          <w:b/>
        </w:rPr>
        <w:t>PURPOSE</w:t>
      </w:r>
      <w:r w:rsidRPr="009239AA">
        <w:rPr>
          <w:b/>
        </w:rPr>
        <w:t>:</w:t>
      </w:r>
      <w:r w:rsidRPr="009239AA" w:rsidR="00C14CC4">
        <w:rPr>
          <w:b/>
        </w:rPr>
        <w:t xml:space="preserve">  </w:t>
      </w:r>
      <w:r w:rsidR="00E30583">
        <w:rPr>
          <w:bCs/>
        </w:rPr>
        <w:t>To gain insight into how NSF email communications, through the Granicus platform, may or may not be meeting the expectations of our customers. This survey is part of the “discovery” phase of a year-long project NSF is engaging in with a team of experts at Granicus to modernize and improve the user experience with our email subscription service. Our goal with this survey is to A) Learn more about our current subscribers’ and followers’ needs and B) Identify a smaller group of individuals who are willing to be interviewed about their experience with NSF email communications so that we can get an even better idea on how we can improve.</w:t>
      </w:r>
      <w:r w:rsidR="00280D9C">
        <w:rPr>
          <w:bCs/>
        </w:rPr>
        <w:t xml:space="preserve"> </w:t>
      </w:r>
    </w:p>
    <w:p w:rsidR="00280D9C" w:rsidRDefault="00280D9C" w14:paraId="1F1CD76B" w14:textId="5CA0E2AC">
      <w:pPr>
        <w:rPr>
          <w:bCs/>
        </w:rPr>
      </w:pPr>
    </w:p>
    <w:p w:rsidRPr="00E30583" w:rsidR="00280D9C" w:rsidRDefault="00280D9C" w14:paraId="2324BF6C" w14:textId="6FFECF96">
      <w:pPr>
        <w:rPr>
          <w:bCs/>
        </w:rPr>
      </w:pPr>
      <w:r>
        <w:rPr>
          <w:bCs/>
        </w:rPr>
        <w:t xml:space="preserve">*A note about goal “B” – Once we identify the small group of respondents willing to be interviewed following the survey, </w:t>
      </w:r>
      <w:r w:rsidR="00AF3AF8">
        <w:rPr>
          <w:bCs/>
        </w:rPr>
        <w:t xml:space="preserve">if the group is greater than nine individuals, </w:t>
      </w:r>
      <w:r>
        <w:rPr>
          <w:bCs/>
        </w:rPr>
        <w:t>we will submit a separate clearance form</w:t>
      </w:r>
      <w:r w:rsidR="00B44727">
        <w:rPr>
          <w:bCs/>
        </w:rPr>
        <w:t xml:space="preserve">. </w:t>
      </w:r>
    </w:p>
    <w:p w:rsidR="00C8488C" w:rsidP="00434E33" w:rsidRDefault="00C8488C" w14:paraId="2AF2B617" w14:textId="77777777">
      <w:pPr>
        <w:pStyle w:val="Header"/>
        <w:tabs>
          <w:tab w:val="clear" w:pos="4320"/>
          <w:tab w:val="clear" w:pos="8640"/>
        </w:tabs>
        <w:rPr>
          <w:b/>
        </w:rPr>
      </w:pPr>
    </w:p>
    <w:p w:rsidR="00C8488C" w:rsidP="00434E33" w:rsidRDefault="00C8488C" w14:paraId="3C404E52" w14:textId="77777777">
      <w:pPr>
        <w:pStyle w:val="Header"/>
        <w:tabs>
          <w:tab w:val="clear" w:pos="4320"/>
          <w:tab w:val="clear" w:pos="8640"/>
        </w:tabs>
        <w:rPr>
          <w:b/>
        </w:rPr>
      </w:pPr>
    </w:p>
    <w:p w:rsidR="00434E33" w:rsidP="00434E33" w:rsidRDefault="00434E33" w14:paraId="0A0981F3" w14:textId="3436D898">
      <w:pPr>
        <w:pStyle w:val="Header"/>
        <w:tabs>
          <w:tab w:val="clear" w:pos="4320"/>
          <w:tab w:val="clear" w:pos="8640"/>
        </w:tabs>
      </w:pPr>
      <w:r w:rsidRPr="00434E33">
        <w:rPr>
          <w:b/>
        </w:rPr>
        <w:t>DESCRIPTION OF RESPONDENTS</w:t>
      </w:r>
      <w:r>
        <w:t xml:space="preserve">: </w:t>
      </w:r>
    </w:p>
    <w:p w:rsidR="002222C0" w:rsidP="00434E33" w:rsidRDefault="002222C0" w14:paraId="3720183C" w14:textId="654E878B">
      <w:pPr>
        <w:pStyle w:val="Header"/>
        <w:tabs>
          <w:tab w:val="clear" w:pos="4320"/>
          <w:tab w:val="clear" w:pos="8640"/>
        </w:tabs>
      </w:pPr>
    </w:p>
    <w:p w:rsidR="002222C0" w:rsidP="002222C0" w:rsidRDefault="002222C0" w14:paraId="10B2BFDB" w14:textId="73CD95D5">
      <w:pPr>
        <w:pStyle w:val="Header"/>
        <w:numPr>
          <w:ilvl w:val="0"/>
          <w:numId w:val="19"/>
        </w:numPr>
        <w:tabs>
          <w:tab w:val="clear" w:pos="4320"/>
          <w:tab w:val="clear" w:pos="8640"/>
        </w:tabs>
        <w:rPr>
          <w:i/>
          <w:snapToGrid/>
        </w:rPr>
      </w:pPr>
      <w:r>
        <w:rPr>
          <w:i/>
          <w:snapToGrid/>
        </w:rPr>
        <w:t>Scientific Community – Researchers seeking NSF funding as well as researchers currently funded by NSF</w:t>
      </w:r>
    </w:p>
    <w:p w:rsidR="002222C0" w:rsidP="002222C0" w:rsidRDefault="002222C0" w14:paraId="57206900" w14:textId="176F00A6">
      <w:pPr>
        <w:pStyle w:val="Header"/>
        <w:numPr>
          <w:ilvl w:val="0"/>
          <w:numId w:val="19"/>
        </w:numPr>
        <w:tabs>
          <w:tab w:val="clear" w:pos="4320"/>
          <w:tab w:val="clear" w:pos="8640"/>
        </w:tabs>
        <w:rPr>
          <w:i/>
          <w:snapToGrid/>
        </w:rPr>
      </w:pPr>
      <w:r>
        <w:rPr>
          <w:i/>
          <w:snapToGrid/>
        </w:rPr>
        <w:t>Education Community – K-12 educators/counselors, parents, students</w:t>
      </w:r>
    </w:p>
    <w:p w:rsidRPr="002222C0" w:rsidR="002222C0" w:rsidP="002222C0" w:rsidRDefault="002222C0" w14:paraId="5A1CD6DD" w14:textId="0B248B16">
      <w:pPr>
        <w:pStyle w:val="Header"/>
        <w:numPr>
          <w:ilvl w:val="0"/>
          <w:numId w:val="19"/>
        </w:numPr>
        <w:tabs>
          <w:tab w:val="clear" w:pos="4320"/>
          <w:tab w:val="clear" w:pos="8640"/>
        </w:tabs>
        <w:rPr>
          <w:i/>
          <w:snapToGrid/>
        </w:rPr>
      </w:pPr>
      <w:r>
        <w:rPr>
          <w:i/>
          <w:snapToGrid/>
        </w:rPr>
        <w:t xml:space="preserve">General Public – Science-interested members of the public </w:t>
      </w:r>
    </w:p>
    <w:p w:rsidR="00E26329" w:rsidRDefault="00E26329" w14:paraId="0E38CDAC" w14:textId="77777777">
      <w:pPr>
        <w:rPr>
          <w:b/>
        </w:rPr>
      </w:pPr>
    </w:p>
    <w:p w:rsidR="00E26329" w:rsidRDefault="00E26329" w14:paraId="34370A1D" w14:textId="77777777">
      <w:pPr>
        <w:rPr>
          <w:b/>
        </w:rPr>
      </w:pPr>
    </w:p>
    <w:p w:rsidRPr="00F06866" w:rsidR="00F06866" w:rsidRDefault="00F06866" w14:paraId="3E8BD114" w14:textId="77777777">
      <w:pPr>
        <w:rPr>
          <w:b/>
        </w:rPr>
      </w:pPr>
      <w:r>
        <w:rPr>
          <w:b/>
        </w:rPr>
        <w:t>TYPE OF COLLECTION:</w:t>
      </w:r>
      <w:r w:rsidRPr="00F06866">
        <w:t xml:space="preserve"> (Check one)</w:t>
      </w:r>
    </w:p>
    <w:p w:rsidRPr="00434E33" w:rsidR="00441434" w:rsidP="0096108F" w:rsidRDefault="00441434" w14:paraId="14E0BE3D" w14:textId="77777777">
      <w:pPr>
        <w:pStyle w:val="BodyTextIndent"/>
        <w:tabs>
          <w:tab w:val="left" w:pos="360"/>
        </w:tabs>
        <w:ind w:left="0"/>
        <w:rPr>
          <w:bCs/>
          <w:sz w:val="16"/>
          <w:szCs w:val="16"/>
        </w:rPr>
      </w:pPr>
    </w:p>
    <w:p w:rsidRPr="00F06866" w:rsidR="00F06866" w:rsidP="0096108F" w:rsidRDefault="0096108F" w14:paraId="0CEEF910" w14:textId="52D7688D">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D47CC9">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6D5988E" w14:textId="761AA19A">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D47CC9">
        <w:rPr>
          <w:bCs/>
          <w:sz w:val="24"/>
        </w:rPr>
        <w:t>)</w:t>
      </w:r>
      <w:r w:rsidR="00F06866">
        <w:rPr>
          <w:bCs/>
          <w:sz w:val="24"/>
        </w:rPr>
        <w:tab/>
        <w:t>[ ] Small Discussion Group</w:t>
      </w:r>
    </w:p>
    <w:p w:rsidRPr="00F06866" w:rsidR="00F06866" w:rsidP="0096108F" w:rsidRDefault="00935ADA" w14:paraId="0B4A4CD7" w14:textId="1A85C2C4">
      <w:pPr>
        <w:pStyle w:val="BodyTextIndent"/>
        <w:tabs>
          <w:tab w:val="left" w:pos="360"/>
        </w:tabs>
        <w:ind w:left="0"/>
        <w:rPr>
          <w:bCs/>
          <w:sz w:val="24"/>
        </w:rPr>
      </w:pPr>
      <w:proofErr w:type="gramStart"/>
      <w:r>
        <w:rPr>
          <w:bCs/>
          <w:sz w:val="24"/>
        </w:rPr>
        <w:t>[</w:t>
      </w:r>
      <w:r w:rsidR="00AC4FB0">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C7291FF" w14:textId="77777777">
      <w:pPr>
        <w:pStyle w:val="Header"/>
        <w:tabs>
          <w:tab w:val="clear" w:pos="4320"/>
          <w:tab w:val="clear" w:pos="8640"/>
        </w:tabs>
      </w:pPr>
    </w:p>
    <w:p w:rsidR="00CA2650" w:rsidRDefault="00441434" w14:paraId="1257BED4" w14:textId="77777777">
      <w:pPr>
        <w:rPr>
          <w:b/>
        </w:rPr>
      </w:pPr>
      <w:r>
        <w:rPr>
          <w:b/>
        </w:rPr>
        <w:t>C</w:t>
      </w:r>
      <w:r w:rsidR="009C13B9">
        <w:rPr>
          <w:b/>
        </w:rPr>
        <w:t>ERTIFICATION:</w:t>
      </w:r>
    </w:p>
    <w:p w:rsidR="00441434" w:rsidRDefault="00441434" w14:paraId="4B4080AA" w14:textId="77777777">
      <w:pPr>
        <w:rPr>
          <w:sz w:val="16"/>
          <w:szCs w:val="16"/>
        </w:rPr>
      </w:pPr>
    </w:p>
    <w:p w:rsidRPr="009C13B9" w:rsidR="008101A5" w:rsidP="008101A5" w:rsidRDefault="008101A5" w14:paraId="0494D5B3" w14:textId="77777777">
      <w:r>
        <w:t xml:space="preserve">I certify the following to be true: </w:t>
      </w:r>
    </w:p>
    <w:p w:rsidR="008101A5" w:rsidP="008101A5" w:rsidRDefault="008101A5" w14:paraId="5CD6E2A2" w14:textId="77777777">
      <w:pPr>
        <w:pStyle w:val="ListParagraph"/>
        <w:numPr>
          <w:ilvl w:val="0"/>
          <w:numId w:val="14"/>
        </w:numPr>
      </w:pPr>
      <w:r>
        <w:t>The collection is voluntary.</w:t>
      </w:r>
      <w:r w:rsidRPr="00C14CC4">
        <w:t xml:space="preserve"> </w:t>
      </w:r>
    </w:p>
    <w:p w:rsidR="008101A5" w:rsidP="008101A5" w:rsidRDefault="008101A5" w14:paraId="3AC139F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1D8AB4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02F2BF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CB5870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5B0A068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AA8A9E1" w14:textId="77777777"/>
    <w:p w:rsidR="009C13B9" w:rsidP="009C13B9" w:rsidRDefault="009C13B9" w14:paraId="2389F1DC" w14:textId="77777777">
      <w:proofErr w:type="spellStart"/>
      <w:proofErr w:type="gramStart"/>
      <w:r>
        <w:t>Name:_</w:t>
      </w:r>
      <w:proofErr w:type="gramEnd"/>
      <w:r>
        <w:t>_</w:t>
      </w:r>
      <w:r w:rsidRPr="00B76CD7" w:rsidR="00B76CD7">
        <w:rPr>
          <w:u w:val="single"/>
        </w:rPr>
        <w:t>Suzanne</w:t>
      </w:r>
      <w:proofErr w:type="spellEnd"/>
      <w:r w:rsidRPr="00B76CD7" w:rsidR="00B76CD7">
        <w:rPr>
          <w:u w:val="single"/>
        </w:rPr>
        <w:t xml:space="preserve"> H. Plimpton, NSF Reports Clearance Officer</w:t>
      </w:r>
      <w:r>
        <w:t>_______________________</w:t>
      </w:r>
    </w:p>
    <w:p w:rsidR="009C13B9" w:rsidP="009C13B9" w:rsidRDefault="009C13B9" w14:paraId="7E104595" w14:textId="77777777">
      <w:pPr>
        <w:pStyle w:val="ListParagraph"/>
        <w:ind w:left="360"/>
      </w:pPr>
    </w:p>
    <w:p w:rsidR="009C13B9" w:rsidP="009C13B9" w:rsidRDefault="009C13B9" w14:paraId="514A5BF7" w14:textId="77777777">
      <w:r>
        <w:t>To assist review, please provide answers to the following question:</w:t>
      </w:r>
    </w:p>
    <w:p w:rsidR="009C13B9" w:rsidP="009C13B9" w:rsidRDefault="009C13B9" w14:paraId="2CB6EFDE" w14:textId="77777777">
      <w:pPr>
        <w:pStyle w:val="ListParagraph"/>
        <w:ind w:left="360"/>
      </w:pPr>
    </w:p>
    <w:p w:rsidRPr="00280D9C" w:rsidR="009C13B9" w:rsidP="00C86E91" w:rsidRDefault="00C86E91" w14:paraId="011CE906" w14:textId="77777777">
      <w:pPr>
        <w:rPr>
          <w:b/>
        </w:rPr>
      </w:pPr>
      <w:proofErr w:type="gramStart"/>
      <w:r w:rsidRPr="00280D9C">
        <w:rPr>
          <w:b/>
        </w:rPr>
        <w:t>Personally</w:t>
      </w:r>
      <w:proofErr w:type="gramEnd"/>
      <w:r w:rsidRPr="00280D9C">
        <w:rPr>
          <w:b/>
        </w:rPr>
        <w:t xml:space="preserve"> Identifiable Information:</w:t>
      </w:r>
    </w:p>
    <w:p w:rsidRPr="00280D9C" w:rsidR="00C86E91" w:rsidP="00C86E91" w:rsidRDefault="009C13B9" w14:paraId="4D2448B2" w14:textId="4434F2AB">
      <w:pPr>
        <w:pStyle w:val="ListParagraph"/>
        <w:numPr>
          <w:ilvl w:val="0"/>
          <w:numId w:val="18"/>
        </w:numPr>
      </w:pPr>
      <w:r w:rsidRPr="00280D9C">
        <w:t>Is</w:t>
      </w:r>
      <w:r w:rsidRPr="00280D9C" w:rsidR="00237B48">
        <w:t xml:space="preserve"> personally identifiable information (PII) collected</w:t>
      </w:r>
      <w:r w:rsidRPr="00280D9C">
        <w:t xml:space="preserve">?  </w:t>
      </w:r>
      <w:proofErr w:type="gramStart"/>
      <w:r w:rsidRPr="00280D9C" w:rsidR="009239AA">
        <w:t>[ ]</w:t>
      </w:r>
      <w:proofErr w:type="gramEnd"/>
      <w:r w:rsidRPr="00280D9C" w:rsidR="009239AA">
        <w:t xml:space="preserve"> Yes  [</w:t>
      </w:r>
      <w:r w:rsidRPr="00280D9C" w:rsidR="00280D9C">
        <w:t>x</w:t>
      </w:r>
      <w:r w:rsidRPr="00280D9C" w:rsidR="009239AA">
        <w:t xml:space="preserve">]  No </w:t>
      </w:r>
    </w:p>
    <w:p w:rsidRPr="00280D9C" w:rsidR="00C86E91" w:rsidP="00C86E91" w:rsidRDefault="009C13B9" w14:paraId="0405B361" w14:textId="77777777">
      <w:pPr>
        <w:pStyle w:val="ListParagraph"/>
        <w:numPr>
          <w:ilvl w:val="0"/>
          <w:numId w:val="18"/>
        </w:numPr>
      </w:pPr>
      <w:r w:rsidRPr="00280D9C">
        <w:t xml:space="preserve">If </w:t>
      </w:r>
      <w:r w:rsidRPr="00280D9C" w:rsidR="009239AA">
        <w:t>Yes,</w:t>
      </w:r>
      <w:r w:rsidRPr="00280D9C">
        <w:t xml:space="preserve"> </w:t>
      </w:r>
      <w:r w:rsidRPr="00280D9C" w:rsidR="009239AA">
        <w:t xml:space="preserve">is the information that will be collected included in records that are subject to the Privacy Act of 1974?   </w:t>
      </w:r>
      <w:proofErr w:type="gramStart"/>
      <w:r w:rsidRPr="00280D9C" w:rsidR="009239AA">
        <w:t>[  ]</w:t>
      </w:r>
      <w:proofErr w:type="gramEnd"/>
      <w:r w:rsidRPr="00280D9C" w:rsidR="009239AA">
        <w:t xml:space="preserve"> Yes [  ] No</w:t>
      </w:r>
      <w:r w:rsidRPr="00280D9C" w:rsidR="00C86E91">
        <w:t xml:space="preserve">   </w:t>
      </w:r>
    </w:p>
    <w:p w:rsidR="00C86E91" w:rsidP="00C86E91" w:rsidRDefault="00C86E91" w14:paraId="69BF3F97" w14:textId="0438DD55">
      <w:pPr>
        <w:pStyle w:val="ListParagraph"/>
        <w:numPr>
          <w:ilvl w:val="0"/>
          <w:numId w:val="18"/>
        </w:numPr>
      </w:pPr>
      <w:r>
        <w:t>If Applicable, has a System or Records Notice been published?  [  ] Yes  [</w:t>
      </w:r>
      <w:r w:rsidR="00F32F5B">
        <w:t xml:space="preserve"> </w:t>
      </w:r>
      <w:r>
        <w:t>] No</w:t>
      </w:r>
    </w:p>
    <w:p w:rsidRPr="00C86E91" w:rsidR="00C86E91" w:rsidP="00C86E91" w:rsidRDefault="00CB1078" w14:paraId="68F77C43" w14:textId="77777777">
      <w:pPr>
        <w:pStyle w:val="ListParagraph"/>
        <w:ind w:left="0"/>
        <w:rPr>
          <w:b/>
        </w:rPr>
      </w:pPr>
      <w:r>
        <w:rPr>
          <w:b/>
        </w:rPr>
        <w:t>Gifts or Payments</w:t>
      </w:r>
      <w:r w:rsidR="00C86E91">
        <w:rPr>
          <w:b/>
        </w:rPr>
        <w:t>:</w:t>
      </w:r>
    </w:p>
    <w:p w:rsidR="00C86E91" w:rsidP="00C86E91" w:rsidRDefault="00C86E91" w14:paraId="79671291" w14:textId="279C26E0">
      <w:r>
        <w:t xml:space="preserve">Is an incentive (e.g., money or reimbursement of expenses, token of appreciation) provided to participants?  </w:t>
      </w:r>
      <w:proofErr w:type="gramStart"/>
      <w:r>
        <w:t>[  ]</w:t>
      </w:r>
      <w:proofErr w:type="gramEnd"/>
      <w:r>
        <w:t xml:space="preserve"> Yes [</w:t>
      </w:r>
      <w:r w:rsidR="00D47CC9">
        <w:t>x</w:t>
      </w:r>
      <w:r>
        <w:t xml:space="preserve"> ] No  </w:t>
      </w:r>
    </w:p>
    <w:p w:rsidR="004D6E14" w:rsidRDefault="004D6E14" w14:paraId="02404B07" w14:textId="77777777">
      <w:pPr>
        <w:rPr>
          <w:b/>
        </w:rPr>
      </w:pPr>
    </w:p>
    <w:p w:rsidR="00F24CFC" w:rsidRDefault="00F24CFC" w14:paraId="778AF2E1" w14:textId="77777777">
      <w:pPr>
        <w:rPr>
          <w:b/>
        </w:rPr>
      </w:pPr>
    </w:p>
    <w:p w:rsidR="00C86E91" w:rsidRDefault="00C86E91" w14:paraId="28948971" w14:textId="77777777">
      <w:pPr>
        <w:rPr>
          <w:b/>
        </w:rPr>
      </w:pPr>
    </w:p>
    <w:p w:rsidR="00C86E91" w:rsidRDefault="00C86E91" w14:paraId="65698D97" w14:textId="77777777">
      <w:pPr>
        <w:rPr>
          <w:b/>
        </w:rPr>
      </w:pPr>
    </w:p>
    <w:p w:rsidRPr="00280D9C" w:rsidR="005E714A" w:rsidP="00C86E91" w:rsidRDefault="005E714A" w14:paraId="1D69B605" w14:textId="77777777">
      <w:pPr>
        <w:rPr>
          <w:i/>
        </w:rPr>
      </w:pPr>
      <w:r w:rsidRPr="00280D9C">
        <w:rPr>
          <w:b/>
        </w:rPr>
        <w:t>BURDEN HOUR</w:t>
      </w:r>
      <w:r w:rsidRPr="00280D9C" w:rsidR="00441434">
        <w:rPr>
          <w:b/>
        </w:rPr>
        <w:t>S</w:t>
      </w:r>
      <w:r w:rsidRPr="00280D9C">
        <w:t xml:space="preserve"> </w:t>
      </w:r>
    </w:p>
    <w:p w:rsidRPr="00280D9C" w:rsidR="006832D9" w:rsidP="00F3170F" w:rsidRDefault="006832D9" w14:paraId="7B78A153"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Pr="00280D9C" w:rsidR="00EF2095" w:rsidTr="00EF2095" w14:paraId="0823797F" w14:textId="77777777">
        <w:trPr>
          <w:trHeight w:val="274"/>
        </w:trPr>
        <w:tc>
          <w:tcPr>
            <w:tcW w:w="5418" w:type="dxa"/>
          </w:tcPr>
          <w:p w:rsidRPr="00280D9C" w:rsidR="006832D9" w:rsidP="00C8488C" w:rsidRDefault="00E40B50" w14:paraId="5DD1E03E" w14:textId="77777777">
            <w:pPr>
              <w:rPr>
                <w:b/>
              </w:rPr>
            </w:pPr>
            <w:r w:rsidRPr="00280D9C">
              <w:rPr>
                <w:b/>
              </w:rPr>
              <w:t>Category of Respondent</w:t>
            </w:r>
            <w:r w:rsidRPr="00280D9C" w:rsidR="00EF2095">
              <w:rPr>
                <w:b/>
              </w:rPr>
              <w:t xml:space="preserve"> </w:t>
            </w:r>
          </w:p>
        </w:tc>
        <w:tc>
          <w:tcPr>
            <w:tcW w:w="1530" w:type="dxa"/>
          </w:tcPr>
          <w:p w:rsidRPr="00280D9C" w:rsidR="006832D9" w:rsidP="00843796" w:rsidRDefault="006832D9" w14:paraId="5794845D" w14:textId="77777777">
            <w:pPr>
              <w:rPr>
                <w:b/>
              </w:rPr>
            </w:pPr>
            <w:r w:rsidRPr="00280D9C">
              <w:rPr>
                <w:b/>
              </w:rPr>
              <w:t>N</w:t>
            </w:r>
            <w:r w:rsidRPr="00280D9C" w:rsidR="009F5923">
              <w:rPr>
                <w:b/>
              </w:rPr>
              <w:t>o.</w:t>
            </w:r>
            <w:r w:rsidRPr="00280D9C">
              <w:rPr>
                <w:b/>
              </w:rPr>
              <w:t xml:space="preserve"> of Respondents</w:t>
            </w:r>
          </w:p>
        </w:tc>
        <w:tc>
          <w:tcPr>
            <w:tcW w:w="1710" w:type="dxa"/>
          </w:tcPr>
          <w:p w:rsidRPr="00280D9C" w:rsidR="006832D9" w:rsidP="00843796" w:rsidRDefault="006832D9" w14:paraId="77A6B574" w14:textId="77777777">
            <w:pPr>
              <w:rPr>
                <w:b/>
              </w:rPr>
            </w:pPr>
            <w:r w:rsidRPr="00280D9C">
              <w:rPr>
                <w:b/>
              </w:rPr>
              <w:t>Participation Time</w:t>
            </w:r>
          </w:p>
        </w:tc>
        <w:tc>
          <w:tcPr>
            <w:tcW w:w="1003" w:type="dxa"/>
          </w:tcPr>
          <w:p w:rsidRPr="00280D9C" w:rsidR="006832D9" w:rsidP="00843796" w:rsidRDefault="006832D9" w14:paraId="518C22E5" w14:textId="77777777">
            <w:pPr>
              <w:rPr>
                <w:b/>
              </w:rPr>
            </w:pPr>
            <w:r w:rsidRPr="00280D9C">
              <w:rPr>
                <w:b/>
              </w:rPr>
              <w:t>Burden</w:t>
            </w:r>
          </w:p>
        </w:tc>
      </w:tr>
      <w:tr w:rsidRPr="00280D9C" w:rsidR="00EF2095" w:rsidTr="00EF2095" w14:paraId="61DBBDD1" w14:textId="77777777">
        <w:trPr>
          <w:trHeight w:val="274"/>
        </w:trPr>
        <w:tc>
          <w:tcPr>
            <w:tcW w:w="5418" w:type="dxa"/>
          </w:tcPr>
          <w:p w:rsidRPr="00280D9C" w:rsidR="006832D9" w:rsidP="00843796" w:rsidRDefault="00C12ACB" w14:paraId="53F8A97E" w14:textId="7AA0D32D">
            <w:r w:rsidRPr="00280D9C">
              <w:t xml:space="preserve">Respondents from </w:t>
            </w:r>
            <w:hyperlink w:history="1" r:id="rId10">
              <w:r w:rsidRPr="00280D9C" w:rsidR="00AC4FB0">
                <w:rPr>
                  <w:rStyle w:val="Hyperlink"/>
                </w:rPr>
                <w:t>www.nsf.gov</w:t>
              </w:r>
            </w:hyperlink>
            <w:r w:rsidRPr="00280D9C" w:rsidR="00AC4FB0">
              <w:t xml:space="preserve"> </w:t>
            </w:r>
          </w:p>
        </w:tc>
        <w:tc>
          <w:tcPr>
            <w:tcW w:w="1530" w:type="dxa"/>
          </w:tcPr>
          <w:p w:rsidRPr="00280D9C" w:rsidR="006832D9" w:rsidP="00843796" w:rsidRDefault="00280D9C" w14:paraId="058B34FF" w14:textId="4F2FE946">
            <w:r>
              <w:t>~300</w:t>
            </w:r>
            <w:r w:rsidRPr="00280D9C" w:rsidR="00C12ACB">
              <w:t xml:space="preserve"> </w:t>
            </w:r>
          </w:p>
        </w:tc>
        <w:tc>
          <w:tcPr>
            <w:tcW w:w="1710" w:type="dxa"/>
          </w:tcPr>
          <w:p w:rsidRPr="00280D9C" w:rsidR="006832D9" w:rsidP="00843796" w:rsidRDefault="00AC4FB0" w14:paraId="487CD588" w14:textId="6D2DE974">
            <w:r w:rsidRPr="00280D9C">
              <w:t xml:space="preserve">5 min. </w:t>
            </w:r>
          </w:p>
        </w:tc>
        <w:tc>
          <w:tcPr>
            <w:tcW w:w="1003" w:type="dxa"/>
          </w:tcPr>
          <w:p w:rsidRPr="00280D9C" w:rsidR="006832D9" w:rsidP="00843796" w:rsidRDefault="002F1844" w14:paraId="78189367" w14:textId="17DED239">
            <w:r>
              <w:t>25</w:t>
            </w:r>
          </w:p>
        </w:tc>
      </w:tr>
      <w:tr w:rsidRPr="00280D9C" w:rsidR="00EF2095" w:rsidTr="00EF2095" w14:paraId="0A57E82D" w14:textId="77777777">
        <w:trPr>
          <w:trHeight w:val="274"/>
        </w:trPr>
        <w:tc>
          <w:tcPr>
            <w:tcW w:w="5418" w:type="dxa"/>
          </w:tcPr>
          <w:p w:rsidRPr="00280D9C" w:rsidR="006832D9" w:rsidP="00843796" w:rsidRDefault="00C12ACB" w14:paraId="460DEE3E" w14:textId="5CD43DF7">
            <w:r w:rsidRPr="00280D9C">
              <w:t>Respondents from NSF</w:t>
            </w:r>
            <w:r w:rsidRPr="00280D9C" w:rsidR="00AC4FB0">
              <w:t>’s</w:t>
            </w:r>
            <w:r w:rsidRPr="00280D9C">
              <w:t xml:space="preserve"> Facebook, </w:t>
            </w:r>
            <w:proofErr w:type="gramStart"/>
            <w:r w:rsidRPr="00280D9C">
              <w:t>Twitter</w:t>
            </w:r>
            <w:proofErr w:type="gramEnd"/>
            <w:r w:rsidRPr="00280D9C">
              <w:t xml:space="preserve"> and LinkedIn</w:t>
            </w:r>
            <w:r w:rsidRPr="00280D9C" w:rsidR="00AC4FB0">
              <w:t xml:space="preserve"> pages </w:t>
            </w:r>
          </w:p>
        </w:tc>
        <w:tc>
          <w:tcPr>
            <w:tcW w:w="1530" w:type="dxa"/>
          </w:tcPr>
          <w:p w:rsidRPr="00280D9C" w:rsidR="006832D9" w:rsidP="00843796" w:rsidRDefault="00280D9C" w14:paraId="1F7988E8" w14:textId="0AC6E164">
            <w:r>
              <w:t>~300</w:t>
            </w:r>
          </w:p>
        </w:tc>
        <w:tc>
          <w:tcPr>
            <w:tcW w:w="1710" w:type="dxa"/>
          </w:tcPr>
          <w:p w:rsidRPr="00280D9C" w:rsidR="006832D9" w:rsidP="00843796" w:rsidRDefault="00AC4FB0" w14:paraId="1485F198" w14:textId="23CF6209">
            <w:r w:rsidRPr="00280D9C">
              <w:t>5 min.</w:t>
            </w:r>
          </w:p>
        </w:tc>
        <w:tc>
          <w:tcPr>
            <w:tcW w:w="1003" w:type="dxa"/>
          </w:tcPr>
          <w:p w:rsidRPr="00280D9C" w:rsidR="006832D9" w:rsidP="00843796" w:rsidRDefault="002F1844" w14:paraId="7192085E" w14:textId="08214C0C">
            <w:r>
              <w:t>25</w:t>
            </w:r>
          </w:p>
        </w:tc>
      </w:tr>
      <w:tr w:rsidRPr="00280D9C" w:rsidR="00C12ACB" w:rsidTr="00EF2095" w14:paraId="406D46B1" w14:textId="77777777">
        <w:trPr>
          <w:trHeight w:val="274"/>
        </w:trPr>
        <w:tc>
          <w:tcPr>
            <w:tcW w:w="5418" w:type="dxa"/>
          </w:tcPr>
          <w:p w:rsidRPr="00280D9C" w:rsidR="00C12ACB" w:rsidP="00843796" w:rsidRDefault="00C12ACB" w14:paraId="2E3DE634" w14:textId="5A76CF4B">
            <w:r w:rsidRPr="00280D9C">
              <w:t>Respondents fro</w:t>
            </w:r>
            <w:r w:rsidRPr="00280D9C" w:rsidR="00AC4FB0">
              <w:t>m Granicus subscriber email</w:t>
            </w:r>
          </w:p>
        </w:tc>
        <w:tc>
          <w:tcPr>
            <w:tcW w:w="1530" w:type="dxa"/>
          </w:tcPr>
          <w:p w:rsidRPr="00280D9C" w:rsidR="00C12ACB" w:rsidP="00843796" w:rsidRDefault="00280D9C" w14:paraId="17B528EB" w14:textId="1C6919D0">
            <w:r>
              <w:t>~300</w:t>
            </w:r>
          </w:p>
        </w:tc>
        <w:tc>
          <w:tcPr>
            <w:tcW w:w="1710" w:type="dxa"/>
          </w:tcPr>
          <w:p w:rsidRPr="00280D9C" w:rsidR="00C12ACB" w:rsidP="00843796" w:rsidRDefault="00AC4FB0" w14:paraId="1BEF728D" w14:textId="0C54D484">
            <w:r w:rsidRPr="00280D9C">
              <w:t xml:space="preserve">5 min. </w:t>
            </w:r>
          </w:p>
        </w:tc>
        <w:tc>
          <w:tcPr>
            <w:tcW w:w="1003" w:type="dxa"/>
          </w:tcPr>
          <w:p w:rsidRPr="00280D9C" w:rsidR="00C12ACB" w:rsidP="00843796" w:rsidRDefault="002F1844" w14:paraId="4C0A4105" w14:textId="4440733F">
            <w:r>
              <w:t>25</w:t>
            </w:r>
          </w:p>
        </w:tc>
      </w:tr>
      <w:tr w:rsidRPr="00280D9C" w:rsidR="00EF2095" w:rsidTr="00EF2095" w14:paraId="1B2EE143" w14:textId="77777777">
        <w:trPr>
          <w:trHeight w:val="289"/>
        </w:trPr>
        <w:tc>
          <w:tcPr>
            <w:tcW w:w="5418" w:type="dxa"/>
          </w:tcPr>
          <w:p w:rsidRPr="00280D9C" w:rsidR="006832D9" w:rsidP="00843796" w:rsidRDefault="006832D9" w14:paraId="6972BAB8" w14:textId="77777777">
            <w:pPr>
              <w:rPr>
                <w:b/>
              </w:rPr>
            </w:pPr>
            <w:r w:rsidRPr="00280D9C">
              <w:rPr>
                <w:b/>
              </w:rPr>
              <w:t>Totals</w:t>
            </w:r>
          </w:p>
        </w:tc>
        <w:tc>
          <w:tcPr>
            <w:tcW w:w="1530" w:type="dxa"/>
          </w:tcPr>
          <w:p w:rsidRPr="00280D9C" w:rsidR="006832D9" w:rsidP="00843796" w:rsidRDefault="002F1844" w14:paraId="717223C5" w14:textId="641FAEB3">
            <w:pPr>
              <w:rPr>
                <w:b/>
              </w:rPr>
            </w:pPr>
            <w:r>
              <w:rPr>
                <w:b/>
              </w:rPr>
              <w:t>900</w:t>
            </w:r>
          </w:p>
        </w:tc>
        <w:tc>
          <w:tcPr>
            <w:tcW w:w="1710" w:type="dxa"/>
          </w:tcPr>
          <w:p w:rsidRPr="00280D9C" w:rsidR="006832D9" w:rsidP="00843796" w:rsidRDefault="002F1844" w14:paraId="42D3313B" w14:textId="1ACABA6B">
            <w:pPr>
              <w:rPr>
                <w:b/>
                <w:bCs/>
              </w:rPr>
            </w:pPr>
            <w:r>
              <w:rPr>
                <w:b/>
                <w:bCs/>
              </w:rPr>
              <w:t xml:space="preserve">5 min. </w:t>
            </w:r>
          </w:p>
        </w:tc>
        <w:tc>
          <w:tcPr>
            <w:tcW w:w="1003" w:type="dxa"/>
          </w:tcPr>
          <w:p w:rsidRPr="00280D9C" w:rsidR="006832D9" w:rsidP="00843796" w:rsidRDefault="002F1844" w14:paraId="3B14773B" w14:textId="4AB78D4D">
            <w:pPr>
              <w:rPr>
                <w:b/>
              </w:rPr>
            </w:pPr>
            <w:r>
              <w:rPr>
                <w:b/>
              </w:rPr>
              <w:t>75</w:t>
            </w:r>
          </w:p>
        </w:tc>
      </w:tr>
    </w:tbl>
    <w:p w:rsidRPr="00280D9C" w:rsidR="00F3170F" w:rsidP="00F3170F" w:rsidRDefault="00F3170F" w14:paraId="70847E1C" w14:textId="77777777"/>
    <w:p w:rsidRPr="00280D9C" w:rsidR="00441434" w:rsidP="00F3170F" w:rsidRDefault="00441434" w14:paraId="25E6EFE9" w14:textId="77777777"/>
    <w:p w:rsidR="005E714A" w:rsidRDefault="001C39F7" w14:paraId="278E7B50" w14:textId="3CBFE1E7">
      <w:pPr>
        <w:rPr>
          <w:b/>
        </w:rPr>
      </w:pPr>
      <w:r w:rsidRPr="00D47D24">
        <w:rPr>
          <w:b/>
        </w:rPr>
        <w:t xml:space="preserve">FEDERAL </w:t>
      </w:r>
      <w:r w:rsidRPr="00D47D24" w:rsidR="009F5923">
        <w:rPr>
          <w:b/>
        </w:rPr>
        <w:t>COST</w:t>
      </w:r>
      <w:r w:rsidRPr="00D47D24" w:rsidR="00F06866">
        <w:rPr>
          <w:b/>
        </w:rPr>
        <w:t>:</w:t>
      </w:r>
      <w:r w:rsidRPr="00D47D24" w:rsidR="00895229">
        <w:rPr>
          <w:b/>
        </w:rPr>
        <w:t xml:space="preserve"> </w:t>
      </w:r>
      <w:r w:rsidRPr="00D47D24" w:rsidR="00C86E91">
        <w:rPr>
          <w:b/>
        </w:rPr>
        <w:t xml:space="preserve"> </w:t>
      </w:r>
      <w:r w:rsidRPr="00D47D24" w:rsidR="00C86E91">
        <w:t xml:space="preserve">The estimated annual cost to the Federal government is </w:t>
      </w:r>
      <w:r w:rsidRPr="00D47D24" w:rsidR="006A37F8">
        <w:t>$</w:t>
      </w:r>
      <w:r w:rsidRPr="00D47D24" w:rsidR="00D47D24">
        <w:t>2500</w:t>
      </w:r>
      <w:r w:rsidRPr="00D47D24" w:rsidR="006A37F8">
        <w:t xml:space="preserve"> for the contractor to conduct and evaluate the responses</w:t>
      </w:r>
    </w:p>
    <w:p w:rsidR="00ED6492" w:rsidRDefault="00ED6492" w14:paraId="201D7259" w14:textId="77777777">
      <w:pPr>
        <w:rPr>
          <w:b/>
          <w:bCs/>
          <w:u w:val="single"/>
        </w:rPr>
      </w:pPr>
    </w:p>
    <w:p w:rsidR="0069403B" w:rsidP="00F06866" w:rsidRDefault="00ED6492" w14:paraId="24B88259" w14:textId="2062C2DF">
      <w:pPr>
        <w:rPr>
          <w:b/>
        </w:rPr>
      </w:pPr>
      <w:r>
        <w:rPr>
          <w:b/>
          <w:bCs/>
          <w:u w:val="single"/>
        </w:rPr>
        <w:t xml:space="preserve">If you are conducting a focus group, survey, or plan to employ statistical methods, </w:t>
      </w:r>
      <w:r w:rsidR="00AC4FB0">
        <w:rPr>
          <w:b/>
          <w:bCs/>
          <w:u w:val="single"/>
        </w:rPr>
        <w:t>please provide</w:t>
      </w:r>
      <w:r w:rsidR="0069403B">
        <w:rPr>
          <w:b/>
          <w:bCs/>
          <w:u w:val="single"/>
        </w:rPr>
        <w:t xml:space="preserve"> answers to the following questions:</w:t>
      </w:r>
    </w:p>
    <w:p w:rsidR="0069403B" w:rsidP="00F06866" w:rsidRDefault="0069403B" w14:paraId="556D44C8" w14:textId="77777777">
      <w:pPr>
        <w:rPr>
          <w:b/>
        </w:rPr>
      </w:pPr>
    </w:p>
    <w:p w:rsidR="00F06866" w:rsidP="00F06866" w:rsidRDefault="00636621" w14:paraId="5BF48C30" w14:textId="77777777">
      <w:pPr>
        <w:rPr>
          <w:b/>
        </w:rPr>
      </w:pPr>
      <w:r>
        <w:rPr>
          <w:b/>
        </w:rPr>
        <w:t>The</w:t>
      </w:r>
      <w:r w:rsidR="0069403B">
        <w:rPr>
          <w:b/>
        </w:rPr>
        <w:t xml:space="preserve"> select</w:t>
      </w:r>
      <w:r>
        <w:rPr>
          <w:b/>
        </w:rPr>
        <w:t>ion of your targeted respondents</w:t>
      </w:r>
    </w:p>
    <w:p w:rsidR="0069403B" w:rsidP="0069403B" w:rsidRDefault="0069403B" w14:paraId="4FB2FDFB" w14:textId="68945F8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w:t>
      </w:r>
      <w:proofErr w:type="gramEnd"/>
      <w:r>
        <w:t xml:space="preserve"> Yes</w:t>
      </w:r>
      <w:r>
        <w:tab/>
        <w:t>[</w:t>
      </w:r>
      <w:r w:rsidR="00AC4FB0">
        <w:t>x</w:t>
      </w:r>
      <w:r>
        <w:t>] No</w:t>
      </w:r>
    </w:p>
    <w:p w:rsidR="00636621" w:rsidP="00636621" w:rsidRDefault="00636621" w14:paraId="20C65948" w14:textId="77777777">
      <w:pPr>
        <w:pStyle w:val="ListParagraph"/>
      </w:pPr>
    </w:p>
    <w:p w:rsidR="00636621" w:rsidP="001B0AAA" w:rsidRDefault="00636621" w14:paraId="745BE37D"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DF8D40F" w14:textId="77777777"/>
    <w:p w:rsidR="004D6E14" w:rsidP="00A403BB" w:rsidRDefault="004D6E14" w14:paraId="2DEC1B31" w14:textId="77777777">
      <w:pPr>
        <w:rPr>
          <w:b/>
        </w:rPr>
      </w:pPr>
    </w:p>
    <w:p w:rsidR="00A403BB" w:rsidP="00A403BB" w:rsidRDefault="00A403BB" w14:paraId="55DBF52D" w14:textId="77777777">
      <w:pPr>
        <w:rPr>
          <w:b/>
        </w:rPr>
      </w:pPr>
      <w:r>
        <w:rPr>
          <w:b/>
        </w:rPr>
        <w:t>Administration of the Instrument</w:t>
      </w:r>
    </w:p>
    <w:p w:rsidR="00A403BB" w:rsidP="00A403BB" w:rsidRDefault="001B0AAA" w14:paraId="72599909" w14:textId="77777777">
      <w:pPr>
        <w:pStyle w:val="ListParagraph"/>
        <w:numPr>
          <w:ilvl w:val="0"/>
          <w:numId w:val="17"/>
        </w:numPr>
      </w:pPr>
      <w:r>
        <w:t>H</w:t>
      </w:r>
      <w:r w:rsidR="00A403BB">
        <w:t>ow will you collect the information? (Check all that apply)</w:t>
      </w:r>
    </w:p>
    <w:p w:rsidR="001B0AAA" w:rsidP="001B0AAA" w:rsidRDefault="00A403BB" w14:paraId="7250D85E" w14:textId="4E8B47B3">
      <w:pPr>
        <w:ind w:left="720"/>
      </w:pPr>
      <w:r>
        <w:t>[</w:t>
      </w:r>
      <w:r w:rsidR="002C423D">
        <w:t>x</w:t>
      </w:r>
      <w:r>
        <w:t>] Web-based</w:t>
      </w:r>
      <w:r w:rsidR="001B0AAA">
        <w:t xml:space="preserve"> or other forms of Social Media </w:t>
      </w:r>
    </w:p>
    <w:p w:rsidR="001B0AAA" w:rsidP="001B0AAA" w:rsidRDefault="00A403BB" w14:paraId="22896FC8"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0D921936"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38DDE005"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2E7EA85" w14:textId="02FC0CDA">
      <w:pPr>
        <w:ind w:left="720"/>
      </w:pPr>
      <w:r>
        <w:t xml:space="preserve">[ </w:t>
      </w:r>
      <w:proofErr w:type="gramStart"/>
      <w:r w:rsidR="00AC4FB0">
        <w:t>x</w:t>
      </w:r>
      <w:r w:rsidR="001B0AAA">
        <w:t xml:space="preserve"> </w:t>
      </w:r>
      <w:r>
        <w:t>]</w:t>
      </w:r>
      <w:proofErr w:type="gramEnd"/>
      <w:r>
        <w:t xml:space="preserve"> Other, </w:t>
      </w:r>
      <w:r w:rsidR="00AC4FB0">
        <w:t>Email to subscriber list (s)</w:t>
      </w:r>
    </w:p>
    <w:p w:rsidR="00F24CFC" w:rsidP="00F24CFC" w:rsidRDefault="00F24CFC" w14:paraId="061CCDD5" w14:textId="5D6C56C2">
      <w:pPr>
        <w:pStyle w:val="ListParagraph"/>
        <w:numPr>
          <w:ilvl w:val="0"/>
          <w:numId w:val="17"/>
        </w:numPr>
      </w:pPr>
      <w:r>
        <w:t xml:space="preserve">Will interviewers or facilitators be used?  </w:t>
      </w:r>
      <w:proofErr w:type="gramStart"/>
      <w:r>
        <w:t>[  ]</w:t>
      </w:r>
      <w:proofErr w:type="gramEnd"/>
      <w:r>
        <w:t xml:space="preserve"> Yes [</w:t>
      </w:r>
      <w:r w:rsidR="00AC4FB0">
        <w:t>x</w:t>
      </w:r>
      <w:r>
        <w:t xml:space="preserve"> ] No</w:t>
      </w:r>
    </w:p>
    <w:p w:rsidR="00F24CFC" w:rsidP="00F24CFC" w:rsidRDefault="00F24CFC" w14:paraId="1A110BDE" w14:textId="77777777">
      <w:pPr>
        <w:pStyle w:val="ListParagraph"/>
        <w:ind w:left="360"/>
      </w:pPr>
      <w:r>
        <w:lastRenderedPageBreak/>
        <w:t xml:space="preserve"> </w:t>
      </w:r>
    </w:p>
    <w:p w:rsidRPr="00F24CFC" w:rsidR="0024521E" w:rsidP="0024521E" w:rsidRDefault="00F24CFC" w14:paraId="1B0112ED" w14:textId="77777777">
      <w:pPr>
        <w:rPr>
          <w:b/>
        </w:rPr>
      </w:pPr>
      <w:r w:rsidRPr="00F24CFC">
        <w:rPr>
          <w:b/>
        </w:rPr>
        <w:t>Please make sure that all instruments, instructions, and scripts are submitted with the request.</w:t>
      </w:r>
    </w:p>
    <w:p w:rsidR="00F24CFC" w:rsidP="00F24CFC" w:rsidRDefault="00F24CFC" w14:paraId="133FC852"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10F4AA70" w14:textId="77777777">
      <w:pPr>
        <w:rPr>
          <w:b/>
        </w:rPr>
      </w:pPr>
    </w:p>
    <w:p w:rsidR="00F24CFC" w:rsidP="00F24CFC" w:rsidRDefault="002C423D" w14:paraId="153B4A74" w14:textId="21B548D6">
      <w:pPr>
        <w:rPr>
          <w:b/>
        </w:rPr>
      </w:pPr>
      <w:r>
        <w:rPr>
          <w:b/>
          <w:noProof/>
        </w:rPr>
        <mc:AlternateContent>
          <mc:Choice Requires="wps">
            <w:drawing>
              <wp:anchor distT="0" distB="0" distL="114300" distR="114300" simplePos="0" relativeHeight="251660288" behindDoc="0" locked="0" layoutInCell="0" allowOverlap="1" wp14:editId="281AA83F" wp14:anchorId="68D7F160">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124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8F50D4" w:rsidR="00F24CFC" w:rsidP="00F24CFC" w:rsidRDefault="00F24CFC" w14:paraId="1EA40DB9"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16AF33EC" w14:textId="77777777"/>
    <w:p w:rsidRPr="008F50D4" w:rsidR="00F24CFC" w:rsidP="00F24CFC" w:rsidRDefault="00F24CFC" w14:paraId="5A67A3A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54FEED80" w14:textId="77777777">
      <w:pPr>
        <w:pStyle w:val="Header"/>
        <w:tabs>
          <w:tab w:val="clear" w:pos="4320"/>
          <w:tab w:val="clear" w:pos="8640"/>
        </w:tabs>
        <w:rPr>
          <w:b/>
        </w:rPr>
      </w:pPr>
    </w:p>
    <w:p w:rsidRPr="008F50D4" w:rsidR="00F24CFC" w:rsidP="00F24CFC" w:rsidRDefault="00F24CFC" w14:paraId="52EA368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7E3B53AD" w14:textId="77777777">
      <w:pPr>
        <w:rPr>
          <w:b/>
        </w:rPr>
      </w:pPr>
    </w:p>
    <w:p w:rsidRPr="008F50D4" w:rsidR="00F24CFC" w:rsidP="00F24CFC" w:rsidRDefault="00F24CFC" w14:paraId="4506043D"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12DD83AF" w14:textId="77777777">
      <w:pPr>
        <w:pStyle w:val="BodyTextIndent"/>
        <w:tabs>
          <w:tab w:val="left" w:pos="360"/>
        </w:tabs>
        <w:ind w:left="0"/>
        <w:rPr>
          <w:bCs/>
          <w:sz w:val="24"/>
          <w:szCs w:val="24"/>
        </w:rPr>
      </w:pPr>
    </w:p>
    <w:p w:rsidRPr="008F50D4" w:rsidR="00F24CFC" w:rsidP="00F24CFC" w:rsidRDefault="00F24CFC" w14:paraId="57119D26"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59C6AD12" w14:textId="77777777">
      <w:pPr>
        <w:rPr>
          <w:sz w:val="16"/>
          <w:szCs w:val="16"/>
        </w:rPr>
      </w:pPr>
    </w:p>
    <w:p w:rsidR="00F24CFC" w:rsidP="00F24CFC" w:rsidRDefault="00F24CFC" w14:paraId="35EA6574"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7C42EBC7" w14:textId="77777777"/>
    <w:p w:rsidRPr="008F50D4" w:rsidR="00F24CFC" w:rsidP="008F50D4" w:rsidRDefault="00CB1078" w14:paraId="2E5C2CED"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21344ED9" w14:textId="77777777">
      <w:pPr>
        <w:rPr>
          <w:b/>
        </w:rPr>
      </w:pPr>
    </w:p>
    <w:p w:rsidR="008F50D4" w:rsidP="00F24CFC" w:rsidRDefault="00F24CFC" w14:paraId="6EC1B0FF" w14:textId="77777777">
      <w:pPr>
        <w:rPr>
          <w:b/>
        </w:rPr>
      </w:pPr>
      <w:r>
        <w:rPr>
          <w:b/>
        </w:rPr>
        <w:t>BURDEN HOURS</w:t>
      </w:r>
      <w:r w:rsidR="008F50D4">
        <w:rPr>
          <w:b/>
        </w:rPr>
        <w:t>:</w:t>
      </w:r>
    </w:p>
    <w:p w:rsidR="008F50D4" w:rsidP="00F24CFC" w:rsidRDefault="008F50D4" w14:paraId="17B0227F"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5B281F5A"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2D47A8E5"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312733EE"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48000A07" w14:textId="77777777">
      <w:pPr>
        <w:keepNext/>
        <w:keepLines/>
        <w:rPr>
          <w:b/>
        </w:rPr>
      </w:pPr>
    </w:p>
    <w:p w:rsidR="00F24CFC" w:rsidP="00F24CFC" w:rsidRDefault="00F24CFC" w14:paraId="448D7CD8"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02FB3D32" w14:textId="77777777">
      <w:pPr>
        <w:rPr>
          <w:b/>
          <w:bCs/>
          <w:u w:val="single"/>
        </w:rPr>
      </w:pPr>
    </w:p>
    <w:p w:rsidR="00F24CFC" w:rsidP="00F24CFC" w:rsidRDefault="00F24CFC" w14:paraId="7B6748A7"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445B364A" w14:textId="77777777">
      <w:pPr>
        <w:rPr>
          <w:b/>
        </w:rPr>
      </w:pPr>
    </w:p>
    <w:p w:rsidR="00F24CFC" w:rsidP="00F24CFC" w:rsidRDefault="00F24CFC" w14:paraId="7A3E9CF4"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4F18484E" w14:textId="77777777">
      <w:pPr>
        <w:rPr>
          <w:b/>
        </w:rPr>
      </w:pPr>
    </w:p>
    <w:p w:rsidRPr="003F1C5B" w:rsidR="00F24CFC" w:rsidP="00F24CFC" w:rsidRDefault="00F24CFC" w14:paraId="719AC85A" w14:textId="77777777">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5A0513BD" w14:textId="77777777">
      <w:pPr>
        <w:pStyle w:val="ListParagraph"/>
        <w:ind w:left="360"/>
      </w:pPr>
    </w:p>
    <w:p w:rsidRPr="00F24CFC" w:rsidR="00F24CFC" w:rsidP="00F24CFC" w:rsidRDefault="00F24CFC" w14:paraId="0FD31AFF" w14:textId="77777777">
      <w:pPr>
        <w:rPr>
          <w:b/>
        </w:rPr>
      </w:pPr>
      <w:r w:rsidRPr="00F24CFC">
        <w:rPr>
          <w:b/>
        </w:rPr>
        <w:t>Please make sure that all instruments, instructions, and scripts are submitted with the request.</w:t>
      </w:r>
    </w:p>
    <w:p w:rsidR="005E714A" w:rsidP="00F24CFC" w:rsidRDefault="005E714A" w14:paraId="30BF5A3E" w14:textId="77777777">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B4B6C" w14:textId="77777777" w:rsidR="00785583" w:rsidRDefault="00785583">
      <w:r>
        <w:separator/>
      </w:r>
    </w:p>
  </w:endnote>
  <w:endnote w:type="continuationSeparator" w:id="0">
    <w:p w14:paraId="2B4FC555" w14:textId="77777777" w:rsidR="00785583" w:rsidRDefault="0078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A6551" w14:textId="77777777"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76CD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76168" w14:textId="77777777" w:rsidR="00785583" w:rsidRDefault="00785583">
      <w:r>
        <w:separator/>
      </w:r>
    </w:p>
  </w:footnote>
  <w:footnote w:type="continuationSeparator" w:id="0">
    <w:p w14:paraId="66B6BBDF" w14:textId="77777777" w:rsidR="00785583" w:rsidRDefault="00785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E499C"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765413"/>
    <w:multiLevelType w:val="hybridMultilevel"/>
    <w:tmpl w:val="668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1236"/>
    <w:rsid w:val="00023A57"/>
    <w:rsid w:val="00047A64"/>
    <w:rsid w:val="00067329"/>
    <w:rsid w:val="000B2838"/>
    <w:rsid w:val="000D44CA"/>
    <w:rsid w:val="000E200B"/>
    <w:rsid w:val="000F68BE"/>
    <w:rsid w:val="001927A4"/>
    <w:rsid w:val="00194AC6"/>
    <w:rsid w:val="001A23B0"/>
    <w:rsid w:val="001A25CC"/>
    <w:rsid w:val="001B0AAA"/>
    <w:rsid w:val="001C39F7"/>
    <w:rsid w:val="001F4EF9"/>
    <w:rsid w:val="002222C0"/>
    <w:rsid w:val="00223102"/>
    <w:rsid w:val="00237B48"/>
    <w:rsid w:val="0024521E"/>
    <w:rsid w:val="00263C3D"/>
    <w:rsid w:val="00274D0B"/>
    <w:rsid w:val="00280D9C"/>
    <w:rsid w:val="0029044E"/>
    <w:rsid w:val="002B3C95"/>
    <w:rsid w:val="002C423D"/>
    <w:rsid w:val="002D0B92"/>
    <w:rsid w:val="002F1844"/>
    <w:rsid w:val="00397C1F"/>
    <w:rsid w:val="003D5BBE"/>
    <w:rsid w:val="003E3C61"/>
    <w:rsid w:val="003F1C5B"/>
    <w:rsid w:val="00434E33"/>
    <w:rsid w:val="00441434"/>
    <w:rsid w:val="0045264C"/>
    <w:rsid w:val="004876EC"/>
    <w:rsid w:val="004D6E14"/>
    <w:rsid w:val="004E6EE9"/>
    <w:rsid w:val="005009B0"/>
    <w:rsid w:val="005A1006"/>
    <w:rsid w:val="005D1A97"/>
    <w:rsid w:val="005E714A"/>
    <w:rsid w:val="006140A0"/>
    <w:rsid w:val="00621967"/>
    <w:rsid w:val="00636621"/>
    <w:rsid w:val="00642B49"/>
    <w:rsid w:val="006832D9"/>
    <w:rsid w:val="0069403B"/>
    <w:rsid w:val="006A37F8"/>
    <w:rsid w:val="006D6F04"/>
    <w:rsid w:val="006F3DDE"/>
    <w:rsid w:val="00704678"/>
    <w:rsid w:val="007425E7"/>
    <w:rsid w:val="00772B6A"/>
    <w:rsid w:val="00785583"/>
    <w:rsid w:val="007E0F9D"/>
    <w:rsid w:val="00802607"/>
    <w:rsid w:val="008101A5"/>
    <w:rsid w:val="00822664"/>
    <w:rsid w:val="00843796"/>
    <w:rsid w:val="00895229"/>
    <w:rsid w:val="008F0203"/>
    <w:rsid w:val="008F50D4"/>
    <w:rsid w:val="0090783F"/>
    <w:rsid w:val="009239AA"/>
    <w:rsid w:val="00935ADA"/>
    <w:rsid w:val="00946B6C"/>
    <w:rsid w:val="00955A71"/>
    <w:rsid w:val="0096108F"/>
    <w:rsid w:val="009C13B9"/>
    <w:rsid w:val="009D01A2"/>
    <w:rsid w:val="009E7E5F"/>
    <w:rsid w:val="009F5923"/>
    <w:rsid w:val="00A403BB"/>
    <w:rsid w:val="00A674DF"/>
    <w:rsid w:val="00A83AA6"/>
    <w:rsid w:val="00AA7C88"/>
    <w:rsid w:val="00AC4FB0"/>
    <w:rsid w:val="00AE1809"/>
    <w:rsid w:val="00AF3AF8"/>
    <w:rsid w:val="00B0703E"/>
    <w:rsid w:val="00B44727"/>
    <w:rsid w:val="00B7676E"/>
    <w:rsid w:val="00B7687E"/>
    <w:rsid w:val="00B76CD7"/>
    <w:rsid w:val="00B80D76"/>
    <w:rsid w:val="00BA2105"/>
    <w:rsid w:val="00BA7E06"/>
    <w:rsid w:val="00BB43B5"/>
    <w:rsid w:val="00BB6219"/>
    <w:rsid w:val="00BC17F6"/>
    <w:rsid w:val="00BD290F"/>
    <w:rsid w:val="00BF54B5"/>
    <w:rsid w:val="00C12ACB"/>
    <w:rsid w:val="00C14CC4"/>
    <w:rsid w:val="00C33C52"/>
    <w:rsid w:val="00C40D8B"/>
    <w:rsid w:val="00C8407A"/>
    <w:rsid w:val="00C8488C"/>
    <w:rsid w:val="00C86E91"/>
    <w:rsid w:val="00CA2650"/>
    <w:rsid w:val="00CB1078"/>
    <w:rsid w:val="00CC6FAF"/>
    <w:rsid w:val="00D0558C"/>
    <w:rsid w:val="00D24698"/>
    <w:rsid w:val="00D47CC9"/>
    <w:rsid w:val="00D47D24"/>
    <w:rsid w:val="00D6383F"/>
    <w:rsid w:val="00DB59D0"/>
    <w:rsid w:val="00DC33D3"/>
    <w:rsid w:val="00DE4C70"/>
    <w:rsid w:val="00E26329"/>
    <w:rsid w:val="00E30583"/>
    <w:rsid w:val="00E35DC6"/>
    <w:rsid w:val="00E40B50"/>
    <w:rsid w:val="00E50293"/>
    <w:rsid w:val="00E65FFC"/>
    <w:rsid w:val="00E80951"/>
    <w:rsid w:val="00E86CC6"/>
    <w:rsid w:val="00EB56B3"/>
    <w:rsid w:val="00ED6492"/>
    <w:rsid w:val="00EF2095"/>
    <w:rsid w:val="00F06866"/>
    <w:rsid w:val="00F15956"/>
    <w:rsid w:val="00F24CFC"/>
    <w:rsid w:val="00F3170F"/>
    <w:rsid w:val="00F32F5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2491E6"/>
  <w15:docId w15:val="{A0933FB0-5C01-48AC-87AF-58DD7C18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AC4FB0"/>
    <w:rPr>
      <w:color w:val="0000FF" w:themeColor="hyperlink"/>
      <w:u w:val="single"/>
    </w:rPr>
  </w:style>
  <w:style w:type="character" w:styleId="UnresolvedMention">
    <w:name w:val="Unresolved Mention"/>
    <w:basedOn w:val="DefaultParagraphFont"/>
    <w:uiPriority w:val="99"/>
    <w:semiHidden/>
    <w:unhideWhenUsed/>
    <w:rsid w:val="00AC4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sf.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EADFF124EE204FBC4D1AAB8A813A58" ma:contentTypeVersion="12" ma:contentTypeDescription="Create a new document." ma:contentTypeScope="" ma:versionID="f98897af309b49b1816531a8f57f61d7">
  <xsd:schema xmlns:xsd="http://www.w3.org/2001/XMLSchema" xmlns:xs="http://www.w3.org/2001/XMLSchema" xmlns:p="http://schemas.microsoft.com/office/2006/metadata/properties" xmlns:ns1="http://schemas.microsoft.com/sharepoint/v3" xmlns:ns2="a64fc3f4-f77d-4a5b-acf3-63d760eee6a3" xmlns:ns3="15bb7cec-6e91-4a1f-b37b-0f92fb440355" targetNamespace="http://schemas.microsoft.com/office/2006/metadata/properties" ma:root="true" ma:fieldsID="6bf27451b272377c3a9667cf8b82dd9c" ns1:_="" ns2:_="" ns3:_="">
    <xsd:import namespace="http://schemas.microsoft.com/sharepoint/v3"/>
    <xsd:import namespace="a64fc3f4-f77d-4a5b-acf3-63d760eee6a3"/>
    <xsd:import namespace="15bb7cec-6e91-4a1f-b37b-0f92fb4403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fc3f4-f77d-4a5b-acf3-63d760eee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b7cec-6e91-4a1f-b37b-0f92fb4403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E0934-21D8-40CA-8399-B614623FD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4fc3f4-f77d-4a5b-acf3-63d760eee6a3"/>
    <ds:schemaRef ds:uri="15bb7cec-6e91-4a1f-b37b-0f92fb440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5E00F-27E5-44FD-9424-36448F84E1A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F8349AC-A876-4354-AFA9-170F46AF0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5843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Suzanne Plimpton</cp:lastModifiedBy>
  <cp:revision>2</cp:revision>
  <cp:lastPrinted>2010-10-04T16:59:00Z</cp:lastPrinted>
  <dcterms:created xsi:type="dcterms:W3CDTF">2020-11-30T20:56:00Z</dcterms:created>
  <dcterms:modified xsi:type="dcterms:W3CDTF">2020-11-30T20:56:00Z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0x01010050EADFF124EE204FBC4D1AAB8A813A58</vt:lpwstr>
  </property>
</Properties>
</file>