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40ED" w:rsidRDefault="006440ED" w14:paraId="06803511" w14:textId="77777777"/>
    <w:p w:rsidR="00536947" w:rsidRDefault="00536947" w14:paraId="34DFFED9" w14:textId="10408D72">
      <w:pPr>
        <w:tabs>
          <w:tab w:val="right" w:pos="9106"/>
        </w:tabs>
        <w:ind w:left="285" w:hanging="15"/>
        <w:jc w:val="center"/>
        <w:rPr>
          <w:b/>
        </w:rPr>
      </w:pPr>
    </w:p>
    <w:p w:rsidRPr="00C879B4" w:rsidR="00536947" w:rsidP="00536947" w:rsidRDefault="00536947" w14:paraId="013899D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8"/>
        </w:rPr>
      </w:pPr>
      <w:r w:rsidRPr="00C879B4">
        <w:rPr>
          <w:rFonts w:ascii="Helvetica" w:hAnsi="Helvetica"/>
          <w:b/>
          <w:color w:val="000000"/>
          <w:sz w:val="28"/>
        </w:rPr>
        <w:t>Supporting Statement for Paperwork Reduction Act Submissions</w:t>
      </w:r>
    </w:p>
    <w:p w:rsidRPr="00E86083" w:rsidR="00536947" w:rsidP="00536947" w:rsidRDefault="00536947" w14:paraId="7371B419" w14:textId="77777777">
      <w:pPr>
        <w:pStyle w:val="Heading1"/>
        <w:jc w:val="center"/>
        <w:rPr>
          <w:rFonts w:ascii="Helvetica" w:hAnsi="Helvetica"/>
          <w:b/>
          <w:color w:val="000000"/>
          <w:sz w:val="22"/>
          <w:szCs w:val="22"/>
          <w:u w:val="none"/>
        </w:rPr>
      </w:pPr>
      <w:r w:rsidRPr="00E86083">
        <w:rPr>
          <w:rFonts w:ascii="Helvetica" w:hAnsi="Helvetica"/>
          <w:b/>
          <w:color w:val="000000"/>
          <w:sz w:val="22"/>
          <w:szCs w:val="22"/>
          <w:u w:val="none"/>
        </w:rPr>
        <w:t>Application for HUD/FHA INSURED MORTGAGE:</w:t>
      </w:r>
    </w:p>
    <w:p w:rsidRPr="00C879B4" w:rsidR="00536947" w:rsidP="00536947" w:rsidRDefault="00536947" w14:paraId="6C1726B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4"/>
        </w:rPr>
      </w:pPr>
      <w:r w:rsidRPr="00C879B4">
        <w:rPr>
          <w:rFonts w:ascii="Helvetica" w:hAnsi="Helvetica"/>
          <w:b/>
          <w:color w:val="000000"/>
          <w:sz w:val="24"/>
        </w:rPr>
        <w:t>OMB Control Number</w:t>
      </w:r>
      <w:r>
        <w:rPr>
          <w:rFonts w:ascii="Helvetica" w:hAnsi="Helvetica"/>
          <w:b/>
          <w:color w:val="000000"/>
          <w:sz w:val="24"/>
        </w:rPr>
        <w:t>:</w:t>
      </w:r>
      <w:r w:rsidRPr="00C879B4">
        <w:rPr>
          <w:rFonts w:ascii="Helvetica" w:hAnsi="Helvetica"/>
          <w:b/>
          <w:color w:val="000000"/>
          <w:sz w:val="24"/>
        </w:rPr>
        <w:t xml:space="preserve"> 2502-</w:t>
      </w:r>
      <w:r>
        <w:rPr>
          <w:rFonts w:ascii="Helvetica" w:hAnsi="Helvetica"/>
          <w:b/>
          <w:color w:val="000000"/>
          <w:sz w:val="24"/>
        </w:rPr>
        <w:t>0059</w:t>
      </w:r>
    </w:p>
    <w:p w:rsidRPr="00E86083" w:rsidR="00536947" w:rsidP="00536947" w:rsidRDefault="00536947" w14:paraId="4F35BED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rPr>
      </w:pPr>
      <w:r w:rsidRPr="00E86083">
        <w:rPr>
          <w:rFonts w:ascii="Helvetica" w:hAnsi="Helvetica"/>
          <w:b/>
          <w:color w:val="000000"/>
        </w:rPr>
        <w:t>(FORMS HUD-92900-A, HUD-92900-B, HUD-92900-LT, HUD-92544, HUD-92561, Model Notice Informed Consumer Choice Disclosure, Model Pre-Insurance Review Checklist for Lender Insurance Settlement Certification)</w:t>
      </w:r>
    </w:p>
    <w:p w:rsidRPr="00C879B4" w:rsidR="00536947" w:rsidP="00536947" w:rsidRDefault="00536947" w14:paraId="5BE7B93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24"/>
        </w:rPr>
      </w:pPr>
    </w:p>
    <w:p w:rsidRPr="00C879B4" w:rsidR="00536947" w:rsidP="00536947" w:rsidRDefault="00536947" w14:paraId="63B85A4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24"/>
        </w:rPr>
      </w:pPr>
      <w:r w:rsidRPr="00C879B4">
        <w:rPr>
          <w:rFonts w:ascii="Helvetica" w:hAnsi="Helvetica"/>
          <w:b/>
          <w:color w:val="000000"/>
          <w:sz w:val="24"/>
        </w:rPr>
        <w:t xml:space="preserve">A. </w:t>
      </w:r>
      <w:r w:rsidRPr="00C879B4">
        <w:rPr>
          <w:rFonts w:ascii="Helvetica" w:hAnsi="Helvetica"/>
          <w:b/>
          <w:color w:val="000000"/>
          <w:sz w:val="24"/>
        </w:rPr>
        <w:tab/>
        <w:t>Justification</w:t>
      </w:r>
    </w:p>
    <w:p w:rsidRPr="00C879B4" w:rsidR="00536947" w:rsidP="00536947" w:rsidRDefault="00536947" w14:paraId="326C289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24"/>
        </w:rPr>
      </w:pPr>
    </w:p>
    <w:tbl>
      <w:tblPr>
        <w:tblW w:w="0" w:type="auto"/>
        <w:tblInd w:w="108" w:type="dxa"/>
        <w:tblLook w:val="04A0" w:firstRow="1" w:lastRow="0" w:firstColumn="1" w:lastColumn="0" w:noHBand="0" w:noVBand="1"/>
      </w:tblPr>
      <w:tblGrid>
        <w:gridCol w:w="9360"/>
      </w:tblGrid>
      <w:tr w:rsidRPr="00C879B4" w:rsidR="00536947" w:rsidTr="00411D7C" w14:paraId="7C0146C7" w14:textId="77777777">
        <w:tc>
          <w:tcPr>
            <w:tcW w:w="9360" w:type="dxa"/>
            <w:shd w:val="clear" w:color="auto" w:fill="auto"/>
          </w:tcPr>
          <w:p w:rsidRPr="00C879B4" w:rsidR="00536947" w:rsidP="00411D7C" w:rsidRDefault="00536947" w14:paraId="7A5DF7AD" w14:textId="77777777">
            <w:pPr>
              <w:rPr>
                <w:b/>
                <w:color w:val="000000"/>
                <w:sz w:val="24"/>
                <w:szCs w:val="24"/>
              </w:rPr>
            </w:pPr>
            <w:r w:rsidRPr="00C879B4">
              <w:rPr>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Pr="00C879B4" w:rsidR="00536947" w:rsidP="00411D7C" w:rsidRDefault="00536947" w14:paraId="01F3AB5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24"/>
              </w:rPr>
            </w:pPr>
          </w:p>
        </w:tc>
      </w:tr>
      <w:tr w:rsidRPr="00C879B4" w:rsidR="00536947" w:rsidTr="00411D7C" w14:paraId="345AB43B" w14:textId="77777777">
        <w:tc>
          <w:tcPr>
            <w:tcW w:w="9360" w:type="dxa"/>
            <w:shd w:val="clear" w:color="auto" w:fill="auto"/>
          </w:tcPr>
          <w:p w:rsidRPr="003F1CC1" w:rsidR="00536947" w:rsidP="00411D7C" w:rsidRDefault="00536947" w14:paraId="58052B24" w14:textId="5A4F19E2">
            <w:pPr>
              <w:pStyle w:val="BodyTextIndent2"/>
              <w:ind w:left="0" w:firstLine="0"/>
              <w:rPr>
                <w:sz w:val="24"/>
                <w:szCs w:val="24"/>
              </w:rPr>
            </w:pPr>
            <w:r w:rsidRPr="003F1CC1">
              <w:rPr>
                <w:sz w:val="24"/>
                <w:szCs w:val="24"/>
              </w:rPr>
              <w:t>This information collection clearance package seeks to re</w:t>
            </w:r>
            <w:r>
              <w:rPr>
                <w:sz w:val="24"/>
                <w:szCs w:val="24"/>
              </w:rPr>
              <w:t>vise</w:t>
            </w:r>
            <w:r w:rsidRPr="003F1CC1">
              <w:rPr>
                <w:sz w:val="24"/>
                <w:szCs w:val="24"/>
              </w:rPr>
              <w:t xml:space="preserve"> the OMB approval of 2502-0059</w:t>
            </w:r>
            <w:r>
              <w:rPr>
                <w:sz w:val="24"/>
                <w:szCs w:val="24"/>
              </w:rPr>
              <w:t xml:space="preserve"> by replacing the Form HUD-92900-A</w:t>
            </w:r>
            <w:r w:rsidRPr="003F1CC1">
              <w:rPr>
                <w:sz w:val="24"/>
                <w:szCs w:val="24"/>
              </w:rPr>
              <w:t>.  Section 203 of the National Housing Act (P.L. 479, 48 Stat. 1246, 12 U.S.C. 1702 et seq.) authorizes the Secretary of HUD, upon application by the lender, to insure mortgages offered to him, which are eligible for insurance.  Regulations codified at 24 CFR 203.1 through 203.681 detail the requirements pertinent to HUD's single family mortgage insurance programs, i.e., the eligibility requirements and underwriting procedures, which are determined by the documents included in this clearance package.  Section 225(a) of the Departments of Veterans Affairs and Housing and Urban Development, and Independent Agencies Appropriations Act, 1999 (HUD FY 1999 Appropriations Act) (</w:t>
            </w:r>
            <w:proofErr w:type="spellStart"/>
            <w:r w:rsidRPr="003F1CC1">
              <w:rPr>
                <w:sz w:val="24"/>
                <w:szCs w:val="24"/>
              </w:rPr>
              <w:t>Pub.L</w:t>
            </w:r>
            <w:proofErr w:type="spellEnd"/>
            <w:r w:rsidRPr="003F1CC1">
              <w:rPr>
                <w:sz w:val="24"/>
                <w:szCs w:val="24"/>
              </w:rPr>
              <w:t>. No. 105-276; 112 Stat. 2461, approved October 21, 1998) amended section 203(b)(2) to the National Housing Act to add at the end of this section the following language:</w:t>
            </w:r>
          </w:p>
          <w:p w:rsidRPr="003F1CC1" w:rsidR="00536947" w:rsidP="00411D7C" w:rsidRDefault="00536947" w14:paraId="5954F5BE" w14:textId="77777777">
            <w:pPr>
              <w:keepLines/>
              <w:tabs>
                <w:tab w:val="left" w:pos="-720"/>
              </w:tabs>
              <w:suppressAutoHyphens/>
              <w:rPr>
                <w:sz w:val="24"/>
                <w:szCs w:val="24"/>
              </w:rPr>
            </w:pPr>
          </w:p>
          <w:p w:rsidRPr="003F1CC1" w:rsidR="00536947" w:rsidP="00411D7C" w:rsidRDefault="00536947" w14:paraId="2B6468EB" w14:textId="77777777">
            <w:pPr>
              <w:pStyle w:val="BodyText"/>
              <w:rPr>
                <w:sz w:val="24"/>
                <w:szCs w:val="24"/>
              </w:rPr>
            </w:pPr>
            <w:r w:rsidRPr="003F1CC1">
              <w:rPr>
                <w:sz w:val="24"/>
                <w:szCs w:val="24"/>
              </w:rPr>
              <w:t>“In conjunction with any loan insured under this section, an original lender shall provide to each prospective borrower a disclosure notice that provides a one page analysis of mortgage products offered by that lender and for which the borrower would qualify.  This notice shall include: (i) a generic analysis comparing note rate (and associated interest payments), insurance premiums, and other costs and fees that would be due over the life of the loan for a loan insured by the Secretary under this subsection with note rates, insurance premiums (if applicable), and other costs and fees that would be expected to be due if the mortgagor obtained instead other mortgage products offered by the lender and for which the borrower would qualify with similar loan-to-value ratio in connection with a conventional mortgage, assuming prevailing interest rates; and (ii) a statement regarding when the mortgagor's requirement to pay mortgage insurance premiums for a mortgage insured under this section would terminate or a statement that the requirement will terminate only if the mortgage is refinanced, paid off, or otherwise terminated.”</w:t>
            </w:r>
          </w:p>
          <w:p w:rsidR="00536947" w:rsidP="00411D7C" w:rsidRDefault="00536947" w14:paraId="4619D29E" w14:textId="77777777">
            <w:pPr>
              <w:pStyle w:val="BodyTextIndent2"/>
              <w:keepLines w:val="0"/>
              <w:tabs>
                <w:tab w:val="clear" w:pos="-720"/>
              </w:tabs>
              <w:suppressAutoHyphens w:val="0"/>
              <w:ind w:left="0" w:firstLine="0"/>
              <w:rPr>
                <w:sz w:val="24"/>
                <w:szCs w:val="24"/>
              </w:rPr>
            </w:pPr>
          </w:p>
          <w:p w:rsidRPr="003F1CC1" w:rsidR="00536947" w:rsidP="00411D7C" w:rsidRDefault="00536947" w14:paraId="67B1C9AB" w14:textId="77777777">
            <w:pPr>
              <w:pStyle w:val="BodyTextIndent2"/>
              <w:keepLines w:val="0"/>
              <w:tabs>
                <w:tab w:val="clear" w:pos="-720"/>
              </w:tabs>
              <w:suppressAutoHyphens w:val="0"/>
              <w:ind w:left="0" w:firstLine="0"/>
              <w:rPr>
                <w:sz w:val="24"/>
                <w:szCs w:val="24"/>
              </w:rPr>
            </w:pPr>
            <w:r w:rsidRPr="003F1CC1">
              <w:rPr>
                <w:sz w:val="24"/>
                <w:szCs w:val="24"/>
              </w:rPr>
              <w:t>Regulations at 24 CFR Part 203 entitled “Mutual Mortgage Insurance and Rehabilitation Loans” specify the requirements for making application and obtaining loan approval of a HUD-insured mortgage loan.  The Uniform Residential Loan Application (URLA), and form HUD-92900-A together constitute the “standard application form” called for at 24 CFR 203.255 of the regulations.  Every mortgage application for insurance is used to determine eligibility in three general areas: (1) the proposed loan under the statute, i.e., term, mortgage amount, and ratios of loan</w:t>
            </w:r>
            <w:r w:rsidRPr="003F1CC1">
              <w:rPr>
                <w:sz w:val="24"/>
                <w:szCs w:val="24"/>
              </w:rPr>
              <w:noBreakHyphen/>
              <w:t>to</w:t>
            </w:r>
            <w:r w:rsidRPr="003F1CC1">
              <w:rPr>
                <w:sz w:val="24"/>
                <w:szCs w:val="24"/>
              </w:rPr>
              <w:noBreakHyphen/>
              <w:t>value or replacement cost; (2) the property with respect to compliance with HUD/FHA statutory and regulatory requirements; (3) and the proposed mortgage debt, including the borrower’s ability to repay.  FHA relies on the information provided to determine eligibility of the mortgage for FHA’s insurance endorsement.</w:t>
            </w:r>
          </w:p>
          <w:p w:rsidR="00536947" w:rsidP="00411D7C" w:rsidRDefault="00536947" w14:paraId="2A928FE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Pr="003F1CC1" w:rsidR="00536947" w:rsidP="00411D7C" w:rsidRDefault="00536947" w14:paraId="53A717C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sidRPr="003F1CC1">
              <w:rPr>
                <w:sz w:val="24"/>
                <w:szCs w:val="24"/>
              </w:rPr>
              <w:lastRenderedPageBreak/>
              <w:t xml:space="preserve">Without the information provided by forms URLA, HUD-92900-A, HUD-92900-B, HUD-92544, and HUD-92900-LT, HUD would have difficulty in determining eligibility and, consequently, the insurance fund for the single-family mortgage insurance programs would be placed in jeopardy.  </w:t>
            </w:r>
            <w:r>
              <w:rPr>
                <w:sz w:val="24"/>
                <w:szCs w:val="24"/>
              </w:rPr>
              <w:t xml:space="preserve">The </w:t>
            </w:r>
            <w:r w:rsidRPr="003F1CC1">
              <w:rPr>
                <w:sz w:val="24"/>
                <w:szCs w:val="24"/>
              </w:rPr>
              <w:t xml:space="preserve">HUD-92900-A </w:t>
            </w:r>
            <w:r>
              <w:rPr>
                <w:sz w:val="24"/>
                <w:szCs w:val="24"/>
              </w:rPr>
              <w:t xml:space="preserve">form has been revised to reduce the amount of information collected and the amount of time required to complete it.  </w:t>
            </w:r>
            <w:r w:rsidRPr="003F1CC1">
              <w:rPr>
                <w:sz w:val="24"/>
                <w:szCs w:val="24"/>
              </w:rPr>
              <w:t>The information in the Informed Consumer Choice Notice is used by prospective mortgagees to disclose if mortgage products, other than FHA mortgage insurance for which the mortgagor qualifies, result in lower costs to the mortgagor over the life of the mortgage. The Model Pre-Insurance Review is used by mortgagees participating in the Lender Insurance program to determine if the loan meets HUD’s requirements for FHA insurance.</w:t>
            </w:r>
          </w:p>
          <w:p w:rsidRPr="00C879B4" w:rsidR="00536947" w:rsidP="00411D7C" w:rsidRDefault="00536947" w14:paraId="4C49555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24"/>
              </w:rPr>
            </w:pPr>
          </w:p>
        </w:tc>
      </w:tr>
    </w:tbl>
    <w:p w:rsidRPr="00C879B4" w:rsidR="00536947" w:rsidP="00536947" w:rsidRDefault="00536947" w14:paraId="16C110E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24"/>
        </w:rPr>
      </w:pPr>
    </w:p>
    <w:tbl>
      <w:tblPr>
        <w:tblW w:w="0" w:type="auto"/>
        <w:tblInd w:w="108" w:type="dxa"/>
        <w:tblLook w:val="04A0" w:firstRow="1" w:lastRow="0" w:firstColumn="1" w:lastColumn="0" w:noHBand="0" w:noVBand="1"/>
      </w:tblPr>
      <w:tblGrid>
        <w:gridCol w:w="9360"/>
      </w:tblGrid>
      <w:tr w:rsidRPr="00C879B4" w:rsidR="00536947" w:rsidTr="00411D7C" w14:paraId="5110C91D" w14:textId="77777777">
        <w:tc>
          <w:tcPr>
            <w:tcW w:w="9360" w:type="dxa"/>
            <w:shd w:val="clear" w:color="auto" w:fill="auto"/>
          </w:tcPr>
          <w:p w:rsidRPr="00C879B4" w:rsidR="00536947" w:rsidP="00411D7C" w:rsidRDefault="00536947" w14:paraId="07B3379B" w14:textId="77777777">
            <w:pPr>
              <w:rPr>
                <w:b/>
                <w:color w:val="000000"/>
                <w:sz w:val="24"/>
                <w:szCs w:val="24"/>
              </w:rPr>
            </w:pPr>
            <w:r w:rsidRPr="00C879B4">
              <w:rPr>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rsidRPr="000654B9" w:rsidR="00536947" w:rsidP="00411D7C" w:rsidRDefault="00536947" w14:paraId="0168F12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p>
          <w:p w:rsidRPr="000654B9" w:rsidR="00536947" w:rsidP="00411D7C" w:rsidRDefault="00536947" w14:paraId="31F92A35" w14:textId="77777777">
            <w:pPr>
              <w:pStyle w:val="BodyTextIndent"/>
              <w:ind w:left="0"/>
              <w:rPr>
                <w:sz w:val="24"/>
                <w:szCs w:val="24"/>
              </w:rPr>
            </w:pPr>
            <w:r w:rsidRPr="000654B9">
              <w:rPr>
                <w:sz w:val="24"/>
                <w:szCs w:val="24"/>
              </w:rPr>
              <w:t xml:space="preserve">Lenders obtain information from borrowers in the normal course of business.  HUD does not ascribe burden hours to information provided by borrowers.  Lenders then report information to FHA for the purpose of obtaining mortgage insurance.  While borrowers must meet certain requirements established by FHA to qualify for the insurance, lenders bear less risk because FHA will pay the lender if a homeowner defaults on his or her loan.  </w:t>
            </w:r>
          </w:p>
          <w:p w:rsidRPr="000654B9" w:rsidR="00536947" w:rsidP="00411D7C" w:rsidRDefault="00536947" w14:paraId="3ED50B72" w14:textId="77777777">
            <w:pPr>
              <w:pStyle w:val="BodyTextIndent"/>
              <w:ind w:left="0"/>
              <w:rPr>
                <w:sz w:val="24"/>
                <w:szCs w:val="24"/>
              </w:rPr>
            </w:pPr>
          </w:p>
          <w:p w:rsidRPr="00444D85" w:rsidR="00536947" w:rsidP="00411D7C" w:rsidRDefault="00536947" w14:paraId="0E24F1BE" w14:textId="77777777">
            <w:pPr>
              <w:pStyle w:val="BodyTextIndent"/>
              <w:ind w:left="0"/>
              <w:rPr>
                <w:sz w:val="24"/>
                <w:szCs w:val="24"/>
              </w:rPr>
            </w:pPr>
            <w:r w:rsidRPr="000654B9">
              <w:rPr>
                <w:sz w:val="24"/>
                <w:szCs w:val="24"/>
              </w:rPr>
              <w:t xml:space="preserve">The </w:t>
            </w:r>
            <w:r w:rsidRPr="00444D85">
              <w:rPr>
                <w:sz w:val="24"/>
                <w:szCs w:val="24"/>
              </w:rPr>
              <w:t>specific items of this information collection are as follows:</w:t>
            </w:r>
          </w:p>
          <w:p w:rsidRPr="00444D85" w:rsidR="00536947" w:rsidP="00536947" w:rsidRDefault="00536947" w14:paraId="3A5AAF3C" w14:textId="21D1E78E">
            <w:pPr>
              <w:pStyle w:val="BodyTextIndent3"/>
              <w:numPr>
                <w:ilvl w:val="1"/>
                <w:numId w:val="29"/>
              </w:numPr>
              <w:rPr>
                <w:sz w:val="24"/>
                <w:szCs w:val="24"/>
              </w:rPr>
            </w:pPr>
            <w:r w:rsidRPr="00444D85">
              <w:rPr>
                <w:sz w:val="24"/>
                <w:szCs w:val="24"/>
              </w:rPr>
              <w:t xml:space="preserve">The URLA and form HUD-92900-A (Addendum to the URLA) are used in every case by  the lender to make application for FHA mortgage insurance.  Together they describe the parties involved, the property, and the conditions and terms on which the mortgage insurance will be based.  </w:t>
            </w:r>
            <w:r w:rsidRPr="00536947">
              <w:rPr>
                <w:sz w:val="24"/>
                <w:szCs w:val="24"/>
              </w:rPr>
              <w:t>Form HUD 92900-A was streamlined and updated to</w:t>
            </w:r>
            <w:r w:rsidRPr="00C3075E">
              <w:rPr>
                <w:sz w:val="24"/>
                <w:szCs w:val="24"/>
              </w:rPr>
              <w:t>: revise certifications to reflect regulations and other legal requirements; ensure accuracy of information provided to FHA; reduce uncertainty in the industry; maintain the ability to enforce FHA program requirements; and remove VA requirements and certifications from the form.</w:t>
            </w:r>
          </w:p>
          <w:p w:rsidRPr="00444D85" w:rsidR="00536947" w:rsidP="00411D7C" w:rsidRDefault="00536947" w14:paraId="440166E4" w14:textId="77777777">
            <w:pPr>
              <w:pStyle w:val="ListParagraph"/>
              <w:rPr>
                <w:sz w:val="24"/>
                <w:szCs w:val="24"/>
              </w:rPr>
            </w:pPr>
          </w:p>
          <w:p w:rsidRPr="00444D85" w:rsidR="00536947" w:rsidP="00536947" w:rsidRDefault="00536947" w14:paraId="04D5075B" w14:textId="77777777">
            <w:pPr>
              <w:pStyle w:val="BodyTextIndent3"/>
              <w:numPr>
                <w:ilvl w:val="1"/>
                <w:numId w:val="29"/>
              </w:numPr>
              <w:rPr>
                <w:sz w:val="24"/>
                <w:szCs w:val="24"/>
              </w:rPr>
            </w:pPr>
            <w:r w:rsidRPr="00444D85">
              <w:rPr>
                <w:sz w:val="24"/>
                <w:szCs w:val="24"/>
              </w:rPr>
              <w:t xml:space="preserve">Documentation to make certain the borrowers have the capability to repay the debt, including, but not limited to, credit reports and credit scores; verification of income and employment; government assistance; rental income; housing and clothing allowances, hazard pay, rations and proficiency pay; alimony, child support or maintenance income; subsidy for mortgage payments; VA benefits; IRS form 2106; and/or trust agreements.  </w:t>
            </w:r>
          </w:p>
          <w:p w:rsidRPr="00536947" w:rsidR="00536947" w:rsidP="00411D7C" w:rsidRDefault="00536947" w14:paraId="7B87EF51" w14:textId="77777777">
            <w:pPr>
              <w:ind w:left="720" w:hanging="360"/>
              <w:rPr>
                <w:sz w:val="24"/>
                <w:szCs w:val="24"/>
              </w:rPr>
            </w:pPr>
          </w:p>
          <w:p w:rsidRPr="000654B9" w:rsidR="00536947" w:rsidP="00536947" w:rsidRDefault="00536947" w14:paraId="28F4FEA6" w14:textId="77777777">
            <w:pPr>
              <w:pStyle w:val="BodyTextIndent3"/>
              <w:numPr>
                <w:ilvl w:val="1"/>
                <w:numId w:val="29"/>
              </w:numPr>
              <w:rPr>
                <w:sz w:val="24"/>
                <w:szCs w:val="24"/>
              </w:rPr>
            </w:pPr>
            <w:r w:rsidRPr="00C3075E">
              <w:rPr>
                <w:sz w:val="24"/>
                <w:szCs w:val="24"/>
              </w:rPr>
              <w:t>Asset verification documents are required for every case and are used to make certain the borrowers have the capability to repay the debt and assets for the down payment and closing costs.  Asset verification documents may include but are not limited to documents required for changes</w:t>
            </w:r>
            <w:r w:rsidRPr="000654B9">
              <w:rPr>
                <w:sz w:val="24"/>
                <w:szCs w:val="24"/>
              </w:rPr>
              <w:t xml:space="preserve"> to property title; gift letters; bank account statements from borrowers and/or gift donors</w:t>
            </w:r>
            <w:r w:rsidRPr="00EE1E20">
              <w:rPr>
                <w:sz w:val="24"/>
                <w:szCs w:val="24"/>
              </w:rPr>
              <w:t>; attorney opinion letters</w:t>
            </w:r>
            <w:r w:rsidRPr="000654B9">
              <w:rPr>
                <w:sz w:val="24"/>
                <w:szCs w:val="24"/>
              </w:rPr>
              <w:t xml:space="preserve">; cancelled checks; bill of sale; proof of ownership and value; final HUD-1 for sale of property; receipt of earnest money deposit; evidence that a retirement account can be cashed at any time; sweat equity documentation; and/or lease-purchase agreement.  </w:t>
            </w:r>
          </w:p>
          <w:p w:rsidRPr="000654B9" w:rsidR="00536947" w:rsidP="00411D7C" w:rsidRDefault="00536947" w14:paraId="59D9E279" w14:textId="77777777">
            <w:pPr>
              <w:pStyle w:val="BodyTextIndent3"/>
              <w:ind w:left="0"/>
              <w:rPr>
                <w:sz w:val="24"/>
                <w:szCs w:val="24"/>
              </w:rPr>
            </w:pPr>
          </w:p>
          <w:p w:rsidRPr="000654B9" w:rsidR="00536947" w:rsidP="00536947" w:rsidRDefault="00536947" w14:paraId="16D21054" w14:textId="77777777">
            <w:pPr>
              <w:pStyle w:val="BodyTextIndent3"/>
              <w:numPr>
                <w:ilvl w:val="1"/>
                <w:numId w:val="29"/>
              </w:numPr>
              <w:rPr>
                <w:sz w:val="24"/>
                <w:szCs w:val="24"/>
              </w:rPr>
            </w:pPr>
            <w:r w:rsidRPr="000654B9">
              <w:rPr>
                <w:sz w:val="24"/>
                <w:szCs w:val="24"/>
              </w:rPr>
              <w:t xml:space="preserve">For determining borrower eligibility for mortgage insurance for disaster victims [Section 203(h)], documentation is required evidencing a permanent residence in a disaster area as well as documentation evidencing that the property was damaged to such an extent that reconstruction is necessary. </w:t>
            </w:r>
          </w:p>
          <w:p w:rsidRPr="000654B9" w:rsidR="00536947" w:rsidP="00411D7C" w:rsidRDefault="00536947" w14:paraId="13C92E3A" w14:textId="77777777">
            <w:pPr>
              <w:pStyle w:val="BodyTextIndent3"/>
              <w:ind w:left="0"/>
              <w:rPr>
                <w:sz w:val="24"/>
                <w:szCs w:val="24"/>
              </w:rPr>
            </w:pPr>
          </w:p>
          <w:p w:rsidRPr="000654B9" w:rsidR="00536947" w:rsidP="00536947" w:rsidRDefault="00536947" w14:paraId="27FF1407" w14:textId="77777777">
            <w:pPr>
              <w:pStyle w:val="BodyTextIndent3"/>
              <w:numPr>
                <w:ilvl w:val="1"/>
                <w:numId w:val="29"/>
              </w:numPr>
              <w:rPr>
                <w:sz w:val="24"/>
                <w:szCs w:val="24"/>
              </w:rPr>
            </w:pPr>
            <w:r w:rsidRPr="000654B9">
              <w:rPr>
                <w:sz w:val="24"/>
                <w:szCs w:val="24"/>
              </w:rPr>
              <w:t>For determining eligibility for insurance under the Energy Efficient Mortgage program, documentation is required involving a home energy assessment as well as determining the cost effectiveness of eligible energy improvements.</w:t>
            </w:r>
          </w:p>
          <w:p w:rsidRPr="000654B9" w:rsidR="00536947" w:rsidP="00411D7C" w:rsidRDefault="00536947" w14:paraId="7FB029C7" w14:textId="77777777">
            <w:pPr>
              <w:pStyle w:val="BodyTextIndent3"/>
              <w:ind w:left="0"/>
              <w:rPr>
                <w:sz w:val="24"/>
                <w:szCs w:val="24"/>
              </w:rPr>
            </w:pPr>
          </w:p>
          <w:p w:rsidRPr="000654B9" w:rsidR="00536947" w:rsidP="00536947" w:rsidRDefault="00536947" w14:paraId="243FC44F" w14:textId="77777777">
            <w:pPr>
              <w:pStyle w:val="BodyTextIndent3"/>
              <w:numPr>
                <w:ilvl w:val="1"/>
                <w:numId w:val="29"/>
              </w:numPr>
              <w:rPr>
                <w:sz w:val="24"/>
                <w:szCs w:val="24"/>
              </w:rPr>
            </w:pPr>
            <w:r w:rsidRPr="000654B9">
              <w:rPr>
                <w:sz w:val="24"/>
                <w:szCs w:val="24"/>
              </w:rPr>
              <w:t xml:space="preserve">For purchase transactions where the sales contract does not contain a provision that there are no other agreements between the parties and that the terms of the sales contract constitute the entire agreement between the parties, a certification from the borrower, seller and the selling real estate agent or broker involved in the transaction must be obtained stating that the terms and conditions of the sales contract are true to the best of their knowledge and belief and that any other agreement entered into by any of the parties in connection with the real estate transaction is part of, or attached to, the sales agreement.  A similar certification is obtained at closing, which also includes a certification from the settlement agent.  These certifications are used to ensure that borrowers make the required cash investment from an acceptable source and not directly from a party with an interest in the transaction.  </w:t>
            </w:r>
          </w:p>
          <w:p w:rsidRPr="000654B9" w:rsidR="00536947" w:rsidP="00411D7C" w:rsidRDefault="00536947" w14:paraId="3D5ADED8" w14:textId="77777777">
            <w:pPr>
              <w:pStyle w:val="BodyTextIndent3"/>
              <w:ind w:left="0"/>
              <w:rPr>
                <w:sz w:val="24"/>
                <w:szCs w:val="24"/>
              </w:rPr>
            </w:pPr>
          </w:p>
          <w:p w:rsidRPr="000654B9" w:rsidR="00536947" w:rsidP="00536947" w:rsidRDefault="00536947" w14:paraId="6223DDA2" w14:textId="77777777">
            <w:pPr>
              <w:pStyle w:val="BodyTextIndent3"/>
              <w:numPr>
                <w:ilvl w:val="1"/>
                <w:numId w:val="29"/>
              </w:numPr>
              <w:tabs>
                <w:tab w:val="right" w:pos="7864"/>
              </w:tabs>
              <w:rPr>
                <w:sz w:val="24"/>
                <w:szCs w:val="24"/>
              </w:rPr>
            </w:pPr>
            <w:r w:rsidRPr="000654B9">
              <w:rPr>
                <w:b/>
                <w:bCs/>
                <w:sz w:val="24"/>
                <w:szCs w:val="24"/>
              </w:rPr>
              <w:t>Form HUD-92900-B</w:t>
            </w:r>
            <w:r w:rsidRPr="000654B9">
              <w:rPr>
                <w:sz w:val="24"/>
                <w:szCs w:val="24"/>
              </w:rPr>
              <w:t>, Important Notice to Homebuyers is a statement concerning the “Monthly Insurance Premiums (MIP).”  If the homebuyer pays an upfront insurance premium, they will also be charged a monthly mortgage insurance premium.  The MIP rate and duration of the MIP assessment period vary by mortgage term, Base Loan Amount, and LTV ratio for the Mortgage.</w:t>
            </w:r>
          </w:p>
          <w:p w:rsidRPr="000654B9" w:rsidR="00536947" w:rsidP="00411D7C" w:rsidRDefault="00536947" w14:paraId="14FA6F8A" w14:textId="77777777">
            <w:pPr>
              <w:pStyle w:val="BodyTextIndent3"/>
              <w:tabs>
                <w:tab w:val="right" w:pos="7864"/>
              </w:tabs>
              <w:rPr>
                <w:sz w:val="24"/>
                <w:szCs w:val="24"/>
              </w:rPr>
            </w:pPr>
          </w:p>
          <w:p w:rsidRPr="000654B9" w:rsidR="00536947" w:rsidP="00536947" w:rsidRDefault="00536947" w14:paraId="6695B2E2" w14:textId="77777777">
            <w:pPr>
              <w:pStyle w:val="BodyTextIndent3"/>
              <w:numPr>
                <w:ilvl w:val="1"/>
                <w:numId w:val="29"/>
              </w:numPr>
              <w:rPr>
                <w:sz w:val="24"/>
                <w:szCs w:val="24"/>
              </w:rPr>
            </w:pPr>
            <w:r w:rsidRPr="000654B9">
              <w:rPr>
                <w:b/>
                <w:bCs/>
                <w:sz w:val="24"/>
                <w:szCs w:val="24"/>
              </w:rPr>
              <w:t>Form HUD-92561</w:t>
            </w:r>
            <w:r w:rsidRPr="000654B9">
              <w:rPr>
                <w:sz w:val="24"/>
                <w:szCs w:val="24"/>
              </w:rPr>
              <w:t>, Mortgagor's Contract with Respect to Hotel and Transient Use of Property is required on two, three, or four-unit properties to assure that dwellings are used in accordance with program objectives.  The information is required when page 2, Section V, item 22e (Borrower's Certification), on form HUD-92900-A is answered in the affirmative.</w:t>
            </w:r>
          </w:p>
          <w:p w:rsidRPr="000654B9" w:rsidR="00536947" w:rsidP="00411D7C" w:rsidRDefault="00536947" w14:paraId="17FC7952" w14:textId="77777777">
            <w:pPr>
              <w:tabs>
                <w:tab w:val="right" w:pos="7765"/>
              </w:tabs>
              <w:ind w:left="720" w:hanging="360"/>
              <w:rPr>
                <w:sz w:val="24"/>
                <w:szCs w:val="24"/>
              </w:rPr>
            </w:pPr>
          </w:p>
          <w:p w:rsidRPr="000654B9" w:rsidR="00536947" w:rsidP="00536947" w:rsidRDefault="00536947" w14:paraId="4BC703DF" w14:textId="77777777">
            <w:pPr>
              <w:pStyle w:val="BodyTextIndent3"/>
              <w:numPr>
                <w:ilvl w:val="1"/>
                <w:numId w:val="29"/>
              </w:numPr>
              <w:tabs>
                <w:tab w:val="right" w:pos="7522"/>
              </w:tabs>
              <w:rPr>
                <w:sz w:val="24"/>
                <w:szCs w:val="24"/>
              </w:rPr>
            </w:pPr>
            <w:r w:rsidRPr="000654B9">
              <w:rPr>
                <w:b/>
                <w:bCs/>
                <w:sz w:val="24"/>
                <w:szCs w:val="24"/>
              </w:rPr>
              <w:t>Form HUD-92544</w:t>
            </w:r>
            <w:r w:rsidRPr="000654B9">
              <w:rPr>
                <w:sz w:val="24"/>
                <w:szCs w:val="24"/>
              </w:rPr>
              <w:t>, Warranty of Completion of Construction in Substantial Conformity with Approved Plans and Specifications is used in new construction cases only.  The form is called for on page 3 of the form HUD-92900-A as an “additional condition” before FHA can insure the mortgage.</w:t>
            </w:r>
          </w:p>
          <w:p w:rsidRPr="000654B9" w:rsidR="00536947" w:rsidP="00411D7C" w:rsidRDefault="00536947" w14:paraId="2CEC6DFC" w14:textId="77777777">
            <w:pPr>
              <w:tabs>
                <w:tab w:val="right" w:pos="7522"/>
              </w:tabs>
              <w:ind w:left="720" w:hanging="360"/>
              <w:rPr>
                <w:sz w:val="24"/>
                <w:szCs w:val="24"/>
              </w:rPr>
            </w:pPr>
          </w:p>
          <w:p w:rsidRPr="000654B9" w:rsidR="00536947" w:rsidP="00536947" w:rsidRDefault="00536947" w14:paraId="05442C93" w14:textId="77777777">
            <w:pPr>
              <w:pStyle w:val="BodyTextIndent3"/>
              <w:numPr>
                <w:ilvl w:val="1"/>
                <w:numId w:val="29"/>
              </w:numPr>
              <w:tabs>
                <w:tab w:val="right" w:pos="7968"/>
              </w:tabs>
              <w:rPr>
                <w:b/>
                <w:bCs/>
                <w:sz w:val="24"/>
                <w:szCs w:val="24"/>
              </w:rPr>
            </w:pPr>
            <w:r w:rsidRPr="000654B9">
              <w:rPr>
                <w:b/>
                <w:bCs/>
                <w:sz w:val="24"/>
                <w:szCs w:val="24"/>
              </w:rPr>
              <w:t>Form HUD-92900-LT</w:t>
            </w:r>
            <w:r w:rsidRPr="000654B9">
              <w:rPr>
                <w:sz w:val="24"/>
                <w:szCs w:val="24"/>
              </w:rPr>
              <w:t xml:space="preserve">, FHA Loan Underwriting and Summary Transmittal simplifies lender reporting of new loans to HUD for FHA insurance because the format is consistent with industry business practices and does not require lenders to maintain and support a separate process for reporting new loans to FHA.  </w:t>
            </w:r>
          </w:p>
          <w:p w:rsidRPr="000654B9" w:rsidR="00536947" w:rsidP="00411D7C" w:rsidRDefault="00536947" w14:paraId="236EB695" w14:textId="77777777">
            <w:pPr>
              <w:pStyle w:val="BodyTextIndent3"/>
              <w:tabs>
                <w:tab w:val="right" w:pos="7968"/>
              </w:tabs>
              <w:ind w:left="0"/>
              <w:rPr>
                <w:b/>
                <w:bCs/>
                <w:sz w:val="24"/>
                <w:szCs w:val="24"/>
              </w:rPr>
            </w:pPr>
          </w:p>
          <w:p w:rsidRPr="000654B9" w:rsidR="00536947" w:rsidP="00411D7C" w:rsidRDefault="00536947" w14:paraId="695F27ED" w14:textId="77777777">
            <w:pPr>
              <w:pStyle w:val="BodyText"/>
              <w:ind w:left="705"/>
              <w:rPr>
                <w:sz w:val="24"/>
                <w:szCs w:val="24"/>
              </w:rPr>
            </w:pPr>
            <w:r w:rsidRPr="000654B9">
              <w:rPr>
                <w:sz w:val="24"/>
                <w:szCs w:val="24"/>
              </w:rPr>
              <w:t xml:space="preserve">More importantly, adopting a transmittal form reflects an emphasis on reporting critical data elements and loan characteristics to FHA that assist in evaluating risk rather than reporting how the mortgage amount and cash investment were calculated.  Eliminating the mortgage amount and cash investment calculations from the Loan Underwriting and Transmittal Sheet does not eliminate the requirement to perform these calculations in accordance with applicable guidelines.  It simply eliminates reporting on a specific form how the mortgage amount and cash investment were calculated for each loan.  Lenders are expected to clearly document in the loan origination file how they performed these calculations in accordance with outstanding instructions.  During the development and design of the Transmittal, certain data elements were eliminated, e.g. the maximum mortgage calculation, while others were added.  Outlined below are the differences between the Mortgage Credit Analysis Worksheets and the Loan Underwriting Transmittal Sheet.  </w:t>
            </w:r>
          </w:p>
          <w:p w:rsidRPr="000654B9" w:rsidR="00536947" w:rsidP="00411D7C" w:rsidRDefault="00536947" w14:paraId="028B98FA" w14:textId="77777777">
            <w:pPr>
              <w:pStyle w:val="BodyText"/>
              <w:rPr>
                <w:b/>
                <w:bCs/>
                <w:sz w:val="24"/>
                <w:szCs w:val="24"/>
              </w:rPr>
            </w:pPr>
          </w:p>
          <w:p w:rsidRPr="000654B9" w:rsidR="00536947" w:rsidP="00536947" w:rsidRDefault="00536947" w14:paraId="4078552F" w14:textId="77777777">
            <w:pPr>
              <w:pStyle w:val="BodyTextIndent3"/>
              <w:numPr>
                <w:ilvl w:val="1"/>
                <w:numId w:val="29"/>
              </w:numPr>
              <w:rPr>
                <w:sz w:val="24"/>
                <w:szCs w:val="24"/>
              </w:rPr>
            </w:pPr>
            <w:r w:rsidRPr="000654B9">
              <w:rPr>
                <w:sz w:val="24"/>
                <w:szCs w:val="24"/>
              </w:rPr>
              <w:t xml:space="preserve">The Mortgagor Notice of Intent to satisfy occupancy requirement upon discharge from the military is required of military personnel by 24 CFR 203.31 and 203.345/346.  24 CFR 203.18 requires all owner-occupant borrowers to certify their intent to occupy, therefore, no additional burden hours are assigned to this requirement. </w:t>
            </w:r>
          </w:p>
          <w:p w:rsidRPr="000654B9" w:rsidR="00536947" w:rsidP="00411D7C" w:rsidRDefault="00536947" w14:paraId="6368C5EA" w14:textId="77777777">
            <w:pPr>
              <w:pStyle w:val="BodyTextIndent3"/>
              <w:ind w:left="0"/>
              <w:rPr>
                <w:sz w:val="24"/>
                <w:szCs w:val="24"/>
              </w:rPr>
            </w:pPr>
          </w:p>
          <w:p w:rsidRPr="000654B9" w:rsidR="00536947" w:rsidP="00536947" w:rsidRDefault="00536947" w14:paraId="457D8AAF" w14:textId="77777777">
            <w:pPr>
              <w:pStyle w:val="BodyTextIndent3"/>
              <w:numPr>
                <w:ilvl w:val="1"/>
                <w:numId w:val="29"/>
              </w:numPr>
              <w:rPr>
                <w:spacing w:val="-3"/>
                <w:sz w:val="24"/>
                <w:szCs w:val="24"/>
              </w:rPr>
            </w:pPr>
            <w:r w:rsidRPr="000654B9">
              <w:rPr>
                <w:sz w:val="24"/>
                <w:szCs w:val="24"/>
              </w:rPr>
              <w:t>The Model Notice for the Informed Consumer Choice Disclosure is used by lenders to provide a one-page analysis of other mortgage products offered by that lender for which the borrower would qualify, as compared to the FHA-insured loan.  The comparison includes note rates, associated interest payments, insurance premiums, and other costs and fees over the life of the various loan products.  The model notice also includes a statement regarding when the mortgagor’s requirement to pay mortgage insurance premiums for the FHA-insured loan would terminate or a statement that the requirement will terminate only if the mortgage is refinanced, paid off, or otherwise terminated.  Delivery of this disclosure is a function of the Mortgagee at their discretion per 24 CFR 203.10.  Lenders are not required to report to HUD the number of disclosures released annually.</w:t>
            </w:r>
          </w:p>
          <w:p w:rsidRPr="000654B9" w:rsidR="00536947" w:rsidP="00411D7C" w:rsidRDefault="00536947" w14:paraId="7C3E2BE5" w14:textId="77777777">
            <w:pPr>
              <w:pStyle w:val="BodyTextIndent3"/>
              <w:ind w:left="0"/>
              <w:rPr>
                <w:sz w:val="24"/>
                <w:szCs w:val="24"/>
              </w:rPr>
            </w:pPr>
          </w:p>
          <w:p w:rsidRPr="000654B9" w:rsidR="00536947" w:rsidP="00536947" w:rsidRDefault="00536947" w14:paraId="7826E59A" w14:textId="77777777">
            <w:pPr>
              <w:pStyle w:val="BodyTextIndent3"/>
              <w:numPr>
                <w:ilvl w:val="1"/>
                <w:numId w:val="29"/>
              </w:numPr>
              <w:rPr>
                <w:spacing w:val="-3"/>
                <w:sz w:val="24"/>
                <w:szCs w:val="24"/>
              </w:rPr>
            </w:pPr>
            <w:r w:rsidRPr="000654B9">
              <w:rPr>
                <w:sz w:val="24"/>
                <w:szCs w:val="24"/>
              </w:rPr>
              <w:t>The Model Pre-Insurance Review provides lenders who are participating in the Lender Insurance Program with an example of what HUD staff reviews prior to endorsing a mortgage for insurance.  As a condition of participating in Lender Insurance, lenders (not HUD Staff) are</w:t>
            </w:r>
            <w:r w:rsidRPr="000654B9">
              <w:rPr>
                <w:spacing w:val="-3"/>
                <w:sz w:val="24"/>
                <w:szCs w:val="24"/>
              </w:rPr>
              <w:t xml:space="preserve"> responsible for completing the pre-insurance review to ensure that the loan </w:t>
            </w:r>
            <w:proofErr w:type="gramStart"/>
            <w:r w:rsidRPr="000654B9">
              <w:rPr>
                <w:spacing w:val="-3"/>
                <w:sz w:val="24"/>
                <w:szCs w:val="24"/>
              </w:rPr>
              <w:t>is in compliance with</w:t>
            </w:r>
            <w:proofErr w:type="gramEnd"/>
            <w:r w:rsidRPr="000654B9">
              <w:rPr>
                <w:spacing w:val="-3"/>
                <w:sz w:val="24"/>
                <w:szCs w:val="24"/>
              </w:rPr>
              <w:t xml:space="preserve"> all applicable HUD requirements.  Lenders are not required to use this exact format when conducting a pre-insurance review, but at minimum, the pre-insurance review must include the elements shown on the attached example.</w:t>
            </w:r>
          </w:p>
          <w:p w:rsidRPr="000654B9" w:rsidR="00536947" w:rsidP="00411D7C" w:rsidRDefault="00536947" w14:paraId="07433711" w14:textId="77777777">
            <w:pPr>
              <w:pStyle w:val="ListParagraph"/>
              <w:rPr>
                <w:spacing w:val="-3"/>
                <w:sz w:val="24"/>
                <w:szCs w:val="24"/>
              </w:rPr>
            </w:pPr>
          </w:p>
          <w:p w:rsidRPr="000654B9" w:rsidR="00536947" w:rsidP="00536947" w:rsidRDefault="00536947" w14:paraId="38A42CDE" w14:textId="77777777">
            <w:pPr>
              <w:pStyle w:val="BodyTextIndent3"/>
              <w:numPr>
                <w:ilvl w:val="1"/>
                <w:numId w:val="29"/>
              </w:numPr>
              <w:rPr>
                <w:spacing w:val="-3"/>
                <w:sz w:val="24"/>
                <w:szCs w:val="24"/>
              </w:rPr>
            </w:pPr>
            <w:r w:rsidRPr="000654B9">
              <w:rPr>
                <w:spacing w:val="-3"/>
                <w:sz w:val="24"/>
                <w:szCs w:val="24"/>
              </w:rPr>
              <w:t>The Settlement Certification (previously known as Addendum to HUD-1) is signed by the buyer, seller, and closing agent for each FHA purchase transaction.  The form requires the buyer and seller to certify that there are no undisclosed loans outside of the transaction.  The closing agent certifies that the closing disclosure is an accurate accounting of funds received and disbursed for the transaction.</w:t>
            </w:r>
          </w:p>
          <w:p w:rsidRPr="00C879B4" w:rsidR="00536947" w:rsidP="00411D7C" w:rsidRDefault="00536947" w14:paraId="0D5A022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24"/>
              </w:rPr>
            </w:pPr>
          </w:p>
        </w:tc>
      </w:tr>
      <w:tr w:rsidRPr="00C879B4" w:rsidR="00536947" w:rsidTr="00411D7C" w14:paraId="7EC69624" w14:textId="77777777">
        <w:tc>
          <w:tcPr>
            <w:tcW w:w="9360" w:type="dxa"/>
            <w:shd w:val="clear" w:color="auto" w:fill="auto"/>
          </w:tcPr>
          <w:p w:rsidRPr="00C879B4" w:rsidR="00536947" w:rsidP="00411D7C" w:rsidRDefault="00536947" w14:paraId="0C00338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24"/>
              </w:rPr>
            </w:pPr>
          </w:p>
        </w:tc>
      </w:tr>
      <w:tr w:rsidRPr="00C879B4" w:rsidR="00536947" w:rsidTr="00411D7C" w14:paraId="4CC3FBFF" w14:textId="77777777">
        <w:tc>
          <w:tcPr>
            <w:tcW w:w="9360" w:type="dxa"/>
            <w:shd w:val="clear" w:color="auto" w:fill="auto"/>
          </w:tcPr>
          <w:p w:rsidRPr="00C879B4" w:rsidR="00536947" w:rsidP="00411D7C" w:rsidRDefault="00536947" w14:paraId="237ACED4" w14:textId="77777777">
            <w:pPr>
              <w:rPr>
                <w:b/>
                <w:color w:val="000000"/>
                <w:sz w:val="24"/>
                <w:szCs w:val="24"/>
              </w:rPr>
            </w:pPr>
            <w:r w:rsidRPr="00C879B4">
              <w:rPr>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C879B4" w:rsidR="00536947" w:rsidP="00411D7C" w:rsidRDefault="00536947" w14:paraId="395D5649" w14:textId="77777777">
            <w:pPr>
              <w:rPr>
                <w:b/>
                <w:color w:val="000000"/>
                <w:sz w:val="24"/>
                <w:szCs w:val="24"/>
              </w:rPr>
            </w:pPr>
          </w:p>
        </w:tc>
      </w:tr>
      <w:tr w:rsidRPr="00C879B4" w:rsidR="00536947" w:rsidTr="00411D7C" w14:paraId="4B2CC926" w14:textId="77777777">
        <w:tc>
          <w:tcPr>
            <w:tcW w:w="9360" w:type="dxa"/>
            <w:shd w:val="clear" w:color="auto" w:fill="auto"/>
          </w:tcPr>
          <w:p w:rsidRPr="00942AFD" w:rsidR="00536947" w:rsidP="00411D7C" w:rsidRDefault="00536947" w14:paraId="15A7386F" w14:textId="77777777">
            <w:pPr>
              <w:rPr>
                <w:b/>
                <w:color w:val="000000"/>
                <w:sz w:val="24"/>
                <w:szCs w:val="24"/>
              </w:rPr>
            </w:pPr>
            <w:r w:rsidRPr="00942AFD">
              <w:rPr>
                <w:sz w:val="24"/>
                <w:szCs w:val="24"/>
              </w:rPr>
              <w:t xml:space="preserve">Each application request has its own unique characteristics of property, mortgage amount, and borrower; therefore, the use of computers can only be applied to the storage and retrieval of reference information and not to the burden-reduction aspect.  However, data entry on these forms is increasingly generated by proprietary loan origination systems (LOS), if purchased or licensed by the lender, with much of that information provided electronically to HUD.  Mortgage lenders may avail themselves of electronic options for data transmissions.  HUD accepts case binders electronically.  Approximately 91% of all case binders are now submitted in this </w:t>
            </w:r>
            <w:r>
              <w:rPr>
                <w:sz w:val="24"/>
                <w:szCs w:val="24"/>
              </w:rPr>
              <w:t>manner.</w:t>
            </w:r>
          </w:p>
        </w:tc>
      </w:tr>
    </w:tbl>
    <w:p w:rsidR="00536947" w:rsidP="00536947" w:rsidRDefault="00536947" w14:paraId="102D93F2" w14:textId="477ABBC5">
      <w:pPr>
        <w:rPr>
          <w:b/>
          <w:color w:val="000000"/>
          <w:sz w:val="24"/>
          <w:szCs w:val="24"/>
        </w:rPr>
      </w:pPr>
    </w:p>
    <w:p w:rsidR="00CE770C" w:rsidP="00536947" w:rsidRDefault="00CE770C" w14:paraId="4A8260B0" w14:textId="3E10563D">
      <w:pPr>
        <w:rPr>
          <w:b/>
          <w:color w:val="000000"/>
          <w:sz w:val="24"/>
          <w:szCs w:val="24"/>
        </w:rPr>
      </w:pPr>
    </w:p>
    <w:p w:rsidR="00CE770C" w:rsidP="00536947" w:rsidRDefault="00CE770C" w14:paraId="13C944EB" w14:textId="68D23559">
      <w:pPr>
        <w:rPr>
          <w:b/>
          <w:color w:val="000000"/>
          <w:sz w:val="24"/>
          <w:szCs w:val="24"/>
        </w:rPr>
      </w:pPr>
    </w:p>
    <w:p w:rsidRPr="00C879B4" w:rsidR="00CE770C" w:rsidP="00536947" w:rsidRDefault="00CE770C" w14:paraId="63557A03" w14:textId="77777777">
      <w:pPr>
        <w:rPr>
          <w:b/>
          <w:color w:val="000000"/>
          <w:sz w:val="24"/>
          <w:szCs w:val="24"/>
        </w:rPr>
      </w:pPr>
    </w:p>
    <w:tbl>
      <w:tblPr>
        <w:tblW w:w="0" w:type="auto"/>
        <w:tblInd w:w="108" w:type="dxa"/>
        <w:tblLook w:val="04A0" w:firstRow="1" w:lastRow="0" w:firstColumn="1" w:lastColumn="0" w:noHBand="0" w:noVBand="1"/>
      </w:tblPr>
      <w:tblGrid>
        <w:gridCol w:w="9360"/>
      </w:tblGrid>
      <w:tr w:rsidRPr="00C879B4" w:rsidR="00536947" w:rsidTr="00411D7C" w14:paraId="747D89A4" w14:textId="77777777">
        <w:tc>
          <w:tcPr>
            <w:tcW w:w="9360" w:type="dxa"/>
            <w:shd w:val="clear" w:color="auto" w:fill="auto"/>
          </w:tcPr>
          <w:p w:rsidR="00536947" w:rsidP="00411D7C" w:rsidRDefault="00536947" w14:paraId="3F9155EC" w14:textId="77777777">
            <w:pPr>
              <w:rPr>
                <w:b/>
                <w:color w:val="000000"/>
                <w:sz w:val="24"/>
                <w:szCs w:val="24"/>
              </w:rPr>
            </w:pPr>
            <w:r w:rsidRPr="00C879B4">
              <w:rPr>
                <w:b/>
                <w:color w:val="000000"/>
                <w:sz w:val="24"/>
                <w:szCs w:val="24"/>
              </w:rPr>
              <w:lastRenderedPageBreak/>
              <w:t xml:space="preserve">4. Describe efforts to identify duplication. Show specifically why any similar information already available cannot be used or modified for use for the purposes described in Item 2 above. </w:t>
            </w:r>
          </w:p>
          <w:p w:rsidRPr="00942AFD" w:rsidR="00536947" w:rsidP="00411D7C" w:rsidRDefault="00536947" w14:paraId="459A229D" w14:textId="77777777">
            <w:pPr>
              <w:rPr>
                <w:b/>
                <w:color w:val="000000"/>
                <w:sz w:val="24"/>
                <w:szCs w:val="24"/>
              </w:rPr>
            </w:pPr>
          </w:p>
          <w:p w:rsidRPr="00942AFD" w:rsidR="00536947" w:rsidP="00411D7C" w:rsidRDefault="00536947" w14:paraId="452EBFBF" w14:textId="77777777">
            <w:pPr>
              <w:rPr>
                <w:b/>
                <w:color w:val="000000"/>
                <w:sz w:val="24"/>
                <w:szCs w:val="24"/>
              </w:rPr>
            </w:pPr>
            <w:r w:rsidRPr="00942AFD">
              <w:rPr>
                <w:sz w:val="24"/>
                <w:szCs w:val="24"/>
              </w:rPr>
              <w:t>No duplication exists due to the fact that each application is unique to the eligibility requirements explained in item 2.  No similar information exists.</w:t>
            </w:r>
          </w:p>
          <w:p w:rsidRPr="00C879B4" w:rsidR="00536947" w:rsidP="00411D7C" w:rsidRDefault="00536947" w14:paraId="2D7ECCA4" w14:textId="77777777">
            <w:pPr>
              <w:rPr>
                <w:b/>
                <w:color w:val="000000"/>
                <w:sz w:val="24"/>
                <w:szCs w:val="24"/>
              </w:rPr>
            </w:pPr>
          </w:p>
        </w:tc>
      </w:tr>
      <w:tr w:rsidRPr="00C879B4" w:rsidR="00536947" w:rsidTr="00411D7C" w14:paraId="6381AEA1" w14:textId="77777777">
        <w:tc>
          <w:tcPr>
            <w:tcW w:w="9360" w:type="dxa"/>
            <w:shd w:val="clear" w:color="auto" w:fill="auto"/>
          </w:tcPr>
          <w:p w:rsidRPr="00C879B4" w:rsidR="00536947" w:rsidP="00411D7C" w:rsidRDefault="00536947" w14:paraId="0F163F29" w14:textId="77777777">
            <w:pPr>
              <w:rPr>
                <w:b/>
                <w:color w:val="000000"/>
                <w:sz w:val="24"/>
                <w:szCs w:val="24"/>
              </w:rPr>
            </w:pPr>
          </w:p>
        </w:tc>
      </w:tr>
      <w:tr w:rsidRPr="00C879B4" w:rsidR="00536947" w:rsidTr="00411D7C" w14:paraId="54B7D9FC" w14:textId="77777777">
        <w:tc>
          <w:tcPr>
            <w:tcW w:w="9360" w:type="dxa"/>
            <w:shd w:val="clear" w:color="auto" w:fill="auto"/>
          </w:tcPr>
          <w:p w:rsidRPr="00C879B4" w:rsidR="00536947" w:rsidP="00411D7C" w:rsidRDefault="00536947" w14:paraId="0115532C" w14:textId="77777777">
            <w:pPr>
              <w:rPr>
                <w:b/>
                <w:color w:val="000000"/>
                <w:sz w:val="24"/>
                <w:szCs w:val="24"/>
              </w:rPr>
            </w:pPr>
            <w:r w:rsidRPr="00C879B4">
              <w:rPr>
                <w:b/>
                <w:color w:val="000000"/>
                <w:sz w:val="24"/>
                <w:szCs w:val="24"/>
              </w:rPr>
              <w:t xml:space="preserve">5. If the collection of information impacts small businesses or other small entities (Item 5 of OMB Form 83-I), describe any methods used to minimize burden. </w:t>
            </w:r>
          </w:p>
          <w:p w:rsidRPr="00C879B4" w:rsidR="00536947" w:rsidP="00411D7C" w:rsidRDefault="00536947" w14:paraId="2A247C0D" w14:textId="77777777">
            <w:pPr>
              <w:rPr>
                <w:b/>
                <w:color w:val="000000"/>
                <w:sz w:val="24"/>
                <w:szCs w:val="24"/>
              </w:rPr>
            </w:pPr>
          </w:p>
        </w:tc>
      </w:tr>
      <w:tr w:rsidRPr="00C879B4" w:rsidR="00536947" w:rsidTr="00411D7C" w14:paraId="3B88D86B" w14:textId="77777777">
        <w:tc>
          <w:tcPr>
            <w:tcW w:w="9360" w:type="dxa"/>
            <w:shd w:val="clear" w:color="auto" w:fill="auto"/>
          </w:tcPr>
          <w:p w:rsidRPr="00942AFD" w:rsidR="00536947" w:rsidP="00411D7C" w:rsidRDefault="00536947" w14:paraId="2C328708" w14:textId="77777777">
            <w:pPr>
              <w:rPr>
                <w:b/>
                <w:color w:val="000000"/>
                <w:sz w:val="24"/>
                <w:szCs w:val="24"/>
              </w:rPr>
            </w:pPr>
            <w:r w:rsidRPr="00942AFD">
              <w:rPr>
                <w:sz w:val="24"/>
                <w:szCs w:val="24"/>
              </w:rPr>
              <w:t>The information collected does not have a significant economic impact on a substantial number of small entities.</w:t>
            </w:r>
          </w:p>
          <w:p w:rsidRPr="00C879B4" w:rsidR="00536947" w:rsidP="00411D7C" w:rsidRDefault="00536947" w14:paraId="2972FE0C" w14:textId="77777777">
            <w:pPr>
              <w:rPr>
                <w:b/>
                <w:color w:val="000000"/>
                <w:sz w:val="24"/>
                <w:szCs w:val="24"/>
              </w:rPr>
            </w:pPr>
          </w:p>
        </w:tc>
      </w:tr>
      <w:tr w:rsidRPr="00C879B4" w:rsidR="00536947" w:rsidTr="00411D7C" w14:paraId="64278FEB" w14:textId="77777777">
        <w:tc>
          <w:tcPr>
            <w:tcW w:w="9360" w:type="dxa"/>
            <w:shd w:val="clear" w:color="auto" w:fill="auto"/>
          </w:tcPr>
          <w:p w:rsidRPr="00C879B4" w:rsidR="00536947" w:rsidP="00411D7C" w:rsidRDefault="00536947" w14:paraId="0BE35458" w14:textId="77777777">
            <w:pPr>
              <w:rPr>
                <w:b/>
                <w:color w:val="000000"/>
                <w:sz w:val="24"/>
                <w:szCs w:val="24"/>
              </w:rPr>
            </w:pPr>
            <w:r w:rsidRPr="00C879B4">
              <w:rPr>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00536947" w:rsidP="00411D7C" w:rsidRDefault="00536947" w14:paraId="2B2774C9" w14:textId="77777777">
            <w:pPr>
              <w:rPr>
                <w:b/>
                <w:color w:val="000000"/>
                <w:sz w:val="24"/>
                <w:szCs w:val="24"/>
              </w:rPr>
            </w:pPr>
          </w:p>
          <w:p w:rsidRPr="00942AFD" w:rsidR="00536947" w:rsidP="00411D7C" w:rsidRDefault="00536947" w14:paraId="23B7FB11" w14:textId="77777777">
            <w:pPr>
              <w:rPr>
                <w:b/>
                <w:color w:val="000000"/>
                <w:sz w:val="24"/>
                <w:szCs w:val="24"/>
              </w:rPr>
            </w:pPr>
            <w:r w:rsidRPr="00942AFD">
              <w:rPr>
                <w:sz w:val="24"/>
                <w:szCs w:val="24"/>
              </w:rPr>
              <w:t xml:space="preserve">The reporting burden is loan-specific and, thus, cannot be conducted less frequently than on every single loan submitted to FHA for insurance endorsement.  For the Informed Consumer Choice Notice, only a small percentage of mortgagors will receive this disclosure since it is only applicable when the mortgagor qualifies for both FHA financing </w:t>
            </w:r>
            <w:r w:rsidRPr="00942AFD">
              <w:rPr>
                <w:i/>
                <w:sz w:val="24"/>
                <w:szCs w:val="24"/>
              </w:rPr>
              <w:t xml:space="preserve">and </w:t>
            </w:r>
            <w:r w:rsidRPr="00942AFD">
              <w:rPr>
                <w:sz w:val="24"/>
                <w:szCs w:val="24"/>
              </w:rPr>
              <w:t>prime financing.</w:t>
            </w:r>
          </w:p>
        </w:tc>
      </w:tr>
      <w:tr w:rsidRPr="00C879B4" w:rsidR="00536947" w:rsidTr="00411D7C" w14:paraId="29346073" w14:textId="77777777">
        <w:tc>
          <w:tcPr>
            <w:tcW w:w="9360" w:type="dxa"/>
            <w:shd w:val="clear" w:color="auto" w:fill="auto"/>
          </w:tcPr>
          <w:p w:rsidRPr="00C879B4" w:rsidR="00536947" w:rsidP="00411D7C" w:rsidRDefault="00536947" w14:paraId="5CC914EB" w14:textId="77777777">
            <w:pPr>
              <w:rPr>
                <w:b/>
                <w:color w:val="000000"/>
                <w:sz w:val="24"/>
                <w:szCs w:val="24"/>
              </w:rPr>
            </w:pPr>
          </w:p>
        </w:tc>
      </w:tr>
      <w:tr w:rsidRPr="00C879B4" w:rsidR="00536947" w:rsidTr="00411D7C" w14:paraId="4E7F8EB5" w14:textId="77777777">
        <w:tc>
          <w:tcPr>
            <w:tcW w:w="9360" w:type="dxa"/>
            <w:shd w:val="clear" w:color="auto" w:fill="auto"/>
          </w:tcPr>
          <w:p w:rsidRPr="00C879B4" w:rsidR="00536947" w:rsidP="00411D7C" w:rsidRDefault="00536947" w14:paraId="5964F6E4" w14:textId="77777777">
            <w:pPr>
              <w:rPr>
                <w:b/>
                <w:color w:val="000000"/>
                <w:sz w:val="24"/>
                <w:szCs w:val="24"/>
              </w:rPr>
            </w:pPr>
            <w:r w:rsidRPr="00C879B4">
              <w:rPr>
                <w:b/>
                <w:color w:val="000000"/>
                <w:sz w:val="24"/>
                <w:szCs w:val="24"/>
              </w:rPr>
              <w:t>7. Explain any special circumstances that would cause an information collection to be conducted in a manner: (PLEASE ANSWER EACH BULLET SEPARATELY)</w:t>
            </w:r>
          </w:p>
          <w:p w:rsidRPr="00C879B4" w:rsidR="00536947" w:rsidP="00411D7C" w:rsidRDefault="00536947" w14:paraId="11605DE0" w14:textId="77777777">
            <w:pPr>
              <w:rPr>
                <w:b/>
                <w:color w:val="000000"/>
                <w:sz w:val="24"/>
                <w:szCs w:val="24"/>
              </w:rPr>
            </w:pPr>
          </w:p>
          <w:p w:rsidRPr="00C879B4" w:rsidR="00536947" w:rsidP="00411D7C" w:rsidRDefault="00536947" w14:paraId="38FE1412" w14:textId="77777777">
            <w:pPr>
              <w:rPr>
                <w:color w:val="000000"/>
                <w:sz w:val="24"/>
                <w:szCs w:val="24"/>
              </w:rPr>
            </w:pPr>
            <w:r w:rsidRPr="00C879B4">
              <w:rPr>
                <w:color w:val="000000"/>
                <w:sz w:val="24"/>
                <w:szCs w:val="24"/>
              </w:rPr>
              <w:t xml:space="preserve">* requiring respondents to report information to the agency more often than quarterly; </w:t>
            </w:r>
          </w:p>
          <w:p w:rsidRPr="000654B9" w:rsidR="00536947" w:rsidP="00411D7C" w:rsidRDefault="00536947" w14:paraId="0654CB23" w14:textId="77777777">
            <w:pPr>
              <w:ind w:left="720"/>
              <w:rPr>
                <w:color w:val="000000"/>
                <w:sz w:val="24"/>
                <w:szCs w:val="24"/>
              </w:rPr>
            </w:pPr>
          </w:p>
          <w:p w:rsidRPr="000654B9" w:rsidR="00536947" w:rsidP="00536947" w:rsidRDefault="00536947" w14:paraId="7E01B3F6" w14:textId="77777777">
            <w:pPr>
              <w:numPr>
                <w:ilvl w:val="0"/>
                <w:numId w:val="46"/>
              </w:numPr>
              <w:overflowPunct/>
              <w:autoSpaceDE/>
              <w:autoSpaceDN/>
              <w:adjustRightInd/>
              <w:textAlignment w:val="auto"/>
              <w:rPr>
                <w:color w:val="000000"/>
                <w:sz w:val="24"/>
                <w:szCs w:val="24"/>
              </w:rPr>
            </w:pPr>
            <w:r w:rsidRPr="000654B9">
              <w:rPr>
                <w:sz w:val="24"/>
                <w:szCs w:val="24"/>
              </w:rPr>
              <w:t xml:space="preserve">This collection requires </w:t>
            </w:r>
            <w:r w:rsidRPr="000654B9">
              <w:rPr>
                <w:color w:val="000000"/>
                <w:sz w:val="24"/>
                <w:szCs w:val="24"/>
              </w:rPr>
              <w:t xml:space="preserve">respondents to report information more than quarterly. </w:t>
            </w:r>
            <w:r w:rsidRPr="000654B9">
              <w:rPr>
                <w:sz w:val="24"/>
                <w:szCs w:val="24"/>
              </w:rPr>
              <w:t>The reporting burden is loan-specific and, thus, cannot be conducted less frequently than on every single loan submitted to FHA for insurance endorsement.</w:t>
            </w:r>
          </w:p>
          <w:p w:rsidRPr="000654B9" w:rsidR="00536947" w:rsidP="00411D7C" w:rsidRDefault="00536947" w14:paraId="2261D1B1" w14:textId="77777777">
            <w:pPr>
              <w:ind w:left="720"/>
              <w:rPr>
                <w:color w:val="000000"/>
                <w:sz w:val="24"/>
                <w:szCs w:val="24"/>
              </w:rPr>
            </w:pPr>
          </w:p>
          <w:p w:rsidRPr="00C879B4" w:rsidR="00536947" w:rsidP="00411D7C" w:rsidRDefault="00536947" w14:paraId="1DB62761" w14:textId="77777777">
            <w:pPr>
              <w:rPr>
                <w:color w:val="000000"/>
                <w:sz w:val="24"/>
                <w:szCs w:val="24"/>
              </w:rPr>
            </w:pPr>
            <w:r w:rsidRPr="00C879B4">
              <w:rPr>
                <w:color w:val="000000"/>
                <w:sz w:val="24"/>
                <w:szCs w:val="24"/>
              </w:rPr>
              <w:t xml:space="preserve">* requiring respondents to prepare a written response to a collection of information in fewer than 30 days after receipt of it; </w:t>
            </w:r>
          </w:p>
          <w:p w:rsidR="00536947" w:rsidP="00411D7C" w:rsidRDefault="00536947" w14:paraId="701170ED" w14:textId="77777777">
            <w:pPr>
              <w:ind w:left="1080"/>
              <w:contextualSpacing/>
              <w:rPr>
                <w:color w:val="000000"/>
                <w:sz w:val="24"/>
                <w:szCs w:val="24"/>
              </w:rPr>
            </w:pPr>
          </w:p>
          <w:p w:rsidRPr="000654B9" w:rsidR="00536947" w:rsidP="00536947" w:rsidRDefault="00536947" w14:paraId="6826393E" w14:textId="77777777">
            <w:pPr>
              <w:numPr>
                <w:ilvl w:val="0"/>
                <w:numId w:val="46"/>
              </w:numPr>
              <w:overflowPunct/>
              <w:autoSpaceDE/>
              <w:autoSpaceDN/>
              <w:adjustRightInd/>
              <w:textAlignment w:val="auto"/>
              <w:rPr>
                <w:color w:val="000000"/>
                <w:sz w:val="24"/>
                <w:szCs w:val="24"/>
              </w:rPr>
            </w:pPr>
            <w:r w:rsidRPr="000654B9">
              <w:rPr>
                <w:color w:val="000000"/>
                <w:sz w:val="24"/>
                <w:szCs w:val="24"/>
              </w:rPr>
              <w:t xml:space="preserve">This collection does not require respondents to prepare a written response in less than 30 days; </w:t>
            </w:r>
          </w:p>
          <w:p w:rsidRPr="00C879B4" w:rsidR="00536947" w:rsidP="00411D7C" w:rsidRDefault="00536947" w14:paraId="1D6EF730" w14:textId="77777777">
            <w:pPr>
              <w:rPr>
                <w:color w:val="000000"/>
                <w:sz w:val="24"/>
                <w:szCs w:val="24"/>
              </w:rPr>
            </w:pPr>
          </w:p>
          <w:p w:rsidRPr="00C879B4" w:rsidR="00536947" w:rsidP="00411D7C" w:rsidRDefault="00536947" w14:paraId="450DA2FC" w14:textId="77777777">
            <w:pPr>
              <w:rPr>
                <w:color w:val="000000"/>
                <w:sz w:val="24"/>
                <w:szCs w:val="24"/>
              </w:rPr>
            </w:pPr>
            <w:r w:rsidRPr="00C879B4">
              <w:rPr>
                <w:color w:val="000000"/>
                <w:sz w:val="24"/>
                <w:szCs w:val="24"/>
              </w:rPr>
              <w:t xml:space="preserve">* requiring respondents to submit more than an original and two copies of any document; </w:t>
            </w:r>
          </w:p>
          <w:p w:rsidRPr="000654B9" w:rsidR="00536947" w:rsidP="00411D7C" w:rsidRDefault="00536947" w14:paraId="37328061" w14:textId="77777777">
            <w:pPr>
              <w:rPr>
                <w:color w:val="000000"/>
                <w:sz w:val="24"/>
                <w:szCs w:val="24"/>
              </w:rPr>
            </w:pPr>
          </w:p>
          <w:p w:rsidRPr="000654B9" w:rsidR="00536947" w:rsidP="00536947" w:rsidRDefault="00536947" w14:paraId="2773D31F" w14:textId="77777777">
            <w:pPr>
              <w:numPr>
                <w:ilvl w:val="0"/>
                <w:numId w:val="46"/>
              </w:numPr>
              <w:overflowPunct/>
              <w:autoSpaceDE/>
              <w:autoSpaceDN/>
              <w:adjustRightInd/>
              <w:textAlignment w:val="auto"/>
              <w:rPr>
                <w:color w:val="000000"/>
                <w:sz w:val="24"/>
                <w:szCs w:val="24"/>
              </w:rPr>
            </w:pPr>
            <w:r w:rsidRPr="000654B9">
              <w:rPr>
                <w:color w:val="000000"/>
                <w:sz w:val="24"/>
                <w:szCs w:val="24"/>
              </w:rPr>
              <w:t>This collection does not require respondents to submit more than an original and two copies of any document;</w:t>
            </w:r>
          </w:p>
          <w:p w:rsidRPr="00C879B4" w:rsidR="00536947" w:rsidP="00411D7C" w:rsidRDefault="00536947" w14:paraId="2177037C" w14:textId="77777777">
            <w:pPr>
              <w:rPr>
                <w:color w:val="000000"/>
                <w:sz w:val="24"/>
                <w:szCs w:val="24"/>
              </w:rPr>
            </w:pPr>
          </w:p>
          <w:p w:rsidRPr="00C879B4" w:rsidR="00536947" w:rsidP="00411D7C" w:rsidRDefault="00536947" w14:paraId="6DCD80DD" w14:textId="77777777">
            <w:pPr>
              <w:rPr>
                <w:color w:val="000000"/>
                <w:sz w:val="24"/>
                <w:szCs w:val="24"/>
              </w:rPr>
            </w:pPr>
            <w:r w:rsidRPr="00C879B4">
              <w:rPr>
                <w:color w:val="000000"/>
                <w:sz w:val="24"/>
                <w:szCs w:val="24"/>
              </w:rPr>
              <w:t xml:space="preserve">* requiring respondents to retain records, other than health, medical, government contract, grant-in-aid, or tax records, for more than three years; </w:t>
            </w:r>
          </w:p>
          <w:p w:rsidR="00536947" w:rsidP="00411D7C" w:rsidRDefault="00536947" w14:paraId="7FD58FCC" w14:textId="77777777">
            <w:pPr>
              <w:rPr>
                <w:color w:val="000000"/>
                <w:sz w:val="24"/>
                <w:szCs w:val="24"/>
              </w:rPr>
            </w:pPr>
          </w:p>
          <w:p w:rsidRPr="00FA08DE" w:rsidR="00536947" w:rsidP="00536947" w:rsidRDefault="00536947" w14:paraId="3EFA8C81" w14:textId="77777777">
            <w:pPr>
              <w:numPr>
                <w:ilvl w:val="0"/>
                <w:numId w:val="46"/>
              </w:numPr>
              <w:overflowPunct/>
              <w:autoSpaceDE/>
              <w:autoSpaceDN/>
              <w:adjustRightInd/>
              <w:textAlignment w:val="auto"/>
              <w:rPr>
                <w:color w:val="000000"/>
                <w:sz w:val="24"/>
                <w:szCs w:val="24"/>
              </w:rPr>
            </w:pPr>
            <w:r>
              <w:rPr>
                <w:color w:val="000000"/>
                <w:sz w:val="24"/>
                <w:szCs w:val="24"/>
              </w:rPr>
              <w:t xml:space="preserve">This collection requires </w:t>
            </w:r>
            <w:r w:rsidRPr="00FA08DE">
              <w:rPr>
                <w:color w:val="000000"/>
                <w:sz w:val="24"/>
                <w:szCs w:val="24"/>
              </w:rPr>
              <w:t>respondents to retain records for the duration of the mortgage;</w:t>
            </w:r>
          </w:p>
          <w:p w:rsidRPr="00C879B4" w:rsidR="00536947" w:rsidP="00411D7C" w:rsidRDefault="00536947" w14:paraId="1E0DDE10" w14:textId="77777777">
            <w:pPr>
              <w:rPr>
                <w:color w:val="000000"/>
                <w:sz w:val="24"/>
                <w:szCs w:val="24"/>
              </w:rPr>
            </w:pPr>
          </w:p>
          <w:p w:rsidRPr="00C879B4" w:rsidR="00536947" w:rsidP="00411D7C" w:rsidRDefault="00536947" w14:paraId="150CD386" w14:textId="77777777">
            <w:pPr>
              <w:rPr>
                <w:color w:val="000000"/>
                <w:sz w:val="24"/>
                <w:szCs w:val="24"/>
              </w:rPr>
            </w:pPr>
            <w:r w:rsidRPr="00C879B4">
              <w:rPr>
                <w:color w:val="000000"/>
                <w:sz w:val="24"/>
                <w:szCs w:val="24"/>
              </w:rPr>
              <w:t xml:space="preserve">* in connection with a statistical survey, that is not designed to produce valid and reliable results that can be generalized to the universe of study; </w:t>
            </w:r>
          </w:p>
          <w:p w:rsidR="00536947" w:rsidP="00411D7C" w:rsidRDefault="00536947" w14:paraId="281B68A3" w14:textId="77777777">
            <w:pPr>
              <w:ind w:left="720"/>
              <w:rPr>
                <w:color w:val="000000"/>
                <w:sz w:val="24"/>
                <w:szCs w:val="24"/>
              </w:rPr>
            </w:pPr>
          </w:p>
          <w:p w:rsidRPr="00FA08DE" w:rsidR="00536947" w:rsidP="00536947" w:rsidRDefault="00536947" w14:paraId="3E8A0E74" w14:textId="77777777">
            <w:pPr>
              <w:numPr>
                <w:ilvl w:val="0"/>
                <w:numId w:val="46"/>
              </w:numPr>
              <w:overflowPunct/>
              <w:autoSpaceDE/>
              <w:autoSpaceDN/>
              <w:adjustRightInd/>
              <w:textAlignment w:val="auto"/>
              <w:rPr>
                <w:color w:val="000000"/>
                <w:sz w:val="24"/>
                <w:szCs w:val="24"/>
              </w:rPr>
            </w:pPr>
            <w:r>
              <w:rPr>
                <w:color w:val="000000"/>
                <w:sz w:val="24"/>
                <w:szCs w:val="24"/>
              </w:rPr>
              <w:t xml:space="preserve">This collection does not require the use of a </w:t>
            </w:r>
            <w:r w:rsidRPr="00FA08DE">
              <w:rPr>
                <w:color w:val="000000"/>
                <w:sz w:val="24"/>
                <w:szCs w:val="24"/>
              </w:rPr>
              <w:t>statistical survey;</w:t>
            </w:r>
          </w:p>
          <w:p w:rsidR="00536947" w:rsidP="00411D7C" w:rsidRDefault="00536947" w14:paraId="6C9665BD" w14:textId="77777777">
            <w:pPr>
              <w:rPr>
                <w:color w:val="000000"/>
                <w:sz w:val="24"/>
                <w:szCs w:val="24"/>
              </w:rPr>
            </w:pPr>
          </w:p>
          <w:p w:rsidRPr="00C879B4" w:rsidR="00536947" w:rsidP="00411D7C" w:rsidRDefault="00536947" w14:paraId="60C9F540" w14:textId="77777777">
            <w:pPr>
              <w:rPr>
                <w:color w:val="000000"/>
                <w:sz w:val="24"/>
                <w:szCs w:val="24"/>
              </w:rPr>
            </w:pPr>
            <w:r w:rsidRPr="00C879B4">
              <w:rPr>
                <w:color w:val="000000"/>
                <w:sz w:val="24"/>
                <w:szCs w:val="24"/>
              </w:rPr>
              <w:t xml:space="preserve">* requiring the use of a statistical data classification that has not been reviewed and approved by OMB; </w:t>
            </w:r>
          </w:p>
          <w:p w:rsidR="00536947" w:rsidP="00411D7C" w:rsidRDefault="00536947" w14:paraId="3ED2802D" w14:textId="77777777">
            <w:pPr>
              <w:rPr>
                <w:color w:val="000000"/>
                <w:sz w:val="24"/>
                <w:szCs w:val="24"/>
              </w:rPr>
            </w:pPr>
          </w:p>
          <w:p w:rsidRPr="00FA08DE" w:rsidR="00536947" w:rsidP="00536947" w:rsidRDefault="00536947" w14:paraId="2C8C15B7" w14:textId="77777777">
            <w:pPr>
              <w:numPr>
                <w:ilvl w:val="0"/>
                <w:numId w:val="46"/>
              </w:numPr>
              <w:overflowPunct/>
              <w:autoSpaceDE/>
              <w:autoSpaceDN/>
              <w:adjustRightInd/>
              <w:textAlignment w:val="auto"/>
              <w:rPr>
                <w:color w:val="000000"/>
                <w:sz w:val="24"/>
                <w:szCs w:val="24"/>
              </w:rPr>
            </w:pPr>
            <w:r w:rsidRPr="00C20DB1">
              <w:rPr>
                <w:sz w:val="24"/>
                <w:szCs w:val="24"/>
              </w:rPr>
              <w:t>This collection does not require the use of a statistical data classification</w:t>
            </w:r>
            <w:r>
              <w:rPr>
                <w:sz w:val="24"/>
                <w:szCs w:val="24"/>
              </w:rPr>
              <w:t>;</w:t>
            </w:r>
          </w:p>
          <w:p w:rsidR="00536947" w:rsidP="00411D7C" w:rsidRDefault="00536947" w14:paraId="1529DF61" w14:textId="77777777">
            <w:pPr>
              <w:rPr>
                <w:color w:val="000000"/>
                <w:sz w:val="24"/>
                <w:szCs w:val="24"/>
              </w:rPr>
            </w:pPr>
          </w:p>
          <w:p w:rsidRPr="00C879B4" w:rsidR="00536947" w:rsidP="00411D7C" w:rsidRDefault="00536947" w14:paraId="026B542C" w14:textId="77777777">
            <w:pPr>
              <w:rPr>
                <w:color w:val="000000"/>
                <w:sz w:val="24"/>
                <w:szCs w:val="24"/>
              </w:rPr>
            </w:pPr>
            <w:r w:rsidRPr="00C879B4">
              <w:rPr>
                <w:color w:val="000000"/>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536947" w:rsidP="00411D7C" w:rsidRDefault="00536947" w14:paraId="6A88DDD8" w14:textId="77777777">
            <w:pPr>
              <w:rPr>
                <w:color w:val="000000"/>
                <w:sz w:val="24"/>
                <w:szCs w:val="24"/>
              </w:rPr>
            </w:pPr>
          </w:p>
          <w:p w:rsidRPr="00444D85" w:rsidR="00536947" w:rsidP="00536947" w:rsidRDefault="00536947" w14:paraId="1FB39AB7" w14:textId="0CACECF5">
            <w:pPr>
              <w:numPr>
                <w:ilvl w:val="0"/>
                <w:numId w:val="46"/>
              </w:numPr>
              <w:overflowPunct/>
              <w:autoSpaceDE/>
              <w:autoSpaceDN/>
              <w:adjustRightInd/>
              <w:textAlignment w:val="auto"/>
              <w:rPr>
                <w:color w:val="000000"/>
                <w:sz w:val="24"/>
                <w:szCs w:val="24"/>
              </w:rPr>
            </w:pPr>
            <w:r>
              <w:rPr>
                <w:color w:val="000000"/>
                <w:sz w:val="24"/>
                <w:szCs w:val="24"/>
              </w:rPr>
              <w:t xml:space="preserve">This collection does not include a </w:t>
            </w:r>
            <w:r w:rsidRPr="00444D85">
              <w:rPr>
                <w:color w:val="000000"/>
                <w:sz w:val="24"/>
                <w:szCs w:val="24"/>
              </w:rPr>
              <w:t xml:space="preserve">pledge of confidentiality that is not supported by authority established in a statue or regulation, </w:t>
            </w:r>
            <w:r w:rsidRPr="002258D3">
              <w:rPr>
                <w:color w:val="000000"/>
                <w:sz w:val="24"/>
                <w:szCs w:val="24"/>
              </w:rPr>
              <w:t>that is not supported by disclosure and data security policies that are consistent with the pledge, or which unnecessarily impedes sharing of data with other agencies for compatible confidential use</w:t>
            </w:r>
            <w:r>
              <w:rPr>
                <w:color w:val="000000"/>
                <w:sz w:val="24"/>
                <w:szCs w:val="24"/>
              </w:rPr>
              <w:t>.</w:t>
            </w:r>
          </w:p>
          <w:p w:rsidR="00536947" w:rsidP="00411D7C" w:rsidRDefault="00536947" w14:paraId="48431088" w14:textId="77777777">
            <w:pPr>
              <w:rPr>
                <w:color w:val="000000"/>
                <w:sz w:val="24"/>
                <w:szCs w:val="24"/>
              </w:rPr>
            </w:pPr>
          </w:p>
          <w:p w:rsidRPr="00C879B4" w:rsidR="00536947" w:rsidP="00411D7C" w:rsidRDefault="00536947" w14:paraId="4FDE1822" w14:textId="77777777">
            <w:pPr>
              <w:rPr>
                <w:color w:val="000000"/>
                <w:sz w:val="24"/>
                <w:szCs w:val="24"/>
              </w:rPr>
            </w:pPr>
          </w:p>
          <w:p w:rsidRPr="00C879B4" w:rsidR="00536947" w:rsidP="00411D7C" w:rsidRDefault="00536947" w14:paraId="1650AB51" w14:textId="77777777">
            <w:pPr>
              <w:rPr>
                <w:color w:val="000000"/>
                <w:sz w:val="24"/>
                <w:szCs w:val="24"/>
              </w:rPr>
            </w:pPr>
            <w:r w:rsidRPr="00C879B4">
              <w:rPr>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Pr="00C879B4" w:rsidR="00536947" w:rsidP="00411D7C" w:rsidRDefault="00536947" w14:paraId="2FC90989" w14:textId="77777777">
            <w:pPr>
              <w:ind w:left="720"/>
              <w:rPr>
                <w:b/>
                <w:color w:val="000000"/>
                <w:sz w:val="24"/>
                <w:szCs w:val="24"/>
              </w:rPr>
            </w:pPr>
          </w:p>
        </w:tc>
      </w:tr>
      <w:tr w:rsidRPr="00C879B4" w:rsidR="00536947" w:rsidTr="00411D7C" w14:paraId="1F516BF8" w14:textId="77777777">
        <w:tc>
          <w:tcPr>
            <w:tcW w:w="9360" w:type="dxa"/>
            <w:shd w:val="clear" w:color="auto" w:fill="auto"/>
          </w:tcPr>
          <w:p w:rsidRPr="00FA08DE" w:rsidR="00536947" w:rsidP="00536947" w:rsidRDefault="00536947" w14:paraId="0E92899A" w14:textId="77777777">
            <w:pPr>
              <w:numPr>
                <w:ilvl w:val="0"/>
                <w:numId w:val="46"/>
              </w:numPr>
              <w:overflowPunct/>
              <w:autoSpaceDE/>
              <w:autoSpaceDN/>
              <w:adjustRightInd/>
              <w:textAlignment w:val="auto"/>
              <w:rPr>
                <w:color w:val="000000"/>
                <w:sz w:val="24"/>
                <w:szCs w:val="24"/>
              </w:rPr>
            </w:pPr>
            <w:r>
              <w:rPr>
                <w:color w:val="000000"/>
                <w:sz w:val="24"/>
                <w:szCs w:val="24"/>
              </w:rPr>
              <w:lastRenderedPageBreak/>
              <w:t xml:space="preserve">This collection does not require </w:t>
            </w:r>
            <w:r w:rsidRPr="00FA08DE">
              <w:rPr>
                <w:color w:val="000000"/>
                <w:sz w:val="24"/>
                <w:szCs w:val="24"/>
              </w:rPr>
              <w:t xml:space="preserve">respondents </w:t>
            </w:r>
            <w:r>
              <w:rPr>
                <w:color w:val="000000"/>
                <w:sz w:val="24"/>
                <w:szCs w:val="24"/>
              </w:rPr>
              <w:t>t</w:t>
            </w:r>
            <w:r w:rsidRPr="00FA08DE">
              <w:rPr>
                <w:color w:val="000000"/>
                <w:sz w:val="24"/>
                <w:szCs w:val="24"/>
              </w:rPr>
              <w:t>o submit proprietary trade secrets or other confidential information unless the agency can demonstrate that it has instituted procedures to protect the information’s confidentiality to the extent permitted by law.</w:t>
            </w:r>
          </w:p>
          <w:p w:rsidRPr="00FA08DE" w:rsidR="00536947" w:rsidP="00411D7C" w:rsidRDefault="00536947" w14:paraId="26B5963D" w14:textId="77777777">
            <w:pPr>
              <w:rPr>
                <w:b/>
                <w:color w:val="000000"/>
                <w:sz w:val="24"/>
                <w:szCs w:val="24"/>
              </w:rPr>
            </w:pPr>
          </w:p>
        </w:tc>
      </w:tr>
    </w:tbl>
    <w:p w:rsidRPr="00C879B4" w:rsidR="00536947" w:rsidP="00536947" w:rsidRDefault="00536947" w14:paraId="11A7B95A" w14:textId="77777777">
      <w:pPr>
        <w:rPr>
          <w:b/>
          <w:color w:val="000000"/>
          <w:sz w:val="24"/>
          <w:szCs w:val="24"/>
        </w:rPr>
      </w:pPr>
    </w:p>
    <w:tbl>
      <w:tblPr>
        <w:tblW w:w="0" w:type="auto"/>
        <w:tblInd w:w="108" w:type="dxa"/>
        <w:tblLook w:val="04A0" w:firstRow="1" w:lastRow="0" w:firstColumn="1" w:lastColumn="0" w:noHBand="0" w:noVBand="1"/>
      </w:tblPr>
      <w:tblGrid>
        <w:gridCol w:w="9360"/>
      </w:tblGrid>
      <w:tr w:rsidRPr="00C3075E" w:rsidR="00536947" w:rsidTr="00411D7C" w14:paraId="51C8CBF0" w14:textId="77777777">
        <w:tc>
          <w:tcPr>
            <w:tcW w:w="9360" w:type="dxa"/>
            <w:shd w:val="clear" w:color="auto" w:fill="auto"/>
          </w:tcPr>
          <w:p w:rsidRPr="00C3075E" w:rsidR="00536947" w:rsidP="00411D7C" w:rsidRDefault="00536947" w14:paraId="6A7E6445" w14:textId="77777777">
            <w:pPr>
              <w:rPr>
                <w:b/>
                <w:color w:val="000000"/>
                <w:sz w:val="24"/>
                <w:szCs w:val="24"/>
              </w:rPr>
            </w:pPr>
            <w:r w:rsidRPr="00444D85">
              <w:rPr>
                <w:b/>
                <w:color w:val="000000"/>
                <w:sz w:val="24"/>
                <w:szCs w:val="24"/>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w:t>
            </w:r>
            <w:r w:rsidRPr="00536947">
              <w:rPr>
                <w:b/>
                <w:color w:val="000000"/>
                <w:sz w:val="24"/>
                <w:szCs w:val="24"/>
              </w:rPr>
              <w:t>in their views on the availability of data, frequency of collection, the clarity of instructions and recordkeeping, disclosure, or reporting format (if any), and on the data elements to be recorded, disclosed, or reported. Consultation with representatives</w:t>
            </w:r>
            <w:r w:rsidRPr="00C3075E">
              <w:rPr>
                <w:b/>
                <w:color w:val="000000"/>
                <w:sz w:val="24"/>
                <w:szCs w:val="24"/>
              </w:rPr>
              <w:t xml:space="preserve">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C3075E" w:rsidR="00536947" w:rsidP="00411D7C" w:rsidRDefault="00536947" w14:paraId="0DD99C36" w14:textId="77777777">
            <w:pPr>
              <w:rPr>
                <w:color w:val="000000"/>
              </w:rPr>
            </w:pPr>
          </w:p>
          <w:p w:rsidRPr="00444D85" w:rsidR="00536947" w:rsidP="00411D7C" w:rsidRDefault="00536947" w14:paraId="704A81BB" w14:textId="3A1B4F24">
            <w:pPr>
              <w:tabs>
                <w:tab w:val="left" w:pos="1080"/>
              </w:tabs>
              <w:rPr>
                <w:sz w:val="24"/>
              </w:rPr>
            </w:pPr>
            <w:r w:rsidRPr="002258D3">
              <w:rPr>
                <w:sz w:val="24"/>
              </w:rPr>
              <w:t xml:space="preserve">In accordance with </w:t>
            </w:r>
            <w:r w:rsidRPr="00444D85">
              <w:rPr>
                <w:sz w:val="24"/>
                <w:szCs w:val="24"/>
              </w:rPr>
              <w:t>in 5 CFR 1320.6</w:t>
            </w:r>
            <w:r w:rsidRPr="002258D3">
              <w:rPr>
                <w:sz w:val="24"/>
              </w:rPr>
              <w:t xml:space="preserve">, a 60-day Federal Register Notice soliciting public comments on the information collection for OMB #2502-0059 was announced in the Federal Register on </w:t>
            </w:r>
            <w:proofErr w:type="gramStart"/>
            <w:r w:rsidR="007F5B7C">
              <w:rPr>
                <w:sz w:val="24"/>
              </w:rPr>
              <w:t>October,</w:t>
            </w:r>
            <w:proofErr w:type="gramEnd"/>
            <w:r w:rsidR="007F5B7C">
              <w:rPr>
                <w:sz w:val="24"/>
              </w:rPr>
              <w:t xml:space="preserve"> 25, 2019</w:t>
            </w:r>
            <w:r w:rsidRPr="002258D3">
              <w:rPr>
                <w:sz w:val="24"/>
              </w:rPr>
              <w:t xml:space="preserve"> Volume </w:t>
            </w:r>
            <w:r w:rsidR="007F5B7C">
              <w:rPr>
                <w:sz w:val="24"/>
              </w:rPr>
              <w:t>84</w:t>
            </w:r>
            <w:r w:rsidRPr="002258D3">
              <w:rPr>
                <w:sz w:val="24"/>
              </w:rPr>
              <w:t>,</w:t>
            </w:r>
            <w:r w:rsidR="00277E3B">
              <w:rPr>
                <w:sz w:val="24"/>
              </w:rPr>
              <w:t xml:space="preserve"> Number </w:t>
            </w:r>
            <w:r w:rsidR="007F5B7C">
              <w:rPr>
                <w:sz w:val="24"/>
              </w:rPr>
              <w:t>207</w:t>
            </w:r>
            <w:r w:rsidRPr="002258D3">
              <w:rPr>
                <w:sz w:val="24"/>
              </w:rPr>
              <w:t xml:space="preserve"> Page</w:t>
            </w:r>
            <w:r w:rsidR="00277E3B">
              <w:rPr>
                <w:sz w:val="24"/>
              </w:rPr>
              <w:t xml:space="preserve"> </w:t>
            </w:r>
            <w:r w:rsidR="007F5B7C">
              <w:rPr>
                <w:sz w:val="24"/>
              </w:rPr>
              <w:t>57464</w:t>
            </w:r>
            <w:r w:rsidRPr="002258D3">
              <w:rPr>
                <w:sz w:val="24"/>
              </w:rPr>
              <w:t xml:space="preserve">.  </w:t>
            </w:r>
            <w:r w:rsidR="00EE1E20">
              <w:rPr>
                <w:sz w:val="24"/>
              </w:rPr>
              <w:t>Comments were received.</w:t>
            </w:r>
          </w:p>
          <w:p w:rsidRPr="00444D85" w:rsidR="00536947" w:rsidP="00411D7C" w:rsidRDefault="00536947" w14:paraId="755FD306" w14:textId="77777777">
            <w:pPr>
              <w:tabs>
                <w:tab w:val="left" w:pos="1080"/>
              </w:tabs>
              <w:rPr>
                <w:b/>
                <w:color w:val="000000"/>
                <w:sz w:val="24"/>
                <w:szCs w:val="24"/>
              </w:rPr>
            </w:pPr>
          </w:p>
          <w:p w:rsidRPr="00C3075E" w:rsidR="00536947" w:rsidP="00411D7C" w:rsidRDefault="00536947" w14:paraId="782F8330" w14:textId="06AD0D62">
            <w:pPr>
              <w:rPr>
                <w:b/>
                <w:color w:val="000000"/>
                <w:sz w:val="24"/>
                <w:szCs w:val="24"/>
              </w:rPr>
            </w:pPr>
            <w:r w:rsidRPr="00444D85">
              <w:rPr>
                <w:sz w:val="24"/>
                <w:szCs w:val="24"/>
              </w:rPr>
              <w:t xml:space="preserve">This is </w:t>
            </w:r>
            <w:r w:rsidRPr="00536947">
              <w:rPr>
                <w:sz w:val="24"/>
                <w:szCs w:val="24"/>
              </w:rPr>
              <w:t xml:space="preserve">a revision </w:t>
            </w:r>
            <w:r w:rsidRPr="00C3075E">
              <w:rPr>
                <w:sz w:val="24"/>
                <w:szCs w:val="24"/>
              </w:rPr>
              <w:t xml:space="preserve">to a currently approved collection.  HUD regularly receives comments and input on its information collection requirements from lending institutions, the home construction industry, insurance companies, appraisers, and service companies.  </w:t>
            </w:r>
          </w:p>
        </w:tc>
      </w:tr>
      <w:tr w:rsidRPr="00C3075E" w:rsidR="00536947" w:rsidTr="00411D7C" w14:paraId="1B6B6D08" w14:textId="77777777">
        <w:tc>
          <w:tcPr>
            <w:tcW w:w="9360" w:type="dxa"/>
            <w:shd w:val="clear" w:color="auto" w:fill="auto"/>
          </w:tcPr>
          <w:p w:rsidRPr="002258D3" w:rsidR="00536947" w:rsidP="00411D7C" w:rsidRDefault="00536947" w14:paraId="1F4487A3" w14:textId="77777777">
            <w:pPr>
              <w:rPr>
                <w:b/>
                <w:color w:val="000000"/>
                <w:sz w:val="24"/>
                <w:szCs w:val="24"/>
              </w:rPr>
            </w:pPr>
          </w:p>
          <w:p w:rsidRPr="002258D3" w:rsidR="00536947" w:rsidP="00411D7C" w:rsidRDefault="00536947" w14:paraId="23143CB4" w14:textId="77777777">
            <w:pPr>
              <w:rPr>
                <w:sz w:val="24"/>
                <w:szCs w:val="24"/>
              </w:rPr>
            </w:pPr>
            <w:r w:rsidRPr="002258D3">
              <w:rPr>
                <w:sz w:val="24"/>
                <w:szCs w:val="24"/>
              </w:rPr>
              <w:t xml:space="preserve">Previous design and development of the data collection instruments were done in consultation with HUD staff and relevant organizations outside the agency including trade associations </w:t>
            </w:r>
            <w:r w:rsidRPr="002258D3">
              <w:rPr>
                <w:sz w:val="24"/>
                <w:szCs w:val="24"/>
              </w:rPr>
              <w:lastRenderedPageBreak/>
              <w:t xml:space="preserve">such as the Mortgage Bankers Association, National Association of Mortgage Brokers, National Association of Home Builders, as well as mortgage lenders.  </w:t>
            </w:r>
          </w:p>
          <w:p w:rsidRPr="002258D3" w:rsidR="00536947" w:rsidP="00411D7C" w:rsidRDefault="00536947" w14:paraId="5A69799D" w14:textId="35D9F7B5">
            <w:pPr>
              <w:rPr>
                <w:b/>
                <w:color w:val="000000"/>
                <w:sz w:val="24"/>
                <w:szCs w:val="24"/>
              </w:rPr>
            </w:pPr>
            <w:r w:rsidRPr="002258D3">
              <w:rPr>
                <w:sz w:val="24"/>
                <w:szCs w:val="24"/>
              </w:rPr>
              <w:t>Since this submission is a revision of an existing information collection approval, consultations were previously conducted with respondents regarding significant changes under existing information collection.  The respondents previously contacted were chosen for consultation due to their large volume of FHA-insured loans as well as their participation in the Lender Insurance Program.</w:t>
            </w:r>
          </w:p>
        </w:tc>
      </w:tr>
    </w:tbl>
    <w:p w:rsidRPr="00C3075E" w:rsidR="00536947" w:rsidP="00536947" w:rsidRDefault="00536947" w14:paraId="03427C17" w14:textId="77777777">
      <w:pPr>
        <w:rPr>
          <w:b/>
          <w:color w:val="000000"/>
          <w:sz w:val="24"/>
          <w:szCs w:val="24"/>
        </w:rPr>
      </w:pPr>
    </w:p>
    <w:tbl>
      <w:tblPr>
        <w:tblW w:w="0" w:type="auto"/>
        <w:tblInd w:w="108" w:type="dxa"/>
        <w:tblLook w:val="04A0" w:firstRow="1" w:lastRow="0" w:firstColumn="1" w:lastColumn="0" w:noHBand="0" w:noVBand="1"/>
      </w:tblPr>
      <w:tblGrid>
        <w:gridCol w:w="9360"/>
      </w:tblGrid>
      <w:tr w:rsidRPr="00C879B4" w:rsidR="00536947" w:rsidTr="00411D7C" w14:paraId="5EA69698" w14:textId="77777777">
        <w:tc>
          <w:tcPr>
            <w:tcW w:w="9360" w:type="dxa"/>
            <w:shd w:val="clear" w:color="auto" w:fill="auto"/>
          </w:tcPr>
          <w:p w:rsidRPr="00C879B4" w:rsidR="00536947" w:rsidP="00411D7C" w:rsidRDefault="00536947" w14:paraId="289F29F7" w14:textId="0600BD37">
            <w:pPr>
              <w:rPr>
                <w:b/>
                <w:color w:val="000000"/>
                <w:sz w:val="24"/>
                <w:szCs w:val="24"/>
              </w:rPr>
            </w:pPr>
            <w:r w:rsidRPr="00C3075E">
              <w:rPr>
                <w:b/>
                <w:color w:val="000000"/>
                <w:sz w:val="24"/>
                <w:szCs w:val="24"/>
              </w:rPr>
              <w:t>9. Explain any decision to provide any payment or gift to respondents, other than renumeration of contractors or grantees.</w:t>
            </w:r>
            <w:r w:rsidRPr="00C879B4">
              <w:rPr>
                <w:b/>
                <w:color w:val="000000"/>
                <w:sz w:val="24"/>
                <w:szCs w:val="24"/>
              </w:rPr>
              <w:t xml:space="preserve"> </w:t>
            </w:r>
          </w:p>
          <w:p w:rsidRPr="00C879B4" w:rsidR="00536947" w:rsidP="00411D7C" w:rsidRDefault="00536947" w14:paraId="7D19B7A1" w14:textId="77777777">
            <w:pPr>
              <w:rPr>
                <w:color w:val="000000"/>
                <w:sz w:val="24"/>
                <w:szCs w:val="24"/>
              </w:rPr>
            </w:pPr>
          </w:p>
        </w:tc>
      </w:tr>
      <w:tr w:rsidRPr="00C879B4" w:rsidR="00536947" w:rsidTr="00411D7C" w14:paraId="7AF43726" w14:textId="77777777">
        <w:tc>
          <w:tcPr>
            <w:tcW w:w="9360" w:type="dxa"/>
            <w:shd w:val="clear" w:color="auto" w:fill="auto"/>
          </w:tcPr>
          <w:p w:rsidRPr="00BB7507" w:rsidR="00536947" w:rsidP="00411D7C" w:rsidRDefault="00536947" w14:paraId="37EC2FD8" w14:textId="77777777">
            <w:pPr>
              <w:rPr>
                <w:color w:val="000000"/>
                <w:sz w:val="24"/>
                <w:szCs w:val="24"/>
              </w:rPr>
            </w:pPr>
            <w:r w:rsidRPr="00BB7507">
              <w:rPr>
                <w:sz w:val="24"/>
                <w:szCs w:val="24"/>
              </w:rPr>
              <w:t>There are no gifts or other type payments made to respondents.</w:t>
            </w:r>
          </w:p>
        </w:tc>
      </w:tr>
    </w:tbl>
    <w:p w:rsidRPr="00C879B4" w:rsidR="00536947" w:rsidP="00536947" w:rsidRDefault="00536947" w14:paraId="05F4AA2A" w14:textId="77777777">
      <w:pPr>
        <w:rPr>
          <w:b/>
          <w:color w:val="000000"/>
          <w:sz w:val="24"/>
          <w:szCs w:val="24"/>
        </w:rPr>
      </w:pPr>
    </w:p>
    <w:tbl>
      <w:tblPr>
        <w:tblW w:w="0" w:type="auto"/>
        <w:tblInd w:w="108" w:type="dxa"/>
        <w:tblLook w:val="04A0" w:firstRow="1" w:lastRow="0" w:firstColumn="1" w:lastColumn="0" w:noHBand="0" w:noVBand="1"/>
      </w:tblPr>
      <w:tblGrid>
        <w:gridCol w:w="9360"/>
      </w:tblGrid>
      <w:tr w:rsidRPr="00C879B4" w:rsidR="00536947" w:rsidTr="00411D7C" w14:paraId="3CB6AED3" w14:textId="77777777">
        <w:tc>
          <w:tcPr>
            <w:tcW w:w="9360" w:type="dxa"/>
            <w:shd w:val="clear" w:color="auto" w:fill="auto"/>
          </w:tcPr>
          <w:p w:rsidRPr="00C879B4" w:rsidR="00536947" w:rsidP="00411D7C" w:rsidRDefault="00536947" w14:paraId="1630BC64" w14:textId="77777777">
            <w:pPr>
              <w:rPr>
                <w:b/>
                <w:color w:val="000000"/>
                <w:sz w:val="24"/>
                <w:szCs w:val="24"/>
              </w:rPr>
            </w:pPr>
            <w:r w:rsidRPr="00C879B4">
              <w:rPr>
                <w:b/>
                <w:color w:val="000000"/>
                <w:sz w:val="24"/>
                <w:szCs w:val="24"/>
              </w:rPr>
              <w:t xml:space="preserve">10. Describe any assurance of confidentiality provided to respondents and the basis for the assurance in statute, regulation, or agency policy. </w:t>
            </w:r>
          </w:p>
          <w:p w:rsidRPr="00C879B4" w:rsidR="00536947" w:rsidP="00411D7C" w:rsidRDefault="00536947" w14:paraId="66B80578" w14:textId="77777777">
            <w:pPr>
              <w:rPr>
                <w:b/>
                <w:color w:val="000000"/>
                <w:sz w:val="24"/>
                <w:szCs w:val="24"/>
              </w:rPr>
            </w:pPr>
          </w:p>
        </w:tc>
      </w:tr>
      <w:tr w:rsidRPr="00C879B4" w:rsidR="00536947" w:rsidTr="00411D7C" w14:paraId="70BC80C7" w14:textId="77777777">
        <w:tc>
          <w:tcPr>
            <w:tcW w:w="9360" w:type="dxa"/>
            <w:shd w:val="clear" w:color="auto" w:fill="auto"/>
          </w:tcPr>
          <w:p w:rsidRPr="00BB7507" w:rsidR="00536947" w:rsidP="00411D7C" w:rsidRDefault="00536947" w14:paraId="475DB383" w14:textId="6D718306">
            <w:pPr>
              <w:rPr>
                <w:b/>
                <w:color w:val="000000"/>
                <w:sz w:val="24"/>
                <w:szCs w:val="24"/>
              </w:rPr>
            </w:pPr>
            <w:r w:rsidRPr="00BB7507">
              <w:rPr>
                <w:sz w:val="24"/>
                <w:szCs w:val="24"/>
              </w:rPr>
              <w:t xml:space="preserve">The Privacy Act Statement provided in form HUD-92900-A </w:t>
            </w:r>
            <w:r w:rsidR="00D43419">
              <w:rPr>
                <w:sz w:val="24"/>
                <w:szCs w:val="24"/>
              </w:rPr>
              <w:t>Part</w:t>
            </w:r>
            <w:r w:rsidRPr="00BB7507">
              <w:rPr>
                <w:sz w:val="24"/>
                <w:szCs w:val="24"/>
              </w:rPr>
              <w:t xml:space="preserve"> III, “</w:t>
            </w:r>
            <w:r w:rsidR="00D43419">
              <w:rPr>
                <w:sz w:val="24"/>
                <w:szCs w:val="24"/>
              </w:rPr>
              <w:t>B</w:t>
            </w:r>
            <w:r w:rsidR="00BE3B9E">
              <w:rPr>
                <w:sz w:val="24"/>
                <w:szCs w:val="24"/>
              </w:rPr>
              <w:t xml:space="preserve">orrower </w:t>
            </w:r>
            <w:r w:rsidR="005F668D">
              <w:rPr>
                <w:sz w:val="24"/>
                <w:szCs w:val="24"/>
              </w:rPr>
              <w:t>N</w:t>
            </w:r>
            <w:r w:rsidR="00BE3B9E">
              <w:rPr>
                <w:sz w:val="24"/>
                <w:szCs w:val="24"/>
              </w:rPr>
              <w:t>otices, Information, and Acknowledgement</w:t>
            </w:r>
            <w:r w:rsidRPr="00BB7507">
              <w:rPr>
                <w:sz w:val="24"/>
                <w:szCs w:val="24"/>
              </w:rPr>
              <w:t xml:space="preserve">” furnishes the authority for the collection of the information requested and the assurance of confidentiality as established by law.  Information regarding the borrower's financial status and income data are only used to determine eligibility.  The basis for collecting the borrower’s social security number on the form is covered under the Debt Collection Act of 1982, (P.L. 97-365) and is also provided in </w:t>
            </w:r>
            <w:r w:rsidR="00BE3B9E">
              <w:rPr>
                <w:sz w:val="24"/>
                <w:szCs w:val="24"/>
              </w:rPr>
              <w:t>Part</w:t>
            </w:r>
            <w:r w:rsidRPr="00BB7507">
              <w:rPr>
                <w:sz w:val="24"/>
                <w:szCs w:val="24"/>
              </w:rPr>
              <w:t xml:space="preserve"> III., “</w:t>
            </w:r>
            <w:r w:rsidR="00BE3B9E">
              <w:rPr>
                <w:sz w:val="24"/>
                <w:szCs w:val="24"/>
              </w:rPr>
              <w:t xml:space="preserve">Borrower </w:t>
            </w:r>
            <w:r w:rsidRPr="00BB7507">
              <w:rPr>
                <w:sz w:val="24"/>
                <w:szCs w:val="24"/>
              </w:rPr>
              <w:t>Notice</w:t>
            </w:r>
            <w:r w:rsidR="00BE3B9E">
              <w:rPr>
                <w:sz w:val="24"/>
                <w:szCs w:val="24"/>
              </w:rPr>
              <w:t>s, Information and Acknowledgement</w:t>
            </w:r>
            <w:r w:rsidRPr="00BB7507">
              <w:rPr>
                <w:sz w:val="24"/>
                <w:szCs w:val="24"/>
              </w:rPr>
              <w:t>.”</w:t>
            </w:r>
          </w:p>
        </w:tc>
      </w:tr>
    </w:tbl>
    <w:p w:rsidRPr="00C879B4" w:rsidR="00536947" w:rsidP="00536947" w:rsidRDefault="00536947" w14:paraId="0AA54A7B" w14:textId="77777777">
      <w:pPr>
        <w:rPr>
          <w:b/>
          <w:color w:val="000000"/>
          <w:sz w:val="24"/>
          <w:szCs w:val="24"/>
        </w:rPr>
      </w:pPr>
    </w:p>
    <w:tbl>
      <w:tblPr>
        <w:tblW w:w="11301" w:type="dxa"/>
        <w:tblInd w:w="108" w:type="dxa"/>
        <w:tblLook w:val="04A0" w:firstRow="1" w:lastRow="0" w:firstColumn="1" w:lastColumn="0" w:noHBand="0" w:noVBand="1"/>
      </w:tblPr>
      <w:tblGrid>
        <w:gridCol w:w="11301"/>
      </w:tblGrid>
      <w:tr w:rsidRPr="00C879B4" w:rsidR="00536947" w:rsidTr="002258D3" w14:paraId="1FC308F2" w14:textId="77777777">
        <w:trPr>
          <w:trHeight w:val="1293"/>
        </w:trPr>
        <w:tc>
          <w:tcPr>
            <w:tcW w:w="11301" w:type="dxa"/>
            <w:shd w:val="clear" w:color="auto" w:fill="auto"/>
          </w:tcPr>
          <w:p w:rsidR="00536947" w:rsidP="002258D3" w:rsidRDefault="00536947" w14:paraId="022711A7" w14:textId="77777777">
            <w:pPr>
              <w:ind w:left="-78"/>
              <w:rPr>
                <w:b/>
                <w:color w:val="000000"/>
                <w:sz w:val="24"/>
                <w:szCs w:val="24"/>
              </w:rPr>
            </w:pPr>
            <w:r w:rsidRPr="00C879B4">
              <w:rPr>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36947" w:rsidP="002258D3" w:rsidRDefault="00536947" w14:paraId="2FDCD34A" w14:textId="77777777">
            <w:pPr>
              <w:ind w:left="-78"/>
              <w:rPr>
                <w:b/>
                <w:color w:val="000000"/>
                <w:sz w:val="24"/>
                <w:szCs w:val="24"/>
              </w:rPr>
            </w:pPr>
          </w:p>
          <w:p w:rsidR="00384CB8" w:rsidP="00384CB8" w:rsidRDefault="00384CB8" w14:paraId="00C78696" w14:textId="77777777">
            <w:pPr>
              <w:rPr>
                <w:sz w:val="24"/>
                <w:szCs w:val="24"/>
              </w:rPr>
            </w:pPr>
            <w:r w:rsidRPr="00597978">
              <w:rPr>
                <w:sz w:val="24"/>
                <w:szCs w:val="24"/>
              </w:rPr>
              <w:t>There are no questions of a sensitive nature</w:t>
            </w:r>
            <w:r>
              <w:rPr>
                <w:sz w:val="24"/>
                <w:szCs w:val="24"/>
              </w:rPr>
              <w:t>.</w:t>
            </w:r>
          </w:p>
          <w:p w:rsidRPr="00C879B4" w:rsidR="00536947" w:rsidP="002258D3" w:rsidRDefault="00536947" w14:paraId="65BEF28D" w14:textId="77777777">
            <w:pPr>
              <w:ind w:left="-78"/>
              <w:rPr>
                <w:b/>
                <w:color w:val="000000"/>
                <w:sz w:val="24"/>
                <w:szCs w:val="24"/>
              </w:rPr>
            </w:pPr>
          </w:p>
          <w:p w:rsidRPr="00C879B4" w:rsidR="00536947" w:rsidP="002258D3" w:rsidRDefault="00536947" w14:paraId="696C0A4D" w14:textId="77777777">
            <w:pPr>
              <w:ind w:left="-78"/>
              <w:rPr>
                <w:b/>
                <w:color w:val="000000"/>
                <w:sz w:val="24"/>
                <w:szCs w:val="24"/>
              </w:rPr>
            </w:pPr>
            <w:r w:rsidRPr="00C879B4">
              <w:rPr>
                <w:b/>
                <w:color w:val="000000"/>
                <w:sz w:val="24"/>
                <w:szCs w:val="24"/>
              </w:rPr>
              <w:t xml:space="preserve">12. Provide estimates of the hour burden of the collection of information. The statement should: </w:t>
            </w:r>
          </w:p>
          <w:p w:rsidRPr="00444D85" w:rsidR="00536947" w:rsidRDefault="00536947" w14:paraId="2394E9D7" w14:textId="77777777">
            <w:pPr>
              <w:rPr>
                <w:color w:val="000000"/>
                <w:sz w:val="24"/>
                <w:szCs w:val="24"/>
              </w:rPr>
            </w:pPr>
          </w:p>
          <w:p w:rsidR="00536947" w:rsidP="002258D3" w:rsidRDefault="00536947" w14:paraId="22DB9EE5" w14:textId="37AA52C1">
            <w:pPr>
              <w:ind w:left="-78"/>
              <w:rPr>
                <w:sz w:val="24"/>
                <w:szCs w:val="24"/>
              </w:rPr>
            </w:pPr>
            <w:r w:rsidRPr="002258D3">
              <w:rPr>
                <w:sz w:val="24"/>
                <w:szCs w:val="24"/>
              </w:rPr>
              <w:t xml:space="preserve">Since this submission is a revision of </w:t>
            </w:r>
            <w:r w:rsidR="005A5470">
              <w:rPr>
                <w:sz w:val="24"/>
                <w:szCs w:val="24"/>
              </w:rPr>
              <w:t>a</w:t>
            </w:r>
            <w:r w:rsidR="00411D7C">
              <w:rPr>
                <w:sz w:val="24"/>
                <w:szCs w:val="24"/>
              </w:rPr>
              <w:t xml:space="preserve"> form under a currently approved</w:t>
            </w:r>
            <w:r w:rsidRPr="002258D3">
              <w:rPr>
                <w:sz w:val="24"/>
                <w:szCs w:val="24"/>
              </w:rPr>
              <w:t xml:space="preserve"> information collection, consultations previously conducted with respondents regarding significant changes under existing information collection</w:t>
            </w:r>
            <w:r w:rsidR="005A5470">
              <w:rPr>
                <w:sz w:val="24"/>
                <w:szCs w:val="24"/>
              </w:rPr>
              <w:t xml:space="preserve"> remain valid</w:t>
            </w:r>
            <w:r w:rsidRPr="002258D3">
              <w:rPr>
                <w:sz w:val="24"/>
                <w:szCs w:val="24"/>
              </w:rPr>
              <w:t>.  The respondents previously contacted were chosen for consultation due to their large volume of FHA-insured loans as well as their participation in the Lender Insurance Program.</w:t>
            </w:r>
            <w:r w:rsidR="005A5470">
              <w:rPr>
                <w:sz w:val="24"/>
                <w:szCs w:val="24"/>
              </w:rPr>
              <w:t xml:space="preserve">  The revised Form </w:t>
            </w:r>
            <w:r w:rsidRPr="005A5470" w:rsidR="005A5470">
              <w:rPr>
                <w:sz w:val="24"/>
                <w:szCs w:val="24"/>
              </w:rPr>
              <w:t>HUD-92900-A</w:t>
            </w:r>
            <w:r w:rsidR="005A5470">
              <w:rPr>
                <w:sz w:val="24"/>
                <w:szCs w:val="24"/>
              </w:rPr>
              <w:t>, the only form being revised, was shared with the public in FHA’s drafting table.  Informal public comments were received and considered before the final revisions to the form were completed.</w:t>
            </w:r>
          </w:p>
          <w:p w:rsidR="005A5470" w:rsidP="002258D3" w:rsidRDefault="005A5470" w14:paraId="29F3C996" w14:textId="0889531E">
            <w:pPr>
              <w:ind w:left="-78"/>
              <w:rPr>
                <w:sz w:val="24"/>
                <w:szCs w:val="24"/>
              </w:rPr>
            </w:pPr>
          </w:p>
          <w:p w:rsidR="005A5470" w:rsidP="00A77ABF" w:rsidRDefault="005A5470" w14:paraId="17464E4A" w14:textId="5E5E0C9C">
            <w:pPr>
              <w:ind w:left="-78"/>
              <w:rPr>
                <w:sz w:val="24"/>
                <w:szCs w:val="24"/>
              </w:rPr>
            </w:pPr>
            <w:r>
              <w:rPr>
                <w:sz w:val="24"/>
                <w:szCs w:val="24"/>
              </w:rPr>
              <w:t xml:space="preserve">The revisions to Form HUD-92900-A simplifies borrower-related disclosures and lender certifications.  </w:t>
            </w:r>
            <w:r w:rsidR="00A77ABF">
              <w:rPr>
                <w:sz w:val="24"/>
                <w:szCs w:val="24"/>
              </w:rPr>
              <w:t>It also removes disclosures associated with the Veteran’s Administration (VA) loan guarantee program, as agreed with the VA. These changes have resulted in a form that is simplified and to be used exclusively for HUD/FHA loans.</w:t>
            </w:r>
            <w:r w:rsidR="00155F00">
              <w:rPr>
                <w:sz w:val="24"/>
                <w:szCs w:val="24"/>
              </w:rPr>
              <w:t xml:space="preserve">  However, since only the sections required by FHA are considered in the </w:t>
            </w:r>
            <w:r w:rsidR="000C4161">
              <w:rPr>
                <w:sz w:val="24"/>
                <w:szCs w:val="24"/>
              </w:rPr>
              <w:t xml:space="preserve">burden hour </w:t>
            </w:r>
            <w:r w:rsidR="00155F00">
              <w:rPr>
                <w:sz w:val="24"/>
                <w:szCs w:val="24"/>
              </w:rPr>
              <w:t xml:space="preserve">estimate, </w:t>
            </w:r>
            <w:r w:rsidR="000C4161">
              <w:rPr>
                <w:sz w:val="24"/>
                <w:szCs w:val="24"/>
              </w:rPr>
              <w:t xml:space="preserve">no measurable </w:t>
            </w:r>
            <w:r w:rsidR="00155F00">
              <w:rPr>
                <w:sz w:val="24"/>
                <w:szCs w:val="24"/>
              </w:rPr>
              <w:t xml:space="preserve">changes </w:t>
            </w:r>
            <w:r w:rsidR="000C4161">
              <w:rPr>
                <w:sz w:val="24"/>
                <w:szCs w:val="24"/>
              </w:rPr>
              <w:t xml:space="preserve">were noted as a result of the revisions </w:t>
            </w:r>
            <w:r w:rsidR="00012A83">
              <w:rPr>
                <w:sz w:val="24"/>
                <w:szCs w:val="24"/>
              </w:rPr>
              <w:t xml:space="preserve">to </w:t>
            </w:r>
            <w:r w:rsidRPr="00012A83" w:rsidR="00012A83">
              <w:rPr>
                <w:sz w:val="24"/>
                <w:szCs w:val="24"/>
              </w:rPr>
              <w:t xml:space="preserve">Form HUD-92900-A </w:t>
            </w:r>
            <w:r w:rsidR="000C4161">
              <w:rPr>
                <w:sz w:val="24"/>
                <w:szCs w:val="24"/>
              </w:rPr>
              <w:t xml:space="preserve">and the collection </w:t>
            </w:r>
            <w:r w:rsidR="00155F00">
              <w:rPr>
                <w:sz w:val="24"/>
                <w:szCs w:val="24"/>
              </w:rPr>
              <w:t xml:space="preserve">burden hours remain unchanged.   </w:t>
            </w:r>
          </w:p>
          <w:p w:rsidR="00536947" w:rsidRDefault="00536947" w14:paraId="2A2A4D3E" w14:textId="77777777">
            <w:pPr>
              <w:rPr>
                <w:color w:val="000000"/>
                <w:sz w:val="24"/>
                <w:szCs w:val="24"/>
              </w:rPr>
            </w:pPr>
          </w:p>
          <w:p w:rsidR="00536947" w:rsidRDefault="00536947" w14:paraId="33E1FAD2" w14:textId="24923098">
            <w:pPr>
              <w:tabs>
                <w:tab w:val="left" w:pos="710"/>
                <w:tab w:val="right" w:pos="8391"/>
              </w:tabs>
              <w:ind w:left="-78"/>
              <w:rPr>
                <w:sz w:val="24"/>
                <w:szCs w:val="24"/>
              </w:rPr>
            </w:pPr>
            <w:r w:rsidRPr="00EE1C6B">
              <w:rPr>
                <w:sz w:val="24"/>
                <w:szCs w:val="24"/>
              </w:rPr>
              <w:t>Hourly cost is based on an estimate of the lender cost of $36.00 per</w:t>
            </w:r>
            <w:r w:rsidRPr="00EE1C6B">
              <w:rPr>
                <w:sz w:val="24"/>
                <w:szCs w:val="24"/>
              </w:rPr>
              <w:noBreakHyphen/>
              <w:t>hour cost that includes overhead, staff preparation time, and approvals as required.</w:t>
            </w:r>
          </w:p>
          <w:p w:rsidR="00BC7960" w:rsidRDefault="00BC7960" w14:paraId="175EF70F" w14:textId="4DF858F3">
            <w:pPr>
              <w:tabs>
                <w:tab w:val="left" w:pos="710"/>
                <w:tab w:val="right" w:pos="8391"/>
              </w:tabs>
              <w:ind w:left="-78"/>
              <w:rPr>
                <w:color w:val="000000"/>
                <w:sz w:val="24"/>
                <w:szCs w:val="24"/>
              </w:rPr>
            </w:pPr>
          </w:p>
          <w:tbl>
            <w:tblPr>
              <w:tblW w:w="1105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left w:w="43" w:type="dxa"/>
                <w:right w:w="43" w:type="dxa"/>
              </w:tblCellMar>
              <w:tblLook w:val="0000" w:firstRow="0" w:lastRow="0" w:firstColumn="0" w:lastColumn="0" w:noHBand="0" w:noVBand="0"/>
            </w:tblPr>
            <w:tblGrid>
              <w:gridCol w:w="2178"/>
              <w:gridCol w:w="1350"/>
              <w:gridCol w:w="1047"/>
              <w:gridCol w:w="1440"/>
              <w:gridCol w:w="1138"/>
              <w:gridCol w:w="1350"/>
              <w:gridCol w:w="990"/>
              <w:gridCol w:w="1562"/>
            </w:tblGrid>
            <w:tr w:rsidR="00BC7960" w:rsidTr="00D43419" w14:paraId="2639287F" w14:textId="77777777">
              <w:trPr>
                <w:trHeight w:val="1623"/>
              </w:trPr>
              <w:tc>
                <w:tcPr>
                  <w:tcW w:w="2178" w:type="dxa"/>
                  <w:tcBorders>
                    <w:top w:val="double" w:color="auto" w:sz="4" w:space="0"/>
                  </w:tcBorders>
                  <w:vAlign w:val="center"/>
                </w:tcPr>
                <w:p w:rsidR="00BC7960" w:rsidP="00BC7960" w:rsidRDefault="00BC7960" w14:paraId="63C4A6F2" w14:textId="77777777">
                  <w:pPr>
                    <w:keepNext/>
                    <w:tabs>
                      <w:tab w:val="right" w:pos="8059"/>
                    </w:tabs>
                    <w:rPr>
                      <w:rFonts w:ascii="Arial" w:hAnsi="Arial" w:cs="Arial"/>
                      <w:sz w:val="18"/>
                      <w:szCs w:val="18"/>
                    </w:rPr>
                  </w:pPr>
                  <w:r>
                    <w:rPr>
                      <w:rFonts w:ascii="Arial" w:hAnsi="Arial" w:cs="Arial"/>
                      <w:sz w:val="18"/>
                      <w:szCs w:val="18"/>
                    </w:rPr>
                    <w:lastRenderedPageBreak/>
                    <w:t>Description of Information Collection</w:t>
                  </w:r>
                </w:p>
              </w:tc>
              <w:tc>
                <w:tcPr>
                  <w:tcW w:w="1350" w:type="dxa"/>
                  <w:tcBorders>
                    <w:top w:val="double" w:color="auto" w:sz="4" w:space="0"/>
                  </w:tcBorders>
                  <w:vAlign w:val="center"/>
                </w:tcPr>
                <w:p w:rsidR="00BC7960" w:rsidP="00BC7960" w:rsidRDefault="00BC7960" w14:paraId="0A456F94" w14:textId="77777777">
                  <w:pPr>
                    <w:tabs>
                      <w:tab w:val="right" w:pos="8059"/>
                    </w:tabs>
                    <w:jc w:val="center"/>
                    <w:rPr>
                      <w:rFonts w:ascii="Arial" w:hAnsi="Arial" w:cs="Arial"/>
                      <w:sz w:val="18"/>
                      <w:szCs w:val="18"/>
                    </w:rPr>
                  </w:pPr>
                  <w:r>
                    <w:rPr>
                      <w:rFonts w:ascii="Arial" w:hAnsi="Arial" w:cs="Arial"/>
                      <w:sz w:val="18"/>
                      <w:szCs w:val="18"/>
                    </w:rPr>
                    <w:t>Number of Respondents (total no. of lenders)</w:t>
                  </w:r>
                </w:p>
              </w:tc>
              <w:tc>
                <w:tcPr>
                  <w:tcW w:w="1047" w:type="dxa"/>
                  <w:tcBorders>
                    <w:top w:val="double" w:color="auto" w:sz="4" w:space="0"/>
                  </w:tcBorders>
                  <w:vAlign w:val="center"/>
                </w:tcPr>
                <w:p w:rsidR="00BC7960" w:rsidP="00BC7960" w:rsidRDefault="00BC7960" w14:paraId="24D63631" w14:textId="77777777">
                  <w:pPr>
                    <w:tabs>
                      <w:tab w:val="right" w:pos="8059"/>
                    </w:tabs>
                    <w:jc w:val="center"/>
                    <w:rPr>
                      <w:rFonts w:ascii="Arial" w:hAnsi="Arial" w:cs="Arial"/>
                      <w:sz w:val="18"/>
                      <w:szCs w:val="18"/>
                    </w:rPr>
                  </w:pPr>
                  <w:r>
                    <w:rPr>
                      <w:rFonts w:ascii="Arial" w:hAnsi="Arial" w:cs="Arial"/>
                      <w:sz w:val="18"/>
                      <w:szCs w:val="18"/>
                    </w:rPr>
                    <w:t xml:space="preserve">Frequency of Response </w:t>
                  </w:r>
                </w:p>
              </w:tc>
              <w:tc>
                <w:tcPr>
                  <w:tcW w:w="1440" w:type="dxa"/>
                  <w:tcBorders>
                    <w:top w:val="double" w:color="auto" w:sz="4" w:space="0"/>
                  </w:tcBorders>
                  <w:vAlign w:val="center"/>
                </w:tcPr>
                <w:p w:rsidR="00BC7960" w:rsidP="00BC7960" w:rsidRDefault="00BC7960" w14:paraId="48E9BCD5" w14:textId="77777777">
                  <w:pPr>
                    <w:tabs>
                      <w:tab w:val="right" w:pos="8059"/>
                    </w:tabs>
                    <w:jc w:val="center"/>
                    <w:rPr>
                      <w:rFonts w:ascii="Arial" w:hAnsi="Arial" w:cs="Arial"/>
                      <w:sz w:val="18"/>
                      <w:szCs w:val="18"/>
                    </w:rPr>
                  </w:pPr>
                  <w:r>
                    <w:rPr>
                      <w:rFonts w:ascii="Arial" w:hAnsi="Arial" w:cs="Arial"/>
                      <w:sz w:val="18"/>
                      <w:szCs w:val="18"/>
                    </w:rPr>
                    <w:t xml:space="preserve">Total Annual Responses </w:t>
                  </w:r>
                </w:p>
              </w:tc>
              <w:tc>
                <w:tcPr>
                  <w:tcW w:w="1138" w:type="dxa"/>
                  <w:tcBorders>
                    <w:top w:val="double" w:color="auto" w:sz="4" w:space="0"/>
                  </w:tcBorders>
                  <w:vAlign w:val="center"/>
                </w:tcPr>
                <w:p w:rsidR="00BC7960" w:rsidP="00BC7960" w:rsidRDefault="00BC7960" w14:paraId="49FE18B6" w14:textId="77777777">
                  <w:pPr>
                    <w:tabs>
                      <w:tab w:val="right" w:pos="8059"/>
                    </w:tabs>
                    <w:jc w:val="center"/>
                    <w:rPr>
                      <w:rFonts w:ascii="Arial" w:hAnsi="Arial" w:cs="Arial"/>
                      <w:sz w:val="18"/>
                      <w:szCs w:val="18"/>
                    </w:rPr>
                  </w:pPr>
                  <w:r>
                    <w:rPr>
                      <w:rFonts w:ascii="Arial" w:hAnsi="Arial" w:cs="Arial"/>
                      <w:sz w:val="18"/>
                      <w:szCs w:val="18"/>
                    </w:rPr>
                    <w:t>Hours per Response</w:t>
                  </w:r>
                </w:p>
                <w:p w:rsidR="00BC7960" w:rsidP="00BC7960" w:rsidRDefault="00BC7960" w14:paraId="3406D616" w14:textId="77777777">
                  <w:pPr>
                    <w:tabs>
                      <w:tab w:val="right" w:pos="8059"/>
                    </w:tabs>
                    <w:jc w:val="center"/>
                    <w:rPr>
                      <w:rFonts w:ascii="Arial" w:hAnsi="Arial" w:cs="Arial"/>
                      <w:sz w:val="18"/>
                      <w:szCs w:val="18"/>
                    </w:rPr>
                  </w:pPr>
                  <w:r>
                    <w:rPr>
                      <w:rFonts w:ascii="Arial" w:hAnsi="Arial" w:cs="Arial"/>
                      <w:sz w:val="18"/>
                      <w:szCs w:val="18"/>
                    </w:rPr>
                    <w:t>(expressed as percentage of hour for calculating burden hours)</w:t>
                  </w:r>
                </w:p>
              </w:tc>
              <w:tc>
                <w:tcPr>
                  <w:tcW w:w="1350" w:type="dxa"/>
                  <w:tcBorders>
                    <w:top w:val="double" w:color="auto" w:sz="4" w:space="0"/>
                  </w:tcBorders>
                  <w:vAlign w:val="center"/>
                </w:tcPr>
                <w:p w:rsidR="00BC7960" w:rsidP="00BC7960" w:rsidRDefault="00BC7960" w14:paraId="054FC6EA" w14:textId="77777777">
                  <w:pPr>
                    <w:tabs>
                      <w:tab w:val="right" w:pos="8059"/>
                    </w:tabs>
                    <w:jc w:val="center"/>
                    <w:rPr>
                      <w:rFonts w:ascii="Arial" w:hAnsi="Arial" w:cs="Arial"/>
                      <w:sz w:val="18"/>
                      <w:szCs w:val="18"/>
                    </w:rPr>
                  </w:pPr>
                  <w:r>
                    <w:rPr>
                      <w:rFonts w:ascii="Arial" w:hAnsi="Arial" w:cs="Arial"/>
                      <w:sz w:val="18"/>
                      <w:szCs w:val="18"/>
                    </w:rPr>
                    <w:t>Annual Burden Hours</w:t>
                  </w:r>
                </w:p>
              </w:tc>
              <w:tc>
                <w:tcPr>
                  <w:tcW w:w="990" w:type="dxa"/>
                  <w:tcBorders>
                    <w:top w:val="double" w:color="auto" w:sz="4" w:space="0"/>
                  </w:tcBorders>
                  <w:vAlign w:val="center"/>
                </w:tcPr>
                <w:p w:rsidR="00BC7960" w:rsidP="00BC7960" w:rsidRDefault="00BC7960" w14:paraId="608EA5F8" w14:textId="77777777">
                  <w:pPr>
                    <w:tabs>
                      <w:tab w:val="right" w:pos="8059"/>
                    </w:tabs>
                    <w:jc w:val="center"/>
                    <w:rPr>
                      <w:rFonts w:ascii="Arial" w:hAnsi="Arial" w:cs="Arial"/>
                      <w:sz w:val="18"/>
                      <w:szCs w:val="18"/>
                    </w:rPr>
                  </w:pPr>
                  <w:r>
                    <w:rPr>
                      <w:rFonts w:ascii="Arial" w:hAnsi="Arial" w:cs="Arial"/>
                      <w:sz w:val="18"/>
                      <w:szCs w:val="18"/>
                    </w:rPr>
                    <w:t>Hourly Cost</w:t>
                  </w:r>
                </w:p>
              </w:tc>
              <w:tc>
                <w:tcPr>
                  <w:tcW w:w="1562" w:type="dxa"/>
                  <w:tcBorders>
                    <w:top w:val="double" w:color="auto" w:sz="4" w:space="0"/>
                  </w:tcBorders>
                  <w:vAlign w:val="center"/>
                </w:tcPr>
                <w:p w:rsidR="00BC7960" w:rsidP="00BC7960" w:rsidRDefault="00BC7960" w14:paraId="5B820651" w14:textId="77777777">
                  <w:pPr>
                    <w:tabs>
                      <w:tab w:val="right" w:pos="8059"/>
                    </w:tabs>
                    <w:jc w:val="center"/>
                    <w:rPr>
                      <w:rFonts w:ascii="Arial" w:hAnsi="Arial" w:cs="Arial"/>
                      <w:sz w:val="18"/>
                      <w:szCs w:val="18"/>
                    </w:rPr>
                  </w:pPr>
                  <w:r>
                    <w:rPr>
                      <w:rFonts w:ascii="Arial" w:hAnsi="Arial" w:cs="Arial"/>
                      <w:sz w:val="18"/>
                      <w:szCs w:val="18"/>
                    </w:rPr>
                    <w:t>Total Annual Cost</w:t>
                  </w:r>
                </w:p>
              </w:tc>
            </w:tr>
            <w:tr w:rsidR="00BC7960" w:rsidTr="00D43419" w14:paraId="701BB892" w14:textId="77777777">
              <w:trPr>
                <w:trHeight w:val="388"/>
              </w:trPr>
              <w:tc>
                <w:tcPr>
                  <w:tcW w:w="2178" w:type="dxa"/>
                  <w:vAlign w:val="center"/>
                </w:tcPr>
                <w:p w:rsidR="00BC7960" w:rsidP="00BC7960" w:rsidRDefault="00BC7960" w14:paraId="79D34628" w14:textId="77777777">
                  <w:pPr>
                    <w:keepNext/>
                    <w:tabs>
                      <w:tab w:val="right" w:pos="8059"/>
                    </w:tabs>
                    <w:rPr>
                      <w:rFonts w:ascii="Arial" w:hAnsi="Arial" w:cs="Arial"/>
                      <w:sz w:val="18"/>
                      <w:szCs w:val="18"/>
                    </w:rPr>
                  </w:pPr>
                  <w:r>
                    <w:rPr>
                      <w:rFonts w:ascii="Arial" w:hAnsi="Arial" w:cs="Arial"/>
                      <w:sz w:val="18"/>
                      <w:szCs w:val="18"/>
                    </w:rPr>
                    <w:t>HUD-92900-A, its related exhibits and other forms:</w:t>
                  </w:r>
                </w:p>
              </w:tc>
              <w:tc>
                <w:tcPr>
                  <w:tcW w:w="1350" w:type="dxa"/>
                </w:tcPr>
                <w:p w:rsidRPr="00DC0899" w:rsidR="00BC7960" w:rsidP="00BC7960" w:rsidRDefault="00BC7960" w14:paraId="39376B50" w14:textId="77777777">
                  <w:pPr>
                    <w:tabs>
                      <w:tab w:val="right" w:pos="8059"/>
                    </w:tabs>
                    <w:ind w:right="202"/>
                    <w:jc w:val="right"/>
                    <w:rPr>
                      <w:rFonts w:ascii="Arial" w:hAnsi="Arial" w:cs="Arial"/>
                      <w:sz w:val="18"/>
                      <w:szCs w:val="18"/>
                    </w:rPr>
                  </w:pPr>
                  <w:r>
                    <w:rPr>
                      <w:rFonts w:ascii="Arial" w:hAnsi="Arial" w:cs="Arial"/>
                      <w:sz w:val="18"/>
                      <w:szCs w:val="18"/>
                    </w:rPr>
                    <w:t xml:space="preserve">    15,871</w:t>
                  </w:r>
                </w:p>
              </w:tc>
              <w:tc>
                <w:tcPr>
                  <w:tcW w:w="1047" w:type="dxa"/>
                </w:tcPr>
                <w:p w:rsidR="00BC7960" w:rsidP="00BC7960" w:rsidRDefault="00BC7960" w14:paraId="1E1C9C6E" w14:textId="77777777">
                  <w:pPr>
                    <w:tabs>
                      <w:tab w:val="right" w:pos="8059"/>
                    </w:tabs>
                    <w:ind w:right="202"/>
                    <w:jc w:val="right"/>
                    <w:rPr>
                      <w:rFonts w:ascii="Arial" w:hAnsi="Arial" w:cs="Arial"/>
                      <w:sz w:val="18"/>
                      <w:szCs w:val="18"/>
                    </w:rPr>
                  </w:pPr>
                  <w:r>
                    <w:rPr>
                      <w:rFonts w:ascii="Arial" w:hAnsi="Arial" w:cs="Arial"/>
                      <w:sz w:val="18"/>
                      <w:szCs w:val="18"/>
                    </w:rPr>
                    <w:t>78.53</w:t>
                  </w:r>
                </w:p>
              </w:tc>
              <w:tc>
                <w:tcPr>
                  <w:tcW w:w="1440" w:type="dxa"/>
                </w:tcPr>
                <w:p w:rsidR="00BC7960" w:rsidP="00BC7960" w:rsidRDefault="00BC7960" w14:paraId="4AA9DC8F" w14:textId="77777777">
                  <w:pPr>
                    <w:tabs>
                      <w:tab w:val="right" w:pos="8059"/>
                    </w:tabs>
                    <w:ind w:right="202"/>
                    <w:jc w:val="right"/>
                    <w:rPr>
                      <w:rFonts w:ascii="Arial" w:hAnsi="Arial" w:cs="Arial"/>
                      <w:sz w:val="18"/>
                      <w:szCs w:val="18"/>
                    </w:rPr>
                  </w:pPr>
                  <w:r>
                    <w:rPr>
                      <w:rFonts w:ascii="Arial" w:hAnsi="Arial" w:cs="Arial"/>
                      <w:sz w:val="18"/>
                      <w:szCs w:val="18"/>
                    </w:rPr>
                    <w:t>1,246,349.63</w:t>
                  </w:r>
                </w:p>
              </w:tc>
              <w:tc>
                <w:tcPr>
                  <w:tcW w:w="1138" w:type="dxa"/>
                </w:tcPr>
                <w:p w:rsidR="00BC7960" w:rsidP="00BC7960" w:rsidRDefault="00BC7960" w14:paraId="717F476B" w14:textId="77777777">
                  <w:pPr>
                    <w:tabs>
                      <w:tab w:val="right" w:pos="8059"/>
                    </w:tabs>
                    <w:ind w:right="202"/>
                    <w:jc w:val="right"/>
                    <w:rPr>
                      <w:rFonts w:ascii="Arial" w:hAnsi="Arial" w:cs="Arial"/>
                      <w:sz w:val="18"/>
                      <w:szCs w:val="18"/>
                    </w:rPr>
                  </w:pPr>
                  <w:r>
                    <w:rPr>
                      <w:rFonts w:ascii="Arial" w:hAnsi="Arial" w:cs="Arial"/>
                      <w:sz w:val="18"/>
                      <w:szCs w:val="18"/>
                    </w:rPr>
                    <w:t>0.17</w:t>
                  </w:r>
                </w:p>
                <w:p w:rsidR="00BC7960" w:rsidP="00BC7960" w:rsidRDefault="00BC7960" w14:paraId="3AE3BC2C" w14:textId="77777777">
                  <w:pPr>
                    <w:tabs>
                      <w:tab w:val="right" w:pos="8059"/>
                    </w:tabs>
                    <w:ind w:right="202"/>
                    <w:jc w:val="right"/>
                    <w:rPr>
                      <w:rFonts w:ascii="Arial" w:hAnsi="Arial" w:cs="Arial"/>
                      <w:sz w:val="18"/>
                      <w:szCs w:val="18"/>
                    </w:rPr>
                  </w:pPr>
                  <w:r>
                    <w:rPr>
                      <w:rFonts w:ascii="Arial" w:hAnsi="Arial" w:cs="Arial"/>
                      <w:sz w:val="18"/>
                      <w:szCs w:val="18"/>
                    </w:rPr>
                    <w:t xml:space="preserve"> (10 min.)</w:t>
                  </w:r>
                </w:p>
              </w:tc>
              <w:tc>
                <w:tcPr>
                  <w:tcW w:w="1350" w:type="dxa"/>
                </w:tcPr>
                <w:p w:rsidR="00BC7960" w:rsidP="00BC7960" w:rsidRDefault="00BC7960" w14:paraId="4DB6B7D4" w14:textId="77777777">
                  <w:pPr>
                    <w:tabs>
                      <w:tab w:val="right" w:pos="8059"/>
                    </w:tabs>
                    <w:ind w:right="202"/>
                    <w:jc w:val="right"/>
                    <w:rPr>
                      <w:rFonts w:ascii="Arial" w:hAnsi="Arial" w:cs="Arial"/>
                      <w:sz w:val="18"/>
                      <w:szCs w:val="18"/>
                    </w:rPr>
                  </w:pPr>
                  <w:r>
                    <w:rPr>
                      <w:rFonts w:ascii="Arial" w:hAnsi="Arial" w:cs="Arial"/>
                      <w:sz w:val="18"/>
                      <w:szCs w:val="18"/>
                    </w:rPr>
                    <w:t>211,879.43</w:t>
                  </w:r>
                </w:p>
              </w:tc>
              <w:tc>
                <w:tcPr>
                  <w:tcW w:w="990" w:type="dxa"/>
                </w:tcPr>
                <w:p w:rsidR="00BC7960" w:rsidP="00BC7960" w:rsidRDefault="00BC7960" w14:paraId="75B723AB" w14:textId="77777777">
                  <w:pPr>
                    <w:tabs>
                      <w:tab w:val="right" w:pos="8059"/>
                    </w:tabs>
                    <w:ind w:right="202"/>
                    <w:jc w:val="right"/>
                    <w:rPr>
                      <w:rFonts w:ascii="Arial" w:hAnsi="Arial" w:cs="Arial"/>
                      <w:sz w:val="18"/>
                      <w:szCs w:val="18"/>
                    </w:rPr>
                  </w:pPr>
                  <w:r>
                    <w:rPr>
                      <w:rFonts w:ascii="Arial" w:hAnsi="Arial" w:cs="Arial"/>
                      <w:sz w:val="18"/>
                      <w:szCs w:val="18"/>
                    </w:rPr>
                    <w:t>$36.00</w:t>
                  </w:r>
                </w:p>
              </w:tc>
              <w:tc>
                <w:tcPr>
                  <w:tcW w:w="1562" w:type="dxa"/>
                </w:tcPr>
                <w:p w:rsidR="00BC7960" w:rsidP="00BC7960" w:rsidRDefault="00BC7960" w14:paraId="0DE0474B" w14:textId="77777777">
                  <w:pPr>
                    <w:tabs>
                      <w:tab w:val="right" w:pos="8059"/>
                    </w:tabs>
                    <w:ind w:right="202"/>
                    <w:jc w:val="right"/>
                    <w:rPr>
                      <w:rFonts w:ascii="Arial" w:hAnsi="Arial" w:cs="Arial"/>
                      <w:sz w:val="18"/>
                      <w:szCs w:val="18"/>
                    </w:rPr>
                  </w:pPr>
                  <w:r>
                    <w:rPr>
                      <w:rFonts w:ascii="Arial" w:hAnsi="Arial" w:cs="Arial"/>
                      <w:sz w:val="18"/>
                      <w:szCs w:val="18"/>
                    </w:rPr>
                    <w:t>$7,627,659.48</w:t>
                  </w:r>
                </w:p>
              </w:tc>
            </w:tr>
            <w:tr w:rsidR="00BC7960" w:rsidTr="00D43419" w14:paraId="2AF56146" w14:textId="77777777">
              <w:trPr>
                <w:trHeight w:val="237"/>
              </w:trPr>
              <w:tc>
                <w:tcPr>
                  <w:tcW w:w="2178" w:type="dxa"/>
                  <w:vAlign w:val="center"/>
                </w:tcPr>
                <w:p w:rsidR="00BC7960" w:rsidP="00BC7960" w:rsidRDefault="00BC7960" w14:paraId="7284BF4F" w14:textId="77777777">
                  <w:pPr>
                    <w:keepNext/>
                    <w:tabs>
                      <w:tab w:val="right" w:pos="8059"/>
                    </w:tabs>
                    <w:ind w:left="360" w:hanging="360"/>
                    <w:rPr>
                      <w:rFonts w:ascii="Arial" w:hAnsi="Arial" w:cs="Arial"/>
                      <w:sz w:val="18"/>
                      <w:szCs w:val="18"/>
                    </w:rPr>
                  </w:pPr>
                  <w:r>
                    <w:rPr>
                      <w:rFonts w:ascii="Arial" w:hAnsi="Arial" w:cs="Arial"/>
                      <w:sz w:val="18"/>
                      <w:szCs w:val="18"/>
                    </w:rPr>
                    <w:t xml:space="preserve">HUD-92900-B </w:t>
                  </w:r>
                </w:p>
              </w:tc>
              <w:tc>
                <w:tcPr>
                  <w:tcW w:w="1350" w:type="dxa"/>
                </w:tcPr>
                <w:p w:rsidRPr="00DC0899" w:rsidR="00BC7960" w:rsidP="00BC7960" w:rsidRDefault="00BC7960" w14:paraId="69AC26B8" w14:textId="77777777">
                  <w:pPr>
                    <w:jc w:val="right"/>
                    <w:rPr>
                      <w:rFonts w:ascii="Arial" w:hAnsi="Arial" w:cs="Arial"/>
                      <w:sz w:val="18"/>
                      <w:szCs w:val="18"/>
                    </w:rPr>
                  </w:pPr>
                  <w:r>
                    <w:rPr>
                      <w:rFonts w:ascii="Arial" w:hAnsi="Arial" w:cs="Arial"/>
                      <w:sz w:val="18"/>
                      <w:szCs w:val="18"/>
                    </w:rPr>
                    <w:t>15,871</w:t>
                  </w:r>
                </w:p>
              </w:tc>
              <w:tc>
                <w:tcPr>
                  <w:tcW w:w="1047" w:type="dxa"/>
                </w:tcPr>
                <w:p w:rsidR="00BC7960" w:rsidP="00BC7960" w:rsidRDefault="00BC7960" w14:paraId="0C5645C7" w14:textId="77777777">
                  <w:pPr>
                    <w:tabs>
                      <w:tab w:val="right" w:pos="8059"/>
                    </w:tabs>
                    <w:ind w:right="202"/>
                    <w:jc w:val="right"/>
                    <w:rPr>
                      <w:rFonts w:ascii="Arial" w:hAnsi="Arial" w:cs="Arial"/>
                      <w:sz w:val="18"/>
                      <w:szCs w:val="18"/>
                    </w:rPr>
                  </w:pPr>
                  <w:r>
                    <w:rPr>
                      <w:rFonts w:ascii="Arial" w:hAnsi="Arial" w:cs="Arial"/>
                      <w:sz w:val="18"/>
                      <w:szCs w:val="18"/>
                    </w:rPr>
                    <w:t>78.53</w:t>
                  </w:r>
                </w:p>
              </w:tc>
              <w:tc>
                <w:tcPr>
                  <w:tcW w:w="1440" w:type="dxa"/>
                </w:tcPr>
                <w:p w:rsidR="00BC7960" w:rsidP="00BC7960" w:rsidRDefault="00BC7960" w14:paraId="64BF8A1B" w14:textId="77777777">
                  <w:pPr>
                    <w:tabs>
                      <w:tab w:val="right" w:pos="8059"/>
                    </w:tabs>
                    <w:ind w:right="202"/>
                    <w:jc w:val="right"/>
                    <w:rPr>
                      <w:rFonts w:ascii="Arial" w:hAnsi="Arial" w:cs="Arial"/>
                      <w:sz w:val="18"/>
                      <w:szCs w:val="18"/>
                    </w:rPr>
                  </w:pPr>
                  <w:r>
                    <w:rPr>
                      <w:rFonts w:ascii="Arial" w:hAnsi="Arial" w:cs="Arial"/>
                      <w:sz w:val="18"/>
                      <w:szCs w:val="18"/>
                    </w:rPr>
                    <w:t>1,246,349.63</w:t>
                  </w:r>
                </w:p>
              </w:tc>
              <w:tc>
                <w:tcPr>
                  <w:tcW w:w="1138" w:type="dxa"/>
                </w:tcPr>
                <w:p w:rsidR="00BC7960" w:rsidP="00BC7960" w:rsidRDefault="00BC7960" w14:paraId="23220B19" w14:textId="77777777">
                  <w:pPr>
                    <w:tabs>
                      <w:tab w:val="right" w:pos="8059"/>
                    </w:tabs>
                    <w:ind w:right="202"/>
                    <w:jc w:val="right"/>
                    <w:rPr>
                      <w:rFonts w:ascii="Arial" w:hAnsi="Arial" w:cs="Arial"/>
                      <w:sz w:val="18"/>
                      <w:szCs w:val="18"/>
                    </w:rPr>
                  </w:pPr>
                  <w:r>
                    <w:rPr>
                      <w:rFonts w:ascii="Arial" w:hAnsi="Arial" w:cs="Arial"/>
                      <w:sz w:val="18"/>
                      <w:szCs w:val="18"/>
                    </w:rPr>
                    <w:t xml:space="preserve">0.05 </w:t>
                  </w:r>
                </w:p>
                <w:p w:rsidR="00BC7960" w:rsidP="00BC7960" w:rsidRDefault="00BC7960" w14:paraId="6C107706" w14:textId="77777777">
                  <w:pPr>
                    <w:tabs>
                      <w:tab w:val="right" w:pos="8059"/>
                    </w:tabs>
                    <w:ind w:right="202"/>
                    <w:jc w:val="right"/>
                    <w:rPr>
                      <w:rFonts w:ascii="Arial" w:hAnsi="Arial" w:cs="Arial"/>
                      <w:sz w:val="18"/>
                      <w:szCs w:val="18"/>
                    </w:rPr>
                  </w:pPr>
                  <w:r>
                    <w:rPr>
                      <w:rFonts w:ascii="Arial" w:hAnsi="Arial" w:cs="Arial"/>
                      <w:sz w:val="18"/>
                      <w:szCs w:val="18"/>
                    </w:rPr>
                    <w:t>(3 min.)</w:t>
                  </w:r>
                </w:p>
              </w:tc>
              <w:tc>
                <w:tcPr>
                  <w:tcW w:w="1350" w:type="dxa"/>
                </w:tcPr>
                <w:p w:rsidR="00BC7960" w:rsidP="00BC7960" w:rsidRDefault="00BC7960" w14:paraId="4EB3232E" w14:textId="77777777">
                  <w:pPr>
                    <w:tabs>
                      <w:tab w:val="right" w:pos="8059"/>
                    </w:tabs>
                    <w:ind w:right="202"/>
                    <w:jc w:val="right"/>
                    <w:rPr>
                      <w:rFonts w:ascii="Arial" w:hAnsi="Arial" w:cs="Arial"/>
                      <w:sz w:val="18"/>
                      <w:szCs w:val="18"/>
                    </w:rPr>
                  </w:pPr>
                  <w:r>
                    <w:rPr>
                      <w:rFonts w:ascii="Arial" w:hAnsi="Arial" w:cs="Arial"/>
                      <w:sz w:val="18"/>
                      <w:szCs w:val="18"/>
                    </w:rPr>
                    <w:t>62,317.48</w:t>
                  </w:r>
                </w:p>
              </w:tc>
              <w:tc>
                <w:tcPr>
                  <w:tcW w:w="990" w:type="dxa"/>
                </w:tcPr>
                <w:p w:rsidR="00BC7960" w:rsidP="00BC7960" w:rsidRDefault="00BC7960" w14:paraId="49597B3F" w14:textId="77777777">
                  <w:pPr>
                    <w:jc w:val="right"/>
                  </w:pPr>
                  <w:r w:rsidRPr="00031730">
                    <w:rPr>
                      <w:rFonts w:ascii="Arial" w:hAnsi="Arial" w:cs="Arial"/>
                      <w:sz w:val="18"/>
                      <w:szCs w:val="18"/>
                    </w:rPr>
                    <w:t>$36.00</w:t>
                  </w:r>
                </w:p>
              </w:tc>
              <w:tc>
                <w:tcPr>
                  <w:tcW w:w="1562" w:type="dxa"/>
                </w:tcPr>
                <w:p w:rsidR="00BC7960" w:rsidP="00BC7960" w:rsidRDefault="00BC7960" w14:paraId="08D9EA12" w14:textId="77777777">
                  <w:pPr>
                    <w:tabs>
                      <w:tab w:val="right" w:pos="8059"/>
                    </w:tabs>
                    <w:ind w:right="202"/>
                    <w:jc w:val="right"/>
                    <w:rPr>
                      <w:rFonts w:ascii="Arial" w:hAnsi="Arial" w:cs="Arial"/>
                      <w:sz w:val="18"/>
                      <w:szCs w:val="18"/>
                    </w:rPr>
                  </w:pPr>
                  <w:r>
                    <w:rPr>
                      <w:rFonts w:ascii="Arial" w:hAnsi="Arial" w:cs="Arial"/>
                      <w:sz w:val="18"/>
                      <w:szCs w:val="18"/>
                    </w:rPr>
                    <w:t>$2,243,429.28</w:t>
                  </w:r>
                </w:p>
              </w:tc>
            </w:tr>
            <w:tr w:rsidR="00BC7960" w:rsidTr="00D43419" w14:paraId="435975ED" w14:textId="77777777">
              <w:trPr>
                <w:trHeight w:val="285"/>
              </w:trPr>
              <w:tc>
                <w:tcPr>
                  <w:tcW w:w="2178" w:type="dxa"/>
                  <w:vAlign w:val="center"/>
                </w:tcPr>
                <w:p w:rsidR="00BC7960" w:rsidP="00BC7960" w:rsidRDefault="00BC7960" w14:paraId="22A17EC4" w14:textId="77777777">
                  <w:pPr>
                    <w:keepNext/>
                    <w:tabs>
                      <w:tab w:val="right" w:pos="8059"/>
                    </w:tabs>
                    <w:ind w:left="360" w:hanging="360"/>
                    <w:rPr>
                      <w:rFonts w:ascii="Arial" w:hAnsi="Arial" w:cs="Arial"/>
                      <w:sz w:val="18"/>
                      <w:szCs w:val="18"/>
                    </w:rPr>
                  </w:pPr>
                  <w:r>
                    <w:rPr>
                      <w:rFonts w:ascii="Arial" w:hAnsi="Arial" w:cs="Arial"/>
                      <w:sz w:val="18"/>
                      <w:szCs w:val="18"/>
                    </w:rPr>
                    <w:t>HUD-92900-LT</w:t>
                  </w:r>
                </w:p>
              </w:tc>
              <w:tc>
                <w:tcPr>
                  <w:tcW w:w="1350" w:type="dxa"/>
                </w:tcPr>
                <w:p w:rsidRPr="00DC0899" w:rsidR="00BC7960" w:rsidP="00BC7960" w:rsidRDefault="00BC7960" w14:paraId="2888F1DB" w14:textId="77777777">
                  <w:pPr>
                    <w:jc w:val="right"/>
                    <w:rPr>
                      <w:rFonts w:ascii="Arial" w:hAnsi="Arial" w:cs="Arial"/>
                      <w:sz w:val="18"/>
                      <w:szCs w:val="18"/>
                    </w:rPr>
                  </w:pPr>
                  <w:r>
                    <w:rPr>
                      <w:rFonts w:ascii="Arial" w:hAnsi="Arial" w:cs="Arial"/>
                      <w:sz w:val="18"/>
                      <w:szCs w:val="18"/>
                    </w:rPr>
                    <w:t>15,871</w:t>
                  </w:r>
                </w:p>
              </w:tc>
              <w:tc>
                <w:tcPr>
                  <w:tcW w:w="1047" w:type="dxa"/>
                </w:tcPr>
                <w:p w:rsidR="00BC7960" w:rsidP="00BC7960" w:rsidRDefault="00BC7960" w14:paraId="28B3316E" w14:textId="77777777">
                  <w:pPr>
                    <w:tabs>
                      <w:tab w:val="right" w:pos="8059"/>
                    </w:tabs>
                    <w:ind w:right="202"/>
                    <w:jc w:val="right"/>
                    <w:rPr>
                      <w:rFonts w:ascii="Arial" w:hAnsi="Arial" w:cs="Arial"/>
                      <w:sz w:val="18"/>
                      <w:szCs w:val="18"/>
                    </w:rPr>
                  </w:pPr>
                  <w:r>
                    <w:rPr>
                      <w:rFonts w:ascii="Arial" w:hAnsi="Arial" w:cs="Arial"/>
                      <w:sz w:val="18"/>
                      <w:szCs w:val="18"/>
                    </w:rPr>
                    <w:t>78.53</w:t>
                  </w:r>
                </w:p>
              </w:tc>
              <w:tc>
                <w:tcPr>
                  <w:tcW w:w="1440" w:type="dxa"/>
                </w:tcPr>
                <w:p w:rsidR="00BC7960" w:rsidP="00BC7960" w:rsidRDefault="00BC7960" w14:paraId="7D7C1EC0" w14:textId="77777777">
                  <w:pPr>
                    <w:tabs>
                      <w:tab w:val="right" w:pos="8059"/>
                    </w:tabs>
                    <w:ind w:right="202"/>
                    <w:jc w:val="right"/>
                    <w:rPr>
                      <w:rFonts w:ascii="Arial" w:hAnsi="Arial" w:cs="Arial"/>
                      <w:sz w:val="18"/>
                      <w:szCs w:val="18"/>
                    </w:rPr>
                  </w:pPr>
                  <w:r>
                    <w:rPr>
                      <w:rFonts w:ascii="Arial" w:hAnsi="Arial" w:cs="Arial"/>
                      <w:sz w:val="18"/>
                      <w:szCs w:val="18"/>
                    </w:rPr>
                    <w:t>1,246,349.63</w:t>
                  </w:r>
                </w:p>
              </w:tc>
              <w:tc>
                <w:tcPr>
                  <w:tcW w:w="1138" w:type="dxa"/>
                </w:tcPr>
                <w:p w:rsidR="00BC7960" w:rsidP="00BC7960" w:rsidRDefault="00BC7960" w14:paraId="1DB4AB21" w14:textId="77777777">
                  <w:pPr>
                    <w:tabs>
                      <w:tab w:val="right" w:pos="8059"/>
                    </w:tabs>
                    <w:ind w:right="202"/>
                    <w:jc w:val="right"/>
                    <w:rPr>
                      <w:rFonts w:ascii="Arial" w:hAnsi="Arial" w:cs="Arial"/>
                      <w:sz w:val="18"/>
                      <w:szCs w:val="18"/>
                    </w:rPr>
                  </w:pPr>
                  <w:r>
                    <w:rPr>
                      <w:rFonts w:ascii="Arial" w:hAnsi="Arial" w:cs="Arial"/>
                      <w:sz w:val="18"/>
                      <w:szCs w:val="18"/>
                    </w:rPr>
                    <w:t>0.17</w:t>
                  </w:r>
                </w:p>
                <w:p w:rsidR="00BC7960" w:rsidP="00BC7960" w:rsidRDefault="00BC7960" w14:paraId="3715E2BC" w14:textId="77777777">
                  <w:pPr>
                    <w:tabs>
                      <w:tab w:val="right" w:pos="8059"/>
                    </w:tabs>
                    <w:ind w:right="202"/>
                    <w:jc w:val="right"/>
                    <w:rPr>
                      <w:rFonts w:ascii="Arial" w:hAnsi="Arial" w:cs="Arial"/>
                      <w:sz w:val="18"/>
                      <w:szCs w:val="18"/>
                    </w:rPr>
                  </w:pPr>
                  <w:r>
                    <w:rPr>
                      <w:rFonts w:ascii="Arial" w:hAnsi="Arial" w:cs="Arial"/>
                      <w:sz w:val="18"/>
                      <w:szCs w:val="18"/>
                    </w:rPr>
                    <w:t>(10 min)</w:t>
                  </w:r>
                </w:p>
              </w:tc>
              <w:tc>
                <w:tcPr>
                  <w:tcW w:w="1350" w:type="dxa"/>
                </w:tcPr>
                <w:p w:rsidR="00BC7960" w:rsidP="00BC7960" w:rsidRDefault="00BC7960" w14:paraId="5DA826A7" w14:textId="77777777">
                  <w:pPr>
                    <w:tabs>
                      <w:tab w:val="right" w:pos="8059"/>
                    </w:tabs>
                    <w:ind w:right="202"/>
                    <w:jc w:val="right"/>
                    <w:rPr>
                      <w:rFonts w:ascii="Arial" w:hAnsi="Arial" w:cs="Arial"/>
                      <w:sz w:val="18"/>
                      <w:szCs w:val="18"/>
                    </w:rPr>
                  </w:pPr>
                  <w:r>
                    <w:rPr>
                      <w:rFonts w:ascii="Arial" w:hAnsi="Arial" w:cs="Arial"/>
                      <w:sz w:val="18"/>
                      <w:szCs w:val="18"/>
                    </w:rPr>
                    <w:t xml:space="preserve">        211,879.43</w:t>
                  </w:r>
                </w:p>
              </w:tc>
              <w:tc>
                <w:tcPr>
                  <w:tcW w:w="990" w:type="dxa"/>
                </w:tcPr>
                <w:p w:rsidR="00BC7960" w:rsidP="00BC7960" w:rsidRDefault="00BC7960" w14:paraId="16DFC523" w14:textId="77777777">
                  <w:pPr>
                    <w:jc w:val="right"/>
                  </w:pPr>
                  <w:r w:rsidRPr="00031730">
                    <w:rPr>
                      <w:rFonts w:ascii="Arial" w:hAnsi="Arial" w:cs="Arial"/>
                      <w:sz w:val="18"/>
                      <w:szCs w:val="18"/>
                    </w:rPr>
                    <w:t>$36.00</w:t>
                  </w:r>
                </w:p>
              </w:tc>
              <w:tc>
                <w:tcPr>
                  <w:tcW w:w="1562" w:type="dxa"/>
                </w:tcPr>
                <w:p w:rsidR="00BC7960" w:rsidP="00BC7960" w:rsidRDefault="00BC7960" w14:paraId="219A9BD8" w14:textId="77777777">
                  <w:pPr>
                    <w:tabs>
                      <w:tab w:val="right" w:pos="8059"/>
                    </w:tabs>
                    <w:ind w:right="202"/>
                    <w:jc w:val="right"/>
                    <w:rPr>
                      <w:rFonts w:ascii="Arial" w:hAnsi="Arial" w:cs="Arial"/>
                      <w:sz w:val="18"/>
                      <w:szCs w:val="18"/>
                    </w:rPr>
                  </w:pPr>
                  <w:r>
                    <w:rPr>
                      <w:rFonts w:ascii="Arial" w:hAnsi="Arial" w:cs="Arial"/>
                      <w:sz w:val="18"/>
                      <w:szCs w:val="18"/>
                    </w:rPr>
                    <w:t>$7,627,659.48</w:t>
                  </w:r>
                </w:p>
              </w:tc>
            </w:tr>
            <w:tr w:rsidRPr="00316D78" w:rsidR="00BC7960" w:rsidTr="00D43419" w14:paraId="2E239D2A" w14:textId="77777777">
              <w:trPr>
                <w:trHeight w:val="788"/>
              </w:trPr>
              <w:tc>
                <w:tcPr>
                  <w:tcW w:w="2178" w:type="dxa"/>
                  <w:vAlign w:val="center"/>
                </w:tcPr>
                <w:p w:rsidR="00BC7960" w:rsidP="00BC7960" w:rsidRDefault="00BC7960" w14:paraId="5A0DD160" w14:textId="77777777">
                  <w:pPr>
                    <w:keepNext/>
                    <w:tabs>
                      <w:tab w:val="right" w:pos="8059"/>
                    </w:tabs>
                    <w:ind w:left="360" w:hanging="360"/>
                    <w:rPr>
                      <w:rFonts w:ascii="Arial" w:hAnsi="Arial" w:cs="Arial"/>
                      <w:sz w:val="18"/>
                      <w:szCs w:val="18"/>
                    </w:rPr>
                  </w:pPr>
                  <w:r w:rsidRPr="00316D78">
                    <w:rPr>
                      <w:rFonts w:ascii="Arial" w:hAnsi="Arial" w:cs="Arial"/>
                      <w:sz w:val="18"/>
                      <w:szCs w:val="18"/>
                    </w:rPr>
                    <w:t>HUD-92561 for 2, 3, or 4-</w:t>
                  </w:r>
                </w:p>
                <w:p w:rsidRPr="00316D78" w:rsidR="00BC7960" w:rsidP="00BC7960" w:rsidRDefault="00BC7960" w14:paraId="5F262644" w14:textId="77777777">
                  <w:pPr>
                    <w:keepNext/>
                    <w:tabs>
                      <w:tab w:val="right" w:pos="8059"/>
                    </w:tabs>
                    <w:ind w:left="360" w:hanging="360"/>
                    <w:rPr>
                      <w:rFonts w:ascii="Arial" w:hAnsi="Arial" w:cs="Arial"/>
                      <w:sz w:val="18"/>
                      <w:szCs w:val="18"/>
                    </w:rPr>
                  </w:pPr>
                  <w:r w:rsidRPr="00316D78">
                    <w:rPr>
                      <w:rFonts w:ascii="Arial" w:hAnsi="Arial" w:cs="Arial"/>
                      <w:sz w:val="18"/>
                      <w:szCs w:val="18"/>
                    </w:rPr>
                    <w:t>unit properties</w:t>
                  </w:r>
                </w:p>
              </w:tc>
              <w:tc>
                <w:tcPr>
                  <w:tcW w:w="1350" w:type="dxa"/>
                </w:tcPr>
                <w:p w:rsidRPr="00DC0899" w:rsidR="00BC7960" w:rsidP="00BC7960" w:rsidRDefault="00BC7960" w14:paraId="5596E91A" w14:textId="77777777">
                  <w:pPr>
                    <w:jc w:val="right"/>
                    <w:rPr>
                      <w:rFonts w:ascii="Arial" w:hAnsi="Arial" w:cs="Arial"/>
                      <w:sz w:val="18"/>
                      <w:szCs w:val="18"/>
                    </w:rPr>
                  </w:pPr>
                  <w:r>
                    <w:rPr>
                      <w:rFonts w:ascii="Arial" w:hAnsi="Arial" w:cs="Arial"/>
                      <w:sz w:val="18"/>
                      <w:szCs w:val="18"/>
                    </w:rPr>
                    <w:t>15,871</w:t>
                  </w:r>
                </w:p>
              </w:tc>
              <w:tc>
                <w:tcPr>
                  <w:tcW w:w="1047" w:type="dxa"/>
                </w:tcPr>
                <w:p w:rsidRPr="00316D78" w:rsidR="00BC7960" w:rsidP="00BC7960" w:rsidRDefault="00BC7960" w14:paraId="19796197" w14:textId="77777777">
                  <w:pPr>
                    <w:tabs>
                      <w:tab w:val="right" w:pos="8059"/>
                    </w:tabs>
                    <w:ind w:right="202"/>
                    <w:jc w:val="right"/>
                    <w:rPr>
                      <w:rFonts w:ascii="Arial" w:hAnsi="Arial" w:cs="Arial"/>
                      <w:sz w:val="18"/>
                      <w:szCs w:val="18"/>
                    </w:rPr>
                  </w:pPr>
                  <w:r>
                    <w:rPr>
                      <w:rFonts w:ascii="Arial" w:hAnsi="Arial" w:cs="Arial"/>
                      <w:sz w:val="18"/>
                      <w:szCs w:val="18"/>
                    </w:rPr>
                    <w:t>1.71</w:t>
                  </w:r>
                </w:p>
              </w:tc>
              <w:tc>
                <w:tcPr>
                  <w:tcW w:w="1440" w:type="dxa"/>
                </w:tcPr>
                <w:p w:rsidRPr="00316D78" w:rsidR="00BC7960" w:rsidP="00BC7960" w:rsidRDefault="00BC7960" w14:paraId="60A19AD8" w14:textId="77777777">
                  <w:pPr>
                    <w:tabs>
                      <w:tab w:val="right" w:pos="8059"/>
                    </w:tabs>
                    <w:ind w:right="202"/>
                    <w:jc w:val="right"/>
                    <w:rPr>
                      <w:rFonts w:ascii="Arial" w:hAnsi="Arial" w:cs="Arial"/>
                      <w:sz w:val="18"/>
                      <w:szCs w:val="18"/>
                    </w:rPr>
                  </w:pPr>
                  <w:r>
                    <w:rPr>
                      <w:rFonts w:ascii="Arial" w:hAnsi="Arial" w:cs="Arial"/>
                      <w:sz w:val="18"/>
                      <w:szCs w:val="18"/>
                    </w:rPr>
                    <w:t>27,139.41</w:t>
                  </w:r>
                </w:p>
              </w:tc>
              <w:tc>
                <w:tcPr>
                  <w:tcW w:w="1138" w:type="dxa"/>
                </w:tcPr>
                <w:p w:rsidR="00BC7960" w:rsidP="00BC7960" w:rsidRDefault="00BC7960" w14:paraId="32BE4B21" w14:textId="77777777">
                  <w:pPr>
                    <w:tabs>
                      <w:tab w:val="right" w:pos="8059"/>
                    </w:tabs>
                    <w:ind w:right="202"/>
                    <w:jc w:val="right"/>
                    <w:rPr>
                      <w:rFonts w:ascii="Arial" w:hAnsi="Arial" w:cs="Arial"/>
                      <w:sz w:val="18"/>
                      <w:szCs w:val="18"/>
                    </w:rPr>
                  </w:pPr>
                  <w:r>
                    <w:rPr>
                      <w:rFonts w:ascii="Arial" w:hAnsi="Arial" w:cs="Arial"/>
                      <w:sz w:val="18"/>
                      <w:szCs w:val="18"/>
                    </w:rPr>
                    <w:t>0.03</w:t>
                  </w:r>
                </w:p>
                <w:p w:rsidRPr="00316D78" w:rsidR="00BC7960" w:rsidP="00BC7960" w:rsidRDefault="00BC7960" w14:paraId="4954F1BA" w14:textId="77777777">
                  <w:pPr>
                    <w:tabs>
                      <w:tab w:val="right" w:pos="8059"/>
                    </w:tabs>
                    <w:ind w:right="202"/>
                    <w:jc w:val="right"/>
                    <w:rPr>
                      <w:rFonts w:ascii="Arial" w:hAnsi="Arial" w:cs="Arial"/>
                      <w:sz w:val="18"/>
                      <w:szCs w:val="18"/>
                    </w:rPr>
                  </w:pPr>
                  <w:r>
                    <w:rPr>
                      <w:rFonts w:ascii="Arial" w:hAnsi="Arial" w:cs="Arial"/>
                      <w:sz w:val="18"/>
                      <w:szCs w:val="18"/>
                    </w:rPr>
                    <w:t>(2 min)</w:t>
                  </w:r>
                </w:p>
              </w:tc>
              <w:tc>
                <w:tcPr>
                  <w:tcW w:w="1350" w:type="dxa"/>
                </w:tcPr>
                <w:p w:rsidRPr="00316D78" w:rsidR="00BC7960" w:rsidP="00BC7960" w:rsidRDefault="00BC7960" w14:paraId="5ACA4403" w14:textId="77777777">
                  <w:pPr>
                    <w:tabs>
                      <w:tab w:val="right" w:pos="8059"/>
                    </w:tabs>
                    <w:ind w:right="202"/>
                    <w:jc w:val="right"/>
                    <w:rPr>
                      <w:rFonts w:ascii="Arial" w:hAnsi="Arial" w:cs="Arial"/>
                      <w:sz w:val="18"/>
                      <w:szCs w:val="18"/>
                    </w:rPr>
                  </w:pPr>
                  <w:r>
                    <w:rPr>
                      <w:rFonts w:ascii="Arial" w:hAnsi="Arial" w:cs="Arial"/>
                      <w:sz w:val="18"/>
                      <w:szCs w:val="18"/>
                    </w:rPr>
                    <w:t>8814.18</w:t>
                  </w:r>
                </w:p>
              </w:tc>
              <w:tc>
                <w:tcPr>
                  <w:tcW w:w="990" w:type="dxa"/>
                </w:tcPr>
                <w:p w:rsidR="00BC7960" w:rsidP="00BC7960" w:rsidRDefault="00BC7960" w14:paraId="1C9FFFF5" w14:textId="77777777">
                  <w:pPr>
                    <w:jc w:val="right"/>
                  </w:pPr>
                  <w:r w:rsidRPr="00031730">
                    <w:rPr>
                      <w:rFonts w:ascii="Arial" w:hAnsi="Arial" w:cs="Arial"/>
                      <w:sz w:val="18"/>
                      <w:szCs w:val="18"/>
                    </w:rPr>
                    <w:t>$36.00</w:t>
                  </w:r>
                </w:p>
              </w:tc>
              <w:tc>
                <w:tcPr>
                  <w:tcW w:w="1562" w:type="dxa"/>
                </w:tcPr>
                <w:p w:rsidRPr="00316D78" w:rsidR="00BC7960" w:rsidP="00BC7960" w:rsidRDefault="00BC7960" w14:paraId="412B1DD0" w14:textId="77777777">
                  <w:pPr>
                    <w:tabs>
                      <w:tab w:val="right" w:pos="8059"/>
                    </w:tabs>
                    <w:ind w:right="202"/>
                    <w:jc w:val="right"/>
                    <w:rPr>
                      <w:rFonts w:ascii="Arial" w:hAnsi="Arial" w:cs="Arial"/>
                      <w:sz w:val="18"/>
                      <w:szCs w:val="18"/>
                    </w:rPr>
                  </w:pPr>
                  <w:r>
                    <w:rPr>
                      <w:rFonts w:ascii="Arial" w:hAnsi="Arial" w:cs="Arial"/>
                      <w:sz w:val="18"/>
                      <w:szCs w:val="18"/>
                    </w:rPr>
                    <w:t>$29,3100.48</w:t>
                  </w:r>
                </w:p>
              </w:tc>
            </w:tr>
            <w:tr w:rsidR="00BC7960" w:rsidTr="00D43419" w14:paraId="64781DA9" w14:textId="77777777">
              <w:trPr>
                <w:trHeight w:val="225"/>
              </w:trPr>
              <w:tc>
                <w:tcPr>
                  <w:tcW w:w="2178" w:type="dxa"/>
                  <w:vAlign w:val="center"/>
                </w:tcPr>
                <w:p w:rsidR="00BC7960" w:rsidP="00BC7960" w:rsidRDefault="00BC7960" w14:paraId="27511D9D" w14:textId="77777777">
                  <w:pPr>
                    <w:keepNext/>
                    <w:tabs>
                      <w:tab w:val="right" w:pos="8059"/>
                    </w:tabs>
                    <w:ind w:left="360" w:hanging="360"/>
                    <w:rPr>
                      <w:rFonts w:ascii="Arial" w:hAnsi="Arial" w:cs="Arial"/>
                      <w:sz w:val="18"/>
                      <w:szCs w:val="18"/>
                    </w:rPr>
                  </w:pPr>
                  <w:r w:rsidRPr="00316D78">
                    <w:rPr>
                      <w:rFonts w:ascii="Arial" w:hAnsi="Arial" w:cs="Arial"/>
                      <w:sz w:val="18"/>
                      <w:szCs w:val="18"/>
                    </w:rPr>
                    <w:t xml:space="preserve">HUD-92544 New </w:t>
                  </w:r>
                </w:p>
                <w:p w:rsidRPr="00316D78" w:rsidR="00BC7960" w:rsidP="00BC7960" w:rsidRDefault="00BC7960" w14:paraId="6DE9E334" w14:textId="77777777">
                  <w:pPr>
                    <w:keepNext/>
                    <w:tabs>
                      <w:tab w:val="right" w:pos="8059"/>
                    </w:tabs>
                    <w:ind w:left="360" w:hanging="360"/>
                    <w:rPr>
                      <w:rFonts w:ascii="Arial" w:hAnsi="Arial" w:cs="Arial"/>
                      <w:sz w:val="18"/>
                      <w:szCs w:val="18"/>
                    </w:rPr>
                  </w:pPr>
                  <w:r w:rsidRPr="00316D78">
                    <w:rPr>
                      <w:rFonts w:ascii="Arial" w:hAnsi="Arial" w:cs="Arial"/>
                      <w:sz w:val="18"/>
                      <w:szCs w:val="18"/>
                    </w:rPr>
                    <w:t>construction cases only</w:t>
                  </w:r>
                </w:p>
              </w:tc>
              <w:tc>
                <w:tcPr>
                  <w:tcW w:w="1350" w:type="dxa"/>
                </w:tcPr>
                <w:p w:rsidRPr="00DC0899" w:rsidR="00BC7960" w:rsidP="00BC7960" w:rsidRDefault="00BC7960" w14:paraId="40BE338F" w14:textId="77777777">
                  <w:pPr>
                    <w:jc w:val="right"/>
                    <w:rPr>
                      <w:rFonts w:ascii="Arial" w:hAnsi="Arial" w:cs="Arial"/>
                      <w:sz w:val="18"/>
                      <w:szCs w:val="18"/>
                    </w:rPr>
                  </w:pPr>
                  <w:r>
                    <w:rPr>
                      <w:rFonts w:ascii="Arial" w:hAnsi="Arial" w:cs="Arial"/>
                      <w:sz w:val="18"/>
                      <w:szCs w:val="18"/>
                    </w:rPr>
                    <w:t>15,871</w:t>
                  </w:r>
                </w:p>
              </w:tc>
              <w:tc>
                <w:tcPr>
                  <w:tcW w:w="1047" w:type="dxa"/>
                </w:tcPr>
                <w:p w:rsidRPr="00316D78" w:rsidR="00BC7960" w:rsidP="00BC7960" w:rsidRDefault="00BC7960" w14:paraId="5BCCBD8E" w14:textId="77777777">
                  <w:pPr>
                    <w:tabs>
                      <w:tab w:val="right" w:pos="8059"/>
                    </w:tabs>
                    <w:ind w:right="202"/>
                    <w:jc w:val="right"/>
                    <w:rPr>
                      <w:rFonts w:ascii="Arial" w:hAnsi="Arial" w:cs="Arial"/>
                      <w:sz w:val="18"/>
                      <w:szCs w:val="18"/>
                    </w:rPr>
                  </w:pPr>
                  <w:r>
                    <w:rPr>
                      <w:rFonts w:ascii="Arial" w:hAnsi="Arial" w:cs="Arial"/>
                      <w:sz w:val="18"/>
                      <w:szCs w:val="18"/>
                    </w:rPr>
                    <w:t>4.62</w:t>
                  </w:r>
                </w:p>
              </w:tc>
              <w:tc>
                <w:tcPr>
                  <w:tcW w:w="1440" w:type="dxa"/>
                </w:tcPr>
                <w:p w:rsidRPr="00316D78" w:rsidR="00BC7960" w:rsidP="00BC7960" w:rsidRDefault="00BC7960" w14:paraId="5890CACC" w14:textId="77777777">
                  <w:pPr>
                    <w:tabs>
                      <w:tab w:val="right" w:pos="8059"/>
                    </w:tabs>
                    <w:ind w:right="202"/>
                    <w:jc w:val="right"/>
                    <w:rPr>
                      <w:rFonts w:ascii="Arial" w:hAnsi="Arial" w:cs="Arial"/>
                      <w:sz w:val="18"/>
                      <w:szCs w:val="18"/>
                    </w:rPr>
                  </w:pPr>
                  <w:r>
                    <w:rPr>
                      <w:rFonts w:ascii="Arial" w:hAnsi="Arial" w:cs="Arial"/>
                      <w:sz w:val="18"/>
                      <w:szCs w:val="18"/>
                    </w:rPr>
                    <w:t>73,324.02</w:t>
                  </w:r>
                </w:p>
              </w:tc>
              <w:tc>
                <w:tcPr>
                  <w:tcW w:w="1138" w:type="dxa"/>
                </w:tcPr>
                <w:p w:rsidR="00BC7960" w:rsidP="00BC7960" w:rsidRDefault="00BC7960" w14:paraId="45C0E89F" w14:textId="77777777">
                  <w:pPr>
                    <w:tabs>
                      <w:tab w:val="right" w:pos="8059"/>
                    </w:tabs>
                    <w:ind w:right="202"/>
                    <w:jc w:val="right"/>
                    <w:rPr>
                      <w:rFonts w:ascii="Arial" w:hAnsi="Arial" w:cs="Arial"/>
                      <w:sz w:val="18"/>
                      <w:szCs w:val="18"/>
                    </w:rPr>
                  </w:pPr>
                  <w:r w:rsidRPr="00316D78">
                    <w:rPr>
                      <w:rFonts w:ascii="Arial" w:hAnsi="Arial" w:cs="Arial"/>
                      <w:sz w:val="18"/>
                      <w:szCs w:val="18"/>
                    </w:rPr>
                    <w:t>0.0</w:t>
                  </w:r>
                  <w:r>
                    <w:rPr>
                      <w:rFonts w:ascii="Arial" w:hAnsi="Arial" w:cs="Arial"/>
                      <w:sz w:val="18"/>
                      <w:szCs w:val="18"/>
                    </w:rPr>
                    <w:t>8</w:t>
                  </w:r>
                </w:p>
                <w:p w:rsidRPr="00316D78" w:rsidR="00BC7960" w:rsidP="00BC7960" w:rsidRDefault="00BC7960" w14:paraId="14A906EA" w14:textId="77777777">
                  <w:pPr>
                    <w:tabs>
                      <w:tab w:val="right" w:pos="8059"/>
                    </w:tabs>
                    <w:ind w:right="202"/>
                    <w:jc w:val="right"/>
                    <w:rPr>
                      <w:rFonts w:ascii="Arial" w:hAnsi="Arial" w:cs="Arial"/>
                      <w:sz w:val="18"/>
                      <w:szCs w:val="18"/>
                    </w:rPr>
                  </w:pPr>
                  <w:r>
                    <w:rPr>
                      <w:rFonts w:ascii="Arial" w:hAnsi="Arial" w:cs="Arial"/>
                      <w:sz w:val="18"/>
                      <w:szCs w:val="18"/>
                    </w:rPr>
                    <w:t>(5 min)</w:t>
                  </w:r>
                </w:p>
              </w:tc>
              <w:tc>
                <w:tcPr>
                  <w:tcW w:w="1350" w:type="dxa"/>
                </w:tcPr>
                <w:p w:rsidR="00BC7960" w:rsidP="00BC7960" w:rsidRDefault="00BC7960" w14:paraId="337AE8BE" w14:textId="77777777">
                  <w:pPr>
                    <w:tabs>
                      <w:tab w:val="right" w:pos="8059"/>
                    </w:tabs>
                    <w:ind w:right="202"/>
                    <w:jc w:val="right"/>
                    <w:rPr>
                      <w:rFonts w:ascii="Arial" w:hAnsi="Arial" w:cs="Arial"/>
                      <w:sz w:val="18"/>
                      <w:szCs w:val="18"/>
                    </w:rPr>
                  </w:pPr>
                  <w:r>
                    <w:rPr>
                      <w:rFonts w:ascii="Arial" w:hAnsi="Arial" w:cs="Arial"/>
                      <w:sz w:val="18"/>
                      <w:szCs w:val="18"/>
                    </w:rPr>
                    <w:t>5,865.92</w:t>
                  </w:r>
                </w:p>
              </w:tc>
              <w:tc>
                <w:tcPr>
                  <w:tcW w:w="990" w:type="dxa"/>
                </w:tcPr>
                <w:p w:rsidR="00BC7960" w:rsidP="00BC7960" w:rsidRDefault="00BC7960" w14:paraId="0D3FA189" w14:textId="77777777">
                  <w:pPr>
                    <w:jc w:val="right"/>
                  </w:pPr>
                  <w:r w:rsidRPr="00031730">
                    <w:rPr>
                      <w:rFonts w:ascii="Arial" w:hAnsi="Arial" w:cs="Arial"/>
                      <w:sz w:val="18"/>
                      <w:szCs w:val="18"/>
                    </w:rPr>
                    <w:t>$36.00</w:t>
                  </w:r>
                </w:p>
              </w:tc>
              <w:tc>
                <w:tcPr>
                  <w:tcW w:w="1562" w:type="dxa"/>
                </w:tcPr>
                <w:p w:rsidR="00BC7960" w:rsidP="00BC7960" w:rsidRDefault="00BC7960" w14:paraId="5D24B672" w14:textId="77777777">
                  <w:pPr>
                    <w:tabs>
                      <w:tab w:val="right" w:pos="8059"/>
                    </w:tabs>
                    <w:ind w:right="202"/>
                    <w:jc w:val="right"/>
                    <w:rPr>
                      <w:rFonts w:ascii="Arial" w:hAnsi="Arial" w:cs="Arial"/>
                      <w:sz w:val="18"/>
                      <w:szCs w:val="18"/>
                    </w:rPr>
                  </w:pPr>
                  <w:r>
                    <w:rPr>
                      <w:rFonts w:ascii="Arial" w:hAnsi="Arial" w:cs="Arial"/>
                      <w:sz w:val="18"/>
                      <w:szCs w:val="18"/>
                    </w:rPr>
                    <w:t>$211,173.12</w:t>
                  </w:r>
                </w:p>
              </w:tc>
            </w:tr>
            <w:tr w:rsidR="00BC7960" w:rsidTr="00D43419" w14:paraId="5D2E234D" w14:textId="77777777">
              <w:trPr>
                <w:trHeight w:val="1148"/>
              </w:trPr>
              <w:tc>
                <w:tcPr>
                  <w:tcW w:w="2178" w:type="dxa"/>
                  <w:vAlign w:val="center"/>
                </w:tcPr>
                <w:p w:rsidRPr="00316D78" w:rsidR="00BC7960" w:rsidP="00BC7960" w:rsidRDefault="00BC7960" w14:paraId="6F16CBF6" w14:textId="77777777">
                  <w:pPr>
                    <w:keepNext/>
                    <w:tabs>
                      <w:tab w:val="right" w:pos="8059"/>
                    </w:tabs>
                    <w:rPr>
                      <w:rFonts w:ascii="Arial" w:hAnsi="Arial" w:cs="Arial"/>
                      <w:sz w:val="18"/>
                      <w:szCs w:val="18"/>
                    </w:rPr>
                  </w:pPr>
                  <w:r w:rsidRPr="00316D78">
                    <w:rPr>
                      <w:rFonts w:ascii="Arial" w:hAnsi="Arial" w:cs="Arial"/>
                      <w:sz w:val="18"/>
                      <w:szCs w:val="18"/>
                    </w:rPr>
                    <w:t xml:space="preserve">Additional burden associated with the computation concerning </w:t>
                  </w:r>
                  <w:r>
                    <w:rPr>
                      <w:rFonts w:ascii="Arial" w:hAnsi="Arial" w:cs="Arial"/>
                      <w:sz w:val="18"/>
                      <w:szCs w:val="18"/>
                    </w:rPr>
                    <w:t xml:space="preserve">loans </w:t>
                  </w:r>
                  <w:r w:rsidRPr="00316D78">
                    <w:rPr>
                      <w:rFonts w:ascii="Arial" w:hAnsi="Arial" w:cs="Arial"/>
                      <w:sz w:val="18"/>
                      <w:szCs w:val="18"/>
                    </w:rPr>
                    <w:t>involved in buy down agreements.</w:t>
                  </w:r>
                </w:p>
              </w:tc>
              <w:tc>
                <w:tcPr>
                  <w:tcW w:w="1350" w:type="dxa"/>
                </w:tcPr>
                <w:p w:rsidRPr="00DC0899" w:rsidR="00BC7960" w:rsidP="00BC7960" w:rsidRDefault="00BC7960" w14:paraId="589B87F7" w14:textId="77777777">
                  <w:pPr>
                    <w:jc w:val="right"/>
                    <w:rPr>
                      <w:rFonts w:ascii="Arial" w:hAnsi="Arial" w:cs="Arial"/>
                      <w:sz w:val="18"/>
                      <w:szCs w:val="18"/>
                    </w:rPr>
                  </w:pPr>
                  <w:r>
                    <w:rPr>
                      <w:rFonts w:ascii="Arial" w:hAnsi="Arial" w:cs="Arial"/>
                      <w:sz w:val="18"/>
                      <w:szCs w:val="18"/>
                    </w:rPr>
                    <w:t>15,871</w:t>
                  </w:r>
                </w:p>
              </w:tc>
              <w:tc>
                <w:tcPr>
                  <w:tcW w:w="1047" w:type="dxa"/>
                </w:tcPr>
                <w:p w:rsidRPr="00316D78" w:rsidR="00BC7960" w:rsidP="00BC7960" w:rsidRDefault="00BC7960" w14:paraId="61BBE246" w14:textId="77777777">
                  <w:pPr>
                    <w:tabs>
                      <w:tab w:val="right" w:pos="8059"/>
                    </w:tabs>
                    <w:ind w:right="202"/>
                    <w:jc w:val="right"/>
                    <w:rPr>
                      <w:rFonts w:ascii="Arial" w:hAnsi="Arial" w:cs="Arial"/>
                      <w:sz w:val="18"/>
                      <w:szCs w:val="18"/>
                    </w:rPr>
                  </w:pPr>
                  <w:r>
                    <w:rPr>
                      <w:rFonts w:ascii="Arial" w:hAnsi="Arial" w:cs="Arial"/>
                      <w:sz w:val="18"/>
                      <w:szCs w:val="18"/>
                    </w:rPr>
                    <w:t>0.08</w:t>
                  </w:r>
                </w:p>
              </w:tc>
              <w:tc>
                <w:tcPr>
                  <w:tcW w:w="1440" w:type="dxa"/>
                </w:tcPr>
                <w:p w:rsidRPr="00316D78" w:rsidR="00BC7960" w:rsidP="00BC7960" w:rsidRDefault="00BC7960" w14:paraId="7FE48592" w14:textId="77777777">
                  <w:pPr>
                    <w:tabs>
                      <w:tab w:val="right" w:pos="8059"/>
                    </w:tabs>
                    <w:ind w:right="202"/>
                    <w:jc w:val="right"/>
                    <w:rPr>
                      <w:rFonts w:ascii="Arial" w:hAnsi="Arial" w:cs="Arial"/>
                      <w:sz w:val="18"/>
                      <w:szCs w:val="18"/>
                    </w:rPr>
                  </w:pPr>
                  <w:r>
                    <w:rPr>
                      <w:rFonts w:ascii="Arial" w:hAnsi="Arial" w:cs="Arial"/>
                      <w:sz w:val="18"/>
                      <w:szCs w:val="18"/>
                    </w:rPr>
                    <w:t>1,269.68</w:t>
                  </w:r>
                </w:p>
              </w:tc>
              <w:tc>
                <w:tcPr>
                  <w:tcW w:w="1138" w:type="dxa"/>
                </w:tcPr>
                <w:p w:rsidR="00BC7960" w:rsidP="00BC7960" w:rsidRDefault="00BC7960" w14:paraId="7CE532B0" w14:textId="77777777">
                  <w:pPr>
                    <w:tabs>
                      <w:tab w:val="right" w:pos="8059"/>
                    </w:tabs>
                    <w:ind w:right="202"/>
                    <w:jc w:val="right"/>
                    <w:rPr>
                      <w:rFonts w:ascii="Arial" w:hAnsi="Arial" w:cs="Arial"/>
                      <w:sz w:val="18"/>
                      <w:szCs w:val="18"/>
                    </w:rPr>
                  </w:pPr>
                  <w:r>
                    <w:rPr>
                      <w:rFonts w:ascii="Arial" w:hAnsi="Arial" w:cs="Arial"/>
                      <w:sz w:val="18"/>
                      <w:szCs w:val="18"/>
                    </w:rPr>
                    <w:t>0.05</w:t>
                  </w:r>
                </w:p>
                <w:p w:rsidRPr="00316D78" w:rsidR="00BC7960" w:rsidP="00BC7960" w:rsidRDefault="00BC7960" w14:paraId="7FD6857E" w14:textId="77777777">
                  <w:pPr>
                    <w:tabs>
                      <w:tab w:val="right" w:pos="8059"/>
                    </w:tabs>
                    <w:ind w:right="202"/>
                    <w:jc w:val="right"/>
                    <w:rPr>
                      <w:rFonts w:ascii="Arial" w:hAnsi="Arial" w:cs="Arial"/>
                      <w:sz w:val="18"/>
                      <w:szCs w:val="18"/>
                    </w:rPr>
                  </w:pPr>
                  <w:r>
                    <w:rPr>
                      <w:rFonts w:ascii="Arial" w:hAnsi="Arial" w:cs="Arial"/>
                      <w:sz w:val="18"/>
                      <w:szCs w:val="18"/>
                    </w:rPr>
                    <w:t>(3 min)</w:t>
                  </w:r>
                </w:p>
              </w:tc>
              <w:tc>
                <w:tcPr>
                  <w:tcW w:w="1350" w:type="dxa"/>
                </w:tcPr>
                <w:p w:rsidR="00BC7960" w:rsidP="00BC7960" w:rsidRDefault="00BC7960" w14:paraId="63CC20D7" w14:textId="77777777">
                  <w:pPr>
                    <w:tabs>
                      <w:tab w:val="right" w:pos="8059"/>
                    </w:tabs>
                    <w:ind w:right="202"/>
                    <w:jc w:val="right"/>
                    <w:rPr>
                      <w:rFonts w:ascii="Arial" w:hAnsi="Arial" w:cs="Arial"/>
                      <w:sz w:val="18"/>
                      <w:szCs w:val="18"/>
                    </w:rPr>
                  </w:pPr>
                  <w:r>
                    <w:rPr>
                      <w:rFonts w:ascii="Arial" w:hAnsi="Arial" w:cs="Arial"/>
                      <w:sz w:val="18"/>
                      <w:szCs w:val="18"/>
                    </w:rPr>
                    <w:t>63.48</w:t>
                  </w:r>
                </w:p>
              </w:tc>
              <w:tc>
                <w:tcPr>
                  <w:tcW w:w="990" w:type="dxa"/>
                </w:tcPr>
                <w:p w:rsidR="00BC7960" w:rsidP="00BC7960" w:rsidRDefault="00BC7960" w14:paraId="2914D1DE" w14:textId="77777777">
                  <w:pPr>
                    <w:jc w:val="right"/>
                  </w:pPr>
                  <w:r w:rsidRPr="00031730">
                    <w:rPr>
                      <w:rFonts w:ascii="Arial" w:hAnsi="Arial" w:cs="Arial"/>
                      <w:sz w:val="18"/>
                      <w:szCs w:val="18"/>
                    </w:rPr>
                    <w:t>$36.00</w:t>
                  </w:r>
                </w:p>
              </w:tc>
              <w:tc>
                <w:tcPr>
                  <w:tcW w:w="1562" w:type="dxa"/>
                </w:tcPr>
                <w:p w:rsidR="00BC7960" w:rsidP="00BC7960" w:rsidRDefault="00BC7960" w14:paraId="1EC3EB7F" w14:textId="77777777">
                  <w:pPr>
                    <w:tabs>
                      <w:tab w:val="right" w:pos="8059"/>
                    </w:tabs>
                    <w:ind w:right="202"/>
                    <w:jc w:val="right"/>
                    <w:rPr>
                      <w:rFonts w:ascii="Arial" w:hAnsi="Arial" w:cs="Arial"/>
                      <w:sz w:val="18"/>
                      <w:szCs w:val="18"/>
                    </w:rPr>
                  </w:pPr>
                  <w:r>
                    <w:rPr>
                      <w:rFonts w:ascii="Arial" w:hAnsi="Arial" w:cs="Arial"/>
                      <w:sz w:val="18"/>
                      <w:szCs w:val="18"/>
                    </w:rPr>
                    <w:t>$2,285.28</w:t>
                  </w:r>
                </w:p>
              </w:tc>
            </w:tr>
            <w:tr w:rsidR="00BC7960" w:rsidTr="00D43419" w14:paraId="59F83DBD" w14:textId="77777777">
              <w:trPr>
                <w:trHeight w:val="1148"/>
              </w:trPr>
              <w:tc>
                <w:tcPr>
                  <w:tcW w:w="2178" w:type="dxa"/>
                  <w:vAlign w:val="center"/>
                </w:tcPr>
                <w:p w:rsidRPr="00316D78" w:rsidR="00BC7960" w:rsidP="00BC7960" w:rsidRDefault="00BC7960" w14:paraId="4E0D3BB4" w14:textId="77777777">
                  <w:pPr>
                    <w:keepNext/>
                    <w:tabs>
                      <w:tab w:val="right" w:pos="8059"/>
                    </w:tabs>
                    <w:rPr>
                      <w:rFonts w:ascii="Arial" w:hAnsi="Arial" w:cs="Arial"/>
                      <w:sz w:val="18"/>
                      <w:szCs w:val="18"/>
                    </w:rPr>
                  </w:pPr>
                  <w:r>
                    <w:rPr>
                      <w:rFonts w:ascii="Arial" w:hAnsi="Arial" w:cs="Arial"/>
                      <w:sz w:val="18"/>
                      <w:szCs w:val="18"/>
                    </w:rPr>
                    <w:t>Additional burden associated with pre-insurance review checklist. FHA has provided a model.</w:t>
                  </w:r>
                </w:p>
              </w:tc>
              <w:tc>
                <w:tcPr>
                  <w:tcW w:w="1350" w:type="dxa"/>
                </w:tcPr>
                <w:p w:rsidR="00BC7960" w:rsidP="00BC7960" w:rsidRDefault="00BC7960" w14:paraId="6CB85675" w14:textId="77777777">
                  <w:pPr>
                    <w:jc w:val="right"/>
                    <w:rPr>
                      <w:rFonts w:ascii="Arial" w:hAnsi="Arial" w:cs="Arial"/>
                      <w:sz w:val="18"/>
                      <w:szCs w:val="18"/>
                    </w:rPr>
                  </w:pPr>
                  <w:r>
                    <w:rPr>
                      <w:rFonts w:ascii="Arial" w:hAnsi="Arial" w:cs="Arial"/>
                      <w:sz w:val="18"/>
                      <w:szCs w:val="18"/>
                    </w:rPr>
                    <w:t>15,871</w:t>
                  </w:r>
                </w:p>
              </w:tc>
              <w:tc>
                <w:tcPr>
                  <w:tcW w:w="1047" w:type="dxa"/>
                </w:tcPr>
                <w:p w:rsidRPr="00316D78" w:rsidR="00BC7960" w:rsidP="00BC7960" w:rsidRDefault="00BC7960" w14:paraId="76D9C02F" w14:textId="77777777">
                  <w:pPr>
                    <w:tabs>
                      <w:tab w:val="right" w:pos="8059"/>
                    </w:tabs>
                    <w:ind w:right="202"/>
                    <w:jc w:val="right"/>
                    <w:rPr>
                      <w:rFonts w:ascii="Arial" w:hAnsi="Arial" w:cs="Arial"/>
                      <w:sz w:val="18"/>
                      <w:szCs w:val="18"/>
                    </w:rPr>
                  </w:pPr>
                  <w:r>
                    <w:rPr>
                      <w:rFonts w:ascii="Arial" w:hAnsi="Arial" w:cs="Arial"/>
                      <w:sz w:val="18"/>
                      <w:szCs w:val="18"/>
                    </w:rPr>
                    <w:t>67.79</w:t>
                  </w:r>
                </w:p>
              </w:tc>
              <w:tc>
                <w:tcPr>
                  <w:tcW w:w="1440" w:type="dxa"/>
                </w:tcPr>
                <w:p w:rsidR="00BC7960" w:rsidP="00BC7960" w:rsidRDefault="00BC7960" w14:paraId="1AAECAAE" w14:textId="77777777">
                  <w:pPr>
                    <w:tabs>
                      <w:tab w:val="right" w:pos="8059"/>
                    </w:tabs>
                    <w:ind w:right="202"/>
                    <w:jc w:val="right"/>
                    <w:rPr>
                      <w:rFonts w:ascii="Arial" w:hAnsi="Arial" w:cs="Arial"/>
                      <w:sz w:val="18"/>
                      <w:szCs w:val="18"/>
                    </w:rPr>
                  </w:pPr>
                  <w:r>
                    <w:rPr>
                      <w:rFonts w:ascii="Arial" w:hAnsi="Arial" w:cs="Arial"/>
                      <w:sz w:val="18"/>
                      <w:szCs w:val="18"/>
                    </w:rPr>
                    <w:t>1,075,895.09</w:t>
                  </w:r>
                </w:p>
              </w:tc>
              <w:tc>
                <w:tcPr>
                  <w:tcW w:w="1138" w:type="dxa"/>
                </w:tcPr>
                <w:p w:rsidR="00BC7960" w:rsidP="00BC7960" w:rsidRDefault="00BC7960" w14:paraId="3EA23593" w14:textId="77777777">
                  <w:pPr>
                    <w:tabs>
                      <w:tab w:val="right" w:pos="8059"/>
                    </w:tabs>
                    <w:ind w:right="202"/>
                    <w:jc w:val="right"/>
                    <w:rPr>
                      <w:rFonts w:ascii="Arial" w:hAnsi="Arial" w:cs="Arial"/>
                      <w:sz w:val="18"/>
                      <w:szCs w:val="18"/>
                    </w:rPr>
                  </w:pPr>
                  <w:r>
                    <w:rPr>
                      <w:rFonts w:ascii="Arial" w:hAnsi="Arial" w:cs="Arial"/>
                      <w:sz w:val="18"/>
                      <w:szCs w:val="18"/>
                    </w:rPr>
                    <w:t>0.17</w:t>
                  </w:r>
                </w:p>
                <w:p w:rsidRPr="00316D78" w:rsidR="00BC7960" w:rsidP="00BC7960" w:rsidRDefault="00BC7960" w14:paraId="6FEE235D" w14:textId="77777777">
                  <w:pPr>
                    <w:tabs>
                      <w:tab w:val="right" w:pos="8059"/>
                    </w:tabs>
                    <w:ind w:right="202"/>
                    <w:jc w:val="right"/>
                    <w:rPr>
                      <w:rFonts w:ascii="Arial" w:hAnsi="Arial" w:cs="Arial"/>
                      <w:sz w:val="18"/>
                      <w:szCs w:val="18"/>
                    </w:rPr>
                  </w:pPr>
                  <w:r>
                    <w:rPr>
                      <w:rFonts w:ascii="Arial" w:hAnsi="Arial" w:cs="Arial"/>
                      <w:sz w:val="18"/>
                      <w:szCs w:val="18"/>
                    </w:rPr>
                    <w:t>(10 min)</w:t>
                  </w:r>
                </w:p>
              </w:tc>
              <w:tc>
                <w:tcPr>
                  <w:tcW w:w="1350" w:type="dxa"/>
                </w:tcPr>
                <w:p w:rsidR="00BC7960" w:rsidP="00BC7960" w:rsidRDefault="00BC7960" w14:paraId="1DCF9442" w14:textId="77777777">
                  <w:pPr>
                    <w:tabs>
                      <w:tab w:val="right" w:pos="8059"/>
                    </w:tabs>
                    <w:ind w:right="202"/>
                    <w:jc w:val="right"/>
                    <w:rPr>
                      <w:rFonts w:ascii="Arial" w:hAnsi="Arial" w:cs="Arial"/>
                      <w:sz w:val="18"/>
                      <w:szCs w:val="18"/>
                    </w:rPr>
                  </w:pPr>
                  <w:r>
                    <w:rPr>
                      <w:rFonts w:ascii="Arial" w:hAnsi="Arial" w:cs="Arial"/>
                      <w:sz w:val="18"/>
                      <w:szCs w:val="18"/>
                    </w:rPr>
                    <w:t>182,902.16</w:t>
                  </w:r>
                </w:p>
              </w:tc>
              <w:tc>
                <w:tcPr>
                  <w:tcW w:w="990" w:type="dxa"/>
                </w:tcPr>
                <w:p w:rsidRPr="00031730" w:rsidR="00BC7960" w:rsidP="00BC7960" w:rsidRDefault="00BC7960" w14:paraId="3F7769FD" w14:textId="77777777">
                  <w:pPr>
                    <w:jc w:val="right"/>
                    <w:rPr>
                      <w:rFonts w:ascii="Arial" w:hAnsi="Arial" w:cs="Arial"/>
                      <w:sz w:val="18"/>
                      <w:szCs w:val="18"/>
                    </w:rPr>
                  </w:pPr>
                  <w:r>
                    <w:rPr>
                      <w:rFonts w:ascii="Arial" w:hAnsi="Arial" w:cs="Arial"/>
                      <w:sz w:val="18"/>
                      <w:szCs w:val="18"/>
                    </w:rPr>
                    <w:t>$36.00</w:t>
                  </w:r>
                </w:p>
              </w:tc>
              <w:tc>
                <w:tcPr>
                  <w:tcW w:w="1562" w:type="dxa"/>
                </w:tcPr>
                <w:p w:rsidR="00BC7960" w:rsidP="00BC7960" w:rsidRDefault="00BC7960" w14:paraId="6329E9B9" w14:textId="77777777">
                  <w:pPr>
                    <w:tabs>
                      <w:tab w:val="right" w:pos="8059"/>
                    </w:tabs>
                    <w:ind w:right="202"/>
                    <w:jc w:val="right"/>
                    <w:rPr>
                      <w:rFonts w:ascii="Arial" w:hAnsi="Arial" w:cs="Arial"/>
                      <w:sz w:val="18"/>
                      <w:szCs w:val="18"/>
                    </w:rPr>
                  </w:pPr>
                  <w:r>
                    <w:rPr>
                      <w:rFonts w:ascii="Arial" w:hAnsi="Arial" w:cs="Arial"/>
                      <w:sz w:val="18"/>
                      <w:szCs w:val="18"/>
                    </w:rPr>
                    <w:t>$6,584,477.76</w:t>
                  </w:r>
                </w:p>
              </w:tc>
            </w:tr>
            <w:tr w:rsidRPr="00692AD8" w:rsidR="00BC7960" w:rsidTr="00D43419" w14:paraId="5F041839" w14:textId="77777777">
              <w:tc>
                <w:tcPr>
                  <w:tcW w:w="2178" w:type="dxa"/>
                  <w:vAlign w:val="center"/>
                </w:tcPr>
                <w:p w:rsidRPr="00211D4D" w:rsidR="00BC7960" w:rsidP="00BC7960" w:rsidRDefault="00BC7960" w14:paraId="23656C34" w14:textId="77777777">
                  <w:pPr>
                    <w:keepNext/>
                    <w:tabs>
                      <w:tab w:val="right" w:pos="8059"/>
                    </w:tabs>
                    <w:rPr>
                      <w:rFonts w:ascii="Arial" w:hAnsi="Arial" w:cs="Arial"/>
                      <w:sz w:val="18"/>
                      <w:szCs w:val="18"/>
                    </w:rPr>
                  </w:pPr>
                  <w:r w:rsidRPr="00211D4D">
                    <w:rPr>
                      <w:rFonts w:ascii="Arial" w:hAnsi="Arial" w:cs="Arial"/>
                      <w:sz w:val="18"/>
                      <w:szCs w:val="18"/>
                    </w:rPr>
                    <w:t xml:space="preserve">Settlement Certification </w:t>
                  </w:r>
                </w:p>
              </w:tc>
              <w:tc>
                <w:tcPr>
                  <w:tcW w:w="1350" w:type="dxa"/>
                </w:tcPr>
                <w:p w:rsidR="00BC7960" w:rsidP="00BC7960" w:rsidRDefault="00BC7960" w14:paraId="04F4D9FD" w14:textId="77777777">
                  <w:pPr>
                    <w:tabs>
                      <w:tab w:val="right" w:pos="8059"/>
                    </w:tabs>
                    <w:ind w:right="202"/>
                    <w:jc w:val="right"/>
                    <w:rPr>
                      <w:rFonts w:ascii="Arial" w:hAnsi="Arial" w:cs="Arial"/>
                      <w:sz w:val="18"/>
                      <w:szCs w:val="18"/>
                    </w:rPr>
                  </w:pPr>
                  <w:r>
                    <w:rPr>
                      <w:rFonts w:ascii="Arial" w:hAnsi="Arial" w:cs="Arial"/>
                      <w:sz w:val="18"/>
                      <w:szCs w:val="18"/>
                    </w:rPr>
                    <w:t>15,871</w:t>
                  </w:r>
                </w:p>
              </w:tc>
              <w:tc>
                <w:tcPr>
                  <w:tcW w:w="1047" w:type="dxa"/>
                </w:tcPr>
                <w:p w:rsidRPr="00211D4D" w:rsidR="00BC7960" w:rsidP="00BC7960" w:rsidRDefault="00BC7960" w14:paraId="405B833F" w14:textId="77777777">
                  <w:pPr>
                    <w:tabs>
                      <w:tab w:val="right" w:pos="8059"/>
                    </w:tabs>
                    <w:ind w:right="202"/>
                    <w:jc w:val="right"/>
                    <w:rPr>
                      <w:rFonts w:ascii="Arial" w:hAnsi="Arial" w:cs="Arial"/>
                      <w:sz w:val="18"/>
                      <w:szCs w:val="18"/>
                    </w:rPr>
                  </w:pPr>
                  <w:r>
                    <w:rPr>
                      <w:rFonts w:ascii="Arial" w:hAnsi="Arial" w:cs="Arial"/>
                      <w:sz w:val="18"/>
                      <w:szCs w:val="18"/>
                    </w:rPr>
                    <w:t>55.57</w:t>
                  </w:r>
                </w:p>
              </w:tc>
              <w:tc>
                <w:tcPr>
                  <w:tcW w:w="1440" w:type="dxa"/>
                </w:tcPr>
                <w:p w:rsidRPr="00211D4D" w:rsidR="00BC7960" w:rsidP="00BC7960" w:rsidRDefault="00BC7960" w14:paraId="11C6D48B" w14:textId="77777777">
                  <w:pPr>
                    <w:tabs>
                      <w:tab w:val="right" w:pos="8059"/>
                    </w:tabs>
                    <w:ind w:right="202"/>
                    <w:jc w:val="right"/>
                    <w:rPr>
                      <w:rFonts w:ascii="Arial" w:hAnsi="Arial" w:cs="Arial"/>
                      <w:sz w:val="18"/>
                      <w:szCs w:val="18"/>
                    </w:rPr>
                  </w:pPr>
                  <w:r>
                    <w:rPr>
                      <w:rFonts w:ascii="Arial" w:hAnsi="Arial" w:cs="Arial"/>
                      <w:sz w:val="18"/>
                      <w:szCs w:val="18"/>
                    </w:rPr>
                    <w:t>881,951.47</w:t>
                  </w:r>
                </w:p>
              </w:tc>
              <w:tc>
                <w:tcPr>
                  <w:tcW w:w="1138" w:type="dxa"/>
                </w:tcPr>
                <w:p w:rsidRPr="00211D4D" w:rsidR="00BC7960" w:rsidP="00BC7960" w:rsidRDefault="00BC7960" w14:paraId="13D48502" w14:textId="77777777">
                  <w:pPr>
                    <w:tabs>
                      <w:tab w:val="right" w:pos="8059"/>
                    </w:tabs>
                    <w:ind w:right="202"/>
                    <w:jc w:val="right"/>
                    <w:rPr>
                      <w:rFonts w:ascii="Arial" w:hAnsi="Arial" w:cs="Arial"/>
                      <w:sz w:val="18"/>
                      <w:szCs w:val="18"/>
                    </w:rPr>
                  </w:pPr>
                  <w:r w:rsidRPr="00211D4D">
                    <w:rPr>
                      <w:rFonts w:ascii="Arial" w:hAnsi="Arial" w:cs="Arial"/>
                      <w:sz w:val="18"/>
                      <w:szCs w:val="18"/>
                    </w:rPr>
                    <w:t>.01</w:t>
                  </w:r>
                </w:p>
                <w:p w:rsidRPr="00211D4D" w:rsidR="00BC7960" w:rsidP="00BC7960" w:rsidRDefault="00BC7960" w14:paraId="5AFF4D28" w14:textId="77777777">
                  <w:pPr>
                    <w:tabs>
                      <w:tab w:val="right" w:pos="8059"/>
                    </w:tabs>
                    <w:ind w:right="202"/>
                    <w:jc w:val="right"/>
                    <w:rPr>
                      <w:rFonts w:ascii="Arial" w:hAnsi="Arial" w:cs="Arial"/>
                      <w:sz w:val="18"/>
                      <w:szCs w:val="18"/>
                    </w:rPr>
                  </w:pPr>
                  <w:r w:rsidRPr="00211D4D">
                    <w:rPr>
                      <w:rFonts w:ascii="Arial" w:hAnsi="Arial" w:cs="Arial"/>
                      <w:sz w:val="18"/>
                      <w:szCs w:val="18"/>
                    </w:rPr>
                    <w:t>(1 min)</w:t>
                  </w:r>
                </w:p>
              </w:tc>
              <w:tc>
                <w:tcPr>
                  <w:tcW w:w="1350" w:type="dxa"/>
                </w:tcPr>
                <w:p w:rsidRPr="00211D4D" w:rsidR="00BC7960" w:rsidP="00BC7960" w:rsidRDefault="00BC7960" w14:paraId="0F3FD08D" w14:textId="77777777">
                  <w:pPr>
                    <w:tabs>
                      <w:tab w:val="right" w:pos="8059"/>
                    </w:tabs>
                    <w:ind w:right="202"/>
                    <w:jc w:val="right"/>
                    <w:rPr>
                      <w:rFonts w:ascii="Arial" w:hAnsi="Arial" w:cs="Arial"/>
                      <w:sz w:val="18"/>
                      <w:szCs w:val="18"/>
                    </w:rPr>
                  </w:pPr>
                  <w:r w:rsidRPr="00211D4D">
                    <w:rPr>
                      <w:rFonts w:ascii="Arial" w:hAnsi="Arial" w:cs="Arial"/>
                      <w:sz w:val="18"/>
                      <w:szCs w:val="18"/>
                    </w:rPr>
                    <w:t>8</w:t>
                  </w:r>
                  <w:r>
                    <w:rPr>
                      <w:rFonts w:ascii="Arial" w:hAnsi="Arial" w:cs="Arial"/>
                      <w:sz w:val="18"/>
                      <w:szCs w:val="18"/>
                    </w:rPr>
                    <w:t>,</w:t>
                  </w:r>
                  <w:r w:rsidRPr="00211D4D">
                    <w:rPr>
                      <w:rFonts w:ascii="Arial" w:hAnsi="Arial" w:cs="Arial"/>
                      <w:sz w:val="18"/>
                      <w:szCs w:val="18"/>
                    </w:rPr>
                    <w:t>8</w:t>
                  </w:r>
                  <w:r>
                    <w:rPr>
                      <w:rFonts w:ascii="Arial" w:hAnsi="Arial" w:cs="Arial"/>
                      <w:sz w:val="18"/>
                      <w:szCs w:val="18"/>
                    </w:rPr>
                    <w:t>19.51</w:t>
                  </w:r>
                </w:p>
              </w:tc>
              <w:tc>
                <w:tcPr>
                  <w:tcW w:w="990" w:type="dxa"/>
                </w:tcPr>
                <w:p w:rsidRPr="00211D4D" w:rsidR="00BC7960" w:rsidP="00BC7960" w:rsidRDefault="00BC7960" w14:paraId="1E305C9C" w14:textId="77777777">
                  <w:pPr>
                    <w:tabs>
                      <w:tab w:val="right" w:pos="8059"/>
                    </w:tabs>
                    <w:ind w:right="202"/>
                    <w:jc w:val="right"/>
                    <w:rPr>
                      <w:rFonts w:ascii="Arial" w:hAnsi="Arial" w:cs="Arial"/>
                      <w:sz w:val="18"/>
                      <w:szCs w:val="18"/>
                    </w:rPr>
                  </w:pPr>
                  <w:r w:rsidRPr="00211D4D">
                    <w:rPr>
                      <w:rFonts w:ascii="Arial" w:hAnsi="Arial" w:cs="Arial"/>
                      <w:sz w:val="18"/>
                      <w:szCs w:val="18"/>
                    </w:rPr>
                    <w:t>$36.00</w:t>
                  </w:r>
                </w:p>
              </w:tc>
              <w:tc>
                <w:tcPr>
                  <w:tcW w:w="1562" w:type="dxa"/>
                </w:tcPr>
                <w:p w:rsidRPr="00211D4D" w:rsidR="00BC7960" w:rsidP="00BC7960" w:rsidRDefault="00BC7960" w14:paraId="405D86AB" w14:textId="77777777">
                  <w:pPr>
                    <w:tabs>
                      <w:tab w:val="right" w:pos="8059"/>
                    </w:tabs>
                    <w:ind w:right="202"/>
                    <w:jc w:val="right"/>
                    <w:rPr>
                      <w:rFonts w:ascii="Arial" w:hAnsi="Arial" w:cs="Arial"/>
                      <w:sz w:val="18"/>
                      <w:szCs w:val="18"/>
                    </w:rPr>
                  </w:pPr>
                  <w:r w:rsidRPr="00211D4D">
                    <w:rPr>
                      <w:rFonts w:ascii="Arial" w:hAnsi="Arial" w:cs="Arial"/>
                      <w:sz w:val="18"/>
                      <w:szCs w:val="18"/>
                    </w:rPr>
                    <w:t>317,5</w:t>
                  </w:r>
                  <w:r>
                    <w:rPr>
                      <w:rFonts w:ascii="Arial" w:hAnsi="Arial" w:cs="Arial"/>
                      <w:sz w:val="18"/>
                      <w:szCs w:val="18"/>
                    </w:rPr>
                    <w:t>02.36</w:t>
                  </w:r>
                </w:p>
              </w:tc>
            </w:tr>
            <w:tr w:rsidRPr="00692AD8" w:rsidR="00BC7960" w:rsidTr="00D43419" w14:paraId="16A42BF6" w14:textId="77777777">
              <w:tc>
                <w:tcPr>
                  <w:tcW w:w="2178" w:type="dxa"/>
                  <w:tcBorders>
                    <w:bottom w:val="double" w:color="auto" w:sz="4" w:space="0"/>
                  </w:tcBorders>
                  <w:vAlign w:val="center"/>
                </w:tcPr>
                <w:p w:rsidRPr="00692AD8" w:rsidR="00BC7960" w:rsidP="00BC7960" w:rsidRDefault="00BC7960" w14:paraId="3B223533" w14:textId="77777777">
                  <w:pPr>
                    <w:keepNext/>
                    <w:tabs>
                      <w:tab w:val="right" w:pos="8059"/>
                    </w:tabs>
                    <w:rPr>
                      <w:rFonts w:ascii="Arial" w:hAnsi="Arial" w:cs="Arial"/>
                      <w:b/>
                      <w:sz w:val="18"/>
                      <w:szCs w:val="18"/>
                    </w:rPr>
                  </w:pPr>
                  <w:r w:rsidRPr="00692AD8">
                    <w:rPr>
                      <w:rFonts w:ascii="Arial" w:hAnsi="Arial" w:cs="Arial"/>
                      <w:b/>
                      <w:sz w:val="18"/>
                      <w:szCs w:val="18"/>
                    </w:rPr>
                    <w:t>Totals</w:t>
                  </w:r>
                </w:p>
              </w:tc>
              <w:tc>
                <w:tcPr>
                  <w:tcW w:w="1350" w:type="dxa"/>
                  <w:tcBorders>
                    <w:bottom w:val="double" w:color="auto" w:sz="4" w:space="0"/>
                  </w:tcBorders>
                </w:tcPr>
                <w:p w:rsidRPr="00692AD8" w:rsidR="00BC7960" w:rsidP="00BC7960" w:rsidRDefault="00BC7960" w14:paraId="2A5FADFC" w14:textId="77777777">
                  <w:pPr>
                    <w:tabs>
                      <w:tab w:val="right" w:pos="8059"/>
                    </w:tabs>
                    <w:ind w:right="202"/>
                    <w:jc w:val="right"/>
                    <w:rPr>
                      <w:rFonts w:ascii="Arial" w:hAnsi="Arial" w:cs="Arial"/>
                      <w:b/>
                      <w:sz w:val="18"/>
                      <w:szCs w:val="18"/>
                    </w:rPr>
                  </w:pPr>
                  <w:r>
                    <w:rPr>
                      <w:rFonts w:ascii="Arial" w:hAnsi="Arial" w:cs="Arial"/>
                      <w:sz w:val="18"/>
                      <w:szCs w:val="18"/>
                    </w:rPr>
                    <w:t>15,871</w:t>
                  </w:r>
                </w:p>
              </w:tc>
              <w:tc>
                <w:tcPr>
                  <w:tcW w:w="1047" w:type="dxa"/>
                  <w:tcBorders>
                    <w:bottom w:val="double" w:color="auto" w:sz="4" w:space="0"/>
                  </w:tcBorders>
                </w:tcPr>
                <w:p w:rsidRPr="00692AD8" w:rsidR="00BC7960" w:rsidP="00BC7960" w:rsidRDefault="00BC7960" w14:paraId="33A268D3" w14:textId="77777777">
                  <w:pPr>
                    <w:tabs>
                      <w:tab w:val="right" w:pos="8059"/>
                    </w:tabs>
                    <w:ind w:right="202"/>
                    <w:jc w:val="right"/>
                    <w:rPr>
                      <w:rFonts w:ascii="Arial" w:hAnsi="Arial" w:cs="Arial"/>
                      <w:b/>
                      <w:sz w:val="18"/>
                      <w:szCs w:val="18"/>
                    </w:rPr>
                  </w:pPr>
                </w:p>
              </w:tc>
              <w:tc>
                <w:tcPr>
                  <w:tcW w:w="1440" w:type="dxa"/>
                  <w:tcBorders>
                    <w:bottom w:val="double" w:color="auto" w:sz="4" w:space="0"/>
                  </w:tcBorders>
                </w:tcPr>
                <w:p w:rsidRPr="00692AD8" w:rsidR="00BC7960" w:rsidP="00BC7960" w:rsidRDefault="00BC7960" w14:paraId="789C3D0B" w14:textId="771330A2">
                  <w:pPr>
                    <w:tabs>
                      <w:tab w:val="right" w:pos="8059"/>
                    </w:tabs>
                    <w:ind w:right="202"/>
                    <w:jc w:val="right"/>
                    <w:rPr>
                      <w:rFonts w:ascii="Arial" w:hAnsi="Arial" w:cs="Arial"/>
                      <w:b/>
                      <w:sz w:val="18"/>
                      <w:szCs w:val="18"/>
                    </w:rPr>
                  </w:pPr>
                  <w:r>
                    <w:rPr>
                      <w:rFonts w:ascii="Arial" w:hAnsi="Arial" w:cs="Arial"/>
                      <w:b/>
                      <w:sz w:val="18"/>
                      <w:szCs w:val="18"/>
                    </w:rPr>
                    <w:t>5,798,628.56</w:t>
                  </w:r>
                </w:p>
              </w:tc>
              <w:tc>
                <w:tcPr>
                  <w:tcW w:w="1138" w:type="dxa"/>
                  <w:tcBorders>
                    <w:bottom w:val="double" w:color="auto" w:sz="4" w:space="0"/>
                  </w:tcBorders>
                </w:tcPr>
                <w:p w:rsidRPr="00692AD8" w:rsidR="00BC7960" w:rsidP="00BC7960" w:rsidRDefault="00BC7960" w14:paraId="1CDEB966" w14:textId="77777777">
                  <w:pPr>
                    <w:tabs>
                      <w:tab w:val="right" w:pos="8059"/>
                    </w:tabs>
                    <w:ind w:right="202"/>
                    <w:jc w:val="right"/>
                    <w:rPr>
                      <w:rFonts w:ascii="Arial" w:hAnsi="Arial" w:cs="Arial"/>
                      <w:b/>
                      <w:sz w:val="18"/>
                      <w:szCs w:val="18"/>
                    </w:rPr>
                  </w:pPr>
                </w:p>
              </w:tc>
              <w:tc>
                <w:tcPr>
                  <w:tcW w:w="1350" w:type="dxa"/>
                  <w:tcBorders>
                    <w:bottom w:val="double" w:color="auto" w:sz="4" w:space="0"/>
                  </w:tcBorders>
                </w:tcPr>
                <w:p w:rsidRPr="00692AD8" w:rsidR="00BC7960" w:rsidP="00BC7960" w:rsidRDefault="00BC7960" w14:paraId="277B2ED6" w14:textId="77777777">
                  <w:pPr>
                    <w:tabs>
                      <w:tab w:val="right" w:pos="8059"/>
                    </w:tabs>
                    <w:ind w:right="202"/>
                    <w:jc w:val="right"/>
                    <w:rPr>
                      <w:rFonts w:ascii="Arial" w:hAnsi="Arial" w:cs="Arial"/>
                      <w:b/>
                      <w:sz w:val="18"/>
                      <w:szCs w:val="18"/>
                    </w:rPr>
                  </w:pPr>
                  <w:r>
                    <w:rPr>
                      <w:rFonts w:ascii="Arial" w:hAnsi="Arial" w:cs="Arial"/>
                      <w:b/>
                      <w:sz w:val="18"/>
                      <w:szCs w:val="18"/>
                    </w:rPr>
                    <w:t>692,541.59</w:t>
                  </w:r>
                </w:p>
              </w:tc>
              <w:tc>
                <w:tcPr>
                  <w:tcW w:w="990" w:type="dxa"/>
                  <w:tcBorders>
                    <w:bottom w:val="double" w:color="auto" w:sz="4" w:space="0"/>
                  </w:tcBorders>
                </w:tcPr>
                <w:p w:rsidRPr="00692AD8" w:rsidR="00BC7960" w:rsidP="00BC7960" w:rsidRDefault="00BC7960" w14:paraId="3BC084BC" w14:textId="77777777">
                  <w:pPr>
                    <w:tabs>
                      <w:tab w:val="right" w:pos="8059"/>
                    </w:tabs>
                    <w:ind w:right="202"/>
                    <w:jc w:val="right"/>
                    <w:rPr>
                      <w:rFonts w:ascii="Arial" w:hAnsi="Arial" w:cs="Arial"/>
                      <w:b/>
                      <w:sz w:val="18"/>
                      <w:szCs w:val="18"/>
                    </w:rPr>
                  </w:pPr>
                </w:p>
              </w:tc>
              <w:tc>
                <w:tcPr>
                  <w:tcW w:w="1562" w:type="dxa"/>
                  <w:tcBorders>
                    <w:bottom w:val="double" w:color="auto" w:sz="4" w:space="0"/>
                  </w:tcBorders>
                </w:tcPr>
                <w:p w:rsidRPr="00692AD8" w:rsidR="00BC7960" w:rsidP="00BC7960" w:rsidRDefault="00BC7960" w14:paraId="63B0F497" w14:textId="77777777">
                  <w:pPr>
                    <w:tabs>
                      <w:tab w:val="right" w:pos="8059"/>
                    </w:tabs>
                    <w:ind w:right="202"/>
                    <w:jc w:val="right"/>
                    <w:rPr>
                      <w:rFonts w:ascii="Arial" w:hAnsi="Arial" w:cs="Arial"/>
                      <w:b/>
                      <w:sz w:val="18"/>
                      <w:szCs w:val="18"/>
                    </w:rPr>
                  </w:pPr>
                  <w:r>
                    <w:rPr>
                      <w:rFonts w:ascii="Arial" w:hAnsi="Arial" w:cs="Arial"/>
                      <w:b/>
                      <w:sz w:val="18"/>
                      <w:szCs w:val="18"/>
                    </w:rPr>
                    <w:t>$24,907,287.24</w:t>
                  </w:r>
                </w:p>
              </w:tc>
            </w:tr>
          </w:tbl>
          <w:p w:rsidRPr="00C879B4" w:rsidR="00536947" w:rsidRDefault="00536947" w14:paraId="26A1944D" w14:textId="0EC679A8">
            <w:pPr>
              <w:rPr>
                <w:b/>
                <w:color w:val="000000"/>
                <w:sz w:val="24"/>
                <w:szCs w:val="24"/>
              </w:rPr>
            </w:pPr>
          </w:p>
        </w:tc>
      </w:tr>
    </w:tbl>
    <w:p w:rsidRPr="00C879B4" w:rsidR="00536947" w:rsidP="00536947" w:rsidRDefault="00536947" w14:paraId="4EACC9F9" w14:textId="77777777">
      <w:pPr>
        <w:rPr>
          <w:b/>
          <w:color w:val="000000"/>
          <w:sz w:val="24"/>
          <w:szCs w:val="24"/>
        </w:rPr>
      </w:pPr>
    </w:p>
    <w:tbl>
      <w:tblPr>
        <w:tblW w:w="0" w:type="auto"/>
        <w:tblInd w:w="108" w:type="dxa"/>
        <w:tblLook w:val="04A0" w:firstRow="1" w:lastRow="0" w:firstColumn="1" w:lastColumn="0" w:noHBand="0" w:noVBand="1"/>
      </w:tblPr>
      <w:tblGrid>
        <w:gridCol w:w="9360"/>
      </w:tblGrid>
      <w:tr w:rsidRPr="00851955" w:rsidR="00536947" w:rsidTr="00411D7C" w14:paraId="072E8C1B" w14:textId="77777777">
        <w:tc>
          <w:tcPr>
            <w:tcW w:w="9360" w:type="dxa"/>
            <w:shd w:val="clear" w:color="auto" w:fill="auto"/>
          </w:tcPr>
          <w:p w:rsidRPr="00851955" w:rsidR="00536947" w:rsidP="00411D7C" w:rsidRDefault="00536947" w14:paraId="55CD3D4E" w14:textId="77777777">
            <w:pPr>
              <w:rPr>
                <w:b/>
                <w:color w:val="000000"/>
                <w:sz w:val="24"/>
                <w:szCs w:val="24"/>
              </w:rPr>
            </w:pPr>
            <w:r w:rsidRPr="00851955">
              <w:rPr>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Pr="00851955" w:rsidR="00536947" w:rsidP="00411D7C" w:rsidRDefault="00536947" w14:paraId="79182FF7" w14:textId="77777777">
            <w:pPr>
              <w:rPr>
                <w:b/>
                <w:color w:val="000000"/>
                <w:sz w:val="24"/>
                <w:szCs w:val="24"/>
              </w:rPr>
            </w:pPr>
          </w:p>
          <w:p w:rsidRPr="00851955" w:rsidR="00536947" w:rsidP="00411D7C" w:rsidRDefault="00536947" w14:paraId="68442328" w14:textId="57B7819A">
            <w:pPr>
              <w:rPr>
                <w:b/>
                <w:color w:val="000000"/>
                <w:sz w:val="24"/>
                <w:szCs w:val="24"/>
              </w:rPr>
            </w:pPr>
            <w:r w:rsidRPr="00851955">
              <w:rPr>
                <w:sz w:val="24"/>
                <w:szCs w:val="24"/>
              </w:rPr>
              <w:t>There are no recordkeeping, capital, start-up or maintenance costs associated with this information collection.</w:t>
            </w:r>
          </w:p>
          <w:p w:rsidRPr="00851955" w:rsidR="00536947" w:rsidP="00411D7C" w:rsidRDefault="00536947" w14:paraId="19059B96" w14:textId="77777777">
            <w:pPr>
              <w:rPr>
                <w:b/>
                <w:color w:val="000000"/>
                <w:sz w:val="24"/>
                <w:szCs w:val="24"/>
              </w:rPr>
            </w:pPr>
          </w:p>
        </w:tc>
      </w:tr>
      <w:tr w:rsidRPr="00C879B4" w:rsidR="00536947" w:rsidTr="00411D7C" w14:paraId="642F5181" w14:textId="77777777">
        <w:tc>
          <w:tcPr>
            <w:tcW w:w="9360" w:type="dxa"/>
            <w:shd w:val="clear" w:color="auto" w:fill="auto"/>
          </w:tcPr>
          <w:p w:rsidRPr="00C879B4" w:rsidR="00536947" w:rsidP="00411D7C" w:rsidRDefault="00536947" w14:paraId="1FC1ADA5" w14:textId="77777777">
            <w:pPr>
              <w:rPr>
                <w:b/>
                <w:color w:val="000000"/>
                <w:sz w:val="24"/>
                <w:szCs w:val="24"/>
              </w:rPr>
            </w:pPr>
          </w:p>
        </w:tc>
      </w:tr>
      <w:tr w:rsidRPr="00C879B4" w:rsidR="00536947" w:rsidTr="00411D7C" w14:paraId="661BF1CD" w14:textId="77777777">
        <w:tblPrEx>
          <w:tblBorders>
            <w:top w:val="single" w:color="auto" w:sz="4" w:space="0"/>
            <w:left w:val="single" w:color="auto" w:sz="4" w:space="0"/>
            <w:bottom w:val="single" w:color="auto" w:sz="4" w:space="0"/>
            <w:right w:val="single" w:color="auto" w:sz="4" w:space="0"/>
            <w:insideV w:val="single" w:color="auto" w:sz="4" w:space="0"/>
          </w:tblBorders>
        </w:tblPrEx>
        <w:tc>
          <w:tcPr>
            <w:tcW w:w="9360" w:type="dxa"/>
            <w:tcBorders>
              <w:top w:val="nil"/>
              <w:left w:val="nil"/>
              <w:bottom w:val="nil"/>
              <w:right w:val="nil"/>
            </w:tcBorders>
            <w:shd w:val="clear" w:color="auto" w:fill="auto"/>
          </w:tcPr>
          <w:p w:rsidRPr="00C879B4" w:rsidR="00536947" w:rsidP="00411D7C" w:rsidRDefault="00536947" w14:paraId="0656B568" w14:textId="77777777">
            <w:pPr>
              <w:rPr>
                <w:b/>
                <w:color w:val="000000"/>
                <w:sz w:val="24"/>
                <w:szCs w:val="24"/>
              </w:rPr>
            </w:pPr>
            <w:r w:rsidRPr="00C879B4">
              <w:rPr>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536947" w:rsidP="00411D7C" w:rsidRDefault="00536947" w14:paraId="477A0DB4" w14:textId="77777777">
            <w:pPr>
              <w:rPr>
                <w:color w:val="000000"/>
                <w:sz w:val="24"/>
                <w:szCs w:val="24"/>
              </w:rPr>
            </w:pPr>
          </w:p>
          <w:p w:rsidRPr="00EE1C6B" w:rsidR="00536947" w:rsidP="00411D7C" w:rsidRDefault="00536947" w14:paraId="306C91B3" w14:textId="77777777">
            <w:pPr>
              <w:pStyle w:val="BodyTextIndent2"/>
              <w:keepLines w:val="0"/>
              <w:tabs>
                <w:tab w:val="clear" w:pos="-720"/>
                <w:tab w:val="right" w:pos="6808"/>
                <w:tab w:val="left" w:pos="1431"/>
              </w:tabs>
              <w:suppressAutoHyphens w:val="0"/>
              <w:ind w:left="0" w:firstLine="0"/>
              <w:rPr>
                <w:sz w:val="24"/>
                <w:szCs w:val="24"/>
              </w:rPr>
            </w:pPr>
            <w:r>
              <w:rPr>
                <w:sz w:val="24"/>
                <w:szCs w:val="24"/>
              </w:rPr>
              <w:t xml:space="preserve">The annualized cost estimates for the Federal Government are based on a $39.00 per hour cost </w:t>
            </w:r>
            <w:r w:rsidRPr="00EE1C6B">
              <w:rPr>
                <w:sz w:val="24"/>
                <w:szCs w:val="24"/>
              </w:rPr>
              <w:t>that is based on a GS-12 staff review.</w:t>
            </w:r>
          </w:p>
          <w:p w:rsidRPr="00EE1C6B" w:rsidR="00536947" w:rsidP="00411D7C" w:rsidRDefault="00536947" w14:paraId="501E5BAA" w14:textId="77777777">
            <w:pPr>
              <w:rPr>
                <w:sz w:val="24"/>
                <w:szCs w:val="24"/>
              </w:rPr>
            </w:pPr>
          </w:p>
          <w:p w:rsidR="00536947" w:rsidP="00411D7C" w:rsidRDefault="00536947" w14:paraId="37AF6838" w14:textId="465B2524">
            <w:pPr>
              <w:rPr>
                <w:sz w:val="24"/>
                <w:szCs w:val="24"/>
              </w:rPr>
            </w:pPr>
            <w:r w:rsidRPr="00EE1C6B">
              <w:rPr>
                <w:sz w:val="24"/>
                <w:szCs w:val="24"/>
              </w:rPr>
              <w:t>The cost to the Federal Government relates to the processing of all non-direct endorsement cases and the review of direct endorsement and lender insurance cases.  Current estimates show that 10% of the total annual burden of 689,995 hours (689,995 x .10 = 68,999) a cost of $2,690,961 (68,999 x $39.00).  The review of direct endorsement cases is estimated to be 10% of the non-direct endorsement cases or 6,899 hours (68,999 x .10 = 6,899 hours), for a cost of $269,061 ($6,899 x $39.00).  Total cost to the Federal Government is $2,690,961 + $269,061 = $2,960,022.  HUD does not review lender’s Informed Consumer Choice Notices</w:t>
            </w:r>
            <w:r w:rsidRPr="00316D78">
              <w:rPr>
                <w:sz w:val="24"/>
                <w:szCs w:val="24"/>
              </w:rPr>
              <w:t xml:space="preserve">.  </w:t>
            </w:r>
          </w:p>
          <w:p w:rsidR="00D957DA" w:rsidP="00411D7C" w:rsidRDefault="00D957DA" w14:paraId="31ACC353" w14:textId="4BCE1A8C">
            <w:pPr>
              <w:rPr>
                <w:sz w:val="24"/>
                <w:szCs w:val="24"/>
              </w:rPr>
            </w:pPr>
          </w:p>
          <w:p w:rsidRPr="00C879B4" w:rsidR="00536947" w:rsidP="00411D7C" w:rsidRDefault="00536947" w14:paraId="5F3DEF8E" w14:textId="77777777">
            <w:pPr>
              <w:rPr>
                <w:color w:val="000000"/>
                <w:sz w:val="24"/>
                <w:szCs w:val="24"/>
              </w:rPr>
            </w:pPr>
          </w:p>
        </w:tc>
      </w:tr>
      <w:tr w:rsidRPr="00C879B4" w:rsidR="00536947" w:rsidTr="00411D7C" w14:paraId="005670F5" w14:textId="77777777">
        <w:tc>
          <w:tcPr>
            <w:tcW w:w="9360" w:type="dxa"/>
            <w:shd w:val="clear" w:color="auto" w:fill="auto"/>
          </w:tcPr>
          <w:p w:rsidRPr="00C879B4" w:rsidR="00536947" w:rsidP="00411D7C" w:rsidRDefault="00536947" w14:paraId="59485A51" w14:textId="77777777">
            <w:pPr>
              <w:rPr>
                <w:b/>
                <w:color w:val="000000"/>
                <w:sz w:val="24"/>
                <w:szCs w:val="24"/>
              </w:rPr>
            </w:pPr>
            <w:r w:rsidRPr="00C879B4">
              <w:rPr>
                <w:b/>
                <w:color w:val="000000"/>
                <w:sz w:val="24"/>
                <w:szCs w:val="24"/>
              </w:rPr>
              <w:lastRenderedPageBreak/>
              <w:t xml:space="preserve">15. Explain the reasons for any program changes or adjustments reported in Items 13 or 14 of the OMB Form 83-I. </w:t>
            </w:r>
            <w:r>
              <w:rPr>
                <w:b/>
                <w:color w:val="000000"/>
                <w:sz w:val="24"/>
                <w:szCs w:val="24"/>
              </w:rPr>
              <w:t>All revisions or changes to the collection should be described here.</w:t>
            </w:r>
          </w:p>
          <w:p w:rsidR="00536947" w:rsidP="00411D7C" w:rsidRDefault="00536947" w14:paraId="47BDCC43" w14:textId="77777777">
            <w:pPr>
              <w:rPr>
                <w:color w:val="000000"/>
                <w:sz w:val="24"/>
                <w:szCs w:val="24"/>
              </w:rPr>
            </w:pPr>
          </w:p>
          <w:p w:rsidR="00676714" w:rsidP="00676714" w:rsidRDefault="00536947" w14:paraId="4551B683" w14:textId="77777777">
            <w:pPr>
              <w:kinsoku w:val="0"/>
              <w:autoSpaceDE/>
              <w:autoSpaceDN/>
              <w:adjustRightInd/>
              <w:spacing w:before="4" w:line="278" w:lineRule="exact"/>
              <w:ind w:left="936"/>
              <w:jc w:val="both"/>
              <w:rPr>
                <w:spacing w:val="3"/>
                <w:sz w:val="24"/>
              </w:rPr>
            </w:pPr>
            <w:r w:rsidRPr="00EE1C6B">
              <w:rPr>
                <w:sz w:val="24"/>
              </w:rPr>
              <w:t>This is a</w:t>
            </w:r>
            <w:r>
              <w:rPr>
                <w:sz w:val="24"/>
              </w:rPr>
              <w:t xml:space="preserve"> revision </w:t>
            </w:r>
            <w:r w:rsidRPr="00EE1C6B">
              <w:rPr>
                <w:sz w:val="24"/>
              </w:rPr>
              <w:t xml:space="preserve">of a currently approved collection; however, there is a change/adjustment due to an increase in FHA endorsement of mortgages.  </w:t>
            </w:r>
            <w:r w:rsidR="00676714">
              <w:rPr>
                <w:spacing w:val="3"/>
                <w:sz w:val="24"/>
              </w:rPr>
              <w:t>Form HUD-92900-A, Addendum to the URLA.</w:t>
            </w:r>
          </w:p>
          <w:p w:rsidR="00676714" w:rsidP="00676714" w:rsidRDefault="00676714" w14:paraId="6AD39A8D" w14:textId="77777777">
            <w:pPr>
              <w:widowControl w:val="0"/>
              <w:numPr>
                <w:ilvl w:val="0"/>
                <w:numId w:val="47"/>
              </w:numPr>
              <w:kinsoku w:val="0"/>
              <w:autoSpaceDE/>
              <w:autoSpaceDN/>
              <w:adjustRightInd/>
              <w:spacing w:before="6" w:line="274" w:lineRule="exact"/>
              <w:jc w:val="both"/>
              <w:rPr>
                <w:b/>
                <w:spacing w:val="6"/>
                <w:sz w:val="24"/>
              </w:rPr>
            </w:pPr>
            <w:r>
              <w:rPr>
                <w:b/>
                <w:spacing w:val="6"/>
                <w:sz w:val="24"/>
              </w:rPr>
              <w:t>Revised Form HUD-92900-A</w:t>
            </w:r>
          </w:p>
          <w:p w:rsidR="00676714" w:rsidP="00676714" w:rsidRDefault="00676714" w14:paraId="52DD00B1" w14:textId="77777777">
            <w:pPr>
              <w:widowControl w:val="0"/>
              <w:numPr>
                <w:ilvl w:val="0"/>
                <w:numId w:val="48"/>
              </w:numPr>
              <w:kinsoku w:val="0"/>
              <w:autoSpaceDE/>
              <w:autoSpaceDN/>
              <w:adjustRightInd/>
              <w:spacing w:before="11" w:line="276" w:lineRule="exact"/>
              <w:jc w:val="both"/>
              <w:rPr>
                <w:i/>
                <w:spacing w:val="2"/>
                <w:sz w:val="24"/>
              </w:rPr>
            </w:pPr>
            <w:r>
              <w:rPr>
                <w:i/>
                <w:spacing w:val="2"/>
                <w:sz w:val="24"/>
              </w:rPr>
              <w:t>Current/Existing Form HUD-92900-A (for background only)</w:t>
            </w:r>
          </w:p>
          <w:p w:rsidR="00676714" w:rsidP="00676714" w:rsidRDefault="00676714" w14:paraId="03706EAE" w14:textId="77777777">
            <w:pPr>
              <w:kinsoku w:val="0"/>
              <w:autoSpaceDE/>
              <w:autoSpaceDN/>
              <w:adjustRightInd/>
              <w:spacing w:line="275" w:lineRule="exact"/>
              <w:ind w:left="936"/>
              <w:jc w:val="both"/>
              <w:rPr>
                <w:spacing w:val="2"/>
                <w:sz w:val="24"/>
              </w:rPr>
            </w:pPr>
            <w:r>
              <w:rPr>
                <w:spacing w:val="2"/>
                <w:sz w:val="24"/>
              </w:rPr>
              <w:t xml:space="preserve"> Consolidated Industry Comments from 60-Day Notice.</w:t>
            </w:r>
          </w:p>
          <w:p w:rsidRPr="008135EE" w:rsidR="00676714" w:rsidP="00676714" w:rsidRDefault="00676714" w14:paraId="0B52BDAA" w14:textId="77777777">
            <w:pPr>
              <w:kinsoku w:val="0"/>
              <w:autoSpaceDE/>
              <w:autoSpaceDN/>
              <w:adjustRightInd/>
              <w:spacing w:before="282" w:line="275" w:lineRule="exact"/>
              <w:ind w:left="720" w:right="144"/>
              <w:jc w:val="both"/>
              <w:rPr>
                <w:sz w:val="24"/>
              </w:rPr>
            </w:pPr>
            <w:r w:rsidRPr="008135EE">
              <w:rPr>
                <w:sz w:val="24"/>
              </w:rPr>
              <w:t xml:space="preserve">The Addendum to the URLA was updated to revise loan level certifications to reflect regulations and other legal requirements; ensure accuracy of information provided to FHA; reduce uncertainty in the industry; maintain the ability to enforce </w:t>
            </w:r>
            <w:r w:rsidRPr="008135EE">
              <w:rPr>
                <w:b/>
                <w:sz w:val="24"/>
              </w:rPr>
              <w:t xml:space="preserve">FHA </w:t>
            </w:r>
            <w:r w:rsidRPr="008135EE">
              <w:rPr>
                <w:sz w:val="24"/>
              </w:rPr>
              <w:t>program requirements; and remove VA requirements and certifications from the form.</w:t>
            </w:r>
          </w:p>
          <w:p w:rsidRPr="008135EE" w:rsidR="00676714" w:rsidP="00676714" w:rsidRDefault="00676714" w14:paraId="0042DBEF" w14:textId="77777777">
            <w:pPr>
              <w:kinsoku w:val="0"/>
              <w:autoSpaceDE/>
              <w:autoSpaceDN/>
              <w:adjustRightInd/>
              <w:spacing w:before="284" w:line="275" w:lineRule="exact"/>
              <w:ind w:left="720" w:right="72"/>
              <w:jc w:val="both"/>
              <w:rPr>
                <w:sz w:val="24"/>
              </w:rPr>
            </w:pPr>
            <w:r w:rsidRPr="008135EE">
              <w:rPr>
                <w:sz w:val="24"/>
              </w:rPr>
              <w:t>This revision to the Information Collection allows HUD to replace the existing Form HUD-92900-A, Addendum to the URLA with an updated form.</w:t>
            </w:r>
          </w:p>
          <w:p w:rsidRPr="00EE1C6B" w:rsidR="00536947" w:rsidP="00411D7C" w:rsidRDefault="00536947" w14:paraId="57520353" w14:textId="1FFC03A4">
            <w:pPr>
              <w:rPr>
                <w:sz w:val="24"/>
              </w:rPr>
            </w:pPr>
          </w:p>
        </w:tc>
      </w:tr>
      <w:tr w:rsidRPr="00C879B4" w:rsidR="00536947" w:rsidTr="00411D7C" w14:paraId="735A5503" w14:textId="77777777">
        <w:tc>
          <w:tcPr>
            <w:tcW w:w="9360" w:type="dxa"/>
            <w:shd w:val="clear" w:color="auto" w:fill="auto"/>
          </w:tcPr>
          <w:p w:rsidRPr="00C879B4" w:rsidR="00536947" w:rsidP="00411D7C" w:rsidRDefault="00536947" w14:paraId="0F380667" w14:textId="77777777">
            <w:pPr>
              <w:rPr>
                <w:b/>
                <w:color w:val="000000"/>
                <w:sz w:val="24"/>
                <w:szCs w:val="24"/>
              </w:rPr>
            </w:pPr>
          </w:p>
        </w:tc>
      </w:tr>
      <w:tr w:rsidRPr="00C879B4" w:rsidR="00536947" w:rsidTr="00411D7C" w14:paraId="5D867BCD" w14:textId="77777777">
        <w:tc>
          <w:tcPr>
            <w:tcW w:w="9360" w:type="dxa"/>
            <w:shd w:val="clear" w:color="auto" w:fill="auto"/>
          </w:tcPr>
          <w:p w:rsidRPr="00C879B4" w:rsidR="00536947" w:rsidP="00411D7C" w:rsidRDefault="00536947" w14:paraId="6B7C5A1E" w14:textId="77777777">
            <w:pPr>
              <w:rPr>
                <w:b/>
                <w:color w:val="000000"/>
                <w:sz w:val="24"/>
                <w:szCs w:val="24"/>
              </w:rPr>
            </w:pPr>
            <w:r w:rsidRPr="00C879B4">
              <w:rPr>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C879B4" w:rsidR="00536947" w:rsidP="00411D7C" w:rsidRDefault="00536947" w14:paraId="1C9A10E2" w14:textId="77777777">
            <w:pPr>
              <w:rPr>
                <w:b/>
                <w:color w:val="000000"/>
                <w:sz w:val="24"/>
                <w:szCs w:val="24"/>
              </w:rPr>
            </w:pPr>
          </w:p>
        </w:tc>
      </w:tr>
      <w:tr w:rsidRPr="00C879B4" w:rsidR="00536947" w:rsidTr="00411D7C" w14:paraId="701233CE" w14:textId="77777777">
        <w:tc>
          <w:tcPr>
            <w:tcW w:w="9360" w:type="dxa"/>
            <w:shd w:val="clear" w:color="auto" w:fill="auto"/>
          </w:tcPr>
          <w:p w:rsidRPr="00EE1C6B" w:rsidR="00536947" w:rsidP="00411D7C" w:rsidRDefault="00536947" w14:paraId="0B484F2D" w14:textId="77777777">
            <w:pPr>
              <w:rPr>
                <w:b/>
                <w:color w:val="000000"/>
                <w:sz w:val="24"/>
                <w:szCs w:val="24"/>
              </w:rPr>
            </w:pPr>
            <w:r w:rsidRPr="00EE1C6B">
              <w:rPr>
                <w:sz w:val="24"/>
                <w:szCs w:val="24"/>
              </w:rPr>
              <w:t>This information collection does not include results that will be published</w:t>
            </w:r>
            <w:r>
              <w:rPr>
                <w:sz w:val="24"/>
                <w:szCs w:val="24"/>
              </w:rPr>
              <w:t>.</w:t>
            </w:r>
          </w:p>
        </w:tc>
      </w:tr>
    </w:tbl>
    <w:p w:rsidRPr="00C879B4" w:rsidR="00536947" w:rsidP="00536947" w:rsidRDefault="00536947" w14:paraId="055A6A77" w14:textId="77777777">
      <w:pPr>
        <w:rPr>
          <w:b/>
          <w:color w:val="000000"/>
          <w:sz w:val="24"/>
          <w:szCs w:val="24"/>
        </w:rPr>
      </w:pPr>
    </w:p>
    <w:tbl>
      <w:tblPr>
        <w:tblW w:w="0" w:type="auto"/>
        <w:tblInd w:w="108" w:type="dxa"/>
        <w:tblLook w:val="04A0" w:firstRow="1" w:lastRow="0" w:firstColumn="1" w:lastColumn="0" w:noHBand="0" w:noVBand="1"/>
      </w:tblPr>
      <w:tblGrid>
        <w:gridCol w:w="9360"/>
      </w:tblGrid>
      <w:tr w:rsidRPr="00C879B4" w:rsidR="00536947" w:rsidTr="00411D7C" w14:paraId="420A59B1" w14:textId="77777777">
        <w:tc>
          <w:tcPr>
            <w:tcW w:w="9360" w:type="dxa"/>
            <w:shd w:val="clear" w:color="auto" w:fill="auto"/>
          </w:tcPr>
          <w:p w:rsidRPr="00C879B4" w:rsidR="00536947" w:rsidP="00411D7C" w:rsidRDefault="00536947" w14:paraId="78B2F7D2" w14:textId="77777777">
            <w:pPr>
              <w:rPr>
                <w:b/>
                <w:color w:val="000000"/>
                <w:sz w:val="24"/>
                <w:szCs w:val="24"/>
              </w:rPr>
            </w:pPr>
            <w:r w:rsidRPr="00C879B4">
              <w:rPr>
                <w:b/>
                <w:color w:val="000000"/>
                <w:sz w:val="24"/>
                <w:szCs w:val="24"/>
              </w:rPr>
              <w:t xml:space="preserve">17. If seeking approval to not display the expiration date for OMB approval of the information collection, explain the reasons that display would be inappropriate. </w:t>
            </w:r>
          </w:p>
          <w:p w:rsidRPr="00C879B4" w:rsidR="00536947" w:rsidP="00411D7C" w:rsidRDefault="00536947" w14:paraId="04DA3405" w14:textId="77777777">
            <w:pPr>
              <w:rPr>
                <w:color w:val="000000"/>
                <w:sz w:val="24"/>
                <w:szCs w:val="24"/>
              </w:rPr>
            </w:pPr>
          </w:p>
        </w:tc>
      </w:tr>
      <w:tr w:rsidRPr="00C879B4" w:rsidR="00536947" w:rsidTr="00411D7C" w14:paraId="3327B243" w14:textId="77777777">
        <w:tc>
          <w:tcPr>
            <w:tcW w:w="9360" w:type="dxa"/>
            <w:shd w:val="clear" w:color="auto" w:fill="auto"/>
          </w:tcPr>
          <w:p w:rsidRPr="00EE1C6B" w:rsidR="00536947" w:rsidP="00411D7C" w:rsidRDefault="00536947" w14:paraId="221FA5C8" w14:textId="77777777">
            <w:pPr>
              <w:rPr>
                <w:color w:val="000000"/>
                <w:sz w:val="24"/>
                <w:szCs w:val="24"/>
              </w:rPr>
            </w:pPr>
            <w:r w:rsidRPr="00EE1C6B">
              <w:rPr>
                <w:sz w:val="24"/>
                <w:szCs w:val="24"/>
              </w:rPr>
              <w:t>We are not seeking approval to avoid displaying the expiration date of the OMB approval.</w:t>
            </w:r>
          </w:p>
        </w:tc>
      </w:tr>
    </w:tbl>
    <w:p w:rsidRPr="00C879B4" w:rsidR="00536947" w:rsidP="00536947" w:rsidRDefault="00536947" w14:paraId="14EE8E8E" w14:textId="77777777">
      <w:pPr>
        <w:rPr>
          <w:color w:val="000000"/>
          <w:sz w:val="24"/>
          <w:szCs w:val="24"/>
        </w:rPr>
      </w:pPr>
    </w:p>
    <w:tbl>
      <w:tblPr>
        <w:tblW w:w="0" w:type="auto"/>
        <w:tblInd w:w="108" w:type="dxa"/>
        <w:tblLook w:val="04A0" w:firstRow="1" w:lastRow="0" w:firstColumn="1" w:lastColumn="0" w:noHBand="0" w:noVBand="1"/>
      </w:tblPr>
      <w:tblGrid>
        <w:gridCol w:w="9360"/>
      </w:tblGrid>
      <w:tr w:rsidRPr="00C879B4" w:rsidR="00536947" w:rsidTr="00411D7C" w14:paraId="002F191A" w14:textId="77777777">
        <w:tc>
          <w:tcPr>
            <w:tcW w:w="9360" w:type="dxa"/>
            <w:shd w:val="clear" w:color="auto" w:fill="auto"/>
          </w:tcPr>
          <w:p w:rsidR="00536947" w:rsidP="00411D7C" w:rsidRDefault="00536947" w14:paraId="1EDFABBD" w14:textId="77777777">
            <w:pPr>
              <w:rPr>
                <w:b/>
                <w:color w:val="000000"/>
                <w:sz w:val="24"/>
                <w:szCs w:val="24"/>
              </w:rPr>
            </w:pPr>
            <w:r w:rsidRPr="00C879B4">
              <w:rPr>
                <w:b/>
                <w:color w:val="000000"/>
                <w:sz w:val="24"/>
                <w:szCs w:val="24"/>
              </w:rPr>
              <w:t xml:space="preserve">18. Explain each exception to the certification statement identified in Item 19, "Certification for Paperwork Reduction Act Submissions," of OMB Form 83-I. </w:t>
            </w:r>
          </w:p>
          <w:p w:rsidR="00536947" w:rsidP="00411D7C" w:rsidRDefault="00536947" w14:paraId="05CC3673" w14:textId="77777777">
            <w:pPr>
              <w:rPr>
                <w:b/>
                <w:color w:val="000000"/>
                <w:sz w:val="24"/>
                <w:szCs w:val="24"/>
              </w:rPr>
            </w:pPr>
          </w:p>
          <w:p w:rsidRPr="00C879B4" w:rsidR="00536947" w:rsidP="00411D7C" w:rsidRDefault="00536947" w14:paraId="06518384" w14:textId="77777777">
            <w:pPr>
              <w:rPr>
                <w:b/>
                <w:color w:val="000000"/>
                <w:sz w:val="24"/>
                <w:szCs w:val="24"/>
              </w:rPr>
            </w:pPr>
            <w:r w:rsidRPr="008E2964">
              <w:rPr>
                <w:sz w:val="24"/>
                <w:szCs w:val="24"/>
              </w:rPr>
              <w:t>HUD does not request an exception to the certification of this information collection</w:t>
            </w:r>
            <w:r>
              <w:rPr>
                <w:sz w:val="24"/>
                <w:szCs w:val="24"/>
              </w:rPr>
              <w:t>.</w:t>
            </w:r>
          </w:p>
        </w:tc>
      </w:tr>
      <w:tr w:rsidRPr="00C879B4" w:rsidR="00536947" w:rsidTr="00411D7C" w14:paraId="77F20B82" w14:textId="77777777">
        <w:tc>
          <w:tcPr>
            <w:tcW w:w="9360" w:type="dxa"/>
            <w:shd w:val="clear" w:color="auto" w:fill="auto"/>
          </w:tcPr>
          <w:p w:rsidRPr="00C879B4" w:rsidR="00536947" w:rsidP="00411D7C" w:rsidRDefault="00536947" w14:paraId="29E2AC20" w14:textId="77777777">
            <w:pPr>
              <w:rPr>
                <w:b/>
                <w:color w:val="000000"/>
                <w:sz w:val="24"/>
                <w:szCs w:val="24"/>
              </w:rPr>
            </w:pPr>
          </w:p>
        </w:tc>
      </w:tr>
    </w:tbl>
    <w:p w:rsidR="00536947" w:rsidP="00536947" w:rsidRDefault="00536947" w14:paraId="1BB0782F"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Pr>
          <w:b/>
          <w:sz w:val="24"/>
          <w:szCs w:val="24"/>
        </w:rPr>
        <w:t>B.  Collections of Information Employing Statistical Methods</w:t>
      </w:r>
    </w:p>
    <w:p w:rsidR="00C30EC7" w:rsidP="00536947" w:rsidRDefault="00536947" w14:paraId="2D6C8C21" w14:textId="77777777">
      <w:pPr>
        <w:tabs>
          <w:tab w:val="left" w:pos="720"/>
        </w:tabs>
        <w:rPr>
          <w:sz w:val="24"/>
          <w:szCs w:val="24"/>
        </w:rPr>
      </w:pPr>
      <w:r>
        <w:rPr>
          <w:sz w:val="24"/>
          <w:szCs w:val="24"/>
        </w:rPr>
        <w:t xml:space="preserve">  </w:t>
      </w:r>
    </w:p>
    <w:p w:rsidRPr="007E351E" w:rsidR="00536947" w:rsidP="00536947" w:rsidRDefault="00C30EC7" w14:paraId="5BFF6396" w14:textId="108E509D">
      <w:pPr>
        <w:tabs>
          <w:tab w:val="left" w:pos="720"/>
        </w:tabs>
        <w:rPr>
          <w:sz w:val="24"/>
          <w:szCs w:val="24"/>
        </w:rPr>
      </w:pPr>
      <w:r>
        <w:rPr>
          <w:sz w:val="24"/>
          <w:szCs w:val="24"/>
        </w:rPr>
        <w:t xml:space="preserve">   </w:t>
      </w:r>
      <w:r w:rsidRPr="007E351E" w:rsidR="00536947">
        <w:rPr>
          <w:sz w:val="24"/>
          <w:szCs w:val="24"/>
        </w:rPr>
        <w:t>There is no statistical methodology involved in this collection.</w:t>
      </w:r>
    </w:p>
    <w:p w:rsidR="00536947" w:rsidP="00536947" w:rsidRDefault="00536947" w14:paraId="6F9C5A64" w14:textId="77777777">
      <w:pPr>
        <w:tabs>
          <w:tab w:val="right" w:pos="9106"/>
        </w:tabs>
        <w:rPr>
          <w:b/>
          <w:sz w:val="18"/>
          <w:szCs w:val="18"/>
        </w:rPr>
      </w:pPr>
    </w:p>
    <w:p w:rsidR="00536947" w:rsidP="00536947" w:rsidRDefault="00536947" w14:paraId="5C44938E" w14:textId="77777777">
      <w:pPr>
        <w:tabs>
          <w:tab w:val="left" w:pos="240"/>
        </w:tabs>
        <w:rPr>
          <w:rFonts w:ascii="Helvetica" w:hAnsi="Helvetica"/>
          <w:sz w:val="24"/>
          <w:szCs w:val="18"/>
        </w:rPr>
      </w:pPr>
    </w:p>
    <w:p w:rsidRPr="00C879B4" w:rsidR="00536947" w:rsidP="00536947" w:rsidRDefault="00536947" w14:paraId="4DDD97B6" w14:textId="77777777">
      <w:pPr>
        <w:rPr>
          <w:color w:val="000000"/>
          <w:sz w:val="24"/>
          <w:szCs w:val="24"/>
        </w:rPr>
      </w:pPr>
    </w:p>
    <w:p w:rsidR="009D136D" w:rsidP="009D136D" w:rsidRDefault="009D136D" w14:paraId="068036C3" w14:textId="64A25864">
      <w:pPr>
        <w:tabs>
          <w:tab w:val="left" w:pos="720"/>
        </w:tabs>
        <w:rPr>
          <w:sz w:val="24"/>
          <w:szCs w:val="24"/>
        </w:rPr>
      </w:pPr>
    </w:p>
    <w:p w:rsidR="009D136D" w:rsidP="009D136D" w:rsidRDefault="009D136D" w14:paraId="068036C4" w14:textId="77777777">
      <w:pPr>
        <w:tabs>
          <w:tab w:val="right" w:pos="9106"/>
        </w:tabs>
        <w:rPr>
          <w:b/>
          <w:sz w:val="18"/>
          <w:szCs w:val="18"/>
        </w:rPr>
      </w:pPr>
    </w:p>
    <w:p w:rsidR="00072E0D" w:rsidP="00072E0D" w:rsidRDefault="00072E0D" w14:paraId="068036C5" w14:textId="77777777">
      <w:pPr>
        <w:tabs>
          <w:tab w:val="left" w:pos="240"/>
        </w:tabs>
        <w:rPr>
          <w:rFonts w:ascii="Helvetica" w:hAnsi="Helvetica"/>
          <w:sz w:val="24"/>
          <w:szCs w:val="18"/>
        </w:rPr>
      </w:pPr>
    </w:p>
    <w:p w:rsidR="00072E0D" w:rsidP="00072E0D" w:rsidRDefault="00072E0D" w14:paraId="068036C6" w14:textId="77777777">
      <w:pPr>
        <w:tabs>
          <w:tab w:val="right" w:pos="9106"/>
        </w:tabs>
        <w:rPr>
          <w:color w:val="000000"/>
          <w:sz w:val="24"/>
          <w:szCs w:val="24"/>
        </w:rPr>
      </w:pPr>
    </w:p>
    <w:p w:rsidR="00072E0D" w:rsidP="00072E0D" w:rsidRDefault="00072E0D" w14:paraId="068036C7" w14:textId="77777777">
      <w:pPr>
        <w:tabs>
          <w:tab w:val="right" w:pos="9106"/>
        </w:tabs>
        <w:rPr>
          <w:color w:val="000000"/>
          <w:sz w:val="24"/>
          <w:szCs w:val="24"/>
        </w:rPr>
      </w:pPr>
    </w:p>
    <w:p w:rsidR="00072E0D" w:rsidP="00072E0D" w:rsidRDefault="00072E0D" w14:paraId="068036C8" w14:textId="77777777">
      <w:pPr>
        <w:tabs>
          <w:tab w:val="right" w:pos="9106"/>
        </w:tabs>
        <w:rPr>
          <w:b/>
          <w:sz w:val="18"/>
          <w:szCs w:val="18"/>
        </w:rPr>
      </w:pPr>
      <w:r>
        <w:rPr>
          <w:color w:val="000000"/>
          <w:sz w:val="24"/>
          <w:szCs w:val="24"/>
        </w:rPr>
        <w:t xml:space="preserve">      </w:t>
      </w:r>
    </w:p>
    <w:sectPr w:rsidR="00072E0D" w:rsidSect="00246881">
      <w:footerReference w:type="default" r:id="rId12"/>
      <w:footerReference w:type="first" r:id="rId13"/>
      <w:pgSz w:w="12240" w:h="15840"/>
      <w:pgMar w:top="480" w:right="720" w:bottom="480" w:left="600" w:header="480" w:footer="480" w:gutter="0"/>
      <w:cols w:equalWidth="0" w:space="48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79112" w14:textId="77777777" w:rsidR="006D4DFF" w:rsidRDefault="006D4DFF">
      <w:r>
        <w:separator/>
      </w:r>
    </w:p>
  </w:endnote>
  <w:endnote w:type="continuationSeparator" w:id="0">
    <w:p w14:paraId="42CBA0FB" w14:textId="77777777" w:rsidR="006D4DFF" w:rsidRDefault="006D4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036E2" w14:textId="3DCA0C6F" w:rsidR="00D43419" w:rsidRDefault="00D43419">
    <w:pPr>
      <w:pStyle w:val="Footer"/>
      <w:framePr w:wrap="around" w:vAnchor="text" w:hAnchor="margin" w:xAlign="center" w:y="1"/>
      <w:rPr>
        <w:rStyle w:val="PageNumber"/>
        <w:sz w:val="15"/>
        <w:szCs w:val="15"/>
      </w:rPr>
    </w:pPr>
    <w:r>
      <w:rPr>
        <w:rStyle w:val="PageNumber"/>
        <w:sz w:val="15"/>
        <w:szCs w:val="15"/>
      </w:rPr>
      <w:fldChar w:fldCharType="begin"/>
    </w:r>
    <w:r>
      <w:rPr>
        <w:rStyle w:val="PageNumber"/>
        <w:sz w:val="15"/>
        <w:szCs w:val="15"/>
      </w:rPr>
      <w:instrText xml:space="preserve">PAGE  </w:instrText>
    </w:r>
    <w:r>
      <w:rPr>
        <w:rStyle w:val="PageNumber"/>
        <w:sz w:val="15"/>
        <w:szCs w:val="15"/>
      </w:rPr>
      <w:fldChar w:fldCharType="separate"/>
    </w:r>
    <w:r>
      <w:rPr>
        <w:rStyle w:val="PageNumber"/>
        <w:noProof/>
        <w:sz w:val="15"/>
        <w:szCs w:val="15"/>
      </w:rPr>
      <w:t>4</w:t>
    </w:r>
    <w:r>
      <w:rPr>
        <w:rStyle w:val="PageNumber"/>
        <w:sz w:val="15"/>
        <w:szCs w:val="15"/>
      </w:rPr>
      <w:fldChar w:fldCharType="end"/>
    </w:r>
  </w:p>
  <w:p w14:paraId="068036E3" w14:textId="77777777" w:rsidR="00D43419" w:rsidRDefault="00D43419">
    <w:pPr>
      <w:pStyle w:val="Footer"/>
      <w:tabs>
        <w:tab w:val="clear" w:pos="4320"/>
        <w:tab w:val="clear" w:pos="8640"/>
        <w:tab w:val="right" w:pos="10920"/>
      </w:tabs>
      <w:spacing w:line="120" w:lineRule="exact"/>
      <w:ind w:left="-120" w:right="-120"/>
      <w:rPr>
        <w:rFonts w:ascii="Helvetica" w:hAnsi="Helvetica"/>
        <w:b/>
        <w:sz w:val="14"/>
        <w:szCs w:val="14"/>
      </w:rPr>
    </w:pPr>
  </w:p>
  <w:p w14:paraId="068036E4" w14:textId="77777777" w:rsidR="00D43419" w:rsidRDefault="00D43419">
    <w:pPr>
      <w:pStyle w:val="Footer"/>
      <w:tabs>
        <w:tab w:val="clear" w:pos="4320"/>
        <w:tab w:val="clear" w:pos="8640"/>
        <w:tab w:val="right" w:pos="10920"/>
      </w:tabs>
      <w:ind w:left="-120" w:right="-120"/>
      <w:rPr>
        <w:sz w:val="15"/>
        <w:szCs w:val="15"/>
      </w:rPr>
    </w:pPr>
    <w:r>
      <w:rPr>
        <w:rFonts w:ascii="Helvetica" w:hAnsi="Helvetica"/>
        <w:b/>
        <w:sz w:val="14"/>
        <w:szCs w:val="14"/>
      </w:rPr>
      <w:t>OMB 83-I</w:t>
    </w:r>
    <w:r>
      <w:rPr>
        <w:rFonts w:ascii="Helvetica" w:hAnsi="Helvetica"/>
        <w:b/>
        <w:sz w:val="14"/>
        <w:szCs w:val="14"/>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036E5" w14:textId="77777777" w:rsidR="00D43419" w:rsidRDefault="00D43419">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1D287E" w14:textId="77777777" w:rsidR="006D4DFF" w:rsidRDefault="006D4DFF">
      <w:r>
        <w:separator/>
      </w:r>
    </w:p>
  </w:footnote>
  <w:footnote w:type="continuationSeparator" w:id="0">
    <w:p w14:paraId="5C5D3BCB" w14:textId="77777777" w:rsidR="006D4DFF" w:rsidRDefault="006D4D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AC47B"/>
    <w:multiLevelType w:val="singleLevel"/>
    <w:tmpl w:val="0313B66E"/>
    <w:lvl w:ilvl="0">
      <w:start w:val="1"/>
      <w:numFmt w:val="lowerLetter"/>
      <w:lvlText w:val="%1."/>
      <w:lvlJc w:val="left"/>
      <w:pPr>
        <w:tabs>
          <w:tab w:val="num" w:pos="2016"/>
        </w:tabs>
        <w:ind w:left="2016" w:hanging="360"/>
      </w:pPr>
      <w:rPr>
        <w:b/>
        <w:snapToGrid/>
        <w:spacing w:val="6"/>
        <w:sz w:val="24"/>
      </w:rPr>
    </w:lvl>
  </w:abstractNum>
  <w:abstractNum w:abstractNumId="1" w15:restartNumberingAfterBreak="0">
    <w:nsid w:val="06A92530"/>
    <w:multiLevelType w:val="singleLevel"/>
    <w:tmpl w:val="D3A6376C"/>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 w15:restartNumberingAfterBreak="0">
    <w:nsid w:val="074641A1"/>
    <w:multiLevelType w:val="multilevel"/>
    <w:tmpl w:val="7D9C4936"/>
    <w:lvl w:ilvl="0">
      <w:start w:val="1"/>
      <w:numFmt w:val="upperLetter"/>
      <w:lvlText w:val="%1."/>
      <w:lvlJc w:val="left"/>
      <w:pPr>
        <w:tabs>
          <w:tab w:val="num" w:pos="360"/>
        </w:tabs>
        <w:ind w:left="0" w:firstLine="0"/>
      </w:pPr>
      <w:rPr>
        <w:rFonts w:ascii="Times New Roman" w:hAnsi="Times New Roman" w:hint="default"/>
        <w:b/>
        <w:i w:val="0"/>
        <w:sz w:val="24"/>
      </w:rPr>
    </w:lvl>
    <w:lvl w:ilvl="1">
      <w:start w:val="1"/>
      <w:numFmt w:val="decimal"/>
      <w:lvlText w:val="%2."/>
      <w:lvlJc w:val="left"/>
      <w:pPr>
        <w:tabs>
          <w:tab w:val="num" w:pos="360"/>
        </w:tabs>
        <w:ind w:left="0" w:firstLine="0"/>
      </w:pPr>
      <w:rPr>
        <w:rFonts w:ascii="Times New Roman" w:hAnsi="Times New Roman"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950010D"/>
    <w:multiLevelType w:val="multilevel"/>
    <w:tmpl w:val="E47C131A"/>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6D17CE"/>
    <w:multiLevelType w:val="multilevel"/>
    <w:tmpl w:val="E5EAFF48"/>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6" w15:restartNumberingAfterBreak="0">
    <w:nsid w:val="11103E5E"/>
    <w:multiLevelType w:val="multilevel"/>
    <w:tmpl w:val="32289A00"/>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7"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8" w15:restartNumberingAfterBreak="0">
    <w:nsid w:val="14500215"/>
    <w:multiLevelType w:val="hybridMultilevel"/>
    <w:tmpl w:val="FE4A21D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EF54E64"/>
    <w:multiLevelType w:val="hybridMultilevel"/>
    <w:tmpl w:val="C9263BD0"/>
    <w:lvl w:ilvl="0" w:tplc="32EAA708">
      <w:numFmt w:val="bullet"/>
      <w:lvlText w:val=""/>
      <w:lvlJc w:val="left"/>
      <w:pPr>
        <w:tabs>
          <w:tab w:val="num" w:pos="1440"/>
        </w:tabs>
        <w:ind w:left="1440" w:hanging="720"/>
      </w:pPr>
      <w:rPr>
        <w:rFonts w:ascii="Symbol" w:eastAsia="Times New Roman" w:hAnsi="Symbol"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2501D8F"/>
    <w:multiLevelType w:val="singleLevel"/>
    <w:tmpl w:val="BA1E88FA"/>
    <w:lvl w:ilvl="0">
      <w:start w:val="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1" w15:restartNumberingAfterBreak="0">
    <w:nsid w:val="23EC528A"/>
    <w:multiLevelType w:val="singleLevel"/>
    <w:tmpl w:val="BEEE4026"/>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2" w15:restartNumberingAfterBreak="0">
    <w:nsid w:val="25544681"/>
    <w:multiLevelType w:val="singleLevel"/>
    <w:tmpl w:val="0F5A5210"/>
    <w:lvl w:ilvl="0">
      <w:start w:val="1"/>
      <w:numFmt w:val="lowerLetter"/>
      <w:lvlText w:val="%1. "/>
      <w:legacy w:legacy="1" w:legacySpace="0" w:legacyIndent="360"/>
      <w:lvlJc w:val="left"/>
      <w:pPr>
        <w:ind w:left="492" w:hanging="360"/>
      </w:pPr>
      <w:rPr>
        <w:rFonts w:ascii="Helvetica" w:hAnsi="Helvetica" w:hint="default"/>
        <w:b w:val="0"/>
        <w:i w:val="0"/>
        <w:sz w:val="16"/>
        <w:u w:val="none"/>
      </w:rPr>
    </w:lvl>
  </w:abstractNum>
  <w:abstractNum w:abstractNumId="13" w15:restartNumberingAfterBreak="0">
    <w:nsid w:val="271228D3"/>
    <w:multiLevelType w:val="multilevel"/>
    <w:tmpl w:val="2FCE5544"/>
    <w:lvl w:ilvl="0">
      <w:start w:val="1"/>
      <w:numFmt w:val="decimal"/>
      <w:lvlText w:val="%1."/>
      <w:lvlJc w:val="left"/>
      <w:pPr>
        <w:tabs>
          <w:tab w:val="num" w:pos="720"/>
        </w:tabs>
        <w:ind w:left="720" w:hanging="360"/>
      </w:pPr>
      <w:rPr>
        <w:rFonts w:ascii="Times New Roman" w:hAnsi="Times New Roman" w:hint="default"/>
        <w:b w:val="0"/>
        <w:i w:val="0"/>
        <w:sz w:val="24"/>
        <w:szCs w:val="24"/>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2B977B32"/>
    <w:multiLevelType w:val="multilevel"/>
    <w:tmpl w:val="F96EA770"/>
    <w:lvl w:ilvl="0">
      <w:start w:val="1"/>
      <w:numFmt w:val="upperLetter"/>
      <w:lvlText w:val="%1."/>
      <w:lvlJc w:val="left"/>
      <w:pPr>
        <w:tabs>
          <w:tab w:val="num" w:pos="360"/>
        </w:tabs>
        <w:ind w:left="0" w:firstLine="0"/>
      </w:pPr>
      <w:rPr>
        <w:rFonts w:ascii="Times New Roman" w:hAnsi="Times New Roman" w:hint="default"/>
        <w:b/>
        <w:i w:val="0"/>
        <w:sz w:val="24"/>
      </w:rPr>
    </w:lvl>
    <w:lvl w:ilvl="1">
      <w:start w:val="1"/>
      <w:numFmt w:val="decimal"/>
      <w:lvlText w:val="%2."/>
      <w:lvlJc w:val="left"/>
      <w:pPr>
        <w:tabs>
          <w:tab w:val="num" w:pos="720"/>
        </w:tabs>
        <w:ind w:left="720" w:hanging="720"/>
      </w:pPr>
      <w:rPr>
        <w:rFonts w:ascii="Times New Roman" w:hAnsi="Times New Roman" w:hint="default"/>
        <w:b w:val="0"/>
        <w:i w:val="0"/>
        <w:sz w:val="24"/>
      </w:rPr>
    </w:lvl>
    <w:lvl w:ilvl="2">
      <w:start w:val="1"/>
      <w:numFmt w:val="lowerLetter"/>
      <w:lvlText w:val="%3."/>
      <w:lvlJc w:val="left"/>
      <w:pPr>
        <w:tabs>
          <w:tab w:val="num" w:pos="1440"/>
        </w:tabs>
        <w:ind w:left="1440" w:hanging="72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CB004FA"/>
    <w:multiLevelType w:val="multilevel"/>
    <w:tmpl w:val="E47C131A"/>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EB50C32"/>
    <w:multiLevelType w:val="hybridMultilevel"/>
    <w:tmpl w:val="5E1E0FD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F95E2A"/>
    <w:multiLevelType w:val="multilevel"/>
    <w:tmpl w:val="E5EAFF48"/>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7114E41"/>
    <w:multiLevelType w:val="singleLevel"/>
    <w:tmpl w:val="CDC8EF6C"/>
    <w:lvl w:ilvl="0">
      <w:start w:val="1"/>
      <w:numFmt w:val="lowerLetter"/>
      <w:lvlText w:val="%1. "/>
      <w:lvlJc w:val="left"/>
      <w:pPr>
        <w:tabs>
          <w:tab w:val="num" w:pos="1080"/>
        </w:tabs>
        <w:ind w:left="1080" w:hanging="360"/>
      </w:pPr>
      <w:rPr>
        <w:rFonts w:ascii="Times New Roman" w:hAnsi="Times New Roman" w:hint="default"/>
        <w:b w:val="0"/>
        <w:i w:val="0"/>
        <w:sz w:val="24"/>
        <w:u w:val="none"/>
      </w:rPr>
    </w:lvl>
  </w:abstractNum>
  <w:abstractNum w:abstractNumId="19" w15:restartNumberingAfterBreak="0">
    <w:nsid w:val="38501C93"/>
    <w:multiLevelType w:val="hybridMultilevel"/>
    <w:tmpl w:val="C27A6AA4"/>
    <w:lvl w:ilvl="0" w:tplc="0409000F">
      <w:start w:val="1"/>
      <w:numFmt w:val="decimal"/>
      <w:lvlText w:val="%1."/>
      <w:lvlJc w:val="left"/>
      <w:pPr>
        <w:tabs>
          <w:tab w:val="num" w:pos="1065"/>
        </w:tabs>
        <w:ind w:left="1065" w:hanging="360"/>
      </w:p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0" w15:restartNumberingAfterBreak="0">
    <w:nsid w:val="41B045A9"/>
    <w:multiLevelType w:val="singleLevel"/>
    <w:tmpl w:val="5C9C22CA"/>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1" w15:restartNumberingAfterBreak="0">
    <w:nsid w:val="45DC435C"/>
    <w:multiLevelType w:val="multilevel"/>
    <w:tmpl w:val="E5EAFF48"/>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64E643E"/>
    <w:multiLevelType w:val="hybridMultilevel"/>
    <w:tmpl w:val="2FCE5544"/>
    <w:lvl w:ilvl="0" w:tplc="3C7A825C">
      <w:start w:val="1"/>
      <w:numFmt w:val="decimal"/>
      <w:lvlText w:val="%1."/>
      <w:lvlJc w:val="left"/>
      <w:pPr>
        <w:tabs>
          <w:tab w:val="num" w:pos="720"/>
        </w:tabs>
        <w:ind w:left="720" w:hanging="360"/>
      </w:pPr>
      <w:rPr>
        <w:rFonts w:ascii="Times New Roman" w:hAnsi="Times New Roman" w:hint="default"/>
        <w:b w:val="0"/>
        <w:i w:val="0"/>
        <w:sz w:val="24"/>
        <w:szCs w:val="24"/>
      </w:rPr>
    </w:lvl>
    <w:lvl w:ilvl="1" w:tplc="6D0AA8E6">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7C628D7"/>
    <w:multiLevelType w:val="hybridMultilevel"/>
    <w:tmpl w:val="D6DA0758"/>
    <w:lvl w:ilvl="0" w:tplc="CDC8EF6C">
      <w:start w:val="1"/>
      <w:numFmt w:val="lowerLetter"/>
      <w:lvlText w:val="%1. "/>
      <w:lvlJc w:val="left"/>
      <w:pPr>
        <w:tabs>
          <w:tab w:val="num" w:pos="1800"/>
        </w:tabs>
        <w:ind w:left="1800" w:hanging="360"/>
      </w:pPr>
      <w:rPr>
        <w:rFonts w:ascii="Times New Roman" w:hAnsi="Times New Roman" w:hint="default"/>
        <w:b w:val="0"/>
        <w:i w:val="0"/>
        <w:sz w:val="24"/>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4AF96BEB"/>
    <w:multiLevelType w:val="singleLevel"/>
    <w:tmpl w:val="BEEE402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5" w15:restartNumberingAfterBreak="0">
    <w:nsid w:val="4D020F1F"/>
    <w:multiLevelType w:val="hybridMultilevel"/>
    <w:tmpl w:val="C9263BD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17A0693"/>
    <w:multiLevelType w:val="hybridMultilevel"/>
    <w:tmpl w:val="DA02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C608A8"/>
    <w:multiLevelType w:val="singleLevel"/>
    <w:tmpl w:val="6AE20032"/>
    <w:lvl w:ilvl="0">
      <w:start w:val="1"/>
      <w:numFmt w:val="decimal"/>
      <w:lvlText w:val="%1."/>
      <w:legacy w:legacy="1" w:legacySpace="0" w:legacyIndent="360"/>
      <w:lvlJc w:val="left"/>
      <w:pPr>
        <w:ind w:left="360" w:hanging="360"/>
      </w:pPr>
    </w:lvl>
  </w:abstractNum>
  <w:abstractNum w:abstractNumId="28" w15:restartNumberingAfterBreak="0">
    <w:nsid w:val="5A495DA2"/>
    <w:multiLevelType w:val="hybridMultilevel"/>
    <w:tmpl w:val="D930BE02"/>
    <w:lvl w:ilvl="0" w:tplc="32EAA708">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B3E29A7"/>
    <w:multiLevelType w:val="hybridMultilevel"/>
    <w:tmpl w:val="27F070A2"/>
    <w:lvl w:ilvl="0" w:tplc="65A614F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D541B86"/>
    <w:multiLevelType w:val="hybridMultilevel"/>
    <w:tmpl w:val="8676D8D8"/>
    <w:lvl w:ilvl="0" w:tplc="628C07B8">
      <w:start w:val="1"/>
      <w:numFmt w:val="decimal"/>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1" w15:restartNumberingAfterBreak="0">
    <w:nsid w:val="5E0C452C"/>
    <w:multiLevelType w:val="singleLevel"/>
    <w:tmpl w:val="F48A155C"/>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2" w15:restartNumberingAfterBreak="0">
    <w:nsid w:val="5E5F2414"/>
    <w:multiLevelType w:val="hybridMultilevel"/>
    <w:tmpl w:val="8708AB42"/>
    <w:lvl w:ilvl="0" w:tplc="65A614F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2D84600"/>
    <w:multiLevelType w:val="hybridMultilevel"/>
    <w:tmpl w:val="5CEE90F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70D2720"/>
    <w:multiLevelType w:val="singleLevel"/>
    <w:tmpl w:val="4F225544"/>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5" w15:restartNumberingAfterBreak="0">
    <w:nsid w:val="69A538C5"/>
    <w:multiLevelType w:val="multilevel"/>
    <w:tmpl w:val="E47C131A"/>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B6964F5"/>
    <w:multiLevelType w:val="multilevel"/>
    <w:tmpl w:val="D9F06920"/>
    <w:lvl w:ilvl="0">
      <w:start w:val="1"/>
      <w:numFmt w:val="upperLetter"/>
      <w:lvlText w:val="%1."/>
      <w:lvlJc w:val="left"/>
      <w:pPr>
        <w:tabs>
          <w:tab w:val="num" w:pos="1800"/>
        </w:tabs>
        <w:ind w:left="1800" w:hanging="360"/>
      </w:pPr>
      <w:rPr>
        <w:rFonts w:hint="default"/>
        <w:b/>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7" w15:restartNumberingAfterBreak="0">
    <w:nsid w:val="6B6E1FFD"/>
    <w:multiLevelType w:val="hybridMultilevel"/>
    <w:tmpl w:val="A6DE0B12"/>
    <w:lvl w:ilvl="0" w:tplc="00006B08">
      <w:start w:val="1"/>
      <w:numFmt w:val="upperLetter"/>
      <w:lvlText w:val="%1."/>
      <w:lvlJc w:val="left"/>
      <w:pPr>
        <w:tabs>
          <w:tab w:val="num" w:pos="720"/>
        </w:tabs>
        <w:ind w:left="720" w:hanging="360"/>
      </w:pPr>
      <w:rPr>
        <w:rFonts w:hint="default"/>
        <w:b/>
      </w:rPr>
    </w:lvl>
    <w:lvl w:ilvl="1" w:tplc="F94444A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EF32199"/>
    <w:multiLevelType w:val="hybridMultilevel"/>
    <w:tmpl w:val="864EFE40"/>
    <w:lvl w:ilvl="0" w:tplc="3AA097BA">
      <w:start w:val="1"/>
      <w:numFmt w:val="upperLetter"/>
      <w:lvlText w:val="%1."/>
      <w:lvlJc w:val="left"/>
      <w:pPr>
        <w:tabs>
          <w:tab w:val="num" w:pos="720"/>
        </w:tabs>
        <w:ind w:left="720" w:hanging="360"/>
      </w:pPr>
      <w:rPr>
        <w:rFonts w:hint="default"/>
        <w:b/>
      </w:rPr>
    </w:lvl>
    <w:lvl w:ilvl="1" w:tplc="A412BDFA">
      <w:start w:val="3"/>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0" w15:restartNumberingAfterBreak="0">
    <w:nsid w:val="73F70E99"/>
    <w:multiLevelType w:val="multilevel"/>
    <w:tmpl w:val="2FCE5544"/>
    <w:lvl w:ilvl="0">
      <w:start w:val="1"/>
      <w:numFmt w:val="decimal"/>
      <w:lvlText w:val="%1."/>
      <w:lvlJc w:val="left"/>
      <w:pPr>
        <w:tabs>
          <w:tab w:val="num" w:pos="720"/>
        </w:tabs>
        <w:ind w:left="720" w:hanging="360"/>
      </w:pPr>
      <w:rPr>
        <w:rFonts w:ascii="Times New Roman" w:hAnsi="Times New Roman" w:hint="default"/>
        <w:b w:val="0"/>
        <w:i w:val="0"/>
        <w:sz w:val="24"/>
        <w:szCs w:val="24"/>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2"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43" w15:restartNumberingAfterBreak="0">
    <w:nsid w:val="7D655A18"/>
    <w:multiLevelType w:val="hybridMultilevel"/>
    <w:tmpl w:val="38081660"/>
    <w:lvl w:ilvl="0" w:tplc="CDC8EF6C">
      <w:start w:val="1"/>
      <w:numFmt w:val="lowerLetter"/>
      <w:lvlText w:val="%1. "/>
      <w:lvlJc w:val="left"/>
      <w:pPr>
        <w:tabs>
          <w:tab w:val="num" w:pos="1440"/>
        </w:tabs>
        <w:ind w:left="1440" w:hanging="360"/>
      </w:pPr>
      <w:rPr>
        <w:rFonts w:ascii="Times New Roman" w:hAnsi="Times New Roman" w:hint="default"/>
        <w:b w:val="0"/>
        <w:i w:val="0"/>
        <w:sz w:val="24"/>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2"/>
  </w:num>
  <w:num w:numId="2">
    <w:abstractNumId w:val="24"/>
  </w:num>
  <w:num w:numId="3">
    <w:abstractNumId w:val="11"/>
  </w:num>
  <w:num w:numId="4">
    <w:abstractNumId w:val="20"/>
  </w:num>
  <w:num w:numId="5">
    <w:abstractNumId w:val="1"/>
  </w:num>
  <w:num w:numId="6">
    <w:abstractNumId w:val="31"/>
  </w:num>
  <w:num w:numId="7">
    <w:abstractNumId w:val="3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8">
    <w:abstractNumId w:val="34"/>
  </w:num>
  <w:num w:numId="9">
    <w:abstractNumId w:val="18"/>
  </w:num>
  <w:num w:numId="10">
    <w:abstractNumId w:val="18"/>
    <w:lvlOverride w:ilvl="0">
      <w:lvl w:ilvl="0">
        <w:start w:val="1"/>
        <w:numFmt w:val="lowerLetter"/>
        <w:lvlText w:val="%1. "/>
        <w:legacy w:legacy="1" w:legacySpace="0" w:legacyIndent="360"/>
        <w:lvlJc w:val="left"/>
        <w:pPr>
          <w:ind w:left="1080" w:hanging="360"/>
        </w:pPr>
        <w:rPr>
          <w:rFonts w:ascii="Times New Roman" w:hAnsi="Times New Roman" w:hint="default"/>
          <w:b w:val="0"/>
          <w:i w:val="0"/>
          <w:sz w:val="24"/>
          <w:u w:val="none"/>
        </w:rPr>
      </w:lvl>
    </w:lvlOverride>
  </w:num>
  <w:num w:numId="11">
    <w:abstractNumId w:val="10"/>
  </w:num>
  <w:num w:numId="12">
    <w:abstractNumId w:val="30"/>
  </w:num>
  <w:num w:numId="13">
    <w:abstractNumId w:val="27"/>
  </w:num>
  <w:num w:numId="14">
    <w:abstractNumId w:val="8"/>
  </w:num>
  <w:num w:numId="15">
    <w:abstractNumId w:val="23"/>
  </w:num>
  <w:num w:numId="16">
    <w:abstractNumId w:val="43"/>
  </w:num>
  <w:num w:numId="17">
    <w:abstractNumId w:val="29"/>
  </w:num>
  <w:num w:numId="18">
    <w:abstractNumId w:val="32"/>
  </w:num>
  <w:num w:numId="19">
    <w:abstractNumId w:val="2"/>
  </w:num>
  <w:num w:numId="20">
    <w:abstractNumId w:val="38"/>
  </w:num>
  <w:num w:numId="21">
    <w:abstractNumId w:val="14"/>
  </w:num>
  <w:num w:numId="22">
    <w:abstractNumId w:val="7"/>
  </w:num>
  <w:num w:numId="23">
    <w:abstractNumId w:val="42"/>
  </w:num>
  <w:num w:numId="24">
    <w:abstractNumId w:val="5"/>
  </w:num>
  <w:num w:numId="25">
    <w:abstractNumId w:val="41"/>
  </w:num>
  <w:num w:numId="26">
    <w:abstractNumId w:val="39"/>
  </w:num>
  <w:num w:numId="27">
    <w:abstractNumId w:val="22"/>
  </w:num>
  <w:num w:numId="28">
    <w:abstractNumId w:val="37"/>
  </w:num>
  <w:num w:numId="29">
    <w:abstractNumId w:val="4"/>
  </w:num>
  <w:num w:numId="30">
    <w:abstractNumId w:val="36"/>
  </w:num>
  <w:num w:numId="31">
    <w:abstractNumId w:val="13"/>
  </w:num>
  <w:num w:numId="32">
    <w:abstractNumId w:val="6"/>
  </w:num>
  <w:num w:numId="33">
    <w:abstractNumId w:val="15"/>
  </w:num>
  <w:num w:numId="34">
    <w:abstractNumId w:val="35"/>
  </w:num>
  <w:num w:numId="35">
    <w:abstractNumId w:val="3"/>
  </w:num>
  <w:num w:numId="36">
    <w:abstractNumId w:val="40"/>
  </w:num>
  <w:num w:numId="37">
    <w:abstractNumId w:val="21"/>
  </w:num>
  <w:num w:numId="38">
    <w:abstractNumId w:val="19"/>
  </w:num>
  <w:num w:numId="39">
    <w:abstractNumId w:val="25"/>
  </w:num>
  <w:num w:numId="40">
    <w:abstractNumId w:val="33"/>
  </w:num>
  <w:num w:numId="41">
    <w:abstractNumId w:val="9"/>
  </w:num>
  <w:num w:numId="42">
    <w:abstractNumId w:val="28"/>
  </w:num>
  <w:num w:numId="43">
    <w:abstractNumId w:val="17"/>
  </w:num>
  <w:num w:numId="44">
    <w:abstractNumId w:val="16"/>
  </w:num>
  <w:num w:numId="4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0"/>
  </w:num>
  <w:num w:numId="48">
    <w:abstractNumId w:val="0"/>
    <w:lvlOverride w:ilvl="0">
      <w:lvl w:ilvl="0">
        <w:numFmt w:val="lowerLetter"/>
        <w:lvlText w:val="%1."/>
        <w:lvlJc w:val="left"/>
        <w:pPr>
          <w:tabs>
            <w:tab w:val="num" w:pos="2016"/>
          </w:tabs>
          <w:ind w:left="2016" w:hanging="360"/>
        </w:pPr>
        <w:rPr>
          <w:i/>
          <w:snapToGrid/>
          <w:spacing w:val="2"/>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9A"/>
    <w:rsid w:val="00012A83"/>
    <w:rsid w:val="0003454B"/>
    <w:rsid w:val="00044419"/>
    <w:rsid w:val="00052FD3"/>
    <w:rsid w:val="00057065"/>
    <w:rsid w:val="00063C9C"/>
    <w:rsid w:val="00071EFB"/>
    <w:rsid w:val="00072E0D"/>
    <w:rsid w:val="000C4161"/>
    <w:rsid w:val="000E2DDF"/>
    <w:rsid w:val="000E4591"/>
    <w:rsid w:val="000E6331"/>
    <w:rsid w:val="000F1650"/>
    <w:rsid w:val="0012077D"/>
    <w:rsid w:val="001259B4"/>
    <w:rsid w:val="00131CC3"/>
    <w:rsid w:val="00136349"/>
    <w:rsid w:val="0015039E"/>
    <w:rsid w:val="00155F00"/>
    <w:rsid w:val="001A4556"/>
    <w:rsid w:val="001C0BB4"/>
    <w:rsid w:val="001C1473"/>
    <w:rsid w:val="001D30E8"/>
    <w:rsid w:val="001E1384"/>
    <w:rsid w:val="001F339F"/>
    <w:rsid w:val="00204C67"/>
    <w:rsid w:val="00207FC3"/>
    <w:rsid w:val="00211D4D"/>
    <w:rsid w:val="002258D3"/>
    <w:rsid w:val="00226571"/>
    <w:rsid w:val="00243850"/>
    <w:rsid w:val="00246881"/>
    <w:rsid w:val="00247CC9"/>
    <w:rsid w:val="0025408D"/>
    <w:rsid w:val="00260DE1"/>
    <w:rsid w:val="00262D75"/>
    <w:rsid w:val="00277E3B"/>
    <w:rsid w:val="0029283B"/>
    <w:rsid w:val="00293F34"/>
    <w:rsid w:val="002A4132"/>
    <w:rsid w:val="002A7419"/>
    <w:rsid w:val="002D5F29"/>
    <w:rsid w:val="002E0FA4"/>
    <w:rsid w:val="002E1C97"/>
    <w:rsid w:val="002E4C55"/>
    <w:rsid w:val="00307EC9"/>
    <w:rsid w:val="00316D78"/>
    <w:rsid w:val="0032306C"/>
    <w:rsid w:val="00331665"/>
    <w:rsid w:val="00342FE2"/>
    <w:rsid w:val="003540FB"/>
    <w:rsid w:val="00356200"/>
    <w:rsid w:val="003728D3"/>
    <w:rsid w:val="003802A0"/>
    <w:rsid w:val="00382879"/>
    <w:rsid w:val="00384CB8"/>
    <w:rsid w:val="00395EEF"/>
    <w:rsid w:val="003D0B9D"/>
    <w:rsid w:val="003D5CB3"/>
    <w:rsid w:val="003E1190"/>
    <w:rsid w:val="003F3FB6"/>
    <w:rsid w:val="00411D7C"/>
    <w:rsid w:val="00424543"/>
    <w:rsid w:val="004553D2"/>
    <w:rsid w:val="004570BF"/>
    <w:rsid w:val="004703FD"/>
    <w:rsid w:val="004771F2"/>
    <w:rsid w:val="00494231"/>
    <w:rsid w:val="004C4B0C"/>
    <w:rsid w:val="004E3F19"/>
    <w:rsid w:val="004E4554"/>
    <w:rsid w:val="004E5B1B"/>
    <w:rsid w:val="00513A5F"/>
    <w:rsid w:val="005204F3"/>
    <w:rsid w:val="00534533"/>
    <w:rsid w:val="00536947"/>
    <w:rsid w:val="00550E46"/>
    <w:rsid w:val="00553BD2"/>
    <w:rsid w:val="00554F32"/>
    <w:rsid w:val="005573BC"/>
    <w:rsid w:val="00577A0C"/>
    <w:rsid w:val="005803D3"/>
    <w:rsid w:val="0059765F"/>
    <w:rsid w:val="005A289B"/>
    <w:rsid w:val="005A4276"/>
    <w:rsid w:val="005A52D0"/>
    <w:rsid w:val="005A5470"/>
    <w:rsid w:val="005B47B2"/>
    <w:rsid w:val="005E0F74"/>
    <w:rsid w:val="005F0A45"/>
    <w:rsid w:val="005F2993"/>
    <w:rsid w:val="005F668D"/>
    <w:rsid w:val="006132CB"/>
    <w:rsid w:val="006405D4"/>
    <w:rsid w:val="006440ED"/>
    <w:rsid w:val="00660E91"/>
    <w:rsid w:val="00676714"/>
    <w:rsid w:val="00681CD6"/>
    <w:rsid w:val="00692AD8"/>
    <w:rsid w:val="00697A0D"/>
    <w:rsid w:val="006A0B28"/>
    <w:rsid w:val="006A1560"/>
    <w:rsid w:val="006A15BF"/>
    <w:rsid w:val="006D1FFF"/>
    <w:rsid w:val="006D4DFF"/>
    <w:rsid w:val="00761AEA"/>
    <w:rsid w:val="00765611"/>
    <w:rsid w:val="007718E5"/>
    <w:rsid w:val="00786103"/>
    <w:rsid w:val="007A60B0"/>
    <w:rsid w:val="007C512E"/>
    <w:rsid w:val="007F16B7"/>
    <w:rsid w:val="007F1F3B"/>
    <w:rsid w:val="007F5B7C"/>
    <w:rsid w:val="008317AF"/>
    <w:rsid w:val="008443F0"/>
    <w:rsid w:val="00851955"/>
    <w:rsid w:val="0086158C"/>
    <w:rsid w:val="00863F29"/>
    <w:rsid w:val="008747B4"/>
    <w:rsid w:val="008774B5"/>
    <w:rsid w:val="00882C97"/>
    <w:rsid w:val="0089432B"/>
    <w:rsid w:val="008962DF"/>
    <w:rsid w:val="008C2A53"/>
    <w:rsid w:val="008E358B"/>
    <w:rsid w:val="008E3882"/>
    <w:rsid w:val="008F1C4C"/>
    <w:rsid w:val="00916E6F"/>
    <w:rsid w:val="009366F6"/>
    <w:rsid w:val="00972D2C"/>
    <w:rsid w:val="00974322"/>
    <w:rsid w:val="00980222"/>
    <w:rsid w:val="00980B1C"/>
    <w:rsid w:val="00983C39"/>
    <w:rsid w:val="00990EBA"/>
    <w:rsid w:val="00993B24"/>
    <w:rsid w:val="00996E26"/>
    <w:rsid w:val="009A78A4"/>
    <w:rsid w:val="009D136D"/>
    <w:rsid w:val="009D3A92"/>
    <w:rsid w:val="009E2A2C"/>
    <w:rsid w:val="009E676F"/>
    <w:rsid w:val="009E7E90"/>
    <w:rsid w:val="009F2420"/>
    <w:rsid w:val="00A01E35"/>
    <w:rsid w:val="00A119FC"/>
    <w:rsid w:val="00A1577E"/>
    <w:rsid w:val="00A21484"/>
    <w:rsid w:val="00A24DAA"/>
    <w:rsid w:val="00A3672F"/>
    <w:rsid w:val="00A46E27"/>
    <w:rsid w:val="00A61CC4"/>
    <w:rsid w:val="00A65652"/>
    <w:rsid w:val="00A71E97"/>
    <w:rsid w:val="00A77ABF"/>
    <w:rsid w:val="00A8325A"/>
    <w:rsid w:val="00A83C10"/>
    <w:rsid w:val="00A8633D"/>
    <w:rsid w:val="00AA7E1C"/>
    <w:rsid w:val="00AC3475"/>
    <w:rsid w:val="00AD3D8C"/>
    <w:rsid w:val="00AE20B1"/>
    <w:rsid w:val="00AE32AC"/>
    <w:rsid w:val="00AE6183"/>
    <w:rsid w:val="00AE694B"/>
    <w:rsid w:val="00AF5998"/>
    <w:rsid w:val="00B03D14"/>
    <w:rsid w:val="00B514AB"/>
    <w:rsid w:val="00B5188A"/>
    <w:rsid w:val="00B51B50"/>
    <w:rsid w:val="00B67CD9"/>
    <w:rsid w:val="00B728F5"/>
    <w:rsid w:val="00B74183"/>
    <w:rsid w:val="00B93849"/>
    <w:rsid w:val="00B97E54"/>
    <w:rsid w:val="00BA7DB8"/>
    <w:rsid w:val="00BB1954"/>
    <w:rsid w:val="00BC76DF"/>
    <w:rsid w:val="00BC7960"/>
    <w:rsid w:val="00BD7DFF"/>
    <w:rsid w:val="00BE3B9E"/>
    <w:rsid w:val="00C30EC7"/>
    <w:rsid w:val="00C335B1"/>
    <w:rsid w:val="00C4637B"/>
    <w:rsid w:val="00C66245"/>
    <w:rsid w:val="00C92853"/>
    <w:rsid w:val="00CA7D6F"/>
    <w:rsid w:val="00CB30B7"/>
    <w:rsid w:val="00CB7F31"/>
    <w:rsid w:val="00CD5335"/>
    <w:rsid w:val="00CE33B0"/>
    <w:rsid w:val="00CE770C"/>
    <w:rsid w:val="00CF69E2"/>
    <w:rsid w:val="00CF7D9A"/>
    <w:rsid w:val="00D23916"/>
    <w:rsid w:val="00D3010C"/>
    <w:rsid w:val="00D43419"/>
    <w:rsid w:val="00D63D99"/>
    <w:rsid w:val="00D67290"/>
    <w:rsid w:val="00D7363B"/>
    <w:rsid w:val="00D93E1B"/>
    <w:rsid w:val="00D957DA"/>
    <w:rsid w:val="00DA5346"/>
    <w:rsid w:val="00DC0899"/>
    <w:rsid w:val="00DC2D48"/>
    <w:rsid w:val="00DF4D3D"/>
    <w:rsid w:val="00E012B6"/>
    <w:rsid w:val="00E06059"/>
    <w:rsid w:val="00E16F4C"/>
    <w:rsid w:val="00E4635F"/>
    <w:rsid w:val="00E47438"/>
    <w:rsid w:val="00E63BC4"/>
    <w:rsid w:val="00E65767"/>
    <w:rsid w:val="00E830E3"/>
    <w:rsid w:val="00E86083"/>
    <w:rsid w:val="00E9561A"/>
    <w:rsid w:val="00EB6334"/>
    <w:rsid w:val="00EE0968"/>
    <w:rsid w:val="00EE1E20"/>
    <w:rsid w:val="00F01379"/>
    <w:rsid w:val="00F37255"/>
    <w:rsid w:val="00F42D54"/>
    <w:rsid w:val="00F92B7B"/>
    <w:rsid w:val="00FA4684"/>
    <w:rsid w:val="00FC4FA4"/>
    <w:rsid w:val="00FC5111"/>
    <w:rsid w:val="00FF5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03511"/>
  <w15:docId w15:val="{B88A642E-4410-4589-BBC5-1C7EB67E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881"/>
    <w:pPr>
      <w:overflowPunct w:val="0"/>
      <w:autoSpaceDE w:val="0"/>
      <w:autoSpaceDN w:val="0"/>
      <w:adjustRightInd w:val="0"/>
      <w:textAlignment w:val="baseline"/>
    </w:pPr>
  </w:style>
  <w:style w:type="paragraph" w:styleId="Heading1">
    <w:name w:val="heading 1"/>
    <w:basedOn w:val="Normal"/>
    <w:next w:val="Normal"/>
    <w:qFormat/>
    <w:rsid w:val="00246881"/>
    <w:pPr>
      <w:keepNext/>
      <w:tabs>
        <w:tab w:val="right" w:pos="4465"/>
      </w:tabs>
      <w:ind w:left="720" w:hanging="360"/>
      <w:outlineLvl w:val="0"/>
    </w:pPr>
    <w:rPr>
      <w:sz w:val="18"/>
      <w:szCs w:val="18"/>
      <w:u w:val="single"/>
    </w:rPr>
  </w:style>
  <w:style w:type="paragraph" w:styleId="Heading2">
    <w:name w:val="heading 2"/>
    <w:basedOn w:val="Normal"/>
    <w:next w:val="Normal"/>
    <w:qFormat/>
    <w:rsid w:val="00246881"/>
    <w:pPr>
      <w:keepNext/>
      <w:tabs>
        <w:tab w:val="right" w:pos="8059"/>
      </w:tabs>
      <w:jc w:val="right"/>
      <w:outlineLvl w:val="1"/>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6881"/>
    <w:pPr>
      <w:tabs>
        <w:tab w:val="center" w:pos="4320"/>
        <w:tab w:val="right" w:pos="8640"/>
      </w:tabs>
    </w:pPr>
  </w:style>
  <w:style w:type="paragraph" w:styleId="Footer">
    <w:name w:val="footer"/>
    <w:basedOn w:val="Normal"/>
    <w:rsid w:val="00246881"/>
    <w:pPr>
      <w:tabs>
        <w:tab w:val="center" w:pos="4320"/>
        <w:tab w:val="right" w:pos="8640"/>
      </w:tabs>
    </w:pPr>
  </w:style>
  <w:style w:type="character" w:styleId="PageNumber">
    <w:name w:val="page number"/>
    <w:basedOn w:val="DefaultParagraphFont"/>
    <w:rsid w:val="00246881"/>
  </w:style>
  <w:style w:type="paragraph" w:styleId="BodyTextIndent">
    <w:name w:val="Body Text Indent"/>
    <w:basedOn w:val="Normal"/>
    <w:rsid w:val="00246881"/>
    <w:pPr>
      <w:tabs>
        <w:tab w:val="right" w:pos="1080"/>
      </w:tabs>
      <w:ind w:left="360"/>
    </w:pPr>
    <w:rPr>
      <w:sz w:val="18"/>
      <w:szCs w:val="18"/>
    </w:rPr>
  </w:style>
  <w:style w:type="paragraph" w:styleId="BodyText">
    <w:name w:val="Body Text"/>
    <w:basedOn w:val="Normal"/>
    <w:rsid w:val="00246881"/>
    <w:pPr>
      <w:tabs>
        <w:tab w:val="left" w:pos="705"/>
        <w:tab w:val="right" w:pos="8446"/>
      </w:tabs>
    </w:pPr>
    <w:rPr>
      <w:sz w:val="18"/>
      <w:szCs w:val="18"/>
    </w:rPr>
  </w:style>
  <w:style w:type="paragraph" w:styleId="BodyTextIndent2">
    <w:name w:val="Body Text Indent 2"/>
    <w:basedOn w:val="Normal"/>
    <w:rsid w:val="00246881"/>
    <w:pPr>
      <w:keepLines/>
      <w:tabs>
        <w:tab w:val="left" w:pos="-720"/>
      </w:tabs>
      <w:suppressAutoHyphens/>
      <w:ind w:left="360" w:hanging="360"/>
    </w:pPr>
    <w:rPr>
      <w:sz w:val="18"/>
      <w:szCs w:val="18"/>
    </w:rPr>
  </w:style>
  <w:style w:type="paragraph" w:styleId="BodyTextIndent3">
    <w:name w:val="Body Text Indent 3"/>
    <w:basedOn w:val="Normal"/>
    <w:rsid w:val="00246881"/>
    <w:pPr>
      <w:ind w:left="720" w:hanging="360"/>
    </w:pPr>
    <w:rPr>
      <w:sz w:val="18"/>
      <w:szCs w:val="18"/>
    </w:rPr>
  </w:style>
  <w:style w:type="paragraph" w:styleId="BalloonText">
    <w:name w:val="Balloon Text"/>
    <w:basedOn w:val="Normal"/>
    <w:semiHidden/>
    <w:rsid w:val="00CF7D9A"/>
    <w:rPr>
      <w:rFonts w:ascii="Tahoma" w:hAnsi="Tahoma" w:cs="Tahoma"/>
      <w:sz w:val="16"/>
      <w:szCs w:val="16"/>
    </w:rPr>
  </w:style>
  <w:style w:type="paragraph" w:styleId="ListParagraph">
    <w:name w:val="List Paragraph"/>
    <w:basedOn w:val="Normal"/>
    <w:uiPriority w:val="34"/>
    <w:qFormat/>
    <w:rsid w:val="00072E0D"/>
    <w:pPr>
      <w:ind w:left="720"/>
      <w:contextualSpacing/>
    </w:pPr>
  </w:style>
  <w:style w:type="character" w:styleId="CommentReference">
    <w:name w:val="annotation reference"/>
    <w:basedOn w:val="DefaultParagraphFont"/>
    <w:semiHidden/>
    <w:unhideWhenUsed/>
    <w:rsid w:val="004703FD"/>
    <w:rPr>
      <w:sz w:val="16"/>
      <w:szCs w:val="16"/>
    </w:rPr>
  </w:style>
  <w:style w:type="paragraph" w:styleId="CommentText">
    <w:name w:val="annotation text"/>
    <w:basedOn w:val="Normal"/>
    <w:link w:val="CommentTextChar"/>
    <w:semiHidden/>
    <w:unhideWhenUsed/>
    <w:rsid w:val="004703FD"/>
  </w:style>
  <w:style w:type="character" w:customStyle="1" w:styleId="CommentTextChar">
    <w:name w:val="Comment Text Char"/>
    <w:basedOn w:val="DefaultParagraphFont"/>
    <w:link w:val="CommentText"/>
    <w:semiHidden/>
    <w:rsid w:val="004703FD"/>
  </w:style>
  <w:style w:type="paragraph" w:styleId="CommentSubject">
    <w:name w:val="annotation subject"/>
    <w:basedOn w:val="CommentText"/>
    <w:next w:val="CommentText"/>
    <w:link w:val="CommentSubjectChar"/>
    <w:semiHidden/>
    <w:unhideWhenUsed/>
    <w:rsid w:val="004703FD"/>
    <w:rPr>
      <w:b/>
      <w:bCs/>
    </w:rPr>
  </w:style>
  <w:style w:type="character" w:customStyle="1" w:styleId="CommentSubjectChar">
    <w:name w:val="Comment Subject Char"/>
    <w:basedOn w:val="CommentTextChar"/>
    <w:link w:val="CommentSubject"/>
    <w:semiHidden/>
    <w:rsid w:val="004703FD"/>
    <w:rPr>
      <w:b/>
      <w:bCs/>
    </w:rPr>
  </w:style>
  <w:style w:type="paragraph" w:styleId="z-TopofForm">
    <w:name w:val="HTML Top of Form"/>
    <w:basedOn w:val="Normal"/>
    <w:next w:val="Normal"/>
    <w:link w:val="z-TopofFormChar"/>
    <w:hidden/>
    <w:uiPriority w:val="99"/>
    <w:semiHidden/>
    <w:unhideWhenUsed/>
    <w:rsid w:val="003E1190"/>
    <w:pPr>
      <w:pBdr>
        <w:bottom w:val="single" w:sz="6" w:space="1" w:color="auto"/>
      </w:pBdr>
      <w:overflowPunct/>
      <w:autoSpaceDE/>
      <w:autoSpaceDN/>
      <w:adjustRightInd/>
      <w:jc w:val="center"/>
      <w:textAlignment w:val="auto"/>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E119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E1190"/>
    <w:pPr>
      <w:pBdr>
        <w:top w:val="single" w:sz="6" w:space="1" w:color="auto"/>
      </w:pBdr>
      <w:overflowPunct/>
      <w:autoSpaceDE/>
      <w:autoSpaceDN/>
      <w:adjustRightInd/>
      <w:jc w:val="center"/>
      <w:textAlignment w:val="auto"/>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E1190"/>
    <w:rPr>
      <w:rFonts w:ascii="Arial" w:hAnsi="Arial" w:cs="Arial"/>
      <w:vanish/>
      <w:sz w:val="16"/>
      <w:szCs w:val="16"/>
    </w:rPr>
  </w:style>
  <w:style w:type="table" w:styleId="TableGrid">
    <w:name w:val="Table Grid"/>
    <w:basedOn w:val="TableNormal"/>
    <w:rsid w:val="003E1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2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982334">
      <w:bodyDiv w:val="1"/>
      <w:marLeft w:val="0"/>
      <w:marRight w:val="0"/>
      <w:marTop w:val="0"/>
      <w:marBottom w:val="0"/>
      <w:divBdr>
        <w:top w:val="none" w:sz="0" w:space="0" w:color="auto"/>
        <w:left w:val="none" w:sz="0" w:space="0" w:color="auto"/>
        <w:bottom w:val="none" w:sz="0" w:space="0" w:color="auto"/>
        <w:right w:val="none" w:sz="0" w:space="0" w:color="auto"/>
      </w:divBdr>
      <w:divsChild>
        <w:div w:id="1130247315">
          <w:marLeft w:val="0"/>
          <w:marRight w:val="0"/>
          <w:marTop w:val="0"/>
          <w:marBottom w:val="0"/>
          <w:divBdr>
            <w:top w:val="none" w:sz="0" w:space="0" w:color="auto"/>
            <w:left w:val="none" w:sz="0" w:space="0" w:color="auto"/>
            <w:bottom w:val="none" w:sz="0" w:space="0" w:color="auto"/>
            <w:right w:val="none" w:sz="0" w:space="0" w:color="auto"/>
          </w:divBdr>
        </w:div>
      </w:divsChild>
    </w:div>
    <w:div w:id="1103648576">
      <w:bodyDiv w:val="1"/>
      <w:marLeft w:val="0"/>
      <w:marRight w:val="0"/>
      <w:marTop w:val="0"/>
      <w:marBottom w:val="0"/>
      <w:divBdr>
        <w:top w:val="none" w:sz="0" w:space="0" w:color="auto"/>
        <w:left w:val="none" w:sz="0" w:space="0" w:color="auto"/>
        <w:bottom w:val="none" w:sz="0" w:space="0" w:color="auto"/>
        <w:right w:val="none" w:sz="0" w:space="0" w:color="auto"/>
      </w:divBdr>
    </w:div>
    <w:div w:id="1493836408">
      <w:bodyDiv w:val="1"/>
      <w:marLeft w:val="0"/>
      <w:marRight w:val="0"/>
      <w:marTop w:val="0"/>
      <w:marBottom w:val="0"/>
      <w:divBdr>
        <w:top w:val="none" w:sz="0" w:space="0" w:color="auto"/>
        <w:left w:val="none" w:sz="0" w:space="0" w:color="auto"/>
        <w:bottom w:val="none" w:sz="0" w:space="0" w:color="auto"/>
        <w:right w:val="none" w:sz="0" w:space="0" w:color="auto"/>
      </w:divBdr>
      <w:divsChild>
        <w:div w:id="147984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h03265\LOCALS~1\Temp\c.Documents%20and%20Settings.All%20Users.Application%20Data.Notes.Data\OMB%202502-005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001B32738CAD429B13BCFC620783B9" ma:contentTypeVersion="1" ma:contentTypeDescription="Create a new document." ma:contentTypeScope="" ma:versionID="f9850519f63f8ed9bc0511cb4182b8b4">
  <xsd:schema xmlns:xsd="http://www.w3.org/2001/XMLSchema" xmlns:xs="http://www.w3.org/2001/XMLSchema" xmlns:p="http://schemas.microsoft.com/office/2006/metadata/properties" xmlns:ns2="4b1460ee-7fd3-4b6a-a6e4-425bd7cb2633" xmlns:ns3="323670b3-f63e-4ad5-97a1-50eb5c474db4" targetNamespace="http://schemas.microsoft.com/office/2006/metadata/properties" ma:root="true" ma:fieldsID="880a10f65cae5508a7d6fe4fe4b05abb" ns2:_="" ns3:_="">
    <xsd:import namespace="4b1460ee-7fd3-4b6a-a6e4-425bd7cb2633"/>
    <xsd:import namespace="323670b3-f63e-4ad5-97a1-50eb5c474db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460ee-7fd3-4b6a-a6e4-425bd7cb263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3670b3-f63e-4ad5-97a1-50eb5c474db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4b1460ee-7fd3-4b6a-a6e4-425bd7cb2633">HUDHSNG-2549-538</_dlc_DocId>
    <_dlc_DocIdUrl xmlns="4b1460ee-7fd3-4b6a-a6e4-425bd7cb2633">
      <Url>http://sharepoint.hud.gov/sites/HSNG/DASSFH/OSFPD/_layouts/15/DocIdRedir.aspx?ID=HUDHSNG-2549-538</Url>
      <Description>HUDHSNG-2549-538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929E6AE-578E-4C09-AE7E-DB4764580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460ee-7fd3-4b6a-a6e4-425bd7cb2633"/>
    <ds:schemaRef ds:uri="323670b3-f63e-4ad5-97a1-50eb5c474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ADE3CD-2EFE-4BD1-BA6F-28289F50C42A}">
  <ds:schemaRefs>
    <ds:schemaRef ds:uri="http://schemas.openxmlformats.org/officeDocument/2006/bibliography"/>
  </ds:schemaRefs>
</ds:datastoreItem>
</file>

<file path=customXml/itemProps3.xml><?xml version="1.0" encoding="utf-8"?>
<ds:datastoreItem xmlns:ds="http://schemas.openxmlformats.org/officeDocument/2006/customXml" ds:itemID="{289152BD-0955-4B60-923C-05B0AE43D398}">
  <ds:schemaRefs>
    <ds:schemaRef ds:uri="http://schemas.microsoft.com/office/2006/metadata/properties"/>
    <ds:schemaRef ds:uri="http://schemas.microsoft.com/office/infopath/2007/PartnerControls"/>
    <ds:schemaRef ds:uri="4b1460ee-7fd3-4b6a-a6e4-425bd7cb2633"/>
  </ds:schemaRefs>
</ds:datastoreItem>
</file>

<file path=customXml/itemProps4.xml><?xml version="1.0" encoding="utf-8"?>
<ds:datastoreItem xmlns:ds="http://schemas.openxmlformats.org/officeDocument/2006/customXml" ds:itemID="{1196AA04-A2FC-4800-9FB2-09CEA307A4A8}">
  <ds:schemaRefs>
    <ds:schemaRef ds:uri="http://schemas.microsoft.com/sharepoint/v3/contenttype/forms"/>
  </ds:schemaRefs>
</ds:datastoreItem>
</file>

<file path=customXml/itemProps5.xml><?xml version="1.0" encoding="utf-8"?>
<ds:datastoreItem xmlns:ds="http://schemas.openxmlformats.org/officeDocument/2006/customXml" ds:itemID="{D0676A9A-AE47-45BC-B436-21E42199D90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OMB 2502-0059</Template>
  <TotalTime>1</TotalTime>
  <Pages>9</Pages>
  <Words>4177</Words>
  <Characters>23815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dc:creator>
  <cp:lastModifiedBy>Pollard, Colette</cp:lastModifiedBy>
  <cp:revision>2</cp:revision>
  <cp:lastPrinted>2019-09-04T18:14:00Z</cp:lastPrinted>
  <dcterms:created xsi:type="dcterms:W3CDTF">2020-07-21T18:36:00Z</dcterms:created>
  <dcterms:modified xsi:type="dcterms:W3CDTF">2020-07-21T18:36:00Z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0x01010022001B32738CAD429B13BCFC620783B9</vt:lpwstr>
  </property>
  <property fmtid="{D5CDD505-2E9C-101B-9397-08002B2CF9AE}" pid="4" name="_dlc_DocIdItemGuid">
    <vt:lpwstr>323b5948-61b5-4548-9b45-8701d3c680f1</vt:lpwstr>
  </property>
</Properties>
</file>