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281C" w:rsidRDefault="00185190" w14:paraId="038BF5A8" w14:textId="77777777">
      <w:pPr>
        <w:widowControl/>
        <w:tabs>
          <w:tab w:val="center" w:pos="5040"/>
        </w:tabs>
        <w:jc w:val="center"/>
        <w:rPr>
          <w:b/>
          <w:bCs/>
          <w:sz w:val="26"/>
          <w:szCs w:val="26"/>
        </w:rPr>
      </w:pPr>
      <w:r>
        <w:rPr>
          <w:b/>
          <w:bCs/>
          <w:sz w:val="26"/>
          <w:szCs w:val="26"/>
        </w:rPr>
        <w:t xml:space="preserve">Supporting Statement for </w:t>
      </w:r>
    </w:p>
    <w:p w:rsidR="00CB281C" w:rsidRDefault="00185190" w14:paraId="2B5BF0F2" w14:textId="77777777">
      <w:pPr>
        <w:widowControl/>
        <w:tabs>
          <w:tab w:val="center" w:pos="5040"/>
        </w:tabs>
        <w:jc w:val="center"/>
        <w:rPr>
          <w:b/>
          <w:bCs/>
          <w:sz w:val="26"/>
          <w:szCs w:val="26"/>
          <w:vertAlign w:val="superscript"/>
        </w:rPr>
      </w:pPr>
      <w:r>
        <w:rPr>
          <w:b/>
          <w:bCs/>
          <w:sz w:val="26"/>
          <w:szCs w:val="26"/>
        </w:rPr>
        <w:t>Voluntary Refiling Due to Policy Statement in Docket No. PL19-4, implementing FERC-6(PL) (One-time Re-filing under Docket No. PL19-4 of Page 700 of Form No. 6 (Annual Report of Oil Pipeline Companies))</w:t>
      </w:r>
      <w:r>
        <w:rPr>
          <w:b/>
          <w:bCs/>
          <w:sz w:val="26"/>
          <w:szCs w:val="26"/>
          <w:vertAlign w:val="superscript"/>
        </w:rPr>
        <w:t xml:space="preserve"> </w:t>
      </w:r>
    </w:p>
    <w:p w:rsidR="00CB281C" w:rsidRDefault="00CB281C" w14:paraId="01372F43" w14:textId="77777777">
      <w:pPr>
        <w:widowControl/>
        <w:rPr>
          <w:sz w:val="26"/>
          <w:szCs w:val="26"/>
        </w:rPr>
      </w:pPr>
    </w:p>
    <w:p w:rsidR="00CB281C" w:rsidRDefault="00185190" w14:paraId="3D1CCB6C" w14:textId="77777777">
      <w:pPr>
        <w:rPr>
          <w:bCs/>
          <w:sz w:val="26"/>
          <w:szCs w:val="26"/>
        </w:rPr>
      </w:pPr>
      <w:r>
        <w:rPr>
          <w:sz w:val="26"/>
          <w:szCs w:val="26"/>
        </w:rPr>
        <w:t>The Federal Energy Regulatory Commission (Commission or FERC) requests that the Office of Management and Budget (OMB) review and approve an emergency request</w:t>
      </w:r>
      <w:r>
        <w:rPr>
          <w:rStyle w:val="FootnoteReference"/>
          <w:b/>
          <w:bCs/>
          <w:sz w:val="26"/>
          <w:szCs w:val="26"/>
          <w:vertAlign w:val="superscript"/>
        </w:rPr>
        <w:footnoteReference w:id="2"/>
      </w:r>
      <w:r>
        <w:rPr>
          <w:sz w:val="26"/>
          <w:szCs w:val="26"/>
        </w:rPr>
        <w:t xml:space="preserve"> for FERC-6(PL) to have pipelines voluntarily refile, on a one-time basis, page 700 of their 2019 </w:t>
      </w:r>
      <w:r>
        <w:rPr>
          <w:bCs/>
          <w:sz w:val="26"/>
          <w:szCs w:val="26"/>
        </w:rPr>
        <w:t>FERC Form No. 6</w:t>
      </w:r>
      <w:r>
        <w:rPr>
          <w:sz w:val="26"/>
          <w:szCs w:val="26"/>
        </w:rPr>
        <w:t xml:space="preserve"> </w:t>
      </w:r>
      <w:r>
        <w:rPr>
          <w:bCs/>
          <w:sz w:val="26"/>
          <w:szCs w:val="26"/>
        </w:rPr>
        <w:t>in order to reflect the Commission’s Policy Statement on Determining Return on Equity for Natural Gas and Oil Pipelines (ROE Policy Statement).</w:t>
      </w:r>
      <w:r>
        <w:rPr>
          <w:rStyle w:val="FootnoteReference"/>
          <w:b/>
          <w:bCs/>
          <w:sz w:val="26"/>
          <w:szCs w:val="26"/>
          <w:vertAlign w:val="superscript"/>
        </w:rPr>
        <w:footnoteReference w:id="3"/>
      </w:r>
      <w:r>
        <w:rPr>
          <w:b/>
          <w:bCs/>
          <w:sz w:val="26"/>
          <w:szCs w:val="26"/>
        </w:rPr>
        <w:t xml:space="preserve"> </w:t>
      </w:r>
      <w:r>
        <w:rPr>
          <w:bCs/>
          <w:sz w:val="26"/>
          <w:szCs w:val="26"/>
        </w:rPr>
        <w:t xml:space="preserve"> </w:t>
      </w:r>
    </w:p>
    <w:p w:rsidR="00CB281C" w:rsidRDefault="00CB281C" w14:paraId="14B4BCEA" w14:textId="77777777">
      <w:pPr>
        <w:rPr>
          <w:bCs/>
          <w:sz w:val="26"/>
          <w:szCs w:val="26"/>
        </w:rPr>
      </w:pPr>
    </w:p>
    <w:p w:rsidR="00CB281C" w:rsidRDefault="00185190" w14:paraId="74C0114E" w14:textId="77777777">
      <w:pPr>
        <w:rPr>
          <w:bCs/>
          <w:sz w:val="26"/>
          <w:szCs w:val="26"/>
        </w:rPr>
      </w:pPr>
      <w:r>
        <w:rPr>
          <w:bCs/>
          <w:sz w:val="26"/>
          <w:szCs w:val="26"/>
        </w:rPr>
        <w:t>FERC has a pending request at OMB (ICR No. 202005-1902-002) for the one-time voluntary re-filing of page 700 of Form 6 (FERC Form No. 6, OMB Control No: 1902-0022) under Docket No. PL19-4.  This instant supporting statement and the related request for emergency OMB approval replaces that ICR 202005-1902-002 (which will be retracted).  The FERC-6(PL) is a temporary interim information collection number being used for the one-time voluntary re-filing in mid-2020 of page 700 of FERC Form No. 6.  (A 6-month emergency approval is being requested for FERC-6(PL).)</w:t>
      </w:r>
    </w:p>
    <w:p w:rsidR="00CB281C" w:rsidRDefault="00CB281C" w14:paraId="0764D54D" w14:textId="77777777">
      <w:pPr>
        <w:rPr>
          <w:bCs/>
          <w:sz w:val="26"/>
          <w:szCs w:val="26"/>
        </w:rPr>
      </w:pPr>
    </w:p>
    <w:p w:rsidR="00CB281C" w:rsidRDefault="00185190" w14:paraId="4257971B" w14:textId="77777777">
      <w:pPr>
        <w:rPr>
          <w:sz w:val="26"/>
          <w:szCs w:val="26"/>
        </w:rPr>
      </w:pPr>
      <w:r>
        <w:rPr>
          <w:bCs/>
          <w:sz w:val="26"/>
          <w:szCs w:val="26"/>
        </w:rPr>
        <w:t>The ROE Policy Statement establishes a revised methodology for determining the Return on Equity (ROE) used to calculate the pipeline’s Annual Cost of Service on page 700 of FERC Form No. 6</w:t>
      </w:r>
      <w:r>
        <w:rPr>
          <w:sz w:val="26"/>
          <w:szCs w:val="26"/>
        </w:rPr>
        <w:t>.</w:t>
      </w:r>
      <w:r>
        <w:rPr>
          <w:rStyle w:val="FootnoteReference"/>
          <w:b/>
          <w:bCs/>
          <w:sz w:val="26"/>
          <w:szCs w:val="26"/>
          <w:vertAlign w:val="superscript"/>
        </w:rPr>
        <w:footnoteReference w:id="4"/>
      </w:r>
      <w:r>
        <w:rPr>
          <w:b/>
          <w:bCs/>
          <w:sz w:val="26"/>
          <w:szCs w:val="26"/>
        </w:rPr>
        <w:t xml:space="preserve">  </w:t>
      </w:r>
    </w:p>
    <w:p w:rsidR="00CB281C" w:rsidRDefault="00CB281C" w14:paraId="354CC020" w14:textId="77777777">
      <w:pPr>
        <w:rPr>
          <w:sz w:val="26"/>
          <w:szCs w:val="26"/>
        </w:rPr>
      </w:pPr>
    </w:p>
    <w:p w:rsidR="00CB281C" w:rsidRDefault="00185190" w14:paraId="5C7352E1" w14:textId="7BD27780">
      <w:pPr>
        <w:rPr>
          <w:sz w:val="26"/>
          <w:szCs w:val="26"/>
        </w:rPr>
      </w:pPr>
      <w:r>
        <w:rPr>
          <w:sz w:val="26"/>
          <w:szCs w:val="26"/>
        </w:rPr>
        <w:t>The refiled page 700 data for the year 2019 (being covered by FERC-6(PL)) reflecting the new ROE methodology will be useful for conducting the five-year review of the oil pipeline index in 2020</w:t>
      </w:r>
      <w:r w:rsidR="002A32C3">
        <w:rPr>
          <w:sz w:val="26"/>
          <w:szCs w:val="26"/>
        </w:rPr>
        <w:t xml:space="preserve"> (in Docket No. RM20-14)</w:t>
      </w:r>
      <w:r>
        <w:rPr>
          <w:sz w:val="26"/>
          <w:szCs w:val="26"/>
        </w:rPr>
        <w:t>.  The five-year review will be based upon industry-wide cost changes reported on page 700 over the five-year period 2014-2019 and will establish the index level for annual pipeline index rate changes for the next five-year period from 2021-2026.</w:t>
      </w:r>
      <w:r>
        <w:rPr>
          <w:rStyle w:val="FootnoteReference"/>
          <w:b/>
          <w:bCs/>
          <w:sz w:val="26"/>
          <w:szCs w:val="26"/>
          <w:vertAlign w:val="superscript"/>
        </w:rPr>
        <w:footnoteReference w:id="5"/>
      </w:r>
      <w:r>
        <w:rPr>
          <w:b/>
          <w:bCs/>
          <w:sz w:val="26"/>
          <w:szCs w:val="26"/>
          <w:vertAlign w:val="superscript"/>
        </w:rPr>
        <w:t xml:space="preserve"> </w:t>
      </w:r>
    </w:p>
    <w:p w:rsidR="00CB281C" w:rsidRDefault="00CB281C" w14:paraId="4F3F77F9" w14:textId="77777777">
      <w:pPr>
        <w:widowControl/>
        <w:rPr>
          <w:sz w:val="26"/>
          <w:szCs w:val="26"/>
        </w:rPr>
      </w:pPr>
    </w:p>
    <w:p w:rsidR="00CB281C" w:rsidRDefault="00185190" w14:paraId="50EA7D6C" w14:textId="77777777">
      <w:pPr>
        <w:widowControl/>
        <w:tabs>
          <w:tab w:val="left" w:pos="-1440"/>
        </w:tabs>
        <w:rPr>
          <w:b/>
          <w:sz w:val="26"/>
          <w:szCs w:val="26"/>
        </w:rPr>
      </w:pPr>
      <w:r>
        <w:rPr>
          <w:b/>
          <w:sz w:val="26"/>
          <w:szCs w:val="26"/>
        </w:rPr>
        <w:t>A.</w:t>
      </w:r>
      <w:r>
        <w:rPr>
          <w:b/>
          <w:sz w:val="26"/>
          <w:szCs w:val="26"/>
        </w:rPr>
        <w:tab/>
      </w:r>
      <w:r>
        <w:rPr>
          <w:b/>
          <w:sz w:val="26"/>
          <w:szCs w:val="26"/>
          <w:u w:val="single"/>
        </w:rPr>
        <w:t>JUSTIFICATION</w:t>
      </w:r>
    </w:p>
    <w:p w:rsidR="00CB281C" w:rsidRDefault="00CB281C" w14:paraId="4EDA7CA3" w14:textId="77777777">
      <w:pPr>
        <w:widowControl/>
        <w:rPr>
          <w:sz w:val="26"/>
          <w:szCs w:val="26"/>
        </w:rPr>
      </w:pPr>
    </w:p>
    <w:p w:rsidR="00CB281C" w:rsidRDefault="00185190" w14:paraId="2EEC6257" w14:textId="77777777">
      <w:pPr>
        <w:widowControl/>
        <w:tabs>
          <w:tab w:val="left" w:pos="-1440"/>
        </w:tabs>
        <w:ind w:left="720" w:hanging="720"/>
        <w:rPr>
          <w:b/>
          <w:bCs/>
          <w:sz w:val="26"/>
          <w:szCs w:val="26"/>
        </w:rPr>
      </w:pPr>
      <w:r>
        <w:rPr>
          <w:sz w:val="26"/>
          <w:szCs w:val="26"/>
        </w:rPr>
        <w:t>1.</w:t>
      </w:r>
      <w:r>
        <w:rPr>
          <w:sz w:val="26"/>
          <w:szCs w:val="26"/>
        </w:rPr>
        <w:tab/>
      </w:r>
      <w:r>
        <w:rPr>
          <w:b/>
          <w:bCs/>
          <w:sz w:val="26"/>
          <w:szCs w:val="26"/>
        </w:rPr>
        <w:t>CIRCUMSTANCES THAT MAKE THE COLLECTION OF INFORMATION NECESSARY</w:t>
      </w:r>
    </w:p>
    <w:p w:rsidR="00CB281C" w:rsidRDefault="00CB281C" w14:paraId="3D857760" w14:textId="77777777">
      <w:pPr>
        <w:widowControl/>
        <w:tabs>
          <w:tab w:val="left" w:pos="-1440"/>
        </w:tabs>
        <w:ind w:firstLine="720"/>
        <w:rPr>
          <w:color w:val="000000"/>
          <w:sz w:val="26"/>
          <w:szCs w:val="26"/>
        </w:rPr>
      </w:pPr>
    </w:p>
    <w:p w:rsidR="00CB281C" w:rsidRDefault="00185190" w14:paraId="44417A90" w14:textId="77777777">
      <w:pPr>
        <w:rPr>
          <w:color w:val="000000"/>
          <w:sz w:val="26"/>
          <w:szCs w:val="26"/>
        </w:rPr>
      </w:pPr>
      <w:r>
        <w:rPr>
          <w:sz w:val="26"/>
          <w:szCs w:val="26"/>
        </w:rPr>
        <w:t>Under section 20 of the Interstate Commerce Act (ICA),</w:t>
      </w:r>
      <w:r>
        <w:rPr>
          <w:rStyle w:val="FootnoteReference"/>
          <w:b/>
          <w:bCs/>
          <w:sz w:val="26"/>
          <w:szCs w:val="26"/>
          <w:vertAlign w:val="superscript"/>
        </w:rPr>
        <w:footnoteReference w:id="6"/>
      </w:r>
      <w:r>
        <w:rPr>
          <w:sz w:val="26"/>
          <w:szCs w:val="26"/>
        </w:rPr>
        <w:t xml:space="preserve"> the Interstate Commerce Commission (ICC) was authorized to collect and record data to the extent considered necessary or useful for the purpose of carrying out the provisions of the ICA.</w:t>
      </w:r>
    </w:p>
    <w:p w:rsidR="00CB281C" w:rsidRDefault="00CB281C" w14:paraId="1F07B43E" w14:textId="77777777">
      <w:pPr>
        <w:rPr>
          <w:color w:val="000000"/>
          <w:sz w:val="26"/>
          <w:szCs w:val="26"/>
        </w:rPr>
      </w:pPr>
    </w:p>
    <w:p w:rsidR="00CB281C" w:rsidRDefault="00185190" w14:paraId="059A5E68" w14:textId="77777777">
      <w:pPr>
        <w:rPr>
          <w:rStyle w:val="CommentReference"/>
          <w:sz w:val="26"/>
          <w:szCs w:val="26"/>
        </w:rPr>
      </w:pPr>
      <w:r>
        <w:rPr>
          <w:color w:val="000000"/>
          <w:sz w:val="26"/>
          <w:szCs w:val="26"/>
        </w:rPr>
        <w:t>In 1977, the Department of Energy Organization Act transferred to the Commission from the ICC the responsibility to regulate oil pipeline companies.  In accordance with the transfer of authority, the Commission was delegated the responsibility to require oil pipelines to file annual reports of information necessary for the Commission to exercise its statutory responsibilities</w:t>
      </w:r>
      <w:r>
        <w:rPr>
          <w:sz w:val="26"/>
          <w:szCs w:val="26"/>
        </w:rPr>
        <w:t>.</w:t>
      </w:r>
      <w:r>
        <w:rPr>
          <w:rStyle w:val="FootnoteReference"/>
          <w:b/>
          <w:bCs/>
          <w:sz w:val="26"/>
          <w:szCs w:val="26"/>
          <w:vertAlign w:val="superscript"/>
        </w:rPr>
        <w:footnoteReference w:id="7"/>
      </w:r>
      <w:r>
        <w:rPr>
          <w:b/>
          <w:bCs/>
          <w:sz w:val="26"/>
          <w:szCs w:val="26"/>
        </w:rPr>
        <w:t xml:space="preserve">  </w:t>
      </w:r>
      <w:r>
        <w:rPr>
          <w:color w:val="000000"/>
          <w:sz w:val="26"/>
          <w:szCs w:val="26"/>
        </w:rPr>
        <w:t xml:space="preserve">The transfer included the Form P, the forerunner to FERC Form No. 6, </w:t>
      </w:r>
      <w:r>
        <w:rPr>
          <w:sz w:val="26"/>
          <w:szCs w:val="26"/>
        </w:rPr>
        <w:t xml:space="preserve">Annual Report of Oil </w:t>
      </w:r>
      <w:r>
        <w:rPr>
          <w:sz w:val="26"/>
          <w:szCs w:val="26"/>
        </w:rPr>
        <w:lastRenderedPageBreak/>
        <w:t>Pipeline Companies.</w:t>
      </w:r>
      <w:r>
        <w:rPr>
          <w:rStyle w:val="FootnoteReference"/>
          <w:b/>
          <w:bCs/>
          <w:sz w:val="26"/>
          <w:szCs w:val="26"/>
          <w:vertAlign w:val="superscript"/>
        </w:rPr>
        <w:footnoteReference w:id="8"/>
      </w:r>
      <w:r>
        <w:rPr>
          <w:b/>
          <w:bCs/>
          <w:sz w:val="26"/>
          <w:szCs w:val="26"/>
          <w:vertAlign w:val="superscript"/>
        </w:rPr>
        <w:t xml:space="preserve"> </w:t>
      </w:r>
      <w:r>
        <w:rPr>
          <w:sz w:val="26"/>
          <w:szCs w:val="26"/>
        </w:rPr>
        <w:t xml:space="preserve">  In 1994, the Commission revised FERC Form No. 6 in Order Nos. 571 and 571-A to include a new page 700 (Annual Cost of Service).</w:t>
      </w:r>
      <w:r>
        <w:rPr>
          <w:rStyle w:val="FootnoteReference"/>
          <w:b/>
          <w:bCs/>
          <w:sz w:val="26"/>
          <w:szCs w:val="26"/>
          <w:vertAlign w:val="superscript"/>
        </w:rPr>
        <w:footnoteReference w:id="9"/>
      </w:r>
      <w:r>
        <w:rPr>
          <w:sz w:val="26"/>
          <w:szCs w:val="26"/>
        </w:rPr>
        <w:t xml:space="preserve">  </w:t>
      </w:r>
    </w:p>
    <w:p w:rsidR="00CB281C" w:rsidRDefault="00CB281C" w14:paraId="0E2471E2" w14:textId="77777777">
      <w:pPr>
        <w:tabs>
          <w:tab w:val="left" w:pos="-1440"/>
        </w:tabs>
        <w:rPr>
          <w:rStyle w:val="CommentReference"/>
          <w:strike/>
          <w:szCs w:val="20"/>
        </w:rPr>
      </w:pPr>
    </w:p>
    <w:p w:rsidR="00CB281C" w:rsidRDefault="00185190" w14:paraId="2731A420" w14:textId="77777777">
      <w:pPr>
        <w:rPr>
          <w:sz w:val="26"/>
          <w:szCs w:val="26"/>
        </w:rPr>
      </w:pPr>
      <w:r>
        <w:rPr>
          <w:sz w:val="26"/>
          <w:szCs w:val="26"/>
        </w:rPr>
        <w:t>In the Energy Policy Act of 1992, Congress required the Commission to develop a simplified method for changing oil pipeline rates.  In response, the Commission established an indexing methodology that allows oil pipelines to change rates based upon an annual industry-wide index.</w:t>
      </w:r>
      <w:r>
        <w:rPr>
          <w:b/>
          <w:sz w:val="26"/>
          <w:szCs w:val="26"/>
          <w:vertAlign w:val="superscript"/>
        </w:rPr>
        <w:footnoteReference w:id="10"/>
      </w:r>
      <w:r>
        <w:rPr>
          <w:sz w:val="26"/>
          <w:szCs w:val="26"/>
        </w:rPr>
        <w:t xml:space="preserve">  The Commission committed to review the index level every five years to ensure that the index level continues to reflect annual industry-wide cost changes.</w:t>
      </w:r>
      <w:r>
        <w:rPr>
          <w:b/>
          <w:sz w:val="26"/>
          <w:szCs w:val="26"/>
          <w:vertAlign w:val="superscript"/>
        </w:rPr>
        <w:footnoteReference w:id="11"/>
      </w:r>
      <w:r>
        <w:rPr>
          <w:sz w:val="26"/>
          <w:szCs w:val="26"/>
        </w:rPr>
        <w:t xml:space="preserve">  In Order No. 561 and each successive five-year review, the Commission calculated the index level based upon the Kahn Methodology,</w:t>
      </w:r>
      <w:r>
        <w:rPr>
          <w:b/>
          <w:sz w:val="26"/>
          <w:szCs w:val="26"/>
          <w:vertAlign w:val="superscript"/>
        </w:rPr>
        <w:footnoteReference w:id="12"/>
      </w:r>
      <w:r>
        <w:rPr>
          <w:sz w:val="26"/>
          <w:szCs w:val="26"/>
        </w:rPr>
        <w:t xml:space="preserve"> which determines the differences over the prior five-year period between changes in page 700 costs and changes in Producer Price Index for Finished Goods (PPI-FG). </w:t>
      </w:r>
      <w:r>
        <w:rPr>
          <w:rFonts w:eastAsiaTheme="minorHAnsi"/>
          <w:sz w:val="26"/>
          <w:szCs w:val="26"/>
        </w:rPr>
        <w:t xml:space="preserve"> </w:t>
      </w:r>
      <w:r>
        <w:rPr>
          <w:sz w:val="26"/>
          <w:szCs w:val="26"/>
        </w:rPr>
        <w:t xml:space="preserve">The index level is then set at PPI-FG plus (or minus) this differential.  In the 2020 five-year review, the Commission will measure pipeline cost changes over the period from 2014-2019 in order to establish the index level for the five-year period from 2021-2026.  </w:t>
      </w:r>
    </w:p>
    <w:p w:rsidR="00CB281C" w:rsidRDefault="00CB281C" w14:paraId="36721BDE" w14:textId="77777777">
      <w:pPr>
        <w:tabs>
          <w:tab w:val="left" w:pos="-1440"/>
        </w:tabs>
        <w:rPr>
          <w:sz w:val="26"/>
          <w:szCs w:val="26"/>
        </w:rPr>
      </w:pPr>
    </w:p>
    <w:p w:rsidR="00CB281C" w:rsidRDefault="00185190" w14:paraId="52A3EEFC" w14:textId="77777777">
      <w:pPr>
        <w:tabs>
          <w:tab w:val="left" w:pos="-1440"/>
        </w:tabs>
        <w:rPr>
          <w:sz w:val="26"/>
          <w:szCs w:val="26"/>
        </w:rPr>
      </w:pPr>
      <w:r>
        <w:rPr>
          <w:sz w:val="26"/>
          <w:szCs w:val="26"/>
        </w:rPr>
        <w:t xml:space="preserve">The issuance of the ROE Policy Statement in Docket No. PL19-4 may affect the oil pipeline industry’s 2019 costs reported on page 700 that are used in the five-year review.  As the Commission recognized in the ROE Policy Statement, reflecting the revised oil pipeline ROE methodology in page 700 data for 2019 may help the Commission better estimate industry-wide cost changes for purposes of the five-year review.  The effect could be significant.  For example, a 50 basis point change in ROE used in the five-year review could change total industry revenues by approximately $300 million. </w:t>
      </w:r>
    </w:p>
    <w:p w:rsidR="00CB281C" w:rsidRDefault="00CB281C" w14:paraId="7614237E" w14:textId="77777777">
      <w:pPr>
        <w:pStyle w:val="FERCparanumber"/>
        <w:numPr>
          <w:ilvl w:val="0"/>
          <w:numId w:val="0"/>
        </w:numPr>
        <w:spacing w:line="240" w:lineRule="auto"/>
        <w:rPr>
          <w:szCs w:val="26"/>
        </w:rPr>
      </w:pPr>
    </w:p>
    <w:p w:rsidR="00CB281C" w:rsidRDefault="00185190" w14:paraId="7DA292D4" w14:textId="77777777">
      <w:pPr>
        <w:widowControl/>
        <w:ind w:left="720" w:hanging="720"/>
        <w:rPr>
          <w:b/>
          <w:bCs/>
          <w:sz w:val="26"/>
          <w:szCs w:val="26"/>
        </w:rPr>
      </w:pPr>
      <w:r>
        <w:rPr>
          <w:sz w:val="26"/>
          <w:szCs w:val="26"/>
        </w:rPr>
        <w:lastRenderedPageBreak/>
        <w:t>2.</w:t>
      </w:r>
      <w:r>
        <w:rPr>
          <w:sz w:val="26"/>
          <w:szCs w:val="26"/>
        </w:rPr>
        <w:tab/>
      </w:r>
      <w:r>
        <w:rPr>
          <w:b/>
          <w:bCs/>
          <w:sz w:val="26"/>
          <w:szCs w:val="26"/>
        </w:rPr>
        <w:t>HOW, BY WHOM, AND FOR WHAT PURPOSE THE INFORMATION IS TO BE USED AND THE CONSEQUENCES OF NOT COLLECTING THE INFORMATION</w:t>
      </w:r>
    </w:p>
    <w:p w:rsidR="00CB281C" w:rsidRDefault="00CB281C" w14:paraId="60E7CB2C" w14:textId="77777777">
      <w:pPr>
        <w:widowControl/>
        <w:ind w:left="720" w:hanging="720"/>
        <w:rPr>
          <w:b/>
          <w:bCs/>
          <w:sz w:val="26"/>
          <w:szCs w:val="26"/>
        </w:rPr>
      </w:pPr>
    </w:p>
    <w:p w:rsidR="00CB281C" w:rsidRDefault="00185190" w14:paraId="376A3013" w14:textId="77777777">
      <w:pPr>
        <w:rPr>
          <w:sz w:val="26"/>
          <w:szCs w:val="26"/>
        </w:rPr>
      </w:pPr>
      <w:r>
        <w:rPr>
          <w:sz w:val="26"/>
          <w:szCs w:val="26"/>
        </w:rPr>
        <w:t>The data elements on page 700 of FERC Form No. 6 (for which we are requesting one-time re-filing under FERC-6(PL) here) are listed in the Attachment to this supporting statement.</w:t>
      </w:r>
    </w:p>
    <w:p w:rsidR="00CB281C" w:rsidRDefault="00CB281C" w14:paraId="7FC3219D" w14:textId="77777777">
      <w:pPr>
        <w:rPr>
          <w:sz w:val="26"/>
          <w:szCs w:val="26"/>
        </w:rPr>
      </w:pPr>
    </w:p>
    <w:p w:rsidR="00CB281C" w:rsidRDefault="00185190" w14:paraId="7BED86A2" w14:textId="77777777">
      <w:pPr>
        <w:rPr>
          <w:sz w:val="26"/>
          <w:szCs w:val="26"/>
        </w:rPr>
      </w:pPr>
      <w:r>
        <w:rPr>
          <w:sz w:val="26"/>
          <w:szCs w:val="26"/>
        </w:rPr>
        <w:t>Page 700 was designed as a summary rate case in accordance with t</w:t>
      </w:r>
      <w:bookmarkStart w:name="_Hlk41381554" w:id="0"/>
      <w:r>
        <w:rPr>
          <w:sz w:val="26"/>
          <w:szCs w:val="26"/>
        </w:rPr>
        <w:t>he Commission’s Opinion 154-B methodology</w:t>
      </w:r>
      <w:bookmarkEnd w:id="0"/>
      <w:r>
        <w:rPr>
          <w:sz w:val="26"/>
          <w:szCs w:val="26"/>
        </w:rPr>
        <w:t>.</w:t>
      </w:r>
      <w:r>
        <w:rPr>
          <w:rStyle w:val="FootnoteReference"/>
          <w:b/>
          <w:bCs/>
          <w:sz w:val="26"/>
          <w:szCs w:val="26"/>
          <w:vertAlign w:val="superscript"/>
        </w:rPr>
        <w:footnoteReference w:id="13"/>
      </w:r>
      <w:r>
        <w:rPr>
          <w:sz w:val="26"/>
          <w:szCs w:val="26"/>
          <w:vertAlign w:val="superscript"/>
        </w:rPr>
        <w:t xml:space="preserve"> </w:t>
      </w:r>
      <w:r>
        <w:rPr>
          <w:sz w:val="26"/>
          <w:szCs w:val="26"/>
        </w:rPr>
        <w:t xml:space="preserve"> The schedule is a calendar year cost of service, starting with the pipeline’s expenses (lines 1-4) followed by investment or rate base (line 5).  The middle section details the pipeline’s cost of capital by component and its capital structure (lines 6a-6e).  This includes the pipeline’s estimate of its equity capital costs or ROE.  Lastly, included in the page 700 cost of service is the pipeline’s return on its rate base (lines 7a-7c), or the rate of return for both debt and equity times its rate base.  The equity return reported in the 2019 FERC Form No. 6’s was over 27 percent of the total oil pipeline industry’s cost of service.</w:t>
      </w:r>
    </w:p>
    <w:p w:rsidR="00CB281C" w:rsidRDefault="00CB281C" w14:paraId="6252E5C4" w14:textId="77777777">
      <w:pPr>
        <w:rPr>
          <w:sz w:val="26"/>
          <w:szCs w:val="26"/>
        </w:rPr>
      </w:pPr>
    </w:p>
    <w:p w:rsidR="00CB281C" w:rsidRDefault="00185190" w14:paraId="21458638" w14:textId="33C0CE2A">
      <w:pPr>
        <w:rPr>
          <w:sz w:val="26"/>
          <w:szCs w:val="26"/>
        </w:rPr>
      </w:pPr>
      <w:r>
        <w:rPr>
          <w:sz w:val="26"/>
          <w:szCs w:val="26"/>
        </w:rPr>
        <w:t xml:space="preserve">Thus, reflecting the revised oil pipeline ROE methodology in page 700 data (line 6d) for 2019 may help the Commission better estimate industry-wide cost changes (line 9) for purposes of the five-year review.  As stated above, in the five-year review the Commission compares the cost changes between years 2014 and 2019 using page 700 data to measure industry-wide pipeline cost changes.  ROE is an input in costs of service for oil pipelines on page 700.  In light of the Commission’s </w:t>
      </w:r>
      <w:r w:rsidR="008A1518">
        <w:rPr>
          <w:sz w:val="26"/>
          <w:szCs w:val="26"/>
        </w:rPr>
        <w:t>ROE Policy Statement</w:t>
      </w:r>
      <w:r>
        <w:rPr>
          <w:sz w:val="26"/>
          <w:szCs w:val="26"/>
        </w:rPr>
        <w:t>, the updated 2019 page 700 data will be useful in considering whether, and if so how, to reflect the effects of th</w:t>
      </w:r>
      <w:r w:rsidR="000F24E6">
        <w:rPr>
          <w:sz w:val="26"/>
          <w:szCs w:val="26"/>
        </w:rPr>
        <w:t>e</w:t>
      </w:r>
      <w:r>
        <w:rPr>
          <w:sz w:val="26"/>
          <w:szCs w:val="26"/>
        </w:rPr>
        <w:t xml:space="preserve"> </w:t>
      </w:r>
      <w:r w:rsidR="008A1518">
        <w:rPr>
          <w:sz w:val="26"/>
          <w:szCs w:val="26"/>
        </w:rPr>
        <w:t xml:space="preserve">Policy Statement </w:t>
      </w:r>
      <w:r>
        <w:rPr>
          <w:sz w:val="26"/>
          <w:szCs w:val="26"/>
        </w:rPr>
        <w:t xml:space="preserve"> change in the calculation of the index level that will be in effect for the next five years.   </w:t>
      </w:r>
      <w:bookmarkStart w:name="_GoBack" w:id="1"/>
      <w:bookmarkEnd w:id="1"/>
    </w:p>
    <w:p w:rsidR="00CB281C" w:rsidRDefault="00CB281C" w14:paraId="033AC90C" w14:textId="77777777">
      <w:pPr>
        <w:rPr>
          <w:sz w:val="26"/>
          <w:szCs w:val="26"/>
        </w:rPr>
      </w:pPr>
    </w:p>
    <w:p w:rsidR="00CB281C" w:rsidRDefault="00185190" w14:paraId="013F7567" w14:textId="77777777">
      <w:pPr>
        <w:rPr>
          <w:sz w:val="26"/>
          <w:szCs w:val="26"/>
        </w:rPr>
      </w:pPr>
      <w:r>
        <w:rPr>
          <w:sz w:val="26"/>
          <w:szCs w:val="26"/>
        </w:rPr>
        <w:t>As mentioned above, the effect of not collecting the revised data could be significant.  If this updated ROE data is not collected, it will not be available for the five-year review.  A 50 basis point change in ROE used in the five-year review could change total industry revenues by approximately $300 million.  That adjustment would be compounded every year over the next five-year index period.  Without this information, the Commission’s index level may distort investment decisions by sending an improper incentive.  Setting an index level too high may over-stimulate investment or conversely too low may discourage needed capital investment.</w:t>
      </w:r>
    </w:p>
    <w:p w:rsidR="00CB281C" w:rsidRDefault="00CB281C" w14:paraId="7A87B20E" w14:textId="77777777">
      <w:pPr>
        <w:rPr>
          <w:sz w:val="26"/>
          <w:szCs w:val="26"/>
        </w:rPr>
      </w:pPr>
    </w:p>
    <w:p w:rsidR="00CB281C" w:rsidRDefault="00185190" w14:paraId="42C6B86B" w14:textId="77777777">
      <w:pPr>
        <w:rPr>
          <w:sz w:val="26"/>
          <w:szCs w:val="26"/>
        </w:rPr>
      </w:pPr>
      <w:r>
        <w:rPr>
          <w:sz w:val="26"/>
          <w:szCs w:val="26"/>
        </w:rPr>
        <w:lastRenderedPageBreak/>
        <w:t xml:space="preserve">Although not pertinent to the re-filing of Page 700 based on Docket No. PL19-4, the data in FERC Form No. 6 is also useful for performing audits and reviews on the financial condition of oil pipelines; assessing energy markets; conducting oil pipeline rate proceedings and economic analysis; conducting research for use in administrative litigation; and administering the requirements of the ICA.  Data from FERC Form No. 6 facilitates the calculation of the actual rate of return on equity for oil pipelines.  The actual rate of return on equity is particularly useful information when evaluating a pipeline’s rates.  </w:t>
      </w:r>
    </w:p>
    <w:p w:rsidR="00CB281C" w:rsidRDefault="00CB281C" w14:paraId="5C9DB8E9" w14:textId="77777777">
      <w:pPr>
        <w:rPr>
          <w:sz w:val="26"/>
          <w:szCs w:val="26"/>
        </w:rPr>
      </w:pPr>
    </w:p>
    <w:p w:rsidR="00CB281C" w:rsidRDefault="00185190" w14:paraId="29CBACE5" w14:textId="77777777">
      <w:pPr>
        <w:widowControl/>
        <w:rPr>
          <w:sz w:val="26"/>
          <w:szCs w:val="26"/>
        </w:rPr>
      </w:pPr>
      <w:r>
        <w:rPr>
          <w:sz w:val="26"/>
          <w:szCs w:val="26"/>
        </w:rPr>
        <w:t>If data from FERC-6(PL) was not available, it would be difficult for the Commission to meet its mandatory review responsibilities because it would have fewer regulatory mechanisms to ensure transparency and to protect ratepayers.</w:t>
      </w:r>
    </w:p>
    <w:p w:rsidR="00CB281C" w:rsidRDefault="00CB281C" w14:paraId="05B49666" w14:textId="77777777">
      <w:pPr>
        <w:widowControl/>
        <w:ind w:firstLine="720"/>
        <w:rPr>
          <w:sz w:val="26"/>
          <w:szCs w:val="26"/>
        </w:rPr>
      </w:pPr>
    </w:p>
    <w:p w:rsidR="00CB281C" w:rsidRDefault="00185190" w14:paraId="7BFA8C49" w14:textId="77777777">
      <w:pPr>
        <w:widowControl/>
        <w:tabs>
          <w:tab w:val="left" w:pos="-1440"/>
        </w:tabs>
        <w:ind w:left="720" w:hanging="720"/>
        <w:rPr>
          <w:b/>
          <w:bCs/>
          <w:sz w:val="26"/>
          <w:szCs w:val="26"/>
        </w:rPr>
      </w:pPr>
      <w:r>
        <w:rPr>
          <w:sz w:val="26"/>
          <w:szCs w:val="26"/>
        </w:rPr>
        <w:t>3.</w:t>
      </w:r>
      <w:r>
        <w:rPr>
          <w:sz w:val="26"/>
          <w:szCs w:val="26"/>
        </w:rPr>
        <w:tab/>
      </w:r>
      <w:r>
        <w:rPr>
          <w:b/>
          <w:bCs/>
          <w:sz w:val="26"/>
          <w:szCs w:val="26"/>
        </w:rPr>
        <w:t>DESCRIBE ANY CONSIDERATION OF THE USE OF IMPROVED TECHNOLOGY TO REDUCE BURDEN AND TECHNICAL OR LEGAL OBSTACLES TO REDUCING BURDEN.</w:t>
      </w:r>
    </w:p>
    <w:p w:rsidR="00CB281C" w:rsidRDefault="00CB281C" w14:paraId="55E4C66D" w14:textId="77777777">
      <w:pPr>
        <w:ind w:left="720" w:firstLine="720"/>
        <w:rPr>
          <w:sz w:val="26"/>
          <w:szCs w:val="26"/>
        </w:rPr>
      </w:pPr>
    </w:p>
    <w:p w:rsidR="00CB281C" w:rsidRDefault="00185190" w14:paraId="449D31D1" w14:textId="77777777">
      <w:pPr>
        <w:rPr>
          <w:bCs/>
          <w:sz w:val="26"/>
          <w:szCs w:val="26"/>
        </w:rPr>
      </w:pPr>
      <w:r>
        <w:rPr>
          <w:sz w:val="26"/>
          <w:szCs w:val="26"/>
        </w:rPr>
        <w:t>There is an ongoing effort to determine the potential and value of improved information technology to reduce the burden.  In December 2000, FERC issued Order No. 620 requiring every pipeline carrier subject to the provisions of Section 20 of the ICA to electronically submit FERC Form No. 6 through the forms submission software available on the FERC website.</w:t>
      </w:r>
      <w:r>
        <w:rPr>
          <w:bCs/>
          <w:sz w:val="26"/>
          <w:szCs w:val="26"/>
        </w:rPr>
        <w:t xml:space="preserve"> </w:t>
      </w:r>
    </w:p>
    <w:p w:rsidR="00CB281C" w:rsidRDefault="00CB281C" w14:paraId="5D8D002E" w14:textId="77777777">
      <w:pPr>
        <w:rPr>
          <w:bCs/>
          <w:sz w:val="26"/>
          <w:szCs w:val="26"/>
        </w:rPr>
      </w:pPr>
    </w:p>
    <w:p w:rsidR="00CB281C" w:rsidRDefault="00185190" w14:paraId="054CDC13" w14:textId="77777777">
      <w:pPr>
        <w:rPr>
          <w:sz w:val="26"/>
          <w:szCs w:val="26"/>
        </w:rPr>
      </w:pPr>
      <w:r>
        <w:rPr>
          <w:bCs/>
          <w:sz w:val="26"/>
          <w:szCs w:val="26"/>
        </w:rPr>
        <w:t>The one-time re-filing of page 700 under Docket No. PL19-4 (FERC-6(PL)) would similarly be submitted electronically through the Form 6 submission software.</w:t>
      </w:r>
    </w:p>
    <w:p w:rsidR="00CB281C" w:rsidRDefault="00CB281C" w14:paraId="70A385F0" w14:textId="77777777">
      <w:pPr>
        <w:widowControl/>
        <w:rPr>
          <w:sz w:val="26"/>
          <w:szCs w:val="26"/>
        </w:rPr>
      </w:pPr>
    </w:p>
    <w:p w:rsidR="00CB281C" w:rsidRDefault="00185190" w14:paraId="4C563B80" w14:textId="77777777">
      <w:pPr>
        <w:widowControl/>
        <w:tabs>
          <w:tab w:val="left" w:pos="-1440"/>
        </w:tabs>
        <w:ind w:left="720" w:hanging="720"/>
        <w:rPr>
          <w:b/>
          <w:bCs/>
          <w:sz w:val="26"/>
          <w:szCs w:val="26"/>
        </w:rPr>
      </w:pPr>
      <w:r>
        <w:rPr>
          <w:sz w:val="26"/>
          <w:szCs w:val="26"/>
        </w:rPr>
        <w:t>4.</w:t>
      </w:r>
      <w:r>
        <w:rPr>
          <w:sz w:val="26"/>
          <w:szCs w:val="26"/>
        </w:rPr>
        <w:tab/>
      </w:r>
      <w:r>
        <w:rPr>
          <w:b/>
          <w:bCs/>
          <w:sz w:val="26"/>
          <w:szCs w:val="26"/>
        </w:rPr>
        <w:t>DESCRIBE EFFORTS TO IDENTIFY DUPLICATION AND SHOW SPECIFICALLY WHY ANY SIMILAR INFORMATION ALREADY AVAILABLE CANNOT BE USED OR MODIFIED FOR USE FOR THE PURPOSE(S) DESCRIBED IN INSTRUCTION NO. 2</w:t>
      </w:r>
    </w:p>
    <w:p w:rsidR="00CB281C" w:rsidRDefault="00CB281C" w14:paraId="23358C52" w14:textId="77777777">
      <w:pPr>
        <w:widowControl/>
        <w:rPr>
          <w:color w:val="000000"/>
          <w:sz w:val="26"/>
          <w:szCs w:val="26"/>
          <w:highlight w:val="lightGray"/>
        </w:rPr>
      </w:pPr>
    </w:p>
    <w:p w:rsidR="00CB281C" w:rsidRDefault="00185190" w14:paraId="5854F211" w14:textId="4D781F88">
      <w:pPr>
        <w:widowControl/>
        <w:rPr>
          <w:sz w:val="26"/>
          <w:szCs w:val="26"/>
        </w:rPr>
      </w:pPr>
      <w:r>
        <w:rPr>
          <w:sz w:val="26"/>
          <w:szCs w:val="26"/>
        </w:rPr>
        <w:t xml:space="preserve">Although pipelines filed 2019 FERC Form No. 6 page 700 data in April 2020, that data reflects the Commission’s ROE policy as it existed before the ROE Policy Statement approved on 5/21/2020.  Should industry opt to re-file, the </w:t>
      </w:r>
      <w:r w:rsidR="008A1518">
        <w:rPr>
          <w:sz w:val="26"/>
          <w:szCs w:val="26"/>
        </w:rPr>
        <w:t>re-filed data</w:t>
      </w:r>
      <w:r w:rsidR="000F24E6">
        <w:rPr>
          <w:sz w:val="26"/>
          <w:szCs w:val="26"/>
        </w:rPr>
        <w:t xml:space="preserve"> </w:t>
      </w:r>
      <w:r>
        <w:rPr>
          <w:sz w:val="26"/>
          <w:szCs w:val="26"/>
        </w:rPr>
        <w:t xml:space="preserve">changes will result in changes to the ROE and total cost of service reported on page 700.  For purposes of the 2020 five-year review, the Commission seeks voluntary submission of updated 2019 page 700 data reflecting this policy change to consider whether, and if so how, the Commission should incorporate the effects of that policy change in calculating the index level that will be in effect for the period from 2021-2026.  Previously filed page 700 data cannot be used or modified for use for this purpose because it does not reflect the effects of the ROE policy change.  After the submission of updated 2019 page 700 data (in FERC-6(PL)), commenters in the five-year review will have the opportunity to address whether the Commission should use this updated page 700 data to </w:t>
      </w:r>
      <w:r>
        <w:rPr>
          <w:sz w:val="26"/>
          <w:szCs w:val="26"/>
        </w:rPr>
        <w:lastRenderedPageBreak/>
        <w:t xml:space="preserve">calculate the index level for the 2021-2026 period.  Obtaining 2019 page 700 ROE and cost-of-service data reflecting both the Commission’s prior and current ROE policies will enable the Commission to make a more informed decision for the oil pipeline industry.  </w:t>
      </w:r>
    </w:p>
    <w:p w:rsidR="00CB281C" w:rsidRDefault="00CB281C" w14:paraId="4DD74C91" w14:textId="77777777">
      <w:pPr>
        <w:widowControl/>
        <w:rPr>
          <w:sz w:val="26"/>
          <w:szCs w:val="26"/>
        </w:rPr>
      </w:pPr>
    </w:p>
    <w:p w:rsidR="00CB281C" w:rsidRDefault="00185190" w14:paraId="57A14113" w14:textId="77777777">
      <w:pPr>
        <w:widowControl/>
        <w:rPr>
          <w:sz w:val="26"/>
          <w:szCs w:val="26"/>
        </w:rPr>
      </w:pPr>
      <w:r>
        <w:rPr>
          <w:sz w:val="26"/>
          <w:szCs w:val="26"/>
        </w:rPr>
        <w:t xml:space="preserve">Filing requirements are periodically reviewed as OMB review dates arise or as the Commission may deem necessary in carrying out its regulatory responsibilities under the Act in an effort to alleviate duplication.  All Commission information collections are subject to analysis by Commission staff and are examined for redundancy.  To date, the Commission has not found duplication of the proposed data requirements.  </w:t>
      </w:r>
    </w:p>
    <w:p w:rsidR="00CB281C" w:rsidRDefault="00CB281C" w14:paraId="604A4D0B" w14:textId="77777777">
      <w:pPr>
        <w:widowControl/>
        <w:rPr>
          <w:sz w:val="26"/>
          <w:szCs w:val="26"/>
        </w:rPr>
      </w:pPr>
    </w:p>
    <w:p w:rsidR="00CB281C" w:rsidRDefault="00185190" w14:paraId="1D7A825A" w14:textId="77777777">
      <w:pPr>
        <w:rPr>
          <w:sz w:val="26"/>
          <w:szCs w:val="26"/>
        </w:rPr>
      </w:pPr>
      <w:r>
        <w:rPr>
          <w:sz w:val="26"/>
          <w:szCs w:val="26"/>
        </w:rPr>
        <w:t>While some jurisdictional entities may file similar information with the Securities and Exchange Commission (SEC), the level of detail concerning assets, liabilities, stockholders' equity along with the revenues, expenses, gains, and losses is different for the Commission and the SEC.  The financial statements filed with the SEC are on a consolidated, or parent company basis.  A majority of the jurisdictional entities that the Commission regulates file financial information with the SEC that consolidates their assets, liabilities and profits with their parent company, or combine the regulated and unregulated operations in the reports to the SEC.  While consolidation is appropriate for SEC reporting, the Commission requires more detailed information concerning the results of operations, and the financial position of each jurisdictional entity in order to meet its regulatory needs.  Therefore, the Commission has required jurisdictional entities to file financial information on a jurisdictional entity level basis using the Uniform System of Accounts.  Additionally, the requested information is unique to each individual pipeline and its own particular circumstances, not that of its parent.  Each pipeline will be the best judge of whether and how to update its 2019 annual cost of service based upon the ROE Policy Statement.</w:t>
      </w:r>
    </w:p>
    <w:p w:rsidR="00CB281C" w:rsidRDefault="00CB281C" w14:paraId="7FE78AFC" w14:textId="77777777">
      <w:pPr>
        <w:widowControl/>
        <w:rPr>
          <w:sz w:val="26"/>
          <w:szCs w:val="26"/>
        </w:rPr>
      </w:pPr>
    </w:p>
    <w:p w:rsidR="00CB281C" w:rsidRDefault="00185190" w14:paraId="70CBF302" w14:textId="77777777">
      <w:pPr>
        <w:widowControl/>
        <w:tabs>
          <w:tab w:val="left" w:pos="-1440"/>
        </w:tabs>
        <w:ind w:left="720" w:hanging="720"/>
        <w:rPr>
          <w:sz w:val="26"/>
          <w:szCs w:val="26"/>
        </w:rPr>
      </w:pPr>
      <w:r>
        <w:rPr>
          <w:sz w:val="26"/>
          <w:szCs w:val="26"/>
        </w:rPr>
        <w:t>5.</w:t>
      </w:r>
      <w:r>
        <w:rPr>
          <w:sz w:val="26"/>
          <w:szCs w:val="26"/>
        </w:rPr>
        <w:tab/>
      </w:r>
      <w:r>
        <w:rPr>
          <w:b/>
          <w:bCs/>
          <w:sz w:val="26"/>
          <w:szCs w:val="26"/>
        </w:rPr>
        <w:t>METHODS USED TO MINIMIZE BURDEN IN COLLECTION OF INFORMATION INVOLVING SMALL ENTITIES</w:t>
      </w:r>
    </w:p>
    <w:p w:rsidR="00CB281C" w:rsidRDefault="00CB281C" w14:paraId="5B369188" w14:textId="77777777">
      <w:pPr>
        <w:widowControl/>
        <w:rPr>
          <w:bCs/>
          <w:sz w:val="26"/>
          <w:szCs w:val="26"/>
        </w:rPr>
      </w:pPr>
    </w:p>
    <w:p w:rsidR="00CB281C" w:rsidRDefault="00185190" w14:paraId="5779E758" w14:textId="77777777">
      <w:pPr>
        <w:widowControl/>
        <w:rPr>
          <w:sz w:val="26"/>
          <w:szCs w:val="26"/>
        </w:rPr>
      </w:pPr>
      <w:r>
        <w:rPr>
          <w:bCs/>
          <w:sz w:val="26"/>
          <w:szCs w:val="26"/>
        </w:rPr>
        <w:t>Pipelines of all sizes are required to file page 700,</w:t>
      </w:r>
      <w:r>
        <w:rPr>
          <w:rStyle w:val="FootnoteReference"/>
          <w:b/>
          <w:bCs/>
          <w:sz w:val="26"/>
          <w:szCs w:val="26"/>
          <w:vertAlign w:val="superscript"/>
        </w:rPr>
        <w:footnoteReference w:id="14"/>
      </w:r>
      <w:r>
        <w:rPr>
          <w:bCs/>
          <w:sz w:val="26"/>
          <w:szCs w:val="26"/>
        </w:rPr>
        <w:t xml:space="preserve"> and thus, this information collection will apply to small entities.  </w:t>
      </w:r>
      <w:r>
        <w:rPr>
          <w:sz w:val="26"/>
          <w:szCs w:val="26"/>
        </w:rPr>
        <w:t>However, the current request for information is voluntary and only applies to page 700.  Furthermore, industry-wide data (including data from small entities) is desirable for the purposes of determining the index, which is applicable industry-wide (including to small entities).</w:t>
      </w:r>
    </w:p>
    <w:p w:rsidR="00CB281C" w:rsidRDefault="00CB281C" w14:paraId="7AAD0C1B" w14:textId="77777777">
      <w:pPr>
        <w:widowControl/>
        <w:rPr>
          <w:sz w:val="26"/>
          <w:szCs w:val="26"/>
        </w:rPr>
      </w:pPr>
    </w:p>
    <w:p w:rsidR="00CB281C" w:rsidRDefault="00185190" w14:paraId="5BB672A6" w14:textId="77777777">
      <w:pPr>
        <w:widowControl/>
        <w:tabs>
          <w:tab w:val="left" w:pos="-1440"/>
        </w:tabs>
        <w:ind w:left="720" w:hanging="720"/>
        <w:rPr>
          <w:b/>
          <w:bCs/>
          <w:sz w:val="26"/>
          <w:szCs w:val="26"/>
        </w:rPr>
      </w:pPr>
      <w:r>
        <w:rPr>
          <w:sz w:val="26"/>
          <w:szCs w:val="26"/>
        </w:rPr>
        <w:t>6.</w:t>
      </w:r>
      <w:r>
        <w:rPr>
          <w:sz w:val="26"/>
          <w:szCs w:val="26"/>
        </w:rPr>
        <w:tab/>
      </w:r>
      <w:r>
        <w:rPr>
          <w:b/>
          <w:bCs/>
          <w:sz w:val="26"/>
          <w:szCs w:val="26"/>
        </w:rPr>
        <w:t>CONSEQUENCE TO FEDERAL PROGRAM IF COLLECTION WERE CONDUCTED LESS FREQUENTLY</w:t>
      </w:r>
    </w:p>
    <w:p w:rsidR="00CB281C" w:rsidRDefault="00CB281C" w14:paraId="01593A7A" w14:textId="77777777">
      <w:pPr>
        <w:widowControl/>
        <w:rPr>
          <w:sz w:val="26"/>
          <w:szCs w:val="26"/>
        </w:rPr>
      </w:pPr>
    </w:p>
    <w:p w:rsidR="00CB281C" w:rsidRDefault="00185190" w14:paraId="57250A93" w14:textId="77777777">
      <w:pPr>
        <w:widowControl/>
        <w:rPr>
          <w:sz w:val="26"/>
          <w:szCs w:val="26"/>
        </w:rPr>
      </w:pPr>
      <w:r>
        <w:rPr>
          <w:sz w:val="26"/>
          <w:szCs w:val="26"/>
        </w:rPr>
        <w:lastRenderedPageBreak/>
        <w:t>As explained in the ROE Policy Statement, this voluntary, one-time information collection (re-filing of page 700 of Form 6 [covered under FERC-6(PL)]) may help the Commission better estimate industry-wide cost changes for purposes of the five-year review.  If the Commission does not collect this updated data until pipelines submit their regular 2020 FERC Form No. 6 filings on April 18, 2021, the Commission would be unable to incorporate the effects of the ROE policy change in the five-year review, which must be completed prior to index filings submitted in May or June of the following year.  This, in turn, could impact the calculation of the index level used to determine annual pipeline index rate changes for the 2021-2026 period.</w:t>
      </w:r>
    </w:p>
    <w:p w:rsidR="00CB281C" w:rsidRDefault="00CB281C" w14:paraId="43138258" w14:textId="77777777">
      <w:pPr>
        <w:widowControl/>
        <w:rPr>
          <w:sz w:val="26"/>
          <w:szCs w:val="26"/>
        </w:rPr>
      </w:pPr>
    </w:p>
    <w:p w:rsidR="00CB281C" w:rsidRDefault="00185190" w14:paraId="5E7C4036" w14:textId="77777777">
      <w:pPr>
        <w:widowControl/>
        <w:tabs>
          <w:tab w:val="left" w:pos="-1440"/>
        </w:tabs>
        <w:ind w:left="720" w:hanging="720"/>
        <w:rPr>
          <w:b/>
          <w:bCs/>
          <w:sz w:val="26"/>
          <w:szCs w:val="26"/>
        </w:rPr>
      </w:pPr>
      <w:r>
        <w:rPr>
          <w:sz w:val="26"/>
          <w:szCs w:val="26"/>
        </w:rPr>
        <w:t>7.</w:t>
      </w:r>
      <w:r>
        <w:rPr>
          <w:sz w:val="26"/>
          <w:szCs w:val="26"/>
        </w:rPr>
        <w:tab/>
      </w:r>
      <w:r>
        <w:rPr>
          <w:b/>
          <w:bCs/>
          <w:sz w:val="26"/>
          <w:szCs w:val="26"/>
        </w:rPr>
        <w:t>EXPLAIN ANY SPECIAL CIRCUMSTANCES RELATING TO THE INFORMATION COLLECTION</w:t>
      </w:r>
    </w:p>
    <w:p w:rsidR="00CB281C" w:rsidRDefault="00CB281C" w14:paraId="5FB83414" w14:textId="77777777">
      <w:pPr>
        <w:widowControl/>
        <w:tabs>
          <w:tab w:val="left" w:pos="-1440"/>
        </w:tabs>
        <w:ind w:left="720" w:hanging="720"/>
        <w:rPr>
          <w:b/>
          <w:bCs/>
          <w:sz w:val="26"/>
          <w:szCs w:val="26"/>
        </w:rPr>
      </w:pPr>
    </w:p>
    <w:p w:rsidR="00CB281C" w:rsidRDefault="00185190" w14:paraId="38B2C2A6" w14:textId="77777777">
      <w:pPr>
        <w:widowControl/>
        <w:rPr>
          <w:sz w:val="26"/>
          <w:szCs w:val="26"/>
        </w:rPr>
      </w:pPr>
      <w:r>
        <w:rPr>
          <w:sz w:val="26"/>
          <w:szCs w:val="26"/>
        </w:rPr>
        <w:t>There are no special circumstances.</w:t>
      </w:r>
    </w:p>
    <w:p w:rsidR="00CB281C" w:rsidRDefault="00CB281C" w14:paraId="3CE23CE9" w14:textId="77777777">
      <w:pPr>
        <w:widowControl/>
        <w:ind w:left="720"/>
        <w:rPr>
          <w:sz w:val="26"/>
          <w:szCs w:val="26"/>
        </w:rPr>
      </w:pPr>
    </w:p>
    <w:p w:rsidR="00CB281C" w:rsidRDefault="00185190" w14:paraId="4E4791FB" w14:textId="77777777">
      <w:pPr>
        <w:widowControl/>
        <w:tabs>
          <w:tab w:val="left" w:pos="-1440"/>
        </w:tabs>
        <w:ind w:left="720" w:hanging="720"/>
        <w:rPr>
          <w:b/>
          <w:bCs/>
          <w:sz w:val="26"/>
          <w:szCs w:val="26"/>
        </w:rPr>
      </w:pPr>
      <w:r>
        <w:rPr>
          <w:sz w:val="26"/>
          <w:szCs w:val="26"/>
        </w:rPr>
        <w:t>8.</w:t>
      </w:r>
      <w:r>
        <w:rPr>
          <w:sz w:val="26"/>
          <w:szCs w:val="26"/>
        </w:rPr>
        <w:tab/>
      </w:r>
      <w:r>
        <w:rPr>
          <w:b/>
          <w:bCs/>
          <w:sz w:val="26"/>
          <w:szCs w:val="26"/>
        </w:rPr>
        <w:t>DESCRIBE EFFORTS TO CONSULT OUTSIDE THE AGENCY: SUMMARIZE PUBLIC COMMENTS AND THE AGENCY'S RESPONSE TO THESE COMMENTS</w:t>
      </w:r>
    </w:p>
    <w:p w:rsidR="00CB281C" w:rsidRDefault="00CB281C" w14:paraId="2AB83422" w14:textId="77777777">
      <w:pPr>
        <w:widowControl/>
        <w:rPr>
          <w:sz w:val="26"/>
          <w:szCs w:val="26"/>
        </w:rPr>
      </w:pPr>
    </w:p>
    <w:p w:rsidR="00CB281C" w:rsidRDefault="00185190" w14:paraId="77B4D00B" w14:textId="176406AA">
      <w:pPr>
        <w:widowControl/>
        <w:rPr>
          <w:sz w:val="26"/>
          <w:szCs w:val="26"/>
        </w:rPr>
      </w:pPr>
      <w:r>
        <w:rPr>
          <w:sz w:val="26"/>
          <w:szCs w:val="26"/>
        </w:rPr>
        <w:t xml:space="preserve">The Commission solicited and received public comment in response to the Notice of Inquiry (NOI) in Docket No. PL19-4-000 regarding changes to the Commission’s ROE policies, including the use of multiple models </w:t>
      </w:r>
      <w:r w:rsidR="000F24E6">
        <w:rPr>
          <w:sz w:val="26"/>
          <w:szCs w:val="26"/>
        </w:rPr>
        <w:t xml:space="preserve">recommended </w:t>
      </w:r>
      <w:r>
        <w:rPr>
          <w:sz w:val="26"/>
          <w:szCs w:val="26"/>
        </w:rPr>
        <w:t xml:space="preserve">in the ROE Policy Statement.  However, although 5 of 223 commenters expressed concern that modifying the Commission’s ROE methodology could increase litigation expenses by increasing the number of disputes in litigated proceedings, such litigation costs are neither applicable to this information collection nor covered by the PRA.  As described above, the FERC-6(PL) information collection merely encourages pipelines to file updated page 700s reflecting ROEs based upon the methodology  </w:t>
      </w:r>
      <w:r w:rsidR="000F24E6">
        <w:rPr>
          <w:sz w:val="26"/>
          <w:szCs w:val="26"/>
        </w:rPr>
        <w:t xml:space="preserve">recommended </w:t>
      </w:r>
      <w:r>
        <w:rPr>
          <w:sz w:val="26"/>
          <w:szCs w:val="26"/>
        </w:rPr>
        <w:t>in the ROE Policy Statement, and no commenter indicated that such a calculation would be burdensome.  Although some commenters noted that revising the Commission’s policy to allow use of more than one source of growth rate data could impose additional service subscription costs,</w:t>
      </w:r>
      <w:r>
        <w:rPr>
          <w:rStyle w:val="FootnoteReference"/>
          <w:b/>
          <w:bCs/>
          <w:sz w:val="26"/>
          <w:szCs w:val="26"/>
          <w:vertAlign w:val="superscript"/>
        </w:rPr>
        <w:footnoteReference w:id="15"/>
      </w:r>
      <w:r>
        <w:rPr>
          <w:b/>
          <w:bCs/>
          <w:sz w:val="26"/>
          <w:szCs w:val="26"/>
        </w:rPr>
        <w:t xml:space="preserve"> </w:t>
      </w:r>
      <w:r>
        <w:rPr>
          <w:sz w:val="26"/>
          <w:szCs w:val="26"/>
        </w:rPr>
        <w:t xml:space="preserve">one of these commenters explained that the services considered in the ROE </w:t>
      </w:r>
      <w:r>
        <w:rPr>
          <w:sz w:val="26"/>
          <w:szCs w:val="26"/>
        </w:rPr>
        <w:lastRenderedPageBreak/>
        <w:t xml:space="preserve">Policy Statement (IBES and </w:t>
      </w:r>
      <w:r>
        <w:rPr>
          <w:i/>
          <w:iCs/>
          <w:sz w:val="26"/>
          <w:szCs w:val="26"/>
        </w:rPr>
        <w:t>Value Line</w:t>
      </w:r>
      <w:r>
        <w:rPr>
          <w:sz w:val="26"/>
          <w:szCs w:val="26"/>
        </w:rPr>
        <w:t>) are publicly available at low or no cost.</w:t>
      </w:r>
      <w:r>
        <w:rPr>
          <w:rStyle w:val="FootnoteReference"/>
          <w:b/>
          <w:bCs/>
          <w:sz w:val="26"/>
          <w:szCs w:val="26"/>
          <w:vertAlign w:val="superscript"/>
        </w:rPr>
        <w:footnoteReference w:id="16"/>
      </w:r>
      <w:r>
        <w:rPr>
          <w:sz w:val="26"/>
          <w:szCs w:val="26"/>
        </w:rPr>
        <w:t xml:space="preserve">  The other comments did not address issues covered by the PRA.  However, the NOI did not contemplate refiling of Page 700 of FERC Form No. 6 because it was uncertain whether the Commission would adopt a new oil pipeline ROE methodology.  Thus, the comments did not expressly address the burden or costs that pipelines would incur in developing and re-filing Page 700 of FERC Form No. 6 in response to this voluntary information request.</w:t>
      </w:r>
    </w:p>
    <w:p w:rsidR="00CB281C" w:rsidRDefault="00CB281C" w14:paraId="6E9E3213" w14:textId="77777777">
      <w:pPr>
        <w:widowControl/>
        <w:rPr>
          <w:sz w:val="26"/>
          <w:szCs w:val="26"/>
        </w:rPr>
      </w:pPr>
    </w:p>
    <w:p w:rsidR="00CB281C" w:rsidRDefault="00185190" w14:paraId="7442C750" w14:textId="0650F2B7">
      <w:pPr>
        <w:widowControl/>
        <w:rPr>
          <w:sz w:val="26"/>
          <w:szCs w:val="26"/>
        </w:rPr>
      </w:pPr>
      <w:r>
        <w:rPr>
          <w:sz w:val="26"/>
          <w:szCs w:val="26"/>
        </w:rPr>
        <w:t xml:space="preserve">The Commission also solicited and received public comments in response to the ROE Policy Statement in Docket No. PL19-4-000.  The Commission received five public comments, four of which address issues related to electric utilities and do not reference this information collection for oil pipelines.  </w:t>
      </w:r>
      <w:r w:rsidR="008A1518">
        <w:rPr>
          <w:sz w:val="26"/>
          <w:szCs w:val="26"/>
        </w:rPr>
        <w:t xml:space="preserve">  </w:t>
      </w:r>
      <w:r>
        <w:rPr>
          <w:sz w:val="26"/>
          <w:szCs w:val="26"/>
        </w:rPr>
        <w:t xml:space="preserve">On June 11, 2020, Liquids Shippers Group filed a motion for reconsideration of the ROE Policy Statement and a request for expedited action (Motion).  The Motion asserts that the voluntary information collection improperly gives pipelines discretion to file ROEs that are higher, which would increase the index level, while refraining from filing ROEs that are lower, which would decrease the index level.  Thus, the Motion states that the information collection will bias the record in the five-year review proceeding.  </w:t>
      </w:r>
    </w:p>
    <w:p w:rsidR="00CB281C" w:rsidRDefault="00CB281C" w14:paraId="40E537EE" w14:textId="77777777">
      <w:pPr>
        <w:widowControl/>
        <w:rPr>
          <w:sz w:val="26"/>
          <w:szCs w:val="26"/>
        </w:rPr>
      </w:pPr>
    </w:p>
    <w:p w:rsidR="00CB281C" w:rsidRDefault="00185190" w14:paraId="349F86A5" w14:textId="1B9B2A81">
      <w:pPr>
        <w:widowControl/>
        <w:rPr>
          <w:sz w:val="26"/>
          <w:szCs w:val="26"/>
        </w:rPr>
      </w:pPr>
      <w:bookmarkStart w:name="_Hlk43975993" w:id="2"/>
      <w:r>
        <w:rPr>
          <w:sz w:val="26"/>
          <w:szCs w:val="26"/>
        </w:rPr>
        <w:t>The full Commission will address the Motion in due course.  However, the Motion should not affect this request for OMB’s emergency processing and approval of the FERC-6(PL).  The Motion seeks to convert this voluntary information collection into a mandatory one, and implementing a mandatory collection at this time would likely delay the five-year review.  The Commission will address the merits of Liquids Shippers Group’s claims regarding the calculation of the index level in the five-year review proceeding itself, where the Commission has requested comments on that issue.</w:t>
      </w:r>
      <w:r>
        <w:rPr>
          <w:b/>
          <w:sz w:val="26"/>
          <w:szCs w:val="26"/>
          <w:vertAlign w:val="superscript"/>
        </w:rPr>
        <w:footnoteReference w:id="17"/>
      </w:r>
      <w:r>
        <w:rPr>
          <w:sz w:val="26"/>
          <w:szCs w:val="26"/>
        </w:rPr>
        <w:t xml:space="preserve">  The effect of this data on the Commission’s analysis in the five-year review will depend upon how many pipelines file updated page 700 data and the comments that the Commission receives.</w:t>
      </w:r>
      <w:bookmarkEnd w:id="2"/>
    </w:p>
    <w:p w:rsidR="00CB281C" w:rsidRDefault="00CB281C" w14:paraId="66FD31F8" w14:textId="77777777">
      <w:pPr>
        <w:widowControl/>
        <w:rPr>
          <w:sz w:val="26"/>
          <w:szCs w:val="26"/>
        </w:rPr>
      </w:pPr>
    </w:p>
    <w:p w:rsidR="00CB281C" w:rsidRDefault="00185190" w14:paraId="1A72E29E" w14:textId="77777777">
      <w:pPr>
        <w:widowControl/>
        <w:tabs>
          <w:tab w:val="left" w:pos="-1440"/>
        </w:tabs>
        <w:ind w:left="720" w:hanging="720"/>
        <w:rPr>
          <w:b/>
          <w:bCs/>
          <w:sz w:val="26"/>
          <w:szCs w:val="26"/>
        </w:rPr>
      </w:pPr>
      <w:r>
        <w:rPr>
          <w:sz w:val="26"/>
          <w:szCs w:val="26"/>
        </w:rPr>
        <w:t>9.</w:t>
      </w:r>
      <w:r>
        <w:rPr>
          <w:sz w:val="26"/>
          <w:szCs w:val="26"/>
        </w:rPr>
        <w:tab/>
      </w:r>
      <w:r>
        <w:rPr>
          <w:b/>
          <w:bCs/>
          <w:sz w:val="26"/>
          <w:szCs w:val="26"/>
        </w:rPr>
        <w:t>EXPLAIN ANY PAYMENT OR GIFTS TO RESPONDENTS</w:t>
      </w:r>
    </w:p>
    <w:p w:rsidR="00CB281C" w:rsidRDefault="00CB281C" w14:paraId="446C93FA" w14:textId="77777777">
      <w:pPr>
        <w:widowControl/>
        <w:rPr>
          <w:b/>
          <w:bCs/>
          <w:sz w:val="26"/>
          <w:szCs w:val="26"/>
        </w:rPr>
      </w:pPr>
    </w:p>
    <w:p w:rsidR="00CB281C" w:rsidRDefault="00185190" w14:paraId="1475A9BA" w14:textId="77777777">
      <w:pPr>
        <w:widowControl/>
        <w:rPr>
          <w:sz w:val="26"/>
          <w:szCs w:val="26"/>
        </w:rPr>
      </w:pPr>
      <w:r>
        <w:rPr>
          <w:sz w:val="26"/>
          <w:szCs w:val="26"/>
        </w:rPr>
        <w:t xml:space="preserve"> The Commission does not make any payments or gifts to respondents.</w:t>
      </w:r>
    </w:p>
    <w:p w:rsidR="00CB281C" w:rsidRDefault="00CB281C" w14:paraId="00FCF820" w14:textId="77777777">
      <w:pPr>
        <w:widowControl/>
        <w:rPr>
          <w:sz w:val="26"/>
          <w:szCs w:val="26"/>
        </w:rPr>
      </w:pPr>
    </w:p>
    <w:p w:rsidR="00CB281C" w:rsidRDefault="00185190" w14:paraId="03C795E8" w14:textId="77777777">
      <w:pPr>
        <w:widowControl/>
        <w:tabs>
          <w:tab w:val="left" w:pos="-1440"/>
        </w:tabs>
        <w:ind w:left="720" w:hanging="720"/>
        <w:rPr>
          <w:b/>
          <w:bCs/>
          <w:sz w:val="26"/>
          <w:szCs w:val="26"/>
        </w:rPr>
      </w:pPr>
      <w:r>
        <w:rPr>
          <w:sz w:val="26"/>
          <w:szCs w:val="26"/>
        </w:rPr>
        <w:t>10.</w:t>
      </w:r>
      <w:r>
        <w:rPr>
          <w:sz w:val="26"/>
          <w:szCs w:val="26"/>
        </w:rPr>
        <w:tab/>
      </w:r>
      <w:r>
        <w:rPr>
          <w:b/>
          <w:bCs/>
          <w:sz w:val="26"/>
          <w:szCs w:val="26"/>
        </w:rPr>
        <w:t>DESCRIBE ANY ASSURANCE OF CONFIDENTIALITY PROVIDED TO RESPONDENTS</w:t>
      </w:r>
    </w:p>
    <w:p w:rsidR="00CB281C" w:rsidRDefault="00CB281C" w14:paraId="1ACE9431" w14:textId="77777777">
      <w:pPr>
        <w:widowControl/>
        <w:ind w:left="720" w:firstLine="720"/>
        <w:rPr>
          <w:bCs/>
          <w:sz w:val="26"/>
          <w:szCs w:val="26"/>
        </w:rPr>
      </w:pPr>
    </w:p>
    <w:p w:rsidR="00CB281C" w:rsidRDefault="00185190" w14:paraId="0217CF8A" w14:textId="77777777">
      <w:pPr>
        <w:widowControl/>
        <w:rPr>
          <w:bCs/>
          <w:sz w:val="26"/>
          <w:szCs w:val="26"/>
        </w:rPr>
      </w:pPr>
      <w:r>
        <w:rPr>
          <w:bCs/>
          <w:sz w:val="26"/>
          <w:szCs w:val="26"/>
        </w:rPr>
        <w:lastRenderedPageBreak/>
        <w:t>The information collected in FERC Form No. 6 (and the FERC-6(PL)) is publicly available.  The Commission will consider specific requests for confidential treatment to the extent permitted by law.</w:t>
      </w:r>
      <w:r>
        <w:rPr>
          <w:rStyle w:val="FootnoteReference"/>
          <w:b/>
          <w:sz w:val="26"/>
          <w:szCs w:val="26"/>
          <w:vertAlign w:val="superscript"/>
        </w:rPr>
        <w:footnoteReference w:id="18"/>
      </w:r>
      <w:r>
        <w:rPr>
          <w:b/>
          <w:sz w:val="26"/>
          <w:szCs w:val="26"/>
          <w:vertAlign w:val="superscript"/>
        </w:rPr>
        <w:t xml:space="preserve"> </w:t>
      </w:r>
      <w:r>
        <w:rPr>
          <w:b/>
          <w:sz w:val="26"/>
          <w:szCs w:val="26"/>
        </w:rPr>
        <w:t xml:space="preserve"> </w:t>
      </w:r>
    </w:p>
    <w:p w:rsidR="00CB281C" w:rsidRDefault="00CB281C" w14:paraId="66818A01" w14:textId="77777777">
      <w:pPr>
        <w:pStyle w:val="FERCparanumber"/>
        <w:widowControl/>
        <w:numPr>
          <w:ilvl w:val="0"/>
          <w:numId w:val="0"/>
        </w:numPr>
        <w:autoSpaceDE/>
        <w:autoSpaceDN/>
        <w:adjustRightInd/>
        <w:spacing w:line="240" w:lineRule="auto"/>
        <w:ind w:firstLine="720"/>
        <w:rPr>
          <w:szCs w:val="26"/>
        </w:rPr>
      </w:pPr>
    </w:p>
    <w:p w:rsidR="00CB281C" w:rsidRDefault="00185190" w14:paraId="129838A6" w14:textId="77777777">
      <w:pPr>
        <w:widowControl/>
        <w:tabs>
          <w:tab w:val="left" w:pos="-1440"/>
        </w:tabs>
        <w:ind w:left="720" w:hanging="720"/>
        <w:rPr>
          <w:b/>
          <w:bCs/>
          <w:sz w:val="26"/>
          <w:szCs w:val="26"/>
        </w:rPr>
      </w:pPr>
      <w:r>
        <w:rPr>
          <w:sz w:val="26"/>
          <w:szCs w:val="26"/>
        </w:rPr>
        <w:t>11.</w:t>
      </w:r>
      <w:r>
        <w:rPr>
          <w:sz w:val="26"/>
          <w:szCs w:val="26"/>
        </w:rPr>
        <w:tab/>
      </w:r>
      <w:r>
        <w:rPr>
          <w:b/>
          <w:bCs/>
          <w:sz w:val="26"/>
          <w:szCs w:val="26"/>
        </w:rPr>
        <w:t>PROVIDE ADDITIONAL JUSTIFICATION FOR ANY QUESTIONS OF A SENSITIVE NATURE, SUCH AS SEXUAL BEHAVIOR AND ATTITUDES, RELIGIOUS BELIEFS, AND OTHER MATTERS THAT ARE COMMONLY CONSIDERED PRIVATE</w:t>
      </w:r>
    </w:p>
    <w:p w:rsidR="00CB281C" w:rsidRDefault="00CB281C" w14:paraId="74C1F6CB" w14:textId="77777777">
      <w:pPr>
        <w:widowControl/>
        <w:tabs>
          <w:tab w:val="left" w:pos="-1440"/>
        </w:tabs>
        <w:ind w:left="720" w:hanging="720"/>
        <w:rPr>
          <w:b/>
          <w:bCs/>
          <w:sz w:val="26"/>
          <w:szCs w:val="26"/>
        </w:rPr>
      </w:pPr>
    </w:p>
    <w:p w:rsidR="00CB281C" w:rsidRDefault="00185190" w14:paraId="5025B651" w14:textId="77777777">
      <w:pPr>
        <w:widowControl/>
        <w:rPr>
          <w:sz w:val="26"/>
          <w:szCs w:val="26"/>
        </w:rPr>
      </w:pPr>
      <w:r>
        <w:rPr>
          <w:sz w:val="26"/>
          <w:szCs w:val="26"/>
        </w:rPr>
        <w:t xml:space="preserve">The FERC-6(PL) does not contain questions of a sensitive nature. </w:t>
      </w:r>
    </w:p>
    <w:p w:rsidR="00CB281C" w:rsidRDefault="00CB281C" w14:paraId="51D022E8" w14:textId="77777777">
      <w:pPr>
        <w:widowControl/>
        <w:ind w:left="720" w:firstLine="720"/>
        <w:rPr>
          <w:sz w:val="26"/>
          <w:szCs w:val="26"/>
        </w:rPr>
      </w:pPr>
    </w:p>
    <w:p w:rsidR="00CB281C" w:rsidRDefault="00185190" w14:paraId="38D8042F" w14:textId="77777777">
      <w:pPr>
        <w:widowControl/>
        <w:tabs>
          <w:tab w:val="left" w:pos="-1440"/>
        </w:tabs>
        <w:ind w:left="720" w:hanging="720"/>
        <w:rPr>
          <w:b/>
          <w:bCs/>
          <w:sz w:val="26"/>
          <w:szCs w:val="26"/>
        </w:rPr>
      </w:pPr>
      <w:r>
        <w:rPr>
          <w:sz w:val="26"/>
          <w:szCs w:val="26"/>
        </w:rPr>
        <w:t>12.</w:t>
      </w:r>
      <w:r>
        <w:rPr>
          <w:sz w:val="26"/>
          <w:szCs w:val="26"/>
        </w:rPr>
        <w:tab/>
      </w:r>
      <w:r>
        <w:rPr>
          <w:b/>
          <w:bCs/>
          <w:sz w:val="26"/>
          <w:szCs w:val="26"/>
        </w:rPr>
        <w:t>ESTIMATED BURDEN OF COLLECTION OF INFORMATION</w:t>
      </w:r>
    </w:p>
    <w:p w:rsidR="00CB281C" w:rsidRDefault="00CB281C" w14:paraId="52255A1C" w14:textId="77777777">
      <w:pPr>
        <w:widowControl/>
        <w:tabs>
          <w:tab w:val="left" w:pos="-1440"/>
        </w:tabs>
        <w:ind w:left="1440" w:hanging="720"/>
        <w:rPr>
          <w:b/>
          <w:bCs/>
          <w:sz w:val="26"/>
          <w:szCs w:val="26"/>
        </w:rPr>
      </w:pPr>
    </w:p>
    <w:p w:rsidR="00CB281C" w:rsidRDefault="00185190" w14:paraId="7DFED89B" w14:textId="77777777">
      <w:pPr>
        <w:rPr>
          <w:sz w:val="26"/>
          <w:szCs w:val="26"/>
        </w:rPr>
      </w:pPr>
      <w:r>
        <w:rPr>
          <w:i/>
          <w:sz w:val="26"/>
          <w:szCs w:val="26"/>
        </w:rPr>
        <w:t>Estimates of Annual Burden</w:t>
      </w:r>
      <w:r>
        <w:rPr>
          <w:rStyle w:val="FootnoteReference"/>
          <w:b/>
          <w:bCs/>
          <w:sz w:val="26"/>
          <w:szCs w:val="26"/>
          <w:vertAlign w:val="superscript"/>
        </w:rPr>
        <w:footnoteReference w:id="19"/>
      </w:r>
      <w:r>
        <w:rPr>
          <w:i/>
          <w:sz w:val="26"/>
          <w:szCs w:val="26"/>
        </w:rPr>
        <w:t xml:space="preserve"> and Cost</w:t>
      </w:r>
      <w:r>
        <w:rPr>
          <w:rStyle w:val="FootnoteReference"/>
          <w:b/>
          <w:bCs/>
          <w:sz w:val="26"/>
          <w:szCs w:val="26"/>
          <w:vertAlign w:val="superscript"/>
        </w:rPr>
        <w:footnoteReference w:id="20"/>
      </w:r>
      <w:r>
        <w:rPr>
          <w:sz w:val="26"/>
          <w:szCs w:val="26"/>
        </w:rPr>
        <w:t>:  The following table shows the estimated additional, one-time burden and cost due to this information collection, which includes developing updated ROE, making a commensurate update to the total cost of service, and refiling the FERC Form No. 6 to reflect an updated page 700, burden that will be covered under FERC-6(PL).  While refiling is optional, FERC developed the below estimates by conservatively assuming a 100% response rate. The table includes the industry cost of performing cost-of-equity studies to develop an updated ROE for the period ending December 31, 2019 and to revise the annual cost of service shown on page 700 of FERC Form No. 6.  The next row shows the cost of reflecting the updated ROEs and revised total costs of service on page 700.</w:t>
      </w:r>
    </w:p>
    <w:p w:rsidR="00CB281C" w:rsidRDefault="00CB281C" w14:paraId="34C8BCDA" w14:textId="77777777">
      <w:pPr>
        <w:rPr>
          <w:sz w:val="26"/>
          <w:szCs w:val="26"/>
        </w:rPr>
      </w:pPr>
    </w:p>
    <w:p w:rsidR="00CB281C" w:rsidRDefault="00CB281C" w14:paraId="1401CB7E" w14:textId="77777777">
      <w:pPr>
        <w:widowControl/>
        <w:rPr>
          <w:sz w:val="26"/>
          <w:szCs w:val="26"/>
        </w:rPr>
      </w:pPr>
    </w:p>
    <w:tbl>
      <w:tblPr>
        <w:tblStyle w:val="TableGrid"/>
        <w:tblW w:w="9985" w:type="dxa"/>
        <w:tblLayout w:type="fixed"/>
        <w:tblLook w:val="04A0" w:firstRow="1" w:lastRow="0" w:firstColumn="1" w:lastColumn="0" w:noHBand="0" w:noVBand="1"/>
      </w:tblPr>
      <w:tblGrid>
        <w:gridCol w:w="985"/>
        <w:gridCol w:w="1710"/>
        <w:gridCol w:w="1620"/>
        <w:gridCol w:w="1170"/>
        <w:gridCol w:w="1260"/>
        <w:gridCol w:w="1710"/>
        <w:gridCol w:w="1530"/>
      </w:tblGrid>
      <w:tr w:rsidR="00CB281C" w14:paraId="67E129C5" w14:textId="77777777">
        <w:trPr>
          <w:cantSplit/>
          <w:tblHeader/>
        </w:trPr>
        <w:tc>
          <w:tcPr>
            <w:tcW w:w="9985" w:type="dxa"/>
            <w:gridSpan w:val="7"/>
            <w:vAlign w:val="bottom"/>
          </w:tcPr>
          <w:p w:rsidR="00CB281C" w:rsidRDefault="00185190" w14:paraId="23E86183" w14:textId="77777777">
            <w:pPr>
              <w:widowControl/>
              <w:jc w:val="center"/>
              <w:rPr>
                <w:b/>
                <w:sz w:val="26"/>
                <w:szCs w:val="26"/>
              </w:rPr>
            </w:pPr>
            <w:bookmarkStart w:name="_Hlk43909640" w:id="3"/>
            <w:r>
              <w:rPr>
                <w:b/>
                <w:sz w:val="26"/>
                <w:szCs w:val="26"/>
              </w:rPr>
              <w:lastRenderedPageBreak/>
              <w:t>FERC-6(PL)--Estimated Annual Burden due to Docket No. PL19-4</w:t>
            </w:r>
            <w:r>
              <w:rPr>
                <w:b/>
                <w:sz w:val="26"/>
                <w:szCs w:val="26"/>
                <w:vertAlign w:val="superscript"/>
              </w:rPr>
              <w:footnoteReference w:id="21"/>
            </w:r>
          </w:p>
          <w:p w:rsidR="00CB281C" w:rsidRDefault="00185190" w14:paraId="24F1B608" w14:textId="77777777">
            <w:pPr>
              <w:widowControl/>
              <w:jc w:val="center"/>
              <w:rPr>
                <w:b/>
                <w:sz w:val="26"/>
                <w:szCs w:val="26"/>
              </w:rPr>
            </w:pPr>
            <w:r>
              <w:rPr>
                <w:b/>
                <w:sz w:val="26"/>
                <w:szCs w:val="26"/>
              </w:rPr>
              <w:t>(Figures may be rounded</w:t>
            </w:r>
            <w:r>
              <w:rPr>
                <w:b/>
                <w:bCs/>
                <w:sz w:val="26"/>
                <w:szCs w:val="26"/>
              </w:rPr>
              <w:t>)</w:t>
            </w:r>
          </w:p>
        </w:tc>
      </w:tr>
      <w:tr w:rsidR="00CB281C" w14:paraId="71BEA301" w14:textId="77777777">
        <w:trPr>
          <w:cantSplit/>
          <w:tblHeader/>
        </w:trPr>
        <w:tc>
          <w:tcPr>
            <w:tcW w:w="985" w:type="dxa"/>
            <w:vAlign w:val="bottom"/>
          </w:tcPr>
          <w:p w:rsidR="00CB281C" w:rsidRDefault="00CB281C" w14:paraId="440C54BD" w14:textId="77777777">
            <w:pPr>
              <w:widowControl/>
              <w:rPr>
                <w:sz w:val="26"/>
                <w:szCs w:val="26"/>
              </w:rPr>
            </w:pPr>
          </w:p>
        </w:tc>
        <w:tc>
          <w:tcPr>
            <w:tcW w:w="1710" w:type="dxa"/>
            <w:vAlign w:val="bottom"/>
          </w:tcPr>
          <w:p w:rsidR="00CB281C" w:rsidRDefault="00185190" w14:paraId="281BBF43" w14:textId="77777777">
            <w:pPr>
              <w:widowControl/>
              <w:jc w:val="center"/>
              <w:rPr>
                <w:sz w:val="26"/>
                <w:szCs w:val="26"/>
              </w:rPr>
            </w:pPr>
            <w:r>
              <w:rPr>
                <w:b/>
                <w:sz w:val="26"/>
                <w:szCs w:val="26"/>
              </w:rPr>
              <w:t>Number of Potential Respondents</w:t>
            </w:r>
            <w:r>
              <w:rPr>
                <w:b/>
                <w:sz w:val="26"/>
                <w:szCs w:val="26"/>
              </w:rPr>
              <w:br/>
              <w:t>(1)</w:t>
            </w:r>
          </w:p>
        </w:tc>
        <w:tc>
          <w:tcPr>
            <w:tcW w:w="1620" w:type="dxa"/>
            <w:vAlign w:val="bottom"/>
          </w:tcPr>
          <w:p w:rsidR="00CB281C" w:rsidRDefault="00185190" w14:paraId="4B8536B2" w14:textId="77777777">
            <w:pPr>
              <w:widowControl/>
              <w:jc w:val="center"/>
              <w:rPr>
                <w:b/>
                <w:sz w:val="26"/>
                <w:szCs w:val="26"/>
              </w:rPr>
            </w:pPr>
            <w:r>
              <w:rPr>
                <w:b/>
                <w:sz w:val="26"/>
                <w:szCs w:val="26"/>
              </w:rPr>
              <w:t>Annual Number of Responses Per Respondent</w:t>
            </w:r>
          </w:p>
          <w:p w:rsidR="00CB281C" w:rsidRDefault="00185190" w14:paraId="50901DD5" w14:textId="77777777">
            <w:pPr>
              <w:widowControl/>
              <w:jc w:val="center"/>
              <w:rPr>
                <w:sz w:val="26"/>
                <w:szCs w:val="26"/>
              </w:rPr>
            </w:pPr>
            <w:r>
              <w:rPr>
                <w:b/>
                <w:sz w:val="26"/>
                <w:szCs w:val="26"/>
              </w:rPr>
              <w:t>(2)</w:t>
            </w:r>
          </w:p>
        </w:tc>
        <w:tc>
          <w:tcPr>
            <w:tcW w:w="1170" w:type="dxa"/>
            <w:vAlign w:val="bottom"/>
          </w:tcPr>
          <w:p w:rsidR="00CB281C" w:rsidRDefault="00185190" w14:paraId="43D5660C" w14:textId="77777777">
            <w:pPr>
              <w:widowControl/>
              <w:jc w:val="center"/>
              <w:rPr>
                <w:b/>
                <w:sz w:val="26"/>
                <w:szCs w:val="26"/>
              </w:rPr>
            </w:pPr>
            <w:r>
              <w:rPr>
                <w:b/>
                <w:sz w:val="26"/>
                <w:szCs w:val="26"/>
              </w:rPr>
              <w:t>Total Number of Responses</w:t>
            </w:r>
          </w:p>
          <w:p w:rsidR="00CB281C" w:rsidRDefault="00185190" w14:paraId="6CB8A2E3" w14:textId="77777777">
            <w:pPr>
              <w:widowControl/>
              <w:jc w:val="center"/>
              <w:rPr>
                <w:sz w:val="26"/>
                <w:szCs w:val="26"/>
              </w:rPr>
            </w:pPr>
            <w:r>
              <w:rPr>
                <w:b/>
                <w:sz w:val="26"/>
                <w:szCs w:val="26"/>
              </w:rPr>
              <w:t>(1)*(2)= (3)</w:t>
            </w:r>
          </w:p>
        </w:tc>
        <w:tc>
          <w:tcPr>
            <w:tcW w:w="1260" w:type="dxa"/>
            <w:vAlign w:val="bottom"/>
          </w:tcPr>
          <w:p w:rsidR="00CB281C" w:rsidRDefault="00185190" w14:paraId="024DD814" w14:textId="77777777">
            <w:pPr>
              <w:widowControl/>
              <w:jc w:val="center"/>
              <w:rPr>
                <w:b/>
                <w:sz w:val="26"/>
                <w:szCs w:val="26"/>
              </w:rPr>
            </w:pPr>
            <w:r>
              <w:rPr>
                <w:b/>
                <w:sz w:val="26"/>
                <w:szCs w:val="26"/>
              </w:rPr>
              <w:t>Average Burden Hours &amp; Cost ($) Per Response</w:t>
            </w:r>
          </w:p>
          <w:p w:rsidR="00CB281C" w:rsidRDefault="00185190" w14:paraId="7F67233F" w14:textId="77777777">
            <w:pPr>
              <w:widowControl/>
              <w:jc w:val="center"/>
              <w:rPr>
                <w:sz w:val="26"/>
                <w:szCs w:val="26"/>
              </w:rPr>
            </w:pPr>
            <w:r>
              <w:rPr>
                <w:b/>
                <w:sz w:val="26"/>
                <w:szCs w:val="26"/>
              </w:rPr>
              <w:t>(4)</w:t>
            </w:r>
          </w:p>
        </w:tc>
        <w:tc>
          <w:tcPr>
            <w:tcW w:w="1710" w:type="dxa"/>
            <w:vAlign w:val="bottom"/>
          </w:tcPr>
          <w:p w:rsidR="00CB281C" w:rsidRDefault="00185190" w14:paraId="32C019A2" w14:textId="77777777">
            <w:pPr>
              <w:widowControl/>
              <w:jc w:val="center"/>
              <w:rPr>
                <w:b/>
                <w:sz w:val="26"/>
                <w:szCs w:val="26"/>
              </w:rPr>
            </w:pPr>
            <w:r>
              <w:rPr>
                <w:b/>
                <w:sz w:val="26"/>
                <w:szCs w:val="26"/>
              </w:rPr>
              <w:t>Total Annual Burden Hours &amp; Total Annual Cost ($)</w:t>
            </w:r>
          </w:p>
          <w:p w:rsidR="00CB281C" w:rsidRDefault="00185190" w14:paraId="0EA41C12" w14:textId="77777777">
            <w:pPr>
              <w:widowControl/>
              <w:jc w:val="center"/>
              <w:rPr>
                <w:b/>
                <w:sz w:val="26"/>
                <w:szCs w:val="26"/>
              </w:rPr>
            </w:pPr>
            <w:r>
              <w:rPr>
                <w:b/>
                <w:sz w:val="26"/>
                <w:szCs w:val="26"/>
              </w:rPr>
              <w:t>(3)*(4)=</w:t>
            </w:r>
          </w:p>
          <w:p w:rsidR="00CB281C" w:rsidRDefault="00185190" w14:paraId="48D58534" w14:textId="77777777">
            <w:pPr>
              <w:widowControl/>
              <w:jc w:val="center"/>
              <w:rPr>
                <w:sz w:val="26"/>
                <w:szCs w:val="26"/>
              </w:rPr>
            </w:pPr>
            <w:r>
              <w:rPr>
                <w:b/>
                <w:sz w:val="26"/>
                <w:szCs w:val="26"/>
              </w:rPr>
              <w:t>(5)</w:t>
            </w:r>
          </w:p>
        </w:tc>
        <w:tc>
          <w:tcPr>
            <w:tcW w:w="1530" w:type="dxa"/>
            <w:vAlign w:val="bottom"/>
          </w:tcPr>
          <w:p w:rsidR="00CB281C" w:rsidRDefault="00185190" w14:paraId="4263EB3D" w14:textId="77777777">
            <w:pPr>
              <w:widowControl/>
              <w:jc w:val="center"/>
              <w:rPr>
                <w:b/>
                <w:sz w:val="26"/>
                <w:szCs w:val="26"/>
              </w:rPr>
            </w:pPr>
            <w:r>
              <w:rPr>
                <w:b/>
                <w:sz w:val="26"/>
                <w:szCs w:val="26"/>
              </w:rPr>
              <w:t>Cost per Respondent ($)</w:t>
            </w:r>
          </w:p>
          <w:p w:rsidR="00CB281C" w:rsidRDefault="00185190" w14:paraId="0E446AB7" w14:textId="77777777">
            <w:pPr>
              <w:widowControl/>
              <w:jc w:val="center"/>
              <w:rPr>
                <w:sz w:val="26"/>
                <w:szCs w:val="26"/>
              </w:rPr>
            </w:pPr>
            <w:r>
              <w:rPr>
                <w:b/>
                <w:sz w:val="26"/>
                <w:szCs w:val="26"/>
              </w:rPr>
              <w:t>(5)÷(1)= (6)</w:t>
            </w:r>
          </w:p>
        </w:tc>
      </w:tr>
      <w:tr w:rsidR="00CB281C" w14:paraId="1DD6E8AE" w14:textId="77777777">
        <w:trPr>
          <w:cantSplit/>
        </w:trPr>
        <w:tc>
          <w:tcPr>
            <w:tcW w:w="985" w:type="dxa"/>
            <w:vAlign w:val="bottom"/>
          </w:tcPr>
          <w:p w:rsidR="00CB281C" w:rsidRDefault="00185190" w14:paraId="398043DE" w14:textId="77777777">
            <w:pPr>
              <w:widowControl/>
              <w:rPr>
                <w:sz w:val="26"/>
                <w:szCs w:val="26"/>
              </w:rPr>
            </w:pPr>
            <w:r>
              <w:rPr>
                <w:b/>
                <w:sz w:val="26"/>
                <w:szCs w:val="26"/>
              </w:rPr>
              <w:t>Updated ROE Study</w:t>
            </w:r>
          </w:p>
        </w:tc>
        <w:tc>
          <w:tcPr>
            <w:tcW w:w="1710" w:type="dxa"/>
            <w:vAlign w:val="bottom"/>
          </w:tcPr>
          <w:p w:rsidR="00CB281C" w:rsidRDefault="00185190" w14:paraId="08B861B6" w14:textId="77777777">
            <w:pPr>
              <w:widowControl/>
              <w:jc w:val="right"/>
              <w:rPr>
                <w:sz w:val="26"/>
                <w:szCs w:val="26"/>
              </w:rPr>
            </w:pPr>
            <w:r>
              <w:rPr>
                <w:sz w:val="26"/>
                <w:szCs w:val="26"/>
              </w:rPr>
              <w:t>244</w:t>
            </w:r>
          </w:p>
        </w:tc>
        <w:tc>
          <w:tcPr>
            <w:tcW w:w="1620" w:type="dxa"/>
            <w:vAlign w:val="bottom"/>
          </w:tcPr>
          <w:p w:rsidR="00CB281C" w:rsidRDefault="00185190" w14:paraId="2489303A" w14:textId="77777777">
            <w:pPr>
              <w:widowControl/>
              <w:jc w:val="right"/>
              <w:rPr>
                <w:sz w:val="26"/>
                <w:szCs w:val="26"/>
              </w:rPr>
            </w:pPr>
            <w:r>
              <w:rPr>
                <w:sz w:val="26"/>
                <w:szCs w:val="26"/>
              </w:rPr>
              <w:t>1</w:t>
            </w:r>
          </w:p>
        </w:tc>
        <w:tc>
          <w:tcPr>
            <w:tcW w:w="1170" w:type="dxa"/>
            <w:vAlign w:val="bottom"/>
          </w:tcPr>
          <w:p w:rsidR="00CB281C" w:rsidRDefault="00185190" w14:paraId="3E0BE1E2" w14:textId="77777777">
            <w:pPr>
              <w:widowControl/>
              <w:jc w:val="right"/>
              <w:rPr>
                <w:sz w:val="26"/>
                <w:szCs w:val="26"/>
              </w:rPr>
            </w:pPr>
            <w:r>
              <w:rPr>
                <w:sz w:val="26"/>
                <w:szCs w:val="26"/>
              </w:rPr>
              <w:t>244</w:t>
            </w:r>
          </w:p>
        </w:tc>
        <w:tc>
          <w:tcPr>
            <w:tcW w:w="1260" w:type="dxa"/>
            <w:vAlign w:val="bottom"/>
          </w:tcPr>
          <w:p w:rsidR="00CB281C" w:rsidRDefault="00185190" w14:paraId="68E57982" w14:textId="77777777">
            <w:pPr>
              <w:widowControl/>
              <w:jc w:val="right"/>
              <w:rPr>
                <w:sz w:val="26"/>
                <w:szCs w:val="26"/>
              </w:rPr>
            </w:pPr>
            <w:r>
              <w:rPr>
                <w:sz w:val="26"/>
                <w:szCs w:val="26"/>
              </w:rPr>
              <w:t>187.5 hrs.; $15,000</w:t>
            </w:r>
          </w:p>
        </w:tc>
        <w:tc>
          <w:tcPr>
            <w:tcW w:w="1710" w:type="dxa"/>
            <w:vAlign w:val="bottom"/>
          </w:tcPr>
          <w:p w:rsidR="00CB281C" w:rsidRDefault="00185190" w14:paraId="46736B55" w14:textId="77777777">
            <w:pPr>
              <w:widowControl/>
              <w:jc w:val="right"/>
              <w:rPr>
                <w:sz w:val="26"/>
                <w:szCs w:val="26"/>
              </w:rPr>
            </w:pPr>
            <w:r>
              <w:rPr>
                <w:sz w:val="26"/>
                <w:szCs w:val="26"/>
              </w:rPr>
              <w:t>45,750 hrs.; $3,660,000</w:t>
            </w:r>
          </w:p>
        </w:tc>
        <w:tc>
          <w:tcPr>
            <w:tcW w:w="1530" w:type="dxa"/>
            <w:vAlign w:val="bottom"/>
          </w:tcPr>
          <w:p w:rsidR="00CB281C" w:rsidRDefault="00185190" w14:paraId="54E9866D" w14:textId="77777777">
            <w:pPr>
              <w:widowControl/>
              <w:jc w:val="right"/>
              <w:rPr>
                <w:sz w:val="26"/>
                <w:szCs w:val="26"/>
              </w:rPr>
            </w:pPr>
            <w:r>
              <w:rPr>
                <w:sz w:val="26"/>
                <w:szCs w:val="26"/>
              </w:rPr>
              <w:t>$15,000</w:t>
            </w:r>
          </w:p>
        </w:tc>
      </w:tr>
      <w:tr w:rsidR="00CB281C" w14:paraId="52AD7DBD" w14:textId="77777777">
        <w:trPr>
          <w:cantSplit/>
        </w:trPr>
        <w:tc>
          <w:tcPr>
            <w:tcW w:w="985" w:type="dxa"/>
            <w:vAlign w:val="bottom"/>
          </w:tcPr>
          <w:p w:rsidR="00CB281C" w:rsidRDefault="00185190" w14:paraId="58A90FF6" w14:textId="77777777">
            <w:pPr>
              <w:widowControl/>
              <w:rPr>
                <w:sz w:val="26"/>
                <w:szCs w:val="26"/>
              </w:rPr>
            </w:pPr>
            <w:bookmarkStart w:name="_Hlk44322728" w:id="4"/>
            <w:r>
              <w:rPr>
                <w:b/>
                <w:sz w:val="26"/>
                <w:szCs w:val="26"/>
              </w:rPr>
              <w:t>Refile FERC Form No. 6, page 700</w:t>
            </w:r>
            <w:bookmarkEnd w:id="4"/>
          </w:p>
        </w:tc>
        <w:tc>
          <w:tcPr>
            <w:tcW w:w="1710" w:type="dxa"/>
            <w:vAlign w:val="bottom"/>
          </w:tcPr>
          <w:p w:rsidR="00CB281C" w:rsidRDefault="00185190" w14:paraId="68D62569" w14:textId="77777777">
            <w:pPr>
              <w:widowControl/>
              <w:jc w:val="right"/>
              <w:rPr>
                <w:sz w:val="26"/>
                <w:szCs w:val="26"/>
              </w:rPr>
            </w:pPr>
            <w:r>
              <w:rPr>
                <w:sz w:val="26"/>
                <w:szCs w:val="26"/>
              </w:rPr>
              <w:t>244</w:t>
            </w:r>
          </w:p>
        </w:tc>
        <w:tc>
          <w:tcPr>
            <w:tcW w:w="1620" w:type="dxa"/>
            <w:vAlign w:val="bottom"/>
          </w:tcPr>
          <w:p w:rsidR="00CB281C" w:rsidRDefault="00185190" w14:paraId="7A660D33" w14:textId="77777777">
            <w:pPr>
              <w:widowControl/>
              <w:jc w:val="right"/>
              <w:rPr>
                <w:sz w:val="26"/>
                <w:szCs w:val="26"/>
              </w:rPr>
            </w:pPr>
            <w:r>
              <w:rPr>
                <w:sz w:val="26"/>
                <w:szCs w:val="26"/>
              </w:rPr>
              <w:t>1</w:t>
            </w:r>
          </w:p>
        </w:tc>
        <w:tc>
          <w:tcPr>
            <w:tcW w:w="1170" w:type="dxa"/>
            <w:vAlign w:val="bottom"/>
          </w:tcPr>
          <w:p w:rsidR="00CB281C" w:rsidRDefault="00185190" w14:paraId="3815587C" w14:textId="77777777">
            <w:pPr>
              <w:widowControl/>
              <w:jc w:val="right"/>
              <w:rPr>
                <w:sz w:val="26"/>
                <w:szCs w:val="26"/>
              </w:rPr>
            </w:pPr>
            <w:r>
              <w:rPr>
                <w:sz w:val="26"/>
                <w:szCs w:val="26"/>
              </w:rPr>
              <w:t>244</w:t>
            </w:r>
          </w:p>
        </w:tc>
        <w:tc>
          <w:tcPr>
            <w:tcW w:w="1260" w:type="dxa"/>
            <w:vAlign w:val="bottom"/>
          </w:tcPr>
          <w:p w:rsidR="00CB281C" w:rsidRDefault="00185190" w14:paraId="25F069BC" w14:textId="77777777">
            <w:pPr>
              <w:widowControl/>
              <w:jc w:val="right"/>
              <w:rPr>
                <w:sz w:val="26"/>
                <w:szCs w:val="26"/>
              </w:rPr>
            </w:pPr>
            <w:r>
              <w:rPr>
                <w:sz w:val="26"/>
                <w:szCs w:val="26"/>
              </w:rPr>
              <w:t>0.5 hrs.; $40</w:t>
            </w:r>
          </w:p>
        </w:tc>
        <w:tc>
          <w:tcPr>
            <w:tcW w:w="1710" w:type="dxa"/>
            <w:vAlign w:val="bottom"/>
          </w:tcPr>
          <w:p w:rsidR="00CB281C" w:rsidRDefault="00185190" w14:paraId="13151F3A" w14:textId="77777777">
            <w:pPr>
              <w:widowControl/>
              <w:jc w:val="right"/>
              <w:rPr>
                <w:sz w:val="26"/>
                <w:szCs w:val="26"/>
              </w:rPr>
            </w:pPr>
            <w:r>
              <w:rPr>
                <w:sz w:val="26"/>
                <w:szCs w:val="26"/>
              </w:rPr>
              <w:t>122 hrs.; $9,760</w:t>
            </w:r>
          </w:p>
        </w:tc>
        <w:tc>
          <w:tcPr>
            <w:tcW w:w="1530" w:type="dxa"/>
            <w:vAlign w:val="bottom"/>
          </w:tcPr>
          <w:p w:rsidR="00CB281C" w:rsidRDefault="00185190" w14:paraId="2C5BA3F3" w14:textId="77777777">
            <w:pPr>
              <w:widowControl/>
              <w:jc w:val="right"/>
              <w:rPr>
                <w:sz w:val="26"/>
                <w:szCs w:val="26"/>
              </w:rPr>
            </w:pPr>
            <w:r>
              <w:rPr>
                <w:sz w:val="26"/>
                <w:szCs w:val="26"/>
              </w:rPr>
              <w:t>$40</w:t>
            </w:r>
          </w:p>
        </w:tc>
      </w:tr>
      <w:tr w:rsidR="00CB281C" w14:paraId="1127F8AF" w14:textId="77777777">
        <w:trPr>
          <w:cantSplit/>
        </w:trPr>
        <w:tc>
          <w:tcPr>
            <w:tcW w:w="985" w:type="dxa"/>
            <w:vAlign w:val="bottom"/>
          </w:tcPr>
          <w:p w:rsidR="00CB281C" w:rsidRDefault="00185190" w14:paraId="64BD9B0B" w14:textId="77777777">
            <w:pPr>
              <w:widowControl/>
              <w:rPr>
                <w:sz w:val="26"/>
                <w:szCs w:val="26"/>
              </w:rPr>
            </w:pPr>
            <w:r>
              <w:rPr>
                <w:b/>
                <w:sz w:val="26"/>
                <w:szCs w:val="26"/>
              </w:rPr>
              <w:t>Total, Due to PL19-4</w:t>
            </w:r>
            <w:bookmarkStart w:name="_Ref44323017" w:id="5"/>
            <w:r>
              <w:rPr>
                <w:rStyle w:val="FootnoteReference"/>
                <w:b/>
                <w:sz w:val="26"/>
                <w:szCs w:val="26"/>
                <w:vertAlign w:val="superscript"/>
              </w:rPr>
              <w:footnoteReference w:id="22"/>
            </w:r>
            <w:bookmarkEnd w:id="5"/>
          </w:p>
        </w:tc>
        <w:tc>
          <w:tcPr>
            <w:tcW w:w="1710" w:type="dxa"/>
            <w:vAlign w:val="bottom"/>
          </w:tcPr>
          <w:p w:rsidR="00CB281C" w:rsidRDefault="00185190" w14:paraId="58F1D79A" w14:textId="77777777">
            <w:pPr>
              <w:widowControl/>
              <w:jc w:val="right"/>
              <w:rPr>
                <w:sz w:val="26"/>
                <w:szCs w:val="26"/>
              </w:rPr>
            </w:pPr>
            <w:r>
              <w:rPr>
                <w:sz w:val="26"/>
                <w:szCs w:val="26"/>
              </w:rPr>
              <w:t>244</w:t>
            </w:r>
          </w:p>
        </w:tc>
        <w:tc>
          <w:tcPr>
            <w:tcW w:w="1620" w:type="dxa"/>
            <w:vAlign w:val="bottom"/>
          </w:tcPr>
          <w:p w:rsidR="00CB281C" w:rsidRDefault="00185190" w14:paraId="50E90A48" w14:textId="77777777">
            <w:pPr>
              <w:widowControl/>
              <w:jc w:val="right"/>
              <w:rPr>
                <w:sz w:val="26"/>
                <w:szCs w:val="26"/>
              </w:rPr>
            </w:pPr>
            <w:r>
              <w:rPr>
                <w:sz w:val="26"/>
                <w:szCs w:val="26"/>
              </w:rPr>
              <w:t>1</w:t>
            </w:r>
          </w:p>
        </w:tc>
        <w:tc>
          <w:tcPr>
            <w:tcW w:w="1170" w:type="dxa"/>
            <w:vAlign w:val="bottom"/>
          </w:tcPr>
          <w:p w:rsidR="00CB281C" w:rsidRDefault="00185190" w14:paraId="173C561C" w14:textId="77777777">
            <w:pPr>
              <w:widowControl/>
              <w:jc w:val="right"/>
              <w:rPr>
                <w:sz w:val="26"/>
                <w:szCs w:val="26"/>
              </w:rPr>
            </w:pPr>
            <w:r>
              <w:rPr>
                <w:sz w:val="26"/>
                <w:szCs w:val="26"/>
              </w:rPr>
              <w:t>244</w:t>
            </w:r>
          </w:p>
        </w:tc>
        <w:tc>
          <w:tcPr>
            <w:tcW w:w="1260" w:type="dxa"/>
            <w:vAlign w:val="bottom"/>
          </w:tcPr>
          <w:p w:rsidR="00CB281C" w:rsidRDefault="00CB281C" w14:paraId="00C01D82" w14:textId="77777777">
            <w:pPr>
              <w:widowControl/>
              <w:jc w:val="right"/>
              <w:rPr>
                <w:sz w:val="26"/>
                <w:szCs w:val="26"/>
              </w:rPr>
            </w:pPr>
          </w:p>
        </w:tc>
        <w:tc>
          <w:tcPr>
            <w:tcW w:w="1710" w:type="dxa"/>
            <w:vAlign w:val="bottom"/>
          </w:tcPr>
          <w:p w:rsidR="00CB281C" w:rsidRDefault="00185190" w14:paraId="6538B394" w14:textId="77777777">
            <w:pPr>
              <w:widowControl/>
              <w:jc w:val="right"/>
              <w:rPr>
                <w:sz w:val="26"/>
                <w:szCs w:val="26"/>
              </w:rPr>
            </w:pPr>
            <w:r>
              <w:rPr>
                <w:sz w:val="26"/>
                <w:szCs w:val="26"/>
              </w:rPr>
              <w:t>45,872 hrs.; $3,669,760</w:t>
            </w:r>
          </w:p>
        </w:tc>
        <w:tc>
          <w:tcPr>
            <w:tcW w:w="1530" w:type="dxa"/>
            <w:vAlign w:val="bottom"/>
          </w:tcPr>
          <w:p w:rsidR="00CB281C" w:rsidRDefault="00185190" w14:paraId="4B4E2D2D" w14:textId="77777777">
            <w:pPr>
              <w:widowControl/>
              <w:jc w:val="right"/>
              <w:rPr>
                <w:sz w:val="26"/>
                <w:szCs w:val="26"/>
              </w:rPr>
            </w:pPr>
            <w:r>
              <w:rPr>
                <w:sz w:val="26"/>
                <w:szCs w:val="26"/>
              </w:rPr>
              <w:t>$15,040</w:t>
            </w:r>
          </w:p>
        </w:tc>
      </w:tr>
      <w:bookmarkEnd w:id="3"/>
    </w:tbl>
    <w:p w:rsidR="00CB281C" w:rsidRDefault="00CB281C" w14:paraId="457C032D" w14:textId="77777777">
      <w:pPr>
        <w:widowControl/>
        <w:rPr>
          <w:sz w:val="26"/>
          <w:szCs w:val="26"/>
        </w:rPr>
      </w:pPr>
    </w:p>
    <w:p w:rsidR="00CB281C" w:rsidRDefault="00185190" w14:paraId="4192B8A1" w14:textId="77777777">
      <w:pPr>
        <w:widowControl/>
        <w:rPr>
          <w:sz w:val="26"/>
          <w:szCs w:val="26"/>
        </w:rPr>
      </w:pPr>
      <w:r>
        <w:rPr>
          <w:sz w:val="26"/>
          <w:szCs w:val="26"/>
        </w:rPr>
        <w:t>This one-time voluntary burden is expected to be imposed in Year 1.  The Commission is requesting that the oil pipeline industry voluntarily update the ROE and total cost-of-service information on page 700 of FERC Form No. 6 for 2019 (for which the burden is covered by FERC-6(PL) here) to reflect the policy changes adopted in the ROE Policy Statement.  The total burden to the oil pipeline industry is estimated to be less than $4 million for the one-time filing.  A review of the page 700s for 2019 filed by oil pipelines shows total revenues of nearly $23 billion and an average real ROE of 11%.  The effect of a 50-basis point change in ROE upon the 2020 five-year review may result in a Year 1 change in total industry revenues of approximately $300 million.  As the Commission recognized in the ROE Policy Statement, reflecting the ROE policy changes in page 700 data for 2019 may help the Commission better estimate industry-wide cost changes for purposes of the five-year review.</w:t>
      </w:r>
    </w:p>
    <w:p w:rsidR="00CB281C" w:rsidRDefault="00CB281C" w14:paraId="34C1C5D1" w14:textId="77777777">
      <w:pPr>
        <w:widowControl/>
        <w:rPr>
          <w:sz w:val="26"/>
          <w:szCs w:val="26"/>
        </w:rPr>
      </w:pPr>
    </w:p>
    <w:p w:rsidR="00CB281C" w:rsidRDefault="00185190" w14:paraId="08CEA7CA" w14:textId="77777777">
      <w:pPr>
        <w:keepNext/>
        <w:keepLines/>
        <w:widowControl/>
        <w:tabs>
          <w:tab w:val="left" w:pos="720"/>
        </w:tabs>
        <w:ind w:left="720" w:hanging="720"/>
        <w:rPr>
          <w:b/>
          <w:bCs/>
          <w:sz w:val="26"/>
          <w:szCs w:val="26"/>
        </w:rPr>
      </w:pPr>
      <w:r>
        <w:rPr>
          <w:sz w:val="26"/>
          <w:szCs w:val="26"/>
        </w:rPr>
        <w:t xml:space="preserve">13. </w:t>
      </w:r>
      <w:r>
        <w:rPr>
          <w:b/>
          <w:sz w:val="26"/>
          <w:szCs w:val="26"/>
        </w:rPr>
        <w:t xml:space="preserve">    E</w:t>
      </w:r>
      <w:r>
        <w:rPr>
          <w:b/>
          <w:bCs/>
          <w:sz w:val="26"/>
          <w:szCs w:val="26"/>
        </w:rPr>
        <w:t>STIMATE OF TOTAL ANNUAL COST BURDEN TO RESPONDENTS</w:t>
      </w:r>
    </w:p>
    <w:p w:rsidR="00CB281C" w:rsidRDefault="00CB281C" w14:paraId="7B07A115" w14:textId="77777777">
      <w:pPr>
        <w:keepNext/>
        <w:keepLines/>
        <w:widowControl/>
        <w:ind w:left="720" w:hanging="720"/>
        <w:rPr>
          <w:b/>
          <w:bCs/>
          <w:sz w:val="26"/>
          <w:szCs w:val="26"/>
        </w:rPr>
      </w:pPr>
    </w:p>
    <w:p w:rsidR="00CB281C" w:rsidRDefault="00185190" w14:paraId="6EBBA560" w14:textId="77777777">
      <w:pPr>
        <w:widowControl/>
        <w:rPr>
          <w:sz w:val="26"/>
          <w:szCs w:val="26"/>
        </w:rPr>
      </w:pPr>
      <w:r>
        <w:rPr>
          <w:sz w:val="26"/>
          <w:szCs w:val="26"/>
        </w:rPr>
        <w:t>There are no capital or start-up costs related to this information collection request.  All costs are related to burden hours and addressed in questions 12 and 15.</w:t>
      </w:r>
    </w:p>
    <w:p w:rsidR="00CB281C" w:rsidRDefault="00CB281C" w14:paraId="2FC452BB" w14:textId="77777777">
      <w:pPr>
        <w:widowControl/>
        <w:rPr>
          <w:sz w:val="26"/>
          <w:szCs w:val="26"/>
        </w:rPr>
      </w:pPr>
    </w:p>
    <w:p w:rsidR="00CB281C" w:rsidRDefault="00185190" w14:paraId="19A69758" w14:textId="77777777">
      <w:pPr>
        <w:widowControl/>
        <w:tabs>
          <w:tab w:val="left" w:pos="-1440"/>
        </w:tabs>
        <w:ind w:left="720" w:hanging="720"/>
        <w:rPr>
          <w:b/>
          <w:bCs/>
          <w:sz w:val="26"/>
          <w:szCs w:val="26"/>
        </w:rPr>
      </w:pPr>
      <w:r>
        <w:rPr>
          <w:sz w:val="26"/>
          <w:szCs w:val="26"/>
        </w:rPr>
        <w:t>14.</w:t>
      </w:r>
      <w:r>
        <w:rPr>
          <w:sz w:val="26"/>
          <w:szCs w:val="26"/>
        </w:rPr>
        <w:tab/>
      </w:r>
      <w:r>
        <w:rPr>
          <w:b/>
          <w:bCs/>
          <w:sz w:val="26"/>
          <w:szCs w:val="26"/>
        </w:rPr>
        <w:t>ESTIMATED ANNUALIZED COST TO FEDERAL GOVERNMENT</w:t>
      </w:r>
    </w:p>
    <w:p w:rsidR="00CB281C" w:rsidRDefault="00CB281C" w14:paraId="2708C26B" w14:textId="77777777">
      <w:pPr>
        <w:widowControl/>
        <w:ind w:firstLine="720"/>
        <w:rPr>
          <w:sz w:val="26"/>
          <w:szCs w:val="26"/>
        </w:rPr>
      </w:pPr>
    </w:p>
    <w:p w:rsidR="00CB281C" w:rsidRDefault="00185190" w14:paraId="1617463C" w14:textId="77777777">
      <w:pPr>
        <w:widowControl/>
        <w:rPr>
          <w:sz w:val="26"/>
          <w:szCs w:val="26"/>
        </w:rPr>
      </w:pPr>
      <w:r>
        <w:rPr>
          <w:sz w:val="26"/>
          <w:szCs w:val="26"/>
        </w:rPr>
        <w:t xml:space="preserve">The estimate of the cost for ‘analysis and processing of filings’ is based on salaries and benefits for professional and clerical support.  This estimated cost represents staff analysis, decision-making, and review of any actual filings submitted in response to the information collections.  The estimate represents work efforts by (1) the Office of Enforcement in receiving the information and (2) the Office of Energy Market Regulation and the Office of the General Counsel in analyzing the information. </w:t>
      </w:r>
    </w:p>
    <w:p w:rsidR="00CB281C" w:rsidRDefault="00CB281C" w14:paraId="15EE2A97" w14:textId="77777777">
      <w:pPr>
        <w:widowControl/>
        <w:rPr>
          <w:sz w:val="26"/>
          <w:szCs w:val="26"/>
        </w:rPr>
      </w:pPr>
    </w:p>
    <w:p w:rsidR="00CB281C" w:rsidRDefault="00185190" w14:paraId="6CE49E92" w14:textId="77777777">
      <w:pPr>
        <w:widowControl/>
        <w:rPr>
          <w:sz w:val="26"/>
          <w:szCs w:val="26"/>
        </w:rPr>
      </w:pPr>
      <w:r>
        <w:rPr>
          <w:sz w:val="26"/>
          <w:szCs w:val="26"/>
        </w:rPr>
        <w:t>The Paperwork Reduction Act (PRA) Administrative Cost is the average annual FERC cost associated with preparing, issuing, and submitting materials necessary to comply with the PRA for rulemakings, orders, or any other vehicle used to create, modify, extend, or discontinue an information collection.  It also includes the cost of publishing the necessary notice(s) in the Federal Register.</w:t>
      </w:r>
    </w:p>
    <w:p w:rsidR="00CB281C" w:rsidRDefault="00CB281C" w14:paraId="19A43E54" w14:textId="77777777">
      <w:pPr>
        <w:widowControl/>
        <w:rPr>
          <w:sz w:val="26"/>
          <w:szCs w:val="26"/>
        </w:rPr>
      </w:pPr>
    </w:p>
    <w:tbl>
      <w:tblPr>
        <w:tblW w:w="9465" w:type="dxa"/>
        <w:tblInd w:w="93"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000" w:firstRow="0" w:lastRow="0" w:firstColumn="0" w:lastColumn="0" w:noHBand="0" w:noVBand="0"/>
      </w:tblPr>
      <w:tblGrid>
        <w:gridCol w:w="4487"/>
        <w:gridCol w:w="2610"/>
        <w:gridCol w:w="2368"/>
      </w:tblGrid>
      <w:tr w:rsidR="00CB281C" w14:paraId="6A184D67" w14:textId="77777777">
        <w:trPr>
          <w:cantSplit/>
          <w:trHeight w:val="525"/>
          <w:tblHeader/>
        </w:trPr>
        <w:tc>
          <w:tcPr>
            <w:tcW w:w="4487" w:type="dxa"/>
            <w:shd w:val="clear" w:color="auto" w:fill="D9D9D9"/>
            <w:vAlign w:val="bottom"/>
          </w:tcPr>
          <w:p w:rsidR="00CB281C" w:rsidRDefault="00185190" w14:paraId="4CF7D696" w14:textId="77777777">
            <w:pPr>
              <w:jc w:val="center"/>
              <w:rPr>
                <w:b/>
                <w:bCs/>
                <w:sz w:val="26"/>
                <w:szCs w:val="26"/>
              </w:rPr>
            </w:pPr>
            <w:r>
              <w:rPr>
                <w:b/>
                <w:bCs/>
                <w:sz w:val="26"/>
                <w:szCs w:val="26"/>
              </w:rPr>
              <w:t>Cost Category</w:t>
            </w:r>
          </w:p>
        </w:tc>
        <w:tc>
          <w:tcPr>
            <w:tcW w:w="2610" w:type="dxa"/>
            <w:shd w:val="clear" w:color="auto" w:fill="D9D9D9"/>
            <w:vAlign w:val="bottom"/>
          </w:tcPr>
          <w:p w:rsidR="00CB281C" w:rsidRDefault="00185190" w14:paraId="5AF00990" w14:textId="77777777">
            <w:pPr>
              <w:jc w:val="center"/>
              <w:rPr>
                <w:b/>
                <w:bCs/>
                <w:sz w:val="26"/>
                <w:szCs w:val="26"/>
              </w:rPr>
            </w:pPr>
            <w:r>
              <w:rPr>
                <w:b/>
                <w:bCs/>
                <w:sz w:val="26"/>
                <w:szCs w:val="26"/>
              </w:rPr>
              <w:t xml:space="preserve">Number of Employee Weeks </w:t>
            </w:r>
          </w:p>
        </w:tc>
        <w:tc>
          <w:tcPr>
            <w:tcW w:w="2368" w:type="dxa"/>
            <w:shd w:val="clear" w:color="auto" w:fill="D9D9D9"/>
            <w:vAlign w:val="bottom"/>
          </w:tcPr>
          <w:p w:rsidR="00CB281C" w:rsidRDefault="00185190" w14:paraId="45ABC7AF" w14:textId="77777777">
            <w:pPr>
              <w:jc w:val="center"/>
              <w:rPr>
                <w:b/>
                <w:bCs/>
                <w:sz w:val="26"/>
                <w:szCs w:val="26"/>
              </w:rPr>
            </w:pPr>
            <w:r>
              <w:rPr>
                <w:b/>
                <w:bCs/>
                <w:sz w:val="26"/>
                <w:szCs w:val="26"/>
              </w:rPr>
              <w:t>Estimated Annual Federal Cost (rounded)</w:t>
            </w:r>
          </w:p>
        </w:tc>
      </w:tr>
      <w:tr w:rsidR="00CB281C" w14:paraId="1DD7107A" w14:textId="77777777">
        <w:trPr>
          <w:cantSplit/>
          <w:trHeight w:val="525"/>
        </w:trPr>
        <w:tc>
          <w:tcPr>
            <w:tcW w:w="4487" w:type="dxa"/>
            <w:vAlign w:val="bottom"/>
          </w:tcPr>
          <w:p w:rsidR="00CB281C" w:rsidRDefault="00185190" w14:paraId="415E5789" w14:textId="77777777">
            <w:pPr>
              <w:rPr>
                <w:bCs/>
                <w:sz w:val="26"/>
                <w:szCs w:val="26"/>
              </w:rPr>
            </w:pPr>
            <w:r>
              <w:rPr>
                <w:sz w:val="26"/>
                <w:szCs w:val="26"/>
              </w:rPr>
              <w:t>Analysis and Processing of filings</w:t>
            </w:r>
            <w:r>
              <w:rPr>
                <w:sz w:val="26"/>
                <w:szCs w:val="26"/>
                <w:vertAlign w:val="superscript"/>
              </w:rPr>
              <w:footnoteReference w:id="23"/>
            </w:r>
            <w:r>
              <w:rPr>
                <w:sz w:val="26"/>
                <w:szCs w:val="26"/>
              </w:rPr>
              <w:t xml:space="preserve"> </w:t>
            </w:r>
          </w:p>
        </w:tc>
        <w:tc>
          <w:tcPr>
            <w:tcW w:w="2610" w:type="dxa"/>
            <w:vAlign w:val="bottom"/>
          </w:tcPr>
          <w:p w:rsidR="00CB281C" w:rsidRDefault="00185190" w14:paraId="5B510AEB" w14:textId="77777777">
            <w:pPr>
              <w:jc w:val="right"/>
              <w:rPr>
                <w:bCs/>
                <w:sz w:val="26"/>
                <w:szCs w:val="26"/>
              </w:rPr>
            </w:pPr>
            <w:r>
              <w:rPr>
                <w:bCs/>
                <w:sz w:val="26"/>
                <w:szCs w:val="26"/>
              </w:rPr>
              <w:t>24</w:t>
            </w:r>
          </w:p>
        </w:tc>
        <w:tc>
          <w:tcPr>
            <w:tcW w:w="2368" w:type="dxa"/>
            <w:vAlign w:val="bottom"/>
          </w:tcPr>
          <w:p w:rsidR="00CB281C" w:rsidRDefault="00185190" w14:paraId="4F1CC5A4" w14:textId="77777777">
            <w:pPr>
              <w:jc w:val="right"/>
              <w:rPr>
                <w:bCs/>
                <w:sz w:val="26"/>
                <w:szCs w:val="26"/>
              </w:rPr>
            </w:pPr>
            <w:r>
              <w:rPr>
                <w:sz w:val="26"/>
                <w:szCs w:val="26"/>
              </w:rPr>
              <w:t>$76,800</w:t>
            </w:r>
          </w:p>
        </w:tc>
      </w:tr>
      <w:tr w:rsidR="00CB281C" w14:paraId="4581D0FB" w14:textId="77777777">
        <w:trPr>
          <w:cantSplit/>
          <w:trHeight w:val="390"/>
        </w:trPr>
        <w:tc>
          <w:tcPr>
            <w:tcW w:w="4487" w:type="dxa"/>
            <w:vAlign w:val="bottom"/>
          </w:tcPr>
          <w:p w:rsidR="00CB281C" w:rsidRDefault="00185190" w14:paraId="5E9FE160" w14:textId="77777777">
            <w:pPr>
              <w:rPr>
                <w:bCs/>
                <w:sz w:val="26"/>
                <w:szCs w:val="26"/>
              </w:rPr>
            </w:pPr>
            <w:r>
              <w:rPr>
                <w:bCs/>
                <w:sz w:val="26"/>
                <w:szCs w:val="26"/>
              </w:rPr>
              <w:t xml:space="preserve">PRA Administrative Cost </w:t>
            </w:r>
          </w:p>
        </w:tc>
        <w:tc>
          <w:tcPr>
            <w:tcW w:w="2610" w:type="dxa"/>
            <w:shd w:val="clear" w:color="auto" w:fill="D9D9D9" w:themeFill="background1" w:themeFillShade="D9"/>
            <w:vAlign w:val="bottom"/>
          </w:tcPr>
          <w:p w:rsidR="00CB281C" w:rsidRDefault="00CB281C" w14:paraId="3695FD89" w14:textId="77777777">
            <w:pPr>
              <w:jc w:val="right"/>
              <w:rPr>
                <w:bCs/>
                <w:sz w:val="26"/>
                <w:szCs w:val="26"/>
              </w:rPr>
            </w:pPr>
          </w:p>
        </w:tc>
        <w:tc>
          <w:tcPr>
            <w:tcW w:w="2368" w:type="dxa"/>
            <w:vAlign w:val="bottom"/>
          </w:tcPr>
          <w:p w:rsidR="00CB281C" w:rsidRDefault="00185190" w14:paraId="332C4C8F" w14:textId="77777777">
            <w:pPr>
              <w:jc w:val="right"/>
              <w:rPr>
                <w:bCs/>
                <w:sz w:val="26"/>
                <w:szCs w:val="26"/>
              </w:rPr>
            </w:pPr>
            <w:r>
              <w:rPr>
                <w:bCs/>
                <w:sz w:val="26"/>
                <w:szCs w:val="26"/>
              </w:rPr>
              <w:t>$4,931</w:t>
            </w:r>
          </w:p>
        </w:tc>
      </w:tr>
      <w:tr w:rsidR="00CB281C" w14:paraId="709262FE" w14:textId="77777777">
        <w:trPr>
          <w:cantSplit/>
          <w:trHeight w:val="525"/>
        </w:trPr>
        <w:tc>
          <w:tcPr>
            <w:tcW w:w="4487" w:type="dxa"/>
            <w:vAlign w:val="bottom"/>
          </w:tcPr>
          <w:p w:rsidR="00CB281C" w:rsidRDefault="00185190" w14:paraId="203B0E85" w14:textId="77777777">
            <w:pPr>
              <w:rPr>
                <w:b/>
                <w:bCs/>
                <w:sz w:val="26"/>
                <w:szCs w:val="26"/>
              </w:rPr>
            </w:pPr>
            <w:r>
              <w:rPr>
                <w:b/>
                <w:bCs/>
                <w:sz w:val="26"/>
                <w:szCs w:val="26"/>
              </w:rPr>
              <w:t xml:space="preserve">FERC Total </w:t>
            </w:r>
          </w:p>
        </w:tc>
        <w:tc>
          <w:tcPr>
            <w:tcW w:w="2610" w:type="dxa"/>
            <w:shd w:val="clear" w:color="auto" w:fill="D9D9D9" w:themeFill="background1" w:themeFillShade="D9"/>
            <w:vAlign w:val="bottom"/>
          </w:tcPr>
          <w:p w:rsidR="00CB281C" w:rsidRDefault="00CB281C" w14:paraId="14A8B5EC" w14:textId="77777777">
            <w:pPr>
              <w:rPr>
                <w:bCs/>
                <w:sz w:val="26"/>
                <w:szCs w:val="26"/>
              </w:rPr>
            </w:pPr>
          </w:p>
        </w:tc>
        <w:tc>
          <w:tcPr>
            <w:tcW w:w="2368" w:type="dxa"/>
            <w:vAlign w:val="bottom"/>
          </w:tcPr>
          <w:p w:rsidR="00CB281C" w:rsidRDefault="00185190" w14:paraId="2757DBA7" w14:textId="77777777">
            <w:pPr>
              <w:jc w:val="right"/>
              <w:rPr>
                <w:bCs/>
                <w:sz w:val="26"/>
                <w:szCs w:val="26"/>
              </w:rPr>
            </w:pPr>
            <w:r>
              <w:rPr>
                <w:bCs/>
                <w:sz w:val="26"/>
                <w:szCs w:val="26"/>
              </w:rPr>
              <w:t>$81,731</w:t>
            </w:r>
          </w:p>
        </w:tc>
      </w:tr>
    </w:tbl>
    <w:p w:rsidR="00CB281C" w:rsidRDefault="00CB281C" w14:paraId="3AEC957F" w14:textId="77777777">
      <w:pPr>
        <w:widowControl/>
        <w:rPr>
          <w:sz w:val="26"/>
          <w:szCs w:val="26"/>
        </w:rPr>
      </w:pPr>
    </w:p>
    <w:p w:rsidR="00CB281C" w:rsidRDefault="00185190" w14:paraId="21300048" w14:textId="026BDE08">
      <w:pPr>
        <w:widowControl/>
        <w:rPr>
          <w:sz w:val="26"/>
          <w:szCs w:val="26"/>
        </w:rPr>
      </w:pPr>
      <w:r>
        <w:rPr>
          <w:sz w:val="26"/>
          <w:szCs w:val="26"/>
        </w:rPr>
        <w:t>FERC-6(PL) is a one-time re-filing of page 700 of FERC Form No. 6 in mid-2020.</w:t>
      </w:r>
    </w:p>
    <w:p w:rsidR="00CB281C" w:rsidRDefault="00CB281C" w14:paraId="49878726" w14:textId="77777777">
      <w:pPr>
        <w:widowControl/>
        <w:rPr>
          <w:sz w:val="26"/>
          <w:szCs w:val="26"/>
        </w:rPr>
      </w:pPr>
    </w:p>
    <w:p w:rsidR="00CB281C" w:rsidRDefault="00185190" w14:paraId="6F589119" w14:textId="77777777">
      <w:pPr>
        <w:widowControl/>
        <w:tabs>
          <w:tab w:val="left" w:pos="-1440"/>
        </w:tabs>
        <w:ind w:left="720" w:hanging="720"/>
        <w:rPr>
          <w:b/>
          <w:bCs/>
          <w:sz w:val="26"/>
          <w:szCs w:val="26"/>
        </w:rPr>
      </w:pPr>
      <w:r>
        <w:rPr>
          <w:sz w:val="26"/>
          <w:szCs w:val="26"/>
        </w:rPr>
        <w:t xml:space="preserve">15.  </w:t>
      </w:r>
      <w:r>
        <w:rPr>
          <w:b/>
          <w:bCs/>
          <w:sz w:val="26"/>
          <w:szCs w:val="26"/>
        </w:rPr>
        <w:tab/>
        <w:t>REASONS FOR CHANGES IN BURDEN INCLUDING THE NEED FOR ANY INCREASE</w:t>
      </w:r>
    </w:p>
    <w:p w:rsidR="00CB281C" w:rsidRDefault="00CB281C" w14:paraId="33C3532F" w14:textId="77777777">
      <w:pPr>
        <w:widowControl/>
        <w:rPr>
          <w:b/>
          <w:sz w:val="26"/>
          <w:szCs w:val="26"/>
        </w:rPr>
      </w:pPr>
    </w:p>
    <w:p w:rsidR="00CB281C" w:rsidRDefault="00CB281C" w14:paraId="675B0983" w14:textId="059D5850">
      <w:pPr>
        <w:widowControl/>
        <w:rPr>
          <w:sz w:val="26"/>
          <w:szCs w:val="26"/>
        </w:rPr>
      </w:pPr>
    </w:p>
    <w:p w:rsidR="00CB281C" w:rsidRDefault="00CB281C" w14:paraId="2A88E5D2" w14:textId="77777777">
      <w:pPr>
        <w:widowControl/>
        <w:rPr>
          <w:sz w:val="26"/>
          <w:szCs w:val="26"/>
        </w:rPr>
      </w:pPr>
    </w:p>
    <w:p w:rsidR="00CB281C" w:rsidRDefault="00185190" w14:paraId="60E56D19" w14:textId="77777777">
      <w:pPr>
        <w:widowControl/>
        <w:rPr>
          <w:sz w:val="26"/>
          <w:szCs w:val="26"/>
        </w:rPr>
      </w:pPr>
      <w:r>
        <w:rPr>
          <w:sz w:val="26"/>
          <w:szCs w:val="26"/>
        </w:rPr>
        <w:lastRenderedPageBreak/>
        <w:t xml:space="preserve">The following table shows the current and proposed burden inventory figures for FERC-6(PL).  </w:t>
      </w:r>
    </w:p>
    <w:p w:rsidR="00CB281C" w:rsidRDefault="00CB281C" w14:paraId="5C9740AE" w14:textId="77777777">
      <w:pPr>
        <w:widowControl/>
        <w:rPr>
          <w:sz w:val="26"/>
          <w:szCs w:val="26"/>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906"/>
        <w:gridCol w:w="1913"/>
        <w:gridCol w:w="1912"/>
        <w:gridCol w:w="1911"/>
        <w:gridCol w:w="1913"/>
      </w:tblGrid>
      <w:tr w:rsidR="00CB281C" w14:paraId="45BA86CC" w14:textId="77777777">
        <w:trPr>
          <w:cantSplit/>
          <w:tblHeader/>
        </w:trPr>
        <w:tc>
          <w:tcPr>
            <w:tcW w:w="1906" w:type="dxa"/>
            <w:shd w:val="clear" w:color="auto" w:fill="D9D9D9"/>
            <w:vAlign w:val="center"/>
          </w:tcPr>
          <w:p w:rsidR="00CB281C" w:rsidRDefault="00185190" w14:paraId="319942EE" w14:textId="77777777">
            <w:pPr>
              <w:jc w:val="center"/>
              <w:rPr>
                <w:b/>
                <w:sz w:val="26"/>
                <w:szCs w:val="26"/>
              </w:rPr>
            </w:pPr>
            <w:r>
              <w:rPr>
                <w:b/>
                <w:sz w:val="26"/>
                <w:szCs w:val="26"/>
              </w:rPr>
              <w:t>FERC-6(PL)</w:t>
            </w:r>
          </w:p>
        </w:tc>
        <w:tc>
          <w:tcPr>
            <w:tcW w:w="1913" w:type="dxa"/>
            <w:shd w:val="clear" w:color="auto" w:fill="D9D9D9"/>
            <w:vAlign w:val="center"/>
          </w:tcPr>
          <w:p w:rsidR="00CB281C" w:rsidRDefault="00185190" w14:paraId="5FA977A1" w14:textId="77777777">
            <w:pPr>
              <w:jc w:val="center"/>
              <w:rPr>
                <w:b/>
                <w:sz w:val="26"/>
                <w:szCs w:val="26"/>
              </w:rPr>
            </w:pPr>
            <w:r>
              <w:rPr>
                <w:b/>
                <w:sz w:val="26"/>
                <w:szCs w:val="26"/>
              </w:rPr>
              <w:t>Total Request</w:t>
            </w:r>
          </w:p>
        </w:tc>
        <w:tc>
          <w:tcPr>
            <w:tcW w:w="1912" w:type="dxa"/>
            <w:shd w:val="clear" w:color="auto" w:fill="D9D9D9"/>
            <w:vAlign w:val="center"/>
          </w:tcPr>
          <w:p w:rsidR="00CB281C" w:rsidRDefault="00185190" w14:paraId="035F4D29" w14:textId="77777777">
            <w:pPr>
              <w:jc w:val="center"/>
              <w:rPr>
                <w:b/>
                <w:sz w:val="26"/>
                <w:szCs w:val="26"/>
              </w:rPr>
            </w:pPr>
            <w:r>
              <w:rPr>
                <w:b/>
                <w:sz w:val="26"/>
                <w:szCs w:val="26"/>
              </w:rPr>
              <w:t>Change Due to Agency Discretion</w:t>
            </w:r>
            <w:r>
              <w:rPr>
                <w:b/>
                <w:sz w:val="26"/>
                <w:szCs w:val="26"/>
                <w:vertAlign w:val="superscript"/>
              </w:rPr>
              <w:footnoteReference w:id="24"/>
            </w:r>
          </w:p>
        </w:tc>
        <w:tc>
          <w:tcPr>
            <w:tcW w:w="1911" w:type="dxa"/>
            <w:shd w:val="clear" w:color="auto" w:fill="D9D9D9"/>
            <w:vAlign w:val="center"/>
          </w:tcPr>
          <w:p w:rsidR="00CB281C" w:rsidRDefault="00185190" w14:paraId="7A1FC00F" w14:textId="77777777">
            <w:pPr>
              <w:jc w:val="center"/>
              <w:rPr>
                <w:b/>
                <w:sz w:val="26"/>
                <w:szCs w:val="26"/>
              </w:rPr>
            </w:pPr>
            <w:r>
              <w:rPr>
                <w:b/>
                <w:sz w:val="26"/>
                <w:szCs w:val="26"/>
              </w:rPr>
              <w:t>Change due to Adjustment in Estimate</w:t>
            </w:r>
          </w:p>
        </w:tc>
        <w:tc>
          <w:tcPr>
            <w:tcW w:w="1913" w:type="dxa"/>
            <w:shd w:val="clear" w:color="auto" w:fill="D9D9D9"/>
            <w:vAlign w:val="center"/>
          </w:tcPr>
          <w:p w:rsidR="00CB281C" w:rsidRDefault="00185190" w14:paraId="2F17F90F" w14:textId="77777777">
            <w:pPr>
              <w:jc w:val="center"/>
              <w:rPr>
                <w:b/>
                <w:sz w:val="26"/>
                <w:szCs w:val="26"/>
              </w:rPr>
            </w:pPr>
            <w:r>
              <w:rPr>
                <w:b/>
                <w:sz w:val="26"/>
                <w:szCs w:val="26"/>
              </w:rPr>
              <w:t>Previously Approved</w:t>
            </w:r>
          </w:p>
        </w:tc>
      </w:tr>
      <w:tr w:rsidR="00CB281C" w14:paraId="5EFDFE06" w14:textId="77777777">
        <w:trPr>
          <w:cantSplit/>
        </w:trPr>
        <w:tc>
          <w:tcPr>
            <w:tcW w:w="1906" w:type="dxa"/>
          </w:tcPr>
          <w:p w:rsidR="00CB281C" w:rsidRDefault="00185190" w14:paraId="1FD20B7D" w14:textId="77777777">
            <w:pPr>
              <w:jc w:val="center"/>
              <w:rPr>
                <w:sz w:val="26"/>
                <w:szCs w:val="26"/>
              </w:rPr>
            </w:pPr>
            <w:r>
              <w:rPr>
                <w:sz w:val="26"/>
                <w:szCs w:val="26"/>
              </w:rPr>
              <w:t>Annual Number of Responses</w:t>
            </w:r>
            <w:r>
              <w:rPr>
                <w:sz w:val="26"/>
                <w:szCs w:val="26"/>
                <w:vertAlign w:val="superscript"/>
              </w:rPr>
              <w:fldChar w:fldCharType="begin"/>
            </w:r>
            <w:r>
              <w:rPr>
                <w:sz w:val="26"/>
                <w:szCs w:val="26"/>
                <w:vertAlign w:val="superscript"/>
              </w:rPr>
              <w:instrText xml:space="preserve"> NOTEREF _Ref44323017 \h  \* MERGEFORMAT </w:instrText>
            </w:r>
            <w:r>
              <w:rPr>
                <w:sz w:val="26"/>
                <w:szCs w:val="26"/>
                <w:vertAlign w:val="superscript"/>
              </w:rPr>
            </w:r>
            <w:r>
              <w:rPr>
                <w:sz w:val="26"/>
                <w:szCs w:val="26"/>
                <w:vertAlign w:val="superscript"/>
              </w:rPr>
              <w:fldChar w:fldCharType="separate"/>
            </w:r>
            <w:r>
              <w:rPr>
                <w:sz w:val="26"/>
                <w:szCs w:val="26"/>
                <w:vertAlign w:val="superscript"/>
              </w:rPr>
              <w:t>21</w:t>
            </w:r>
            <w:r>
              <w:rPr>
                <w:sz w:val="26"/>
                <w:szCs w:val="26"/>
                <w:vertAlign w:val="superscript"/>
              </w:rPr>
              <w:fldChar w:fldCharType="end"/>
            </w:r>
          </w:p>
        </w:tc>
        <w:tc>
          <w:tcPr>
            <w:tcW w:w="1913" w:type="dxa"/>
            <w:vAlign w:val="center"/>
          </w:tcPr>
          <w:p w:rsidR="00CB281C" w:rsidRDefault="00185190" w14:paraId="580F89E8" w14:textId="77777777">
            <w:pPr>
              <w:jc w:val="right"/>
              <w:rPr>
                <w:sz w:val="26"/>
                <w:szCs w:val="26"/>
              </w:rPr>
            </w:pPr>
            <w:r>
              <w:rPr>
                <w:sz w:val="26"/>
                <w:szCs w:val="26"/>
              </w:rPr>
              <w:t>244</w:t>
            </w:r>
          </w:p>
        </w:tc>
        <w:tc>
          <w:tcPr>
            <w:tcW w:w="1912" w:type="dxa"/>
            <w:vAlign w:val="center"/>
          </w:tcPr>
          <w:p w:rsidR="00CB281C" w:rsidRDefault="00185190" w14:paraId="672A7EC4" w14:textId="77777777">
            <w:pPr>
              <w:jc w:val="right"/>
              <w:rPr>
                <w:sz w:val="26"/>
                <w:szCs w:val="26"/>
              </w:rPr>
            </w:pPr>
            <w:r>
              <w:rPr>
                <w:sz w:val="26"/>
                <w:szCs w:val="26"/>
              </w:rPr>
              <w:t>244</w:t>
            </w:r>
          </w:p>
        </w:tc>
        <w:tc>
          <w:tcPr>
            <w:tcW w:w="1911" w:type="dxa"/>
            <w:vAlign w:val="center"/>
          </w:tcPr>
          <w:p w:rsidR="00CB281C" w:rsidRDefault="00185190" w14:paraId="644E1E36" w14:textId="77777777">
            <w:pPr>
              <w:jc w:val="right"/>
              <w:rPr>
                <w:sz w:val="26"/>
                <w:szCs w:val="26"/>
              </w:rPr>
            </w:pPr>
            <w:r>
              <w:rPr>
                <w:sz w:val="26"/>
                <w:szCs w:val="26"/>
              </w:rPr>
              <w:t>0</w:t>
            </w:r>
          </w:p>
        </w:tc>
        <w:tc>
          <w:tcPr>
            <w:tcW w:w="1913" w:type="dxa"/>
            <w:vAlign w:val="center"/>
          </w:tcPr>
          <w:p w:rsidR="00CB281C" w:rsidRDefault="00185190" w14:paraId="23E9E4DF" w14:textId="77777777">
            <w:pPr>
              <w:jc w:val="right"/>
              <w:rPr>
                <w:sz w:val="26"/>
                <w:szCs w:val="26"/>
              </w:rPr>
            </w:pPr>
            <w:r>
              <w:rPr>
                <w:sz w:val="26"/>
                <w:szCs w:val="26"/>
              </w:rPr>
              <w:t>0</w:t>
            </w:r>
          </w:p>
        </w:tc>
      </w:tr>
      <w:tr w:rsidR="00CB281C" w14:paraId="6911DE3D" w14:textId="77777777">
        <w:trPr>
          <w:cantSplit/>
        </w:trPr>
        <w:tc>
          <w:tcPr>
            <w:tcW w:w="1906" w:type="dxa"/>
          </w:tcPr>
          <w:p w:rsidR="00CB281C" w:rsidRDefault="00185190" w14:paraId="5107232A" w14:textId="77777777">
            <w:pPr>
              <w:jc w:val="center"/>
              <w:rPr>
                <w:sz w:val="26"/>
                <w:szCs w:val="26"/>
              </w:rPr>
            </w:pPr>
            <w:r>
              <w:rPr>
                <w:sz w:val="26"/>
                <w:szCs w:val="26"/>
              </w:rPr>
              <w:t>Annual Time Burden (Hr.)</w:t>
            </w:r>
            <w:r>
              <w:rPr>
                <w:rStyle w:val="FootnoteReference"/>
                <w:sz w:val="26"/>
                <w:szCs w:val="26"/>
              </w:rPr>
              <w:t xml:space="preserve"> </w:t>
            </w:r>
          </w:p>
        </w:tc>
        <w:tc>
          <w:tcPr>
            <w:tcW w:w="1913" w:type="dxa"/>
            <w:vAlign w:val="center"/>
          </w:tcPr>
          <w:p w:rsidR="00CB281C" w:rsidRDefault="00185190" w14:paraId="19DCED2F" w14:textId="77777777">
            <w:pPr>
              <w:jc w:val="right"/>
              <w:rPr>
                <w:sz w:val="26"/>
                <w:szCs w:val="26"/>
              </w:rPr>
            </w:pPr>
            <w:r>
              <w:rPr>
                <w:sz w:val="26"/>
                <w:szCs w:val="26"/>
              </w:rPr>
              <w:t>45,872</w:t>
            </w:r>
          </w:p>
        </w:tc>
        <w:tc>
          <w:tcPr>
            <w:tcW w:w="1912" w:type="dxa"/>
            <w:vAlign w:val="center"/>
          </w:tcPr>
          <w:p w:rsidR="00CB281C" w:rsidRDefault="00185190" w14:paraId="4B83DF44" w14:textId="77777777">
            <w:pPr>
              <w:jc w:val="right"/>
              <w:rPr>
                <w:sz w:val="26"/>
                <w:szCs w:val="26"/>
              </w:rPr>
            </w:pPr>
            <w:r>
              <w:rPr>
                <w:sz w:val="26"/>
                <w:szCs w:val="26"/>
              </w:rPr>
              <w:t>45,872</w:t>
            </w:r>
          </w:p>
        </w:tc>
        <w:tc>
          <w:tcPr>
            <w:tcW w:w="1911" w:type="dxa"/>
            <w:vAlign w:val="center"/>
          </w:tcPr>
          <w:p w:rsidR="00CB281C" w:rsidRDefault="00185190" w14:paraId="1D192094" w14:textId="77777777">
            <w:pPr>
              <w:jc w:val="right"/>
              <w:rPr>
                <w:sz w:val="26"/>
                <w:szCs w:val="26"/>
              </w:rPr>
            </w:pPr>
            <w:r>
              <w:rPr>
                <w:sz w:val="26"/>
                <w:szCs w:val="26"/>
              </w:rPr>
              <w:t>0</w:t>
            </w:r>
          </w:p>
        </w:tc>
        <w:tc>
          <w:tcPr>
            <w:tcW w:w="1913" w:type="dxa"/>
            <w:vAlign w:val="center"/>
          </w:tcPr>
          <w:p w:rsidR="00CB281C" w:rsidRDefault="00185190" w14:paraId="68037E51" w14:textId="77777777">
            <w:pPr>
              <w:jc w:val="right"/>
              <w:rPr>
                <w:sz w:val="26"/>
                <w:szCs w:val="26"/>
              </w:rPr>
            </w:pPr>
            <w:r>
              <w:rPr>
                <w:sz w:val="26"/>
                <w:szCs w:val="26"/>
              </w:rPr>
              <w:t>0</w:t>
            </w:r>
          </w:p>
        </w:tc>
      </w:tr>
      <w:tr w:rsidR="00CB281C" w14:paraId="1804E1B2" w14:textId="77777777">
        <w:trPr>
          <w:cantSplit/>
        </w:trPr>
        <w:tc>
          <w:tcPr>
            <w:tcW w:w="1906" w:type="dxa"/>
          </w:tcPr>
          <w:p w:rsidR="00CB281C" w:rsidRDefault="00185190" w14:paraId="6D87AAD1" w14:textId="77777777">
            <w:pPr>
              <w:jc w:val="center"/>
              <w:rPr>
                <w:sz w:val="26"/>
                <w:szCs w:val="26"/>
              </w:rPr>
            </w:pPr>
            <w:r>
              <w:rPr>
                <w:sz w:val="26"/>
                <w:szCs w:val="26"/>
              </w:rPr>
              <w:t>Annual Cost Burden ($)</w:t>
            </w:r>
          </w:p>
        </w:tc>
        <w:tc>
          <w:tcPr>
            <w:tcW w:w="1913" w:type="dxa"/>
            <w:vAlign w:val="center"/>
          </w:tcPr>
          <w:p w:rsidR="00CB281C" w:rsidRDefault="00185190" w14:paraId="08B0F9E8" w14:textId="77777777">
            <w:pPr>
              <w:jc w:val="right"/>
              <w:rPr>
                <w:sz w:val="26"/>
                <w:szCs w:val="26"/>
              </w:rPr>
            </w:pPr>
            <w:r>
              <w:rPr>
                <w:sz w:val="26"/>
                <w:szCs w:val="26"/>
              </w:rPr>
              <w:t>0</w:t>
            </w:r>
          </w:p>
        </w:tc>
        <w:tc>
          <w:tcPr>
            <w:tcW w:w="1912" w:type="dxa"/>
            <w:vAlign w:val="center"/>
          </w:tcPr>
          <w:p w:rsidR="00CB281C" w:rsidRDefault="00185190" w14:paraId="086FF501" w14:textId="77777777">
            <w:pPr>
              <w:jc w:val="right"/>
              <w:rPr>
                <w:sz w:val="26"/>
                <w:szCs w:val="26"/>
              </w:rPr>
            </w:pPr>
            <w:r>
              <w:rPr>
                <w:sz w:val="26"/>
                <w:szCs w:val="26"/>
              </w:rPr>
              <w:t>0</w:t>
            </w:r>
          </w:p>
        </w:tc>
        <w:tc>
          <w:tcPr>
            <w:tcW w:w="1911" w:type="dxa"/>
            <w:vAlign w:val="center"/>
          </w:tcPr>
          <w:p w:rsidR="00CB281C" w:rsidRDefault="00185190" w14:paraId="4A16D1EC" w14:textId="77777777">
            <w:pPr>
              <w:jc w:val="right"/>
              <w:rPr>
                <w:sz w:val="26"/>
                <w:szCs w:val="26"/>
              </w:rPr>
            </w:pPr>
            <w:r>
              <w:rPr>
                <w:sz w:val="26"/>
                <w:szCs w:val="26"/>
              </w:rPr>
              <w:t>0</w:t>
            </w:r>
          </w:p>
        </w:tc>
        <w:tc>
          <w:tcPr>
            <w:tcW w:w="1913" w:type="dxa"/>
            <w:vAlign w:val="center"/>
          </w:tcPr>
          <w:p w:rsidR="00CB281C" w:rsidRDefault="00185190" w14:paraId="68802B2A" w14:textId="77777777">
            <w:pPr>
              <w:jc w:val="right"/>
              <w:rPr>
                <w:sz w:val="26"/>
                <w:szCs w:val="26"/>
              </w:rPr>
            </w:pPr>
            <w:r>
              <w:rPr>
                <w:sz w:val="26"/>
                <w:szCs w:val="26"/>
              </w:rPr>
              <w:t>0</w:t>
            </w:r>
          </w:p>
        </w:tc>
      </w:tr>
    </w:tbl>
    <w:p w:rsidR="00CB281C" w:rsidRDefault="00CB281C" w14:paraId="0E5331AC" w14:textId="77777777">
      <w:pPr>
        <w:widowControl/>
        <w:rPr>
          <w:sz w:val="26"/>
          <w:szCs w:val="26"/>
        </w:rPr>
      </w:pPr>
    </w:p>
    <w:p w:rsidR="00CB281C" w:rsidRDefault="00185190" w14:paraId="28A55C51" w14:textId="77777777">
      <w:pPr>
        <w:widowControl/>
        <w:ind w:left="720" w:hanging="720"/>
        <w:rPr>
          <w:b/>
          <w:sz w:val="26"/>
          <w:szCs w:val="26"/>
        </w:rPr>
      </w:pPr>
      <w:r>
        <w:rPr>
          <w:sz w:val="26"/>
          <w:szCs w:val="26"/>
        </w:rPr>
        <w:t>16.</w:t>
      </w:r>
      <w:r>
        <w:rPr>
          <w:sz w:val="26"/>
          <w:szCs w:val="26"/>
        </w:rPr>
        <w:tab/>
      </w:r>
      <w:r>
        <w:rPr>
          <w:b/>
          <w:sz w:val="26"/>
          <w:szCs w:val="26"/>
        </w:rPr>
        <w:t>TIME SCHEDULE FOR PUBLICATION OF DATA</w:t>
      </w:r>
    </w:p>
    <w:p w:rsidR="00CB281C" w:rsidRDefault="00CB281C" w14:paraId="6AD3582E" w14:textId="77777777">
      <w:pPr>
        <w:widowControl/>
        <w:ind w:left="720" w:firstLine="720"/>
        <w:rPr>
          <w:sz w:val="26"/>
          <w:szCs w:val="26"/>
        </w:rPr>
      </w:pPr>
    </w:p>
    <w:p w:rsidR="00CB281C" w:rsidRDefault="00185190" w14:paraId="48EAC4DC" w14:textId="77777777">
      <w:pPr>
        <w:widowControl/>
        <w:rPr>
          <w:sz w:val="26"/>
          <w:szCs w:val="26"/>
        </w:rPr>
      </w:pPr>
      <w:r>
        <w:rPr>
          <w:sz w:val="26"/>
          <w:szCs w:val="26"/>
        </w:rPr>
        <w:t>The information provided in FERC-6(PL) (and Form 6) is available on the FERC website.  The data are collected for regulatory purposes and not for the purposes of a publication.</w:t>
      </w:r>
    </w:p>
    <w:p w:rsidR="00CB281C" w:rsidRDefault="00CB281C" w14:paraId="718F1857" w14:textId="77777777">
      <w:pPr>
        <w:widowControl/>
        <w:rPr>
          <w:sz w:val="26"/>
          <w:szCs w:val="26"/>
        </w:rPr>
      </w:pPr>
    </w:p>
    <w:p w:rsidR="00CB281C" w:rsidRDefault="00185190" w14:paraId="19A5BB71" w14:textId="77777777">
      <w:pPr>
        <w:widowControl/>
        <w:tabs>
          <w:tab w:val="left" w:pos="-1440"/>
        </w:tabs>
        <w:ind w:left="720" w:hanging="720"/>
        <w:rPr>
          <w:b/>
          <w:bCs/>
          <w:sz w:val="26"/>
          <w:szCs w:val="26"/>
        </w:rPr>
      </w:pPr>
      <w:r>
        <w:rPr>
          <w:sz w:val="26"/>
          <w:szCs w:val="26"/>
        </w:rPr>
        <w:t>17.</w:t>
      </w:r>
      <w:r>
        <w:rPr>
          <w:sz w:val="26"/>
          <w:szCs w:val="26"/>
        </w:rPr>
        <w:tab/>
      </w:r>
      <w:r>
        <w:rPr>
          <w:b/>
          <w:bCs/>
          <w:sz w:val="26"/>
          <w:szCs w:val="26"/>
        </w:rPr>
        <w:t>DISPLAY OF THE EXPIRATION DATE</w:t>
      </w:r>
    </w:p>
    <w:p w:rsidR="00CB281C" w:rsidRDefault="00CB281C" w14:paraId="06149F04" w14:textId="77777777">
      <w:pPr>
        <w:widowControl/>
        <w:rPr>
          <w:b/>
          <w:bCs/>
          <w:sz w:val="26"/>
          <w:szCs w:val="26"/>
        </w:rPr>
      </w:pPr>
    </w:p>
    <w:p w:rsidR="00CB281C" w:rsidRDefault="00185190" w14:paraId="6025226F" w14:textId="77777777">
      <w:pPr>
        <w:widowControl/>
        <w:rPr>
          <w:sz w:val="26"/>
          <w:szCs w:val="26"/>
        </w:rPr>
      </w:pPr>
      <w:r>
        <w:rPr>
          <w:sz w:val="26"/>
          <w:szCs w:val="26"/>
        </w:rPr>
        <w:t xml:space="preserve">FERC-6(PL) and FERC Form No. 6 display the OMB control numbers and the expiration dates.  The expiration dates are also posted on the FERC website.  </w:t>
      </w:r>
    </w:p>
    <w:p w:rsidR="00CB281C" w:rsidRDefault="00CB281C" w14:paraId="0BA6EF31" w14:textId="77777777">
      <w:pPr>
        <w:widowControl/>
        <w:rPr>
          <w:sz w:val="26"/>
          <w:szCs w:val="26"/>
        </w:rPr>
      </w:pPr>
    </w:p>
    <w:p w:rsidR="00CB281C" w:rsidRDefault="00185190" w14:paraId="1E32EFBD" w14:textId="77777777">
      <w:pPr>
        <w:widowControl/>
        <w:ind w:left="720" w:hanging="720"/>
        <w:rPr>
          <w:b/>
          <w:bCs/>
          <w:sz w:val="26"/>
          <w:szCs w:val="26"/>
        </w:rPr>
      </w:pPr>
      <w:r>
        <w:rPr>
          <w:sz w:val="26"/>
          <w:szCs w:val="26"/>
        </w:rPr>
        <w:t xml:space="preserve">18.  </w:t>
      </w:r>
      <w:r>
        <w:rPr>
          <w:sz w:val="26"/>
          <w:szCs w:val="26"/>
        </w:rPr>
        <w:tab/>
      </w:r>
      <w:r>
        <w:rPr>
          <w:b/>
          <w:bCs/>
          <w:sz w:val="26"/>
          <w:szCs w:val="26"/>
        </w:rPr>
        <w:t>EXCEPTIONS TO THE CERTIFICATION STATEMENT</w:t>
      </w:r>
    </w:p>
    <w:p w:rsidR="00CB281C" w:rsidRDefault="00CB281C" w14:paraId="2323DD55" w14:textId="77777777">
      <w:pPr>
        <w:widowControl/>
        <w:ind w:left="720" w:firstLine="720"/>
        <w:rPr>
          <w:bCs/>
          <w:sz w:val="26"/>
          <w:szCs w:val="26"/>
        </w:rPr>
      </w:pPr>
    </w:p>
    <w:p w:rsidR="00CB281C" w:rsidRDefault="00185190" w14:paraId="31EEDE25" w14:textId="77777777">
      <w:pPr>
        <w:widowControl/>
        <w:rPr>
          <w:bCs/>
          <w:sz w:val="26"/>
          <w:szCs w:val="26"/>
        </w:rPr>
      </w:pPr>
      <w:r>
        <w:rPr>
          <w:bCs/>
          <w:sz w:val="26"/>
          <w:szCs w:val="26"/>
        </w:rPr>
        <w:t>There are no exceptions.</w:t>
      </w:r>
    </w:p>
    <w:p w:rsidR="00CB281C" w:rsidRDefault="00185190" w14:paraId="33CD0A3C" w14:textId="77777777">
      <w:pPr>
        <w:widowControl/>
        <w:autoSpaceDE/>
        <w:autoSpaceDN/>
        <w:adjustRightInd/>
        <w:rPr>
          <w:bCs/>
          <w:sz w:val="26"/>
          <w:szCs w:val="26"/>
        </w:rPr>
      </w:pPr>
      <w:r>
        <w:rPr>
          <w:bCs/>
          <w:sz w:val="26"/>
          <w:szCs w:val="26"/>
        </w:rPr>
        <w:br w:type="page"/>
      </w:r>
    </w:p>
    <w:p w:rsidR="00CB281C" w:rsidRDefault="00185190" w14:paraId="5C0E5CA3" w14:textId="77777777">
      <w:pPr>
        <w:widowControl/>
        <w:jc w:val="right"/>
        <w:rPr>
          <w:b/>
          <w:bCs/>
          <w:sz w:val="26"/>
          <w:szCs w:val="26"/>
        </w:rPr>
      </w:pPr>
      <w:r>
        <w:rPr>
          <w:b/>
          <w:bCs/>
          <w:sz w:val="26"/>
          <w:szCs w:val="26"/>
        </w:rPr>
        <w:lastRenderedPageBreak/>
        <w:t>ATTACHMENT</w:t>
      </w:r>
    </w:p>
    <w:p w:rsidR="00CB281C" w:rsidRDefault="00CB281C" w14:paraId="2E04C5F0" w14:textId="77777777">
      <w:pPr>
        <w:widowControl/>
        <w:rPr>
          <w:sz w:val="26"/>
          <w:szCs w:val="26"/>
        </w:rPr>
      </w:pPr>
    </w:p>
    <w:p w:rsidR="00CB281C" w:rsidRDefault="00185190" w14:paraId="082A512C" w14:textId="77777777">
      <w:pPr>
        <w:widowControl/>
        <w:rPr>
          <w:sz w:val="26"/>
          <w:szCs w:val="26"/>
        </w:rPr>
      </w:pPr>
      <w:r>
        <w:rPr>
          <w:sz w:val="26"/>
          <w:szCs w:val="26"/>
        </w:rPr>
        <w:t>The data elements (with line nos.) from Page 700 of FERC Form No. 6 (and covered by FERC-6(PL) in this supporting statement, related to the one-time voluntary re-filing in 2020) are:</w:t>
      </w:r>
    </w:p>
    <w:p w:rsidR="00CB281C" w:rsidRDefault="00CB281C" w14:paraId="5A78B550" w14:textId="77777777">
      <w:pPr>
        <w:widowControl/>
        <w:rPr>
          <w:sz w:val="26"/>
          <w:szCs w:val="26"/>
        </w:rPr>
      </w:pPr>
    </w:p>
    <w:p w:rsidR="00CB281C" w:rsidRDefault="00185190" w14:paraId="63D09DF8" w14:textId="77777777">
      <w:pPr>
        <w:widowControl/>
        <w:ind w:left="720"/>
        <w:rPr>
          <w:sz w:val="26"/>
          <w:szCs w:val="26"/>
        </w:rPr>
      </w:pPr>
      <w:r>
        <w:rPr>
          <w:sz w:val="26"/>
          <w:szCs w:val="26"/>
        </w:rPr>
        <w:t>1 Operating and Maintenance Expenses</w:t>
      </w:r>
    </w:p>
    <w:p w:rsidR="00CB281C" w:rsidRDefault="00185190" w14:paraId="5549201D" w14:textId="77777777">
      <w:pPr>
        <w:widowControl/>
        <w:ind w:left="720"/>
        <w:rPr>
          <w:sz w:val="26"/>
          <w:szCs w:val="26"/>
        </w:rPr>
      </w:pPr>
      <w:r>
        <w:rPr>
          <w:sz w:val="26"/>
          <w:szCs w:val="26"/>
        </w:rPr>
        <w:t>2 Depreciation Expense</w:t>
      </w:r>
    </w:p>
    <w:p w:rsidR="00CB281C" w:rsidRDefault="00185190" w14:paraId="7161DD63" w14:textId="77777777">
      <w:pPr>
        <w:widowControl/>
        <w:ind w:left="720"/>
        <w:rPr>
          <w:sz w:val="26"/>
          <w:szCs w:val="26"/>
        </w:rPr>
      </w:pPr>
      <w:r>
        <w:rPr>
          <w:sz w:val="26"/>
          <w:szCs w:val="26"/>
        </w:rPr>
        <w:t>3 AFUDC Depreciation</w:t>
      </w:r>
    </w:p>
    <w:p w:rsidR="00CB281C" w:rsidRDefault="00185190" w14:paraId="52770B89" w14:textId="77777777">
      <w:pPr>
        <w:widowControl/>
        <w:ind w:left="720"/>
        <w:rPr>
          <w:sz w:val="26"/>
          <w:szCs w:val="26"/>
        </w:rPr>
      </w:pPr>
      <w:r>
        <w:rPr>
          <w:sz w:val="26"/>
          <w:szCs w:val="26"/>
        </w:rPr>
        <w:t>4 Amortization of Deferred Earnings</w:t>
      </w:r>
    </w:p>
    <w:p w:rsidR="00CB281C" w:rsidRDefault="00185190" w14:paraId="3C026840" w14:textId="77777777">
      <w:pPr>
        <w:widowControl/>
        <w:ind w:left="720"/>
        <w:rPr>
          <w:sz w:val="26"/>
          <w:szCs w:val="26"/>
        </w:rPr>
      </w:pPr>
      <w:r>
        <w:rPr>
          <w:sz w:val="26"/>
          <w:szCs w:val="26"/>
        </w:rPr>
        <w:t>5 Rate Base</w:t>
      </w:r>
    </w:p>
    <w:p w:rsidR="00CB281C" w:rsidRDefault="00185190" w14:paraId="43664527" w14:textId="77777777">
      <w:pPr>
        <w:widowControl/>
        <w:ind w:left="720" w:firstLine="720"/>
        <w:rPr>
          <w:sz w:val="26"/>
          <w:szCs w:val="26"/>
        </w:rPr>
      </w:pPr>
      <w:r>
        <w:rPr>
          <w:sz w:val="26"/>
          <w:szCs w:val="26"/>
        </w:rPr>
        <w:t>5a Rate Base - Original Cost</w:t>
      </w:r>
    </w:p>
    <w:p w:rsidR="00CB281C" w:rsidRDefault="00185190" w14:paraId="4577C435" w14:textId="77777777">
      <w:pPr>
        <w:widowControl/>
        <w:ind w:left="720" w:firstLine="720"/>
        <w:rPr>
          <w:sz w:val="26"/>
          <w:szCs w:val="26"/>
        </w:rPr>
      </w:pPr>
      <w:r>
        <w:rPr>
          <w:sz w:val="26"/>
          <w:szCs w:val="26"/>
        </w:rPr>
        <w:t>5b Rate Base - Unamortized Starting Rate Base Write-Up</w:t>
      </w:r>
    </w:p>
    <w:p w:rsidR="00CB281C" w:rsidRDefault="00185190" w14:paraId="1EAEF355" w14:textId="77777777">
      <w:pPr>
        <w:widowControl/>
        <w:ind w:left="720" w:firstLine="720"/>
        <w:rPr>
          <w:sz w:val="26"/>
          <w:szCs w:val="26"/>
        </w:rPr>
      </w:pPr>
      <w:r>
        <w:rPr>
          <w:sz w:val="26"/>
          <w:szCs w:val="26"/>
        </w:rPr>
        <w:t>5c Rate Base - Accumulated Net Deferred Earnings</w:t>
      </w:r>
    </w:p>
    <w:p w:rsidR="00CB281C" w:rsidRDefault="00185190" w14:paraId="38B9C1B2" w14:textId="77777777">
      <w:pPr>
        <w:widowControl/>
        <w:ind w:left="720" w:firstLine="720"/>
        <w:rPr>
          <w:sz w:val="26"/>
          <w:szCs w:val="26"/>
        </w:rPr>
      </w:pPr>
      <w:r>
        <w:rPr>
          <w:sz w:val="26"/>
          <w:szCs w:val="26"/>
        </w:rPr>
        <w:t>5d Total Rate Base -Trended Original Cost - (line 5a + line 5b + line 5c)</w:t>
      </w:r>
    </w:p>
    <w:p w:rsidR="00CB281C" w:rsidRDefault="00185190" w14:paraId="49489DE2" w14:textId="77777777">
      <w:pPr>
        <w:widowControl/>
        <w:ind w:left="720"/>
        <w:rPr>
          <w:sz w:val="26"/>
          <w:szCs w:val="26"/>
        </w:rPr>
      </w:pPr>
      <w:r>
        <w:rPr>
          <w:sz w:val="26"/>
          <w:szCs w:val="26"/>
        </w:rPr>
        <w:t>6 Rate of Return % (10.25% - 10.25)</w:t>
      </w:r>
    </w:p>
    <w:p w:rsidR="00CB281C" w:rsidRDefault="00185190" w14:paraId="01DDC73D" w14:textId="77777777">
      <w:pPr>
        <w:widowControl/>
        <w:ind w:left="720" w:firstLine="720"/>
        <w:rPr>
          <w:sz w:val="26"/>
          <w:szCs w:val="26"/>
        </w:rPr>
      </w:pPr>
      <w:r>
        <w:rPr>
          <w:sz w:val="26"/>
          <w:szCs w:val="26"/>
        </w:rPr>
        <w:t>6a Rate of Return - Adjusted Capital Structure Ratio for Long Term Debt</w:t>
      </w:r>
    </w:p>
    <w:p w:rsidR="00CB281C" w:rsidRDefault="00185190" w14:paraId="3431245C" w14:textId="77777777">
      <w:pPr>
        <w:widowControl/>
        <w:ind w:left="720" w:firstLine="720"/>
        <w:rPr>
          <w:sz w:val="26"/>
          <w:szCs w:val="26"/>
        </w:rPr>
      </w:pPr>
      <w:r>
        <w:rPr>
          <w:sz w:val="26"/>
          <w:szCs w:val="26"/>
        </w:rPr>
        <w:t>6b Rate of Return - Adjusted Capital Structure Ratio for Stockholders’ Equity</w:t>
      </w:r>
    </w:p>
    <w:p w:rsidR="00CB281C" w:rsidRDefault="00185190" w14:paraId="5C4CB5EA" w14:textId="77777777">
      <w:pPr>
        <w:widowControl/>
        <w:ind w:left="720" w:firstLine="720"/>
        <w:rPr>
          <w:sz w:val="26"/>
          <w:szCs w:val="26"/>
        </w:rPr>
      </w:pPr>
      <w:r>
        <w:rPr>
          <w:sz w:val="26"/>
          <w:szCs w:val="26"/>
        </w:rPr>
        <w:t>6c Rate of Return - Cost of Long Term Debt Capital</w:t>
      </w:r>
    </w:p>
    <w:p w:rsidR="00CB281C" w:rsidRDefault="00185190" w14:paraId="05EBB059" w14:textId="77777777">
      <w:pPr>
        <w:widowControl/>
        <w:ind w:left="720" w:firstLine="720"/>
        <w:rPr>
          <w:sz w:val="26"/>
          <w:szCs w:val="26"/>
        </w:rPr>
      </w:pPr>
      <w:r>
        <w:rPr>
          <w:sz w:val="26"/>
          <w:szCs w:val="26"/>
        </w:rPr>
        <w:t>6d Rate of Return - Real Cost of Stockholders’ Equity</w:t>
      </w:r>
    </w:p>
    <w:p w:rsidR="00CB281C" w:rsidRDefault="00185190" w14:paraId="3DD8EDBF" w14:textId="77777777">
      <w:pPr>
        <w:widowControl/>
        <w:ind w:left="1440"/>
        <w:rPr>
          <w:sz w:val="26"/>
          <w:szCs w:val="26"/>
        </w:rPr>
      </w:pPr>
      <w:r>
        <w:rPr>
          <w:sz w:val="26"/>
          <w:szCs w:val="26"/>
        </w:rPr>
        <w:t>6e Rate of Return - Weighted Average Cost of Capital - (line 6a x line 6c + line 6b x line 6d)</w:t>
      </w:r>
    </w:p>
    <w:p w:rsidR="00CB281C" w:rsidRDefault="00185190" w14:paraId="462580B1" w14:textId="77777777">
      <w:pPr>
        <w:widowControl/>
        <w:ind w:left="720"/>
        <w:rPr>
          <w:sz w:val="26"/>
          <w:szCs w:val="26"/>
        </w:rPr>
      </w:pPr>
      <w:r>
        <w:rPr>
          <w:sz w:val="26"/>
          <w:szCs w:val="26"/>
        </w:rPr>
        <w:t>7 Return on Trended Original Cost Rate Base</w:t>
      </w:r>
    </w:p>
    <w:p w:rsidR="00CB281C" w:rsidRDefault="00185190" w14:paraId="27C6EB02" w14:textId="77777777">
      <w:pPr>
        <w:widowControl/>
        <w:ind w:left="720" w:firstLine="720"/>
        <w:rPr>
          <w:sz w:val="26"/>
          <w:szCs w:val="26"/>
        </w:rPr>
      </w:pPr>
      <w:r>
        <w:rPr>
          <w:sz w:val="26"/>
          <w:szCs w:val="26"/>
        </w:rPr>
        <w:t>7a Return on Rate Base - Debt Component - (line 5d x line 6a x line 6c)</w:t>
      </w:r>
    </w:p>
    <w:p w:rsidR="00CB281C" w:rsidRDefault="00185190" w14:paraId="15326400" w14:textId="77777777">
      <w:pPr>
        <w:widowControl/>
        <w:ind w:left="720" w:firstLine="720"/>
        <w:rPr>
          <w:sz w:val="26"/>
          <w:szCs w:val="26"/>
        </w:rPr>
      </w:pPr>
      <w:r>
        <w:rPr>
          <w:sz w:val="26"/>
          <w:szCs w:val="26"/>
        </w:rPr>
        <w:t>7b Return on Rate Base - Equity Component - (line 5d x line 6b x line 6d)</w:t>
      </w:r>
    </w:p>
    <w:p w:rsidR="00CB281C" w:rsidRDefault="00185190" w14:paraId="49331749" w14:textId="77777777">
      <w:pPr>
        <w:widowControl/>
        <w:ind w:left="720" w:firstLine="720"/>
        <w:rPr>
          <w:sz w:val="26"/>
          <w:szCs w:val="26"/>
        </w:rPr>
      </w:pPr>
      <w:r>
        <w:rPr>
          <w:sz w:val="26"/>
          <w:szCs w:val="26"/>
        </w:rPr>
        <w:t>7c Total Return on Rate Base - (line 7a + line 7b)</w:t>
      </w:r>
    </w:p>
    <w:p w:rsidR="00CB281C" w:rsidRDefault="00185190" w14:paraId="481129B4" w14:textId="77777777">
      <w:pPr>
        <w:widowControl/>
        <w:ind w:left="720"/>
        <w:rPr>
          <w:sz w:val="26"/>
          <w:szCs w:val="26"/>
        </w:rPr>
      </w:pPr>
      <w:r>
        <w:rPr>
          <w:sz w:val="26"/>
          <w:szCs w:val="26"/>
        </w:rPr>
        <w:t>8 Income Tax Allowance</w:t>
      </w:r>
    </w:p>
    <w:p w:rsidR="00CB281C" w:rsidRDefault="00185190" w14:paraId="5579C498" w14:textId="77777777">
      <w:pPr>
        <w:widowControl/>
        <w:ind w:left="720" w:firstLine="720"/>
        <w:rPr>
          <w:sz w:val="26"/>
          <w:szCs w:val="26"/>
        </w:rPr>
      </w:pPr>
      <w:r>
        <w:rPr>
          <w:sz w:val="26"/>
          <w:szCs w:val="26"/>
        </w:rPr>
        <w:t>8a Composite Tax Rate % (37.50% - 37.50)</w:t>
      </w:r>
    </w:p>
    <w:p w:rsidR="00CB281C" w:rsidRDefault="00185190" w14:paraId="3B77CBC4" w14:textId="77777777">
      <w:pPr>
        <w:widowControl/>
        <w:ind w:left="720"/>
        <w:rPr>
          <w:sz w:val="26"/>
          <w:szCs w:val="26"/>
        </w:rPr>
      </w:pPr>
      <w:r>
        <w:rPr>
          <w:sz w:val="26"/>
          <w:szCs w:val="26"/>
        </w:rPr>
        <w:t>9 Total Cost of Service</w:t>
      </w:r>
    </w:p>
    <w:p w:rsidR="00CB281C" w:rsidRDefault="00185190" w14:paraId="7DD10227" w14:textId="77777777">
      <w:pPr>
        <w:widowControl/>
        <w:ind w:left="720"/>
        <w:rPr>
          <w:sz w:val="26"/>
          <w:szCs w:val="26"/>
        </w:rPr>
      </w:pPr>
      <w:r>
        <w:rPr>
          <w:sz w:val="26"/>
          <w:szCs w:val="26"/>
        </w:rPr>
        <w:t>10 Total Interstate Operating Revenues</w:t>
      </w:r>
    </w:p>
    <w:p w:rsidR="00CB281C" w:rsidRDefault="00185190" w14:paraId="564C9E35" w14:textId="77777777">
      <w:pPr>
        <w:widowControl/>
        <w:ind w:left="720"/>
        <w:rPr>
          <w:sz w:val="26"/>
          <w:szCs w:val="26"/>
        </w:rPr>
      </w:pPr>
      <w:r>
        <w:rPr>
          <w:sz w:val="26"/>
          <w:szCs w:val="26"/>
        </w:rPr>
        <w:t>11 Total Interstate Throughput in Barrels</w:t>
      </w:r>
    </w:p>
    <w:p w:rsidR="00CB281C" w:rsidRDefault="00185190" w14:paraId="545E43D3" w14:textId="77777777">
      <w:pPr>
        <w:widowControl/>
        <w:ind w:left="720"/>
        <w:rPr>
          <w:sz w:val="26"/>
          <w:szCs w:val="26"/>
        </w:rPr>
      </w:pPr>
      <w:r>
        <w:rPr>
          <w:sz w:val="26"/>
          <w:szCs w:val="26"/>
        </w:rPr>
        <w:t>12 Total Interstate Throughput in Barrel-Miles</w:t>
      </w:r>
    </w:p>
    <w:sectPr w:rsidR="00CB281C">
      <w:headerReference w:type="even" r:id="rId13"/>
      <w:headerReference w:type="default" r:id="rId14"/>
      <w:footerReference w:type="even" r:id="rId15"/>
      <w:footerReference w:type="default" r:id="rId16"/>
      <w:headerReference w:type="first" r:id="rId17"/>
      <w:footerReference w:type="first" r:id="rId18"/>
      <w:pgSz w:w="12240" w:h="15840"/>
      <w:pgMar w:top="994" w:right="1080" w:bottom="936" w:left="1080" w:header="994" w:footer="93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06CE82" w14:textId="77777777" w:rsidR="00CB281C" w:rsidRDefault="00185190">
      <w:r>
        <w:separator/>
      </w:r>
    </w:p>
  </w:endnote>
  <w:endnote w:type="continuationSeparator" w:id="0">
    <w:p w14:paraId="54E887B6" w14:textId="77777777" w:rsidR="00CB281C" w:rsidRDefault="00185190">
      <w:r>
        <w:continuationSeparator/>
      </w:r>
    </w:p>
  </w:endnote>
  <w:endnote w:type="continuationNotice" w:id="1">
    <w:p w14:paraId="7CB2C9A3" w14:textId="77777777" w:rsidR="00CB281C" w:rsidRDefault="00CB28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MODMN+ArialNarrow">
    <w:altName w:val="Arial Narrow"/>
    <w:panose1 w:val="00000000000000000000"/>
    <w:charset w:val="00"/>
    <w:family w:val="swiss"/>
    <w:notTrueType/>
    <w:pitch w:val="default"/>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BC940" w14:textId="77777777" w:rsidR="00CB281C" w:rsidRDefault="0018519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61C47557" w14:textId="77777777" w:rsidR="00CB281C" w:rsidRDefault="00CB281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D1D06" w14:textId="77777777" w:rsidR="00CB281C" w:rsidRDefault="0018519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033F6007" w14:textId="77777777" w:rsidR="00CB281C" w:rsidRDefault="00CB281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11B8F" w14:textId="77777777" w:rsidR="00650DF4" w:rsidRDefault="00650D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F03C40" w14:textId="77777777" w:rsidR="00CB281C" w:rsidRDefault="00185190">
      <w:r>
        <w:separator/>
      </w:r>
    </w:p>
  </w:footnote>
  <w:footnote w:type="continuationSeparator" w:id="0">
    <w:p w14:paraId="2EBB1D23" w14:textId="77777777" w:rsidR="00CB281C" w:rsidRDefault="00185190">
      <w:r>
        <w:continuationSeparator/>
      </w:r>
    </w:p>
  </w:footnote>
  <w:footnote w:type="continuationNotice" w:id="1">
    <w:p w14:paraId="1852995D" w14:textId="77777777" w:rsidR="00CB281C" w:rsidRDefault="00CB281C"/>
  </w:footnote>
  <w:footnote w:id="2">
    <w:p w14:paraId="069C1F61" w14:textId="3CBC95E5" w:rsidR="00CB281C" w:rsidRDefault="00185190">
      <w:pPr>
        <w:pStyle w:val="FootnoteText"/>
        <w:rPr>
          <w:sz w:val="26"/>
          <w:szCs w:val="26"/>
        </w:rPr>
      </w:pPr>
      <w:r>
        <w:rPr>
          <w:rStyle w:val="FootnoteReference"/>
          <w:sz w:val="26"/>
          <w:szCs w:val="26"/>
          <w:vertAlign w:val="superscript"/>
        </w:rPr>
        <w:footnoteRef/>
      </w:r>
      <w:r>
        <w:rPr>
          <w:sz w:val="26"/>
          <w:szCs w:val="26"/>
          <w:vertAlign w:val="superscript"/>
        </w:rPr>
        <w:t xml:space="preserve"> </w:t>
      </w:r>
      <w:r>
        <w:rPr>
          <w:sz w:val="26"/>
          <w:szCs w:val="26"/>
        </w:rPr>
        <w:t xml:space="preserve">A letter, to OMB’s Administrator of OIRA, signed by the Commission’s General Counsel (dated  6/29/2020) was submitted requesting emergency clearance. The letter is also included in ROCIS under Supplementary Documents.  FERC has requested OMB’s decision by 7/6/2020.  The approach of requesting emergency approval (rather than the currently pending submittal for FERC Form No. 6) was discussed with the OMB Desk Officer for FERC. </w:t>
      </w:r>
    </w:p>
    <w:p w14:paraId="29CF3F25" w14:textId="5F2C02C7" w:rsidR="00650DF4" w:rsidRDefault="00650DF4" w:rsidP="00650DF4">
      <w:pPr>
        <w:pStyle w:val="FootnoteText"/>
        <w:rPr>
          <w:sz w:val="26"/>
          <w:szCs w:val="26"/>
        </w:rPr>
      </w:pPr>
      <w:r>
        <w:rPr>
          <w:sz w:val="26"/>
          <w:szCs w:val="26"/>
        </w:rPr>
        <w:t>A Notice (‘</w:t>
      </w:r>
      <w:r w:rsidRPr="00650DF4">
        <w:rPr>
          <w:sz w:val="26"/>
          <w:szCs w:val="26"/>
        </w:rPr>
        <w:t>Commission Information Collection</w:t>
      </w:r>
      <w:r>
        <w:rPr>
          <w:sz w:val="26"/>
          <w:szCs w:val="26"/>
        </w:rPr>
        <w:t xml:space="preserve"> </w:t>
      </w:r>
      <w:r w:rsidRPr="00650DF4">
        <w:rPr>
          <w:sz w:val="26"/>
          <w:szCs w:val="26"/>
        </w:rPr>
        <w:t>Activities; Request for Emergency</w:t>
      </w:r>
      <w:r>
        <w:rPr>
          <w:sz w:val="26"/>
          <w:szCs w:val="26"/>
        </w:rPr>
        <w:t xml:space="preserve"> </w:t>
      </w:r>
      <w:r w:rsidRPr="00650DF4">
        <w:rPr>
          <w:sz w:val="26"/>
          <w:szCs w:val="26"/>
        </w:rPr>
        <w:t>Processing for FERC–6(PL)</w:t>
      </w:r>
      <w:r>
        <w:rPr>
          <w:sz w:val="26"/>
          <w:szCs w:val="26"/>
        </w:rPr>
        <w:t xml:space="preserve">’) was published in the Federal Register (85 FR 40283, 7/6/2020), at </w:t>
      </w:r>
      <w:hyperlink r:id="rId1" w:history="1">
        <w:r w:rsidR="00C71909" w:rsidRPr="00CD1A11">
          <w:rPr>
            <w:rStyle w:val="Hyperlink"/>
            <w:sz w:val="26"/>
            <w:szCs w:val="26"/>
          </w:rPr>
          <w:t>https://www.govinfo.gov/content/pkg/FR-2020-07-06/pdf/2020-1442</w:t>
        </w:r>
        <w:r w:rsidR="00C71909" w:rsidRPr="00CD1A11">
          <w:rPr>
            <w:rStyle w:val="Hyperlink"/>
            <w:sz w:val="26"/>
            <w:szCs w:val="26"/>
          </w:rPr>
          <w:t>2</w:t>
        </w:r>
        <w:r w:rsidR="00C71909" w:rsidRPr="00CD1A11">
          <w:rPr>
            <w:rStyle w:val="Hyperlink"/>
            <w:sz w:val="26"/>
            <w:szCs w:val="26"/>
          </w:rPr>
          <w:t>.pdf?utm_medium=email&amp;utm_campaign=subscription+mailing+list&amp;utm_source=federalregister.gov</w:t>
        </w:r>
      </w:hyperlink>
      <w:r w:rsidR="00C71909">
        <w:rPr>
          <w:sz w:val="26"/>
          <w:szCs w:val="26"/>
        </w:rPr>
        <w:t xml:space="preserve"> </w:t>
      </w:r>
      <w:r w:rsidRPr="00650DF4">
        <w:rPr>
          <w:sz w:val="26"/>
          <w:szCs w:val="26"/>
        </w:rPr>
        <w:t>.</w:t>
      </w:r>
    </w:p>
  </w:footnote>
  <w:footnote w:id="3">
    <w:p w14:paraId="2E6C796C" w14:textId="77777777" w:rsidR="00CB281C" w:rsidRDefault="00185190">
      <w:pPr>
        <w:pStyle w:val="FootnoteText"/>
        <w:rPr>
          <w:sz w:val="26"/>
          <w:szCs w:val="26"/>
        </w:rPr>
      </w:pPr>
      <w:r>
        <w:rPr>
          <w:rStyle w:val="FootnoteReference"/>
          <w:sz w:val="26"/>
          <w:szCs w:val="26"/>
          <w:vertAlign w:val="superscript"/>
        </w:rPr>
        <w:footnoteRef/>
      </w:r>
      <w:r>
        <w:rPr>
          <w:sz w:val="26"/>
          <w:szCs w:val="26"/>
        </w:rPr>
        <w:t xml:space="preserve"> </w:t>
      </w:r>
      <w:r>
        <w:rPr>
          <w:i/>
          <w:sz w:val="26"/>
          <w:szCs w:val="26"/>
        </w:rPr>
        <w:t>Inquiry Regarding the Commission’s Policy for Determining Return on Equity</w:t>
      </w:r>
      <w:r>
        <w:rPr>
          <w:sz w:val="26"/>
          <w:szCs w:val="26"/>
        </w:rPr>
        <w:t xml:space="preserve">, 171 FERC ¶ 61,155 (2020).  The Policy Statement is posted in FERC’s eLibrary at </w:t>
      </w:r>
      <w:hyperlink r:id="rId2" w:history="1">
        <w:r>
          <w:rPr>
            <w:rStyle w:val="Hyperlink"/>
            <w:sz w:val="26"/>
            <w:szCs w:val="26"/>
          </w:rPr>
          <w:t>https://elibrary.ferc.gov/idmws/common/opennat.asp?fileID=15540146</w:t>
        </w:r>
      </w:hyperlink>
      <w:r>
        <w:rPr>
          <w:sz w:val="26"/>
          <w:szCs w:val="26"/>
        </w:rPr>
        <w:t xml:space="preserve">; the associated news release is posted at </w:t>
      </w:r>
      <w:hyperlink r:id="rId3" w:history="1">
        <w:r>
          <w:rPr>
            <w:rStyle w:val="Hyperlink"/>
            <w:sz w:val="26"/>
            <w:szCs w:val="26"/>
          </w:rPr>
          <w:t>https://elibrary.ferc.gov/idmws/common/opennat.asp?fileID=15540093</w:t>
        </w:r>
      </w:hyperlink>
      <w:r>
        <w:rPr>
          <w:sz w:val="26"/>
          <w:szCs w:val="26"/>
        </w:rPr>
        <w:t xml:space="preserve"> .  The Policy Statement published in the Federal Register on May 27, 2020 (85 FR 31760).</w:t>
      </w:r>
    </w:p>
  </w:footnote>
  <w:footnote w:id="4">
    <w:p w14:paraId="127AEC05" w14:textId="77777777" w:rsidR="00CB281C" w:rsidRDefault="00185190">
      <w:pPr>
        <w:pStyle w:val="FootnoteText"/>
        <w:rPr>
          <w:sz w:val="26"/>
          <w:szCs w:val="26"/>
        </w:rPr>
      </w:pPr>
      <w:r>
        <w:rPr>
          <w:rStyle w:val="FootnoteReference"/>
          <w:sz w:val="24"/>
          <w:szCs w:val="24"/>
          <w:vertAlign w:val="superscript"/>
        </w:rPr>
        <w:footnoteRef/>
      </w:r>
      <w:r>
        <w:rPr>
          <w:sz w:val="24"/>
          <w:szCs w:val="24"/>
          <w:vertAlign w:val="superscript"/>
        </w:rPr>
        <w:t xml:space="preserve"> </w:t>
      </w:r>
      <w:r>
        <w:rPr>
          <w:sz w:val="26"/>
          <w:szCs w:val="26"/>
        </w:rPr>
        <w:t xml:space="preserve">FERC Form No. 6 is part of the “Forms Refresh” effort, which is a separate activity and not addressed here.  </w:t>
      </w:r>
      <w:r>
        <w:rPr>
          <w:i/>
          <w:sz w:val="26"/>
          <w:szCs w:val="26"/>
        </w:rPr>
        <w:t>See Revisions to the Filing Process for Commission Forms</w:t>
      </w:r>
      <w:r>
        <w:rPr>
          <w:sz w:val="26"/>
          <w:szCs w:val="26"/>
        </w:rPr>
        <w:t xml:space="preserve">, 166 FERC ¶ 61,027 (2019) (started in Docket No. AD15-11 and ongoing in Docket No. RM19-12).    More information on the Forms Refresh project is posted on the FERC website. </w:t>
      </w:r>
    </w:p>
    <w:p w14:paraId="10BD2FBF" w14:textId="77777777" w:rsidR="00CB281C" w:rsidRDefault="00185190">
      <w:pPr>
        <w:pStyle w:val="FootnoteText"/>
        <w:rPr>
          <w:sz w:val="26"/>
          <w:szCs w:val="26"/>
        </w:rPr>
      </w:pPr>
      <w:r>
        <w:rPr>
          <w:sz w:val="26"/>
          <w:szCs w:val="26"/>
        </w:rPr>
        <w:t xml:space="preserve">In addition, this submittal does not reflect Docket No. RM15-19 </w:t>
      </w:r>
      <w:r>
        <w:rPr>
          <w:i/>
          <w:sz w:val="26"/>
          <w:szCs w:val="26"/>
        </w:rPr>
        <w:t>(Petition for a Rulemaking of the Liquids Shippers Group, et al.</w:t>
      </w:r>
      <w:r>
        <w:rPr>
          <w:sz w:val="26"/>
          <w:szCs w:val="26"/>
        </w:rPr>
        <w:t>, (2015)) and Docket No. RM17-1 (</w:t>
      </w:r>
      <w:r>
        <w:rPr>
          <w:i/>
          <w:sz w:val="26"/>
          <w:szCs w:val="26"/>
        </w:rPr>
        <w:t>Revisions to Indexing Policies and Page 700 of FERC Form No. 6</w:t>
      </w:r>
      <w:r>
        <w:rPr>
          <w:sz w:val="26"/>
          <w:szCs w:val="26"/>
        </w:rPr>
        <w:t xml:space="preserve"> (2016)).</w:t>
      </w:r>
    </w:p>
  </w:footnote>
  <w:footnote w:id="5">
    <w:p w14:paraId="44DD6124" w14:textId="77777777" w:rsidR="00CB281C" w:rsidRDefault="00185190">
      <w:pPr>
        <w:pStyle w:val="FootnoteText"/>
        <w:rPr>
          <w:sz w:val="26"/>
          <w:szCs w:val="26"/>
        </w:rPr>
      </w:pPr>
      <w:r>
        <w:rPr>
          <w:rStyle w:val="FootnoteReference"/>
          <w:sz w:val="26"/>
          <w:szCs w:val="26"/>
          <w:vertAlign w:val="superscript"/>
        </w:rPr>
        <w:footnoteRef/>
      </w:r>
      <w:r>
        <w:rPr>
          <w:sz w:val="26"/>
          <w:szCs w:val="26"/>
        </w:rPr>
        <w:t xml:space="preserve"> Oil pipeline index increases to be filed July 1, 2020, will be based upon the index level established in the prior five-year review completed in 2015.  </w:t>
      </w:r>
      <w:r>
        <w:rPr>
          <w:i/>
          <w:iCs/>
          <w:sz w:val="26"/>
          <w:szCs w:val="26"/>
        </w:rPr>
        <w:t>Five-Year Review of the Oil Pipeline Index</w:t>
      </w:r>
      <w:r>
        <w:rPr>
          <w:sz w:val="26"/>
          <w:szCs w:val="26"/>
        </w:rPr>
        <w:t xml:space="preserve">, 153 FERC ¶ 61,312 (2015).  Page 700 data for 2020 has not been filed, but it will be considered in the five-year review conducted in 2025, which would be based upon 2019-2024 data.         </w:t>
      </w:r>
    </w:p>
  </w:footnote>
  <w:footnote w:id="6">
    <w:p w14:paraId="7BE4891A" w14:textId="77777777" w:rsidR="00CB281C" w:rsidRDefault="00185190">
      <w:pPr>
        <w:pStyle w:val="FootnoteText"/>
        <w:rPr>
          <w:sz w:val="26"/>
          <w:szCs w:val="26"/>
        </w:rPr>
      </w:pPr>
      <w:r>
        <w:rPr>
          <w:rStyle w:val="FootnoteReference"/>
          <w:sz w:val="26"/>
          <w:szCs w:val="26"/>
          <w:vertAlign w:val="superscript"/>
        </w:rPr>
        <w:footnoteRef/>
      </w:r>
      <w:r>
        <w:rPr>
          <w:sz w:val="26"/>
          <w:szCs w:val="26"/>
        </w:rPr>
        <w:t xml:space="preserve"> 49 U.S.C. app. § 20 (1988).</w:t>
      </w:r>
    </w:p>
  </w:footnote>
  <w:footnote w:id="7">
    <w:p w14:paraId="096CA149" w14:textId="77777777" w:rsidR="00CB281C" w:rsidRDefault="00185190">
      <w:pPr>
        <w:pStyle w:val="FootnoteText"/>
        <w:rPr>
          <w:sz w:val="24"/>
          <w:szCs w:val="24"/>
        </w:rPr>
      </w:pPr>
      <w:r>
        <w:rPr>
          <w:rStyle w:val="FootnoteReference"/>
          <w:sz w:val="26"/>
          <w:szCs w:val="26"/>
          <w:vertAlign w:val="superscript"/>
        </w:rPr>
        <w:footnoteRef/>
      </w:r>
      <w:r>
        <w:rPr>
          <w:sz w:val="26"/>
          <w:szCs w:val="26"/>
          <w:vertAlign w:val="superscript"/>
        </w:rPr>
        <w:t xml:space="preserve"> </w:t>
      </w:r>
      <w:r>
        <w:rPr>
          <w:rFonts w:cs="Courier"/>
          <w:sz w:val="26"/>
          <w:szCs w:val="26"/>
        </w:rPr>
        <w:t>Section 402(b) of the Department of Energy Organization Act (DOE Act), 42 U.S.C. 7172 provides that; "[t]here are hereby transferred to, and vested in, the Commission all functions and authority of the Interstate Commerce Commission or any officer or component of such Commission where the regulatory function establishes rates or charges for the transportation of oil by pipeline or established the valuation of any such pipeline."</w:t>
      </w:r>
    </w:p>
  </w:footnote>
  <w:footnote w:id="8">
    <w:p w14:paraId="2774244B" w14:textId="77777777" w:rsidR="00CB281C" w:rsidRDefault="00185190">
      <w:pPr>
        <w:rPr>
          <w:sz w:val="26"/>
          <w:szCs w:val="26"/>
        </w:rPr>
      </w:pPr>
      <w:r>
        <w:rPr>
          <w:rStyle w:val="FootnoteReference"/>
          <w:vertAlign w:val="superscript"/>
        </w:rPr>
        <w:footnoteRef/>
      </w:r>
      <w:r>
        <w:t xml:space="preserve"> </w:t>
      </w:r>
      <w:r>
        <w:rPr>
          <w:sz w:val="26"/>
          <w:szCs w:val="26"/>
        </w:rPr>
        <w:t>The ICC developed the Form P to collect information on an annual basis to enable it to carry out its regulation of oil pipeline companies under the Interstate Commerce Act.  A comprehensive review of the reporting requirements for oil pipeline companies was performed on September 21, 1982, when the Commission issued Order No. 260 revising the former ICC Form P, "Annual Report of Carriers by Pipeline" and redesignating it as FERC Form No. 6, "Annual Report of Oil Pipeline Companies.”</w:t>
      </w:r>
    </w:p>
  </w:footnote>
  <w:footnote w:id="9">
    <w:p w14:paraId="2DA1229F" w14:textId="77777777" w:rsidR="00CB281C" w:rsidRDefault="00185190">
      <w:pPr>
        <w:pStyle w:val="FootnoteText"/>
        <w:rPr>
          <w:sz w:val="24"/>
          <w:szCs w:val="24"/>
        </w:rPr>
      </w:pPr>
      <w:r>
        <w:rPr>
          <w:rStyle w:val="FootnoteReference"/>
          <w:sz w:val="26"/>
          <w:szCs w:val="26"/>
          <w:vertAlign w:val="superscript"/>
        </w:rPr>
        <w:footnoteRef/>
      </w:r>
      <w:r>
        <w:rPr>
          <w:sz w:val="26"/>
          <w:szCs w:val="26"/>
        </w:rPr>
        <w:t xml:space="preserve"> </w:t>
      </w:r>
      <w:r>
        <w:rPr>
          <w:i/>
          <w:sz w:val="26"/>
          <w:szCs w:val="26"/>
        </w:rPr>
        <w:t>Cost of Service Requirements and Filing Requirements for Oil Pipelines</w:t>
      </w:r>
      <w:r>
        <w:rPr>
          <w:sz w:val="26"/>
          <w:szCs w:val="26"/>
        </w:rPr>
        <w:t>, Order No. 571, FERC Stats. &amp; Regs., Regulation Preambles Jan. 1991- June 1996 ¶ 31,006, at 31,169 (1995).</w:t>
      </w:r>
    </w:p>
  </w:footnote>
  <w:footnote w:id="10">
    <w:p w14:paraId="19B9EB48" w14:textId="77777777" w:rsidR="00CB281C" w:rsidRDefault="00185190">
      <w:pPr>
        <w:pStyle w:val="FootnoteText"/>
        <w:rPr>
          <w:sz w:val="26"/>
          <w:szCs w:val="26"/>
        </w:rPr>
      </w:pPr>
      <w:r>
        <w:rPr>
          <w:rStyle w:val="FootnoteReference"/>
          <w:sz w:val="26"/>
          <w:szCs w:val="26"/>
          <w:vertAlign w:val="superscript"/>
        </w:rPr>
        <w:footnoteRef/>
      </w:r>
      <w:r>
        <w:rPr>
          <w:sz w:val="26"/>
          <w:szCs w:val="26"/>
        </w:rPr>
        <w:t xml:space="preserve"> </w:t>
      </w:r>
      <w:r>
        <w:rPr>
          <w:i/>
          <w:iCs/>
          <w:sz w:val="26"/>
          <w:szCs w:val="26"/>
        </w:rPr>
        <w:t>Revisions to Oil Pipeline Regulations Pursuant to the Energy Policy Act of 1992</w:t>
      </w:r>
      <w:r>
        <w:rPr>
          <w:sz w:val="26"/>
          <w:szCs w:val="26"/>
        </w:rPr>
        <w:t>,</w:t>
      </w:r>
      <w:r>
        <w:rPr>
          <w:i/>
          <w:iCs/>
          <w:sz w:val="26"/>
          <w:szCs w:val="26"/>
        </w:rPr>
        <w:t xml:space="preserve"> </w:t>
      </w:r>
      <w:r>
        <w:rPr>
          <w:sz w:val="26"/>
          <w:szCs w:val="26"/>
        </w:rPr>
        <w:t xml:space="preserve">Order No. 561, FERC Stats. &amp; Regs. ¶ 30,985, at 30,947 (1993), </w:t>
      </w:r>
      <w:r>
        <w:rPr>
          <w:i/>
          <w:iCs/>
          <w:sz w:val="26"/>
          <w:szCs w:val="26"/>
        </w:rPr>
        <w:t>order on reh’g</w:t>
      </w:r>
      <w:r>
        <w:rPr>
          <w:sz w:val="26"/>
          <w:szCs w:val="26"/>
        </w:rPr>
        <w:t xml:space="preserve">, Order No. 561-A, FERC Stats. &amp; Regs. ¶ 31,000 (1994), </w:t>
      </w:r>
      <w:r>
        <w:rPr>
          <w:i/>
          <w:iCs/>
          <w:sz w:val="26"/>
          <w:szCs w:val="26"/>
        </w:rPr>
        <w:t>aff’d</w:t>
      </w:r>
      <w:r>
        <w:rPr>
          <w:sz w:val="26"/>
          <w:szCs w:val="26"/>
        </w:rPr>
        <w:t xml:space="preserve">, </w:t>
      </w:r>
      <w:r>
        <w:rPr>
          <w:i/>
          <w:iCs/>
          <w:sz w:val="26"/>
          <w:szCs w:val="26"/>
        </w:rPr>
        <w:t>Ass’n of Oil Pipe Lines v. FERC</w:t>
      </w:r>
      <w:r>
        <w:rPr>
          <w:sz w:val="26"/>
          <w:szCs w:val="26"/>
        </w:rPr>
        <w:t>, 83 F.3d 1424 (D.C. Cir. 1996).</w:t>
      </w:r>
    </w:p>
  </w:footnote>
  <w:footnote w:id="11">
    <w:p w14:paraId="0C83E181" w14:textId="77777777" w:rsidR="00CB281C" w:rsidRDefault="00185190">
      <w:pPr>
        <w:pStyle w:val="FootnoteText"/>
        <w:rPr>
          <w:i/>
          <w:sz w:val="26"/>
          <w:szCs w:val="26"/>
        </w:rPr>
      </w:pPr>
      <w:r>
        <w:rPr>
          <w:rStyle w:val="FootnoteReference"/>
          <w:sz w:val="26"/>
          <w:szCs w:val="26"/>
          <w:vertAlign w:val="superscript"/>
        </w:rPr>
        <w:footnoteRef/>
      </w:r>
      <w:r>
        <w:rPr>
          <w:sz w:val="26"/>
          <w:szCs w:val="26"/>
        </w:rPr>
        <w:t xml:space="preserve"> </w:t>
      </w:r>
      <w:r>
        <w:rPr>
          <w:i/>
          <w:sz w:val="26"/>
          <w:szCs w:val="26"/>
        </w:rPr>
        <w:t>Id.</w:t>
      </w:r>
    </w:p>
  </w:footnote>
  <w:footnote w:id="12">
    <w:p w14:paraId="3A6EDC1E" w14:textId="77777777" w:rsidR="00CB281C" w:rsidRDefault="00185190">
      <w:pPr>
        <w:pStyle w:val="FootnoteText"/>
      </w:pPr>
      <w:r>
        <w:rPr>
          <w:rStyle w:val="FootnoteReference"/>
          <w:sz w:val="26"/>
          <w:szCs w:val="26"/>
          <w:vertAlign w:val="superscript"/>
        </w:rPr>
        <w:footnoteRef/>
      </w:r>
      <w:r>
        <w:rPr>
          <w:sz w:val="26"/>
          <w:szCs w:val="26"/>
        </w:rPr>
        <w:t xml:space="preserve"> The Commission’s use of the Kahn Methodology has been affirmed by the United States Court of Appeals for the District of Columbia Circuit.  </w:t>
      </w:r>
      <w:r>
        <w:rPr>
          <w:i/>
          <w:sz w:val="26"/>
          <w:szCs w:val="26"/>
        </w:rPr>
        <w:t>Ass’n of Oil Pipe Lines v. FERC</w:t>
      </w:r>
      <w:r>
        <w:rPr>
          <w:sz w:val="26"/>
          <w:szCs w:val="26"/>
        </w:rPr>
        <w:t xml:space="preserve">, 83 F.3d 1424 (D.C. Cir. 1996); </w:t>
      </w:r>
      <w:r>
        <w:rPr>
          <w:i/>
          <w:sz w:val="26"/>
          <w:szCs w:val="26"/>
        </w:rPr>
        <w:t>Flying J. Inc. v. FERC</w:t>
      </w:r>
      <w:r>
        <w:rPr>
          <w:sz w:val="26"/>
          <w:szCs w:val="26"/>
        </w:rPr>
        <w:t>, 363 F.3d 495 (D.C. Cir. 2004).</w:t>
      </w:r>
    </w:p>
  </w:footnote>
  <w:footnote w:id="13">
    <w:p w14:paraId="49FF44F6" w14:textId="77777777" w:rsidR="00CB281C" w:rsidRDefault="00185190">
      <w:pPr>
        <w:pStyle w:val="FootnoteText"/>
        <w:rPr>
          <w:sz w:val="26"/>
          <w:szCs w:val="26"/>
        </w:rPr>
      </w:pPr>
      <w:r>
        <w:rPr>
          <w:rStyle w:val="FootnoteReference"/>
          <w:b/>
          <w:bCs/>
          <w:sz w:val="26"/>
          <w:szCs w:val="26"/>
          <w:vertAlign w:val="superscript"/>
        </w:rPr>
        <w:footnoteRef/>
      </w:r>
      <w:r>
        <w:rPr>
          <w:b/>
          <w:bCs/>
          <w:sz w:val="26"/>
          <w:szCs w:val="26"/>
          <w:vertAlign w:val="superscript"/>
        </w:rPr>
        <w:t xml:space="preserve"> </w:t>
      </w:r>
      <w:r>
        <w:rPr>
          <w:sz w:val="26"/>
          <w:szCs w:val="26"/>
        </w:rPr>
        <w:t xml:space="preserve">As provided by the current instructions, a pipeline must use the Opinion No. 154-B cost-of-service methodology when completing page 700.  The Opinion No. 154-B cost-of-service methodology uses trended original cost ratemaking, meaning that the inflationary component of the nominal return is placed in deferred earnings and recovered as a part of rate base in future years.  </w:t>
      </w:r>
      <w:r>
        <w:rPr>
          <w:i/>
          <w:iCs/>
          <w:sz w:val="26"/>
          <w:szCs w:val="26"/>
        </w:rPr>
        <w:t>See Williams Pipe Line Co.</w:t>
      </w:r>
      <w:r>
        <w:rPr>
          <w:sz w:val="26"/>
          <w:szCs w:val="26"/>
        </w:rPr>
        <w:t>,</w:t>
      </w:r>
      <w:r>
        <w:rPr>
          <w:i/>
          <w:iCs/>
          <w:sz w:val="26"/>
          <w:szCs w:val="26"/>
        </w:rPr>
        <w:t xml:space="preserve"> </w:t>
      </w:r>
      <w:r>
        <w:rPr>
          <w:sz w:val="26"/>
          <w:szCs w:val="26"/>
        </w:rPr>
        <w:t xml:space="preserve">Opinion No. 154-B, 31 FERC ¶ 61,377 (1985), </w:t>
      </w:r>
      <w:r>
        <w:rPr>
          <w:i/>
          <w:iCs/>
          <w:sz w:val="26"/>
          <w:szCs w:val="26"/>
        </w:rPr>
        <w:t>order on reh’g</w:t>
      </w:r>
      <w:r>
        <w:rPr>
          <w:sz w:val="26"/>
          <w:szCs w:val="26"/>
        </w:rPr>
        <w:t>, Opinion No. 154-C, 33 FERC ¶ 61,327 (1985). </w:t>
      </w:r>
    </w:p>
  </w:footnote>
  <w:footnote w:id="14">
    <w:p w14:paraId="610577F1" w14:textId="77777777" w:rsidR="00CB281C" w:rsidRDefault="00185190">
      <w:pPr>
        <w:pStyle w:val="FootnoteText"/>
        <w:rPr>
          <w:sz w:val="26"/>
          <w:szCs w:val="26"/>
        </w:rPr>
      </w:pPr>
      <w:r>
        <w:rPr>
          <w:rStyle w:val="FootnoteReference"/>
          <w:b/>
          <w:bCs/>
          <w:sz w:val="26"/>
          <w:szCs w:val="26"/>
          <w:vertAlign w:val="superscript"/>
        </w:rPr>
        <w:footnoteRef/>
      </w:r>
      <w:r>
        <w:rPr>
          <w:b/>
          <w:bCs/>
          <w:sz w:val="26"/>
          <w:szCs w:val="26"/>
        </w:rPr>
        <w:t xml:space="preserve"> </w:t>
      </w:r>
      <w:r>
        <w:rPr>
          <w:i/>
          <w:sz w:val="26"/>
          <w:szCs w:val="26"/>
        </w:rPr>
        <w:t>See</w:t>
      </w:r>
      <w:r>
        <w:rPr>
          <w:sz w:val="26"/>
          <w:szCs w:val="26"/>
        </w:rPr>
        <w:t xml:space="preserve"> 18 C.F.R. § 357.2(a)(1)-(3) (2019).</w:t>
      </w:r>
    </w:p>
  </w:footnote>
  <w:footnote w:id="15">
    <w:p w14:paraId="29D74BF1" w14:textId="77777777" w:rsidR="00CB281C" w:rsidRDefault="00185190">
      <w:pPr>
        <w:pStyle w:val="FootnoteText"/>
        <w:rPr>
          <w:sz w:val="26"/>
          <w:szCs w:val="26"/>
        </w:rPr>
      </w:pPr>
      <w:r>
        <w:rPr>
          <w:rStyle w:val="FootnoteReference"/>
          <w:b/>
          <w:bCs/>
          <w:sz w:val="26"/>
          <w:szCs w:val="26"/>
          <w:vertAlign w:val="superscript"/>
        </w:rPr>
        <w:footnoteRef/>
      </w:r>
      <w:r>
        <w:rPr>
          <w:sz w:val="26"/>
          <w:szCs w:val="26"/>
          <w:vertAlign w:val="superscript"/>
        </w:rPr>
        <w:t xml:space="preserve"> </w:t>
      </w:r>
      <w:r>
        <w:rPr>
          <w:i/>
          <w:iCs/>
          <w:sz w:val="26"/>
          <w:szCs w:val="26"/>
        </w:rPr>
        <w:t>E.g.</w:t>
      </w:r>
      <w:r>
        <w:rPr>
          <w:sz w:val="26"/>
          <w:szCs w:val="26"/>
        </w:rPr>
        <w:t>,</w:t>
      </w:r>
      <w:r>
        <w:rPr>
          <w:i/>
          <w:iCs/>
          <w:sz w:val="26"/>
          <w:szCs w:val="26"/>
        </w:rPr>
        <w:t xml:space="preserve"> </w:t>
      </w:r>
      <w:r>
        <w:rPr>
          <w:sz w:val="26"/>
          <w:szCs w:val="26"/>
        </w:rPr>
        <w:t xml:space="preserve">Natural Gas Supply Association Initial Comments, Docket No. PL19-4-000, at 30 (filed June 26, 2019); Eastern Massachusetts Consumer-Owned Systems Initial Comments, Docket No. PL19-4-000, at 67-69 (filed June 26, 2019); Magellan Midstream Partners, L.P. Initial Comments, Docket No, PL19-4-000, at 21 (filed June 26, 2019); Six Cities Initial Comments, Docket No. PL19-4-000, at 12 (filed June 26, 2019); </w:t>
      </w:r>
      <w:r>
        <w:rPr>
          <w:i/>
          <w:iCs/>
          <w:sz w:val="26"/>
          <w:szCs w:val="26"/>
        </w:rPr>
        <w:t>id.</w:t>
      </w:r>
      <w:r>
        <w:rPr>
          <w:sz w:val="26"/>
          <w:szCs w:val="26"/>
        </w:rPr>
        <w:t xml:space="preserve">, Ex. CIT-0001 at 84:1-17 (Affidavit Breandan T. Mac Mathuna); </w:t>
      </w:r>
      <w:r>
        <w:rPr>
          <w:sz w:val="26"/>
        </w:rPr>
        <w:t>Comments of the Aluminum Association, the American Chemistry Council, the American Forest &amp; Paper Association, the American Public Power Association, the Electricity Consumers Resource Council, the Industrial Energy Consumers of America, the National Rural Electric Cooperative Association, and the Transmission Access Policy Study Group, Docket No. PL19-4-000, at 91-93 (filed June 26, 2019) (Associations Comments)</w:t>
      </w:r>
      <w:r>
        <w:rPr>
          <w:sz w:val="26"/>
          <w:szCs w:val="26"/>
        </w:rPr>
        <w:t>.</w:t>
      </w:r>
    </w:p>
  </w:footnote>
  <w:footnote w:id="16">
    <w:p w14:paraId="43892BE6" w14:textId="77777777" w:rsidR="00CB281C" w:rsidRDefault="00185190">
      <w:pPr>
        <w:pStyle w:val="FootnoteText"/>
        <w:rPr>
          <w:sz w:val="26"/>
        </w:rPr>
      </w:pPr>
      <w:r>
        <w:rPr>
          <w:rStyle w:val="FootnoteReference"/>
          <w:b/>
          <w:bCs/>
          <w:sz w:val="26"/>
          <w:vertAlign w:val="superscript"/>
        </w:rPr>
        <w:footnoteRef/>
      </w:r>
      <w:r>
        <w:rPr>
          <w:b/>
          <w:bCs/>
          <w:sz w:val="26"/>
        </w:rPr>
        <w:t xml:space="preserve"> </w:t>
      </w:r>
      <w:r>
        <w:rPr>
          <w:sz w:val="26"/>
        </w:rPr>
        <w:t>Associations Comments at 91.</w:t>
      </w:r>
    </w:p>
  </w:footnote>
  <w:footnote w:id="17">
    <w:p w14:paraId="0065FE1C" w14:textId="77777777" w:rsidR="00CB281C" w:rsidRDefault="00185190">
      <w:pPr>
        <w:pStyle w:val="FootnoteText"/>
        <w:rPr>
          <w:sz w:val="26"/>
          <w:szCs w:val="26"/>
        </w:rPr>
      </w:pPr>
      <w:r>
        <w:rPr>
          <w:rStyle w:val="FootnoteReference"/>
          <w:b/>
          <w:bCs/>
          <w:sz w:val="26"/>
          <w:szCs w:val="26"/>
          <w:vertAlign w:val="superscript"/>
        </w:rPr>
        <w:footnoteRef/>
      </w:r>
      <w:r>
        <w:rPr>
          <w:sz w:val="26"/>
          <w:szCs w:val="26"/>
          <w:vertAlign w:val="superscript"/>
        </w:rPr>
        <w:t xml:space="preserve"> </w:t>
      </w:r>
      <w:r>
        <w:rPr>
          <w:i/>
          <w:iCs/>
          <w:sz w:val="26"/>
          <w:szCs w:val="26"/>
        </w:rPr>
        <w:t>Five-Year Review of the Oil Pipeline Index</w:t>
      </w:r>
      <w:r>
        <w:rPr>
          <w:sz w:val="26"/>
          <w:szCs w:val="26"/>
        </w:rPr>
        <w:t>, 171 FERC ¶ 61,239 at PP 2, 8.</w:t>
      </w:r>
    </w:p>
  </w:footnote>
  <w:footnote w:id="18">
    <w:p w14:paraId="63D22CB2" w14:textId="77777777" w:rsidR="00CB281C" w:rsidRDefault="00185190">
      <w:pPr>
        <w:pStyle w:val="FootnoteText"/>
      </w:pPr>
      <w:r>
        <w:rPr>
          <w:rStyle w:val="FootnoteReference"/>
          <w:b/>
          <w:bCs/>
          <w:sz w:val="26"/>
          <w:szCs w:val="26"/>
          <w:vertAlign w:val="superscript"/>
        </w:rPr>
        <w:footnoteRef/>
      </w:r>
      <w:r>
        <w:t xml:space="preserve"> </w:t>
      </w:r>
      <w:r>
        <w:rPr>
          <w:rFonts w:eastAsia="Calibri"/>
          <w:sz w:val="26"/>
          <w:szCs w:val="26"/>
        </w:rPr>
        <w:t>18 C.F.R. §§ 388.112 and 388.113.  More information on the CEII definition, program and requirements is posted on the FERC website.</w:t>
      </w:r>
    </w:p>
  </w:footnote>
  <w:footnote w:id="19">
    <w:p w14:paraId="11098F2C" w14:textId="77777777" w:rsidR="00CB281C" w:rsidRDefault="00185190">
      <w:pPr>
        <w:pStyle w:val="FootnoteText"/>
        <w:rPr>
          <w:sz w:val="26"/>
          <w:szCs w:val="26"/>
        </w:rPr>
      </w:pPr>
      <w:r>
        <w:rPr>
          <w:rStyle w:val="FootnoteReference"/>
          <w:b/>
          <w:bCs/>
          <w:sz w:val="26"/>
          <w:szCs w:val="26"/>
          <w:vertAlign w:val="superscript"/>
        </w:rPr>
        <w:footnoteRef/>
      </w:r>
      <w:r>
        <w:rPr>
          <w:b/>
          <w:bCs/>
          <w:sz w:val="24"/>
          <w:szCs w:val="24"/>
          <w:vertAlign w:val="superscript"/>
        </w:rPr>
        <w:t xml:space="preserve"> </w:t>
      </w:r>
      <w:r>
        <w:rPr>
          <w:sz w:val="26"/>
          <w:szCs w:val="26"/>
        </w:rPr>
        <w:t>“Burden” is the total time, effort, or financial resources expended by persons to generate, maintain, retain, or disclose or provide information to or for a Federal agency.  For further explanation of what is included in the information collection burden, refer to Title 5 Code of Federal Regulations 1320.3.</w:t>
      </w:r>
    </w:p>
  </w:footnote>
  <w:footnote w:id="20">
    <w:p w14:paraId="36C63911" w14:textId="77777777" w:rsidR="00CB281C" w:rsidRDefault="00185190">
      <w:pPr>
        <w:pStyle w:val="FootnoteText"/>
        <w:rPr>
          <w:sz w:val="22"/>
        </w:rPr>
      </w:pPr>
      <w:r>
        <w:rPr>
          <w:rStyle w:val="FootnoteReference"/>
          <w:b/>
          <w:bCs/>
          <w:sz w:val="26"/>
          <w:szCs w:val="26"/>
          <w:vertAlign w:val="superscript"/>
        </w:rPr>
        <w:footnoteRef/>
      </w:r>
      <w:r>
        <w:rPr>
          <w:sz w:val="26"/>
          <w:szCs w:val="26"/>
        </w:rPr>
        <w:t xml:space="preserve"> Commission staff estimates that the industry’s skill set and cost (for wages and benefits) for performing the ROE study and completing and filing FERC-6(PL) is comparable to the Commission’s skill set and average cost.  The FERC 2019 average salary plus benefits for one FERC full-time equivalent (FTE) is $167,091/year or $80.00/hour.  </w:t>
      </w:r>
    </w:p>
  </w:footnote>
  <w:footnote w:id="21">
    <w:p w14:paraId="6D880FD9" w14:textId="77777777" w:rsidR="00CB281C" w:rsidRDefault="00185190">
      <w:pPr>
        <w:pStyle w:val="FootnoteText"/>
        <w:rPr>
          <w:sz w:val="26"/>
          <w:szCs w:val="26"/>
        </w:rPr>
      </w:pPr>
      <w:r>
        <w:rPr>
          <w:rStyle w:val="FootnoteReference"/>
          <w:b/>
          <w:bCs/>
          <w:sz w:val="26"/>
          <w:szCs w:val="26"/>
          <w:vertAlign w:val="superscript"/>
        </w:rPr>
        <w:footnoteRef/>
      </w:r>
      <w:r>
        <w:rPr>
          <w:b/>
          <w:bCs/>
        </w:rPr>
        <w:t xml:space="preserve"> </w:t>
      </w:r>
      <w:r>
        <w:rPr>
          <w:sz w:val="26"/>
          <w:szCs w:val="26"/>
        </w:rPr>
        <w:t xml:space="preserve">We have conservatively assumed a 100 percent voluntary response rate.  </w:t>
      </w:r>
    </w:p>
  </w:footnote>
  <w:footnote w:id="22">
    <w:p w14:paraId="17D4ED66" w14:textId="77777777" w:rsidR="00CB281C" w:rsidRDefault="00185190">
      <w:pPr>
        <w:pStyle w:val="FootnoteText"/>
        <w:rPr>
          <w:sz w:val="26"/>
          <w:szCs w:val="26"/>
        </w:rPr>
      </w:pPr>
      <w:r>
        <w:rPr>
          <w:rStyle w:val="FootnoteReference"/>
          <w:sz w:val="26"/>
          <w:szCs w:val="26"/>
          <w:vertAlign w:val="superscript"/>
        </w:rPr>
        <w:footnoteRef/>
      </w:r>
      <w:r>
        <w:rPr>
          <w:sz w:val="26"/>
          <w:szCs w:val="26"/>
          <w:vertAlign w:val="superscript"/>
        </w:rPr>
        <w:t xml:space="preserve"> </w:t>
      </w:r>
      <w:r>
        <w:rPr>
          <w:sz w:val="26"/>
          <w:szCs w:val="26"/>
        </w:rPr>
        <w:t>The row titled “updated ROE study” is developing and preparing the information that is then filed on page 700 of the Form 6 (row titled “refile FERC Form No. 6, page 700”).  Therefore, the total number of responses will be 244 (rather than 488).</w:t>
      </w:r>
    </w:p>
  </w:footnote>
  <w:footnote w:id="23">
    <w:p w14:paraId="5EA41561" w14:textId="77777777" w:rsidR="00CB281C" w:rsidRDefault="00185190">
      <w:pPr>
        <w:pStyle w:val="FootnoteText"/>
        <w:rPr>
          <w:sz w:val="26"/>
          <w:szCs w:val="26"/>
        </w:rPr>
      </w:pPr>
      <w:r>
        <w:rPr>
          <w:rStyle w:val="FootnoteReference"/>
          <w:b/>
          <w:bCs/>
          <w:sz w:val="26"/>
          <w:szCs w:val="26"/>
          <w:vertAlign w:val="superscript"/>
        </w:rPr>
        <w:footnoteRef/>
      </w:r>
      <w:r>
        <w:rPr>
          <w:sz w:val="26"/>
          <w:szCs w:val="26"/>
        </w:rPr>
        <w:t xml:space="preserve"> The FERC 2019 average salary plus benefits for one FERC full-time equivalent (FTE) is $167,091/year (or $80.00/hour).  </w:t>
      </w:r>
    </w:p>
  </w:footnote>
  <w:footnote w:id="24">
    <w:p w14:paraId="57D51456" w14:textId="77777777" w:rsidR="00CB281C" w:rsidRDefault="00185190">
      <w:pPr>
        <w:pStyle w:val="FootnoteText"/>
        <w:rPr>
          <w:sz w:val="26"/>
          <w:szCs w:val="26"/>
        </w:rPr>
      </w:pPr>
      <w:r>
        <w:rPr>
          <w:rStyle w:val="FootnoteReference"/>
          <w:b/>
          <w:bCs/>
          <w:sz w:val="26"/>
          <w:szCs w:val="26"/>
          <w:vertAlign w:val="superscript"/>
        </w:rPr>
        <w:footnoteRef/>
      </w:r>
      <w:r>
        <w:t xml:space="preserve"> </w:t>
      </w:r>
      <w:r>
        <w:rPr>
          <w:sz w:val="26"/>
          <w:szCs w:val="26"/>
        </w:rPr>
        <w:t xml:space="preserve">We have conservatively assumed a 100 percent voluntary response rate.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BBBD2" w14:textId="77777777" w:rsidR="00CB281C" w:rsidRDefault="000F24E6">
    <w:pPr>
      <w:pStyle w:val="Header"/>
    </w:pPr>
    <w:r>
      <w:rPr>
        <w:noProof/>
      </w:rPr>
      <w:pict w14:anchorId="7270FB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621.8pt;height:88.8pt;rotation:315;z-index:-251658239;mso-position-horizontal:center;mso-position-horizontal-relative:margin;mso-position-vertical:center;mso-position-vertical-relative:margin" o:allowincell="f" fillcolor="silver" stroked="f">
          <v:fill opacity=".5"/>
          <v:textpath style="font-family:&quot;Times New Roman&quot;;font-size:1pt" string="draft 1/8/201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8A73C" w14:textId="77777777" w:rsidR="00CB281C" w:rsidRDefault="00185190">
    <w:pPr>
      <w:tabs>
        <w:tab w:val="right" w:pos="10080"/>
      </w:tabs>
      <w:rPr>
        <w:bCs/>
        <w:sz w:val="26"/>
        <w:szCs w:val="26"/>
      </w:rPr>
    </w:pPr>
    <w:r>
      <w:rPr>
        <w:bCs/>
        <w:sz w:val="26"/>
        <w:szCs w:val="26"/>
      </w:rPr>
      <w:t>FERC-6(PL) (OMB Control No.: TBD)</w:t>
    </w:r>
  </w:p>
  <w:p w14:paraId="5334B43D" w14:textId="77777777" w:rsidR="00CB281C" w:rsidRDefault="00185190">
    <w:pPr>
      <w:tabs>
        <w:tab w:val="right" w:pos="10080"/>
      </w:tabs>
      <w:rPr>
        <w:bCs/>
        <w:sz w:val="26"/>
        <w:szCs w:val="26"/>
      </w:rPr>
    </w:pPr>
    <w:r>
      <w:rPr>
        <w:bCs/>
        <w:sz w:val="26"/>
        <w:szCs w:val="26"/>
      </w:rPr>
      <w:t>Docket No. PL19-4, issued 5/21/2020</w:t>
    </w:r>
  </w:p>
  <w:p w14:paraId="27F3635A" w14:textId="6843141D" w:rsidR="00CB281C" w:rsidRDefault="00185190">
    <w:pPr>
      <w:tabs>
        <w:tab w:val="right" w:pos="10080"/>
      </w:tabs>
      <w:rPr>
        <w:bCs/>
        <w:sz w:val="26"/>
        <w:szCs w:val="26"/>
      </w:rPr>
    </w:pPr>
    <w:r>
      <w:rPr>
        <w:bCs/>
        <w:sz w:val="26"/>
        <w:szCs w:val="26"/>
      </w:rPr>
      <w:t>Emergency Approval Request</w:t>
    </w:r>
  </w:p>
  <w:p w14:paraId="70677B8B" w14:textId="1D82C497" w:rsidR="003711E3" w:rsidRDefault="003711E3">
    <w:pPr>
      <w:tabs>
        <w:tab w:val="right" w:pos="10080"/>
      </w:tabs>
      <w:rPr>
        <w:b/>
        <w:bCs/>
        <w:sz w:val="26"/>
        <w:szCs w:val="26"/>
      </w:rPr>
    </w:pPr>
    <w:r>
      <w:rPr>
        <w:bCs/>
        <w:sz w:val="26"/>
        <w:szCs w:val="26"/>
      </w:rPr>
      <w:t>(updated 7/</w:t>
    </w:r>
    <w:r w:rsidR="00650DF4">
      <w:rPr>
        <w:bCs/>
        <w:sz w:val="26"/>
        <w:szCs w:val="26"/>
      </w:rPr>
      <w:t>6</w:t>
    </w:r>
    <w:r>
      <w:rPr>
        <w:bCs/>
        <w:sz w:val="26"/>
        <w:szCs w:val="26"/>
      </w:rPr>
      <w:t>/2020)</w:t>
    </w:r>
  </w:p>
  <w:p w14:paraId="3F372958" w14:textId="77777777" w:rsidR="00CB281C" w:rsidRDefault="00CB281C">
    <w:pPr>
      <w:tabs>
        <w:tab w:val="right" w:pos="10080"/>
      </w:tabs>
      <w:rPr>
        <w:rFonts w:ascii="Courier" w:hAnsi="Courier" w:cs="Courier"/>
        <w:sz w:val="26"/>
        <w:szCs w:val="2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98F3C" w14:textId="77777777" w:rsidR="00CB281C" w:rsidRDefault="000F24E6">
    <w:pPr>
      <w:pStyle w:val="Header"/>
    </w:pPr>
    <w:r>
      <w:rPr>
        <w:noProof/>
      </w:rPr>
      <w:pict w14:anchorId="737C67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0" type="#_x0000_t136" style="position:absolute;margin-left:0;margin-top:0;width:621.8pt;height:88.8pt;rotation:315;z-index:-251658240;mso-position-horizontal:center;mso-position-horizontal-relative:margin;mso-position-vertical:center;mso-position-vertical-relative:margin" o:allowincell="f" fillcolor="silver" stroked="f">
          <v:fill opacity=".5"/>
          <v:textpath style="font-family:&quot;Times New Roman&quot;;font-size:1pt" string="draft 1/8/2010"/>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0350B"/>
    <w:multiLevelType w:val="multilevel"/>
    <w:tmpl w:val="7C5651AE"/>
    <w:lvl w:ilvl="0">
      <w:start w:val="2"/>
      <w:numFmt w:val="bullet"/>
      <w:lvlText w:val="-"/>
      <w:lvlJc w:val="left"/>
      <w:pPr>
        <w:ind w:left="108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45D072A"/>
    <w:multiLevelType w:val="hybridMultilevel"/>
    <w:tmpl w:val="010EF772"/>
    <w:lvl w:ilvl="0" w:tplc="0409000F">
      <w:start w:val="1"/>
      <w:numFmt w:val="decimal"/>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 w15:restartNumberingAfterBreak="0">
    <w:nsid w:val="07D17ACB"/>
    <w:multiLevelType w:val="hybridMultilevel"/>
    <w:tmpl w:val="FC34F5D8"/>
    <w:lvl w:ilvl="0" w:tplc="DE32E332">
      <w:start w:val="1"/>
      <w:numFmt w:val="bullet"/>
      <w:lvlText w:val=""/>
      <w:lvlJc w:val="left"/>
      <w:pPr>
        <w:tabs>
          <w:tab w:val="num" w:pos="1440"/>
        </w:tabs>
        <w:ind w:left="1440" w:hanging="360"/>
      </w:pPr>
      <w:rPr>
        <w:rFonts w:ascii="Symbol" w:hAnsi="Symbol" w:hint="default"/>
        <w:color w:val="auto"/>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E9539E"/>
    <w:multiLevelType w:val="hybridMultilevel"/>
    <w:tmpl w:val="5C1AB756"/>
    <w:lvl w:ilvl="0" w:tplc="84B8F298">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4A3048"/>
    <w:multiLevelType w:val="hybridMultilevel"/>
    <w:tmpl w:val="005E7582"/>
    <w:lvl w:ilvl="0" w:tplc="DE32E332">
      <w:start w:val="1"/>
      <w:numFmt w:val="bullet"/>
      <w:lvlText w:val=""/>
      <w:lvlJc w:val="left"/>
      <w:pPr>
        <w:tabs>
          <w:tab w:val="num" w:pos="1440"/>
        </w:tabs>
        <w:ind w:left="1440" w:hanging="360"/>
      </w:pPr>
      <w:rPr>
        <w:rFonts w:ascii="Symbol" w:hAnsi="Symbol" w:hint="default"/>
        <w:color w:val="auto"/>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48D0826"/>
    <w:multiLevelType w:val="multilevel"/>
    <w:tmpl w:val="7C5651AE"/>
    <w:lvl w:ilvl="0">
      <w:start w:val="2"/>
      <w:numFmt w:val="bullet"/>
      <w:lvlText w:val="-"/>
      <w:lvlJc w:val="left"/>
      <w:pPr>
        <w:ind w:left="108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6684D84"/>
    <w:multiLevelType w:val="multilevel"/>
    <w:tmpl w:val="DECA9886"/>
    <w:lvl w:ilvl="0">
      <w:start w:val="2"/>
      <w:numFmt w:val="bullet"/>
      <w:lvlText w:val="-"/>
      <w:lvlJc w:val="left"/>
      <w:pPr>
        <w:ind w:left="1440" w:hanging="360"/>
      </w:pPr>
      <w:rPr>
        <w:rFonts w:ascii="Times New Roman" w:eastAsia="Times New Roman" w:hAnsi="Times New Roman" w:hint="default"/>
      </w:rPr>
    </w:lvl>
    <w:lvl w:ilvl="1">
      <w:start w:val="1"/>
      <w:numFmt w:val="decimal"/>
      <w:lvlText w:val="%2."/>
      <w:lvlJc w:val="left"/>
      <w:pPr>
        <w:tabs>
          <w:tab w:val="num" w:pos="1800"/>
        </w:tabs>
        <w:ind w:left="1800" w:hanging="360"/>
      </w:pPr>
      <w:rPr>
        <w:rFonts w:cs="Times New Roman"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7" w15:restartNumberingAfterBreak="0">
    <w:nsid w:val="178A4BD3"/>
    <w:multiLevelType w:val="hybridMultilevel"/>
    <w:tmpl w:val="2E5CCFB2"/>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8" w15:restartNumberingAfterBreak="0">
    <w:nsid w:val="1AAE4A32"/>
    <w:multiLevelType w:val="hybridMultilevel"/>
    <w:tmpl w:val="65B8B748"/>
    <w:lvl w:ilvl="0" w:tplc="84B8F298">
      <w:start w:val="1"/>
      <w:numFmt w:val="bullet"/>
      <w:lvlText w:val="▪"/>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B1118BC"/>
    <w:multiLevelType w:val="hybridMultilevel"/>
    <w:tmpl w:val="8BDACA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1332DA"/>
    <w:multiLevelType w:val="hybridMultilevel"/>
    <w:tmpl w:val="1E0AD3C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0E82330"/>
    <w:multiLevelType w:val="multilevel"/>
    <w:tmpl w:val="DECA9886"/>
    <w:lvl w:ilvl="0">
      <w:start w:val="2"/>
      <w:numFmt w:val="bullet"/>
      <w:lvlText w:val="-"/>
      <w:lvlJc w:val="left"/>
      <w:pPr>
        <w:ind w:left="1440" w:hanging="360"/>
      </w:pPr>
      <w:rPr>
        <w:rFonts w:ascii="Times New Roman" w:eastAsia="Times New Roman" w:hAnsi="Times New Roman" w:hint="default"/>
      </w:rPr>
    </w:lvl>
    <w:lvl w:ilvl="1">
      <w:start w:val="1"/>
      <w:numFmt w:val="decimal"/>
      <w:lvlText w:val="%2."/>
      <w:lvlJc w:val="left"/>
      <w:pPr>
        <w:tabs>
          <w:tab w:val="num" w:pos="1800"/>
        </w:tabs>
        <w:ind w:left="1800" w:hanging="360"/>
      </w:pPr>
      <w:rPr>
        <w:rFonts w:cs="Times New Roman"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2" w15:restartNumberingAfterBreak="0">
    <w:nsid w:val="299C6EE4"/>
    <w:multiLevelType w:val="hybridMultilevel"/>
    <w:tmpl w:val="DECA9886"/>
    <w:lvl w:ilvl="0" w:tplc="BE00B0F2">
      <w:start w:val="2"/>
      <w:numFmt w:val="bullet"/>
      <w:lvlText w:val="-"/>
      <w:lvlJc w:val="left"/>
      <w:pPr>
        <w:ind w:left="1440" w:hanging="360"/>
      </w:pPr>
      <w:rPr>
        <w:rFonts w:ascii="Times New Roman" w:eastAsia="Times New Roman" w:hAnsi="Times New Roman"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D751CB3"/>
    <w:multiLevelType w:val="hybridMultilevel"/>
    <w:tmpl w:val="45F8A0E2"/>
    <w:lvl w:ilvl="0" w:tplc="18001D06">
      <w:start w:val="1"/>
      <w:numFmt w:val="bullet"/>
      <w:lvlText w:val=""/>
      <w:lvlJc w:val="left"/>
      <w:pPr>
        <w:tabs>
          <w:tab w:val="num" w:pos="90"/>
        </w:tabs>
        <w:ind w:left="45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D72084"/>
    <w:multiLevelType w:val="hybridMultilevel"/>
    <w:tmpl w:val="65C47FC4"/>
    <w:lvl w:ilvl="0" w:tplc="18001D06">
      <w:start w:val="1"/>
      <w:numFmt w:val="bullet"/>
      <w:lvlText w:val=""/>
      <w:lvlJc w:val="left"/>
      <w:pPr>
        <w:tabs>
          <w:tab w:val="num" w:pos="180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156D43"/>
    <w:multiLevelType w:val="multilevel"/>
    <w:tmpl w:val="B140707E"/>
    <w:lvl w:ilvl="0">
      <w:start w:val="1"/>
      <w:numFmt w:val="decimal"/>
      <w:pStyle w:val="ListContinue"/>
      <w:lvlText w:val="%1."/>
      <w:lvlJc w:val="left"/>
      <w:pPr>
        <w:tabs>
          <w:tab w:val="num" w:pos="360"/>
        </w:tabs>
        <w:ind w:left="360" w:hanging="360"/>
      </w:pPr>
      <w:rPr>
        <w:rFonts w:cs="Times New Roman" w:hint="default"/>
        <w:b w:val="0"/>
      </w:rPr>
    </w:lvl>
    <w:lvl w:ilvl="1">
      <w:start w:val="1"/>
      <w:numFmt w:val="decimal"/>
      <w:lvlText w:val="%2."/>
      <w:lvlJc w:val="left"/>
      <w:pPr>
        <w:tabs>
          <w:tab w:val="num" w:pos="720"/>
        </w:tabs>
        <w:ind w:left="720" w:hanging="360"/>
      </w:pPr>
      <w:rPr>
        <w:rFonts w:cs="Times New Roman" w:hint="default"/>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decimal"/>
      <w:lvlText w:val="%8."/>
      <w:lvlJc w:val="left"/>
      <w:pPr>
        <w:tabs>
          <w:tab w:val="num" w:pos="2880"/>
        </w:tabs>
        <w:ind w:left="2880" w:hanging="360"/>
      </w:pPr>
      <w:rPr>
        <w:rFonts w:cs="Times New Roman" w:hint="default"/>
      </w:rPr>
    </w:lvl>
    <w:lvl w:ilvl="8">
      <w:start w:val="1"/>
      <w:numFmt w:val="decimal"/>
      <w:lvlText w:val="%9."/>
      <w:lvlJc w:val="left"/>
      <w:pPr>
        <w:tabs>
          <w:tab w:val="num" w:pos="3240"/>
        </w:tabs>
        <w:ind w:left="3240" w:hanging="360"/>
      </w:pPr>
      <w:rPr>
        <w:rFonts w:cs="Times New Roman" w:hint="default"/>
      </w:rPr>
    </w:lvl>
  </w:abstractNum>
  <w:abstractNum w:abstractNumId="16" w15:restartNumberingAfterBreak="0">
    <w:nsid w:val="35CB5BDD"/>
    <w:multiLevelType w:val="hybridMultilevel"/>
    <w:tmpl w:val="E8B60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051A2B"/>
    <w:multiLevelType w:val="hybridMultilevel"/>
    <w:tmpl w:val="403A86EC"/>
    <w:lvl w:ilvl="0" w:tplc="DE32E332">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923D83"/>
    <w:multiLevelType w:val="hybridMultilevel"/>
    <w:tmpl w:val="7C5651AE"/>
    <w:lvl w:ilvl="0" w:tplc="BE00B0F2">
      <w:start w:val="2"/>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352BE3"/>
    <w:multiLevelType w:val="hybridMultilevel"/>
    <w:tmpl w:val="CB5AF028"/>
    <w:lvl w:ilvl="0" w:tplc="18001D06">
      <w:start w:val="1"/>
      <w:numFmt w:val="bullet"/>
      <w:lvlText w:val=""/>
      <w:lvlJc w:val="left"/>
      <w:pPr>
        <w:tabs>
          <w:tab w:val="num" w:pos="90"/>
        </w:tabs>
        <w:ind w:left="450" w:hanging="360"/>
      </w:pPr>
      <w:rPr>
        <w:rFonts w:ascii="Wingdings" w:hAnsi="Wingdings" w:hint="default"/>
      </w:rPr>
    </w:lvl>
    <w:lvl w:ilvl="1" w:tplc="04090003" w:tentative="1">
      <w:start w:val="1"/>
      <w:numFmt w:val="bullet"/>
      <w:lvlText w:val="o"/>
      <w:lvlJc w:val="left"/>
      <w:pPr>
        <w:tabs>
          <w:tab w:val="num" w:pos="-270"/>
        </w:tabs>
        <w:ind w:left="-270" w:hanging="360"/>
      </w:pPr>
      <w:rPr>
        <w:rFonts w:ascii="Courier New" w:hAnsi="Courier New" w:hint="default"/>
      </w:rPr>
    </w:lvl>
    <w:lvl w:ilvl="2" w:tplc="04090005" w:tentative="1">
      <w:start w:val="1"/>
      <w:numFmt w:val="bullet"/>
      <w:lvlText w:val=""/>
      <w:lvlJc w:val="left"/>
      <w:pPr>
        <w:tabs>
          <w:tab w:val="num" w:pos="450"/>
        </w:tabs>
        <w:ind w:left="450" w:hanging="360"/>
      </w:pPr>
      <w:rPr>
        <w:rFonts w:ascii="Wingdings" w:hAnsi="Wingdings" w:hint="default"/>
      </w:rPr>
    </w:lvl>
    <w:lvl w:ilvl="3" w:tplc="04090001" w:tentative="1">
      <w:start w:val="1"/>
      <w:numFmt w:val="bullet"/>
      <w:lvlText w:val=""/>
      <w:lvlJc w:val="left"/>
      <w:pPr>
        <w:tabs>
          <w:tab w:val="num" w:pos="1170"/>
        </w:tabs>
        <w:ind w:left="1170" w:hanging="360"/>
      </w:pPr>
      <w:rPr>
        <w:rFonts w:ascii="Symbol" w:hAnsi="Symbol" w:hint="default"/>
      </w:rPr>
    </w:lvl>
    <w:lvl w:ilvl="4" w:tplc="04090003" w:tentative="1">
      <w:start w:val="1"/>
      <w:numFmt w:val="bullet"/>
      <w:lvlText w:val="o"/>
      <w:lvlJc w:val="left"/>
      <w:pPr>
        <w:tabs>
          <w:tab w:val="num" w:pos="1890"/>
        </w:tabs>
        <w:ind w:left="1890" w:hanging="360"/>
      </w:pPr>
      <w:rPr>
        <w:rFonts w:ascii="Courier New" w:hAnsi="Courier New" w:hint="default"/>
      </w:rPr>
    </w:lvl>
    <w:lvl w:ilvl="5" w:tplc="04090005" w:tentative="1">
      <w:start w:val="1"/>
      <w:numFmt w:val="bullet"/>
      <w:lvlText w:val=""/>
      <w:lvlJc w:val="left"/>
      <w:pPr>
        <w:tabs>
          <w:tab w:val="num" w:pos="2610"/>
        </w:tabs>
        <w:ind w:left="2610" w:hanging="360"/>
      </w:pPr>
      <w:rPr>
        <w:rFonts w:ascii="Wingdings" w:hAnsi="Wingdings" w:hint="default"/>
      </w:rPr>
    </w:lvl>
    <w:lvl w:ilvl="6" w:tplc="04090001" w:tentative="1">
      <w:start w:val="1"/>
      <w:numFmt w:val="bullet"/>
      <w:lvlText w:val=""/>
      <w:lvlJc w:val="left"/>
      <w:pPr>
        <w:tabs>
          <w:tab w:val="num" w:pos="3330"/>
        </w:tabs>
        <w:ind w:left="3330" w:hanging="360"/>
      </w:pPr>
      <w:rPr>
        <w:rFonts w:ascii="Symbol" w:hAnsi="Symbol" w:hint="default"/>
      </w:rPr>
    </w:lvl>
    <w:lvl w:ilvl="7" w:tplc="04090003" w:tentative="1">
      <w:start w:val="1"/>
      <w:numFmt w:val="bullet"/>
      <w:lvlText w:val="o"/>
      <w:lvlJc w:val="left"/>
      <w:pPr>
        <w:tabs>
          <w:tab w:val="num" w:pos="4050"/>
        </w:tabs>
        <w:ind w:left="4050" w:hanging="360"/>
      </w:pPr>
      <w:rPr>
        <w:rFonts w:ascii="Courier New" w:hAnsi="Courier New" w:hint="default"/>
      </w:rPr>
    </w:lvl>
    <w:lvl w:ilvl="8" w:tplc="04090005" w:tentative="1">
      <w:start w:val="1"/>
      <w:numFmt w:val="bullet"/>
      <w:lvlText w:val=""/>
      <w:lvlJc w:val="left"/>
      <w:pPr>
        <w:tabs>
          <w:tab w:val="num" w:pos="4770"/>
        </w:tabs>
        <w:ind w:left="4770" w:hanging="360"/>
      </w:pPr>
      <w:rPr>
        <w:rFonts w:ascii="Wingdings" w:hAnsi="Wingdings" w:hint="default"/>
      </w:rPr>
    </w:lvl>
  </w:abstractNum>
  <w:abstractNum w:abstractNumId="20" w15:restartNumberingAfterBreak="0">
    <w:nsid w:val="4AA84821"/>
    <w:multiLevelType w:val="hybridMultilevel"/>
    <w:tmpl w:val="BEFC5AB8"/>
    <w:lvl w:ilvl="0" w:tplc="FB94DFC0">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E1C53EB"/>
    <w:multiLevelType w:val="hybridMultilevel"/>
    <w:tmpl w:val="344C9B14"/>
    <w:lvl w:ilvl="0" w:tplc="18001D06">
      <w:start w:val="1"/>
      <w:numFmt w:val="bullet"/>
      <w:lvlText w:val=""/>
      <w:lvlJc w:val="left"/>
      <w:pPr>
        <w:tabs>
          <w:tab w:val="num" w:pos="1800"/>
        </w:tabs>
        <w:ind w:left="2160" w:hanging="360"/>
      </w:pPr>
      <w:rPr>
        <w:rFonts w:ascii="Wingdings" w:hAnsi="Wingdings" w:hint="default"/>
      </w:rPr>
    </w:lvl>
    <w:lvl w:ilvl="1" w:tplc="CE1A4AC4">
      <w:start w:val="1"/>
      <w:numFmt w:val="bullet"/>
      <w:lvlText w:val="o"/>
      <w:lvlJc w:val="left"/>
      <w:pPr>
        <w:tabs>
          <w:tab w:val="num" w:pos="2160"/>
        </w:tabs>
        <w:ind w:left="2160" w:hanging="360"/>
      </w:pPr>
      <w:rPr>
        <w:rFonts w:ascii="Times New Roman" w:hAnsi="Times New Roman"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51712B06"/>
    <w:multiLevelType w:val="hybridMultilevel"/>
    <w:tmpl w:val="B8728274"/>
    <w:lvl w:ilvl="0" w:tplc="BE00B0F2">
      <w:start w:val="2"/>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217785A"/>
    <w:multiLevelType w:val="hybridMultilevel"/>
    <w:tmpl w:val="BD2274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2460FD9"/>
    <w:multiLevelType w:val="hybridMultilevel"/>
    <w:tmpl w:val="371A5118"/>
    <w:lvl w:ilvl="0" w:tplc="DE32E332">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8A7123"/>
    <w:multiLevelType w:val="hybridMultilevel"/>
    <w:tmpl w:val="CFE6524E"/>
    <w:lvl w:ilvl="0" w:tplc="84B8F298">
      <w:start w:val="1"/>
      <w:numFmt w:val="bullet"/>
      <w:lvlText w:val="▪"/>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DD090C"/>
    <w:multiLevelType w:val="hybridMultilevel"/>
    <w:tmpl w:val="96FA9E14"/>
    <w:lvl w:ilvl="0" w:tplc="18001D06">
      <w:start w:val="1"/>
      <w:numFmt w:val="bullet"/>
      <w:lvlText w:val=""/>
      <w:lvlJc w:val="left"/>
      <w:pPr>
        <w:tabs>
          <w:tab w:val="num" w:pos="720"/>
        </w:tabs>
        <w:ind w:left="1080" w:hanging="360"/>
      </w:pPr>
      <w:rPr>
        <w:rFonts w:ascii="Wingdings" w:hAnsi="Wingdings" w:hint="default"/>
      </w:rPr>
    </w:lvl>
    <w:lvl w:ilvl="1" w:tplc="04090003">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7" w15:restartNumberingAfterBreak="0">
    <w:nsid w:val="5EE719D3"/>
    <w:multiLevelType w:val="hybridMultilevel"/>
    <w:tmpl w:val="B9A2F77C"/>
    <w:lvl w:ilvl="0" w:tplc="E4FAF836">
      <w:start w:val="1"/>
      <w:numFmt w:val="decimal"/>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13E4FE4"/>
    <w:multiLevelType w:val="hybridMultilevel"/>
    <w:tmpl w:val="42E48C1A"/>
    <w:lvl w:ilvl="0" w:tplc="18001D06">
      <w:start w:val="1"/>
      <w:numFmt w:val="bullet"/>
      <w:lvlText w:val=""/>
      <w:lvlJc w:val="left"/>
      <w:pPr>
        <w:tabs>
          <w:tab w:val="num" w:pos="90"/>
        </w:tabs>
        <w:ind w:left="45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76A1C90"/>
    <w:multiLevelType w:val="hybridMultilevel"/>
    <w:tmpl w:val="0F800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AA7B7C"/>
    <w:multiLevelType w:val="hybridMultilevel"/>
    <w:tmpl w:val="4DB0E378"/>
    <w:lvl w:ilvl="0" w:tplc="18001D06">
      <w:start w:val="1"/>
      <w:numFmt w:val="bullet"/>
      <w:lvlText w:val=""/>
      <w:lvlJc w:val="left"/>
      <w:pPr>
        <w:tabs>
          <w:tab w:val="num" w:pos="180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D844255"/>
    <w:multiLevelType w:val="hybridMultilevel"/>
    <w:tmpl w:val="EFDEAA7C"/>
    <w:lvl w:ilvl="0" w:tplc="18001D06">
      <w:start w:val="1"/>
      <w:numFmt w:val="bullet"/>
      <w:lvlText w:val=""/>
      <w:lvlJc w:val="left"/>
      <w:pPr>
        <w:tabs>
          <w:tab w:val="num" w:pos="0"/>
        </w:tabs>
        <w:ind w:left="360" w:hanging="360"/>
      </w:pPr>
      <w:rPr>
        <w:rFonts w:ascii="Wingdings" w:hAnsi="Wingdings" w:hint="default"/>
      </w:rPr>
    </w:lvl>
    <w:lvl w:ilvl="1" w:tplc="04090003" w:tentative="1">
      <w:start w:val="1"/>
      <w:numFmt w:val="bullet"/>
      <w:lvlText w:val="o"/>
      <w:lvlJc w:val="left"/>
      <w:pPr>
        <w:tabs>
          <w:tab w:val="num" w:pos="1350"/>
        </w:tabs>
        <w:ind w:left="1350" w:hanging="360"/>
      </w:pPr>
      <w:rPr>
        <w:rFonts w:ascii="Courier New" w:hAnsi="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32" w15:restartNumberingAfterBreak="0">
    <w:nsid w:val="6E4068C5"/>
    <w:multiLevelType w:val="hybridMultilevel"/>
    <w:tmpl w:val="58BE061C"/>
    <w:lvl w:ilvl="0" w:tplc="84B8F298">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5E40E2"/>
    <w:multiLevelType w:val="hybridMultilevel"/>
    <w:tmpl w:val="94307160"/>
    <w:lvl w:ilvl="0" w:tplc="18001D06">
      <w:start w:val="1"/>
      <w:numFmt w:val="bullet"/>
      <w:lvlText w:val=""/>
      <w:lvlJc w:val="left"/>
      <w:pPr>
        <w:tabs>
          <w:tab w:val="num" w:pos="2520"/>
        </w:tabs>
        <w:ind w:left="2880" w:hanging="360"/>
      </w:pPr>
      <w:rPr>
        <w:rFonts w:ascii="Wingdings" w:hAnsi="Wingdings" w:hint="default"/>
      </w:rPr>
    </w:lvl>
    <w:lvl w:ilvl="1" w:tplc="CE1A4AC4">
      <w:start w:val="1"/>
      <w:numFmt w:val="bullet"/>
      <w:lvlText w:val="o"/>
      <w:lvlJc w:val="left"/>
      <w:pPr>
        <w:tabs>
          <w:tab w:val="num" w:pos="2160"/>
        </w:tabs>
        <w:ind w:left="2160" w:hanging="360"/>
      </w:pPr>
      <w:rPr>
        <w:rFonts w:ascii="Times New Roman" w:hAnsi="Times New Roman"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76F56B40"/>
    <w:multiLevelType w:val="multilevel"/>
    <w:tmpl w:val="94307160"/>
    <w:lvl w:ilvl="0">
      <w:start w:val="1"/>
      <w:numFmt w:val="bullet"/>
      <w:lvlText w:val=""/>
      <w:lvlJc w:val="left"/>
      <w:pPr>
        <w:tabs>
          <w:tab w:val="num" w:pos="2520"/>
        </w:tabs>
        <w:ind w:left="2880" w:hanging="360"/>
      </w:pPr>
      <w:rPr>
        <w:rFonts w:ascii="Wingdings" w:hAnsi="Wingdings" w:hint="default"/>
      </w:rPr>
    </w:lvl>
    <w:lvl w:ilvl="1">
      <w:start w:val="1"/>
      <w:numFmt w:val="bullet"/>
      <w:lvlText w:val="o"/>
      <w:lvlJc w:val="left"/>
      <w:pPr>
        <w:tabs>
          <w:tab w:val="num" w:pos="2160"/>
        </w:tabs>
        <w:ind w:left="2160" w:hanging="360"/>
      </w:pPr>
      <w:rPr>
        <w:rFonts w:ascii="Times New Roman" w:hAnsi="Times New Roman"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7A2816E0"/>
    <w:multiLevelType w:val="hybridMultilevel"/>
    <w:tmpl w:val="AD9825CC"/>
    <w:lvl w:ilvl="0" w:tplc="84B8F298">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DC40F81"/>
    <w:multiLevelType w:val="hybridMultilevel"/>
    <w:tmpl w:val="E056F190"/>
    <w:lvl w:ilvl="0" w:tplc="18001D06">
      <w:start w:val="1"/>
      <w:numFmt w:val="bullet"/>
      <w:lvlText w:val=""/>
      <w:lvlJc w:val="left"/>
      <w:pPr>
        <w:tabs>
          <w:tab w:val="num" w:pos="720"/>
        </w:tabs>
        <w:ind w:left="1080" w:hanging="360"/>
      </w:pPr>
      <w:rPr>
        <w:rFonts w:ascii="Wingdings" w:hAnsi="Wingdings" w:hint="default"/>
      </w:rPr>
    </w:lvl>
    <w:lvl w:ilvl="1" w:tplc="04090003">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7" w15:restartNumberingAfterBreak="0">
    <w:nsid w:val="7E4E4DD3"/>
    <w:multiLevelType w:val="hybridMultilevel"/>
    <w:tmpl w:val="F68E5210"/>
    <w:lvl w:ilvl="0" w:tplc="BF7A64A2">
      <w:start w:val="1"/>
      <w:numFmt w:val="decimal"/>
      <w:pStyle w:val="FERCparanumber"/>
      <w:lvlText w:val="%1."/>
      <w:lvlJc w:val="left"/>
      <w:pPr>
        <w:tabs>
          <w:tab w:val="num" w:pos="720"/>
        </w:tabs>
      </w:pPr>
      <w:rPr>
        <w:rFonts w:ascii="Times New Roman" w:hAnsi="Times New Roman" w:cs="Times New Roman" w:hint="default"/>
        <w:b w:val="0"/>
        <w:i w:val="0"/>
        <w:sz w:val="26"/>
        <w:szCs w:val="26"/>
      </w:rPr>
    </w:lvl>
    <w:lvl w:ilvl="1" w:tplc="04090019">
      <w:start w:val="1"/>
      <w:numFmt w:val="upperLetter"/>
      <w:lvlText w:val="%2."/>
      <w:lvlJc w:val="left"/>
      <w:pPr>
        <w:tabs>
          <w:tab w:val="num" w:pos="1440"/>
        </w:tabs>
        <w:ind w:left="1440" w:hanging="360"/>
      </w:pPr>
      <w:rPr>
        <w:rFonts w:cs="Times New Roman" w:hint="default"/>
        <w:u w:val="none"/>
      </w:rPr>
    </w:lvl>
    <w:lvl w:ilvl="2" w:tplc="0409001B">
      <w:start w:val="1"/>
      <w:numFmt w:val="bullet"/>
      <w:lvlText w:val=""/>
      <w:lvlJc w:val="left"/>
      <w:pPr>
        <w:tabs>
          <w:tab w:val="num" w:pos="2340"/>
        </w:tabs>
        <w:ind w:left="2340" w:hanging="360"/>
      </w:pPr>
      <w:rPr>
        <w:rFonts w:ascii="Symbol" w:hAnsi="Symbol" w:hint="default"/>
        <w:b w:val="0"/>
      </w:rPr>
    </w:lvl>
    <w:lvl w:ilvl="3" w:tplc="0409000F">
      <w:start w:val="1"/>
      <w:numFmt w:val="decimal"/>
      <w:lvlText w:val="(%4)"/>
      <w:lvlJc w:val="left"/>
      <w:pPr>
        <w:tabs>
          <w:tab w:val="num" w:pos="2880"/>
        </w:tabs>
        <w:ind w:left="2880" w:hanging="360"/>
      </w:pPr>
      <w:rPr>
        <w:rFonts w:cs="Times New Roman" w:hint="default"/>
        <w:b w:val="0"/>
      </w:rPr>
    </w:lvl>
    <w:lvl w:ilvl="4" w:tplc="04090019">
      <w:start w:val="4"/>
      <w:numFmt w:val="lowerLetter"/>
      <w:lvlText w:val="%5."/>
      <w:lvlJc w:val="left"/>
      <w:pPr>
        <w:tabs>
          <w:tab w:val="num" w:pos="3600"/>
        </w:tabs>
        <w:ind w:left="3600" w:hanging="360"/>
      </w:pPr>
      <w:rPr>
        <w:rFonts w:cs="Times New Roman" w:hint="default"/>
        <w:b/>
        <w:u w:val="single"/>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37"/>
  </w:num>
  <w:num w:numId="2">
    <w:abstractNumId w:val="15"/>
  </w:num>
  <w:num w:numId="3">
    <w:abstractNumId w:val="26"/>
  </w:num>
  <w:num w:numId="4">
    <w:abstractNumId w:val="36"/>
  </w:num>
  <w:num w:numId="5">
    <w:abstractNumId w:val="7"/>
  </w:num>
  <w:num w:numId="6">
    <w:abstractNumId w:val="30"/>
  </w:num>
  <w:num w:numId="7">
    <w:abstractNumId w:val="14"/>
  </w:num>
  <w:num w:numId="8">
    <w:abstractNumId w:val="33"/>
  </w:num>
  <w:num w:numId="9">
    <w:abstractNumId w:val="34"/>
  </w:num>
  <w:num w:numId="10">
    <w:abstractNumId w:val="21"/>
  </w:num>
  <w:num w:numId="11">
    <w:abstractNumId w:val="19"/>
  </w:num>
  <w:num w:numId="12">
    <w:abstractNumId w:val="28"/>
  </w:num>
  <w:num w:numId="13">
    <w:abstractNumId w:val="13"/>
  </w:num>
  <w:num w:numId="14">
    <w:abstractNumId w:val="31"/>
  </w:num>
  <w:num w:numId="15">
    <w:abstractNumId w:val="10"/>
  </w:num>
  <w:num w:numId="16">
    <w:abstractNumId w:val="35"/>
  </w:num>
  <w:num w:numId="17">
    <w:abstractNumId w:val="32"/>
  </w:num>
  <w:num w:numId="18">
    <w:abstractNumId w:val="25"/>
  </w:num>
  <w:num w:numId="19">
    <w:abstractNumId w:val="8"/>
  </w:num>
  <w:num w:numId="20">
    <w:abstractNumId w:val="3"/>
  </w:num>
  <w:num w:numId="21">
    <w:abstractNumId w:val="22"/>
  </w:num>
  <w:num w:numId="22">
    <w:abstractNumId w:val="1"/>
  </w:num>
  <w:num w:numId="23">
    <w:abstractNumId w:val="18"/>
  </w:num>
  <w:num w:numId="24">
    <w:abstractNumId w:val="12"/>
  </w:num>
  <w:num w:numId="25">
    <w:abstractNumId w:val="20"/>
  </w:num>
  <w:num w:numId="26">
    <w:abstractNumId w:val="11"/>
  </w:num>
  <w:num w:numId="27">
    <w:abstractNumId w:val="4"/>
  </w:num>
  <w:num w:numId="28">
    <w:abstractNumId w:val="6"/>
  </w:num>
  <w:num w:numId="29">
    <w:abstractNumId w:val="2"/>
  </w:num>
  <w:num w:numId="30">
    <w:abstractNumId w:val="5"/>
  </w:num>
  <w:num w:numId="31">
    <w:abstractNumId w:val="24"/>
  </w:num>
  <w:num w:numId="32">
    <w:abstractNumId w:val="0"/>
  </w:num>
  <w:num w:numId="33">
    <w:abstractNumId w:val="17"/>
  </w:num>
  <w:num w:numId="34">
    <w:abstractNumId w:val="16"/>
  </w:num>
  <w:num w:numId="35">
    <w:abstractNumId w:val="9"/>
  </w:num>
  <w:num w:numId="36">
    <w:abstractNumId w:val="27"/>
  </w:num>
  <w:num w:numId="37">
    <w:abstractNumId w:val="29"/>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81C"/>
    <w:rsid w:val="000F24E6"/>
    <w:rsid w:val="00185190"/>
    <w:rsid w:val="002A32C3"/>
    <w:rsid w:val="00312C41"/>
    <w:rsid w:val="003711E3"/>
    <w:rsid w:val="00650DF4"/>
    <w:rsid w:val="006D1A35"/>
    <w:rsid w:val="008A1518"/>
    <w:rsid w:val="008B7831"/>
    <w:rsid w:val="00941F9E"/>
    <w:rsid w:val="00A255F6"/>
    <w:rsid w:val="00A47943"/>
    <w:rsid w:val="00C302BC"/>
    <w:rsid w:val="00C71909"/>
    <w:rsid w:val="00CB281C"/>
    <w:rsid w:val="00F53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10B1EBFF"/>
  <w15:docId w15:val="{41E3C92C-08C0-4DDB-AFF6-1AE3851F2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link w:val="Heading1Char"/>
    <w:uiPriority w:val="99"/>
    <w:qFormat/>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9"/>
    <w:qFormat/>
    <w:pPr>
      <w:keepNext/>
      <w:spacing w:before="240" w:after="60"/>
      <w:outlineLvl w:val="1"/>
    </w:pPr>
    <w:rPr>
      <w:rFonts w:ascii="Arial" w:hAnsi="Arial" w:cs="Arial"/>
      <w:b/>
      <w:bCs/>
      <w:i/>
      <w:iCs/>
      <w:sz w:val="28"/>
      <w:szCs w:val="28"/>
    </w:rPr>
  </w:style>
  <w:style w:type="paragraph" w:styleId="Heading5">
    <w:name w:val="heading 5"/>
    <w:basedOn w:val="Normal"/>
    <w:link w:val="Heading5Char"/>
    <w:uiPriority w:val="99"/>
    <w:qFormat/>
    <w:pPr>
      <w:widowControl/>
      <w:autoSpaceDE/>
      <w:autoSpaceDN/>
      <w:adjustRightInd/>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color w:val="365F91"/>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character" w:styleId="FootnoteReference">
    <w:name w:val="footnote reference"/>
    <w:aliases w:val="o,fr,Style 17,o1,fr1,o2,fr2,o3,fr3,Style 13,Style 12,Style 15,Style 9,Style 18,(NECG) Footnote Reference,Style 20,Style 7,Style 8,Style 19,Style 28,Styl,Style 11,Style 16,Style 5,Footnote Reference (EIS),fnr,Footnote reference (EA)"/>
    <w:basedOn w:val="DefaultParagraphFont"/>
    <w:rPr>
      <w:rFonts w:cs="Times New Roman"/>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Pr>
      <w:sz w:val="24"/>
      <w:szCs w:val="24"/>
    </w:rPr>
  </w:style>
  <w:style w:type="table" w:styleId="TableGrid">
    <w:name w:val="Table Grid"/>
    <w:basedOn w:val="TableNormal"/>
    <w:uiPriority w:val="99"/>
    <w:pPr>
      <w:widowControl w:val="0"/>
      <w:autoSpaceDE w:val="0"/>
      <w:autoSpaceDN w:val="0"/>
      <w:adjustRightInd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fn,Footnote Text Char1,Footnote Text Char Char,Footnote Text Char1 Char,Footnote Text Char Char Char,Footnote Text MRP,Footnote Text Char1 Char Char,Footnote Text Char1 Char1,Footnote Text Char3,Footnote Text Char2 Char"/>
    <w:basedOn w:val="Normal"/>
    <w:link w:val="FootnoteTextChar4"/>
    <w:uiPriority w:val="99"/>
    <w:qFormat/>
    <w:rPr>
      <w:sz w:val="20"/>
      <w:szCs w:val="20"/>
    </w:rPr>
  </w:style>
  <w:style w:type="character" w:customStyle="1" w:styleId="FootnoteTextChar2">
    <w:name w:val="Footnote Text Char2"/>
    <w:aliases w:val="Footnote Text Char Char1,fn Char,Footnote Text Char1 Char2,Footnote Text Char Char Char1,Footnote Text Char1 Char Char1,Footnote Text Char Char Char Char,Footnote Text MRP Char,Footnote Text Char1 Char Char Char,ft Char Char,ft Char1"/>
    <w:basedOn w:val="DefaultParagraphFont"/>
    <w:uiPriority w:val="99"/>
    <w:rPr>
      <w:sz w:val="20"/>
      <w:szCs w:val="20"/>
    </w:rPr>
  </w:style>
  <w:style w:type="character" w:styleId="Hyperlink">
    <w:name w:val="Hyperlink"/>
    <w:basedOn w:val="DefaultParagraphFont"/>
    <w:uiPriority w:val="99"/>
    <w:rPr>
      <w:rFonts w:cs="Times New Roman"/>
      <w:color w:val="0000FF"/>
      <w:u w:val="single"/>
    </w:rPr>
  </w:style>
  <w:style w:type="character" w:styleId="PageNumber">
    <w:name w:val="page number"/>
    <w:basedOn w:val="DefaultParagraphFont"/>
    <w:uiPriority w:val="99"/>
    <w:rPr>
      <w:rFonts w:cs="Times New Roman"/>
    </w:rPr>
  </w:style>
  <w:style w:type="paragraph" w:customStyle="1" w:styleId="FERCparanumber">
    <w:name w:val="FERC paranumber"/>
    <w:basedOn w:val="Normal"/>
    <w:link w:val="FERCparanumberChar"/>
    <w:pPr>
      <w:numPr>
        <w:numId w:val="1"/>
      </w:numPr>
      <w:spacing w:line="480" w:lineRule="auto"/>
    </w:pPr>
    <w:rPr>
      <w:sz w:val="26"/>
    </w:rPr>
  </w:style>
  <w:style w:type="character" w:customStyle="1" w:styleId="FERCparanumberChar">
    <w:name w:val="FERC paranumber Char"/>
    <w:link w:val="FERCparanumber"/>
    <w:locked/>
    <w:rPr>
      <w:sz w:val="24"/>
      <w:lang w:val="en-US" w:eastAsia="en-US"/>
    </w:rPr>
  </w:style>
  <w:style w:type="character" w:customStyle="1" w:styleId="FootnoteTextChar4">
    <w:name w:val="Footnote Text Char4"/>
    <w:aliases w:val="Footnote Text Char Char2,fn Char1,Footnote Text Char1 Char3,Footnote Text Char Char Char2,Footnote Text Char1 Char Char2,Footnote Text Char Char Char Char1,Footnote Text MRP Char1,Footnote Text Char1 Char Char Char1"/>
    <w:link w:val="FootnoteText"/>
    <w:uiPriority w:val="99"/>
    <w:locked/>
    <w:rPr>
      <w:lang w:val="en-US" w:eastAsia="en-US"/>
    </w:rPr>
  </w:style>
  <w:style w:type="paragraph" w:styleId="ListContinue">
    <w:name w:val="List Continue"/>
    <w:basedOn w:val="Normal"/>
    <w:uiPriority w:val="99"/>
    <w:pPr>
      <w:widowControl/>
      <w:numPr>
        <w:numId w:val="2"/>
      </w:numPr>
      <w:autoSpaceDE/>
      <w:autoSpaceDN/>
      <w:adjustRightInd/>
      <w:spacing w:after="120" w:line="480" w:lineRule="auto"/>
    </w:pPr>
    <w:rPr>
      <w:sz w:val="26"/>
    </w:rPr>
  </w:style>
  <w:style w:type="paragraph" w:customStyle="1" w:styleId="LegalFormat">
    <w:name w:val="Legal Format"/>
    <w:basedOn w:val="ListContinue"/>
    <w:uiPriority w:val="99"/>
    <w:pPr>
      <w:spacing w:after="0"/>
      <w:ind w:left="0"/>
    </w:pPr>
    <w:rPr>
      <w:u w:val="single"/>
    </w:rPr>
  </w:style>
  <w:style w:type="paragraph" w:customStyle="1" w:styleId="Style13ptBoldLeft1">
    <w:name w:val="Style 13 pt Bold Left:  1&quot;"/>
    <w:basedOn w:val="Normal"/>
    <w:uiPriority w:val="99"/>
    <w:pPr>
      <w:widowControl/>
      <w:autoSpaceDE/>
      <w:autoSpaceDN/>
      <w:adjustRightInd/>
      <w:spacing w:line="480" w:lineRule="auto"/>
      <w:ind w:left="1440"/>
    </w:pPr>
    <w:rPr>
      <w:b/>
      <w:bCs/>
      <w:sz w:val="26"/>
      <w:szCs w:val="20"/>
    </w:rPr>
  </w:style>
  <w:style w:type="paragraph" w:styleId="z-TopofForm">
    <w:name w:val="HTML Top of Form"/>
    <w:basedOn w:val="Normal"/>
    <w:next w:val="Normal"/>
    <w:link w:val="z-TopofFormChar"/>
    <w:hidden/>
    <w:uiPriority w:val="99"/>
    <w:pPr>
      <w:widowControl/>
      <w:pBdr>
        <w:bottom w:val="single" w:sz="6" w:space="1" w:color="auto"/>
      </w:pBdr>
      <w:autoSpaceDE/>
      <w:autoSpaceDN/>
      <w:adjustRightInd/>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Pr>
      <w:rFonts w:ascii="Arial" w:hAnsi="Arial" w:cs="Arial"/>
      <w:vanish/>
      <w:sz w:val="16"/>
      <w:szCs w:val="16"/>
    </w:rPr>
  </w:style>
  <w:style w:type="paragraph" w:styleId="z-BottomofForm">
    <w:name w:val="HTML Bottom of Form"/>
    <w:basedOn w:val="Normal"/>
    <w:next w:val="Normal"/>
    <w:link w:val="z-BottomofFormChar"/>
    <w:hidden/>
    <w:uiPriority w:val="99"/>
    <w:pPr>
      <w:widowControl/>
      <w:pBdr>
        <w:top w:val="single" w:sz="6" w:space="1" w:color="auto"/>
      </w:pBdr>
      <w:autoSpaceDE/>
      <w:autoSpaceDN/>
      <w:adjustRightInd/>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Pr>
      <w:rFonts w:ascii="Arial" w:hAnsi="Arial" w:cs="Arial"/>
      <w:vanish/>
      <w:sz w:val="16"/>
      <w:szCs w:val="16"/>
    </w:rPr>
  </w:style>
  <w:style w:type="character" w:styleId="FollowedHyperlink">
    <w:name w:val="FollowedHyperlink"/>
    <w:basedOn w:val="DefaultParagraphFont"/>
    <w:uiPriority w:val="99"/>
    <w:rPr>
      <w:rFonts w:cs="Times New Roman"/>
      <w:color w:val="800080"/>
      <w:u w:val="single"/>
    </w:rPr>
  </w:style>
  <w:style w:type="paragraph" w:styleId="NormalWeb">
    <w:name w:val="Normal (Web)"/>
    <w:basedOn w:val="Normal"/>
    <w:uiPriority w:val="99"/>
    <w:pPr>
      <w:widowControl/>
      <w:autoSpaceDE/>
      <w:autoSpaceDN/>
      <w:adjustRightInd/>
      <w:spacing w:before="100" w:beforeAutospacing="1" w:after="100" w:afterAutospacing="1"/>
    </w:pPr>
  </w:style>
  <w:style w:type="character" w:customStyle="1" w:styleId="updatebodytest1">
    <w:name w:val="updatebodytest1"/>
    <w:uiPriority w:val="99"/>
    <w:rPr>
      <w:rFonts w:ascii="Arial" w:hAnsi="Arial"/>
      <w:sz w:val="18"/>
    </w:rPr>
  </w:style>
  <w:style w:type="character" w:customStyle="1" w:styleId="mainheader1">
    <w:name w:val="mainheader1"/>
    <w:uiPriority w:val="99"/>
    <w:rPr>
      <w:b/>
      <w:sz w:val="31"/>
    </w:rPr>
  </w:style>
  <w:style w:type="character" w:customStyle="1" w:styleId="ptext-2">
    <w:name w:val="ptext-2"/>
    <w:uiPriority w:val="99"/>
  </w:style>
  <w:style w:type="character" w:customStyle="1" w:styleId="ptext-3">
    <w:name w:val="ptext-3"/>
    <w:uiPriority w:val="99"/>
  </w:style>
  <w:style w:type="character" w:customStyle="1" w:styleId="ptext-4">
    <w:name w:val="ptext-4"/>
    <w:uiPriority w:val="99"/>
  </w:style>
  <w:style w:type="character" w:customStyle="1" w:styleId="enumbell">
    <w:name w:val="enumbell"/>
    <w:uiPriority w:val="99"/>
    <w:rPr>
      <w:b/>
    </w:rPr>
  </w:style>
  <w:style w:type="character" w:styleId="CommentReference">
    <w:name w:val="annotation reference"/>
    <w:basedOn w:val="DefaultParagraphFont"/>
    <w:rPr>
      <w:rFonts w:cs="Times New Roman"/>
      <w:sz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sz w:val="0"/>
      <w:szCs w:val="0"/>
    </w:rPr>
  </w:style>
  <w:style w:type="paragraph" w:styleId="PlainText">
    <w:name w:val="Plain Text"/>
    <w:basedOn w:val="Normal"/>
    <w:link w:val="PlainTextChar"/>
    <w:uiPriority w:val="99"/>
    <w:pPr>
      <w:widowControl/>
      <w:autoSpaceDE/>
      <w:autoSpaceDN/>
      <w:adjustRightInd/>
    </w:pPr>
    <w:rPr>
      <w:rFonts w:ascii="Courier New" w:hAnsi="Courier New" w:cs="Courier New"/>
      <w:sz w:val="20"/>
      <w:szCs w:val="20"/>
    </w:rPr>
  </w:style>
  <w:style w:type="character" w:customStyle="1" w:styleId="PlainTextChar">
    <w:name w:val="Plain Text Char"/>
    <w:basedOn w:val="DefaultParagraphFont"/>
    <w:link w:val="PlainText"/>
    <w:uiPriority w:val="99"/>
    <w:semiHidden/>
    <w:rPr>
      <w:rFonts w:ascii="Courier New" w:hAnsi="Courier New" w:cs="Courier New"/>
      <w:sz w:val="20"/>
      <w:szCs w:val="20"/>
    </w:rPr>
  </w:style>
  <w:style w:type="paragraph" w:customStyle="1" w:styleId="Default">
    <w:name w:val="Default"/>
    <w:uiPriority w:val="99"/>
    <w:pPr>
      <w:autoSpaceDE w:val="0"/>
      <w:autoSpaceDN w:val="0"/>
      <w:adjustRightInd w:val="0"/>
    </w:pPr>
    <w:rPr>
      <w:rFonts w:ascii="OMODMN+ArialNarrow" w:hAnsi="OMODMN+ArialNarrow" w:cs="OMODMN+ArialNarrow"/>
      <w:color w:val="000000"/>
      <w:sz w:val="24"/>
      <w:szCs w:val="24"/>
    </w:rPr>
  </w:style>
  <w:style w:type="paragraph" w:customStyle="1" w:styleId="CM1">
    <w:name w:val="CM1"/>
    <w:basedOn w:val="Default"/>
    <w:next w:val="Default"/>
    <w:uiPriority w:val="99"/>
    <w:rPr>
      <w:rFonts w:cs="Times New Roman"/>
      <w:color w:val="auto"/>
    </w:rPr>
  </w:style>
  <w:style w:type="character" w:styleId="Strong">
    <w:name w:val="Strong"/>
    <w:basedOn w:val="DefaultParagraphFont"/>
    <w:uiPriority w:val="99"/>
    <w:qFormat/>
    <w:rPr>
      <w:rFonts w:cs="Times New Roman"/>
      <w:b/>
    </w:rPr>
  </w:style>
  <w:style w:type="character" w:customStyle="1" w:styleId="EllenBrown">
    <w:name w:val="Ellen Brown"/>
    <w:uiPriority w:val="99"/>
    <w:semiHidden/>
    <w:rPr>
      <w:rFonts w:ascii="Arial" w:hAnsi="Arial"/>
      <w:color w:val="000080"/>
      <w:sz w:val="20"/>
    </w:rPr>
  </w:style>
  <w:style w:type="paragraph" w:styleId="HTMLPreformatted">
    <w:name w:val="HTML Preformatted"/>
    <w:basedOn w:val="Normal"/>
    <w:link w:val="HTMLPreformattedChar"/>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sz w:val="20"/>
      <w:szCs w:val="20"/>
    </w:rPr>
  </w:style>
  <w:style w:type="character" w:customStyle="1" w:styleId="HTMLPreformattedChar">
    <w:name w:val="HTML Preformatted Char"/>
    <w:basedOn w:val="DefaultParagraphFont"/>
    <w:link w:val="HTMLPreformatted"/>
    <w:uiPriority w:val="99"/>
    <w:locked/>
    <w:rPr>
      <w:rFonts w:ascii="Courier New" w:hAnsi="Courier New"/>
    </w:rPr>
  </w:style>
  <w:style w:type="character" w:customStyle="1" w:styleId="Hypertext">
    <w:name w:val="Hypertext"/>
    <w:uiPriority w:val="99"/>
    <w:rPr>
      <w:color w:val="0000FF"/>
      <w:u w:val="single"/>
    </w:rPr>
  </w:style>
  <w:style w:type="character" w:customStyle="1" w:styleId="FERCparanumberChar1">
    <w:name w:val="FERC paranumber Char1"/>
    <w:uiPriority w:val="99"/>
    <w:rPr>
      <w:sz w:val="24"/>
      <w:lang w:val="en-US" w:eastAsia="en-US"/>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4"/>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C719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5139543">
      <w:bodyDiv w:val="1"/>
      <w:marLeft w:val="0"/>
      <w:marRight w:val="0"/>
      <w:marTop w:val="0"/>
      <w:marBottom w:val="0"/>
      <w:divBdr>
        <w:top w:val="none" w:sz="0" w:space="0" w:color="auto"/>
        <w:left w:val="none" w:sz="0" w:space="0" w:color="auto"/>
        <w:bottom w:val="none" w:sz="0" w:space="0" w:color="auto"/>
        <w:right w:val="none" w:sz="0" w:space="0" w:color="auto"/>
      </w:divBdr>
    </w:div>
    <w:div w:id="1372995748">
      <w:bodyDiv w:val="1"/>
      <w:marLeft w:val="0"/>
      <w:marRight w:val="0"/>
      <w:marTop w:val="0"/>
      <w:marBottom w:val="0"/>
      <w:divBdr>
        <w:top w:val="none" w:sz="0" w:space="0" w:color="auto"/>
        <w:left w:val="none" w:sz="0" w:space="0" w:color="auto"/>
        <w:bottom w:val="none" w:sz="0" w:space="0" w:color="auto"/>
        <w:right w:val="none" w:sz="0" w:space="0" w:color="auto"/>
      </w:divBdr>
    </w:div>
    <w:div w:id="1396853553">
      <w:bodyDiv w:val="1"/>
      <w:marLeft w:val="0"/>
      <w:marRight w:val="0"/>
      <w:marTop w:val="0"/>
      <w:marBottom w:val="0"/>
      <w:divBdr>
        <w:top w:val="none" w:sz="0" w:space="0" w:color="auto"/>
        <w:left w:val="none" w:sz="0" w:space="0" w:color="auto"/>
        <w:bottom w:val="none" w:sz="0" w:space="0" w:color="auto"/>
        <w:right w:val="none" w:sz="0" w:space="0" w:color="auto"/>
      </w:divBdr>
    </w:div>
    <w:div w:id="1948004713">
      <w:marLeft w:val="0"/>
      <w:marRight w:val="0"/>
      <w:marTop w:val="0"/>
      <w:marBottom w:val="0"/>
      <w:divBdr>
        <w:top w:val="none" w:sz="0" w:space="0" w:color="auto"/>
        <w:left w:val="none" w:sz="0" w:space="0" w:color="auto"/>
        <w:bottom w:val="none" w:sz="0" w:space="0" w:color="auto"/>
        <w:right w:val="none" w:sz="0" w:space="0" w:color="auto"/>
      </w:divBdr>
    </w:div>
    <w:div w:id="1948004720">
      <w:marLeft w:val="0"/>
      <w:marRight w:val="0"/>
      <w:marTop w:val="0"/>
      <w:marBottom w:val="0"/>
      <w:divBdr>
        <w:top w:val="none" w:sz="0" w:space="0" w:color="auto"/>
        <w:left w:val="none" w:sz="0" w:space="0" w:color="auto"/>
        <w:bottom w:val="none" w:sz="0" w:space="0" w:color="auto"/>
        <w:right w:val="none" w:sz="0" w:space="0" w:color="auto"/>
      </w:divBdr>
    </w:div>
    <w:div w:id="1948004726">
      <w:marLeft w:val="0"/>
      <w:marRight w:val="0"/>
      <w:marTop w:val="0"/>
      <w:marBottom w:val="0"/>
      <w:divBdr>
        <w:top w:val="none" w:sz="0" w:space="0" w:color="auto"/>
        <w:left w:val="none" w:sz="0" w:space="0" w:color="auto"/>
        <w:bottom w:val="none" w:sz="0" w:space="0" w:color="auto"/>
        <w:right w:val="none" w:sz="0" w:space="0" w:color="auto"/>
      </w:divBdr>
    </w:div>
    <w:div w:id="1948004730">
      <w:marLeft w:val="0"/>
      <w:marRight w:val="0"/>
      <w:marTop w:val="0"/>
      <w:marBottom w:val="0"/>
      <w:divBdr>
        <w:top w:val="none" w:sz="0" w:space="0" w:color="auto"/>
        <w:left w:val="none" w:sz="0" w:space="0" w:color="auto"/>
        <w:bottom w:val="none" w:sz="0" w:space="0" w:color="auto"/>
        <w:right w:val="none" w:sz="0" w:space="0" w:color="auto"/>
      </w:divBdr>
    </w:div>
    <w:div w:id="1948004731">
      <w:marLeft w:val="0"/>
      <w:marRight w:val="0"/>
      <w:marTop w:val="0"/>
      <w:marBottom w:val="0"/>
      <w:divBdr>
        <w:top w:val="none" w:sz="0" w:space="0" w:color="auto"/>
        <w:left w:val="none" w:sz="0" w:space="0" w:color="auto"/>
        <w:bottom w:val="none" w:sz="0" w:space="0" w:color="auto"/>
        <w:right w:val="none" w:sz="0" w:space="0" w:color="auto"/>
      </w:divBdr>
    </w:div>
    <w:div w:id="1948004733">
      <w:marLeft w:val="0"/>
      <w:marRight w:val="0"/>
      <w:marTop w:val="0"/>
      <w:marBottom w:val="0"/>
      <w:divBdr>
        <w:top w:val="none" w:sz="0" w:space="0" w:color="auto"/>
        <w:left w:val="none" w:sz="0" w:space="0" w:color="auto"/>
        <w:bottom w:val="none" w:sz="0" w:space="0" w:color="auto"/>
        <w:right w:val="none" w:sz="0" w:space="0" w:color="auto"/>
      </w:divBdr>
    </w:div>
    <w:div w:id="1948004741">
      <w:marLeft w:val="0"/>
      <w:marRight w:val="0"/>
      <w:marTop w:val="0"/>
      <w:marBottom w:val="0"/>
      <w:divBdr>
        <w:top w:val="none" w:sz="0" w:space="0" w:color="auto"/>
        <w:left w:val="none" w:sz="0" w:space="0" w:color="auto"/>
        <w:bottom w:val="none" w:sz="0" w:space="0" w:color="auto"/>
        <w:right w:val="none" w:sz="0" w:space="0" w:color="auto"/>
      </w:divBdr>
    </w:div>
    <w:div w:id="1948004756">
      <w:marLeft w:val="0"/>
      <w:marRight w:val="0"/>
      <w:marTop w:val="0"/>
      <w:marBottom w:val="0"/>
      <w:divBdr>
        <w:top w:val="none" w:sz="0" w:space="0" w:color="auto"/>
        <w:left w:val="none" w:sz="0" w:space="0" w:color="auto"/>
        <w:bottom w:val="none" w:sz="0" w:space="0" w:color="auto"/>
        <w:right w:val="none" w:sz="0" w:space="0" w:color="auto"/>
      </w:divBdr>
    </w:div>
    <w:div w:id="1948004757">
      <w:marLeft w:val="0"/>
      <w:marRight w:val="0"/>
      <w:marTop w:val="0"/>
      <w:marBottom w:val="0"/>
      <w:divBdr>
        <w:top w:val="none" w:sz="0" w:space="0" w:color="auto"/>
        <w:left w:val="none" w:sz="0" w:space="0" w:color="auto"/>
        <w:bottom w:val="none" w:sz="0" w:space="0" w:color="auto"/>
        <w:right w:val="none" w:sz="0" w:space="0" w:color="auto"/>
      </w:divBdr>
    </w:div>
    <w:div w:id="1948004759">
      <w:marLeft w:val="0"/>
      <w:marRight w:val="0"/>
      <w:marTop w:val="0"/>
      <w:marBottom w:val="0"/>
      <w:divBdr>
        <w:top w:val="none" w:sz="0" w:space="0" w:color="auto"/>
        <w:left w:val="none" w:sz="0" w:space="0" w:color="auto"/>
        <w:bottom w:val="none" w:sz="0" w:space="0" w:color="auto"/>
        <w:right w:val="none" w:sz="0" w:space="0" w:color="auto"/>
      </w:divBdr>
    </w:div>
    <w:div w:id="1948004762">
      <w:marLeft w:val="0"/>
      <w:marRight w:val="0"/>
      <w:marTop w:val="0"/>
      <w:marBottom w:val="0"/>
      <w:divBdr>
        <w:top w:val="none" w:sz="0" w:space="0" w:color="auto"/>
        <w:left w:val="none" w:sz="0" w:space="0" w:color="auto"/>
        <w:bottom w:val="none" w:sz="0" w:space="0" w:color="auto"/>
        <w:right w:val="none" w:sz="0" w:space="0" w:color="auto"/>
      </w:divBdr>
    </w:div>
    <w:div w:id="1948004765">
      <w:marLeft w:val="0"/>
      <w:marRight w:val="0"/>
      <w:marTop w:val="0"/>
      <w:marBottom w:val="0"/>
      <w:divBdr>
        <w:top w:val="none" w:sz="0" w:space="0" w:color="auto"/>
        <w:left w:val="none" w:sz="0" w:space="0" w:color="auto"/>
        <w:bottom w:val="none" w:sz="0" w:space="0" w:color="auto"/>
        <w:right w:val="none" w:sz="0" w:space="0" w:color="auto"/>
      </w:divBdr>
    </w:div>
    <w:div w:id="1948004766">
      <w:marLeft w:val="0"/>
      <w:marRight w:val="0"/>
      <w:marTop w:val="0"/>
      <w:marBottom w:val="0"/>
      <w:divBdr>
        <w:top w:val="none" w:sz="0" w:space="0" w:color="auto"/>
        <w:left w:val="none" w:sz="0" w:space="0" w:color="auto"/>
        <w:bottom w:val="none" w:sz="0" w:space="0" w:color="auto"/>
        <w:right w:val="none" w:sz="0" w:space="0" w:color="auto"/>
      </w:divBdr>
    </w:div>
    <w:div w:id="1948004772">
      <w:marLeft w:val="0"/>
      <w:marRight w:val="0"/>
      <w:marTop w:val="0"/>
      <w:marBottom w:val="0"/>
      <w:divBdr>
        <w:top w:val="none" w:sz="0" w:space="0" w:color="auto"/>
        <w:left w:val="none" w:sz="0" w:space="0" w:color="auto"/>
        <w:bottom w:val="none" w:sz="0" w:space="0" w:color="auto"/>
        <w:right w:val="none" w:sz="0" w:space="0" w:color="auto"/>
      </w:divBdr>
      <w:divsChild>
        <w:div w:id="1948004774">
          <w:marLeft w:val="0"/>
          <w:marRight w:val="0"/>
          <w:marTop w:val="0"/>
          <w:marBottom w:val="0"/>
          <w:divBdr>
            <w:top w:val="none" w:sz="0" w:space="0" w:color="auto"/>
            <w:left w:val="none" w:sz="0" w:space="0" w:color="auto"/>
            <w:bottom w:val="none" w:sz="0" w:space="0" w:color="auto"/>
            <w:right w:val="none" w:sz="0" w:space="0" w:color="auto"/>
          </w:divBdr>
          <w:divsChild>
            <w:div w:id="1948004799">
              <w:marLeft w:val="0"/>
              <w:marRight w:val="0"/>
              <w:marTop w:val="0"/>
              <w:marBottom w:val="0"/>
              <w:divBdr>
                <w:top w:val="single" w:sz="6" w:space="0" w:color="333333"/>
                <w:left w:val="single" w:sz="6" w:space="0" w:color="333333"/>
                <w:bottom w:val="single" w:sz="6" w:space="0" w:color="333333"/>
                <w:right w:val="single" w:sz="6" w:space="0" w:color="333333"/>
              </w:divBdr>
              <w:divsChild>
                <w:div w:id="1948004778">
                  <w:marLeft w:val="0"/>
                  <w:marRight w:val="0"/>
                  <w:marTop w:val="0"/>
                  <w:marBottom w:val="0"/>
                  <w:divBdr>
                    <w:top w:val="none" w:sz="0" w:space="0" w:color="auto"/>
                    <w:left w:val="none" w:sz="0" w:space="0" w:color="auto"/>
                    <w:bottom w:val="none" w:sz="0" w:space="0" w:color="auto"/>
                    <w:right w:val="none" w:sz="0" w:space="0" w:color="auto"/>
                  </w:divBdr>
                  <w:divsChild>
                    <w:div w:id="1948004771">
                      <w:marLeft w:val="0"/>
                      <w:marRight w:val="0"/>
                      <w:marTop w:val="0"/>
                      <w:marBottom w:val="0"/>
                      <w:divBdr>
                        <w:top w:val="none" w:sz="0" w:space="0" w:color="auto"/>
                        <w:left w:val="none" w:sz="0" w:space="0" w:color="auto"/>
                        <w:bottom w:val="none" w:sz="0" w:space="0" w:color="auto"/>
                        <w:right w:val="none" w:sz="0" w:space="0" w:color="auto"/>
                      </w:divBdr>
                      <w:divsChild>
                        <w:div w:id="1948004791">
                          <w:marLeft w:val="0"/>
                          <w:marRight w:val="0"/>
                          <w:marTop w:val="0"/>
                          <w:marBottom w:val="0"/>
                          <w:divBdr>
                            <w:top w:val="none" w:sz="0" w:space="0" w:color="auto"/>
                            <w:left w:val="none" w:sz="0" w:space="0" w:color="auto"/>
                            <w:bottom w:val="none" w:sz="0" w:space="0" w:color="auto"/>
                            <w:right w:val="none" w:sz="0" w:space="0" w:color="auto"/>
                          </w:divBdr>
                          <w:divsChild>
                            <w:div w:id="1948004739">
                              <w:marLeft w:val="1"/>
                              <w:marRight w:val="1"/>
                              <w:marTop w:val="120"/>
                              <w:marBottom w:val="120"/>
                              <w:divBdr>
                                <w:top w:val="none" w:sz="0" w:space="0" w:color="auto"/>
                                <w:left w:val="none" w:sz="0" w:space="0" w:color="auto"/>
                                <w:bottom w:val="none" w:sz="0" w:space="0" w:color="auto"/>
                                <w:right w:val="none" w:sz="0" w:space="0" w:color="auto"/>
                              </w:divBdr>
                              <w:divsChild>
                                <w:div w:id="1948004709">
                                  <w:marLeft w:val="0"/>
                                  <w:marRight w:val="0"/>
                                  <w:marTop w:val="0"/>
                                  <w:marBottom w:val="0"/>
                                  <w:divBdr>
                                    <w:top w:val="none" w:sz="0" w:space="0" w:color="auto"/>
                                    <w:left w:val="none" w:sz="0" w:space="0" w:color="auto"/>
                                    <w:bottom w:val="none" w:sz="0" w:space="0" w:color="auto"/>
                                    <w:right w:val="none" w:sz="0" w:space="0" w:color="auto"/>
                                  </w:divBdr>
                                  <w:divsChild>
                                    <w:div w:id="1948004738">
                                      <w:marLeft w:val="0"/>
                                      <w:marRight w:val="0"/>
                                      <w:marTop w:val="0"/>
                                      <w:marBottom w:val="0"/>
                                      <w:divBdr>
                                        <w:top w:val="none" w:sz="0" w:space="0" w:color="auto"/>
                                        <w:left w:val="none" w:sz="0" w:space="0" w:color="auto"/>
                                        <w:bottom w:val="none" w:sz="0" w:space="0" w:color="auto"/>
                                        <w:right w:val="none" w:sz="0" w:space="0" w:color="auto"/>
                                      </w:divBdr>
                                      <w:divsChild>
                                        <w:div w:id="1948004710">
                                          <w:marLeft w:val="4"/>
                                          <w:marRight w:val="0"/>
                                          <w:marTop w:val="0"/>
                                          <w:marBottom w:val="0"/>
                                          <w:divBdr>
                                            <w:top w:val="none" w:sz="0" w:space="0" w:color="auto"/>
                                            <w:left w:val="none" w:sz="0" w:space="0" w:color="auto"/>
                                            <w:bottom w:val="none" w:sz="0" w:space="0" w:color="auto"/>
                                            <w:right w:val="none" w:sz="0" w:space="0" w:color="auto"/>
                                          </w:divBdr>
                                          <w:divsChild>
                                            <w:div w:id="1948004804">
                                              <w:marLeft w:val="0"/>
                                              <w:marRight w:val="0"/>
                                              <w:marTop w:val="0"/>
                                              <w:marBottom w:val="0"/>
                                              <w:divBdr>
                                                <w:top w:val="none" w:sz="0" w:space="0" w:color="auto"/>
                                                <w:left w:val="none" w:sz="0" w:space="0" w:color="auto"/>
                                                <w:bottom w:val="none" w:sz="0" w:space="0" w:color="auto"/>
                                                <w:right w:val="none" w:sz="0" w:space="0" w:color="auto"/>
                                              </w:divBdr>
                                            </w:div>
                                          </w:divsChild>
                                        </w:div>
                                        <w:div w:id="1948004711">
                                          <w:marLeft w:val="4"/>
                                          <w:marRight w:val="0"/>
                                          <w:marTop w:val="0"/>
                                          <w:marBottom w:val="0"/>
                                          <w:divBdr>
                                            <w:top w:val="none" w:sz="0" w:space="0" w:color="auto"/>
                                            <w:left w:val="none" w:sz="0" w:space="0" w:color="auto"/>
                                            <w:bottom w:val="none" w:sz="0" w:space="0" w:color="auto"/>
                                            <w:right w:val="none" w:sz="0" w:space="0" w:color="auto"/>
                                          </w:divBdr>
                                          <w:divsChild>
                                            <w:div w:id="1948004712">
                                              <w:marLeft w:val="0"/>
                                              <w:marRight w:val="0"/>
                                              <w:marTop w:val="0"/>
                                              <w:marBottom w:val="0"/>
                                              <w:divBdr>
                                                <w:top w:val="none" w:sz="0" w:space="0" w:color="auto"/>
                                                <w:left w:val="none" w:sz="0" w:space="0" w:color="auto"/>
                                                <w:bottom w:val="none" w:sz="0" w:space="0" w:color="auto"/>
                                                <w:right w:val="none" w:sz="0" w:space="0" w:color="auto"/>
                                              </w:divBdr>
                                            </w:div>
                                          </w:divsChild>
                                        </w:div>
                                        <w:div w:id="1948004734">
                                          <w:marLeft w:val="4"/>
                                          <w:marRight w:val="0"/>
                                          <w:marTop w:val="0"/>
                                          <w:marBottom w:val="0"/>
                                          <w:divBdr>
                                            <w:top w:val="none" w:sz="0" w:space="0" w:color="auto"/>
                                            <w:left w:val="none" w:sz="0" w:space="0" w:color="auto"/>
                                            <w:bottom w:val="none" w:sz="0" w:space="0" w:color="auto"/>
                                            <w:right w:val="none" w:sz="0" w:space="0" w:color="auto"/>
                                          </w:divBdr>
                                          <w:divsChild>
                                            <w:div w:id="1948004783">
                                              <w:marLeft w:val="0"/>
                                              <w:marRight w:val="0"/>
                                              <w:marTop w:val="0"/>
                                              <w:marBottom w:val="0"/>
                                              <w:divBdr>
                                                <w:top w:val="none" w:sz="0" w:space="0" w:color="auto"/>
                                                <w:left w:val="none" w:sz="0" w:space="0" w:color="auto"/>
                                                <w:bottom w:val="none" w:sz="0" w:space="0" w:color="auto"/>
                                                <w:right w:val="none" w:sz="0" w:space="0" w:color="auto"/>
                                              </w:divBdr>
                                            </w:div>
                                          </w:divsChild>
                                        </w:div>
                                        <w:div w:id="1948004748">
                                          <w:marLeft w:val="4"/>
                                          <w:marRight w:val="0"/>
                                          <w:marTop w:val="0"/>
                                          <w:marBottom w:val="0"/>
                                          <w:divBdr>
                                            <w:top w:val="none" w:sz="0" w:space="0" w:color="auto"/>
                                            <w:left w:val="none" w:sz="0" w:space="0" w:color="auto"/>
                                            <w:bottom w:val="none" w:sz="0" w:space="0" w:color="auto"/>
                                            <w:right w:val="none" w:sz="0" w:space="0" w:color="auto"/>
                                          </w:divBdr>
                                          <w:divsChild>
                                            <w:div w:id="1948004715">
                                              <w:marLeft w:val="0"/>
                                              <w:marRight w:val="0"/>
                                              <w:marTop w:val="0"/>
                                              <w:marBottom w:val="0"/>
                                              <w:divBdr>
                                                <w:top w:val="none" w:sz="0" w:space="0" w:color="auto"/>
                                                <w:left w:val="none" w:sz="0" w:space="0" w:color="auto"/>
                                                <w:bottom w:val="none" w:sz="0" w:space="0" w:color="auto"/>
                                                <w:right w:val="none" w:sz="0" w:space="0" w:color="auto"/>
                                              </w:divBdr>
                                            </w:div>
                                          </w:divsChild>
                                        </w:div>
                                        <w:div w:id="1948004755">
                                          <w:marLeft w:val="4"/>
                                          <w:marRight w:val="0"/>
                                          <w:marTop w:val="0"/>
                                          <w:marBottom w:val="0"/>
                                          <w:divBdr>
                                            <w:top w:val="none" w:sz="0" w:space="0" w:color="auto"/>
                                            <w:left w:val="none" w:sz="0" w:space="0" w:color="auto"/>
                                            <w:bottom w:val="none" w:sz="0" w:space="0" w:color="auto"/>
                                            <w:right w:val="none" w:sz="0" w:space="0" w:color="auto"/>
                                          </w:divBdr>
                                          <w:divsChild>
                                            <w:div w:id="1948004716">
                                              <w:marLeft w:val="4"/>
                                              <w:marRight w:val="0"/>
                                              <w:marTop w:val="0"/>
                                              <w:marBottom w:val="0"/>
                                              <w:divBdr>
                                                <w:top w:val="none" w:sz="0" w:space="0" w:color="auto"/>
                                                <w:left w:val="none" w:sz="0" w:space="0" w:color="auto"/>
                                                <w:bottom w:val="none" w:sz="0" w:space="0" w:color="auto"/>
                                                <w:right w:val="none" w:sz="0" w:space="0" w:color="auto"/>
                                              </w:divBdr>
                                              <w:divsChild>
                                                <w:div w:id="1948004736">
                                                  <w:marLeft w:val="4"/>
                                                  <w:marRight w:val="0"/>
                                                  <w:marTop w:val="0"/>
                                                  <w:marBottom w:val="0"/>
                                                  <w:divBdr>
                                                    <w:top w:val="none" w:sz="0" w:space="0" w:color="auto"/>
                                                    <w:left w:val="none" w:sz="0" w:space="0" w:color="auto"/>
                                                    <w:bottom w:val="none" w:sz="0" w:space="0" w:color="auto"/>
                                                    <w:right w:val="none" w:sz="0" w:space="0" w:color="auto"/>
                                                  </w:divBdr>
                                                </w:div>
                                                <w:div w:id="1948004768">
                                                  <w:marLeft w:val="0"/>
                                                  <w:marRight w:val="0"/>
                                                  <w:marTop w:val="0"/>
                                                  <w:marBottom w:val="0"/>
                                                  <w:divBdr>
                                                    <w:top w:val="none" w:sz="0" w:space="0" w:color="auto"/>
                                                    <w:left w:val="none" w:sz="0" w:space="0" w:color="auto"/>
                                                    <w:bottom w:val="none" w:sz="0" w:space="0" w:color="auto"/>
                                                    <w:right w:val="none" w:sz="0" w:space="0" w:color="auto"/>
                                                  </w:divBdr>
                                                </w:div>
                                                <w:div w:id="1948004781">
                                                  <w:marLeft w:val="4"/>
                                                  <w:marRight w:val="0"/>
                                                  <w:marTop w:val="0"/>
                                                  <w:marBottom w:val="0"/>
                                                  <w:divBdr>
                                                    <w:top w:val="none" w:sz="0" w:space="0" w:color="auto"/>
                                                    <w:left w:val="none" w:sz="0" w:space="0" w:color="auto"/>
                                                    <w:bottom w:val="none" w:sz="0" w:space="0" w:color="auto"/>
                                                    <w:right w:val="none" w:sz="0" w:space="0" w:color="auto"/>
                                                  </w:divBdr>
                                                </w:div>
                                              </w:divsChild>
                                            </w:div>
                                            <w:div w:id="1948004727">
                                              <w:marLeft w:val="4"/>
                                              <w:marRight w:val="0"/>
                                              <w:marTop w:val="0"/>
                                              <w:marBottom w:val="0"/>
                                              <w:divBdr>
                                                <w:top w:val="none" w:sz="0" w:space="0" w:color="auto"/>
                                                <w:left w:val="none" w:sz="0" w:space="0" w:color="auto"/>
                                                <w:bottom w:val="none" w:sz="0" w:space="0" w:color="auto"/>
                                                <w:right w:val="none" w:sz="0" w:space="0" w:color="auto"/>
                                              </w:divBdr>
                                            </w:div>
                                            <w:div w:id="1948004742">
                                              <w:marLeft w:val="0"/>
                                              <w:marRight w:val="0"/>
                                              <w:marTop w:val="0"/>
                                              <w:marBottom w:val="0"/>
                                              <w:divBdr>
                                                <w:top w:val="none" w:sz="0" w:space="0" w:color="auto"/>
                                                <w:left w:val="none" w:sz="0" w:space="0" w:color="auto"/>
                                                <w:bottom w:val="none" w:sz="0" w:space="0" w:color="auto"/>
                                                <w:right w:val="none" w:sz="0" w:space="0" w:color="auto"/>
                                              </w:divBdr>
                                            </w:div>
                                            <w:div w:id="1948004743">
                                              <w:marLeft w:val="4"/>
                                              <w:marRight w:val="0"/>
                                              <w:marTop w:val="0"/>
                                              <w:marBottom w:val="0"/>
                                              <w:divBdr>
                                                <w:top w:val="none" w:sz="0" w:space="0" w:color="auto"/>
                                                <w:left w:val="none" w:sz="0" w:space="0" w:color="auto"/>
                                                <w:bottom w:val="none" w:sz="0" w:space="0" w:color="auto"/>
                                                <w:right w:val="none" w:sz="0" w:space="0" w:color="auto"/>
                                              </w:divBdr>
                                            </w:div>
                                            <w:div w:id="1948004744">
                                              <w:marLeft w:val="4"/>
                                              <w:marRight w:val="0"/>
                                              <w:marTop w:val="0"/>
                                              <w:marBottom w:val="0"/>
                                              <w:divBdr>
                                                <w:top w:val="none" w:sz="0" w:space="0" w:color="auto"/>
                                                <w:left w:val="none" w:sz="0" w:space="0" w:color="auto"/>
                                                <w:bottom w:val="none" w:sz="0" w:space="0" w:color="auto"/>
                                                <w:right w:val="none" w:sz="0" w:space="0" w:color="auto"/>
                                              </w:divBdr>
                                            </w:div>
                                            <w:div w:id="1948004745">
                                              <w:marLeft w:val="4"/>
                                              <w:marRight w:val="0"/>
                                              <w:marTop w:val="0"/>
                                              <w:marBottom w:val="0"/>
                                              <w:divBdr>
                                                <w:top w:val="none" w:sz="0" w:space="0" w:color="auto"/>
                                                <w:left w:val="none" w:sz="0" w:space="0" w:color="auto"/>
                                                <w:bottom w:val="none" w:sz="0" w:space="0" w:color="auto"/>
                                                <w:right w:val="none" w:sz="0" w:space="0" w:color="auto"/>
                                              </w:divBdr>
                                            </w:div>
                                            <w:div w:id="1948004746">
                                              <w:marLeft w:val="4"/>
                                              <w:marRight w:val="0"/>
                                              <w:marTop w:val="0"/>
                                              <w:marBottom w:val="0"/>
                                              <w:divBdr>
                                                <w:top w:val="none" w:sz="0" w:space="0" w:color="auto"/>
                                                <w:left w:val="none" w:sz="0" w:space="0" w:color="auto"/>
                                                <w:bottom w:val="none" w:sz="0" w:space="0" w:color="auto"/>
                                                <w:right w:val="none" w:sz="0" w:space="0" w:color="auto"/>
                                              </w:divBdr>
                                            </w:div>
                                            <w:div w:id="1948004758">
                                              <w:marLeft w:val="4"/>
                                              <w:marRight w:val="0"/>
                                              <w:marTop w:val="0"/>
                                              <w:marBottom w:val="0"/>
                                              <w:divBdr>
                                                <w:top w:val="none" w:sz="0" w:space="0" w:color="auto"/>
                                                <w:left w:val="none" w:sz="0" w:space="0" w:color="auto"/>
                                                <w:bottom w:val="none" w:sz="0" w:space="0" w:color="auto"/>
                                                <w:right w:val="none" w:sz="0" w:space="0" w:color="auto"/>
                                              </w:divBdr>
                                            </w:div>
                                            <w:div w:id="1948004803">
                                              <w:marLeft w:val="4"/>
                                              <w:marRight w:val="0"/>
                                              <w:marTop w:val="0"/>
                                              <w:marBottom w:val="0"/>
                                              <w:divBdr>
                                                <w:top w:val="none" w:sz="0" w:space="0" w:color="auto"/>
                                                <w:left w:val="none" w:sz="0" w:space="0" w:color="auto"/>
                                                <w:bottom w:val="none" w:sz="0" w:space="0" w:color="auto"/>
                                                <w:right w:val="none" w:sz="0" w:space="0" w:color="auto"/>
                                              </w:divBdr>
                                            </w:div>
                                          </w:divsChild>
                                        </w:div>
                                        <w:div w:id="1948004763">
                                          <w:marLeft w:val="4"/>
                                          <w:marRight w:val="0"/>
                                          <w:marTop w:val="0"/>
                                          <w:marBottom w:val="0"/>
                                          <w:divBdr>
                                            <w:top w:val="none" w:sz="0" w:space="0" w:color="auto"/>
                                            <w:left w:val="none" w:sz="0" w:space="0" w:color="auto"/>
                                            <w:bottom w:val="none" w:sz="0" w:space="0" w:color="auto"/>
                                            <w:right w:val="none" w:sz="0" w:space="0" w:color="auto"/>
                                          </w:divBdr>
                                          <w:divsChild>
                                            <w:div w:id="1948004740">
                                              <w:marLeft w:val="4"/>
                                              <w:marRight w:val="0"/>
                                              <w:marTop w:val="0"/>
                                              <w:marBottom w:val="0"/>
                                              <w:divBdr>
                                                <w:top w:val="none" w:sz="0" w:space="0" w:color="auto"/>
                                                <w:left w:val="none" w:sz="0" w:space="0" w:color="auto"/>
                                                <w:bottom w:val="none" w:sz="0" w:space="0" w:color="auto"/>
                                                <w:right w:val="none" w:sz="0" w:space="0" w:color="auto"/>
                                              </w:divBdr>
                                            </w:div>
                                            <w:div w:id="1948004747">
                                              <w:marLeft w:val="4"/>
                                              <w:marRight w:val="0"/>
                                              <w:marTop w:val="0"/>
                                              <w:marBottom w:val="0"/>
                                              <w:divBdr>
                                                <w:top w:val="none" w:sz="0" w:space="0" w:color="auto"/>
                                                <w:left w:val="none" w:sz="0" w:space="0" w:color="auto"/>
                                                <w:bottom w:val="none" w:sz="0" w:space="0" w:color="auto"/>
                                                <w:right w:val="none" w:sz="0" w:space="0" w:color="auto"/>
                                              </w:divBdr>
                                            </w:div>
                                          </w:divsChild>
                                        </w:div>
                                        <w:div w:id="1948004764">
                                          <w:marLeft w:val="4"/>
                                          <w:marRight w:val="0"/>
                                          <w:marTop w:val="0"/>
                                          <w:marBottom w:val="0"/>
                                          <w:divBdr>
                                            <w:top w:val="none" w:sz="0" w:space="0" w:color="auto"/>
                                            <w:left w:val="none" w:sz="0" w:space="0" w:color="auto"/>
                                            <w:bottom w:val="none" w:sz="0" w:space="0" w:color="auto"/>
                                            <w:right w:val="none" w:sz="0" w:space="0" w:color="auto"/>
                                          </w:divBdr>
                                          <w:divsChild>
                                            <w:div w:id="1948004728">
                                              <w:marLeft w:val="4"/>
                                              <w:marRight w:val="0"/>
                                              <w:marTop w:val="0"/>
                                              <w:marBottom w:val="0"/>
                                              <w:divBdr>
                                                <w:top w:val="none" w:sz="0" w:space="0" w:color="auto"/>
                                                <w:left w:val="none" w:sz="0" w:space="0" w:color="auto"/>
                                                <w:bottom w:val="none" w:sz="0" w:space="0" w:color="auto"/>
                                                <w:right w:val="none" w:sz="0" w:space="0" w:color="auto"/>
                                              </w:divBdr>
                                            </w:div>
                                            <w:div w:id="1948004750">
                                              <w:marLeft w:val="4"/>
                                              <w:marRight w:val="0"/>
                                              <w:marTop w:val="0"/>
                                              <w:marBottom w:val="0"/>
                                              <w:divBdr>
                                                <w:top w:val="none" w:sz="0" w:space="0" w:color="auto"/>
                                                <w:left w:val="none" w:sz="0" w:space="0" w:color="auto"/>
                                                <w:bottom w:val="none" w:sz="0" w:space="0" w:color="auto"/>
                                                <w:right w:val="none" w:sz="0" w:space="0" w:color="auto"/>
                                              </w:divBdr>
                                            </w:div>
                                            <w:div w:id="1948004773">
                                              <w:marLeft w:val="4"/>
                                              <w:marRight w:val="0"/>
                                              <w:marTop w:val="0"/>
                                              <w:marBottom w:val="0"/>
                                              <w:divBdr>
                                                <w:top w:val="none" w:sz="0" w:space="0" w:color="auto"/>
                                                <w:left w:val="none" w:sz="0" w:space="0" w:color="auto"/>
                                                <w:bottom w:val="none" w:sz="0" w:space="0" w:color="auto"/>
                                                <w:right w:val="none" w:sz="0" w:space="0" w:color="auto"/>
                                              </w:divBdr>
                                              <w:divsChild>
                                                <w:div w:id="1948004725">
                                                  <w:marLeft w:val="4"/>
                                                  <w:marRight w:val="0"/>
                                                  <w:marTop w:val="0"/>
                                                  <w:marBottom w:val="0"/>
                                                  <w:divBdr>
                                                    <w:top w:val="none" w:sz="0" w:space="0" w:color="auto"/>
                                                    <w:left w:val="none" w:sz="0" w:space="0" w:color="auto"/>
                                                    <w:bottom w:val="none" w:sz="0" w:space="0" w:color="auto"/>
                                                    <w:right w:val="none" w:sz="0" w:space="0" w:color="auto"/>
                                                  </w:divBdr>
                                                </w:div>
                                                <w:div w:id="1948004735">
                                                  <w:marLeft w:val="4"/>
                                                  <w:marRight w:val="0"/>
                                                  <w:marTop w:val="0"/>
                                                  <w:marBottom w:val="0"/>
                                                  <w:divBdr>
                                                    <w:top w:val="none" w:sz="0" w:space="0" w:color="auto"/>
                                                    <w:left w:val="none" w:sz="0" w:space="0" w:color="auto"/>
                                                    <w:bottom w:val="none" w:sz="0" w:space="0" w:color="auto"/>
                                                    <w:right w:val="none" w:sz="0" w:space="0" w:color="auto"/>
                                                  </w:divBdr>
                                                </w:div>
                                                <w:div w:id="1948004752">
                                                  <w:marLeft w:val="4"/>
                                                  <w:marRight w:val="0"/>
                                                  <w:marTop w:val="0"/>
                                                  <w:marBottom w:val="0"/>
                                                  <w:divBdr>
                                                    <w:top w:val="none" w:sz="0" w:space="0" w:color="auto"/>
                                                    <w:left w:val="none" w:sz="0" w:space="0" w:color="auto"/>
                                                    <w:bottom w:val="none" w:sz="0" w:space="0" w:color="auto"/>
                                                    <w:right w:val="none" w:sz="0" w:space="0" w:color="auto"/>
                                                  </w:divBdr>
                                                </w:div>
                                                <w:div w:id="1948004806">
                                                  <w:marLeft w:val="0"/>
                                                  <w:marRight w:val="0"/>
                                                  <w:marTop w:val="0"/>
                                                  <w:marBottom w:val="0"/>
                                                  <w:divBdr>
                                                    <w:top w:val="none" w:sz="0" w:space="0" w:color="auto"/>
                                                    <w:left w:val="none" w:sz="0" w:space="0" w:color="auto"/>
                                                    <w:bottom w:val="none" w:sz="0" w:space="0" w:color="auto"/>
                                                    <w:right w:val="none" w:sz="0" w:space="0" w:color="auto"/>
                                                  </w:divBdr>
                                                </w:div>
                                              </w:divsChild>
                                            </w:div>
                                            <w:div w:id="1948004776">
                                              <w:marLeft w:val="4"/>
                                              <w:marRight w:val="0"/>
                                              <w:marTop w:val="0"/>
                                              <w:marBottom w:val="0"/>
                                              <w:divBdr>
                                                <w:top w:val="none" w:sz="0" w:space="0" w:color="auto"/>
                                                <w:left w:val="none" w:sz="0" w:space="0" w:color="auto"/>
                                                <w:bottom w:val="none" w:sz="0" w:space="0" w:color="auto"/>
                                                <w:right w:val="none" w:sz="0" w:space="0" w:color="auto"/>
                                              </w:divBdr>
                                            </w:div>
                                            <w:div w:id="1948004777">
                                              <w:marLeft w:val="4"/>
                                              <w:marRight w:val="0"/>
                                              <w:marTop w:val="0"/>
                                              <w:marBottom w:val="0"/>
                                              <w:divBdr>
                                                <w:top w:val="none" w:sz="0" w:space="0" w:color="auto"/>
                                                <w:left w:val="none" w:sz="0" w:space="0" w:color="auto"/>
                                                <w:bottom w:val="none" w:sz="0" w:space="0" w:color="auto"/>
                                                <w:right w:val="none" w:sz="0" w:space="0" w:color="auto"/>
                                              </w:divBdr>
                                            </w:div>
                                            <w:div w:id="1948004784">
                                              <w:marLeft w:val="4"/>
                                              <w:marRight w:val="0"/>
                                              <w:marTop w:val="0"/>
                                              <w:marBottom w:val="0"/>
                                              <w:divBdr>
                                                <w:top w:val="none" w:sz="0" w:space="0" w:color="auto"/>
                                                <w:left w:val="none" w:sz="0" w:space="0" w:color="auto"/>
                                                <w:bottom w:val="none" w:sz="0" w:space="0" w:color="auto"/>
                                                <w:right w:val="none" w:sz="0" w:space="0" w:color="auto"/>
                                              </w:divBdr>
                                            </w:div>
                                          </w:divsChild>
                                        </w:div>
                                        <w:div w:id="1948004767">
                                          <w:marLeft w:val="4"/>
                                          <w:marRight w:val="0"/>
                                          <w:marTop w:val="0"/>
                                          <w:marBottom w:val="0"/>
                                          <w:divBdr>
                                            <w:top w:val="none" w:sz="0" w:space="0" w:color="auto"/>
                                            <w:left w:val="none" w:sz="0" w:space="0" w:color="auto"/>
                                            <w:bottom w:val="none" w:sz="0" w:space="0" w:color="auto"/>
                                            <w:right w:val="none" w:sz="0" w:space="0" w:color="auto"/>
                                          </w:divBdr>
                                          <w:divsChild>
                                            <w:div w:id="1948004721">
                                              <w:marLeft w:val="4"/>
                                              <w:marRight w:val="0"/>
                                              <w:marTop w:val="0"/>
                                              <w:marBottom w:val="0"/>
                                              <w:divBdr>
                                                <w:top w:val="none" w:sz="0" w:space="0" w:color="auto"/>
                                                <w:left w:val="none" w:sz="0" w:space="0" w:color="auto"/>
                                                <w:bottom w:val="none" w:sz="0" w:space="0" w:color="auto"/>
                                                <w:right w:val="none" w:sz="0" w:space="0" w:color="auto"/>
                                              </w:divBdr>
                                            </w:div>
                                            <w:div w:id="1948004770">
                                              <w:marLeft w:val="4"/>
                                              <w:marRight w:val="0"/>
                                              <w:marTop w:val="0"/>
                                              <w:marBottom w:val="0"/>
                                              <w:divBdr>
                                                <w:top w:val="none" w:sz="0" w:space="0" w:color="auto"/>
                                                <w:left w:val="none" w:sz="0" w:space="0" w:color="auto"/>
                                                <w:bottom w:val="none" w:sz="0" w:space="0" w:color="auto"/>
                                                <w:right w:val="none" w:sz="0" w:space="0" w:color="auto"/>
                                              </w:divBdr>
                                              <w:divsChild>
                                                <w:div w:id="1948004724">
                                                  <w:marLeft w:val="4"/>
                                                  <w:marRight w:val="0"/>
                                                  <w:marTop w:val="0"/>
                                                  <w:marBottom w:val="0"/>
                                                  <w:divBdr>
                                                    <w:top w:val="none" w:sz="0" w:space="0" w:color="auto"/>
                                                    <w:left w:val="none" w:sz="0" w:space="0" w:color="auto"/>
                                                    <w:bottom w:val="none" w:sz="0" w:space="0" w:color="auto"/>
                                                    <w:right w:val="none" w:sz="0" w:space="0" w:color="auto"/>
                                                  </w:divBdr>
                                                </w:div>
                                                <w:div w:id="1948004789">
                                                  <w:marLeft w:val="4"/>
                                                  <w:marRight w:val="0"/>
                                                  <w:marTop w:val="0"/>
                                                  <w:marBottom w:val="0"/>
                                                  <w:divBdr>
                                                    <w:top w:val="none" w:sz="0" w:space="0" w:color="auto"/>
                                                    <w:left w:val="none" w:sz="0" w:space="0" w:color="auto"/>
                                                    <w:bottom w:val="none" w:sz="0" w:space="0" w:color="auto"/>
                                                    <w:right w:val="none" w:sz="0" w:space="0" w:color="auto"/>
                                                  </w:divBdr>
                                                </w:div>
                                                <w:div w:id="1948004790">
                                                  <w:marLeft w:val="4"/>
                                                  <w:marRight w:val="0"/>
                                                  <w:marTop w:val="0"/>
                                                  <w:marBottom w:val="0"/>
                                                  <w:divBdr>
                                                    <w:top w:val="none" w:sz="0" w:space="0" w:color="auto"/>
                                                    <w:left w:val="none" w:sz="0" w:space="0" w:color="auto"/>
                                                    <w:bottom w:val="none" w:sz="0" w:space="0" w:color="auto"/>
                                                    <w:right w:val="none" w:sz="0" w:space="0" w:color="auto"/>
                                                  </w:divBdr>
                                                </w:div>
                                                <w:div w:id="1948004797">
                                                  <w:marLeft w:val="4"/>
                                                  <w:marRight w:val="0"/>
                                                  <w:marTop w:val="0"/>
                                                  <w:marBottom w:val="0"/>
                                                  <w:divBdr>
                                                    <w:top w:val="none" w:sz="0" w:space="0" w:color="auto"/>
                                                    <w:left w:val="none" w:sz="0" w:space="0" w:color="auto"/>
                                                    <w:bottom w:val="none" w:sz="0" w:space="0" w:color="auto"/>
                                                    <w:right w:val="none" w:sz="0" w:space="0" w:color="auto"/>
                                                  </w:divBdr>
                                                </w:div>
                                                <w:div w:id="1948004798">
                                                  <w:marLeft w:val="4"/>
                                                  <w:marRight w:val="0"/>
                                                  <w:marTop w:val="0"/>
                                                  <w:marBottom w:val="0"/>
                                                  <w:divBdr>
                                                    <w:top w:val="none" w:sz="0" w:space="0" w:color="auto"/>
                                                    <w:left w:val="none" w:sz="0" w:space="0" w:color="auto"/>
                                                    <w:bottom w:val="none" w:sz="0" w:space="0" w:color="auto"/>
                                                    <w:right w:val="none" w:sz="0" w:space="0" w:color="auto"/>
                                                  </w:divBdr>
                                                </w:div>
                                              </w:divsChild>
                                            </w:div>
                                            <w:div w:id="1948004793">
                                              <w:marLeft w:val="0"/>
                                              <w:marRight w:val="0"/>
                                              <w:marTop w:val="0"/>
                                              <w:marBottom w:val="0"/>
                                              <w:divBdr>
                                                <w:top w:val="none" w:sz="0" w:space="0" w:color="auto"/>
                                                <w:left w:val="none" w:sz="0" w:space="0" w:color="auto"/>
                                                <w:bottom w:val="none" w:sz="0" w:space="0" w:color="auto"/>
                                                <w:right w:val="none" w:sz="0" w:space="0" w:color="auto"/>
                                              </w:divBdr>
                                            </w:div>
                                          </w:divsChild>
                                        </w:div>
                                        <w:div w:id="1948004769">
                                          <w:marLeft w:val="4"/>
                                          <w:marRight w:val="0"/>
                                          <w:marTop w:val="0"/>
                                          <w:marBottom w:val="0"/>
                                          <w:divBdr>
                                            <w:top w:val="none" w:sz="0" w:space="0" w:color="auto"/>
                                            <w:left w:val="none" w:sz="0" w:space="0" w:color="auto"/>
                                            <w:bottom w:val="none" w:sz="0" w:space="0" w:color="auto"/>
                                            <w:right w:val="none" w:sz="0" w:space="0" w:color="auto"/>
                                          </w:divBdr>
                                          <w:divsChild>
                                            <w:div w:id="1948004718">
                                              <w:marLeft w:val="4"/>
                                              <w:marRight w:val="0"/>
                                              <w:marTop w:val="0"/>
                                              <w:marBottom w:val="0"/>
                                              <w:divBdr>
                                                <w:top w:val="none" w:sz="0" w:space="0" w:color="auto"/>
                                                <w:left w:val="none" w:sz="0" w:space="0" w:color="auto"/>
                                                <w:bottom w:val="none" w:sz="0" w:space="0" w:color="auto"/>
                                                <w:right w:val="none" w:sz="0" w:space="0" w:color="auto"/>
                                              </w:divBdr>
                                            </w:div>
                                            <w:div w:id="1948004737">
                                              <w:marLeft w:val="4"/>
                                              <w:marRight w:val="0"/>
                                              <w:marTop w:val="0"/>
                                              <w:marBottom w:val="0"/>
                                              <w:divBdr>
                                                <w:top w:val="none" w:sz="0" w:space="0" w:color="auto"/>
                                                <w:left w:val="none" w:sz="0" w:space="0" w:color="auto"/>
                                                <w:bottom w:val="none" w:sz="0" w:space="0" w:color="auto"/>
                                                <w:right w:val="none" w:sz="0" w:space="0" w:color="auto"/>
                                              </w:divBdr>
                                            </w:div>
                                            <w:div w:id="1948004749">
                                              <w:marLeft w:val="4"/>
                                              <w:marRight w:val="0"/>
                                              <w:marTop w:val="0"/>
                                              <w:marBottom w:val="0"/>
                                              <w:divBdr>
                                                <w:top w:val="none" w:sz="0" w:space="0" w:color="auto"/>
                                                <w:left w:val="none" w:sz="0" w:space="0" w:color="auto"/>
                                                <w:bottom w:val="none" w:sz="0" w:space="0" w:color="auto"/>
                                                <w:right w:val="none" w:sz="0" w:space="0" w:color="auto"/>
                                              </w:divBdr>
                                            </w:div>
                                            <w:div w:id="1948004754">
                                              <w:marLeft w:val="4"/>
                                              <w:marRight w:val="0"/>
                                              <w:marTop w:val="0"/>
                                              <w:marBottom w:val="0"/>
                                              <w:divBdr>
                                                <w:top w:val="none" w:sz="0" w:space="0" w:color="auto"/>
                                                <w:left w:val="none" w:sz="0" w:space="0" w:color="auto"/>
                                                <w:bottom w:val="none" w:sz="0" w:space="0" w:color="auto"/>
                                                <w:right w:val="none" w:sz="0" w:space="0" w:color="auto"/>
                                              </w:divBdr>
                                            </w:div>
                                            <w:div w:id="1948004787">
                                              <w:marLeft w:val="4"/>
                                              <w:marRight w:val="0"/>
                                              <w:marTop w:val="0"/>
                                              <w:marBottom w:val="0"/>
                                              <w:divBdr>
                                                <w:top w:val="none" w:sz="0" w:space="0" w:color="auto"/>
                                                <w:left w:val="none" w:sz="0" w:space="0" w:color="auto"/>
                                                <w:bottom w:val="none" w:sz="0" w:space="0" w:color="auto"/>
                                                <w:right w:val="none" w:sz="0" w:space="0" w:color="auto"/>
                                              </w:divBdr>
                                            </w:div>
                                          </w:divsChild>
                                        </w:div>
                                        <w:div w:id="1948004779">
                                          <w:marLeft w:val="4"/>
                                          <w:marRight w:val="0"/>
                                          <w:marTop w:val="0"/>
                                          <w:marBottom w:val="0"/>
                                          <w:divBdr>
                                            <w:top w:val="none" w:sz="0" w:space="0" w:color="auto"/>
                                            <w:left w:val="none" w:sz="0" w:space="0" w:color="auto"/>
                                            <w:bottom w:val="none" w:sz="0" w:space="0" w:color="auto"/>
                                            <w:right w:val="none" w:sz="0" w:space="0" w:color="auto"/>
                                          </w:divBdr>
                                          <w:divsChild>
                                            <w:div w:id="1948004802">
                                              <w:marLeft w:val="0"/>
                                              <w:marRight w:val="0"/>
                                              <w:marTop w:val="0"/>
                                              <w:marBottom w:val="0"/>
                                              <w:divBdr>
                                                <w:top w:val="none" w:sz="0" w:space="0" w:color="auto"/>
                                                <w:left w:val="none" w:sz="0" w:space="0" w:color="auto"/>
                                                <w:bottom w:val="none" w:sz="0" w:space="0" w:color="auto"/>
                                                <w:right w:val="none" w:sz="0" w:space="0" w:color="auto"/>
                                              </w:divBdr>
                                            </w:div>
                                          </w:divsChild>
                                        </w:div>
                                        <w:div w:id="1948004800">
                                          <w:marLeft w:val="4"/>
                                          <w:marRight w:val="0"/>
                                          <w:marTop w:val="0"/>
                                          <w:marBottom w:val="0"/>
                                          <w:divBdr>
                                            <w:top w:val="none" w:sz="0" w:space="0" w:color="auto"/>
                                            <w:left w:val="none" w:sz="0" w:space="0" w:color="auto"/>
                                            <w:bottom w:val="none" w:sz="0" w:space="0" w:color="auto"/>
                                            <w:right w:val="none" w:sz="0" w:space="0" w:color="auto"/>
                                          </w:divBdr>
                                          <w:divsChild>
                                            <w:div w:id="1948004714">
                                              <w:marLeft w:val="4"/>
                                              <w:marRight w:val="0"/>
                                              <w:marTop w:val="0"/>
                                              <w:marBottom w:val="0"/>
                                              <w:divBdr>
                                                <w:top w:val="none" w:sz="0" w:space="0" w:color="auto"/>
                                                <w:left w:val="none" w:sz="0" w:space="0" w:color="auto"/>
                                                <w:bottom w:val="none" w:sz="0" w:space="0" w:color="auto"/>
                                                <w:right w:val="none" w:sz="0" w:space="0" w:color="auto"/>
                                              </w:divBdr>
                                            </w:div>
                                            <w:div w:id="1948004717">
                                              <w:marLeft w:val="4"/>
                                              <w:marRight w:val="0"/>
                                              <w:marTop w:val="0"/>
                                              <w:marBottom w:val="0"/>
                                              <w:divBdr>
                                                <w:top w:val="none" w:sz="0" w:space="0" w:color="auto"/>
                                                <w:left w:val="none" w:sz="0" w:space="0" w:color="auto"/>
                                                <w:bottom w:val="none" w:sz="0" w:space="0" w:color="auto"/>
                                                <w:right w:val="none" w:sz="0" w:space="0" w:color="auto"/>
                                              </w:divBdr>
                                            </w:div>
                                            <w:div w:id="1948004722">
                                              <w:marLeft w:val="4"/>
                                              <w:marRight w:val="0"/>
                                              <w:marTop w:val="0"/>
                                              <w:marBottom w:val="0"/>
                                              <w:divBdr>
                                                <w:top w:val="none" w:sz="0" w:space="0" w:color="auto"/>
                                                <w:left w:val="none" w:sz="0" w:space="0" w:color="auto"/>
                                                <w:bottom w:val="none" w:sz="0" w:space="0" w:color="auto"/>
                                                <w:right w:val="none" w:sz="0" w:space="0" w:color="auto"/>
                                              </w:divBdr>
                                              <w:divsChild>
                                                <w:div w:id="1948004719">
                                                  <w:marLeft w:val="4"/>
                                                  <w:marRight w:val="0"/>
                                                  <w:marTop w:val="0"/>
                                                  <w:marBottom w:val="0"/>
                                                  <w:divBdr>
                                                    <w:top w:val="none" w:sz="0" w:space="0" w:color="auto"/>
                                                    <w:left w:val="none" w:sz="0" w:space="0" w:color="auto"/>
                                                    <w:bottom w:val="none" w:sz="0" w:space="0" w:color="auto"/>
                                                    <w:right w:val="none" w:sz="0" w:space="0" w:color="auto"/>
                                                  </w:divBdr>
                                                  <w:divsChild>
                                                    <w:div w:id="1948004732">
                                                      <w:marLeft w:val="4"/>
                                                      <w:marRight w:val="0"/>
                                                      <w:marTop w:val="0"/>
                                                      <w:marBottom w:val="0"/>
                                                      <w:divBdr>
                                                        <w:top w:val="none" w:sz="0" w:space="0" w:color="auto"/>
                                                        <w:left w:val="none" w:sz="0" w:space="0" w:color="auto"/>
                                                        <w:bottom w:val="none" w:sz="0" w:space="0" w:color="auto"/>
                                                        <w:right w:val="none" w:sz="0" w:space="0" w:color="auto"/>
                                                      </w:divBdr>
                                                    </w:div>
                                                    <w:div w:id="1948004753">
                                                      <w:marLeft w:val="4"/>
                                                      <w:marRight w:val="0"/>
                                                      <w:marTop w:val="0"/>
                                                      <w:marBottom w:val="0"/>
                                                      <w:divBdr>
                                                        <w:top w:val="none" w:sz="0" w:space="0" w:color="auto"/>
                                                        <w:left w:val="none" w:sz="0" w:space="0" w:color="auto"/>
                                                        <w:bottom w:val="none" w:sz="0" w:space="0" w:color="auto"/>
                                                        <w:right w:val="none" w:sz="0" w:space="0" w:color="auto"/>
                                                      </w:divBdr>
                                                    </w:div>
                                                    <w:div w:id="1948004805">
                                                      <w:marLeft w:val="4"/>
                                                      <w:marRight w:val="0"/>
                                                      <w:marTop w:val="0"/>
                                                      <w:marBottom w:val="0"/>
                                                      <w:divBdr>
                                                        <w:top w:val="none" w:sz="0" w:space="0" w:color="auto"/>
                                                        <w:left w:val="none" w:sz="0" w:space="0" w:color="auto"/>
                                                        <w:bottom w:val="none" w:sz="0" w:space="0" w:color="auto"/>
                                                        <w:right w:val="none" w:sz="0" w:space="0" w:color="auto"/>
                                                      </w:divBdr>
                                                    </w:div>
                                                  </w:divsChild>
                                                </w:div>
                                                <w:div w:id="1948004751">
                                                  <w:marLeft w:val="4"/>
                                                  <w:marRight w:val="0"/>
                                                  <w:marTop w:val="0"/>
                                                  <w:marBottom w:val="0"/>
                                                  <w:divBdr>
                                                    <w:top w:val="none" w:sz="0" w:space="0" w:color="auto"/>
                                                    <w:left w:val="none" w:sz="0" w:space="0" w:color="auto"/>
                                                    <w:bottom w:val="none" w:sz="0" w:space="0" w:color="auto"/>
                                                    <w:right w:val="none" w:sz="0" w:space="0" w:color="auto"/>
                                                  </w:divBdr>
                                                </w:div>
                                                <w:div w:id="1948004760">
                                                  <w:marLeft w:val="4"/>
                                                  <w:marRight w:val="0"/>
                                                  <w:marTop w:val="0"/>
                                                  <w:marBottom w:val="0"/>
                                                  <w:divBdr>
                                                    <w:top w:val="none" w:sz="0" w:space="0" w:color="auto"/>
                                                    <w:left w:val="none" w:sz="0" w:space="0" w:color="auto"/>
                                                    <w:bottom w:val="none" w:sz="0" w:space="0" w:color="auto"/>
                                                    <w:right w:val="none" w:sz="0" w:space="0" w:color="auto"/>
                                                  </w:divBdr>
                                                </w:div>
                                                <w:div w:id="1948004807">
                                                  <w:marLeft w:val="0"/>
                                                  <w:marRight w:val="0"/>
                                                  <w:marTop w:val="0"/>
                                                  <w:marBottom w:val="0"/>
                                                  <w:divBdr>
                                                    <w:top w:val="none" w:sz="0" w:space="0" w:color="auto"/>
                                                    <w:left w:val="none" w:sz="0" w:space="0" w:color="auto"/>
                                                    <w:bottom w:val="none" w:sz="0" w:space="0" w:color="auto"/>
                                                    <w:right w:val="none" w:sz="0" w:space="0" w:color="auto"/>
                                                  </w:divBdr>
                                                </w:div>
                                              </w:divsChild>
                                            </w:div>
                                            <w:div w:id="1948004729">
                                              <w:marLeft w:val="4"/>
                                              <w:marRight w:val="0"/>
                                              <w:marTop w:val="0"/>
                                              <w:marBottom w:val="0"/>
                                              <w:divBdr>
                                                <w:top w:val="none" w:sz="0" w:space="0" w:color="auto"/>
                                                <w:left w:val="none" w:sz="0" w:space="0" w:color="auto"/>
                                                <w:bottom w:val="none" w:sz="0" w:space="0" w:color="auto"/>
                                                <w:right w:val="none" w:sz="0" w:space="0" w:color="auto"/>
                                              </w:divBdr>
                                              <w:divsChild>
                                                <w:div w:id="1948004788">
                                                  <w:marLeft w:val="4"/>
                                                  <w:marRight w:val="0"/>
                                                  <w:marTop w:val="0"/>
                                                  <w:marBottom w:val="0"/>
                                                  <w:divBdr>
                                                    <w:top w:val="none" w:sz="0" w:space="0" w:color="auto"/>
                                                    <w:left w:val="none" w:sz="0" w:space="0" w:color="auto"/>
                                                    <w:bottom w:val="none" w:sz="0" w:space="0" w:color="auto"/>
                                                    <w:right w:val="none" w:sz="0" w:space="0" w:color="auto"/>
                                                  </w:divBdr>
                                                </w:div>
                                                <w:div w:id="1948004796">
                                                  <w:marLeft w:val="4"/>
                                                  <w:marRight w:val="0"/>
                                                  <w:marTop w:val="0"/>
                                                  <w:marBottom w:val="0"/>
                                                  <w:divBdr>
                                                    <w:top w:val="none" w:sz="0" w:space="0" w:color="auto"/>
                                                    <w:left w:val="none" w:sz="0" w:space="0" w:color="auto"/>
                                                    <w:bottom w:val="none" w:sz="0" w:space="0" w:color="auto"/>
                                                    <w:right w:val="none" w:sz="0" w:space="0" w:color="auto"/>
                                                  </w:divBdr>
                                                </w:div>
                                              </w:divsChild>
                                            </w:div>
                                            <w:div w:id="1948004775">
                                              <w:marLeft w:val="4"/>
                                              <w:marRight w:val="0"/>
                                              <w:marTop w:val="0"/>
                                              <w:marBottom w:val="0"/>
                                              <w:divBdr>
                                                <w:top w:val="none" w:sz="0" w:space="0" w:color="auto"/>
                                                <w:left w:val="none" w:sz="0" w:space="0" w:color="auto"/>
                                                <w:bottom w:val="none" w:sz="0" w:space="0" w:color="auto"/>
                                                <w:right w:val="none" w:sz="0" w:space="0" w:color="auto"/>
                                              </w:divBdr>
                                            </w:div>
                                            <w:div w:id="1948004795">
                                              <w:marLeft w:val="4"/>
                                              <w:marRight w:val="0"/>
                                              <w:marTop w:val="0"/>
                                              <w:marBottom w:val="0"/>
                                              <w:divBdr>
                                                <w:top w:val="none" w:sz="0" w:space="0" w:color="auto"/>
                                                <w:left w:val="none" w:sz="0" w:space="0" w:color="auto"/>
                                                <w:bottom w:val="none" w:sz="0" w:space="0" w:color="auto"/>
                                                <w:right w:val="none" w:sz="0" w:space="0" w:color="auto"/>
                                              </w:divBdr>
                                            </w:div>
                                          </w:divsChild>
                                        </w:div>
                                      </w:divsChild>
                                    </w:div>
                                    <w:div w:id="1948004761">
                                      <w:marLeft w:val="0"/>
                                      <w:marRight w:val="0"/>
                                      <w:marTop w:val="0"/>
                                      <w:marBottom w:val="0"/>
                                      <w:divBdr>
                                        <w:top w:val="none" w:sz="0" w:space="0" w:color="auto"/>
                                        <w:left w:val="none" w:sz="0" w:space="0" w:color="auto"/>
                                        <w:bottom w:val="none" w:sz="0" w:space="0" w:color="auto"/>
                                        <w:right w:val="none" w:sz="0" w:space="0" w:color="auto"/>
                                      </w:divBdr>
                                      <w:divsChild>
                                        <w:div w:id="1948004723">
                                          <w:marLeft w:val="0"/>
                                          <w:marRight w:val="0"/>
                                          <w:marTop w:val="0"/>
                                          <w:marBottom w:val="0"/>
                                          <w:divBdr>
                                            <w:top w:val="none" w:sz="0" w:space="0" w:color="auto"/>
                                            <w:left w:val="none" w:sz="0" w:space="0" w:color="auto"/>
                                            <w:bottom w:val="none" w:sz="0" w:space="0" w:color="auto"/>
                                            <w:right w:val="none" w:sz="0" w:space="0" w:color="auto"/>
                                          </w:divBdr>
                                        </w:div>
                                        <w:div w:id="1948004782">
                                          <w:marLeft w:val="0"/>
                                          <w:marRight w:val="0"/>
                                          <w:marTop w:val="0"/>
                                          <w:marBottom w:val="2"/>
                                          <w:divBdr>
                                            <w:top w:val="none" w:sz="0" w:space="0" w:color="auto"/>
                                            <w:left w:val="none" w:sz="0" w:space="0" w:color="auto"/>
                                            <w:bottom w:val="none" w:sz="0" w:space="0" w:color="auto"/>
                                            <w:right w:val="none" w:sz="0" w:space="0" w:color="auto"/>
                                          </w:divBdr>
                                        </w:div>
                                      </w:divsChild>
                                    </w:div>
                                    <w:div w:id="1948004801">
                                      <w:marLeft w:val="0"/>
                                      <w:marRight w:val="0"/>
                                      <w:marTop w:val="0"/>
                                      <w:marBottom w:val="0"/>
                                      <w:divBdr>
                                        <w:top w:val="none" w:sz="0" w:space="0" w:color="auto"/>
                                        <w:left w:val="none" w:sz="0" w:space="0" w:color="auto"/>
                                        <w:bottom w:val="none" w:sz="0" w:space="0" w:color="auto"/>
                                        <w:right w:val="none" w:sz="0" w:space="0" w:color="auto"/>
                                      </w:divBdr>
                                      <w:divsChild>
                                        <w:div w:id="194800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8004785">
      <w:marLeft w:val="0"/>
      <w:marRight w:val="0"/>
      <w:marTop w:val="0"/>
      <w:marBottom w:val="0"/>
      <w:divBdr>
        <w:top w:val="none" w:sz="0" w:space="0" w:color="auto"/>
        <w:left w:val="none" w:sz="0" w:space="0" w:color="auto"/>
        <w:bottom w:val="none" w:sz="0" w:space="0" w:color="auto"/>
        <w:right w:val="none" w:sz="0" w:space="0" w:color="auto"/>
      </w:divBdr>
    </w:div>
    <w:div w:id="1948004786">
      <w:marLeft w:val="0"/>
      <w:marRight w:val="0"/>
      <w:marTop w:val="0"/>
      <w:marBottom w:val="0"/>
      <w:divBdr>
        <w:top w:val="none" w:sz="0" w:space="0" w:color="auto"/>
        <w:left w:val="none" w:sz="0" w:space="0" w:color="auto"/>
        <w:bottom w:val="none" w:sz="0" w:space="0" w:color="auto"/>
        <w:right w:val="none" w:sz="0" w:space="0" w:color="auto"/>
      </w:divBdr>
    </w:div>
    <w:div w:id="1948004792">
      <w:marLeft w:val="0"/>
      <w:marRight w:val="0"/>
      <w:marTop w:val="0"/>
      <w:marBottom w:val="0"/>
      <w:divBdr>
        <w:top w:val="none" w:sz="0" w:space="0" w:color="auto"/>
        <w:left w:val="none" w:sz="0" w:space="0" w:color="auto"/>
        <w:bottom w:val="none" w:sz="0" w:space="0" w:color="auto"/>
        <w:right w:val="none" w:sz="0" w:space="0" w:color="auto"/>
      </w:divBdr>
    </w:div>
    <w:div w:id="1948004794">
      <w:marLeft w:val="0"/>
      <w:marRight w:val="0"/>
      <w:marTop w:val="0"/>
      <w:marBottom w:val="0"/>
      <w:divBdr>
        <w:top w:val="none" w:sz="0" w:space="0" w:color="auto"/>
        <w:left w:val="none" w:sz="0" w:space="0" w:color="auto"/>
        <w:bottom w:val="none" w:sz="0" w:space="0" w:color="auto"/>
        <w:right w:val="none" w:sz="0" w:space="0" w:color="auto"/>
      </w:divBdr>
    </w:div>
    <w:div w:id="205685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elibrary.ferc.gov/idmws/common/opennat.asp?fileID=15540093" TargetMode="External"/><Relationship Id="rId2" Type="http://schemas.openxmlformats.org/officeDocument/2006/relationships/hyperlink" Target="https://elibrary.ferc.gov/idmws/common/opennat.asp?fileID=15540146" TargetMode="External"/><Relationship Id="rId1" Type="http://schemas.openxmlformats.org/officeDocument/2006/relationships/hyperlink" Target="https://www.govinfo.gov/content/pkg/FR-2020-07-06/pdf/2020-14422.pdf?utm_medium=email&amp;utm_campaign=subscription+mailing+list&amp;utm_source=federalregister.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2.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74a4cd09-5f17-433b-814a-38e7e9115d16"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6(PL)</_x0031__x002e__x0020_Collection_x0020_Number>
    <Date xmlns="d6eefc7d-9817-4fa6-84d5-3bc009be21b8">2020-07-06T04:00:00.000Z</Date>
    <Status xmlns="d6eefc7d-9817-4fa6-84d5-3bc009be21b8">Draft</Status>
    <_x0032__x002e__x0020_Docket_x0020_Number xmlns="d6eefc7d-9817-4fa6-84d5-3bc009be21b8">RM20-14</_x0032__x002e__x0020_Docket_x0020_Number>
    <_x0032__x002e__x0020_Collection_x0020_Number xmlns="d6eefc7d-9817-4fa6-84d5-3bc009be21b8">6</_x0032__x002e__x0020_Collection_x0020_Number>
    <_x0031__x002e__x0020_Docket_x0020_Number xmlns="d6eefc7d-9817-4fa6-84d5-3bc009be21b8">PL19-4</_x0031__x002e__x0020_Docket_x0020_Number>
    <_x0033__x002e__x0020_Collection_x0020_Number xmlns="d6eefc7d-9817-4fa6-84d5-3bc009be21b8"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DF5030-F5E9-4DC6-9F7F-730A6B8D400A}">
  <ds:schemaRefs>
    <ds:schemaRef ds:uri="http://schemas.microsoft.com/office/2006/metadata/customXsn"/>
  </ds:schemaRefs>
</ds:datastoreItem>
</file>

<file path=customXml/itemProps2.xml><?xml version="1.0" encoding="utf-8"?>
<ds:datastoreItem xmlns:ds="http://schemas.openxmlformats.org/officeDocument/2006/customXml" ds:itemID="{0E4E4958-ECD2-43CA-8888-15AF75A439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002CEA-35E9-4630-8B7A-D7E16FC480AC}">
  <ds:schemaRefs>
    <ds:schemaRef ds:uri="http://schemas.microsoft.com/sharepoint/v3/contenttype/forms"/>
  </ds:schemaRefs>
</ds:datastoreItem>
</file>

<file path=customXml/itemProps4.xml><?xml version="1.0" encoding="utf-8"?>
<ds:datastoreItem xmlns:ds="http://schemas.openxmlformats.org/officeDocument/2006/customXml" ds:itemID="{C0FE6286-A30E-47D1-869A-52B5E41AE3C8}">
  <ds:schemaRefs>
    <ds:schemaRef ds:uri="Microsoft.SharePoint.Taxonomy.ContentTypeSync"/>
  </ds:schemaRefs>
</ds:datastoreItem>
</file>

<file path=customXml/itemProps5.xml><?xml version="1.0" encoding="utf-8"?>
<ds:datastoreItem xmlns:ds="http://schemas.openxmlformats.org/officeDocument/2006/customXml" ds:itemID="{3B2027FE-4CFE-4B20-A499-A3FEBF4B0FB6}">
  <ds:schemaRefs>
    <ds:schemaRef ds:uri="http://purl.org/dc/elements/1.1/"/>
    <ds:schemaRef ds:uri="http://schemas.microsoft.com/office/2006/metadata/properties"/>
    <ds:schemaRef ds:uri="d6eefc7d-9817-4fa6-84d5-3bc009be21b8"/>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6.xml><?xml version="1.0" encoding="utf-8"?>
<ds:datastoreItem xmlns:ds="http://schemas.openxmlformats.org/officeDocument/2006/customXml" ds:itemID="{049BAD21-21DB-42AB-B0C3-F713CE69E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13</Pages>
  <Words>3462</Words>
  <Characters>19734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Supporting Statement for Forms 6 and 6-Q</vt:lpstr>
    </vt:vector>
  </TitlesOfParts>
  <Company>FERC</Company>
  <LinksUpToDate>false</LinksUpToDate>
  <CharactersWithSpaces>23150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Forms 6 and 6-Q</dc:title>
  <dc:creator>Anthony May</dc:creator>
  <cp:lastModifiedBy>Ellen Brown</cp:lastModifiedBy>
  <cp:revision>6</cp:revision>
  <cp:lastPrinted>2019-05-31T19:18:00Z</cp:lastPrinted>
  <dcterms:created xsi:type="dcterms:W3CDTF">2020-07-06T13:05:00Z</dcterms:created>
  <dcterms:modified xsi:type="dcterms:W3CDTF">2020-07-06T13:22:00Z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0x0101001EA51C0686BDB848B772F285AB6866B0</vt:lpwstr>
  </property>
  <property fmtid="{D5CDD505-2E9C-101B-9397-08002B2CF9AE}" pid="4" name="MSIP_Label_6155a89b-0f08-4a93-8ea2-8a916d6643b5_Enabled">
    <vt:lpwstr>True</vt:lpwstr>
  </property>
  <property fmtid="{D5CDD505-2E9C-101B-9397-08002B2CF9AE}" pid="5" name="MSIP_Label_6155a89b-0f08-4a93-8ea2-8a916d6643b5_SiteId">
    <vt:lpwstr>19caa9e9-04ff-43fa-885f-d77fac387903</vt:lpwstr>
  </property>
  <property fmtid="{D5CDD505-2E9C-101B-9397-08002B2CF9AE}" pid="6" name="MSIP_Label_6155a89b-0f08-4a93-8ea2-8a916d6643b5_Owner">
    <vt:lpwstr>ellen.brown@ferc.gov</vt:lpwstr>
  </property>
  <property fmtid="{D5CDD505-2E9C-101B-9397-08002B2CF9AE}" pid="7" name="MSIP_Label_6155a89b-0f08-4a93-8ea2-8a916d6643b5_SetDate">
    <vt:lpwstr>2020-05-21T15:57:57.1298378Z</vt:lpwstr>
  </property>
  <property fmtid="{D5CDD505-2E9C-101B-9397-08002B2CF9AE}" pid="8" name="MSIP_Label_6155a89b-0f08-4a93-8ea2-8a916d6643b5_Name">
    <vt:lpwstr>General</vt:lpwstr>
  </property>
  <property fmtid="{D5CDD505-2E9C-101B-9397-08002B2CF9AE}" pid="9" name="MSIP_Label_6155a89b-0f08-4a93-8ea2-8a916d6643b5_Application">
    <vt:lpwstr>Microsoft Azure Information Protection</vt:lpwstr>
  </property>
  <property fmtid="{D5CDD505-2E9C-101B-9397-08002B2CF9AE}" pid="10" name="MSIP_Label_6155a89b-0f08-4a93-8ea2-8a916d6643b5_ActionId">
    <vt:lpwstr>939c358e-7da2-4ebf-a23a-7173f0f91e1a</vt:lpwstr>
  </property>
  <property fmtid="{D5CDD505-2E9C-101B-9397-08002B2CF9AE}" pid="11" name="MSIP_Label_6155a89b-0f08-4a93-8ea2-8a916d6643b5_Extended_MSFT_Method">
    <vt:lpwstr>Manual</vt:lpwstr>
  </property>
  <property fmtid="{D5CDD505-2E9C-101B-9397-08002B2CF9AE}" pid="12" name="Sensitivity">
    <vt:lpwstr>General</vt:lpwstr>
  </property>
</Properties>
</file>