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997" w:rsidRDefault="00E835EE" w14:paraId="3DF55EC7" w14:textId="77777777">
      <w:pPr>
        <w:jc w:val="center"/>
      </w:pPr>
      <w:bookmarkStart w:name="_GoBack" w:id="0"/>
      <w:bookmarkEnd w:id="0"/>
      <w:r>
        <w:t>171 FERC ¶ 61,155</w:t>
      </w:r>
    </w:p>
    <w:p w:rsidRPr="00A17C75" w:rsidR="003679BF" w:rsidP="00B64C34" w:rsidRDefault="00AE277D" w14:paraId="15F84229" w14:textId="77777777">
      <w:pPr>
        <w:jc w:val="center"/>
        <w:rPr>
          <w:szCs w:val="26"/>
        </w:rPr>
      </w:pPr>
      <w:r w:rsidRPr="00A17C75">
        <w:rPr>
          <w:szCs w:val="26"/>
        </w:rPr>
        <w:t>UNITED STATES OF AMERICA</w:t>
      </w:r>
    </w:p>
    <w:p w:rsidRPr="00A17C75" w:rsidR="003679BF" w:rsidP="00B64C34" w:rsidRDefault="003679BF" w14:paraId="700EC93A" w14:textId="77777777">
      <w:pPr>
        <w:jc w:val="center"/>
        <w:rPr>
          <w:caps/>
          <w:szCs w:val="26"/>
        </w:rPr>
      </w:pPr>
      <w:r w:rsidRPr="00A17C75">
        <w:rPr>
          <w:caps/>
          <w:szCs w:val="26"/>
        </w:rPr>
        <w:t>Federal Energy Regulatory Commission</w:t>
      </w:r>
    </w:p>
    <w:p w:rsidRPr="00A17C75" w:rsidR="003679BF" w:rsidP="00B64C34" w:rsidRDefault="003679BF" w14:paraId="024AA7F7" w14:textId="77777777">
      <w:pPr>
        <w:jc w:val="center"/>
        <w:rPr>
          <w:szCs w:val="26"/>
        </w:rPr>
      </w:pPr>
    </w:p>
    <w:p w:rsidRPr="00A17C75" w:rsidR="003679BF" w:rsidP="00B64C34" w:rsidRDefault="003679BF" w14:paraId="051A65CF" w14:textId="77777777">
      <w:pPr>
        <w:jc w:val="center"/>
        <w:rPr>
          <w:szCs w:val="26"/>
        </w:rPr>
      </w:pPr>
      <w:r w:rsidRPr="00A17C75">
        <w:rPr>
          <w:szCs w:val="26"/>
        </w:rPr>
        <w:t>Docket No. PL19-4-000</w:t>
      </w:r>
    </w:p>
    <w:p w:rsidRPr="00A17C75" w:rsidR="003679BF" w:rsidP="00B64C34" w:rsidRDefault="003679BF" w14:paraId="60C056B8" w14:textId="77777777">
      <w:pPr>
        <w:jc w:val="center"/>
        <w:rPr>
          <w:szCs w:val="26"/>
        </w:rPr>
      </w:pPr>
    </w:p>
    <w:p w:rsidRPr="00A17C75" w:rsidR="003679BF" w:rsidP="00B64C34" w:rsidRDefault="003679BF" w14:paraId="4DCBBB3B" w14:textId="6F5ACDDD">
      <w:pPr>
        <w:jc w:val="center"/>
        <w:rPr>
          <w:szCs w:val="26"/>
        </w:rPr>
      </w:pPr>
      <w:r w:rsidRPr="00A17C75">
        <w:rPr>
          <w:szCs w:val="26"/>
        </w:rPr>
        <w:t>Inquiry Regarding the Commission</w:t>
      </w:r>
      <w:r w:rsidR="00A23137">
        <w:rPr>
          <w:szCs w:val="26"/>
        </w:rPr>
        <w:t>’</w:t>
      </w:r>
      <w:r w:rsidRPr="00A17C75">
        <w:rPr>
          <w:szCs w:val="26"/>
        </w:rPr>
        <w:t>s Policy for Determining Return on Equity</w:t>
      </w:r>
    </w:p>
    <w:p w:rsidRPr="00A17C75" w:rsidR="003679BF" w:rsidP="00B64C34" w:rsidRDefault="003679BF" w14:paraId="1BDAB4A8" w14:textId="77777777">
      <w:pPr>
        <w:jc w:val="center"/>
        <w:rPr>
          <w:szCs w:val="26"/>
        </w:rPr>
      </w:pPr>
    </w:p>
    <w:p w:rsidRPr="005627E1" w:rsidR="005627E1" w:rsidP="005627E1" w:rsidRDefault="005627E1" w14:paraId="1AA9D9E6" w14:textId="01190129">
      <w:pPr>
        <w:widowControl/>
        <w:jc w:val="center"/>
        <w:rPr>
          <w:szCs w:val="26"/>
        </w:rPr>
      </w:pPr>
      <w:r w:rsidRPr="005627E1">
        <w:rPr>
          <w:szCs w:val="26"/>
        </w:rPr>
        <w:t>(Issued May 21, 2020)</w:t>
      </w:r>
    </w:p>
    <w:p w:rsidRPr="00A17C75" w:rsidR="000004E8" w:rsidP="00B64C34" w:rsidRDefault="000004E8" w14:paraId="39DA9419" w14:textId="77777777">
      <w:pPr>
        <w:rPr>
          <w:szCs w:val="26"/>
        </w:rPr>
      </w:pPr>
    </w:p>
    <w:p w:rsidRPr="00A17C75" w:rsidR="003679BF" w:rsidP="00B64C34" w:rsidRDefault="003679BF" w14:paraId="1170441F" w14:textId="77777777">
      <w:pPr>
        <w:spacing w:after="260"/>
        <w:rPr>
          <w:szCs w:val="26"/>
        </w:rPr>
      </w:pPr>
      <w:r w:rsidRPr="00A17C75">
        <w:rPr>
          <w:szCs w:val="26"/>
          <w:u w:val="single"/>
        </w:rPr>
        <w:t>AGENCY</w:t>
      </w:r>
      <w:r w:rsidRPr="00A17C75">
        <w:rPr>
          <w:szCs w:val="26"/>
        </w:rPr>
        <w:t>:  Federal Energy Regulatory Commission.</w:t>
      </w:r>
    </w:p>
    <w:p w:rsidRPr="00A17C75" w:rsidR="003679BF" w:rsidP="00B64C34" w:rsidRDefault="003679BF" w14:paraId="1AF22637" w14:textId="77777777">
      <w:pPr>
        <w:spacing w:after="260"/>
        <w:rPr>
          <w:szCs w:val="26"/>
        </w:rPr>
      </w:pPr>
      <w:r w:rsidRPr="00A17C75">
        <w:rPr>
          <w:szCs w:val="26"/>
          <w:u w:val="single"/>
        </w:rPr>
        <w:t>ACTION</w:t>
      </w:r>
      <w:r w:rsidRPr="00A17C75">
        <w:rPr>
          <w:szCs w:val="26"/>
        </w:rPr>
        <w:t>:  Policy Statement on Determining Return on Equity for Natural Gas and Oil Pipelines</w:t>
      </w:r>
    </w:p>
    <w:p w:rsidRPr="00A17C75" w:rsidR="003679BF" w:rsidP="00B64C34" w:rsidRDefault="003679BF" w14:paraId="56B0D45C" w14:textId="3B0B61D8">
      <w:pPr>
        <w:spacing w:line="480" w:lineRule="auto"/>
        <w:rPr>
          <w:szCs w:val="26"/>
        </w:rPr>
      </w:pPr>
      <w:r w:rsidRPr="00A17C75">
        <w:rPr>
          <w:szCs w:val="26"/>
          <w:u w:val="single"/>
        </w:rPr>
        <w:t>SUMMARY</w:t>
      </w:r>
      <w:r w:rsidRPr="00A17C75">
        <w:rPr>
          <w:szCs w:val="26"/>
        </w:rPr>
        <w:t xml:space="preserve">:  </w:t>
      </w:r>
      <w:r w:rsidRPr="00A17C75" w:rsidR="00B44857">
        <w:rPr>
          <w:szCs w:val="26"/>
        </w:rPr>
        <w:t>On March 21, 2019</w:t>
      </w:r>
      <w:r w:rsidRPr="00A17C75" w:rsidR="000004E8">
        <w:rPr>
          <w:szCs w:val="26"/>
        </w:rPr>
        <w:t>, the</w:t>
      </w:r>
      <w:r w:rsidRPr="00A17C75" w:rsidR="00B44857">
        <w:rPr>
          <w:szCs w:val="26"/>
        </w:rPr>
        <w:t xml:space="preserve"> Federal Energy Regulatory</w:t>
      </w:r>
      <w:r w:rsidRPr="00A17C75" w:rsidR="000004E8">
        <w:rPr>
          <w:szCs w:val="26"/>
        </w:rPr>
        <w:t xml:space="preserve"> Commission issued a notice of inquiry </w:t>
      </w:r>
      <w:r w:rsidRPr="00A17C75" w:rsidR="00BA2AFD">
        <w:rPr>
          <w:szCs w:val="26"/>
        </w:rPr>
        <w:t>seeking information and stakeholder views regarding whether, and if so how, it should modify its policies concerning the determination of the return on equity (ROE) to be used in designing jurisdictional</w:t>
      </w:r>
      <w:r w:rsidRPr="00A17C75" w:rsidR="00B44857">
        <w:rPr>
          <w:szCs w:val="26"/>
        </w:rPr>
        <w:t xml:space="preserve"> public utility</w:t>
      </w:r>
      <w:r w:rsidRPr="00A17C75" w:rsidR="00BA2AFD">
        <w:rPr>
          <w:szCs w:val="26"/>
        </w:rPr>
        <w:t xml:space="preserve"> rates and whether any changes to the Commission’s policies concerning public utility ROEs should be applied to interstate natural gas and oil pipelines.</w:t>
      </w:r>
      <w:r w:rsidRPr="00A17C75" w:rsidR="00704D58">
        <w:rPr>
          <w:szCs w:val="26"/>
        </w:rPr>
        <w:t xml:space="preserve">  </w:t>
      </w:r>
      <w:r w:rsidRPr="00A17C75" w:rsidR="00B44857">
        <w:rPr>
          <w:szCs w:val="26"/>
        </w:rPr>
        <w:t xml:space="preserve">Concurrently with this Policy Statement, the Commission is issuing Opinion No. 569-A adopting changes to its policies concerning public utility ROEs.  </w:t>
      </w:r>
      <w:r w:rsidRPr="00A17C75" w:rsidR="00704D58">
        <w:rPr>
          <w:szCs w:val="26"/>
        </w:rPr>
        <w:t>The Commission finds that, with certain exceptions</w:t>
      </w:r>
      <w:r w:rsidR="00E03B49">
        <w:rPr>
          <w:szCs w:val="26"/>
        </w:rPr>
        <w:t xml:space="preserve"> </w:t>
      </w:r>
      <w:r w:rsidRPr="00E03B49" w:rsidR="00E03B49">
        <w:rPr>
          <w:szCs w:val="26"/>
        </w:rPr>
        <w:t>to account for</w:t>
      </w:r>
      <w:r w:rsidRPr="00A17C75" w:rsidR="00704D58">
        <w:rPr>
          <w:szCs w:val="26"/>
        </w:rPr>
        <w:t xml:space="preserve"> the </w:t>
      </w:r>
      <w:r w:rsidRPr="00E03B49" w:rsidR="00E03B49">
        <w:rPr>
          <w:szCs w:val="26"/>
        </w:rPr>
        <w:t>statutory, operational, organizational and competitive differences among the industries</w:t>
      </w:r>
      <w:r w:rsidRPr="00A17C75" w:rsidR="00704D58">
        <w:rPr>
          <w:szCs w:val="26"/>
        </w:rPr>
        <w:t xml:space="preserve">, the </w:t>
      </w:r>
      <w:r w:rsidRPr="00A17C75" w:rsidR="00B44857">
        <w:rPr>
          <w:szCs w:val="26"/>
        </w:rPr>
        <w:t xml:space="preserve">policy </w:t>
      </w:r>
      <w:r w:rsidRPr="00A17C75" w:rsidR="00704D58">
        <w:rPr>
          <w:szCs w:val="26"/>
        </w:rPr>
        <w:t xml:space="preserve">changes </w:t>
      </w:r>
      <w:r w:rsidRPr="00A17C75" w:rsidR="00E72A8B">
        <w:rPr>
          <w:szCs w:val="26"/>
        </w:rPr>
        <w:t xml:space="preserve">adopted in Opinion No. 569-A should be applied to </w:t>
      </w:r>
      <w:r w:rsidR="008B2A97">
        <w:rPr>
          <w:szCs w:val="26"/>
        </w:rPr>
        <w:t xml:space="preserve">natural </w:t>
      </w:r>
      <w:r w:rsidRPr="00A17C75" w:rsidR="00E72A8B">
        <w:rPr>
          <w:szCs w:val="26"/>
        </w:rPr>
        <w:t xml:space="preserve">gas and oil pipelines.  </w:t>
      </w:r>
      <w:r w:rsidRPr="00F43980" w:rsidR="00E72A8B">
        <w:rPr>
          <w:szCs w:val="26"/>
        </w:rPr>
        <w:t xml:space="preserve">Accordingly, the Commission revises its policy and will determine </w:t>
      </w:r>
      <w:r w:rsidR="008B2A97">
        <w:rPr>
          <w:szCs w:val="26"/>
        </w:rPr>
        <w:t xml:space="preserve">natural </w:t>
      </w:r>
      <w:r w:rsidRPr="00F43980" w:rsidR="00E72A8B">
        <w:rPr>
          <w:szCs w:val="26"/>
        </w:rPr>
        <w:t>gas and oil pipeline ROE</w:t>
      </w:r>
      <w:r w:rsidR="00EC0839">
        <w:rPr>
          <w:szCs w:val="26"/>
        </w:rPr>
        <w:t>s</w:t>
      </w:r>
      <w:r w:rsidRPr="00F43980" w:rsidR="00E72A8B">
        <w:rPr>
          <w:szCs w:val="26"/>
        </w:rPr>
        <w:t xml:space="preserve"> by averaging the results of the Discounted Cash Flow model and the Capital Asset Pricing </w:t>
      </w:r>
      <w:proofErr w:type="gramStart"/>
      <w:r w:rsidRPr="00F43980" w:rsidR="00E72A8B">
        <w:rPr>
          <w:szCs w:val="26"/>
        </w:rPr>
        <w:t>Model</w:t>
      </w:r>
      <w:r w:rsidR="002D30D4">
        <w:rPr>
          <w:szCs w:val="26"/>
        </w:rPr>
        <w:t>, but</w:t>
      </w:r>
      <w:proofErr w:type="gramEnd"/>
      <w:r w:rsidR="002D30D4">
        <w:rPr>
          <w:szCs w:val="26"/>
        </w:rPr>
        <w:t xml:space="preserve"> will not use the Risk Premium model</w:t>
      </w:r>
      <w:r w:rsidRPr="00F43980" w:rsidR="00E72A8B">
        <w:rPr>
          <w:szCs w:val="26"/>
        </w:rPr>
        <w:t>.</w:t>
      </w:r>
      <w:r w:rsidRPr="00A17C75" w:rsidR="00E72A8B">
        <w:rPr>
          <w:szCs w:val="26"/>
        </w:rPr>
        <w:t xml:space="preserve">  </w:t>
      </w:r>
      <w:r w:rsidRPr="00A17C75" w:rsidR="00B44857">
        <w:rPr>
          <w:szCs w:val="26"/>
        </w:rPr>
        <w:t xml:space="preserve">In addition, the Commission clarifies its policies governing the formation of proxy groups </w:t>
      </w:r>
      <w:r w:rsidRPr="00A17C75" w:rsidR="00B44857">
        <w:rPr>
          <w:szCs w:val="26"/>
        </w:rPr>
        <w:lastRenderedPageBreak/>
        <w:t xml:space="preserve">and the treatment of outliers in proceedings addressing </w:t>
      </w:r>
      <w:r w:rsidR="008B2A97">
        <w:rPr>
          <w:szCs w:val="26"/>
        </w:rPr>
        <w:t xml:space="preserve">natural </w:t>
      </w:r>
      <w:r w:rsidRPr="00A17C75" w:rsidR="00B44857">
        <w:rPr>
          <w:szCs w:val="26"/>
        </w:rPr>
        <w:t xml:space="preserve">gas and oil pipeline ROEs.  </w:t>
      </w:r>
      <w:r w:rsidR="008F3B12">
        <w:rPr>
          <w:szCs w:val="26"/>
        </w:rPr>
        <w:t>Finally, t</w:t>
      </w:r>
      <w:r w:rsidRPr="00A17C75" w:rsidR="00E72A8B">
        <w:rPr>
          <w:szCs w:val="26"/>
        </w:rPr>
        <w:t xml:space="preserve">he Commission </w:t>
      </w:r>
      <w:r w:rsidR="00343A3A">
        <w:rPr>
          <w:szCs w:val="26"/>
        </w:rPr>
        <w:t>encourages</w:t>
      </w:r>
      <w:r w:rsidRPr="00A17C75" w:rsidR="00E72A8B">
        <w:rPr>
          <w:szCs w:val="26"/>
        </w:rPr>
        <w:t xml:space="preserve"> oil pipelines to file revised FERC Form No. 6, page 700s for </w:t>
      </w:r>
      <w:r w:rsidR="00343A3A">
        <w:rPr>
          <w:szCs w:val="26"/>
        </w:rPr>
        <w:t xml:space="preserve">2019 </w:t>
      </w:r>
      <w:r w:rsidRPr="00A17C75" w:rsidR="00E72A8B">
        <w:rPr>
          <w:szCs w:val="26"/>
        </w:rPr>
        <w:t>reflecting the revised ROE policy.</w:t>
      </w:r>
    </w:p>
    <w:p w:rsidRPr="00A17C75" w:rsidR="003679BF" w:rsidP="00B64C34" w:rsidRDefault="003679BF" w14:paraId="58CFB918" w14:textId="392B3E84">
      <w:pPr>
        <w:spacing w:line="480" w:lineRule="auto"/>
        <w:rPr>
          <w:szCs w:val="26"/>
        </w:rPr>
      </w:pPr>
      <w:r w:rsidRPr="00A17C75">
        <w:rPr>
          <w:szCs w:val="26"/>
          <w:u w:val="single"/>
        </w:rPr>
        <w:t>DATE</w:t>
      </w:r>
      <w:r w:rsidRPr="00A17C75">
        <w:rPr>
          <w:szCs w:val="26"/>
        </w:rPr>
        <w:t xml:space="preserve">: </w:t>
      </w:r>
      <w:r w:rsidRPr="00A17C75" w:rsidR="004641F0">
        <w:rPr>
          <w:szCs w:val="26"/>
        </w:rPr>
        <w:t xml:space="preserve"> </w:t>
      </w:r>
      <w:r w:rsidRPr="00A17C75">
        <w:rPr>
          <w:szCs w:val="26"/>
        </w:rPr>
        <w:t>This Policy Statement will become effective [</w:t>
      </w:r>
      <w:r w:rsidRPr="0000397B" w:rsidR="000004E8">
        <w:rPr>
          <w:szCs w:val="26"/>
        </w:rPr>
        <w:t xml:space="preserve">date of publication in </w:t>
      </w:r>
      <w:r w:rsidRPr="0000397B" w:rsidR="00BA2AFD">
        <w:rPr>
          <w:szCs w:val="26"/>
        </w:rPr>
        <w:t xml:space="preserve">the </w:t>
      </w:r>
      <w:r w:rsidRPr="0000397B" w:rsidR="00BA2AFD">
        <w:rPr>
          <w:i/>
          <w:szCs w:val="26"/>
        </w:rPr>
        <w:t>Federal Register</w:t>
      </w:r>
      <w:r w:rsidRPr="00A17C75">
        <w:rPr>
          <w:szCs w:val="26"/>
        </w:rPr>
        <w:t>]</w:t>
      </w:r>
      <w:r w:rsidRPr="00A17C75" w:rsidR="00BA2AFD">
        <w:rPr>
          <w:szCs w:val="26"/>
        </w:rPr>
        <w:t>.</w:t>
      </w:r>
    </w:p>
    <w:p w:rsidRPr="00A17C75" w:rsidR="003679BF" w:rsidP="00B64C34" w:rsidRDefault="003679BF" w14:paraId="33FCA83C" w14:textId="77777777">
      <w:pPr>
        <w:rPr>
          <w:szCs w:val="26"/>
        </w:rPr>
      </w:pPr>
      <w:r w:rsidRPr="00A17C75">
        <w:rPr>
          <w:szCs w:val="26"/>
          <w:u w:val="single"/>
        </w:rPr>
        <w:t>FOR FURTHER INFORMATION CONTACT</w:t>
      </w:r>
      <w:r w:rsidRPr="00A17C75">
        <w:rPr>
          <w:szCs w:val="26"/>
        </w:rPr>
        <w:t>:</w:t>
      </w:r>
    </w:p>
    <w:p w:rsidRPr="00A17C75" w:rsidR="003679BF" w:rsidP="00B64C34" w:rsidRDefault="003679BF" w14:paraId="7ECEC974" w14:textId="77777777">
      <w:pPr>
        <w:rPr>
          <w:szCs w:val="26"/>
        </w:rPr>
      </w:pPr>
    </w:p>
    <w:p w:rsidRPr="00A17C75" w:rsidR="003679BF" w:rsidP="00B64C34" w:rsidRDefault="00AE277D" w14:paraId="5E13682A" w14:textId="77777777">
      <w:pPr>
        <w:rPr>
          <w:szCs w:val="26"/>
        </w:rPr>
      </w:pPr>
      <w:r w:rsidRPr="00A17C75">
        <w:rPr>
          <w:szCs w:val="26"/>
        </w:rPr>
        <w:t>Evan Steiner (Legal Information)</w:t>
      </w:r>
      <w:r w:rsidRPr="00A17C75">
        <w:rPr>
          <w:szCs w:val="26"/>
        </w:rPr>
        <w:br/>
        <w:t>Office of the General Counsel</w:t>
      </w:r>
    </w:p>
    <w:p w:rsidRPr="00A17C75" w:rsidR="003679BF" w:rsidP="00B64C34" w:rsidRDefault="003679BF" w14:paraId="29900B5F" w14:textId="77777777">
      <w:pPr>
        <w:rPr>
          <w:szCs w:val="26"/>
        </w:rPr>
      </w:pPr>
      <w:r w:rsidRPr="00A17C75">
        <w:rPr>
          <w:szCs w:val="26"/>
        </w:rPr>
        <w:fldChar w:fldCharType="begin"/>
      </w:r>
      <w:r w:rsidRPr="00A17C75">
        <w:rPr>
          <w:szCs w:val="26"/>
        </w:rPr>
        <w:instrText xml:space="preserve"> MACROBUTTON  AcceptAllChangesInDoc </w:instrText>
      </w:r>
      <w:r w:rsidRPr="00A17C75">
        <w:rPr>
          <w:szCs w:val="26"/>
        </w:rPr>
        <w:fldChar w:fldCharType="end"/>
      </w:r>
      <w:r w:rsidRPr="00A17C75">
        <w:rPr>
          <w:szCs w:val="26"/>
        </w:rPr>
        <w:fldChar w:fldCharType="begin"/>
      </w:r>
      <w:r w:rsidRPr="00A17C75">
        <w:rPr>
          <w:szCs w:val="26"/>
        </w:rPr>
        <w:instrText xml:space="preserve"> MACROBUTTON  AcceptAllChangesInDoc </w:instrText>
      </w:r>
      <w:r w:rsidRPr="00A17C75">
        <w:rPr>
          <w:szCs w:val="26"/>
        </w:rPr>
        <w:fldChar w:fldCharType="end"/>
      </w:r>
      <w:r w:rsidRPr="00A17C75" w:rsidR="00AE277D">
        <w:rPr>
          <w:szCs w:val="26"/>
        </w:rPr>
        <w:t>888 First Street, NE</w:t>
      </w:r>
    </w:p>
    <w:p w:rsidRPr="00A17C75" w:rsidR="003679BF" w:rsidP="00B64C34" w:rsidRDefault="00AE277D" w14:paraId="1610F582" w14:textId="77777777">
      <w:pPr>
        <w:rPr>
          <w:szCs w:val="26"/>
        </w:rPr>
      </w:pPr>
      <w:r w:rsidRPr="00A17C75">
        <w:rPr>
          <w:szCs w:val="26"/>
        </w:rPr>
        <w:t>Washington, DC 2</w:t>
      </w:r>
      <w:r w:rsidRPr="00A17C75" w:rsidR="004641F0">
        <w:rPr>
          <w:szCs w:val="26"/>
        </w:rPr>
        <w:t>0</w:t>
      </w:r>
      <w:r w:rsidRPr="00A17C75">
        <w:rPr>
          <w:szCs w:val="26"/>
        </w:rPr>
        <w:t>426</w:t>
      </w:r>
    </w:p>
    <w:p w:rsidRPr="00A17C75" w:rsidR="003679BF" w:rsidP="00B64C34" w:rsidRDefault="00AE277D" w14:paraId="23A74655" w14:textId="77777777">
      <w:pPr>
        <w:rPr>
          <w:szCs w:val="26"/>
        </w:rPr>
      </w:pPr>
      <w:r w:rsidRPr="00A17C75">
        <w:rPr>
          <w:szCs w:val="26"/>
        </w:rPr>
        <w:t>(202) 502-8792</w:t>
      </w:r>
    </w:p>
    <w:p w:rsidRPr="00A17C75" w:rsidR="003679BF" w:rsidP="00B64C34" w:rsidRDefault="004641F0" w14:paraId="6341F701" w14:textId="77777777">
      <w:pPr>
        <w:rPr>
          <w:szCs w:val="26"/>
        </w:rPr>
      </w:pPr>
      <w:r w:rsidRPr="00A17C75">
        <w:rPr>
          <w:szCs w:val="26"/>
        </w:rPr>
        <w:t>Evan.Steiner@ferc.gov</w:t>
      </w:r>
    </w:p>
    <w:p w:rsidRPr="00A17C75" w:rsidR="004641F0" w:rsidP="00B64C34" w:rsidRDefault="004641F0" w14:paraId="74ADD02E" w14:textId="77777777">
      <w:pPr>
        <w:rPr>
          <w:szCs w:val="26"/>
        </w:rPr>
      </w:pPr>
    </w:p>
    <w:p w:rsidRPr="00A17C75" w:rsidR="004641F0" w:rsidP="00B64C34" w:rsidRDefault="004641F0" w14:paraId="4B18675A" w14:textId="77777777">
      <w:pPr>
        <w:rPr>
          <w:szCs w:val="26"/>
        </w:rPr>
      </w:pPr>
      <w:r w:rsidRPr="00A17C75">
        <w:rPr>
          <w:szCs w:val="26"/>
        </w:rPr>
        <w:t>Monil Patel</w:t>
      </w:r>
      <w:r w:rsidRPr="00A17C75" w:rsidR="00704D58">
        <w:rPr>
          <w:szCs w:val="26"/>
        </w:rPr>
        <w:t xml:space="preserve"> (Technical Information)</w:t>
      </w:r>
    </w:p>
    <w:p w:rsidRPr="00A17C75" w:rsidR="004641F0" w:rsidP="00B64C34" w:rsidRDefault="004641F0" w14:paraId="0241BE3E" w14:textId="77777777">
      <w:pPr>
        <w:rPr>
          <w:szCs w:val="26"/>
        </w:rPr>
      </w:pPr>
      <w:r w:rsidRPr="00A17C75">
        <w:rPr>
          <w:szCs w:val="26"/>
        </w:rPr>
        <w:t>Office of Energy Market Regulation</w:t>
      </w:r>
    </w:p>
    <w:p w:rsidRPr="00A17C75" w:rsidR="004641F0" w:rsidP="00B64C34" w:rsidRDefault="004641F0" w14:paraId="2F2BFC22" w14:textId="77777777">
      <w:pPr>
        <w:rPr>
          <w:szCs w:val="26"/>
        </w:rPr>
      </w:pPr>
      <w:r w:rsidRPr="00A17C75">
        <w:rPr>
          <w:szCs w:val="26"/>
        </w:rPr>
        <w:t>888 First Street, NE</w:t>
      </w:r>
    </w:p>
    <w:p w:rsidRPr="00A17C75" w:rsidR="004641F0" w:rsidP="00B64C34" w:rsidRDefault="004641F0" w14:paraId="45747341" w14:textId="77777777">
      <w:pPr>
        <w:rPr>
          <w:szCs w:val="26"/>
        </w:rPr>
      </w:pPr>
      <w:r w:rsidRPr="00A17C75">
        <w:rPr>
          <w:szCs w:val="26"/>
        </w:rPr>
        <w:t>Washington, DC 20426</w:t>
      </w:r>
    </w:p>
    <w:p w:rsidRPr="00A17C75" w:rsidR="004641F0" w:rsidP="00B64C34" w:rsidRDefault="004641F0" w14:paraId="1F76595C" w14:textId="77777777">
      <w:pPr>
        <w:rPr>
          <w:szCs w:val="26"/>
        </w:rPr>
      </w:pPr>
      <w:r w:rsidRPr="00A17C75">
        <w:rPr>
          <w:szCs w:val="26"/>
        </w:rPr>
        <w:t>(202) 502-8296</w:t>
      </w:r>
    </w:p>
    <w:p w:rsidRPr="00A17C75" w:rsidR="004641F0" w:rsidP="00B64C34" w:rsidRDefault="004641F0" w14:paraId="1A4EE29C" w14:textId="77777777">
      <w:pPr>
        <w:rPr>
          <w:szCs w:val="26"/>
        </w:rPr>
      </w:pPr>
      <w:r w:rsidRPr="00A17C75">
        <w:rPr>
          <w:szCs w:val="26"/>
        </w:rPr>
        <w:t>Monil.Patel@ferc.gov</w:t>
      </w:r>
    </w:p>
    <w:p w:rsidRPr="00A17C75" w:rsidR="004641F0" w:rsidP="00B64C34" w:rsidRDefault="004641F0" w14:paraId="5F583963" w14:textId="77777777">
      <w:pPr>
        <w:rPr>
          <w:szCs w:val="26"/>
        </w:rPr>
      </w:pPr>
    </w:p>
    <w:p w:rsidRPr="00A17C75" w:rsidR="004641F0" w:rsidP="00B64C34" w:rsidRDefault="004641F0" w14:paraId="569E6614" w14:textId="77777777">
      <w:pPr>
        <w:rPr>
          <w:szCs w:val="26"/>
        </w:rPr>
      </w:pPr>
      <w:r w:rsidRPr="00A17C75">
        <w:rPr>
          <w:szCs w:val="26"/>
        </w:rPr>
        <w:t>Seong-Kook Berry</w:t>
      </w:r>
      <w:r w:rsidRPr="00A17C75" w:rsidR="00704D58">
        <w:rPr>
          <w:szCs w:val="26"/>
        </w:rPr>
        <w:t xml:space="preserve"> (Technical Information)</w:t>
      </w:r>
    </w:p>
    <w:p w:rsidRPr="00A17C75" w:rsidR="004641F0" w:rsidP="00B64C34" w:rsidRDefault="004641F0" w14:paraId="15BEE250" w14:textId="77777777">
      <w:pPr>
        <w:rPr>
          <w:szCs w:val="26"/>
        </w:rPr>
      </w:pPr>
      <w:r w:rsidRPr="00A17C75">
        <w:rPr>
          <w:szCs w:val="26"/>
        </w:rPr>
        <w:t>Office of Energy Market Regulation</w:t>
      </w:r>
    </w:p>
    <w:p w:rsidRPr="00A17C75" w:rsidR="004641F0" w:rsidP="00B64C34" w:rsidRDefault="004641F0" w14:paraId="56FCD0C2" w14:textId="77777777">
      <w:pPr>
        <w:rPr>
          <w:szCs w:val="26"/>
        </w:rPr>
      </w:pPr>
      <w:r w:rsidRPr="00A17C75">
        <w:rPr>
          <w:szCs w:val="26"/>
        </w:rPr>
        <w:t>888 First Street, NE</w:t>
      </w:r>
    </w:p>
    <w:p w:rsidRPr="00A17C75" w:rsidR="004641F0" w:rsidP="00B64C34" w:rsidRDefault="004641F0" w14:paraId="3BE17712" w14:textId="77777777">
      <w:pPr>
        <w:rPr>
          <w:szCs w:val="26"/>
        </w:rPr>
      </w:pPr>
      <w:r w:rsidRPr="00A17C75">
        <w:rPr>
          <w:szCs w:val="26"/>
        </w:rPr>
        <w:t>Washington, DC 20426</w:t>
      </w:r>
    </w:p>
    <w:p w:rsidRPr="00A17C75" w:rsidR="004641F0" w:rsidP="00B64C34" w:rsidRDefault="004641F0" w14:paraId="53A1CA26" w14:textId="77777777">
      <w:pPr>
        <w:rPr>
          <w:szCs w:val="26"/>
        </w:rPr>
      </w:pPr>
      <w:r w:rsidRPr="00A17C75">
        <w:rPr>
          <w:szCs w:val="26"/>
        </w:rPr>
        <w:t>(202) 502-</w:t>
      </w:r>
      <w:r w:rsidRPr="00A17C75" w:rsidR="00704D58">
        <w:rPr>
          <w:szCs w:val="26"/>
        </w:rPr>
        <w:t>6544</w:t>
      </w:r>
    </w:p>
    <w:p w:rsidRPr="00A17C75" w:rsidR="00704D58" w:rsidP="00B64C34" w:rsidRDefault="00704D58" w14:paraId="00D50121" w14:textId="77777777">
      <w:pPr>
        <w:rPr>
          <w:szCs w:val="26"/>
        </w:rPr>
      </w:pPr>
      <w:r w:rsidRPr="00A17C75">
        <w:rPr>
          <w:szCs w:val="26"/>
        </w:rPr>
        <w:t>Seong-Kook.Berry@ferc.gov</w:t>
      </w:r>
    </w:p>
    <w:p w:rsidRPr="00A17C75" w:rsidR="003679BF" w:rsidP="00B64C34" w:rsidRDefault="003679BF" w14:paraId="069902FE" w14:textId="77777777">
      <w:pPr>
        <w:rPr>
          <w:szCs w:val="26"/>
        </w:rPr>
      </w:pPr>
    </w:p>
    <w:p w:rsidRPr="00A17C75" w:rsidR="003679BF" w:rsidP="00B64C34" w:rsidRDefault="003679BF" w14:paraId="507535A6" w14:textId="77777777">
      <w:pPr>
        <w:rPr>
          <w:szCs w:val="26"/>
        </w:rPr>
        <w:sectPr w:rsidRPr="00A17C75" w:rsidR="003679BF" w:rsidSect="003679B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fmt="lowerRoman" w:start="1"/>
          <w:cols w:space="720"/>
          <w:noEndnote/>
          <w:titlePg/>
          <w:docGrid w:linePitch="354"/>
        </w:sectPr>
      </w:pPr>
      <w:r w:rsidRPr="00A17C75">
        <w:rPr>
          <w:szCs w:val="26"/>
          <w:u w:val="single"/>
        </w:rPr>
        <w:t>SUPPLEMENTARY INFORMATION</w:t>
      </w:r>
      <w:r w:rsidRPr="00A17C75">
        <w:rPr>
          <w:szCs w:val="26"/>
        </w:rPr>
        <w:t>:</w:t>
      </w:r>
    </w:p>
    <w:p w:rsidRPr="005627E1" w:rsidR="005627E1" w:rsidP="00B64C34" w:rsidRDefault="005627E1" w14:paraId="4B93AF84" w14:textId="030A52D1">
      <w:pPr>
        <w:jc w:val="center"/>
        <w:rPr>
          <w:szCs w:val="26"/>
        </w:rPr>
      </w:pPr>
      <w:r>
        <w:rPr>
          <w:szCs w:val="26"/>
        </w:rPr>
        <w:lastRenderedPageBreak/>
        <w:t>171 FERC ¶ 61,</w:t>
      </w:r>
      <w:r w:rsidR="007C655F">
        <w:rPr>
          <w:szCs w:val="26"/>
        </w:rPr>
        <w:t>155</w:t>
      </w:r>
    </w:p>
    <w:p w:rsidRPr="00A17C75" w:rsidR="003679BF" w:rsidP="00B64C34" w:rsidRDefault="003679BF" w14:paraId="3B98131F" w14:textId="374E22A4">
      <w:pPr>
        <w:jc w:val="center"/>
        <w:rPr>
          <w:szCs w:val="26"/>
        </w:rPr>
      </w:pPr>
      <w:r w:rsidRPr="00A17C75">
        <w:rPr>
          <w:szCs w:val="26"/>
        </w:rPr>
        <w:t>UNITED STATES OF AMERICA</w:t>
      </w:r>
    </w:p>
    <w:p w:rsidRPr="00A17C75" w:rsidR="003679BF" w:rsidP="00B64C34" w:rsidRDefault="003679BF" w14:paraId="542262BA" w14:textId="77777777">
      <w:pPr>
        <w:jc w:val="center"/>
        <w:rPr>
          <w:szCs w:val="26"/>
        </w:rPr>
      </w:pPr>
      <w:r w:rsidRPr="00A17C75">
        <w:rPr>
          <w:szCs w:val="26"/>
        </w:rPr>
        <w:t>FEDERAL ENERGY REGULATORY COMMISSION</w:t>
      </w:r>
    </w:p>
    <w:p w:rsidRPr="00A17C75" w:rsidR="003679BF" w:rsidP="00B64C34" w:rsidRDefault="003679BF" w14:paraId="46326AF0" w14:textId="77777777">
      <w:pPr>
        <w:rPr>
          <w:szCs w:val="26"/>
        </w:rPr>
      </w:pPr>
    </w:p>
    <w:p w:rsidRPr="005627E1" w:rsidR="003679BF" w:rsidP="005627E1" w:rsidRDefault="005627E1" w14:paraId="173D4C36" w14:textId="7C46DB04">
      <w:pPr>
        <w:widowControl/>
        <w:rPr>
          <w:szCs w:val="26"/>
        </w:rPr>
      </w:pPr>
      <w:r w:rsidRPr="005627E1">
        <w:rPr>
          <w:szCs w:val="26"/>
        </w:rPr>
        <w:t>Before Commissioners:  Neil Chatterjee, Chairman;</w:t>
      </w:r>
    </w:p>
    <w:p w:rsidRPr="005627E1" w:rsidR="005627E1" w:rsidP="005627E1" w:rsidRDefault="005627E1" w14:paraId="454D3013" w14:textId="790633B2">
      <w:pPr>
        <w:widowControl/>
        <w:rPr>
          <w:szCs w:val="26"/>
        </w:rPr>
      </w:pPr>
      <w:r w:rsidRPr="005627E1">
        <w:rPr>
          <w:szCs w:val="26"/>
        </w:rPr>
        <w:t xml:space="preserve">                                        Richard Glick, Bernard L. McNamee,</w:t>
      </w:r>
    </w:p>
    <w:p w:rsidRPr="00A17C75" w:rsidR="005627E1" w:rsidP="005627E1" w:rsidRDefault="005627E1" w14:paraId="7DFA1EBC" w14:textId="7F7A01DD">
      <w:pPr>
        <w:widowControl/>
        <w:rPr>
          <w:szCs w:val="26"/>
        </w:rPr>
      </w:pPr>
      <w:r w:rsidRPr="005627E1">
        <w:rPr>
          <w:szCs w:val="26"/>
        </w:rPr>
        <w:t xml:space="preserve">                                        and James P. Danly.</w:t>
      </w:r>
    </w:p>
    <w:p w:rsidRPr="00A17C75" w:rsidR="003679BF" w:rsidP="00B64C34" w:rsidRDefault="003679BF" w14:paraId="25A170FC" w14:textId="77777777">
      <w:pPr>
        <w:rPr>
          <w:szCs w:val="2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931"/>
        <w:gridCol w:w="1539"/>
        <w:gridCol w:w="1890"/>
      </w:tblGrid>
      <w:tr w:rsidRPr="00395600" w:rsidR="003679BF" w:rsidTr="003679BF" w14:paraId="63832DFF" w14:textId="77777777">
        <w:tc>
          <w:tcPr>
            <w:tcW w:w="6088" w:type="dxa"/>
            <w:shd w:val="clear" w:color="auto" w:fill="auto"/>
          </w:tcPr>
          <w:p w:rsidRPr="00A17C75" w:rsidR="003679BF" w:rsidP="00B64C34" w:rsidRDefault="003679BF" w14:paraId="3D784452" w14:textId="0998776C">
            <w:pPr>
              <w:widowControl/>
              <w:autoSpaceDE/>
              <w:autoSpaceDN/>
              <w:adjustRightInd/>
              <w:rPr>
                <w:szCs w:val="26"/>
              </w:rPr>
            </w:pPr>
            <w:r w:rsidRPr="00A17C75">
              <w:rPr>
                <w:szCs w:val="26"/>
              </w:rPr>
              <w:t>Inquiry Regarding the Commission</w:t>
            </w:r>
            <w:r w:rsidR="00A23137">
              <w:rPr>
                <w:szCs w:val="26"/>
              </w:rPr>
              <w:t>’</w:t>
            </w:r>
            <w:r w:rsidRPr="00A17C75">
              <w:rPr>
                <w:szCs w:val="26"/>
              </w:rPr>
              <w:t>s Policy for Determining Return on Equity</w:t>
            </w:r>
          </w:p>
        </w:tc>
        <w:tc>
          <w:tcPr>
            <w:tcW w:w="1560" w:type="dxa"/>
            <w:shd w:val="clear" w:color="auto" w:fill="auto"/>
          </w:tcPr>
          <w:p w:rsidRPr="00A17C75" w:rsidR="003679BF" w:rsidP="00B64C34" w:rsidRDefault="003679BF" w14:paraId="49E1D049" w14:textId="77777777">
            <w:pPr>
              <w:widowControl/>
              <w:autoSpaceDE/>
              <w:autoSpaceDN/>
              <w:adjustRightInd/>
              <w:rPr>
                <w:szCs w:val="26"/>
              </w:rPr>
            </w:pPr>
            <w:r w:rsidRPr="00A17C75">
              <w:rPr>
                <w:szCs w:val="26"/>
              </w:rPr>
              <w:t>Docket No.</w:t>
            </w:r>
          </w:p>
        </w:tc>
        <w:tc>
          <w:tcPr>
            <w:tcW w:w="1928" w:type="dxa"/>
            <w:shd w:val="clear" w:color="auto" w:fill="auto"/>
          </w:tcPr>
          <w:p w:rsidRPr="00A17C75" w:rsidR="003679BF" w:rsidP="00B64C34" w:rsidRDefault="003679BF" w14:paraId="770059D5" w14:textId="77777777">
            <w:pPr>
              <w:widowControl/>
              <w:autoSpaceDE/>
              <w:autoSpaceDN/>
              <w:adjustRightInd/>
              <w:rPr>
                <w:szCs w:val="26"/>
              </w:rPr>
            </w:pPr>
            <w:r w:rsidRPr="00A17C75">
              <w:rPr>
                <w:szCs w:val="26"/>
              </w:rPr>
              <w:t>PL19-4-000</w:t>
            </w:r>
          </w:p>
        </w:tc>
      </w:tr>
    </w:tbl>
    <w:p w:rsidRPr="00A17C75" w:rsidR="003679BF" w:rsidP="00B64C34" w:rsidRDefault="003679BF" w14:paraId="3A8885F3" w14:textId="77777777">
      <w:pPr>
        <w:rPr>
          <w:szCs w:val="26"/>
        </w:rPr>
      </w:pPr>
    </w:p>
    <w:p w:rsidRPr="00A17C75" w:rsidR="003679BF" w:rsidP="00B64C34" w:rsidRDefault="003679BF" w14:paraId="22878DDA" w14:textId="77777777">
      <w:pPr>
        <w:rPr>
          <w:szCs w:val="26"/>
        </w:rPr>
      </w:pPr>
    </w:p>
    <w:p w:rsidRPr="00A17C75" w:rsidR="003679BF" w:rsidP="00B64C34" w:rsidRDefault="003679BF" w14:paraId="45599E1D" w14:textId="77777777">
      <w:pPr>
        <w:jc w:val="center"/>
        <w:rPr>
          <w:szCs w:val="26"/>
        </w:rPr>
      </w:pPr>
      <w:r w:rsidRPr="00A17C75">
        <w:rPr>
          <w:szCs w:val="26"/>
        </w:rPr>
        <w:t>POLICY STATEMENT ON DETERMINING RETURN ON EQUITY FOR NATURAL GAS AND OIL PIPELINES</w:t>
      </w:r>
    </w:p>
    <w:p w:rsidRPr="00A17C75" w:rsidR="003679BF" w:rsidP="00B64C34" w:rsidRDefault="003679BF" w14:paraId="1A13A809" w14:textId="77777777">
      <w:pPr>
        <w:jc w:val="center"/>
        <w:rPr>
          <w:szCs w:val="26"/>
        </w:rPr>
      </w:pPr>
    </w:p>
    <w:p w:rsidRPr="005627E1" w:rsidR="005627E1" w:rsidP="005627E1" w:rsidRDefault="005627E1" w14:paraId="7D4F4EBA" w14:textId="668C4009">
      <w:pPr>
        <w:widowControl/>
        <w:jc w:val="center"/>
        <w:rPr>
          <w:szCs w:val="26"/>
        </w:rPr>
      </w:pPr>
      <w:r w:rsidRPr="005627E1">
        <w:rPr>
          <w:szCs w:val="26"/>
        </w:rPr>
        <w:t>(Issued May 21, 2020)</w:t>
      </w:r>
    </w:p>
    <w:p w:rsidRPr="00A17C75" w:rsidR="003679BF" w:rsidP="00B64C34" w:rsidRDefault="003679BF" w14:paraId="7007B000" w14:textId="77777777">
      <w:pPr>
        <w:rPr>
          <w:szCs w:val="26"/>
        </w:rPr>
      </w:pPr>
    </w:p>
    <w:p w:rsidRPr="00A17C75" w:rsidR="003679BF" w:rsidP="00454A58" w:rsidRDefault="00337417" w14:paraId="71F7E8EE" w14:textId="1AB31421">
      <w:pPr>
        <w:pStyle w:val="FERCparanumber"/>
        <w:rPr>
          <w:szCs w:val="26"/>
        </w:rPr>
      </w:pPr>
      <w:r w:rsidRPr="00A17C75">
        <w:rPr>
          <w:szCs w:val="26"/>
        </w:rPr>
        <w:t>On March 21, 2019, the Commission issued a Notice of Inquiry</w:t>
      </w:r>
      <w:r w:rsidR="008F3B12">
        <w:rPr>
          <w:szCs w:val="26"/>
        </w:rPr>
        <w:t xml:space="preserve"> (NOI)</w:t>
      </w:r>
      <w:r w:rsidRPr="00A17C75">
        <w:rPr>
          <w:szCs w:val="26"/>
        </w:rPr>
        <w:t xml:space="preserve"> </w:t>
      </w:r>
      <w:r w:rsidRPr="00A17C75" w:rsidR="005A228F">
        <w:rPr>
          <w:szCs w:val="26"/>
        </w:rPr>
        <w:t xml:space="preserve">seeking information and stakeholder views to help the Commission explore whether, and if so how, it should modify its policies concerning the determination of the return on equity (ROE) to be used in designing jurisdictional rates charged by </w:t>
      </w:r>
      <w:r w:rsidR="00446B86">
        <w:rPr>
          <w:szCs w:val="26"/>
        </w:rPr>
        <w:t>public</w:t>
      </w:r>
      <w:r w:rsidR="00896D77">
        <w:rPr>
          <w:szCs w:val="26"/>
        </w:rPr>
        <w:t xml:space="preserve"> </w:t>
      </w:r>
      <w:r w:rsidRPr="00A17C75" w:rsidR="005A228F">
        <w:rPr>
          <w:szCs w:val="26"/>
        </w:rPr>
        <w:t>utilities.</w:t>
      </w:r>
      <w:r w:rsidRPr="00A17C75" w:rsidR="00F41E46">
        <w:rPr>
          <w:rStyle w:val="FootnoteReference"/>
          <w:szCs w:val="26"/>
        </w:rPr>
        <w:footnoteReference w:id="2"/>
      </w:r>
      <w:r w:rsidRPr="00A17C75" w:rsidR="005A228F">
        <w:rPr>
          <w:szCs w:val="26"/>
        </w:rPr>
        <w:t xml:space="preserve">  The </w:t>
      </w:r>
      <w:r w:rsidR="00FA7EEB">
        <w:rPr>
          <w:szCs w:val="26"/>
        </w:rPr>
        <w:t>Commission</w:t>
      </w:r>
      <w:r w:rsidRPr="00A17C75" w:rsidR="005A228F">
        <w:rPr>
          <w:szCs w:val="26"/>
        </w:rPr>
        <w:t xml:space="preserve"> also sought comment on whether any changes to </w:t>
      </w:r>
      <w:r w:rsidR="00B3172C">
        <w:rPr>
          <w:szCs w:val="26"/>
        </w:rPr>
        <w:t>its</w:t>
      </w:r>
      <w:r w:rsidRPr="00A17C75" w:rsidR="005A228F">
        <w:rPr>
          <w:szCs w:val="26"/>
        </w:rPr>
        <w:t xml:space="preserve"> policies concerning public utility ROEs should be applied to interstate natural gas and oil pipelines</w:t>
      </w:r>
      <w:r w:rsidRPr="00A17C75" w:rsidR="00E72A8B">
        <w:rPr>
          <w:szCs w:val="26"/>
        </w:rPr>
        <w:t>.</w:t>
      </w:r>
      <w:r w:rsidRPr="00A17C75" w:rsidR="00F41E46">
        <w:rPr>
          <w:rStyle w:val="FootnoteReference"/>
          <w:szCs w:val="26"/>
        </w:rPr>
        <w:footnoteReference w:id="3"/>
      </w:r>
      <w:r w:rsidRPr="00A17C75" w:rsidR="00AA738F">
        <w:rPr>
          <w:szCs w:val="26"/>
        </w:rPr>
        <w:t xml:space="preserve">  On November 21, 2019, the Commission issued Opinion No. 569</w:t>
      </w:r>
      <w:r w:rsidRPr="00A17C75" w:rsidR="00AA738F">
        <w:rPr>
          <w:rStyle w:val="FootnoteReference"/>
          <w:szCs w:val="26"/>
        </w:rPr>
        <w:footnoteReference w:id="4"/>
      </w:r>
      <w:r w:rsidRPr="00A17C75" w:rsidR="00AA738F">
        <w:rPr>
          <w:szCs w:val="26"/>
        </w:rPr>
        <w:t xml:space="preserve"> </w:t>
      </w:r>
      <w:r w:rsidR="00037A3D">
        <w:rPr>
          <w:szCs w:val="26"/>
        </w:rPr>
        <w:t>establishing</w:t>
      </w:r>
      <w:r w:rsidRPr="00A17C75" w:rsidR="00AA738F">
        <w:rPr>
          <w:szCs w:val="26"/>
        </w:rPr>
        <w:t xml:space="preserve"> a revised methodology for determining just and reasonable base ROEs for </w:t>
      </w:r>
      <w:r w:rsidR="00896D77">
        <w:rPr>
          <w:szCs w:val="26"/>
        </w:rPr>
        <w:t xml:space="preserve">public </w:t>
      </w:r>
      <w:r w:rsidRPr="00A17C75" w:rsidR="00AA738F">
        <w:rPr>
          <w:szCs w:val="26"/>
        </w:rPr>
        <w:t xml:space="preserve">utilities under the </w:t>
      </w:r>
      <w:r w:rsidRPr="00A17C75" w:rsidR="00AA738F">
        <w:rPr>
          <w:szCs w:val="26"/>
        </w:rPr>
        <w:lastRenderedPageBreak/>
        <w:t>Federal Power Act</w:t>
      </w:r>
      <w:r w:rsidR="00FA0382">
        <w:rPr>
          <w:szCs w:val="26"/>
        </w:rPr>
        <w:t xml:space="preserve"> (FPA)</w:t>
      </w:r>
      <w:r w:rsidRPr="00A17C75" w:rsidR="00AA738F">
        <w:rPr>
          <w:szCs w:val="26"/>
        </w:rPr>
        <w:t xml:space="preserve">.  Concurrently with the issuance of this Policy Statement, the Commission is issuing Opinion No. 569-A </w:t>
      </w:r>
      <w:r w:rsidR="00037A3D">
        <w:rPr>
          <w:szCs w:val="26"/>
        </w:rPr>
        <w:t>adopting changes to the base ROE methodology established in</w:t>
      </w:r>
      <w:r w:rsidRPr="00A17C75" w:rsidR="00AA738F">
        <w:rPr>
          <w:szCs w:val="26"/>
        </w:rPr>
        <w:t xml:space="preserve"> Opinion No. 569.</w:t>
      </w:r>
      <w:r w:rsidRPr="00A17C75" w:rsidR="00AA738F">
        <w:rPr>
          <w:rStyle w:val="FootnoteReference"/>
          <w:szCs w:val="26"/>
        </w:rPr>
        <w:footnoteReference w:id="5"/>
      </w:r>
    </w:p>
    <w:p w:rsidRPr="00A17C75" w:rsidR="005A228F" w:rsidP="00454A58" w:rsidRDefault="00AA738F" w14:paraId="4FA13735" w14:textId="7ADD5536">
      <w:pPr>
        <w:pStyle w:val="FERCparanumber"/>
        <w:rPr>
          <w:szCs w:val="26"/>
        </w:rPr>
      </w:pPr>
      <w:r w:rsidRPr="00A17C75">
        <w:rPr>
          <w:szCs w:val="26"/>
        </w:rPr>
        <w:t xml:space="preserve">As explained below, we </w:t>
      </w:r>
      <w:r w:rsidRPr="00A17C75" w:rsidR="003604DB">
        <w:rPr>
          <w:szCs w:val="26"/>
        </w:rPr>
        <w:t xml:space="preserve">revise our policy for </w:t>
      </w:r>
      <w:r w:rsidR="00E928A6">
        <w:rPr>
          <w:szCs w:val="26"/>
        </w:rPr>
        <w:t>analyzing</w:t>
      </w:r>
      <w:r w:rsidRPr="00A17C75" w:rsidR="003604DB">
        <w:rPr>
          <w:szCs w:val="26"/>
        </w:rPr>
        <w:t xml:space="preserve"> </w:t>
      </w:r>
      <w:r w:rsidR="0082532E">
        <w:rPr>
          <w:szCs w:val="26"/>
        </w:rPr>
        <w:t xml:space="preserve">interstate natural </w:t>
      </w:r>
      <w:r w:rsidRPr="00A17C75" w:rsidR="003604DB">
        <w:rPr>
          <w:szCs w:val="26"/>
        </w:rPr>
        <w:t>gas and oil pipeline</w:t>
      </w:r>
      <w:r w:rsidR="00343A3A">
        <w:rPr>
          <w:szCs w:val="26"/>
        </w:rPr>
        <w:t xml:space="preserve"> </w:t>
      </w:r>
      <w:r w:rsidRPr="00A17C75" w:rsidR="00343A3A">
        <w:rPr>
          <w:szCs w:val="26"/>
        </w:rPr>
        <w:t>ROE</w:t>
      </w:r>
      <w:r w:rsidRPr="00A17C75" w:rsidR="003604DB">
        <w:rPr>
          <w:szCs w:val="26"/>
        </w:rPr>
        <w:t>s to adopt the methodology established</w:t>
      </w:r>
      <w:r w:rsidR="00343A3A">
        <w:rPr>
          <w:szCs w:val="26"/>
        </w:rPr>
        <w:t xml:space="preserve"> for </w:t>
      </w:r>
      <w:r w:rsidR="00446B86">
        <w:rPr>
          <w:szCs w:val="26"/>
        </w:rPr>
        <w:t>public</w:t>
      </w:r>
      <w:r w:rsidR="00343A3A">
        <w:rPr>
          <w:szCs w:val="26"/>
        </w:rPr>
        <w:t xml:space="preserve"> utilities</w:t>
      </w:r>
      <w:r w:rsidRPr="00A17C75" w:rsidR="003604DB">
        <w:rPr>
          <w:szCs w:val="26"/>
        </w:rPr>
        <w:t xml:space="preserve"> in Opinion No</w:t>
      </w:r>
      <w:r w:rsidR="00343A3A">
        <w:rPr>
          <w:szCs w:val="26"/>
        </w:rPr>
        <w:t>s</w:t>
      </w:r>
      <w:r w:rsidRPr="00A17C75" w:rsidR="003604DB">
        <w:rPr>
          <w:szCs w:val="26"/>
        </w:rPr>
        <w:t>.</w:t>
      </w:r>
      <w:r w:rsidR="00343A3A">
        <w:rPr>
          <w:szCs w:val="26"/>
        </w:rPr>
        <w:t xml:space="preserve"> 569 and</w:t>
      </w:r>
      <w:r w:rsidRPr="00A17C75" w:rsidR="003604DB">
        <w:rPr>
          <w:szCs w:val="26"/>
        </w:rPr>
        <w:t xml:space="preserve"> 569-A, with </w:t>
      </w:r>
      <w:r w:rsidR="00343A3A">
        <w:rPr>
          <w:szCs w:val="26"/>
        </w:rPr>
        <w:t>certain</w:t>
      </w:r>
      <w:r w:rsidRPr="00A17C75" w:rsidR="003604DB">
        <w:rPr>
          <w:szCs w:val="26"/>
        </w:rPr>
        <w:t xml:space="preserve"> exceptions</w:t>
      </w:r>
      <w:r w:rsidR="00E03B49">
        <w:rPr>
          <w:szCs w:val="26"/>
        </w:rPr>
        <w:t xml:space="preserve"> </w:t>
      </w:r>
      <w:r w:rsidRPr="00E03B49" w:rsidR="00E03B49">
        <w:rPr>
          <w:szCs w:val="26"/>
        </w:rPr>
        <w:t>to account for the statutory, operational, organizational and competitive differences among the industries</w:t>
      </w:r>
      <w:r w:rsidRPr="00A17C75" w:rsidR="003604DB">
        <w:rPr>
          <w:szCs w:val="26"/>
        </w:rPr>
        <w:t xml:space="preserve">.  Specifically, we will determine </w:t>
      </w:r>
      <w:r w:rsidR="00E928A6">
        <w:rPr>
          <w:szCs w:val="26"/>
        </w:rPr>
        <w:t xml:space="preserve">just and reasonable </w:t>
      </w:r>
      <w:r w:rsidR="0082532E">
        <w:rPr>
          <w:szCs w:val="26"/>
        </w:rPr>
        <w:t xml:space="preserve">natural </w:t>
      </w:r>
      <w:r w:rsidRPr="00A17C75" w:rsidR="003604DB">
        <w:rPr>
          <w:szCs w:val="26"/>
        </w:rPr>
        <w:t>gas and oil pipeline ROE</w:t>
      </w:r>
      <w:r w:rsidR="00156053">
        <w:rPr>
          <w:szCs w:val="26"/>
        </w:rPr>
        <w:t>s</w:t>
      </w:r>
      <w:r w:rsidRPr="00A17C75" w:rsidR="003604DB">
        <w:rPr>
          <w:szCs w:val="26"/>
        </w:rPr>
        <w:t xml:space="preserve"> by averaging the results of Discounted Cash Flow model (DCF) and Capital Asset Pricing Model (CAPM) analyses</w:t>
      </w:r>
      <w:r w:rsidR="00E928A6">
        <w:rPr>
          <w:szCs w:val="26"/>
        </w:rPr>
        <w:t xml:space="preserve">, according </w:t>
      </w:r>
      <w:r w:rsidR="002A0F0B">
        <w:rPr>
          <w:szCs w:val="26"/>
        </w:rPr>
        <w:t xml:space="preserve">equal weight to </w:t>
      </w:r>
      <w:r w:rsidR="00E928A6">
        <w:rPr>
          <w:szCs w:val="26"/>
        </w:rPr>
        <w:t>both models</w:t>
      </w:r>
      <w:r w:rsidR="00156053">
        <w:rPr>
          <w:szCs w:val="26"/>
        </w:rPr>
        <w:t>.  I</w:t>
      </w:r>
      <w:r w:rsidRPr="00A17C75" w:rsidR="003604DB">
        <w:rPr>
          <w:szCs w:val="26"/>
        </w:rPr>
        <w:t xml:space="preserve">n contrast to our methodology for </w:t>
      </w:r>
      <w:r w:rsidR="00446B86">
        <w:rPr>
          <w:szCs w:val="26"/>
        </w:rPr>
        <w:t>public</w:t>
      </w:r>
      <w:r w:rsidRPr="00A17C75" w:rsidR="003604DB">
        <w:rPr>
          <w:szCs w:val="26"/>
        </w:rPr>
        <w:t xml:space="preserve"> utilities, we </w:t>
      </w:r>
      <w:r w:rsidR="00156053">
        <w:rPr>
          <w:szCs w:val="26"/>
        </w:rPr>
        <w:t>retain the existing two-thirds/one-third weighting for the short</w:t>
      </w:r>
      <w:r w:rsidR="00EC0839">
        <w:rPr>
          <w:szCs w:val="26"/>
        </w:rPr>
        <w:t>-term</w:t>
      </w:r>
      <w:r w:rsidR="00156053">
        <w:rPr>
          <w:szCs w:val="26"/>
        </w:rPr>
        <w:t xml:space="preserve"> and long-term growth projections in the DCF and </w:t>
      </w:r>
      <w:r w:rsidRPr="00A17C75" w:rsidR="003604DB">
        <w:rPr>
          <w:szCs w:val="26"/>
        </w:rPr>
        <w:t xml:space="preserve">will not use </w:t>
      </w:r>
      <w:r w:rsidR="00534557">
        <w:rPr>
          <w:szCs w:val="26"/>
        </w:rPr>
        <w:t xml:space="preserve">the risk premium model discussed in Opinion No. 569 </w:t>
      </w:r>
      <w:r w:rsidR="00D801FB">
        <w:rPr>
          <w:szCs w:val="26"/>
        </w:rPr>
        <w:t xml:space="preserve">and modified in Opinion No. 569-A (Risk </w:t>
      </w:r>
      <w:r w:rsidRPr="00A17C75" w:rsidR="000C6B8D">
        <w:rPr>
          <w:szCs w:val="26"/>
        </w:rPr>
        <w:t>P</w:t>
      </w:r>
      <w:r w:rsidRPr="00A17C75" w:rsidR="003604DB">
        <w:rPr>
          <w:szCs w:val="26"/>
        </w:rPr>
        <w:t>remium</w:t>
      </w:r>
      <w:r w:rsidR="00534557">
        <w:rPr>
          <w:szCs w:val="26"/>
        </w:rPr>
        <w:t>)</w:t>
      </w:r>
      <w:r w:rsidRPr="00A17C75" w:rsidR="003604DB">
        <w:rPr>
          <w:szCs w:val="26"/>
        </w:rPr>
        <w:t xml:space="preserve">.  In addition, we clarify our policies governing the </w:t>
      </w:r>
      <w:r w:rsidR="00343A3A">
        <w:rPr>
          <w:szCs w:val="26"/>
        </w:rPr>
        <w:t>formation</w:t>
      </w:r>
      <w:r w:rsidRPr="00A17C75" w:rsidR="003604DB">
        <w:rPr>
          <w:szCs w:val="26"/>
        </w:rPr>
        <w:t xml:space="preserve"> of proxy groups and the treatment of outliers in </w:t>
      </w:r>
      <w:r w:rsidR="0082532E">
        <w:rPr>
          <w:szCs w:val="26"/>
        </w:rPr>
        <w:t xml:space="preserve">natural </w:t>
      </w:r>
      <w:r w:rsidRPr="00A17C75" w:rsidR="003604DB">
        <w:rPr>
          <w:szCs w:val="26"/>
        </w:rPr>
        <w:t>gas and oil pipeline</w:t>
      </w:r>
      <w:r w:rsidRPr="00A17C75" w:rsidR="00C77ADE">
        <w:rPr>
          <w:szCs w:val="26"/>
        </w:rPr>
        <w:t xml:space="preserve"> </w:t>
      </w:r>
      <w:r w:rsidRPr="00A17C75" w:rsidR="003604DB">
        <w:rPr>
          <w:szCs w:val="26"/>
        </w:rPr>
        <w:t xml:space="preserve">proceedings.  Finally, </w:t>
      </w:r>
      <w:r w:rsidR="00AB35F9">
        <w:rPr>
          <w:szCs w:val="26"/>
        </w:rPr>
        <w:t xml:space="preserve">as discussed below, </w:t>
      </w:r>
      <w:r w:rsidRPr="00A17C75" w:rsidR="003604DB">
        <w:rPr>
          <w:szCs w:val="26"/>
        </w:rPr>
        <w:t xml:space="preserve">we </w:t>
      </w:r>
      <w:r w:rsidR="00343A3A">
        <w:rPr>
          <w:szCs w:val="26"/>
        </w:rPr>
        <w:t xml:space="preserve">encourage </w:t>
      </w:r>
      <w:r w:rsidRPr="00A17C75" w:rsidR="003604DB">
        <w:rPr>
          <w:szCs w:val="26"/>
        </w:rPr>
        <w:t xml:space="preserve">oil pipelines </w:t>
      </w:r>
      <w:r w:rsidR="00343A3A">
        <w:rPr>
          <w:szCs w:val="26"/>
        </w:rPr>
        <w:t>to file updated FERC Form No. 6, page 700 data for 2019 to</w:t>
      </w:r>
      <w:r w:rsidRPr="00A17C75" w:rsidR="003604DB">
        <w:rPr>
          <w:szCs w:val="26"/>
        </w:rPr>
        <w:t xml:space="preserve"> reflect the revised ROE policy </w:t>
      </w:r>
      <w:r w:rsidR="00343A3A">
        <w:rPr>
          <w:szCs w:val="26"/>
        </w:rPr>
        <w:t>established herein</w:t>
      </w:r>
      <w:r w:rsidRPr="00A17C75" w:rsidR="003604DB">
        <w:rPr>
          <w:szCs w:val="26"/>
        </w:rPr>
        <w:t>.</w:t>
      </w:r>
    </w:p>
    <w:p w:rsidR="00337417" w:rsidP="00337417" w:rsidRDefault="00337417" w14:paraId="72062B58" w14:textId="763BFCDC">
      <w:pPr>
        <w:pStyle w:val="Heading1"/>
        <w:rPr>
          <w:szCs w:val="26"/>
        </w:rPr>
      </w:pPr>
      <w:r w:rsidRPr="00A17C75">
        <w:rPr>
          <w:szCs w:val="26"/>
        </w:rPr>
        <w:lastRenderedPageBreak/>
        <w:t>Background</w:t>
      </w:r>
    </w:p>
    <w:p w:rsidRPr="005D26F2" w:rsidR="005D26F2" w:rsidP="005D26F2" w:rsidRDefault="0082532E" w14:paraId="7B65D2F9" w14:textId="5AF2E894">
      <w:pPr>
        <w:pStyle w:val="Heading2"/>
      </w:pPr>
      <w:r>
        <w:t xml:space="preserve">Natural </w:t>
      </w:r>
      <w:r w:rsidR="005D26F2">
        <w:t>Gas and Oil Pipeline ROE Policy</w:t>
      </w:r>
    </w:p>
    <w:p w:rsidRPr="00A17C75" w:rsidR="000B4D29" w:rsidP="00C17389" w:rsidRDefault="00C17389" w14:paraId="55FFFD35" w14:textId="77777777">
      <w:pPr>
        <w:pStyle w:val="FERCparanumber"/>
        <w:rPr>
          <w:szCs w:val="26"/>
        </w:rPr>
      </w:pPr>
      <w:r w:rsidRPr="00A17C75">
        <w:rPr>
          <w:szCs w:val="26"/>
        </w:rPr>
        <w:t>The Supreme Court has stated that “the return to the equity owner should be commensurate with the return on investments in other enterprises having corresponding risks.  That return, moreover, should be sufficient to assure confidence in the financial integrity of the enterprise, so as to maintain its credit and to attract capital.”</w:t>
      </w:r>
      <w:r w:rsidRPr="00A17C75">
        <w:rPr>
          <w:rStyle w:val="FootnoteReference"/>
          <w:szCs w:val="26"/>
        </w:rPr>
        <w:footnoteReference w:id="6"/>
      </w:r>
      <w:r w:rsidRPr="00A17C75">
        <w:rPr>
          <w:szCs w:val="26"/>
        </w:rPr>
        <w:t xml:space="preserve">  </w:t>
      </w:r>
    </w:p>
    <w:p w:rsidRPr="00A17C75" w:rsidR="005203D3" w:rsidP="005203D3" w:rsidRDefault="00C17389" w14:paraId="3150B6D5" w14:textId="6DCD4122">
      <w:pPr>
        <w:pStyle w:val="FERCparanumber"/>
        <w:rPr>
          <w:szCs w:val="26"/>
        </w:rPr>
      </w:pPr>
      <w:r w:rsidRPr="00A17C75">
        <w:rPr>
          <w:szCs w:val="26"/>
        </w:rPr>
        <w:t>Since the 1980s, the Commission has</w:t>
      </w:r>
      <w:r w:rsidR="00E54A87">
        <w:rPr>
          <w:szCs w:val="26"/>
        </w:rPr>
        <w:t xml:space="preserve"> determined </w:t>
      </w:r>
      <w:r w:rsidR="00A26ECD">
        <w:rPr>
          <w:szCs w:val="26"/>
        </w:rPr>
        <w:t xml:space="preserve">natural </w:t>
      </w:r>
      <w:r w:rsidR="00E54A87">
        <w:rPr>
          <w:szCs w:val="26"/>
        </w:rPr>
        <w:t>gas and oil pipeline ROEs using</w:t>
      </w:r>
      <w:r w:rsidRPr="00A17C75">
        <w:rPr>
          <w:szCs w:val="26"/>
        </w:rPr>
        <w:t xml:space="preserve"> the DCF</w:t>
      </w:r>
      <w:r w:rsidR="00A26ECD">
        <w:rPr>
          <w:szCs w:val="26"/>
        </w:rPr>
        <w:t xml:space="preserve"> model</w:t>
      </w:r>
      <w:r w:rsidRPr="00A17C75">
        <w:rPr>
          <w:szCs w:val="26"/>
        </w:rPr>
        <w:t>.</w:t>
      </w:r>
      <w:r w:rsidRPr="00A17C75">
        <w:rPr>
          <w:rStyle w:val="FootnoteReference"/>
          <w:szCs w:val="26"/>
        </w:rPr>
        <w:footnoteReference w:id="7"/>
      </w:r>
      <w:r w:rsidRPr="00A17C75" w:rsidR="00C77ADE">
        <w:rPr>
          <w:szCs w:val="26"/>
        </w:rPr>
        <w:t xml:space="preserve">  </w:t>
      </w:r>
      <w:r w:rsidRPr="00A17C75" w:rsidR="00B92933">
        <w:rPr>
          <w:szCs w:val="26"/>
        </w:rPr>
        <w:t xml:space="preserve">The DCF </w:t>
      </w:r>
      <w:r w:rsidR="00A26ECD">
        <w:rPr>
          <w:szCs w:val="26"/>
        </w:rPr>
        <w:t xml:space="preserve">model </w:t>
      </w:r>
      <w:r w:rsidRPr="00A17C75" w:rsidR="00B92933">
        <w:rPr>
          <w:szCs w:val="26"/>
        </w:rPr>
        <w:t>is based on the premise that “a stock’s price is equal to the present value of the infinite stream of expected dividends discounted at a market rate commensurate with the stock’s risk.”</w:t>
      </w:r>
      <w:r w:rsidRPr="00A17C75" w:rsidR="00C77ADE">
        <w:rPr>
          <w:rStyle w:val="FootnoteReference"/>
          <w:szCs w:val="26"/>
        </w:rPr>
        <w:footnoteReference w:id="8"/>
      </w:r>
      <w:r w:rsidRPr="00A17C75" w:rsidR="00B92933">
        <w:rPr>
          <w:szCs w:val="26"/>
        </w:rPr>
        <w:t xml:space="preserve">  The Commission uses the DCF</w:t>
      </w:r>
      <w:r w:rsidR="00A26ECD">
        <w:rPr>
          <w:szCs w:val="26"/>
        </w:rPr>
        <w:t xml:space="preserve"> model</w:t>
      </w:r>
      <w:r w:rsidRPr="00A17C75" w:rsidR="00B92933">
        <w:rPr>
          <w:szCs w:val="26"/>
        </w:rPr>
        <w:t xml:space="preserve"> to estimate the return necessary for the </w:t>
      </w:r>
      <w:r w:rsidR="00896BEA">
        <w:rPr>
          <w:szCs w:val="26"/>
        </w:rPr>
        <w:t>pipeline</w:t>
      </w:r>
      <w:r w:rsidRPr="00A17C75" w:rsidR="00B92933">
        <w:rPr>
          <w:szCs w:val="26"/>
        </w:rPr>
        <w:t xml:space="preserve"> to attract capital based upon the range of returns that the market provides investors in a proxy group of publicly</w:t>
      </w:r>
      <w:r w:rsidR="005B40FF">
        <w:rPr>
          <w:szCs w:val="26"/>
        </w:rPr>
        <w:t xml:space="preserve"> </w:t>
      </w:r>
      <w:r w:rsidRPr="00A17C75" w:rsidR="00B92933">
        <w:rPr>
          <w:szCs w:val="26"/>
        </w:rPr>
        <w:t>traded entities with similar risk profiles.  The Commission estimates the required rate of return for each member of the proxy group using the following formula:</w:t>
      </w:r>
      <w:r w:rsidRPr="00A17C75" w:rsidR="005203D3">
        <w:rPr>
          <w:szCs w:val="26"/>
        </w:rPr>
        <w:t xml:space="preserve"> </w:t>
      </w:r>
    </w:p>
    <w:p w:rsidRPr="00A17C75" w:rsidR="005203D3" w:rsidP="005203D3" w:rsidRDefault="005203D3" w14:paraId="737FBA6A" w14:textId="33CE386E">
      <w:pPr>
        <w:pStyle w:val="FERCparanumber"/>
        <w:numPr>
          <w:ilvl w:val="0"/>
          <w:numId w:val="0"/>
        </w:numPr>
        <w:rPr>
          <w:szCs w:val="26"/>
        </w:rPr>
      </w:pPr>
      <m:oMathPara>
        <m:oMath>
          <m:r>
            <w:rPr>
              <w:rFonts w:ascii="Cambria Math" w:hAnsi="Cambria Math"/>
              <w:szCs w:val="26"/>
            </w:rPr>
            <m:t>k = D/P(1+.5g) + g</m:t>
          </m:r>
        </m:oMath>
      </m:oMathPara>
    </w:p>
    <w:p w:rsidRPr="00A17C75" w:rsidR="00EA6B8F" w:rsidP="005203D3" w:rsidRDefault="00B92933" w14:paraId="7FC3F1F9" w14:textId="597E7F24">
      <w:pPr>
        <w:pStyle w:val="FERCparanumber"/>
        <w:numPr>
          <w:ilvl w:val="0"/>
          <w:numId w:val="0"/>
        </w:numPr>
        <w:rPr>
          <w:szCs w:val="26"/>
        </w:rPr>
      </w:pPr>
      <w:r w:rsidRPr="00A17C75">
        <w:rPr>
          <w:szCs w:val="26"/>
        </w:rPr>
        <w:lastRenderedPageBreak/>
        <w:t xml:space="preserve">where </w:t>
      </w:r>
      <w:r w:rsidRPr="00912DC8" w:rsidR="005203D3">
        <w:rPr>
          <w:i/>
          <w:iCs/>
          <w:szCs w:val="26"/>
        </w:rPr>
        <w:t xml:space="preserve">k </w:t>
      </w:r>
      <w:r w:rsidRPr="00A17C75" w:rsidR="005203D3">
        <w:rPr>
          <w:szCs w:val="26"/>
        </w:rPr>
        <w:t xml:space="preserve">is the discount rate (or investors’ required return), </w:t>
      </w:r>
      <w:r w:rsidRPr="00912DC8" w:rsidR="005203D3">
        <w:rPr>
          <w:i/>
          <w:iCs/>
          <w:szCs w:val="26"/>
        </w:rPr>
        <w:t>D</w:t>
      </w:r>
      <w:r w:rsidRPr="00A17C75" w:rsidR="005203D3">
        <w:rPr>
          <w:szCs w:val="26"/>
        </w:rPr>
        <w:t xml:space="preserve"> is the current dividend, </w:t>
      </w:r>
      <w:r w:rsidRPr="00912DC8">
        <w:rPr>
          <w:i/>
          <w:iCs/>
          <w:szCs w:val="26"/>
        </w:rPr>
        <w:t>P</w:t>
      </w:r>
      <w:r w:rsidRPr="00A17C75">
        <w:rPr>
          <w:szCs w:val="26"/>
        </w:rPr>
        <w:t xml:space="preserve"> is the price of stock at the relevant time, and </w:t>
      </w:r>
      <w:r w:rsidRPr="00912DC8">
        <w:rPr>
          <w:i/>
          <w:iCs/>
          <w:szCs w:val="26"/>
        </w:rPr>
        <w:t>g</w:t>
      </w:r>
      <w:r w:rsidRPr="00A17C75">
        <w:rPr>
          <w:szCs w:val="26"/>
        </w:rPr>
        <w:t xml:space="preserve"> is the expected growth rate in dividends based upon the weighted averaging of short-term and long-term growth estimates</w:t>
      </w:r>
      <w:r w:rsidRPr="00A17C75" w:rsidR="005203D3">
        <w:rPr>
          <w:szCs w:val="26"/>
        </w:rPr>
        <w:t xml:space="preserve"> (referred to as the two-step procedure)</w:t>
      </w:r>
      <w:r w:rsidRPr="00A17C75">
        <w:rPr>
          <w:szCs w:val="26"/>
        </w:rPr>
        <w:t>.  The Commission multiplies the dividend yield (dividends divided by stock price</w:t>
      </w:r>
      <w:r w:rsidR="00912DC8">
        <w:rPr>
          <w:szCs w:val="26"/>
        </w:rPr>
        <w:t xml:space="preserve"> or </w:t>
      </w:r>
      <w:r w:rsidR="00912DC8">
        <w:rPr>
          <w:i/>
          <w:iCs/>
          <w:szCs w:val="26"/>
        </w:rPr>
        <w:t>D/P</w:t>
      </w:r>
      <w:r w:rsidRPr="00A17C75">
        <w:rPr>
          <w:szCs w:val="26"/>
        </w:rPr>
        <w:t>) by the expression (1+.5g) to account for the fact that dividends are paid on a quarterly basis.</w:t>
      </w:r>
      <w:r w:rsidR="00896BEA">
        <w:rPr>
          <w:szCs w:val="26"/>
        </w:rPr>
        <w:t xml:space="preserve">  </w:t>
      </w:r>
      <w:r w:rsidR="00912DC8">
        <w:rPr>
          <w:szCs w:val="26"/>
        </w:rPr>
        <w:t>F</w:t>
      </w:r>
      <w:r w:rsidR="003907D0">
        <w:rPr>
          <w:szCs w:val="26"/>
        </w:rPr>
        <w:t>or purposes of the (1+.5g) adjustment, the Commission uses only the short-term growth projection.</w:t>
      </w:r>
      <w:r w:rsidR="003907D0">
        <w:rPr>
          <w:rStyle w:val="FootnoteReference"/>
          <w:szCs w:val="26"/>
        </w:rPr>
        <w:footnoteReference w:id="9"/>
      </w:r>
    </w:p>
    <w:p w:rsidRPr="00420DF7" w:rsidR="005D26F2" w:rsidP="00420DF7" w:rsidRDefault="00B42734" w14:paraId="7EF893E4" w14:textId="0CB7CE32">
      <w:pPr>
        <w:pStyle w:val="FERCparanumber"/>
        <w:rPr>
          <w:szCs w:val="26"/>
        </w:rPr>
      </w:pPr>
      <w:r>
        <w:rPr>
          <w:szCs w:val="26"/>
        </w:rPr>
        <w:t>In the two-step DCF</w:t>
      </w:r>
      <w:r w:rsidR="00A26ECD">
        <w:rPr>
          <w:szCs w:val="26"/>
        </w:rPr>
        <w:t xml:space="preserve"> model</w:t>
      </w:r>
      <w:r>
        <w:rPr>
          <w:szCs w:val="26"/>
        </w:rPr>
        <w:t>, t</w:t>
      </w:r>
      <w:r w:rsidR="00EA6B8F">
        <w:rPr>
          <w:szCs w:val="26"/>
        </w:rPr>
        <w:t xml:space="preserve">he Commission </w:t>
      </w:r>
      <w:r w:rsidR="00DF4E11">
        <w:rPr>
          <w:szCs w:val="26"/>
        </w:rPr>
        <w:t>computes the expected growth rate (</w:t>
      </w:r>
      <w:r w:rsidRPr="00BA64DC" w:rsidR="00DF4E11">
        <w:rPr>
          <w:i/>
          <w:iCs/>
          <w:szCs w:val="26"/>
        </w:rPr>
        <w:t>g</w:t>
      </w:r>
      <w:r w:rsidR="00DF4E11">
        <w:rPr>
          <w:szCs w:val="26"/>
        </w:rPr>
        <w:t xml:space="preserve">) by giving two-thirds weight to </w:t>
      </w:r>
      <w:r w:rsidR="00BA64DC">
        <w:rPr>
          <w:szCs w:val="26"/>
        </w:rPr>
        <w:t>a</w:t>
      </w:r>
      <w:r w:rsidR="00DF4E11">
        <w:rPr>
          <w:szCs w:val="26"/>
        </w:rPr>
        <w:t xml:space="preserve"> short-term growth projection and one-third weight to </w:t>
      </w:r>
      <w:r w:rsidR="00BA64DC">
        <w:rPr>
          <w:szCs w:val="26"/>
        </w:rPr>
        <w:t>a</w:t>
      </w:r>
      <w:r w:rsidR="00DF4E11">
        <w:rPr>
          <w:szCs w:val="26"/>
        </w:rPr>
        <w:t xml:space="preserve"> long-term growth projection.</w:t>
      </w:r>
      <w:r w:rsidR="00DF4E11">
        <w:rPr>
          <w:rStyle w:val="FootnoteReference"/>
          <w:szCs w:val="26"/>
        </w:rPr>
        <w:footnoteReference w:id="10"/>
      </w:r>
      <w:r w:rsidR="00EA6B8F">
        <w:rPr>
          <w:szCs w:val="26"/>
        </w:rPr>
        <w:t xml:space="preserve"> </w:t>
      </w:r>
      <w:r w:rsidR="00DF4E11">
        <w:rPr>
          <w:szCs w:val="26"/>
        </w:rPr>
        <w:t xml:space="preserve"> For the short-term growth projection, the</w:t>
      </w:r>
      <w:r w:rsidR="00EA6B8F">
        <w:rPr>
          <w:szCs w:val="26"/>
        </w:rPr>
        <w:t xml:space="preserve"> Commission </w:t>
      </w:r>
      <w:r w:rsidR="00DF4E11">
        <w:rPr>
          <w:szCs w:val="26"/>
        </w:rPr>
        <w:t>uses</w:t>
      </w:r>
      <w:r w:rsidR="00EA6B8F">
        <w:rPr>
          <w:szCs w:val="26"/>
        </w:rPr>
        <w:t xml:space="preserve"> security analysts’ five-year forecasts for each company in the proxy group, as published by the Institutional Brokers </w:t>
      </w:r>
      <w:proofErr w:type="spellStart"/>
      <w:r w:rsidR="00EA6B8F">
        <w:rPr>
          <w:szCs w:val="26"/>
        </w:rPr>
        <w:t>Estimated</w:t>
      </w:r>
      <w:proofErr w:type="spellEnd"/>
      <w:r w:rsidR="00EA6B8F">
        <w:rPr>
          <w:szCs w:val="26"/>
        </w:rPr>
        <w:t xml:space="preserve"> System (IBES).</w:t>
      </w:r>
      <w:r w:rsidR="00FB0004">
        <w:rPr>
          <w:rStyle w:val="FootnoteReference"/>
          <w:szCs w:val="26"/>
        </w:rPr>
        <w:footnoteReference w:id="11"/>
      </w:r>
      <w:r w:rsidR="00EA6B8F">
        <w:rPr>
          <w:szCs w:val="26"/>
        </w:rPr>
        <w:t xml:space="preserve">  The long-term growth projection is based on forecasts</w:t>
      </w:r>
      <w:r>
        <w:rPr>
          <w:szCs w:val="26"/>
        </w:rPr>
        <w:t>, drawn from three different sources,</w:t>
      </w:r>
      <w:r>
        <w:rPr>
          <w:rStyle w:val="FootnoteReference"/>
          <w:szCs w:val="26"/>
        </w:rPr>
        <w:footnoteReference w:id="12"/>
      </w:r>
      <w:r>
        <w:rPr>
          <w:szCs w:val="26"/>
        </w:rPr>
        <w:t xml:space="preserve"> </w:t>
      </w:r>
      <w:r w:rsidR="00EA6B8F">
        <w:rPr>
          <w:szCs w:val="26"/>
        </w:rPr>
        <w:t>of long-term growth of the economy as a whole as reflected in the Gross Domestic Product (GDP)</w:t>
      </w:r>
      <w:r>
        <w:rPr>
          <w:szCs w:val="26"/>
        </w:rPr>
        <w:t>.</w:t>
      </w:r>
      <w:r w:rsidR="00FB0004">
        <w:rPr>
          <w:rStyle w:val="FootnoteReference"/>
          <w:szCs w:val="26"/>
        </w:rPr>
        <w:footnoteReference w:id="13"/>
      </w:r>
      <w:r>
        <w:rPr>
          <w:szCs w:val="26"/>
        </w:rPr>
        <w:t xml:space="preserve"> </w:t>
      </w:r>
      <w:r w:rsidR="00EA6B8F">
        <w:rPr>
          <w:szCs w:val="26"/>
        </w:rPr>
        <w:t xml:space="preserve"> </w:t>
      </w:r>
      <w:r w:rsidR="00873E41">
        <w:rPr>
          <w:szCs w:val="26"/>
        </w:rPr>
        <w:lastRenderedPageBreak/>
        <w:t xml:space="preserve">For proxy group members that are master limited partnerships (MLPs), the Commission </w:t>
      </w:r>
      <w:r w:rsidR="00DF4E11">
        <w:rPr>
          <w:szCs w:val="26"/>
        </w:rPr>
        <w:t xml:space="preserve">adjusts the long-term growth projection to equal </w:t>
      </w:r>
      <w:r w:rsidR="00873E41">
        <w:rPr>
          <w:szCs w:val="26"/>
        </w:rPr>
        <w:t>50</w:t>
      </w:r>
      <w:r w:rsidR="00A55018">
        <w:rPr>
          <w:szCs w:val="26"/>
        </w:rPr>
        <w:t>%</w:t>
      </w:r>
      <w:r w:rsidR="00873E41">
        <w:rPr>
          <w:szCs w:val="26"/>
        </w:rPr>
        <w:t xml:space="preserve"> of GDP.</w:t>
      </w:r>
      <w:r w:rsidR="004A4145">
        <w:rPr>
          <w:rStyle w:val="FootnoteReference"/>
          <w:szCs w:val="26"/>
        </w:rPr>
        <w:footnoteReference w:id="14"/>
      </w:r>
    </w:p>
    <w:p w:rsidRPr="0070782A" w:rsidR="009C54B7" w:rsidP="0070782A" w:rsidRDefault="00292454" w14:paraId="68A33ADB" w14:textId="212AADD4">
      <w:pPr>
        <w:pStyle w:val="FERCparanumber"/>
        <w:rPr>
          <w:szCs w:val="26"/>
        </w:rPr>
      </w:pPr>
      <w:r w:rsidRPr="00A17C75">
        <w:rPr>
          <w:szCs w:val="26"/>
        </w:rPr>
        <w:t xml:space="preserve">Because most </w:t>
      </w:r>
      <w:r w:rsidR="00A26ECD">
        <w:rPr>
          <w:szCs w:val="26"/>
        </w:rPr>
        <w:t xml:space="preserve">natural </w:t>
      </w:r>
      <w:r w:rsidRPr="00A17C75">
        <w:rPr>
          <w:szCs w:val="26"/>
        </w:rPr>
        <w:t>gas and oil pipelines are wholly owned subsidiaries and their common stocks are not publicly traded, the Commission must use a proxy group of publicly traded firms with corresponding risks to set a range of reasonable returns.</w:t>
      </w:r>
      <w:r w:rsidR="007306FE">
        <w:rPr>
          <w:rStyle w:val="FootnoteReference"/>
          <w:szCs w:val="26"/>
        </w:rPr>
        <w:footnoteReference w:id="15"/>
      </w:r>
      <w:r w:rsidRPr="00A17C75">
        <w:rPr>
          <w:szCs w:val="26"/>
        </w:rPr>
        <w:t xml:space="preserve">  </w:t>
      </w:r>
      <w:r w:rsidRPr="004979C2" w:rsidR="007306FE">
        <w:rPr>
          <w:szCs w:val="26"/>
        </w:rPr>
        <w:t xml:space="preserve">The firms in the proxy group </w:t>
      </w:r>
      <w:r w:rsidR="00052B8A">
        <w:rPr>
          <w:szCs w:val="26"/>
        </w:rPr>
        <w:t>must</w:t>
      </w:r>
      <w:r w:rsidRPr="004979C2" w:rsidR="007306FE">
        <w:rPr>
          <w:szCs w:val="26"/>
        </w:rPr>
        <w:t xml:space="preserve"> be comparable to the </w:t>
      </w:r>
      <w:r w:rsidR="00DF4E11">
        <w:rPr>
          <w:szCs w:val="26"/>
        </w:rPr>
        <w:t>pipeline</w:t>
      </w:r>
      <w:r w:rsidRPr="004979C2" w:rsidR="007306FE">
        <w:rPr>
          <w:szCs w:val="26"/>
        </w:rPr>
        <w:t xml:space="preserve"> whose </w:t>
      </w:r>
      <w:r w:rsidR="00DF4E11">
        <w:rPr>
          <w:szCs w:val="26"/>
        </w:rPr>
        <w:t>ROE</w:t>
      </w:r>
      <w:r w:rsidRPr="004979C2" w:rsidR="007306FE">
        <w:rPr>
          <w:szCs w:val="26"/>
        </w:rPr>
        <w:t xml:space="preserve"> is being determined</w:t>
      </w:r>
      <w:r w:rsidR="00052B8A">
        <w:rPr>
          <w:szCs w:val="26"/>
        </w:rPr>
        <w:t>, or, i</w:t>
      </w:r>
      <w:r w:rsidRPr="004979C2" w:rsidR="007306FE">
        <w:rPr>
          <w:szCs w:val="26"/>
        </w:rPr>
        <w:t>n other words, the proxy group must be “risk-appropriate.”</w:t>
      </w:r>
      <w:r w:rsidRPr="004979C2" w:rsidR="007306FE">
        <w:rPr>
          <w:b/>
          <w:szCs w:val="26"/>
          <w:vertAlign w:val="superscript"/>
        </w:rPr>
        <w:footnoteReference w:id="16"/>
      </w:r>
      <w:r w:rsidR="007306FE">
        <w:rPr>
          <w:szCs w:val="26"/>
        </w:rPr>
        <w:t xml:space="preserve">  </w:t>
      </w:r>
      <w:r w:rsidRPr="00A17C75" w:rsidR="003E05F6">
        <w:rPr>
          <w:szCs w:val="26"/>
        </w:rPr>
        <w:t xml:space="preserve">The range of the proxy group’s returns produces the zone of reasonableness in which the pipeline’s </w:t>
      </w:r>
      <w:r w:rsidR="00F57050">
        <w:rPr>
          <w:szCs w:val="26"/>
        </w:rPr>
        <w:t>ROE</w:t>
      </w:r>
      <w:r w:rsidRPr="00A17C75" w:rsidR="003E05F6">
        <w:rPr>
          <w:szCs w:val="26"/>
        </w:rPr>
        <w:t xml:space="preserve"> may be set based on specific risks.  </w:t>
      </w:r>
      <w:r w:rsidR="00DF4E11">
        <w:rPr>
          <w:szCs w:val="26"/>
        </w:rPr>
        <w:t>Absent unusual circumstances showing that the pipeline faces anomalously high or low risks, t</w:t>
      </w:r>
      <w:r w:rsidRPr="00A17C75" w:rsidR="003E05F6">
        <w:rPr>
          <w:szCs w:val="26"/>
        </w:rPr>
        <w:t xml:space="preserve">he Commission </w:t>
      </w:r>
      <w:r w:rsidR="00F57050">
        <w:rPr>
          <w:szCs w:val="26"/>
        </w:rPr>
        <w:t xml:space="preserve">sets the pipeline’s </w:t>
      </w:r>
      <w:r w:rsidRPr="00A17C75" w:rsidR="00F57050">
        <w:rPr>
          <w:szCs w:val="26"/>
        </w:rPr>
        <w:t>cost-of-service nominal ROE</w:t>
      </w:r>
      <w:r w:rsidR="00F57050">
        <w:rPr>
          <w:szCs w:val="26"/>
        </w:rPr>
        <w:t xml:space="preserve"> at</w:t>
      </w:r>
      <w:r w:rsidRPr="00A17C75" w:rsidR="003E05F6">
        <w:rPr>
          <w:szCs w:val="26"/>
        </w:rPr>
        <w:t xml:space="preserve"> the median of the zone of reasonableness.</w:t>
      </w:r>
      <w:r w:rsidRPr="000D076E" w:rsidR="000D076E">
        <w:rPr>
          <w:b/>
          <w:szCs w:val="26"/>
          <w:vertAlign w:val="superscript"/>
        </w:rPr>
        <w:footnoteReference w:id="17"/>
      </w:r>
    </w:p>
    <w:p w:rsidRPr="004113CB" w:rsidR="004113CB" w:rsidP="00F2720D" w:rsidRDefault="004113CB" w14:paraId="699BB3AB" w14:textId="77777777">
      <w:pPr>
        <w:pStyle w:val="ListParagraph"/>
        <w:keepNext/>
        <w:keepLines/>
        <w:widowControl/>
        <w:spacing w:line="480" w:lineRule="auto"/>
        <w:ind w:left="1440"/>
        <w:contextualSpacing w:val="0"/>
        <w:outlineLvl w:val="1"/>
        <w:rPr>
          <w:rFonts w:eastAsiaTheme="majorEastAsia"/>
          <w:b/>
          <w:vanish/>
          <w:kern w:val="32"/>
          <w:szCs w:val="26"/>
          <w:u w:val="single"/>
        </w:rPr>
      </w:pPr>
    </w:p>
    <w:p w:rsidRPr="004113CB" w:rsidR="004113CB" w:rsidP="00F2720D" w:rsidRDefault="004113CB" w14:paraId="1C20312B" w14:textId="77777777">
      <w:pPr>
        <w:pStyle w:val="ListParagraph"/>
        <w:keepNext/>
        <w:keepLines/>
        <w:widowControl/>
        <w:spacing w:line="480" w:lineRule="auto"/>
        <w:ind w:left="1440"/>
        <w:contextualSpacing w:val="0"/>
        <w:outlineLvl w:val="1"/>
        <w:rPr>
          <w:rFonts w:eastAsiaTheme="majorEastAsia"/>
          <w:b/>
          <w:vanish/>
          <w:kern w:val="32"/>
          <w:szCs w:val="26"/>
          <w:u w:val="single"/>
        </w:rPr>
      </w:pPr>
    </w:p>
    <w:p w:rsidR="00C82A9D" w:rsidP="004113CB" w:rsidRDefault="00AC3A6D" w14:paraId="24E524C5" w14:textId="0EC6A433">
      <w:pPr>
        <w:pStyle w:val="Heading2"/>
        <w:numPr>
          <w:ilvl w:val="1"/>
          <w:numId w:val="25"/>
        </w:numPr>
      </w:pPr>
      <w:r>
        <w:t>Other</w:t>
      </w:r>
      <w:r w:rsidR="00C82A9D">
        <w:t xml:space="preserve"> </w:t>
      </w:r>
      <w:r>
        <w:t>Financial</w:t>
      </w:r>
      <w:r w:rsidR="00C82A9D">
        <w:t xml:space="preserve"> Models</w:t>
      </w:r>
    </w:p>
    <w:p w:rsidRPr="001C3547" w:rsidR="001C3547" w:rsidP="001C3547" w:rsidRDefault="00190F29" w14:paraId="584DF4CA" w14:textId="61AB87AB">
      <w:pPr>
        <w:pStyle w:val="FERCparanumber"/>
      </w:pPr>
      <w:r>
        <w:t>In the</w:t>
      </w:r>
      <w:r w:rsidR="009F1D69">
        <w:t xml:space="preserve"> NOI</w:t>
      </w:r>
      <w:r>
        <w:t>, the Commission</w:t>
      </w:r>
      <w:r w:rsidR="009F1D69">
        <w:t xml:space="preserve"> sought comment</w:t>
      </w:r>
      <w:r w:rsidR="00E95267">
        <w:t xml:space="preserve"> on</w:t>
      </w:r>
      <w:r w:rsidR="009F1D69">
        <w:t xml:space="preserve"> other financial models the Commission has considered </w:t>
      </w:r>
      <w:r w:rsidR="0085010E">
        <w:t xml:space="preserve">when determining ROE for </w:t>
      </w:r>
      <w:r w:rsidR="00446B86">
        <w:t>public</w:t>
      </w:r>
      <w:r w:rsidR="0085010E">
        <w:t xml:space="preserve"> utilities</w:t>
      </w:r>
      <w:r w:rsidR="00DF4E11">
        <w:t>, including the CAPM,</w:t>
      </w:r>
      <w:r w:rsidR="00534557">
        <w:t xml:space="preserve"> Risk Premium</w:t>
      </w:r>
      <w:r w:rsidR="009E2FB8">
        <w:t xml:space="preserve"> model</w:t>
      </w:r>
      <w:r w:rsidR="00534557">
        <w:t>, and</w:t>
      </w:r>
      <w:r w:rsidR="00DF4E11">
        <w:t xml:space="preserve"> </w:t>
      </w:r>
      <w:r w:rsidR="00534557">
        <w:t>an expected earnings analysis (Expected Earnings)</w:t>
      </w:r>
      <w:r w:rsidR="008D0AA9">
        <w:t>.</w:t>
      </w:r>
      <w:r w:rsidR="003033DE">
        <w:rPr>
          <w:rStyle w:val="FootnoteReference"/>
        </w:rPr>
        <w:footnoteReference w:id="18"/>
      </w:r>
    </w:p>
    <w:p w:rsidR="00795516" w:rsidP="00C82A9D" w:rsidRDefault="00795516" w14:paraId="1EC1C51C" w14:textId="56F8E139">
      <w:pPr>
        <w:pStyle w:val="Heading3"/>
      </w:pPr>
      <w:r>
        <w:t>CAPM</w:t>
      </w:r>
    </w:p>
    <w:p w:rsidRPr="00F050C1" w:rsidR="00F050C1" w:rsidP="00EE6774" w:rsidRDefault="005B2F22" w14:paraId="3788CFE3" w14:textId="500FC4C4">
      <w:pPr>
        <w:pStyle w:val="FERCparanumber"/>
      </w:pPr>
      <w:r>
        <w:rPr>
          <w:szCs w:val="26"/>
        </w:rPr>
        <w:t>Investors use CAPM analysis as a measure of the cost of equity relative to risk.</w:t>
      </w:r>
      <w:r>
        <w:rPr>
          <w:rStyle w:val="FootnoteReference"/>
          <w:szCs w:val="26"/>
        </w:rPr>
        <w:footnoteReference w:id="19"/>
      </w:r>
      <w:r w:rsidRPr="00E77696">
        <w:rPr>
          <w:b/>
          <w:bCs/>
          <w:vertAlign w:val="superscript"/>
        </w:rPr>
        <w:t xml:space="preserve"> </w:t>
      </w:r>
      <w:r>
        <w:rPr>
          <w:szCs w:val="26"/>
        </w:rPr>
        <w:t xml:space="preserve"> </w:t>
      </w:r>
      <w:r w:rsidRPr="00A17C75">
        <w:rPr>
          <w:szCs w:val="26"/>
        </w:rPr>
        <w:t xml:space="preserve">The CAPM </w:t>
      </w:r>
      <w:r>
        <w:rPr>
          <w:szCs w:val="26"/>
        </w:rPr>
        <w:t>is based on the theory that the market-required rate of return for a security is equal to the “risk-free rate” plus a risk premium associated with that security</w:t>
      </w:r>
      <w:r w:rsidRPr="00A17C75">
        <w:rPr>
          <w:szCs w:val="26"/>
        </w:rPr>
        <w:t>.  The CAPM estimates cost of equity by adding the risk-free rate</w:t>
      </w:r>
      <w:r>
        <w:rPr>
          <w:szCs w:val="26"/>
        </w:rPr>
        <w:t xml:space="preserve"> </w:t>
      </w:r>
      <w:r w:rsidRPr="00A17C75">
        <w:rPr>
          <w:szCs w:val="26"/>
        </w:rPr>
        <w:t xml:space="preserve">to the “market-risk premium” multiplied by “beta.” </w:t>
      </w:r>
      <w:r w:rsidR="0039087B">
        <w:rPr>
          <w:szCs w:val="26"/>
        </w:rPr>
        <w:t xml:space="preserve"> </w:t>
      </w:r>
      <w:r w:rsidRPr="00F050C1" w:rsidR="00F050C1">
        <w:t xml:space="preserve">The formula for </w:t>
      </w:r>
      <w:r w:rsidR="0039087B">
        <w:t xml:space="preserve">the </w:t>
      </w:r>
      <w:r w:rsidRPr="00F050C1" w:rsidR="00F050C1">
        <w:t>CAPM is as follows:</w:t>
      </w: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050C1" w:rsidR="00F050C1" w:rsidTr="00EE6774" w14:paraId="5960106B" w14:textId="77777777">
        <w:tc>
          <w:tcPr>
            <w:tcW w:w="9350" w:type="dxa"/>
          </w:tcPr>
          <w:p w:rsidRPr="00F050C1" w:rsidR="00F050C1" w:rsidP="00F050C1" w:rsidRDefault="005F0BF4" w14:paraId="169C0D56" w14:textId="77777777">
            <w:pPr>
              <w:autoSpaceDE/>
              <w:autoSpaceDN/>
              <w:adjustRightInd/>
              <w:spacing w:after="240"/>
              <w:jc w:val="both"/>
              <w:rPr>
                <w:rFonts w:eastAsia="ヒラギノ角ゴ Pro W3"/>
                <w:szCs w:val="26"/>
              </w:rPr>
            </w:pPr>
            <m:oMathPara>
              <m:oMath>
                <m:r>
                  <w:rPr>
                    <w:rFonts w:ascii="Cambria Math" w:hAnsi="Cambria Math" w:eastAsiaTheme="minorHAnsi"/>
                    <w:szCs w:val="26"/>
                  </w:rPr>
                  <m:t>R=</m:t>
                </m:r>
                <m:sSub>
                  <m:sSubPr>
                    <m:ctrlPr>
                      <w:rPr>
                        <w:rFonts w:ascii="Cambria Math" w:hAnsi="Cambria Math"/>
                      </w:rPr>
                    </m:ctrlPr>
                  </m:sSubPr>
                  <m:e>
                    <m:r>
                      <w:rPr>
                        <w:rFonts w:ascii="Cambria Math" w:hAnsi="Cambria Math" w:eastAsiaTheme="minorHAnsi"/>
                        <w:szCs w:val="26"/>
                      </w:rPr>
                      <m:t>r</m:t>
                    </m:r>
                  </m:e>
                  <m:sub>
                    <m:r>
                      <w:rPr>
                        <w:rFonts w:ascii="Cambria Math" w:hAnsi="Cambria Math" w:eastAsiaTheme="minorHAnsi"/>
                        <w:szCs w:val="26"/>
                      </w:rPr>
                      <m:t>f</m:t>
                    </m:r>
                  </m:sub>
                </m:sSub>
                <m:r>
                  <w:rPr>
                    <w:rFonts w:ascii="Cambria Math" w:hAnsi="Cambria Math" w:eastAsiaTheme="minorHAnsi"/>
                    <w:szCs w:val="26"/>
                  </w:rPr>
                  <m:t>+</m:t>
                </m:r>
                <m:sSub>
                  <m:sSubPr>
                    <m:ctrlPr>
                      <w:rPr>
                        <w:rFonts w:ascii="Cambria Math" w:hAnsi="Cambria Math"/>
                      </w:rPr>
                    </m:ctrlPr>
                  </m:sSubPr>
                  <m:e>
                    <m:r>
                      <w:rPr>
                        <w:rFonts w:ascii="Cambria Math" w:hAnsi="Cambria Math" w:eastAsiaTheme="minorHAnsi"/>
                        <w:szCs w:val="26"/>
                      </w:rPr>
                      <m:t>β</m:t>
                    </m:r>
                  </m:e>
                  <m:sub>
                    <m:r>
                      <w:rPr>
                        <w:rFonts w:ascii="Cambria Math" w:hAnsi="Cambria Math" w:eastAsiaTheme="minorHAnsi"/>
                        <w:szCs w:val="26"/>
                      </w:rPr>
                      <m:t>a</m:t>
                    </m:r>
                  </m:sub>
                </m:sSub>
                <m:d>
                  <m:dPr>
                    <m:ctrlPr>
                      <w:rPr>
                        <w:rFonts w:ascii="Cambria Math" w:hAnsi="Cambria Math"/>
                      </w:rPr>
                    </m:ctrlPr>
                  </m:dPr>
                  <m:e>
                    <m:sSub>
                      <m:sSubPr>
                        <m:ctrlPr>
                          <w:rPr>
                            <w:rFonts w:ascii="Cambria Math" w:hAnsi="Cambria Math"/>
                          </w:rPr>
                        </m:ctrlPr>
                      </m:sSubPr>
                      <m:e>
                        <m:r>
                          <w:rPr>
                            <w:rFonts w:ascii="Cambria Math" w:hAnsi="Cambria Math" w:eastAsiaTheme="minorHAnsi"/>
                            <w:szCs w:val="26"/>
                          </w:rPr>
                          <m:t>r</m:t>
                        </m:r>
                      </m:e>
                      <m:sub>
                        <m:r>
                          <w:rPr>
                            <w:rFonts w:ascii="Cambria Math" w:hAnsi="Cambria Math" w:eastAsiaTheme="minorHAnsi"/>
                            <w:szCs w:val="26"/>
                          </w:rPr>
                          <m:t>m</m:t>
                        </m:r>
                      </m:sub>
                    </m:sSub>
                    <m:r>
                      <w:rPr>
                        <w:rFonts w:ascii="Cambria Math" w:hAnsi="Cambria Math" w:eastAsiaTheme="minorHAnsi"/>
                        <w:szCs w:val="26"/>
                      </w:rPr>
                      <m:t>-</m:t>
                    </m:r>
                    <m:sSub>
                      <m:sSubPr>
                        <m:ctrlPr>
                          <w:rPr>
                            <w:rFonts w:ascii="Cambria Math" w:hAnsi="Cambria Math"/>
                          </w:rPr>
                        </m:ctrlPr>
                      </m:sSubPr>
                      <m:e>
                        <m:r>
                          <w:rPr>
                            <w:rFonts w:ascii="Cambria Math" w:hAnsi="Cambria Math" w:eastAsiaTheme="minorHAnsi"/>
                            <w:szCs w:val="26"/>
                          </w:rPr>
                          <m:t>r</m:t>
                        </m:r>
                      </m:e>
                      <m:sub>
                        <m:r>
                          <w:rPr>
                            <w:rFonts w:ascii="Cambria Math" w:hAnsi="Cambria Math" w:eastAsiaTheme="minorHAnsi"/>
                            <w:szCs w:val="26"/>
                          </w:rPr>
                          <m:t>f</m:t>
                        </m:r>
                      </m:sub>
                    </m:sSub>
                  </m:e>
                </m:d>
              </m:oMath>
            </m:oMathPara>
          </w:p>
          <w:p w:rsidRPr="00F050C1" w:rsidR="00F050C1" w:rsidP="00F050C1" w:rsidRDefault="001F12A8" w14:paraId="7BB855DC" w14:textId="77777777">
            <w:pPr>
              <w:autoSpaceDE/>
              <w:autoSpaceDN/>
              <w:adjustRightInd/>
              <w:rPr>
                <w:rFonts w:eastAsia="ヒラギノ角ゴ Pro W3"/>
                <w:szCs w:val="26"/>
              </w:rPr>
            </w:pPr>
            <m:oMath>
              <m:sSub>
                <m:sSubPr>
                  <m:ctrlPr>
                    <w:rPr>
                      <w:rFonts w:ascii="Cambria Math" w:hAnsi="Cambria Math"/>
                    </w:rPr>
                  </m:ctrlPr>
                </m:sSubPr>
                <m:e>
                  <m:r>
                    <w:rPr>
                      <w:rFonts w:ascii="Cambria Math" w:hAnsi="Cambria Math" w:eastAsiaTheme="minorHAnsi"/>
                      <w:szCs w:val="26"/>
                    </w:rPr>
                    <m:t>r</m:t>
                  </m:r>
                </m:e>
                <m:sub>
                  <m:r>
                    <w:rPr>
                      <w:rFonts w:ascii="Cambria Math" w:hAnsi="Cambria Math" w:eastAsiaTheme="minorHAnsi"/>
                      <w:szCs w:val="26"/>
                    </w:rPr>
                    <m:t>f</m:t>
                  </m:r>
                </m:sub>
              </m:sSub>
            </m:oMath>
            <w:r w:rsidRPr="00F050C1" w:rsidR="00F050C1">
              <w:rPr>
                <w:rFonts w:eastAsiaTheme="minorEastAsia"/>
                <w:szCs w:val="26"/>
              </w:rPr>
              <w:t xml:space="preserve"> = risk free rate (such as </w:t>
            </w:r>
            <w:r w:rsidRPr="00F050C1" w:rsidR="00F050C1">
              <w:rPr>
                <w:rFonts w:eastAsia="ヒラギノ角ゴ Pro W3"/>
                <w:szCs w:val="26"/>
              </w:rPr>
              <w:t>yield on 30-year U.S. Treasury bonds)</w:t>
            </w:r>
          </w:p>
          <w:p w:rsidRPr="00F050C1" w:rsidR="00F050C1" w:rsidP="00F050C1" w:rsidRDefault="00F050C1" w14:paraId="69C2CCE9" w14:textId="77777777">
            <w:pPr>
              <w:autoSpaceDE/>
              <w:autoSpaceDN/>
              <w:adjustRightInd/>
              <w:rPr>
                <w:rFonts w:eastAsiaTheme="minorEastAsia"/>
                <w:szCs w:val="26"/>
              </w:rPr>
            </w:pPr>
          </w:p>
          <w:p w:rsidRPr="00F050C1" w:rsidR="00F050C1" w:rsidP="00F050C1" w:rsidRDefault="001F12A8" w14:paraId="713BE760" w14:textId="77777777">
            <w:pPr>
              <w:autoSpaceDE/>
              <w:autoSpaceDN/>
              <w:adjustRightInd/>
              <w:rPr>
                <w:rFonts w:eastAsiaTheme="minorHAnsi"/>
                <w:szCs w:val="26"/>
              </w:rPr>
            </w:pPr>
            <m:oMath>
              <m:sSub>
                <m:sSubPr>
                  <m:ctrlPr>
                    <w:rPr>
                      <w:rFonts w:ascii="Cambria Math" w:hAnsi="Cambria Math"/>
                    </w:rPr>
                  </m:ctrlPr>
                </m:sSubPr>
                <m:e>
                  <m:r>
                    <w:rPr>
                      <w:rFonts w:ascii="Cambria Math" w:hAnsi="Cambria Math" w:eastAsiaTheme="minorHAnsi"/>
                      <w:szCs w:val="26"/>
                    </w:rPr>
                    <m:t>r</m:t>
                  </m:r>
                </m:e>
                <m:sub>
                  <m:r>
                    <w:rPr>
                      <w:rFonts w:ascii="Cambria Math" w:hAnsi="Cambria Math" w:eastAsiaTheme="minorHAnsi"/>
                      <w:szCs w:val="26"/>
                    </w:rPr>
                    <m:t>m</m:t>
                  </m:r>
                </m:sub>
              </m:sSub>
            </m:oMath>
            <w:r w:rsidRPr="00F050C1" w:rsidR="00F050C1">
              <w:rPr>
                <w:rFonts w:eastAsiaTheme="minorEastAsia"/>
                <w:szCs w:val="26"/>
              </w:rPr>
              <w:t>= expected market return</w:t>
            </w:r>
          </w:p>
          <w:p w:rsidRPr="00F050C1" w:rsidR="00F050C1" w:rsidP="00F050C1" w:rsidRDefault="00F050C1" w14:paraId="22283AD3" w14:textId="77777777">
            <w:pPr>
              <w:autoSpaceDE/>
              <w:autoSpaceDN/>
              <w:adjustRightInd/>
              <w:rPr>
                <w:rFonts w:eastAsiaTheme="minorEastAsia"/>
                <w:szCs w:val="26"/>
              </w:rPr>
            </w:pPr>
          </w:p>
          <w:p w:rsidRPr="00F050C1" w:rsidR="00F050C1" w:rsidP="00F050C1" w:rsidRDefault="001F12A8" w14:paraId="7C656852" w14:textId="77777777">
            <w:pPr>
              <w:autoSpaceDE/>
              <w:autoSpaceDN/>
              <w:adjustRightInd/>
              <w:rPr>
                <w:rFonts w:eastAsia="ヒラギノ角ゴ Pro W3"/>
                <w:szCs w:val="22"/>
              </w:rPr>
            </w:pPr>
            <m:oMath>
              <m:sSub>
                <m:sSubPr>
                  <m:ctrlPr>
                    <w:rPr>
                      <w:rFonts w:ascii="Cambria Math" w:hAnsi="Cambria Math"/>
                    </w:rPr>
                  </m:ctrlPr>
                </m:sSubPr>
                <m:e>
                  <m:r>
                    <w:rPr>
                      <w:rFonts w:ascii="Cambria Math" w:hAnsi="Cambria Math" w:eastAsiaTheme="minorHAnsi"/>
                      <w:szCs w:val="26"/>
                    </w:rPr>
                    <m:t>β</m:t>
                  </m:r>
                </m:e>
                <m:sub>
                  <m:r>
                    <w:rPr>
                      <w:rFonts w:ascii="Cambria Math" w:hAnsi="Cambria Math" w:eastAsiaTheme="minorHAnsi"/>
                      <w:szCs w:val="26"/>
                    </w:rPr>
                    <m:t>a</m:t>
                  </m:r>
                </m:sub>
              </m:sSub>
            </m:oMath>
            <w:r w:rsidRPr="00F050C1" w:rsidR="00F050C1">
              <w:rPr>
                <w:rFonts w:eastAsiaTheme="minorEastAsia"/>
                <w:szCs w:val="26"/>
              </w:rPr>
              <w:t xml:space="preserve">= beta, which measures the volatility of the security compared to the rest of the market. </w:t>
            </w:r>
          </w:p>
        </w:tc>
      </w:tr>
    </w:tbl>
    <w:p w:rsidR="0039087B" w:rsidP="0039087B" w:rsidRDefault="005B2F22" w14:paraId="5616013E" w14:textId="77777777">
      <w:pPr>
        <w:pStyle w:val="FERCparanumber"/>
        <w:numPr>
          <w:ilvl w:val="0"/>
          <w:numId w:val="0"/>
        </w:numPr>
        <w:rPr>
          <w:szCs w:val="26"/>
        </w:rPr>
      </w:pPr>
      <w:r w:rsidRPr="00A17C75">
        <w:rPr>
          <w:szCs w:val="26"/>
        </w:rPr>
        <w:t xml:space="preserve"> </w:t>
      </w:r>
    </w:p>
    <w:p w:rsidRPr="00A17C75" w:rsidR="004113CB" w:rsidP="00E77696" w:rsidRDefault="005B2F22" w14:paraId="469543A3" w14:textId="1457E81C">
      <w:pPr>
        <w:pStyle w:val="FERCparanumber"/>
        <w:numPr>
          <w:ilvl w:val="0"/>
          <w:numId w:val="0"/>
        </w:numPr>
        <w:rPr>
          <w:szCs w:val="26"/>
        </w:rPr>
      </w:pPr>
      <w:r w:rsidRPr="00A17C75">
        <w:rPr>
          <w:szCs w:val="26"/>
        </w:rPr>
        <w:lastRenderedPageBreak/>
        <w:t>The risk-free rate is represented by a proxy, typically the yield on 30-year U.S. Treasury bonds.  The market-risk premium is calculated by subtracting the risk-free rate from the “expected return,” which, in a forward-looking CAPM analysis, is based on a DCF analysis of a large segment of the market</w:t>
      </w:r>
      <w:r>
        <w:rPr>
          <w:szCs w:val="26"/>
        </w:rPr>
        <w:t>, such as the dividend paying companies in the S&amp;P 500</w:t>
      </w:r>
      <w:r w:rsidRPr="00A17C75">
        <w:rPr>
          <w:szCs w:val="26"/>
        </w:rPr>
        <w:t>.</w:t>
      </w:r>
      <w:r w:rsidRPr="00A17C75">
        <w:rPr>
          <w:b/>
          <w:szCs w:val="26"/>
          <w:vertAlign w:val="superscript"/>
        </w:rPr>
        <w:footnoteReference w:id="20"/>
      </w:r>
      <w:r w:rsidRPr="00A17C75">
        <w:rPr>
          <w:szCs w:val="26"/>
        </w:rPr>
        <w:t xml:space="preserve"> </w:t>
      </w:r>
      <w:r w:rsidR="0039087B">
        <w:rPr>
          <w:szCs w:val="26"/>
        </w:rPr>
        <w:t xml:space="preserve"> </w:t>
      </w:r>
      <w:r w:rsidRPr="00A17C75">
        <w:rPr>
          <w:szCs w:val="26"/>
        </w:rPr>
        <w:t>Betas measure the volatility of a particular stock relative to the market and are published by several commercial sources.</w:t>
      </w:r>
      <w:r w:rsidRPr="00A17C75">
        <w:rPr>
          <w:b/>
          <w:szCs w:val="26"/>
          <w:vertAlign w:val="superscript"/>
        </w:rPr>
        <w:footnoteReference w:id="21"/>
      </w:r>
      <w:r w:rsidRPr="00A17C75">
        <w:rPr>
          <w:b/>
          <w:szCs w:val="26"/>
        </w:rPr>
        <w:t xml:space="preserve"> </w:t>
      </w:r>
      <w:r w:rsidRPr="00A17C75">
        <w:rPr>
          <w:szCs w:val="26"/>
        </w:rPr>
        <w:t xml:space="preserve"> An entity may also seek to apply a size premium adjustment to the CAPM zone of reasonableness to account for the difference in size between itself and the dividend</w:t>
      </w:r>
      <w:r>
        <w:rPr>
          <w:szCs w:val="26"/>
        </w:rPr>
        <w:t xml:space="preserve"> </w:t>
      </w:r>
      <w:r w:rsidRPr="00A17C75">
        <w:rPr>
          <w:szCs w:val="26"/>
        </w:rPr>
        <w:t>paying companies in the S&amp;P 500.</w:t>
      </w:r>
      <w:r w:rsidRPr="00A17C75">
        <w:rPr>
          <w:b/>
          <w:szCs w:val="26"/>
          <w:vertAlign w:val="superscript"/>
        </w:rPr>
        <w:footnoteReference w:id="22"/>
      </w:r>
    </w:p>
    <w:p w:rsidR="00646D02" w:rsidP="00C82A9D" w:rsidRDefault="00646D02" w14:paraId="7DAF375A" w14:textId="73998192">
      <w:pPr>
        <w:pStyle w:val="Heading3"/>
      </w:pPr>
      <w:r>
        <w:t>Risk Premium</w:t>
      </w:r>
    </w:p>
    <w:p w:rsidRPr="00A17C75" w:rsidR="00646D02" w:rsidP="00646D02" w:rsidRDefault="00646D02" w14:paraId="5AB52499" w14:textId="47A24EDA">
      <w:pPr>
        <w:pStyle w:val="FERCparanumber"/>
        <w:rPr>
          <w:szCs w:val="26"/>
        </w:rPr>
      </w:pPr>
      <w:r w:rsidRPr="00A17C75">
        <w:rPr>
          <w:szCs w:val="26"/>
        </w:rPr>
        <w:t>Risk premium methodologies are “based on the simple idea that since investors in stocks take greater risk than investors in bonds, the former expect to earn a return on a stock investment that reflects a ‘premium’ over and above the return they expect to earn on a bond investment.”</w:t>
      </w:r>
      <w:r w:rsidRPr="00A17C75" w:rsidR="004113CB">
        <w:rPr>
          <w:b/>
          <w:szCs w:val="26"/>
          <w:vertAlign w:val="superscript"/>
        </w:rPr>
        <w:footnoteReference w:id="23"/>
      </w:r>
      <w:r w:rsidRPr="00A17C75">
        <w:rPr>
          <w:b/>
          <w:szCs w:val="26"/>
        </w:rPr>
        <w:t xml:space="preserve"> </w:t>
      </w:r>
      <w:r w:rsidRPr="00A17C75">
        <w:rPr>
          <w:szCs w:val="26"/>
        </w:rPr>
        <w:t xml:space="preserve"> This difference reflects the greater risk of a stock investment.</w:t>
      </w:r>
      <w:r w:rsidRPr="00A17C75" w:rsidR="004113CB">
        <w:rPr>
          <w:b/>
          <w:szCs w:val="26"/>
          <w:vertAlign w:val="superscript"/>
        </w:rPr>
        <w:footnoteReference w:id="24"/>
      </w:r>
      <w:r w:rsidRPr="00A17C75">
        <w:rPr>
          <w:b/>
          <w:szCs w:val="26"/>
        </w:rPr>
        <w:t xml:space="preserve"> </w:t>
      </w:r>
      <w:r w:rsidRPr="00A17C75">
        <w:rPr>
          <w:szCs w:val="26"/>
        </w:rPr>
        <w:t xml:space="preserve"> The risk premium return is calculated as follows:</w:t>
      </w:r>
    </w:p>
    <w:p w:rsidRPr="00A17C75" w:rsidR="00646D02" w:rsidP="00646D02" w:rsidRDefault="00646D02" w14:paraId="7249ED07" w14:textId="7C112BE2">
      <w:pPr>
        <w:pStyle w:val="FERCparanumber"/>
        <w:numPr>
          <w:ilvl w:val="0"/>
          <w:numId w:val="0"/>
        </w:numPr>
        <w:rPr>
          <w:i/>
          <w:szCs w:val="26"/>
        </w:rPr>
      </w:pPr>
      <m:oMathPara>
        <m:oMath>
          <m:r>
            <w:rPr>
              <w:rFonts w:ascii="Cambria Math" w:hAnsi="Cambria Math"/>
              <w:szCs w:val="26"/>
            </w:rPr>
            <w:lastRenderedPageBreak/>
            <m:t>R= I + RP</m:t>
          </m:r>
        </m:oMath>
      </m:oMathPara>
    </w:p>
    <w:p w:rsidRPr="006A0F38" w:rsidR="00646D02" w:rsidP="003A65C7" w:rsidRDefault="006A0F38" w14:paraId="361F643B" w14:textId="29C2E26B">
      <w:pPr>
        <w:pStyle w:val="FERCparanumber"/>
        <w:numPr>
          <w:ilvl w:val="0"/>
          <w:numId w:val="0"/>
        </w:numPr>
        <w:rPr>
          <w:i/>
          <w:szCs w:val="26"/>
        </w:rPr>
      </w:pPr>
      <w:r>
        <w:rPr>
          <w:iCs/>
          <w:szCs w:val="26"/>
        </w:rPr>
        <w:t>w</w:t>
      </w:r>
      <w:r w:rsidR="004978C9">
        <w:rPr>
          <w:iCs/>
          <w:szCs w:val="26"/>
        </w:rPr>
        <w:t xml:space="preserve">here </w:t>
      </w:r>
      <w:r w:rsidRPr="00A17C75" w:rsidR="00646D02">
        <w:rPr>
          <w:i/>
          <w:szCs w:val="26"/>
        </w:rPr>
        <w:t xml:space="preserve">I </w:t>
      </w:r>
      <w:proofErr w:type="gramStart"/>
      <w:r>
        <w:rPr>
          <w:szCs w:val="26"/>
        </w:rPr>
        <w:t>represents</w:t>
      </w:r>
      <w:proofErr w:type="gramEnd"/>
      <w:r w:rsidRPr="00A17C75" w:rsidR="00646D02">
        <w:rPr>
          <w:szCs w:val="26"/>
        </w:rPr>
        <w:t xml:space="preserve"> current applicable bond yield </w:t>
      </w:r>
      <w:r>
        <w:rPr>
          <w:szCs w:val="26"/>
        </w:rPr>
        <w:t>and</w:t>
      </w:r>
      <w:r>
        <w:rPr>
          <w:i/>
          <w:szCs w:val="26"/>
        </w:rPr>
        <w:t xml:space="preserve"> </w:t>
      </w:r>
      <w:r w:rsidRPr="00A17C75" w:rsidR="00646D02">
        <w:rPr>
          <w:i/>
          <w:szCs w:val="26"/>
        </w:rPr>
        <w:t xml:space="preserve">RP </w:t>
      </w:r>
      <w:r>
        <w:rPr>
          <w:szCs w:val="26"/>
        </w:rPr>
        <w:t>represents the</w:t>
      </w:r>
      <w:r w:rsidRPr="00A17C75" w:rsidR="00646D02">
        <w:rPr>
          <w:szCs w:val="26"/>
        </w:rPr>
        <w:t xml:space="preserve"> risk premium, which consists of the difference between (a) applicable annual common equity premiums and (b) applicable bond yields.</w:t>
      </w:r>
    </w:p>
    <w:p w:rsidRPr="00A17C75" w:rsidR="00646D02" w:rsidP="00EE6774" w:rsidRDefault="00646D02" w14:paraId="55394F81" w14:textId="74AB348B">
      <w:pPr>
        <w:pStyle w:val="FERCparanumber"/>
        <w:rPr>
          <w:szCs w:val="26"/>
        </w:rPr>
      </w:pPr>
      <w:r w:rsidRPr="00A17C75">
        <w:rPr>
          <w:szCs w:val="26"/>
        </w:rPr>
        <w:t>Although there are multiple approaches to determining an entity’s equity risk premium</w:t>
      </w:r>
      <w:r w:rsidR="000B14F0">
        <w:rPr>
          <w:szCs w:val="26"/>
        </w:rPr>
        <w:t xml:space="preserve"> (</w:t>
      </w:r>
      <w:r w:rsidRPr="000B14F0" w:rsidR="000B14F0">
        <w:rPr>
          <w:i/>
          <w:iCs/>
          <w:szCs w:val="26"/>
        </w:rPr>
        <w:t>RP</w:t>
      </w:r>
      <w:r w:rsidR="000B14F0">
        <w:rPr>
          <w:szCs w:val="26"/>
        </w:rPr>
        <w:t>)</w:t>
      </w:r>
      <w:r w:rsidRPr="00A17C75">
        <w:rPr>
          <w:szCs w:val="26"/>
        </w:rPr>
        <w:t>, the Risk Premium model addressed in Opinion No</w:t>
      </w:r>
      <w:r w:rsidR="004B4D71">
        <w:rPr>
          <w:szCs w:val="26"/>
        </w:rPr>
        <w:t>s</w:t>
      </w:r>
      <w:r w:rsidRPr="00A17C75">
        <w:rPr>
          <w:szCs w:val="26"/>
        </w:rPr>
        <w:t>. 569</w:t>
      </w:r>
      <w:r w:rsidR="004B4D71">
        <w:rPr>
          <w:szCs w:val="26"/>
        </w:rPr>
        <w:t xml:space="preserve"> and 569-A</w:t>
      </w:r>
      <w:r w:rsidRPr="00A17C75">
        <w:rPr>
          <w:szCs w:val="26"/>
        </w:rPr>
        <w:t xml:space="preserve"> “</w:t>
      </w:r>
      <w:proofErr w:type="spellStart"/>
      <w:r w:rsidRPr="00A17C75">
        <w:rPr>
          <w:szCs w:val="26"/>
        </w:rPr>
        <w:t>examin</w:t>
      </w:r>
      <w:proofErr w:type="spellEnd"/>
      <w:r w:rsidRPr="00A17C75">
        <w:rPr>
          <w:szCs w:val="26"/>
        </w:rPr>
        <w:t>[e</w:t>
      </w:r>
      <w:r w:rsidR="00640AEB">
        <w:rPr>
          <w:szCs w:val="26"/>
        </w:rPr>
        <w:t>s</w:t>
      </w:r>
      <w:r w:rsidRPr="00A17C75">
        <w:rPr>
          <w:szCs w:val="26"/>
        </w:rPr>
        <w:t>] the risk premiums implied in the returns on equity allowed by regulatory commissions for utilities over some past period relative to the contemporaneous level of the long-term U.S. Treasury bond yield.”</w:t>
      </w:r>
      <w:r w:rsidRPr="00A17C75" w:rsidR="004113CB">
        <w:rPr>
          <w:b/>
          <w:szCs w:val="26"/>
          <w:vertAlign w:val="superscript"/>
        </w:rPr>
        <w:footnoteReference w:id="25"/>
      </w:r>
      <w:r w:rsidRPr="00A17C75">
        <w:rPr>
          <w:b/>
          <w:szCs w:val="26"/>
        </w:rPr>
        <w:t xml:space="preserve"> </w:t>
      </w:r>
      <w:r w:rsidRPr="00A17C75">
        <w:rPr>
          <w:szCs w:val="26"/>
        </w:rPr>
        <w:t xml:space="preserve"> This </w:t>
      </w:r>
      <w:r w:rsidR="000B14F0">
        <w:rPr>
          <w:szCs w:val="26"/>
        </w:rPr>
        <w:t>approach</w:t>
      </w:r>
      <w:r w:rsidRPr="00A17C75">
        <w:rPr>
          <w:szCs w:val="26"/>
        </w:rPr>
        <w:t xml:space="preserve"> develops the equity risk premium </w:t>
      </w:r>
      <w:r w:rsidR="00F3192B">
        <w:rPr>
          <w:szCs w:val="26"/>
        </w:rPr>
        <w:t>using</w:t>
      </w:r>
      <w:r w:rsidRPr="00A17C75">
        <w:rPr>
          <w:szCs w:val="26"/>
        </w:rPr>
        <w:t xml:space="preserve"> Commission-allowed ROEs for </w:t>
      </w:r>
      <w:r w:rsidR="00446B86">
        <w:rPr>
          <w:szCs w:val="26"/>
        </w:rPr>
        <w:t>public</w:t>
      </w:r>
      <w:r w:rsidRPr="00A17C75">
        <w:rPr>
          <w:szCs w:val="26"/>
        </w:rPr>
        <w:t xml:space="preserve"> utilities minus the</w:t>
      </w:r>
      <w:r w:rsidR="000B14F0">
        <w:rPr>
          <w:szCs w:val="26"/>
        </w:rPr>
        <w:t xml:space="preserve"> long-term </w:t>
      </w:r>
      <w:r w:rsidRPr="00A17C75">
        <w:rPr>
          <w:szCs w:val="26"/>
        </w:rPr>
        <w:t>bond yield.</w:t>
      </w:r>
    </w:p>
    <w:p w:rsidR="00646D02" w:rsidP="00C82A9D" w:rsidRDefault="00646D02" w14:paraId="0C3710B4" w14:textId="3932B109">
      <w:pPr>
        <w:pStyle w:val="Heading3"/>
      </w:pPr>
      <w:r>
        <w:t>Expected Earnings</w:t>
      </w:r>
    </w:p>
    <w:p w:rsidRPr="00313B9E" w:rsidR="00313B9E" w:rsidP="00AD62E4" w:rsidRDefault="00646D02" w14:paraId="42D4DA24" w14:textId="4B0F5F1A">
      <w:pPr>
        <w:pStyle w:val="FERCparanumber"/>
      </w:pPr>
      <w:r w:rsidRPr="00FF055E">
        <w:t>A comparable earnings analysis is a method of calculating the earnings an investor expects to receive on the book value of a particular stock.</w:t>
      </w:r>
      <w:r w:rsidR="00463784">
        <w:rPr>
          <w:rStyle w:val="FootnoteReference"/>
        </w:rPr>
        <w:footnoteReference w:id="26"/>
      </w:r>
      <w:r w:rsidRPr="00FF055E">
        <w:t xml:space="preserve">  The analysis can be either backward</w:t>
      </w:r>
      <w:r w:rsidRPr="00F35D97" w:rsidR="00F3192B">
        <w:t>-</w:t>
      </w:r>
      <w:r w:rsidRPr="00C22158">
        <w:t>looking using the company’s historical earning</w:t>
      </w:r>
      <w:r w:rsidRPr="00AD62E4">
        <w:t xml:space="preserve">s on book value, as reflected on the company’s accounting statements, or forward-looking using estimates of earnings on book value, as reflected in analysts’ earnings forecasts for the company.  The latter approach is often referred to as an “Expected Earnings analysis.”  </w:t>
      </w:r>
      <w:r w:rsidR="009E2FB8">
        <w:t xml:space="preserve">The </w:t>
      </w:r>
      <w:r w:rsidRPr="00AD62E4">
        <w:t>Expected Earnings</w:t>
      </w:r>
      <w:r w:rsidR="009E2FB8">
        <w:t xml:space="preserve"> </w:t>
      </w:r>
      <w:r w:rsidR="009E2FB8">
        <w:lastRenderedPageBreak/>
        <w:t>analysis</w:t>
      </w:r>
      <w:r w:rsidRPr="00AD62E4">
        <w:t xml:space="preserve"> provides an accounting-based approach that uses investment analyst estimates of return (net earnings) on book value (the equity portion of a company’s overall capital, excluding long-term debt).</w:t>
      </w:r>
      <w:r w:rsidRPr="00AD62E4" w:rsidR="00FE59F4">
        <w:rPr>
          <w:rStyle w:val="FootnoteReference"/>
        </w:rPr>
        <w:footnoteReference w:id="27"/>
      </w:r>
      <w:r w:rsidRPr="00313B9E" w:rsidR="00313B9E">
        <w:t xml:space="preserve"> </w:t>
      </w:r>
      <w:r w:rsidR="0039087B">
        <w:t xml:space="preserve"> </w:t>
      </w:r>
      <w:r w:rsidRPr="00313B9E" w:rsidR="00313B9E">
        <w:t>Algebraically, Expected Earnings can be expressed as follows:</w:t>
      </w: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13B9E" w:rsidR="00313B9E" w:rsidTr="00AD62E4" w14:paraId="34766406" w14:textId="77777777">
        <w:trPr>
          <w:trHeight w:val="1340"/>
        </w:trPr>
        <w:tc>
          <w:tcPr>
            <w:tcW w:w="9350" w:type="dxa"/>
          </w:tcPr>
          <w:p w:rsidRPr="00313B9E" w:rsidR="00313B9E" w:rsidP="00313B9E" w:rsidRDefault="00313B9E" w14:paraId="7AC17556" w14:textId="2DE9D802">
            <w:pPr>
              <w:keepNext/>
              <w:keepLines/>
              <w:widowControl/>
              <w:tabs>
                <w:tab w:val="num" w:pos="720"/>
              </w:tabs>
              <w:spacing w:after="240"/>
              <w:jc w:val="center"/>
              <w:rPr>
                <w:i/>
                <w:szCs w:val="26"/>
              </w:rPr>
            </w:pPr>
            <w:r w:rsidRPr="00313B9E">
              <w:rPr>
                <w:i/>
                <w:szCs w:val="26"/>
              </w:rPr>
              <w:t>R</w:t>
            </w:r>
            <w:r w:rsidR="006A13D4">
              <w:rPr>
                <w:i/>
                <w:szCs w:val="26"/>
              </w:rPr>
              <w:t xml:space="preserve"> </w:t>
            </w:r>
            <w:r w:rsidRPr="00313B9E">
              <w:rPr>
                <w:i/>
                <w:szCs w:val="26"/>
              </w:rPr>
              <w:t>=</w:t>
            </w:r>
            <w:r w:rsidR="006A13D4">
              <w:rPr>
                <w:i/>
                <w:szCs w:val="26"/>
              </w:rPr>
              <w:t xml:space="preserve"> </w:t>
            </w:r>
            <w:r w:rsidRPr="00313B9E">
              <w:rPr>
                <w:i/>
                <w:szCs w:val="26"/>
              </w:rPr>
              <w:t>E/B</w:t>
            </w:r>
          </w:p>
          <w:p w:rsidRPr="00313B9E" w:rsidR="00313B9E" w:rsidP="00313B9E" w:rsidRDefault="00313B9E" w14:paraId="6ABF5169" w14:textId="77777777">
            <w:pPr>
              <w:keepNext/>
              <w:keepLines/>
              <w:widowControl/>
              <w:tabs>
                <w:tab w:val="num" w:pos="720"/>
              </w:tabs>
              <w:spacing w:after="240"/>
              <w:rPr>
                <w:szCs w:val="26"/>
              </w:rPr>
            </w:pPr>
            <w:r w:rsidRPr="00313B9E">
              <w:rPr>
                <w:i/>
                <w:szCs w:val="26"/>
              </w:rPr>
              <w:t>E</w:t>
            </w:r>
            <w:r w:rsidRPr="00313B9E">
              <w:rPr>
                <w:szCs w:val="26"/>
              </w:rPr>
              <w:t xml:space="preserve"> = Earnings during Current Year</w:t>
            </w:r>
          </w:p>
          <w:p w:rsidRPr="00313B9E" w:rsidR="00313B9E" w:rsidP="00313B9E" w:rsidRDefault="00313B9E" w14:paraId="48A31C02" w14:textId="77777777">
            <w:pPr>
              <w:keepNext/>
              <w:keepLines/>
              <w:widowControl/>
              <w:tabs>
                <w:tab w:val="num" w:pos="720"/>
              </w:tabs>
              <w:spacing w:after="240"/>
              <w:rPr>
                <w:b/>
                <w:szCs w:val="26"/>
                <w:vertAlign w:val="superscript"/>
              </w:rPr>
            </w:pPr>
            <w:r w:rsidRPr="00313B9E">
              <w:rPr>
                <w:i/>
                <w:szCs w:val="26"/>
              </w:rPr>
              <w:t>B</w:t>
            </w:r>
            <w:r w:rsidRPr="00313B9E">
              <w:rPr>
                <w:szCs w:val="26"/>
              </w:rPr>
              <w:t xml:space="preserve"> = Book Value at the End of the Prior Year</w:t>
            </w:r>
          </w:p>
        </w:tc>
      </w:tr>
    </w:tbl>
    <w:p w:rsidR="00646D02" w:rsidP="001471F1" w:rsidRDefault="00646D02" w14:paraId="7B607DB0" w14:textId="6985A467">
      <w:pPr>
        <w:pStyle w:val="FERCparanumber"/>
        <w:numPr>
          <w:ilvl w:val="0"/>
          <w:numId w:val="0"/>
        </w:numPr>
        <w:rPr>
          <w:szCs w:val="26"/>
        </w:rPr>
      </w:pPr>
    </w:p>
    <w:p w:rsidRPr="00A17C75" w:rsidR="00983244" w:rsidP="00983244" w:rsidRDefault="00E900DB" w14:paraId="06C034E4" w14:textId="1DC7FA99">
      <w:pPr>
        <w:pStyle w:val="Heading2"/>
      </w:pPr>
      <w:r>
        <w:t>Public</w:t>
      </w:r>
      <w:r w:rsidR="00983244">
        <w:t xml:space="preserve"> Utility ROE Proceedings Following </w:t>
      </w:r>
      <w:r w:rsidR="00983244">
        <w:rPr>
          <w:i/>
          <w:iCs/>
        </w:rPr>
        <w:t>Emera Maine v. FERC</w:t>
      </w:r>
    </w:p>
    <w:p w:rsidR="00E72A8B" w:rsidP="00983244" w:rsidRDefault="0077482F" w14:paraId="53797FD2" w14:textId="7E43D9AD">
      <w:pPr>
        <w:pStyle w:val="Heading3"/>
      </w:pPr>
      <w:r>
        <w:t>Briefing Orders</w:t>
      </w:r>
      <w:r w:rsidR="00983244">
        <w:t xml:space="preserve"> and </w:t>
      </w:r>
      <w:r w:rsidR="00983244">
        <w:rPr>
          <w:i/>
          <w:iCs/>
        </w:rPr>
        <w:t>Trailblazer</w:t>
      </w:r>
    </w:p>
    <w:p w:rsidRPr="00983244" w:rsidR="00C67525" w:rsidP="00983244" w:rsidRDefault="00AC3A6D" w14:paraId="399C2851" w14:textId="132D72A0">
      <w:pPr>
        <w:pStyle w:val="FERCparanumber"/>
        <w:rPr>
          <w:szCs w:val="26"/>
        </w:rPr>
      </w:pPr>
      <w:r>
        <w:rPr>
          <w:szCs w:val="26"/>
        </w:rPr>
        <w:t xml:space="preserve">Following the </w:t>
      </w:r>
      <w:r w:rsidR="00D245C1">
        <w:rPr>
          <w:szCs w:val="26"/>
        </w:rPr>
        <w:t xml:space="preserve">decision of the </w:t>
      </w:r>
      <w:r>
        <w:rPr>
          <w:szCs w:val="26"/>
        </w:rPr>
        <w:t xml:space="preserve">United States Court of Appeals for the District of Columbia Circuit </w:t>
      </w:r>
      <w:r w:rsidR="000441E6">
        <w:rPr>
          <w:szCs w:val="26"/>
        </w:rPr>
        <w:t xml:space="preserve">(D.C. Circuit) </w:t>
      </w:r>
      <w:r w:rsidR="004B4D71">
        <w:rPr>
          <w:szCs w:val="26"/>
        </w:rPr>
        <w:t>in</w:t>
      </w:r>
      <w:r>
        <w:rPr>
          <w:szCs w:val="26"/>
        </w:rPr>
        <w:t xml:space="preserve"> </w:t>
      </w:r>
      <w:r>
        <w:rPr>
          <w:i/>
          <w:iCs/>
          <w:szCs w:val="26"/>
        </w:rPr>
        <w:t>Emera Maine v. FERC</w:t>
      </w:r>
      <w:r>
        <w:rPr>
          <w:szCs w:val="26"/>
        </w:rPr>
        <w:t>,</w:t>
      </w:r>
      <w:r>
        <w:rPr>
          <w:rStyle w:val="FootnoteReference"/>
          <w:szCs w:val="26"/>
        </w:rPr>
        <w:footnoteReference w:id="28"/>
      </w:r>
      <w:r w:rsidR="00A0687A">
        <w:rPr>
          <w:szCs w:val="26"/>
        </w:rPr>
        <w:t xml:space="preserve"> the Commission issued</w:t>
      </w:r>
      <w:r w:rsidR="00C82A9D">
        <w:rPr>
          <w:szCs w:val="26"/>
        </w:rPr>
        <w:t xml:space="preserve"> two</w:t>
      </w:r>
      <w:r w:rsidR="00A0687A">
        <w:rPr>
          <w:szCs w:val="26"/>
        </w:rPr>
        <w:t xml:space="preserve"> </w:t>
      </w:r>
      <w:r w:rsidR="001244B2">
        <w:rPr>
          <w:szCs w:val="26"/>
        </w:rPr>
        <w:t>briefing</w:t>
      </w:r>
      <w:r w:rsidR="00A0687A">
        <w:rPr>
          <w:szCs w:val="26"/>
        </w:rPr>
        <w:t xml:space="preserve"> orders</w:t>
      </w:r>
      <w:r w:rsidR="00A0687A">
        <w:rPr>
          <w:rStyle w:val="FootnoteReference"/>
          <w:szCs w:val="26"/>
        </w:rPr>
        <w:footnoteReference w:id="29"/>
      </w:r>
      <w:r w:rsidR="00A0687A">
        <w:rPr>
          <w:szCs w:val="26"/>
        </w:rPr>
        <w:t xml:space="preserve"> </w:t>
      </w:r>
      <w:r>
        <w:rPr>
          <w:szCs w:val="26"/>
        </w:rPr>
        <w:t>in the fall of 2018 proposing</w:t>
      </w:r>
      <w:r w:rsidR="001244B2">
        <w:rPr>
          <w:szCs w:val="26"/>
        </w:rPr>
        <w:t xml:space="preserve"> </w:t>
      </w:r>
      <w:r w:rsidR="00A0687A">
        <w:rPr>
          <w:szCs w:val="26"/>
        </w:rPr>
        <w:t>a new methodology</w:t>
      </w:r>
      <w:r w:rsidR="00742D9F">
        <w:rPr>
          <w:szCs w:val="26"/>
        </w:rPr>
        <w:t xml:space="preserve"> for </w:t>
      </w:r>
      <w:r w:rsidR="004B4D71">
        <w:rPr>
          <w:szCs w:val="26"/>
        </w:rPr>
        <w:t>analyzing</w:t>
      </w:r>
      <w:r w:rsidR="004B4D71">
        <w:t xml:space="preserve"> </w:t>
      </w:r>
      <w:r w:rsidR="00E900DB">
        <w:rPr>
          <w:szCs w:val="26"/>
        </w:rPr>
        <w:t>public</w:t>
      </w:r>
      <w:r w:rsidR="004B4D71">
        <w:rPr>
          <w:szCs w:val="26"/>
        </w:rPr>
        <w:t xml:space="preserve"> utility ROEs</w:t>
      </w:r>
      <w:r w:rsidR="004B4D71">
        <w:t xml:space="preserve"> under </w:t>
      </w:r>
      <w:r w:rsidR="00742D9F">
        <w:t>FPA section 206</w:t>
      </w:r>
      <w:r w:rsidR="004B4D71">
        <w:t>.</w:t>
      </w:r>
      <w:r w:rsidR="00742D9F">
        <w:rPr>
          <w:rStyle w:val="FootnoteReference"/>
        </w:rPr>
        <w:footnoteReference w:id="30"/>
      </w:r>
      <w:r w:rsidR="00983244">
        <w:rPr>
          <w:szCs w:val="26"/>
        </w:rPr>
        <w:t xml:space="preserve">  </w:t>
      </w:r>
      <w:r w:rsidRPr="00983244" w:rsidR="00FD1029">
        <w:rPr>
          <w:szCs w:val="26"/>
        </w:rPr>
        <w:t>The</w:t>
      </w:r>
      <w:r w:rsidRPr="00983244" w:rsidR="00C67525">
        <w:rPr>
          <w:szCs w:val="26"/>
        </w:rPr>
        <w:t xml:space="preserve"> Commission preliminarily found that “in light of current investor behavior and capital market conditions, relying on the DCF methodology alone will not produce a just and reasonable ROE.”</w:t>
      </w:r>
      <w:r w:rsidR="00FD1029">
        <w:rPr>
          <w:rStyle w:val="FootnoteReference"/>
          <w:szCs w:val="26"/>
        </w:rPr>
        <w:footnoteReference w:id="31"/>
      </w:r>
      <w:r w:rsidRPr="00983244" w:rsidR="00C67525">
        <w:rPr>
          <w:szCs w:val="26"/>
        </w:rPr>
        <w:t xml:space="preserve">  The Commission </w:t>
      </w:r>
      <w:r w:rsidRPr="00983244" w:rsidR="00C67525">
        <w:rPr>
          <w:szCs w:val="26"/>
        </w:rPr>
        <w:lastRenderedPageBreak/>
        <w:t xml:space="preserve">found that investors appear to base their decisions on numerous </w:t>
      </w:r>
      <w:r w:rsidR="0028778E">
        <w:rPr>
          <w:szCs w:val="26"/>
        </w:rPr>
        <w:t xml:space="preserve">financial </w:t>
      </w:r>
      <w:r w:rsidRPr="00983244" w:rsidR="00C67525">
        <w:rPr>
          <w:szCs w:val="26"/>
        </w:rPr>
        <w:t>models</w:t>
      </w:r>
      <w:r w:rsidR="00FD1029">
        <w:rPr>
          <w:rStyle w:val="FootnoteReference"/>
          <w:szCs w:val="26"/>
        </w:rPr>
        <w:footnoteReference w:id="32"/>
      </w:r>
      <w:r w:rsidRPr="00983244" w:rsidR="00C67525">
        <w:rPr>
          <w:szCs w:val="26"/>
        </w:rPr>
        <w:t xml:space="preserve"> and</w:t>
      </w:r>
      <w:r w:rsidRPr="00983244" w:rsidR="00FD1029">
        <w:rPr>
          <w:szCs w:val="26"/>
        </w:rPr>
        <w:t xml:space="preserve"> </w:t>
      </w:r>
      <w:r w:rsidR="0028778E">
        <w:rPr>
          <w:szCs w:val="26"/>
        </w:rPr>
        <w:t>may give greater weight to models other than the DCF in</w:t>
      </w:r>
      <w:r w:rsidRPr="00983244" w:rsidR="00C67525">
        <w:rPr>
          <w:szCs w:val="26"/>
        </w:rPr>
        <w:t xml:space="preserve"> estimating the expected returns from a utility investment.</w:t>
      </w:r>
      <w:r w:rsidR="0010429C">
        <w:rPr>
          <w:rStyle w:val="FootnoteReference"/>
          <w:szCs w:val="26"/>
        </w:rPr>
        <w:footnoteReference w:id="33"/>
      </w:r>
      <w:r w:rsidRPr="00983244" w:rsidR="00C67525">
        <w:rPr>
          <w:szCs w:val="26"/>
        </w:rPr>
        <w:t xml:space="preserve">  </w:t>
      </w:r>
      <w:r w:rsidRPr="00983244" w:rsidR="00F3192B">
        <w:rPr>
          <w:szCs w:val="26"/>
        </w:rPr>
        <w:t>As such, t</w:t>
      </w:r>
      <w:r w:rsidRPr="00983244" w:rsidR="00C67525">
        <w:rPr>
          <w:szCs w:val="26"/>
        </w:rPr>
        <w:t xml:space="preserve">he Commission proposed to determine ROE for </w:t>
      </w:r>
      <w:r w:rsidR="00446B86">
        <w:rPr>
          <w:szCs w:val="26"/>
        </w:rPr>
        <w:t>public</w:t>
      </w:r>
      <w:r w:rsidRPr="00983244" w:rsidR="00C67525">
        <w:rPr>
          <w:szCs w:val="26"/>
        </w:rPr>
        <w:t xml:space="preserve"> utilities by averaging the results of DCF, </w:t>
      </w:r>
      <w:r w:rsidRPr="00983244" w:rsidR="00F82C56">
        <w:rPr>
          <w:szCs w:val="26"/>
        </w:rPr>
        <w:t xml:space="preserve">CAPM, Expected Earnings, and </w:t>
      </w:r>
      <w:r w:rsidRPr="00983244" w:rsidR="00C67525">
        <w:rPr>
          <w:szCs w:val="26"/>
        </w:rPr>
        <w:t>Risk Premium</w:t>
      </w:r>
      <w:r w:rsidRPr="00983244" w:rsidR="00F82C56">
        <w:rPr>
          <w:szCs w:val="26"/>
        </w:rPr>
        <w:t xml:space="preserve"> analyses</w:t>
      </w:r>
      <w:r w:rsidRPr="00983244" w:rsidR="00F3192B">
        <w:rPr>
          <w:szCs w:val="26"/>
        </w:rPr>
        <w:t>, giving equal weight to each analysis</w:t>
      </w:r>
      <w:r w:rsidRPr="00983244" w:rsidR="00C67525">
        <w:rPr>
          <w:szCs w:val="26"/>
        </w:rPr>
        <w:t xml:space="preserve">.  The Commission established paper hearings and directed the parties </w:t>
      </w:r>
      <w:r w:rsidRPr="00983244" w:rsidR="006F32C0">
        <w:rPr>
          <w:szCs w:val="26"/>
        </w:rPr>
        <w:t xml:space="preserve">in those proceedings </w:t>
      </w:r>
      <w:r w:rsidRPr="00983244" w:rsidR="00C67525">
        <w:rPr>
          <w:szCs w:val="26"/>
        </w:rPr>
        <w:t>to file briefs in response.</w:t>
      </w:r>
    </w:p>
    <w:p w:rsidR="0077482F" w:rsidP="00C67525" w:rsidRDefault="001244B2" w14:paraId="7729798C" w14:textId="0211F276">
      <w:pPr>
        <w:pStyle w:val="FERCparanumber"/>
        <w:rPr>
          <w:szCs w:val="26"/>
        </w:rPr>
      </w:pPr>
      <w:r>
        <w:rPr>
          <w:szCs w:val="26"/>
        </w:rPr>
        <w:t>On February 21, 2019, w</w:t>
      </w:r>
      <w:r w:rsidRPr="00A17C75" w:rsidR="00C67525">
        <w:rPr>
          <w:szCs w:val="26"/>
        </w:rPr>
        <w:t xml:space="preserve">hile the paper hearings were pending, the Commission </w:t>
      </w:r>
      <w:r>
        <w:rPr>
          <w:szCs w:val="26"/>
        </w:rPr>
        <w:t xml:space="preserve">found in </w:t>
      </w:r>
      <w:r w:rsidRPr="00A17C75" w:rsidR="00C67525">
        <w:rPr>
          <w:i/>
          <w:szCs w:val="26"/>
        </w:rPr>
        <w:t>Trailblazer</w:t>
      </w:r>
      <w:r>
        <w:rPr>
          <w:i/>
          <w:szCs w:val="26"/>
        </w:rPr>
        <w:t xml:space="preserve"> Pipeline Company LLC</w:t>
      </w:r>
      <w:r w:rsidRPr="00A17C75" w:rsidR="00C67525">
        <w:rPr>
          <w:szCs w:val="26"/>
        </w:rPr>
        <w:t xml:space="preserve"> that “investor reliance upon multiple methodologies presumably applies to investments in natural gas pipelines” as well as </w:t>
      </w:r>
      <w:r w:rsidR="00446B86">
        <w:rPr>
          <w:szCs w:val="26"/>
        </w:rPr>
        <w:t>public</w:t>
      </w:r>
      <w:r w:rsidRPr="00A17C75" w:rsidR="00C67525">
        <w:rPr>
          <w:szCs w:val="26"/>
        </w:rPr>
        <w:t xml:space="preserve"> utilities.</w:t>
      </w:r>
      <w:r w:rsidRPr="00A17C75" w:rsidR="00B82115">
        <w:rPr>
          <w:rStyle w:val="FootnoteReference"/>
          <w:szCs w:val="26"/>
        </w:rPr>
        <w:footnoteReference w:id="34"/>
      </w:r>
      <w:r w:rsidRPr="00A17C75" w:rsidR="00C67525">
        <w:rPr>
          <w:szCs w:val="26"/>
        </w:rPr>
        <w:t xml:space="preserve">  </w:t>
      </w:r>
      <w:r w:rsidR="00443460">
        <w:rPr>
          <w:szCs w:val="26"/>
        </w:rPr>
        <w:t>The Commission therefore</w:t>
      </w:r>
      <w:r w:rsidRPr="00A17C75" w:rsidR="00C67525">
        <w:rPr>
          <w:szCs w:val="26"/>
        </w:rPr>
        <w:t xml:space="preserve"> permitted parties in that </w:t>
      </w:r>
      <w:r w:rsidR="009E2FB8">
        <w:rPr>
          <w:szCs w:val="26"/>
        </w:rPr>
        <w:t xml:space="preserve">natural </w:t>
      </w:r>
      <w:r w:rsidRPr="00A17C75" w:rsidR="00C67525">
        <w:rPr>
          <w:szCs w:val="26"/>
        </w:rPr>
        <w:t xml:space="preserve">gas pipeline cost-of-service rate </w:t>
      </w:r>
      <w:r w:rsidR="009E2FB8">
        <w:rPr>
          <w:szCs w:val="26"/>
        </w:rPr>
        <w:t>proceeding</w:t>
      </w:r>
      <w:r w:rsidRPr="00A17C75" w:rsidR="00C67525">
        <w:rPr>
          <w:szCs w:val="26"/>
        </w:rPr>
        <w:t xml:space="preserve"> to address the four alternative </w:t>
      </w:r>
      <w:r w:rsidR="00983244">
        <w:rPr>
          <w:szCs w:val="26"/>
        </w:rPr>
        <w:t>financial</w:t>
      </w:r>
      <w:r w:rsidRPr="00A17C75" w:rsidR="00C67525">
        <w:rPr>
          <w:szCs w:val="26"/>
        </w:rPr>
        <w:t xml:space="preserve"> models at hearing.</w:t>
      </w:r>
      <w:r w:rsidR="00983244">
        <w:rPr>
          <w:rStyle w:val="FootnoteReference"/>
          <w:szCs w:val="26"/>
        </w:rPr>
        <w:footnoteReference w:id="35"/>
      </w:r>
    </w:p>
    <w:p w:rsidR="0077482F" w:rsidP="00983244" w:rsidRDefault="0077482F" w14:paraId="664AA914" w14:textId="06AF6F58">
      <w:pPr>
        <w:pStyle w:val="Heading3"/>
      </w:pPr>
      <w:r>
        <w:lastRenderedPageBreak/>
        <w:t>Opinion No. 569</w:t>
      </w:r>
    </w:p>
    <w:p w:rsidRPr="00EB21A9" w:rsidR="00863EBA" w:rsidP="00EB21A9" w:rsidRDefault="00863EBA" w14:paraId="6351C8FF" w14:textId="4031D66D">
      <w:pPr>
        <w:pStyle w:val="FERCparanumber"/>
        <w:rPr>
          <w14:scene3d>
            <w14:camera w14:prst="orthographicFront"/>
            <w14:lightRig w14:rig="threePt" w14:dir="t">
              <w14:rot w14:lat="0" w14:lon="0" w14:rev="0"/>
            </w14:lightRig>
          </w14:scene3d>
        </w:rPr>
      </w:pPr>
      <w:bookmarkStart w:name="_Hlk36112462" w:id="1"/>
      <w:r w:rsidRPr="001063FC">
        <w:t xml:space="preserve">On </w:t>
      </w:r>
      <w:r w:rsidRPr="001063FC" w:rsidR="00A17C75">
        <w:t>November 21, 2019, the Commission issued Opinion No. 569</w:t>
      </w:r>
      <w:r w:rsidR="00A2446D">
        <w:t xml:space="preserve"> </w:t>
      </w:r>
      <w:r w:rsidR="00742D9F">
        <w:t>adopting</w:t>
      </w:r>
      <w:r w:rsidR="00A2446D">
        <w:t xml:space="preserve"> the proposal from the Briefing Orders, with several revisions</w:t>
      </w:r>
      <w:r w:rsidRPr="001063FC" w:rsidR="00A17C75">
        <w:t>.</w:t>
      </w:r>
      <w:r w:rsidR="00A2446D">
        <w:rPr>
          <w:rStyle w:val="FootnoteReference"/>
        </w:rPr>
        <w:footnoteReference w:id="36"/>
      </w:r>
      <w:r w:rsidRPr="001063FC" w:rsidR="00A17C75">
        <w:t xml:space="preserve">  </w:t>
      </w:r>
      <w:r w:rsidR="00A2446D">
        <w:t xml:space="preserve">The Commission explained that it would </w:t>
      </w:r>
      <w:r w:rsidR="00A13E0C">
        <w:t>use</w:t>
      </w:r>
      <w:r w:rsidR="00A2446D">
        <w:t xml:space="preserve"> the DCF </w:t>
      </w:r>
      <w:r w:rsidR="003B67CF">
        <w:t xml:space="preserve">model </w:t>
      </w:r>
      <w:r w:rsidR="00A2446D">
        <w:t>and CAPM</w:t>
      </w:r>
      <w:r w:rsidR="00A13E0C">
        <w:t xml:space="preserve"> in its </w:t>
      </w:r>
      <w:r w:rsidR="00E6447D">
        <w:t xml:space="preserve">ROE </w:t>
      </w:r>
      <w:r w:rsidR="00A13E0C">
        <w:t xml:space="preserve">analyses under </w:t>
      </w:r>
      <w:r w:rsidR="008E6D4F">
        <w:t xml:space="preserve">FPA </w:t>
      </w:r>
      <w:r w:rsidR="00A13E0C">
        <w:t>section 206</w:t>
      </w:r>
      <w:r w:rsidR="00A2446D">
        <w:rPr>
          <w:rStyle w:val="FootnoteReference"/>
        </w:rPr>
        <w:footnoteReference w:id="37"/>
      </w:r>
      <w:r w:rsidR="00A13E0C">
        <w:t xml:space="preserve"> </w:t>
      </w:r>
      <w:r w:rsidR="00D245C1">
        <w:t>and give</w:t>
      </w:r>
      <w:r w:rsidR="00A13E0C">
        <w:t xml:space="preserve"> equal weight to </w:t>
      </w:r>
      <w:r w:rsidR="00D245C1">
        <w:t>both</w:t>
      </w:r>
      <w:r w:rsidR="00A13E0C">
        <w:t xml:space="preserve"> model</w:t>
      </w:r>
      <w:r w:rsidR="00D245C1">
        <w:t>s</w:t>
      </w:r>
      <w:r w:rsidR="00A13E0C">
        <w:t>.</w:t>
      </w:r>
      <w:r w:rsidR="00A13E0C">
        <w:rPr>
          <w:rStyle w:val="FootnoteReference"/>
        </w:rPr>
        <w:footnoteReference w:id="38"/>
      </w:r>
      <w:r w:rsidR="00A2446D">
        <w:t xml:space="preserve"> </w:t>
      </w:r>
      <w:r w:rsidRPr="001063FC" w:rsidR="00A17C75">
        <w:t xml:space="preserve"> </w:t>
      </w:r>
      <w:r w:rsidR="00742D9F">
        <w:t>However, c</w:t>
      </w:r>
      <w:r w:rsidR="00A13E0C">
        <w:t xml:space="preserve">ontrary to the proposal in the Briefing Orders, the Commission </w:t>
      </w:r>
      <w:r w:rsidR="00603DE1">
        <w:t xml:space="preserve">declined to use either </w:t>
      </w:r>
      <w:r w:rsidR="003B67CF">
        <w:t xml:space="preserve">the </w:t>
      </w:r>
      <w:r w:rsidR="00603DE1">
        <w:t>Expected Earnings</w:t>
      </w:r>
      <w:r w:rsidR="003B67CF">
        <w:t xml:space="preserve"> analysis</w:t>
      </w:r>
      <w:r w:rsidR="00603DE1">
        <w:t xml:space="preserve"> or Risk Premium</w:t>
      </w:r>
      <w:r w:rsidR="003B67CF">
        <w:t xml:space="preserve"> model</w:t>
      </w:r>
      <w:r w:rsidR="00603DE1">
        <w:t>.</w:t>
      </w:r>
      <w:r w:rsidR="00603DE1">
        <w:rPr>
          <w:rStyle w:val="FootnoteReference"/>
        </w:rPr>
        <w:footnoteReference w:id="39"/>
      </w:r>
      <w:r w:rsidR="00EB21A9">
        <w:t xml:space="preserve">  The Commission also made findings as to the DCF </w:t>
      </w:r>
      <w:r w:rsidR="003B67CF">
        <w:t xml:space="preserve">model </w:t>
      </w:r>
      <w:r w:rsidR="00EB21A9">
        <w:t>and the CAPM and adopted</w:t>
      </w:r>
      <w:r w:rsidR="00983244">
        <w:t xml:space="preserve"> specific</w:t>
      </w:r>
      <w:r w:rsidR="00EB21A9">
        <w:t xml:space="preserve"> low and high-end outlier tests.</w:t>
      </w:r>
      <w:bookmarkEnd w:id="1"/>
    </w:p>
    <w:p w:rsidR="0077482F" w:rsidP="00983244" w:rsidRDefault="0077482F" w14:paraId="510D5C3D" w14:textId="637D38B9">
      <w:pPr>
        <w:pStyle w:val="Heading3"/>
      </w:pPr>
      <w:r>
        <w:t>Opinion No. 569-A</w:t>
      </w:r>
    </w:p>
    <w:p w:rsidRPr="00517A71" w:rsidR="00115545" w:rsidP="00517A71" w:rsidRDefault="009445B9" w14:paraId="0D74FCA3" w14:textId="2987FEA8">
      <w:pPr>
        <w:pStyle w:val="FERCparanumber"/>
        <w:rPr>
          <w:szCs w:val="26"/>
        </w:rPr>
      </w:pPr>
      <w:r>
        <w:rPr>
          <w:szCs w:val="26"/>
        </w:rPr>
        <w:t xml:space="preserve">In </w:t>
      </w:r>
      <w:r w:rsidRPr="00517A71" w:rsidR="00086783">
        <w:rPr>
          <w:szCs w:val="26"/>
        </w:rPr>
        <w:t>Opinion No. 569-A</w:t>
      </w:r>
      <w:r>
        <w:rPr>
          <w:szCs w:val="26"/>
        </w:rPr>
        <w:t>, the Commission</w:t>
      </w:r>
      <w:r w:rsidRPr="00517A71" w:rsidR="00086783">
        <w:rPr>
          <w:szCs w:val="26"/>
        </w:rPr>
        <w:t xml:space="preserve"> modifie</w:t>
      </w:r>
      <w:r w:rsidR="0060099E">
        <w:rPr>
          <w:szCs w:val="26"/>
        </w:rPr>
        <w:t>d</w:t>
      </w:r>
      <w:r w:rsidRPr="00517A71" w:rsidR="00086783">
        <w:rPr>
          <w:szCs w:val="26"/>
        </w:rPr>
        <w:t xml:space="preserve"> the</w:t>
      </w:r>
      <w:r w:rsidRPr="00517A71" w:rsidR="00C574CE">
        <w:rPr>
          <w:szCs w:val="26"/>
        </w:rPr>
        <w:t xml:space="preserve"> methodology established in Opinion No. 569</w:t>
      </w:r>
      <w:r w:rsidRPr="00517A71" w:rsidR="00086783">
        <w:rPr>
          <w:szCs w:val="26"/>
        </w:rPr>
        <w:t xml:space="preserve"> in several respects</w:t>
      </w:r>
      <w:r w:rsidRPr="00517A71" w:rsidR="00C574CE">
        <w:rPr>
          <w:szCs w:val="26"/>
        </w:rPr>
        <w:t>.</w:t>
      </w:r>
      <w:r w:rsidR="002052D7">
        <w:rPr>
          <w:szCs w:val="26"/>
        </w:rPr>
        <w:t xml:space="preserve">  First, as to the </w:t>
      </w:r>
      <w:r w:rsidR="005A166D">
        <w:rPr>
          <w:szCs w:val="26"/>
        </w:rPr>
        <w:t xml:space="preserve">DCF </w:t>
      </w:r>
      <w:r w:rsidR="002052D7">
        <w:rPr>
          <w:szCs w:val="26"/>
        </w:rPr>
        <w:t>model, the Commission reduced</w:t>
      </w:r>
      <w:r w:rsidRPr="00C86432" w:rsidR="003D44ED">
        <w:t xml:space="preserve"> the weighting of the long-term growth projection</w:t>
      </w:r>
      <w:r w:rsidR="00D245C1">
        <w:t xml:space="preserve"> </w:t>
      </w:r>
      <w:r w:rsidRPr="00C86432" w:rsidR="003D44ED">
        <w:t>from one-third to 20</w:t>
      </w:r>
      <w:r w:rsidR="00A55018">
        <w:t xml:space="preserve">% </w:t>
      </w:r>
      <w:r w:rsidRPr="00C86432" w:rsidR="004045EF">
        <w:t xml:space="preserve">and </w:t>
      </w:r>
      <w:r w:rsidR="00431898">
        <w:t>modified</w:t>
      </w:r>
      <w:r w:rsidRPr="00C86432" w:rsidR="00431898">
        <w:t xml:space="preserve"> </w:t>
      </w:r>
      <w:r w:rsidRPr="00C86432" w:rsidR="004045EF">
        <w:t>the high-end outlier test adopted in Opinion No. 569</w:t>
      </w:r>
      <w:r w:rsidRPr="00C86432" w:rsidR="003D44ED">
        <w:t>.</w:t>
      </w:r>
      <w:r w:rsidR="00532353">
        <w:rPr>
          <w:rStyle w:val="FootnoteReference"/>
        </w:rPr>
        <w:footnoteReference w:id="40"/>
      </w:r>
      <w:r w:rsidRPr="00C86432" w:rsidR="003D44ED">
        <w:t xml:space="preserve">  Second, as to the CAPM, </w:t>
      </w:r>
      <w:r>
        <w:t>the Commission</w:t>
      </w:r>
      <w:r w:rsidRPr="00C86432" w:rsidR="003D44ED">
        <w:t xml:space="preserve"> clarifie</w:t>
      </w:r>
      <w:r w:rsidR="00D245C1">
        <w:t>d</w:t>
      </w:r>
      <w:r w:rsidRPr="00C86432" w:rsidR="003D44ED">
        <w:t xml:space="preserve"> that </w:t>
      </w:r>
      <w:r>
        <w:t>it</w:t>
      </w:r>
      <w:r w:rsidR="00086783">
        <w:t xml:space="preserve"> will </w:t>
      </w:r>
      <w:r w:rsidR="00431898">
        <w:t>modify</w:t>
      </w:r>
      <w:r w:rsidRPr="00C86432" w:rsidR="00431898">
        <w:t xml:space="preserve"> </w:t>
      </w:r>
      <w:r w:rsidRPr="00C86432" w:rsidR="00086783">
        <w:t>the high-end outlier test adopted in Opinion No. 569</w:t>
      </w:r>
      <w:r w:rsidR="00282D3A">
        <w:rPr>
          <w:rStyle w:val="FootnoteReference"/>
        </w:rPr>
        <w:footnoteReference w:id="41"/>
      </w:r>
      <w:r w:rsidR="00086783">
        <w:t xml:space="preserve"> and that</w:t>
      </w:r>
      <w:r w:rsidR="00BC5C2C">
        <w:t xml:space="preserve"> </w:t>
      </w:r>
      <w:r>
        <w:t>it</w:t>
      </w:r>
      <w:r w:rsidR="00BC5C2C">
        <w:t xml:space="preserve"> will consider</w:t>
      </w:r>
      <w:r w:rsidR="00F74D33">
        <w:t xml:space="preserve">, based on evidence provided in future </w:t>
      </w:r>
      <w:r w:rsidR="00F74D33">
        <w:lastRenderedPageBreak/>
        <w:t>proceedings,</w:t>
      </w:r>
      <w:r w:rsidR="00BC5C2C">
        <w:t xml:space="preserve"> use</w:t>
      </w:r>
      <w:r w:rsidR="00086783">
        <w:t xml:space="preserve"> </w:t>
      </w:r>
      <w:r w:rsidR="00BC5C2C">
        <w:t>of</w:t>
      </w:r>
      <w:r w:rsidRPr="00C86432" w:rsidR="003D44ED">
        <w:t xml:space="preserve"> </w:t>
      </w:r>
      <w:r w:rsidRPr="00517A71" w:rsidR="003D44ED">
        <w:rPr>
          <w:i/>
          <w:iCs/>
        </w:rPr>
        <w:t>Value Line</w:t>
      </w:r>
      <w:r w:rsidRPr="00C86432" w:rsidR="003D44ED">
        <w:t xml:space="preserve"> data</w:t>
      </w:r>
      <w:r w:rsidR="00086783">
        <w:t>, instead of IBES data,</w:t>
      </w:r>
      <w:r w:rsidRPr="00C86432" w:rsidR="003D44ED">
        <w:t xml:space="preserve"> as the source of the short-term growth projection in the DCF </w:t>
      </w:r>
      <w:r w:rsidR="000B611B">
        <w:t>component</w:t>
      </w:r>
      <w:r w:rsidR="00431898">
        <w:t xml:space="preserve"> of the CAPM</w:t>
      </w:r>
      <w:r w:rsidRPr="00C86432" w:rsidR="004045EF">
        <w:t>.</w:t>
      </w:r>
      <w:r w:rsidR="00532353">
        <w:rPr>
          <w:rStyle w:val="FootnoteReference"/>
        </w:rPr>
        <w:footnoteReference w:id="42"/>
      </w:r>
      <w:r w:rsidRPr="00517A71" w:rsidR="004045EF">
        <w:rPr>
          <w:b/>
          <w:bCs/>
          <w:vertAlign w:val="superscript"/>
        </w:rPr>
        <w:t xml:space="preserve"> </w:t>
      </w:r>
      <w:r w:rsidRPr="00C86432" w:rsidR="004045EF">
        <w:t xml:space="preserve"> Third, </w:t>
      </w:r>
      <w:r>
        <w:t>the Commission</w:t>
      </w:r>
      <w:r w:rsidR="00C574CE">
        <w:t xml:space="preserve"> adopt</w:t>
      </w:r>
      <w:r w:rsidR="00D245C1">
        <w:t>ed</w:t>
      </w:r>
      <w:r w:rsidR="00C574CE">
        <w:t xml:space="preserve"> a modified version of the Risk Premium model.</w:t>
      </w:r>
      <w:r w:rsidR="007B208C">
        <w:rPr>
          <w:rStyle w:val="FootnoteReference"/>
        </w:rPr>
        <w:footnoteReference w:id="43"/>
      </w:r>
      <w:r w:rsidR="00B740D1">
        <w:t xml:space="preserve"> </w:t>
      </w:r>
      <w:r w:rsidR="00E0251E">
        <w:t xml:space="preserve"> </w:t>
      </w:r>
      <w:r w:rsidRPr="00E0251E" w:rsidR="00B740D1">
        <w:t>The Commission</w:t>
      </w:r>
      <w:r w:rsidR="000B611B">
        <w:t xml:space="preserve"> explained that it would afford equal weighting to the DCF, CAPM, and Risk Premium</w:t>
      </w:r>
      <w:r w:rsidR="00D245C1">
        <w:t xml:space="preserve"> analyses</w:t>
      </w:r>
      <w:r w:rsidRPr="00E0251E" w:rsidR="000B611B">
        <w:t xml:space="preserve"> </w:t>
      </w:r>
      <w:r w:rsidR="000B611B">
        <w:t xml:space="preserve">and </w:t>
      </w:r>
      <w:r w:rsidR="00172702">
        <w:t>denied requests for rehearing of its decision to exclude Expected Earnings</w:t>
      </w:r>
      <w:r w:rsidR="000B611B">
        <w:t>.</w:t>
      </w:r>
      <w:r w:rsidR="00532353">
        <w:rPr>
          <w:rStyle w:val="FootnoteReference"/>
        </w:rPr>
        <w:footnoteReference w:id="44"/>
      </w:r>
    </w:p>
    <w:p w:rsidR="00983244" w:rsidP="00983244" w:rsidRDefault="00983244" w14:paraId="53DFA6BA" w14:textId="1291E305">
      <w:pPr>
        <w:pStyle w:val="Heading2"/>
      </w:pPr>
      <w:r>
        <w:t>NOI</w:t>
      </w:r>
    </w:p>
    <w:p w:rsidR="00FC2F2C" w:rsidP="00983244" w:rsidRDefault="009445B9" w14:paraId="1C116F89" w14:textId="3C1C54C1">
      <w:pPr>
        <w:pStyle w:val="FERCparanumber"/>
      </w:pPr>
      <w:r>
        <w:t>In the NOI, the Commission</w:t>
      </w:r>
      <w:r w:rsidRPr="00A17C75" w:rsidR="00983244">
        <w:t xml:space="preserve"> </w:t>
      </w:r>
      <w:r w:rsidR="00983244">
        <w:t>requested</w:t>
      </w:r>
      <w:r w:rsidRPr="00A17C75" w:rsidR="00983244">
        <w:t xml:space="preserve"> comment on</w:t>
      </w:r>
      <w:r w:rsidR="00983244">
        <w:t xml:space="preserve"> </w:t>
      </w:r>
      <w:r w:rsidRPr="00A17C75" w:rsidR="00983244">
        <w:t xml:space="preserve">whether uniform application of the Commission’s base ROE policy across the electric, </w:t>
      </w:r>
      <w:r w:rsidR="00A7550D">
        <w:t xml:space="preserve">natural </w:t>
      </w:r>
      <w:r w:rsidRPr="00A17C75" w:rsidR="00983244">
        <w:t>gas pipeline, and oil pipeline industries is appropriate and advisable</w:t>
      </w:r>
      <w:r w:rsidRPr="00A17C75" w:rsidR="00983244">
        <w:rPr>
          <w:b/>
          <w:vertAlign w:val="superscript"/>
        </w:rPr>
        <w:footnoteReference w:id="45"/>
      </w:r>
      <w:r w:rsidRPr="00A17C75" w:rsidR="00983244">
        <w:t xml:space="preserve"> and whether the Commission, if it departed from its sole use of a two-step DCF methodology for </w:t>
      </w:r>
      <w:r w:rsidR="00446B86">
        <w:t>public</w:t>
      </w:r>
      <w:r w:rsidRPr="00A17C75" w:rsidR="00983244">
        <w:t xml:space="preserve"> utilities, should also use its new method or methods to determine </w:t>
      </w:r>
      <w:r w:rsidR="00A7550D">
        <w:t xml:space="preserve">natural </w:t>
      </w:r>
      <w:r w:rsidRPr="00A17C75" w:rsidR="00983244">
        <w:t>gas and oil pipeline ROEs.</w:t>
      </w:r>
      <w:r w:rsidRPr="00A17C75" w:rsidR="00983244">
        <w:rPr>
          <w:b/>
          <w:vertAlign w:val="superscript"/>
        </w:rPr>
        <w:footnoteReference w:id="46"/>
      </w:r>
      <w:r w:rsidRPr="00A17C75" w:rsidR="00983244">
        <w:t xml:space="preserve">  The Commission also sought comment on its guidelines for proxy group formation, including proxy group screening criteria</w:t>
      </w:r>
      <w:r w:rsidR="00800305">
        <w:t xml:space="preserve"> and</w:t>
      </w:r>
      <w:r w:rsidRPr="00A17C75" w:rsidR="00983244">
        <w:t xml:space="preserve"> appropriate high and low-end outlier tests.</w:t>
      </w:r>
      <w:r w:rsidRPr="00A17C75" w:rsidR="00983244">
        <w:rPr>
          <w:b/>
          <w:vertAlign w:val="superscript"/>
        </w:rPr>
        <w:footnoteReference w:id="47"/>
      </w:r>
      <w:r w:rsidR="00983244">
        <w:t xml:space="preserve">  </w:t>
      </w:r>
    </w:p>
    <w:p w:rsidRPr="00983244" w:rsidR="00983244" w:rsidP="00983244" w:rsidRDefault="00983244" w14:paraId="1C22AD69" w14:textId="7F43DBFE">
      <w:pPr>
        <w:pStyle w:val="FERCparanumber"/>
      </w:pPr>
      <w:r>
        <w:lastRenderedPageBreak/>
        <w:t>Numerous entities and individuals submitted comments</w:t>
      </w:r>
      <w:r w:rsidR="00FC2F2C">
        <w:t xml:space="preserve"> in response to the NOI.  Below, we discuss the comments that are relevant to the revised policy </w:t>
      </w:r>
      <w:r w:rsidR="0017383C">
        <w:t xml:space="preserve">for natural gas and oil pipeline ROE methodologies that </w:t>
      </w:r>
      <w:r w:rsidR="00FC2F2C">
        <w:t>we adopt herein</w:t>
      </w:r>
      <w:r>
        <w:t>.</w:t>
      </w:r>
    </w:p>
    <w:p w:rsidRPr="00A17C75" w:rsidR="003679BF" w:rsidP="003679BF" w:rsidRDefault="003679BF" w14:paraId="59FF157B" w14:textId="2EECE4BE">
      <w:pPr>
        <w:pStyle w:val="Heading1"/>
        <w:rPr>
          <w:szCs w:val="26"/>
        </w:rPr>
      </w:pPr>
      <w:r w:rsidRPr="00A17C75">
        <w:rPr>
          <w:szCs w:val="26"/>
        </w:rPr>
        <w:t>Discussion</w:t>
      </w:r>
    </w:p>
    <w:p w:rsidR="00F60AB3" w:rsidP="00F60AB3" w:rsidRDefault="00FC70CB" w14:paraId="39C5CB81" w14:textId="6E2162F6">
      <w:pPr>
        <w:pStyle w:val="FERCparanumber"/>
        <w:rPr>
          <w:szCs w:val="26"/>
        </w:rPr>
      </w:pPr>
      <w:r>
        <w:rPr>
          <w:szCs w:val="26"/>
        </w:rPr>
        <w:t>Upon review of</w:t>
      </w:r>
      <w:r w:rsidR="004E0B3F">
        <w:rPr>
          <w:szCs w:val="26"/>
        </w:rPr>
        <w:t xml:space="preserve"> the</w:t>
      </w:r>
      <w:r w:rsidRPr="00A17C75" w:rsidR="009F4E81">
        <w:rPr>
          <w:szCs w:val="26"/>
        </w:rPr>
        <w:t xml:space="preserve"> comments</w:t>
      </w:r>
      <w:r w:rsidRPr="00A17C75" w:rsidR="00036D68">
        <w:rPr>
          <w:szCs w:val="26"/>
        </w:rPr>
        <w:t xml:space="preserve"> </w:t>
      </w:r>
      <w:r>
        <w:rPr>
          <w:szCs w:val="26"/>
        </w:rPr>
        <w:t>and based on the Commission’s findings in Opinion Nos. 569 and 569-A</w:t>
      </w:r>
      <w:r w:rsidRPr="00A17C75" w:rsidR="009F4E81">
        <w:rPr>
          <w:szCs w:val="26"/>
        </w:rPr>
        <w:t xml:space="preserve">, </w:t>
      </w:r>
      <w:r w:rsidRPr="00A17C75" w:rsidR="00036D68">
        <w:rPr>
          <w:szCs w:val="26"/>
        </w:rPr>
        <w:t xml:space="preserve">we </w:t>
      </w:r>
      <w:r w:rsidR="00EB7414">
        <w:rPr>
          <w:szCs w:val="26"/>
        </w:rPr>
        <w:t>revise our policy</w:t>
      </w:r>
      <w:r w:rsidR="00873E41">
        <w:rPr>
          <w:szCs w:val="26"/>
        </w:rPr>
        <w:t xml:space="preserve"> for </w:t>
      </w:r>
      <w:r w:rsidR="00A7550D">
        <w:rPr>
          <w:szCs w:val="26"/>
        </w:rPr>
        <w:t>determining natural</w:t>
      </w:r>
      <w:r>
        <w:rPr>
          <w:szCs w:val="26"/>
        </w:rPr>
        <w:t xml:space="preserve"> gas and oil</w:t>
      </w:r>
      <w:r w:rsidR="00873E41">
        <w:rPr>
          <w:szCs w:val="26"/>
        </w:rPr>
        <w:t xml:space="preserve"> pipeline ROEs</w:t>
      </w:r>
      <w:r w:rsidR="00EB7414">
        <w:rPr>
          <w:szCs w:val="26"/>
        </w:rPr>
        <w:t>.  Under this revised policy, we will</w:t>
      </w:r>
      <w:r w:rsidR="00873E41">
        <w:rPr>
          <w:szCs w:val="26"/>
        </w:rPr>
        <w:t xml:space="preserve"> (1) </w:t>
      </w:r>
      <w:r w:rsidR="00EB7414">
        <w:rPr>
          <w:szCs w:val="26"/>
        </w:rPr>
        <w:t xml:space="preserve">determine ROE </w:t>
      </w:r>
      <w:r w:rsidRPr="00A17C75" w:rsidR="00036D68">
        <w:rPr>
          <w:szCs w:val="26"/>
        </w:rPr>
        <w:t>by averaging the results of DCF and CAPM analyses</w:t>
      </w:r>
      <w:bookmarkStart w:name="_Hlk37340959" w:id="2"/>
      <w:r w:rsidR="0048239D">
        <w:rPr>
          <w:szCs w:val="26"/>
        </w:rPr>
        <w:t xml:space="preserve"> </w:t>
      </w:r>
      <w:r w:rsidR="005B3178">
        <w:rPr>
          <w:szCs w:val="26"/>
        </w:rPr>
        <w:t>while</w:t>
      </w:r>
      <w:r w:rsidR="0048239D">
        <w:rPr>
          <w:szCs w:val="26"/>
        </w:rPr>
        <w:t xml:space="preserve"> </w:t>
      </w:r>
      <w:r w:rsidR="00873E41">
        <w:rPr>
          <w:szCs w:val="26"/>
        </w:rPr>
        <w:t>retain</w:t>
      </w:r>
      <w:r w:rsidR="005B3178">
        <w:rPr>
          <w:szCs w:val="26"/>
        </w:rPr>
        <w:t>ing</w:t>
      </w:r>
      <w:r w:rsidR="00873E41">
        <w:rPr>
          <w:szCs w:val="26"/>
        </w:rPr>
        <w:t xml:space="preserve"> the existing two-thirds/one-third weighting of the short and long-term growth projections</w:t>
      </w:r>
      <w:r w:rsidR="00EB7414">
        <w:rPr>
          <w:szCs w:val="26"/>
        </w:rPr>
        <w:t xml:space="preserve"> in the DCF</w:t>
      </w:r>
      <w:bookmarkEnd w:id="2"/>
      <w:r w:rsidR="00873E41">
        <w:rPr>
          <w:szCs w:val="26"/>
        </w:rPr>
        <w:t>; (</w:t>
      </w:r>
      <w:r w:rsidR="0048239D">
        <w:rPr>
          <w:szCs w:val="26"/>
        </w:rPr>
        <w:t>2</w:t>
      </w:r>
      <w:r w:rsidR="00873E41">
        <w:rPr>
          <w:szCs w:val="26"/>
        </w:rPr>
        <w:t>)</w:t>
      </w:r>
      <w:r w:rsidR="0048239D">
        <w:rPr>
          <w:szCs w:val="26"/>
        </w:rPr>
        <w:t xml:space="preserve"> give equal weight to the DCF and CAPM analyses; (3)</w:t>
      </w:r>
      <w:r w:rsidR="00873E41">
        <w:rPr>
          <w:szCs w:val="26"/>
        </w:rPr>
        <w:t xml:space="preserve"> </w:t>
      </w:r>
      <w:r w:rsidR="00955909">
        <w:rPr>
          <w:szCs w:val="26"/>
        </w:rPr>
        <w:t>consider</w:t>
      </w:r>
      <w:r w:rsidR="00873E41">
        <w:rPr>
          <w:szCs w:val="26"/>
        </w:rPr>
        <w:t xml:space="preserve"> using </w:t>
      </w:r>
      <w:r w:rsidR="00873E41">
        <w:rPr>
          <w:i/>
          <w:iCs/>
          <w:szCs w:val="26"/>
        </w:rPr>
        <w:t>Value Line</w:t>
      </w:r>
      <w:r w:rsidR="00873E41">
        <w:t xml:space="preserve"> data as the source of the short-term growth projection in the</w:t>
      </w:r>
      <w:r w:rsidR="002E36A8">
        <w:t xml:space="preserve"> </w:t>
      </w:r>
      <w:r w:rsidR="00873E41">
        <w:t>CAPM; (</w:t>
      </w:r>
      <w:r w:rsidR="00FC68F1">
        <w:t>4</w:t>
      </w:r>
      <w:r w:rsidR="00873E41">
        <w:t>)</w:t>
      </w:r>
      <w:r w:rsidR="006C5679">
        <w:t xml:space="preserve"> consider </w:t>
      </w:r>
      <w:r w:rsidR="00C61894">
        <w:t>proposals to include</w:t>
      </w:r>
      <w:r w:rsidR="006C5679">
        <w:t xml:space="preserve"> Canadian companies in pipeline proxy groups while continuing to apply </w:t>
      </w:r>
      <w:r w:rsidR="00EB7414">
        <w:t>our</w:t>
      </w:r>
      <w:r w:rsidR="006C5679">
        <w:t xml:space="preserve"> proxy group criteria flexibly until sufficient proxy group members are obtained</w:t>
      </w:r>
      <w:r w:rsidR="004A4145">
        <w:t>;</w:t>
      </w:r>
      <w:r w:rsidR="0048239D">
        <w:t xml:space="preserve"> </w:t>
      </w:r>
      <w:r w:rsidR="0048239D">
        <w:rPr>
          <w:szCs w:val="26"/>
        </w:rPr>
        <w:t>(5) exclude Risk Premium and Expected Earnings</w:t>
      </w:r>
      <w:r w:rsidR="00505B13">
        <w:rPr>
          <w:szCs w:val="26"/>
        </w:rPr>
        <w:t xml:space="preserve"> analyses</w:t>
      </w:r>
      <w:r w:rsidR="0048239D">
        <w:rPr>
          <w:szCs w:val="26"/>
        </w:rPr>
        <w:t>;</w:t>
      </w:r>
      <w:r w:rsidR="004A4145">
        <w:t xml:space="preserve"> and </w:t>
      </w:r>
      <w:r w:rsidR="00873E41">
        <w:t>(</w:t>
      </w:r>
      <w:r w:rsidR="0048239D">
        <w:t>6</w:t>
      </w:r>
      <w:r w:rsidR="00873E41">
        <w:t xml:space="preserve">) </w:t>
      </w:r>
      <w:r w:rsidR="00C61894">
        <w:t xml:space="preserve">continue to </w:t>
      </w:r>
      <w:r w:rsidR="00C61894">
        <w:rPr>
          <w:szCs w:val="26"/>
        </w:rPr>
        <w:t>address</w:t>
      </w:r>
      <w:r w:rsidRPr="00A17C75" w:rsidR="00C61894">
        <w:rPr>
          <w:szCs w:val="26"/>
        </w:rPr>
        <w:t xml:space="preserve"> outliers in pipeline proxy groups on a case-by-case basis</w:t>
      </w:r>
      <w:r w:rsidR="00B571BD">
        <w:rPr>
          <w:szCs w:val="26"/>
        </w:rPr>
        <w:t xml:space="preserve"> and refrain from applying </w:t>
      </w:r>
      <w:r w:rsidR="00B571BD">
        <w:t>specific outlier tests</w:t>
      </w:r>
      <w:r w:rsidR="00873E41">
        <w:t>.</w:t>
      </w:r>
      <w:r w:rsidRPr="00F60AB3" w:rsidR="00BC215A">
        <w:rPr>
          <w:szCs w:val="26"/>
        </w:rPr>
        <w:t xml:space="preserve">  </w:t>
      </w:r>
    </w:p>
    <w:p w:rsidRPr="00F60AB3" w:rsidR="00BC215A" w:rsidP="00F60AB3" w:rsidRDefault="00F60AB3" w14:paraId="1ED9D75B" w14:textId="0AF6AB78">
      <w:pPr>
        <w:pStyle w:val="FERCparanumber"/>
        <w:rPr>
          <w:szCs w:val="26"/>
        </w:rPr>
      </w:pPr>
      <w:r>
        <w:rPr>
          <w:szCs w:val="26"/>
        </w:rPr>
        <w:t xml:space="preserve">We are not persuaded to adopt any additional </w:t>
      </w:r>
      <w:r w:rsidR="002E36A8">
        <w:rPr>
          <w:szCs w:val="26"/>
        </w:rPr>
        <w:t xml:space="preserve">policy </w:t>
      </w:r>
      <w:r>
        <w:rPr>
          <w:szCs w:val="26"/>
        </w:rPr>
        <w:t xml:space="preserve">changes at this time and </w:t>
      </w:r>
      <w:r w:rsidRPr="00F60AB3">
        <w:rPr>
          <w:szCs w:val="26"/>
        </w:rPr>
        <w:t xml:space="preserve">will address all other issues concerning the determination of </w:t>
      </w:r>
      <w:r w:rsidR="00505B13">
        <w:rPr>
          <w:szCs w:val="26"/>
        </w:rPr>
        <w:t xml:space="preserve">natural </w:t>
      </w:r>
      <w:r w:rsidRPr="00F60AB3">
        <w:rPr>
          <w:szCs w:val="26"/>
        </w:rPr>
        <w:t>gas and oil pipeline ROEs as they arise in future proceedings</w:t>
      </w:r>
      <w:r>
        <w:rPr>
          <w:szCs w:val="26"/>
        </w:rPr>
        <w:t>.</w:t>
      </w:r>
    </w:p>
    <w:p w:rsidR="002F5AB7" w:rsidP="0083462C" w:rsidRDefault="002F5AB7" w14:paraId="0CBA8F3F" w14:textId="1835C9F5">
      <w:pPr>
        <w:pStyle w:val="Heading2"/>
      </w:pPr>
      <w:r>
        <w:lastRenderedPageBreak/>
        <w:t xml:space="preserve">Revised Policy for Determining </w:t>
      </w:r>
      <w:r w:rsidR="00505B13">
        <w:t xml:space="preserve">Natural </w:t>
      </w:r>
      <w:r>
        <w:t>Gas and Oil Pipeline ROEs</w:t>
      </w:r>
    </w:p>
    <w:p w:rsidR="0083462C" w:rsidP="00532353" w:rsidRDefault="009A451F" w14:paraId="71A95213" w14:textId="63ECC125">
      <w:pPr>
        <w:pStyle w:val="Heading3"/>
      </w:pPr>
      <w:r>
        <w:t xml:space="preserve">Use of </w:t>
      </w:r>
      <w:r w:rsidR="008449AD">
        <w:t>the DCF and CAPM</w:t>
      </w:r>
    </w:p>
    <w:p w:rsidRPr="0083462C" w:rsidR="0083462C" w:rsidP="00532353" w:rsidRDefault="0083462C" w14:paraId="0B3C0616" w14:textId="228311CD">
      <w:pPr>
        <w:pStyle w:val="Heading4"/>
      </w:pPr>
      <w:r>
        <w:t>Background</w:t>
      </w:r>
    </w:p>
    <w:p w:rsidR="0083462C" w:rsidP="0077482F" w:rsidRDefault="00172702" w14:paraId="4D6EE3FD" w14:textId="151418F1">
      <w:pPr>
        <w:pStyle w:val="FERCparanumber"/>
        <w:rPr>
          <w:szCs w:val="26"/>
        </w:rPr>
      </w:pPr>
      <w:r>
        <w:rPr>
          <w:szCs w:val="26"/>
        </w:rPr>
        <w:t xml:space="preserve">In the Briefing Orders, </w:t>
      </w:r>
      <w:r w:rsidR="00F215C3">
        <w:rPr>
          <w:szCs w:val="26"/>
        </w:rPr>
        <w:t xml:space="preserve">the Commission </w:t>
      </w:r>
      <w:r>
        <w:rPr>
          <w:szCs w:val="26"/>
        </w:rPr>
        <w:t xml:space="preserve">preliminarily found that since it began relying primarily on the DCF </w:t>
      </w:r>
      <w:r w:rsidR="00505B13">
        <w:rPr>
          <w:szCs w:val="26"/>
        </w:rPr>
        <w:t xml:space="preserve">model </w:t>
      </w:r>
      <w:r>
        <w:rPr>
          <w:szCs w:val="26"/>
        </w:rPr>
        <w:t>to determine ROE in the 1980s</w:t>
      </w:r>
      <w:r w:rsidR="00972425">
        <w:rPr>
          <w:szCs w:val="26"/>
        </w:rPr>
        <w:t>, investors have increasingly used a diverse set of data sources and models to inform their investment decisions.</w:t>
      </w:r>
      <w:r w:rsidR="00972425">
        <w:rPr>
          <w:rStyle w:val="FootnoteReference"/>
          <w:szCs w:val="26"/>
        </w:rPr>
        <w:footnoteReference w:id="48"/>
      </w:r>
      <w:r w:rsidR="00972425">
        <w:rPr>
          <w:szCs w:val="26"/>
        </w:rPr>
        <w:t xml:space="preserve">  </w:t>
      </w:r>
      <w:r w:rsidR="006121E7">
        <w:rPr>
          <w:szCs w:val="26"/>
        </w:rPr>
        <w:t xml:space="preserve">Because investors consider </w:t>
      </w:r>
      <w:r w:rsidR="00903DB2">
        <w:rPr>
          <w:szCs w:val="26"/>
        </w:rPr>
        <w:t>more than one</w:t>
      </w:r>
      <w:r w:rsidR="006121E7">
        <w:rPr>
          <w:szCs w:val="26"/>
        </w:rPr>
        <w:t xml:space="preserve"> financial model when making investment decisions, the Commission reasoned that relying on multiple models </w:t>
      </w:r>
      <w:r w:rsidR="00C86B3C">
        <w:rPr>
          <w:szCs w:val="26"/>
        </w:rPr>
        <w:t>makes it more likely that the Commission’s decision will accurately reflect how investors are making their investment decisions</w:t>
      </w:r>
      <w:r w:rsidR="006121E7">
        <w:rPr>
          <w:szCs w:val="26"/>
        </w:rPr>
        <w:t>.</w:t>
      </w:r>
      <w:r w:rsidR="00BF7827">
        <w:rPr>
          <w:rStyle w:val="FootnoteReference"/>
          <w:szCs w:val="26"/>
        </w:rPr>
        <w:footnoteReference w:id="49"/>
      </w:r>
      <w:r w:rsidR="0054622D">
        <w:rPr>
          <w:szCs w:val="26"/>
        </w:rPr>
        <w:t xml:space="preserve"> </w:t>
      </w:r>
      <w:r w:rsidR="006121E7">
        <w:rPr>
          <w:szCs w:val="26"/>
        </w:rPr>
        <w:t xml:space="preserve"> </w:t>
      </w:r>
      <w:r w:rsidR="00BF7827">
        <w:rPr>
          <w:szCs w:val="26"/>
        </w:rPr>
        <w:t>The Commission later determined in</w:t>
      </w:r>
      <w:r>
        <w:rPr>
          <w:szCs w:val="26"/>
        </w:rPr>
        <w:t xml:space="preserve"> </w:t>
      </w:r>
      <w:r>
        <w:rPr>
          <w:i/>
          <w:iCs/>
          <w:szCs w:val="26"/>
        </w:rPr>
        <w:t>Trailblazer</w:t>
      </w:r>
      <w:r>
        <w:rPr>
          <w:szCs w:val="26"/>
        </w:rPr>
        <w:t xml:space="preserve"> that investor reliance on multiple methodolog</w:t>
      </w:r>
      <w:r w:rsidR="00C00A5E">
        <w:rPr>
          <w:szCs w:val="26"/>
        </w:rPr>
        <w:t>ies</w:t>
      </w:r>
      <w:r>
        <w:rPr>
          <w:szCs w:val="26"/>
        </w:rPr>
        <w:t xml:space="preserve"> presumably applies to investments in </w:t>
      </w:r>
      <w:r w:rsidR="000D4428">
        <w:rPr>
          <w:szCs w:val="26"/>
        </w:rPr>
        <w:t xml:space="preserve">natural </w:t>
      </w:r>
      <w:r>
        <w:rPr>
          <w:szCs w:val="26"/>
        </w:rPr>
        <w:t xml:space="preserve">gas pipelines as well as </w:t>
      </w:r>
      <w:r w:rsidR="00446B86">
        <w:rPr>
          <w:szCs w:val="26"/>
        </w:rPr>
        <w:t>public</w:t>
      </w:r>
      <w:r>
        <w:rPr>
          <w:szCs w:val="26"/>
        </w:rPr>
        <w:t xml:space="preserve"> utilities.</w:t>
      </w:r>
      <w:r>
        <w:rPr>
          <w:rStyle w:val="FootnoteReference"/>
          <w:szCs w:val="26"/>
        </w:rPr>
        <w:footnoteReference w:id="50"/>
      </w:r>
      <w:r>
        <w:rPr>
          <w:szCs w:val="26"/>
        </w:rPr>
        <w:t xml:space="preserve"> </w:t>
      </w:r>
    </w:p>
    <w:p w:rsidR="005E255A" w:rsidP="0077482F" w:rsidRDefault="00F215C3" w14:paraId="36EE445A" w14:textId="5F23B771">
      <w:pPr>
        <w:pStyle w:val="FERCparanumber"/>
        <w:rPr>
          <w:szCs w:val="26"/>
        </w:rPr>
      </w:pPr>
      <w:r>
        <w:rPr>
          <w:szCs w:val="26"/>
        </w:rPr>
        <w:t xml:space="preserve">The Commission </w:t>
      </w:r>
      <w:r w:rsidR="00972425">
        <w:rPr>
          <w:szCs w:val="26"/>
        </w:rPr>
        <w:t>departed from sole reliance on the DCF</w:t>
      </w:r>
      <w:r w:rsidR="000D4428">
        <w:rPr>
          <w:szCs w:val="26"/>
        </w:rPr>
        <w:t xml:space="preserve"> model</w:t>
      </w:r>
      <w:r>
        <w:rPr>
          <w:szCs w:val="26"/>
        </w:rPr>
        <w:t xml:space="preserve"> </w:t>
      </w:r>
      <w:r w:rsidR="00DA7EFB">
        <w:rPr>
          <w:szCs w:val="26"/>
        </w:rPr>
        <w:t xml:space="preserve">for </w:t>
      </w:r>
      <w:r w:rsidR="00446B86">
        <w:rPr>
          <w:szCs w:val="26"/>
        </w:rPr>
        <w:t>public</w:t>
      </w:r>
      <w:r w:rsidR="00DA7EFB">
        <w:rPr>
          <w:szCs w:val="26"/>
        </w:rPr>
        <w:t xml:space="preserve"> utilities </w:t>
      </w:r>
      <w:r>
        <w:rPr>
          <w:szCs w:val="26"/>
        </w:rPr>
        <w:t>in Opinion No. 569</w:t>
      </w:r>
      <w:r w:rsidR="00DA7EFB">
        <w:rPr>
          <w:szCs w:val="26"/>
        </w:rPr>
        <w:t xml:space="preserve">, finding </w:t>
      </w:r>
      <w:r w:rsidR="00357E27">
        <w:rPr>
          <w:szCs w:val="26"/>
        </w:rPr>
        <w:t xml:space="preserve">that investors have varying preferences as to which of the various methods for determining cost of equity they may use to inform their investment decisions </w:t>
      </w:r>
      <w:r w:rsidR="00DA7EFB">
        <w:rPr>
          <w:szCs w:val="26"/>
        </w:rPr>
        <w:t>and</w:t>
      </w:r>
      <w:r w:rsidR="00357E27">
        <w:rPr>
          <w:szCs w:val="26"/>
        </w:rPr>
        <w:t xml:space="preserve"> </w:t>
      </w:r>
      <w:r w:rsidR="00983244">
        <w:rPr>
          <w:szCs w:val="26"/>
        </w:rPr>
        <w:t xml:space="preserve">that the </w:t>
      </w:r>
      <w:r w:rsidR="00983244">
        <w:t xml:space="preserve">DCF and </w:t>
      </w:r>
      <w:r w:rsidR="00983244">
        <w:rPr>
          <w:szCs w:val="26"/>
        </w:rPr>
        <w:t xml:space="preserve">CAPM are among the </w:t>
      </w:r>
      <w:r w:rsidR="00983244">
        <w:t>primary methods</w:t>
      </w:r>
      <w:r w:rsidR="00983244">
        <w:rPr>
          <w:szCs w:val="26"/>
        </w:rPr>
        <w:t xml:space="preserve"> that investors </w:t>
      </w:r>
      <w:r w:rsidR="00983244">
        <w:t xml:space="preserve">use </w:t>
      </w:r>
      <w:r w:rsidR="00470AF0">
        <w:lastRenderedPageBreak/>
        <w:t>for this purpose</w:t>
      </w:r>
      <w:r w:rsidR="00983244">
        <w:t>.</w:t>
      </w:r>
      <w:r w:rsidR="00983244">
        <w:rPr>
          <w:rStyle w:val="FootnoteReference"/>
          <w:szCs w:val="26"/>
        </w:rPr>
        <w:footnoteReference w:id="51"/>
      </w:r>
      <w:r w:rsidR="00983244">
        <w:rPr>
          <w:szCs w:val="26"/>
        </w:rPr>
        <w:t xml:space="preserve">  </w:t>
      </w:r>
      <w:r w:rsidR="00DA7EFB">
        <w:rPr>
          <w:szCs w:val="26"/>
        </w:rPr>
        <w:t xml:space="preserve">Thus, the Commission concluded that </w:t>
      </w:r>
      <w:r w:rsidR="003C2EAD">
        <w:rPr>
          <w:szCs w:val="26"/>
        </w:rPr>
        <w:t>expanding its methodology</w:t>
      </w:r>
      <w:r w:rsidR="00DA7EFB">
        <w:rPr>
          <w:szCs w:val="26"/>
        </w:rPr>
        <w:t xml:space="preserve"> for determining </w:t>
      </w:r>
      <w:r w:rsidR="005B6851">
        <w:rPr>
          <w:szCs w:val="26"/>
        </w:rPr>
        <w:t>public</w:t>
      </w:r>
      <w:r w:rsidR="00DA7EFB">
        <w:rPr>
          <w:szCs w:val="26"/>
        </w:rPr>
        <w:t xml:space="preserve"> utility ROEs</w:t>
      </w:r>
      <w:r w:rsidR="003C2EAD">
        <w:rPr>
          <w:szCs w:val="26"/>
        </w:rPr>
        <w:t xml:space="preserve"> to use the CAPM in addition to the DCF </w:t>
      </w:r>
      <w:r w:rsidR="000D4428">
        <w:rPr>
          <w:szCs w:val="26"/>
        </w:rPr>
        <w:t xml:space="preserve">model </w:t>
      </w:r>
      <w:r w:rsidR="003C2EAD">
        <w:rPr>
          <w:szCs w:val="26"/>
        </w:rPr>
        <w:t xml:space="preserve">will </w:t>
      </w:r>
      <w:r w:rsidR="00E031C3">
        <w:rPr>
          <w:szCs w:val="26"/>
        </w:rPr>
        <w:t xml:space="preserve">make it more likely that </w:t>
      </w:r>
      <w:r w:rsidR="008A5531">
        <w:rPr>
          <w:szCs w:val="26"/>
        </w:rPr>
        <w:t>its</w:t>
      </w:r>
      <w:r w:rsidR="00E031C3">
        <w:rPr>
          <w:szCs w:val="26"/>
        </w:rPr>
        <w:t xml:space="preserve"> decisions will accurately</w:t>
      </w:r>
      <w:r w:rsidR="003C2EAD">
        <w:rPr>
          <w:szCs w:val="26"/>
        </w:rPr>
        <w:t xml:space="preserve"> reflect how investors make their </w:t>
      </w:r>
      <w:r w:rsidR="00167DB1">
        <w:rPr>
          <w:szCs w:val="26"/>
        </w:rPr>
        <w:t>investment</w:t>
      </w:r>
      <w:r w:rsidR="003C2EAD">
        <w:rPr>
          <w:szCs w:val="26"/>
        </w:rPr>
        <w:t xml:space="preserve"> decisions and produce cost</w:t>
      </w:r>
      <w:r w:rsidR="00172702">
        <w:rPr>
          <w:szCs w:val="26"/>
        </w:rPr>
        <w:t>-</w:t>
      </w:r>
      <w:r w:rsidR="003C2EAD">
        <w:rPr>
          <w:szCs w:val="26"/>
        </w:rPr>
        <w:t>of</w:t>
      </w:r>
      <w:r w:rsidR="00172702">
        <w:rPr>
          <w:szCs w:val="26"/>
        </w:rPr>
        <w:t>-</w:t>
      </w:r>
      <w:r w:rsidR="003C2EAD">
        <w:rPr>
          <w:szCs w:val="26"/>
        </w:rPr>
        <w:t>equity estimates that more accurately reflect what ROE a utility must offer to attract capital.</w:t>
      </w:r>
      <w:r w:rsidR="003C2EAD">
        <w:rPr>
          <w:rStyle w:val="FootnoteReference"/>
          <w:szCs w:val="26"/>
        </w:rPr>
        <w:footnoteReference w:id="52"/>
      </w:r>
      <w:r w:rsidR="005E255A">
        <w:rPr>
          <w:szCs w:val="26"/>
        </w:rPr>
        <w:t xml:space="preserve">  The Commission further explained that using the CAPM will also mitigate the model risk that the DCF </w:t>
      </w:r>
      <w:r w:rsidR="000D4428">
        <w:rPr>
          <w:szCs w:val="26"/>
        </w:rPr>
        <w:t xml:space="preserve">model </w:t>
      </w:r>
      <w:r w:rsidR="005E255A">
        <w:rPr>
          <w:szCs w:val="26"/>
        </w:rPr>
        <w:t>may perform poorly in certain circumstances.</w:t>
      </w:r>
      <w:r w:rsidR="005E255A">
        <w:rPr>
          <w:rStyle w:val="FootnoteReference"/>
          <w:szCs w:val="26"/>
        </w:rPr>
        <w:footnoteReference w:id="53"/>
      </w:r>
    </w:p>
    <w:p w:rsidRPr="00172702" w:rsidR="00D336CF" w:rsidP="00532353" w:rsidRDefault="00D336CF" w14:paraId="10450089" w14:textId="2C1EBBDB">
      <w:pPr>
        <w:pStyle w:val="Heading4"/>
      </w:pPr>
      <w:r w:rsidRPr="00172702">
        <w:t>NOI Comments</w:t>
      </w:r>
    </w:p>
    <w:p w:rsidRPr="004D0DCB" w:rsidR="004D0DCB" w:rsidP="008C2799" w:rsidRDefault="0074070B" w14:paraId="730D21E4" w14:textId="4863AE61">
      <w:pPr>
        <w:pStyle w:val="FERCparanumber"/>
      </w:pPr>
      <w:r>
        <w:t>C</w:t>
      </w:r>
      <w:r w:rsidR="004E0B3F">
        <w:t xml:space="preserve">ommenters </w:t>
      </w:r>
      <w:r>
        <w:t xml:space="preserve">are divided on whether the Commission should expand its methodology for determining </w:t>
      </w:r>
      <w:r w:rsidR="000D4428">
        <w:t xml:space="preserve">natural </w:t>
      </w:r>
      <w:r>
        <w:t>gas and oil pipeline ROEs to consider multiple models.</w:t>
      </w:r>
      <w:r w:rsidR="008C2799">
        <w:t xml:space="preserve">  </w:t>
      </w:r>
      <w:r w:rsidR="00597F74">
        <w:t xml:space="preserve">Commenters representing </w:t>
      </w:r>
      <w:r w:rsidR="006356DA">
        <w:t xml:space="preserve">natural </w:t>
      </w:r>
      <w:r w:rsidR="00597F74">
        <w:t>gas and oil pipeline shipper interests</w:t>
      </w:r>
      <w:r w:rsidR="00597F74">
        <w:rPr>
          <w:rStyle w:val="FootnoteReference"/>
        </w:rPr>
        <w:footnoteReference w:id="54"/>
      </w:r>
      <w:r w:rsidR="00597F74">
        <w:t xml:space="preserve"> </w:t>
      </w:r>
      <w:r w:rsidRPr="008C2799" w:rsidR="00CC00DA">
        <w:rPr>
          <w:szCs w:val="26"/>
        </w:rPr>
        <w:t>urge the Commission to continue relying solely on</w:t>
      </w:r>
      <w:r w:rsidRPr="008C2799">
        <w:rPr>
          <w:szCs w:val="26"/>
        </w:rPr>
        <w:t xml:space="preserve"> the DCF </w:t>
      </w:r>
      <w:r w:rsidR="006356DA">
        <w:rPr>
          <w:szCs w:val="26"/>
        </w:rPr>
        <w:t xml:space="preserve">model </w:t>
      </w:r>
      <w:r w:rsidRPr="008C2799" w:rsidR="00CC00DA">
        <w:rPr>
          <w:szCs w:val="26"/>
        </w:rPr>
        <w:t>to determine</w:t>
      </w:r>
      <w:r w:rsidRPr="008C2799">
        <w:rPr>
          <w:szCs w:val="26"/>
        </w:rPr>
        <w:t xml:space="preserve"> pipeline ROEs.</w:t>
      </w:r>
      <w:r>
        <w:rPr>
          <w:rStyle w:val="FootnoteReference"/>
          <w:szCs w:val="26"/>
        </w:rPr>
        <w:footnoteReference w:id="55"/>
      </w:r>
      <w:r w:rsidRPr="008C2799">
        <w:rPr>
          <w:szCs w:val="26"/>
        </w:rPr>
        <w:t xml:space="preserve">  </w:t>
      </w:r>
      <w:r w:rsidRPr="008C2799" w:rsidR="00742B9D">
        <w:rPr>
          <w:szCs w:val="26"/>
        </w:rPr>
        <w:lastRenderedPageBreak/>
        <w:t xml:space="preserve">These commenters </w:t>
      </w:r>
      <w:r w:rsidRPr="008C2799" w:rsidR="00CC00DA">
        <w:rPr>
          <w:szCs w:val="26"/>
        </w:rPr>
        <w:t xml:space="preserve">contend that the DCF </w:t>
      </w:r>
      <w:r w:rsidR="006356DA">
        <w:rPr>
          <w:szCs w:val="26"/>
        </w:rPr>
        <w:t xml:space="preserve">model </w:t>
      </w:r>
      <w:r w:rsidRPr="008C2799" w:rsidR="00CC00DA">
        <w:rPr>
          <w:szCs w:val="26"/>
        </w:rPr>
        <w:t xml:space="preserve">is </w:t>
      </w:r>
      <w:r w:rsidRPr="008C2799" w:rsidR="00CC5E53">
        <w:rPr>
          <w:szCs w:val="26"/>
        </w:rPr>
        <w:t>a standardized approach that promotes predictability for pipelines and shippers</w:t>
      </w:r>
      <w:r w:rsidRPr="008C2799" w:rsidR="00CC00DA">
        <w:rPr>
          <w:szCs w:val="26"/>
        </w:rPr>
        <w:t xml:space="preserve"> </w:t>
      </w:r>
      <w:r w:rsidRPr="008C2799" w:rsidR="00742B9D">
        <w:rPr>
          <w:szCs w:val="26"/>
        </w:rPr>
        <w:t xml:space="preserve">and assert that there is no reason to </w:t>
      </w:r>
      <w:r w:rsidRPr="008C2799" w:rsidR="00CC00DA">
        <w:rPr>
          <w:szCs w:val="26"/>
        </w:rPr>
        <w:t>consider additional models</w:t>
      </w:r>
      <w:r w:rsidRPr="008C2799" w:rsidR="00742B9D">
        <w:rPr>
          <w:szCs w:val="26"/>
        </w:rPr>
        <w:t>.</w:t>
      </w:r>
      <w:r w:rsidR="00742B9D">
        <w:rPr>
          <w:rStyle w:val="FootnoteReference"/>
          <w:szCs w:val="26"/>
        </w:rPr>
        <w:footnoteReference w:id="56"/>
      </w:r>
      <w:r w:rsidRPr="008C2799" w:rsidR="00742B9D">
        <w:rPr>
          <w:szCs w:val="26"/>
        </w:rPr>
        <w:t xml:space="preserve">  </w:t>
      </w:r>
    </w:p>
    <w:p w:rsidR="004E0B3F" w:rsidP="004D0DCB" w:rsidRDefault="0074070B" w14:paraId="673A8C40" w14:textId="67D9D9F0">
      <w:pPr>
        <w:pStyle w:val="FERCparanumber"/>
      </w:pPr>
      <w:r w:rsidRPr="004D0DCB">
        <w:rPr>
          <w:szCs w:val="26"/>
        </w:rPr>
        <w:t xml:space="preserve">In contrast, </w:t>
      </w:r>
      <w:r w:rsidR="006356DA">
        <w:rPr>
          <w:szCs w:val="26"/>
        </w:rPr>
        <w:t xml:space="preserve">natural </w:t>
      </w:r>
      <w:r w:rsidRPr="004D0DCB" w:rsidR="00676392">
        <w:rPr>
          <w:szCs w:val="26"/>
        </w:rPr>
        <w:t>gas and oil pipelines and trade associations</w:t>
      </w:r>
      <w:r w:rsidR="00676392">
        <w:rPr>
          <w:rStyle w:val="FootnoteReference"/>
          <w:szCs w:val="26"/>
        </w:rPr>
        <w:footnoteReference w:id="57"/>
      </w:r>
      <w:r w:rsidRPr="004D0DCB" w:rsidR="00676392">
        <w:rPr>
          <w:szCs w:val="26"/>
        </w:rPr>
        <w:t xml:space="preserve"> </w:t>
      </w:r>
      <w:r w:rsidRPr="004D0DCB">
        <w:rPr>
          <w:szCs w:val="26"/>
        </w:rPr>
        <w:t xml:space="preserve">argue that it would be reasonable to </w:t>
      </w:r>
      <w:r w:rsidRPr="004D0DCB" w:rsidR="00597F74">
        <w:rPr>
          <w:szCs w:val="26"/>
        </w:rPr>
        <w:t xml:space="preserve">consider other models </w:t>
      </w:r>
      <w:r w:rsidR="005B6851">
        <w:rPr>
          <w:szCs w:val="26"/>
        </w:rPr>
        <w:t>in addition to the DCF</w:t>
      </w:r>
      <w:r w:rsidRPr="004D0DCB" w:rsidR="00B630A4">
        <w:rPr>
          <w:szCs w:val="26"/>
        </w:rPr>
        <w:t xml:space="preserve">, subject to modifications in recognition of the unique risks and regulatory framework applicable to the </w:t>
      </w:r>
      <w:r w:rsidR="006356DA">
        <w:rPr>
          <w:szCs w:val="26"/>
        </w:rPr>
        <w:t xml:space="preserve">natural </w:t>
      </w:r>
      <w:r w:rsidRPr="004D0DCB" w:rsidR="00B630A4">
        <w:rPr>
          <w:szCs w:val="26"/>
        </w:rPr>
        <w:t>gas and oil pipeline industries.</w:t>
      </w:r>
      <w:r w:rsidR="00742B9D">
        <w:rPr>
          <w:rStyle w:val="FootnoteReference"/>
          <w:szCs w:val="26"/>
        </w:rPr>
        <w:footnoteReference w:id="58"/>
      </w:r>
      <w:r w:rsidRPr="004D0DCB">
        <w:rPr>
          <w:szCs w:val="26"/>
        </w:rPr>
        <w:t xml:space="preserve">  </w:t>
      </w:r>
      <w:r w:rsidR="00FA02AF">
        <w:rPr>
          <w:szCs w:val="26"/>
        </w:rPr>
        <w:t>Generally, t</w:t>
      </w:r>
      <w:r w:rsidRPr="004D0DCB" w:rsidR="008A59A8">
        <w:rPr>
          <w:szCs w:val="26"/>
        </w:rPr>
        <w:t xml:space="preserve">hese entities </w:t>
      </w:r>
      <w:r w:rsidR="00FA02AF">
        <w:rPr>
          <w:szCs w:val="26"/>
        </w:rPr>
        <w:t>contend</w:t>
      </w:r>
      <w:r w:rsidRPr="004D0DCB" w:rsidR="008A59A8">
        <w:rPr>
          <w:szCs w:val="26"/>
        </w:rPr>
        <w:t xml:space="preserve"> that the Commission’s findings that </w:t>
      </w:r>
      <w:r w:rsidRPr="004D0DCB" w:rsidR="005D010C">
        <w:rPr>
          <w:szCs w:val="26"/>
        </w:rPr>
        <w:t>investors</w:t>
      </w:r>
      <w:r w:rsidRPr="004D0DCB" w:rsidR="008A59A8">
        <w:rPr>
          <w:szCs w:val="26"/>
        </w:rPr>
        <w:t xml:space="preserve"> rely upon multiple financial models in making investment decisions</w:t>
      </w:r>
      <w:r w:rsidR="0032289E">
        <w:rPr>
          <w:szCs w:val="26"/>
        </w:rPr>
        <w:t xml:space="preserve"> also</w:t>
      </w:r>
      <w:r w:rsidRPr="004D0DCB" w:rsidR="008A59A8">
        <w:rPr>
          <w:szCs w:val="26"/>
        </w:rPr>
        <w:t xml:space="preserve"> apply </w:t>
      </w:r>
      <w:r w:rsidRPr="004D0DCB" w:rsidR="00EE167B">
        <w:rPr>
          <w:szCs w:val="26"/>
        </w:rPr>
        <w:t>to investors in pipelines.</w:t>
      </w:r>
      <w:r w:rsidR="00676392">
        <w:rPr>
          <w:rStyle w:val="FootnoteReference"/>
          <w:szCs w:val="26"/>
        </w:rPr>
        <w:footnoteReference w:id="59"/>
      </w:r>
    </w:p>
    <w:p w:rsidR="0083462C" w:rsidP="00532353" w:rsidRDefault="0083462C" w14:paraId="30AD3112" w14:textId="5CD7A08D">
      <w:pPr>
        <w:pStyle w:val="Heading4"/>
      </w:pPr>
      <w:r>
        <w:t>Commission Determination</w:t>
      </w:r>
    </w:p>
    <w:p w:rsidR="009D5CF0" w:rsidP="0077482F" w:rsidRDefault="00CC5E53" w14:paraId="1AA2FD85" w14:textId="1FC04A69">
      <w:pPr>
        <w:pStyle w:val="FERCparanumber"/>
        <w:rPr>
          <w:szCs w:val="26"/>
        </w:rPr>
      </w:pPr>
      <w:r>
        <w:rPr>
          <w:szCs w:val="26"/>
        </w:rPr>
        <w:t>Based on the Commission’s findings in Opinion No. 569, w</w:t>
      </w:r>
      <w:r w:rsidR="00972425">
        <w:rPr>
          <w:szCs w:val="26"/>
        </w:rPr>
        <w:t>e</w:t>
      </w:r>
      <w:r w:rsidR="0083462C">
        <w:rPr>
          <w:szCs w:val="26"/>
        </w:rPr>
        <w:t xml:space="preserve"> revise our methodology for determining </w:t>
      </w:r>
      <w:r w:rsidR="006356DA">
        <w:rPr>
          <w:szCs w:val="26"/>
        </w:rPr>
        <w:t xml:space="preserve">natural </w:t>
      </w:r>
      <w:r w:rsidR="0083462C">
        <w:rPr>
          <w:szCs w:val="26"/>
        </w:rPr>
        <w:t>gas and oil pipeline ROEs to rely on multiple financial models, rather than relying solely on the DCF</w:t>
      </w:r>
      <w:r w:rsidR="006356DA">
        <w:rPr>
          <w:szCs w:val="26"/>
        </w:rPr>
        <w:t xml:space="preserve"> model</w:t>
      </w:r>
      <w:r w:rsidR="0083462C">
        <w:rPr>
          <w:szCs w:val="26"/>
        </w:rPr>
        <w:t>.</w:t>
      </w:r>
      <w:r w:rsidR="009D5CF0">
        <w:rPr>
          <w:szCs w:val="26"/>
        </w:rPr>
        <w:t xml:space="preserve">  Specifically, we will </w:t>
      </w:r>
      <w:r w:rsidR="000441E6">
        <w:rPr>
          <w:szCs w:val="26"/>
        </w:rPr>
        <w:lastRenderedPageBreak/>
        <w:t>determin</w:t>
      </w:r>
      <w:r w:rsidR="000A054D">
        <w:rPr>
          <w:szCs w:val="26"/>
        </w:rPr>
        <w:t xml:space="preserve">e </w:t>
      </w:r>
      <w:r w:rsidR="000441E6">
        <w:rPr>
          <w:szCs w:val="26"/>
        </w:rPr>
        <w:t>pipeline ROEs using</w:t>
      </w:r>
      <w:r w:rsidR="009D5CF0">
        <w:rPr>
          <w:szCs w:val="26"/>
        </w:rPr>
        <w:t xml:space="preserve"> the DCF </w:t>
      </w:r>
      <w:r w:rsidR="006356DA">
        <w:rPr>
          <w:szCs w:val="26"/>
        </w:rPr>
        <w:t xml:space="preserve">model </w:t>
      </w:r>
      <w:r w:rsidR="009D5CF0">
        <w:rPr>
          <w:szCs w:val="26"/>
        </w:rPr>
        <w:t>and CAPM</w:t>
      </w:r>
      <w:r w:rsidRPr="00532353" w:rsidR="001C3547">
        <w:rPr>
          <w:szCs w:val="26"/>
        </w:rPr>
        <w:t>, but</w:t>
      </w:r>
      <w:r w:rsidRPr="00532353" w:rsidR="00E03E99">
        <w:rPr>
          <w:szCs w:val="26"/>
        </w:rPr>
        <w:t xml:space="preserve"> in contrast to our methodology for </w:t>
      </w:r>
      <w:r w:rsidRPr="00532353" w:rsidR="001479FE">
        <w:rPr>
          <w:szCs w:val="26"/>
        </w:rPr>
        <w:t>public</w:t>
      </w:r>
      <w:r w:rsidRPr="00532353" w:rsidR="00E03E99">
        <w:rPr>
          <w:szCs w:val="26"/>
        </w:rPr>
        <w:t xml:space="preserve"> utilities, we will not use </w:t>
      </w:r>
      <w:r w:rsidR="006356DA">
        <w:rPr>
          <w:szCs w:val="26"/>
        </w:rPr>
        <w:t xml:space="preserve">the </w:t>
      </w:r>
      <w:r w:rsidRPr="00532353" w:rsidR="00E03E99">
        <w:rPr>
          <w:szCs w:val="26"/>
        </w:rPr>
        <w:t>Risk Premium</w:t>
      </w:r>
      <w:r w:rsidR="006356DA">
        <w:rPr>
          <w:szCs w:val="26"/>
        </w:rPr>
        <w:t xml:space="preserve"> model</w:t>
      </w:r>
      <w:r w:rsidRPr="00532353" w:rsidR="00E03E99">
        <w:rPr>
          <w:szCs w:val="26"/>
        </w:rPr>
        <w:t>.</w:t>
      </w:r>
    </w:p>
    <w:p w:rsidR="009F3AF3" w:rsidP="0077482F" w:rsidRDefault="000441E6" w14:paraId="30C22AAB" w14:textId="2957D177">
      <w:pPr>
        <w:pStyle w:val="FERCparanumber"/>
        <w:rPr>
          <w:szCs w:val="26"/>
        </w:rPr>
      </w:pPr>
      <w:r>
        <w:rPr>
          <w:szCs w:val="26"/>
        </w:rPr>
        <w:t xml:space="preserve">As an initial matter, we </w:t>
      </w:r>
      <w:r w:rsidR="00640AEB">
        <w:rPr>
          <w:szCs w:val="26"/>
        </w:rPr>
        <w:t xml:space="preserve">note </w:t>
      </w:r>
      <w:r>
        <w:rPr>
          <w:szCs w:val="26"/>
        </w:rPr>
        <w:t>that t</w:t>
      </w:r>
      <w:r w:rsidR="009F3AF3">
        <w:rPr>
          <w:szCs w:val="26"/>
        </w:rPr>
        <w:t>he D.C. Circuit has repeatedly observed that the Commission is not required to rely upon the DCF</w:t>
      </w:r>
      <w:r w:rsidR="006356DA">
        <w:rPr>
          <w:szCs w:val="26"/>
        </w:rPr>
        <w:t xml:space="preserve"> model</w:t>
      </w:r>
      <w:r w:rsidR="009F3AF3">
        <w:rPr>
          <w:szCs w:val="26"/>
        </w:rPr>
        <w:t xml:space="preserve"> alone or even at all.</w:t>
      </w:r>
      <w:r w:rsidR="009F3AF3">
        <w:rPr>
          <w:rStyle w:val="FootnoteReference"/>
          <w:szCs w:val="26"/>
        </w:rPr>
        <w:footnoteReference w:id="60"/>
      </w:r>
      <w:r w:rsidR="009F3AF3">
        <w:rPr>
          <w:szCs w:val="26"/>
        </w:rPr>
        <w:t xml:space="preserve">  As such, the Commission may “change its past practices,” such as relying exclusively on the DCF</w:t>
      </w:r>
      <w:r w:rsidR="006356DA">
        <w:rPr>
          <w:szCs w:val="26"/>
        </w:rPr>
        <w:t xml:space="preserve"> model</w:t>
      </w:r>
      <w:r w:rsidR="009F3AF3">
        <w:rPr>
          <w:szCs w:val="26"/>
        </w:rPr>
        <w:t>, “with advances in knowledge in its given field or as its relevant experience and expertise expands,” provided that it supplies “a reasoned analysis indicating that prior policies and standards are being deliberately changed, not casually ignored.”</w:t>
      </w:r>
      <w:r w:rsidR="005A26E8">
        <w:rPr>
          <w:rStyle w:val="FootnoteReference"/>
          <w:szCs w:val="26"/>
        </w:rPr>
        <w:footnoteReference w:id="61"/>
      </w:r>
    </w:p>
    <w:p w:rsidR="00790C3D" w:rsidP="0077482F" w:rsidRDefault="00790C3D" w14:paraId="15F701BE" w14:textId="211D0A85">
      <w:pPr>
        <w:pStyle w:val="FERCparanumber"/>
        <w:rPr>
          <w:szCs w:val="26"/>
        </w:rPr>
      </w:pPr>
      <w:r w:rsidRPr="00790C3D">
        <w:rPr>
          <w:szCs w:val="26"/>
        </w:rPr>
        <w:t xml:space="preserve">In </w:t>
      </w:r>
      <w:r w:rsidRPr="00790C3D">
        <w:rPr>
          <w:i/>
          <w:szCs w:val="26"/>
        </w:rPr>
        <w:t>Hope</w:t>
      </w:r>
      <w:r w:rsidRPr="00790C3D">
        <w:rPr>
          <w:szCs w:val="26"/>
        </w:rPr>
        <w:t xml:space="preserve">, the Supreme Court held that “the return to the equity owner should be commensurate with returns on investments in other enterprises having corresponding risks. </w:t>
      </w:r>
      <w:r w:rsidR="006D4F0E">
        <w:rPr>
          <w:szCs w:val="26"/>
        </w:rPr>
        <w:t xml:space="preserve"> </w:t>
      </w:r>
      <w:r w:rsidRPr="00790C3D">
        <w:rPr>
          <w:szCs w:val="26"/>
        </w:rPr>
        <w:t>That return, moreover, should be sufficient to assure confidence in the financial integrity of the enterprise, so as to maintain its credit and to attract capital.”</w:t>
      </w:r>
      <w:r w:rsidRPr="00790C3D">
        <w:rPr>
          <w:b/>
          <w:szCs w:val="26"/>
          <w:vertAlign w:val="superscript"/>
        </w:rPr>
        <w:footnoteReference w:id="62"/>
      </w:r>
      <w:r w:rsidRPr="00790C3D">
        <w:rPr>
          <w:szCs w:val="26"/>
        </w:rPr>
        <w:t xml:space="preserve">  Thus, a key consideration in determining just and reasonable utility ROEs is determining what ROE </w:t>
      </w:r>
      <w:r w:rsidRPr="00790C3D">
        <w:rPr>
          <w:szCs w:val="26"/>
        </w:rPr>
        <w:lastRenderedPageBreak/>
        <w:t>a</w:t>
      </w:r>
      <w:r w:rsidR="008D3E51">
        <w:rPr>
          <w:szCs w:val="26"/>
        </w:rPr>
        <w:t>n</w:t>
      </w:r>
      <w:r w:rsidRPr="00790C3D">
        <w:rPr>
          <w:szCs w:val="26"/>
        </w:rPr>
        <w:t xml:space="preserve"> </w:t>
      </w:r>
      <w:r>
        <w:rPr>
          <w:szCs w:val="26"/>
        </w:rPr>
        <w:t>entity</w:t>
      </w:r>
      <w:r w:rsidRPr="00790C3D">
        <w:rPr>
          <w:szCs w:val="26"/>
        </w:rPr>
        <w:t xml:space="preserve"> must offer in order to attract capital, i.e., induce investors to invest in the </w:t>
      </w:r>
      <w:r>
        <w:rPr>
          <w:szCs w:val="26"/>
        </w:rPr>
        <w:t>entity</w:t>
      </w:r>
      <w:r w:rsidRPr="00790C3D">
        <w:rPr>
          <w:szCs w:val="26"/>
        </w:rPr>
        <w:t xml:space="preserve"> in light of its risk profile.</w:t>
      </w:r>
      <w:r w:rsidRPr="00790C3D">
        <w:rPr>
          <w:b/>
          <w:szCs w:val="26"/>
          <w:vertAlign w:val="superscript"/>
        </w:rPr>
        <w:footnoteReference w:id="63"/>
      </w:r>
      <w:r w:rsidRPr="00790C3D">
        <w:rPr>
          <w:szCs w:val="26"/>
        </w:rPr>
        <w:t xml:space="preserve">  As the Commission stated in Opinion No. 414-B,</w:t>
      </w:r>
      <w:r w:rsidRPr="00790C3D">
        <w:rPr>
          <w:b/>
          <w:szCs w:val="26"/>
          <w:vertAlign w:val="superscript"/>
        </w:rPr>
        <w:footnoteReference w:id="64"/>
      </w:r>
      <w:r w:rsidRPr="00790C3D">
        <w:rPr>
          <w:szCs w:val="26"/>
        </w:rPr>
        <w:t xml:space="preserve"> “the cost of common equity to a regulated enterprise depends upon what the market expects not upon precisely what is going to happen.”</w:t>
      </w:r>
      <w:r w:rsidRPr="00790C3D">
        <w:rPr>
          <w:b/>
          <w:szCs w:val="26"/>
          <w:vertAlign w:val="superscript"/>
        </w:rPr>
        <w:footnoteReference w:id="65"/>
      </w:r>
      <w:r w:rsidRPr="00790C3D">
        <w:rPr>
          <w:szCs w:val="26"/>
        </w:rPr>
        <w:t xml:space="preserve">  Thus, in determining what ROE to award a utility, we must look to how investors analyze and </w:t>
      </w:r>
      <w:r w:rsidRPr="00790C3D" w:rsidR="006D4F0E">
        <w:rPr>
          <w:szCs w:val="26"/>
        </w:rPr>
        <w:t>co</w:t>
      </w:r>
      <w:r w:rsidR="006D4F0E">
        <w:rPr>
          <w:szCs w:val="26"/>
        </w:rPr>
        <w:t>m</w:t>
      </w:r>
      <w:r w:rsidRPr="00790C3D" w:rsidR="006D4F0E">
        <w:rPr>
          <w:szCs w:val="26"/>
        </w:rPr>
        <w:t>pare</w:t>
      </w:r>
      <w:r w:rsidRPr="00790C3D">
        <w:rPr>
          <w:szCs w:val="26"/>
        </w:rPr>
        <w:t xml:space="preserve"> their investment opportunities.</w:t>
      </w:r>
    </w:p>
    <w:p w:rsidRPr="000313BB" w:rsidR="00970B36" w:rsidP="000313BB" w:rsidRDefault="0083462C" w14:paraId="76E01E5F" w14:textId="5BDE06E5">
      <w:pPr>
        <w:pStyle w:val="FERCparanumber"/>
        <w:rPr>
          <w:szCs w:val="26"/>
        </w:rPr>
      </w:pPr>
      <w:r>
        <w:rPr>
          <w:szCs w:val="26"/>
        </w:rPr>
        <w:t xml:space="preserve">We find that the rationale set forth in the Briefing Orders and Opinion No. 569 </w:t>
      </w:r>
      <w:r w:rsidR="00AB59E0">
        <w:rPr>
          <w:szCs w:val="26"/>
        </w:rPr>
        <w:t xml:space="preserve">for relying on </w:t>
      </w:r>
      <w:r w:rsidR="00984F55">
        <w:rPr>
          <w:szCs w:val="26"/>
        </w:rPr>
        <w:t xml:space="preserve">CAPM in addition to the DCF </w:t>
      </w:r>
      <w:r>
        <w:rPr>
          <w:szCs w:val="26"/>
        </w:rPr>
        <w:t>applies equally to</w:t>
      </w:r>
      <w:r w:rsidR="00D2539D">
        <w:rPr>
          <w:szCs w:val="26"/>
        </w:rPr>
        <w:t xml:space="preserve"> natural</w:t>
      </w:r>
      <w:r>
        <w:rPr>
          <w:szCs w:val="26"/>
        </w:rPr>
        <w:t xml:space="preserve"> </w:t>
      </w:r>
      <w:r w:rsidR="00AB59E0">
        <w:rPr>
          <w:szCs w:val="26"/>
        </w:rPr>
        <w:t xml:space="preserve">gas </w:t>
      </w:r>
      <w:r>
        <w:rPr>
          <w:szCs w:val="26"/>
        </w:rPr>
        <w:t xml:space="preserve">and oil pipelines.  </w:t>
      </w:r>
      <w:r w:rsidR="005B6851">
        <w:rPr>
          <w:szCs w:val="26"/>
        </w:rPr>
        <w:t>I</w:t>
      </w:r>
      <w:r w:rsidR="00FE60F6">
        <w:rPr>
          <w:szCs w:val="26"/>
        </w:rPr>
        <w:t>n those proceedings, the Commission found that investors employ various methods for determining cost of equity and that the DCF and CAPM are among the primary methods investors use for this purpose.</w:t>
      </w:r>
      <w:r w:rsidR="00790C3D">
        <w:rPr>
          <w:rStyle w:val="FootnoteReference"/>
          <w:szCs w:val="26"/>
        </w:rPr>
        <w:footnoteReference w:id="66"/>
      </w:r>
      <w:r w:rsidR="00FE60F6">
        <w:rPr>
          <w:szCs w:val="26"/>
        </w:rPr>
        <w:t xml:space="preserve">  </w:t>
      </w:r>
      <w:r w:rsidR="00970B36">
        <w:t>In addition, the Commission found in Opinion No. 569 that both record evidence and academic literature</w:t>
      </w:r>
      <w:r w:rsidRPr="00DD50EC" w:rsidR="00970B36">
        <w:rPr>
          <w:b/>
          <w:vertAlign w:val="superscript"/>
        </w:rPr>
        <w:footnoteReference w:id="67"/>
      </w:r>
      <w:r w:rsidR="00970B36">
        <w:t xml:space="preserve"> indicated that CAPM</w:t>
      </w:r>
      <w:r w:rsidRPr="00DD50EC" w:rsidR="00970B36">
        <w:t xml:space="preserve"> is widely used </w:t>
      </w:r>
      <w:r w:rsidRPr="00DD50EC" w:rsidR="00970B36">
        <w:lastRenderedPageBreak/>
        <w:t>by investors</w:t>
      </w:r>
      <w:r w:rsidR="00970B36">
        <w:t>.</w:t>
      </w:r>
      <w:r w:rsidRPr="00DD50EC" w:rsidR="00970B36">
        <w:rPr>
          <w:b/>
          <w:vertAlign w:val="superscript"/>
        </w:rPr>
        <w:footnoteReference w:id="68"/>
      </w:r>
      <w:r w:rsidR="00970B36">
        <w:t xml:space="preserve">  </w:t>
      </w:r>
      <w:r w:rsidR="00085A1E">
        <w:rPr>
          <w:szCs w:val="26"/>
        </w:rPr>
        <w:t>These findings apply to investors generally, and w</w:t>
      </w:r>
      <w:r w:rsidR="00FE60F6">
        <w:rPr>
          <w:szCs w:val="26"/>
        </w:rPr>
        <w:t xml:space="preserve">e do not see, </w:t>
      </w:r>
      <w:r w:rsidR="00085A1E">
        <w:rPr>
          <w:szCs w:val="26"/>
        </w:rPr>
        <w:t>nor do</w:t>
      </w:r>
      <w:r w:rsidR="00FE60F6">
        <w:rPr>
          <w:szCs w:val="26"/>
        </w:rPr>
        <w:t xml:space="preserve"> the NOI comments identify, any basis for distinguishing between investors in </w:t>
      </w:r>
      <w:r w:rsidR="00446B86">
        <w:rPr>
          <w:szCs w:val="26"/>
        </w:rPr>
        <w:t>public</w:t>
      </w:r>
      <w:r w:rsidR="00FE60F6">
        <w:rPr>
          <w:szCs w:val="26"/>
        </w:rPr>
        <w:t xml:space="preserve"> utilities and investors in </w:t>
      </w:r>
      <w:r w:rsidR="00D2539D">
        <w:rPr>
          <w:szCs w:val="26"/>
        </w:rPr>
        <w:t xml:space="preserve">natural </w:t>
      </w:r>
      <w:r w:rsidR="00FE60F6">
        <w:rPr>
          <w:szCs w:val="26"/>
        </w:rPr>
        <w:t>gas and oil pipelines</w:t>
      </w:r>
      <w:r w:rsidR="00371229">
        <w:rPr>
          <w:szCs w:val="26"/>
        </w:rPr>
        <w:t xml:space="preserve"> in this context</w:t>
      </w:r>
      <w:r w:rsidR="00085A1E">
        <w:rPr>
          <w:szCs w:val="26"/>
        </w:rPr>
        <w:t xml:space="preserve">.  </w:t>
      </w:r>
      <w:r w:rsidR="00574DA0">
        <w:rPr>
          <w:szCs w:val="26"/>
        </w:rPr>
        <w:t xml:space="preserve">We therefore find </w:t>
      </w:r>
      <w:r w:rsidR="00371229">
        <w:rPr>
          <w:szCs w:val="26"/>
        </w:rPr>
        <w:t>that</w:t>
      </w:r>
      <w:r w:rsidR="00085A1E">
        <w:rPr>
          <w:szCs w:val="26"/>
        </w:rPr>
        <w:t xml:space="preserve"> i</w:t>
      </w:r>
      <w:r w:rsidR="00AB59E0">
        <w:rPr>
          <w:szCs w:val="26"/>
        </w:rPr>
        <w:t>nvestors</w:t>
      </w:r>
      <w:r w:rsidR="00371229">
        <w:rPr>
          <w:szCs w:val="26"/>
        </w:rPr>
        <w:t xml:space="preserve"> in pipelines</w:t>
      </w:r>
      <w:r w:rsidR="00357E27">
        <w:rPr>
          <w:szCs w:val="26"/>
        </w:rPr>
        <w:t xml:space="preserve">, like investors in </w:t>
      </w:r>
      <w:r w:rsidR="00446B86">
        <w:rPr>
          <w:szCs w:val="26"/>
        </w:rPr>
        <w:t>public</w:t>
      </w:r>
      <w:r w:rsidR="00357E27">
        <w:rPr>
          <w:szCs w:val="26"/>
        </w:rPr>
        <w:t xml:space="preserve"> utilities, </w:t>
      </w:r>
      <w:r w:rsidR="00085A1E">
        <w:rPr>
          <w:szCs w:val="26"/>
        </w:rPr>
        <w:t>consider multiple models</w:t>
      </w:r>
      <w:r w:rsidR="00371229">
        <w:rPr>
          <w:szCs w:val="26"/>
        </w:rPr>
        <w:t xml:space="preserve"> for measuring cost of equity,</w:t>
      </w:r>
      <w:r w:rsidR="00085A1E">
        <w:rPr>
          <w:szCs w:val="26"/>
        </w:rPr>
        <w:t xml:space="preserve"> including the DCF </w:t>
      </w:r>
      <w:r w:rsidR="00D2539D">
        <w:rPr>
          <w:szCs w:val="26"/>
        </w:rPr>
        <w:t xml:space="preserve">model </w:t>
      </w:r>
      <w:r w:rsidR="00085A1E">
        <w:rPr>
          <w:szCs w:val="26"/>
        </w:rPr>
        <w:t>and CAPM, in</w:t>
      </w:r>
      <w:r w:rsidRPr="00C332CB" w:rsidR="00C332CB">
        <w:rPr>
          <w:szCs w:val="26"/>
        </w:rPr>
        <w:t xml:space="preserve"> making investment decisions.</w:t>
      </w:r>
      <w:r w:rsidR="00574DA0">
        <w:rPr>
          <w:rStyle w:val="FootnoteReference"/>
          <w:szCs w:val="26"/>
        </w:rPr>
        <w:footnoteReference w:id="69"/>
      </w:r>
      <w:r w:rsidRPr="00C332CB" w:rsidR="00C332CB">
        <w:rPr>
          <w:szCs w:val="26"/>
        </w:rPr>
        <w:t xml:space="preserve">  </w:t>
      </w:r>
    </w:p>
    <w:p w:rsidRPr="00970B36" w:rsidR="0077482F" w:rsidP="00970B36" w:rsidRDefault="003240BE" w14:paraId="5A9D1188" w14:textId="1B36652D">
      <w:pPr>
        <w:pStyle w:val="FERCparanumber"/>
        <w:rPr>
          <w:szCs w:val="26"/>
        </w:rPr>
      </w:pPr>
      <w:r w:rsidRPr="00DD50EC">
        <w:t xml:space="preserve">Accordingly, </w:t>
      </w:r>
      <w:r>
        <w:t xml:space="preserve">under </w:t>
      </w:r>
      <w:r w:rsidR="004608D0">
        <w:t xml:space="preserve">the </w:t>
      </w:r>
      <w:r>
        <w:t xml:space="preserve">rationale set forth in Opinion No. 569, we will expand our methodology for determining </w:t>
      </w:r>
      <w:r w:rsidR="00D2539D">
        <w:t xml:space="preserve">natural </w:t>
      </w:r>
      <w:r>
        <w:t xml:space="preserve">gas and oil pipeline ROEs and will consider the </w:t>
      </w:r>
      <w:r w:rsidRPr="00DD50EC">
        <w:t xml:space="preserve">CAPM </w:t>
      </w:r>
      <w:r>
        <w:t>in addition to the DCF</w:t>
      </w:r>
      <w:r w:rsidR="00D2539D">
        <w:t xml:space="preserve"> model</w:t>
      </w:r>
      <w:r w:rsidRPr="00DD50EC">
        <w:t>.</w:t>
      </w:r>
      <w:r>
        <w:rPr>
          <w:rStyle w:val="FootnoteReference"/>
        </w:rPr>
        <w:footnoteReference w:id="70"/>
      </w:r>
      <w:r w:rsidR="00970B36">
        <w:rPr>
          <w:szCs w:val="26"/>
        </w:rPr>
        <w:t xml:space="preserve">  </w:t>
      </w:r>
      <w:r w:rsidRPr="00970B36" w:rsidR="00970B36">
        <w:rPr>
          <w:szCs w:val="26"/>
        </w:rPr>
        <w:t>W</w:t>
      </w:r>
      <w:r w:rsidRPr="00970B36" w:rsidR="00371229">
        <w:rPr>
          <w:szCs w:val="26"/>
        </w:rPr>
        <w:t>e</w:t>
      </w:r>
      <w:r w:rsidRPr="00970B36" w:rsidR="00085A1E">
        <w:rPr>
          <w:szCs w:val="26"/>
        </w:rPr>
        <w:t xml:space="preserve"> conclude</w:t>
      </w:r>
      <w:r w:rsidRPr="00970B36" w:rsidR="004870E9">
        <w:rPr>
          <w:szCs w:val="26"/>
        </w:rPr>
        <w:t xml:space="preserve"> that as with </w:t>
      </w:r>
      <w:r w:rsidRPr="00970B36" w:rsidR="00446B86">
        <w:rPr>
          <w:szCs w:val="26"/>
        </w:rPr>
        <w:t>public</w:t>
      </w:r>
      <w:r w:rsidRPr="00970B36" w:rsidR="004870E9">
        <w:rPr>
          <w:szCs w:val="26"/>
        </w:rPr>
        <w:t xml:space="preserve"> utilities, </w:t>
      </w:r>
      <w:r w:rsidRPr="00970B36" w:rsidR="00371229">
        <w:rPr>
          <w:szCs w:val="26"/>
        </w:rPr>
        <w:lastRenderedPageBreak/>
        <w:t xml:space="preserve">expanding </w:t>
      </w:r>
      <w:r w:rsidRPr="00970B36" w:rsidR="00FA02AF">
        <w:rPr>
          <w:szCs w:val="26"/>
        </w:rPr>
        <w:t>the methodology we use to determine ROE for</w:t>
      </w:r>
      <w:r w:rsidRPr="00970B36" w:rsidR="004870E9">
        <w:rPr>
          <w:szCs w:val="26"/>
        </w:rPr>
        <w:t xml:space="preserve"> </w:t>
      </w:r>
      <w:r w:rsidR="00D2539D">
        <w:rPr>
          <w:szCs w:val="26"/>
        </w:rPr>
        <w:t xml:space="preserve">natural </w:t>
      </w:r>
      <w:r w:rsidRPr="00970B36" w:rsidR="004870E9">
        <w:rPr>
          <w:szCs w:val="26"/>
        </w:rPr>
        <w:t>gas and oil pipeline</w:t>
      </w:r>
      <w:r w:rsidRPr="00970B36" w:rsidR="00FA02AF">
        <w:rPr>
          <w:szCs w:val="26"/>
        </w:rPr>
        <w:t xml:space="preserve">s </w:t>
      </w:r>
      <w:r w:rsidRPr="00970B36" w:rsidR="00371229">
        <w:rPr>
          <w:szCs w:val="26"/>
        </w:rPr>
        <w:t xml:space="preserve">to </w:t>
      </w:r>
      <w:r w:rsidRPr="00970B36" w:rsidR="001F2ECA">
        <w:rPr>
          <w:szCs w:val="26"/>
        </w:rPr>
        <w:t>include</w:t>
      </w:r>
      <w:r w:rsidRPr="00970B36" w:rsidR="00371229">
        <w:rPr>
          <w:szCs w:val="26"/>
        </w:rPr>
        <w:t xml:space="preserve"> the CAPM in addition to the DCF</w:t>
      </w:r>
      <w:r w:rsidRPr="00970B36" w:rsidR="004870E9">
        <w:rPr>
          <w:szCs w:val="26"/>
        </w:rPr>
        <w:t xml:space="preserve"> </w:t>
      </w:r>
      <w:r w:rsidR="00D2539D">
        <w:rPr>
          <w:szCs w:val="26"/>
        </w:rPr>
        <w:t xml:space="preserve">model </w:t>
      </w:r>
      <w:r w:rsidRPr="00970B36" w:rsidR="004870E9">
        <w:rPr>
          <w:szCs w:val="26"/>
        </w:rPr>
        <w:t>will better reflect how investors in those industries measure cost of equity</w:t>
      </w:r>
      <w:r w:rsidRPr="00970B36" w:rsidR="001F2ECA">
        <w:rPr>
          <w:szCs w:val="26"/>
        </w:rPr>
        <w:t xml:space="preserve"> while tending to reduce the model risk associated with relying on the DCF </w:t>
      </w:r>
      <w:r w:rsidR="00D2539D">
        <w:rPr>
          <w:szCs w:val="26"/>
        </w:rPr>
        <w:t xml:space="preserve">model </w:t>
      </w:r>
      <w:r w:rsidRPr="00970B36" w:rsidR="001F2ECA">
        <w:rPr>
          <w:szCs w:val="26"/>
        </w:rPr>
        <w:t>alone</w:t>
      </w:r>
      <w:r w:rsidRPr="00970B36" w:rsidR="007B53C7">
        <w:rPr>
          <w:szCs w:val="26"/>
        </w:rPr>
        <w:t xml:space="preserve">.  </w:t>
      </w:r>
      <w:r w:rsidRPr="00970B36" w:rsidR="001F2ECA">
        <w:rPr>
          <w:szCs w:val="26"/>
        </w:rPr>
        <w:t xml:space="preserve">This should result in our ROE analyses producing cost-of-equity estimates for </w:t>
      </w:r>
      <w:r w:rsidR="00D2539D">
        <w:rPr>
          <w:szCs w:val="26"/>
        </w:rPr>
        <w:t xml:space="preserve">natural </w:t>
      </w:r>
      <w:r w:rsidRPr="00970B36" w:rsidR="001F2ECA">
        <w:rPr>
          <w:szCs w:val="26"/>
        </w:rPr>
        <w:t>gas and oil pipelines that more accurately reflect what ROE a pipeline must offer in order to attract capital.</w:t>
      </w:r>
    </w:p>
    <w:p w:rsidRPr="009F5CEF" w:rsidR="007245C3" w:rsidP="001B6F09" w:rsidRDefault="0077482F" w14:paraId="105B4290" w14:textId="1C84D15B">
      <w:pPr>
        <w:pStyle w:val="Heading3"/>
      </w:pPr>
      <w:r>
        <w:t>DCF</w:t>
      </w:r>
    </w:p>
    <w:p w:rsidR="00216116" w:rsidP="000E7D77" w:rsidRDefault="009F5CEF" w14:paraId="7E18058B" w14:textId="203CDBC7">
      <w:pPr>
        <w:pStyle w:val="FERCparanumber"/>
        <w:rPr>
          <w:szCs w:val="26"/>
        </w:rPr>
      </w:pPr>
      <w:r w:rsidRPr="00545940">
        <w:rPr>
          <w:szCs w:val="26"/>
        </w:rPr>
        <w:t xml:space="preserve">We </w:t>
      </w:r>
      <w:r w:rsidR="008E1316">
        <w:rPr>
          <w:szCs w:val="26"/>
        </w:rPr>
        <w:t>decline to adopt any changes to the</w:t>
      </w:r>
      <w:r w:rsidR="00F63A3C">
        <w:rPr>
          <w:szCs w:val="26"/>
        </w:rPr>
        <w:t xml:space="preserve"> two-step</w:t>
      </w:r>
      <w:r w:rsidR="008E1316">
        <w:rPr>
          <w:szCs w:val="26"/>
        </w:rPr>
        <w:t xml:space="preserve"> DCF</w:t>
      </w:r>
      <w:r w:rsidR="00F63A3C">
        <w:rPr>
          <w:szCs w:val="26"/>
        </w:rPr>
        <w:t xml:space="preserve"> </w:t>
      </w:r>
      <w:r w:rsidR="00686F68">
        <w:rPr>
          <w:szCs w:val="26"/>
        </w:rPr>
        <w:t xml:space="preserve">model </w:t>
      </w:r>
      <w:r w:rsidR="00F63A3C">
        <w:rPr>
          <w:szCs w:val="26"/>
        </w:rPr>
        <w:t xml:space="preserve">that we apply to </w:t>
      </w:r>
      <w:r w:rsidR="00686F68">
        <w:rPr>
          <w:szCs w:val="26"/>
        </w:rPr>
        <w:t xml:space="preserve">natural </w:t>
      </w:r>
      <w:r w:rsidR="008E1316">
        <w:rPr>
          <w:szCs w:val="26"/>
        </w:rPr>
        <w:t xml:space="preserve">gas and oil pipelines </w:t>
      </w:r>
      <w:r w:rsidR="00F63A3C">
        <w:rPr>
          <w:szCs w:val="26"/>
        </w:rPr>
        <w:t>under our existing policy</w:t>
      </w:r>
      <w:r w:rsidR="008E1316">
        <w:rPr>
          <w:szCs w:val="26"/>
        </w:rPr>
        <w:t>.</w:t>
      </w:r>
      <w:r w:rsidR="000E7D77">
        <w:rPr>
          <w:szCs w:val="26"/>
        </w:rPr>
        <w:t xml:space="preserve">  </w:t>
      </w:r>
      <w:r w:rsidR="006D4F0E">
        <w:rPr>
          <w:szCs w:val="26"/>
        </w:rPr>
        <w:t xml:space="preserve">We will </w:t>
      </w:r>
      <w:r w:rsidR="000313BB">
        <w:rPr>
          <w:szCs w:val="26"/>
        </w:rPr>
        <w:t xml:space="preserve">therefore </w:t>
      </w:r>
      <w:r w:rsidR="006D4F0E">
        <w:rPr>
          <w:szCs w:val="26"/>
        </w:rPr>
        <w:t>continue to base the long-term growth projection on forecasts of long-term growth of GDP, adjust the long-term growth projection of MLPs to equal 50</w:t>
      </w:r>
      <w:r w:rsidR="000570C2">
        <w:rPr>
          <w:szCs w:val="26"/>
        </w:rPr>
        <w:t>%</w:t>
      </w:r>
      <w:r w:rsidR="006D4F0E">
        <w:rPr>
          <w:szCs w:val="26"/>
        </w:rPr>
        <w:t xml:space="preserve"> of GDP consistent with the 2008 Policy Statement,</w:t>
      </w:r>
      <w:r w:rsidRPr="00E03B49" w:rsidR="00E03B49">
        <w:rPr>
          <w:b/>
          <w:szCs w:val="26"/>
          <w:vertAlign w:val="superscript"/>
        </w:rPr>
        <w:footnoteReference w:id="71"/>
      </w:r>
      <w:r w:rsidR="006D4F0E">
        <w:rPr>
          <w:szCs w:val="26"/>
        </w:rPr>
        <w:t xml:space="preserve"> and use only the short-term growth projection for purposes of the (1+.5g) adjustment to dividend yield.  </w:t>
      </w:r>
      <w:r w:rsidR="000313BB">
        <w:rPr>
          <w:szCs w:val="26"/>
        </w:rPr>
        <w:t>As discussed below</w:t>
      </w:r>
      <w:r w:rsidR="006D4F0E">
        <w:rPr>
          <w:szCs w:val="26"/>
        </w:rPr>
        <w:t>, i</w:t>
      </w:r>
      <w:r w:rsidRPr="000E7D77" w:rsidR="00FA02AF">
        <w:rPr>
          <w:szCs w:val="26"/>
        </w:rPr>
        <w:t>n contrast to our revised</w:t>
      </w:r>
      <w:r w:rsidR="00F63A3C">
        <w:rPr>
          <w:szCs w:val="26"/>
        </w:rPr>
        <w:t xml:space="preserve"> base</w:t>
      </w:r>
      <w:r w:rsidRPr="000E7D77" w:rsidR="00FA02AF">
        <w:rPr>
          <w:szCs w:val="26"/>
        </w:rPr>
        <w:t xml:space="preserve"> ROE methodology for </w:t>
      </w:r>
      <w:r w:rsidRPr="000E7D77" w:rsidR="000A5467">
        <w:rPr>
          <w:szCs w:val="26"/>
        </w:rPr>
        <w:t>public</w:t>
      </w:r>
      <w:r w:rsidRPr="000E7D77" w:rsidR="00FA02AF">
        <w:rPr>
          <w:szCs w:val="26"/>
        </w:rPr>
        <w:t xml:space="preserve"> utilities</w:t>
      </w:r>
      <w:r w:rsidR="00C6652E">
        <w:rPr>
          <w:szCs w:val="26"/>
        </w:rPr>
        <w:t xml:space="preserve"> as </w:t>
      </w:r>
      <w:r w:rsidRPr="00C6652E" w:rsidR="00C6652E">
        <w:rPr>
          <w:szCs w:val="26"/>
        </w:rPr>
        <w:t>adopted in Opinion No. 569-A</w:t>
      </w:r>
      <w:r w:rsidRPr="000E7D77">
        <w:rPr>
          <w:szCs w:val="26"/>
        </w:rPr>
        <w:t xml:space="preserve">, we </w:t>
      </w:r>
      <w:r w:rsidRPr="000E7D77" w:rsidR="00FA02AF">
        <w:rPr>
          <w:szCs w:val="26"/>
        </w:rPr>
        <w:t>will retain</w:t>
      </w:r>
      <w:r w:rsidRPr="000E7D77">
        <w:rPr>
          <w:szCs w:val="26"/>
        </w:rPr>
        <w:t xml:space="preserve"> </w:t>
      </w:r>
      <w:r w:rsidRPr="000E7D77" w:rsidR="00FA02AF">
        <w:rPr>
          <w:szCs w:val="26"/>
        </w:rPr>
        <w:t>the</w:t>
      </w:r>
      <w:r w:rsidRPr="000E7D77">
        <w:rPr>
          <w:szCs w:val="26"/>
        </w:rPr>
        <w:t xml:space="preserve"> existing two-thirds/one-third </w:t>
      </w:r>
      <w:r w:rsidRPr="000E7D77" w:rsidR="00FA02AF">
        <w:rPr>
          <w:szCs w:val="26"/>
        </w:rPr>
        <w:t>weighting for the short</w:t>
      </w:r>
      <w:r w:rsidR="00C6256C">
        <w:rPr>
          <w:szCs w:val="26"/>
        </w:rPr>
        <w:t xml:space="preserve"> </w:t>
      </w:r>
      <w:r w:rsidRPr="000E7D77" w:rsidR="00FA02AF">
        <w:rPr>
          <w:szCs w:val="26"/>
        </w:rPr>
        <w:t>and long-term growth projections</w:t>
      </w:r>
      <w:r w:rsidRPr="000E7D77">
        <w:rPr>
          <w:szCs w:val="26"/>
        </w:rPr>
        <w:t>.</w:t>
      </w:r>
    </w:p>
    <w:p w:rsidRPr="000E7D77" w:rsidR="00F4389C" w:rsidP="000313BB" w:rsidRDefault="00F4389C" w14:paraId="56880CCE" w14:textId="370C67D8">
      <w:pPr>
        <w:pStyle w:val="Heading4"/>
      </w:pPr>
      <w:r>
        <w:lastRenderedPageBreak/>
        <w:t>NOI Comments</w:t>
      </w:r>
    </w:p>
    <w:p w:rsidR="006931F3" w:rsidP="00216116" w:rsidRDefault="003E49C0" w14:paraId="40458B55" w14:textId="6E1A77EB">
      <w:pPr>
        <w:pStyle w:val="FERCparanumber"/>
        <w:rPr>
          <w:szCs w:val="26"/>
        </w:rPr>
      </w:pPr>
      <w:r>
        <w:rPr>
          <w:szCs w:val="26"/>
        </w:rPr>
        <w:t>C</w:t>
      </w:r>
      <w:r w:rsidRPr="00216116" w:rsidR="006F00F2">
        <w:rPr>
          <w:szCs w:val="26"/>
        </w:rPr>
        <w:t>omment</w:t>
      </w:r>
      <w:r w:rsidR="009445B9">
        <w:rPr>
          <w:szCs w:val="26"/>
        </w:rPr>
        <w:t>er</w:t>
      </w:r>
      <w:r w:rsidRPr="00216116" w:rsidR="006F00F2">
        <w:rPr>
          <w:szCs w:val="26"/>
        </w:rPr>
        <w:t xml:space="preserve">s </w:t>
      </w:r>
      <w:r w:rsidRPr="00216116" w:rsidR="009E309A">
        <w:rPr>
          <w:szCs w:val="26"/>
        </w:rPr>
        <w:t xml:space="preserve">that address the weighting of the growth projections in the DCF </w:t>
      </w:r>
      <w:r w:rsidR="00686F68">
        <w:rPr>
          <w:szCs w:val="26"/>
        </w:rPr>
        <w:t xml:space="preserve">model </w:t>
      </w:r>
      <w:r w:rsidRPr="00216116" w:rsidR="009E309A">
        <w:rPr>
          <w:szCs w:val="26"/>
        </w:rPr>
        <w:t>are divided on whether the Commission should retain the existing weighting, with AOPL and NGSA not proposing any adjustments</w:t>
      </w:r>
      <w:r w:rsidR="006F00F2">
        <w:rPr>
          <w:rStyle w:val="FootnoteReference"/>
          <w:szCs w:val="26"/>
        </w:rPr>
        <w:footnoteReference w:id="72"/>
      </w:r>
      <w:r w:rsidRPr="00216116" w:rsidR="009E309A">
        <w:rPr>
          <w:szCs w:val="26"/>
        </w:rPr>
        <w:t xml:space="preserve"> and CAPP and INGAA proposing alternative weighting schemes.</w:t>
      </w:r>
      <w:r w:rsidRPr="00216116" w:rsidR="006931F3">
        <w:rPr>
          <w:szCs w:val="26"/>
        </w:rPr>
        <w:t xml:space="preserve"> </w:t>
      </w:r>
      <w:r w:rsidRPr="00216116" w:rsidR="009E309A">
        <w:rPr>
          <w:szCs w:val="26"/>
        </w:rPr>
        <w:t xml:space="preserve"> </w:t>
      </w:r>
      <w:r w:rsidRPr="00216116" w:rsidR="006931F3">
        <w:rPr>
          <w:szCs w:val="26"/>
        </w:rPr>
        <w:t>CAPP contends that the Commission should accord the growth projections equal weighting.</w:t>
      </w:r>
      <w:r w:rsidR="006931F3">
        <w:rPr>
          <w:rStyle w:val="FootnoteReference"/>
          <w:szCs w:val="26"/>
        </w:rPr>
        <w:footnoteReference w:id="73"/>
      </w:r>
      <w:r w:rsidRPr="00216116" w:rsidR="009E309A">
        <w:rPr>
          <w:szCs w:val="26"/>
        </w:rPr>
        <w:t xml:space="preserve">  INGAA, </w:t>
      </w:r>
      <w:r w:rsidR="00E30489">
        <w:rPr>
          <w:szCs w:val="26"/>
        </w:rPr>
        <w:t>on the other hand</w:t>
      </w:r>
      <w:r w:rsidRPr="00216116" w:rsidR="009E309A">
        <w:rPr>
          <w:szCs w:val="26"/>
        </w:rPr>
        <w:t>, proposes to increase the weighting of the short-term projection to four-fifths and reduce the weighting of the long-term projection to one-fifth.</w:t>
      </w:r>
      <w:r w:rsidR="009E309A">
        <w:rPr>
          <w:rStyle w:val="FootnoteReference"/>
          <w:szCs w:val="26"/>
        </w:rPr>
        <w:footnoteReference w:id="74"/>
      </w:r>
    </w:p>
    <w:p w:rsidR="00F4389C" w:rsidP="00A76E80" w:rsidRDefault="00F4389C" w14:paraId="6978B806" w14:textId="6C9E249E">
      <w:pPr>
        <w:pStyle w:val="Heading4"/>
      </w:pPr>
      <w:r>
        <w:t>Commission Determination</w:t>
      </w:r>
    </w:p>
    <w:p w:rsidRPr="00216116" w:rsidR="00390E08" w:rsidP="00216116" w:rsidRDefault="00216116" w14:paraId="573EDA7E" w14:textId="54902934">
      <w:pPr>
        <w:pStyle w:val="FERCparanumber"/>
        <w:rPr>
          <w:szCs w:val="26"/>
        </w:rPr>
      </w:pPr>
      <w:r>
        <w:rPr>
          <w:szCs w:val="26"/>
        </w:rPr>
        <w:t>The D.C. Circuit has recognized</w:t>
      </w:r>
      <w:r w:rsidRPr="00216116" w:rsidR="00390E08">
        <w:rPr>
          <w:szCs w:val="26"/>
        </w:rPr>
        <w:t xml:space="preserve"> that the Commission </w:t>
      </w:r>
      <w:r>
        <w:rPr>
          <w:szCs w:val="26"/>
        </w:rPr>
        <w:t>has</w:t>
      </w:r>
      <w:r w:rsidRPr="00216116" w:rsidR="00390E08">
        <w:rPr>
          <w:szCs w:val="26"/>
        </w:rPr>
        <w:t xml:space="preserve"> discretion </w:t>
      </w:r>
      <w:r>
        <w:rPr>
          <w:szCs w:val="26"/>
        </w:rPr>
        <w:t>regarding</w:t>
      </w:r>
      <w:r w:rsidRPr="00216116" w:rsidR="00390E08">
        <w:rPr>
          <w:szCs w:val="26"/>
        </w:rPr>
        <w:t xml:space="preserve"> its growth projection weighting choices.</w:t>
      </w:r>
      <w:r w:rsidR="00390E08">
        <w:rPr>
          <w:rStyle w:val="FootnoteReference"/>
          <w:szCs w:val="26"/>
        </w:rPr>
        <w:footnoteReference w:id="75"/>
      </w:r>
      <w:r w:rsidRPr="00216116" w:rsidR="00390E08">
        <w:rPr>
          <w:szCs w:val="26"/>
        </w:rPr>
        <w:t xml:space="preserve">  Although </w:t>
      </w:r>
      <w:r>
        <w:rPr>
          <w:szCs w:val="26"/>
        </w:rPr>
        <w:t>the Commission is reducing</w:t>
      </w:r>
      <w:r w:rsidRPr="00216116" w:rsidR="00390E08">
        <w:rPr>
          <w:szCs w:val="26"/>
        </w:rPr>
        <w:t xml:space="preserve"> the weighting of the long-term growth projection </w:t>
      </w:r>
      <w:r w:rsidR="004E486A">
        <w:rPr>
          <w:szCs w:val="26"/>
        </w:rPr>
        <w:t>in</w:t>
      </w:r>
      <w:r>
        <w:rPr>
          <w:szCs w:val="26"/>
        </w:rPr>
        <w:t xml:space="preserve"> </w:t>
      </w:r>
      <w:r w:rsidR="00E30489">
        <w:rPr>
          <w:szCs w:val="26"/>
        </w:rPr>
        <w:t>public</w:t>
      </w:r>
      <w:r>
        <w:rPr>
          <w:szCs w:val="26"/>
        </w:rPr>
        <w:t xml:space="preserve"> utili</w:t>
      </w:r>
      <w:r w:rsidR="004E486A">
        <w:rPr>
          <w:szCs w:val="26"/>
        </w:rPr>
        <w:t>ty proceedings to one-fifth</w:t>
      </w:r>
      <w:r w:rsidRPr="00216116" w:rsidR="00390E08">
        <w:rPr>
          <w:szCs w:val="26"/>
        </w:rPr>
        <w:t>, we find that</w:t>
      </w:r>
      <w:r>
        <w:rPr>
          <w:szCs w:val="26"/>
        </w:rPr>
        <w:t xml:space="preserve"> </w:t>
      </w:r>
      <w:r w:rsidR="004E486A">
        <w:rPr>
          <w:szCs w:val="26"/>
        </w:rPr>
        <w:t xml:space="preserve">distinctions between </w:t>
      </w:r>
      <w:r w:rsidR="00446B86">
        <w:rPr>
          <w:szCs w:val="26"/>
        </w:rPr>
        <w:t>public</w:t>
      </w:r>
      <w:r w:rsidR="004E486A">
        <w:rPr>
          <w:szCs w:val="26"/>
        </w:rPr>
        <w:t xml:space="preserve"> utilities and </w:t>
      </w:r>
      <w:r w:rsidR="00686F68">
        <w:rPr>
          <w:szCs w:val="26"/>
        </w:rPr>
        <w:t xml:space="preserve">natural </w:t>
      </w:r>
      <w:r w:rsidR="004E486A">
        <w:rPr>
          <w:szCs w:val="26"/>
        </w:rPr>
        <w:t>gas and oil pipelines support</w:t>
      </w:r>
      <w:r w:rsidRPr="00216116" w:rsidR="00390E08">
        <w:rPr>
          <w:szCs w:val="26"/>
        </w:rPr>
        <w:t xml:space="preserve"> exercising </w:t>
      </w:r>
      <w:r w:rsidR="004E486A">
        <w:rPr>
          <w:szCs w:val="26"/>
        </w:rPr>
        <w:t>this</w:t>
      </w:r>
      <w:r w:rsidRPr="00216116" w:rsidR="00390E08">
        <w:rPr>
          <w:szCs w:val="26"/>
        </w:rPr>
        <w:t xml:space="preserve"> discretion to </w:t>
      </w:r>
      <w:r w:rsidR="004E486A">
        <w:rPr>
          <w:szCs w:val="26"/>
        </w:rPr>
        <w:t>continue affording one-third weighting</w:t>
      </w:r>
      <w:r w:rsidRPr="00216116" w:rsidR="00390E08">
        <w:rPr>
          <w:szCs w:val="26"/>
        </w:rPr>
        <w:t xml:space="preserve"> to the long-term growth projections in </w:t>
      </w:r>
      <w:r w:rsidR="000E7D77">
        <w:rPr>
          <w:szCs w:val="26"/>
        </w:rPr>
        <w:t>our analyses of pipeline ROEs</w:t>
      </w:r>
      <w:r w:rsidRPr="00216116" w:rsidR="00390E08">
        <w:rPr>
          <w:szCs w:val="26"/>
        </w:rPr>
        <w:t>.</w:t>
      </w:r>
    </w:p>
    <w:p w:rsidRPr="004E486A" w:rsidR="00216116" w:rsidP="00390E08" w:rsidRDefault="00EA5F09" w14:paraId="1FF2BF22" w14:textId="18959776">
      <w:pPr>
        <w:pStyle w:val="FERCparanumber"/>
      </w:pPr>
      <w:r w:rsidRPr="000E7D77">
        <w:rPr>
          <w:szCs w:val="26"/>
        </w:rPr>
        <w:lastRenderedPageBreak/>
        <w:t xml:space="preserve">The Commission adopted </w:t>
      </w:r>
      <w:r w:rsidR="00C35C5A">
        <w:rPr>
          <w:szCs w:val="26"/>
        </w:rPr>
        <w:t>the existing two-thirds/one-third</w:t>
      </w:r>
      <w:r w:rsidRPr="000E7D77">
        <w:rPr>
          <w:szCs w:val="26"/>
        </w:rPr>
        <w:t xml:space="preserve"> weighting </w:t>
      </w:r>
      <w:r w:rsidR="0034604F">
        <w:rPr>
          <w:szCs w:val="26"/>
        </w:rPr>
        <w:t>scheme</w:t>
      </w:r>
      <w:r w:rsidR="00C35C5A">
        <w:rPr>
          <w:szCs w:val="26"/>
        </w:rPr>
        <w:t xml:space="preserve"> </w:t>
      </w:r>
      <w:r w:rsidRPr="000E7D77">
        <w:rPr>
          <w:szCs w:val="26"/>
        </w:rPr>
        <w:t>in Opinion No. 414-A</w:t>
      </w:r>
      <w:r>
        <w:rPr>
          <w:szCs w:val="26"/>
        </w:rPr>
        <w:t>.</w:t>
      </w:r>
      <w:r>
        <w:rPr>
          <w:rStyle w:val="FootnoteReference"/>
          <w:szCs w:val="26"/>
        </w:rPr>
        <w:footnoteReference w:id="76"/>
      </w:r>
      <w:r>
        <w:rPr>
          <w:szCs w:val="26"/>
        </w:rPr>
        <w:t xml:space="preserve">  </w:t>
      </w:r>
      <w:r w:rsidR="00216116">
        <w:rPr>
          <w:szCs w:val="26"/>
        </w:rPr>
        <w:t xml:space="preserve">As explained in Opinion No. 569-A, reducing the weighting of the long-term growth projection in DCF analyses of </w:t>
      </w:r>
      <w:r w:rsidR="00446B86">
        <w:rPr>
          <w:szCs w:val="26"/>
        </w:rPr>
        <w:t>public</w:t>
      </w:r>
      <w:r w:rsidR="00216116">
        <w:rPr>
          <w:szCs w:val="26"/>
        </w:rPr>
        <w:t xml:space="preserve"> utilities is appropriate </w:t>
      </w:r>
      <w:r w:rsidR="00E677A2">
        <w:rPr>
          <w:szCs w:val="26"/>
        </w:rPr>
        <w:t>b</w:t>
      </w:r>
      <w:r w:rsidR="00216116">
        <w:rPr>
          <w:szCs w:val="26"/>
        </w:rPr>
        <w:t xml:space="preserve">ecause </w:t>
      </w:r>
      <w:r w:rsidR="00F6495E">
        <w:rPr>
          <w:szCs w:val="26"/>
        </w:rPr>
        <w:t>the</w:t>
      </w:r>
      <w:r w:rsidR="00216116">
        <w:rPr>
          <w:szCs w:val="26"/>
        </w:rPr>
        <w:t xml:space="preserve"> short-term growth projections </w:t>
      </w:r>
      <w:r w:rsidR="00F6495E">
        <w:rPr>
          <w:szCs w:val="26"/>
        </w:rPr>
        <w:t xml:space="preserve">of public utilities </w:t>
      </w:r>
      <w:r w:rsidR="00216116">
        <w:rPr>
          <w:szCs w:val="26"/>
        </w:rPr>
        <w:t xml:space="preserve">have declined relative to GDP since </w:t>
      </w:r>
      <w:r>
        <w:rPr>
          <w:szCs w:val="26"/>
        </w:rPr>
        <w:t>the issuance of Opinion No. 414-A</w:t>
      </w:r>
      <w:r w:rsidR="00E677A2">
        <w:rPr>
          <w:szCs w:val="26"/>
        </w:rPr>
        <w:t>.</w:t>
      </w:r>
      <w:r w:rsidR="00216116">
        <w:rPr>
          <w:rStyle w:val="FootnoteReference"/>
          <w:szCs w:val="26"/>
        </w:rPr>
        <w:footnoteReference w:id="77"/>
      </w:r>
      <w:r w:rsidR="00E677A2">
        <w:rPr>
          <w:szCs w:val="26"/>
        </w:rPr>
        <w:t xml:space="preserve"> </w:t>
      </w:r>
      <w:r w:rsidR="00216116">
        <w:rPr>
          <w:szCs w:val="26"/>
        </w:rPr>
        <w:t xml:space="preserve"> </w:t>
      </w:r>
      <w:r w:rsidR="00E677A2">
        <w:rPr>
          <w:szCs w:val="26"/>
        </w:rPr>
        <w:t>As a result, in</w:t>
      </w:r>
      <w:r w:rsidR="00216116">
        <w:rPr>
          <w:szCs w:val="26"/>
        </w:rPr>
        <w:t xml:space="preserve">vestors may reasonably consider current </w:t>
      </w:r>
      <w:r w:rsidR="00E900DB">
        <w:rPr>
          <w:szCs w:val="26"/>
        </w:rPr>
        <w:t>public</w:t>
      </w:r>
      <w:r w:rsidR="00216116">
        <w:rPr>
          <w:szCs w:val="26"/>
        </w:rPr>
        <w:t xml:space="preserve"> utility short-term growth projections to be more sustainable than when the Commission adopted the </w:t>
      </w:r>
      <w:r>
        <w:rPr>
          <w:szCs w:val="26"/>
        </w:rPr>
        <w:t xml:space="preserve">existing </w:t>
      </w:r>
      <w:r w:rsidR="00216116">
        <w:rPr>
          <w:szCs w:val="26"/>
        </w:rPr>
        <w:t xml:space="preserve">weighting policy in 1998.  It is therefore reasonable to afford greater weight to the short-term growth projection and lesser weight to the long-term growth projection in determining cost of equity for </w:t>
      </w:r>
      <w:r w:rsidR="00446B86">
        <w:rPr>
          <w:szCs w:val="26"/>
        </w:rPr>
        <w:t>public</w:t>
      </w:r>
      <w:r w:rsidR="00216116">
        <w:rPr>
          <w:szCs w:val="26"/>
        </w:rPr>
        <w:t xml:space="preserve"> utilities.</w:t>
      </w:r>
      <w:r w:rsidR="00216116">
        <w:rPr>
          <w:rStyle w:val="FootnoteReference"/>
          <w:szCs w:val="26"/>
        </w:rPr>
        <w:footnoteReference w:id="78"/>
      </w:r>
    </w:p>
    <w:p w:rsidRPr="00AE66BA" w:rsidR="00602A79" w:rsidP="00AE66BA" w:rsidRDefault="004E486A" w14:paraId="0D47D57C" w14:textId="1AFAFAE6">
      <w:pPr>
        <w:pStyle w:val="FERCparanumber"/>
        <w:rPr>
          <w:szCs w:val="26"/>
        </w:rPr>
      </w:pPr>
      <w:bookmarkStart w:name="_Hlk37349696" w:id="3"/>
      <w:bookmarkStart w:name="_Hlk39675439" w:id="4"/>
      <w:r>
        <w:rPr>
          <w:szCs w:val="26"/>
        </w:rPr>
        <w:t>Th</w:t>
      </w:r>
      <w:r w:rsidR="00AE66BA">
        <w:rPr>
          <w:szCs w:val="26"/>
        </w:rPr>
        <w:t>is reasoning</w:t>
      </w:r>
      <w:r>
        <w:rPr>
          <w:szCs w:val="26"/>
        </w:rPr>
        <w:t xml:space="preserve"> do</w:t>
      </w:r>
      <w:r w:rsidR="00AE66BA">
        <w:rPr>
          <w:szCs w:val="26"/>
        </w:rPr>
        <w:t>es</w:t>
      </w:r>
      <w:r>
        <w:rPr>
          <w:szCs w:val="26"/>
        </w:rPr>
        <w:t xml:space="preserve"> not apply with equal force to </w:t>
      </w:r>
      <w:r w:rsidR="00686F68">
        <w:rPr>
          <w:szCs w:val="26"/>
        </w:rPr>
        <w:t xml:space="preserve">natural </w:t>
      </w:r>
      <w:r>
        <w:rPr>
          <w:szCs w:val="26"/>
        </w:rPr>
        <w:t xml:space="preserve">gas and oil pipelines.  </w:t>
      </w:r>
      <w:bookmarkEnd w:id="3"/>
      <w:r w:rsidR="00AE66BA">
        <w:rPr>
          <w:szCs w:val="26"/>
        </w:rPr>
        <w:t>A</w:t>
      </w:r>
      <w:r w:rsidR="00CC7698">
        <w:rPr>
          <w:szCs w:val="26"/>
        </w:rPr>
        <w:t>lthough the</w:t>
      </w:r>
      <w:r>
        <w:rPr>
          <w:szCs w:val="26"/>
        </w:rPr>
        <w:t xml:space="preserve"> short-term growth projections of </w:t>
      </w:r>
      <w:r w:rsidR="00686F68">
        <w:rPr>
          <w:szCs w:val="26"/>
        </w:rPr>
        <w:t xml:space="preserve">natural </w:t>
      </w:r>
      <w:r>
        <w:rPr>
          <w:szCs w:val="26"/>
        </w:rPr>
        <w:t xml:space="preserve">gas and oil pipelines </w:t>
      </w:r>
      <w:r w:rsidR="00CC7698">
        <w:rPr>
          <w:szCs w:val="26"/>
        </w:rPr>
        <w:t>are lower than in 1998, they have</w:t>
      </w:r>
      <w:r>
        <w:rPr>
          <w:szCs w:val="26"/>
        </w:rPr>
        <w:t xml:space="preserve"> not declined to the same extent as those of </w:t>
      </w:r>
      <w:r w:rsidR="00446B86">
        <w:rPr>
          <w:szCs w:val="26"/>
        </w:rPr>
        <w:t>public</w:t>
      </w:r>
      <w:r>
        <w:rPr>
          <w:szCs w:val="26"/>
        </w:rPr>
        <w:t xml:space="preserve"> utilities.</w:t>
      </w:r>
      <w:r w:rsidR="00E35EA7">
        <w:rPr>
          <w:rStyle w:val="FootnoteReference"/>
          <w:szCs w:val="26"/>
        </w:rPr>
        <w:footnoteReference w:id="79"/>
      </w:r>
      <w:r>
        <w:rPr>
          <w:szCs w:val="26"/>
        </w:rPr>
        <w:t xml:space="preserve">  </w:t>
      </w:r>
      <w:r w:rsidR="00922D0A">
        <w:rPr>
          <w:szCs w:val="26"/>
        </w:rPr>
        <w:t xml:space="preserve">As such, </w:t>
      </w:r>
      <w:r w:rsidR="00922D0A">
        <w:rPr>
          <w:szCs w:val="26"/>
        </w:rPr>
        <w:lastRenderedPageBreak/>
        <w:t xml:space="preserve">investors could reasonably </w:t>
      </w:r>
      <w:r w:rsidR="00CC7698">
        <w:rPr>
          <w:szCs w:val="26"/>
        </w:rPr>
        <w:t>view</w:t>
      </w:r>
      <w:r w:rsidR="00922D0A">
        <w:rPr>
          <w:szCs w:val="26"/>
        </w:rPr>
        <w:t xml:space="preserve"> pipelines’ short-term growth projections </w:t>
      </w:r>
      <w:r w:rsidR="00CC7698">
        <w:rPr>
          <w:szCs w:val="26"/>
        </w:rPr>
        <w:t>as</w:t>
      </w:r>
      <w:r w:rsidR="00922D0A">
        <w:rPr>
          <w:szCs w:val="26"/>
        </w:rPr>
        <w:t xml:space="preserve"> less sustainable </w:t>
      </w:r>
      <w:r w:rsidR="00CC7698">
        <w:rPr>
          <w:szCs w:val="26"/>
        </w:rPr>
        <w:t xml:space="preserve">than the projections of </w:t>
      </w:r>
      <w:r w:rsidR="00446B86">
        <w:rPr>
          <w:szCs w:val="26"/>
        </w:rPr>
        <w:t>public</w:t>
      </w:r>
      <w:r w:rsidR="00CC7698">
        <w:rPr>
          <w:szCs w:val="26"/>
        </w:rPr>
        <w:t xml:space="preserve"> utilities.  Moreover, </w:t>
      </w:r>
      <w:r w:rsidRPr="00AE66BA" w:rsidR="00D221DD">
        <w:rPr>
          <w:szCs w:val="26"/>
        </w:rPr>
        <w:t xml:space="preserve">the shale gas revolution has caused the </w:t>
      </w:r>
      <w:r w:rsidR="00686F68">
        <w:rPr>
          <w:szCs w:val="26"/>
        </w:rPr>
        <w:t xml:space="preserve">natural </w:t>
      </w:r>
      <w:r w:rsidRPr="00AE66BA" w:rsidR="00D221DD">
        <w:rPr>
          <w:szCs w:val="26"/>
        </w:rPr>
        <w:t xml:space="preserve">gas </w:t>
      </w:r>
      <w:r w:rsidRPr="00AE66BA" w:rsidR="004E2D7E">
        <w:rPr>
          <w:szCs w:val="26"/>
        </w:rPr>
        <w:t>and oil</w:t>
      </w:r>
      <w:r w:rsidRPr="00AE66BA" w:rsidR="00D221DD">
        <w:rPr>
          <w:szCs w:val="26"/>
        </w:rPr>
        <w:t xml:space="preserve"> pipeline industr</w:t>
      </w:r>
      <w:r w:rsidRPr="00AE66BA" w:rsidR="00A8223E">
        <w:rPr>
          <w:szCs w:val="26"/>
        </w:rPr>
        <w:t xml:space="preserve">ies </w:t>
      </w:r>
      <w:r w:rsidRPr="00AE66BA" w:rsidR="00D221DD">
        <w:rPr>
          <w:szCs w:val="26"/>
        </w:rPr>
        <w:t>to become more dynamic and less mature, which</w:t>
      </w:r>
      <w:r w:rsidRPr="00AE66BA" w:rsidR="00CC7698">
        <w:rPr>
          <w:szCs w:val="26"/>
        </w:rPr>
        <w:t xml:space="preserve"> could</w:t>
      </w:r>
      <w:r w:rsidRPr="00AE66BA" w:rsidR="00D221DD">
        <w:rPr>
          <w:szCs w:val="26"/>
        </w:rPr>
        <w:t xml:space="preserve"> undermine the reliability of </w:t>
      </w:r>
      <w:r w:rsidRPr="00AE66BA" w:rsidR="00CC7698">
        <w:rPr>
          <w:szCs w:val="26"/>
        </w:rPr>
        <w:t xml:space="preserve">pipelines’ </w:t>
      </w:r>
      <w:r w:rsidRPr="00AE66BA" w:rsidR="00D221DD">
        <w:rPr>
          <w:szCs w:val="26"/>
        </w:rPr>
        <w:t>short-term growth projections</w:t>
      </w:r>
      <w:r w:rsidRPr="00AE66BA" w:rsidR="00CC7698">
        <w:rPr>
          <w:szCs w:val="26"/>
        </w:rPr>
        <w:t>.</w:t>
      </w:r>
    </w:p>
    <w:bookmarkEnd w:id="4"/>
    <w:p w:rsidRPr="00A76E80" w:rsidR="006253E5" w:rsidP="00A76E80" w:rsidRDefault="00CC7698" w14:paraId="1204D094" w14:textId="63212520">
      <w:pPr>
        <w:pStyle w:val="FERCparanumber"/>
        <w:rPr>
          <w:szCs w:val="26"/>
        </w:rPr>
      </w:pPr>
      <w:r>
        <w:rPr>
          <w:szCs w:val="26"/>
        </w:rPr>
        <w:t xml:space="preserve">For </w:t>
      </w:r>
      <w:r w:rsidR="00A05781">
        <w:rPr>
          <w:szCs w:val="26"/>
        </w:rPr>
        <w:t>these</w:t>
      </w:r>
      <w:r>
        <w:rPr>
          <w:szCs w:val="26"/>
        </w:rPr>
        <w:t xml:space="preserve"> reason</w:t>
      </w:r>
      <w:r w:rsidR="00A05781">
        <w:rPr>
          <w:szCs w:val="26"/>
        </w:rPr>
        <w:t>s</w:t>
      </w:r>
      <w:r w:rsidR="001E3766">
        <w:rPr>
          <w:szCs w:val="26"/>
        </w:rPr>
        <w:t xml:space="preserve">, we exercise our discretion to </w:t>
      </w:r>
      <w:r w:rsidR="00602A79">
        <w:rPr>
          <w:szCs w:val="26"/>
        </w:rPr>
        <w:t xml:space="preserve">maintain our existing weighting scheme and will continue to accord two-thirds weighting to the short-term growth projection and one-third weighting to the long-term growth projection in </w:t>
      </w:r>
      <w:r w:rsidR="00686F68">
        <w:rPr>
          <w:szCs w:val="26"/>
        </w:rPr>
        <w:t xml:space="preserve">natural </w:t>
      </w:r>
      <w:r w:rsidR="00602A79">
        <w:rPr>
          <w:szCs w:val="26"/>
        </w:rPr>
        <w:t>gas and oil pipeline proceedings</w:t>
      </w:r>
      <w:r w:rsidR="00E14C89">
        <w:rPr>
          <w:szCs w:val="26"/>
        </w:rPr>
        <w:t>.</w:t>
      </w:r>
    </w:p>
    <w:p w:rsidR="005A374D" w:rsidP="002F5AB7" w:rsidRDefault="0077482F" w14:paraId="27049E07" w14:textId="3173447A">
      <w:pPr>
        <w:pStyle w:val="Heading3"/>
      </w:pPr>
      <w:r>
        <w:t>CAPM</w:t>
      </w:r>
    </w:p>
    <w:p w:rsidRPr="00A76E80" w:rsidR="00683DC1" w:rsidP="00A76E80" w:rsidRDefault="00970B36" w14:paraId="09153D1B" w14:textId="3D81B6CB">
      <w:pPr>
        <w:pStyle w:val="FERCparanumber"/>
      </w:pPr>
      <w:r>
        <w:t xml:space="preserve">We now turn to how we will apply the CAPM </w:t>
      </w:r>
      <w:r w:rsidR="003025BA">
        <w:t xml:space="preserve">to </w:t>
      </w:r>
      <w:r w:rsidR="00686F68">
        <w:t xml:space="preserve">natural </w:t>
      </w:r>
      <w:r w:rsidR="003025BA">
        <w:t>gas and oil</w:t>
      </w:r>
      <w:r>
        <w:t xml:space="preserve"> pipelin</w:t>
      </w:r>
      <w:r w:rsidR="003025BA">
        <w:t>es</w:t>
      </w:r>
      <w:r>
        <w:t xml:space="preserve">.  As discussed below, </w:t>
      </w:r>
      <w:r w:rsidR="003025BA">
        <w:t xml:space="preserve">with regard to the calculation of the market risk premium and the use of </w:t>
      </w:r>
      <w:r w:rsidR="003025BA">
        <w:rPr>
          <w:i/>
          <w:iCs/>
        </w:rPr>
        <w:t>Value Line</w:t>
      </w:r>
      <w:r w:rsidR="003025BA">
        <w:t xml:space="preserve"> adjusted betas in pipeline proceedings,</w:t>
      </w:r>
      <w:r>
        <w:t xml:space="preserve"> </w:t>
      </w:r>
      <w:r w:rsidR="003025BA">
        <w:t>we adopt the policy established in Opinion No. 569.</w:t>
      </w:r>
    </w:p>
    <w:p w:rsidR="002C585B" w:rsidP="002F4D79" w:rsidRDefault="003D0FD1" w14:paraId="17F69D9E" w14:textId="77777777">
      <w:pPr>
        <w:pStyle w:val="Heading4"/>
      </w:pPr>
      <w:r w:rsidRPr="00A17C75">
        <w:t>Calculation of Market Risk Premium</w:t>
      </w:r>
    </w:p>
    <w:p w:rsidR="00734D64" w:rsidP="003C2CCF" w:rsidRDefault="003C2CCF" w14:paraId="714BDBDF" w14:textId="3D1425C9">
      <w:pPr>
        <w:pStyle w:val="FERCparanumber"/>
      </w:pPr>
      <w:r>
        <w:t xml:space="preserve">As described above, the </w:t>
      </w:r>
      <w:r w:rsidR="00BE690D">
        <w:t xml:space="preserve">CAPM </w:t>
      </w:r>
      <w:r>
        <w:t>market risk premium is calculated by subtracting the risk-free rate</w:t>
      </w:r>
      <w:r w:rsidR="00EF06E7">
        <w:t xml:space="preserve">, </w:t>
      </w:r>
      <w:r w:rsidR="00EF06E7">
        <w:rPr>
          <w:szCs w:val="26"/>
        </w:rPr>
        <w:t>which</w:t>
      </w:r>
      <w:r w:rsidRPr="00A17C75" w:rsidR="00EF06E7">
        <w:rPr>
          <w:szCs w:val="26"/>
        </w:rPr>
        <w:t xml:space="preserve"> is </w:t>
      </w:r>
      <w:r w:rsidR="00EF06E7">
        <w:rPr>
          <w:szCs w:val="26"/>
        </w:rPr>
        <w:t xml:space="preserve">typically </w:t>
      </w:r>
      <w:r w:rsidRPr="00A17C75" w:rsidR="00EF06E7">
        <w:rPr>
          <w:szCs w:val="26"/>
        </w:rPr>
        <w:t xml:space="preserve">represented by </w:t>
      </w:r>
      <w:r w:rsidR="00EF06E7">
        <w:rPr>
          <w:szCs w:val="26"/>
        </w:rPr>
        <w:t>a proxy such as t</w:t>
      </w:r>
      <w:r w:rsidRPr="00A17C75" w:rsidR="00EF06E7">
        <w:rPr>
          <w:szCs w:val="26"/>
        </w:rPr>
        <w:t>he yield on 30-year U.S. Treasury bonds</w:t>
      </w:r>
      <w:r w:rsidR="00EF06E7">
        <w:rPr>
          <w:szCs w:val="26"/>
        </w:rPr>
        <w:t>,</w:t>
      </w:r>
      <w:r>
        <w:t xml:space="preserve"> from the expected market return.  </w:t>
      </w:r>
      <w:r w:rsidR="00734D64">
        <w:t xml:space="preserve">The expected market return can be estimated either using a backward-looking approach based upon realized market returns during a historical period, a forward-looking approach applying the DCF </w:t>
      </w:r>
      <w:r w:rsidR="00686F68">
        <w:t xml:space="preserve">model </w:t>
      </w:r>
      <w:r w:rsidR="00734D64">
        <w:t xml:space="preserve">to </w:t>
      </w:r>
      <w:r w:rsidR="00734D64">
        <w:lastRenderedPageBreak/>
        <w:t>a representative market index, such as the S&amp;P 500, or a survey of academic and investment professionals.</w:t>
      </w:r>
      <w:r w:rsidR="00734D64">
        <w:rPr>
          <w:rStyle w:val="FootnoteReference"/>
        </w:rPr>
        <w:footnoteReference w:id="80"/>
      </w:r>
    </w:p>
    <w:p w:rsidR="00C21E9F" w:rsidP="002F4D79" w:rsidRDefault="00F05BAD" w14:paraId="37E706CF" w14:textId="45AE9E19">
      <w:pPr>
        <w:pStyle w:val="Heading5"/>
      </w:pPr>
      <w:r>
        <w:t>Background</w:t>
      </w:r>
    </w:p>
    <w:p w:rsidRPr="00305856" w:rsidR="00EB21A9" w:rsidP="00EB21A9" w:rsidRDefault="00EB21A9" w14:paraId="5CA64B40" w14:textId="24894A0F">
      <w:pPr>
        <w:pStyle w:val="FERCparanumber"/>
      </w:pPr>
      <w:r>
        <w:t xml:space="preserve">In Opinion No. 569, the Commission adopted the use of </w:t>
      </w:r>
      <w:r w:rsidR="00EF06E7">
        <w:t xml:space="preserve">the </w:t>
      </w:r>
      <w:r>
        <w:t>30-year U.S. Treasury average historical bond yield over a six-month period</w:t>
      </w:r>
      <w:r w:rsidR="00F05BAD">
        <w:t xml:space="preserve"> as the risk-free rate.</w:t>
      </w:r>
      <w:r w:rsidR="00F05BAD">
        <w:rPr>
          <w:rStyle w:val="FootnoteReference"/>
        </w:rPr>
        <w:footnoteReference w:id="81"/>
      </w:r>
      <w:r w:rsidR="00F05BAD">
        <w:t xml:space="preserve">  </w:t>
      </w:r>
      <w:r w:rsidR="00573780">
        <w:t>The Commission explained</w:t>
      </w:r>
      <w:r w:rsidR="00F05BAD">
        <w:t xml:space="preserve"> that the six-month period should</w:t>
      </w:r>
      <w:r>
        <w:t xml:space="preserve"> </w:t>
      </w:r>
      <w:r w:rsidR="00F05BAD">
        <w:t>correspond</w:t>
      </w:r>
      <w:r>
        <w:t xml:space="preserve"> as closely as possible to the six-month financial study period used to produce the DCF study in the applicable proceeding.</w:t>
      </w:r>
      <w:r w:rsidRPr="00EB21A9">
        <w:rPr>
          <w:rStyle w:val="FootnoteReference"/>
        </w:rPr>
        <w:footnoteReference w:id="82"/>
      </w:r>
      <w:r w:rsidRPr="00EB21A9">
        <w:rPr>
          <w:szCs w:val="26"/>
          <w14:scene3d>
            <w14:camera w14:prst="orthographicFront"/>
            <w14:lightRig w14:rig="threePt" w14:dir="t">
              <w14:rot w14:lat="0" w14:lon="0" w14:rev="0"/>
            </w14:lightRig>
          </w14:scene3d>
        </w:rPr>
        <w:t xml:space="preserve"> </w:t>
      </w:r>
      <w:r w:rsidRPr="00A17C75">
        <w:rPr>
          <w:szCs w:val="26"/>
          <w14:scene3d>
            <w14:camera w14:prst="orthographicFront"/>
            <w14:lightRig w14:rig="threePt" w14:dir="t">
              <w14:rot w14:lat="0" w14:lon="0" w14:rev="0"/>
            </w14:lightRig>
          </w14:scene3d>
        </w:rPr>
        <w:t xml:space="preserve"> </w:t>
      </w:r>
      <w:r>
        <w:t>For the expected market return, the Commission adopted a forward-looking approach based upon a one-ste</w:t>
      </w:r>
      <w:r w:rsidR="00DB7684">
        <w:t>p</w:t>
      </w:r>
      <w:r>
        <w:t xml:space="preserve"> DCF analysis of the dividend paying members of the S&amp;P 500.</w:t>
      </w:r>
      <w:r>
        <w:rPr>
          <w:rStyle w:val="FootnoteReference"/>
        </w:rPr>
        <w:footnoteReference w:id="83"/>
      </w:r>
      <w:r>
        <w:t xml:space="preserve">  </w:t>
      </w:r>
      <w:r w:rsidR="00CC56B5">
        <w:t>The Commission rejected proposals to use a two-step DCF analysis for this purpose, finding that the rationale for incorporating a long-term growth projection in conducting a two-step DCF analysis of a specific group of utilities does not apply when conducting a DCF study of the companies in the S&amp;</w:t>
      </w:r>
      <w:r w:rsidRPr="00C779A3" w:rsidR="00CC56B5">
        <w:t>P 500 because (</w:t>
      </w:r>
      <w:proofErr w:type="spellStart"/>
      <w:r w:rsidRPr="00C779A3" w:rsidR="00CC56B5">
        <w:t>i</w:t>
      </w:r>
      <w:proofErr w:type="spellEnd"/>
      <w:r w:rsidRPr="00C779A3" w:rsidR="00CC56B5">
        <w:t xml:space="preserve">) the S&amp;P 500 is regularly updated to ensure that it only includes companies with high market </w:t>
      </w:r>
      <w:r w:rsidRPr="00C779A3" w:rsidR="00CC56B5">
        <w:lastRenderedPageBreak/>
        <w:t>capitalization and remains representative of the industries in the economy of the United State</w:t>
      </w:r>
      <w:r w:rsidR="00E901C8">
        <w:t>s</w:t>
      </w:r>
      <w:r w:rsidRPr="00C779A3" w:rsidR="00CC56B5">
        <w:t xml:space="preserve"> and (ii) the dividend paying members of the </w:t>
      </w:r>
      <w:r w:rsidRPr="00C779A3" w:rsidR="00F36B98">
        <w:t>S&amp;P</w:t>
      </w:r>
      <w:r w:rsidRPr="00C779A3" w:rsidR="00CC56B5">
        <w:t xml:space="preserve"> 500 constitute a large portfolio of stocks</w:t>
      </w:r>
      <w:r w:rsidRPr="00C779A3" w:rsidR="009C2857">
        <w:t xml:space="preserve"> and therefore </w:t>
      </w:r>
      <w:r w:rsidRPr="00C779A3" w:rsidR="00CC56B5">
        <w:t>include companies at all stages of growth.</w:t>
      </w:r>
      <w:r w:rsidRPr="00C779A3" w:rsidR="00CC56B5">
        <w:rPr>
          <w:rStyle w:val="FootnoteReference"/>
        </w:rPr>
        <w:footnoteReference w:id="84"/>
      </w:r>
      <w:r w:rsidRPr="00C779A3" w:rsidR="00CC56B5">
        <w:t xml:space="preserve">  </w:t>
      </w:r>
      <w:r w:rsidRPr="00C779A3" w:rsidR="009C2857">
        <w:t>Furthermore</w:t>
      </w:r>
      <w:r w:rsidR="009C2857">
        <w:t>, t</w:t>
      </w:r>
      <w:r>
        <w:t>he Commission found that S&amp;P 500 companies with growth rates that are negative or in excess of 20</w:t>
      </w:r>
      <w:r w:rsidRPr="000570C2" w:rsidR="000570C2">
        <w:t>%</w:t>
      </w:r>
      <w:r>
        <w:t xml:space="preserve"> should be excluded from the CAPM analysis</w:t>
      </w:r>
      <w:r>
        <w:rPr>
          <w:rStyle w:val="FootnoteReference"/>
        </w:rPr>
        <w:footnoteReference w:id="85"/>
      </w:r>
      <w:r w:rsidR="00DB7684">
        <w:t xml:space="preserve"> </w:t>
      </w:r>
      <w:r w:rsidR="00416836">
        <w:t xml:space="preserve">and </w:t>
      </w:r>
      <w:r>
        <w:t>approved</w:t>
      </w:r>
      <w:r w:rsidRPr="00A17C75">
        <w:t xml:space="preserve"> the </w:t>
      </w:r>
      <w:r>
        <w:t xml:space="preserve">use of a size premium adjustment in the </w:t>
      </w:r>
      <w:r w:rsidRPr="00A17C75">
        <w:t>CAPM analys</w:t>
      </w:r>
      <w:r>
        <w:t>is</w:t>
      </w:r>
      <w:r w:rsidRPr="00A17C75">
        <w:rPr>
          <w:szCs w:val="26"/>
          <w14:scene3d>
            <w14:camera w14:prst="orthographicFront"/>
            <w14:lightRig w14:rig="threePt" w14:dir="t">
              <w14:rot w14:lat="0" w14:lon="0" w14:rev="0"/>
            </w14:lightRig>
          </w14:scene3d>
        </w:rPr>
        <w:t>.</w:t>
      </w:r>
      <w:r w:rsidRPr="00A17C75">
        <w:rPr>
          <w:b/>
          <w:szCs w:val="26"/>
          <w:vertAlign w:val="superscript"/>
          <w14:scene3d>
            <w14:camera w14:prst="orthographicFront"/>
            <w14:lightRig w14:rig="threePt" w14:dir="t">
              <w14:rot w14:lat="0" w14:lon="0" w14:rev="0"/>
            </w14:lightRig>
          </w14:scene3d>
        </w:rPr>
        <w:footnoteReference w:id="86"/>
      </w:r>
      <w:r w:rsidR="00305856">
        <w:rPr>
          <w:szCs w:val="26"/>
          <w14:scene3d>
            <w14:camera w14:prst="orthographicFront"/>
            <w14:lightRig w14:rig="threePt" w14:dir="t">
              <w14:rot w14:lat="0" w14:lon="0" w14:rev="0"/>
            </w14:lightRig>
          </w14:scene3d>
        </w:rPr>
        <w:t xml:space="preserve">  The Commission affirmed these conclusions on rehearing.</w:t>
      </w:r>
      <w:r w:rsidR="00305856">
        <w:rPr>
          <w:rStyle w:val="FootnoteReference"/>
          <w:szCs w:val="26"/>
          <w14:scene3d>
            <w14:camera w14:prst="orthographicFront"/>
            <w14:lightRig w14:rig="threePt" w14:dir="t">
              <w14:rot w14:lat="0" w14:lon="0" w14:rev="0"/>
            </w14:lightRig>
          </w14:scene3d>
        </w:rPr>
        <w:footnoteReference w:id="87"/>
      </w:r>
    </w:p>
    <w:p w:rsidR="00C21E9F" w:rsidP="00C779A3" w:rsidRDefault="00C21E9F" w14:paraId="0300A4A6" w14:textId="0CD34E3E">
      <w:pPr>
        <w:pStyle w:val="Heading5"/>
      </w:pPr>
      <w:r>
        <w:t>NOI Comments</w:t>
      </w:r>
    </w:p>
    <w:p w:rsidR="00B14121" w:rsidP="00534557" w:rsidRDefault="00BE690D" w14:paraId="69DDA99F" w14:textId="6B7E58D9">
      <w:pPr>
        <w:pStyle w:val="FERCparanumber"/>
      </w:pPr>
      <w:r>
        <w:t xml:space="preserve">INGAA, CAPP, and NGSA </w:t>
      </w:r>
      <w:r w:rsidR="00573780">
        <w:t>address</w:t>
      </w:r>
      <w:r>
        <w:t xml:space="preserve"> how the </w:t>
      </w:r>
      <w:r w:rsidR="00305856">
        <w:t>Commission</w:t>
      </w:r>
      <w:r>
        <w:t xml:space="preserve"> should determine the CAPM market risk premium</w:t>
      </w:r>
      <w:r w:rsidR="001A3C20">
        <w:t xml:space="preserve"> in pipeline proceedings</w:t>
      </w:r>
      <w:r>
        <w:t xml:space="preserve">.  </w:t>
      </w:r>
      <w:r w:rsidR="003472A7">
        <w:t>Regarding the risk-free rate,</w:t>
      </w:r>
      <w:r w:rsidR="00C74B02">
        <w:t xml:space="preserve"> </w:t>
      </w:r>
      <w:r w:rsidR="00095AD6">
        <w:t xml:space="preserve">INGAA states that although </w:t>
      </w:r>
      <w:r w:rsidR="0094005F">
        <w:t>the Commission could use either the</w:t>
      </w:r>
      <w:r w:rsidR="00095AD6">
        <w:t xml:space="preserve"> 20-year or 30-year U.S. Treasury bond rate, it supports </w:t>
      </w:r>
      <w:r w:rsidR="0094005F">
        <w:t>using</w:t>
      </w:r>
      <w:r w:rsidR="00095AD6">
        <w:t xml:space="preserve"> the 20-year rate.</w:t>
      </w:r>
      <w:r w:rsidR="00095AD6">
        <w:rPr>
          <w:rStyle w:val="FootnoteReference"/>
        </w:rPr>
        <w:footnoteReference w:id="88"/>
      </w:r>
      <w:r w:rsidR="001D74DC">
        <w:t xml:space="preserve"> </w:t>
      </w:r>
      <w:r w:rsidR="00534557">
        <w:t xml:space="preserve"> </w:t>
      </w:r>
      <w:r w:rsidR="00723B9B">
        <w:t xml:space="preserve">As to the expected market return, </w:t>
      </w:r>
      <w:r w:rsidR="0094005F">
        <w:t xml:space="preserve">INGAA supports using a one-step DCF analysis of dividend paying companies in the </w:t>
      </w:r>
      <w:r w:rsidR="0094005F">
        <w:lastRenderedPageBreak/>
        <w:t>S&amp;P 500.</w:t>
      </w:r>
      <w:r w:rsidR="0094005F">
        <w:rPr>
          <w:rStyle w:val="FootnoteReference"/>
        </w:rPr>
        <w:footnoteReference w:id="89"/>
      </w:r>
      <w:r w:rsidR="0094005F">
        <w:t xml:space="preserve">  CAPP and NGSA, by contrast, support using a two-step DCF </w:t>
      </w:r>
      <w:r w:rsidR="0074357E">
        <w:t xml:space="preserve">analysis </w:t>
      </w:r>
      <w:r w:rsidR="0094005F">
        <w:t>that uses both short-term and long-term growth rates.</w:t>
      </w:r>
      <w:r w:rsidR="0094005F">
        <w:rPr>
          <w:rStyle w:val="FootnoteReference"/>
        </w:rPr>
        <w:footnoteReference w:id="90"/>
      </w:r>
    </w:p>
    <w:p w:rsidR="00C21E9F" w:rsidP="00CF21D7" w:rsidRDefault="00C21E9F" w14:paraId="7978DE76" w14:textId="54B4B7F1">
      <w:pPr>
        <w:pStyle w:val="Heading5"/>
      </w:pPr>
      <w:r>
        <w:t>Commission Determination</w:t>
      </w:r>
    </w:p>
    <w:p w:rsidR="001033C1" w:rsidP="00723B9B" w:rsidRDefault="006C60B4" w14:paraId="0D05A823" w14:textId="79F50587">
      <w:pPr>
        <w:pStyle w:val="FERCparanumber"/>
      </w:pPr>
      <w:r>
        <w:t>We adopt the policy established in Opinion No. 569.  Thus, i</w:t>
      </w:r>
      <w:r w:rsidR="003472A7">
        <w:t xml:space="preserve">n </w:t>
      </w:r>
      <w:r w:rsidR="001033C1">
        <w:t>determining</w:t>
      </w:r>
      <w:r w:rsidR="003472A7">
        <w:t xml:space="preserve"> the CAPM </w:t>
      </w:r>
      <w:r w:rsidR="001033C1">
        <w:t>market risk premium for</w:t>
      </w:r>
      <w:r w:rsidR="003472A7">
        <w:t xml:space="preserve"> </w:t>
      </w:r>
      <w:r w:rsidR="0074357E">
        <w:t xml:space="preserve">natural </w:t>
      </w:r>
      <w:r w:rsidR="003472A7">
        <w:t xml:space="preserve">gas and oil pipelines, </w:t>
      </w:r>
      <w:r w:rsidR="00B1610B">
        <w:t xml:space="preserve">we </w:t>
      </w:r>
      <w:r w:rsidR="001033C1">
        <w:t>will</w:t>
      </w:r>
      <w:r w:rsidR="00450933">
        <w:t xml:space="preserve"> (1) </w:t>
      </w:r>
      <w:r w:rsidR="001033C1">
        <w:t>use</w:t>
      </w:r>
      <w:r w:rsidR="006340E3">
        <w:t>, as the risk-free rate,</w:t>
      </w:r>
      <w:r w:rsidR="001033C1">
        <w:t xml:space="preserve"> </w:t>
      </w:r>
      <w:r w:rsidR="00B1610B">
        <w:t xml:space="preserve">the 30-year U.S. Treasury average historical bond yield over a six-month period </w:t>
      </w:r>
      <w:r w:rsidR="003472A7">
        <w:t>corresponding as closely as possible to the six-month financial study period used to produce the DCF study in the applicable proceeding</w:t>
      </w:r>
      <w:r w:rsidR="001033C1">
        <w:t xml:space="preserve">, </w:t>
      </w:r>
      <w:r w:rsidR="00450933">
        <w:t xml:space="preserve">(2) </w:t>
      </w:r>
      <w:r w:rsidR="001033C1">
        <w:t xml:space="preserve">estimate the expected market return using </w:t>
      </w:r>
      <w:r w:rsidR="00450933">
        <w:t>a forward-looking approach based on a one-step DCF analysis of all dividend paying companies in the S&amp;P 500</w:t>
      </w:r>
      <w:r w:rsidR="001033C1">
        <w:t>,</w:t>
      </w:r>
      <w:r w:rsidR="00BB7C25">
        <w:rPr>
          <w:rStyle w:val="FootnoteReference"/>
        </w:rPr>
        <w:footnoteReference w:id="91"/>
      </w:r>
      <w:r w:rsidR="001033C1">
        <w:t xml:space="preserve"> </w:t>
      </w:r>
      <w:r w:rsidR="00882D0F">
        <w:t xml:space="preserve">and </w:t>
      </w:r>
      <w:r w:rsidR="001033C1">
        <w:t xml:space="preserve">(3) </w:t>
      </w:r>
      <w:r w:rsidR="006340E3">
        <w:t>exclude</w:t>
      </w:r>
      <w:r w:rsidR="00C270BE">
        <w:t xml:space="preserve"> S&amp;P 500 companies with growth rates that are negative or in excess of 20</w:t>
      </w:r>
      <w:r w:rsidRPr="000570C2" w:rsidR="000570C2">
        <w:t>%</w:t>
      </w:r>
      <w:r w:rsidR="00882D0F">
        <w:t>.</w:t>
      </w:r>
    </w:p>
    <w:p w:rsidR="003C2CCF" w:rsidP="00723B9B" w:rsidRDefault="001033C1" w14:paraId="6759676D" w14:textId="0F1AAC55">
      <w:pPr>
        <w:pStyle w:val="FERCparanumber"/>
      </w:pPr>
      <w:r>
        <w:t>First, a</w:t>
      </w:r>
      <w:r w:rsidR="00B1610B">
        <w:t xml:space="preserve">s the Commission </w:t>
      </w:r>
      <w:r w:rsidR="00241D80">
        <w:t>recognized</w:t>
      </w:r>
      <w:r w:rsidR="00B1610B">
        <w:t xml:space="preserve"> in Opinion No. 531-B, 30-year U.S. Treasury bond yields are a generally accepted proxy for the risk-free rate in a CAPM analysis.</w:t>
      </w:r>
      <w:r w:rsidR="00B1610B">
        <w:rPr>
          <w:rStyle w:val="FootnoteReference"/>
        </w:rPr>
        <w:footnoteReference w:id="92"/>
      </w:r>
      <w:r w:rsidR="00B1610B">
        <w:t xml:space="preserve">  We </w:t>
      </w:r>
      <w:r w:rsidR="0009266D">
        <w:t xml:space="preserve">are not persuaded to adopt INGAA’s proposal to use the 20-year U.S. Treasury bond yield for this purpose.  The Commission determined </w:t>
      </w:r>
      <w:r w:rsidR="00C74B02">
        <w:t>in Opinion No. 569 that factors supporting the use of the 30-year U.S. Treasury average historical bond yield over a six-</w:t>
      </w:r>
      <w:r w:rsidR="00C74B02">
        <w:lastRenderedPageBreak/>
        <w:t>month period outweigh factors supporting the use of the 20-year U.S. Treasury yield,</w:t>
      </w:r>
      <w:r w:rsidRPr="0009266D" w:rsidR="0009266D">
        <w:t xml:space="preserve"> </w:t>
      </w:r>
      <w:r w:rsidR="00C74B02">
        <w:t>including</w:t>
      </w:r>
      <w:r w:rsidR="00B1610B">
        <w:t xml:space="preserve"> any potential benefit that </w:t>
      </w:r>
      <w:r w:rsidR="00C74B02">
        <w:t xml:space="preserve">may come from using a </w:t>
      </w:r>
      <w:r w:rsidR="003472A7">
        <w:t>data set covering a longer period</w:t>
      </w:r>
      <w:r w:rsidR="00241D80">
        <w:t>.</w:t>
      </w:r>
      <w:r w:rsidR="00C25EF4">
        <w:rPr>
          <w:rStyle w:val="FootnoteReference"/>
        </w:rPr>
        <w:footnoteReference w:id="93"/>
      </w:r>
      <w:r w:rsidRPr="0009266D" w:rsidR="00C25EF4">
        <w:t xml:space="preserve"> </w:t>
      </w:r>
      <w:r w:rsidR="0009266D">
        <w:t xml:space="preserve"> </w:t>
      </w:r>
      <w:r w:rsidR="00241D80">
        <w:t>We</w:t>
      </w:r>
      <w:r w:rsidR="0009266D">
        <w:t xml:space="preserve"> </w:t>
      </w:r>
      <w:r w:rsidR="005A5B6A">
        <w:t>affirm that</w:t>
      </w:r>
      <w:r w:rsidR="0009266D">
        <w:t xml:space="preserve"> conclusion here</w:t>
      </w:r>
      <w:r w:rsidR="003472A7">
        <w:t>.</w:t>
      </w:r>
    </w:p>
    <w:p w:rsidR="003472A7" w:rsidP="003C2CCF" w:rsidRDefault="001033C1" w14:paraId="012B3736" w14:textId="33D5D14C">
      <w:pPr>
        <w:pStyle w:val="FERCparanumber"/>
      </w:pPr>
      <w:r>
        <w:t xml:space="preserve">Second, </w:t>
      </w:r>
      <w:r w:rsidR="00CD1F12">
        <w:t>we will determine the expected market return u</w:t>
      </w:r>
      <w:r>
        <w:t xml:space="preserve">sing a </w:t>
      </w:r>
      <w:r w:rsidR="00CD1F12">
        <w:t xml:space="preserve">one-step </w:t>
      </w:r>
      <w:r>
        <w:t>DCF analysis of the dividend</w:t>
      </w:r>
      <w:r w:rsidR="00C25EF4">
        <w:t xml:space="preserve"> </w:t>
      </w:r>
      <w:r>
        <w:t>paying members of the S&amp;P 500</w:t>
      </w:r>
      <w:r w:rsidR="00CD1F12">
        <w:t xml:space="preserve">.  As explained in Opinion </w:t>
      </w:r>
      <w:r w:rsidR="00624962">
        <w:t xml:space="preserve">    </w:t>
      </w:r>
      <w:r w:rsidR="00CD1F12">
        <w:t>No. 569, using a DCF analysis of the dividend paying members of the S&amp;P 500</w:t>
      </w:r>
      <w:r>
        <w:t xml:space="preserve"> is a well-recognized method of estimating the expected market return for purposes of the CAPM,</w:t>
      </w:r>
      <w:r>
        <w:rPr>
          <w:rStyle w:val="FootnoteReference"/>
        </w:rPr>
        <w:footnoteReference w:id="94"/>
      </w:r>
      <w:r>
        <w:t xml:space="preserve"> and we find that this method is likewise reasonable for </w:t>
      </w:r>
      <w:r w:rsidR="00657BFB">
        <w:t xml:space="preserve">purposes of </w:t>
      </w:r>
      <w:r>
        <w:t xml:space="preserve">applying the CAPM to </w:t>
      </w:r>
      <w:r w:rsidR="00ED43F7">
        <w:t xml:space="preserve">natural </w:t>
      </w:r>
      <w:r>
        <w:t xml:space="preserve">gas and oil pipelines. </w:t>
      </w:r>
      <w:r w:rsidR="00CD1F12">
        <w:t xml:space="preserve"> </w:t>
      </w:r>
      <w:r w:rsidR="00667E3B">
        <w:t>We also</w:t>
      </w:r>
      <w:r w:rsidR="00CD1F12">
        <w:t xml:space="preserve"> find that the reason</w:t>
      </w:r>
      <w:r w:rsidR="00CC56B5">
        <w:t xml:space="preserve">s set forth in Opinion </w:t>
      </w:r>
      <w:r w:rsidR="00624962">
        <w:t xml:space="preserve">              </w:t>
      </w:r>
      <w:r w:rsidR="00CC56B5">
        <w:t xml:space="preserve">No. 569 </w:t>
      </w:r>
      <w:r w:rsidR="00CD1F12">
        <w:t>for using a one-step DCF analysis</w:t>
      </w:r>
      <w:r w:rsidR="00CC56B5">
        <w:t xml:space="preserve">, instead of a two-step analysis, in estimating the expected market return are equally valid in </w:t>
      </w:r>
      <w:r w:rsidR="00667E3B">
        <w:t xml:space="preserve">the context of </w:t>
      </w:r>
      <w:r w:rsidR="00ED43F7">
        <w:t xml:space="preserve">natural </w:t>
      </w:r>
      <w:r w:rsidR="00667E3B">
        <w:t>gas and oil</w:t>
      </w:r>
      <w:r w:rsidR="00CC56B5">
        <w:t xml:space="preserve"> pipeline</w:t>
      </w:r>
      <w:r w:rsidR="00667E3B">
        <w:t>s</w:t>
      </w:r>
      <w:r w:rsidR="00CC56B5">
        <w:t>.</w:t>
      </w:r>
      <w:r w:rsidR="00CC56B5">
        <w:rPr>
          <w:rStyle w:val="FootnoteReference"/>
        </w:rPr>
        <w:footnoteReference w:id="95"/>
      </w:r>
      <w:r w:rsidR="00CC56B5">
        <w:t xml:space="preserve">  </w:t>
      </w:r>
      <w:r w:rsidR="00592716">
        <w:t>Accordingly, for the reasons stated in Opinion No. 569,</w:t>
      </w:r>
      <w:r w:rsidR="00E03344">
        <w:rPr>
          <w:rStyle w:val="FootnoteReference"/>
        </w:rPr>
        <w:footnoteReference w:id="96"/>
      </w:r>
      <w:r w:rsidR="00592716">
        <w:t xml:space="preserve"> we </w:t>
      </w:r>
      <w:r w:rsidR="00F4782A">
        <w:t xml:space="preserve">will use a one-step DCF analysis of the dividend paying companies in the S&amp;P 500 as the expected market return </w:t>
      </w:r>
      <w:r w:rsidR="00E03344">
        <w:t xml:space="preserve">in applying the CAPM under our revised ROE methodology for </w:t>
      </w:r>
      <w:r w:rsidR="00ED43F7">
        <w:t xml:space="preserve">natural </w:t>
      </w:r>
      <w:r w:rsidR="00E03344">
        <w:t>gas and oil pipelines.</w:t>
      </w:r>
    </w:p>
    <w:p w:rsidR="00AB7FB2" w:rsidP="00882D0F" w:rsidRDefault="009958BE" w14:paraId="72A7EE67" w14:textId="79166D53">
      <w:pPr>
        <w:pStyle w:val="FERCparanumber"/>
      </w:pPr>
      <w:r>
        <w:t xml:space="preserve">Third, </w:t>
      </w:r>
      <w:r w:rsidR="002D1BE9">
        <w:t xml:space="preserve">consistent with Opinion No. 569, we will screen from the CAPM analysis of </w:t>
      </w:r>
      <w:r w:rsidR="00ED43F7">
        <w:t xml:space="preserve">natural </w:t>
      </w:r>
      <w:r w:rsidR="002D1BE9">
        <w:t xml:space="preserve">gas and oil pipelines S&amp;P 500 companies with growth rates that are negative or </w:t>
      </w:r>
      <w:r w:rsidR="002D1BE9">
        <w:lastRenderedPageBreak/>
        <w:t>in excess of 20</w:t>
      </w:r>
      <w:r w:rsidRPr="000570C2" w:rsidR="000570C2">
        <w:t>%</w:t>
      </w:r>
      <w:r w:rsidR="002D1BE9">
        <w:t xml:space="preserve">. </w:t>
      </w:r>
      <w:r w:rsidR="00D062DC">
        <w:t xml:space="preserve"> The Commission has explained that such low or high growth rates are highly unsustainable and unrepresentative of the growth rates of </w:t>
      </w:r>
      <w:r w:rsidR="00446B86">
        <w:t>public</w:t>
      </w:r>
      <w:r w:rsidR="00D062DC">
        <w:t xml:space="preserve"> utilities.</w:t>
      </w:r>
      <w:r w:rsidR="00D062DC">
        <w:rPr>
          <w:rStyle w:val="FootnoteReference"/>
        </w:rPr>
        <w:footnoteReference w:id="97"/>
      </w:r>
      <w:r w:rsidR="00D062DC">
        <w:t xml:space="preserve">  We find that these growth rates are likewise not representative of sustainable growth rates for companies in pipeline proxy groups.  We will therefore apply this growth rate screen as part of the CAPM analysis in </w:t>
      </w:r>
      <w:r w:rsidR="00ED43F7">
        <w:t xml:space="preserve">natural </w:t>
      </w:r>
      <w:r w:rsidR="00D062DC">
        <w:t>gas and oil pipeline proceedings.</w:t>
      </w:r>
      <w:r w:rsidRPr="002B5E5A" w:rsidR="002B5E5A">
        <w:t xml:space="preserve">  </w:t>
      </w:r>
    </w:p>
    <w:p w:rsidR="003D0FD1" w:rsidP="00CF21D7" w:rsidRDefault="003D0FD1" w14:paraId="65714E0D" w14:textId="0739C6C1">
      <w:pPr>
        <w:pStyle w:val="Heading4"/>
      </w:pPr>
      <w:r w:rsidRPr="00A17C75">
        <w:t>Betas and Size Premium</w:t>
      </w:r>
    </w:p>
    <w:p w:rsidR="00B62D96" w:rsidP="00CF21D7" w:rsidRDefault="00B62D96" w14:paraId="4E8A9887" w14:textId="60C76DB4">
      <w:pPr>
        <w:pStyle w:val="Heading5"/>
      </w:pPr>
      <w:r>
        <w:t>Background</w:t>
      </w:r>
    </w:p>
    <w:p w:rsidR="00D13107" w:rsidP="00514D88" w:rsidRDefault="00514D88" w14:paraId="2B2D23F4" w14:textId="41A4C644">
      <w:pPr>
        <w:pStyle w:val="FERCparanumber"/>
      </w:pPr>
      <w:r>
        <w:t xml:space="preserve">The Commission </w:t>
      </w:r>
      <w:r w:rsidR="002A77E0">
        <w:t xml:space="preserve">found </w:t>
      </w:r>
      <w:r>
        <w:t>in Opinion No</w:t>
      </w:r>
      <w:r w:rsidR="00EE0739">
        <w:t>s</w:t>
      </w:r>
      <w:r>
        <w:t>. 569</w:t>
      </w:r>
      <w:r w:rsidR="00EE0739">
        <w:t xml:space="preserve"> and 569-A</w:t>
      </w:r>
      <w:r>
        <w:t xml:space="preserve"> that </w:t>
      </w:r>
      <w:r>
        <w:rPr>
          <w:i/>
          <w:iCs/>
        </w:rPr>
        <w:t>Value Line</w:t>
      </w:r>
      <w:r>
        <w:t xml:space="preserve"> adjusted betas are reasonable for use in the CAPM analysis</w:t>
      </w:r>
      <w:r w:rsidR="002A77E0">
        <w:t xml:space="preserve"> for </w:t>
      </w:r>
      <w:r w:rsidR="00446B86">
        <w:t>public</w:t>
      </w:r>
      <w:r w:rsidR="002A77E0">
        <w:t xml:space="preserve"> utilities</w:t>
      </w:r>
      <w:r>
        <w:t>.</w:t>
      </w:r>
      <w:r>
        <w:rPr>
          <w:rStyle w:val="FootnoteReference"/>
        </w:rPr>
        <w:footnoteReference w:id="98"/>
      </w:r>
      <w:r>
        <w:t xml:space="preserve">  The Commission explained that there was substantial evidence that investors rely on </w:t>
      </w:r>
      <w:r>
        <w:rPr>
          <w:i/>
          <w:iCs/>
        </w:rPr>
        <w:t>Value Line</w:t>
      </w:r>
      <w:r>
        <w:t xml:space="preserve"> betas and observed that Dr. Morin supports the use of adjusted betas in the CAPM.  </w:t>
      </w:r>
    </w:p>
    <w:p w:rsidR="00B62D96" w:rsidP="00514D88" w:rsidRDefault="00514D88" w14:paraId="3413B352" w14:textId="3AAB1C2C">
      <w:pPr>
        <w:pStyle w:val="FERCparanumber"/>
      </w:pPr>
      <w:r>
        <w:t xml:space="preserve">Moreover, the Commission also accepted the use of </w:t>
      </w:r>
      <w:r w:rsidR="007227EA">
        <w:t xml:space="preserve">a </w:t>
      </w:r>
      <w:r>
        <w:t xml:space="preserve">size premium adjustment derived using </w:t>
      </w:r>
      <w:r w:rsidR="000A5614">
        <w:t>Duff &amp; Phelps</w:t>
      </w:r>
      <w:r>
        <w:t xml:space="preserve"> raw betas based on a regression of the monthly returns </w:t>
      </w:r>
      <w:r w:rsidR="000A5614">
        <w:t>on the stock index that are in excess of a 30-year U.S. Treasury yield over the period of 1926 through the most recent period</w:t>
      </w:r>
      <w:r>
        <w:t>.</w:t>
      </w:r>
      <w:r>
        <w:rPr>
          <w:rStyle w:val="FootnoteReference"/>
        </w:rPr>
        <w:footnoteReference w:id="99"/>
      </w:r>
      <w:r>
        <w:t xml:space="preserve">  The Commission </w:t>
      </w:r>
      <w:r w:rsidR="00D0000C">
        <w:t xml:space="preserve">affirmed that </w:t>
      </w:r>
      <w:r w:rsidR="00E1367F">
        <w:t>the use of</w:t>
      </w:r>
      <w:r w:rsidRPr="00E1367F" w:rsidR="00E1367F">
        <w:t xml:space="preserve"> </w:t>
      </w:r>
      <w:r w:rsidR="000D4078">
        <w:t>such an</w:t>
      </w:r>
      <w:r w:rsidRPr="00E1367F" w:rsidR="00E1367F">
        <w:t xml:space="preserve"> adjustment was “a generally accepted approach to CAPM analyses”</w:t>
      </w:r>
      <w:r w:rsidR="006070FC">
        <w:t xml:space="preserve"> and determined that application of size premium adjustments based on the New York Stock Exchange </w:t>
      </w:r>
      <w:r w:rsidR="006070FC">
        <w:lastRenderedPageBreak/>
        <w:t>(NYSE) to dividend paying members of the S&amp;P 500 is acceptable.</w:t>
      </w:r>
      <w:r w:rsidR="00F82B34">
        <w:rPr>
          <w:rStyle w:val="FootnoteReference"/>
        </w:rPr>
        <w:footnoteReference w:id="100"/>
      </w:r>
      <w:r w:rsidRPr="00E1367F" w:rsidR="00F82B34">
        <w:t xml:space="preserve"> </w:t>
      </w:r>
      <w:r w:rsidR="006070FC">
        <w:t xml:space="preserve"> </w:t>
      </w:r>
      <w:r w:rsidR="00A41A96">
        <w:t>T</w:t>
      </w:r>
      <w:r w:rsidR="00BE43DA">
        <w:t>he Commission acknowledged that there is imperfect correspondence between the size premia being developed with different betas, but concluded that the size premium adjustments improve the accuracy of CAPM results and cause the CAPM to better correspond to the cost</w:t>
      </w:r>
      <w:r w:rsidR="00FE7027">
        <w:t>-of-capital</w:t>
      </w:r>
      <w:r w:rsidR="00BE43DA">
        <w:t xml:space="preserve"> estimates used by investors.</w:t>
      </w:r>
      <w:r w:rsidR="00BE43DA">
        <w:rPr>
          <w:rStyle w:val="FootnoteReference"/>
        </w:rPr>
        <w:footnoteReference w:id="101"/>
      </w:r>
      <w:r w:rsidR="00BE43DA">
        <w:t xml:space="preserve">  </w:t>
      </w:r>
      <w:r w:rsidR="00D0000C">
        <w:t>T</w:t>
      </w:r>
      <w:r w:rsidR="000D4078">
        <w:t xml:space="preserve">he Commission </w:t>
      </w:r>
      <w:r w:rsidR="00D0000C">
        <w:t xml:space="preserve">also </w:t>
      </w:r>
      <w:r w:rsidR="000D4078">
        <w:t xml:space="preserve">found that sufficient academic literature exists to indicate that many investors rely on size </w:t>
      </w:r>
      <w:r w:rsidR="00482BE0">
        <w:t>premia</w:t>
      </w:r>
      <w:r w:rsidR="000D4078">
        <w:t>.</w:t>
      </w:r>
      <w:r w:rsidR="00BE43DA">
        <w:rPr>
          <w:rStyle w:val="FootnoteReference"/>
        </w:rPr>
        <w:footnoteReference w:id="102"/>
      </w:r>
    </w:p>
    <w:p w:rsidR="00B62D96" w:rsidP="00CF21D7" w:rsidRDefault="00B62D96" w14:paraId="7B915F2A" w14:textId="09B300FE">
      <w:pPr>
        <w:pStyle w:val="Heading5"/>
      </w:pPr>
      <w:r>
        <w:t>NOI Comments</w:t>
      </w:r>
    </w:p>
    <w:p w:rsidR="00B62D96" w:rsidP="00B62D96" w:rsidRDefault="00EB3EDF" w14:paraId="3339BBF5" w14:textId="323E3665">
      <w:pPr>
        <w:pStyle w:val="FERCparanumber"/>
      </w:pPr>
      <w:r>
        <w:t>A variety of c</w:t>
      </w:r>
      <w:r w:rsidR="00D8449E">
        <w:t>ommenters</w:t>
      </w:r>
      <w:r w:rsidR="008A24F3">
        <w:t>, including AOPL, INGAA, Magellan, CAPP</w:t>
      </w:r>
      <w:r>
        <w:t xml:space="preserve">, and NGSA, </w:t>
      </w:r>
      <w:r w:rsidR="008A24F3">
        <w:t xml:space="preserve">support use of </w:t>
      </w:r>
      <w:r w:rsidR="008A24F3">
        <w:rPr>
          <w:i/>
          <w:iCs/>
        </w:rPr>
        <w:t xml:space="preserve">Value Line </w:t>
      </w:r>
      <w:r w:rsidR="008A24F3">
        <w:t xml:space="preserve">adjusted betas </w:t>
      </w:r>
      <w:r>
        <w:t>in applying the CAPM</w:t>
      </w:r>
      <w:r w:rsidR="008A24F3">
        <w:t>.</w:t>
      </w:r>
      <w:r>
        <w:rPr>
          <w:rStyle w:val="FootnoteReference"/>
        </w:rPr>
        <w:footnoteReference w:id="103"/>
      </w:r>
      <w:r w:rsidR="008A24F3">
        <w:t xml:space="preserve">  </w:t>
      </w:r>
      <w:r w:rsidR="00B62D96">
        <w:t>IN</w:t>
      </w:r>
      <w:r w:rsidR="003E5EB7">
        <w:t xml:space="preserve">GAA adds that although </w:t>
      </w:r>
      <w:r w:rsidR="003E5EB7">
        <w:rPr>
          <w:i/>
          <w:iCs/>
        </w:rPr>
        <w:t xml:space="preserve">Value Line </w:t>
      </w:r>
      <w:r w:rsidR="003E5EB7">
        <w:t xml:space="preserve">betas, which are based on five years of historical data, may be appropriate in most cases, it is possible that using betas based on five years of data may not reflect more recent events that have substantially changed the risk characteristics of </w:t>
      </w:r>
      <w:r w:rsidR="003E5EB7">
        <w:lastRenderedPageBreak/>
        <w:t xml:space="preserve">the </w:t>
      </w:r>
      <w:r w:rsidR="00ED43F7">
        <w:t xml:space="preserve">natural </w:t>
      </w:r>
      <w:r w:rsidR="003E5EB7">
        <w:t>gas pipeline industry.  INGAA therefore states that in such circumstances, the Commission should consider beta estimates calculated over shorter periods</w:t>
      </w:r>
      <w:r w:rsidR="00B62D96">
        <w:t>.</w:t>
      </w:r>
      <w:r w:rsidR="00B62D96">
        <w:rPr>
          <w:rStyle w:val="FootnoteReference"/>
        </w:rPr>
        <w:footnoteReference w:id="104"/>
      </w:r>
    </w:p>
    <w:p w:rsidRPr="00B62D96" w:rsidR="00B62D96" w:rsidP="004F1913" w:rsidRDefault="00B62D96" w14:paraId="777B7942" w14:textId="34EE27CD">
      <w:pPr>
        <w:pStyle w:val="Heading5"/>
      </w:pPr>
      <w:r>
        <w:t>Commission Determination</w:t>
      </w:r>
    </w:p>
    <w:p w:rsidR="000C5509" w:rsidP="003D0FD1" w:rsidRDefault="00537CF9" w14:paraId="0FBAC562" w14:textId="66E438B2">
      <w:pPr>
        <w:pStyle w:val="FERCparanumber"/>
        <w:rPr>
          <w:szCs w:val="26"/>
        </w:rPr>
      </w:pPr>
      <w:r w:rsidRPr="00A17C75">
        <w:rPr>
          <w:szCs w:val="26"/>
        </w:rPr>
        <w:t xml:space="preserve">We </w:t>
      </w:r>
      <w:r w:rsidR="002A77E0">
        <w:rPr>
          <w:szCs w:val="26"/>
        </w:rPr>
        <w:t xml:space="preserve">adopt </w:t>
      </w:r>
      <w:r w:rsidR="00F356D3">
        <w:rPr>
          <w:szCs w:val="26"/>
        </w:rPr>
        <w:t>the</w:t>
      </w:r>
      <w:r w:rsidR="002A77E0">
        <w:rPr>
          <w:szCs w:val="26"/>
        </w:rPr>
        <w:t xml:space="preserve"> reasoning in Opinion Nos. 569 and 569-A and find reasonable </w:t>
      </w:r>
      <w:r w:rsidR="00D8449E">
        <w:rPr>
          <w:szCs w:val="26"/>
        </w:rPr>
        <w:t xml:space="preserve">the use of </w:t>
      </w:r>
      <w:r w:rsidR="00D8449E">
        <w:rPr>
          <w:i/>
          <w:iCs/>
          <w:szCs w:val="26"/>
        </w:rPr>
        <w:t>Value Line</w:t>
      </w:r>
      <w:r w:rsidR="00D8449E">
        <w:rPr>
          <w:szCs w:val="26"/>
        </w:rPr>
        <w:t xml:space="preserve"> adjusted betas </w:t>
      </w:r>
      <w:r w:rsidR="002A77E0">
        <w:rPr>
          <w:szCs w:val="26"/>
        </w:rPr>
        <w:t xml:space="preserve">in </w:t>
      </w:r>
      <w:r w:rsidR="00D8449E">
        <w:rPr>
          <w:szCs w:val="26"/>
        </w:rPr>
        <w:t xml:space="preserve">the CAPM </w:t>
      </w:r>
      <w:r w:rsidR="002A77E0">
        <w:rPr>
          <w:szCs w:val="26"/>
        </w:rPr>
        <w:t xml:space="preserve">analysis as applied </w:t>
      </w:r>
      <w:r w:rsidR="00D8449E">
        <w:rPr>
          <w:szCs w:val="26"/>
        </w:rPr>
        <w:t xml:space="preserve">to </w:t>
      </w:r>
      <w:r w:rsidR="00ED43F7">
        <w:rPr>
          <w:szCs w:val="26"/>
        </w:rPr>
        <w:t xml:space="preserve">natural </w:t>
      </w:r>
      <w:r w:rsidR="00D8449E">
        <w:rPr>
          <w:szCs w:val="26"/>
        </w:rPr>
        <w:t xml:space="preserve">gas and oil pipelines.  </w:t>
      </w:r>
      <w:r w:rsidR="000C5509">
        <w:rPr>
          <w:szCs w:val="26"/>
        </w:rPr>
        <w:t xml:space="preserve">As the Commission has explained, there is substantial evidence indicating that investors rely on </w:t>
      </w:r>
      <w:r w:rsidR="000C5509">
        <w:rPr>
          <w:i/>
          <w:iCs/>
          <w:szCs w:val="26"/>
        </w:rPr>
        <w:t>Value Line</w:t>
      </w:r>
      <w:r w:rsidR="000C5509">
        <w:rPr>
          <w:szCs w:val="26"/>
        </w:rPr>
        <w:t xml:space="preserve"> betas in making their investment decisions, and this finding presumably appl</w:t>
      </w:r>
      <w:r w:rsidR="00FB128F">
        <w:rPr>
          <w:szCs w:val="26"/>
        </w:rPr>
        <w:t>ie</w:t>
      </w:r>
      <w:r w:rsidR="000C5509">
        <w:rPr>
          <w:szCs w:val="26"/>
        </w:rPr>
        <w:t xml:space="preserve">s equally to investors in </w:t>
      </w:r>
      <w:r w:rsidR="00ED43F7">
        <w:rPr>
          <w:szCs w:val="26"/>
        </w:rPr>
        <w:t xml:space="preserve">natural </w:t>
      </w:r>
      <w:r w:rsidR="000C5509">
        <w:rPr>
          <w:szCs w:val="26"/>
        </w:rPr>
        <w:t xml:space="preserve">gas and oil pipelines.  </w:t>
      </w:r>
      <w:r w:rsidR="00FB128F">
        <w:rPr>
          <w:szCs w:val="26"/>
        </w:rPr>
        <w:t xml:space="preserve">Although we recognize that the distinct risks facing interstate </w:t>
      </w:r>
      <w:r w:rsidR="00ED43F7">
        <w:rPr>
          <w:szCs w:val="26"/>
        </w:rPr>
        <w:t xml:space="preserve">natural </w:t>
      </w:r>
      <w:r w:rsidR="00FB128F">
        <w:rPr>
          <w:szCs w:val="26"/>
        </w:rPr>
        <w:t xml:space="preserve">gas and oil pipelines may in </w:t>
      </w:r>
      <w:r w:rsidR="009C7F37">
        <w:rPr>
          <w:szCs w:val="26"/>
        </w:rPr>
        <w:t>some cases bear upon whether an alternative beta source would be more appropriate, we will address such issues as they arise in specific proceedings.</w:t>
      </w:r>
    </w:p>
    <w:p w:rsidR="003D0FD1" w:rsidP="003D0FD1" w:rsidRDefault="000C5509" w14:paraId="46CC31D9" w14:textId="482F2F5B">
      <w:pPr>
        <w:pStyle w:val="FERCparanumber"/>
        <w:rPr>
          <w:szCs w:val="26"/>
        </w:rPr>
      </w:pPr>
      <w:r>
        <w:rPr>
          <w:szCs w:val="26"/>
        </w:rPr>
        <w:t xml:space="preserve">Likewise, we find reasonable the use of </w:t>
      </w:r>
      <w:r w:rsidR="00D15CED">
        <w:rPr>
          <w:szCs w:val="26"/>
        </w:rPr>
        <w:t>the size premium adjustment based on the NYSE, as discussed in Opinion Nos. 531-B</w:t>
      </w:r>
      <w:r w:rsidR="00D15CED">
        <w:rPr>
          <w:rStyle w:val="FootnoteReference"/>
          <w:szCs w:val="26"/>
        </w:rPr>
        <w:footnoteReference w:id="105"/>
      </w:r>
      <w:r w:rsidR="00D15CED">
        <w:rPr>
          <w:szCs w:val="26"/>
        </w:rPr>
        <w:t xml:space="preserve"> and 569.</w:t>
      </w:r>
      <w:r w:rsidR="00D15CED">
        <w:rPr>
          <w:rStyle w:val="FootnoteReference"/>
          <w:szCs w:val="26"/>
        </w:rPr>
        <w:footnoteReference w:id="106"/>
      </w:r>
      <w:r w:rsidR="00D15CED">
        <w:rPr>
          <w:szCs w:val="26"/>
        </w:rPr>
        <w:t xml:space="preserve">  The use of such adjustments is “a generally accepted approach to CAPM analyses” that improves the accuracy of the CAPM results and causes such results to better correspond to the cost</w:t>
      </w:r>
      <w:r w:rsidR="000D6BC4">
        <w:rPr>
          <w:szCs w:val="26"/>
        </w:rPr>
        <w:t>-of-capital</w:t>
      </w:r>
      <w:r w:rsidR="00D15CED">
        <w:rPr>
          <w:szCs w:val="26"/>
        </w:rPr>
        <w:t xml:space="preserve"> estimates that investors use in making investment decisions.</w:t>
      </w:r>
      <w:r w:rsidR="00F453DA">
        <w:rPr>
          <w:rStyle w:val="FootnoteReference"/>
          <w:szCs w:val="26"/>
        </w:rPr>
        <w:footnoteReference w:id="107"/>
      </w:r>
      <w:r w:rsidR="00D15CED">
        <w:rPr>
          <w:szCs w:val="26"/>
        </w:rPr>
        <w:t xml:space="preserve">  </w:t>
      </w:r>
      <w:r w:rsidR="00F453DA">
        <w:rPr>
          <w:szCs w:val="26"/>
        </w:rPr>
        <w:t xml:space="preserve">As such, we find that use of these </w:t>
      </w:r>
      <w:r w:rsidR="00F453DA">
        <w:rPr>
          <w:szCs w:val="26"/>
        </w:rPr>
        <w:lastRenderedPageBreak/>
        <w:t>adjustments will improve the accuracy of cost</w:t>
      </w:r>
      <w:r w:rsidR="00FE7027">
        <w:rPr>
          <w:szCs w:val="26"/>
        </w:rPr>
        <w:t>-of-equity</w:t>
      </w:r>
      <w:r w:rsidR="00F453DA">
        <w:rPr>
          <w:szCs w:val="26"/>
        </w:rPr>
        <w:t xml:space="preserve"> estimates for </w:t>
      </w:r>
      <w:r w:rsidR="00224574">
        <w:rPr>
          <w:szCs w:val="26"/>
        </w:rPr>
        <w:t xml:space="preserve">natural </w:t>
      </w:r>
      <w:r w:rsidR="00F453DA">
        <w:rPr>
          <w:szCs w:val="26"/>
        </w:rPr>
        <w:t>gas and oil pipelines under our revised ROE methodology.</w:t>
      </w:r>
    </w:p>
    <w:p w:rsidR="002F5AB7" w:rsidP="00EE0739" w:rsidRDefault="002F5AB7" w14:paraId="781567AD" w14:textId="77777777">
      <w:pPr>
        <w:pStyle w:val="Heading3"/>
      </w:pPr>
      <w:r>
        <w:t>Weighting of Models</w:t>
      </w:r>
    </w:p>
    <w:p w:rsidRPr="00ED48BB" w:rsidR="002F5AB7" w:rsidP="00EE0739" w:rsidRDefault="002F5AB7" w14:paraId="68375CD8" w14:textId="77777777">
      <w:pPr>
        <w:pStyle w:val="Heading4"/>
      </w:pPr>
      <w:r>
        <w:t>Background</w:t>
      </w:r>
    </w:p>
    <w:p w:rsidRPr="004F1913" w:rsidR="002F5AB7" w:rsidP="004F1913" w:rsidRDefault="002F5AB7" w14:paraId="099AA0F5" w14:textId="0AD11B25">
      <w:pPr>
        <w:pStyle w:val="FERCparanumber"/>
        <w:rPr>
          <w:szCs w:val="26"/>
        </w:rPr>
      </w:pPr>
      <w:r w:rsidRPr="00A17C75">
        <w:rPr>
          <w:szCs w:val="26"/>
        </w:rPr>
        <w:t xml:space="preserve">In Opinion No. 569, the Commission </w:t>
      </w:r>
      <w:r>
        <w:rPr>
          <w:szCs w:val="26"/>
        </w:rPr>
        <w:t xml:space="preserve">held that it would give equal weight to the DCF </w:t>
      </w:r>
      <w:r w:rsidR="00224574">
        <w:rPr>
          <w:szCs w:val="26"/>
        </w:rPr>
        <w:t xml:space="preserve">model </w:t>
      </w:r>
      <w:r>
        <w:rPr>
          <w:szCs w:val="26"/>
        </w:rPr>
        <w:t>and CAPM in analyzing ROE for public utilities.</w:t>
      </w:r>
      <w:r>
        <w:rPr>
          <w:rStyle w:val="FootnoteReference"/>
          <w:szCs w:val="26"/>
        </w:rPr>
        <w:footnoteReference w:id="108"/>
      </w:r>
      <w:r w:rsidRPr="00A17C75">
        <w:rPr>
          <w:szCs w:val="26"/>
        </w:rPr>
        <w:t xml:space="preserve"> </w:t>
      </w:r>
      <w:r>
        <w:rPr>
          <w:szCs w:val="26"/>
        </w:rPr>
        <w:t xml:space="preserve"> The Commission found that the evidence indicated that neither model was conclusively superior to the other and reasoned that giving each model equal weight will reduce the model risk associated with any particular model more than giving one model greater weight than the other.</w:t>
      </w:r>
      <w:r>
        <w:rPr>
          <w:rStyle w:val="FootnoteReference"/>
          <w:szCs w:val="26"/>
        </w:rPr>
        <w:footnoteReference w:id="109"/>
      </w:r>
      <w:r>
        <w:rPr>
          <w:szCs w:val="26"/>
        </w:rPr>
        <w:t xml:space="preserve">  </w:t>
      </w:r>
      <w:r w:rsidRPr="004F1913">
        <w:rPr>
          <w:szCs w:val="26"/>
        </w:rPr>
        <w:t xml:space="preserve">After expanding its public utility base ROE methodology in Opinion No. 569-A to include </w:t>
      </w:r>
      <w:r w:rsidR="00224574">
        <w:rPr>
          <w:szCs w:val="26"/>
        </w:rPr>
        <w:t xml:space="preserve">the </w:t>
      </w:r>
      <w:r w:rsidRPr="004F1913">
        <w:rPr>
          <w:szCs w:val="26"/>
        </w:rPr>
        <w:t>Risk Premium</w:t>
      </w:r>
      <w:r w:rsidR="00224574">
        <w:rPr>
          <w:szCs w:val="26"/>
        </w:rPr>
        <w:t xml:space="preserve"> model</w:t>
      </w:r>
      <w:r w:rsidRPr="004F1913">
        <w:rPr>
          <w:szCs w:val="26"/>
        </w:rPr>
        <w:t>, the Commission held that it would accord equal weight to all three models.</w:t>
      </w:r>
      <w:r w:rsidRPr="004F1913">
        <w:rPr>
          <w:rStyle w:val="FootnoteReference"/>
          <w:szCs w:val="26"/>
        </w:rPr>
        <w:footnoteReference w:id="110"/>
      </w:r>
      <w:r w:rsidRPr="004F1913">
        <w:rPr>
          <w:szCs w:val="26"/>
        </w:rPr>
        <w:t xml:space="preserve">  </w:t>
      </w:r>
    </w:p>
    <w:p w:rsidRPr="00A17C75" w:rsidR="002F5AB7" w:rsidP="004F1913" w:rsidRDefault="002F5AB7" w14:paraId="0C1D92BA" w14:textId="77777777">
      <w:pPr>
        <w:pStyle w:val="Heading4"/>
      </w:pPr>
      <w:r>
        <w:t>NOI Comments</w:t>
      </w:r>
    </w:p>
    <w:p w:rsidRPr="002E1C83" w:rsidR="002F5AB7" w:rsidP="002F5AB7" w:rsidRDefault="002F5AB7" w14:paraId="65929421" w14:textId="4667CFDD">
      <w:pPr>
        <w:pStyle w:val="FERCparanumber"/>
        <w:rPr>
          <w:szCs w:val="26"/>
        </w:rPr>
      </w:pPr>
      <w:r>
        <w:rPr>
          <w:szCs w:val="26"/>
        </w:rPr>
        <w:t xml:space="preserve">Commenters propose various approaches to weighting the models used to determine ROE.  </w:t>
      </w:r>
      <w:r w:rsidRPr="002E1C83">
        <w:rPr>
          <w:szCs w:val="26"/>
        </w:rPr>
        <w:t xml:space="preserve">CAPP states that the Commission should </w:t>
      </w:r>
      <w:r>
        <w:rPr>
          <w:szCs w:val="26"/>
        </w:rPr>
        <w:t>give the DCF</w:t>
      </w:r>
      <w:r w:rsidRPr="002E1C83">
        <w:rPr>
          <w:szCs w:val="26"/>
        </w:rPr>
        <w:t xml:space="preserve"> </w:t>
      </w:r>
      <w:r w:rsidR="00224574">
        <w:rPr>
          <w:szCs w:val="26"/>
        </w:rPr>
        <w:t xml:space="preserve">model </w:t>
      </w:r>
      <w:r>
        <w:rPr>
          <w:szCs w:val="26"/>
        </w:rPr>
        <w:t>at least</w:t>
      </w:r>
      <w:r w:rsidRPr="002E1C83">
        <w:rPr>
          <w:szCs w:val="26"/>
        </w:rPr>
        <w:t xml:space="preserve"> 50</w:t>
      </w:r>
      <w:r w:rsidRPr="000570C2" w:rsidR="000570C2">
        <w:rPr>
          <w:szCs w:val="26"/>
        </w:rPr>
        <w:t>%</w:t>
      </w:r>
      <w:r w:rsidRPr="002E1C83">
        <w:rPr>
          <w:szCs w:val="26"/>
        </w:rPr>
        <w:t xml:space="preserve"> weighting </w:t>
      </w:r>
      <w:r>
        <w:rPr>
          <w:szCs w:val="26"/>
        </w:rPr>
        <w:t>while giving the remaining weight to any other models the Commission decides to use</w:t>
      </w:r>
      <w:r w:rsidRPr="002E1C83">
        <w:rPr>
          <w:szCs w:val="26"/>
        </w:rPr>
        <w:t>.</w:t>
      </w:r>
      <w:r>
        <w:rPr>
          <w:rStyle w:val="FootnoteReference"/>
          <w:szCs w:val="26"/>
        </w:rPr>
        <w:footnoteReference w:id="111"/>
      </w:r>
      <w:r w:rsidRPr="002E1C83">
        <w:rPr>
          <w:szCs w:val="26"/>
        </w:rPr>
        <w:t xml:space="preserve">  </w:t>
      </w:r>
      <w:r>
        <w:rPr>
          <w:szCs w:val="26"/>
        </w:rPr>
        <w:t xml:space="preserve">The </w:t>
      </w:r>
      <w:r w:rsidRPr="002E1C83">
        <w:rPr>
          <w:szCs w:val="26"/>
        </w:rPr>
        <w:t xml:space="preserve">Maryland </w:t>
      </w:r>
      <w:r>
        <w:rPr>
          <w:szCs w:val="26"/>
        </w:rPr>
        <w:t>O</w:t>
      </w:r>
      <w:r w:rsidR="000D6BC4">
        <w:rPr>
          <w:szCs w:val="26"/>
        </w:rPr>
        <w:t>PC</w:t>
      </w:r>
      <w:r>
        <w:rPr>
          <w:szCs w:val="26"/>
        </w:rPr>
        <w:t xml:space="preserve"> </w:t>
      </w:r>
      <w:r w:rsidRPr="002E1C83">
        <w:rPr>
          <w:szCs w:val="26"/>
        </w:rPr>
        <w:t xml:space="preserve">states that if the Commission uses multiple </w:t>
      </w:r>
      <w:r w:rsidRPr="002E1C83">
        <w:rPr>
          <w:szCs w:val="26"/>
        </w:rPr>
        <w:lastRenderedPageBreak/>
        <w:t xml:space="preserve">models, </w:t>
      </w:r>
      <w:r>
        <w:rPr>
          <w:szCs w:val="26"/>
        </w:rPr>
        <w:t>it should accord the DCF</w:t>
      </w:r>
      <w:r w:rsidR="00DD0A45">
        <w:rPr>
          <w:szCs w:val="26"/>
        </w:rPr>
        <w:t xml:space="preserve"> model</w:t>
      </w:r>
      <w:r>
        <w:rPr>
          <w:szCs w:val="26"/>
        </w:rPr>
        <w:t xml:space="preserve"> the majority of the weighting while giving the other models a minority </w:t>
      </w:r>
      <w:r w:rsidRPr="002E1C83">
        <w:rPr>
          <w:szCs w:val="26"/>
        </w:rPr>
        <w:t>weighting.</w:t>
      </w:r>
      <w:r>
        <w:rPr>
          <w:rStyle w:val="FootnoteReference"/>
          <w:szCs w:val="26"/>
        </w:rPr>
        <w:footnoteReference w:id="112"/>
      </w:r>
      <w:r>
        <w:rPr>
          <w:szCs w:val="26"/>
        </w:rPr>
        <w:t xml:space="preserve">  </w:t>
      </w:r>
      <w:r w:rsidRPr="002E1C83">
        <w:rPr>
          <w:szCs w:val="26"/>
        </w:rPr>
        <w:t xml:space="preserve">INGAA and Tallgrass </w:t>
      </w:r>
      <w:r>
        <w:rPr>
          <w:szCs w:val="26"/>
        </w:rPr>
        <w:t xml:space="preserve">oppose equal weighting and assert that </w:t>
      </w:r>
      <w:r w:rsidRPr="002E1C83">
        <w:rPr>
          <w:szCs w:val="26"/>
        </w:rPr>
        <w:t xml:space="preserve">the Commission should </w:t>
      </w:r>
      <w:r>
        <w:rPr>
          <w:szCs w:val="26"/>
        </w:rPr>
        <w:t xml:space="preserve">adopt a flexible weighting approach that allows it to exclude or give </w:t>
      </w:r>
      <w:r w:rsidRPr="002E1C83">
        <w:rPr>
          <w:szCs w:val="26"/>
        </w:rPr>
        <w:t xml:space="preserve">appropriate weight </w:t>
      </w:r>
      <w:r>
        <w:rPr>
          <w:szCs w:val="26"/>
        </w:rPr>
        <w:t xml:space="preserve">to </w:t>
      </w:r>
      <w:r w:rsidRPr="002E1C83">
        <w:rPr>
          <w:szCs w:val="26"/>
        </w:rPr>
        <w:t xml:space="preserve">any model in light of prevailing financial conditions </w:t>
      </w:r>
      <w:r>
        <w:rPr>
          <w:szCs w:val="26"/>
        </w:rPr>
        <w:t>and the facts and circumstances of each case</w:t>
      </w:r>
      <w:r w:rsidRPr="002E1C83">
        <w:rPr>
          <w:szCs w:val="26"/>
        </w:rPr>
        <w:t>.</w:t>
      </w:r>
      <w:r>
        <w:rPr>
          <w:rStyle w:val="FootnoteReference"/>
          <w:szCs w:val="26"/>
        </w:rPr>
        <w:footnoteReference w:id="113"/>
      </w:r>
      <w:r w:rsidRPr="002E1C83">
        <w:rPr>
          <w:szCs w:val="26"/>
        </w:rPr>
        <w:t xml:space="preserve">  </w:t>
      </w:r>
      <w:r>
        <w:rPr>
          <w:szCs w:val="26"/>
        </w:rPr>
        <w:t xml:space="preserve">The New York State Public Service Commission (NYPSC) submits that the Commission should give two-thirds weighting to the DCF </w:t>
      </w:r>
      <w:r w:rsidR="00DD0A45">
        <w:rPr>
          <w:szCs w:val="26"/>
        </w:rPr>
        <w:t xml:space="preserve">model </w:t>
      </w:r>
      <w:r>
        <w:rPr>
          <w:szCs w:val="26"/>
        </w:rPr>
        <w:t>and one-third weighting to the CAPM.</w:t>
      </w:r>
      <w:r>
        <w:rPr>
          <w:rStyle w:val="FootnoteReference"/>
          <w:szCs w:val="26"/>
        </w:rPr>
        <w:footnoteReference w:id="114"/>
      </w:r>
    </w:p>
    <w:p w:rsidR="002F5AB7" w:rsidP="002F5AB7" w:rsidRDefault="002F5AB7" w14:paraId="4349966C" w14:textId="69191215">
      <w:pPr>
        <w:pStyle w:val="Heading4"/>
      </w:pPr>
      <w:r>
        <w:t>Commission Determination</w:t>
      </w:r>
    </w:p>
    <w:p w:rsidR="002F5AB7" w:rsidP="002F5AB7" w:rsidRDefault="002F5AB7" w14:paraId="7381C4A0" w14:textId="5E37CFF3">
      <w:pPr>
        <w:pStyle w:val="FERCparanumber"/>
      </w:pPr>
      <w:r w:rsidRPr="002F5AB7">
        <w:rPr>
          <w:szCs w:val="26"/>
        </w:rPr>
        <w:t xml:space="preserve">We adopt the rationale of Opinion Nos. 569 and 569-A and will give equal weight to the DCF </w:t>
      </w:r>
      <w:r w:rsidR="00DD0A45">
        <w:rPr>
          <w:szCs w:val="26"/>
        </w:rPr>
        <w:t xml:space="preserve">model </w:t>
      </w:r>
      <w:r w:rsidRPr="002F5AB7">
        <w:rPr>
          <w:szCs w:val="26"/>
        </w:rPr>
        <w:t xml:space="preserve">and CAPM in determining </w:t>
      </w:r>
      <w:r w:rsidR="00DD0A45">
        <w:rPr>
          <w:szCs w:val="26"/>
        </w:rPr>
        <w:t xml:space="preserve">natural </w:t>
      </w:r>
      <w:r w:rsidRPr="002F5AB7">
        <w:rPr>
          <w:szCs w:val="26"/>
        </w:rPr>
        <w:t xml:space="preserve">gas and oil pipeline ROEs.  As stated in Opinion No. 569, we find that neither the DCF </w:t>
      </w:r>
      <w:r w:rsidR="00DD0A45">
        <w:rPr>
          <w:szCs w:val="26"/>
        </w:rPr>
        <w:t xml:space="preserve">model </w:t>
      </w:r>
      <w:r w:rsidRPr="002F5AB7">
        <w:rPr>
          <w:szCs w:val="26"/>
        </w:rPr>
        <w:t>nor the CAPM is conclusively superior and that giving both models equal weight will mitigate the risks associated with the potential errors or flaws in any one model.  The comments proposing alternative weighting schemes do not refute these concerns and are therefore unpersuasive.</w:t>
      </w:r>
    </w:p>
    <w:p w:rsidR="002F5AB7" w:rsidP="00BC14C6" w:rsidRDefault="002F5AB7" w14:paraId="3417110B" w14:textId="77777777">
      <w:pPr>
        <w:pStyle w:val="Heading3"/>
      </w:pPr>
      <w:r>
        <w:lastRenderedPageBreak/>
        <w:t>Data Sources</w:t>
      </w:r>
    </w:p>
    <w:p w:rsidR="002F5AB7" w:rsidP="00BC14C6" w:rsidRDefault="002F5AB7" w14:paraId="73F5954E" w14:textId="77777777">
      <w:pPr>
        <w:pStyle w:val="Heading4"/>
      </w:pPr>
      <w:r w:rsidRPr="00A17C75">
        <w:t>Background</w:t>
      </w:r>
    </w:p>
    <w:p w:rsidRPr="0003761E" w:rsidR="002F5AB7" w:rsidP="002F5AB7" w:rsidRDefault="002F5AB7" w14:paraId="2F6DD386" w14:textId="4D85F589">
      <w:pPr>
        <w:pStyle w:val="FERCparanumber"/>
      </w:pPr>
      <w:r>
        <w:t>The Commission has historically preferred IBES data as the source of the short-term growth projection in the DCF</w:t>
      </w:r>
      <w:r w:rsidR="005162BF">
        <w:t xml:space="preserve"> model</w:t>
      </w:r>
      <w:r>
        <w:t>.</w:t>
      </w:r>
      <w:r>
        <w:rPr>
          <w:rStyle w:val="FootnoteReference"/>
        </w:rPr>
        <w:footnoteReference w:id="115"/>
      </w:r>
      <w:r>
        <w:t xml:space="preserve">  By contrast, because less precision was required of the CAPM when the Commission used it only to corroborate the results of the DCF analysis, the Commission allowed parties to average IBES and </w:t>
      </w:r>
      <w:r>
        <w:rPr>
          <w:i/>
          <w:iCs/>
        </w:rPr>
        <w:t xml:space="preserve">Value Line </w:t>
      </w:r>
      <w:r>
        <w:t>growth projections in the DCF component of the CAPM.</w:t>
      </w:r>
      <w:r>
        <w:rPr>
          <w:rStyle w:val="FootnoteReference"/>
        </w:rPr>
        <w:footnoteReference w:id="116"/>
      </w:r>
    </w:p>
    <w:p w:rsidRPr="00EC7C5A" w:rsidR="002F5AB7" w:rsidP="002F5AB7" w:rsidRDefault="002F5AB7" w14:paraId="2358996B" w14:textId="3A00751B">
      <w:pPr>
        <w:pStyle w:val="FERCparanumber"/>
        <w:rPr>
          <w:szCs w:val="26"/>
        </w:rPr>
      </w:pPr>
      <w:r>
        <w:t>In Opinion 569, the Commission affirmed that it would use IBES projections as the sole source of the short-term growth projections in the DCF</w:t>
      </w:r>
      <w:r w:rsidR="005162BF">
        <w:t xml:space="preserve"> model</w:t>
      </w:r>
      <w:r>
        <w:t>.</w:t>
      </w:r>
      <w:r>
        <w:rPr>
          <w:rStyle w:val="FootnoteReference"/>
        </w:rPr>
        <w:footnoteReference w:id="117"/>
      </w:r>
      <w:r>
        <w:t xml:space="preserve"> </w:t>
      </w:r>
      <w:r>
        <w:rPr>
          <w:szCs w:val="26"/>
        </w:rPr>
        <w:t xml:space="preserve"> The Commission also</w:t>
      </w:r>
      <w:r w:rsidRPr="00EC7C5A">
        <w:rPr>
          <w:szCs w:val="26"/>
        </w:rPr>
        <w:t xml:space="preserve"> </w:t>
      </w:r>
      <w:r>
        <w:t>required the sole use of IBES projections for the DCF component of the CAPM, explaining that because it would be weighting the CAPM equally with the DCF</w:t>
      </w:r>
      <w:r w:rsidR="005162BF">
        <w:t xml:space="preserve"> model</w:t>
      </w:r>
      <w:r>
        <w:t xml:space="preserve"> in setting just and reasonable ROEs, the CAPM must be implemented with the same degree of precision as the DCF</w:t>
      </w:r>
      <w:r w:rsidR="005162BF">
        <w:t xml:space="preserve"> model</w:t>
      </w:r>
      <w:r>
        <w:t>.</w:t>
      </w:r>
      <w:r>
        <w:rPr>
          <w:rStyle w:val="FootnoteReference"/>
        </w:rPr>
        <w:footnoteReference w:id="118"/>
      </w:r>
      <w:r>
        <w:t xml:space="preserve">  </w:t>
      </w:r>
      <w:r>
        <w:rPr>
          <w:szCs w:val="26"/>
        </w:rPr>
        <w:t xml:space="preserve">The </w:t>
      </w:r>
      <w:r w:rsidRPr="00B863AB">
        <w:rPr>
          <w:szCs w:val="26"/>
        </w:rPr>
        <w:t>Commission explained that IBE</w:t>
      </w:r>
      <w:r>
        <w:rPr>
          <w:szCs w:val="26"/>
        </w:rPr>
        <w:t>S data was</w:t>
      </w:r>
      <w:r w:rsidRPr="00B863AB">
        <w:rPr>
          <w:szCs w:val="26"/>
        </w:rPr>
        <w:t xml:space="preserve"> preferable</w:t>
      </w:r>
      <w:r>
        <w:rPr>
          <w:szCs w:val="26"/>
        </w:rPr>
        <w:t xml:space="preserve"> to </w:t>
      </w:r>
      <w:r>
        <w:rPr>
          <w:i/>
          <w:iCs/>
          <w:szCs w:val="26"/>
        </w:rPr>
        <w:t>Value Line</w:t>
      </w:r>
      <w:r>
        <w:rPr>
          <w:szCs w:val="26"/>
        </w:rPr>
        <w:t xml:space="preserve"> data </w:t>
      </w:r>
      <w:r w:rsidRPr="00B863AB">
        <w:rPr>
          <w:szCs w:val="26"/>
        </w:rPr>
        <w:t>because</w:t>
      </w:r>
      <w:r>
        <w:rPr>
          <w:szCs w:val="26"/>
        </w:rPr>
        <w:t xml:space="preserve"> unlike </w:t>
      </w:r>
      <w:r>
        <w:rPr>
          <w:i/>
          <w:iCs/>
          <w:szCs w:val="26"/>
        </w:rPr>
        <w:t>Value Line</w:t>
      </w:r>
      <w:r>
        <w:rPr>
          <w:szCs w:val="26"/>
        </w:rPr>
        <w:t xml:space="preserve"> projections, which represent the estimates of a single analyst at a single institution,</w:t>
      </w:r>
      <w:r w:rsidRPr="00B863AB">
        <w:rPr>
          <w:szCs w:val="26"/>
        </w:rPr>
        <w:t xml:space="preserve"> IBES projections generally represent consensus growth estimates by a number of analysts </w:t>
      </w:r>
      <w:r>
        <w:rPr>
          <w:szCs w:val="26"/>
        </w:rPr>
        <w:t xml:space="preserve">from different </w:t>
      </w:r>
      <w:r>
        <w:rPr>
          <w:szCs w:val="26"/>
        </w:rPr>
        <w:lastRenderedPageBreak/>
        <w:t>firm</w:t>
      </w:r>
      <w:r w:rsidR="000F7D71">
        <w:rPr>
          <w:szCs w:val="26"/>
        </w:rPr>
        <w:t>s</w:t>
      </w:r>
      <w:r w:rsidRPr="00B863AB">
        <w:rPr>
          <w:szCs w:val="26"/>
        </w:rPr>
        <w:t>.</w:t>
      </w:r>
      <w:r>
        <w:rPr>
          <w:rStyle w:val="FootnoteReference"/>
          <w:szCs w:val="26"/>
        </w:rPr>
        <w:footnoteReference w:id="119"/>
      </w:r>
      <w:r w:rsidRPr="00B863AB">
        <w:rPr>
          <w:szCs w:val="26"/>
        </w:rPr>
        <w:t xml:space="preserve">  In addition, the Commission noted that IBES growth projections are generally timelier than the </w:t>
      </w:r>
      <w:r w:rsidRPr="00B863AB">
        <w:rPr>
          <w:i/>
          <w:szCs w:val="26"/>
        </w:rPr>
        <w:t>Value Line</w:t>
      </w:r>
      <w:r w:rsidRPr="00B863AB">
        <w:rPr>
          <w:szCs w:val="26"/>
        </w:rPr>
        <w:t xml:space="preserve"> projections because IBES updates its database on a daily basis as participating analysts revise their forecasts, whereas </w:t>
      </w:r>
      <w:r w:rsidRPr="00B863AB">
        <w:rPr>
          <w:i/>
          <w:szCs w:val="26"/>
        </w:rPr>
        <w:t>Value Line</w:t>
      </w:r>
      <w:r w:rsidRPr="00B863AB">
        <w:rPr>
          <w:szCs w:val="26"/>
        </w:rPr>
        <w:t xml:space="preserve"> publishes its projections on a rolling quarterly basis</w:t>
      </w:r>
      <w:r>
        <w:rPr>
          <w:szCs w:val="26"/>
        </w:rPr>
        <w:t>.</w:t>
      </w:r>
      <w:r>
        <w:rPr>
          <w:rStyle w:val="FootnoteReference"/>
          <w:szCs w:val="26"/>
        </w:rPr>
        <w:footnoteReference w:id="120"/>
      </w:r>
    </w:p>
    <w:p w:rsidRPr="00811AB8" w:rsidR="002F5AB7" w:rsidP="00811AB8" w:rsidRDefault="002F5AB7" w14:paraId="19025A44" w14:textId="584B8013">
      <w:pPr>
        <w:pStyle w:val="FERCparanumber"/>
      </w:pPr>
      <w:r w:rsidRPr="00811AB8">
        <w:t xml:space="preserve">In Opinion No 569-A, the Commission affirmed its preference </w:t>
      </w:r>
      <w:r w:rsidR="000F7D71">
        <w:t>for</w:t>
      </w:r>
      <w:r w:rsidRPr="00811AB8">
        <w:t xml:space="preserve"> IBES data for the short-term growth projection in the DCF </w:t>
      </w:r>
      <w:r w:rsidR="005162BF">
        <w:t xml:space="preserve">model </w:t>
      </w:r>
      <w:r w:rsidRPr="00811AB8">
        <w:t>but granted rehearing of its decision to require sole use of IBES data for the DCF component of the CAPM.</w:t>
      </w:r>
      <w:r w:rsidRPr="00811AB8">
        <w:rPr>
          <w:rStyle w:val="FootnoteReference"/>
        </w:rPr>
        <w:footnoteReference w:id="121"/>
      </w:r>
      <w:r w:rsidRPr="00811AB8">
        <w:t xml:space="preserve">  Acknowledging its concerns about </w:t>
      </w:r>
      <w:r w:rsidRPr="00811AB8">
        <w:rPr>
          <w:i/>
        </w:rPr>
        <w:t>Value Line</w:t>
      </w:r>
      <w:r w:rsidRPr="00811AB8">
        <w:t xml:space="preserve"> data as discussed in Opinion No. 569, the Commission nonetheless concluded that use of these estimates will bring value to its revised ROE methodology.  The Commission found that although </w:t>
      </w:r>
      <w:r w:rsidRPr="00811AB8">
        <w:rPr>
          <w:i/>
        </w:rPr>
        <w:t>Value Line</w:t>
      </w:r>
      <w:r w:rsidRPr="00811AB8">
        <w:t xml:space="preserve"> estimates come from a single analyst, they include the input of multiple analysts because they are vetted through internal processes including review by a committee composed of peer analysts.  Similarly, the Commission found that there is value in including </w:t>
      </w:r>
      <w:r w:rsidRPr="00811AB8">
        <w:rPr>
          <w:i/>
        </w:rPr>
        <w:t>Value Line</w:t>
      </w:r>
      <w:r w:rsidRPr="00811AB8">
        <w:t xml:space="preserve"> estimates because they are updated on a more predictable basis than IBES estimates.  The Commission therefore concluded that IBES and </w:t>
      </w:r>
      <w:r w:rsidRPr="00811AB8">
        <w:rPr>
          <w:i/>
        </w:rPr>
        <w:t>Value Line</w:t>
      </w:r>
      <w:r w:rsidRPr="00811AB8">
        <w:t xml:space="preserve"> growth estimates both have advantages and that it is appropriate to consider both data sources in determining public utility ROEs.  In light of the Commission’s longstanding use of IBES data in the DCF</w:t>
      </w:r>
      <w:r w:rsidR="005162BF">
        <w:t xml:space="preserve"> </w:t>
      </w:r>
      <w:r w:rsidR="005162BF">
        <w:lastRenderedPageBreak/>
        <w:t>model</w:t>
      </w:r>
      <w:r w:rsidRPr="00811AB8">
        <w:t xml:space="preserve">, the Commission determined that it was appropriate to </w:t>
      </w:r>
      <w:r w:rsidR="00385586">
        <w:t>consider using</w:t>
      </w:r>
      <w:r w:rsidRPr="00811AB8" w:rsidR="00385586">
        <w:t xml:space="preserve"> </w:t>
      </w:r>
      <w:r w:rsidRPr="00811AB8">
        <w:rPr>
          <w:i/>
        </w:rPr>
        <w:t xml:space="preserve">Value Line </w:t>
      </w:r>
      <w:r w:rsidR="00385586">
        <w:t>in</w:t>
      </w:r>
      <w:r w:rsidRPr="00811AB8">
        <w:t xml:space="preserve"> the newly adopted CAPM.</w:t>
      </w:r>
    </w:p>
    <w:p w:rsidR="002F5AB7" w:rsidP="004E5142" w:rsidRDefault="002F5AB7" w14:paraId="0A4DA59E" w14:textId="77777777">
      <w:pPr>
        <w:pStyle w:val="Heading4"/>
      </w:pPr>
      <w:r>
        <w:t>NOI Comments</w:t>
      </w:r>
    </w:p>
    <w:p w:rsidRPr="00563BBF" w:rsidR="002F5AB7" w:rsidP="002F5AB7" w:rsidRDefault="002F5AB7" w14:paraId="5FD759BD" w14:textId="1443E7B3">
      <w:pPr>
        <w:pStyle w:val="FERCparanumber"/>
        <w:rPr>
          <w:bCs/>
          <w:szCs w:val="26"/>
        </w:rPr>
      </w:pPr>
      <w:r>
        <w:rPr>
          <w:szCs w:val="26"/>
        </w:rPr>
        <w:t xml:space="preserve">Commenters are divided on the data source the Commission should use for the short-term growth projection in pipeline proceedings.  AOPL states that the Commission should allow oil pipelines to use </w:t>
      </w:r>
      <w:r>
        <w:rPr>
          <w:i/>
          <w:iCs/>
          <w:szCs w:val="26"/>
        </w:rPr>
        <w:t xml:space="preserve">Value </w:t>
      </w:r>
      <w:r w:rsidRPr="00B341E0">
        <w:rPr>
          <w:i/>
          <w:iCs/>
          <w:szCs w:val="26"/>
        </w:rPr>
        <w:t>Line</w:t>
      </w:r>
      <w:r>
        <w:rPr>
          <w:szCs w:val="26"/>
        </w:rPr>
        <w:t xml:space="preserve"> projections because </w:t>
      </w:r>
      <w:r w:rsidR="000F7D71">
        <w:rPr>
          <w:szCs w:val="26"/>
        </w:rPr>
        <w:t>they do</w:t>
      </w:r>
      <w:r>
        <w:rPr>
          <w:szCs w:val="26"/>
        </w:rPr>
        <w:t xml:space="preserve"> not overlap with or duplicate IBES</w:t>
      </w:r>
      <w:r w:rsidR="000F7D71">
        <w:rPr>
          <w:szCs w:val="26"/>
        </w:rPr>
        <w:t xml:space="preserve"> projections</w:t>
      </w:r>
      <w:r>
        <w:rPr>
          <w:szCs w:val="26"/>
        </w:rPr>
        <w:t>.</w:t>
      </w:r>
      <w:r>
        <w:rPr>
          <w:rStyle w:val="FootnoteReference"/>
          <w:szCs w:val="26"/>
        </w:rPr>
        <w:footnoteReference w:id="122"/>
      </w:r>
      <w:r>
        <w:rPr>
          <w:szCs w:val="26"/>
        </w:rPr>
        <w:t xml:space="preserve">  INGAA likewise supports use of </w:t>
      </w:r>
      <w:r>
        <w:rPr>
          <w:i/>
          <w:iCs/>
          <w:szCs w:val="26"/>
        </w:rPr>
        <w:t xml:space="preserve">Value </w:t>
      </w:r>
      <w:r w:rsidRPr="00BC595F">
        <w:rPr>
          <w:i/>
          <w:iCs/>
          <w:szCs w:val="26"/>
        </w:rPr>
        <w:t>Line</w:t>
      </w:r>
      <w:r>
        <w:rPr>
          <w:szCs w:val="26"/>
        </w:rPr>
        <w:t xml:space="preserve"> growth estimates to supplement the IBES three to five-year growth projections.</w:t>
      </w:r>
      <w:r>
        <w:rPr>
          <w:rStyle w:val="FootnoteReference"/>
          <w:szCs w:val="26"/>
        </w:rPr>
        <w:footnoteReference w:id="123"/>
      </w:r>
      <w:r>
        <w:rPr>
          <w:szCs w:val="26"/>
        </w:rPr>
        <w:t xml:space="preserve">  In contrast, Magellan, NGSA, and CAPP support the sole use of IBES growth forecasts, with CAPP asserting</w:t>
      </w:r>
      <w:r>
        <w:rPr>
          <w:bCs/>
          <w:szCs w:val="26"/>
        </w:rPr>
        <w:t xml:space="preserve"> that </w:t>
      </w:r>
      <w:r>
        <w:rPr>
          <w:bCs/>
          <w:i/>
          <w:iCs/>
          <w:szCs w:val="26"/>
        </w:rPr>
        <w:t xml:space="preserve">Value Line </w:t>
      </w:r>
      <w:r>
        <w:rPr>
          <w:bCs/>
          <w:szCs w:val="26"/>
        </w:rPr>
        <w:t>is inferior to IBES because it reflects the estimate of a single analyst.</w:t>
      </w:r>
      <w:r>
        <w:rPr>
          <w:rStyle w:val="FootnoteReference"/>
          <w:bCs/>
          <w:szCs w:val="26"/>
        </w:rPr>
        <w:footnoteReference w:id="124"/>
      </w:r>
    </w:p>
    <w:p w:rsidRPr="00A17C75" w:rsidR="002F5AB7" w:rsidP="004E5142" w:rsidRDefault="002F5AB7" w14:paraId="639AA277" w14:textId="77777777">
      <w:pPr>
        <w:pStyle w:val="Heading4"/>
      </w:pPr>
      <w:r w:rsidRPr="00A17C75">
        <w:t>Commission Determination</w:t>
      </w:r>
    </w:p>
    <w:p w:rsidRPr="00FB315D" w:rsidR="002F5AB7" w:rsidP="002F5AB7" w:rsidRDefault="002F5AB7" w14:paraId="3E57A445" w14:textId="637D374F">
      <w:pPr>
        <w:pStyle w:val="FERCparanumber"/>
        <w:rPr>
          <w:szCs w:val="26"/>
        </w:rPr>
      </w:pPr>
      <w:r>
        <w:t xml:space="preserve">With regard to the short-term growth projections in our DCF and CAPM analyses of </w:t>
      </w:r>
      <w:r w:rsidR="0081691A">
        <w:t xml:space="preserve">natural </w:t>
      </w:r>
      <w:r>
        <w:t xml:space="preserve">gas and oil pipelines, we adopt the policy set forth in Opinion No. 569-A.  Therefore, in </w:t>
      </w:r>
      <w:r w:rsidR="0081691A">
        <w:t xml:space="preserve">natural gas and oil pipeline </w:t>
      </w:r>
      <w:r>
        <w:t xml:space="preserve">proceedings we will (1) </w:t>
      </w:r>
      <w:r w:rsidRPr="00FC1FC3">
        <w:t>continue to prefer</w:t>
      </w:r>
      <w:r>
        <w:t xml:space="preserve"> use of IBES three to five-year growth projections as the short-term growth projection in the two-step DCF analysis and (2) allow participants to </w:t>
      </w:r>
      <w:r w:rsidR="00007D8B">
        <w:t xml:space="preserve">propose </w:t>
      </w:r>
      <w:r>
        <w:t>us</w:t>
      </w:r>
      <w:r w:rsidR="00007D8B">
        <w:t>ing</w:t>
      </w:r>
      <w:r>
        <w:t xml:space="preserve"> </w:t>
      </w:r>
      <w:r>
        <w:rPr>
          <w:i/>
          <w:iCs/>
        </w:rPr>
        <w:t>Value Line</w:t>
      </w:r>
      <w:r>
        <w:t xml:space="preserve"> growth </w:t>
      </w:r>
      <w:r>
        <w:lastRenderedPageBreak/>
        <w:t>projections as the source of the short-term growth projection in the one-step DCF analysis embedded within the CAPM.</w:t>
      </w:r>
    </w:p>
    <w:p w:rsidR="002F5AB7" w:rsidP="002F5AB7" w:rsidRDefault="002F5AB7" w14:paraId="7C28D3E1" w14:textId="2378E209">
      <w:pPr>
        <w:pStyle w:val="FERCparanumber"/>
        <w:rPr>
          <w:szCs w:val="26"/>
        </w:rPr>
      </w:pPr>
      <w:r>
        <w:t xml:space="preserve">We reiterate our belief that both IBES and </w:t>
      </w:r>
      <w:r>
        <w:rPr>
          <w:i/>
          <w:iCs/>
        </w:rPr>
        <w:t xml:space="preserve">Value Line </w:t>
      </w:r>
      <w:r>
        <w:t xml:space="preserve">growth estimates have advantages and that it is appropriate to include both data sources in determining ROEs.  As in public utility proceedings, it is beneficial to diversify the data sources used in our revised </w:t>
      </w:r>
      <w:r w:rsidR="005B1CB1">
        <w:t xml:space="preserve">natural </w:t>
      </w:r>
      <w:r>
        <w:t xml:space="preserve">gas and oil pipeline ROE methodology because doing so may </w:t>
      </w:r>
      <w:r w:rsidR="0081596A">
        <w:t xml:space="preserve">better </w:t>
      </w:r>
      <w:r>
        <w:t xml:space="preserve">reflect the data sources that investors consider and mitigate the effect of any unusual data in either source.  Although we have not previously used </w:t>
      </w:r>
      <w:r>
        <w:rPr>
          <w:i/>
          <w:iCs/>
        </w:rPr>
        <w:t xml:space="preserve">Value Line </w:t>
      </w:r>
      <w:r>
        <w:t xml:space="preserve">growth estimates in determining </w:t>
      </w:r>
      <w:r w:rsidR="005B1CB1">
        <w:t xml:space="preserve">natural </w:t>
      </w:r>
      <w:r>
        <w:t xml:space="preserve">gas and oil pipeline ROEs, we believe that including these estimates in our methodology will bring value to our analysis because they are updated on a more predictable basis than IBES estimates </w:t>
      </w:r>
      <w:r w:rsidR="00D8560D">
        <w:t>and</w:t>
      </w:r>
      <w:r>
        <w:t xml:space="preserve"> </w:t>
      </w:r>
      <w:r w:rsidR="00D8560D">
        <w:t>reflect</w:t>
      </w:r>
      <w:r>
        <w:t xml:space="preserve"> the consensus growth estimates of multiple analysts.  By contrast, </w:t>
      </w:r>
      <w:r>
        <w:rPr>
          <w:szCs w:val="26"/>
        </w:rPr>
        <w:t>IBES projections are updated on an irregular basis as analysts revise their forecasts.</w:t>
      </w:r>
    </w:p>
    <w:p w:rsidRPr="002F5AB7" w:rsidR="002F5AB7" w:rsidP="002F5AB7" w:rsidRDefault="002F5AB7" w14:paraId="023E34E6" w14:textId="1B0CC5AF">
      <w:pPr>
        <w:pStyle w:val="FERCparanumber"/>
        <w:rPr>
          <w:szCs w:val="26"/>
        </w:rPr>
      </w:pPr>
      <w:r>
        <w:t xml:space="preserve">Consistent with our policy for public utilities, we </w:t>
      </w:r>
      <w:r w:rsidR="00C70267">
        <w:t>consider</w:t>
      </w:r>
      <w:r>
        <w:t xml:space="preserve"> </w:t>
      </w:r>
      <w:r w:rsidR="00C70267">
        <w:t xml:space="preserve">using </w:t>
      </w:r>
      <w:r w:rsidRPr="002F5AB7">
        <w:rPr>
          <w:i/>
          <w:iCs/>
        </w:rPr>
        <w:t>Value Line</w:t>
      </w:r>
      <w:r>
        <w:t xml:space="preserve"> growth estimates in our revised </w:t>
      </w:r>
      <w:r w:rsidR="005B1CB1">
        <w:t xml:space="preserve">natural </w:t>
      </w:r>
      <w:r>
        <w:t xml:space="preserve">gas and oil pipeline ROE methodology in the CAPM while continuing our longstanding use of IBES three to five-year growth estimates as the source of the short-term growth projection in the DCF.  </w:t>
      </w:r>
      <w:r w:rsidR="007C47A5">
        <w:t>As discussed in Opinion No. 569-A, b</w:t>
      </w:r>
      <w:r>
        <w:t xml:space="preserve">ecause we are newly adopting the CAPM, we find that it is appropriate to </w:t>
      </w:r>
      <w:r w:rsidR="006D3E09">
        <w:t xml:space="preserve">consider using </w:t>
      </w:r>
      <w:r w:rsidR="00937410">
        <w:t xml:space="preserve">a </w:t>
      </w:r>
      <w:r>
        <w:t>new data source within the CAPM.</w:t>
      </w:r>
    </w:p>
    <w:p w:rsidR="002F5AB7" w:rsidP="00B20933" w:rsidRDefault="002F5AB7" w14:paraId="45554DDB" w14:textId="77777777">
      <w:pPr>
        <w:pStyle w:val="Heading3"/>
      </w:pPr>
      <w:r>
        <w:lastRenderedPageBreak/>
        <w:t>Proxy Group Construction</w:t>
      </w:r>
    </w:p>
    <w:p w:rsidRPr="00112593" w:rsidR="002F5AB7" w:rsidP="00B20933" w:rsidRDefault="002F5AB7" w14:paraId="7498B2C8" w14:textId="77777777">
      <w:pPr>
        <w:pStyle w:val="Heading4"/>
      </w:pPr>
      <w:r>
        <w:t>Background</w:t>
      </w:r>
    </w:p>
    <w:p w:rsidR="002F5AB7" w:rsidP="002F5AB7" w:rsidRDefault="002F5AB7" w14:paraId="210F95E6" w14:textId="2A9E4ECF">
      <w:pPr>
        <w:pStyle w:val="FERCparanumber"/>
        <w:rPr>
          <w:szCs w:val="26"/>
        </w:rPr>
      </w:pPr>
      <w:r>
        <w:rPr>
          <w:szCs w:val="26"/>
        </w:rPr>
        <w:t xml:space="preserve">As discussed above, the companies included in a proxy group must be comparable in risk to the pipeline whose rate is being determined.  </w:t>
      </w:r>
      <w:r w:rsidRPr="00A17C75">
        <w:rPr>
          <w:szCs w:val="26"/>
        </w:rPr>
        <w:t>To ensure that companies included in pipeline proxy groups are risk-appropriate, the Commission has required that each proxy group company satisfy three criteria:</w:t>
      </w:r>
      <w:r w:rsidR="00E13115">
        <w:rPr>
          <w:szCs w:val="26"/>
        </w:rPr>
        <w:t xml:space="preserve"> </w:t>
      </w:r>
      <w:r w:rsidRPr="00A17C75">
        <w:rPr>
          <w:szCs w:val="26"/>
        </w:rPr>
        <w:t xml:space="preserve"> (1) the company’s stock must be publicly traded; (2) the company must be recognized as a </w:t>
      </w:r>
      <w:r w:rsidR="005B1CB1">
        <w:rPr>
          <w:szCs w:val="26"/>
        </w:rPr>
        <w:t xml:space="preserve">natural </w:t>
      </w:r>
      <w:r w:rsidRPr="00A17C75">
        <w:rPr>
          <w:szCs w:val="26"/>
        </w:rPr>
        <w:t xml:space="preserve">gas or oil pipeline company and its stock must be recognized and tracked by an investment information service such as </w:t>
      </w:r>
      <w:r w:rsidRPr="00A17C75">
        <w:rPr>
          <w:i/>
          <w:szCs w:val="26"/>
        </w:rPr>
        <w:t>Value Line</w:t>
      </w:r>
      <w:r w:rsidRPr="00A17C75">
        <w:rPr>
          <w:szCs w:val="26"/>
        </w:rPr>
        <w:t>; and (3) pipeline operations must constitute a high proportion of the company’s business.</w:t>
      </w:r>
      <w:r w:rsidRPr="00A17C75">
        <w:rPr>
          <w:rStyle w:val="FootnoteReference"/>
          <w:szCs w:val="26"/>
        </w:rPr>
        <w:footnoteReference w:id="125"/>
      </w:r>
      <w:r w:rsidRPr="00A17C75">
        <w:rPr>
          <w:szCs w:val="26"/>
        </w:rPr>
        <w:t xml:space="preserve">  </w:t>
      </w:r>
      <w:r>
        <w:t>In determining whether a company’s pipeline operations constitute a high proportion of its business, the Commission has historically applied a 50</w:t>
      </w:r>
      <w:r w:rsidRPr="000570C2" w:rsidR="000570C2">
        <w:t>%</w:t>
      </w:r>
      <w:r>
        <w:t xml:space="preserve"> standard requiring that the pipeline business account for, on average, at least 50</w:t>
      </w:r>
      <w:r w:rsidRPr="000570C2" w:rsidR="000570C2">
        <w:t>%</w:t>
      </w:r>
      <w:r>
        <w:t xml:space="preserve"> of the company’s assets or operating income over the most recent three-year period.</w:t>
      </w:r>
      <w:r w:rsidRPr="00A17C75">
        <w:rPr>
          <w:rStyle w:val="FootnoteReference"/>
          <w:szCs w:val="26"/>
        </w:rPr>
        <w:footnoteReference w:id="126"/>
      </w:r>
      <w:r>
        <w:t xml:space="preserve">  </w:t>
      </w:r>
      <w:r>
        <w:rPr>
          <w:szCs w:val="26"/>
        </w:rPr>
        <w:t>Furthermore, i</w:t>
      </w:r>
      <w:r w:rsidRPr="00A17C75">
        <w:rPr>
          <w:szCs w:val="26"/>
        </w:rPr>
        <w:t>n addition to the foregoing criteria, the Commission has declined to include Canadian companies in pipeline proxy groups.</w:t>
      </w:r>
      <w:r w:rsidRPr="00A17C75">
        <w:rPr>
          <w:rStyle w:val="FootnoteReference"/>
          <w:szCs w:val="26"/>
        </w:rPr>
        <w:footnoteReference w:id="127"/>
      </w:r>
      <w:r w:rsidRPr="00A17C75">
        <w:rPr>
          <w:szCs w:val="26"/>
        </w:rPr>
        <w:t xml:space="preserve">  </w:t>
      </w:r>
    </w:p>
    <w:p w:rsidR="002F5AB7" w:rsidP="002F5AB7" w:rsidRDefault="002F5AB7" w14:paraId="6DF65A1D" w14:textId="04C1AB8D">
      <w:pPr>
        <w:pStyle w:val="FERCparanumber"/>
        <w:rPr>
          <w:szCs w:val="26"/>
        </w:rPr>
      </w:pPr>
      <w:r w:rsidRPr="00A17C75">
        <w:rPr>
          <w:szCs w:val="26"/>
        </w:rPr>
        <w:lastRenderedPageBreak/>
        <w:t>The Commission has explained that proxy groups “should consist of at l</w:t>
      </w:r>
      <w:r>
        <w:rPr>
          <w:szCs w:val="26"/>
        </w:rPr>
        <w:t>e</w:t>
      </w:r>
      <w:r w:rsidRPr="00A17C75">
        <w:rPr>
          <w:szCs w:val="26"/>
        </w:rPr>
        <w:t>ast four, and preferably at least five members”</w:t>
      </w:r>
      <w:r w:rsidRPr="00A17C75">
        <w:rPr>
          <w:rStyle w:val="FootnoteReference"/>
          <w:szCs w:val="26"/>
        </w:rPr>
        <w:footnoteReference w:id="128"/>
      </w:r>
      <w:r w:rsidRPr="00A17C75">
        <w:rPr>
          <w:szCs w:val="26"/>
        </w:rPr>
        <w:t xml:space="preserve"> and that pipeline proxy groups should only exceed five members if each additional member satisfies the 50</w:t>
      </w:r>
      <w:r w:rsidRPr="00BD61E2" w:rsidR="00BD61E2">
        <w:rPr>
          <w:szCs w:val="26"/>
        </w:rPr>
        <w:t>%</w:t>
      </w:r>
      <w:r w:rsidRPr="00A17C75">
        <w:rPr>
          <w:szCs w:val="26"/>
        </w:rPr>
        <w:t xml:space="preserve"> standard.</w:t>
      </w:r>
      <w:r w:rsidRPr="00A17C75">
        <w:rPr>
          <w:rStyle w:val="FootnoteReference"/>
          <w:szCs w:val="26"/>
        </w:rPr>
        <w:footnoteReference w:id="129"/>
      </w:r>
      <w:r>
        <w:rPr>
          <w:szCs w:val="26"/>
        </w:rPr>
        <w:t xml:space="preserve">  </w:t>
      </w:r>
      <w:r w:rsidRPr="0070782A">
        <w:rPr>
          <w:szCs w:val="26"/>
        </w:rPr>
        <w:t>At the same time, the Commission has also explained that although “adding more members to the proxy group results in greater statistical accuracy, this is true only if the additional members are appropriately included in the proxy group as representative firms.”</w:t>
      </w:r>
      <w:r w:rsidRPr="0070782A">
        <w:rPr>
          <w:b/>
          <w:szCs w:val="26"/>
          <w:vertAlign w:val="superscript"/>
        </w:rPr>
        <w:footnoteReference w:id="130"/>
      </w:r>
    </w:p>
    <w:p w:rsidRPr="00D34DF9" w:rsidR="002F5AB7" w:rsidP="002F5AB7" w:rsidRDefault="002F5AB7" w14:paraId="1EEC0844" w14:textId="6DE6A480">
      <w:pPr>
        <w:pStyle w:val="FERCparanumber"/>
        <w:rPr>
          <w:szCs w:val="26"/>
        </w:rPr>
      </w:pPr>
      <w:r>
        <w:t>T</w:t>
      </w:r>
      <w:r w:rsidRPr="00A17C75">
        <w:t xml:space="preserve">he number of companies satisfying the Commission’s historical proxy group criteria </w:t>
      </w:r>
      <w:r>
        <w:t xml:space="preserve">in pipeline proceedings </w:t>
      </w:r>
      <w:r w:rsidRPr="00A17C75">
        <w:t xml:space="preserve">has declined in recent years, resulting in </w:t>
      </w:r>
      <w:r>
        <w:t xml:space="preserve">inadequately sized </w:t>
      </w:r>
      <w:r w:rsidRPr="00A17C75">
        <w:t xml:space="preserve">proxy groups.  Consolidation in the </w:t>
      </w:r>
      <w:r w:rsidR="00E96D3F">
        <w:t xml:space="preserve">natural </w:t>
      </w:r>
      <w:r w:rsidRPr="00A17C75">
        <w:t xml:space="preserve">gas and oil pipeline industries has resulted in the absorption of many </w:t>
      </w:r>
      <w:r w:rsidR="00E96D3F">
        <w:t xml:space="preserve">natural </w:t>
      </w:r>
      <w:r w:rsidRPr="00A17C75">
        <w:t>gas and oil pipeline</w:t>
      </w:r>
      <w:r>
        <w:t xml:space="preserve"> companies</w:t>
      </w:r>
      <w:r w:rsidRPr="00A17C75">
        <w:t xml:space="preserve"> into larger, diversified energy </w:t>
      </w:r>
      <w:r>
        <w:t>companies</w:t>
      </w:r>
      <w:r w:rsidRPr="00A17C75">
        <w:t xml:space="preserve"> that own a variety of energy-related assets in addition to interstate pipelines.  In addition, major </w:t>
      </w:r>
      <w:r w:rsidRPr="00C233DA">
        <w:t xml:space="preserve">companies </w:t>
      </w:r>
      <w:r w:rsidRPr="00A17C75">
        <w:t xml:space="preserve">in the oil pipeline industry have </w:t>
      </w:r>
      <w:r>
        <w:t xml:space="preserve">recently </w:t>
      </w:r>
      <w:r w:rsidRPr="00A17C75">
        <w:t xml:space="preserve">acquired </w:t>
      </w:r>
      <w:r w:rsidR="00E96D3F">
        <w:t xml:space="preserve">natural </w:t>
      </w:r>
      <w:r w:rsidRPr="00A17C75">
        <w:t>gas pipeline assets.</w:t>
      </w:r>
      <w:r w:rsidRPr="00A17C75">
        <w:rPr>
          <w:rStyle w:val="FootnoteReference"/>
          <w:szCs w:val="26"/>
        </w:rPr>
        <w:footnoteReference w:id="131"/>
      </w:r>
      <w:r w:rsidRPr="00A17C75">
        <w:t xml:space="preserve">  </w:t>
      </w:r>
      <w:r>
        <w:t xml:space="preserve">The proliferation of </w:t>
      </w:r>
      <w:r w:rsidRPr="00A17C75">
        <w:t xml:space="preserve">these diversified </w:t>
      </w:r>
      <w:r w:rsidRPr="00A17C75">
        <w:lastRenderedPageBreak/>
        <w:t>energy companies</w:t>
      </w:r>
      <w:r>
        <w:t xml:space="preserve"> has reduced the number of companies satisfying the 50</w:t>
      </w:r>
      <w:r w:rsidRPr="00BD61E2" w:rsidR="00BD61E2">
        <w:t>%</w:t>
      </w:r>
      <w:r>
        <w:t xml:space="preserve"> standard.</w:t>
      </w:r>
      <w:r w:rsidRPr="00A17C75">
        <w:t xml:space="preserve">  </w:t>
      </w:r>
      <w:r>
        <w:t>Recent a</w:t>
      </w:r>
      <w:r w:rsidRPr="00A17C75">
        <w:t>cquisitions</w:t>
      </w:r>
      <w:r>
        <w:t xml:space="preserve"> of pipeline companies by private equity firms</w:t>
      </w:r>
      <w:r w:rsidRPr="00A17C75">
        <w:t xml:space="preserve"> have further reduced the number of eligible</w:t>
      </w:r>
      <w:r w:rsidR="00E96D3F">
        <w:t xml:space="preserve"> natural</w:t>
      </w:r>
      <w:r w:rsidRPr="00A17C75">
        <w:t xml:space="preserve"> gas and oil pipeline proxy group members by converting those pipeline companies from publicly traded to privately held entities.</w:t>
      </w:r>
    </w:p>
    <w:p w:rsidRPr="00A17C75" w:rsidR="002F5AB7" w:rsidP="002F5AB7" w:rsidRDefault="002F5AB7" w14:paraId="6005EABF" w14:textId="25C0B881">
      <w:pPr>
        <w:pStyle w:val="FERCparanumber"/>
        <w:rPr>
          <w:szCs w:val="26"/>
        </w:rPr>
      </w:pPr>
      <w:r>
        <w:rPr>
          <w:szCs w:val="26"/>
        </w:rPr>
        <w:t xml:space="preserve">To address the problem of the shrinking </w:t>
      </w:r>
      <w:r w:rsidR="00E96D3F">
        <w:rPr>
          <w:szCs w:val="26"/>
        </w:rPr>
        <w:t xml:space="preserve">natural </w:t>
      </w:r>
      <w:r>
        <w:rPr>
          <w:szCs w:val="26"/>
        </w:rPr>
        <w:t>gas and oil pipeline proxy groups</w:t>
      </w:r>
      <w:r w:rsidRPr="00A17C75">
        <w:rPr>
          <w:szCs w:val="26"/>
        </w:rPr>
        <w:t xml:space="preserve">, the Commission has </w:t>
      </w:r>
      <w:r>
        <w:rPr>
          <w:szCs w:val="26"/>
        </w:rPr>
        <w:t>relaxed</w:t>
      </w:r>
      <w:r w:rsidRPr="00A17C75">
        <w:rPr>
          <w:szCs w:val="26"/>
        </w:rPr>
        <w:t xml:space="preserve"> </w:t>
      </w:r>
      <w:r>
        <w:rPr>
          <w:szCs w:val="26"/>
        </w:rPr>
        <w:t>the 50</w:t>
      </w:r>
      <w:r w:rsidRPr="00BD61E2" w:rsidR="00BD61E2">
        <w:rPr>
          <w:szCs w:val="26"/>
        </w:rPr>
        <w:t>%</w:t>
      </w:r>
      <w:r>
        <w:rPr>
          <w:szCs w:val="26"/>
        </w:rPr>
        <w:t xml:space="preserve"> standard when necessary to construct a proxy group of five members.</w:t>
      </w:r>
      <w:r>
        <w:rPr>
          <w:rStyle w:val="FootnoteReference"/>
          <w:szCs w:val="26"/>
        </w:rPr>
        <w:footnoteReference w:id="132"/>
      </w:r>
      <w:r>
        <w:rPr>
          <w:szCs w:val="26"/>
        </w:rPr>
        <w:t xml:space="preserve">  The Commission has emphasized, however, that it will only include firms not satisfying the 50</w:t>
      </w:r>
      <w:r w:rsidRPr="00BD61E2" w:rsidR="00BD61E2">
        <w:rPr>
          <w:szCs w:val="26"/>
        </w:rPr>
        <w:t>%</w:t>
      </w:r>
      <w:r>
        <w:rPr>
          <w:szCs w:val="26"/>
        </w:rPr>
        <w:t xml:space="preserve"> standard until five proxy group members are obtained.</w:t>
      </w:r>
      <w:r>
        <w:rPr>
          <w:rStyle w:val="FootnoteReference"/>
          <w:szCs w:val="26"/>
        </w:rPr>
        <w:footnoteReference w:id="133"/>
      </w:r>
    </w:p>
    <w:p w:rsidRPr="00904F00" w:rsidR="002F5AB7" w:rsidP="005D6B34" w:rsidRDefault="002F5AB7" w14:paraId="5E0B9D9E" w14:textId="77777777">
      <w:pPr>
        <w:pStyle w:val="Heading4"/>
      </w:pPr>
      <w:r>
        <w:t xml:space="preserve">NOI </w:t>
      </w:r>
      <w:r w:rsidRPr="00904F00">
        <w:t>Comment</w:t>
      </w:r>
      <w:r>
        <w:t>s</w:t>
      </w:r>
    </w:p>
    <w:p w:rsidR="002F5AB7" w:rsidP="002F5AB7" w:rsidRDefault="002F5AB7" w14:paraId="7EAA9661" w14:textId="02541E5D">
      <w:pPr>
        <w:pStyle w:val="FERCparanumber"/>
        <w:rPr>
          <w:bCs/>
        </w:rPr>
      </w:pPr>
      <w:r>
        <w:rPr>
          <w:szCs w:val="26"/>
        </w:rPr>
        <w:t xml:space="preserve">Commenters </w:t>
      </w:r>
      <w:r>
        <w:rPr>
          <w:bCs/>
        </w:rPr>
        <w:t>recognize the ongoing difficulties in forming pipeline proxy groups of sufficient size</w:t>
      </w:r>
      <w:r>
        <w:rPr>
          <w:szCs w:val="26"/>
        </w:rPr>
        <w:t xml:space="preserve"> and support the Commission’s policy of relaxing the 50</w:t>
      </w:r>
      <w:r w:rsidRPr="00BD61E2" w:rsidR="00BD61E2">
        <w:rPr>
          <w:szCs w:val="26"/>
        </w:rPr>
        <w:t>%</w:t>
      </w:r>
      <w:r>
        <w:rPr>
          <w:szCs w:val="26"/>
        </w:rPr>
        <w:t xml:space="preserve"> standard when necessary to obtain five proxy group members.</w:t>
      </w:r>
      <w:r>
        <w:rPr>
          <w:rStyle w:val="FootnoteReference"/>
          <w:bCs/>
        </w:rPr>
        <w:footnoteReference w:id="134"/>
      </w:r>
      <w:r>
        <w:rPr>
          <w:bCs/>
        </w:rPr>
        <w:t xml:space="preserve">  AOPL, INGAA, and Tallgrass </w:t>
      </w:r>
      <w:r>
        <w:rPr>
          <w:bCs/>
        </w:rPr>
        <w:lastRenderedPageBreak/>
        <w:t>assert that the Commission should not apply the 50</w:t>
      </w:r>
      <w:r w:rsidRPr="00BD61E2" w:rsidR="00BD61E2">
        <w:rPr>
          <w:bCs/>
        </w:rPr>
        <w:t>%</w:t>
      </w:r>
      <w:r>
        <w:rPr>
          <w:bCs/>
        </w:rPr>
        <w:t xml:space="preserve"> standard as a rigid screen and continue to allow the inclusion of companies that do not satisfy the 50</w:t>
      </w:r>
      <w:r w:rsidRPr="00BD61E2" w:rsidR="00BD61E2">
        <w:rPr>
          <w:bCs/>
        </w:rPr>
        <w:t>%</w:t>
      </w:r>
      <w:r>
        <w:rPr>
          <w:bCs/>
        </w:rPr>
        <w:t xml:space="preserve"> standard but are nonetheless significantly involved in jurisdictional </w:t>
      </w:r>
      <w:r w:rsidR="00CA3D7F">
        <w:rPr>
          <w:bCs/>
        </w:rPr>
        <w:t xml:space="preserve">natural </w:t>
      </w:r>
      <w:r>
        <w:rPr>
          <w:bCs/>
        </w:rPr>
        <w:t>gas and oil pipeline operations.</w:t>
      </w:r>
      <w:r>
        <w:rPr>
          <w:rStyle w:val="FootnoteReference"/>
          <w:bCs/>
        </w:rPr>
        <w:footnoteReference w:id="135"/>
      </w:r>
      <w:r>
        <w:rPr>
          <w:bCs/>
        </w:rPr>
        <w:t xml:space="preserve">  NGSA and PGC/AF&amp;PA likewise support continued flexibility in the construction of pipeline proxy groups</w:t>
      </w:r>
      <w:r w:rsidRPr="00AD04DD">
        <w:rPr>
          <w:szCs w:val="26"/>
        </w:rPr>
        <w:t>.</w:t>
      </w:r>
      <w:r>
        <w:rPr>
          <w:rStyle w:val="FootnoteReference"/>
          <w:szCs w:val="26"/>
        </w:rPr>
        <w:footnoteReference w:id="136"/>
      </w:r>
      <w:r w:rsidRPr="00AD04DD">
        <w:rPr>
          <w:bCs/>
        </w:rPr>
        <w:t xml:space="preserve">  </w:t>
      </w:r>
    </w:p>
    <w:p w:rsidRPr="00937C82" w:rsidR="002F5AB7" w:rsidP="002F5AB7" w:rsidRDefault="002F5AB7" w14:paraId="7157FB39" w14:textId="433866A5">
      <w:pPr>
        <w:pStyle w:val="FERCparanumber"/>
        <w:rPr>
          <w:bCs/>
        </w:rPr>
      </w:pPr>
      <w:r w:rsidRPr="00AD04DD">
        <w:rPr>
          <w:szCs w:val="26"/>
        </w:rPr>
        <w:t xml:space="preserve">Other commenters urge the Commission to adopt more drastic changes to its proxy group formation policies.  For example, </w:t>
      </w:r>
      <w:r>
        <w:rPr>
          <w:szCs w:val="26"/>
        </w:rPr>
        <w:t>Magellan</w:t>
      </w:r>
      <w:r w:rsidRPr="00AD04DD">
        <w:rPr>
          <w:szCs w:val="26"/>
        </w:rPr>
        <w:t xml:space="preserve"> state</w:t>
      </w:r>
      <w:r>
        <w:rPr>
          <w:szCs w:val="26"/>
        </w:rPr>
        <w:t>s</w:t>
      </w:r>
      <w:r w:rsidRPr="00AD04DD">
        <w:rPr>
          <w:szCs w:val="26"/>
        </w:rPr>
        <w:t xml:space="preserve"> that the Commission should allow the inclusion of risk-appropriate non-energy companies in </w:t>
      </w:r>
      <w:r w:rsidR="00CA3D7F">
        <w:rPr>
          <w:szCs w:val="26"/>
        </w:rPr>
        <w:t xml:space="preserve">natural </w:t>
      </w:r>
      <w:r>
        <w:rPr>
          <w:szCs w:val="26"/>
        </w:rPr>
        <w:t xml:space="preserve">gas and oil pipeline </w:t>
      </w:r>
      <w:r w:rsidRPr="00AD04DD">
        <w:rPr>
          <w:szCs w:val="26"/>
        </w:rPr>
        <w:t>proxy groups</w:t>
      </w:r>
      <w:r>
        <w:rPr>
          <w:rStyle w:val="FootnoteReference"/>
          <w:szCs w:val="26"/>
        </w:rPr>
        <w:footnoteReference w:id="137"/>
      </w:r>
      <w:r>
        <w:rPr>
          <w:szCs w:val="26"/>
        </w:rPr>
        <w:t xml:space="preserve"> while </w:t>
      </w:r>
      <w:r w:rsidRPr="00DB1CAA">
        <w:rPr>
          <w:bCs/>
        </w:rPr>
        <w:t xml:space="preserve">APGA recommends </w:t>
      </w:r>
      <w:r>
        <w:rPr>
          <w:bCs/>
        </w:rPr>
        <w:t>permitting the inclusion of</w:t>
      </w:r>
      <w:r w:rsidRPr="00DB1CAA">
        <w:rPr>
          <w:bCs/>
        </w:rPr>
        <w:t xml:space="preserve"> natural gas distributors</w:t>
      </w:r>
      <w:r>
        <w:rPr>
          <w:bCs/>
        </w:rPr>
        <w:t>.</w:t>
      </w:r>
      <w:r>
        <w:rPr>
          <w:rStyle w:val="FootnoteReference"/>
          <w:bCs/>
        </w:rPr>
        <w:footnoteReference w:id="138"/>
      </w:r>
      <w:r w:rsidRPr="00AD04DD">
        <w:rPr>
          <w:szCs w:val="26"/>
        </w:rPr>
        <w:t xml:space="preserve">  </w:t>
      </w:r>
      <w:r>
        <w:rPr>
          <w:szCs w:val="26"/>
        </w:rPr>
        <w:t xml:space="preserve">INGAA proposes several additional changes to the Commission’s </w:t>
      </w:r>
      <w:r w:rsidR="00CA3D7F">
        <w:rPr>
          <w:szCs w:val="26"/>
        </w:rPr>
        <w:t xml:space="preserve">natural </w:t>
      </w:r>
      <w:r>
        <w:rPr>
          <w:szCs w:val="26"/>
        </w:rPr>
        <w:t>gas pipeline proxy group policy,</w:t>
      </w:r>
      <w:r>
        <w:rPr>
          <w:rStyle w:val="FootnoteReference"/>
          <w:szCs w:val="26"/>
        </w:rPr>
        <w:footnoteReference w:id="139"/>
      </w:r>
      <w:r>
        <w:rPr>
          <w:szCs w:val="26"/>
        </w:rPr>
        <w:t xml:space="preserve"> including allowing for the inclusion of risk-comparable Canadian companies with significant U.S. interstate </w:t>
      </w:r>
      <w:r w:rsidR="00CA3D7F">
        <w:rPr>
          <w:szCs w:val="26"/>
        </w:rPr>
        <w:t xml:space="preserve">natural </w:t>
      </w:r>
      <w:r>
        <w:rPr>
          <w:szCs w:val="26"/>
        </w:rPr>
        <w:t xml:space="preserve">gas pipeline </w:t>
      </w:r>
      <w:r>
        <w:rPr>
          <w:szCs w:val="26"/>
        </w:rPr>
        <w:lastRenderedPageBreak/>
        <w:t xml:space="preserve">assets in </w:t>
      </w:r>
      <w:r w:rsidR="00CA3D7F">
        <w:rPr>
          <w:szCs w:val="26"/>
        </w:rPr>
        <w:t xml:space="preserve">natural </w:t>
      </w:r>
      <w:r>
        <w:rPr>
          <w:szCs w:val="26"/>
        </w:rPr>
        <w:t>gas pipeline proxy groups.</w:t>
      </w:r>
      <w:r>
        <w:rPr>
          <w:rStyle w:val="FootnoteReference"/>
          <w:szCs w:val="26"/>
        </w:rPr>
        <w:footnoteReference w:id="140"/>
      </w:r>
      <w:r>
        <w:rPr>
          <w:szCs w:val="26"/>
        </w:rPr>
        <w:t xml:space="preserve">  NGSA also supports this proposal</w:t>
      </w:r>
      <w:r w:rsidRPr="00A17C75">
        <w:rPr>
          <w:szCs w:val="26"/>
        </w:rPr>
        <w:t>.</w:t>
      </w:r>
      <w:r>
        <w:rPr>
          <w:rStyle w:val="FootnoteReference"/>
          <w:szCs w:val="26"/>
        </w:rPr>
        <w:footnoteReference w:id="141"/>
      </w:r>
      <w:r>
        <w:rPr>
          <w:bCs/>
        </w:rPr>
        <w:t xml:space="preserve">  Moreover, </w:t>
      </w:r>
      <w:r w:rsidRPr="00DB1CAA">
        <w:rPr>
          <w:bCs/>
        </w:rPr>
        <w:t xml:space="preserve">INGAA and Tallgrass </w:t>
      </w:r>
      <w:r>
        <w:rPr>
          <w:bCs/>
        </w:rPr>
        <w:t>propose</w:t>
      </w:r>
      <w:r w:rsidRPr="00DB1CAA">
        <w:rPr>
          <w:bCs/>
        </w:rPr>
        <w:t xml:space="preserve"> </w:t>
      </w:r>
      <w:r>
        <w:rPr>
          <w:bCs/>
        </w:rPr>
        <w:t>using</w:t>
      </w:r>
      <w:r w:rsidRPr="00DB1CAA">
        <w:rPr>
          <w:bCs/>
        </w:rPr>
        <w:t xml:space="preserve"> the financial metric “beta” to </w:t>
      </w:r>
      <w:r w:rsidRPr="00915B07">
        <w:rPr>
          <w:bCs/>
        </w:rPr>
        <w:t>assist in determining whether potential proxy group members are comparable in risk to the pipeline at issue</w:t>
      </w:r>
      <w:r w:rsidRPr="00DB1CAA">
        <w:rPr>
          <w:bCs/>
        </w:rPr>
        <w:t>.</w:t>
      </w:r>
      <w:r>
        <w:rPr>
          <w:rStyle w:val="FootnoteReference"/>
          <w:bCs/>
        </w:rPr>
        <w:footnoteReference w:id="142"/>
      </w:r>
    </w:p>
    <w:p w:rsidRPr="00A17C75" w:rsidR="002F5AB7" w:rsidP="00C11CC2" w:rsidRDefault="002F5AB7" w14:paraId="574DC0CD" w14:textId="77777777">
      <w:pPr>
        <w:pStyle w:val="Heading4"/>
      </w:pPr>
      <w:r>
        <w:t>Commission Determination</w:t>
      </w:r>
    </w:p>
    <w:p w:rsidR="002F5AB7" w:rsidP="002F5AB7" w:rsidRDefault="002F5AB7" w14:paraId="5CEA657E" w14:textId="474F61C2">
      <w:pPr>
        <w:pStyle w:val="FERCparanumber"/>
        <w:rPr>
          <w:szCs w:val="26"/>
        </w:rPr>
      </w:pPr>
      <w:r>
        <w:t xml:space="preserve">Based on our review of our current policy and upon consideration of the comments to the NOI, we will maintain a flexible approach to forming </w:t>
      </w:r>
      <w:r w:rsidR="00CA3D7F">
        <w:t xml:space="preserve">natural </w:t>
      </w:r>
      <w:r>
        <w:t xml:space="preserve">gas and oil pipeline proxy groups and continue to relax </w:t>
      </w:r>
      <w:r>
        <w:rPr>
          <w:szCs w:val="26"/>
        </w:rPr>
        <w:t>the 50</w:t>
      </w:r>
      <w:r w:rsidR="00BD0218">
        <w:rPr>
          <w:szCs w:val="26"/>
        </w:rPr>
        <w:t>%</w:t>
      </w:r>
      <w:r>
        <w:rPr>
          <w:szCs w:val="26"/>
        </w:rPr>
        <w:t xml:space="preserve">  standard when necessary to obtain a proxy group of five members</w:t>
      </w:r>
      <w:r>
        <w:t xml:space="preserve">.  </w:t>
      </w:r>
      <w:bookmarkStart w:name="_Hlk39740517" w:id="5"/>
      <w:r>
        <w:t xml:space="preserve">In addition, we clarify that in light of continuing difficulties in forming sufficiently sized </w:t>
      </w:r>
      <w:r w:rsidR="00CA3D7F">
        <w:t xml:space="preserve">natural </w:t>
      </w:r>
      <w:r>
        <w:t>gas and oil pipeline proxy groups, we will consider proposals to include otherwise-eligible Canadian entities.</w:t>
      </w:r>
      <w:bookmarkEnd w:id="5"/>
      <w:r w:rsidRPr="0032095E" w:rsidR="0032095E">
        <w:rPr>
          <w:b/>
          <w:vertAlign w:val="superscript"/>
        </w:rPr>
        <w:footnoteReference w:id="143"/>
      </w:r>
      <w:r w:rsidR="00222B83">
        <w:t xml:space="preserve">  </w:t>
      </w:r>
      <w:r w:rsidRPr="00222B83" w:rsidR="00222B83">
        <w:t>We recognize that difficulties in forming a proxy group of sufficient size may be enhanced under current market conditions, including those resulting from the COVID-19 pandemic.  In light of these conditions, the Commission will consider adjustments to our ROE policies where necessary.</w:t>
      </w:r>
      <w:r w:rsidR="00F87B22">
        <w:rPr>
          <w:rStyle w:val="FootnoteReference"/>
        </w:rPr>
        <w:footnoteReference w:id="144"/>
      </w:r>
    </w:p>
    <w:p w:rsidR="00F4389C" w:rsidP="00F4389C" w:rsidRDefault="002F5AB7" w14:paraId="2D0CD96B" w14:textId="6BF00297">
      <w:pPr>
        <w:pStyle w:val="FERCparanumber"/>
        <w:rPr>
          <w:szCs w:val="26"/>
        </w:rPr>
      </w:pPr>
      <w:r>
        <w:rPr>
          <w:szCs w:val="26"/>
        </w:rPr>
        <w:lastRenderedPageBreak/>
        <w:t xml:space="preserve">As discussed above, the problem of the shrinking pipeline proxy groups persists due to, among other issues, the consolidation of pure play </w:t>
      </w:r>
      <w:r w:rsidR="00CA3D7F">
        <w:rPr>
          <w:szCs w:val="26"/>
        </w:rPr>
        <w:t xml:space="preserve">natural </w:t>
      </w:r>
      <w:r>
        <w:rPr>
          <w:szCs w:val="26"/>
        </w:rPr>
        <w:t>gas and oil pipelines into diversified energy companies and acquisitions of pipeline companies by private firms.  These developments have reduced the number of publicly traded companies eligible for inclusion in a proxy group under the Commission’s historic</w:t>
      </w:r>
      <w:r w:rsidR="004D7064">
        <w:rPr>
          <w:szCs w:val="26"/>
        </w:rPr>
        <w:t>al</w:t>
      </w:r>
      <w:r>
        <w:rPr>
          <w:szCs w:val="26"/>
        </w:rPr>
        <w:t xml:space="preserve"> criteria, making it difficult for the Commission to develop an adequate sample of representative firms to estimate a pipeline’s required cost of equity.  As such, we will continue to apply the 50</w:t>
      </w:r>
      <w:r w:rsidR="00BD0218">
        <w:rPr>
          <w:szCs w:val="26"/>
        </w:rPr>
        <w:t>%</w:t>
      </w:r>
      <w:r>
        <w:rPr>
          <w:szCs w:val="26"/>
        </w:rPr>
        <w:t xml:space="preserve">  standard flexibly, based on the record evidence and in accordance with the Commission’s past practice, when necessary to construct a proxy group of at least five members.</w:t>
      </w:r>
      <w:r w:rsidRPr="00C351DD">
        <w:rPr>
          <w:szCs w:val="26"/>
        </w:rPr>
        <w:t xml:space="preserve">  </w:t>
      </w:r>
    </w:p>
    <w:p w:rsidR="00F4389C" w:rsidP="00F4389C" w:rsidRDefault="002F5AB7" w14:paraId="313F034E" w14:textId="79C7C12B">
      <w:pPr>
        <w:pStyle w:val="FERCparanumber"/>
        <w:rPr>
          <w:szCs w:val="26"/>
        </w:rPr>
      </w:pPr>
      <w:r w:rsidRPr="00F4389C">
        <w:rPr>
          <w:szCs w:val="26"/>
        </w:rPr>
        <w:t xml:space="preserve">In addition, we find that the NOI comments advance credible reasons why it may be appropriate to permit the inclusion of Canadian entities in </w:t>
      </w:r>
      <w:r w:rsidR="00CA3D7F">
        <w:rPr>
          <w:szCs w:val="26"/>
        </w:rPr>
        <w:t xml:space="preserve">natural </w:t>
      </w:r>
      <w:r w:rsidRPr="00F4389C">
        <w:rPr>
          <w:szCs w:val="26"/>
        </w:rPr>
        <w:t xml:space="preserve">gas and oil pipeline proxy groups.  Extending proxy group eligibility to such entities could alleviate the shrinking proxy group problem by adding new potential proxy group members.  As explained above, the Commission has previously excluded companies from pipeline proxy groups based on concerns that the fact that such entities are subject to Canadian regulation and Canadian capital markets makes it difficult to establish whether they are </w:t>
      </w:r>
      <w:r w:rsidRPr="00F4389C">
        <w:rPr>
          <w:szCs w:val="26"/>
        </w:rPr>
        <w:lastRenderedPageBreak/>
        <w:t>comparable in risk to Commission-regulated pipelines.</w:t>
      </w:r>
      <w:r>
        <w:rPr>
          <w:rStyle w:val="FootnoteReference"/>
          <w:szCs w:val="26"/>
        </w:rPr>
        <w:footnoteReference w:id="145"/>
      </w:r>
      <w:r w:rsidRPr="00F4389C">
        <w:rPr>
          <w:szCs w:val="26"/>
        </w:rPr>
        <w:t xml:space="preserve">  We note, however, that considerations underlying those decisions may have changed since the Commission established that policy.</w:t>
      </w:r>
      <w:r>
        <w:rPr>
          <w:rStyle w:val="FootnoteReference"/>
          <w:szCs w:val="26"/>
        </w:rPr>
        <w:footnoteReference w:id="146"/>
      </w:r>
      <w:r w:rsidRPr="00F4389C">
        <w:rPr>
          <w:szCs w:val="26"/>
        </w:rPr>
        <w:t xml:space="preserve">  Therefore, in future </w:t>
      </w:r>
      <w:r w:rsidR="00CA3D7F">
        <w:rPr>
          <w:szCs w:val="26"/>
        </w:rPr>
        <w:t xml:space="preserve">natural </w:t>
      </w:r>
      <w:r w:rsidRPr="00F4389C">
        <w:rPr>
          <w:szCs w:val="26"/>
        </w:rPr>
        <w:t>gas and oil pipeline proceedings, we will consider proposals to include in the proxy group risk-appropriate Canadian entities that otherwise satisfy the Commission’s proxy group eligibility requirements.</w:t>
      </w:r>
    </w:p>
    <w:p w:rsidRPr="00F4389C" w:rsidR="00F4389C" w:rsidP="00C11CC2" w:rsidRDefault="00243CAA" w14:paraId="6CCBCC88" w14:textId="269D323D">
      <w:pPr>
        <w:pStyle w:val="Heading2"/>
      </w:pPr>
      <w:r>
        <w:t>Excluded Financial Models</w:t>
      </w:r>
    </w:p>
    <w:p w:rsidR="0077482F" w:rsidP="00C11CC2" w:rsidRDefault="0077482F" w14:paraId="22A1259B" w14:textId="7C7B2657">
      <w:pPr>
        <w:pStyle w:val="Heading3"/>
      </w:pPr>
      <w:r>
        <w:t>Risk Premium</w:t>
      </w:r>
    </w:p>
    <w:p w:rsidR="003D0FD1" w:rsidP="00C11CC2" w:rsidRDefault="003D0FD1" w14:paraId="10AA51C8" w14:textId="392B25A5">
      <w:pPr>
        <w:pStyle w:val="Heading4"/>
      </w:pPr>
      <w:r w:rsidRPr="00A17C75">
        <w:t>Background</w:t>
      </w:r>
    </w:p>
    <w:p w:rsidR="009604B4" w:rsidP="009604B4" w:rsidRDefault="009604B4" w14:paraId="35956C1F" w14:textId="359EE959">
      <w:pPr>
        <w:pStyle w:val="FERCparanumber"/>
      </w:pPr>
      <w:r>
        <w:t>In Opinion No. 569, the Commission</w:t>
      </w:r>
      <w:r w:rsidR="00D4434B">
        <w:t xml:space="preserve"> excluded </w:t>
      </w:r>
      <w:r w:rsidR="004B44FF">
        <w:t xml:space="preserve">the </w:t>
      </w:r>
      <w:r>
        <w:t xml:space="preserve">Risk Premium </w:t>
      </w:r>
      <w:r w:rsidR="004B44FF">
        <w:t xml:space="preserve">model </w:t>
      </w:r>
      <w:r w:rsidR="00D4434B">
        <w:t xml:space="preserve">from its revised ROE methodology for </w:t>
      </w:r>
      <w:r w:rsidR="00446B86">
        <w:t>public</w:t>
      </w:r>
      <w:r w:rsidR="00D4434B">
        <w:t xml:space="preserve"> utilities</w:t>
      </w:r>
      <w:r>
        <w:t>.</w:t>
      </w:r>
      <w:r w:rsidR="001058F3">
        <w:rPr>
          <w:rStyle w:val="FootnoteReference"/>
        </w:rPr>
        <w:footnoteReference w:id="147"/>
      </w:r>
      <w:r>
        <w:t xml:space="preserve">  The Commission found that </w:t>
      </w:r>
      <w:r w:rsidR="004B44FF">
        <w:t xml:space="preserve">the </w:t>
      </w:r>
      <w:r w:rsidRPr="006A7841">
        <w:t xml:space="preserve">Risk </w:t>
      </w:r>
      <w:r w:rsidRPr="006A7841">
        <w:lastRenderedPageBreak/>
        <w:t>Premium</w:t>
      </w:r>
      <w:r w:rsidR="004B44FF">
        <w:t xml:space="preserve"> model</w:t>
      </w:r>
      <w:r w:rsidRPr="006A7841">
        <w:t xml:space="preserve"> is largely redundant with the CAPM</w:t>
      </w:r>
      <w:r w:rsidR="001058F3">
        <w:t xml:space="preserve"> because</w:t>
      </w:r>
      <w:r w:rsidR="004B44FF">
        <w:t>,</w:t>
      </w:r>
      <w:r>
        <w:t xml:space="preserve"> a</w:t>
      </w:r>
      <w:r w:rsidRPr="006A7841">
        <w:t xml:space="preserve">lthough they rely on different data sources to determine the risk premium, both models use indirect measures (i.e., past Commission orders in </w:t>
      </w:r>
      <w:r w:rsidR="004B44FF">
        <w:t xml:space="preserve">the </w:t>
      </w:r>
      <w:r w:rsidRPr="006A7841">
        <w:t>Risk Premium</w:t>
      </w:r>
      <w:r w:rsidR="004B44FF">
        <w:t xml:space="preserve"> model</w:t>
      </w:r>
      <w:r w:rsidRPr="006A7841">
        <w:t xml:space="preserve"> and S&amp;P 500 data in the CAPM) to ascertain the risk premium that investors require over the risk-free rate of return</w:t>
      </w:r>
      <w:r>
        <w:t>.</w:t>
      </w:r>
      <w:r w:rsidR="001058F3">
        <w:rPr>
          <w:rStyle w:val="FootnoteReference"/>
        </w:rPr>
        <w:footnoteReference w:id="148"/>
      </w:r>
      <w:r>
        <w:t xml:space="preserve">  The Commission also </w:t>
      </w:r>
      <w:r w:rsidR="001058F3">
        <w:t>found</w:t>
      </w:r>
      <w:r w:rsidRPr="00375C72">
        <w:t xml:space="preserve"> that </w:t>
      </w:r>
      <w:r w:rsidR="004B44FF">
        <w:t xml:space="preserve">the </w:t>
      </w:r>
      <w:r w:rsidRPr="00375C72">
        <w:t xml:space="preserve">Risk Premium </w:t>
      </w:r>
      <w:r w:rsidR="004B44FF">
        <w:t xml:space="preserve">model </w:t>
      </w:r>
      <w:r w:rsidRPr="00375C72">
        <w:t>is likely to provide a less accurate current cost</w:t>
      </w:r>
      <w:r w:rsidR="001058F3">
        <w:t>-</w:t>
      </w:r>
      <w:r w:rsidRPr="00375C72">
        <w:t>of</w:t>
      </w:r>
      <w:r w:rsidR="001058F3">
        <w:t>-</w:t>
      </w:r>
      <w:r w:rsidRPr="00375C72">
        <w:t xml:space="preserve">equity estimate than the DCF </w:t>
      </w:r>
      <w:r w:rsidR="004B44FF">
        <w:t xml:space="preserve">model </w:t>
      </w:r>
      <w:r w:rsidRPr="00375C72">
        <w:t xml:space="preserve">or CAPM because </w:t>
      </w:r>
      <w:r w:rsidR="001058F3">
        <w:t xml:space="preserve">whereas those models apply a market-based method to primary data, </w:t>
      </w:r>
      <w:r w:rsidR="004B44FF">
        <w:t xml:space="preserve">the </w:t>
      </w:r>
      <w:r w:rsidR="001058F3">
        <w:t>Risk Premium</w:t>
      </w:r>
      <w:r w:rsidR="004B44FF">
        <w:t xml:space="preserve"> model</w:t>
      </w:r>
      <w:r w:rsidRPr="00375C72">
        <w:t xml:space="preserve"> relies on previous ROE determinations</w:t>
      </w:r>
      <w:r w:rsidR="001058F3">
        <w:t xml:space="preserve"> </w:t>
      </w:r>
      <w:r w:rsidRPr="00375C72">
        <w:t>whose resulting ROE may not necessarily be directly determined by a market-based method</w:t>
      </w:r>
      <w:r>
        <w:t>.</w:t>
      </w:r>
      <w:r w:rsidR="001058F3">
        <w:rPr>
          <w:rStyle w:val="FootnoteReference"/>
        </w:rPr>
        <w:footnoteReference w:id="149"/>
      </w:r>
      <w:r>
        <w:t xml:space="preserve"> </w:t>
      </w:r>
    </w:p>
    <w:p w:rsidRPr="002E226A" w:rsidR="002E226A" w:rsidP="000C3586" w:rsidRDefault="000B611B" w14:paraId="3FADCC1B" w14:textId="63F60FC0">
      <w:pPr>
        <w:pStyle w:val="FERCparanumber"/>
      </w:pPr>
      <w:r>
        <w:rPr>
          <w:szCs w:val="26"/>
        </w:rPr>
        <w:t>In Opinion No. 569-A, the Commission granted rehearing and adopted a modified Risk Premium</w:t>
      </w:r>
      <w:r w:rsidR="00791672">
        <w:rPr>
          <w:szCs w:val="26"/>
        </w:rPr>
        <w:t xml:space="preserve"> model</w:t>
      </w:r>
      <w:r>
        <w:rPr>
          <w:szCs w:val="26"/>
        </w:rPr>
        <w:t xml:space="preserve"> for use in ROE analyses under FPA section 206.  </w:t>
      </w:r>
      <w:r>
        <w:t>Unlike the Risk Premium model discussed in Opinion No. 569, the modified Risk Premium model excludes problematic cases from the analysis, such as those where an entity joined a Regional Transmission Organization (RTO)</w:t>
      </w:r>
      <w:r w:rsidR="00946F66">
        <w:t>,</w:t>
      </w:r>
      <w:r>
        <w:t xml:space="preserve"> and the Commission, without reexamination, allowed adoption of the existing RTO-wide ROE</w:t>
      </w:r>
      <w:r w:rsidRPr="000C1BDA">
        <w:t>.</w:t>
      </w:r>
      <w:r w:rsidRPr="000C1BDA" w:rsidR="0096599D">
        <w:rPr>
          <w:szCs w:val="26"/>
        </w:rPr>
        <w:t xml:space="preserve"> </w:t>
      </w:r>
      <w:r w:rsidRPr="000C1BDA">
        <w:rPr>
          <w:szCs w:val="26"/>
        </w:rPr>
        <w:t xml:space="preserve"> </w:t>
      </w:r>
      <w:r w:rsidRPr="00B20933" w:rsidR="000C3586">
        <w:rPr>
          <w:szCs w:val="26"/>
        </w:rPr>
        <w:t>T</w:t>
      </w:r>
      <w:r w:rsidRPr="00B20933" w:rsidR="0096599D">
        <w:rPr>
          <w:szCs w:val="26"/>
        </w:rPr>
        <w:t xml:space="preserve">he Commission </w:t>
      </w:r>
      <w:r w:rsidRPr="00B20933" w:rsidR="000C3586">
        <w:rPr>
          <w:szCs w:val="26"/>
        </w:rPr>
        <w:t>explained</w:t>
      </w:r>
      <w:r w:rsidRPr="00B20933" w:rsidR="0096599D">
        <w:rPr>
          <w:szCs w:val="26"/>
        </w:rPr>
        <w:t xml:space="preserve"> that</w:t>
      </w:r>
      <w:r w:rsidR="000C1BDA">
        <w:rPr>
          <w:szCs w:val="26"/>
        </w:rPr>
        <w:t>, as modified,</w:t>
      </w:r>
      <w:r w:rsidR="00791672">
        <w:rPr>
          <w:szCs w:val="26"/>
        </w:rPr>
        <w:t xml:space="preserve"> the</w:t>
      </w:r>
      <w:r w:rsidR="000C1BDA">
        <w:rPr>
          <w:szCs w:val="26"/>
        </w:rPr>
        <w:t xml:space="preserve"> Risk Premium</w:t>
      </w:r>
      <w:r w:rsidR="00791672">
        <w:rPr>
          <w:szCs w:val="26"/>
        </w:rPr>
        <w:t xml:space="preserve"> model</w:t>
      </w:r>
      <w:r w:rsidR="000C1BDA">
        <w:rPr>
          <w:szCs w:val="26"/>
        </w:rPr>
        <w:t xml:space="preserve"> adds</w:t>
      </w:r>
      <w:r w:rsidRPr="00B20933" w:rsidR="0096599D">
        <w:rPr>
          <w:szCs w:val="26"/>
        </w:rPr>
        <w:t xml:space="preserve"> </w:t>
      </w:r>
      <w:r w:rsidR="000C1BDA">
        <w:rPr>
          <w:szCs w:val="26"/>
        </w:rPr>
        <w:t>benefits to the ROE analysis through model diversity and reduced volatility that outweigh the disadvantages identified in Opinion No. 569.</w:t>
      </w:r>
      <w:r w:rsidR="000C1BDA">
        <w:rPr>
          <w:rStyle w:val="FootnoteReference"/>
          <w:szCs w:val="26"/>
        </w:rPr>
        <w:footnoteReference w:id="150"/>
      </w:r>
    </w:p>
    <w:p w:rsidR="00631772" w:rsidP="00B20933" w:rsidRDefault="00631772" w14:paraId="16A71F51" w14:textId="389C2ED0">
      <w:pPr>
        <w:pStyle w:val="Heading4"/>
      </w:pPr>
      <w:r>
        <w:lastRenderedPageBreak/>
        <w:t>NOI Comments</w:t>
      </w:r>
    </w:p>
    <w:p w:rsidRPr="00631772" w:rsidR="00631772" w:rsidP="00631772" w:rsidRDefault="003F139C" w14:paraId="5ABCAA04" w14:textId="32D9902F">
      <w:pPr>
        <w:pStyle w:val="FERCparanumber"/>
      </w:pPr>
      <w:r>
        <w:t xml:space="preserve">INGAA, </w:t>
      </w:r>
      <w:r w:rsidR="00796CFE">
        <w:t xml:space="preserve">AOPL, </w:t>
      </w:r>
      <w:r>
        <w:t>NGSA, and CAPP assert that</w:t>
      </w:r>
      <w:r w:rsidR="00631772">
        <w:t xml:space="preserve"> </w:t>
      </w:r>
      <w:r w:rsidR="00791672">
        <w:t xml:space="preserve">the </w:t>
      </w:r>
      <w:r w:rsidR="00631772">
        <w:t xml:space="preserve">Risk Premium </w:t>
      </w:r>
      <w:r w:rsidR="00791672">
        <w:t xml:space="preserve">model </w:t>
      </w:r>
      <w:r>
        <w:t>cannot be applied to</w:t>
      </w:r>
      <w:r w:rsidR="00631772">
        <w:t xml:space="preserve"> </w:t>
      </w:r>
      <w:r w:rsidR="00791672">
        <w:t xml:space="preserve">natural </w:t>
      </w:r>
      <w:r w:rsidR="00631772">
        <w:t>gas and oil pipelines</w:t>
      </w:r>
      <w:r>
        <w:t xml:space="preserve"> in light of the lack of stated allowed ROEs from settlements or Commission decisions in pipeline proceedings</w:t>
      </w:r>
      <w:r w:rsidR="00631772">
        <w:t xml:space="preserve">.  </w:t>
      </w:r>
      <w:r>
        <w:t xml:space="preserve">Because </w:t>
      </w:r>
      <w:r w:rsidR="00791672">
        <w:t xml:space="preserve">the </w:t>
      </w:r>
      <w:r>
        <w:t>Risk Premium</w:t>
      </w:r>
      <w:r w:rsidR="00791672">
        <w:t xml:space="preserve"> model</w:t>
      </w:r>
      <w:r>
        <w:t xml:space="preserve"> relies upon Commission-allowed ROEs to estimate the equity risk premium, these commenters</w:t>
      </w:r>
      <w:r w:rsidR="009670F7">
        <w:t xml:space="preserve"> </w:t>
      </w:r>
      <w:r w:rsidR="00825759">
        <w:t>state</w:t>
      </w:r>
      <w:r w:rsidR="009670F7">
        <w:t xml:space="preserve"> that it would be difficult, if not impossible, to apply this model in pipeline cases</w:t>
      </w:r>
      <w:r w:rsidR="00631772">
        <w:t>.</w:t>
      </w:r>
      <w:r w:rsidR="00631772">
        <w:rPr>
          <w:rStyle w:val="FootnoteReference"/>
        </w:rPr>
        <w:footnoteReference w:id="151"/>
      </w:r>
    </w:p>
    <w:p w:rsidRPr="00A17C75" w:rsidR="003D0FD1" w:rsidP="00B20933" w:rsidRDefault="003D0FD1" w14:paraId="1117053C" w14:textId="38A7C115">
      <w:pPr>
        <w:pStyle w:val="Heading4"/>
      </w:pPr>
      <w:r w:rsidRPr="00A17C75">
        <w:t>Commission Determination</w:t>
      </w:r>
    </w:p>
    <w:p w:rsidR="0070012F" w:rsidP="00EB7414" w:rsidRDefault="004160EC" w14:paraId="6462652C" w14:textId="467D83A9">
      <w:pPr>
        <w:pStyle w:val="FERCparanumber"/>
        <w:rPr>
          <w:szCs w:val="26"/>
        </w:rPr>
      </w:pPr>
      <w:r>
        <w:rPr>
          <w:szCs w:val="26"/>
        </w:rPr>
        <w:t>We</w:t>
      </w:r>
      <w:r w:rsidRPr="00A17C75" w:rsidR="008D5B9F">
        <w:rPr>
          <w:szCs w:val="26"/>
        </w:rPr>
        <w:t xml:space="preserve"> </w:t>
      </w:r>
      <w:r w:rsidRPr="00A17C75" w:rsidR="00E4575D">
        <w:rPr>
          <w:szCs w:val="26"/>
        </w:rPr>
        <w:t>will</w:t>
      </w:r>
      <w:r w:rsidRPr="00A17C75" w:rsidR="008D5B9F">
        <w:rPr>
          <w:szCs w:val="26"/>
        </w:rPr>
        <w:t xml:space="preserve"> </w:t>
      </w:r>
      <w:r w:rsidR="00C32F72">
        <w:rPr>
          <w:szCs w:val="26"/>
        </w:rPr>
        <w:t>not use</w:t>
      </w:r>
      <w:r w:rsidRPr="00A17C75" w:rsidR="008D5B9F">
        <w:rPr>
          <w:szCs w:val="26"/>
        </w:rPr>
        <w:t xml:space="preserve"> </w:t>
      </w:r>
      <w:r w:rsidR="00791672">
        <w:rPr>
          <w:szCs w:val="26"/>
        </w:rPr>
        <w:t xml:space="preserve">the </w:t>
      </w:r>
      <w:r w:rsidRPr="00A17C75" w:rsidR="008D5B9F">
        <w:rPr>
          <w:szCs w:val="26"/>
        </w:rPr>
        <w:t>Risk Premium</w:t>
      </w:r>
      <w:r w:rsidR="00C32F72">
        <w:rPr>
          <w:szCs w:val="26"/>
        </w:rPr>
        <w:t xml:space="preserve"> </w:t>
      </w:r>
      <w:r w:rsidR="00791672">
        <w:rPr>
          <w:szCs w:val="26"/>
        </w:rPr>
        <w:t xml:space="preserve">model </w:t>
      </w:r>
      <w:r w:rsidR="00C32F72">
        <w:rPr>
          <w:szCs w:val="26"/>
        </w:rPr>
        <w:t>in</w:t>
      </w:r>
      <w:r>
        <w:rPr>
          <w:szCs w:val="26"/>
        </w:rPr>
        <w:t xml:space="preserve"> our</w:t>
      </w:r>
      <w:r w:rsidR="00FF31F7">
        <w:rPr>
          <w:szCs w:val="26"/>
        </w:rPr>
        <w:t xml:space="preserve"> revised ROE</w:t>
      </w:r>
      <w:r>
        <w:rPr>
          <w:szCs w:val="26"/>
        </w:rPr>
        <w:t xml:space="preserve"> methodology</w:t>
      </w:r>
      <w:r w:rsidRPr="00A17C75" w:rsidR="008D5B9F">
        <w:rPr>
          <w:szCs w:val="26"/>
        </w:rPr>
        <w:t xml:space="preserve">.  </w:t>
      </w:r>
      <w:r w:rsidR="009670F7">
        <w:rPr>
          <w:szCs w:val="26"/>
        </w:rPr>
        <w:t xml:space="preserve">As </w:t>
      </w:r>
      <w:r w:rsidR="008C6DF5">
        <w:rPr>
          <w:szCs w:val="26"/>
        </w:rPr>
        <w:t>commenters</w:t>
      </w:r>
      <w:r w:rsidR="009670F7">
        <w:rPr>
          <w:szCs w:val="26"/>
        </w:rPr>
        <w:t xml:space="preserve"> observe</w:t>
      </w:r>
      <w:r w:rsidRPr="00A17C75" w:rsidR="008D5B9F">
        <w:rPr>
          <w:szCs w:val="26"/>
        </w:rPr>
        <w:t>, the</w:t>
      </w:r>
      <w:r>
        <w:rPr>
          <w:szCs w:val="26"/>
        </w:rPr>
        <w:t xml:space="preserve">re is insufficient data to apply the </w:t>
      </w:r>
      <w:r w:rsidRPr="00A17C75" w:rsidR="008D5B9F">
        <w:rPr>
          <w:szCs w:val="26"/>
        </w:rPr>
        <w:t>Risk Premium model</w:t>
      </w:r>
      <w:r w:rsidR="00C32F72">
        <w:rPr>
          <w:szCs w:val="26"/>
        </w:rPr>
        <w:t>s</w:t>
      </w:r>
      <w:r w:rsidRPr="00A17C75" w:rsidR="008D5B9F">
        <w:rPr>
          <w:szCs w:val="26"/>
        </w:rPr>
        <w:t xml:space="preserve"> </w:t>
      </w:r>
      <w:r w:rsidR="009670F7">
        <w:rPr>
          <w:szCs w:val="26"/>
        </w:rPr>
        <w:t>considered</w:t>
      </w:r>
      <w:r w:rsidRPr="00A17C75" w:rsidR="008D5B9F">
        <w:rPr>
          <w:szCs w:val="26"/>
        </w:rPr>
        <w:t xml:space="preserve"> in Opinion No</w:t>
      </w:r>
      <w:r>
        <w:rPr>
          <w:szCs w:val="26"/>
        </w:rPr>
        <w:t>s</w:t>
      </w:r>
      <w:r w:rsidRPr="00A17C75" w:rsidR="008D5B9F">
        <w:rPr>
          <w:szCs w:val="26"/>
        </w:rPr>
        <w:t>. 569</w:t>
      </w:r>
      <w:r w:rsidRPr="00A17C75" w:rsidR="00E4575D">
        <w:rPr>
          <w:szCs w:val="26"/>
        </w:rPr>
        <w:t xml:space="preserve"> and 569-A</w:t>
      </w:r>
      <w:r w:rsidRPr="00A17C75" w:rsidR="008D5B9F">
        <w:rPr>
          <w:szCs w:val="26"/>
        </w:rPr>
        <w:t xml:space="preserve"> to </w:t>
      </w:r>
      <w:r w:rsidR="00791672">
        <w:rPr>
          <w:szCs w:val="26"/>
        </w:rPr>
        <w:t xml:space="preserve">natural </w:t>
      </w:r>
      <w:r w:rsidRPr="00A17C75" w:rsidR="008D5B9F">
        <w:rPr>
          <w:szCs w:val="26"/>
        </w:rPr>
        <w:t xml:space="preserve">gas </w:t>
      </w:r>
      <w:r w:rsidR="009670F7">
        <w:rPr>
          <w:szCs w:val="26"/>
        </w:rPr>
        <w:t>or</w:t>
      </w:r>
      <w:r w:rsidRPr="00A17C75" w:rsidR="008D5B9F">
        <w:rPr>
          <w:szCs w:val="26"/>
        </w:rPr>
        <w:t xml:space="preserve"> oil pipelines.  </w:t>
      </w:r>
      <w:r w:rsidR="009670F7">
        <w:rPr>
          <w:szCs w:val="26"/>
        </w:rPr>
        <w:t>That</w:t>
      </w:r>
      <w:r w:rsidRPr="00A17C75" w:rsidR="008D5B9F">
        <w:rPr>
          <w:szCs w:val="26"/>
        </w:rPr>
        <w:t xml:space="preserve"> </w:t>
      </w:r>
      <w:r w:rsidR="009670F7">
        <w:rPr>
          <w:szCs w:val="26"/>
        </w:rPr>
        <w:t>model</w:t>
      </w:r>
      <w:r w:rsidRPr="00A17C75" w:rsidR="008D5B9F">
        <w:rPr>
          <w:szCs w:val="26"/>
        </w:rPr>
        <w:t xml:space="preserve"> relies </w:t>
      </w:r>
      <w:r>
        <w:rPr>
          <w:szCs w:val="26"/>
        </w:rPr>
        <w:t>up</w:t>
      </w:r>
      <w:r w:rsidRPr="00A17C75" w:rsidR="008D5B9F">
        <w:rPr>
          <w:szCs w:val="26"/>
        </w:rPr>
        <w:t xml:space="preserve">on </w:t>
      </w:r>
      <w:r w:rsidR="009670F7">
        <w:rPr>
          <w:szCs w:val="26"/>
        </w:rPr>
        <w:t xml:space="preserve">stated </w:t>
      </w:r>
      <w:r w:rsidRPr="00A17C75" w:rsidR="008D5B9F">
        <w:rPr>
          <w:szCs w:val="26"/>
        </w:rPr>
        <w:t xml:space="preserve">ROEs approved in past Commission orders, </w:t>
      </w:r>
      <w:r w:rsidR="009670F7">
        <w:rPr>
          <w:szCs w:val="26"/>
        </w:rPr>
        <w:t xml:space="preserve">such as </w:t>
      </w:r>
      <w:r w:rsidRPr="00A17C75" w:rsidR="008D5B9F">
        <w:rPr>
          <w:szCs w:val="26"/>
        </w:rPr>
        <w:t>orders on settlements</w:t>
      </w:r>
      <w:r>
        <w:rPr>
          <w:szCs w:val="26"/>
        </w:rPr>
        <w:t xml:space="preserve">, to ascertain the </w:t>
      </w:r>
      <w:r w:rsidR="004D5149">
        <w:rPr>
          <w:szCs w:val="26"/>
        </w:rPr>
        <w:t>risk premium that investors require</w:t>
      </w:r>
      <w:r w:rsidRPr="00A17C75" w:rsidR="008D5B9F">
        <w:rPr>
          <w:szCs w:val="26"/>
        </w:rPr>
        <w:t xml:space="preserve">.  </w:t>
      </w:r>
      <w:r w:rsidR="00CA2DC4">
        <w:rPr>
          <w:szCs w:val="26"/>
        </w:rPr>
        <w:t xml:space="preserve">In recent years, however, </w:t>
      </w:r>
      <w:r w:rsidR="00791672">
        <w:rPr>
          <w:szCs w:val="26"/>
        </w:rPr>
        <w:t xml:space="preserve">natural </w:t>
      </w:r>
      <w:r w:rsidR="00CA2DC4">
        <w:rPr>
          <w:szCs w:val="26"/>
        </w:rPr>
        <w:t xml:space="preserve">gas and oil pipeline cost-of-service rate proceedings </w:t>
      </w:r>
      <w:r w:rsidR="009670F7">
        <w:rPr>
          <w:szCs w:val="26"/>
        </w:rPr>
        <w:t xml:space="preserve">have </w:t>
      </w:r>
      <w:r w:rsidR="00D801FB">
        <w:rPr>
          <w:szCs w:val="26"/>
        </w:rPr>
        <w:t xml:space="preserve">frequently </w:t>
      </w:r>
      <w:r w:rsidR="009670F7">
        <w:rPr>
          <w:szCs w:val="26"/>
        </w:rPr>
        <w:t>resulted</w:t>
      </w:r>
      <w:r w:rsidR="00CA2DC4">
        <w:rPr>
          <w:szCs w:val="26"/>
        </w:rPr>
        <w:t xml:space="preserve"> </w:t>
      </w:r>
      <w:r w:rsidR="00644FF8">
        <w:rPr>
          <w:szCs w:val="26"/>
        </w:rPr>
        <w:t xml:space="preserve">in “black box” settlements instead of a fully litigated Commission decision.  Unlike public utility proceedings, where ROE </w:t>
      </w:r>
      <w:r w:rsidR="0070012F">
        <w:rPr>
          <w:szCs w:val="26"/>
        </w:rPr>
        <w:t>may be</w:t>
      </w:r>
      <w:r w:rsidR="00644FF8">
        <w:rPr>
          <w:szCs w:val="26"/>
        </w:rPr>
        <w:t xml:space="preserve"> addressed on a standalone basis as a component of formula rates, settlements in pipeline proceedings typically do not enumerate a stated </w:t>
      </w:r>
      <w:r w:rsidR="00CA2DC4">
        <w:rPr>
          <w:szCs w:val="26"/>
        </w:rPr>
        <w:t>ROE.</w:t>
      </w:r>
      <w:r w:rsidR="00C00A34">
        <w:rPr>
          <w:szCs w:val="26"/>
        </w:rPr>
        <w:t xml:space="preserve"> </w:t>
      </w:r>
    </w:p>
    <w:p w:rsidR="00EB7414" w:rsidP="00EB7414" w:rsidRDefault="008D5B9F" w14:paraId="3B3087F8" w14:textId="35CCCFB2">
      <w:pPr>
        <w:pStyle w:val="FERCparanumber"/>
        <w:rPr>
          <w:szCs w:val="26"/>
        </w:rPr>
      </w:pPr>
      <w:r w:rsidRPr="00C00A34">
        <w:rPr>
          <w:szCs w:val="26"/>
        </w:rPr>
        <w:lastRenderedPageBreak/>
        <w:t xml:space="preserve">Consequently, for </w:t>
      </w:r>
      <w:r w:rsidR="00791672">
        <w:rPr>
          <w:szCs w:val="26"/>
        </w:rPr>
        <w:t xml:space="preserve">natural </w:t>
      </w:r>
      <w:r w:rsidRPr="00C00A34">
        <w:rPr>
          <w:szCs w:val="26"/>
        </w:rPr>
        <w:t xml:space="preserve">gas and oil pipelines, there is insufficient data </w:t>
      </w:r>
      <w:r w:rsidRPr="00C00A34" w:rsidR="00221D58">
        <w:rPr>
          <w:szCs w:val="26"/>
        </w:rPr>
        <w:t>to estimate cost of equity using</w:t>
      </w:r>
      <w:r w:rsidR="0013077A">
        <w:rPr>
          <w:szCs w:val="26"/>
        </w:rPr>
        <w:t xml:space="preserve"> the</w:t>
      </w:r>
      <w:r w:rsidRPr="00C00A34">
        <w:rPr>
          <w:szCs w:val="26"/>
        </w:rPr>
        <w:t xml:space="preserve"> Risk Premium</w:t>
      </w:r>
      <w:r w:rsidR="0013077A">
        <w:rPr>
          <w:szCs w:val="26"/>
        </w:rPr>
        <w:t xml:space="preserve"> models discussed in Opinion Nos. 569 and 569-A</w:t>
      </w:r>
      <w:r w:rsidRPr="00C00A34">
        <w:rPr>
          <w:szCs w:val="26"/>
        </w:rPr>
        <w:t>.</w:t>
      </w:r>
      <w:r w:rsidRPr="00C00A34" w:rsidR="00BE2982">
        <w:rPr>
          <w:szCs w:val="26"/>
        </w:rPr>
        <w:t xml:space="preserve">  In light of this lack of data, we will not use </w:t>
      </w:r>
      <w:r w:rsidR="0013077A">
        <w:rPr>
          <w:szCs w:val="26"/>
        </w:rPr>
        <w:t>these models</w:t>
      </w:r>
      <w:r w:rsidR="0070012F">
        <w:rPr>
          <w:szCs w:val="26"/>
        </w:rPr>
        <w:t xml:space="preserve"> </w:t>
      </w:r>
      <w:r w:rsidRPr="00C00A34" w:rsidR="00BE2982">
        <w:rPr>
          <w:szCs w:val="26"/>
        </w:rPr>
        <w:t>in determining pipeline ROEs.</w:t>
      </w:r>
      <w:r w:rsidR="002D20D0">
        <w:rPr>
          <w:szCs w:val="26"/>
        </w:rPr>
        <w:t xml:space="preserve">  </w:t>
      </w:r>
      <w:r w:rsidRPr="002D20D0" w:rsidR="002D20D0">
        <w:rPr>
          <w:szCs w:val="26"/>
        </w:rPr>
        <w:t>While we do not adopt the Risk Premium model in our revised methodology here for the reasons discussed above, we do not necessarily foreclose its use in future proceedings if parties can demonstrate that the concerns discussed above have been addressed.</w:t>
      </w:r>
    </w:p>
    <w:p w:rsidR="00BB03B6" w:rsidP="00B0484D" w:rsidRDefault="00BB03B6" w14:paraId="1E469225" w14:textId="503D0727">
      <w:pPr>
        <w:pStyle w:val="Heading3"/>
      </w:pPr>
      <w:r>
        <w:t>Expected Earnings</w:t>
      </w:r>
    </w:p>
    <w:p w:rsidR="00BB03B6" w:rsidP="00B0484D" w:rsidRDefault="001776C7" w14:paraId="504842C7" w14:textId="5B584299">
      <w:pPr>
        <w:pStyle w:val="Heading4"/>
      </w:pPr>
      <w:r>
        <w:t>Background</w:t>
      </w:r>
    </w:p>
    <w:p w:rsidR="00B341E0" w:rsidP="001776C7" w:rsidRDefault="001776C7" w14:paraId="2728937E" w14:textId="64579654">
      <w:pPr>
        <w:pStyle w:val="FERCparanumber"/>
      </w:pPr>
      <w:r>
        <w:t xml:space="preserve">In Opinion No. 569, the Commission excluded </w:t>
      </w:r>
      <w:r w:rsidR="00791672">
        <w:t xml:space="preserve">the </w:t>
      </w:r>
      <w:r>
        <w:t>Expected Earnings</w:t>
      </w:r>
      <w:r w:rsidR="00791672">
        <w:t xml:space="preserve"> model</w:t>
      </w:r>
      <w:r>
        <w:t xml:space="preserve"> from its revised base ROE methodology for </w:t>
      </w:r>
      <w:r w:rsidR="00446B86">
        <w:t>public</w:t>
      </w:r>
      <w:r>
        <w:t xml:space="preserve"> utilities</w:t>
      </w:r>
      <w:r w:rsidR="003F54CA">
        <w:t xml:space="preserve"> because </w:t>
      </w:r>
      <w:r w:rsidRPr="003F54CA" w:rsidR="003F54CA">
        <w:t>the record did not support departing from the Commission’s traditional use of market-based approaches to determine base ROE.</w:t>
      </w:r>
      <w:r>
        <w:rPr>
          <w:rStyle w:val="FootnoteReference"/>
        </w:rPr>
        <w:footnoteReference w:id="152"/>
      </w:r>
      <w:r w:rsidR="00CC7AEB">
        <w:t xml:space="preserve">  </w:t>
      </w:r>
      <w:r w:rsidR="00EF7F1D">
        <w:t>The Commission also found that the record did not demonstrate that investors rely on Expected Earnings when making investment decisions.</w:t>
      </w:r>
      <w:r w:rsidR="00EF7F1D">
        <w:rPr>
          <w:rStyle w:val="FootnoteReference"/>
        </w:rPr>
        <w:footnoteReference w:id="153"/>
      </w:r>
    </w:p>
    <w:p w:rsidR="001776C7" w:rsidP="001776C7" w:rsidRDefault="003F54CA" w14:paraId="63FFCA69" w14:textId="7DD303A4">
      <w:pPr>
        <w:pStyle w:val="FERCparanumber"/>
      </w:pPr>
      <w:r w:rsidRPr="003F54CA">
        <w:t xml:space="preserve">The Commission explained that in determining a just and reasonable ROE under </w:t>
      </w:r>
      <w:r w:rsidRPr="003F54CA">
        <w:rPr>
          <w:i/>
        </w:rPr>
        <w:t>Hope</w:t>
      </w:r>
      <w:r w:rsidRPr="003F54CA">
        <w:t>, it must analyze the returns that are earned on “investments in other enterprises having corresponding risks.”</w:t>
      </w:r>
      <w:r w:rsidRPr="003F54CA">
        <w:rPr>
          <w:b/>
          <w:vertAlign w:val="superscript"/>
        </w:rPr>
        <w:footnoteReference w:id="154"/>
      </w:r>
      <w:r w:rsidRPr="003F54CA">
        <w:t xml:space="preserve">  In contrast to market-based models, the accounting-based Expected Earnings </w:t>
      </w:r>
      <w:r w:rsidR="00791672">
        <w:t xml:space="preserve">model </w:t>
      </w:r>
      <w:r w:rsidRPr="003F54CA">
        <w:t xml:space="preserve">uses estimates of return on an entity’s book value to </w:t>
      </w:r>
      <w:r w:rsidRPr="003F54CA">
        <w:lastRenderedPageBreak/>
        <w:t>estimate the earnings an investor expects to receive on the book value of a particular stock.</w:t>
      </w:r>
      <w:r w:rsidRPr="003F54CA">
        <w:rPr>
          <w:b/>
          <w:vertAlign w:val="superscript"/>
        </w:rPr>
        <w:footnoteReference w:id="155"/>
      </w:r>
      <w:r w:rsidRPr="003F54CA">
        <w:t xml:space="preserve">  As investors cannot invest in an enterprise at book value, the Commission concluded that the expected return on a utility’s book value does not reflect “returns on investments in other enterprises” because in most circumstances book value does not reflect the value of any investment that is available to an investor in the market.</w:t>
      </w:r>
      <w:r w:rsidRPr="003F54CA">
        <w:rPr>
          <w:b/>
          <w:vertAlign w:val="superscript"/>
        </w:rPr>
        <w:footnoteReference w:id="156"/>
      </w:r>
      <w:r w:rsidRPr="003F54CA">
        <w:t xml:space="preserve">  The Commission thus found that return on book value is not indicative of what return an investor requires to invest in the utility’s equity or what return an investor receives on the equity investment.</w:t>
      </w:r>
      <w:r w:rsidRPr="003F54CA">
        <w:rPr>
          <w:b/>
          <w:vertAlign w:val="superscript"/>
        </w:rPr>
        <w:footnoteReference w:id="157"/>
      </w:r>
    </w:p>
    <w:p w:rsidR="001776C7" w:rsidP="001776C7" w:rsidRDefault="00DD1ED1" w14:paraId="317895C7" w14:textId="14998369">
      <w:pPr>
        <w:pStyle w:val="FERCparanumber"/>
      </w:pPr>
      <w:r>
        <w:t>On rehearing</w:t>
      </w:r>
      <w:r w:rsidR="001776C7">
        <w:t xml:space="preserve">, the Commission </w:t>
      </w:r>
      <w:r>
        <w:t>affirmed the exclusion of</w:t>
      </w:r>
      <w:r w:rsidR="00791672">
        <w:t xml:space="preserve"> the</w:t>
      </w:r>
      <w:r w:rsidR="001776C7">
        <w:t xml:space="preserve"> Expected Earnings</w:t>
      </w:r>
      <w:r w:rsidR="00791672">
        <w:t xml:space="preserve"> model</w:t>
      </w:r>
      <w:r>
        <w:t xml:space="preserve"> </w:t>
      </w:r>
      <w:r w:rsidR="008A2603">
        <w:t xml:space="preserve">in those proceedings </w:t>
      </w:r>
      <w:r>
        <w:t>for the reasons stated in Opinion No. 569</w:t>
      </w:r>
      <w:r w:rsidR="001776C7">
        <w:t>.</w:t>
      </w:r>
      <w:r w:rsidR="001776C7">
        <w:rPr>
          <w:rStyle w:val="FootnoteReference"/>
        </w:rPr>
        <w:footnoteReference w:id="158"/>
      </w:r>
      <w:r w:rsidRPr="001776C7" w:rsidR="001776C7">
        <w:t xml:space="preserve">  </w:t>
      </w:r>
      <w:r w:rsidRPr="00B0484D" w:rsidR="00B0484D">
        <w:t>The</w:t>
      </w:r>
      <w:r w:rsidRPr="00B0484D">
        <w:t xml:space="preserve"> Commission </w:t>
      </w:r>
      <w:r w:rsidRPr="00B0484D" w:rsidR="00B0484D">
        <w:t>found, moreover,</w:t>
      </w:r>
      <w:r w:rsidRPr="00B0484D" w:rsidR="001776C7">
        <w:t xml:space="preserve"> that </w:t>
      </w:r>
      <w:r w:rsidR="00791672">
        <w:t xml:space="preserve">the </w:t>
      </w:r>
      <w:r w:rsidRPr="00B0484D" w:rsidR="001776C7">
        <w:t xml:space="preserve">Expected Earnings </w:t>
      </w:r>
      <w:r w:rsidR="00791672">
        <w:t xml:space="preserve">model </w:t>
      </w:r>
      <w:r w:rsidRPr="00B0484D" w:rsidR="001776C7">
        <w:t xml:space="preserve">does not accurately measure the returns that investors require to invest in </w:t>
      </w:r>
      <w:r w:rsidRPr="00B0484D" w:rsidR="00446B86">
        <w:t>public</w:t>
      </w:r>
      <w:r w:rsidRPr="00B0484D" w:rsidR="001776C7">
        <w:t xml:space="preserve"> utilities because the current market values of utility stocks </w:t>
      </w:r>
      <w:r w:rsidRPr="00B0484D" w:rsidR="00B0484D">
        <w:t>substantially exceed</w:t>
      </w:r>
      <w:r w:rsidRPr="00B0484D" w:rsidR="001776C7">
        <w:t xml:space="preserve"> utilities’ book value</w:t>
      </w:r>
      <w:r w:rsidRPr="00B0484D">
        <w:t xml:space="preserve">.  As a result, </w:t>
      </w:r>
      <w:r w:rsidRPr="00B0484D" w:rsidR="001776C7">
        <w:t>a utility’s expected earnings on its book value will inevitably exceed the return that investors require in order to purchase the utility’s higher-value stock.</w:t>
      </w:r>
      <w:r w:rsidRPr="00B0484D" w:rsidR="001776C7">
        <w:rPr>
          <w:b/>
          <w:vertAlign w:val="superscript"/>
        </w:rPr>
        <w:footnoteReference w:id="159"/>
      </w:r>
    </w:p>
    <w:p w:rsidR="00CC7BC1" w:rsidP="00CC7BC1" w:rsidRDefault="00CC7BC1" w14:paraId="37F8D532" w14:textId="1562F353">
      <w:pPr>
        <w:pStyle w:val="Heading4"/>
      </w:pPr>
      <w:r>
        <w:lastRenderedPageBreak/>
        <w:t>NOI Comments</w:t>
      </w:r>
    </w:p>
    <w:p w:rsidRPr="00CC7BC1" w:rsidR="00CC7BC1" w:rsidP="00B0484D" w:rsidRDefault="00CC7BC1" w14:paraId="101D7964" w14:textId="2276E3EF">
      <w:pPr>
        <w:pStyle w:val="FERCparanumber"/>
      </w:pPr>
      <w:r>
        <w:t>Commenters</w:t>
      </w:r>
      <w:r w:rsidR="00791832">
        <w:t xml:space="preserve"> that support </w:t>
      </w:r>
      <w:r w:rsidR="005375EF">
        <w:t>expanding the Commission’s pipeline ROE methodology to consider</w:t>
      </w:r>
      <w:r w:rsidR="00791832">
        <w:t xml:space="preserve"> models </w:t>
      </w:r>
      <w:r w:rsidR="005375EF">
        <w:t>in addition to</w:t>
      </w:r>
      <w:r w:rsidR="00791832">
        <w:t xml:space="preserve"> the DCF</w:t>
      </w:r>
      <w:r w:rsidR="00580DAF">
        <w:rPr>
          <w:rStyle w:val="FootnoteReference"/>
        </w:rPr>
        <w:footnoteReference w:id="160"/>
      </w:r>
      <w:r w:rsidR="00791832">
        <w:t xml:space="preserve"> do not oppose using </w:t>
      </w:r>
      <w:r w:rsidR="0070380A">
        <w:t xml:space="preserve">the </w:t>
      </w:r>
      <w:r w:rsidR="00791832">
        <w:t>Expected Earnings</w:t>
      </w:r>
      <w:r w:rsidR="0070380A">
        <w:t xml:space="preserve"> model</w:t>
      </w:r>
      <w:r w:rsidR="00791832">
        <w:t>.</w:t>
      </w:r>
      <w:r>
        <w:t xml:space="preserve">  INGAA supports use of </w:t>
      </w:r>
      <w:r w:rsidR="0070380A">
        <w:t xml:space="preserve">the </w:t>
      </w:r>
      <w:r>
        <w:t>Expected Earnings</w:t>
      </w:r>
      <w:r w:rsidR="0070380A">
        <w:t xml:space="preserve"> model</w:t>
      </w:r>
      <w:r>
        <w:t xml:space="preserve"> to determine </w:t>
      </w:r>
      <w:r w:rsidR="0070380A">
        <w:t xml:space="preserve">natural </w:t>
      </w:r>
      <w:r>
        <w:t>gas pipeline ROEs</w:t>
      </w:r>
      <w:r w:rsidR="00BB1152">
        <w:t>,</w:t>
      </w:r>
      <w:r>
        <w:rPr>
          <w:rStyle w:val="FootnoteReference"/>
        </w:rPr>
        <w:footnoteReference w:id="161"/>
      </w:r>
      <w:r>
        <w:t xml:space="preserve"> and AOPL states that </w:t>
      </w:r>
      <w:r w:rsidR="0070380A">
        <w:t xml:space="preserve">the </w:t>
      </w:r>
      <w:r>
        <w:t>Expected Earnings</w:t>
      </w:r>
      <w:r w:rsidR="0070380A">
        <w:t xml:space="preserve"> model</w:t>
      </w:r>
      <w:r>
        <w:t xml:space="preserve"> can be applied to oil pipelines if the Commission adopts an appropriate approach to outliers.</w:t>
      </w:r>
      <w:r>
        <w:rPr>
          <w:rStyle w:val="FootnoteReference"/>
        </w:rPr>
        <w:footnoteReference w:id="162"/>
      </w:r>
      <w:r>
        <w:t xml:space="preserve">  </w:t>
      </w:r>
      <w:r w:rsidR="00464992">
        <w:t xml:space="preserve">Among the commenters that oppose </w:t>
      </w:r>
      <w:r w:rsidR="001A671C">
        <w:t>applying</w:t>
      </w:r>
      <w:r w:rsidR="00464992">
        <w:t xml:space="preserve"> </w:t>
      </w:r>
      <w:r w:rsidR="0070380A">
        <w:t xml:space="preserve">the </w:t>
      </w:r>
      <w:r w:rsidR="00464992">
        <w:t>Expected Earnings</w:t>
      </w:r>
      <w:r w:rsidR="0070380A">
        <w:t xml:space="preserve"> model</w:t>
      </w:r>
      <w:r w:rsidR="00464992">
        <w:t xml:space="preserve"> to </w:t>
      </w:r>
      <w:r w:rsidR="0070380A">
        <w:t xml:space="preserve">natural </w:t>
      </w:r>
      <w:r w:rsidR="00464992">
        <w:t xml:space="preserve">gas and oil pipelines, NGSA criticizes </w:t>
      </w:r>
      <w:r w:rsidR="0070380A">
        <w:t xml:space="preserve">the </w:t>
      </w:r>
      <w:r w:rsidR="00464992">
        <w:t>Expected Earnings</w:t>
      </w:r>
      <w:r w:rsidR="0070380A">
        <w:t xml:space="preserve"> model</w:t>
      </w:r>
      <w:r w:rsidR="00464992">
        <w:t xml:space="preserve"> for ignoring capital markets</w:t>
      </w:r>
      <w:r w:rsidR="00464992">
        <w:rPr>
          <w:rStyle w:val="FootnoteReference"/>
        </w:rPr>
        <w:footnoteReference w:id="163"/>
      </w:r>
      <w:r w:rsidR="00464992">
        <w:t xml:space="preserve"> </w:t>
      </w:r>
      <w:r w:rsidR="00D45067">
        <w:t>while</w:t>
      </w:r>
      <w:r w:rsidR="00464992">
        <w:t xml:space="preserve"> CAPP asserts that </w:t>
      </w:r>
      <w:r w:rsidR="0070380A">
        <w:t xml:space="preserve">the </w:t>
      </w:r>
      <w:r w:rsidR="00EA7310">
        <w:t>Expected Earnings</w:t>
      </w:r>
      <w:r w:rsidR="0070380A">
        <w:t xml:space="preserve"> model</w:t>
      </w:r>
      <w:r w:rsidR="00EA7310">
        <w:t xml:space="preserve"> appears to be confined to academic uses and, in any event, </w:t>
      </w:r>
      <w:r w:rsidR="00464992">
        <w:t xml:space="preserve">there is </w:t>
      </w:r>
      <w:r w:rsidR="00EA7310">
        <w:t xml:space="preserve">likely </w:t>
      </w:r>
      <w:r w:rsidR="00464992">
        <w:t>an insufficient number of pipelines to implement</w:t>
      </w:r>
      <w:r w:rsidR="0070380A">
        <w:t xml:space="preserve"> the</w:t>
      </w:r>
      <w:r w:rsidR="00464992">
        <w:t xml:space="preserve"> Expected Earnings</w:t>
      </w:r>
      <w:r w:rsidR="0070380A">
        <w:t xml:space="preserve"> model</w:t>
      </w:r>
      <w:r w:rsidR="00464992">
        <w:t>.</w:t>
      </w:r>
      <w:r w:rsidR="00464992">
        <w:rPr>
          <w:rStyle w:val="FootnoteReference"/>
        </w:rPr>
        <w:footnoteReference w:id="164"/>
      </w:r>
    </w:p>
    <w:p w:rsidR="001776C7" w:rsidP="00B0484D" w:rsidRDefault="001776C7" w14:paraId="71147CE1" w14:textId="63E3DF42">
      <w:pPr>
        <w:pStyle w:val="Heading4"/>
      </w:pPr>
      <w:r>
        <w:t>Commission Determination</w:t>
      </w:r>
    </w:p>
    <w:p w:rsidR="006B7697" w:rsidP="00575DD7" w:rsidRDefault="00DD1ED1" w14:paraId="4AA0C8A8" w14:textId="5039CB61">
      <w:pPr>
        <w:pStyle w:val="FERCparanumber"/>
      </w:pPr>
      <w:r>
        <w:t xml:space="preserve">We will not use </w:t>
      </w:r>
      <w:r w:rsidR="0070380A">
        <w:t xml:space="preserve">the </w:t>
      </w:r>
      <w:r>
        <w:t xml:space="preserve">Expected Earnings </w:t>
      </w:r>
      <w:r w:rsidR="0070380A">
        <w:t xml:space="preserve">model </w:t>
      </w:r>
      <w:r>
        <w:t>to determine ROE for</w:t>
      </w:r>
      <w:r w:rsidR="0070380A">
        <w:t xml:space="preserve"> natural</w:t>
      </w:r>
      <w:r>
        <w:t xml:space="preserve"> gas and oil pipelines for the reasons stated in Opinion No. 569.  </w:t>
      </w:r>
      <w:r w:rsidR="006B7697">
        <w:t>We conclude that t</w:t>
      </w:r>
      <w:r w:rsidR="00711D79">
        <w:t xml:space="preserve">he </w:t>
      </w:r>
      <w:r w:rsidR="00711D79">
        <w:lastRenderedPageBreak/>
        <w:t xml:space="preserve">findings underlying the Commission’s decision to exclude </w:t>
      </w:r>
      <w:r w:rsidR="0070380A">
        <w:t xml:space="preserve">the </w:t>
      </w:r>
      <w:r w:rsidR="00711D79">
        <w:t xml:space="preserve">Expected Earnings </w:t>
      </w:r>
      <w:r w:rsidR="0070380A">
        <w:t xml:space="preserve">model </w:t>
      </w:r>
      <w:r w:rsidR="00711D79">
        <w:t xml:space="preserve">from our analysis of public utility ROEs also support excluding that model from our analysis of </w:t>
      </w:r>
      <w:r w:rsidR="0070380A">
        <w:t xml:space="preserve">natural </w:t>
      </w:r>
      <w:r w:rsidR="00E6516A">
        <w:t xml:space="preserve">gas and oil </w:t>
      </w:r>
      <w:r w:rsidR="00711D79">
        <w:t>pipeline ROEs</w:t>
      </w:r>
      <w:r w:rsidR="003F54CA">
        <w:t xml:space="preserve">.  </w:t>
      </w:r>
    </w:p>
    <w:p w:rsidR="001776C7" w:rsidP="006B7697" w:rsidRDefault="006B7697" w14:paraId="2E12E8C1" w14:textId="5C121E9D">
      <w:pPr>
        <w:pStyle w:val="FERCparanumber"/>
      </w:pPr>
      <w:r>
        <w:t>As discussed above, the Commission must ensure that the “return to the equity owner” is “commensurate with returns on investments in other enterprises having corresponding risks.”</w:t>
      </w:r>
      <w:r>
        <w:rPr>
          <w:rStyle w:val="FootnoteReference"/>
        </w:rPr>
        <w:footnoteReference w:id="165"/>
      </w:r>
      <w:r>
        <w:t xml:space="preserve">  </w:t>
      </w:r>
      <w:r w:rsidRPr="006B7697">
        <w:t>As</w:t>
      </w:r>
      <w:r>
        <w:t xml:space="preserve"> with </w:t>
      </w:r>
      <w:r w:rsidR="00446B86">
        <w:t>public</w:t>
      </w:r>
      <w:r>
        <w:t xml:space="preserve"> utilities, under the market-based approach the Commission performs this analysis by setting a pipeline’s ROE to equal the estimated return that investors would require in order to purchase stock in the pipeline at its current market price.  However, the return on book value measured under </w:t>
      </w:r>
      <w:r w:rsidR="002B52C3">
        <w:t xml:space="preserve">the </w:t>
      </w:r>
      <w:r>
        <w:t xml:space="preserve">Expected Earnings </w:t>
      </w:r>
      <w:r w:rsidR="002B52C3">
        <w:t xml:space="preserve">model </w:t>
      </w:r>
      <w:r>
        <w:t xml:space="preserve">does not permit such an analysis.  </w:t>
      </w:r>
      <w:r w:rsidR="003F54CA">
        <w:t xml:space="preserve">Like investors in utilities, investors in </w:t>
      </w:r>
      <w:r w:rsidR="002B52C3">
        <w:t xml:space="preserve">natural </w:t>
      </w:r>
      <w:r w:rsidR="003F54CA">
        <w:t>gas and oil pipelines cannot invest at the pipeline’s book value and must instead pay the prevailing market price.  As such</w:t>
      </w:r>
      <w:r w:rsidR="00707C01">
        <w:t>,</w:t>
      </w:r>
      <w:r w:rsidR="003F54CA">
        <w:t xml:space="preserve"> the expected return </w:t>
      </w:r>
      <w:r w:rsidR="0050434F">
        <w:t xml:space="preserve">on </w:t>
      </w:r>
      <w:r>
        <w:t>the</w:t>
      </w:r>
      <w:r w:rsidR="003F54CA">
        <w:t xml:space="preserve"> pipeline’s book value </w:t>
      </w:r>
      <w:r w:rsidR="0050434F">
        <w:t xml:space="preserve">does not reflect the value of an investment that is available to an investor in the market and thus does not reflect the </w:t>
      </w:r>
      <w:r w:rsidR="006C7E47">
        <w:t>“</w:t>
      </w:r>
      <w:r w:rsidR="0050434F">
        <w:t>returns on investments in other enterprises hav</w:t>
      </w:r>
      <w:r w:rsidR="004B10F6">
        <w:t>ing</w:t>
      </w:r>
      <w:r w:rsidR="0050434F">
        <w:t xml:space="preserve"> corresponding risks” that we must analyze under </w:t>
      </w:r>
      <w:r w:rsidRPr="006B7697" w:rsidR="0050434F">
        <w:rPr>
          <w:i/>
          <w:iCs/>
        </w:rPr>
        <w:t>Hope</w:t>
      </w:r>
      <w:r w:rsidR="0050434F">
        <w:t>.</w:t>
      </w:r>
      <w:r w:rsidR="0050434F">
        <w:rPr>
          <w:rStyle w:val="FootnoteReference"/>
        </w:rPr>
        <w:footnoteReference w:id="166"/>
      </w:r>
      <w:r w:rsidR="0050434F">
        <w:t xml:space="preserve">  Likewise, the return on a pipeline’s book value does not reflect “the return to the equity owner” that we must consider under </w:t>
      </w:r>
      <w:r w:rsidRPr="006B7697" w:rsidR="0050434F">
        <w:rPr>
          <w:i/>
          <w:iCs/>
        </w:rPr>
        <w:t>Hope</w:t>
      </w:r>
      <w:r w:rsidR="0050434F">
        <w:t xml:space="preserve"> because the return</w:t>
      </w:r>
      <w:r>
        <w:t xml:space="preserve"> that</w:t>
      </w:r>
      <w:r w:rsidR="0050434F">
        <w:t xml:space="preserve"> an investor requires to invest in the pipeline’s equity and the </w:t>
      </w:r>
      <w:r w:rsidR="00D8269F">
        <w:t>return</w:t>
      </w:r>
      <w:r w:rsidR="0050434F">
        <w:t xml:space="preserve"> an investor receives on the equity investment are </w:t>
      </w:r>
      <w:r w:rsidR="0050434F">
        <w:lastRenderedPageBreak/>
        <w:t>determined based on the current market price the investor must pay in order to invest in the pipeline’s equity.</w:t>
      </w:r>
      <w:r w:rsidR="0050434F">
        <w:rPr>
          <w:rStyle w:val="FootnoteReference"/>
        </w:rPr>
        <w:footnoteReference w:id="167"/>
      </w:r>
    </w:p>
    <w:p w:rsidRPr="006132E9" w:rsidR="00F54E7B" w:rsidP="006132E9" w:rsidRDefault="00734706" w14:paraId="6595F7B0" w14:textId="1AE30198">
      <w:pPr>
        <w:pStyle w:val="FERCparanumber"/>
      </w:pPr>
      <w:r>
        <w:t xml:space="preserve">Accordingly, </w:t>
      </w:r>
      <w:r w:rsidR="007C1593">
        <w:t xml:space="preserve">based on the record in this proceeding, </w:t>
      </w:r>
      <w:r>
        <w:t xml:space="preserve">we conclude that </w:t>
      </w:r>
      <w:r w:rsidR="008A2603">
        <w:t xml:space="preserve">at this time </w:t>
      </w:r>
      <w:r>
        <w:t xml:space="preserve">relying on </w:t>
      </w:r>
      <w:r w:rsidR="002B52C3">
        <w:t xml:space="preserve">the </w:t>
      </w:r>
      <w:r>
        <w:t>Expected Earnings</w:t>
      </w:r>
      <w:r w:rsidR="002B52C3">
        <w:t xml:space="preserve"> model</w:t>
      </w:r>
      <w:r>
        <w:t xml:space="preserve"> to determine pipeline ROEs would not satisfy the requirements of </w:t>
      </w:r>
      <w:r>
        <w:rPr>
          <w:i/>
          <w:iCs/>
        </w:rPr>
        <w:t>Hope</w:t>
      </w:r>
      <w:r>
        <w:t xml:space="preserve">.  We will therefore exclude </w:t>
      </w:r>
      <w:r w:rsidR="002B52C3">
        <w:t xml:space="preserve">the </w:t>
      </w:r>
      <w:r>
        <w:t>Expected Earnings</w:t>
      </w:r>
      <w:r w:rsidR="002B52C3">
        <w:t xml:space="preserve"> model</w:t>
      </w:r>
      <w:r>
        <w:t xml:space="preserve"> from our revised methodology for determining</w:t>
      </w:r>
      <w:r w:rsidR="002B52C3">
        <w:t xml:space="preserve"> natural</w:t>
      </w:r>
      <w:r>
        <w:t xml:space="preserve"> gas and oil pipeline ROEs.</w:t>
      </w:r>
      <w:r w:rsidR="008A2603">
        <w:t xml:space="preserve">  </w:t>
      </w:r>
      <w:r w:rsidRPr="008A2603" w:rsidR="008A2603">
        <w:t>While we do not adopt the Expected Earnings model in our revised methodology here for the reasons discussed above, we do not necessarily foreclose its use in future proceedings if parties can demonstrate that the concerns discussed above have been addressed.</w:t>
      </w:r>
    </w:p>
    <w:p w:rsidRPr="00A17C75" w:rsidR="0077482F" w:rsidP="00CA71DF" w:rsidRDefault="0077482F" w14:paraId="32457B82" w14:textId="264680D6">
      <w:pPr>
        <w:pStyle w:val="Heading2"/>
      </w:pPr>
      <w:r w:rsidRPr="00A17C75">
        <w:t>Outlier Tests</w:t>
      </w:r>
    </w:p>
    <w:p w:rsidRPr="00525B92" w:rsidR="00525B92" w:rsidP="00CA71DF" w:rsidRDefault="00525B92" w14:paraId="14D15C44" w14:textId="6D7E2E15">
      <w:pPr>
        <w:pStyle w:val="Heading3"/>
      </w:pPr>
      <w:r>
        <w:t>Background</w:t>
      </w:r>
    </w:p>
    <w:p w:rsidR="00552012" w:rsidP="00552012" w:rsidRDefault="005E4449" w14:paraId="2F25C689" w14:textId="1C25B6A1">
      <w:pPr>
        <w:pStyle w:val="FERCparanumber"/>
        <w:rPr>
          <w:szCs w:val="26"/>
        </w:rPr>
      </w:pPr>
      <w:r w:rsidRPr="005E4449">
        <w:rPr>
          <w:szCs w:val="26"/>
        </w:rPr>
        <w:t>Generally</w:t>
      </w:r>
      <w:r w:rsidR="003D07B5">
        <w:rPr>
          <w:szCs w:val="26"/>
        </w:rPr>
        <w:t>,</w:t>
      </w:r>
      <w:r w:rsidRPr="005E4449">
        <w:rPr>
          <w:szCs w:val="26"/>
        </w:rPr>
        <w:t xml:space="preserve"> the Commission has not applied a specific low-end or high-end outlier test in </w:t>
      </w:r>
      <w:r w:rsidR="002B52C3">
        <w:rPr>
          <w:szCs w:val="26"/>
        </w:rPr>
        <w:t xml:space="preserve">natural </w:t>
      </w:r>
      <w:r w:rsidRPr="005E4449">
        <w:rPr>
          <w:szCs w:val="26"/>
        </w:rPr>
        <w:t>gas and oil pipeline proceedings</w:t>
      </w:r>
      <w:r w:rsidR="003D07B5">
        <w:rPr>
          <w:szCs w:val="26"/>
        </w:rPr>
        <w:t>.  Rather, the Commission has</w:t>
      </w:r>
      <w:r w:rsidRPr="005E4449">
        <w:rPr>
          <w:szCs w:val="26"/>
        </w:rPr>
        <w:t xml:space="preserve"> used a fact-specific analysis to </w:t>
      </w:r>
      <w:r w:rsidR="003D07B5">
        <w:rPr>
          <w:szCs w:val="26"/>
        </w:rPr>
        <w:t>select</w:t>
      </w:r>
      <w:r w:rsidRPr="005E4449">
        <w:rPr>
          <w:szCs w:val="26"/>
        </w:rPr>
        <w:t xml:space="preserve"> proxy group members.</w:t>
      </w:r>
      <w:r w:rsidR="00B26319">
        <w:rPr>
          <w:szCs w:val="26"/>
        </w:rPr>
        <w:t xml:space="preserve"> </w:t>
      </w:r>
      <w:r w:rsidR="00F96BDA">
        <w:rPr>
          <w:szCs w:val="26"/>
        </w:rPr>
        <w:t xml:space="preserve"> </w:t>
      </w:r>
      <w:r w:rsidR="00B26319">
        <w:rPr>
          <w:szCs w:val="26"/>
        </w:rPr>
        <w:t>In constructing pipeline proxy groups, the Commission excludes anomalous and illogical proxy group returns that do not provide meaningful indicia of the return a pipeline requires to attract capital</w:t>
      </w:r>
      <w:r w:rsidR="00F23784">
        <w:rPr>
          <w:szCs w:val="26"/>
        </w:rPr>
        <w:t>.</w:t>
      </w:r>
      <w:r w:rsidR="00F23784">
        <w:rPr>
          <w:rStyle w:val="FootnoteReference"/>
          <w:szCs w:val="26"/>
        </w:rPr>
        <w:footnoteReference w:id="168"/>
      </w:r>
      <w:r w:rsidR="00552012">
        <w:rPr>
          <w:szCs w:val="26"/>
        </w:rPr>
        <w:t xml:space="preserve">  </w:t>
      </w:r>
    </w:p>
    <w:p w:rsidR="00552012" w:rsidP="00552012" w:rsidRDefault="00D942DA" w14:paraId="09BAE54A" w14:textId="574F0F0F">
      <w:pPr>
        <w:pStyle w:val="FERCparanumber"/>
        <w:rPr>
          <w:szCs w:val="26"/>
        </w:rPr>
      </w:pPr>
      <w:r w:rsidRPr="00552012">
        <w:rPr>
          <w:szCs w:val="26"/>
        </w:rPr>
        <w:t xml:space="preserve">Conversely, the Commission has applied specific outlier screens to </w:t>
      </w:r>
      <w:r w:rsidR="00446B86">
        <w:rPr>
          <w:szCs w:val="26"/>
        </w:rPr>
        <w:t>public</w:t>
      </w:r>
      <w:r w:rsidRPr="00552012">
        <w:rPr>
          <w:szCs w:val="26"/>
        </w:rPr>
        <w:t xml:space="preserve"> utilities.  Prior to Opinion No. 569, the Commission excluded </w:t>
      </w:r>
      <w:r w:rsidR="002C2CB6">
        <w:rPr>
          <w:szCs w:val="26"/>
        </w:rPr>
        <w:t xml:space="preserve">as low-end outliers </w:t>
      </w:r>
      <w:r w:rsidRPr="00552012">
        <w:rPr>
          <w:szCs w:val="26"/>
        </w:rPr>
        <w:t xml:space="preserve">companies </w:t>
      </w:r>
      <w:r w:rsidRPr="00552012">
        <w:rPr>
          <w:szCs w:val="26"/>
        </w:rPr>
        <w:lastRenderedPageBreak/>
        <w:t>whose ROEs failed to exceed the average 10-year bond-yield by approximately 100 basis points on the ground that investors generally cannot be expected to purchase a common stock if debt, which has less risk than a common stock, yields essentially the same expected return.</w:t>
      </w:r>
      <w:r>
        <w:rPr>
          <w:rStyle w:val="FootnoteReference"/>
          <w:szCs w:val="26"/>
        </w:rPr>
        <w:footnoteReference w:id="169"/>
      </w:r>
      <w:r w:rsidRPr="00552012">
        <w:rPr>
          <w:szCs w:val="26"/>
        </w:rPr>
        <w:t xml:space="preserve">  </w:t>
      </w:r>
      <w:r w:rsidR="002C2CB6">
        <w:rPr>
          <w:szCs w:val="26"/>
        </w:rPr>
        <w:t>I</w:t>
      </w:r>
      <w:r w:rsidRPr="00552012">
        <w:rPr>
          <w:szCs w:val="26"/>
        </w:rPr>
        <w:t>n the Briefing Orders</w:t>
      </w:r>
      <w:r w:rsidR="002C2CB6">
        <w:rPr>
          <w:szCs w:val="26"/>
        </w:rPr>
        <w:t>, the Commission proposed</w:t>
      </w:r>
      <w:r w:rsidRPr="00552012">
        <w:rPr>
          <w:szCs w:val="26"/>
        </w:rPr>
        <w:t xml:space="preserve"> to treat as high-end outliers any proxy company whose cost of equity estimated under the model in question is more than 150</w:t>
      </w:r>
      <w:r w:rsidR="00BD0218">
        <w:rPr>
          <w:szCs w:val="26"/>
        </w:rPr>
        <w:t>%</w:t>
      </w:r>
      <w:r w:rsidRPr="00552012">
        <w:rPr>
          <w:szCs w:val="26"/>
        </w:rPr>
        <w:t xml:space="preserve"> of the median result of all of the potential proxy group </w:t>
      </w:r>
      <w:r w:rsidR="00BB1152">
        <w:rPr>
          <w:szCs w:val="26"/>
        </w:rPr>
        <w:t>m</w:t>
      </w:r>
      <w:r w:rsidRPr="00552012">
        <w:rPr>
          <w:szCs w:val="26"/>
        </w:rPr>
        <w:t>embers in that model before any high-end or low-end outlier test is applied.</w:t>
      </w:r>
      <w:r>
        <w:rPr>
          <w:rStyle w:val="FootnoteReference"/>
          <w:szCs w:val="26"/>
        </w:rPr>
        <w:footnoteReference w:id="170"/>
      </w:r>
      <w:r w:rsidRPr="00552012">
        <w:rPr>
          <w:szCs w:val="26"/>
        </w:rPr>
        <w:t xml:space="preserve">  </w:t>
      </w:r>
    </w:p>
    <w:p w:rsidR="00962147" w:rsidP="004C4B46" w:rsidRDefault="00552012" w14:paraId="0850B69E" w14:textId="15037DAC">
      <w:pPr>
        <w:pStyle w:val="FERCparanumber"/>
        <w:rPr>
          <w:szCs w:val="26"/>
        </w:rPr>
      </w:pPr>
      <w:r>
        <w:rPr>
          <w:szCs w:val="26"/>
        </w:rPr>
        <w:t>In Opinion No. 569, t</w:t>
      </w:r>
      <w:r w:rsidRPr="00552012" w:rsidR="00D942DA">
        <w:rPr>
          <w:szCs w:val="26"/>
        </w:rPr>
        <w:t xml:space="preserve">he Commission adopted a revised </w:t>
      </w:r>
      <w:r>
        <w:rPr>
          <w:szCs w:val="26"/>
        </w:rPr>
        <w:t xml:space="preserve">low-end </w:t>
      </w:r>
      <w:r w:rsidRPr="00552012" w:rsidR="00D942DA">
        <w:rPr>
          <w:szCs w:val="26"/>
        </w:rPr>
        <w:t xml:space="preserve">outlier test </w:t>
      </w:r>
      <w:r w:rsidR="00876371">
        <w:rPr>
          <w:szCs w:val="26"/>
        </w:rPr>
        <w:t>that</w:t>
      </w:r>
      <w:r>
        <w:rPr>
          <w:szCs w:val="26"/>
        </w:rPr>
        <w:t xml:space="preserve"> </w:t>
      </w:r>
      <w:r w:rsidRPr="00552012" w:rsidR="00AB5069">
        <w:rPr>
          <w:szCs w:val="26"/>
        </w:rPr>
        <w:t>eliminates proxy group ROE results that are less than the yields of generic corporate Baa bond plus 20</w:t>
      </w:r>
      <w:r w:rsidR="00BD0218">
        <w:rPr>
          <w:szCs w:val="26"/>
        </w:rPr>
        <w:t>%</w:t>
      </w:r>
      <w:r w:rsidRPr="00552012" w:rsidR="00AB5069">
        <w:rPr>
          <w:szCs w:val="26"/>
        </w:rPr>
        <w:t xml:space="preserve"> of the CAPM risk premium.</w:t>
      </w:r>
      <w:r w:rsidR="00D0375C">
        <w:rPr>
          <w:rStyle w:val="FootnoteReference"/>
          <w:szCs w:val="26"/>
        </w:rPr>
        <w:footnoteReference w:id="171"/>
      </w:r>
      <w:r>
        <w:rPr>
          <w:szCs w:val="26"/>
        </w:rPr>
        <w:t xml:space="preserve"> </w:t>
      </w:r>
      <w:r w:rsidR="00962147">
        <w:rPr>
          <w:szCs w:val="26"/>
        </w:rPr>
        <w:t xml:space="preserve"> The Commission explained that it was necessary to include a risk premium in the low-end outlier test to account for the fact that declining bond yields h</w:t>
      </w:r>
      <w:r w:rsidR="00937C82">
        <w:rPr>
          <w:szCs w:val="26"/>
        </w:rPr>
        <w:t xml:space="preserve">ave caused </w:t>
      </w:r>
      <w:r w:rsidR="00962147">
        <w:rPr>
          <w:szCs w:val="26"/>
        </w:rPr>
        <w:t>the ROE that investors would consider to yield “essentially the same expected return as a bond” to increase.</w:t>
      </w:r>
      <w:r w:rsidR="00B9622F">
        <w:rPr>
          <w:rStyle w:val="FootnoteReference"/>
          <w:szCs w:val="26"/>
        </w:rPr>
        <w:footnoteReference w:id="172"/>
      </w:r>
      <w:r w:rsidR="00962147">
        <w:rPr>
          <w:szCs w:val="26"/>
        </w:rPr>
        <w:t xml:space="preserve">  </w:t>
      </w:r>
      <w:r w:rsidRPr="00962147" w:rsidR="00962147">
        <w:rPr>
          <w:szCs w:val="26"/>
        </w:rPr>
        <w:t>The Commission concluded that the 20</w:t>
      </w:r>
      <w:r w:rsidR="00BD0218">
        <w:rPr>
          <w:szCs w:val="26"/>
        </w:rPr>
        <w:t>%</w:t>
      </w:r>
      <w:r w:rsidRPr="00962147" w:rsidR="00962147">
        <w:rPr>
          <w:szCs w:val="26"/>
        </w:rPr>
        <w:t xml:space="preserve"> risk premium was reasonable because it is sufficiently large to account for the additional risks of equities over bonds</w:t>
      </w:r>
      <w:r w:rsidR="00937C82">
        <w:rPr>
          <w:szCs w:val="26"/>
        </w:rPr>
        <w:t>,</w:t>
      </w:r>
      <w:r w:rsidRPr="00962147" w:rsidR="00962147">
        <w:rPr>
          <w:szCs w:val="26"/>
        </w:rPr>
        <w:t xml:space="preserve"> but not so large as to </w:t>
      </w:r>
      <w:r w:rsidRPr="00962147" w:rsidR="00962147">
        <w:rPr>
          <w:szCs w:val="26"/>
        </w:rPr>
        <w:lastRenderedPageBreak/>
        <w:t>inappropriately exclude proxy group members whose ROE is distinguishable from debt.</w:t>
      </w:r>
      <w:r w:rsidR="00962147">
        <w:rPr>
          <w:rStyle w:val="FootnoteReference"/>
          <w:szCs w:val="26"/>
        </w:rPr>
        <w:footnoteReference w:id="173"/>
      </w:r>
      <w:r w:rsidR="00962147">
        <w:rPr>
          <w:szCs w:val="26"/>
        </w:rPr>
        <w:t xml:space="preserve">  </w:t>
      </w:r>
    </w:p>
    <w:p w:rsidR="004C4B46" w:rsidP="004C4B46" w:rsidRDefault="002C2CB6" w14:paraId="60EF836F" w14:textId="07B83DB5">
      <w:pPr>
        <w:pStyle w:val="FERCparanumber"/>
        <w:rPr>
          <w:szCs w:val="26"/>
        </w:rPr>
      </w:pPr>
      <w:r>
        <w:rPr>
          <w:szCs w:val="26"/>
        </w:rPr>
        <w:t xml:space="preserve">In addition, </w:t>
      </w:r>
      <w:r w:rsidR="00962147">
        <w:rPr>
          <w:szCs w:val="26"/>
        </w:rPr>
        <w:t>Opinion No. 569</w:t>
      </w:r>
      <w:r w:rsidRPr="004C4B46" w:rsidR="00876371">
        <w:rPr>
          <w:szCs w:val="26"/>
        </w:rPr>
        <w:t xml:space="preserve"> adopted the high-end outlier test proposed in the Briefing Orders</w:t>
      </w:r>
      <w:r w:rsidR="00AB0B51">
        <w:rPr>
          <w:szCs w:val="26"/>
        </w:rPr>
        <w:t>.</w:t>
      </w:r>
      <w:r w:rsidR="00AB0B51">
        <w:rPr>
          <w:rStyle w:val="FootnoteReference"/>
          <w:szCs w:val="26"/>
        </w:rPr>
        <w:footnoteReference w:id="174"/>
      </w:r>
      <w:r w:rsidR="00AB0B51">
        <w:rPr>
          <w:szCs w:val="26"/>
        </w:rPr>
        <w:t xml:space="preserve">  The Commission reasoned</w:t>
      </w:r>
      <w:r w:rsidRPr="004C4B46" w:rsidR="004C4B46">
        <w:rPr>
          <w:szCs w:val="26"/>
        </w:rPr>
        <w:t xml:space="preserve"> </w:t>
      </w:r>
      <w:r w:rsidRPr="004C4B46" w:rsidR="00AB5069">
        <w:rPr>
          <w:szCs w:val="26"/>
        </w:rPr>
        <w:t xml:space="preserve">that because the Commission will continue to use the midpoint as the measure of central tendency for region-wide </w:t>
      </w:r>
      <w:r w:rsidR="00E900DB">
        <w:rPr>
          <w:szCs w:val="26"/>
        </w:rPr>
        <w:t>public</w:t>
      </w:r>
      <w:r w:rsidRPr="004C4B46" w:rsidR="00AB5069">
        <w:rPr>
          <w:szCs w:val="26"/>
        </w:rPr>
        <w:t xml:space="preserve"> utility ROEs, a high-end outlier test was necessary to eliminate proxy group members whose ROEs are unreasonably high.</w:t>
      </w:r>
      <w:r w:rsidR="00E2297A">
        <w:rPr>
          <w:rStyle w:val="FootnoteReference"/>
          <w:szCs w:val="26"/>
        </w:rPr>
        <w:footnoteReference w:id="175"/>
      </w:r>
      <w:r w:rsidRPr="004C4B46" w:rsidR="00AB5069">
        <w:rPr>
          <w:szCs w:val="26"/>
        </w:rPr>
        <w:t xml:space="preserve"> </w:t>
      </w:r>
    </w:p>
    <w:p w:rsidR="0077482F" w:rsidP="004C4B46" w:rsidRDefault="00AB5069" w14:paraId="2E9FF2C2" w14:textId="430E13B4">
      <w:pPr>
        <w:pStyle w:val="FERCparanumber"/>
        <w:rPr>
          <w:szCs w:val="26"/>
        </w:rPr>
      </w:pPr>
      <w:r w:rsidRPr="004C4B46">
        <w:rPr>
          <w:szCs w:val="26"/>
        </w:rPr>
        <w:t>The Commission explained that both the low-end and high-end outlier tests would be subject to a natural-break analysis, which determines whether proxy group companies screened as outliers, or those almost screened as outliers, truly reflect non-representative data and should thus be removed from the proxy group.</w:t>
      </w:r>
      <w:r w:rsidR="00552012">
        <w:rPr>
          <w:rStyle w:val="FootnoteReference"/>
          <w:szCs w:val="26"/>
        </w:rPr>
        <w:footnoteReference w:id="176"/>
      </w:r>
      <w:r w:rsidR="004C4B46">
        <w:rPr>
          <w:szCs w:val="26"/>
        </w:rPr>
        <w:t xml:space="preserve">  The Commission noted that the natural break analysis provides the Commission with flexibility to reach a reasonable result based on the particular array of ROEs presented in a particular case.</w:t>
      </w:r>
      <w:r w:rsidR="004C4B46">
        <w:rPr>
          <w:rStyle w:val="FootnoteReference"/>
          <w:szCs w:val="26"/>
        </w:rPr>
        <w:footnoteReference w:id="177"/>
      </w:r>
    </w:p>
    <w:p w:rsidRPr="006132E9" w:rsidR="003D3E76" w:rsidP="009038BD" w:rsidRDefault="004C4B46" w14:paraId="7AA22C1D" w14:textId="1FBD622F">
      <w:pPr>
        <w:pStyle w:val="FERCparanumber"/>
        <w:rPr>
          <w:szCs w:val="26"/>
        </w:rPr>
      </w:pPr>
      <w:r w:rsidRPr="006132E9">
        <w:rPr>
          <w:szCs w:val="26"/>
        </w:rPr>
        <w:lastRenderedPageBreak/>
        <w:t xml:space="preserve">In Opinion No. 569-A, the Commission denied requests for rehearing </w:t>
      </w:r>
      <w:r w:rsidRPr="006132E9" w:rsidR="00911EDD">
        <w:rPr>
          <w:szCs w:val="26"/>
        </w:rPr>
        <w:t xml:space="preserve">as to </w:t>
      </w:r>
      <w:r w:rsidRPr="006132E9" w:rsidR="003D3E76">
        <w:rPr>
          <w:szCs w:val="26"/>
        </w:rPr>
        <w:t>the low-end</w:t>
      </w:r>
      <w:r w:rsidRPr="006132E9" w:rsidR="00911EDD">
        <w:rPr>
          <w:szCs w:val="26"/>
        </w:rPr>
        <w:t xml:space="preserve"> outlier test</w:t>
      </w:r>
      <w:r w:rsidRPr="006132E9">
        <w:rPr>
          <w:szCs w:val="26"/>
        </w:rPr>
        <w:t>.</w:t>
      </w:r>
      <w:r w:rsidRPr="006132E9" w:rsidR="009038BD">
        <w:t xml:space="preserve"> </w:t>
      </w:r>
      <w:r w:rsidRPr="006132E9" w:rsidR="007B5603">
        <w:t xml:space="preserve"> </w:t>
      </w:r>
      <w:r w:rsidRPr="006132E9" w:rsidR="009E4160">
        <w:t>The Commission rejected challenges to the threshold based on 20</w:t>
      </w:r>
      <w:r w:rsidR="00BD0218">
        <w:rPr>
          <w:szCs w:val="26"/>
        </w:rPr>
        <w:t>%</w:t>
      </w:r>
      <w:r w:rsidRPr="006132E9" w:rsidR="009E4160">
        <w:t xml:space="preserve"> of the CAPM risk premium and similarly rejected claims that the low-end outlier test is inconsistent with Commission precedent.</w:t>
      </w:r>
      <w:r w:rsidR="0030303B">
        <w:rPr>
          <w:rStyle w:val="FootnoteReference"/>
        </w:rPr>
        <w:footnoteReference w:id="178"/>
      </w:r>
      <w:r w:rsidRPr="006132E9" w:rsidR="009E4160">
        <w:t xml:space="preserve"> </w:t>
      </w:r>
    </w:p>
    <w:p w:rsidRPr="006132E9" w:rsidR="00031529" w:rsidP="003D3E76" w:rsidRDefault="00DD24EC" w14:paraId="386EA639" w14:textId="57472FE4">
      <w:pPr>
        <w:pStyle w:val="FERCparanumber"/>
      </w:pPr>
      <w:r w:rsidRPr="00DD24EC">
        <w:t>Moreover, the Commission modified the high-end outlier test adopted in Opinion No. 569 to increase the exclusion threshold to 200</w:t>
      </w:r>
      <w:r w:rsidR="00BD0218">
        <w:rPr>
          <w:szCs w:val="26"/>
        </w:rPr>
        <w:t>%</w:t>
      </w:r>
      <w:r w:rsidRPr="00DD24EC">
        <w:t xml:space="preserve"> of the median result of all the potential proxy group members in the model in question before any high or low-end outlier test is applied.  The Commission recognized that a high-end outlier test with a bright-line threshold could inappropriately exclude rational ROEs that are not anomalous for the subject utility and found that increasing the threshold to 200</w:t>
      </w:r>
      <w:r w:rsidR="00BD0218">
        <w:rPr>
          <w:szCs w:val="26"/>
        </w:rPr>
        <w:t>%</w:t>
      </w:r>
      <w:r w:rsidRPr="00DD24EC">
        <w:t xml:space="preserve"> will reduce the risk that such rational results are inappropriately excluded.</w:t>
      </w:r>
      <w:r w:rsidRPr="00DD24EC">
        <w:rPr>
          <w:b/>
          <w:vertAlign w:val="superscript"/>
        </w:rPr>
        <w:footnoteReference w:id="179"/>
      </w:r>
      <w:r w:rsidDel="00DD24EC">
        <w:rPr>
          <w:rStyle w:val="FootnoteReference"/>
          <w:szCs w:val="26"/>
        </w:rPr>
        <w:t xml:space="preserve"> </w:t>
      </w:r>
    </w:p>
    <w:p w:rsidR="00525B92" w:rsidP="00CA71DF" w:rsidRDefault="00E6783B" w14:paraId="049B44EC" w14:textId="41B7C66C">
      <w:pPr>
        <w:pStyle w:val="Heading3"/>
      </w:pPr>
      <w:r>
        <w:t xml:space="preserve">NOI </w:t>
      </w:r>
      <w:r w:rsidR="00525B92">
        <w:t>Comment</w:t>
      </w:r>
      <w:r>
        <w:t>s</w:t>
      </w:r>
    </w:p>
    <w:p w:rsidRPr="00783297" w:rsidR="00783297" w:rsidP="00A01A37" w:rsidRDefault="001958D9" w14:paraId="03822CB7" w14:textId="18735A38">
      <w:pPr>
        <w:pStyle w:val="FERCparanumber"/>
      </w:pPr>
      <w:r>
        <w:t>Most c</w:t>
      </w:r>
      <w:r w:rsidR="00164E5D">
        <w:t>ommenters agree that the outlier test</w:t>
      </w:r>
      <w:r w:rsidR="009E4DA6">
        <w:t>s</w:t>
      </w:r>
      <w:r>
        <w:t xml:space="preserve"> </w:t>
      </w:r>
      <w:r w:rsidR="002C4491">
        <w:t>proposed</w:t>
      </w:r>
      <w:r>
        <w:t xml:space="preserve"> in the Briefing Orders</w:t>
      </w:r>
      <w:r w:rsidR="00164E5D">
        <w:t xml:space="preserve"> </w:t>
      </w:r>
      <w:r w:rsidR="009E4DA6">
        <w:t>are</w:t>
      </w:r>
      <w:r w:rsidR="00164E5D">
        <w:t xml:space="preserve"> not appropriate for</w:t>
      </w:r>
      <w:r w:rsidR="005E37BB">
        <w:t xml:space="preserve"> natural</w:t>
      </w:r>
      <w:r w:rsidR="00164E5D">
        <w:t xml:space="preserve"> gas </w:t>
      </w:r>
      <w:r>
        <w:t>or</w:t>
      </w:r>
      <w:r w:rsidR="00164E5D">
        <w:t xml:space="preserve"> oil pipelines.</w:t>
      </w:r>
      <w:r w:rsidR="0030303B">
        <w:rPr>
          <w:rStyle w:val="FootnoteReference"/>
        </w:rPr>
        <w:footnoteReference w:id="180"/>
      </w:r>
      <w:r w:rsidR="00164E5D">
        <w:t xml:space="preserve">  </w:t>
      </w:r>
      <w:r w:rsidR="00856E0D">
        <w:t>These c</w:t>
      </w:r>
      <w:r w:rsidR="00A44743">
        <w:t>ommenters assert that</w:t>
      </w:r>
      <w:r w:rsidR="009E4DA6">
        <w:t xml:space="preserve"> </w:t>
      </w:r>
      <w:r w:rsidR="002C4491">
        <w:t>outlier test</w:t>
      </w:r>
      <w:r w:rsidR="009E4DA6">
        <w:t>s</w:t>
      </w:r>
      <w:r w:rsidR="002C4491">
        <w:t xml:space="preserve"> </w:t>
      </w:r>
      <w:r w:rsidR="009E4DA6">
        <w:t>are</w:t>
      </w:r>
      <w:r w:rsidR="002C4491">
        <w:t xml:space="preserve"> unnecessary </w:t>
      </w:r>
      <w:r w:rsidR="00A44743">
        <w:t>because the Commission set</w:t>
      </w:r>
      <w:r w:rsidR="002C4491">
        <w:t>s</w:t>
      </w:r>
      <w:r w:rsidR="00A44743">
        <w:t xml:space="preserve"> </w:t>
      </w:r>
      <w:r w:rsidR="005E37BB">
        <w:t xml:space="preserve">natural </w:t>
      </w:r>
      <w:r w:rsidR="00A44743">
        <w:t xml:space="preserve">gas and oil pipeline ROEs at the median of the proxy group results, </w:t>
      </w:r>
      <w:r w:rsidR="002C4491">
        <w:t xml:space="preserve">which reduces </w:t>
      </w:r>
      <w:r w:rsidR="00BC57AD">
        <w:t xml:space="preserve">the distortion that high-end cost of equity estimates may cause when the ROE is set at the midpoint of the proxy group </w:t>
      </w:r>
      <w:r w:rsidR="00BC57AD">
        <w:lastRenderedPageBreak/>
        <w:t>results.</w:t>
      </w:r>
      <w:r w:rsidR="00BC57AD">
        <w:rPr>
          <w:rStyle w:val="FootnoteReference"/>
        </w:rPr>
        <w:footnoteReference w:id="181"/>
      </w:r>
      <w:r w:rsidR="00BC57AD">
        <w:t xml:space="preserve"> </w:t>
      </w:r>
      <w:r w:rsidR="0082640A">
        <w:t xml:space="preserve"> CAPP, by contrast, states that the outlier tests proposed in the Briefing Orders would be useful in forming proxy groups.</w:t>
      </w:r>
      <w:r w:rsidR="0082640A">
        <w:rPr>
          <w:rStyle w:val="FootnoteReference"/>
        </w:rPr>
        <w:footnoteReference w:id="182"/>
      </w:r>
      <w:r w:rsidR="0082640A">
        <w:t xml:space="preserve">  </w:t>
      </w:r>
      <w:r w:rsidR="00A01A37">
        <w:t xml:space="preserve">Similarly, although it opposes use of a high-end outlier test, </w:t>
      </w:r>
      <w:r w:rsidRPr="00783297" w:rsidR="00A01A37">
        <w:t xml:space="preserve">INGAA states that </w:t>
      </w:r>
      <w:r w:rsidR="00A01A37">
        <w:t>there is theoretical support for applying a low-end outlier test.</w:t>
      </w:r>
      <w:r w:rsidR="00A01A37">
        <w:rPr>
          <w:rStyle w:val="FootnoteReference"/>
        </w:rPr>
        <w:footnoteReference w:id="183"/>
      </w:r>
      <w:r w:rsidR="00A01A37">
        <w:t xml:space="preserve">  However, INGAA opposes the </w:t>
      </w:r>
      <w:r w:rsidR="00BA7E84">
        <w:t xml:space="preserve">proposed </w:t>
      </w:r>
      <w:r w:rsidR="00A01A37">
        <w:t>low-end outlier test</w:t>
      </w:r>
      <w:r w:rsidR="00BA7E84">
        <w:t>’s 20</w:t>
      </w:r>
      <w:r w:rsidR="00BD0218">
        <w:rPr>
          <w:szCs w:val="26"/>
        </w:rPr>
        <w:t>%</w:t>
      </w:r>
      <w:r w:rsidR="00BA7E84">
        <w:t xml:space="preserve"> threshold</w:t>
      </w:r>
      <w:r w:rsidR="00A01A37">
        <w:t xml:space="preserve"> and proposes two alternative approaches.</w:t>
      </w:r>
      <w:r w:rsidR="00A01A37">
        <w:rPr>
          <w:rStyle w:val="FootnoteReference"/>
        </w:rPr>
        <w:footnoteReference w:id="184"/>
      </w:r>
    </w:p>
    <w:p w:rsidRPr="00525B92" w:rsidR="00525B92" w:rsidP="00CA71DF" w:rsidRDefault="00525B92" w14:paraId="33A81B8E" w14:textId="2F3D6861">
      <w:pPr>
        <w:pStyle w:val="Heading3"/>
      </w:pPr>
      <w:r>
        <w:t>Commission Determination</w:t>
      </w:r>
    </w:p>
    <w:p w:rsidR="00A01A37" w:rsidP="00695E2E" w:rsidRDefault="00695E2E" w14:paraId="328BF635" w14:textId="3E7FEB37">
      <w:pPr>
        <w:pStyle w:val="FERCparanumber"/>
        <w:rPr>
          <w:szCs w:val="26"/>
        </w:rPr>
      </w:pPr>
      <w:r w:rsidRPr="00A17C75">
        <w:rPr>
          <w:szCs w:val="26"/>
        </w:rPr>
        <w:t xml:space="preserve">We decline to adopt </w:t>
      </w:r>
      <w:r w:rsidR="00A01A37">
        <w:rPr>
          <w:szCs w:val="26"/>
        </w:rPr>
        <w:t xml:space="preserve">specific </w:t>
      </w:r>
      <w:r w:rsidRPr="00A17C75">
        <w:rPr>
          <w:szCs w:val="26"/>
        </w:rPr>
        <w:t>outlier test</w:t>
      </w:r>
      <w:r w:rsidR="00A01A37">
        <w:rPr>
          <w:szCs w:val="26"/>
        </w:rPr>
        <w:t>s</w:t>
      </w:r>
      <w:r w:rsidRPr="00A17C75">
        <w:rPr>
          <w:szCs w:val="26"/>
        </w:rPr>
        <w:t xml:space="preserve"> for </w:t>
      </w:r>
      <w:r w:rsidR="00A01A37">
        <w:rPr>
          <w:szCs w:val="26"/>
        </w:rPr>
        <w:t xml:space="preserve">use in determining </w:t>
      </w:r>
      <w:r w:rsidR="005E37BB">
        <w:rPr>
          <w:szCs w:val="26"/>
        </w:rPr>
        <w:t xml:space="preserve">natural </w:t>
      </w:r>
      <w:r w:rsidR="00A01A37">
        <w:rPr>
          <w:szCs w:val="26"/>
        </w:rPr>
        <w:t>gas and oil pipeline ROEs</w:t>
      </w:r>
      <w:r w:rsidRPr="00A17C75">
        <w:rPr>
          <w:szCs w:val="26"/>
        </w:rPr>
        <w:t xml:space="preserve">.  Rather, we will </w:t>
      </w:r>
      <w:r w:rsidR="00A01A37">
        <w:rPr>
          <w:szCs w:val="26"/>
        </w:rPr>
        <w:t>continue to address</w:t>
      </w:r>
      <w:r w:rsidRPr="00A17C75">
        <w:rPr>
          <w:szCs w:val="26"/>
        </w:rPr>
        <w:t xml:space="preserve"> outliers in pipeline proxy groups on a case-by-case basis</w:t>
      </w:r>
      <w:r w:rsidR="00A01A37">
        <w:rPr>
          <w:szCs w:val="26"/>
        </w:rPr>
        <w:t xml:space="preserve"> </w:t>
      </w:r>
      <w:r w:rsidR="008E4DD2">
        <w:rPr>
          <w:szCs w:val="26"/>
        </w:rPr>
        <w:t>in accordance with our policy to remove</w:t>
      </w:r>
      <w:r w:rsidRPr="00A17C75" w:rsidR="008E4DD2">
        <w:rPr>
          <w:szCs w:val="26"/>
        </w:rPr>
        <w:t xml:space="preserve"> “anomalous” or “illogical” </w:t>
      </w:r>
      <w:r w:rsidR="008E4DD2">
        <w:rPr>
          <w:szCs w:val="26"/>
        </w:rPr>
        <w:t>cost</w:t>
      </w:r>
      <w:r w:rsidR="00873DDE">
        <w:rPr>
          <w:szCs w:val="26"/>
        </w:rPr>
        <w:t>-of-equity</w:t>
      </w:r>
      <w:r w:rsidR="008E4DD2">
        <w:rPr>
          <w:szCs w:val="26"/>
        </w:rPr>
        <w:t xml:space="preserve"> estimates</w:t>
      </w:r>
      <w:r w:rsidRPr="00A17C75" w:rsidR="008E4DD2">
        <w:rPr>
          <w:szCs w:val="26"/>
        </w:rPr>
        <w:t xml:space="preserve"> </w:t>
      </w:r>
      <w:r w:rsidR="008E4DD2">
        <w:rPr>
          <w:szCs w:val="26"/>
        </w:rPr>
        <w:t xml:space="preserve">that </w:t>
      </w:r>
      <w:r w:rsidRPr="00A17C75" w:rsidR="008E4DD2">
        <w:rPr>
          <w:szCs w:val="26"/>
        </w:rPr>
        <w:t>do not provide meaningful indicia of the returns that a pipeline needs to attract capital from the market</w:t>
      </w:r>
      <w:r w:rsidRPr="00A17C75">
        <w:rPr>
          <w:szCs w:val="26"/>
        </w:rPr>
        <w:t>.</w:t>
      </w:r>
      <w:r w:rsidR="005279A3">
        <w:rPr>
          <w:rStyle w:val="FootnoteReference"/>
          <w:szCs w:val="26"/>
        </w:rPr>
        <w:footnoteReference w:id="185"/>
      </w:r>
    </w:p>
    <w:p w:rsidRPr="00A17C75" w:rsidR="00695E2E" w:rsidP="00695E2E" w:rsidRDefault="00252C66" w14:paraId="0033CA3D" w14:textId="12438700">
      <w:pPr>
        <w:pStyle w:val="FERCparanumber"/>
        <w:rPr>
          <w:szCs w:val="26"/>
        </w:rPr>
      </w:pPr>
      <w:r>
        <w:rPr>
          <w:szCs w:val="26"/>
        </w:rPr>
        <w:t>We believe</w:t>
      </w:r>
      <w:r w:rsidR="00A01A37">
        <w:rPr>
          <w:szCs w:val="26"/>
        </w:rPr>
        <w:t xml:space="preserve"> that</w:t>
      </w:r>
      <w:r w:rsidRPr="00A17C75" w:rsidR="00695E2E">
        <w:rPr>
          <w:szCs w:val="26"/>
        </w:rPr>
        <w:t xml:space="preserve"> rigid </w:t>
      </w:r>
      <w:r w:rsidR="00A01A37">
        <w:rPr>
          <w:szCs w:val="26"/>
        </w:rPr>
        <w:t>outlier screens</w:t>
      </w:r>
      <w:r w:rsidRPr="00A17C75" w:rsidR="00695E2E">
        <w:rPr>
          <w:szCs w:val="26"/>
        </w:rPr>
        <w:t xml:space="preserve"> </w:t>
      </w:r>
      <w:r w:rsidR="00A01A37">
        <w:rPr>
          <w:szCs w:val="26"/>
        </w:rPr>
        <w:t>are</w:t>
      </w:r>
      <w:r w:rsidRPr="00A17C75" w:rsidR="00695E2E">
        <w:rPr>
          <w:szCs w:val="26"/>
        </w:rPr>
        <w:t xml:space="preserve"> unnecessary for</w:t>
      </w:r>
      <w:r w:rsidR="005E37BB">
        <w:rPr>
          <w:szCs w:val="26"/>
        </w:rPr>
        <w:t xml:space="preserve"> natural</w:t>
      </w:r>
      <w:r w:rsidRPr="00A17C75" w:rsidR="00695E2E">
        <w:rPr>
          <w:szCs w:val="26"/>
        </w:rPr>
        <w:t xml:space="preserve"> gas and oil pipelines for </w:t>
      </w:r>
      <w:r w:rsidR="00154D22">
        <w:rPr>
          <w:szCs w:val="26"/>
        </w:rPr>
        <w:t>two</w:t>
      </w:r>
      <w:r w:rsidRPr="00A17C75" w:rsidR="00695E2E">
        <w:rPr>
          <w:szCs w:val="26"/>
        </w:rPr>
        <w:t xml:space="preserve"> reasons.  </w:t>
      </w:r>
      <w:r w:rsidR="00A01A37">
        <w:rPr>
          <w:szCs w:val="26"/>
        </w:rPr>
        <w:t xml:space="preserve">First, as commenters observe, the Commission’s use of the proxy group median in setting pipeline ROEs reduces the effect that low and high-end </w:t>
      </w:r>
      <w:r w:rsidR="00A01A37">
        <w:rPr>
          <w:szCs w:val="26"/>
        </w:rPr>
        <w:lastRenderedPageBreak/>
        <w:t xml:space="preserve">outliers may exert on the ROE result.  </w:t>
      </w:r>
      <w:r w:rsidRPr="008B657A" w:rsidR="008B657A">
        <w:rPr>
          <w:szCs w:val="26"/>
        </w:rPr>
        <w:t xml:space="preserve">When the Commission sets </w:t>
      </w:r>
      <w:r w:rsidR="001A4FAA">
        <w:rPr>
          <w:szCs w:val="26"/>
        </w:rPr>
        <w:t>an</w:t>
      </w:r>
      <w:r w:rsidRPr="008B657A" w:rsidR="008B657A">
        <w:rPr>
          <w:szCs w:val="26"/>
        </w:rPr>
        <w:t xml:space="preserve"> ROE at the midpoint, as it does for RTO-wide ROEs in the </w:t>
      </w:r>
      <w:r w:rsidR="00E900DB">
        <w:rPr>
          <w:szCs w:val="26"/>
        </w:rPr>
        <w:t>public</w:t>
      </w:r>
      <w:r w:rsidRPr="008B657A" w:rsidR="008B657A">
        <w:rPr>
          <w:szCs w:val="26"/>
        </w:rPr>
        <w:t xml:space="preserve"> utility context, the ROE is set at the average of the highest and lowest ROEs of the proxy group members.</w:t>
      </w:r>
      <w:r w:rsidRPr="00A17C75" w:rsidR="00BA7E84">
        <w:rPr>
          <w:b/>
          <w:szCs w:val="26"/>
          <w:vertAlign w:val="superscript"/>
        </w:rPr>
        <w:footnoteReference w:id="186"/>
      </w:r>
      <w:r w:rsidRPr="00A17C75" w:rsidR="00BA7E84">
        <w:rPr>
          <w:szCs w:val="26"/>
        </w:rPr>
        <w:t xml:space="preserve"> </w:t>
      </w:r>
      <w:r w:rsidRPr="008B657A" w:rsidR="008B657A">
        <w:rPr>
          <w:szCs w:val="26"/>
        </w:rPr>
        <w:t xml:space="preserve"> The</w:t>
      </w:r>
      <w:r w:rsidR="008B657A">
        <w:rPr>
          <w:szCs w:val="26"/>
        </w:rPr>
        <w:t xml:space="preserve"> low and</w:t>
      </w:r>
      <w:r w:rsidRPr="008B657A" w:rsidR="008B657A">
        <w:rPr>
          <w:szCs w:val="26"/>
        </w:rPr>
        <w:t xml:space="preserve"> high-end return</w:t>
      </w:r>
      <w:r w:rsidR="008B657A">
        <w:rPr>
          <w:szCs w:val="26"/>
        </w:rPr>
        <w:t xml:space="preserve">s are </w:t>
      </w:r>
      <w:r w:rsidRPr="008B657A" w:rsidR="008B657A">
        <w:rPr>
          <w:szCs w:val="26"/>
        </w:rPr>
        <w:t>therefore direct input</w:t>
      </w:r>
      <w:r w:rsidR="008B657A">
        <w:rPr>
          <w:szCs w:val="26"/>
        </w:rPr>
        <w:t>s</w:t>
      </w:r>
      <w:r w:rsidRPr="008B657A" w:rsidR="008B657A">
        <w:rPr>
          <w:szCs w:val="26"/>
        </w:rPr>
        <w:t xml:space="preserve"> into the calculation of the midpoint the Commission uses to determine the ROE.  In contrast, when the Commission uses the median to determine the ROE of a pipeline,</w:t>
      </w:r>
      <w:r w:rsidR="008B657A">
        <w:rPr>
          <w:szCs w:val="26"/>
        </w:rPr>
        <w:t xml:space="preserve"> the presence of an outlier has a much smaller effect.</w:t>
      </w:r>
      <w:r w:rsidR="00905214">
        <w:rPr>
          <w:rStyle w:val="FootnoteReference"/>
          <w:szCs w:val="26"/>
        </w:rPr>
        <w:footnoteReference w:id="187"/>
      </w:r>
    </w:p>
    <w:p w:rsidRPr="008E4DD2" w:rsidR="00B115BC" w:rsidP="008E4DD2" w:rsidRDefault="00B10D7D" w14:paraId="31079479" w14:textId="2DBB9A7E">
      <w:pPr>
        <w:pStyle w:val="FERCparanumber"/>
        <w:rPr>
          <w:szCs w:val="26"/>
        </w:rPr>
      </w:pPr>
      <w:r>
        <w:rPr>
          <w:szCs w:val="26"/>
        </w:rPr>
        <w:t>Second, as discussed above</w:t>
      </w:r>
      <w:r w:rsidRPr="00A17C75" w:rsidR="00695E2E">
        <w:rPr>
          <w:szCs w:val="26"/>
        </w:rPr>
        <w:t xml:space="preserve">, </w:t>
      </w:r>
      <w:r w:rsidR="00BA6CF5">
        <w:rPr>
          <w:szCs w:val="26"/>
        </w:rPr>
        <w:t xml:space="preserve">the </w:t>
      </w:r>
      <w:r w:rsidR="00BA7E84">
        <w:rPr>
          <w:szCs w:val="26"/>
        </w:rPr>
        <w:t>pool</w:t>
      </w:r>
      <w:r w:rsidR="00BA6CF5">
        <w:rPr>
          <w:szCs w:val="26"/>
        </w:rPr>
        <w:t xml:space="preserve"> of entities eligible for inclusion in</w:t>
      </w:r>
      <w:r>
        <w:rPr>
          <w:szCs w:val="26"/>
        </w:rPr>
        <w:t xml:space="preserve"> </w:t>
      </w:r>
      <w:r w:rsidR="005E37BB">
        <w:rPr>
          <w:szCs w:val="26"/>
        </w:rPr>
        <w:t xml:space="preserve">natural </w:t>
      </w:r>
      <w:r>
        <w:rPr>
          <w:szCs w:val="26"/>
        </w:rPr>
        <w:t>gas and oil pipeline proxy groups</w:t>
      </w:r>
      <w:r w:rsidR="00BA6CF5">
        <w:rPr>
          <w:szCs w:val="26"/>
        </w:rPr>
        <w:t xml:space="preserve"> has </w:t>
      </w:r>
      <w:r w:rsidR="00BA7E84">
        <w:rPr>
          <w:szCs w:val="26"/>
        </w:rPr>
        <w:t>declined in recent years and remains small</w:t>
      </w:r>
      <w:r w:rsidR="00BA6CF5">
        <w:rPr>
          <w:szCs w:val="26"/>
        </w:rPr>
        <w:t>.  Adopting rigid outlier screens could further reduce the number of potential proxy group members and make it difficult to form pipeline proxy groups</w:t>
      </w:r>
      <w:r w:rsidR="00BA7E84">
        <w:rPr>
          <w:szCs w:val="26"/>
        </w:rPr>
        <w:t xml:space="preserve"> with at least four or five members.</w:t>
      </w:r>
      <w:r w:rsidRPr="008E4DD2" w:rsidR="00B115BC">
        <w:rPr>
          <w:szCs w:val="26"/>
        </w:rPr>
        <w:t xml:space="preserve"> </w:t>
      </w:r>
    </w:p>
    <w:p w:rsidR="00F05E5F" w:rsidP="00695E2E" w:rsidRDefault="008E4DD2" w14:paraId="6A7C632D" w14:textId="29B4A9BB">
      <w:pPr>
        <w:pStyle w:val="FERCparanumber"/>
        <w:rPr>
          <w:szCs w:val="26"/>
        </w:rPr>
      </w:pPr>
      <w:r>
        <w:rPr>
          <w:szCs w:val="26"/>
        </w:rPr>
        <w:t xml:space="preserve">We also clarify that we do not anticipate applying a natural break analysis in pipeline ROE proceedings.  Unlike in the </w:t>
      </w:r>
      <w:r w:rsidR="00F05E5F">
        <w:rPr>
          <w:szCs w:val="26"/>
        </w:rPr>
        <w:t>public</w:t>
      </w:r>
      <w:r>
        <w:rPr>
          <w:szCs w:val="26"/>
        </w:rPr>
        <w:t xml:space="preserve"> utility context, we are concerned that a natural break analysis could exacerbate the difficulties in forming pipeline proxy groups by further reducing the number of potential proxy group members.  Moreover,</w:t>
      </w:r>
      <w:r w:rsidR="00A0155C">
        <w:rPr>
          <w:szCs w:val="26"/>
        </w:rPr>
        <w:t xml:space="preserve"> we believe that the natural break analysis is less useful in pipeline proceedings.  As explained in Opinion No. 569, the purpose of the natural break analysis is to provide the Commission </w:t>
      </w:r>
      <w:r w:rsidR="00A0155C">
        <w:rPr>
          <w:szCs w:val="26"/>
        </w:rPr>
        <w:lastRenderedPageBreak/>
        <w:t>with flexibility to determine whether a proxy group company ROE is truly an outlier or contains useful information.</w:t>
      </w:r>
      <w:r w:rsidR="00A0155C">
        <w:rPr>
          <w:rStyle w:val="FootnoteReference"/>
          <w:szCs w:val="26"/>
        </w:rPr>
        <w:footnoteReference w:id="188"/>
      </w:r>
      <w:r w:rsidR="00A0155C">
        <w:rPr>
          <w:szCs w:val="26"/>
        </w:rPr>
        <w:t xml:space="preserve">  B</w:t>
      </w:r>
      <w:r>
        <w:rPr>
          <w:szCs w:val="26"/>
        </w:rPr>
        <w:t xml:space="preserve">ecause there are so few members of pipeline proxy groups, the natural break analysis is less likely to </w:t>
      </w:r>
      <w:r w:rsidR="006E31EF">
        <w:rPr>
          <w:szCs w:val="26"/>
        </w:rPr>
        <w:t xml:space="preserve">identify outliers as this </w:t>
      </w:r>
      <w:r w:rsidR="00041A7B">
        <w:rPr>
          <w:szCs w:val="26"/>
        </w:rPr>
        <w:t>typically</w:t>
      </w:r>
      <w:r w:rsidR="006E31EF">
        <w:rPr>
          <w:szCs w:val="26"/>
        </w:rPr>
        <w:t xml:space="preserve"> involves </w:t>
      </w:r>
      <w:r w:rsidRPr="006E31EF" w:rsidR="006E31EF">
        <w:rPr>
          <w:szCs w:val="26"/>
        </w:rPr>
        <w:t xml:space="preserve">examining the distance between </w:t>
      </w:r>
      <w:r w:rsidR="00DA5ED1">
        <w:rPr>
          <w:szCs w:val="26"/>
        </w:rPr>
        <w:t>a given</w:t>
      </w:r>
      <w:r w:rsidRPr="006E31EF" w:rsidR="006E31EF">
        <w:rPr>
          <w:szCs w:val="26"/>
        </w:rPr>
        <w:t xml:space="preserve"> proxy group </w:t>
      </w:r>
      <w:r w:rsidR="00DA5ED1">
        <w:rPr>
          <w:szCs w:val="26"/>
        </w:rPr>
        <w:t>result</w:t>
      </w:r>
      <w:r w:rsidRPr="006E31EF" w:rsidR="006E31EF">
        <w:rPr>
          <w:szCs w:val="26"/>
        </w:rPr>
        <w:t xml:space="preserve"> and the next closest </w:t>
      </w:r>
      <w:r w:rsidR="00DA5ED1">
        <w:rPr>
          <w:szCs w:val="26"/>
        </w:rPr>
        <w:t>result</w:t>
      </w:r>
      <w:r w:rsidRPr="006E31EF" w:rsidR="006E31EF">
        <w:rPr>
          <w:szCs w:val="26"/>
        </w:rPr>
        <w:t xml:space="preserve">, and comparing that to the dispersion of other proxy group </w:t>
      </w:r>
      <w:r w:rsidR="00DA5ED1">
        <w:rPr>
          <w:szCs w:val="26"/>
        </w:rPr>
        <w:t>results</w:t>
      </w:r>
      <w:r w:rsidR="006E31EF">
        <w:rPr>
          <w:szCs w:val="26"/>
        </w:rPr>
        <w:t>.</w:t>
      </w:r>
      <w:r w:rsidR="006E31EF">
        <w:rPr>
          <w:rStyle w:val="FootnoteReference"/>
          <w:szCs w:val="26"/>
        </w:rPr>
        <w:footnoteReference w:id="189"/>
      </w:r>
      <w:r w:rsidR="006E31EF">
        <w:rPr>
          <w:szCs w:val="26"/>
        </w:rPr>
        <w:t xml:space="preserve"> </w:t>
      </w:r>
      <w:r w:rsidR="00F50230">
        <w:rPr>
          <w:szCs w:val="26"/>
        </w:rPr>
        <w:t xml:space="preserve"> </w:t>
      </w:r>
    </w:p>
    <w:p w:rsidRPr="00A17C75" w:rsidR="00695E2E" w:rsidP="00695E2E" w:rsidRDefault="0062442A" w14:paraId="00C9BAC2" w14:textId="3B8B6E58">
      <w:pPr>
        <w:pStyle w:val="FERCparanumber"/>
        <w:rPr>
          <w:szCs w:val="26"/>
        </w:rPr>
      </w:pPr>
      <w:bookmarkStart w:name="_Hlk37340813" w:id="6"/>
      <w:r>
        <w:rPr>
          <w:szCs w:val="26"/>
        </w:rPr>
        <w:t>We</w:t>
      </w:r>
      <w:r w:rsidRPr="00A443EA" w:rsidR="00A443EA">
        <w:rPr>
          <w:szCs w:val="26"/>
        </w:rPr>
        <w:t xml:space="preserve"> will continue to apply the general principle that “anomalous” or “illogical” data should be excluded from the proxy group.</w:t>
      </w:r>
      <w:r>
        <w:rPr>
          <w:szCs w:val="26"/>
        </w:rPr>
        <w:t xml:space="preserve">  </w:t>
      </w:r>
      <w:r w:rsidR="00F05E5F">
        <w:rPr>
          <w:szCs w:val="26"/>
        </w:rPr>
        <w:t>Using t</w:t>
      </w:r>
      <w:r>
        <w:rPr>
          <w:szCs w:val="26"/>
        </w:rPr>
        <w:t>his approach</w:t>
      </w:r>
      <w:r w:rsidR="00F05E5F">
        <w:rPr>
          <w:szCs w:val="26"/>
        </w:rPr>
        <w:t xml:space="preserve">, </w:t>
      </w:r>
      <w:r w:rsidRPr="0062442A">
        <w:rPr>
          <w:szCs w:val="26"/>
        </w:rPr>
        <w:t xml:space="preserve">the Commission </w:t>
      </w:r>
      <w:r w:rsidR="00F05E5F">
        <w:rPr>
          <w:szCs w:val="26"/>
        </w:rPr>
        <w:t>will retain</w:t>
      </w:r>
      <w:r w:rsidRPr="0062442A">
        <w:rPr>
          <w:szCs w:val="26"/>
        </w:rPr>
        <w:t xml:space="preserve"> flexibility to determine whether a given proxy group company is truly an outlier or whether it contains useful information in light of the particular array of ROEs presented by the potential proxy group companies</w:t>
      </w:r>
      <w:r>
        <w:rPr>
          <w:szCs w:val="26"/>
        </w:rPr>
        <w:t>.</w:t>
      </w:r>
      <w:r>
        <w:rPr>
          <w:rStyle w:val="FootnoteReference"/>
          <w:szCs w:val="26"/>
        </w:rPr>
        <w:footnoteReference w:id="190"/>
      </w:r>
      <w:bookmarkEnd w:id="6"/>
    </w:p>
    <w:p w:rsidR="0077482F" w:rsidP="0077482F" w:rsidRDefault="0077482F" w14:paraId="6EA13917" w14:textId="77777777">
      <w:pPr>
        <w:pStyle w:val="Heading2"/>
      </w:pPr>
      <w:r>
        <w:t>Oil Pipeline Page 700s</w:t>
      </w:r>
    </w:p>
    <w:p w:rsidR="00037A3D" w:rsidP="0077482F" w:rsidRDefault="00037A3D" w14:paraId="2AD8F803" w14:textId="30507511">
      <w:pPr>
        <w:pStyle w:val="FERCparanumber"/>
        <w:rPr>
          <w:szCs w:val="26"/>
        </w:rPr>
      </w:pPr>
      <w:r>
        <w:rPr>
          <w:szCs w:val="26"/>
        </w:rPr>
        <w:t>In light of the impending five-year review of the oil pipeline index</w:t>
      </w:r>
      <w:r w:rsidR="00733E1C">
        <w:rPr>
          <w:szCs w:val="26"/>
        </w:rPr>
        <w:t>, w</w:t>
      </w:r>
      <w:r w:rsidR="00DC0282">
        <w:rPr>
          <w:szCs w:val="26"/>
        </w:rPr>
        <w:t xml:space="preserve">e encourage oil pipelines to file </w:t>
      </w:r>
      <w:r w:rsidR="00595589">
        <w:rPr>
          <w:szCs w:val="26"/>
        </w:rPr>
        <w:t>updated</w:t>
      </w:r>
      <w:r w:rsidR="00DC0282">
        <w:rPr>
          <w:szCs w:val="26"/>
        </w:rPr>
        <w:t xml:space="preserve"> FERC Form No. 6, page 700</w:t>
      </w:r>
      <w:r w:rsidR="00042FBB">
        <w:rPr>
          <w:szCs w:val="26"/>
        </w:rPr>
        <w:t xml:space="preserve"> data </w:t>
      </w:r>
      <w:r w:rsidR="00733E1C">
        <w:rPr>
          <w:szCs w:val="26"/>
        </w:rPr>
        <w:t xml:space="preserve">for 2019 </w:t>
      </w:r>
      <w:r w:rsidR="00042FBB">
        <w:rPr>
          <w:szCs w:val="26"/>
        </w:rPr>
        <w:t>reflecting</w:t>
      </w:r>
      <w:r w:rsidR="00DC0282">
        <w:rPr>
          <w:szCs w:val="26"/>
        </w:rPr>
        <w:t xml:space="preserve"> the revised ROE methodology</w:t>
      </w:r>
      <w:r w:rsidR="00042FBB">
        <w:rPr>
          <w:szCs w:val="26"/>
        </w:rPr>
        <w:t xml:space="preserve"> </w:t>
      </w:r>
      <w:r>
        <w:rPr>
          <w:szCs w:val="26"/>
        </w:rPr>
        <w:t>established</w:t>
      </w:r>
      <w:r w:rsidR="00042FBB">
        <w:rPr>
          <w:szCs w:val="26"/>
        </w:rPr>
        <w:t xml:space="preserve"> herein</w:t>
      </w:r>
      <w:r w:rsidR="00DC0282">
        <w:rPr>
          <w:szCs w:val="26"/>
        </w:rPr>
        <w:t xml:space="preserve">.  </w:t>
      </w:r>
      <w:r w:rsidR="007769BC">
        <w:rPr>
          <w:szCs w:val="26"/>
        </w:rPr>
        <w:t>Although the Commission will address this issue further in the five-year review,</w:t>
      </w:r>
      <w:r>
        <w:rPr>
          <w:szCs w:val="26"/>
        </w:rPr>
        <w:t xml:space="preserve"> r</w:t>
      </w:r>
      <w:r w:rsidR="00595589">
        <w:rPr>
          <w:szCs w:val="26"/>
        </w:rPr>
        <w:t xml:space="preserve">eflecting the revised methodology in page 700 data for 2019 </w:t>
      </w:r>
      <w:r w:rsidR="007769BC">
        <w:rPr>
          <w:szCs w:val="26"/>
        </w:rPr>
        <w:t xml:space="preserve">may </w:t>
      </w:r>
      <w:r w:rsidR="00595589">
        <w:rPr>
          <w:szCs w:val="26"/>
        </w:rPr>
        <w:t>help the Commission better estimate industry-wide cost changes for purposes of the five-year review.</w:t>
      </w:r>
      <w:r w:rsidDel="008D09B7" w:rsidR="00595589">
        <w:rPr>
          <w:szCs w:val="26"/>
        </w:rPr>
        <w:t xml:space="preserve">  </w:t>
      </w:r>
      <w:r w:rsidR="00D63D4F">
        <w:rPr>
          <w:szCs w:val="26"/>
        </w:rPr>
        <w:t>Pipelines that previously filed Form No. 6 for 2019 and choose to submit updated page 700 data should, in a footnote on</w:t>
      </w:r>
      <w:r w:rsidR="00870396">
        <w:rPr>
          <w:szCs w:val="26"/>
        </w:rPr>
        <w:t xml:space="preserve"> the updated</w:t>
      </w:r>
      <w:r w:rsidR="00D63D4F">
        <w:rPr>
          <w:szCs w:val="26"/>
        </w:rPr>
        <w:t xml:space="preserve"> page 700, </w:t>
      </w:r>
      <w:r w:rsidR="00870396">
        <w:rPr>
          <w:szCs w:val="26"/>
        </w:rPr>
        <w:lastRenderedPageBreak/>
        <w:t xml:space="preserve">either (a) </w:t>
      </w:r>
      <w:r w:rsidR="00D63D4F">
        <w:rPr>
          <w:szCs w:val="26"/>
        </w:rPr>
        <w:t xml:space="preserve">confirm </w:t>
      </w:r>
      <w:r w:rsidR="00B948C5">
        <w:rPr>
          <w:szCs w:val="26"/>
        </w:rPr>
        <w:t>that</w:t>
      </w:r>
      <w:r w:rsidR="00D63D4F">
        <w:rPr>
          <w:szCs w:val="26"/>
        </w:rPr>
        <w:t xml:space="preserve"> their previously</w:t>
      </w:r>
      <w:r w:rsidR="00870396">
        <w:rPr>
          <w:szCs w:val="26"/>
        </w:rPr>
        <w:t xml:space="preserve"> </w:t>
      </w:r>
      <w:r w:rsidR="00D63D4F">
        <w:rPr>
          <w:szCs w:val="26"/>
        </w:rPr>
        <w:t xml:space="preserve">filed Form No. 6 </w:t>
      </w:r>
      <w:r w:rsidR="00B948C5">
        <w:rPr>
          <w:szCs w:val="26"/>
        </w:rPr>
        <w:t>was based solely upon</w:t>
      </w:r>
      <w:r w:rsidR="00D63D4F">
        <w:rPr>
          <w:szCs w:val="26"/>
        </w:rPr>
        <w:t xml:space="preserve"> the DCF model </w:t>
      </w:r>
      <w:r w:rsidR="00870396">
        <w:rPr>
          <w:szCs w:val="26"/>
        </w:rPr>
        <w:t xml:space="preserve">or (b) provide </w:t>
      </w:r>
      <w:r w:rsidR="00B948C5">
        <w:rPr>
          <w:szCs w:val="26"/>
        </w:rPr>
        <w:t>the real ROE and resulting cost of service based solely upon the DCF model as it was applied to oil pipelines prior to this Policy Statement.</w:t>
      </w:r>
    </w:p>
    <w:p w:rsidR="00280677" w:rsidP="00280677" w:rsidRDefault="009A2385" w14:paraId="1AC15A92" w14:textId="1BB80F9A">
      <w:pPr>
        <w:pStyle w:val="FERCparanumber"/>
        <w:rPr>
          <w:szCs w:val="26"/>
        </w:rPr>
      </w:pPr>
      <w:r w:rsidRPr="009A2385">
        <w:rPr>
          <w:szCs w:val="26"/>
        </w:rPr>
        <w:t>As discussed below, the Paperwork Reduction Act (PRA)</w:t>
      </w:r>
      <w:r w:rsidRPr="009A2385">
        <w:rPr>
          <w:b/>
          <w:szCs w:val="26"/>
          <w:vertAlign w:val="superscript"/>
        </w:rPr>
        <w:footnoteReference w:id="191"/>
      </w:r>
      <w:r w:rsidRPr="009A2385">
        <w:rPr>
          <w:szCs w:val="26"/>
        </w:rPr>
        <w:t xml:space="preserve"> requires each federal agency to seek and obtain the Office of Management and Budget’s (OMB) approval before undertaking a collection of information directed to ten or more persons.  </w:t>
      </w:r>
      <w:r w:rsidR="00A62437">
        <w:rPr>
          <w:szCs w:val="26"/>
        </w:rPr>
        <w:t>Following</w:t>
      </w:r>
      <w:r w:rsidRPr="009A2385">
        <w:rPr>
          <w:szCs w:val="26"/>
        </w:rPr>
        <w:t xml:space="preserve"> OMB approval</w:t>
      </w:r>
      <w:r w:rsidR="00AB35F9">
        <w:rPr>
          <w:szCs w:val="26"/>
        </w:rPr>
        <w:t xml:space="preserve"> of this voluntary information collection</w:t>
      </w:r>
      <w:r w:rsidRPr="009A2385">
        <w:rPr>
          <w:szCs w:val="26"/>
        </w:rPr>
        <w:t xml:space="preserve">, the Commission will </w:t>
      </w:r>
      <w:r w:rsidR="00136863">
        <w:rPr>
          <w:szCs w:val="26"/>
        </w:rPr>
        <w:t xml:space="preserve">issue a notice </w:t>
      </w:r>
      <w:r w:rsidRPr="009A2385">
        <w:rPr>
          <w:szCs w:val="26"/>
        </w:rPr>
        <w:t>afford</w:t>
      </w:r>
      <w:r w:rsidR="00136863">
        <w:rPr>
          <w:szCs w:val="26"/>
        </w:rPr>
        <w:t>ing</w:t>
      </w:r>
      <w:r w:rsidRPr="009A2385">
        <w:rPr>
          <w:szCs w:val="26"/>
        </w:rPr>
        <w:t xml:space="preserve"> pipelines </w:t>
      </w:r>
      <w:r w:rsidR="00A62437">
        <w:rPr>
          <w:szCs w:val="26"/>
        </w:rPr>
        <w:t>two weeks</w:t>
      </w:r>
      <w:r w:rsidRPr="009A2385">
        <w:rPr>
          <w:szCs w:val="26"/>
        </w:rPr>
        <w:t xml:space="preserve"> to file updated page 700 data reflecting the revised ROE methodology</w:t>
      </w:r>
      <w:r>
        <w:rPr>
          <w:szCs w:val="26"/>
        </w:rPr>
        <w:t>.</w:t>
      </w:r>
      <w:r w:rsidR="00505F7C">
        <w:rPr>
          <w:rStyle w:val="FootnoteReference"/>
          <w:szCs w:val="26"/>
        </w:rPr>
        <w:footnoteReference w:id="192"/>
      </w:r>
      <w:r>
        <w:rPr>
          <w:szCs w:val="26"/>
        </w:rPr>
        <w:t xml:space="preserve"> </w:t>
      </w:r>
      <w:r w:rsidR="00AB1871">
        <w:rPr>
          <w:szCs w:val="26"/>
        </w:rPr>
        <w:t xml:space="preserve"> </w:t>
      </w:r>
      <w:r w:rsidRPr="0000397B" w:rsidR="00AB1871">
        <w:rPr>
          <w:szCs w:val="26"/>
        </w:rPr>
        <w:t xml:space="preserve">Before that time, pipelines that have not filed Form No. 6 for 2019 (e.g., pipelines that have received an extension of the Form No. 6 filing deadline) should file page 700 data </w:t>
      </w:r>
      <w:r w:rsidRPr="0000397B" w:rsidR="0073760A">
        <w:rPr>
          <w:szCs w:val="26"/>
        </w:rPr>
        <w:t>consistent with their previously-granted extensions</w:t>
      </w:r>
      <w:r w:rsidRPr="0000397B" w:rsidR="00AB1871">
        <w:rPr>
          <w:szCs w:val="26"/>
        </w:rPr>
        <w:t xml:space="preserve"> </w:t>
      </w:r>
      <w:r w:rsidRPr="0000397B" w:rsidR="0073760A">
        <w:rPr>
          <w:szCs w:val="26"/>
        </w:rPr>
        <w:t xml:space="preserve">and such filings should </w:t>
      </w:r>
      <w:r w:rsidRPr="0000397B" w:rsidR="00D54D9B">
        <w:rPr>
          <w:szCs w:val="26"/>
        </w:rPr>
        <w:t>be based upon the DCF model, which was</w:t>
      </w:r>
      <w:r w:rsidRPr="0000397B" w:rsidR="00AB1871">
        <w:rPr>
          <w:szCs w:val="26"/>
        </w:rPr>
        <w:t xml:space="preserve"> the Commission’s oil pipeline ROE methodology as of April 20, 2020</w:t>
      </w:r>
      <w:r w:rsidR="00813041">
        <w:rPr>
          <w:szCs w:val="26"/>
        </w:rPr>
        <w:t xml:space="preserve">, </w:t>
      </w:r>
      <w:r w:rsidRPr="00813041" w:rsidR="00813041">
        <w:rPr>
          <w:szCs w:val="26"/>
        </w:rPr>
        <w:t>the date such filings were due</w:t>
      </w:r>
      <w:r w:rsidRPr="0000397B" w:rsidR="00AB1871">
        <w:rPr>
          <w:szCs w:val="26"/>
        </w:rPr>
        <w:t>.</w:t>
      </w:r>
      <w:r w:rsidRPr="0000397B" w:rsidR="00AB1871">
        <w:rPr>
          <w:rStyle w:val="FootnoteReference"/>
          <w:szCs w:val="26"/>
        </w:rPr>
        <w:footnoteReference w:id="193"/>
      </w:r>
      <w:r w:rsidR="00B4644F">
        <w:rPr>
          <w:szCs w:val="26"/>
        </w:rPr>
        <w:t xml:space="preserve"> </w:t>
      </w:r>
    </w:p>
    <w:p w:rsidRPr="00280677" w:rsidR="00203BB8" w:rsidP="00203BB8" w:rsidRDefault="00203BB8" w14:paraId="7F3B4C8D" w14:textId="77777777">
      <w:pPr>
        <w:pStyle w:val="FERCparanumber"/>
        <w:numPr>
          <w:ilvl w:val="0"/>
          <w:numId w:val="0"/>
        </w:numPr>
        <w:rPr>
          <w:szCs w:val="26"/>
        </w:rPr>
      </w:pPr>
    </w:p>
    <w:p w:rsidR="00280677" w:rsidP="003679BF" w:rsidRDefault="00280677" w14:paraId="6D2B53BE" w14:textId="3E45A4C1">
      <w:pPr>
        <w:pStyle w:val="Heading1"/>
        <w:rPr>
          <w:szCs w:val="26"/>
        </w:rPr>
      </w:pPr>
      <w:r>
        <w:rPr>
          <w:szCs w:val="26"/>
        </w:rPr>
        <w:lastRenderedPageBreak/>
        <w:t>Information Collection Statement</w:t>
      </w:r>
    </w:p>
    <w:p w:rsidR="00280677" w:rsidP="00280677" w:rsidRDefault="00280677" w14:paraId="10CE5084" w14:textId="7752612F">
      <w:pPr>
        <w:pStyle w:val="FERCparanumber"/>
      </w:pPr>
      <w:r w:rsidRPr="00280677">
        <w:t xml:space="preserve">The </w:t>
      </w:r>
      <w:r w:rsidR="009D7C1C">
        <w:t>PRA</w:t>
      </w:r>
      <w:r w:rsidRPr="00280677">
        <w:t xml:space="preserve"> requires each federal agency to seek and obtain </w:t>
      </w:r>
      <w:r w:rsidR="009D7C1C">
        <w:t>OMB</w:t>
      </w:r>
      <w:r w:rsidRPr="00280677">
        <w:t xml:space="preserve"> approval before undertaking a collection of information directed to ten or more persons.</w:t>
      </w:r>
      <w:r w:rsidRPr="00280677">
        <w:rPr>
          <w:b/>
          <w:vertAlign w:val="superscript"/>
        </w:rPr>
        <w:footnoteReference w:id="194"/>
      </w:r>
      <w:r w:rsidRPr="00280677">
        <w:t xml:space="preserve">  Upon approval of a collection of information, OMB will assign an OMB </w:t>
      </w:r>
      <w:r w:rsidR="00412420">
        <w:t>C</w:t>
      </w:r>
      <w:r w:rsidRPr="00280677">
        <w:t xml:space="preserve">ontrol </w:t>
      </w:r>
      <w:r w:rsidR="00412420">
        <w:t>N</w:t>
      </w:r>
      <w:r w:rsidRPr="00280677">
        <w:t xml:space="preserve">umber and expiration date.  The </w:t>
      </w:r>
      <w:r w:rsidR="00C22EFD">
        <w:t xml:space="preserve">refiling of page 700 of </w:t>
      </w:r>
      <w:r w:rsidR="001C125B">
        <w:t xml:space="preserve">FERC </w:t>
      </w:r>
      <w:r w:rsidR="00C22EFD">
        <w:t>Form No. 6</w:t>
      </w:r>
      <w:r w:rsidRPr="00280677">
        <w:t xml:space="preserve"> is being requested on a voluntary basis.</w:t>
      </w:r>
    </w:p>
    <w:p w:rsidR="00280677" w:rsidP="00280677" w:rsidRDefault="00280677" w14:paraId="63589CC3" w14:textId="472ACD22">
      <w:pPr>
        <w:pStyle w:val="FERCparanumber"/>
      </w:pPr>
      <w:r w:rsidRPr="00280677">
        <w:t xml:space="preserve">The Commission is submitting </w:t>
      </w:r>
      <w:r w:rsidR="002D4C10">
        <w:t xml:space="preserve">this voluntary information collection </w:t>
      </w:r>
      <w:r w:rsidR="00A23A99">
        <w:t xml:space="preserve">(the </w:t>
      </w:r>
      <w:r w:rsidR="0027341D">
        <w:t xml:space="preserve">one-time </w:t>
      </w:r>
      <w:r w:rsidR="00A23A99">
        <w:t xml:space="preserve">re-filing of page 700 of FERC Form No. 6) </w:t>
      </w:r>
      <w:r w:rsidRPr="00280677">
        <w:t>to OMB for its review and approval under section 3507(d) of the PRA.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280677" w:rsidP="00280677" w:rsidRDefault="00280677" w14:paraId="56487DF9" w14:textId="56745A0E">
      <w:pPr>
        <w:pStyle w:val="FERCparanumber"/>
      </w:pPr>
      <w:r w:rsidRPr="00280677">
        <w:rPr>
          <w:u w:val="single"/>
        </w:rPr>
        <w:t>Burden Estimate</w:t>
      </w:r>
      <w:r w:rsidR="0067194C">
        <w:rPr>
          <w:u w:val="single"/>
        </w:rPr>
        <w:t>:</w:t>
      </w:r>
      <w:r w:rsidRPr="00280677">
        <w:rPr>
          <w:b/>
          <w:u w:val="single"/>
          <w:vertAlign w:val="superscript"/>
        </w:rPr>
        <w:footnoteReference w:id="195"/>
      </w:r>
      <w:r w:rsidRPr="00280677">
        <w:t xml:space="preserve"> The estimated additional one-time burden and cost</w:t>
      </w:r>
      <w:r w:rsidRPr="00280677">
        <w:rPr>
          <w:b/>
          <w:vertAlign w:val="superscript"/>
        </w:rPr>
        <w:footnoteReference w:id="196"/>
      </w:r>
      <w:r w:rsidRPr="00280677">
        <w:t xml:space="preserve"> for making a voluntary filing </w:t>
      </w:r>
      <w:r w:rsidR="008D27EA">
        <w:t xml:space="preserve">to </w:t>
      </w:r>
      <w:r w:rsidRPr="00280677">
        <w:t>updat</w:t>
      </w:r>
      <w:r w:rsidR="008D27EA">
        <w:t>e</w:t>
      </w:r>
      <w:r w:rsidRPr="00280677">
        <w:t xml:space="preserve"> </w:t>
      </w:r>
      <w:r w:rsidR="00D11132">
        <w:t xml:space="preserve">page 700 of the </w:t>
      </w:r>
      <w:r w:rsidR="008D27EA">
        <w:t xml:space="preserve">FERC </w:t>
      </w:r>
      <w:r w:rsidR="00D11132">
        <w:t xml:space="preserve">Form </w:t>
      </w:r>
      <w:r w:rsidR="004F3653">
        <w:t xml:space="preserve">No. </w:t>
      </w:r>
      <w:r w:rsidR="00D11132">
        <w:t>6</w:t>
      </w:r>
      <w:r w:rsidRPr="00280677">
        <w:t xml:space="preserve"> consistent with </w:t>
      </w:r>
      <w:r w:rsidRPr="00280677">
        <w:lastRenderedPageBreak/>
        <w:t xml:space="preserve">this Policy Statement is detailed in the following table.  The first </w:t>
      </w:r>
      <w:r w:rsidR="00721BB1">
        <w:t>row</w:t>
      </w:r>
      <w:r w:rsidRPr="00280677">
        <w:t xml:space="preserve"> includes the industry cost of performing cost-of-equity studies to develop an updated ROE estimate for the period ending December 31, 2019.</w:t>
      </w:r>
      <w:r w:rsidR="008D27EA">
        <w:t xml:space="preserve">  </w:t>
      </w:r>
      <w:r w:rsidRPr="00280677">
        <w:t xml:space="preserve">The second </w:t>
      </w:r>
      <w:r w:rsidR="00721BB1">
        <w:t>row</w:t>
      </w:r>
      <w:r w:rsidRPr="00280677">
        <w:t xml:space="preserve"> shows the cost of </w:t>
      </w:r>
      <w:r w:rsidR="00721BB1">
        <w:t>reflecting</w:t>
      </w:r>
      <w:r w:rsidRPr="00280677">
        <w:t xml:space="preserve"> the updated ROE estimates and revis</w:t>
      </w:r>
      <w:r w:rsidR="00721BB1">
        <w:t>ed</w:t>
      </w:r>
      <w:r w:rsidRPr="00280677">
        <w:t xml:space="preserve"> Annual Cost of Service on </w:t>
      </w:r>
      <w:r w:rsidR="00CF6FA4">
        <w:t>p</w:t>
      </w:r>
      <w:r w:rsidRPr="00280677">
        <w:t xml:space="preserve">age 700 of the </w:t>
      </w:r>
      <w:r w:rsidR="00BF1A59">
        <w:t>FERC</w:t>
      </w:r>
      <w:r w:rsidR="00C7763F">
        <w:t xml:space="preserve"> </w:t>
      </w:r>
      <w:r w:rsidRPr="00280677">
        <w:t>Form No. 6.</w:t>
      </w:r>
    </w:p>
    <w:tbl>
      <w:tblPr>
        <w:tblStyle w:val="TableGrid"/>
        <w:tblW w:w="0" w:type="auto"/>
        <w:tblLayout w:type="fixed"/>
        <w:tblLook w:val="04A0" w:firstRow="1" w:lastRow="0" w:firstColumn="1" w:lastColumn="0" w:noHBand="0" w:noVBand="1"/>
      </w:tblPr>
      <w:tblGrid>
        <w:gridCol w:w="985"/>
        <w:gridCol w:w="1710"/>
        <w:gridCol w:w="1447"/>
        <w:gridCol w:w="1258"/>
        <w:gridCol w:w="1258"/>
        <w:gridCol w:w="1438"/>
        <w:gridCol w:w="1254"/>
      </w:tblGrid>
      <w:tr w:rsidRPr="00096854" w:rsidR="00834496" w:rsidTr="00E35E1E" w14:paraId="3BBC9E52" w14:textId="77777777">
        <w:trPr>
          <w:cantSplit/>
          <w:tblHeader/>
        </w:trPr>
        <w:tc>
          <w:tcPr>
            <w:tcW w:w="9350" w:type="dxa"/>
            <w:gridSpan w:val="7"/>
            <w:vAlign w:val="bottom"/>
          </w:tcPr>
          <w:p w:rsidRPr="00E35E1E" w:rsidR="00834496" w:rsidP="00E35E1E" w:rsidRDefault="00834496" w14:paraId="12F4492D" w14:textId="1424FF78">
            <w:pPr>
              <w:pStyle w:val="FERCparanumber"/>
              <w:numPr>
                <w:ilvl w:val="0"/>
                <w:numId w:val="0"/>
              </w:numPr>
              <w:spacing w:line="240" w:lineRule="auto"/>
              <w:jc w:val="center"/>
              <w:rPr>
                <w:b/>
              </w:rPr>
            </w:pPr>
            <w:r w:rsidRPr="00E35E1E">
              <w:rPr>
                <w:b/>
              </w:rPr>
              <w:t>Estimated Annual Changes to Burden due to</w:t>
            </w:r>
            <w:r>
              <w:rPr>
                <w:b/>
              </w:rPr>
              <w:t xml:space="preserve"> </w:t>
            </w:r>
            <w:r w:rsidRPr="00E35E1E">
              <w:rPr>
                <w:b/>
              </w:rPr>
              <w:t>Docket No. PL19-4</w:t>
            </w:r>
            <w:r w:rsidRPr="00E35E1E" w:rsidR="00C7763F">
              <w:rPr>
                <w:rStyle w:val="FootnoteReference"/>
                <w:rFonts w:eastAsia="Calibri"/>
              </w:rPr>
              <w:footnoteReference w:id="197"/>
            </w:r>
          </w:p>
          <w:p w:rsidRPr="00096854" w:rsidR="00834496" w:rsidP="00834496" w:rsidRDefault="00834496" w14:paraId="6BD093A2" w14:textId="4E4CBA1B">
            <w:pPr>
              <w:pStyle w:val="FERCparanumber"/>
              <w:numPr>
                <w:ilvl w:val="0"/>
                <w:numId w:val="0"/>
              </w:numPr>
              <w:spacing w:line="240" w:lineRule="auto"/>
              <w:jc w:val="center"/>
              <w:rPr>
                <w:rFonts w:eastAsia="Calibri"/>
                <w:b/>
              </w:rPr>
            </w:pPr>
            <w:r w:rsidRPr="00E35E1E">
              <w:rPr>
                <w:b/>
              </w:rPr>
              <w:t>(Figures may be rounded</w:t>
            </w:r>
            <w:r w:rsidRPr="00E35E1E">
              <w:rPr>
                <w:b/>
                <w:bCs/>
              </w:rPr>
              <w:t>)</w:t>
            </w:r>
          </w:p>
        </w:tc>
      </w:tr>
      <w:tr w:rsidRPr="00096854" w:rsidR="00096854" w:rsidTr="00E35E1E" w14:paraId="14E6DF8A" w14:textId="77777777">
        <w:trPr>
          <w:cantSplit/>
          <w:tblHeader/>
        </w:trPr>
        <w:tc>
          <w:tcPr>
            <w:tcW w:w="985" w:type="dxa"/>
            <w:vAlign w:val="bottom"/>
          </w:tcPr>
          <w:p w:rsidRPr="00096854" w:rsidR="00096854" w:rsidP="00096854" w:rsidRDefault="00096854" w14:paraId="50279F8C" w14:textId="77777777">
            <w:pPr>
              <w:pStyle w:val="FERCparanumber"/>
              <w:numPr>
                <w:ilvl w:val="0"/>
                <w:numId w:val="0"/>
              </w:numPr>
              <w:spacing w:line="240" w:lineRule="auto"/>
            </w:pPr>
          </w:p>
        </w:tc>
        <w:tc>
          <w:tcPr>
            <w:tcW w:w="1710" w:type="dxa"/>
            <w:vAlign w:val="bottom"/>
          </w:tcPr>
          <w:p w:rsidRPr="00096854" w:rsidR="00096854" w:rsidP="00096854" w:rsidRDefault="00096854" w14:paraId="1B209D19" w14:textId="77777777">
            <w:pPr>
              <w:pStyle w:val="FERCparanumber"/>
              <w:numPr>
                <w:ilvl w:val="0"/>
                <w:numId w:val="0"/>
              </w:numPr>
              <w:spacing w:line="240" w:lineRule="auto"/>
              <w:jc w:val="center"/>
            </w:pPr>
            <w:r w:rsidRPr="00096854">
              <w:rPr>
                <w:rFonts w:eastAsia="Calibri"/>
                <w:b/>
              </w:rPr>
              <w:t>Number of Potential Respondents</w:t>
            </w:r>
            <w:r w:rsidRPr="00096854">
              <w:rPr>
                <w:rFonts w:eastAsia="Calibri"/>
                <w:b/>
              </w:rPr>
              <w:br/>
              <w:t>(1)</w:t>
            </w:r>
          </w:p>
        </w:tc>
        <w:tc>
          <w:tcPr>
            <w:tcW w:w="1447" w:type="dxa"/>
            <w:vAlign w:val="bottom"/>
          </w:tcPr>
          <w:p w:rsidRPr="00096854" w:rsidR="00096854" w:rsidP="00096854" w:rsidRDefault="00096854" w14:paraId="4D377663" w14:textId="0CA5FA2E">
            <w:pPr>
              <w:pStyle w:val="FERCparanumber"/>
              <w:numPr>
                <w:ilvl w:val="0"/>
                <w:numId w:val="0"/>
              </w:numPr>
              <w:spacing w:line="240" w:lineRule="auto"/>
              <w:jc w:val="center"/>
              <w:rPr>
                <w:rFonts w:eastAsia="Calibri"/>
                <w:b/>
              </w:rPr>
            </w:pPr>
            <w:r w:rsidRPr="00096854">
              <w:rPr>
                <w:rFonts w:eastAsia="Calibri"/>
                <w:b/>
              </w:rPr>
              <w:t xml:space="preserve">Annual Number of </w:t>
            </w:r>
            <w:r w:rsidRPr="00096854" w:rsidR="006D33B8">
              <w:rPr>
                <w:rFonts w:eastAsia="Calibri"/>
                <w:b/>
              </w:rPr>
              <w:t>Responses</w:t>
            </w:r>
            <w:r w:rsidR="006D33B8">
              <w:rPr>
                <w:rFonts w:eastAsia="Calibri"/>
                <w:b/>
              </w:rPr>
              <w:t xml:space="preserve"> Per</w:t>
            </w:r>
            <w:r w:rsidR="002D197C">
              <w:rPr>
                <w:rFonts w:eastAsia="Calibri"/>
                <w:b/>
              </w:rPr>
              <w:t xml:space="preserve"> Respondent </w:t>
            </w:r>
          </w:p>
          <w:p w:rsidRPr="00096854" w:rsidR="00096854" w:rsidP="00096854" w:rsidRDefault="00096854" w14:paraId="63C5978B" w14:textId="77777777">
            <w:pPr>
              <w:pStyle w:val="FERCparanumber"/>
              <w:numPr>
                <w:ilvl w:val="0"/>
                <w:numId w:val="0"/>
              </w:numPr>
              <w:spacing w:line="240" w:lineRule="auto"/>
              <w:jc w:val="center"/>
            </w:pPr>
            <w:r w:rsidRPr="00096854">
              <w:rPr>
                <w:rFonts w:eastAsia="Calibri"/>
                <w:b/>
              </w:rPr>
              <w:t>(2)</w:t>
            </w:r>
          </w:p>
        </w:tc>
        <w:tc>
          <w:tcPr>
            <w:tcW w:w="1258" w:type="dxa"/>
            <w:vAlign w:val="bottom"/>
          </w:tcPr>
          <w:p w:rsidR="00C7763F" w:rsidRDefault="00096854" w14:paraId="7D7F0687" w14:textId="77777777">
            <w:pPr>
              <w:pStyle w:val="FERCparanumber"/>
              <w:numPr>
                <w:ilvl w:val="0"/>
                <w:numId w:val="0"/>
              </w:numPr>
              <w:spacing w:line="240" w:lineRule="auto"/>
              <w:jc w:val="center"/>
              <w:rPr>
                <w:rFonts w:eastAsia="Calibri"/>
                <w:b/>
              </w:rPr>
            </w:pPr>
            <w:r w:rsidRPr="00096854">
              <w:rPr>
                <w:rFonts w:eastAsia="Calibri"/>
                <w:b/>
              </w:rPr>
              <w:t>Total Number of Responses</w:t>
            </w:r>
            <w:r w:rsidR="009E453F">
              <w:rPr>
                <w:rFonts w:eastAsia="Calibri"/>
                <w:b/>
              </w:rPr>
              <w:t xml:space="preserve"> </w:t>
            </w:r>
          </w:p>
          <w:p w:rsidRPr="00096854" w:rsidR="00096854" w:rsidP="00096854" w:rsidRDefault="006D33B8" w14:paraId="5815BF67" w14:textId="15802F02">
            <w:pPr>
              <w:pStyle w:val="FERCparanumber"/>
              <w:numPr>
                <w:ilvl w:val="0"/>
                <w:numId w:val="0"/>
              </w:numPr>
              <w:spacing w:line="240" w:lineRule="auto"/>
              <w:jc w:val="center"/>
            </w:pPr>
            <w:r>
              <w:rPr>
                <w:rFonts w:eastAsia="Calibri"/>
                <w:b/>
              </w:rPr>
              <w:t xml:space="preserve">(1)*(2)= </w:t>
            </w:r>
            <w:r w:rsidR="00C7763F">
              <w:rPr>
                <w:rFonts w:eastAsia="Calibri"/>
                <w:b/>
              </w:rPr>
              <w:t>(3)</w:t>
            </w:r>
          </w:p>
        </w:tc>
        <w:tc>
          <w:tcPr>
            <w:tcW w:w="1258" w:type="dxa"/>
            <w:vAlign w:val="bottom"/>
          </w:tcPr>
          <w:p w:rsidRPr="00096854" w:rsidR="00096854" w:rsidP="00096854" w:rsidRDefault="00096854" w14:paraId="555CAAFB" w14:textId="77777777">
            <w:pPr>
              <w:pStyle w:val="FERCparanumber"/>
              <w:numPr>
                <w:ilvl w:val="0"/>
                <w:numId w:val="0"/>
              </w:numPr>
              <w:spacing w:line="240" w:lineRule="auto"/>
              <w:jc w:val="center"/>
              <w:rPr>
                <w:rFonts w:eastAsia="Calibri"/>
                <w:b/>
              </w:rPr>
            </w:pPr>
            <w:r w:rsidRPr="00096854">
              <w:rPr>
                <w:rFonts w:eastAsia="Calibri"/>
                <w:b/>
              </w:rPr>
              <w:t>Average Burden Hours &amp; Cost ($) Per Response</w:t>
            </w:r>
          </w:p>
          <w:p w:rsidRPr="00096854" w:rsidR="00096854" w:rsidP="00096854" w:rsidRDefault="00096854" w14:paraId="5F1853D8" w14:textId="77777777">
            <w:pPr>
              <w:pStyle w:val="FERCparanumber"/>
              <w:numPr>
                <w:ilvl w:val="0"/>
                <w:numId w:val="0"/>
              </w:numPr>
              <w:spacing w:line="240" w:lineRule="auto"/>
              <w:jc w:val="center"/>
            </w:pPr>
            <w:r w:rsidRPr="00096854">
              <w:rPr>
                <w:rFonts w:eastAsia="Calibri"/>
                <w:b/>
              </w:rPr>
              <w:t>(4)</w:t>
            </w:r>
          </w:p>
        </w:tc>
        <w:tc>
          <w:tcPr>
            <w:tcW w:w="1438" w:type="dxa"/>
            <w:vAlign w:val="bottom"/>
          </w:tcPr>
          <w:p w:rsidRPr="00096854" w:rsidR="00096854" w:rsidP="00096854" w:rsidRDefault="00096854" w14:paraId="43557E8E" w14:textId="77777777">
            <w:pPr>
              <w:pStyle w:val="FERCparanumber"/>
              <w:numPr>
                <w:ilvl w:val="0"/>
                <w:numId w:val="0"/>
              </w:numPr>
              <w:spacing w:line="240" w:lineRule="auto"/>
              <w:jc w:val="center"/>
              <w:rPr>
                <w:rFonts w:eastAsia="Calibri"/>
                <w:b/>
              </w:rPr>
            </w:pPr>
            <w:r w:rsidRPr="00096854">
              <w:rPr>
                <w:rFonts w:eastAsia="Calibri"/>
                <w:b/>
              </w:rPr>
              <w:t>Total Annual Burden Hours &amp; Total Annual Cost ($)</w:t>
            </w:r>
          </w:p>
          <w:p w:rsidRPr="00096854" w:rsidR="00096854" w:rsidP="00096854" w:rsidRDefault="00096854" w14:paraId="41E4D571" w14:textId="77777777">
            <w:pPr>
              <w:pStyle w:val="FERCparanumber"/>
              <w:numPr>
                <w:ilvl w:val="0"/>
                <w:numId w:val="0"/>
              </w:numPr>
              <w:spacing w:line="240" w:lineRule="auto"/>
              <w:jc w:val="center"/>
              <w:rPr>
                <w:rFonts w:eastAsia="Calibri"/>
                <w:b/>
              </w:rPr>
            </w:pPr>
            <w:r w:rsidRPr="00096854">
              <w:rPr>
                <w:rFonts w:eastAsia="Calibri"/>
                <w:b/>
              </w:rPr>
              <w:t>(3)*(4)=</w:t>
            </w:r>
          </w:p>
          <w:p w:rsidRPr="00096854" w:rsidR="00096854" w:rsidP="00096854" w:rsidRDefault="00096854" w14:paraId="02DD3150" w14:textId="77777777">
            <w:pPr>
              <w:pStyle w:val="FERCparanumber"/>
              <w:numPr>
                <w:ilvl w:val="0"/>
                <w:numId w:val="0"/>
              </w:numPr>
              <w:spacing w:line="240" w:lineRule="auto"/>
              <w:jc w:val="center"/>
            </w:pPr>
            <w:r w:rsidRPr="00096854">
              <w:rPr>
                <w:rFonts w:eastAsia="Calibri"/>
                <w:b/>
              </w:rPr>
              <w:t>(5)</w:t>
            </w:r>
          </w:p>
        </w:tc>
        <w:tc>
          <w:tcPr>
            <w:tcW w:w="1253" w:type="dxa"/>
            <w:vAlign w:val="bottom"/>
          </w:tcPr>
          <w:p w:rsidRPr="00096854" w:rsidR="00096854" w:rsidP="00096854" w:rsidRDefault="00096854" w14:paraId="37BEB811" w14:textId="48AFAE4A">
            <w:pPr>
              <w:pStyle w:val="FERCparanumber"/>
              <w:numPr>
                <w:ilvl w:val="0"/>
                <w:numId w:val="0"/>
              </w:numPr>
              <w:spacing w:line="240" w:lineRule="auto"/>
              <w:jc w:val="center"/>
              <w:rPr>
                <w:rFonts w:eastAsia="Calibri"/>
                <w:b/>
              </w:rPr>
            </w:pPr>
            <w:r w:rsidRPr="00096854">
              <w:rPr>
                <w:rFonts w:eastAsia="Calibri"/>
                <w:b/>
              </w:rPr>
              <w:t>Cost per Respondent</w:t>
            </w:r>
            <w:r w:rsidR="00935F27">
              <w:rPr>
                <w:rFonts w:eastAsia="Calibri"/>
                <w:b/>
              </w:rPr>
              <w:t xml:space="preserve"> </w:t>
            </w:r>
            <w:r w:rsidRPr="00096854">
              <w:rPr>
                <w:rFonts w:eastAsia="Calibri"/>
                <w:b/>
              </w:rPr>
              <w:t>($)</w:t>
            </w:r>
          </w:p>
          <w:p w:rsidRPr="00096854" w:rsidR="00096854" w:rsidP="00096854" w:rsidRDefault="00096854" w14:paraId="2AA84835" w14:textId="65FE8362">
            <w:pPr>
              <w:pStyle w:val="FERCparanumber"/>
              <w:numPr>
                <w:ilvl w:val="0"/>
                <w:numId w:val="0"/>
              </w:numPr>
              <w:spacing w:line="240" w:lineRule="auto"/>
              <w:jc w:val="center"/>
            </w:pPr>
            <w:r w:rsidRPr="00096854">
              <w:rPr>
                <w:rFonts w:eastAsia="Calibri"/>
                <w:b/>
              </w:rPr>
              <w:t>(5)÷(</w:t>
            </w:r>
            <w:r w:rsidR="004671D5">
              <w:rPr>
                <w:rFonts w:eastAsia="Calibri"/>
                <w:b/>
              </w:rPr>
              <w:t>1</w:t>
            </w:r>
            <w:r w:rsidRPr="00096854">
              <w:rPr>
                <w:rFonts w:eastAsia="Calibri"/>
                <w:b/>
              </w:rPr>
              <w:t>)</w:t>
            </w:r>
            <w:r w:rsidR="00736719">
              <w:rPr>
                <w:rFonts w:eastAsia="Calibri"/>
                <w:b/>
              </w:rPr>
              <w:t>= (6</w:t>
            </w:r>
            <w:r w:rsidRPr="00096854">
              <w:rPr>
                <w:rFonts w:eastAsia="Calibri"/>
                <w:b/>
              </w:rPr>
              <w:t>)</w:t>
            </w:r>
          </w:p>
        </w:tc>
      </w:tr>
      <w:tr w:rsidRPr="00096854" w:rsidR="00096854" w:rsidTr="00572698" w14:paraId="05079D4A" w14:textId="77777777">
        <w:tc>
          <w:tcPr>
            <w:tcW w:w="985" w:type="dxa"/>
            <w:vAlign w:val="bottom"/>
          </w:tcPr>
          <w:p w:rsidRPr="00096854" w:rsidR="00096854" w:rsidP="00096854" w:rsidRDefault="00096854" w14:paraId="781A7324" w14:textId="77777777">
            <w:pPr>
              <w:pStyle w:val="FERCparanumber"/>
              <w:numPr>
                <w:ilvl w:val="0"/>
                <w:numId w:val="0"/>
              </w:numPr>
              <w:spacing w:line="240" w:lineRule="auto"/>
            </w:pPr>
            <w:r w:rsidRPr="00096854">
              <w:rPr>
                <w:rFonts w:eastAsia="Calibri"/>
                <w:b/>
              </w:rPr>
              <w:t>Updated ROE Study</w:t>
            </w:r>
          </w:p>
        </w:tc>
        <w:tc>
          <w:tcPr>
            <w:tcW w:w="1710" w:type="dxa"/>
            <w:vAlign w:val="bottom"/>
          </w:tcPr>
          <w:p w:rsidRPr="00096854" w:rsidR="00096854" w:rsidP="00096854" w:rsidRDefault="00096854" w14:paraId="29C02D42" w14:textId="77777777">
            <w:pPr>
              <w:pStyle w:val="FERCparanumber"/>
              <w:numPr>
                <w:ilvl w:val="0"/>
                <w:numId w:val="0"/>
              </w:numPr>
              <w:spacing w:line="240" w:lineRule="auto"/>
              <w:jc w:val="right"/>
            </w:pPr>
            <w:r w:rsidRPr="00096854">
              <w:rPr>
                <w:rFonts w:eastAsia="Calibri"/>
              </w:rPr>
              <w:t>244</w:t>
            </w:r>
          </w:p>
        </w:tc>
        <w:tc>
          <w:tcPr>
            <w:tcW w:w="1447" w:type="dxa"/>
            <w:vAlign w:val="bottom"/>
          </w:tcPr>
          <w:p w:rsidRPr="00096854" w:rsidR="00096854" w:rsidP="00096854" w:rsidRDefault="00096854" w14:paraId="4C94F625" w14:textId="7A2CF2E7">
            <w:pPr>
              <w:pStyle w:val="FERCparanumber"/>
              <w:numPr>
                <w:ilvl w:val="0"/>
                <w:numId w:val="0"/>
              </w:numPr>
              <w:spacing w:line="240" w:lineRule="auto"/>
              <w:jc w:val="right"/>
            </w:pPr>
            <w:r w:rsidRPr="00096854">
              <w:rPr>
                <w:rFonts w:eastAsia="Calibri"/>
              </w:rPr>
              <w:t>1</w:t>
            </w:r>
          </w:p>
        </w:tc>
        <w:tc>
          <w:tcPr>
            <w:tcW w:w="1258" w:type="dxa"/>
            <w:vAlign w:val="bottom"/>
          </w:tcPr>
          <w:p w:rsidRPr="00096854" w:rsidR="00096854" w:rsidP="00096854" w:rsidRDefault="00160437" w14:paraId="09B3D9FD" w14:textId="16BD0BC0">
            <w:pPr>
              <w:pStyle w:val="FERCparanumber"/>
              <w:numPr>
                <w:ilvl w:val="0"/>
                <w:numId w:val="0"/>
              </w:numPr>
              <w:spacing w:line="240" w:lineRule="auto"/>
              <w:jc w:val="right"/>
            </w:pPr>
            <w:r>
              <w:rPr>
                <w:rFonts w:eastAsia="Calibri"/>
              </w:rPr>
              <w:t>244</w:t>
            </w:r>
          </w:p>
        </w:tc>
        <w:tc>
          <w:tcPr>
            <w:tcW w:w="1258" w:type="dxa"/>
            <w:vAlign w:val="bottom"/>
          </w:tcPr>
          <w:p w:rsidRPr="00096854" w:rsidR="00096854" w:rsidP="00096854" w:rsidRDefault="003C6A46" w14:paraId="53BE6BA4" w14:textId="414407C1">
            <w:pPr>
              <w:pStyle w:val="FERCparanumber"/>
              <w:numPr>
                <w:ilvl w:val="0"/>
                <w:numId w:val="0"/>
              </w:numPr>
              <w:spacing w:line="240" w:lineRule="auto"/>
              <w:jc w:val="right"/>
            </w:pPr>
            <w:r>
              <w:rPr>
                <w:rFonts w:eastAsia="Calibri"/>
              </w:rPr>
              <w:t>187.5</w:t>
            </w:r>
            <w:r w:rsidR="005618C7">
              <w:rPr>
                <w:rFonts w:eastAsia="Calibri"/>
              </w:rPr>
              <w:t xml:space="preserve"> hrs.; </w:t>
            </w:r>
            <w:r w:rsidRPr="00096854" w:rsidR="00096854">
              <w:rPr>
                <w:rFonts w:eastAsia="Calibri"/>
              </w:rPr>
              <w:t>$</w:t>
            </w:r>
            <w:r w:rsidR="00160437">
              <w:rPr>
                <w:rFonts w:eastAsia="Calibri"/>
              </w:rPr>
              <w:t>1</w:t>
            </w:r>
            <w:r>
              <w:rPr>
                <w:rFonts w:eastAsia="Calibri"/>
              </w:rPr>
              <w:t>5,000</w:t>
            </w:r>
          </w:p>
        </w:tc>
        <w:tc>
          <w:tcPr>
            <w:tcW w:w="1438" w:type="dxa"/>
            <w:vAlign w:val="bottom"/>
          </w:tcPr>
          <w:p w:rsidRPr="00096854" w:rsidR="00096854" w:rsidP="00096854" w:rsidRDefault="003C6A46" w14:paraId="4B345D47" w14:textId="69EA4722">
            <w:pPr>
              <w:pStyle w:val="FERCparanumber"/>
              <w:numPr>
                <w:ilvl w:val="0"/>
                <w:numId w:val="0"/>
              </w:numPr>
              <w:spacing w:line="240" w:lineRule="auto"/>
              <w:jc w:val="right"/>
            </w:pPr>
            <w:r>
              <w:rPr>
                <w:rFonts w:eastAsia="Calibri"/>
              </w:rPr>
              <w:t>45,750</w:t>
            </w:r>
            <w:r w:rsidR="005618C7">
              <w:rPr>
                <w:rFonts w:eastAsia="Calibri"/>
              </w:rPr>
              <w:t xml:space="preserve"> hrs.; </w:t>
            </w:r>
            <w:r w:rsidRPr="00096854" w:rsidR="00096854">
              <w:rPr>
                <w:rFonts w:eastAsia="Calibri"/>
              </w:rPr>
              <w:t>$</w:t>
            </w:r>
            <w:r w:rsidRPr="00096854" w:rsidDel="005618C7" w:rsidR="00096854">
              <w:rPr>
                <w:rFonts w:eastAsia="Calibri"/>
              </w:rPr>
              <w:t>3,</w:t>
            </w:r>
            <w:r>
              <w:rPr>
                <w:rFonts w:eastAsia="Calibri"/>
              </w:rPr>
              <w:t>66</w:t>
            </w:r>
            <w:r w:rsidRPr="00096854" w:rsidDel="005618C7" w:rsidR="00096854">
              <w:rPr>
                <w:rFonts w:eastAsia="Calibri"/>
              </w:rPr>
              <w:t>0,000</w:t>
            </w:r>
          </w:p>
        </w:tc>
        <w:tc>
          <w:tcPr>
            <w:tcW w:w="1253" w:type="dxa"/>
            <w:vAlign w:val="bottom"/>
          </w:tcPr>
          <w:p w:rsidRPr="00096854" w:rsidR="00096854" w:rsidP="00096854" w:rsidRDefault="00096854" w14:paraId="32EB3972" w14:textId="389610C7">
            <w:pPr>
              <w:pStyle w:val="FERCparanumber"/>
              <w:numPr>
                <w:ilvl w:val="0"/>
                <w:numId w:val="0"/>
              </w:numPr>
              <w:spacing w:line="240" w:lineRule="auto"/>
              <w:jc w:val="right"/>
            </w:pPr>
            <w:r w:rsidRPr="00096854">
              <w:rPr>
                <w:rFonts w:eastAsia="Calibri"/>
              </w:rPr>
              <w:t>$</w:t>
            </w:r>
            <w:r w:rsidR="003C6A46">
              <w:rPr>
                <w:rFonts w:eastAsia="Calibri"/>
              </w:rPr>
              <w:t>15,000</w:t>
            </w:r>
          </w:p>
        </w:tc>
      </w:tr>
      <w:tr w:rsidRPr="00096854" w:rsidR="00096854" w:rsidTr="00572698" w14:paraId="2A496E1B" w14:textId="77777777">
        <w:tc>
          <w:tcPr>
            <w:tcW w:w="985" w:type="dxa"/>
            <w:vAlign w:val="bottom"/>
          </w:tcPr>
          <w:p w:rsidRPr="00096854" w:rsidR="00096854" w:rsidP="00096854" w:rsidRDefault="00096854" w14:paraId="1029CF51" w14:textId="4D1C645C">
            <w:pPr>
              <w:pStyle w:val="FERCparanumber"/>
              <w:numPr>
                <w:ilvl w:val="0"/>
                <w:numId w:val="0"/>
              </w:numPr>
              <w:spacing w:line="240" w:lineRule="auto"/>
            </w:pPr>
            <w:r w:rsidRPr="00096854">
              <w:rPr>
                <w:rFonts w:eastAsia="Calibri"/>
                <w:b/>
              </w:rPr>
              <w:t>Refile FERC Form No. 6</w:t>
            </w:r>
            <w:r w:rsidR="00454DD2">
              <w:rPr>
                <w:rFonts w:eastAsia="Calibri"/>
                <w:b/>
              </w:rPr>
              <w:t>, page 700</w:t>
            </w:r>
          </w:p>
        </w:tc>
        <w:tc>
          <w:tcPr>
            <w:tcW w:w="1710" w:type="dxa"/>
            <w:vAlign w:val="bottom"/>
          </w:tcPr>
          <w:p w:rsidRPr="00096854" w:rsidR="00096854" w:rsidP="00096854" w:rsidRDefault="00096854" w14:paraId="2F030914" w14:textId="77777777">
            <w:pPr>
              <w:pStyle w:val="FERCparanumber"/>
              <w:numPr>
                <w:ilvl w:val="0"/>
                <w:numId w:val="0"/>
              </w:numPr>
              <w:spacing w:line="240" w:lineRule="auto"/>
              <w:jc w:val="right"/>
            </w:pPr>
            <w:r w:rsidRPr="00096854">
              <w:rPr>
                <w:rFonts w:eastAsia="Calibri"/>
              </w:rPr>
              <w:t>244</w:t>
            </w:r>
          </w:p>
        </w:tc>
        <w:tc>
          <w:tcPr>
            <w:tcW w:w="1447" w:type="dxa"/>
            <w:vAlign w:val="bottom"/>
          </w:tcPr>
          <w:p w:rsidRPr="00096854" w:rsidR="00096854" w:rsidP="00096854" w:rsidRDefault="00096854" w14:paraId="22801604" w14:textId="27B9C89C">
            <w:pPr>
              <w:pStyle w:val="FERCparanumber"/>
              <w:numPr>
                <w:ilvl w:val="0"/>
                <w:numId w:val="0"/>
              </w:numPr>
              <w:spacing w:line="240" w:lineRule="auto"/>
              <w:jc w:val="right"/>
            </w:pPr>
            <w:r w:rsidRPr="00096854">
              <w:rPr>
                <w:rFonts w:eastAsia="Calibri"/>
              </w:rPr>
              <w:t>1</w:t>
            </w:r>
          </w:p>
        </w:tc>
        <w:tc>
          <w:tcPr>
            <w:tcW w:w="1258" w:type="dxa"/>
            <w:vAlign w:val="bottom"/>
          </w:tcPr>
          <w:p w:rsidRPr="00096854" w:rsidR="00096854" w:rsidP="00096854" w:rsidRDefault="00160437" w14:paraId="26D95173" w14:textId="6DA94231">
            <w:pPr>
              <w:pStyle w:val="FERCparanumber"/>
              <w:numPr>
                <w:ilvl w:val="0"/>
                <w:numId w:val="0"/>
              </w:numPr>
              <w:spacing w:line="240" w:lineRule="auto"/>
              <w:jc w:val="right"/>
            </w:pPr>
            <w:r>
              <w:rPr>
                <w:rFonts w:eastAsia="Calibri"/>
              </w:rPr>
              <w:t>244</w:t>
            </w:r>
          </w:p>
        </w:tc>
        <w:tc>
          <w:tcPr>
            <w:tcW w:w="1258" w:type="dxa"/>
            <w:vAlign w:val="bottom"/>
          </w:tcPr>
          <w:p w:rsidRPr="00096854" w:rsidR="00096854" w:rsidP="00096854" w:rsidRDefault="00096854" w14:paraId="7A1672E1" w14:textId="16BE399B">
            <w:pPr>
              <w:pStyle w:val="FERCparanumber"/>
              <w:numPr>
                <w:ilvl w:val="0"/>
                <w:numId w:val="0"/>
              </w:numPr>
              <w:spacing w:line="240" w:lineRule="auto"/>
              <w:jc w:val="right"/>
            </w:pPr>
            <w:r w:rsidRPr="00096854">
              <w:rPr>
                <w:rFonts w:eastAsia="Calibri"/>
              </w:rPr>
              <w:t>0.5 hrs.; $40</w:t>
            </w:r>
          </w:p>
        </w:tc>
        <w:tc>
          <w:tcPr>
            <w:tcW w:w="1438" w:type="dxa"/>
            <w:vAlign w:val="bottom"/>
          </w:tcPr>
          <w:p w:rsidRPr="00096854" w:rsidR="00096854" w:rsidP="00096854" w:rsidRDefault="00160437" w14:paraId="4A42143A" w14:textId="7250BE80">
            <w:pPr>
              <w:pStyle w:val="FERCparanumber"/>
              <w:numPr>
                <w:ilvl w:val="0"/>
                <w:numId w:val="0"/>
              </w:numPr>
              <w:spacing w:line="240" w:lineRule="auto"/>
              <w:jc w:val="right"/>
            </w:pPr>
            <w:r>
              <w:rPr>
                <w:rFonts w:eastAsia="Calibri"/>
              </w:rPr>
              <w:t>122</w:t>
            </w:r>
            <w:r w:rsidRPr="00096854" w:rsidR="00096854">
              <w:rPr>
                <w:rFonts w:eastAsia="Calibri"/>
              </w:rPr>
              <w:t xml:space="preserve"> hrs.; $</w:t>
            </w:r>
            <w:r>
              <w:rPr>
                <w:rFonts w:eastAsia="Calibri"/>
              </w:rPr>
              <w:t>9,760</w:t>
            </w:r>
          </w:p>
        </w:tc>
        <w:tc>
          <w:tcPr>
            <w:tcW w:w="1253" w:type="dxa"/>
            <w:vAlign w:val="bottom"/>
          </w:tcPr>
          <w:p w:rsidRPr="00096854" w:rsidR="00096854" w:rsidP="00096854" w:rsidRDefault="00096854" w14:paraId="640EE3E3" w14:textId="3702E52C">
            <w:pPr>
              <w:pStyle w:val="FERCparanumber"/>
              <w:numPr>
                <w:ilvl w:val="0"/>
                <w:numId w:val="0"/>
              </w:numPr>
              <w:spacing w:line="240" w:lineRule="auto"/>
              <w:jc w:val="right"/>
            </w:pPr>
            <w:r w:rsidRPr="00096854">
              <w:rPr>
                <w:rFonts w:eastAsia="Calibri"/>
              </w:rPr>
              <w:t>$40</w:t>
            </w:r>
          </w:p>
        </w:tc>
      </w:tr>
      <w:tr w:rsidRPr="00096854" w:rsidR="00096854" w:rsidTr="00572698" w14:paraId="06FF30EF" w14:textId="77777777">
        <w:tc>
          <w:tcPr>
            <w:tcW w:w="985" w:type="dxa"/>
            <w:vAlign w:val="bottom"/>
          </w:tcPr>
          <w:p w:rsidRPr="00096854" w:rsidR="00096854" w:rsidP="00096854" w:rsidRDefault="00096854" w14:paraId="5E11D833" w14:textId="2A793A8C">
            <w:pPr>
              <w:pStyle w:val="FERCparanumber"/>
              <w:numPr>
                <w:ilvl w:val="0"/>
                <w:numId w:val="0"/>
              </w:numPr>
              <w:spacing w:line="240" w:lineRule="auto"/>
            </w:pPr>
            <w:r w:rsidRPr="00096854">
              <w:rPr>
                <w:rFonts w:eastAsia="Calibri"/>
                <w:b/>
              </w:rPr>
              <w:t xml:space="preserve">Total </w:t>
            </w:r>
            <w:r w:rsidR="00721BB1">
              <w:rPr>
                <w:rFonts w:eastAsia="Calibri"/>
                <w:b/>
              </w:rPr>
              <w:t>Changes, Due to PL19-4</w:t>
            </w:r>
          </w:p>
        </w:tc>
        <w:tc>
          <w:tcPr>
            <w:tcW w:w="1710" w:type="dxa"/>
            <w:vAlign w:val="bottom"/>
          </w:tcPr>
          <w:p w:rsidRPr="00096854" w:rsidR="00096854" w:rsidP="00096854" w:rsidRDefault="003B03CF" w14:paraId="6DA006EC" w14:textId="2ED554FA">
            <w:pPr>
              <w:pStyle w:val="FERCparanumber"/>
              <w:numPr>
                <w:ilvl w:val="0"/>
                <w:numId w:val="0"/>
              </w:numPr>
              <w:spacing w:line="240" w:lineRule="auto"/>
              <w:jc w:val="right"/>
            </w:pPr>
            <w:r>
              <w:t>244</w:t>
            </w:r>
          </w:p>
        </w:tc>
        <w:tc>
          <w:tcPr>
            <w:tcW w:w="1447" w:type="dxa"/>
            <w:vAlign w:val="bottom"/>
          </w:tcPr>
          <w:p w:rsidRPr="00096854" w:rsidR="00096854" w:rsidP="00096854" w:rsidRDefault="003B03CF" w14:paraId="2F36893E" w14:textId="4929BCAF">
            <w:pPr>
              <w:pStyle w:val="FERCparanumber"/>
              <w:numPr>
                <w:ilvl w:val="0"/>
                <w:numId w:val="0"/>
              </w:numPr>
              <w:spacing w:line="240" w:lineRule="auto"/>
              <w:jc w:val="right"/>
            </w:pPr>
            <w:r>
              <w:t>1</w:t>
            </w:r>
          </w:p>
        </w:tc>
        <w:tc>
          <w:tcPr>
            <w:tcW w:w="1258" w:type="dxa"/>
            <w:vAlign w:val="bottom"/>
          </w:tcPr>
          <w:p w:rsidRPr="00096854" w:rsidR="00096854" w:rsidP="00096854" w:rsidRDefault="00160437" w14:paraId="5A3BCC97" w14:textId="4B0BF7AA">
            <w:pPr>
              <w:pStyle w:val="FERCparanumber"/>
              <w:numPr>
                <w:ilvl w:val="0"/>
                <w:numId w:val="0"/>
              </w:numPr>
              <w:spacing w:line="240" w:lineRule="auto"/>
              <w:jc w:val="right"/>
            </w:pPr>
            <w:r>
              <w:t>244</w:t>
            </w:r>
          </w:p>
        </w:tc>
        <w:tc>
          <w:tcPr>
            <w:tcW w:w="1258" w:type="dxa"/>
            <w:vAlign w:val="bottom"/>
          </w:tcPr>
          <w:p w:rsidRPr="00096854" w:rsidR="00096854" w:rsidP="00096854" w:rsidRDefault="00096854" w14:paraId="4324981E" w14:textId="77777777">
            <w:pPr>
              <w:pStyle w:val="FERCparanumber"/>
              <w:numPr>
                <w:ilvl w:val="0"/>
                <w:numId w:val="0"/>
              </w:numPr>
              <w:spacing w:line="240" w:lineRule="auto"/>
              <w:jc w:val="right"/>
            </w:pPr>
          </w:p>
        </w:tc>
        <w:tc>
          <w:tcPr>
            <w:tcW w:w="1438" w:type="dxa"/>
            <w:vAlign w:val="bottom"/>
          </w:tcPr>
          <w:p w:rsidRPr="00096854" w:rsidR="00096854" w:rsidP="00096854" w:rsidRDefault="00096854" w14:paraId="6DEC99E0" w14:textId="7779F4A1">
            <w:pPr>
              <w:pStyle w:val="FERCparanumber"/>
              <w:numPr>
                <w:ilvl w:val="0"/>
                <w:numId w:val="0"/>
              </w:numPr>
              <w:spacing w:line="240" w:lineRule="auto"/>
              <w:jc w:val="right"/>
            </w:pPr>
            <w:r w:rsidRPr="00096854">
              <w:rPr>
                <w:rFonts w:eastAsia="Calibri"/>
              </w:rPr>
              <w:t>$3,</w:t>
            </w:r>
            <w:r w:rsidR="003C6A46">
              <w:rPr>
                <w:rFonts w:eastAsia="Calibri"/>
              </w:rPr>
              <w:t>66</w:t>
            </w:r>
            <w:r w:rsidR="00160437">
              <w:rPr>
                <w:rFonts w:eastAsia="Calibri"/>
              </w:rPr>
              <w:t>9</w:t>
            </w:r>
            <w:r w:rsidRPr="00096854">
              <w:rPr>
                <w:rFonts w:eastAsia="Calibri"/>
              </w:rPr>
              <w:t>,</w:t>
            </w:r>
            <w:r w:rsidR="00160437">
              <w:rPr>
                <w:rFonts w:eastAsia="Calibri"/>
              </w:rPr>
              <w:t>760</w:t>
            </w:r>
          </w:p>
        </w:tc>
        <w:tc>
          <w:tcPr>
            <w:tcW w:w="1253" w:type="dxa"/>
            <w:vAlign w:val="bottom"/>
          </w:tcPr>
          <w:p w:rsidRPr="00096854" w:rsidR="00096854" w:rsidP="00096854" w:rsidRDefault="00096854" w14:paraId="28D8248E" w14:textId="63240252">
            <w:pPr>
              <w:pStyle w:val="FERCparanumber"/>
              <w:numPr>
                <w:ilvl w:val="0"/>
                <w:numId w:val="0"/>
              </w:numPr>
              <w:spacing w:line="240" w:lineRule="auto"/>
              <w:jc w:val="right"/>
            </w:pPr>
            <w:r w:rsidRPr="00096854">
              <w:rPr>
                <w:rFonts w:eastAsia="Calibri"/>
              </w:rPr>
              <w:t>$</w:t>
            </w:r>
            <w:r w:rsidR="003C6A46">
              <w:rPr>
                <w:rFonts w:eastAsia="Calibri"/>
              </w:rPr>
              <w:t>15,040</w:t>
            </w:r>
          </w:p>
        </w:tc>
      </w:tr>
    </w:tbl>
    <w:p w:rsidR="00280677" w:rsidP="00280677" w:rsidRDefault="00280677" w14:paraId="206C7FBE" w14:textId="77777777">
      <w:pPr>
        <w:pStyle w:val="FERCparanumber"/>
        <w:rPr>
          <w:rFonts w:eastAsia="Times New Roman"/>
          <w:szCs w:val="20"/>
        </w:rPr>
      </w:pPr>
      <w:r>
        <w:lastRenderedPageBreak/>
        <w:t>This additional one-time burden is expected to be imposed in Year 1.</w:t>
      </w:r>
    </w:p>
    <w:p w:rsidR="00280677" w:rsidP="00280677" w:rsidRDefault="00280677" w14:paraId="3C225AF5" w14:textId="1485BB38">
      <w:pPr>
        <w:pStyle w:val="FERCparanumber"/>
      </w:pPr>
      <w:r w:rsidRPr="00280677">
        <w:t xml:space="preserve">Title:  FERC Form No. 6, Annual Report </w:t>
      </w:r>
      <w:r w:rsidRPr="00280677" w:rsidR="006D1B52">
        <w:t>of</w:t>
      </w:r>
      <w:r w:rsidRPr="00280677">
        <w:t xml:space="preserve"> Oil Pipeline Companies</w:t>
      </w:r>
    </w:p>
    <w:p w:rsidR="00280677" w:rsidP="00280677" w:rsidRDefault="00280677" w14:paraId="150AD9D9" w14:textId="309B06EB">
      <w:pPr>
        <w:widowControl/>
        <w:spacing w:line="480" w:lineRule="auto"/>
        <w:rPr>
          <w:rFonts w:eastAsia="Times New Roman"/>
          <w:szCs w:val="24"/>
        </w:rPr>
      </w:pPr>
      <w:r>
        <w:rPr>
          <w:rFonts w:eastAsia="Times New Roman"/>
          <w:szCs w:val="24"/>
          <w:u w:val="single"/>
        </w:rPr>
        <w:t>Action</w:t>
      </w:r>
      <w:r>
        <w:rPr>
          <w:rFonts w:eastAsia="Times New Roman"/>
          <w:szCs w:val="24"/>
        </w:rPr>
        <w:t>:  Revision to FERC Form No.</w:t>
      </w:r>
      <w:r w:rsidR="00514026">
        <w:rPr>
          <w:rFonts w:eastAsia="Times New Roman"/>
          <w:szCs w:val="24"/>
        </w:rPr>
        <w:t xml:space="preserve"> </w:t>
      </w:r>
      <w:r>
        <w:rPr>
          <w:rFonts w:eastAsia="Times New Roman"/>
          <w:szCs w:val="24"/>
        </w:rPr>
        <w:t>6</w:t>
      </w:r>
      <w:r w:rsidR="006D1B52">
        <w:rPr>
          <w:rFonts w:eastAsia="Times New Roman"/>
          <w:szCs w:val="24"/>
        </w:rPr>
        <w:t>, page 700</w:t>
      </w:r>
      <w:r>
        <w:rPr>
          <w:rFonts w:eastAsia="Times New Roman"/>
          <w:szCs w:val="24"/>
        </w:rPr>
        <w:t>.</w:t>
      </w:r>
    </w:p>
    <w:p w:rsidR="00280677" w:rsidP="00280677" w:rsidRDefault="00280677" w14:paraId="5C54145A" w14:textId="77777777">
      <w:pPr>
        <w:widowControl/>
        <w:spacing w:line="480" w:lineRule="auto"/>
        <w:rPr>
          <w:rFonts w:eastAsia="Times New Roman"/>
          <w:szCs w:val="24"/>
        </w:rPr>
      </w:pPr>
      <w:r>
        <w:rPr>
          <w:rFonts w:eastAsia="Times New Roman"/>
          <w:szCs w:val="24"/>
          <w:u w:val="single"/>
        </w:rPr>
        <w:t>OMB Control No</w:t>
      </w:r>
      <w:r>
        <w:rPr>
          <w:rFonts w:eastAsia="Times New Roman"/>
          <w:szCs w:val="24"/>
        </w:rPr>
        <w:t>.: 1902-0022</w:t>
      </w:r>
      <w:r>
        <w:rPr>
          <w:rFonts w:eastAsia="Times New Roman"/>
          <w:szCs w:val="26"/>
        </w:rPr>
        <w:t>.</w:t>
      </w:r>
    </w:p>
    <w:p w:rsidR="00280677" w:rsidP="00280677" w:rsidRDefault="00280677" w14:paraId="209D9537" w14:textId="77777777">
      <w:pPr>
        <w:widowControl/>
        <w:spacing w:line="480" w:lineRule="auto"/>
        <w:rPr>
          <w:rFonts w:eastAsia="Times New Roman"/>
          <w:szCs w:val="24"/>
        </w:rPr>
      </w:pPr>
      <w:r>
        <w:rPr>
          <w:rFonts w:eastAsia="Times New Roman"/>
          <w:szCs w:val="24"/>
          <w:u w:val="single"/>
        </w:rPr>
        <w:t>Respondents</w:t>
      </w:r>
      <w:r>
        <w:rPr>
          <w:rFonts w:eastAsia="Times New Roman"/>
          <w:szCs w:val="24"/>
        </w:rPr>
        <w:t>:  Oil pipelines.</w:t>
      </w:r>
    </w:p>
    <w:p w:rsidR="00280677" w:rsidP="00280677" w:rsidRDefault="00280677" w14:paraId="5872349F" w14:textId="1D7AD71F">
      <w:pPr>
        <w:widowControl/>
        <w:spacing w:line="480" w:lineRule="auto"/>
        <w:rPr>
          <w:rFonts w:eastAsia="Times New Roman"/>
          <w:szCs w:val="24"/>
        </w:rPr>
      </w:pPr>
      <w:r>
        <w:rPr>
          <w:rFonts w:eastAsia="Times New Roman"/>
          <w:szCs w:val="24"/>
          <w:u w:val="single"/>
        </w:rPr>
        <w:t>Frequency of Responses</w:t>
      </w:r>
      <w:r>
        <w:rPr>
          <w:rFonts w:eastAsia="Times New Roman"/>
          <w:szCs w:val="24"/>
        </w:rPr>
        <w:t xml:space="preserve">:  One </w:t>
      </w:r>
      <w:r w:rsidR="00D54D9B">
        <w:rPr>
          <w:rFonts w:eastAsia="Times New Roman"/>
          <w:szCs w:val="24"/>
        </w:rPr>
        <w:t>t</w:t>
      </w:r>
      <w:r>
        <w:rPr>
          <w:rFonts w:eastAsia="Times New Roman"/>
          <w:szCs w:val="24"/>
        </w:rPr>
        <w:t>ime</w:t>
      </w:r>
      <w:r w:rsidR="00D54D9B">
        <w:rPr>
          <w:rFonts w:eastAsia="Times New Roman"/>
          <w:szCs w:val="24"/>
        </w:rPr>
        <w:t>.</w:t>
      </w:r>
    </w:p>
    <w:p w:rsidRPr="009D7C1C" w:rsidR="00280677" w:rsidP="00572698" w:rsidRDefault="00280677" w14:paraId="2DC65C1E" w14:textId="6662E333">
      <w:pPr>
        <w:widowControl/>
        <w:spacing w:line="480" w:lineRule="auto"/>
      </w:pPr>
      <w:r>
        <w:rPr>
          <w:rFonts w:eastAsia="Times New Roman"/>
          <w:szCs w:val="24"/>
          <w:u w:val="single"/>
        </w:rPr>
        <w:t>Necessity of the Information</w:t>
      </w:r>
      <w:r>
        <w:rPr>
          <w:rFonts w:eastAsia="Times New Roman"/>
          <w:szCs w:val="24"/>
        </w:rPr>
        <w:t xml:space="preserve">:  </w:t>
      </w:r>
      <w:r w:rsidR="00751F3C">
        <w:rPr>
          <w:rFonts w:eastAsia="Times New Roman"/>
          <w:szCs w:val="24"/>
        </w:rPr>
        <w:t>As established in Order No. 561,</w:t>
      </w:r>
      <w:r w:rsidR="00751F3C">
        <w:rPr>
          <w:rStyle w:val="FootnoteReference"/>
          <w:rFonts w:eastAsia="Times New Roman"/>
          <w:szCs w:val="24"/>
        </w:rPr>
        <w:footnoteReference w:id="198"/>
      </w:r>
      <w:r w:rsidR="00751F3C">
        <w:rPr>
          <w:rFonts w:eastAsia="Times New Roman"/>
          <w:szCs w:val="24"/>
        </w:rPr>
        <w:t xml:space="preserve"> oil pipelines may increase their existing transportation rates on an annual basis using an industry-wide index.  The Commission reviews the index level every five years.</w:t>
      </w:r>
      <w:r w:rsidR="00751F3C">
        <w:rPr>
          <w:rStyle w:val="FootnoteReference"/>
          <w:rFonts w:eastAsia="Times New Roman"/>
          <w:szCs w:val="24"/>
        </w:rPr>
        <w:footnoteReference w:id="199"/>
      </w:r>
      <w:r>
        <w:rPr>
          <w:rFonts w:eastAsia="Times New Roman"/>
          <w:szCs w:val="24"/>
        </w:rPr>
        <w:t xml:space="preserve"> </w:t>
      </w:r>
      <w:r w:rsidR="009F6EFD">
        <w:rPr>
          <w:rFonts w:eastAsia="Times New Roman"/>
          <w:szCs w:val="24"/>
        </w:rPr>
        <w:t xml:space="preserve"> </w:t>
      </w:r>
      <w:r w:rsidR="006116D0">
        <w:rPr>
          <w:rFonts w:eastAsia="Times New Roman"/>
          <w:szCs w:val="24"/>
        </w:rPr>
        <w:t>In the five-year review, the</w:t>
      </w:r>
      <w:r w:rsidR="009F6EFD">
        <w:rPr>
          <w:rFonts w:eastAsia="Times New Roman"/>
          <w:szCs w:val="24"/>
        </w:rPr>
        <w:t xml:space="preserve"> Commission </w:t>
      </w:r>
      <w:r w:rsidR="001F078C">
        <w:rPr>
          <w:rFonts w:eastAsia="Times New Roman"/>
          <w:szCs w:val="24"/>
        </w:rPr>
        <w:t>establishes</w:t>
      </w:r>
      <w:r w:rsidR="006116D0">
        <w:rPr>
          <w:rFonts w:eastAsia="Times New Roman"/>
          <w:szCs w:val="24"/>
        </w:rPr>
        <w:t xml:space="preserve"> the index level based upon a methodology </w:t>
      </w:r>
      <w:r w:rsidR="00F46693">
        <w:rPr>
          <w:rFonts w:eastAsia="Times New Roman"/>
          <w:szCs w:val="24"/>
        </w:rPr>
        <w:t>that</w:t>
      </w:r>
      <w:r w:rsidR="00625B7F">
        <w:rPr>
          <w:rFonts w:eastAsia="Times New Roman"/>
          <w:szCs w:val="24"/>
        </w:rPr>
        <w:t xml:space="preserve"> calculat</w:t>
      </w:r>
      <w:r w:rsidR="00F46693">
        <w:rPr>
          <w:rFonts w:eastAsia="Times New Roman"/>
          <w:szCs w:val="24"/>
        </w:rPr>
        <w:t>es</w:t>
      </w:r>
      <w:r w:rsidR="006116D0">
        <w:rPr>
          <w:rFonts w:eastAsia="Times New Roman"/>
          <w:szCs w:val="24"/>
        </w:rPr>
        <w:t xml:space="preserve"> pipeline</w:t>
      </w:r>
      <w:r w:rsidR="00751F3C">
        <w:rPr>
          <w:rFonts w:eastAsia="Times New Roman"/>
          <w:szCs w:val="24"/>
        </w:rPr>
        <w:t xml:space="preserve"> </w:t>
      </w:r>
      <w:r w:rsidR="006116D0">
        <w:rPr>
          <w:rFonts w:eastAsia="Times New Roman"/>
          <w:szCs w:val="24"/>
        </w:rPr>
        <w:t>cost change</w:t>
      </w:r>
      <w:r w:rsidR="00751F3C">
        <w:rPr>
          <w:rFonts w:eastAsia="Times New Roman"/>
          <w:szCs w:val="24"/>
        </w:rPr>
        <w:t>s</w:t>
      </w:r>
      <w:r w:rsidR="006116D0">
        <w:rPr>
          <w:rFonts w:eastAsia="Times New Roman"/>
          <w:szCs w:val="24"/>
        </w:rPr>
        <w:t xml:space="preserve"> on a per barrel-mile basis based upon FERC Form No. 6, page 700 data.</w:t>
      </w:r>
      <w:r w:rsidR="006116D0">
        <w:rPr>
          <w:rStyle w:val="FootnoteReference"/>
          <w:rFonts w:eastAsia="Times New Roman"/>
          <w:szCs w:val="24"/>
        </w:rPr>
        <w:footnoteReference w:id="200"/>
      </w:r>
      <w:r w:rsidR="00751F3C">
        <w:rPr>
          <w:rFonts w:eastAsia="Times New Roman"/>
          <w:szCs w:val="24"/>
        </w:rPr>
        <w:t xml:space="preserve">  Depending upon the record developed in the 2020 five-year review of the oil pipeline index, the Commission will consider using the updated FERC Form No. </w:t>
      </w:r>
      <w:r w:rsidR="00CF6FA4">
        <w:rPr>
          <w:rFonts w:eastAsia="Times New Roman"/>
          <w:szCs w:val="24"/>
        </w:rPr>
        <w:t>6,</w:t>
      </w:r>
      <w:r w:rsidR="00751F3C">
        <w:rPr>
          <w:rFonts w:eastAsia="Times New Roman"/>
          <w:szCs w:val="24"/>
        </w:rPr>
        <w:t xml:space="preserve"> page 700 </w:t>
      </w:r>
      <w:r w:rsidR="00CF6FA4">
        <w:rPr>
          <w:rFonts w:eastAsia="Times New Roman"/>
          <w:szCs w:val="24"/>
        </w:rPr>
        <w:t>data</w:t>
      </w:r>
      <w:r w:rsidR="00751F3C">
        <w:rPr>
          <w:rFonts w:eastAsia="Times New Roman"/>
          <w:szCs w:val="24"/>
        </w:rPr>
        <w:t xml:space="preserve"> for 2019 in that proceeding.</w:t>
      </w:r>
    </w:p>
    <w:p w:rsidR="00D9696B" w:rsidP="009D7C1C" w:rsidRDefault="00D9696B" w14:paraId="5192A2BE" w14:textId="25956729">
      <w:pPr>
        <w:pStyle w:val="FERCparanumber"/>
      </w:pPr>
      <w:r>
        <w:rPr>
          <w:rFonts w:eastAsia="Times New Roman"/>
          <w:szCs w:val="26"/>
        </w:rPr>
        <w:t>Interested</w:t>
      </w:r>
      <w:r>
        <w:rPr>
          <w:rFonts w:eastAsia="Times New Roman"/>
          <w:szCs w:val="24"/>
        </w:rPr>
        <w:t xml:space="preserve"> persons may obtain information on the reporting requirements by contacting the following:  Federal Energy Regulatory Commission, 888 First Street NE, </w:t>
      </w:r>
      <w:r>
        <w:rPr>
          <w:rFonts w:eastAsia="Times New Roman"/>
          <w:szCs w:val="24"/>
        </w:rPr>
        <w:lastRenderedPageBreak/>
        <w:t>Washington, DC  20426 [Attention:  Ellen Brown, Office of the Executive Director, e-mail:  DataClearance@ferc.gov and phone: (202) 502-8663].</w:t>
      </w:r>
    </w:p>
    <w:p w:rsidRPr="00280677" w:rsidR="00280677" w:rsidP="009D7C1C" w:rsidRDefault="00280677" w14:paraId="4A0DA882" w14:textId="58318ED1">
      <w:pPr>
        <w:pStyle w:val="FERCparanumber"/>
      </w:pPr>
      <w:r w:rsidRPr="00280677">
        <w:t xml:space="preserve">Please send comments concerning the collection of information and the associated burden estimates to:  Office of Information and Regulatory Affairs, Office of Management and Budget [Attention: </w:t>
      </w:r>
      <w:r w:rsidRPr="00280677">
        <w:rPr>
          <w:iCs/>
        </w:rPr>
        <w:t>Federal Energy Regulatory Commission Desk Officer</w:t>
      </w:r>
      <w:r w:rsidRPr="00280677">
        <w:t xml:space="preserve">].  Due to security concerns, comments should be sent directly to </w:t>
      </w:r>
      <w:hyperlink w:history="1" r:id="rId19">
        <w:r w:rsidRPr="00280677">
          <w:rPr>
            <w:rStyle w:val="Hyperlink"/>
          </w:rPr>
          <w:t>www.reginfo.gov/public/do/PRAMain</w:t>
        </w:r>
      </w:hyperlink>
      <w:r w:rsidRPr="00280677">
        <w:t xml:space="preserve">.  Comments submitted to OMB should be sent </w:t>
      </w:r>
      <w:r w:rsidRPr="00280677">
        <w:rPr>
          <w:iCs/>
        </w:rPr>
        <w:t xml:space="preserve">within 30 days of publication of this notice in the Federal Register </w:t>
      </w:r>
      <w:r w:rsidRPr="00280677">
        <w:t>and refer to FERC Form No. 6 and OMB Control No. 1902-0022.</w:t>
      </w:r>
    </w:p>
    <w:p w:rsidRPr="00A17C75" w:rsidR="003679BF" w:rsidP="003679BF" w:rsidRDefault="003679BF" w14:paraId="4AC6B54D" w14:textId="2DEAD105">
      <w:pPr>
        <w:pStyle w:val="Heading1"/>
        <w:rPr>
          <w:szCs w:val="26"/>
        </w:rPr>
      </w:pPr>
      <w:r w:rsidRPr="00A17C75">
        <w:rPr>
          <w:szCs w:val="26"/>
        </w:rPr>
        <w:t>Document Availability</w:t>
      </w:r>
    </w:p>
    <w:p w:rsidRPr="00A17C75" w:rsidR="003679BF" w:rsidP="00454A58" w:rsidRDefault="003679BF" w14:paraId="442623FD" w14:textId="557FFCD7">
      <w:pPr>
        <w:pStyle w:val="FERCparanumber"/>
        <w:rPr>
          <w:szCs w:val="26"/>
        </w:rPr>
      </w:pPr>
      <w:r w:rsidRPr="00A17C75">
        <w:rPr>
          <w:szCs w:val="26"/>
        </w:rPr>
        <w:t xml:space="preserve">In addition to publishing the full text of this document in the Federal Register, the Commission provides all interested persons an opportunity to view and/or print the contents of this document via the Internet through </w:t>
      </w:r>
      <w:r w:rsidR="00C44EA7">
        <w:rPr>
          <w:szCs w:val="26"/>
        </w:rPr>
        <w:t>the Commission</w:t>
      </w:r>
      <w:r w:rsidR="009554DC">
        <w:rPr>
          <w:szCs w:val="26"/>
        </w:rPr>
        <w:t>’s</w:t>
      </w:r>
      <w:r w:rsidRPr="00A17C75">
        <w:rPr>
          <w:szCs w:val="26"/>
        </w:rPr>
        <w:t xml:space="preserve"> Home Page (</w:t>
      </w:r>
      <w:hyperlink w:history="1" r:id="rId20">
        <w:r w:rsidRPr="007508CC" w:rsidR="00BD0218">
          <w:rPr>
            <w:rStyle w:val="Hyperlink"/>
            <w:szCs w:val="26"/>
          </w:rPr>
          <w:t>http://www.ferc.gov</w:t>
        </w:r>
      </w:hyperlink>
      <w:r w:rsidR="00BD0218">
        <w:rPr>
          <w:szCs w:val="26"/>
        </w:rPr>
        <w:t>)</w:t>
      </w:r>
      <w:r w:rsidRPr="00A17C75">
        <w:rPr>
          <w:szCs w:val="26"/>
        </w:rPr>
        <w:t>)</w:t>
      </w:r>
      <w:r w:rsidR="00402603">
        <w:rPr>
          <w:szCs w:val="26"/>
        </w:rPr>
        <w:t>.  At this time, the Commission has suspended access to the Commission’s Public Reference Room, due to the proclamation declaring a National Emergency concerning the Novel Coronavirus Disease (COVID-19), issued by the President on March 13, 2020.</w:t>
      </w:r>
    </w:p>
    <w:p w:rsidRPr="00A17C75" w:rsidR="003679BF" w:rsidP="00454A58" w:rsidRDefault="003679BF" w14:paraId="063F72A9" w14:textId="0ADDE4A7">
      <w:pPr>
        <w:pStyle w:val="FERCparanumber"/>
        <w:rPr>
          <w:szCs w:val="26"/>
        </w:rPr>
      </w:pPr>
      <w:r w:rsidRPr="00A17C75">
        <w:rPr>
          <w:szCs w:val="26"/>
        </w:rPr>
        <w:t xml:space="preserve">From </w:t>
      </w:r>
      <w:r w:rsidR="00C44EA7">
        <w:rPr>
          <w:szCs w:val="26"/>
        </w:rPr>
        <w:t>the Commission’</w:t>
      </w:r>
      <w:r w:rsidRPr="00A17C75">
        <w:rPr>
          <w:szCs w:val="26"/>
        </w:rPr>
        <w:t>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Pr="00A17C75" w:rsidR="003679BF" w:rsidP="00454A58" w:rsidRDefault="003679BF" w14:paraId="4B1E7764" w14:textId="10961409">
      <w:pPr>
        <w:pStyle w:val="FERCparanumber"/>
        <w:rPr>
          <w:szCs w:val="26"/>
        </w:rPr>
      </w:pPr>
      <w:r w:rsidRPr="00A17C75">
        <w:rPr>
          <w:szCs w:val="26"/>
        </w:rPr>
        <w:lastRenderedPageBreak/>
        <w:t xml:space="preserve">User assistance is available for eLibrary and the </w:t>
      </w:r>
      <w:r w:rsidR="00C44EA7">
        <w:rPr>
          <w:szCs w:val="26"/>
        </w:rPr>
        <w:t>Commission’s</w:t>
      </w:r>
      <w:r w:rsidRPr="00A17C75">
        <w:rPr>
          <w:szCs w:val="26"/>
        </w:rPr>
        <w:t xml:space="preserve"> website during normal business hours from </w:t>
      </w:r>
      <w:r w:rsidR="00C44EA7">
        <w:rPr>
          <w:szCs w:val="26"/>
        </w:rPr>
        <w:t>the Commission’s</w:t>
      </w:r>
      <w:r w:rsidRPr="00A17C75">
        <w:rPr>
          <w:szCs w:val="26"/>
        </w:rPr>
        <w:t xml:space="preserve"> Online Support at </w:t>
      </w:r>
      <w:r w:rsidR="00C44EA7">
        <w:rPr>
          <w:szCs w:val="26"/>
        </w:rPr>
        <w:t>(</w:t>
      </w:r>
      <w:r w:rsidRPr="00A17C75">
        <w:rPr>
          <w:szCs w:val="26"/>
        </w:rPr>
        <w:t>202</w:t>
      </w:r>
      <w:r w:rsidR="00C44EA7">
        <w:rPr>
          <w:szCs w:val="26"/>
        </w:rPr>
        <w:t xml:space="preserve">) </w:t>
      </w:r>
      <w:r w:rsidRPr="00A17C75">
        <w:rPr>
          <w:szCs w:val="26"/>
        </w:rPr>
        <w:t xml:space="preserve">502-6652 (toll free at 1-866-208-3676) or email at </w:t>
      </w:r>
      <w:hyperlink w:history="1" r:id="rId21">
        <w:r w:rsidRPr="007508CC" w:rsidR="00BD0218">
          <w:rPr>
            <w:rStyle w:val="Hyperlink"/>
          </w:rPr>
          <w:t>ferconlinesupport@ferc.gov</w:t>
        </w:r>
      </w:hyperlink>
      <w:r w:rsidR="00BD0218">
        <w:t>,</w:t>
      </w:r>
      <w:r w:rsidRPr="00A17C75">
        <w:rPr>
          <w:szCs w:val="26"/>
        </w:rPr>
        <w:t xml:space="preserve"> or the Public Reference Room at (202) 502-8371, TTY (202)</w:t>
      </w:r>
      <w:r w:rsidR="00C44EA7">
        <w:rPr>
          <w:szCs w:val="26"/>
        </w:rPr>
        <w:t xml:space="preserve"> </w:t>
      </w:r>
      <w:r w:rsidRPr="00A17C75">
        <w:rPr>
          <w:szCs w:val="26"/>
        </w:rPr>
        <w:t xml:space="preserve">502-8659.  E-mail the Public Reference Room at </w:t>
      </w:r>
      <w:hyperlink w:history="1" r:id="rId22">
        <w:r w:rsidRPr="007508CC" w:rsidR="00BD0218">
          <w:rPr>
            <w:rStyle w:val="Hyperlink"/>
          </w:rPr>
          <w:t>public.referenceroom@ferc.gov</w:t>
        </w:r>
      </w:hyperlink>
      <w:r w:rsidR="00BD0218">
        <w:t>.</w:t>
      </w:r>
    </w:p>
    <w:p w:rsidRPr="00A17C75" w:rsidR="003679BF" w:rsidP="003679BF" w:rsidRDefault="003679BF" w14:paraId="6AD7016E" w14:textId="77777777">
      <w:pPr>
        <w:pStyle w:val="Heading1"/>
        <w:rPr>
          <w:szCs w:val="26"/>
        </w:rPr>
      </w:pPr>
      <w:r w:rsidRPr="00A17C75">
        <w:rPr>
          <w:szCs w:val="26"/>
        </w:rPr>
        <w:t>Effective Date</w:t>
      </w:r>
    </w:p>
    <w:p w:rsidRPr="00A17C75" w:rsidR="003679BF" w:rsidP="00B64C34" w:rsidRDefault="003679BF" w14:paraId="555ECB73" w14:textId="77777777">
      <w:pPr>
        <w:pStyle w:val="FERCparanumber"/>
        <w:rPr>
          <w:szCs w:val="26"/>
        </w:rPr>
      </w:pPr>
      <w:r w:rsidRPr="00A17C75">
        <w:rPr>
          <w:szCs w:val="26"/>
        </w:rPr>
        <w:t xml:space="preserve">This Policy Statement will become effective [date of publication in the </w:t>
      </w:r>
      <w:r w:rsidRPr="00A17C75">
        <w:rPr>
          <w:i/>
          <w:szCs w:val="26"/>
        </w:rPr>
        <w:t>Federal Register</w:t>
      </w:r>
      <w:r w:rsidRPr="00A17C75">
        <w:rPr>
          <w:szCs w:val="26"/>
        </w:rPr>
        <w:t>].</w:t>
      </w:r>
    </w:p>
    <w:p w:rsidR="003679BF" w:rsidP="00B64C34" w:rsidRDefault="003679BF" w14:paraId="30AFE999" w14:textId="3E17D4CC">
      <w:pPr>
        <w:rPr>
          <w:szCs w:val="26"/>
        </w:rPr>
      </w:pPr>
      <w:r w:rsidRPr="00A17C75">
        <w:rPr>
          <w:szCs w:val="26"/>
        </w:rPr>
        <w:t>By the Commission.</w:t>
      </w:r>
    </w:p>
    <w:p w:rsidR="007C655F" w:rsidP="00B64C34" w:rsidRDefault="007C655F" w14:paraId="334B6AC8" w14:textId="6F4C4EE0">
      <w:pPr>
        <w:rPr>
          <w:szCs w:val="26"/>
        </w:rPr>
      </w:pPr>
    </w:p>
    <w:p w:rsidR="007C655F" w:rsidP="007C655F" w:rsidRDefault="007C655F" w14:paraId="5D7AC782" w14:textId="46027ABE">
      <w:pPr>
        <w:widowControl/>
        <w:rPr>
          <w:szCs w:val="26"/>
        </w:rPr>
      </w:pPr>
      <w:r w:rsidRPr="007C655F">
        <w:rPr>
          <w:szCs w:val="26"/>
        </w:rPr>
        <w:t>( S E A L )</w:t>
      </w:r>
    </w:p>
    <w:p w:rsidR="007C655F" w:rsidP="007C655F" w:rsidRDefault="007C655F" w14:paraId="682BB498" w14:textId="6FBC28CC">
      <w:pPr>
        <w:widowControl/>
        <w:rPr>
          <w:szCs w:val="26"/>
        </w:rPr>
      </w:pPr>
    </w:p>
    <w:p w:rsidR="007C655F" w:rsidP="007C655F" w:rsidRDefault="007C655F" w14:paraId="2076046F" w14:textId="6A94E692">
      <w:pPr>
        <w:widowControl/>
        <w:rPr>
          <w:szCs w:val="26"/>
        </w:rPr>
      </w:pPr>
    </w:p>
    <w:p w:rsidR="007C655F" w:rsidP="007C655F" w:rsidRDefault="007C655F" w14:paraId="6D5E5D7B" w14:textId="58352DD8">
      <w:pPr>
        <w:widowControl/>
        <w:rPr>
          <w:szCs w:val="26"/>
        </w:rPr>
      </w:pPr>
    </w:p>
    <w:p w:rsidR="007C655F" w:rsidP="007C655F" w:rsidRDefault="007C655F" w14:paraId="0B2CA28B" w14:textId="4A6477A0">
      <w:pPr>
        <w:widowControl/>
        <w:rPr>
          <w:szCs w:val="26"/>
        </w:rPr>
      </w:pPr>
    </w:p>
    <w:p w:rsidRPr="007C655F" w:rsidR="007C655F" w:rsidP="007C655F" w:rsidRDefault="007C655F" w14:paraId="0B4E19C2" w14:textId="4404D633">
      <w:pPr>
        <w:widowControl/>
        <w:ind w:firstLine="2606"/>
        <w:jc w:val="center"/>
      </w:pPr>
      <w:r w:rsidRPr="007C655F">
        <w:t>Nathaniel J. Davis, Sr.,</w:t>
      </w:r>
    </w:p>
    <w:p w:rsidRPr="007C655F" w:rsidR="007C655F" w:rsidP="007C655F" w:rsidRDefault="007C655F" w14:paraId="5C0F3810" w14:textId="089A44C3">
      <w:pPr>
        <w:widowControl/>
        <w:ind w:firstLine="2606"/>
        <w:jc w:val="center"/>
      </w:pPr>
      <w:r w:rsidRPr="007C655F">
        <w:t>Deputy Secretary.</w:t>
      </w:r>
    </w:p>
    <w:p w:rsidRPr="007C655F" w:rsidR="007C655F" w:rsidP="007C655F" w:rsidRDefault="007C655F" w14:paraId="7FED0C7B" w14:textId="77777777">
      <w:pPr>
        <w:widowControl/>
        <w:rPr>
          <w:szCs w:val="26"/>
        </w:rPr>
      </w:pPr>
    </w:p>
    <w:p w:rsidRPr="00A17C75" w:rsidR="003679BF" w:rsidP="00B64C34" w:rsidRDefault="003679BF" w14:paraId="11180503" w14:textId="77777777">
      <w:pPr>
        <w:rPr>
          <w:szCs w:val="26"/>
        </w:rPr>
      </w:pPr>
    </w:p>
    <w:p w:rsidRPr="00A17C75" w:rsidR="003679BF" w:rsidP="00454A58" w:rsidRDefault="003679BF" w14:paraId="61850114" w14:textId="77777777">
      <w:pPr>
        <w:rPr>
          <w:szCs w:val="26"/>
        </w:rPr>
      </w:pPr>
    </w:p>
    <w:p w:rsidRPr="00A17C75" w:rsidR="002870A9" w:rsidP="00FD3D3B" w:rsidRDefault="002870A9" w14:paraId="468756EC" w14:textId="77777777">
      <w:pPr>
        <w:rPr>
          <w:szCs w:val="26"/>
        </w:rPr>
      </w:pPr>
    </w:p>
    <w:sectPr w:rsidRPr="00A17C75" w:rsidR="002870A9" w:rsidSect="003679B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28BB2" w14:textId="77777777" w:rsidR="00E835EE" w:rsidRDefault="00E835EE" w:rsidP="0048020B">
      <w:r>
        <w:separator/>
      </w:r>
    </w:p>
  </w:endnote>
  <w:endnote w:type="continuationSeparator" w:id="0">
    <w:p w14:paraId="1AF6317A" w14:textId="77777777" w:rsidR="00E835EE" w:rsidRDefault="00E835EE" w:rsidP="0048020B">
      <w:r>
        <w:continuationSeparator/>
      </w:r>
    </w:p>
  </w:endnote>
  <w:endnote w:type="continuationNotice" w:id="1">
    <w:p w14:paraId="0BCEC449" w14:textId="77777777" w:rsidR="00E835EE" w:rsidRDefault="00E83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1000001" w:usb1="08070000" w:usb2="0704001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4589" w14:textId="77777777" w:rsidR="00E835EE" w:rsidRDefault="00E8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72F5" w14:textId="77777777" w:rsidR="00E835EE" w:rsidRDefault="00E83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9987" w14:textId="77777777" w:rsidR="00E835EE" w:rsidRDefault="00E835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CF04" w14:textId="77777777" w:rsidR="00E835EE" w:rsidRDefault="00E835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09FC" w14:textId="77777777" w:rsidR="00E835EE" w:rsidRDefault="00E835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96E3" w14:textId="77777777" w:rsidR="00E835EE" w:rsidRDefault="00E8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C5AC" w14:textId="77777777" w:rsidR="00E835EE" w:rsidRDefault="00E835EE" w:rsidP="0048020B">
      <w:r>
        <w:separator/>
      </w:r>
    </w:p>
  </w:footnote>
  <w:footnote w:type="continuationSeparator" w:id="0">
    <w:p w14:paraId="7610A934" w14:textId="77777777" w:rsidR="00E835EE" w:rsidRDefault="00E835EE" w:rsidP="0048020B">
      <w:r>
        <w:continuationSeparator/>
      </w:r>
    </w:p>
  </w:footnote>
  <w:footnote w:type="continuationNotice" w:id="1">
    <w:p w14:paraId="1E0A20EF" w14:textId="77777777" w:rsidR="00E835EE" w:rsidRPr="00156053" w:rsidRDefault="00E835EE" w:rsidP="00156053">
      <w:pPr>
        <w:spacing w:line="14" w:lineRule="exact"/>
        <w:rPr>
          <w:sz w:val="2"/>
        </w:rPr>
      </w:pPr>
    </w:p>
  </w:footnote>
  <w:footnote w:id="2">
    <w:p w14:paraId="0302B85A" w14:textId="6F3DF10D" w:rsidR="00E835EE" w:rsidRPr="00F41E46" w:rsidRDefault="00E835EE">
      <w:pPr>
        <w:pStyle w:val="FootnoteText"/>
      </w:pPr>
      <w:r>
        <w:rPr>
          <w:rStyle w:val="FootnoteReference"/>
        </w:rPr>
        <w:footnoteRef/>
      </w:r>
      <w:r>
        <w:t xml:space="preserve"> </w:t>
      </w:r>
      <w:r>
        <w:rPr>
          <w:i/>
          <w:iCs/>
        </w:rPr>
        <w:t>Inquiry Regarding the Commission’s Policy for Determining Return on Equity</w:t>
      </w:r>
      <w:r>
        <w:t>, 166 FERC ¶ 61,207, at P 1 (2019).</w:t>
      </w:r>
    </w:p>
  </w:footnote>
  <w:footnote w:id="3">
    <w:p w14:paraId="1A671729" w14:textId="77777777" w:rsidR="00E835EE" w:rsidRPr="00F41E46" w:rsidRDefault="00E835EE">
      <w:pPr>
        <w:pStyle w:val="FootnoteText"/>
        <w:rPr>
          <w:i/>
          <w:iCs/>
        </w:rPr>
      </w:pPr>
      <w:r>
        <w:rPr>
          <w:rStyle w:val="FootnoteReference"/>
        </w:rPr>
        <w:footnoteRef/>
      </w:r>
      <w:r>
        <w:t xml:space="preserve"> </w:t>
      </w:r>
      <w:r>
        <w:rPr>
          <w:i/>
          <w:iCs/>
        </w:rPr>
        <w:t>Id.</w:t>
      </w:r>
    </w:p>
  </w:footnote>
  <w:footnote w:id="4">
    <w:p w14:paraId="7FF037CA" w14:textId="77777777" w:rsidR="00E835EE" w:rsidRPr="00AA738F" w:rsidRDefault="00E835EE">
      <w:pPr>
        <w:pStyle w:val="FootnoteText"/>
      </w:pPr>
      <w:r>
        <w:rPr>
          <w:rStyle w:val="FootnoteReference"/>
        </w:rPr>
        <w:footnoteRef/>
      </w:r>
      <w:r>
        <w:t xml:space="preserve"> </w:t>
      </w:r>
      <w:r>
        <w:rPr>
          <w:i/>
          <w:iCs/>
        </w:rPr>
        <w:t>Ass’n of Bus. Advocating Tariff Equity v. Midcontinent Indep. Sys. Operator</w:t>
      </w:r>
      <w:r w:rsidRPr="00DC086F">
        <w:t>,</w:t>
      </w:r>
      <w:r>
        <w:rPr>
          <w:i/>
          <w:iCs/>
        </w:rPr>
        <w:t xml:space="preserve"> Inc.</w:t>
      </w:r>
      <w:r>
        <w:t>, Opinion No. 569, 169 FERC ¶ 61,129 (2019).</w:t>
      </w:r>
    </w:p>
  </w:footnote>
  <w:footnote w:id="5">
    <w:p w14:paraId="3D99448F" w14:textId="0BAD0C62" w:rsidR="00E835EE" w:rsidRDefault="00E835EE">
      <w:pPr>
        <w:pStyle w:val="FootnoteText"/>
      </w:pPr>
      <w:r>
        <w:rPr>
          <w:rStyle w:val="FootnoteReference"/>
        </w:rPr>
        <w:footnoteRef/>
      </w:r>
      <w:r>
        <w:t xml:space="preserve"> </w:t>
      </w:r>
      <w:r>
        <w:rPr>
          <w:i/>
          <w:iCs/>
        </w:rPr>
        <w:t>Ass’n of Bus. Advocating Tariff Equity v. Midcontinent Indep. Sys. Operator, Inc.</w:t>
      </w:r>
      <w:r>
        <w:t>,</w:t>
      </w:r>
      <w:r>
        <w:rPr>
          <w:i/>
          <w:iCs/>
        </w:rPr>
        <w:t xml:space="preserve"> </w:t>
      </w:r>
      <w:r>
        <w:t>Opinion No. 569-A, 171 FERC ¶ 61,154 (2020).</w:t>
      </w:r>
    </w:p>
  </w:footnote>
  <w:footnote w:id="6">
    <w:p w14:paraId="3A620457" w14:textId="77777777" w:rsidR="00E835EE" w:rsidRPr="003A69C8" w:rsidRDefault="00E835EE" w:rsidP="00C17389">
      <w:pPr>
        <w:pStyle w:val="FootnoteText"/>
      </w:pPr>
      <w:r>
        <w:rPr>
          <w:rStyle w:val="FootnoteReference"/>
        </w:rPr>
        <w:footnoteRef/>
      </w:r>
      <w:r>
        <w:t xml:space="preserve"> </w:t>
      </w:r>
      <w:r>
        <w:rPr>
          <w:i/>
          <w:iCs/>
        </w:rPr>
        <w:t>Fed. Power Comm’n v. Hope Nat. Gas Co.</w:t>
      </w:r>
      <w:r>
        <w:t xml:space="preserve">, 320 U.S. 591, 603 (1944) (citing </w:t>
      </w:r>
      <w:r>
        <w:rPr>
          <w:i/>
          <w:iCs/>
        </w:rPr>
        <w:t>Missouri ex rel. Sw. Bell Tel. Co. v. Pub. Serv. Comm’n of Mo.</w:t>
      </w:r>
      <w:r>
        <w:t>, 262 U.S. 276, 291 (1923) (Brandeis, J., concurring)).</w:t>
      </w:r>
    </w:p>
  </w:footnote>
  <w:footnote w:id="7">
    <w:p w14:paraId="5D4D43A9" w14:textId="77777777" w:rsidR="00E835EE" w:rsidRPr="00EA548F" w:rsidRDefault="00E835EE" w:rsidP="00C17389">
      <w:pPr>
        <w:pStyle w:val="FootnoteText"/>
      </w:pPr>
      <w:r>
        <w:rPr>
          <w:rStyle w:val="FootnoteReference"/>
        </w:rPr>
        <w:footnoteRef/>
      </w:r>
      <w:r>
        <w:t xml:space="preserve"> </w:t>
      </w:r>
      <w:r>
        <w:rPr>
          <w:i/>
          <w:iCs/>
        </w:rPr>
        <w:t>Composition of Proxy Groups for Determining Gas and Oil Pipeline Return on Equity</w:t>
      </w:r>
      <w:r>
        <w:t>, 123 FERC ¶ 61,048, at P 3 (2008) (2008 Policy Statement).</w:t>
      </w:r>
    </w:p>
  </w:footnote>
  <w:footnote w:id="8">
    <w:p w14:paraId="349D58AB" w14:textId="1B3D99B0" w:rsidR="00E835EE" w:rsidRPr="00B11AB6" w:rsidRDefault="00E835EE" w:rsidP="00A77268">
      <w:pPr>
        <w:pStyle w:val="FootnoteText"/>
        <w:spacing w:before="240"/>
      </w:pPr>
      <w:r>
        <w:rPr>
          <w:rStyle w:val="FootnoteReference"/>
        </w:rPr>
        <w:footnoteRef/>
      </w:r>
      <w:r>
        <w:t xml:space="preserve"> </w:t>
      </w:r>
      <w:r>
        <w:rPr>
          <w:i/>
          <w:iCs/>
        </w:rPr>
        <w:t>Canadian Ass’n of Petroleum Producers v. FERC</w:t>
      </w:r>
      <w:r>
        <w:t>, 254 F.3d 289, 293 (D.C. Cir. 2001) (</w:t>
      </w:r>
      <w:r>
        <w:rPr>
          <w:i/>
          <w:iCs/>
        </w:rPr>
        <w:t>CAPP v. FERC</w:t>
      </w:r>
      <w:r>
        <w:t>).</w:t>
      </w:r>
    </w:p>
  </w:footnote>
  <w:footnote w:id="9">
    <w:p w14:paraId="0D3011E9" w14:textId="31241B1A" w:rsidR="00E835EE" w:rsidRDefault="00E835EE">
      <w:pPr>
        <w:pStyle w:val="FootnoteText"/>
      </w:pPr>
      <w:r>
        <w:rPr>
          <w:rStyle w:val="FootnoteReference"/>
        </w:rPr>
        <w:footnoteRef/>
      </w:r>
      <w:r>
        <w:t xml:space="preserve"> </w:t>
      </w:r>
      <w:r>
        <w:rPr>
          <w:i/>
          <w:iCs/>
        </w:rPr>
        <w:t>Seaway Crude Pipeline Co. LLC</w:t>
      </w:r>
      <w:r>
        <w:t xml:space="preserve">, Opinion No. 546, 154 FERC ¶ 61,070, </w:t>
      </w:r>
      <w:r w:rsidRPr="00DD3D30">
        <w:t xml:space="preserve">at </w:t>
      </w:r>
      <w:r>
        <w:t xml:space="preserve">        </w:t>
      </w:r>
      <w:r w:rsidRPr="00DD3D30">
        <w:t>PP 198-200</w:t>
      </w:r>
      <w:r>
        <w:t xml:space="preserve"> (2016).</w:t>
      </w:r>
    </w:p>
  </w:footnote>
  <w:footnote w:id="10">
    <w:p w14:paraId="09D9B0C7" w14:textId="77777777" w:rsidR="00E835EE" w:rsidRDefault="00E835EE" w:rsidP="00DF4E11">
      <w:pPr>
        <w:pStyle w:val="FootnoteText"/>
      </w:pPr>
      <w:r>
        <w:rPr>
          <w:rStyle w:val="FootnoteReference"/>
        </w:rPr>
        <w:footnoteRef/>
      </w:r>
      <w:r>
        <w:t xml:space="preserve"> 2008 Policy Statement, 123 FERC ¶ 61,048 at P 6.</w:t>
      </w:r>
    </w:p>
  </w:footnote>
  <w:footnote w:id="11">
    <w:p w14:paraId="4249D9A4" w14:textId="557033FA" w:rsidR="00E835EE" w:rsidRDefault="00E835EE">
      <w:pPr>
        <w:pStyle w:val="FootnoteText"/>
      </w:pPr>
      <w:r>
        <w:rPr>
          <w:rStyle w:val="FootnoteReference"/>
        </w:rPr>
        <w:footnoteRef/>
      </w:r>
      <w:r>
        <w:t xml:space="preserve"> </w:t>
      </w:r>
      <w:r>
        <w:rPr>
          <w:i/>
          <w:iCs/>
        </w:rPr>
        <w:t>Id.</w:t>
      </w:r>
    </w:p>
  </w:footnote>
  <w:footnote w:id="12">
    <w:p w14:paraId="136AF121" w14:textId="79857406" w:rsidR="00E835EE" w:rsidRPr="000024B4" w:rsidRDefault="00E835EE" w:rsidP="00B42734">
      <w:pPr>
        <w:pStyle w:val="FootnoteText"/>
      </w:pPr>
      <w:r>
        <w:rPr>
          <w:rStyle w:val="FootnoteReference"/>
        </w:rPr>
        <w:footnoteRef/>
      </w:r>
      <w:r>
        <w:t xml:space="preserve"> The three sources used by the Commission are Global Insight:  </w:t>
      </w:r>
      <w:r>
        <w:rPr>
          <w:i/>
          <w:iCs/>
        </w:rPr>
        <w:t xml:space="preserve">Long-Term Macro Forecast – Baseline </w:t>
      </w:r>
      <w:r w:rsidRPr="0002326E">
        <w:t>(</w:t>
      </w:r>
      <w:r>
        <w:rPr>
          <w:i/>
          <w:iCs/>
        </w:rPr>
        <w:t>U.S. Economy 30-Year Focus</w:t>
      </w:r>
      <w:r w:rsidRPr="0002326E">
        <w:t>)</w:t>
      </w:r>
      <w:r>
        <w:t xml:space="preserve">; Energy Information Agency, </w:t>
      </w:r>
      <w:r>
        <w:rPr>
          <w:i/>
          <w:iCs/>
        </w:rPr>
        <w:t>Annual Energy Outlook</w:t>
      </w:r>
      <w:r>
        <w:t>; and the Social Security Administration.</w:t>
      </w:r>
    </w:p>
  </w:footnote>
  <w:footnote w:id="13">
    <w:p w14:paraId="730EBB19" w14:textId="77777777" w:rsidR="004F7765" w:rsidRDefault="00E835EE">
      <w:pPr>
        <w:pStyle w:val="FootnoteText"/>
        <w:rPr>
          <w:i/>
          <w:iCs/>
        </w:rPr>
      </w:pPr>
      <w:r>
        <w:rPr>
          <w:rStyle w:val="FootnoteReference"/>
        </w:rPr>
        <w:footnoteRef/>
      </w:r>
      <w:r>
        <w:t xml:space="preserve"> 2008 Policy Statement, 123 FERC ¶ 61,048 at P 6 (citing </w:t>
      </w:r>
      <w:r>
        <w:rPr>
          <w:i/>
          <w:iCs/>
        </w:rPr>
        <w:t>Nw. Pipeline Co.</w:t>
      </w:r>
      <w:r>
        <w:t xml:space="preserve">, Opinion No. 396-B, 79 FERC ¶ 61,309, at 62,383 (1997); </w:t>
      </w:r>
      <w:r>
        <w:rPr>
          <w:i/>
          <w:iCs/>
        </w:rPr>
        <w:t xml:space="preserve">Williston Basin Interstate </w:t>
      </w:r>
    </w:p>
    <w:p w14:paraId="6D9AF2A4" w14:textId="2BFBB9AC" w:rsidR="00E835EE" w:rsidRPr="00FB0004" w:rsidRDefault="00E835EE" w:rsidP="004F7765">
      <w:pPr>
        <w:pStyle w:val="FootnoteText"/>
        <w:ind w:firstLine="0"/>
      </w:pPr>
      <w:r>
        <w:rPr>
          <w:i/>
          <w:iCs/>
        </w:rPr>
        <w:t>Pipeline Co.</w:t>
      </w:r>
      <w:r>
        <w:t xml:space="preserve">, 79 FERC ¶ 61,311, at 62,389 (1997), </w:t>
      </w:r>
      <w:r>
        <w:rPr>
          <w:i/>
          <w:iCs/>
        </w:rPr>
        <w:t>aff’d</w:t>
      </w:r>
      <w:r>
        <w:t xml:space="preserve">, </w:t>
      </w:r>
      <w:r>
        <w:rPr>
          <w:i/>
          <w:iCs/>
        </w:rPr>
        <w:t>Williston Basin Interstate Pipeline Co. v. FERC</w:t>
      </w:r>
      <w:r>
        <w:t>, 165 F.3d 54, 57 (D.C. Cir. 1999)).</w:t>
      </w:r>
    </w:p>
  </w:footnote>
  <w:footnote w:id="14">
    <w:p w14:paraId="47618951" w14:textId="54C38D49" w:rsidR="00E835EE" w:rsidRPr="004A4145" w:rsidRDefault="00E835EE">
      <w:pPr>
        <w:pStyle w:val="FootnoteText"/>
      </w:pPr>
      <w:r>
        <w:rPr>
          <w:rStyle w:val="FootnoteReference"/>
        </w:rPr>
        <w:footnoteRef/>
      </w:r>
      <w:r>
        <w:t xml:space="preserve"> </w:t>
      </w:r>
      <w:r>
        <w:rPr>
          <w:i/>
          <w:iCs/>
        </w:rPr>
        <w:t>Id.</w:t>
      </w:r>
      <w:r>
        <w:t xml:space="preserve"> P 96.</w:t>
      </w:r>
    </w:p>
  </w:footnote>
  <w:footnote w:id="15">
    <w:p w14:paraId="51F43D7C" w14:textId="718A10D4" w:rsidR="00E835EE" w:rsidRPr="007306FE" w:rsidRDefault="00E835EE">
      <w:pPr>
        <w:pStyle w:val="FootnoteText"/>
      </w:pPr>
      <w:r>
        <w:rPr>
          <w:rStyle w:val="FootnoteReference"/>
        </w:rPr>
        <w:footnoteRef/>
      </w:r>
      <w:r>
        <w:t xml:space="preserve"> </w:t>
      </w:r>
      <w:r>
        <w:rPr>
          <w:i/>
          <w:iCs/>
        </w:rPr>
        <w:t>Petal Gas Storage, L.L.C. v. FERC</w:t>
      </w:r>
      <w:r>
        <w:t xml:space="preserve">, 496 F.3d 695, 697 (D.C. Cir. 2007) (explaining that </w:t>
      </w:r>
      <w:r w:rsidRPr="007306FE">
        <w:t>the purpose of</w:t>
      </w:r>
      <w:r w:rsidRPr="007306FE" w:rsidDel="00D6108B">
        <w:t xml:space="preserve"> </w:t>
      </w:r>
      <w:r w:rsidRPr="007306FE">
        <w:t>a DCF proxy group is to “provide market-determined stock and dividend figures from public companies comparable to a target company for which those figures are unavailable.  Market-determined stock figures reflect a company’s risk level and when combined with dividend values, permit calculation of the ‘risk-adjusted expected rate of return sufficient to attract investors.</w:t>
      </w:r>
      <w:r>
        <w:t>’</w:t>
      </w:r>
      <w:r w:rsidRPr="007306FE">
        <w:t>”</w:t>
      </w:r>
      <w:r>
        <w:t xml:space="preserve"> (quoting </w:t>
      </w:r>
      <w:r>
        <w:rPr>
          <w:i/>
        </w:rPr>
        <w:t>CAPP v. FERC</w:t>
      </w:r>
      <w:r>
        <w:t>, 254 F.3d at</w:t>
      </w:r>
      <w:r w:rsidRPr="00A8013B">
        <w:t xml:space="preserve"> 293)</w:t>
      </w:r>
      <w:r>
        <w:t>).</w:t>
      </w:r>
    </w:p>
  </w:footnote>
  <w:footnote w:id="16">
    <w:p w14:paraId="6485E436" w14:textId="44882DDC" w:rsidR="00E835EE" w:rsidRPr="00442EB7" w:rsidRDefault="00E835EE" w:rsidP="007306FE">
      <w:pPr>
        <w:pStyle w:val="FootnoteText"/>
      </w:pPr>
      <w:r>
        <w:rPr>
          <w:rStyle w:val="FootnoteReference"/>
        </w:rPr>
        <w:footnoteRef/>
      </w:r>
      <w:r>
        <w:t xml:space="preserve"> </w:t>
      </w:r>
      <w:r>
        <w:rPr>
          <w:i/>
          <w:iCs/>
        </w:rPr>
        <w:t xml:space="preserve">Id. </w:t>
      </w:r>
      <w:r>
        <w:t xml:space="preserve">at 699; </w:t>
      </w:r>
      <w:r>
        <w:rPr>
          <w:i/>
          <w:iCs/>
        </w:rPr>
        <w:t>see also Portland Nat. Gas Transmission Sys.</w:t>
      </w:r>
      <w:r>
        <w:t xml:space="preserve">, Opinion No. 524, </w:t>
      </w:r>
      <w:r w:rsidR="001A2CC0">
        <w:t xml:space="preserve">   </w:t>
      </w:r>
      <w:r>
        <w:t xml:space="preserve">142 FERC ¶ 61,197, at P 302 (2013), </w:t>
      </w:r>
      <w:r>
        <w:rPr>
          <w:i/>
          <w:iCs/>
        </w:rPr>
        <w:t>reh’g denied</w:t>
      </w:r>
      <w:r>
        <w:t>, Opinion No. 524-A, 150 FERC ¶ 61,107 (2015).</w:t>
      </w:r>
    </w:p>
  </w:footnote>
  <w:footnote w:id="17">
    <w:p w14:paraId="7A528867" w14:textId="540FAB5C" w:rsidR="00E835EE" w:rsidRDefault="00E835EE" w:rsidP="000D076E">
      <w:pPr>
        <w:pStyle w:val="FootnoteText"/>
      </w:pPr>
      <w:r>
        <w:rPr>
          <w:rStyle w:val="FootnoteReference"/>
        </w:rPr>
        <w:footnoteRef/>
      </w:r>
      <w:r>
        <w:t xml:space="preserve"> </w:t>
      </w:r>
      <w:r w:rsidRPr="005861C7">
        <w:rPr>
          <w:i/>
          <w:iCs/>
        </w:rPr>
        <w:t>El Paso Nat</w:t>
      </w:r>
      <w:r>
        <w:rPr>
          <w:i/>
          <w:iCs/>
        </w:rPr>
        <w:t>.</w:t>
      </w:r>
      <w:r w:rsidRPr="005861C7">
        <w:rPr>
          <w:i/>
          <w:iCs/>
        </w:rPr>
        <w:t xml:space="preserve"> Gas Co</w:t>
      </w:r>
      <w:r>
        <w:rPr>
          <w:i/>
          <w:iCs/>
        </w:rPr>
        <w:t>.</w:t>
      </w:r>
      <w:r w:rsidRPr="005861C7">
        <w:t>, Opinion No. 528, 145 FERC ¶ 61,040</w:t>
      </w:r>
      <w:r>
        <w:t xml:space="preserve">, at P 592 </w:t>
      </w:r>
      <w:r w:rsidRPr="005861C7">
        <w:t>(2013</w:t>
      </w:r>
      <w:r w:rsidDel="00460C08">
        <w:t>)</w:t>
      </w:r>
      <w:r>
        <w:t xml:space="preserve">, </w:t>
      </w:r>
      <w:r>
        <w:rPr>
          <w:i/>
          <w:iCs/>
        </w:rPr>
        <w:t>order on reh’g</w:t>
      </w:r>
      <w:r>
        <w:t xml:space="preserve">, Opinion No. 528-A, 154 FERC ¶ 61,120 (2016), </w:t>
      </w:r>
      <w:r>
        <w:rPr>
          <w:i/>
          <w:iCs/>
        </w:rPr>
        <w:t>order on compliance &amp; reh’g</w:t>
      </w:r>
      <w:r>
        <w:t xml:space="preserve">, Opinion No. 528-B, 163 FERC ¶ 61,079 (2018) (citing </w:t>
      </w:r>
      <w:r>
        <w:rPr>
          <w:i/>
          <w:iCs/>
        </w:rPr>
        <w:t>Transcontinental Gas Pipe Line Corp.</w:t>
      </w:r>
      <w:r>
        <w:t xml:space="preserve">, Opinion No. 414-A, 84 FERC ¶ 61,084 (1998), </w:t>
      </w:r>
      <w:r>
        <w:rPr>
          <w:i/>
          <w:iCs/>
        </w:rPr>
        <w:t>reh’g denied</w:t>
      </w:r>
      <w:r>
        <w:t xml:space="preserve">, Opinion </w:t>
      </w:r>
      <w:r w:rsidR="001A2CC0">
        <w:t xml:space="preserve">      </w:t>
      </w:r>
      <w:r>
        <w:t xml:space="preserve">No. 414-B, 85 FERC ¶ 61,323 (1998), </w:t>
      </w:r>
      <w:r>
        <w:rPr>
          <w:i/>
          <w:iCs/>
        </w:rPr>
        <w:t>aff’d</w:t>
      </w:r>
      <w:r>
        <w:t xml:space="preserve">, </w:t>
      </w:r>
      <w:r>
        <w:rPr>
          <w:i/>
          <w:iCs/>
        </w:rPr>
        <w:t>CAPP v. FERC</w:t>
      </w:r>
      <w:r>
        <w:t>, 254 F.3d 289).</w:t>
      </w:r>
    </w:p>
  </w:footnote>
  <w:footnote w:id="18">
    <w:p w14:paraId="4FABE44C" w14:textId="1C62C04D" w:rsidR="00E835EE" w:rsidRDefault="00E835EE">
      <w:pPr>
        <w:pStyle w:val="FootnoteText"/>
      </w:pPr>
      <w:r>
        <w:rPr>
          <w:rStyle w:val="FootnoteReference"/>
        </w:rPr>
        <w:footnoteRef/>
      </w:r>
      <w:r>
        <w:t xml:space="preserve"> NOI, 166 FERC ¶ 61,207 at PP 35, 38.</w:t>
      </w:r>
    </w:p>
  </w:footnote>
  <w:footnote w:id="19">
    <w:p w14:paraId="58C84946" w14:textId="77777777" w:rsidR="00E835EE" w:rsidRPr="000B5D17" w:rsidRDefault="00E835EE" w:rsidP="005B2F22">
      <w:pPr>
        <w:pStyle w:val="FootnoteText"/>
      </w:pPr>
      <w:r>
        <w:rPr>
          <w:rStyle w:val="FootnoteReference"/>
        </w:rPr>
        <w:footnoteRef/>
      </w:r>
      <w:r>
        <w:t xml:space="preserve"> Opinion No. 569, 169 FERC ¶ 61,129 at P 229.</w:t>
      </w:r>
    </w:p>
  </w:footnote>
  <w:footnote w:id="20">
    <w:p w14:paraId="16AFD647" w14:textId="56D475BB" w:rsidR="00E835EE" w:rsidRDefault="00E835EE" w:rsidP="005B2F22">
      <w:pPr>
        <w:pStyle w:val="FootnoteText"/>
      </w:pPr>
      <w:r>
        <w:rPr>
          <w:rStyle w:val="FootnoteReference"/>
        </w:rPr>
        <w:footnoteRef/>
      </w:r>
      <w:r>
        <w:t xml:space="preserve"> </w:t>
      </w:r>
      <w:r>
        <w:rPr>
          <w:i/>
          <w:iCs/>
        </w:rPr>
        <w:t>Id.</w:t>
      </w:r>
    </w:p>
  </w:footnote>
  <w:footnote w:id="21">
    <w:p w14:paraId="72BC1F15" w14:textId="77777777" w:rsidR="00E835EE" w:rsidRDefault="00E835EE" w:rsidP="005B2F22">
      <w:pPr>
        <w:pStyle w:val="FootnoteText"/>
      </w:pPr>
      <w:r>
        <w:rPr>
          <w:rStyle w:val="FootnoteReference"/>
        </w:rPr>
        <w:footnoteRef/>
      </w:r>
      <w:r>
        <w:t xml:space="preserve"> </w:t>
      </w:r>
      <w:r w:rsidRPr="008B038B">
        <w:t>NOI, 166 FERC ¶ 61,207 at P 14</w:t>
      </w:r>
      <w:r>
        <w:t>.</w:t>
      </w:r>
    </w:p>
  </w:footnote>
  <w:footnote w:id="22">
    <w:p w14:paraId="360158CC" w14:textId="1B38FB2F" w:rsidR="00E835EE" w:rsidRDefault="00E835EE" w:rsidP="005B2F22">
      <w:pPr>
        <w:pStyle w:val="FootnoteText"/>
      </w:pPr>
      <w:r>
        <w:rPr>
          <w:rStyle w:val="FootnoteReference"/>
        </w:rPr>
        <w:footnoteRef/>
      </w:r>
      <w:r>
        <w:t xml:space="preserve"> </w:t>
      </w:r>
      <w:r w:rsidRPr="008B038B">
        <w:rPr>
          <w:i/>
        </w:rPr>
        <w:t>See</w:t>
      </w:r>
      <w:r>
        <w:rPr>
          <w:i/>
        </w:rPr>
        <w:t xml:space="preserve"> </w:t>
      </w:r>
      <w:r>
        <w:rPr>
          <w:iCs/>
        </w:rPr>
        <w:t xml:space="preserve">Opinion No. 569, 169 FERC ¶ 61,129 at P 298; </w:t>
      </w:r>
      <w:r>
        <w:rPr>
          <w:i/>
        </w:rPr>
        <w:t>see also</w:t>
      </w:r>
      <w:r w:rsidRPr="008B038B">
        <w:rPr>
          <w:i/>
        </w:rPr>
        <w:t xml:space="preserve"> </w:t>
      </w:r>
      <w:r>
        <w:rPr>
          <w:i/>
        </w:rPr>
        <w:t>Coakley v. Bangor Hydro-Elec. Co.</w:t>
      </w:r>
      <w:r>
        <w:rPr>
          <w:iCs/>
        </w:rPr>
        <w:t>,</w:t>
      </w:r>
      <w:r>
        <w:rPr>
          <w:i/>
        </w:rPr>
        <w:t xml:space="preserve"> </w:t>
      </w:r>
      <w:r w:rsidRPr="008B038B">
        <w:t>Opinion No. 531-B, 150 FERC ¶ 61,165</w:t>
      </w:r>
      <w:r>
        <w:t>,</w:t>
      </w:r>
      <w:r w:rsidRPr="008B038B">
        <w:t xml:space="preserve"> at P 117 </w:t>
      </w:r>
      <w:r>
        <w:t xml:space="preserve">(2015) </w:t>
      </w:r>
      <w:r w:rsidRPr="008B038B">
        <w:t>(citing Roger A. Morin, New Regulatory Finance, 187 (Public Utilities Reports, Inc. 2006</w:t>
      </w:r>
      <w:r w:rsidRPr="00E91584">
        <w:t>) (Morin)</w:t>
      </w:r>
      <w:r w:rsidRPr="008B038B">
        <w:t xml:space="preserve"> (finding that use of a size premium adjustment is “a generally accepted approach to CAPM analyses</w:t>
      </w:r>
      <w:r>
        <w:t>”</w:t>
      </w:r>
      <w:r w:rsidRPr="008B038B">
        <w:t>)</w:t>
      </w:r>
      <w:r>
        <w:t>)</w:t>
      </w:r>
      <w:r w:rsidRPr="008B038B">
        <w:t>.</w:t>
      </w:r>
    </w:p>
  </w:footnote>
  <w:footnote w:id="23">
    <w:p w14:paraId="71732334" w14:textId="5E3DA1EF" w:rsidR="00E835EE" w:rsidRPr="006D4540" w:rsidRDefault="00E835EE" w:rsidP="004113CB">
      <w:pPr>
        <w:pStyle w:val="FootnoteText"/>
      </w:pPr>
      <w:r>
        <w:rPr>
          <w:rStyle w:val="FootnoteReference"/>
        </w:rPr>
        <w:footnoteRef/>
      </w:r>
      <w:r>
        <w:t xml:space="preserve"> Opinion No. 569, 169 FERC ¶ 61,129 at P 304 (quoting </w:t>
      </w:r>
      <w:r>
        <w:rPr>
          <w:i/>
          <w:iCs/>
        </w:rPr>
        <w:t>Coakley v. Bangor Hydro-Elec. Co.</w:t>
      </w:r>
      <w:r>
        <w:t>,</w:t>
      </w:r>
      <w:r>
        <w:rPr>
          <w:i/>
          <w:iCs/>
        </w:rPr>
        <w:t xml:space="preserve"> </w:t>
      </w:r>
      <w:r>
        <w:t xml:space="preserve">Opinion No. 531, 147 FERC ¶ 61,234, at P 147 (2014)). </w:t>
      </w:r>
    </w:p>
  </w:footnote>
  <w:footnote w:id="24">
    <w:p w14:paraId="691A719B" w14:textId="2ADA172C" w:rsidR="00E835EE" w:rsidRDefault="00E835EE" w:rsidP="004113CB">
      <w:pPr>
        <w:pStyle w:val="FootnoteText"/>
      </w:pPr>
      <w:r>
        <w:rPr>
          <w:rStyle w:val="FootnoteReference"/>
        </w:rPr>
        <w:footnoteRef/>
      </w:r>
      <w:r>
        <w:t xml:space="preserve"> </w:t>
      </w:r>
      <w:r>
        <w:rPr>
          <w:i/>
          <w:iCs/>
        </w:rPr>
        <w:t>Ass’n of Bus. Advocating Tariff Equity v. Midcontinent Indep. Sys. Operator, Inc.</w:t>
      </w:r>
      <w:r w:rsidRPr="006D4540">
        <w:rPr>
          <w:i/>
          <w:iCs/>
        </w:rPr>
        <w:t xml:space="preserve">, </w:t>
      </w:r>
      <w:r w:rsidRPr="006D4540">
        <w:t>165 FERC ¶ 61,118</w:t>
      </w:r>
      <w:r>
        <w:t>,</w:t>
      </w:r>
      <w:r w:rsidRPr="006D4540">
        <w:t xml:space="preserve"> at P 36</w:t>
      </w:r>
      <w:r>
        <w:t xml:space="preserve"> (2018) (</w:t>
      </w:r>
      <w:r w:rsidRPr="00164E5D">
        <w:t>MISO</w:t>
      </w:r>
      <w:r>
        <w:t xml:space="preserve"> Briefing Order).</w:t>
      </w:r>
    </w:p>
  </w:footnote>
  <w:footnote w:id="25">
    <w:p w14:paraId="368540EB" w14:textId="77777777" w:rsidR="00E835EE" w:rsidRDefault="00E835EE" w:rsidP="004113CB">
      <w:pPr>
        <w:pStyle w:val="FootnoteText"/>
      </w:pPr>
      <w:r>
        <w:rPr>
          <w:rStyle w:val="FootnoteReference"/>
        </w:rPr>
        <w:footnoteRef/>
      </w:r>
      <w:r>
        <w:t xml:space="preserve"> Opinion No. 569, </w:t>
      </w:r>
      <w:r w:rsidRPr="00624C9D">
        <w:t>169 FERC ¶ 61,129</w:t>
      </w:r>
      <w:r>
        <w:t xml:space="preserve"> at P 305.</w:t>
      </w:r>
    </w:p>
  </w:footnote>
  <w:footnote w:id="26">
    <w:p w14:paraId="24DC9605" w14:textId="37360874" w:rsidR="00E835EE" w:rsidRDefault="00E835EE">
      <w:pPr>
        <w:pStyle w:val="FootnoteText"/>
      </w:pPr>
      <w:r>
        <w:rPr>
          <w:rStyle w:val="FootnoteReference"/>
        </w:rPr>
        <w:footnoteRef/>
      </w:r>
      <w:r>
        <w:t xml:space="preserve"> </w:t>
      </w:r>
      <w:r>
        <w:rPr>
          <w:i/>
          <w:iCs/>
        </w:rPr>
        <w:t>Id.</w:t>
      </w:r>
      <w:r>
        <w:t xml:space="preserve"> P 172.</w:t>
      </w:r>
    </w:p>
  </w:footnote>
  <w:footnote w:id="27">
    <w:p w14:paraId="1FC7665A" w14:textId="3069880B" w:rsidR="00E835EE" w:rsidRDefault="00E835EE">
      <w:pPr>
        <w:pStyle w:val="FootnoteText"/>
      </w:pPr>
      <w:r>
        <w:rPr>
          <w:rStyle w:val="FootnoteReference"/>
        </w:rPr>
        <w:footnoteRef/>
      </w:r>
      <w:r>
        <w:t xml:space="preserve"> Opinion No. 569, 169 FERC ¶ 61,129 at P 172.</w:t>
      </w:r>
    </w:p>
  </w:footnote>
  <w:footnote w:id="28">
    <w:p w14:paraId="259960CA" w14:textId="77777777" w:rsidR="00E835EE" w:rsidRDefault="00E835EE" w:rsidP="00AC3A6D">
      <w:pPr>
        <w:pStyle w:val="FootnoteText"/>
      </w:pPr>
      <w:r>
        <w:rPr>
          <w:rStyle w:val="FootnoteReference"/>
        </w:rPr>
        <w:footnoteRef/>
      </w:r>
      <w:r>
        <w:t xml:space="preserve"> 854 F.3d 9 (D.C. Cir. 2017).</w:t>
      </w:r>
    </w:p>
  </w:footnote>
  <w:footnote w:id="29">
    <w:p w14:paraId="7AC77F46" w14:textId="69B9F057" w:rsidR="00E835EE" w:rsidRPr="00A0687A" w:rsidRDefault="00E835EE">
      <w:pPr>
        <w:pStyle w:val="FootnoteText"/>
      </w:pPr>
      <w:r>
        <w:rPr>
          <w:rStyle w:val="FootnoteReference"/>
        </w:rPr>
        <w:footnoteRef/>
      </w:r>
      <w:r>
        <w:t xml:space="preserve"> MISO Briefing Order, 165 FERC ¶ 61,118; </w:t>
      </w:r>
      <w:r>
        <w:rPr>
          <w:i/>
          <w:iCs/>
        </w:rPr>
        <w:t>Coakley v. Bangor Hydro-Elec. Co.</w:t>
      </w:r>
      <w:r>
        <w:t>, 165 FERC ¶ 61,030 (2018) (</w:t>
      </w:r>
      <w:r>
        <w:rPr>
          <w:i/>
          <w:iCs/>
        </w:rPr>
        <w:t xml:space="preserve">Coakley </w:t>
      </w:r>
      <w:r>
        <w:t>Briefing Order, and together with MISO</w:t>
      </w:r>
      <w:r>
        <w:rPr>
          <w:i/>
          <w:iCs/>
        </w:rPr>
        <w:t xml:space="preserve"> </w:t>
      </w:r>
      <w:r>
        <w:t>Briefing Order, Briefing Orders).</w:t>
      </w:r>
    </w:p>
  </w:footnote>
  <w:footnote w:id="30">
    <w:p w14:paraId="021972E5" w14:textId="0B80A2CE" w:rsidR="00E835EE" w:rsidRPr="00A2446D" w:rsidRDefault="00E835EE" w:rsidP="00742D9F">
      <w:pPr>
        <w:pStyle w:val="FootnoteText"/>
      </w:pPr>
      <w:r>
        <w:rPr>
          <w:rStyle w:val="FootnoteReference"/>
        </w:rPr>
        <w:footnoteRef/>
      </w:r>
      <w:r>
        <w:t xml:space="preserve"> 16 USC 824e (2018).</w:t>
      </w:r>
    </w:p>
  </w:footnote>
  <w:footnote w:id="31">
    <w:p w14:paraId="4A0DCD32" w14:textId="45918F0E" w:rsidR="00E835EE" w:rsidRPr="00FD1029" w:rsidRDefault="00E835EE">
      <w:pPr>
        <w:pStyle w:val="FootnoteText"/>
      </w:pPr>
      <w:r>
        <w:rPr>
          <w:rStyle w:val="FootnoteReference"/>
        </w:rPr>
        <w:footnoteRef/>
      </w:r>
      <w:r>
        <w:t xml:space="preserve"> </w:t>
      </w:r>
      <w:r>
        <w:rPr>
          <w:i/>
          <w:iCs/>
        </w:rPr>
        <w:t xml:space="preserve">Coakley </w:t>
      </w:r>
      <w:r>
        <w:t xml:space="preserve">Briefing Order, 165 FERC ¶ 61,030 at P 32; </w:t>
      </w:r>
      <w:r w:rsidRPr="00164E5D">
        <w:t>MISO</w:t>
      </w:r>
      <w:r>
        <w:t xml:space="preserve"> Briefing Order, </w:t>
      </w:r>
      <w:r w:rsidR="001A2CC0">
        <w:t xml:space="preserve">  </w:t>
      </w:r>
      <w:r>
        <w:t>165 FERC ¶ 61,118 at P 34.</w:t>
      </w:r>
    </w:p>
  </w:footnote>
  <w:footnote w:id="32">
    <w:p w14:paraId="782A1C25" w14:textId="7C29F642" w:rsidR="00E835EE" w:rsidRDefault="00E835EE">
      <w:pPr>
        <w:pStyle w:val="FootnoteText"/>
      </w:pPr>
      <w:r>
        <w:rPr>
          <w:rStyle w:val="FootnoteReference"/>
        </w:rPr>
        <w:footnoteRef/>
      </w:r>
      <w:r>
        <w:t xml:space="preserve"> </w:t>
      </w:r>
      <w:r>
        <w:rPr>
          <w:i/>
          <w:iCs/>
        </w:rPr>
        <w:t xml:space="preserve">Coakley </w:t>
      </w:r>
      <w:r>
        <w:t xml:space="preserve">Briefing Order, 165 FERC ¶ 61,030 at P 40; </w:t>
      </w:r>
      <w:r w:rsidRPr="00164E5D">
        <w:t>MISO</w:t>
      </w:r>
      <w:r>
        <w:t xml:space="preserve"> Briefing Order, </w:t>
      </w:r>
      <w:r w:rsidR="001A2CC0">
        <w:t xml:space="preserve"> </w:t>
      </w:r>
      <w:r>
        <w:t>165 FERC ¶ 61,118 at P 42.</w:t>
      </w:r>
    </w:p>
  </w:footnote>
  <w:footnote w:id="33">
    <w:p w14:paraId="487064D7" w14:textId="70D92A93" w:rsidR="00E835EE" w:rsidRDefault="00E835EE">
      <w:pPr>
        <w:pStyle w:val="FootnoteText"/>
      </w:pPr>
      <w:r>
        <w:rPr>
          <w:rStyle w:val="FootnoteReference"/>
        </w:rPr>
        <w:footnoteRef/>
      </w:r>
      <w:r>
        <w:t xml:space="preserve"> </w:t>
      </w:r>
      <w:r>
        <w:rPr>
          <w:i/>
          <w:iCs/>
        </w:rPr>
        <w:t xml:space="preserve">Coakley </w:t>
      </w:r>
      <w:r>
        <w:t xml:space="preserve">Briefing Order, 165 FERC ¶ 61,030 at P 35; </w:t>
      </w:r>
      <w:r w:rsidRPr="00164E5D">
        <w:t>MISO</w:t>
      </w:r>
      <w:r>
        <w:t xml:space="preserve"> Briefing Order, </w:t>
      </w:r>
      <w:r w:rsidR="001A2CC0">
        <w:t xml:space="preserve"> </w:t>
      </w:r>
      <w:r>
        <w:t>165 FERC ¶ 61,118 at P 37.</w:t>
      </w:r>
    </w:p>
  </w:footnote>
  <w:footnote w:id="34">
    <w:p w14:paraId="436A1A01" w14:textId="3FC0CE36" w:rsidR="00E835EE" w:rsidRDefault="00E835EE">
      <w:pPr>
        <w:pStyle w:val="FootnoteText"/>
      </w:pPr>
      <w:r>
        <w:rPr>
          <w:rStyle w:val="FootnoteReference"/>
        </w:rPr>
        <w:footnoteRef/>
      </w:r>
      <w:r>
        <w:t xml:space="preserve"> </w:t>
      </w:r>
      <w:r w:rsidRPr="00B82115">
        <w:t>166 FERC ¶ 61,141, at P 48 (2019)</w:t>
      </w:r>
      <w:r>
        <w:t>.</w:t>
      </w:r>
    </w:p>
  </w:footnote>
  <w:footnote w:id="35">
    <w:p w14:paraId="70A5068F" w14:textId="1F8E396C" w:rsidR="00E835EE" w:rsidRDefault="00E835EE">
      <w:pPr>
        <w:pStyle w:val="FootnoteText"/>
      </w:pPr>
      <w:r>
        <w:rPr>
          <w:rStyle w:val="FootnoteReference"/>
        </w:rPr>
        <w:footnoteRef/>
      </w:r>
      <w:r>
        <w:t xml:space="preserve"> Thereafter, participants in natural gas pipeline rate proceedings in Docket </w:t>
      </w:r>
      <w:r w:rsidR="001A2CC0">
        <w:t xml:space="preserve">       </w:t>
      </w:r>
      <w:r>
        <w:t>Nos. RP19-352-000, RP19-1353-000, RP19-1523-000, and RP20-131-000 filed testimony applying the alternative models.</w:t>
      </w:r>
    </w:p>
  </w:footnote>
  <w:footnote w:id="36">
    <w:p w14:paraId="771ABC3B" w14:textId="1B429E86" w:rsidR="00E835EE" w:rsidRDefault="00E835EE">
      <w:pPr>
        <w:pStyle w:val="FootnoteText"/>
      </w:pPr>
      <w:r>
        <w:rPr>
          <w:rStyle w:val="FootnoteReference"/>
        </w:rPr>
        <w:footnoteRef/>
      </w:r>
      <w:r>
        <w:t xml:space="preserve"> Opinion No. 569, 169 FERC ¶ 61,129 at P 18.</w:t>
      </w:r>
    </w:p>
  </w:footnote>
  <w:footnote w:id="37">
    <w:p w14:paraId="79FFDA26" w14:textId="118377E0" w:rsidR="00E835EE" w:rsidRDefault="00E835EE">
      <w:pPr>
        <w:pStyle w:val="FootnoteText"/>
      </w:pPr>
      <w:r>
        <w:rPr>
          <w:rStyle w:val="FootnoteReference"/>
        </w:rPr>
        <w:footnoteRef/>
      </w:r>
      <w:r>
        <w:t xml:space="preserve"> </w:t>
      </w:r>
      <w:r>
        <w:rPr>
          <w:i/>
          <w:iCs/>
        </w:rPr>
        <w:t>Id.</w:t>
      </w:r>
      <w:r>
        <w:t xml:space="preserve"> PP 1, 18.</w:t>
      </w:r>
    </w:p>
  </w:footnote>
  <w:footnote w:id="38">
    <w:p w14:paraId="12083FCE" w14:textId="6BC6E8E7" w:rsidR="00E835EE" w:rsidRDefault="00E835EE">
      <w:pPr>
        <w:pStyle w:val="FootnoteText"/>
      </w:pPr>
      <w:r>
        <w:rPr>
          <w:rStyle w:val="FootnoteReference"/>
        </w:rPr>
        <w:footnoteRef/>
      </w:r>
      <w:r>
        <w:t xml:space="preserve"> </w:t>
      </w:r>
      <w:r>
        <w:rPr>
          <w:i/>
          <w:iCs/>
        </w:rPr>
        <w:t>Id.</w:t>
      </w:r>
      <w:r>
        <w:t xml:space="preserve"> PP 276, 425.</w:t>
      </w:r>
    </w:p>
  </w:footnote>
  <w:footnote w:id="39">
    <w:p w14:paraId="5220D038" w14:textId="76A1DA34" w:rsidR="00E835EE" w:rsidRDefault="00E835EE" w:rsidP="00603DE1">
      <w:pPr>
        <w:pStyle w:val="FootnoteText"/>
      </w:pPr>
      <w:r>
        <w:rPr>
          <w:rStyle w:val="FootnoteReference"/>
        </w:rPr>
        <w:footnoteRef/>
      </w:r>
      <w:r>
        <w:t xml:space="preserve"> </w:t>
      </w:r>
      <w:r>
        <w:rPr>
          <w:i/>
          <w:iCs/>
        </w:rPr>
        <w:t>Id.</w:t>
      </w:r>
      <w:r>
        <w:t xml:space="preserve"> PP 18, 31, 200, 340.</w:t>
      </w:r>
    </w:p>
  </w:footnote>
  <w:footnote w:id="40">
    <w:p w14:paraId="32665066" w14:textId="5739B3AF" w:rsidR="00E835EE" w:rsidRPr="00D637DE" w:rsidRDefault="00E835EE">
      <w:pPr>
        <w:pStyle w:val="FootnoteText"/>
      </w:pPr>
      <w:r w:rsidRPr="00D637DE">
        <w:rPr>
          <w:rStyle w:val="FootnoteReference"/>
        </w:rPr>
        <w:footnoteRef/>
      </w:r>
      <w:r w:rsidRPr="00D637DE">
        <w:t xml:space="preserve"> Opinion No. 569-A, </w:t>
      </w:r>
      <w:r>
        <w:t>171</w:t>
      </w:r>
      <w:r w:rsidRPr="00D637DE">
        <w:t xml:space="preserve"> FERC ¶ 61,</w:t>
      </w:r>
      <w:r>
        <w:t>154</w:t>
      </w:r>
      <w:r w:rsidRPr="00D637DE">
        <w:t xml:space="preserve"> at P</w:t>
      </w:r>
      <w:r>
        <w:t>P 57, 154.</w:t>
      </w:r>
    </w:p>
  </w:footnote>
  <w:footnote w:id="41">
    <w:p w14:paraId="5D439510" w14:textId="77915615" w:rsidR="00E835EE" w:rsidRDefault="00E835EE">
      <w:pPr>
        <w:pStyle w:val="FootnoteText"/>
      </w:pPr>
      <w:r w:rsidRPr="00D637DE">
        <w:rPr>
          <w:rStyle w:val="FootnoteReference"/>
        </w:rPr>
        <w:footnoteRef/>
      </w:r>
      <w:r w:rsidRPr="00D637DE">
        <w:t xml:space="preserve"> </w:t>
      </w:r>
      <w:r w:rsidRPr="00D637DE">
        <w:rPr>
          <w:i/>
          <w:iCs/>
        </w:rPr>
        <w:t>Id.</w:t>
      </w:r>
      <w:r w:rsidRPr="00D637DE">
        <w:t xml:space="preserve"> P </w:t>
      </w:r>
      <w:r>
        <w:t>154</w:t>
      </w:r>
      <w:r w:rsidRPr="00D637DE">
        <w:t>.</w:t>
      </w:r>
    </w:p>
  </w:footnote>
  <w:footnote w:id="42">
    <w:p w14:paraId="4964ED56" w14:textId="1956C050" w:rsidR="00E835EE" w:rsidRPr="00D637DE" w:rsidRDefault="00E835EE">
      <w:pPr>
        <w:pStyle w:val="FootnoteText"/>
      </w:pPr>
      <w:r>
        <w:rPr>
          <w:rStyle w:val="FootnoteReference"/>
        </w:rPr>
        <w:footnoteRef/>
      </w:r>
      <w:r>
        <w:t xml:space="preserve"> </w:t>
      </w:r>
      <w:r w:rsidRPr="00D637DE">
        <w:rPr>
          <w:i/>
          <w:iCs/>
        </w:rPr>
        <w:t>Id.</w:t>
      </w:r>
      <w:r w:rsidRPr="00D637DE">
        <w:t xml:space="preserve"> P </w:t>
      </w:r>
      <w:r>
        <w:t>78</w:t>
      </w:r>
      <w:r w:rsidRPr="00D637DE">
        <w:t>.</w:t>
      </w:r>
    </w:p>
  </w:footnote>
  <w:footnote w:id="43">
    <w:p w14:paraId="4DCF5BF1" w14:textId="38E914BD" w:rsidR="00E835EE" w:rsidRPr="00D637DE" w:rsidRDefault="00E835EE">
      <w:pPr>
        <w:pStyle w:val="FootnoteText"/>
      </w:pPr>
      <w:r w:rsidRPr="00D637DE">
        <w:rPr>
          <w:rStyle w:val="FootnoteReference"/>
        </w:rPr>
        <w:footnoteRef/>
      </w:r>
      <w:r w:rsidRPr="00D637DE">
        <w:t xml:space="preserve"> </w:t>
      </w:r>
      <w:r w:rsidRPr="00D637DE">
        <w:rPr>
          <w:i/>
          <w:iCs/>
        </w:rPr>
        <w:t>Id.</w:t>
      </w:r>
      <w:r w:rsidRPr="00D637DE">
        <w:t xml:space="preserve"> PP 104-114.</w:t>
      </w:r>
    </w:p>
  </w:footnote>
  <w:footnote w:id="44">
    <w:p w14:paraId="519A0842" w14:textId="1DA053CD" w:rsidR="00E835EE" w:rsidRPr="007B208C" w:rsidRDefault="00E835EE">
      <w:pPr>
        <w:pStyle w:val="FootnoteText"/>
      </w:pPr>
      <w:r w:rsidRPr="00D637DE">
        <w:rPr>
          <w:rStyle w:val="FootnoteReference"/>
        </w:rPr>
        <w:footnoteRef/>
      </w:r>
      <w:r w:rsidRPr="00D637DE">
        <w:t xml:space="preserve"> </w:t>
      </w:r>
      <w:r w:rsidRPr="00D637DE">
        <w:rPr>
          <w:i/>
          <w:iCs/>
        </w:rPr>
        <w:t>Id.</w:t>
      </w:r>
      <w:r w:rsidRPr="00D637DE">
        <w:t xml:space="preserve"> P </w:t>
      </w:r>
      <w:r>
        <w:t>141</w:t>
      </w:r>
      <w:r w:rsidRPr="00D637DE">
        <w:t>.</w:t>
      </w:r>
    </w:p>
  </w:footnote>
  <w:footnote w:id="45">
    <w:p w14:paraId="5576E4F9" w14:textId="77777777" w:rsidR="00E835EE" w:rsidRDefault="00E835EE" w:rsidP="00983244">
      <w:pPr>
        <w:pStyle w:val="FootnoteText"/>
      </w:pPr>
      <w:r>
        <w:rPr>
          <w:rStyle w:val="FootnoteReference"/>
        </w:rPr>
        <w:footnoteRef/>
      </w:r>
      <w:r>
        <w:t xml:space="preserve"> NOI, 166 FERC ¶ 61,207 at P 29.</w:t>
      </w:r>
    </w:p>
  </w:footnote>
  <w:footnote w:id="46">
    <w:p w14:paraId="4D3B0198" w14:textId="77777777" w:rsidR="00E835EE" w:rsidRDefault="00E835EE" w:rsidP="00983244">
      <w:pPr>
        <w:pStyle w:val="FootnoteText"/>
      </w:pPr>
      <w:r>
        <w:rPr>
          <w:rStyle w:val="FootnoteReference"/>
        </w:rPr>
        <w:footnoteRef/>
      </w:r>
      <w:r>
        <w:t xml:space="preserve"> </w:t>
      </w:r>
      <w:r>
        <w:rPr>
          <w:i/>
        </w:rPr>
        <w:t>Id.</w:t>
      </w:r>
      <w:r>
        <w:t xml:space="preserve"> P 32.</w:t>
      </w:r>
    </w:p>
  </w:footnote>
  <w:footnote w:id="47">
    <w:p w14:paraId="6BB8F597" w14:textId="77777777" w:rsidR="00E835EE" w:rsidRDefault="00E835EE" w:rsidP="00983244">
      <w:pPr>
        <w:pStyle w:val="FootnoteText"/>
      </w:pPr>
      <w:r>
        <w:rPr>
          <w:rStyle w:val="FootnoteReference"/>
        </w:rPr>
        <w:footnoteRef/>
      </w:r>
      <w:r>
        <w:t xml:space="preserve"> </w:t>
      </w:r>
      <w:r>
        <w:rPr>
          <w:i/>
        </w:rPr>
        <w:t>Id.</w:t>
      </w:r>
      <w:r>
        <w:t xml:space="preserve"> P 34.</w:t>
      </w:r>
    </w:p>
  </w:footnote>
  <w:footnote w:id="48">
    <w:p w14:paraId="68BCC600" w14:textId="2E3D9DEE" w:rsidR="00E835EE" w:rsidRPr="00972425" w:rsidRDefault="00E835EE">
      <w:pPr>
        <w:pStyle w:val="FootnoteText"/>
      </w:pPr>
      <w:r>
        <w:rPr>
          <w:rStyle w:val="FootnoteReference"/>
        </w:rPr>
        <w:footnoteRef/>
      </w:r>
      <w:r>
        <w:t xml:space="preserve"> </w:t>
      </w:r>
      <w:r>
        <w:rPr>
          <w:i/>
          <w:iCs/>
        </w:rPr>
        <w:t>Coakley</w:t>
      </w:r>
      <w:r>
        <w:t xml:space="preserve"> Briefing Order, 165 FERC ¶ 61,030 at P 40; </w:t>
      </w:r>
      <w:r w:rsidRPr="00164E5D">
        <w:t>MISO</w:t>
      </w:r>
      <w:r>
        <w:t xml:space="preserve"> Briefing Order, </w:t>
      </w:r>
      <w:r w:rsidR="001A2CC0">
        <w:t xml:space="preserve"> </w:t>
      </w:r>
      <w:r>
        <w:t>165 FERC ¶ 61,118 at P 42.</w:t>
      </w:r>
    </w:p>
  </w:footnote>
  <w:footnote w:id="49">
    <w:p w14:paraId="7FD47939" w14:textId="384AED82" w:rsidR="00E835EE" w:rsidRPr="00BF7827" w:rsidRDefault="00E835EE">
      <w:pPr>
        <w:pStyle w:val="FootnoteText"/>
      </w:pPr>
      <w:r>
        <w:rPr>
          <w:rStyle w:val="FootnoteReference"/>
        </w:rPr>
        <w:footnoteRef/>
      </w:r>
      <w:r>
        <w:t xml:space="preserve"> </w:t>
      </w:r>
      <w:r>
        <w:rPr>
          <w:i/>
          <w:iCs/>
        </w:rPr>
        <w:t>See</w:t>
      </w:r>
      <w:r w:rsidRPr="00BF7827">
        <w:rPr>
          <w:i/>
          <w:iCs/>
        </w:rPr>
        <w:t xml:space="preserve"> </w:t>
      </w:r>
      <w:r>
        <w:rPr>
          <w:i/>
          <w:iCs/>
        </w:rPr>
        <w:t>Coakley</w:t>
      </w:r>
      <w:r>
        <w:t xml:space="preserve"> Briefing Order, 165 FERC ¶ 61,030 at PP 36, 44; </w:t>
      </w:r>
      <w:r w:rsidRPr="00164E5D">
        <w:t>MISO</w:t>
      </w:r>
      <w:r>
        <w:t xml:space="preserve"> Briefing Order, 165 FERC ¶ 61,118 at PP 38, 46.</w:t>
      </w:r>
    </w:p>
  </w:footnote>
  <w:footnote w:id="50">
    <w:p w14:paraId="0C88B21C" w14:textId="03206828" w:rsidR="00E835EE" w:rsidRPr="00172702" w:rsidRDefault="00E835EE">
      <w:pPr>
        <w:pStyle w:val="FootnoteText"/>
      </w:pPr>
      <w:r>
        <w:rPr>
          <w:rStyle w:val="FootnoteReference"/>
        </w:rPr>
        <w:footnoteRef/>
      </w:r>
      <w:r>
        <w:t xml:space="preserve"> </w:t>
      </w:r>
      <w:r>
        <w:rPr>
          <w:i/>
          <w:iCs/>
        </w:rPr>
        <w:t>Trailblazer</w:t>
      </w:r>
      <w:r>
        <w:t>, 166 FERC ¶ 61,141 at P 48.</w:t>
      </w:r>
    </w:p>
  </w:footnote>
  <w:footnote w:id="51">
    <w:p w14:paraId="3F99CB9E" w14:textId="5CE03E20" w:rsidR="00E835EE" w:rsidRDefault="00E835EE" w:rsidP="008C2799">
      <w:pPr>
        <w:pStyle w:val="FootnoteText"/>
      </w:pPr>
      <w:r>
        <w:rPr>
          <w:rStyle w:val="FootnoteReference"/>
        </w:rPr>
        <w:footnoteRef/>
      </w:r>
      <w:r>
        <w:t xml:space="preserve"> Opinion No. 569, 169 FERC ¶ 61,129 at PP 34, 171.</w:t>
      </w:r>
    </w:p>
  </w:footnote>
  <w:footnote w:id="52">
    <w:p w14:paraId="6F7EB462" w14:textId="46BC7847" w:rsidR="00E835EE" w:rsidRDefault="00E835EE">
      <w:pPr>
        <w:pStyle w:val="FootnoteText"/>
      </w:pPr>
      <w:r>
        <w:rPr>
          <w:rStyle w:val="FootnoteReference"/>
        </w:rPr>
        <w:footnoteRef/>
      </w:r>
      <w:r>
        <w:t xml:space="preserve"> </w:t>
      </w:r>
      <w:r>
        <w:rPr>
          <w:i/>
          <w:iCs/>
        </w:rPr>
        <w:t>Id.</w:t>
      </w:r>
      <w:r>
        <w:t xml:space="preserve"> PP 31, 34, 452.</w:t>
      </w:r>
    </w:p>
  </w:footnote>
  <w:footnote w:id="53">
    <w:p w14:paraId="5654EF83" w14:textId="41A89D05" w:rsidR="00E835EE" w:rsidRDefault="00E835EE">
      <w:pPr>
        <w:pStyle w:val="FootnoteText"/>
      </w:pPr>
      <w:r>
        <w:rPr>
          <w:rStyle w:val="FootnoteReference"/>
        </w:rPr>
        <w:footnoteRef/>
      </w:r>
      <w:r>
        <w:t xml:space="preserve"> </w:t>
      </w:r>
      <w:r>
        <w:rPr>
          <w:i/>
          <w:iCs/>
        </w:rPr>
        <w:t>Id.</w:t>
      </w:r>
      <w:r>
        <w:t xml:space="preserve"> PP 39, 171.</w:t>
      </w:r>
    </w:p>
  </w:footnote>
  <w:footnote w:id="54">
    <w:p w14:paraId="2C8DCDB3" w14:textId="46A0DB13" w:rsidR="00E835EE" w:rsidRDefault="00E835EE">
      <w:pPr>
        <w:pStyle w:val="FootnoteText"/>
      </w:pPr>
      <w:r>
        <w:rPr>
          <w:rStyle w:val="FootnoteReference"/>
        </w:rPr>
        <w:footnoteRef/>
      </w:r>
      <w:r>
        <w:t xml:space="preserve"> These commenters include:  Airlines for America; Liquids Shippers Group; Natural Gas Supply Association (NGSA); American Public Gas Association (APGA); </w:t>
      </w:r>
      <w:r w:rsidRPr="00597F74">
        <w:t>Process Gas Consumers Group and American Forest &amp; Paper Association (PGC/AF&amp;PA)</w:t>
      </w:r>
      <w:r>
        <w:t>; and the Canadian Association of Petroleum Producers (CAPP).</w:t>
      </w:r>
    </w:p>
  </w:footnote>
  <w:footnote w:id="55">
    <w:p w14:paraId="0C29153E" w14:textId="6B891A58" w:rsidR="00E835EE" w:rsidRDefault="00E835EE">
      <w:pPr>
        <w:pStyle w:val="FootnoteText"/>
      </w:pPr>
      <w:r>
        <w:rPr>
          <w:rStyle w:val="FootnoteReference"/>
        </w:rPr>
        <w:footnoteRef/>
      </w:r>
      <w:r>
        <w:t xml:space="preserve"> Airlines for America Initial Comments at 5-7; Liquids Shippers Group Initial Comments at 12-17, 22-25; NGSA Initial Comments at 3-6, 25, 27; APGA Comments at 3; PGC/AF&amp;PA Joint Comments at 1-2, 6-8; </w:t>
      </w:r>
      <w:r>
        <w:rPr>
          <w:i/>
          <w:iCs/>
        </w:rPr>
        <w:t>see also</w:t>
      </w:r>
      <w:r>
        <w:t xml:space="preserve"> CAPP Initial Comments at 27-28 (lauding </w:t>
      </w:r>
      <w:r w:rsidRPr="005B6851">
        <w:t>the DCF as superior and stat</w:t>
      </w:r>
      <w:r>
        <w:t>ing</w:t>
      </w:r>
      <w:r w:rsidRPr="005B6851">
        <w:t xml:space="preserve"> that investors most likely view the CAPM as a supplementary model</w:t>
      </w:r>
      <w:r>
        <w:t>).</w:t>
      </w:r>
    </w:p>
  </w:footnote>
  <w:footnote w:id="56">
    <w:p w14:paraId="48AD72CE" w14:textId="071E9A83" w:rsidR="00E835EE" w:rsidRDefault="00E835EE">
      <w:pPr>
        <w:pStyle w:val="FootnoteText"/>
      </w:pPr>
      <w:r>
        <w:rPr>
          <w:rStyle w:val="FootnoteReference"/>
        </w:rPr>
        <w:footnoteRef/>
      </w:r>
      <w:r>
        <w:t xml:space="preserve"> Airlines for America Initial Comments at 1-2, 5-7; Liquids Shippers Group Initial Comments at 12-17; NGSA Initial Comments at 3-4, 10, 25; PGC/AF&amp;PA Joint Comments at 6-8.</w:t>
      </w:r>
    </w:p>
  </w:footnote>
  <w:footnote w:id="57">
    <w:p w14:paraId="0670FBB5" w14:textId="11818CB7" w:rsidR="00E835EE" w:rsidRDefault="00E835EE">
      <w:pPr>
        <w:pStyle w:val="FootnoteText"/>
      </w:pPr>
      <w:r>
        <w:rPr>
          <w:rStyle w:val="FootnoteReference"/>
        </w:rPr>
        <w:footnoteRef/>
      </w:r>
      <w:r>
        <w:t xml:space="preserve"> These commenters include:  Association of Oil Pipe Lines (AOPL); Interstate Natural Gas Association of America (INGAA); Magellan Midstream Partners, L.P., Plains Pipeline L.P.; SFPP, L.P. and Calnev Pipe Line LLC; and Tallgrass Energy, LP.</w:t>
      </w:r>
    </w:p>
  </w:footnote>
  <w:footnote w:id="58">
    <w:p w14:paraId="13CD812A" w14:textId="24690FD6" w:rsidR="00E835EE" w:rsidRDefault="00E835EE">
      <w:pPr>
        <w:pStyle w:val="FootnoteText"/>
      </w:pPr>
      <w:r>
        <w:rPr>
          <w:rStyle w:val="FootnoteReference"/>
        </w:rPr>
        <w:footnoteRef/>
      </w:r>
      <w:r>
        <w:t xml:space="preserve"> AOPL Initial Comments at 3, 8-9, 11-12; INGAA Initial Comments at 40-41; Magellan Initial Comments at 8-13; Plains Comments at 3-4; SFPP-Calnev Comments at 3-4; Tallgrass Initial Comments at 1, 11.</w:t>
      </w:r>
    </w:p>
  </w:footnote>
  <w:footnote w:id="59">
    <w:p w14:paraId="6F2AB4F5" w14:textId="441AA299" w:rsidR="00E835EE" w:rsidRDefault="00E835EE">
      <w:pPr>
        <w:pStyle w:val="FootnoteText"/>
      </w:pPr>
      <w:r>
        <w:rPr>
          <w:rStyle w:val="FootnoteReference"/>
        </w:rPr>
        <w:footnoteRef/>
      </w:r>
      <w:r>
        <w:t xml:space="preserve"> </w:t>
      </w:r>
      <w:r>
        <w:rPr>
          <w:i/>
          <w:iCs/>
        </w:rPr>
        <w:t>E.g.</w:t>
      </w:r>
      <w:r>
        <w:t>,</w:t>
      </w:r>
      <w:r>
        <w:rPr>
          <w:i/>
          <w:iCs/>
        </w:rPr>
        <w:t xml:space="preserve"> </w:t>
      </w:r>
      <w:r>
        <w:t>AOPL Initial Comments at 4, 11; Tallgrass Initial Comments at 2.</w:t>
      </w:r>
    </w:p>
  </w:footnote>
  <w:footnote w:id="60">
    <w:p w14:paraId="521160AA" w14:textId="3BD22DA3" w:rsidR="00E835EE" w:rsidRPr="009F3AF3" w:rsidRDefault="00E835EE">
      <w:pPr>
        <w:pStyle w:val="FootnoteText"/>
      </w:pPr>
      <w:r>
        <w:rPr>
          <w:rStyle w:val="FootnoteReference"/>
        </w:rPr>
        <w:footnoteRef/>
      </w:r>
      <w:r>
        <w:t xml:space="preserve"> </w:t>
      </w:r>
      <w:r>
        <w:rPr>
          <w:i/>
          <w:iCs/>
        </w:rPr>
        <w:t>E.g.</w:t>
      </w:r>
      <w:r>
        <w:t xml:space="preserve">, </w:t>
      </w:r>
      <w:r>
        <w:rPr>
          <w:i/>
          <w:iCs/>
        </w:rPr>
        <w:t>Tenn. Gas Pipeline Co. v. FERC</w:t>
      </w:r>
      <w:r>
        <w:t xml:space="preserve">, 926 F.2d 1206, 1211 (D.C. Cir. 1991) (explaining that the Commission is free to reject the DCF, provided that it adequately explains its reasons for doing so); </w:t>
      </w:r>
      <w:r>
        <w:rPr>
          <w:i/>
          <w:iCs/>
        </w:rPr>
        <w:t>NEPCO Mun. Rate Comm. v. FERC</w:t>
      </w:r>
      <w:r>
        <w:t xml:space="preserve">, 668 F.2d 1327, 1345 (D.C. Cir. 1981) (“FERC is not bound ‘to the service of any single formula or combination of formulas.’” (quoting </w:t>
      </w:r>
      <w:r>
        <w:rPr>
          <w:i/>
          <w:iCs/>
        </w:rPr>
        <w:t>FPC v. Nat. Gas Pipeline Co. of Am.</w:t>
      </w:r>
      <w:r>
        <w:t>, 315 U.S. 575, 586 (1942))).</w:t>
      </w:r>
    </w:p>
  </w:footnote>
  <w:footnote w:id="61">
    <w:p w14:paraId="56A71009" w14:textId="46536589" w:rsidR="00E835EE" w:rsidRPr="005A26E8" w:rsidRDefault="00E835EE">
      <w:pPr>
        <w:pStyle w:val="FootnoteText"/>
      </w:pPr>
      <w:r>
        <w:rPr>
          <w:rStyle w:val="FootnoteReference"/>
        </w:rPr>
        <w:footnoteRef/>
      </w:r>
      <w:r>
        <w:t xml:space="preserve"> Opinion No. 569, 169 FERC ¶ 61,129 at P 32 (quoting </w:t>
      </w:r>
      <w:r>
        <w:rPr>
          <w:i/>
          <w:iCs/>
        </w:rPr>
        <w:t>Nuclear Energy Inst., Inc. v. EPA</w:t>
      </w:r>
      <w:r>
        <w:t>, 373 F.3d 1251, 1296 (D.C. Cir. 2004) (per curiam)) (internal citations and quotation marks omitted).</w:t>
      </w:r>
    </w:p>
  </w:footnote>
  <w:footnote w:id="62">
    <w:p w14:paraId="28327C2D" w14:textId="0657B7DB" w:rsidR="00E835EE" w:rsidRPr="004345CE" w:rsidRDefault="00E835EE" w:rsidP="00790C3D">
      <w:pPr>
        <w:pStyle w:val="FootnoteText"/>
      </w:pPr>
      <w:r w:rsidRPr="004345CE">
        <w:rPr>
          <w:b/>
          <w:vertAlign w:val="superscript"/>
        </w:rPr>
        <w:footnoteRef/>
      </w:r>
      <w:r w:rsidRPr="004345CE">
        <w:t xml:space="preserve"> </w:t>
      </w:r>
      <w:r w:rsidRPr="004345CE">
        <w:rPr>
          <w:i/>
        </w:rPr>
        <w:t>Hope</w:t>
      </w:r>
      <w:r w:rsidRPr="004345CE">
        <w:t>, 320 U.S. at 603</w:t>
      </w:r>
      <w:r>
        <w:t>;</w:t>
      </w:r>
      <w:r w:rsidRPr="004345CE">
        <w:t xml:space="preserve"> </w:t>
      </w:r>
      <w:r>
        <w:rPr>
          <w:i/>
          <w:iCs/>
        </w:rPr>
        <w:t>s</w:t>
      </w:r>
      <w:r w:rsidRPr="004345CE">
        <w:rPr>
          <w:i/>
        </w:rPr>
        <w:t xml:space="preserve">ee also </w:t>
      </w:r>
      <w:r>
        <w:rPr>
          <w:i/>
        </w:rPr>
        <w:t>CAPP</w:t>
      </w:r>
      <w:r w:rsidRPr="004345CE">
        <w:rPr>
          <w:i/>
        </w:rPr>
        <w:t xml:space="preserve"> v. FERC</w:t>
      </w:r>
      <w:r w:rsidRPr="004345CE">
        <w:t xml:space="preserve">, 254 F.3d </w:t>
      </w:r>
      <w:r>
        <w:t>at</w:t>
      </w:r>
      <w:r w:rsidRPr="004345CE">
        <w:t xml:space="preserve"> 293 (“In order to attract capital, a utility must offer a risk-adjusted expected rate of return sufficient to attract investors.”).</w:t>
      </w:r>
    </w:p>
  </w:footnote>
  <w:footnote w:id="63">
    <w:p w14:paraId="33D28983" w14:textId="58114A7A" w:rsidR="00E835EE" w:rsidRPr="004345CE" w:rsidRDefault="00E835EE" w:rsidP="00790C3D">
      <w:pPr>
        <w:pStyle w:val="FootnoteText"/>
      </w:pPr>
      <w:r w:rsidRPr="004345CE">
        <w:rPr>
          <w:b/>
          <w:vertAlign w:val="superscript"/>
        </w:rPr>
        <w:footnoteRef/>
      </w:r>
      <w:r w:rsidRPr="004345CE">
        <w:t xml:space="preserve"> </w:t>
      </w:r>
      <w:r w:rsidRPr="004345CE">
        <w:rPr>
          <w:i/>
        </w:rPr>
        <w:t>See Bluefield</w:t>
      </w:r>
      <w:r>
        <w:rPr>
          <w:i/>
        </w:rPr>
        <w:t xml:space="preserve"> Waterworks &amp; Improvement Co. v. Pub. Serv. Comm’n of W. Va.</w:t>
      </w:r>
      <w:r w:rsidRPr="004345CE">
        <w:t xml:space="preserve">, 262 U.S. </w:t>
      </w:r>
      <w:r>
        <w:t>679,</w:t>
      </w:r>
      <w:r w:rsidRPr="004345CE">
        <w:t xml:space="preserve"> 692-93</w:t>
      </w:r>
      <w:r>
        <w:t xml:space="preserve"> (1923)</w:t>
      </w:r>
      <w:r w:rsidRPr="004345CE">
        <w:t xml:space="preserve"> (discussing factors an investor considers in making investment decisions). </w:t>
      </w:r>
    </w:p>
  </w:footnote>
  <w:footnote w:id="64">
    <w:p w14:paraId="2EF24527" w14:textId="77777777" w:rsidR="00E835EE" w:rsidRPr="004345CE" w:rsidRDefault="00E835EE" w:rsidP="00790C3D">
      <w:pPr>
        <w:pStyle w:val="FootnoteText"/>
      </w:pPr>
      <w:r w:rsidRPr="004345CE">
        <w:rPr>
          <w:b/>
          <w:vertAlign w:val="superscript"/>
        </w:rPr>
        <w:footnoteRef/>
      </w:r>
      <w:r w:rsidRPr="004345CE">
        <w:t xml:space="preserve"> </w:t>
      </w:r>
      <w:r w:rsidRPr="004345CE">
        <w:rPr>
          <w:i/>
        </w:rPr>
        <w:t>Transcontinental Gas Pipe Line Corp.</w:t>
      </w:r>
      <w:r w:rsidRPr="004345CE">
        <w:t xml:space="preserve">, Opinion No. 414-B, 85 FERC ¶ 61,323 (1998). </w:t>
      </w:r>
    </w:p>
  </w:footnote>
  <w:footnote w:id="65">
    <w:p w14:paraId="1F53A57D" w14:textId="5AA69BAE" w:rsidR="00E835EE" w:rsidRPr="004345CE" w:rsidRDefault="00E835EE" w:rsidP="00790C3D">
      <w:pPr>
        <w:pStyle w:val="FootnoteText"/>
      </w:pPr>
      <w:r w:rsidRPr="004345CE">
        <w:rPr>
          <w:b/>
          <w:vertAlign w:val="superscript"/>
        </w:rPr>
        <w:footnoteRef/>
      </w:r>
      <w:r w:rsidRPr="004345CE">
        <w:t xml:space="preserve"> Opinion No. 414-B, 85 FERC at 62,268</w:t>
      </w:r>
      <w:r>
        <w:t xml:space="preserve">; </w:t>
      </w:r>
      <w:r>
        <w:rPr>
          <w:i/>
          <w:iCs/>
        </w:rPr>
        <w:t>s</w:t>
      </w:r>
      <w:r w:rsidRPr="004345CE">
        <w:rPr>
          <w:i/>
        </w:rPr>
        <w:t>ee also Kern River Gas Transmission Co</w:t>
      </w:r>
      <w:r w:rsidRPr="004345CE">
        <w:t>., Opinion No. 486-B, 1</w:t>
      </w:r>
      <w:r>
        <w:t>26 FERC ¶ 61,034, at P 120 (2009</w:t>
      </w:r>
      <w:r w:rsidRPr="004345CE">
        <w:t>)</w:t>
      </w:r>
      <w:r>
        <w:t xml:space="preserve">, </w:t>
      </w:r>
      <w:r>
        <w:rPr>
          <w:i/>
          <w:iCs/>
        </w:rPr>
        <w:t>order on reh’g and compliance</w:t>
      </w:r>
      <w:r>
        <w:t>, Opinion No. 486-C, 129 FERC ¶ 61,240 (2009)</w:t>
      </w:r>
      <w:r w:rsidRPr="004345CE">
        <w:t>.</w:t>
      </w:r>
    </w:p>
  </w:footnote>
  <w:footnote w:id="66">
    <w:p w14:paraId="784B528C" w14:textId="32AC3159" w:rsidR="00E835EE" w:rsidRPr="00790C3D" w:rsidRDefault="00E835EE">
      <w:pPr>
        <w:pStyle w:val="FootnoteText"/>
      </w:pPr>
      <w:r>
        <w:rPr>
          <w:rStyle w:val="FootnoteReference"/>
        </w:rPr>
        <w:footnoteRef/>
      </w:r>
      <w:r>
        <w:t xml:space="preserve"> Opinion No. 569, 169 FERC ¶ 61,129 at PP 34, 236; </w:t>
      </w:r>
      <w:r>
        <w:rPr>
          <w:i/>
          <w:iCs/>
        </w:rPr>
        <w:t xml:space="preserve">Coakley </w:t>
      </w:r>
      <w:r>
        <w:t>Briefing Order, 165 FERC ¶ 61,030 at P 35; MISO Briefing Order, 165 FERC ¶ 61,118 at P 37.</w:t>
      </w:r>
    </w:p>
  </w:footnote>
  <w:footnote w:id="67">
    <w:p w14:paraId="3D2576C1" w14:textId="77777777" w:rsidR="00E835EE" w:rsidRPr="00B23F14" w:rsidRDefault="00E835EE" w:rsidP="00970B36">
      <w:pPr>
        <w:pStyle w:val="FootnoteText"/>
      </w:pPr>
      <w:r>
        <w:rPr>
          <w:rStyle w:val="FootnoteReference"/>
        </w:rPr>
        <w:footnoteRef/>
      </w:r>
      <w:r>
        <w:t xml:space="preserve"> </w:t>
      </w:r>
      <w:r>
        <w:rPr>
          <w:i/>
        </w:rPr>
        <w:t>See, e.g.</w:t>
      </w:r>
      <w:r>
        <w:t xml:space="preserve">, </w:t>
      </w:r>
      <w:r w:rsidRPr="003642AF">
        <w:t xml:space="preserve">Jonathan B. Berk </w:t>
      </w:r>
      <w:r>
        <w:t xml:space="preserve">and </w:t>
      </w:r>
      <w:r w:rsidRPr="003642AF">
        <w:t>Jules H. van Binsbergen</w:t>
      </w:r>
      <w:r>
        <w:t xml:space="preserve">, </w:t>
      </w:r>
      <w:r w:rsidRPr="003642AF">
        <w:rPr>
          <w:i/>
        </w:rPr>
        <w:t xml:space="preserve">Assessing </w:t>
      </w:r>
      <w:r>
        <w:rPr>
          <w:i/>
        </w:rPr>
        <w:t>A</w:t>
      </w:r>
      <w:r w:rsidRPr="003642AF">
        <w:rPr>
          <w:i/>
        </w:rPr>
        <w:t xml:space="preserve">sset </w:t>
      </w:r>
      <w:r>
        <w:rPr>
          <w:i/>
        </w:rPr>
        <w:t>P</w:t>
      </w:r>
      <w:r w:rsidRPr="003642AF">
        <w:rPr>
          <w:i/>
        </w:rPr>
        <w:t xml:space="preserve">ricing </w:t>
      </w:r>
      <w:r>
        <w:rPr>
          <w:i/>
        </w:rPr>
        <w:t>M</w:t>
      </w:r>
      <w:r w:rsidRPr="003642AF">
        <w:rPr>
          <w:i/>
        </w:rPr>
        <w:t xml:space="preserve">odels </w:t>
      </w:r>
      <w:r>
        <w:rPr>
          <w:i/>
        </w:rPr>
        <w:t>U</w:t>
      </w:r>
      <w:r w:rsidRPr="003642AF">
        <w:rPr>
          <w:i/>
        </w:rPr>
        <w:t xml:space="preserve">sing </w:t>
      </w:r>
      <w:r>
        <w:rPr>
          <w:i/>
        </w:rPr>
        <w:t>R</w:t>
      </w:r>
      <w:r w:rsidRPr="003642AF">
        <w:rPr>
          <w:i/>
        </w:rPr>
        <w:t xml:space="preserve">evealed </w:t>
      </w:r>
      <w:r>
        <w:rPr>
          <w:i/>
        </w:rPr>
        <w:t>P</w:t>
      </w:r>
      <w:r w:rsidRPr="003642AF">
        <w:rPr>
          <w:i/>
        </w:rPr>
        <w:t>reference</w:t>
      </w:r>
      <w:r>
        <w:t xml:space="preserve">, 119(1) Journal of Financial Economics 1, 2 (2016) (“We find that </w:t>
      </w:r>
      <w:r w:rsidRPr="003642AF">
        <w:t>the CAPM is the closest model to the model that investors use to make their capital allocation decisions</w:t>
      </w:r>
      <w:r>
        <w:t xml:space="preserve"> . . . </w:t>
      </w:r>
      <w:r w:rsidRPr="00815F79">
        <w:t>investors appear to be using the CAPM to make their investment decisions</w:t>
      </w:r>
      <w:r>
        <w:t xml:space="preserve">.”); </w:t>
      </w:r>
      <w:r w:rsidRPr="00B23F14">
        <w:t>Brad M. Barber</w:t>
      </w:r>
      <w:r>
        <w:t xml:space="preserve">, et al., </w:t>
      </w:r>
      <w:r w:rsidRPr="00B23F14">
        <w:rPr>
          <w:i/>
        </w:rPr>
        <w:t>Which Factors Matter to Investors? Evidence from Mutual Fund Flows</w:t>
      </w:r>
      <w:r>
        <w:t xml:space="preserve">, </w:t>
      </w:r>
      <w:r w:rsidRPr="00B23F14">
        <w:t>29(10)</w:t>
      </w:r>
      <w:r>
        <w:t xml:space="preserve"> </w:t>
      </w:r>
      <w:r w:rsidRPr="00B23F14">
        <w:t xml:space="preserve">The Review of Financial Studies </w:t>
      </w:r>
      <w:r>
        <w:t>2600, 2639 (2016) (“[W]</w:t>
      </w:r>
      <w:r w:rsidRPr="00B23F14">
        <w:t>hen we ran a horse race between six asset-pricing models, the CAPM is able to best explain variation in flows across mutual funds</w:t>
      </w:r>
      <w:r>
        <w:t xml:space="preserve">.”); </w:t>
      </w:r>
      <w:r>
        <w:rPr>
          <w:i/>
        </w:rPr>
        <w:t xml:space="preserve">id. </w:t>
      </w:r>
      <w:r>
        <w:t>at 2624 (“[T]</w:t>
      </w:r>
      <w:r w:rsidRPr="00B23F14">
        <w:t>he CAPM does the best job of predicting fund-flow relations</w:t>
      </w:r>
      <w:r>
        <w:t xml:space="preserve">.”); </w:t>
      </w:r>
      <w:r>
        <w:rPr>
          <w:i/>
          <w:iCs/>
        </w:rPr>
        <w:t xml:space="preserve">see also </w:t>
      </w:r>
      <w:r w:rsidRPr="001434BD">
        <w:t>John R. Graham and Campbell R. Harvey</w:t>
      </w:r>
      <w:r>
        <w:t xml:space="preserve">, </w:t>
      </w:r>
      <w:r w:rsidRPr="001434BD">
        <w:rPr>
          <w:i/>
        </w:rPr>
        <w:t xml:space="preserve">The </w:t>
      </w:r>
      <w:r>
        <w:rPr>
          <w:i/>
        </w:rPr>
        <w:t>T</w:t>
      </w:r>
      <w:r w:rsidRPr="001434BD">
        <w:rPr>
          <w:i/>
        </w:rPr>
        <w:t xml:space="preserve">heory and </w:t>
      </w:r>
      <w:r>
        <w:rPr>
          <w:i/>
        </w:rPr>
        <w:t>P</w:t>
      </w:r>
      <w:r w:rsidRPr="001434BD">
        <w:rPr>
          <w:i/>
        </w:rPr>
        <w:t xml:space="preserve">ractice of </w:t>
      </w:r>
      <w:r>
        <w:rPr>
          <w:i/>
        </w:rPr>
        <w:t>C</w:t>
      </w:r>
      <w:r w:rsidRPr="001434BD">
        <w:rPr>
          <w:i/>
        </w:rPr>
        <w:t xml:space="preserve">orporate </w:t>
      </w:r>
      <w:r>
        <w:rPr>
          <w:i/>
        </w:rPr>
        <w:t>F</w:t>
      </w:r>
      <w:r w:rsidRPr="001434BD">
        <w:rPr>
          <w:i/>
        </w:rPr>
        <w:t xml:space="preserve">inance: Evidence from the </w:t>
      </w:r>
      <w:r>
        <w:rPr>
          <w:i/>
        </w:rPr>
        <w:t>F</w:t>
      </w:r>
      <w:r w:rsidRPr="001434BD">
        <w:rPr>
          <w:i/>
        </w:rPr>
        <w:t>ield</w:t>
      </w:r>
      <w:r>
        <w:t xml:space="preserve">, 60(2) </w:t>
      </w:r>
      <w:r w:rsidRPr="001434BD">
        <w:t>Journal of Financial Economics</w:t>
      </w:r>
      <w:r>
        <w:t xml:space="preserve"> 187, 201 (2001) (explaining that “</w:t>
      </w:r>
      <w:r w:rsidRPr="00FC4451">
        <w:t>the CAPM is by far the most popular method of estimating the cost of equity capital.”</w:t>
      </w:r>
      <w:r>
        <w:t>).</w:t>
      </w:r>
    </w:p>
  </w:footnote>
  <w:footnote w:id="68">
    <w:p w14:paraId="61499437" w14:textId="77777777" w:rsidR="00E835EE" w:rsidRPr="00AE7724" w:rsidRDefault="00E835EE" w:rsidP="00970B36">
      <w:pPr>
        <w:pStyle w:val="FootnoteText"/>
      </w:pPr>
      <w:r>
        <w:rPr>
          <w:rStyle w:val="FootnoteReference"/>
        </w:rPr>
        <w:footnoteRef/>
      </w:r>
      <w:r>
        <w:t xml:space="preserve"> </w:t>
      </w:r>
      <w:r w:rsidRPr="00F07F26">
        <w:rPr>
          <w:iCs/>
        </w:rPr>
        <w:t xml:space="preserve">Opinion </w:t>
      </w:r>
      <w:r>
        <w:t xml:space="preserve">No. </w:t>
      </w:r>
      <w:r w:rsidRPr="00F07F26">
        <w:rPr>
          <w:iCs/>
        </w:rPr>
        <w:t>569</w:t>
      </w:r>
      <w:r>
        <w:t>, 169 FERC ¶ 61,129</w:t>
      </w:r>
      <w:r w:rsidRPr="00F07F26">
        <w:rPr>
          <w:iCs/>
        </w:rPr>
        <w:t xml:space="preserve"> </w:t>
      </w:r>
      <w:r>
        <w:t xml:space="preserve">at P </w:t>
      </w:r>
      <w:r w:rsidRPr="00172C67">
        <w:t>236</w:t>
      </w:r>
      <w:r>
        <w:rPr>
          <w:i/>
        </w:rPr>
        <w:t xml:space="preserve">. </w:t>
      </w:r>
    </w:p>
  </w:footnote>
  <w:footnote w:id="69">
    <w:p w14:paraId="70A284FA" w14:textId="5BAF219B" w:rsidR="00E835EE" w:rsidRPr="00FE60F6" w:rsidRDefault="00E835EE" w:rsidP="00574DA0">
      <w:pPr>
        <w:pStyle w:val="FootnoteText"/>
      </w:pPr>
      <w:r>
        <w:rPr>
          <w:rStyle w:val="FootnoteReference"/>
        </w:rPr>
        <w:footnoteRef/>
      </w:r>
      <w:r>
        <w:t xml:space="preserve"> </w:t>
      </w:r>
      <w:r>
        <w:rPr>
          <w:i/>
          <w:iCs/>
        </w:rPr>
        <w:t>See Trailblazer</w:t>
      </w:r>
      <w:r>
        <w:t xml:space="preserve">, 166 FERC ¶ 61,141 at P 48 (citing </w:t>
      </w:r>
      <w:r>
        <w:rPr>
          <w:i/>
          <w:iCs/>
        </w:rPr>
        <w:t xml:space="preserve">Coakley </w:t>
      </w:r>
      <w:r>
        <w:t xml:space="preserve">Briefing Order,  165 FERC ¶ 61,030 at PP 34-36).  We note that with the exception of commenters supporting sole reliance on the DCF model, commenters generally do not oppose use of the CAPM for natural gas and oil pipelines.  </w:t>
      </w:r>
      <w:r>
        <w:rPr>
          <w:i/>
          <w:iCs/>
        </w:rPr>
        <w:t xml:space="preserve">See </w:t>
      </w:r>
      <w:r>
        <w:t>CAPP Initial Comments at 28; INGAA Initial Comments at 41 (supporting use of DCF, CAPM, and Expected Earnings); AOPL Initial Comments at 8-9 (endorsing use of the proposed four-model methodology, which includes CAPM, as a reasonable approach for oil pipelines); Plains Comments at 4 (same); SFPP-Calnev Comments at 4 (same).</w:t>
      </w:r>
    </w:p>
  </w:footnote>
  <w:footnote w:id="70">
    <w:p w14:paraId="1242ADD4" w14:textId="77777777" w:rsidR="00E835EE" w:rsidRDefault="00E835EE" w:rsidP="003240BE">
      <w:pPr>
        <w:pStyle w:val="FootnoteText"/>
      </w:pPr>
      <w:r>
        <w:rPr>
          <w:rStyle w:val="FootnoteReference"/>
        </w:rPr>
        <w:footnoteRef/>
      </w:r>
      <w:r>
        <w:t xml:space="preserve"> </w:t>
      </w:r>
      <w:r w:rsidRPr="00F07F26">
        <w:rPr>
          <w:iCs/>
        </w:rPr>
        <w:t xml:space="preserve">Opinion </w:t>
      </w:r>
      <w:r>
        <w:rPr>
          <w:iCs/>
        </w:rPr>
        <w:t xml:space="preserve">No. </w:t>
      </w:r>
      <w:r w:rsidRPr="00F07F26">
        <w:rPr>
          <w:iCs/>
        </w:rPr>
        <w:t>569</w:t>
      </w:r>
      <w:r>
        <w:rPr>
          <w:iCs/>
        </w:rPr>
        <w:t xml:space="preserve">, </w:t>
      </w:r>
      <w:r>
        <w:t>169 FERC ¶ 61,129</w:t>
      </w:r>
      <w:r w:rsidRPr="00F07F26">
        <w:rPr>
          <w:iCs/>
        </w:rPr>
        <w:t xml:space="preserve"> </w:t>
      </w:r>
      <w:r w:rsidRPr="00FC4451">
        <w:rPr>
          <w:iCs/>
        </w:rPr>
        <w:t>at P 236</w:t>
      </w:r>
      <w:r w:rsidRPr="00F07F26">
        <w:rPr>
          <w:i/>
        </w:rPr>
        <w:t>.</w:t>
      </w:r>
    </w:p>
  </w:footnote>
  <w:footnote w:id="71">
    <w:p w14:paraId="463974FF" w14:textId="3A1B074C" w:rsidR="00E835EE" w:rsidRDefault="00E835EE" w:rsidP="00E03B49">
      <w:pPr>
        <w:pStyle w:val="FootnoteText"/>
      </w:pPr>
      <w:r>
        <w:rPr>
          <w:rStyle w:val="FootnoteReference"/>
        </w:rPr>
        <w:footnoteRef/>
      </w:r>
      <w:r>
        <w:t xml:space="preserve"> </w:t>
      </w:r>
      <w:r w:rsidRPr="00F34D1D">
        <w:t>The Commission adopted the 50</w:t>
      </w:r>
      <w:r>
        <w:t>%</w:t>
      </w:r>
      <w:r w:rsidRPr="00F34D1D">
        <w:t xml:space="preserve"> long-term growth rate adjustment for MLPs in the 2008 Policy Statement in part because MLPs have limited investment opportunities and face pressure to maintain a high payout ratio.  </w:t>
      </w:r>
      <w:r w:rsidRPr="00F34D1D">
        <w:rPr>
          <w:i/>
        </w:rPr>
        <w:t xml:space="preserve">See </w:t>
      </w:r>
      <w:r w:rsidRPr="00F34D1D">
        <w:t xml:space="preserve">2008 Policy Statement, 123 FERC ¶ 61,048 at PP 95-96.  Commenters state that MLPs no longer face the same pressure to maintain a high payout ratio and often now generate growth internally through retained earnings, which will cause their growth rates to increase.  </w:t>
      </w:r>
      <w:r w:rsidRPr="00F34D1D">
        <w:rPr>
          <w:i/>
        </w:rPr>
        <w:t>See, e.g.</w:t>
      </w:r>
      <w:r w:rsidRPr="00F34D1D">
        <w:t>, INGAA Initial Comments at 58-59.  While the Commission continues to favor the 50</w:t>
      </w:r>
      <w:r>
        <w:t>%</w:t>
      </w:r>
      <w:r w:rsidRPr="00F34D1D">
        <w:t xml:space="preserve"> long-term growth adjustment for MLPs, parties may present empirical evidence for an alternative adjustment in cost-of-service rate proceedings.  Natural gas and oil pipelines that are MLPs may not use alternative adjustments to support their annual forms.</w:t>
      </w:r>
    </w:p>
  </w:footnote>
  <w:footnote w:id="72">
    <w:p w14:paraId="0B39442F" w14:textId="7FBA0DC5" w:rsidR="00E835EE" w:rsidRDefault="00E835EE">
      <w:pPr>
        <w:pStyle w:val="FootnoteText"/>
      </w:pPr>
      <w:r>
        <w:rPr>
          <w:rStyle w:val="FootnoteReference"/>
        </w:rPr>
        <w:footnoteRef/>
      </w:r>
      <w:r>
        <w:t xml:space="preserve"> AOPL Initial Comments at 41; NGSA Initial Comments at 32-33; </w:t>
      </w:r>
      <w:r>
        <w:rPr>
          <w:i/>
          <w:iCs/>
        </w:rPr>
        <w:t>see also</w:t>
      </w:r>
      <w:r w:rsidRPr="009E309A">
        <w:t xml:space="preserve"> </w:t>
      </w:r>
      <w:r>
        <w:t>Magellan Initial Comments at 23-24 (supporting two-thirds/one-third weighting should Commission retain existing two-step DCF).</w:t>
      </w:r>
    </w:p>
  </w:footnote>
  <w:footnote w:id="73">
    <w:p w14:paraId="6951CE7D" w14:textId="6525FFFE" w:rsidR="00E835EE" w:rsidRDefault="00E835EE">
      <w:pPr>
        <w:pStyle w:val="FootnoteText"/>
      </w:pPr>
      <w:r>
        <w:rPr>
          <w:rStyle w:val="FootnoteReference"/>
        </w:rPr>
        <w:footnoteRef/>
      </w:r>
      <w:r>
        <w:t xml:space="preserve"> CAPP Initial Comments at 40.</w:t>
      </w:r>
    </w:p>
  </w:footnote>
  <w:footnote w:id="74">
    <w:p w14:paraId="71F707D6" w14:textId="76605D97" w:rsidR="00E835EE" w:rsidRDefault="00E835EE">
      <w:pPr>
        <w:pStyle w:val="FootnoteText"/>
      </w:pPr>
      <w:r>
        <w:rPr>
          <w:rStyle w:val="FootnoteReference"/>
        </w:rPr>
        <w:footnoteRef/>
      </w:r>
      <w:r>
        <w:t xml:space="preserve"> INGAA Initial Comments at 55.</w:t>
      </w:r>
    </w:p>
  </w:footnote>
  <w:footnote w:id="75">
    <w:p w14:paraId="37F7DA5F" w14:textId="77777777" w:rsidR="00E835EE" w:rsidRPr="008871E6" w:rsidRDefault="00E835EE" w:rsidP="00390E08">
      <w:pPr>
        <w:pStyle w:val="FootnoteText"/>
      </w:pPr>
      <w:r>
        <w:rPr>
          <w:rStyle w:val="FootnoteReference"/>
        </w:rPr>
        <w:footnoteRef/>
      </w:r>
      <w:r>
        <w:t xml:space="preserve"> </w:t>
      </w:r>
      <w:r>
        <w:rPr>
          <w:i/>
          <w:iCs/>
        </w:rPr>
        <w:t>See CAPP v. FERC</w:t>
      </w:r>
      <w:r>
        <w:t>, 254 F.3d at 297 (holding that the Commission did not abuse its discretion in reducing the weighting of the long-term growth projection from one-half to one-third).</w:t>
      </w:r>
    </w:p>
  </w:footnote>
  <w:footnote w:id="76">
    <w:p w14:paraId="7E644D5A" w14:textId="74E2D0DC" w:rsidR="00E835EE" w:rsidRDefault="00E835EE">
      <w:pPr>
        <w:pStyle w:val="FootnoteText"/>
      </w:pPr>
      <w:r>
        <w:rPr>
          <w:rStyle w:val="FootnoteReference"/>
        </w:rPr>
        <w:footnoteRef/>
      </w:r>
      <w:r>
        <w:t xml:space="preserve"> Opinion No. 414-A, 84 FERC ¶ 61,084 (1998). </w:t>
      </w:r>
    </w:p>
  </w:footnote>
  <w:footnote w:id="77">
    <w:p w14:paraId="3F7AFE21" w14:textId="1766E374" w:rsidR="00E835EE" w:rsidRPr="006E02D2" w:rsidRDefault="00E835EE" w:rsidP="00216116">
      <w:pPr>
        <w:pStyle w:val="FootnoteText"/>
      </w:pPr>
      <w:r>
        <w:rPr>
          <w:rStyle w:val="FootnoteReference"/>
        </w:rPr>
        <w:footnoteRef/>
      </w:r>
      <w:r>
        <w:t xml:space="preserve"> In Opinion No. 414-A, </w:t>
      </w:r>
      <w:r w:rsidRPr="003D3F2E">
        <w:t>the short-term growth projections of the proxy group members averaged 11.33</w:t>
      </w:r>
      <w:r>
        <w:t>%</w:t>
      </w:r>
      <w:r w:rsidRPr="003D3F2E">
        <w:t>, almost twice the long-term GDP growth projection of 5.45</w:t>
      </w:r>
      <w:r>
        <w:t xml:space="preserve">%. </w:t>
      </w:r>
      <w:r>
        <w:rPr>
          <w:i/>
          <w:iCs/>
        </w:rPr>
        <w:t>See id.</w:t>
      </w:r>
      <w:r>
        <w:t xml:space="preserve"> at app. A.  As explained in Opinion No. 569-A, the average short-term growth projections for the proxy group in one of the public utility proceedings addressed therein had declined to </w:t>
      </w:r>
      <w:r w:rsidRPr="00CD290A">
        <w:t>5.03</w:t>
      </w:r>
      <w:r>
        <w:t>%</w:t>
      </w:r>
      <w:r w:rsidRPr="00CD290A">
        <w:t xml:space="preserve">, as compared to a long-term GDP growth projection in that proceeding of </w:t>
      </w:r>
      <w:r w:rsidRPr="0064686F">
        <w:t>4.39</w:t>
      </w:r>
      <w:r>
        <w:t xml:space="preserve">%.  Opinion No. 569-A, 171 FERC ¶ 61,154 at </w:t>
      </w:r>
      <w:r w:rsidRPr="00D637DE">
        <w:t>P</w:t>
      </w:r>
      <w:r>
        <w:t xml:space="preserve"> 57</w:t>
      </w:r>
      <w:r w:rsidRPr="00D637DE">
        <w:t>.</w:t>
      </w:r>
    </w:p>
  </w:footnote>
  <w:footnote w:id="78">
    <w:p w14:paraId="3C751CD5" w14:textId="6822988B" w:rsidR="00E835EE" w:rsidRPr="00E4685B" w:rsidRDefault="00E835EE" w:rsidP="00216116">
      <w:pPr>
        <w:pStyle w:val="FootnoteText"/>
      </w:pPr>
      <w:r>
        <w:rPr>
          <w:rStyle w:val="FootnoteReference"/>
        </w:rPr>
        <w:footnoteRef/>
      </w:r>
      <w:r>
        <w:t xml:space="preserve"> Opinion No. 569-A, 171 FERC ¶ </w:t>
      </w:r>
      <w:r w:rsidRPr="00D637DE">
        <w:t>61,</w:t>
      </w:r>
      <w:r>
        <w:t>154</w:t>
      </w:r>
      <w:r w:rsidRPr="00D637DE">
        <w:t xml:space="preserve"> at PP</w:t>
      </w:r>
      <w:r>
        <w:t xml:space="preserve"> 57-58</w:t>
      </w:r>
      <w:r w:rsidRPr="00D637DE">
        <w:t>.</w:t>
      </w:r>
    </w:p>
  </w:footnote>
  <w:footnote w:id="79">
    <w:p w14:paraId="308D37E9" w14:textId="77777777" w:rsidR="001A2CC0" w:rsidRDefault="00E835EE">
      <w:pPr>
        <w:pStyle w:val="FootnoteText"/>
      </w:pPr>
      <w:r>
        <w:rPr>
          <w:rStyle w:val="FootnoteReference"/>
        </w:rPr>
        <w:footnoteRef/>
      </w:r>
      <w:r>
        <w:t xml:space="preserve"> For example, using data from February 2020, the short-term growth projections of a hypothetical natural gas pipeline proxy group consisting of Enbridge Inc., TC Energy, National Fuel Gas Company, Kinder Morgan Inc., and Williams Companies, Inc., average 5.92%</w:t>
      </w:r>
      <w:r w:rsidRPr="00E75105">
        <w:t xml:space="preserve"> </w:t>
      </w:r>
      <w:r>
        <w:t xml:space="preserve">relative to a GDP growth projection of 4.22%.  </w:t>
      </w:r>
      <w:r w:rsidRPr="00CC6755">
        <w:t xml:space="preserve">By comparison, </w:t>
      </w:r>
      <w:r w:rsidRPr="0012756C">
        <w:t>in one of the public utility proceedings addressed</w:t>
      </w:r>
      <w:r w:rsidRPr="00CC6755">
        <w:t xml:space="preserve"> in Opinion No. 569-A</w:t>
      </w:r>
      <w:r w:rsidRPr="0012756C">
        <w:t xml:space="preserve">, </w:t>
      </w:r>
      <w:r w:rsidRPr="00CC6755">
        <w:t xml:space="preserve">the short-term </w:t>
      </w:r>
    </w:p>
    <w:p w14:paraId="60BA4C3D" w14:textId="77777777" w:rsidR="001A2CC0" w:rsidRDefault="001A2CC0" w:rsidP="001A2CC0">
      <w:pPr>
        <w:pStyle w:val="FootnoteText"/>
        <w:spacing w:after="0"/>
        <w:ind w:firstLine="0"/>
      </w:pPr>
    </w:p>
    <w:p w14:paraId="297811F0" w14:textId="20150054" w:rsidR="00E835EE" w:rsidRDefault="00E835EE" w:rsidP="001A2CC0">
      <w:pPr>
        <w:pStyle w:val="FootnoteText"/>
        <w:spacing w:after="0"/>
        <w:ind w:firstLine="0"/>
      </w:pPr>
      <w:r w:rsidRPr="00CC6755">
        <w:t>growth projection</w:t>
      </w:r>
      <w:r w:rsidRPr="0012756C">
        <w:t>s</w:t>
      </w:r>
      <w:r w:rsidRPr="00CC6755">
        <w:t xml:space="preserve"> </w:t>
      </w:r>
      <w:r w:rsidRPr="0012756C">
        <w:t>of</w:t>
      </w:r>
      <w:r w:rsidRPr="00CC6755">
        <w:t xml:space="preserve"> the proxy group </w:t>
      </w:r>
      <w:r w:rsidRPr="0012756C">
        <w:t>averaged 5.03</w:t>
      </w:r>
      <w:r>
        <w:t>%</w:t>
      </w:r>
      <w:r w:rsidRPr="0012756C">
        <w:t xml:space="preserve"> relative to a projected growth in GDP of 4.39</w:t>
      </w:r>
      <w:r>
        <w:t>%</w:t>
      </w:r>
      <w:r w:rsidRPr="00CC6755">
        <w:t xml:space="preserve">.  </w:t>
      </w:r>
      <w:r w:rsidRPr="00CC6755">
        <w:rPr>
          <w:i/>
          <w:iCs/>
        </w:rPr>
        <w:t>Id.</w:t>
      </w:r>
      <w:r w:rsidRPr="00CC6755">
        <w:t xml:space="preserve"> P 57</w:t>
      </w:r>
      <w:r w:rsidRPr="0000117F">
        <w:t>.</w:t>
      </w:r>
    </w:p>
  </w:footnote>
  <w:footnote w:id="80">
    <w:p w14:paraId="4F3ACF43" w14:textId="31408FE0" w:rsidR="00E835EE" w:rsidRPr="00734D64" w:rsidRDefault="00E835EE">
      <w:pPr>
        <w:pStyle w:val="FootnoteText"/>
      </w:pPr>
      <w:r>
        <w:rPr>
          <w:rStyle w:val="FootnoteReference"/>
        </w:rPr>
        <w:footnoteRef/>
      </w:r>
      <w:r>
        <w:t xml:space="preserve"> Opinion No. 569, 169 FERC ¶ 61,129 at P 239 (citing Morin at 155-162).</w:t>
      </w:r>
    </w:p>
  </w:footnote>
  <w:footnote w:id="81">
    <w:p w14:paraId="787C621A" w14:textId="79DD5651" w:rsidR="00E835EE" w:rsidRDefault="00E835EE">
      <w:pPr>
        <w:pStyle w:val="FootnoteText"/>
      </w:pPr>
      <w:r>
        <w:rPr>
          <w:rStyle w:val="FootnoteReference"/>
        </w:rPr>
        <w:footnoteRef/>
      </w:r>
      <w:r>
        <w:t xml:space="preserve"> </w:t>
      </w:r>
      <w:r>
        <w:rPr>
          <w:i/>
          <w:iCs/>
        </w:rPr>
        <w:t>Id.</w:t>
      </w:r>
      <w:r>
        <w:t xml:space="preserve"> P 237.</w:t>
      </w:r>
    </w:p>
  </w:footnote>
  <w:footnote w:id="82">
    <w:p w14:paraId="1F68A464" w14:textId="581C45D4" w:rsidR="00E835EE" w:rsidRDefault="00E835EE" w:rsidP="00EB21A9">
      <w:pPr>
        <w:pStyle w:val="FootnoteText"/>
      </w:pPr>
      <w:r>
        <w:rPr>
          <w:rStyle w:val="FootnoteReference"/>
        </w:rPr>
        <w:footnoteRef/>
      </w:r>
      <w:r>
        <w:t xml:space="preserve"> </w:t>
      </w:r>
      <w:r>
        <w:rPr>
          <w:i/>
          <w:iCs/>
        </w:rPr>
        <w:t>Id.</w:t>
      </w:r>
      <w:r>
        <w:t xml:space="preserve"> PP 237-238.</w:t>
      </w:r>
    </w:p>
  </w:footnote>
  <w:footnote w:id="83">
    <w:p w14:paraId="5BA39B8E" w14:textId="79E5B193" w:rsidR="00E835EE" w:rsidRDefault="00E835EE" w:rsidP="00EB21A9">
      <w:pPr>
        <w:pStyle w:val="FootnoteText"/>
      </w:pPr>
      <w:r>
        <w:rPr>
          <w:rStyle w:val="FootnoteReference"/>
        </w:rPr>
        <w:footnoteRef/>
      </w:r>
      <w:r>
        <w:t xml:space="preserve"> </w:t>
      </w:r>
      <w:r>
        <w:rPr>
          <w:i/>
          <w:iCs/>
        </w:rPr>
        <w:t>Id.</w:t>
      </w:r>
      <w:r>
        <w:t xml:space="preserve"> P 260.  </w:t>
      </w:r>
      <w:r w:rsidRPr="00DB7684">
        <w:t xml:space="preserve">Because the rationale for including a long-term growth estimate in the DCF analysis of a specific utility does not apply to the DCF analysis of a broad, representative market index with a wide variety of companies that is regularly updated, the Commission held that the DCF analysis of the dividend paying members of the S&amp;P 500 should be a one-step DCF </w:t>
      </w:r>
      <w:r>
        <w:t xml:space="preserve">analysis </w:t>
      </w:r>
      <w:r w:rsidRPr="00DB7684">
        <w:t>that uses only short-term growth projections</w:t>
      </w:r>
      <w:r>
        <w:t xml:space="preserve">.  </w:t>
      </w:r>
      <w:r>
        <w:rPr>
          <w:i/>
          <w:iCs/>
        </w:rPr>
        <w:t xml:space="preserve">Id. </w:t>
      </w:r>
      <w:r>
        <w:t>PP 261-266.</w:t>
      </w:r>
    </w:p>
  </w:footnote>
  <w:footnote w:id="84">
    <w:p w14:paraId="33924E8F" w14:textId="0FD66FAC" w:rsidR="00E835EE" w:rsidRDefault="00E835EE">
      <w:pPr>
        <w:pStyle w:val="FootnoteText"/>
      </w:pPr>
      <w:r>
        <w:rPr>
          <w:rStyle w:val="FootnoteReference"/>
        </w:rPr>
        <w:footnoteRef/>
      </w:r>
      <w:r>
        <w:t xml:space="preserve"> </w:t>
      </w:r>
      <w:r>
        <w:rPr>
          <w:i/>
          <w:iCs/>
        </w:rPr>
        <w:t>Id.</w:t>
      </w:r>
      <w:r>
        <w:t xml:space="preserve"> PP 263-265.</w:t>
      </w:r>
    </w:p>
  </w:footnote>
  <w:footnote w:id="85">
    <w:p w14:paraId="6DE7623E" w14:textId="59558804" w:rsidR="00E835EE" w:rsidRDefault="00E835EE" w:rsidP="00EB21A9">
      <w:pPr>
        <w:pStyle w:val="FootnoteText"/>
      </w:pPr>
      <w:r>
        <w:rPr>
          <w:rStyle w:val="FootnoteReference"/>
        </w:rPr>
        <w:footnoteRef/>
      </w:r>
      <w:r>
        <w:t xml:space="preserve"> </w:t>
      </w:r>
      <w:r>
        <w:rPr>
          <w:i/>
          <w:iCs/>
        </w:rPr>
        <w:t>Id.</w:t>
      </w:r>
      <w:r>
        <w:t xml:space="preserve"> PP 267-268.</w:t>
      </w:r>
    </w:p>
  </w:footnote>
  <w:footnote w:id="86">
    <w:p w14:paraId="0D548D60" w14:textId="49832C8B" w:rsidR="00E835EE" w:rsidRPr="00E81B8F" w:rsidRDefault="00E835EE" w:rsidP="00EB21A9">
      <w:pPr>
        <w:pStyle w:val="FootnoteText"/>
      </w:pPr>
      <w:r>
        <w:rPr>
          <w:rStyle w:val="FootnoteReference"/>
        </w:rPr>
        <w:footnoteRef/>
      </w:r>
      <w:r>
        <w:t xml:space="preserve"> </w:t>
      </w:r>
      <w:r>
        <w:rPr>
          <w:i/>
          <w:iCs/>
        </w:rPr>
        <w:t xml:space="preserve">Id. </w:t>
      </w:r>
      <w:r>
        <w:t>PP 296-303.</w:t>
      </w:r>
    </w:p>
  </w:footnote>
  <w:footnote w:id="87">
    <w:p w14:paraId="6E241F42" w14:textId="5EA0EE98" w:rsidR="00E835EE" w:rsidRDefault="00E835EE">
      <w:pPr>
        <w:pStyle w:val="FootnoteText"/>
      </w:pPr>
      <w:r>
        <w:rPr>
          <w:rStyle w:val="FootnoteReference"/>
        </w:rPr>
        <w:footnoteRef/>
      </w:r>
      <w:r>
        <w:t xml:space="preserve"> Opinion No. 569-A, 171 </w:t>
      </w:r>
      <w:r w:rsidRPr="00D637DE">
        <w:t>FERC ¶ 61,</w:t>
      </w:r>
      <w:r>
        <w:t>154</w:t>
      </w:r>
      <w:r w:rsidRPr="00D637DE">
        <w:t xml:space="preserve"> at PP </w:t>
      </w:r>
      <w:r>
        <w:t xml:space="preserve">75-77, </w:t>
      </w:r>
      <w:r w:rsidRPr="00D637DE">
        <w:t>85.</w:t>
      </w:r>
    </w:p>
  </w:footnote>
  <w:footnote w:id="88">
    <w:p w14:paraId="26597E0C" w14:textId="173E0FA8" w:rsidR="00E835EE" w:rsidRDefault="00E835EE">
      <w:pPr>
        <w:pStyle w:val="FootnoteText"/>
      </w:pPr>
      <w:r>
        <w:rPr>
          <w:rStyle w:val="FootnoteReference"/>
        </w:rPr>
        <w:footnoteRef/>
      </w:r>
      <w:r>
        <w:t xml:space="preserve"> INGAA Initial Comments at 61.  </w:t>
      </w:r>
      <w:r w:rsidRPr="00534557">
        <w:t>INGAA states that unlike 30-year bonds, which were not issued for a period of time, 20-year bond yields are available back to 1926 and will therefore allow the use of a full historical data set covering a longer period.</w:t>
      </w:r>
      <w:r>
        <w:t xml:space="preserve">  </w:t>
      </w:r>
      <w:r>
        <w:rPr>
          <w:i/>
          <w:iCs/>
        </w:rPr>
        <w:t>Id.</w:t>
      </w:r>
    </w:p>
  </w:footnote>
  <w:footnote w:id="89">
    <w:p w14:paraId="4EFAF989" w14:textId="6227B0F6" w:rsidR="00E835EE" w:rsidRDefault="00E835EE" w:rsidP="0094005F">
      <w:pPr>
        <w:pStyle w:val="FootnoteText"/>
      </w:pPr>
      <w:r>
        <w:rPr>
          <w:rStyle w:val="FootnoteReference"/>
        </w:rPr>
        <w:footnoteRef/>
      </w:r>
      <w:r>
        <w:t xml:space="preserve"> </w:t>
      </w:r>
      <w:r>
        <w:rPr>
          <w:i/>
          <w:iCs/>
        </w:rPr>
        <w:t>Id.</w:t>
      </w:r>
      <w:r>
        <w:t xml:space="preserve"> (citing </w:t>
      </w:r>
      <w:r>
        <w:rPr>
          <w:i/>
          <w:iCs/>
        </w:rPr>
        <w:t>Ass’n of Bus. Advocating Tariff Equity v. Midcontinent Indep. Sys. Operator, Inc.</w:t>
      </w:r>
      <w:r>
        <w:t>, Opinion No. 551, 156 FERC ¶ 61,234, at PP 166-168 (2016)).</w:t>
      </w:r>
    </w:p>
  </w:footnote>
  <w:footnote w:id="90">
    <w:p w14:paraId="1B78685B" w14:textId="77777777" w:rsidR="00E835EE" w:rsidRDefault="00E835EE" w:rsidP="0094005F">
      <w:pPr>
        <w:pStyle w:val="FootnoteText"/>
      </w:pPr>
      <w:r>
        <w:rPr>
          <w:rStyle w:val="FootnoteReference"/>
        </w:rPr>
        <w:footnoteRef/>
      </w:r>
      <w:r>
        <w:t xml:space="preserve"> CAPP Initial Comments at 41; NGSA Initial Comments at 33.</w:t>
      </w:r>
    </w:p>
  </w:footnote>
  <w:footnote w:id="91">
    <w:p w14:paraId="181D5B19" w14:textId="33B6648E" w:rsidR="00E835EE" w:rsidRPr="00BB7C25" w:rsidRDefault="00E835EE">
      <w:pPr>
        <w:pStyle w:val="FootnoteText"/>
      </w:pPr>
      <w:r>
        <w:rPr>
          <w:rStyle w:val="FootnoteReference"/>
        </w:rPr>
        <w:footnoteRef/>
      </w:r>
      <w:r>
        <w:t xml:space="preserve"> The appropriate data source for the short-term growth projection in the DCF component of the CAPM is addressed </w:t>
      </w:r>
      <w:r>
        <w:rPr>
          <w:i/>
          <w:iCs/>
        </w:rPr>
        <w:t>infra</w:t>
      </w:r>
      <w:r>
        <w:t>.</w:t>
      </w:r>
    </w:p>
  </w:footnote>
  <w:footnote w:id="92">
    <w:p w14:paraId="6D3589EF" w14:textId="6E9337CA" w:rsidR="00E835EE" w:rsidRDefault="00E835EE">
      <w:pPr>
        <w:pStyle w:val="FootnoteText"/>
      </w:pPr>
      <w:r>
        <w:rPr>
          <w:rStyle w:val="FootnoteReference"/>
        </w:rPr>
        <w:footnoteRef/>
      </w:r>
      <w:r>
        <w:t xml:space="preserve"> Opinion No. 531-B, </w:t>
      </w:r>
      <w:r w:rsidRPr="00FF4227">
        <w:t xml:space="preserve">150 FERC </w:t>
      </w:r>
      <w:r w:rsidRPr="00BA337B">
        <w:t>¶</w:t>
      </w:r>
      <w:r w:rsidRPr="00FF4227">
        <w:t xml:space="preserve"> 61</w:t>
      </w:r>
      <w:r>
        <w:t>,</w:t>
      </w:r>
      <w:r w:rsidRPr="00FF4227">
        <w:t>165</w:t>
      </w:r>
      <w:r>
        <w:t xml:space="preserve"> at P 114 (citing Morin at 151-152).</w:t>
      </w:r>
    </w:p>
  </w:footnote>
  <w:footnote w:id="93">
    <w:p w14:paraId="5E3831C7" w14:textId="53FAD7F1" w:rsidR="00E835EE" w:rsidRDefault="00E835EE" w:rsidP="00C25EF4">
      <w:pPr>
        <w:pStyle w:val="FootnoteText"/>
      </w:pPr>
      <w:r>
        <w:rPr>
          <w:rStyle w:val="FootnoteReference"/>
        </w:rPr>
        <w:footnoteRef/>
      </w:r>
      <w:r>
        <w:t xml:space="preserve"> Opinion No. 569, 169 FERC ¶ 61,129 at P 237.</w:t>
      </w:r>
    </w:p>
  </w:footnote>
  <w:footnote w:id="94">
    <w:p w14:paraId="27D1626A" w14:textId="20DEA9F1" w:rsidR="00E835EE" w:rsidRDefault="00E835EE" w:rsidP="001033C1">
      <w:pPr>
        <w:pStyle w:val="FootnoteText"/>
      </w:pPr>
      <w:r>
        <w:rPr>
          <w:rStyle w:val="FootnoteReference"/>
        </w:rPr>
        <w:footnoteRef/>
      </w:r>
      <w:r>
        <w:t xml:space="preserve"> </w:t>
      </w:r>
      <w:r>
        <w:rPr>
          <w:i/>
          <w:iCs/>
        </w:rPr>
        <w:t>Id.</w:t>
      </w:r>
      <w:r>
        <w:t xml:space="preserve"> P 260.</w:t>
      </w:r>
    </w:p>
  </w:footnote>
  <w:footnote w:id="95">
    <w:p w14:paraId="17E1C4BE" w14:textId="1CC980EE" w:rsidR="00E835EE" w:rsidRDefault="00E835EE">
      <w:pPr>
        <w:pStyle w:val="FootnoteText"/>
      </w:pPr>
      <w:r>
        <w:rPr>
          <w:rStyle w:val="FootnoteReference"/>
        </w:rPr>
        <w:footnoteRef/>
      </w:r>
      <w:r>
        <w:t xml:space="preserve"> </w:t>
      </w:r>
      <w:r>
        <w:rPr>
          <w:i/>
          <w:iCs/>
        </w:rPr>
        <w:t>Id.</w:t>
      </w:r>
      <w:r>
        <w:t xml:space="preserve"> PP 262-266.</w:t>
      </w:r>
    </w:p>
  </w:footnote>
  <w:footnote w:id="96">
    <w:p w14:paraId="556A435C" w14:textId="6759D107" w:rsidR="00E835EE" w:rsidRPr="00E03344" w:rsidRDefault="00E835EE">
      <w:pPr>
        <w:pStyle w:val="FootnoteText"/>
      </w:pPr>
      <w:r>
        <w:rPr>
          <w:rStyle w:val="FootnoteReference"/>
        </w:rPr>
        <w:footnoteRef/>
      </w:r>
      <w:r>
        <w:t xml:space="preserve"> </w:t>
      </w:r>
      <w:r>
        <w:rPr>
          <w:i/>
          <w:iCs/>
        </w:rPr>
        <w:t>See</w:t>
      </w:r>
      <w:r>
        <w:t xml:space="preserve"> </w:t>
      </w:r>
      <w:r>
        <w:rPr>
          <w:i/>
          <w:iCs/>
        </w:rPr>
        <w:t>id.</w:t>
      </w:r>
      <w:r>
        <w:t xml:space="preserve"> PP 260-276.</w:t>
      </w:r>
    </w:p>
  </w:footnote>
  <w:footnote w:id="97">
    <w:p w14:paraId="5285E512" w14:textId="43178CB6" w:rsidR="00E835EE" w:rsidRDefault="00E835EE">
      <w:pPr>
        <w:pStyle w:val="FootnoteText"/>
      </w:pPr>
      <w:r>
        <w:rPr>
          <w:rStyle w:val="FootnoteReference"/>
        </w:rPr>
        <w:footnoteRef/>
      </w:r>
      <w:r>
        <w:t xml:space="preserve"> </w:t>
      </w:r>
      <w:r>
        <w:rPr>
          <w:i/>
          <w:iCs/>
        </w:rPr>
        <w:t>Id.</w:t>
      </w:r>
      <w:r>
        <w:t xml:space="preserve"> P 268.</w:t>
      </w:r>
    </w:p>
  </w:footnote>
  <w:footnote w:id="98">
    <w:p w14:paraId="2BCB94F1" w14:textId="5C5CD4FA" w:rsidR="00E835EE" w:rsidRDefault="00E835EE">
      <w:pPr>
        <w:pStyle w:val="FootnoteText"/>
      </w:pPr>
      <w:r>
        <w:rPr>
          <w:rStyle w:val="FootnoteReference"/>
        </w:rPr>
        <w:footnoteRef/>
      </w:r>
      <w:r>
        <w:t xml:space="preserve"> </w:t>
      </w:r>
      <w:r>
        <w:rPr>
          <w:i/>
          <w:iCs/>
        </w:rPr>
        <w:t>Id.</w:t>
      </w:r>
      <w:r>
        <w:t xml:space="preserve"> P 297; Opinion No. 569-A, 171 FERC </w:t>
      </w:r>
      <w:r w:rsidRPr="00D637DE">
        <w:t>¶ 61,</w:t>
      </w:r>
      <w:r>
        <w:t>154</w:t>
      </w:r>
      <w:r w:rsidRPr="00D637DE">
        <w:t xml:space="preserve"> at PP</w:t>
      </w:r>
      <w:r>
        <w:t xml:space="preserve"> 75-76</w:t>
      </w:r>
      <w:r w:rsidRPr="00D637DE">
        <w:t>.</w:t>
      </w:r>
    </w:p>
  </w:footnote>
  <w:footnote w:id="99">
    <w:p w14:paraId="76CCB545" w14:textId="782CE2B1" w:rsidR="00E835EE" w:rsidRDefault="00E835EE">
      <w:pPr>
        <w:pStyle w:val="FootnoteText"/>
      </w:pPr>
      <w:r>
        <w:rPr>
          <w:rStyle w:val="FootnoteReference"/>
        </w:rPr>
        <w:footnoteRef/>
      </w:r>
      <w:r>
        <w:t xml:space="preserve"> Opinion No. 569, 169 FERC ¶ 61,129 at PP 279, 296.</w:t>
      </w:r>
    </w:p>
  </w:footnote>
  <w:footnote w:id="100">
    <w:p w14:paraId="49A115D8" w14:textId="778D574A" w:rsidR="00E835EE" w:rsidRDefault="00E835EE" w:rsidP="00F82B34">
      <w:pPr>
        <w:pStyle w:val="FootnoteText"/>
      </w:pPr>
      <w:r>
        <w:rPr>
          <w:rStyle w:val="FootnoteReference"/>
        </w:rPr>
        <w:footnoteRef/>
      </w:r>
      <w:r>
        <w:t xml:space="preserve"> </w:t>
      </w:r>
      <w:r>
        <w:rPr>
          <w:i/>
          <w:iCs/>
        </w:rPr>
        <w:t>Id.</w:t>
      </w:r>
      <w:r>
        <w:t xml:space="preserve"> P 296 (quoting </w:t>
      </w:r>
      <w:r w:rsidRPr="00E1367F">
        <w:t>Opinion No. 531-B, 150 FERC ¶ 61,165 at P 117</w:t>
      </w:r>
      <w:r>
        <w:t>).</w:t>
      </w:r>
    </w:p>
  </w:footnote>
  <w:footnote w:id="101">
    <w:p w14:paraId="281465EF" w14:textId="58714111" w:rsidR="00E835EE" w:rsidRDefault="00E835EE">
      <w:pPr>
        <w:pStyle w:val="FootnoteText"/>
      </w:pPr>
      <w:r>
        <w:rPr>
          <w:rStyle w:val="FootnoteReference"/>
        </w:rPr>
        <w:footnoteRef/>
      </w:r>
      <w:r>
        <w:t xml:space="preserve"> </w:t>
      </w:r>
      <w:r>
        <w:rPr>
          <w:i/>
          <w:iCs/>
        </w:rPr>
        <w:t>Id.</w:t>
      </w:r>
      <w:r>
        <w:t xml:space="preserve"> P 298.</w:t>
      </w:r>
    </w:p>
  </w:footnote>
  <w:footnote w:id="102">
    <w:p w14:paraId="27C084DF" w14:textId="5A5ABE33" w:rsidR="00E835EE" w:rsidRDefault="00E835EE">
      <w:pPr>
        <w:pStyle w:val="FootnoteText"/>
      </w:pPr>
      <w:r>
        <w:rPr>
          <w:rStyle w:val="FootnoteReference"/>
        </w:rPr>
        <w:footnoteRef/>
      </w:r>
      <w:r>
        <w:t xml:space="preserve"> </w:t>
      </w:r>
      <w:r>
        <w:rPr>
          <w:i/>
          <w:iCs/>
        </w:rPr>
        <w:t>Id.</w:t>
      </w:r>
      <w:r>
        <w:t xml:space="preserve"> PP 299-300.</w:t>
      </w:r>
    </w:p>
  </w:footnote>
  <w:footnote w:id="103">
    <w:p w14:paraId="526988E9" w14:textId="49AFD1A7" w:rsidR="00E835EE" w:rsidRPr="00EB3EDF" w:rsidRDefault="00E835EE">
      <w:pPr>
        <w:pStyle w:val="FootnoteText"/>
      </w:pPr>
      <w:r>
        <w:rPr>
          <w:rStyle w:val="FootnoteReference"/>
        </w:rPr>
        <w:footnoteRef/>
      </w:r>
      <w:r>
        <w:t xml:space="preserve"> AOPL Initial Comments at 42; INGAA Initial Comments at 62; Magellan Initial Comments at 27; CAPP Initial Comments at 42; NGSA Comments at 34; </w:t>
      </w:r>
      <w:r>
        <w:rPr>
          <w:i/>
          <w:iCs/>
        </w:rPr>
        <w:t>see also</w:t>
      </w:r>
      <w:r>
        <w:t xml:space="preserve"> Maryland Office of People’s Counsel (Maryland OPC) Initial Comments at 21-22 (“Value Line is the most detailed and most trusted investment source currently available in the industry.  The </w:t>
      </w:r>
      <w:r w:rsidRPr="0019491B">
        <w:t>Value Line</w:t>
      </w:r>
      <w:r>
        <w:t xml:space="preserve"> beta is calculated over a long-term time period that dampens volatility and, as such, is the most representative source now available in the marketplace.”).</w:t>
      </w:r>
    </w:p>
  </w:footnote>
  <w:footnote w:id="104">
    <w:p w14:paraId="5725E3D7" w14:textId="77777777" w:rsidR="00E835EE" w:rsidRDefault="00E835EE" w:rsidP="00B62D96">
      <w:pPr>
        <w:pStyle w:val="FootnoteText"/>
      </w:pPr>
      <w:r>
        <w:rPr>
          <w:rStyle w:val="FootnoteReference"/>
        </w:rPr>
        <w:footnoteRef/>
      </w:r>
      <w:r>
        <w:t xml:space="preserve"> INGAA Initial Comments at 62.</w:t>
      </w:r>
    </w:p>
  </w:footnote>
  <w:footnote w:id="105">
    <w:p w14:paraId="28B2394B" w14:textId="426AF422" w:rsidR="00E835EE" w:rsidRDefault="00E835EE">
      <w:pPr>
        <w:pStyle w:val="FootnoteText"/>
      </w:pPr>
      <w:r>
        <w:rPr>
          <w:rStyle w:val="FootnoteReference"/>
        </w:rPr>
        <w:footnoteRef/>
      </w:r>
      <w:r>
        <w:t xml:space="preserve"> Opinion No. 531-B, 150 FERC ¶ 61,165 at P 117.</w:t>
      </w:r>
    </w:p>
  </w:footnote>
  <w:footnote w:id="106">
    <w:p w14:paraId="4201AEB7" w14:textId="5299120A" w:rsidR="00E835EE" w:rsidRDefault="00E835EE">
      <w:pPr>
        <w:pStyle w:val="FootnoteText"/>
      </w:pPr>
      <w:r>
        <w:rPr>
          <w:rStyle w:val="FootnoteReference"/>
        </w:rPr>
        <w:footnoteRef/>
      </w:r>
      <w:r>
        <w:t xml:space="preserve"> Opinion No. 569, 169 FERC ¶ 61,129 at P 296. </w:t>
      </w:r>
    </w:p>
  </w:footnote>
  <w:footnote w:id="107">
    <w:p w14:paraId="4B0C554C" w14:textId="7B21CA67" w:rsidR="00E835EE" w:rsidRDefault="00E835EE">
      <w:pPr>
        <w:pStyle w:val="FootnoteText"/>
      </w:pPr>
      <w:r>
        <w:rPr>
          <w:rStyle w:val="FootnoteReference"/>
        </w:rPr>
        <w:footnoteRef/>
      </w:r>
      <w:r>
        <w:t xml:space="preserve"> </w:t>
      </w:r>
      <w:r>
        <w:rPr>
          <w:i/>
          <w:iCs/>
        </w:rPr>
        <w:t>Id.</w:t>
      </w:r>
      <w:r>
        <w:t xml:space="preserve"> PP 296-297 (quoting Opinion No. 531-B, 150 FERC ¶ 61,165 at P 117).</w:t>
      </w:r>
    </w:p>
  </w:footnote>
  <w:footnote w:id="108">
    <w:p w14:paraId="552664B4" w14:textId="0835F011" w:rsidR="00E835EE" w:rsidRDefault="00E835EE" w:rsidP="002F5AB7">
      <w:pPr>
        <w:pStyle w:val="FootnoteText"/>
      </w:pPr>
      <w:r>
        <w:rPr>
          <w:rStyle w:val="FootnoteReference"/>
        </w:rPr>
        <w:footnoteRef/>
      </w:r>
      <w:r>
        <w:t xml:space="preserve"> </w:t>
      </w:r>
      <w:r>
        <w:rPr>
          <w:i/>
          <w:iCs/>
        </w:rPr>
        <w:t>Id.</w:t>
      </w:r>
      <w:r>
        <w:t xml:space="preserve"> PP 425, 427.</w:t>
      </w:r>
    </w:p>
  </w:footnote>
  <w:footnote w:id="109">
    <w:p w14:paraId="3CF23CA9" w14:textId="59B72FA6" w:rsidR="00E835EE" w:rsidRDefault="00E835EE" w:rsidP="002F5AB7">
      <w:pPr>
        <w:pStyle w:val="FootnoteText"/>
      </w:pPr>
      <w:r>
        <w:rPr>
          <w:rStyle w:val="FootnoteReference"/>
        </w:rPr>
        <w:footnoteRef/>
      </w:r>
      <w:r>
        <w:t xml:space="preserve"> </w:t>
      </w:r>
      <w:r>
        <w:rPr>
          <w:i/>
          <w:iCs/>
        </w:rPr>
        <w:t>Id.</w:t>
      </w:r>
      <w:r>
        <w:t xml:space="preserve"> P 426.</w:t>
      </w:r>
    </w:p>
  </w:footnote>
  <w:footnote w:id="110">
    <w:p w14:paraId="340DEF1F" w14:textId="1A012299" w:rsidR="00E835EE" w:rsidRDefault="00E835EE" w:rsidP="002F5AB7">
      <w:pPr>
        <w:pStyle w:val="FootnoteText"/>
      </w:pPr>
      <w:r>
        <w:rPr>
          <w:rStyle w:val="FootnoteReference"/>
        </w:rPr>
        <w:footnoteRef/>
      </w:r>
      <w:r>
        <w:t xml:space="preserve"> Opinion No. 569-A, 171 </w:t>
      </w:r>
      <w:r w:rsidRPr="00D637DE">
        <w:t>FERC ¶ 61,</w:t>
      </w:r>
      <w:r>
        <w:t>154</w:t>
      </w:r>
      <w:r w:rsidRPr="00D637DE">
        <w:t xml:space="preserve"> at P </w:t>
      </w:r>
      <w:r>
        <w:t>141</w:t>
      </w:r>
      <w:r w:rsidRPr="00D637DE">
        <w:t>.</w:t>
      </w:r>
    </w:p>
  </w:footnote>
  <w:footnote w:id="111">
    <w:p w14:paraId="445FAE66" w14:textId="77777777" w:rsidR="00E835EE" w:rsidRDefault="00E835EE" w:rsidP="002F5AB7">
      <w:pPr>
        <w:pStyle w:val="FootnoteText"/>
      </w:pPr>
      <w:r>
        <w:rPr>
          <w:rStyle w:val="FootnoteReference"/>
        </w:rPr>
        <w:footnoteRef/>
      </w:r>
      <w:r>
        <w:t xml:space="preserve"> CAPP Initial Comments at 30.</w:t>
      </w:r>
    </w:p>
  </w:footnote>
  <w:footnote w:id="112">
    <w:p w14:paraId="25B259F2" w14:textId="77777777" w:rsidR="00E835EE" w:rsidRDefault="00E835EE" w:rsidP="002F5AB7">
      <w:pPr>
        <w:pStyle w:val="FootnoteText"/>
      </w:pPr>
      <w:r>
        <w:rPr>
          <w:rStyle w:val="FootnoteReference"/>
        </w:rPr>
        <w:footnoteRef/>
      </w:r>
      <w:r>
        <w:t xml:space="preserve"> Maryland OPC Initial Comments at 12.</w:t>
      </w:r>
    </w:p>
  </w:footnote>
  <w:footnote w:id="113">
    <w:p w14:paraId="4631590D" w14:textId="77777777" w:rsidR="00E835EE" w:rsidRDefault="00E835EE" w:rsidP="002F5AB7">
      <w:pPr>
        <w:pStyle w:val="FootnoteText"/>
      </w:pPr>
      <w:r>
        <w:rPr>
          <w:rStyle w:val="FootnoteReference"/>
        </w:rPr>
        <w:footnoteRef/>
      </w:r>
      <w:r>
        <w:t xml:space="preserve"> INGAA Initial Comments at 8-9; Tallgrass Initial Comments at 12.</w:t>
      </w:r>
    </w:p>
  </w:footnote>
  <w:footnote w:id="114">
    <w:p w14:paraId="6E323424" w14:textId="2469C891" w:rsidR="00E835EE" w:rsidRDefault="00E835EE" w:rsidP="002F5AB7">
      <w:pPr>
        <w:pStyle w:val="FootnoteText"/>
      </w:pPr>
      <w:r>
        <w:rPr>
          <w:rStyle w:val="FootnoteReference"/>
        </w:rPr>
        <w:footnoteRef/>
      </w:r>
      <w:r>
        <w:t xml:space="preserve"> </w:t>
      </w:r>
      <w:r w:rsidRPr="006C4964">
        <w:t>NYPSC</w:t>
      </w:r>
      <w:r>
        <w:t xml:space="preserve"> Initial Comments at 18.</w:t>
      </w:r>
    </w:p>
  </w:footnote>
  <w:footnote w:id="115">
    <w:p w14:paraId="7F42D756" w14:textId="77777777" w:rsidR="00E835EE" w:rsidRPr="0003761E" w:rsidRDefault="00E835EE" w:rsidP="002F5AB7">
      <w:pPr>
        <w:pStyle w:val="FootnoteText"/>
      </w:pPr>
      <w:r>
        <w:rPr>
          <w:rStyle w:val="FootnoteReference"/>
        </w:rPr>
        <w:footnoteRef/>
      </w:r>
      <w:r>
        <w:t xml:space="preserve"> </w:t>
      </w:r>
      <w:r>
        <w:rPr>
          <w:i/>
          <w:iCs/>
        </w:rPr>
        <w:t>E.g.</w:t>
      </w:r>
      <w:r>
        <w:t xml:space="preserve">, </w:t>
      </w:r>
      <w:r>
        <w:rPr>
          <w:i/>
          <w:iCs/>
        </w:rPr>
        <w:t>Nw. Pipeline Corp.</w:t>
      </w:r>
      <w:r>
        <w:t>, 92 FERC ¶ 61,287, at 62,001-02 (2000) (quoting Opinion No. 396-B, 79 FERC at 62,385).</w:t>
      </w:r>
    </w:p>
  </w:footnote>
  <w:footnote w:id="116">
    <w:p w14:paraId="424BF1DB" w14:textId="77777777" w:rsidR="00E835EE" w:rsidRPr="00473C3C" w:rsidRDefault="00E835EE" w:rsidP="002F5AB7">
      <w:pPr>
        <w:pStyle w:val="FootnoteText"/>
      </w:pPr>
      <w:r>
        <w:rPr>
          <w:rStyle w:val="FootnoteReference"/>
        </w:rPr>
        <w:footnoteRef/>
      </w:r>
      <w:r>
        <w:t xml:space="preserve"> Opinion No. 551, 156 FERC ¶ 61,234 at P 169.</w:t>
      </w:r>
    </w:p>
  </w:footnote>
  <w:footnote w:id="117">
    <w:p w14:paraId="768A42E2" w14:textId="77777777" w:rsidR="00E835EE" w:rsidRDefault="00E835EE" w:rsidP="002F5AB7">
      <w:pPr>
        <w:pStyle w:val="FootnoteText"/>
      </w:pPr>
      <w:r>
        <w:rPr>
          <w:rStyle w:val="FootnoteReference"/>
        </w:rPr>
        <w:footnoteRef/>
      </w:r>
      <w:r>
        <w:t xml:space="preserve"> Opinion No. 569, 169 FERC ¶ 61,129 at P 120.</w:t>
      </w:r>
    </w:p>
  </w:footnote>
  <w:footnote w:id="118">
    <w:p w14:paraId="3134E09F" w14:textId="4BF185AB" w:rsidR="00E835EE" w:rsidRDefault="00E835EE" w:rsidP="002F5AB7">
      <w:pPr>
        <w:pStyle w:val="FootnoteText"/>
      </w:pPr>
      <w:r>
        <w:rPr>
          <w:rStyle w:val="FootnoteReference"/>
        </w:rPr>
        <w:footnoteRef/>
      </w:r>
      <w:r>
        <w:t xml:space="preserve"> </w:t>
      </w:r>
      <w:r>
        <w:rPr>
          <w:i/>
          <w:iCs/>
        </w:rPr>
        <w:t>Id.</w:t>
      </w:r>
      <w:r>
        <w:t xml:space="preserve"> P 276.</w:t>
      </w:r>
    </w:p>
  </w:footnote>
  <w:footnote w:id="119">
    <w:p w14:paraId="549A0BCD" w14:textId="76878750" w:rsidR="00E835EE" w:rsidRPr="00F54975" w:rsidRDefault="00E835EE" w:rsidP="002F5AB7">
      <w:pPr>
        <w:pStyle w:val="FootnoteText"/>
      </w:pPr>
      <w:r>
        <w:rPr>
          <w:rStyle w:val="FootnoteReference"/>
        </w:rPr>
        <w:footnoteRef/>
      </w:r>
      <w:r>
        <w:t xml:space="preserve"> </w:t>
      </w:r>
      <w:r>
        <w:rPr>
          <w:i/>
          <w:iCs/>
        </w:rPr>
        <w:t>Id.</w:t>
      </w:r>
      <w:r>
        <w:t xml:space="preserve"> P 125.</w:t>
      </w:r>
    </w:p>
  </w:footnote>
  <w:footnote w:id="120">
    <w:p w14:paraId="34C3A1B9" w14:textId="77777777" w:rsidR="00E835EE" w:rsidRPr="00B057E5" w:rsidRDefault="00E835EE" w:rsidP="002F5AB7">
      <w:pPr>
        <w:pStyle w:val="FootnoteText"/>
      </w:pPr>
      <w:r>
        <w:rPr>
          <w:rStyle w:val="FootnoteReference"/>
        </w:rPr>
        <w:footnoteRef/>
      </w:r>
      <w:r>
        <w:t xml:space="preserve"> </w:t>
      </w:r>
      <w:r>
        <w:rPr>
          <w:i/>
          <w:iCs/>
        </w:rPr>
        <w:t>Id</w:t>
      </w:r>
      <w:r>
        <w:t>. P 128.</w:t>
      </w:r>
    </w:p>
  </w:footnote>
  <w:footnote w:id="121">
    <w:p w14:paraId="501FFF69" w14:textId="1928A778" w:rsidR="00E835EE" w:rsidRDefault="00E835EE" w:rsidP="002F5AB7">
      <w:pPr>
        <w:pStyle w:val="FootnoteText"/>
      </w:pPr>
      <w:r>
        <w:rPr>
          <w:rStyle w:val="FootnoteReference"/>
        </w:rPr>
        <w:footnoteRef/>
      </w:r>
      <w:r>
        <w:t xml:space="preserve"> Opinion No. 569-A, 171 FERC ¶ 61</w:t>
      </w:r>
      <w:r w:rsidRPr="00D637DE">
        <w:t>,</w:t>
      </w:r>
      <w:r>
        <w:t>154</w:t>
      </w:r>
      <w:r w:rsidRPr="00D637DE">
        <w:t xml:space="preserve"> at PP </w:t>
      </w:r>
      <w:r>
        <w:t>78-83</w:t>
      </w:r>
      <w:r w:rsidRPr="00D637DE">
        <w:t>.</w:t>
      </w:r>
    </w:p>
  </w:footnote>
  <w:footnote w:id="122">
    <w:p w14:paraId="3096E4A6" w14:textId="77777777" w:rsidR="00E835EE" w:rsidRDefault="00E835EE" w:rsidP="002F5AB7">
      <w:pPr>
        <w:pStyle w:val="FootnoteText"/>
      </w:pPr>
      <w:r>
        <w:rPr>
          <w:rStyle w:val="FootnoteReference"/>
        </w:rPr>
        <w:footnoteRef/>
      </w:r>
      <w:r>
        <w:t xml:space="preserve"> AOPL Initial Comments at 38.</w:t>
      </w:r>
    </w:p>
  </w:footnote>
  <w:footnote w:id="123">
    <w:p w14:paraId="27CE7139" w14:textId="1C37BF8A" w:rsidR="00E835EE" w:rsidRDefault="00E835EE" w:rsidP="002F5AB7">
      <w:pPr>
        <w:pStyle w:val="FootnoteText"/>
      </w:pPr>
      <w:r>
        <w:rPr>
          <w:rStyle w:val="FootnoteReference"/>
        </w:rPr>
        <w:footnoteRef/>
      </w:r>
      <w:r>
        <w:t xml:space="preserve"> INGAA Initial Comments, Attachment A at 28-33 (Affidavit of Dr. Michael J. Vilbert).</w:t>
      </w:r>
    </w:p>
  </w:footnote>
  <w:footnote w:id="124">
    <w:p w14:paraId="35DA6509" w14:textId="77777777" w:rsidR="00E835EE" w:rsidRDefault="00E835EE" w:rsidP="002F5AB7">
      <w:pPr>
        <w:pStyle w:val="FootnoteText"/>
      </w:pPr>
      <w:r>
        <w:rPr>
          <w:rStyle w:val="FootnoteReference"/>
        </w:rPr>
        <w:footnoteRef/>
      </w:r>
      <w:r>
        <w:t xml:space="preserve"> Magellan Initial Comments at 20; NGSA Initial Comments at 29-30; CAPP Initial Comments at 36-37, 39.</w:t>
      </w:r>
    </w:p>
  </w:footnote>
  <w:footnote w:id="125">
    <w:p w14:paraId="1B4F8B13" w14:textId="77777777" w:rsidR="00E835EE" w:rsidRDefault="00E835EE" w:rsidP="002F5AB7">
      <w:pPr>
        <w:pStyle w:val="FootnoteText"/>
      </w:pPr>
      <w:r>
        <w:rPr>
          <w:rStyle w:val="FootnoteReference"/>
        </w:rPr>
        <w:footnoteRef/>
      </w:r>
      <w:r>
        <w:t xml:space="preserve"> 2008 Policy Statement, 123 FERC ¶ 61,048 at P 8.</w:t>
      </w:r>
    </w:p>
  </w:footnote>
  <w:footnote w:id="126">
    <w:p w14:paraId="55971079" w14:textId="77777777" w:rsidR="00E835EE" w:rsidRPr="00B84734" w:rsidRDefault="00E835EE" w:rsidP="002F5AB7">
      <w:pPr>
        <w:pStyle w:val="FootnoteText"/>
      </w:pPr>
      <w:r>
        <w:rPr>
          <w:rStyle w:val="FootnoteReference"/>
        </w:rPr>
        <w:footnoteRef/>
      </w:r>
      <w:r>
        <w:t xml:space="preserve"> Opinion No. 486-B, 126 FERC ¶ 61,034 at PP 8, 59. </w:t>
      </w:r>
    </w:p>
  </w:footnote>
  <w:footnote w:id="127">
    <w:p w14:paraId="74908885" w14:textId="77777777" w:rsidR="00E54C15" w:rsidRDefault="00E835EE" w:rsidP="002F5AB7">
      <w:pPr>
        <w:pStyle w:val="FootnoteText"/>
      </w:pPr>
      <w:r>
        <w:rPr>
          <w:rStyle w:val="FootnoteReference"/>
        </w:rPr>
        <w:footnoteRef/>
      </w:r>
      <w:r>
        <w:t xml:space="preserve"> For example, in Opinion No. 486-B, the Commission excluded TransCanada Corporation from the proxy group in a natural gas pipeline proceeding based in part on the fact that its Canadian pipeline “was subject to a significantly different regulatory structure that renders it less comparable to domestic pipelines regulated by the Commission.”  </w:t>
      </w:r>
      <w:r>
        <w:rPr>
          <w:i/>
          <w:iCs/>
        </w:rPr>
        <w:t>Id.</w:t>
      </w:r>
      <w:r>
        <w:t xml:space="preserve"> P 60.  The Commission again affirmed the exclusion of TransCanada Corporation in Opinion No. 528, finding that it was “subject to the vagaries of Canadian </w:t>
      </w:r>
    </w:p>
    <w:p w14:paraId="2985CE46" w14:textId="77777777" w:rsidR="00E54C15" w:rsidRDefault="00E54C15" w:rsidP="00E54C15">
      <w:pPr>
        <w:pStyle w:val="FootnoteText"/>
        <w:spacing w:after="0"/>
      </w:pPr>
    </w:p>
    <w:p w14:paraId="1F5FD11E" w14:textId="30A448B3" w:rsidR="00E835EE" w:rsidRPr="008716B7" w:rsidRDefault="00E835EE" w:rsidP="00E54C15">
      <w:pPr>
        <w:pStyle w:val="FootnoteText"/>
        <w:ind w:firstLine="0"/>
      </w:pPr>
      <w:r>
        <w:t>regulation and Canadian capital markets, thereby making it difficult to establish comparable risk.”  Opinion No. 528, 145 FERC ¶ 61,040 at P 626.</w:t>
      </w:r>
    </w:p>
  </w:footnote>
  <w:footnote w:id="128">
    <w:p w14:paraId="39E6399A" w14:textId="77777777" w:rsidR="00E835EE" w:rsidRDefault="00E835EE" w:rsidP="002F5AB7">
      <w:pPr>
        <w:pStyle w:val="FootnoteText"/>
      </w:pPr>
      <w:r>
        <w:rPr>
          <w:rStyle w:val="FootnoteReference"/>
        </w:rPr>
        <w:footnoteRef/>
      </w:r>
      <w:r>
        <w:t xml:space="preserve"> Opinion No. 486-B, 126 FERC ¶ 61,034 at P 104.</w:t>
      </w:r>
    </w:p>
  </w:footnote>
  <w:footnote w:id="129">
    <w:p w14:paraId="503C8A48" w14:textId="4DA39B79" w:rsidR="00E835EE" w:rsidRPr="003E05F6" w:rsidRDefault="00E835EE" w:rsidP="002F5AB7">
      <w:pPr>
        <w:pStyle w:val="FootnoteText"/>
      </w:pPr>
      <w:r>
        <w:rPr>
          <w:rStyle w:val="FootnoteReference"/>
        </w:rPr>
        <w:footnoteRef/>
      </w:r>
      <w:r>
        <w:t xml:space="preserve"> </w:t>
      </w:r>
      <w:r>
        <w:rPr>
          <w:i/>
          <w:iCs/>
        </w:rPr>
        <w:t>See Portland Nat. Gas Transmission Sys.</w:t>
      </w:r>
      <w:r>
        <w:t>, Opinion No. 510, 134 FERC              ¶ 61,129, at P 215 (2011) (declining to include company that failed 50% standard because proxy group had more than five members).</w:t>
      </w:r>
    </w:p>
  </w:footnote>
  <w:footnote w:id="130">
    <w:p w14:paraId="3D91D4FB" w14:textId="77777777" w:rsidR="00E835EE" w:rsidRDefault="00E835EE" w:rsidP="002F5AB7">
      <w:pPr>
        <w:pStyle w:val="FootnoteText"/>
      </w:pPr>
      <w:r>
        <w:rPr>
          <w:rStyle w:val="FootnoteReference"/>
        </w:rPr>
        <w:footnoteRef/>
      </w:r>
      <w:r>
        <w:t xml:space="preserve"> </w:t>
      </w:r>
      <w:r w:rsidRPr="00EE5A0F">
        <w:t>Opinion No. 486-B, 126 FERC ¶ 61,034 at P 104</w:t>
      </w:r>
      <w:r>
        <w:t>.</w:t>
      </w:r>
    </w:p>
  </w:footnote>
  <w:footnote w:id="131">
    <w:p w14:paraId="1EA47F72" w14:textId="77777777" w:rsidR="00E835EE" w:rsidRDefault="00E835EE" w:rsidP="002F5AB7">
      <w:pPr>
        <w:pStyle w:val="FootnoteText"/>
      </w:pPr>
      <w:r>
        <w:rPr>
          <w:rStyle w:val="FootnoteReference"/>
        </w:rPr>
        <w:footnoteRef/>
      </w:r>
      <w:r>
        <w:t xml:space="preserve"> Examples of such transactions include</w:t>
      </w:r>
      <w:r w:rsidRPr="009F79F6">
        <w:t xml:space="preserve"> Enbridge </w:t>
      </w:r>
      <w:r>
        <w:t>Inc.’s</w:t>
      </w:r>
      <w:r w:rsidRPr="009F79F6">
        <w:t xml:space="preserve"> </w:t>
      </w:r>
      <w:r>
        <w:t>acquisition of</w:t>
      </w:r>
      <w:r w:rsidRPr="009F79F6">
        <w:t xml:space="preserve"> Spectra Energy</w:t>
      </w:r>
      <w:r>
        <w:t xml:space="preserve"> Corp.</w:t>
      </w:r>
      <w:r w:rsidRPr="009F79F6">
        <w:t>, TC Energy</w:t>
      </w:r>
      <w:r>
        <w:t xml:space="preserve"> Corporation</w:t>
      </w:r>
      <w:r w:rsidRPr="009F79F6">
        <w:t xml:space="preserve">’s </w:t>
      </w:r>
      <w:r>
        <w:t>acquisition of</w:t>
      </w:r>
      <w:r w:rsidRPr="009F79F6">
        <w:t xml:space="preserve"> Columbia Pipeline</w:t>
      </w:r>
      <w:r>
        <w:t xml:space="preserve"> Group, Inc.</w:t>
      </w:r>
      <w:r w:rsidRPr="009F79F6">
        <w:t xml:space="preserve">, and IFM Investors’ </w:t>
      </w:r>
      <w:r>
        <w:t>acquisition</w:t>
      </w:r>
      <w:r w:rsidRPr="009F79F6">
        <w:t xml:space="preserve"> of Buckeye Partners</w:t>
      </w:r>
      <w:r>
        <w:t xml:space="preserve"> LP.</w:t>
      </w:r>
    </w:p>
  </w:footnote>
  <w:footnote w:id="132">
    <w:p w14:paraId="27B9FF39" w14:textId="4D464453" w:rsidR="00E835EE" w:rsidRPr="009F6444" w:rsidRDefault="00E835EE" w:rsidP="002F5AB7">
      <w:pPr>
        <w:pStyle w:val="FootnoteText"/>
      </w:pPr>
      <w:r>
        <w:rPr>
          <w:rStyle w:val="FootnoteReference"/>
        </w:rPr>
        <w:footnoteRef/>
      </w:r>
      <w:r>
        <w:t xml:space="preserve"> </w:t>
      </w:r>
      <w:r>
        <w:rPr>
          <w:i/>
          <w:iCs/>
        </w:rPr>
        <w:t>E.g.</w:t>
      </w:r>
      <w:r>
        <w:t xml:space="preserve">, Opinion No. 528, 145 FERC ¶ 61,040 at P 635; Opinion No. 486-B, </w:t>
      </w:r>
      <w:r w:rsidR="00203BB8">
        <w:t xml:space="preserve">     </w:t>
      </w:r>
      <w:r>
        <w:t xml:space="preserve">126 FERC ¶ 61,034 at PP 67-75, 94-96 (including two firms not satisfying the 50% standard in natural gas pipeline proxy group after application of the Commission’s traditional criteria resulted in a proxy group of only three members); </w:t>
      </w:r>
      <w:r>
        <w:rPr>
          <w:i/>
          <w:iCs/>
        </w:rPr>
        <w:t>Williston Basin Interstate Pipeline Co.</w:t>
      </w:r>
      <w:r>
        <w:t xml:space="preserve">, 104 FERC ¶ 61,036, at PP 35-37, 43 (2003), </w:t>
      </w:r>
      <w:r>
        <w:rPr>
          <w:i/>
          <w:iCs/>
        </w:rPr>
        <w:t>order on reh’g and compliance</w:t>
      </w:r>
      <w:r>
        <w:t>, 107 FERC ¶ 61,164 (2004).</w:t>
      </w:r>
    </w:p>
  </w:footnote>
  <w:footnote w:id="133">
    <w:p w14:paraId="2580FA23" w14:textId="4AF07721" w:rsidR="00E835EE" w:rsidRDefault="00E835EE" w:rsidP="002F5AB7">
      <w:pPr>
        <w:pStyle w:val="FootnoteText"/>
      </w:pPr>
      <w:r>
        <w:rPr>
          <w:rStyle w:val="FootnoteReference"/>
        </w:rPr>
        <w:footnoteRef/>
      </w:r>
      <w:r>
        <w:t xml:space="preserve"> Opinion No. 528-A, 154 FERC ¶ 61,120 at P 236 (“[W]e will relax the [50 percent] standard only if necessary to establish a proxy group consisting of at least five members”); Opinion No. 510, 134 FERC ¶ 61,129 at P 167 (“[I]n order to achieve a proxy group of at least five firms, a diversified natural gas company not satisfying the historical [50 percent] standard could be included in the proxy group, but only if there is a convincing showing that an investor would view that firm as having comparable risk to a pipeline.”).</w:t>
      </w:r>
    </w:p>
  </w:footnote>
  <w:footnote w:id="134">
    <w:p w14:paraId="6008CEAE" w14:textId="178EE412" w:rsidR="00E835EE" w:rsidRDefault="00E835EE" w:rsidP="002F5AB7">
      <w:pPr>
        <w:pStyle w:val="FootnoteText"/>
      </w:pPr>
      <w:r>
        <w:rPr>
          <w:rStyle w:val="FootnoteReference"/>
        </w:rPr>
        <w:footnoteRef/>
      </w:r>
      <w:r>
        <w:t xml:space="preserve"> </w:t>
      </w:r>
      <w:r>
        <w:rPr>
          <w:i/>
          <w:iCs/>
        </w:rPr>
        <w:t>E.g.</w:t>
      </w:r>
      <w:r>
        <w:t>,</w:t>
      </w:r>
      <w:r>
        <w:rPr>
          <w:i/>
          <w:iCs/>
        </w:rPr>
        <w:t xml:space="preserve"> </w:t>
      </w:r>
      <w:r>
        <w:t>CAPP Initial Comments at 19; AOPL Initial Comments at 35; NGSA Initial Comments at 11.</w:t>
      </w:r>
    </w:p>
  </w:footnote>
  <w:footnote w:id="135">
    <w:p w14:paraId="4CEDCB5E" w14:textId="77777777" w:rsidR="00E835EE" w:rsidRDefault="00E835EE" w:rsidP="002F5AB7">
      <w:pPr>
        <w:pStyle w:val="FootnoteText"/>
      </w:pPr>
      <w:r>
        <w:rPr>
          <w:rStyle w:val="FootnoteReference"/>
        </w:rPr>
        <w:footnoteRef/>
      </w:r>
      <w:r>
        <w:t xml:space="preserve"> </w:t>
      </w:r>
      <w:r>
        <w:rPr>
          <w:i/>
          <w:iCs/>
        </w:rPr>
        <w:t xml:space="preserve">See </w:t>
      </w:r>
      <w:r>
        <w:t>AOPL Initial Comments at 15, 17-18, 35; INGAA Initial Comments at 24, 29-30; Tallgrass Initial Comments at 9.</w:t>
      </w:r>
    </w:p>
  </w:footnote>
  <w:footnote w:id="136">
    <w:p w14:paraId="599FAD0A" w14:textId="77777777" w:rsidR="00E835EE" w:rsidRDefault="00E835EE" w:rsidP="002F5AB7">
      <w:pPr>
        <w:pStyle w:val="FootnoteText"/>
      </w:pPr>
      <w:r>
        <w:rPr>
          <w:rStyle w:val="FootnoteReference"/>
        </w:rPr>
        <w:footnoteRef/>
      </w:r>
      <w:r>
        <w:t xml:space="preserve"> NGSA Initial Comments at 11, 17; PGC/AF&amp;PA Joint Comments at 9-10.</w:t>
      </w:r>
    </w:p>
  </w:footnote>
  <w:footnote w:id="137">
    <w:p w14:paraId="5DBE34F1" w14:textId="77777777" w:rsidR="00E835EE" w:rsidRPr="00C47676" w:rsidRDefault="00E835EE" w:rsidP="002F5AB7">
      <w:pPr>
        <w:pStyle w:val="FootnoteText"/>
      </w:pPr>
      <w:r>
        <w:rPr>
          <w:rStyle w:val="FootnoteReference"/>
        </w:rPr>
        <w:footnoteRef/>
      </w:r>
      <w:r>
        <w:t xml:space="preserve"> Magellan Initial Comments at 15; </w:t>
      </w:r>
      <w:r>
        <w:rPr>
          <w:i/>
          <w:iCs/>
        </w:rPr>
        <w:t xml:space="preserve">see also </w:t>
      </w:r>
      <w:r>
        <w:t xml:space="preserve">NextEra Transmission, LLC Initial Comments at 5-6.  Most commenters oppose including non-energy companies in pipeline proxy groups.  </w:t>
      </w:r>
      <w:r>
        <w:rPr>
          <w:i/>
          <w:iCs/>
        </w:rPr>
        <w:t>E.g.</w:t>
      </w:r>
      <w:r>
        <w:t>, AOPL Initial Comments at 32; Tallgrass Initial Comments at 9; CAPP Initial Comments at 21; NGSA Initial Comments at 19; PGC/AF&amp;PA Joint Comments at 10.</w:t>
      </w:r>
    </w:p>
  </w:footnote>
  <w:footnote w:id="138">
    <w:p w14:paraId="6501F95C" w14:textId="77777777" w:rsidR="00E835EE" w:rsidRDefault="00E835EE" w:rsidP="002F5AB7">
      <w:pPr>
        <w:pStyle w:val="FootnoteText"/>
      </w:pPr>
      <w:r>
        <w:rPr>
          <w:rStyle w:val="FootnoteReference"/>
        </w:rPr>
        <w:footnoteRef/>
      </w:r>
      <w:r>
        <w:t xml:space="preserve"> APGA Comments at 10.</w:t>
      </w:r>
    </w:p>
  </w:footnote>
  <w:footnote w:id="139">
    <w:p w14:paraId="17C82946" w14:textId="77777777" w:rsidR="00E835EE" w:rsidRDefault="00E835EE" w:rsidP="002F5AB7">
      <w:pPr>
        <w:pStyle w:val="FootnoteText"/>
      </w:pPr>
      <w:r>
        <w:rPr>
          <w:rStyle w:val="FootnoteReference"/>
        </w:rPr>
        <w:footnoteRef/>
      </w:r>
      <w:r>
        <w:t xml:space="preserve"> INGAA Initial Comments at 24-25, 29-37, 40; INGAA Reply Comments at 6-12.</w:t>
      </w:r>
    </w:p>
  </w:footnote>
  <w:footnote w:id="140">
    <w:p w14:paraId="74E416A7" w14:textId="77777777" w:rsidR="00E835EE" w:rsidRDefault="00E835EE" w:rsidP="002F5AB7">
      <w:pPr>
        <w:pStyle w:val="FootnoteText"/>
      </w:pPr>
      <w:r>
        <w:rPr>
          <w:rStyle w:val="FootnoteReference"/>
        </w:rPr>
        <w:footnoteRef/>
      </w:r>
      <w:r>
        <w:t xml:space="preserve"> INGAA Initial Comments at 30.</w:t>
      </w:r>
    </w:p>
  </w:footnote>
  <w:footnote w:id="141">
    <w:p w14:paraId="6D45F5A8" w14:textId="0FD76C36" w:rsidR="00E835EE" w:rsidRDefault="00E835EE" w:rsidP="002F5AB7">
      <w:pPr>
        <w:pStyle w:val="FootnoteText"/>
      </w:pPr>
      <w:r>
        <w:rPr>
          <w:rStyle w:val="FootnoteReference"/>
        </w:rPr>
        <w:footnoteRef/>
      </w:r>
      <w:r>
        <w:t xml:space="preserve"> NGSA Initial Comments at 11.</w:t>
      </w:r>
    </w:p>
  </w:footnote>
  <w:footnote w:id="142">
    <w:p w14:paraId="2FEE2AF0" w14:textId="721A78DD" w:rsidR="00E835EE" w:rsidRDefault="00E835EE" w:rsidP="002F5AB7">
      <w:pPr>
        <w:pStyle w:val="FootnoteText"/>
      </w:pPr>
      <w:r>
        <w:rPr>
          <w:rStyle w:val="FootnoteReference"/>
        </w:rPr>
        <w:footnoteRef/>
      </w:r>
      <w:r>
        <w:t xml:space="preserve"> INGAA Initial Comments at 24-25, 34-35; Tallgrass Initial Comments at 6-7.</w:t>
      </w:r>
    </w:p>
  </w:footnote>
  <w:footnote w:id="143">
    <w:p w14:paraId="1EC9E563" w14:textId="77777777" w:rsidR="00E835EE" w:rsidRDefault="00E835EE" w:rsidP="0032095E">
      <w:pPr>
        <w:pStyle w:val="FootnoteText"/>
      </w:pPr>
      <w:r>
        <w:rPr>
          <w:rStyle w:val="FootnoteReference"/>
        </w:rPr>
        <w:footnoteRef/>
      </w:r>
      <w:r>
        <w:t xml:space="preserve"> </w:t>
      </w:r>
      <w:r w:rsidRPr="00077415">
        <w:t>While the Commission has preferred screens and methods for selecting companies that will compose a proxy group, parties may continue to propose alternative screens and methods in cost-of-service rate proceedings</w:t>
      </w:r>
      <w:r>
        <w:t>.</w:t>
      </w:r>
    </w:p>
  </w:footnote>
  <w:footnote w:id="144">
    <w:p w14:paraId="43170E59" w14:textId="5C979EF0" w:rsidR="00E835EE" w:rsidRDefault="00E835EE" w:rsidP="00F87B22">
      <w:pPr>
        <w:pStyle w:val="FootnoteText"/>
      </w:pPr>
      <w:r>
        <w:rPr>
          <w:rStyle w:val="FootnoteReference"/>
        </w:rPr>
        <w:footnoteRef/>
      </w:r>
      <w:r>
        <w:t xml:space="preserve"> </w:t>
      </w:r>
      <w:r w:rsidRPr="00F87B22">
        <w:rPr>
          <w:i/>
          <w:iCs/>
        </w:rPr>
        <w:t>See</w:t>
      </w:r>
      <w:r>
        <w:rPr>
          <w:i/>
          <w:iCs/>
        </w:rPr>
        <w:t>, e.g.</w:t>
      </w:r>
      <w:r>
        <w:t>,</w:t>
      </w:r>
      <w:r>
        <w:rPr>
          <w:i/>
          <w:iCs/>
        </w:rPr>
        <w:t xml:space="preserve"> </w:t>
      </w:r>
      <w:r w:rsidRPr="00F87B22">
        <w:rPr>
          <w:i/>
          <w:iCs/>
        </w:rPr>
        <w:t>SFPP, L.P.</w:t>
      </w:r>
      <w:r w:rsidRPr="00303B31">
        <w:t>, Opinion No. 511</w:t>
      </w:r>
      <w:r>
        <w:t>, 134 FERC ¶ 61,121, at P 209 (2011) (</w:t>
      </w:r>
      <w:r w:rsidRPr="00B11607">
        <w:t>departing from the Commission’s general policy to determine ROE using the most recent data in the record and determining nominal ROE using earlier data where the most recent data reflected the collapse of the stock market in late 2008 and thus was not representative of the pipeline’s long</w:t>
      </w:r>
      <w:r>
        <w:t>-</w:t>
      </w:r>
      <w:r w:rsidRPr="00B11607">
        <w:t>term equity cost of capital</w:t>
      </w:r>
      <w:r>
        <w:t xml:space="preserve">), </w:t>
      </w:r>
      <w:r>
        <w:rPr>
          <w:i/>
          <w:iCs/>
        </w:rPr>
        <w:t>order on reh’g</w:t>
      </w:r>
      <w:r>
        <w:t>, Opinion No. 511-B, 150 FERC ¶ 61,096 (2015)</w:t>
      </w:r>
      <w:r>
        <w:rPr>
          <w:i/>
          <w:iCs/>
        </w:rPr>
        <w:t xml:space="preserve"> remanded on other grounds sub nom.</w:t>
      </w:r>
      <w:r>
        <w:t xml:space="preserve"> </w:t>
      </w:r>
      <w:r>
        <w:rPr>
          <w:i/>
          <w:iCs/>
        </w:rPr>
        <w:t>United Airlines, Inc. v. FERC</w:t>
      </w:r>
      <w:r>
        <w:t xml:space="preserve">, 827 F.3d 122 (D.C. Cir. 2016), </w:t>
      </w:r>
      <w:r>
        <w:rPr>
          <w:i/>
          <w:iCs/>
        </w:rPr>
        <w:t>order on remand and compliance filing</w:t>
      </w:r>
      <w:r>
        <w:t>, Opinion No. 511</w:t>
      </w:r>
      <w:r w:rsidRPr="00303B31">
        <w:t>-C,</w:t>
      </w:r>
      <w:r w:rsidRPr="00F87B22">
        <w:t xml:space="preserve"> 162 FERC ¶ 61,228</w:t>
      </w:r>
      <w:r>
        <w:t xml:space="preserve">, </w:t>
      </w:r>
      <w:r w:rsidRPr="00F87B22">
        <w:t>at PP 46-53</w:t>
      </w:r>
      <w:r>
        <w:t xml:space="preserve"> (2018); </w:t>
      </w:r>
      <w:r>
        <w:rPr>
          <w:i/>
          <w:iCs/>
        </w:rPr>
        <w:t>see also Trunkline Gas Co.</w:t>
      </w:r>
      <w:r>
        <w:t>, Opinion No. 441, 90 FERC ¶ 61,017, at 61,049 (2000) (“The Commission seeks to find the most representative figures on which to base rates.”).</w:t>
      </w:r>
    </w:p>
  </w:footnote>
  <w:footnote w:id="145">
    <w:p w14:paraId="5EF20B3B" w14:textId="77777777" w:rsidR="00E835EE" w:rsidRDefault="00E835EE" w:rsidP="002F5AB7">
      <w:pPr>
        <w:pStyle w:val="FootnoteText"/>
      </w:pPr>
      <w:r>
        <w:rPr>
          <w:rStyle w:val="FootnoteReference"/>
        </w:rPr>
        <w:footnoteRef/>
      </w:r>
      <w:r>
        <w:t xml:space="preserve"> Opinion No. 528, 145 FERC ¶ 61,040 at P 626; Opinion No. 486-B, 126 FERC ¶ 61,034 at P 60.</w:t>
      </w:r>
    </w:p>
  </w:footnote>
  <w:footnote w:id="146">
    <w:p w14:paraId="06A5D2AB" w14:textId="34CF088F" w:rsidR="00E835EE" w:rsidRPr="00E8384F" w:rsidRDefault="00E835EE" w:rsidP="002F5AB7">
      <w:pPr>
        <w:pStyle w:val="FootnoteText"/>
      </w:pPr>
      <w:r>
        <w:rPr>
          <w:rStyle w:val="FootnoteReference"/>
        </w:rPr>
        <w:footnoteRef/>
      </w:r>
      <w:r>
        <w:t xml:space="preserve"> For instance, a 2009 rate case decision by the National Energy Board of Canada (NEB) may be instructive.  National Energy Board of Canada, RH-1-2008 Reasons for Decision, Trans Qu</w:t>
      </w:r>
      <w:r w:rsidRPr="00635674">
        <w:t>é</w:t>
      </w:r>
      <w:r>
        <w:t xml:space="preserve">bec &amp; Maritimes Pipelines Inc., March 2009, available at </w:t>
      </w:r>
      <w:r w:rsidRPr="00074E16">
        <w:t>http://www.regie-energie.qc.ca/audiences/3690-09/RepDDRGM_3690-09/B-29_GM_Reasons-Decision-RH-1-2008_3690_30juin09.pdf</w:t>
      </w:r>
      <w:r>
        <w:t xml:space="preserve"> (</w:t>
      </w:r>
      <w:r>
        <w:rPr>
          <w:i/>
          <w:iCs/>
        </w:rPr>
        <w:t>Trans Qu</w:t>
      </w:r>
      <w:r w:rsidRPr="0030557E">
        <w:rPr>
          <w:i/>
          <w:iCs/>
        </w:rPr>
        <w:t>é</w:t>
      </w:r>
      <w:r>
        <w:rPr>
          <w:i/>
          <w:iCs/>
        </w:rPr>
        <w:t>bec</w:t>
      </w:r>
      <w:r>
        <w:t xml:space="preserve">).  In that decision, the NEB revised its ratemaking policy by adopting an after-tax weighted average cost-of-capital approach to determining pipeline cost of capital.  </w:t>
      </w:r>
      <w:r>
        <w:rPr>
          <w:i/>
          <w:iCs/>
        </w:rPr>
        <w:t xml:space="preserve">Id. </w:t>
      </w:r>
      <w:r>
        <w:t xml:space="preserve">at 18-19.  The NEB also accepted evidence that the Canadian and U.S. financial markets are integrated and, as a result, Canadian pipelines and U.S. pipelines compete for capital.  </w:t>
      </w:r>
      <w:r>
        <w:rPr>
          <w:i/>
          <w:iCs/>
        </w:rPr>
        <w:t xml:space="preserve">Id. </w:t>
      </w:r>
      <w:r>
        <w:t xml:space="preserve">at 66-68 (finding that “Canadian and U.S. pipelines operate in what the Board views as an integrated North American natural gas market.”).  The NEB also found that although the risks facing U.S. and Canadian pipelines are not identical, those risks “are not so different as to make them inappropriate comparators” and in fact share “many similarities.”  </w:t>
      </w:r>
      <w:r>
        <w:rPr>
          <w:i/>
          <w:iCs/>
        </w:rPr>
        <w:t>Id.</w:t>
      </w:r>
      <w:r>
        <w:t xml:space="preserve"> at 68.  As such, the NEB found that U.S. pipelines “have the potential to act as a useful proxy” for use in determining the appropriate ROE for Canadian pipelines.  </w:t>
      </w:r>
      <w:r>
        <w:rPr>
          <w:i/>
          <w:iCs/>
        </w:rPr>
        <w:t>Id.</w:t>
      </w:r>
      <w:r>
        <w:t xml:space="preserve"> at 67.</w:t>
      </w:r>
    </w:p>
  </w:footnote>
  <w:footnote w:id="147">
    <w:p w14:paraId="5EB0D249" w14:textId="64DB444E" w:rsidR="00E835EE" w:rsidRDefault="00E835EE">
      <w:pPr>
        <w:pStyle w:val="FootnoteText"/>
      </w:pPr>
      <w:r>
        <w:rPr>
          <w:rStyle w:val="FootnoteReference"/>
        </w:rPr>
        <w:footnoteRef/>
      </w:r>
      <w:r>
        <w:t xml:space="preserve"> Opinion No. 569, 169 FERC ¶ 61,129 at P 340.</w:t>
      </w:r>
    </w:p>
  </w:footnote>
  <w:footnote w:id="148">
    <w:p w14:paraId="1751C84A" w14:textId="39F843AA" w:rsidR="00E835EE" w:rsidRPr="001058F3" w:rsidRDefault="00E835EE">
      <w:pPr>
        <w:pStyle w:val="FootnoteText"/>
      </w:pPr>
      <w:r>
        <w:rPr>
          <w:rStyle w:val="FootnoteReference"/>
        </w:rPr>
        <w:footnoteRef/>
      </w:r>
      <w:r>
        <w:t xml:space="preserve"> </w:t>
      </w:r>
      <w:r>
        <w:rPr>
          <w:i/>
          <w:iCs/>
        </w:rPr>
        <w:t>Id.</w:t>
      </w:r>
      <w:r>
        <w:t xml:space="preserve"> P 341.</w:t>
      </w:r>
    </w:p>
  </w:footnote>
  <w:footnote w:id="149">
    <w:p w14:paraId="5335A172" w14:textId="7FEE8094" w:rsidR="00E835EE" w:rsidRPr="001058F3" w:rsidRDefault="00E835EE">
      <w:pPr>
        <w:pStyle w:val="FootnoteText"/>
      </w:pPr>
      <w:r>
        <w:rPr>
          <w:rStyle w:val="FootnoteReference"/>
        </w:rPr>
        <w:footnoteRef/>
      </w:r>
      <w:r>
        <w:t xml:space="preserve"> </w:t>
      </w:r>
      <w:r>
        <w:rPr>
          <w:i/>
          <w:iCs/>
        </w:rPr>
        <w:t>Id.</w:t>
      </w:r>
      <w:r>
        <w:t xml:space="preserve"> P 342.</w:t>
      </w:r>
    </w:p>
  </w:footnote>
  <w:footnote w:id="150">
    <w:p w14:paraId="7361E77E" w14:textId="11915BEB" w:rsidR="00E835EE" w:rsidRDefault="00E835EE">
      <w:pPr>
        <w:pStyle w:val="FootnoteText"/>
      </w:pPr>
      <w:r>
        <w:rPr>
          <w:rStyle w:val="FootnoteReference"/>
        </w:rPr>
        <w:footnoteRef/>
      </w:r>
      <w:r>
        <w:t xml:space="preserve"> Opinion No. 569-A, 171 FERC ¶ 61</w:t>
      </w:r>
      <w:r w:rsidRPr="00D637DE">
        <w:t>,</w:t>
      </w:r>
      <w:r>
        <w:t>154</w:t>
      </w:r>
      <w:r w:rsidRPr="00D637DE">
        <w:t xml:space="preserve"> at PP 104-114.</w:t>
      </w:r>
    </w:p>
  </w:footnote>
  <w:footnote w:id="151">
    <w:p w14:paraId="6C16FDC6" w14:textId="5CDA4CE5" w:rsidR="00E835EE" w:rsidRDefault="00E835EE">
      <w:pPr>
        <w:pStyle w:val="FootnoteText"/>
      </w:pPr>
      <w:r>
        <w:rPr>
          <w:rStyle w:val="FootnoteReference"/>
        </w:rPr>
        <w:footnoteRef/>
      </w:r>
      <w:r>
        <w:t xml:space="preserve"> INGAA Initial Comments at 41-42; AOPL Initial Comments at 12, 27-28; NGSA Initial Comments at 10-11, 24; CAPP Initial Comments at 11-12.</w:t>
      </w:r>
    </w:p>
  </w:footnote>
  <w:footnote w:id="152">
    <w:p w14:paraId="179F01E6" w14:textId="073BB0A5" w:rsidR="00E835EE" w:rsidRDefault="00E835EE">
      <w:pPr>
        <w:pStyle w:val="FootnoteText"/>
      </w:pPr>
      <w:r>
        <w:rPr>
          <w:rStyle w:val="FootnoteReference"/>
        </w:rPr>
        <w:footnoteRef/>
      </w:r>
      <w:r>
        <w:t xml:space="preserve"> Opinion No. 569, 169 FERC ¶ 61,129 at PP 200-201.</w:t>
      </w:r>
    </w:p>
  </w:footnote>
  <w:footnote w:id="153">
    <w:p w14:paraId="2C4D9DAF" w14:textId="62ADB140" w:rsidR="00E835EE" w:rsidRDefault="00E835EE">
      <w:pPr>
        <w:pStyle w:val="FootnoteText"/>
      </w:pPr>
      <w:r>
        <w:rPr>
          <w:rStyle w:val="FootnoteReference"/>
        </w:rPr>
        <w:footnoteRef/>
      </w:r>
      <w:r>
        <w:t xml:space="preserve"> </w:t>
      </w:r>
      <w:r>
        <w:rPr>
          <w:i/>
          <w:iCs/>
        </w:rPr>
        <w:t>Id.</w:t>
      </w:r>
      <w:r>
        <w:t xml:space="preserve"> PP 212-218.</w:t>
      </w:r>
    </w:p>
  </w:footnote>
  <w:footnote w:id="154">
    <w:p w14:paraId="484C46F5" w14:textId="3997600C" w:rsidR="00E835EE" w:rsidRPr="00287CB7" w:rsidRDefault="00E835EE" w:rsidP="00B341E0">
      <w:pPr>
        <w:pStyle w:val="FootnoteText"/>
      </w:pPr>
      <w:r>
        <w:rPr>
          <w:rStyle w:val="FootnoteReference"/>
        </w:rPr>
        <w:footnoteRef/>
      </w:r>
      <w:r>
        <w:t xml:space="preserve"> </w:t>
      </w:r>
      <w:r>
        <w:rPr>
          <w:i/>
          <w:iCs/>
        </w:rPr>
        <w:t>Id.</w:t>
      </w:r>
      <w:r>
        <w:t xml:space="preserve"> P 201 (quoting </w:t>
      </w:r>
      <w:r>
        <w:rPr>
          <w:i/>
        </w:rPr>
        <w:t>Hope</w:t>
      </w:r>
      <w:r>
        <w:t>, 320 U.S. at 603).</w:t>
      </w:r>
    </w:p>
  </w:footnote>
  <w:footnote w:id="155">
    <w:p w14:paraId="314AF5B4" w14:textId="29610B30" w:rsidR="00E835EE" w:rsidRDefault="00E835EE" w:rsidP="003F54CA">
      <w:pPr>
        <w:pStyle w:val="FootnoteText"/>
      </w:pPr>
      <w:r>
        <w:rPr>
          <w:rStyle w:val="FootnoteReference"/>
        </w:rPr>
        <w:footnoteRef/>
      </w:r>
      <w:r>
        <w:t xml:space="preserve"> </w:t>
      </w:r>
      <w:r>
        <w:rPr>
          <w:i/>
          <w:iCs/>
        </w:rPr>
        <w:t>Id.</w:t>
      </w:r>
      <w:r>
        <w:t xml:space="preserve"> P 172.</w:t>
      </w:r>
    </w:p>
  </w:footnote>
  <w:footnote w:id="156">
    <w:p w14:paraId="23C0C5EC" w14:textId="11293B31" w:rsidR="00E835EE" w:rsidRDefault="00E835EE" w:rsidP="003F54CA">
      <w:pPr>
        <w:pStyle w:val="FootnoteText"/>
      </w:pPr>
      <w:r>
        <w:rPr>
          <w:rStyle w:val="FootnoteReference"/>
        </w:rPr>
        <w:footnoteRef/>
      </w:r>
      <w:r>
        <w:t xml:space="preserve"> </w:t>
      </w:r>
      <w:r>
        <w:rPr>
          <w:i/>
          <w:iCs/>
        </w:rPr>
        <w:t>Id.</w:t>
      </w:r>
      <w:r>
        <w:t xml:space="preserve"> P 201.</w:t>
      </w:r>
    </w:p>
  </w:footnote>
  <w:footnote w:id="157">
    <w:p w14:paraId="3575A5CF" w14:textId="65DB8AC8" w:rsidR="00E835EE" w:rsidRDefault="00E835EE" w:rsidP="003F54CA">
      <w:pPr>
        <w:pStyle w:val="FootnoteText"/>
      </w:pPr>
      <w:r>
        <w:rPr>
          <w:rStyle w:val="FootnoteReference"/>
        </w:rPr>
        <w:footnoteRef/>
      </w:r>
      <w:r>
        <w:t xml:space="preserve"> </w:t>
      </w:r>
      <w:r>
        <w:rPr>
          <w:i/>
          <w:iCs/>
        </w:rPr>
        <w:t>Id.</w:t>
      </w:r>
      <w:r>
        <w:t xml:space="preserve"> PP 202, 211.</w:t>
      </w:r>
    </w:p>
  </w:footnote>
  <w:footnote w:id="158">
    <w:p w14:paraId="5984D7F1" w14:textId="73F79DE3" w:rsidR="00E835EE" w:rsidRPr="00D637DE" w:rsidRDefault="00E835EE">
      <w:pPr>
        <w:pStyle w:val="FootnoteText"/>
      </w:pPr>
      <w:r>
        <w:rPr>
          <w:rStyle w:val="FootnoteReference"/>
        </w:rPr>
        <w:footnoteRef/>
      </w:r>
      <w:r>
        <w:t xml:space="preserve"> Opinion </w:t>
      </w:r>
      <w:r w:rsidRPr="00D637DE">
        <w:t xml:space="preserve">No. 569-A, </w:t>
      </w:r>
      <w:r>
        <w:t>171</w:t>
      </w:r>
      <w:r w:rsidRPr="00D637DE">
        <w:t xml:space="preserve"> FERC ¶ 61,</w:t>
      </w:r>
      <w:r>
        <w:t>154</w:t>
      </w:r>
      <w:r w:rsidRPr="00D637DE">
        <w:t xml:space="preserve"> at PP 125-131.</w:t>
      </w:r>
    </w:p>
  </w:footnote>
  <w:footnote w:id="159">
    <w:p w14:paraId="24CDB49A" w14:textId="4132D07C" w:rsidR="00E835EE" w:rsidRPr="00D637DE" w:rsidRDefault="00E835EE" w:rsidP="001776C7">
      <w:pPr>
        <w:pStyle w:val="FootnoteText"/>
      </w:pPr>
      <w:r w:rsidRPr="00D637DE">
        <w:rPr>
          <w:rStyle w:val="FootnoteReference"/>
        </w:rPr>
        <w:footnoteRef/>
      </w:r>
      <w:r w:rsidRPr="00D637DE">
        <w:t xml:space="preserve"> </w:t>
      </w:r>
      <w:r w:rsidRPr="00D637DE">
        <w:rPr>
          <w:i/>
          <w:iCs/>
        </w:rPr>
        <w:t>Id.</w:t>
      </w:r>
      <w:r w:rsidRPr="00D637DE">
        <w:t xml:space="preserve"> P 127.</w:t>
      </w:r>
    </w:p>
  </w:footnote>
  <w:footnote w:id="160">
    <w:p w14:paraId="118E921E" w14:textId="7B120006" w:rsidR="00E835EE" w:rsidRDefault="00E835EE">
      <w:pPr>
        <w:pStyle w:val="FootnoteText"/>
      </w:pPr>
      <w:r w:rsidRPr="00D637DE">
        <w:rPr>
          <w:rStyle w:val="FootnoteReference"/>
        </w:rPr>
        <w:footnoteRef/>
      </w:r>
      <w:r w:rsidRPr="00D637DE">
        <w:t xml:space="preserve"> As noted above, several commenters, including Airlines for America, Liquids Shippers Group, NGSA, APGA, and PGC/AF&amp;PA assert that the Commission should continue relying solely on the DCF model</w:t>
      </w:r>
      <w:r>
        <w:t xml:space="preserve"> in analyzing pipeline ROEs.</w:t>
      </w:r>
    </w:p>
  </w:footnote>
  <w:footnote w:id="161">
    <w:p w14:paraId="7B5DC94F" w14:textId="52E64A04" w:rsidR="00E835EE" w:rsidRDefault="00E835EE">
      <w:pPr>
        <w:pStyle w:val="FootnoteText"/>
      </w:pPr>
      <w:r>
        <w:rPr>
          <w:rStyle w:val="FootnoteReference"/>
        </w:rPr>
        <w:footnoteRef/>
      </w:r>
      <w:r>
        <w:t xml:space="preserve"> INGAA Initial Comments at 8, 41, 63; INGAA Reply Comments at 1-2.</w:t>
      </w:r>
    </w:p>
  </w:footnote>
  <w:footnote w:id="162">
    <w:p w14:paraId="12C94C89" w14:textId="06F8BD9B" w:rsidR="00E835EE" w:rsidRDefault="00E835EE">
      <w:pPr>
        <w:pStyle w:val="FootnoteText"/>
      </w:pPr>
      <w:r>
        <w:rPr>
          <w:rStyle w:val="FootnoteReference"/>
        </w:rPr>
        <w:footnoteRef/>
      </w:r>
      <w:r>
        <w:t xml:space="preserve"> AOPL Initial Comments at 28l; </w:t>
      </w:r>
      <w:r>
        <w:rPr>
          <w:i/>
          <w:iCs/>
        </w:rPr>
        <w:t>see also</w:t>
      </w:r>
      <w:r>
        <w:t xml:space="preserve"> Plains Initial Comments at 4; Magellan Initial Comments at 12-13, 28-29 (stating that Expected Earnings should be used only in conjunction with other models such as the DCF, CAPM, and Risk Premium).</w:t>
      </w:r>
    </w:p>
  </w:footnote>
  <w:footnote w:id="163">
    <w:p w14:paraId="2DDB19C4" w14:textId="511E60A5" w:rsidR="00E835EE" w:rsidRDefault="00E835EE">
      <w:pPr>
        <w:pStyle w:val="FootnoteText"/>
      </w:pPr>
      <w:r>
        <w:rPr>
          <w:rStyle w:val="FootnoteReference"/>
        </w:rPr>
        <w:footnoteRef/>
      </w:r>
      <w:r>
        <w:t xml:space="preserve"> NGSA Initial Comments at 34.</w:t>
      </w:r>
    </w:p>
  </w:footnote>
  <w:footnote w:id="164">
    <w:p w14:paraId="1B9ADA7A" w14:textId="2230A2F8" w:rsidR="00E835EE" w:rsidRDefault="00E835EE">
      <w:pPr>
        <w:pStyle w:val="FootnoteText"/>
      </w:pPr>
      <w:r>
        <w:rPr>
          <w:rStyle w:val="FootnoteReference"/>
        </w:rPr>
        <w:footnoteRef/>
      </w:r>
      <w:r>
        <w:t xml:space="preserve"> CAPP Initial Comments at 13, 27.</w:t>
      </w:r>
    </w:p>
  </w:footnote>
  <w:footnote w:id="165">
    <w:p w14:paraId="5844C561" w14:textId="2597887E" w:rsidR="00E835EE" w:rsidRPr="006B7697" w:rsidRDefault="00E835EE">
      <w:pPr>
        <w:pStyle w:val="FootnoteText"/>
      </w:pPr>
      <w:r>
        <w:rPr>
          <w:rStyle w:val="FootnoteReference"/>
        </w:rPr>
        <w:footnoteRef/>
      </w:r>
      <w:r>
        <w:t xml:space="preserve"> </w:t>
      </w:r>
      <w:r>
        <w:rPr>
          <w:i/>
          <w:iCs/>
        </w:rPr>
        <w:t>Hope</w:t>
      </w:r>
      <w:r>
        <w:t>, 320 U.S. at 603.</w:t>
      </w:r>
    </w:p>
  </w:footnote>
  <w:footnote w:id="166">
    <w:p w14:paraId="036D1679" w14:textId="1AC42EB4" w:rsidR="00E835EE" w:rsidRPr="0050434F" w:rsidRDefault="00E835EE">
      <w:pPr>
        <w:pStyle w:val="FootnoteText"/>
      </w:pPr>
      <w:r>
        <w:rPr>
          <w:rStyle w:val="FootnoteReference"/>
        </w:rPr>
        <w:footnoteRef/>
      </w:r>
      <w:r>
        <w:t xml:space="preserve"> </w:t>
      </w:r>
      <w:r>
        <w:rPr>
          <w:i/>
          <w:iCs/>
        </w:rPr>
        <w:t xml:space="preserve">See </w:t>
      </w:r>
      <w:r>
        <w:t>Opinion No. 569, 169 FERC ¶ 61,129 at P 201.</w:t>
      </w:r>
    </w:p>
  </w:footnote>
  <w:footnote w:id="167">
    <w:p w14:paraId="3ED10EF5" w14:textId="713C7A85" w:rsidR="00E835EE" w:rsidRPr="0050434F" w:rsidRDefault="00E835EE">
      <w:pPr>
        <w:pStyle w:val="FootnoteText"/>
      </w:pPr>
      <w:r>
        <w:rPr>
          <w:rStyle w:val="FootnoteReference"/>
        </w:rPr>
        <w:footnoteRef/>
      </w:r>
      <w:r>
        <w:t xml:space="preserve"> </w:t>
      </w:r>
      <w:r>
        <w:rPr>
          <w:i/>
          <w:iCs/>
        </w:rPr>
        <w:t>See id.</w:t>
      </w:r>
      <w:r>
        <w:t xml:space="preserve"> P 202.</w:t>
      </w:r>
    </w:p>
  </w:footnote>
  <w:footnote w:id="168">
    <w:p w14:paraId="35866BE5" w14:textId="7D711289" w:rsidR="00E835EE" w:rsidRPr="00F23784" w:rsidRDefault="00E835EE">
      <w:pPr>
        <w:pStyle w:val="FootnoteText"/>
      </w:pPr>
      <w:r>
        <w:rPr>
          <w:rStyle w:val="FootnoteReference"/>
        </w:rPr>
        <w:footnoteRef/>
      </w:r>
      <w:r>
        <w:t xml:space="preserve"> </w:t>
      </w:r>
      <w:r>
        <w:rPr>
          <w:i/>
          <w:iCs/>
        </w:rPr>
        <w:t xml:space="preserve">See </w:t>
      </w:r>
      <w:r>
        <w:t>Opinion No. 546, 154 FERC ¶ 61,070 at P 196; 2008 Policy Statement,  123 FERC ¶ 61,048 at P 79 (“[T]he Commission will continue to exclude an MLP from the proxy groups if its growth projection is illogical or anomalous.”).</w:t>
      </w:r>
    </w:p>
  </w:footnote>
  <w:footnote w:id="169">
    <w:p w14:paraId="391D5C28" w14:textId="3A312D42" w:rsidR="00E835EE" w:rsidRDefault="00E835EE">
      <w:pPr>
        <w:pStyle w:val="FootnoteText"/>
      </w:pPr>
      <w:r>
        <w:rPr>
          <w:rStyle w:val="FootnoteReference"/>
        </w:rPr>
        <w:footnoteRef/>
      </w:r>
      <w:r>
        <w:t xml:space="preserve"> Opinion No. 569, 169 FERC ¶ 61,129 at P 379 (citing </w:t>
      </w:r>
      <w:r>
        <w:rPr>
          <w:i/>
          <w:iCs/>
        </w:rPr>
        <w:t>Pioneer Transmission, LLC</w:t>
      </w:r>
      <w:r>
        <w:t xml:space="preserve">, 126 FERC ¶ 61,281, at P 94 (2009), </w:t>
      </w:r>
      <w:r>
        <w:rPr>
          <w:i/>
          <w:iCs/>
        </w:rPr>
        <w:t>reh’g denied</w:t>
      </w:r>
      <w:r>
        <w:t xml:space="preserve">, 130 FERC ¶ 61,044 (2010); </w:t>
      </w:r>
      <w:r>
        <w:rPr>
          <w:i/>
          <w:iCs/>
        </w:rPr>
        <w:t>S. Cal. Edison Co.</w:t>
      </w:r>
      <w:r>
        <w:t>, 131 FERC ¶ 61,020, at PP 54-56 (2010)).</w:t>
      </w:r>
    </w:p>
  </w:footnote>
  <w:footnote w:id="170">
    <w:p w14:paraId="09A5B259" w14:textId="3F4C4403" w:rsidR="00E835EE" w:rsidRPr="00D942DA" w:rsidRDefault="00E835EE">
      <w:pPr>
        <w:pStyle w:val="FootnoteText"/>
      </w:pPr>
      <w:r>
        <w:rPr>
          <w:rStyle w:val="FootnoteReference"/>
        </w:rPr>
        <w:footnoteRef/>
      </w:r>
      <w:r>
        <w:t xml:space="preserve"> </w:t>
      </w:r>
      <w:r w:rsidRPr="00164E5D">
        <w:t>MISO</w:t>
      </w:r>
      <w:r>
        <w:t xml:space="preserve"> Briefing Order, 165 FERC ¶ 61,118 at P 54; </w:t>
      </w:r>
      <w:r>
        <w:rPr>
          <w:i/>
          <w:iCs/>
        </w:rPr>
        <w:t>Coakley</w:t>
      </w:r>
      <w:r>
        <w:t xml:space="preserve"> Briefing Order, 165 FERC ¶ 61,030 at P 53.</w:t>
      </w:r>
    </w:p>
  </w:footnote>
  <w:footnote w:id="171">
    <w:p w14:paraId="7336578A" w14:textId="53222895" w:rsidR="00E835EE" w:rsidRPr="00AB0B51" w:rsidRDefault="00E835EE">
      <w:pPr>
        <w:pStyle w:val="FootnoteText"/>
      </w:pPr>
      <w:r>
        <w:rPr>
          <w:rStyle w:val="FootnoteReference"/>
        </w:rPr>
        <w:footnoteRef/>
      </w:r>
      <w:r>
        <w:t xml:space="preserve"> Opinion No. 569, 169 FERC ¶ 61,129 at P 387.</w:t>
      </w:r>
    </w:p>
  </w:footnote>
  <w:footnote w:id="172">
    <w:p w14:paraId="3D6631AE" w14:textId="080254D9" w:rsidR="00E835EE" w:rsidRPr="00475F22" w:rsidRDefault="00E835EE">
      <w:pPr>
        <w:pStyle w:val="FootnoteText"/>
        <w:rPr>
          <w:i/>
          <w:iCs/>
        </w:rPr>
      </w:pPr>
      <w:r>
        <w:rPr>
          <w:rStyle w:val="FootnoteReference"/>
        </w:rPr>
        <w:footnoteRef/>
      </w:r>
      <w:r>
        <w:t xml:space="preserve"> </w:t>
      </w:r>
      <w:r>
        <w:rPr>
          <w:i/>
          <w:iCs/>
        </w:rPr>
        <w:t>Id.</w:t>
      </w:r>
    </w:p>
  </w:footnote>
  <w:footnote w:id="173">
    <w:p w14:paraId="7B30AB1D" w14:textId="5D76B9C7" w:rsidR="00E835EE" w:rsidRDefault="00E835EE">
      <w:pPr>
        <w:pStyle w:val="FootnoteText"/>
      </w:pPr>
      <w:r>
        <w:rPr>
          <w:rStyle w:val="FootnoteReference"/>
        </w:rPr>
        <w:footnoteRef/>
      </w:r>
      <w:r>
        <w:t xml:space="preserve"> </w:t>
      </w:r>
      <w:r>
        <w:rPr>
          <w:i/>
          <w:iCs/>
        </w:rPr>
        <w:t>Id.</w:t>
      </w:r>
      <w:r>
        <w:t xml:space="preserve"> P 388.</w:t>
      </w:r>
    </w:p>
  </w:footnote>
  <w:footnote w:id="174">
    <w:p w14:paraId="255572E4" w14:textId="53170CDD" w:rsidR="00E835EE" w:rsidRDefault="00E835EE">
      <w:pPr>
        <w:pStyle w:val="FootnoteText"/>
      </w:pPr>
      <w:r>
        <w:rPr>
          <w:rStyle w:val="FootnoteReference"/>
        </w:rPr>
        <w:footnoteRef/>
      </w:r>
      <w:r>
        <w:t xml:space="preserve"> </w:t>
      </w:r>
      <w:r>
        <w:rPr>
          <w:i/>
          <w:iCs/>
        </w:rPr>
        <w:t>Id.</w:t>
      </w:r>
      <w:r>
        <w:t xml:space="preserve"> P 375.</w:t>
      </w:r>
    </w:p>
  </w:footnote>
  <w:footnote w:id="175">
    <w:p w14:paraId="4C73BFA1" w14:textId="0C18FA2F" w:rsidR="00E835EE" w:rsidRDefault="00E835EE">
      <w:pPr>
        <w:pStyle w:val="FootnoteText"/>
      </w:pPr>
      <w:r>
        <w:rPr>
          <w:rStyle w:val="FootnoteReference"/>
        </w:rPr>
        <w:footnoteRef/>
      </w:r>
      <w:r>
        <w:t xml:space="preserve"> </w:t>
      </w:r>
      <w:r>
        <w:rPr>
          <w:i/>
          <w:iCs/>
        </w:rPr>
        <w:t>Id.</w:t>
      </w:r>
    </w:p>
  </w:footnote>
  <w:footnote w:id="176">
    <w:p w14:paraId="2593AF9D" w14:textId="52BDB4FF" w:rsidR="00E835EE" w:rsidRDefault="00E835EE">
      <w:pPr>
        <w:pStyle w:val="FootnoteText"/>
      </w:pPr>
      <w:r>
        <w:rPr>
          <w:rStyle w:val="FootnoteReference"/>
        </w:rPr>
        <w:footnoteRef/>
      </w:r>
      <w:r>
        <w:t xml:space="preserve"> </w:t>
      </w:r>
      <w:r>
        <w:rPr>
          <w:i/>
          <w:iCs/>
        </w:rPr>
        <w:t>Id.</w:t>
      </w:r>
      <w:r>
        <w:t xml:space="preserve"> P 396.  Typically, </w:t>
      </w:r>
      <w:r w:rsidRPr="00552012">
        <w:t>this involves examining the distance between that proxy group company and the next closest proxy group company and comparing that to the dispersion of other proxy group companies</w:t>
      </w:r>
      <w:r>
        <w:t xml:space="preserve">.  As explained in Opinion No. 569, </w:t>
      </w:r>
      <w:r w:rsidRPr="00911EDD">
        <w:t>the natural break analysis may justify excluding companies whose ROEs are a few basis points above the low-end outlier screen if their ROEs are far lower than other companies in the proxy group</w:t>
      </w:r>
      <w:r>
        <w:t xml:space="preserve">, and a similar analysis could apply with regard to high-end outliers.  </w:t>
      </w:r>
      <w:r>
        <w:rPr>
          <w:i/>
          <w:iCs/>
        </w:rPr>
        <w:t>Id.</w:t>
      </w:r>
    </w:p>
  </w:footnote>
  <w:footnote w:id="177">
    <w:p w14:paraId="6ECBAAB8" w14:textId="0C9DFA94" w:rsidR="00E835EE" w:rsidRDefault="00E835EE">
      <w:pPr>
        <w:pStyle w:val="FootnoteText"/>
      </w:pPr>
      <w:r>
        <w:rPr>
          <w:rStyle w:val="FootnoteReference"/>
        </w:rPr>
        <w:footnoteRef/>
      </w:r>
      <w:r>
        <w:t xml:space="preserve"> </w:t>
      </w:r>
      <w:r>
        <w:rPr>
          <w:i/>
          <w:iCs/>
        </w:rPr>
        <w:t>Id.</w:t>
      </w:r>
      <w:r>
        <w:t xml:space="preserve"> P 397.</w:t>
      </w:r>
    </w:p>
  </w:footnote>
  <w:footnote w:id="178">
    <w:p w14:paraId="28B4AF99" w14:textId="4CC5E3D5" w:rsidR="00E835EE" w:rsidRPr="00D637DE" w:rsidRDefault="00E835EE">
      <w:pPr>
        <w:pStyle w:val="FootnoteText"/>
      </w:pPr>
      <w:r>
        <w:rPr>
          <w:rStyle w:val="FootnoteReference"/>
        </w:rPr>
        <w:footnoteRef/>
      </w:r>
      <w:r>
        <w:t xml:space="preserve"> Opinion No. 569-A, </w:t>
      </w:r>
      <w:r w:rsidR="00D26F00">
        <w:t>171</w:t>
      </w:r>
      <w:r w:rsidRPr="00D637DE">
        <w:t xml:space="preserve"> FERC ¶ 61,</w:t>
      </w:r>
      <w:r w:rsidR="00D26F00">
        <w:t>154</w:t>
      </w:r>
      <w:r w:rsidRPr="00D637DE">
        <w:t xml:space="preserve"> at P </w:t>
      </w:r>
      <w:r>
        <w:t>161</w:t>
      </w:r>
      <w:r w:rsidRPr="00D637DE">
        <w:t>.</w:t>
      </w:r>
    </w:p>
  </w:footnote>
  <w:footnote w:id="179">
    <w:p w14:paraId="434B6E8B" w14:textId="2957F543" w:rsidR="00E835EE" w:rsidRPr="008E4DC7" w:rsidRDefault="00E835EE" w:rsidP="00DD24EC">
      <w:pPr>
        <w:pStyle w:val="FootnoteText"/>
      </w:pPr>
      <w:r>
        <w:rPr>
          <w:rStyle w:val="FootnoteReference"/>
        </w:rPr>
        <w:footnoteRef/>
      </w:r>
      <w:r>
        <w:t xml:space="preserve"> </w:t>
      </w:r>
      <w:r>
        <w:rPr>
          <w:i/>
          <w:iCs/>
        </w:rPr>
        <w:t xml:space="preserve">Id. </w:t>
      </w:r>
      <w:r>
        <w:t>P 154.</w:t>
      </w:r>
    </w:p>
  </w:footnote>
  <w:footnote w:id="180">
    <w:p w14:paraId="44A09BAC" w14:textId="061864E2" w:rsidR="00E835EE" w:rsidRDefault="00E835EE">
      <w:pPr>
        <w:pStyle w:val="FootnoteText"/>
      </w:pPr>
      <w:r>
        <w:rPr>
          <w:rStyle w:val="FootnoteReference"/>
        </w:rPr>
        <w:footnoteRef/>
      </w:r>
      <w:r>
        <w:t xml:space="preserve"> AOPL Initial Comments at 4, 15-17; INGAA Initial Comments at 10-11, 65-69; Plains Comments at 1-2, 5-6.</w:t>
      </w:r>
    </w:p>
  </w:footnote>
  <w:footnote w:id="181">
    <w:p w14:paraId="7DFF2AD4" w14:textId="1AB71566" w:rsidR="00E835EE" w:rsidRDefault="00E835EE">
      <w:pPr>
        <w:pStyle w:val="FootnoteText"/>
      </w:pPr>
      <w:r>
        <w:rPr>
          <w:rStyle w:val="FootnoteReference"/>
        </w:rPr>
        <w:footnoteRef/>
      </w:r>
      <w:r>
        <w:t xml:space="preserve"> AOPL Initial Comments at 16; INGAA Initial Comments at 67; Plains Comments at 5-6; NGSA Comments at 20.  Magellan states that </w:t>
      </w:r>
      <w:r w:rsidRPr="00937C82">
        <w:t>it may be unreasonable to apply an outlier test to oil pipelines because removing outlying results could reduce the number of proxy group companies to an unacceptable level</w:t>
      </w:r>
      <w:r>
        <w:t>.  Magellan Initial Comments at 17-18</w:t>
      </w:r>
    </w:p>
  </w:footnote>
  <w:footnote w:id="182">
    <w:p w14:paraId="70A83F86" w14:textId="4F19B6AD" w:rsidR="00E835EE" w:rsidRDefault="00E835EE">
      <w:pPr>
        <w:pStyle w:val="FootnoteText"/>
      </w:pPr>
      <w:r>
        <w:rPr>
          <w:rStyle w:val="FootnoteReference"/>
        </w:rPr>
        <w:footnoteRef/>
      </w:r>
      <w:r>
        <w:t xml:space="preserve"> CAPP Initial Comments at 21-22.</w:t>
      </w:r>
    </w:p>
  </w:footnote>
  <w:footnote w:id="183">
    <w:p w14:paraId="15A9981F" w14:textId="77777777" w:rsidR="00E835EE" w:rsidRDefault="00E835EE" w:rsidP="00A01A37">
      <w:pPr>
        <w:pStyle w:val="FootnoteText"/>
      </w:pPr>
      <w:r>
        <w:rPr>
          <w:rStyle w:val="FootnoteReference"/>
        </w:rPr>
        <w:footnoteRef/>
      </w:r>
      <w:r>
        <w:t xml:space="preserve"> INGAA Initial Comments at 69.</w:t>
      </w:r>
    </w:p>
  </w:footnote>
  <w:footnote w:id="184">
    <w:p w14:paraId="263DA1D3" w14:textId="64291EE2" w:rsidR="00E835EE" w:rsidRDefault="00E835EE" w:rsidP="00A01A37">
      <w:pPr>
        <w:pStyle w:val="FootnoteText"/>
      </w:pPr>
      <w:r>
        <w:rPr>
          <w:rStyle w:val="FootnoteReference"/>
        </w:rPr>
        <w:footnoteRef/>
      </w:r>
      <w:r>
        <w:t xml:space="preserve"> </w:t>
      </w:r>
      <w:r>
        <w:rPr>
          <w:i/>
          <w:iCs/>
        </w:rPr>
        <w:t>Id.</w:t>
      </w:r>
    </w:p>
  </w:footnote>
  <w:footnote w:id="185">
    <w:p w14:paraId="5898EE17" w14:textId="7F918261" w:rsidR="00E835EE" w:rsidRPr="005279A3" w:rsidRDefault="00E835EE">
      <w:pPr>
        <w:pStyle w:val="FootnoteText"/>
      </w:pPr>
      <w:r>
        <w:rPr>
          <w:rStyle w:val="FootnoteReference"/>
        </w:rPr>
        <w:footnoteRef/>
      </w:r>
      <w:r>
        <w:t xml:space="preserve"> </w:t>
      </w:r>
      <w:r>
        <w:rPr>
          <w:i/>
          <w:iCs/>
        </w:rPr>
        <w:t>E.g.</w:t>
      </w:r>
      <w:r>
        <w:t>, Opinion No. 546, 154 FERC ¶ 61,070 at P 196.</w:t>
      </w:r>
    </w:p>
  </w:footnote>
  <w:footnote w:id="186">
    <w:p w14:paraId="0BA68832" w14:textId="1870579B" w:rsidR="00E835EE" w:rsidRDefault="00E835EE" w:rsidP="00BA7E84">
      <w:pPr>
        <w:pStyle w:val="FootnoteText"/>
      </w:pPr>
      <w:r>
        <w:rPr>
          <w:rStyle w:val="FootnoteReference"/>
        </w:rPr>
        <w:footnoteRef/>
      </w:r>
      <w:r>
        <w:t xml:space="preserve"> </w:t>
      </w:r>
      <w:r>
        <w:rPr>
          <w:i/>
          <w:iCs/>
        </w:rPr>
        <w:t>E.g.</w:t>
      </w:r>
      <w:r>
        <w:t>,</w:t>
      </w:r>
      <w:r>
        <w:rPr>
          <w:i/>
          <w:iCs/>
        </w:rPr>
        <w:t xml:space="preserve"> Midwest Indep. Transmission Sys. Operator, Inc.</w:t>
      </w:r>
      <w:r>
        <w:t>, 106 FERC ¶ 61,302, at PP 8-10 (2004).</w:t>
      </w:r>
    </w:p>
  </w:footnote>
  <w:footnote w:id="187">
    <w:p w14:paraId="4BFEBB9E" w14:textId="20D46FF0" w:rsidR="00E835EE" w:rsidRDefault="00E835EE">
      <w:pPr>
        <w:pStyle w:val="FootnoteText"/>
      </w:pPr>
      <w:r>
        <w:rPr>
          <w:rStyle w:val="FootnoteReference"/>
        </w:rPr>
        <w:footnoteRef/>
      </w:r>
      <w:r>
        <w:t xml:space="preserve"> </w:t>
      </w:r>
      <w:r w:rsidRPr="00905214">
        <w:t>Although the decision whether to include or remove an outlier may affect which member of the proxy group is the median result, the outlier is not a direct part of the ROE calculation as it is when the Commission uses the midpoint.</w:t>
      </w:r>
    </w:p>
  </w:footnote>
  <w:footnote w:id="188">
    <w:p w14:paraId="28C1EE4F" w14:textId="55E927B6" w:rsidR="00E835EE" w:rsidRDefault="00E835EE">
      <w:pPr>
        <w:pStyle w:val="FootnoteText"/>
      </w:pPr>
      <w:r>
        <w:rPr>
          <w:rStyle w:val="FootnoteReference"/>
        </w:rPr>
        <w:footnoteRef/>
      </w:r>
      <w:r>
        <w:t xml:space="preserve"> Opinion No. 569, 169 FERC ¶ 61,129 at P 395.</w:t>
      </w:r>
    </w:p>
  </w:footnote>
  <w:footnote w:id="189">
    <w:p w14:paraId="26B40575" w14:textId="76381767" w:rsidR="00E835EE" w:rsidRDefault="00E835EE">
      <w:pPr>
        <w:pStyle w:val="FootnoteText"/>
      </w:pPr>
      <w:r>
        <w:rPr>
          <w:rStyle w:val="FootnoteReference"/>
        </w:rPr>
        <w:footnoteRef/>
      </w:r>
      <w:r>
        <w:t xml:space="preserve"> </w:t>
      </w:r>
      <w:r>
        <w:rPr>
          <w:i/>
          <w:iCs/>
        </w:rPr>
        <w:t>Id.</w:t>
      </w:r>
      <w:r>
        <w:t xml:space="preserve"> P 390.</w:t>
      </w:r>
    </w:p>
  </w:footnote>
  <w:footnote w:id="190">
    <w:p w14:paraId="5FA6D04A" w14:textId="4C39C050" w:rsidR="00E835EE" w:rsidRDefault="00E835EE">
      <w:pPr>
        <w:pStyle w:val="FootnoteText"/>
      </w:pPr>
      <w:r>
        <w:rPr>
          <w:rStyle w:val="FootnoteReference"/>
        </w:rPr>
        <w:footnoteRef/>
      </w:r>
      <w:r>
        <w:t xml:space="preserve"> </w:t>
      </w:r>
      <w:r>
        <w:rPr>
          <w:i/>
          <w:iCs/>
        </w:rPr>
        <w:t>Id.</w:t>
      </w:r>
      <w:r>
        <w:t xml:space="preserve"> P 395.</w:t>
      </w:r>
    </w:p>
  </w:footnote>
  <w:footnote w:id="191">
    <w:p w14:paraId="749900C6" w14:textId="631B7255" w:rsidR="00E835EE" w:rsidRDefault="00E835EE" w:rsidP="009A2385">
      <w:pPr>
        <w:pStyle w:val="FootnoteText"/>
      </w:pPr>
      <w:r>
        <w:rPr>
          <w:rStyle w:val="FootnoteReference"/>
        </w:rPr>
        <w:footnoteRef/>
      </w:r>
      <w:r>
        <w:t xml:space="preserve"> 44 USC 3501-21.</w:t>
      </w:r>
    </w:p>
  </w:footnote>
  <w:footnote w:id="192">
    <w:p w14:paraId="36F3F41D" w14:textId="780B8D17" w:rsidR="00E835EE" w:rsidRDefault="00E835EE">
      <w:pPr>
        <w:pStyle w:val="FootnoteText"/>
      </w:pPr>
      <w:r>
        <w:rPr>
          <w:rStyle w:val="FootnoteReference"/>
        </w:rPr>
        <w:footnoteRef/>
      </w:r>
      <w:r>
        <w:t xml:space="preserve"> Following OMB approval of this information collection, the Commission will issue a notice specifying the date on which any updated page 700 should be filed.</w:t>
      </w:r>
    </w:p>
  </w:footnote>
  <w:footnote w:id="193">
    <w:p w14:paraId="12FAB9AF" w14:textId="2027DBC4" w:rsidR="00E835EE" w:rsidRDefault="00E835EE">
      <w:pPr>
        <w:pStyle w:val="FootnoteText"/>
      </w:pPr>
      <w:r>
        <w:rPr>
          <w:rStyle w:val="FootnoteReference"/>
        </w:rPr>
        <w:footnoteRef/>
      </w:r>
      <w:r>
        <w:t xml:space="preserve"> Upon OMB approval, these pipelines will have the opportunity to file updated page 700 data reflecting the Commission’s revised oil pipeline ROE methodology.</w:t>
      </w:r>
    </w:p>
  </w:footnote>
  <w:footnote w:id="194">
    <w:p w14:paraId="4C25B94F" w14:textId="69D6ACFE" w:rsidR="00E835EE" w:rsidRDefault="00E835EE" w:rsidP="00280677">
      <w:pPr>
        <w:pStyle w:val="FootnoteText"/>
      </w:pPr>
      <w:r>
        <w:rPr>
          <w:rStyle w:val="FootnoteReference"/>
        </w:rPr>
        <w:footnoteRef/>
      </w:r>
      <w:r>
        <w:t xml:space="preserve"> </w:t>
      </w:r>
      <w:r w:rsidRPr="0074415A">
        <w:t>OMB</w:t>
      </w:r>
      <w:r>
        <w:t>’s</w:t>
      </w:r>
      <w:r w:rsidRPr="0074415A">
        <w:t xml:space="preserve"> regulations requir</w:t>
      </w:r>
      <w:r>
        <w:t>ing</w:t>
      </w:r>
      <w:r w:rsidRPr="0074415A">
        <w:t xml:space="preserve"> approval of certain collections of information</w:t>
      </w:r>
      <w:r>
        <w:t xml:space="preserve"> are at 5 CFR 1320.</w:t>
      </w:r>
    </w:p>
  </w:footnote>
  <w:footnote w:id="195">
    <w:p w14:paraId="532AC69A" w14:textId="09166073" w:rsidR="00E835EE" w:rsidRDefault="00E835EE" w:rsidP="00280677">
      <w:pPr>
        <w:pStyle w:val="FootnoteText"/>
        <w:rPr>
          <w:szCs w:val="26"/>
        </w:rPr>
      </w:pPr>
      <w:r>
        <w:rPr>
          <w:rStyle w:val="FootnoteReference"/>
        </w:rPr>
        <w:footnoteRef/>
      </w:r>
      <w:r>
        <w:rPr>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96">
    <w:p w14:paraId="3BBC0C2B" w14:textId="77777777" w:rsidR="00203BB8" w:rsidRDefault="00E835EE" w:rsidP="00280677">
      <w:pPr>
        <w:pStyle w:val="FootnoteText"/>
        <w:rPr>
          <w:szCs w:val="26"/>
        </w:rPr>
      </w:pPr>
      <w:r>
        <w:rPr>
          <w:rStyle w:val="FootnoteReference"/>
        </w:rPr>
        <w:footnoteRef/>
      </w:r>
      <w:r>
        <w:t xml:space="preserve"> </w:t>
      </w:r>
      <w:r w:rsidRPr="00DD7E03">
        <w:t xml:space="preserve"> </w:t>
      </w:r>
      <w:r w:rsidRPr="00E35E1E">
        <w:rPr>
          <w:szCs w:val="26"/>
        </w:rPr>
        <w:t>Commission staff</w:t>
      </w:r>
      <w:r w:rsidRPr="00DD7E03">
        <w:rPr>
          <w:szCs w:val="26"/>
        </w:rPr>
        <w:t xml:space="preserve"> estimates that the industry’s skill set and cost (for wages and benefits) for completing and filing FERC Form No. 6 is comparable to the Commission’s </w:t>
      </w:r>
    </w:p>
    <w:p w14:paraId="1477F31D" w14:textId="77777777" w:rsidR="00203BB8" w:rsidRDefault="00203BB8" w:rsidP="00203BB8">
      <w:pPr>
        <w:pStyle w:val="FootnoteText"/>
        <w:spacing w:after="0"/>
        <w:rPr>
          <w:szCs w:val="26"/>
        </w:rPr>
      </w:pPr>
    </w:p>
    <w:p w14:paraId="2B11E1A1" w14:textId="71EC61FC" w:rsidR="00E835EE" w:rsidRDefault="00E835EE" w:rsidP="00203BB8">
      <w:pPr>
        <w:pStyle w:val="FootnoteText"/>
        <w:ind w:firstLine="0"/>
      </w:pPr>
      <w:r w:rsidRPr="00DD7E03">
        <w:rPr>
          <w:szCs w:val="26"/>
        </w:rPr>
        <w:t>skill set and average cost.  The FERC 2019 average salary plus benefits for one FERC full-time equivalent (FTE) is $167,091/year or $80.00/hour.</w:t>
      </w:r>
    </w:p>
  </w:footnote>
  <w:footnote w:id="197">
    <w:p w14:paraId="4C8B12E6" w14:textId="1849B1FD" w:rsidR="00E835EE" w:rsidRDefault="00E835EE" w:rsidP="00C7763F">
      <w:pPr>
        <w:pStyle w:val="FootnoteText"/>
      </w:pPr>
      <w:r>
        <w:rPr>
          <w:rStyle w:val="FootnoteReference"/>
        </w:rPr>
        <w:footnoteRef/>
      </w:r>
      <w:r>
        <w:t xml:space="preserve"> We have conservatively assumed a 100% voluntary response rate.  </w:t>
      </w:r>
    </w:p>
  </w:footnote>
  <w:footnote w:id="198">
    <w:p w14:paraId="5A830871" w14:textId="1087F279" w:rsidR="00E835EE" w:rsidRPr="00F46693" w:rsidRDefault="00E835EE">
      <w:pPr>
        <w:pStyle w:val="FootnoteText"/>
      </w:pPr>
      <w:r>
        <w:rPr>
          <w:rStyle w:val="FootnoteReference"/>
        </w:rPr>
        <w:footnoteRef/>
      </w:r>
      <w:r>
        <w:t xml:space="preserve"> </w:t>
      </w:r>
      <w:r>
        <w:rPr>
          <w:i/>
          <w:iCs/>
        </w:rPr>
        <w:t>Revisions to Oil Pipeline Regulations Pursuant to the Energy Policy Act of 1992</w:t>
      </w:r>
      <w:r>
        <w:t xml:space="preserve">, Order No. 561, FERC Stats. &amp; Regs. ¶ 30,985 (1993), </w:t>
      </w:r>
      <w:r>
        <w:rPr>
          <w:i/>
          <w:iCs/>
        </w:rPr>
        <w:t>order on reh’g</w:t>
      </w:r>
      <w:r>
        <w:t xml:space="preserve">, Order </w:t>
      </w:r>
      <w:r w:rsidR="00D8183D">
        <w:t xml:space="preserve">      </w:t>
      </w:r>
      <w:r>
        <w:t xml:space="preserve">No. 561-A, FERC Stats. &amp; Regs. ¶ 31,000 (1994), </w:t>
      </w:r>
      <w:r>
        <w:rPr>
          <w:i/>
          <w:iCs/>
        </w:rPr>
        <w:t>aff’d</w:t>
      </w:r>
      <w:r>
        <w:t xml:space="preserve">, </w:t>
      </w:r>
      <w:r>
        <w:rPr>
          <w:i/>
          <w:iCs/>
        </w:rPr>
        <w:t>Ass’n of Oil Pipelines v. FERC</w:t>
      </w:r>
      <w:r>
        <w:t>, 83 F.3d 1424 (D.C. Cir. 1996).</w:t>
      </w:r>
    </w:p>
  </w:footnote>
  <w:footnote w:id="199">
    <w:p w14:paraId="10981E14" w14:textId="49FA4134" w:rsidR="00E835EE" w:rsidRPr="00F46693" w:rsidRDefault="00E835EE">
      <w:pPr>
        <w:pStyle w:val="FootnoteText"/>
      </w:pPr>
      <w:r>
        <w:rPr>
          <w:rStyle w:val="FootnoteReference"/>
        </w:rPr>
        <w:footnoteRef/>
      </w:r>
      <w:r>
        <w:t xml:space="preserve"> </w:t>
      </w:r>
      <w:r>
        <w:rPr>
          <w:i/>
          <w:iCs/>
        </w:rPr>
        <w:t>Id.</w:t>
      </w:r>
      <w:r>
        <w:t xml:space="preserve"> at 30,941.</w:t>
      </w:r>
    </w:p>
  </w:footnote>
  <w:footnote w:id="200">
    <w:p w14:paraId="5677ACC0" w14:textId="2F201AFF" w:rsidR="00E835EE" w:rsidRDefault="00E835EE">
      <w:pPr>
        <w:pStyle w:val="FootnoteText"/>
      </w:pPr>
      <w:r>
        <w:rPr>
          <w:rStyle w:val="FootnoteReference"/>
        </w:rPr>
        <w:footnoteRef/>
      </w:r>
      <w:r>
        <w:t xml:space="preserve"> </w:t>
      </w:r>
      <w:r>
        <w:rPr>
          <w:i/>
          <w:iCs/>
        </w:rPr>
        <w:t>Five-Year Review of the Oil Pipeline Index</w:t>
      </w:r>
      <w:r>
        <w:t xml:space="preserve">, 153 FERC ¶ 61,312, at PP 5, 12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480A" w14:textId="77777777" w:rsidR="00E835EE" w:rsidRDefault="00E835EE" w:rsidP="00B64C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B7F86" w14:textId="77777777" w:rsidR="00E835EE" w:rsidRDefault="00E835EE" w:rsidP="00B64C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3C8B9" w14:textId="775A4026" w:rsidR="00E835EE" w:rsidRDefault="00E835EE" w:rsidP="003679BF">
    <w:pPr>
      <w:pStyle w:val="Header"/>
      <w:tabs>
        <w:tab w:val="clear" w:pos="4680"/>
      </w:tabs>
      <w:spacing w:after="240"/>
    </w:pPr>
    <w:r>
      <w:rPr>
        <w:noProof/>
      </w:rPr>
      <mc:AlternateContent>
        <mc:Choice Requires="wps">
          <w:drawing>
            <wp:anchor distT="0" distB="0" distL="114300" distR="114300" simplePos="0" relativeHeight="251658240" behindDoc="0" locked="0" layoutInCell="0" allowOverlap="1" wp14:anchorId="5C5BF394" wp14:editId="252413EA">
              <wp:simplePos x="0" y="0"/>
              <wp:positionH relativeFrom="page">
                <wp:posOffset>0</wp:posOffset>
              </wp:positionH>
              <wp:positionV relativeFrom="page">
                <wp:posOffset>190500</wp:posOffset>
              </wp:positionV>
              <wp:extent cx="7772400" cy="266700"/>
              <wp:effectExtent l="0" t="0" r="0" b="0"/>
              <wp:wrapNone/>
              <wp:docPr id="1" name="MSIPCM509d422984d357756716a409" descr="{&quot;HashCode&quot;:109785833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55B15" w14:textId="06877161"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5BF394" id="_x0000_t202" coordsize="21600,21600" o:spt="202" path="m,l,21600r21600,l21600,xe">
              <v:stroke joinstyle="miter"/>
              <v:path gradientshapeok="t" o:connecttype="rect"/>
            </v:shapetype>
            <v:shape id="MSIPCM509d422984d357756716a409" o:spid="_x0000_s1026" type="#_x0000_t202" alt="{&quot;HashCode&quot;:1097858330,&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1Bez8FQMAADYGAAAOAAAAAAAAAAAAAAAAAC4CAABk&#10;cnMvZTJvRG9jLnhtbFBLAQItABQABgAIAAAAIQBoO5V22wAAAAcBAAAPAAAAAAAAAAAAAAAAAG8F&#10;AABkcnMvZG93bnJldi54bWxQSwUGAAAAAAQABADzAAAAdwYAAAAA&#10;" o:allowincell="f" filled="f" stroked="f" strokeweight=".5pt">
              <v:textbox inset=",0,,0">
                <w:txbxContent>
                  <w:p w14:paraId="02355B15" w14:textId="06877161" w:rsidR="00E835EE" w:rsidRPr="00BE441D" w:rsidRDefault="00E835EE" w:rsidP="00BE441D">
                    <w:pPr>
                      <w:jc w:val="center"/>
                      <w:rPr>
                        <w:color w:val="A80000"/>
                      </w:rPr>
                    </w:pPr>
                  </w:p>
                </w:txbxContent>
              </v:textbox>
              <w10:wrap anchorx="page" anchory="page"/>
            </v:shape>
          </w:pict>
        </mc:Fallback>
      </mc:AlternateContent>
    </w:r>
    <w:r>
      <w:t xml:space="preserve">Docket No. PL19-4-000 </w:t>
    </w:r>
    <w:r>
      <w:tab/>
    </w:r>
    <w:r>
      <w:fldChar w:fldCharType="begin"/>
    </w:r>
    <w:r>
      <w:instrText xml:space="preserve"> PAGE  \* MERGEFORMAT </w:instrText>
    </w:r>
    <w:r>
      <w:fldChar w:fldCharType="separate"/>
    </w:r>
    <w:r>
      <w:rPr>
        <w:noProof/>
      </w:rPr>
      <w:t>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ACDF" w14:textId="0E49DEED" w:rsidR="00E835EE" w:rsidRDefault="00E835EE">
    <w:pPr>
      <w:pStyle w:val="Header"/>
    </w:pPr>
    <w:r>
      <w:rPr>
        <w:noProof/>
      </w:rPr>
      <mc:AlternateContent>
        <mc:Choice Requires="wps">
          <w:drawing>
            <wp:anchor distT="0" distB="0" distL="114300" distR="114300" simplePos="0" relativeHeight="251658241" behindDoc="0" locked="0" layoutInCell="0" allowOverlap="1" wp14:anchorId="42F9D495" wp14:editId="44C64BB7">
              <wp:simplePos x="0" y="0"/>
              <wp:positionH relativeFrom="page">
                <wp:posOffset>0</wp:posOffset>
              </wp:positionH>
              <wp:positionV relativeFrom="page">
                <wp:posOffset>190500</wp:posOffset>
              </wp:positionV>
              <wp:extent cx="7772400" cy="266700"/>
              <wp:effectExtent l="0" t="0" r="0" b="0"/>
              <wp:wrapNone/>
              <wp:docPr id="2" name="MSIPCM1046439a910004a13637cb98" descr="{&quot;HashCode&quot;:109785833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8CCF23" w14:textId="15154333"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F9D495" id="_x0000_t202" coordsize="21600,21600" o:spt="202" path="m,l,21600r21600,l21600,xe">
              <v:stroke joinstyle="miter"/>
              <v:path gradientshapeok="t" o:connecttype="rect"/>
            </v:shapetype>
            <v:shape id="MSIPCM1046439a910004a13637cb98" o:spid="_x0000_s1027" type="#_x0000_t202" alt="{&quot;HashCode&quot;:1097858330,&quot;Height&quot;:792.0,&quot;Width&quot;:612.0,&quot;Placement&quot;:&quot;Header&quot;,&quot;Index&quot;:&quot;FirstPage&quot;,&quot;Section&quot;:1,&quot;Top&quot;:0.0,&quot;Left&quot;:0.0}" style="position:absolute;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nU0LtFQMAAD8GAAAOAAAAAAAAAAAAAAAAAC4CAABk&#10;cnMvZTJvRG9jLnhtbFBLAQItABQABgAIAAAAIQBoO5V22wAAAAcBAAAPAAAAAAAAAAAAAAAAAG8F&#10;AABkcnMvZG93bnJldi54bWxQSwUGAAAAAAQABADzAAAAdwYAAAAA&#10;" o:allowincell="f" filled="f" stroked="f" strokeweight=".5pt">
              <v:textbox inset=",0,,0">
                <w:txbxContent>
                  <w:p w14:paraId="528CCF23" w14:textId="15154333" w:rsidR="00E835EE" w:rsidRPr="00BE441D" w:rsidRDefault="00E835EE" w:rsidP="00BE441D">
                    <w:pPr>
                      <w:jc w:val="center"/>
                      <w:rPr>
                        <w:color w:val="A8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2330" w14:textId="77777777" w:rsidR="00E835EE" w:rsidRDefault="00E835EE"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9E89AF0" w14:textId="77777777" w:rsidR="00E835EE" w:rsidRDefault="00E835EE"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5905" w14:textId="4B0F24E7" w:rsidR="00E835EE" w:rsidRDefault="00E835EE" w:rsidP="003679BF">
    <w:pPr>
      <w:pStyle w:val="Header"/>
      <w:tabs>
        <w:tab w:val="clear" w:pos="4680"/>
      </w:tabs>
      <w:spacing w:after="240"/>
    </w:pPr>
    <w:r>
      <w:rPr>
        <w:noProof/>
      </w:rPr>
      <mc:AlternateContent>
        <mc:Choice Requires="wps">
          <w:drawing>
            <wp:anchor distT="0" distB="0" distL="114300" distR="114300" simplePos="0" relativeHeight="251658242" behindDoc="0" locked="0" layoutInCell="0" allowOverlap="1" wp14:anchorId="1F0796EC" wp14:editId="531EC13F">
              <wp:simplePos x="0" y="0"/>
              <wp:positionH relativeFrom="page">
                <wp:posOffset>0</wp:posOffset>
              </wp:positionH>
              <wp:positionV relativeFrom="page">
                <wp:posOffset>190500</wp:posOffset>
              </wp:positionV>
              <wp:extent cx="7772400" cy="266700"/>
              <wp:effectExtent l="0" t="0" r="0" b="0"/>
              <wp:wrapNone/>
              <wp:docPr id="3" name="MSIPCM7a64434babd72ee5cfdcf9d4" descr="{&quot;HashCode&quot;:1097858330,&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D3349B" w14:textId="6BBFAE67"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0796EC" id="_x0000_t202" coordsize="21600,21600" o:spt="202" path="m,l,21600r21600,l21600,xe">
              <v:stroke joinstyle="miter"/>
              <v:path gradientshapeok="t" o:connecttype="rect"/>
            </v:shapetype>
            <v:shape id="MSIPCM7a64434babd72ee5cfdcf9d4" o:spid="_x0000_s1028" type="#_x0000_t202" alt="{&quot;HashCode&quot;:1097858330,&quot;Height&quot;:792.0,&quot;Width&quot;:612.0,&quot;Placement&quot;:&quot;Header&quot;,&quot;Index&quot;:&quot;Primary&quot;,&quot;Section&quot;:2,&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AAJH6jFQMAAD0GAAAOAAAAAAAAAAAAAAAAAC4CAABk&#10;cnMvZTJvRG9jLnhtbFBLAQItABQABgAIAAAAIQBoO5V22wAAAAcBAAAPAAAAAAAAAAAAAAAAAG8F&#10;AABkcnMvZG93bnJldi54bWxQSwUGAAAAAAQABADzAAAAdwYAAAAA&#10;" o:allowincell="f" filled="f" stroked="f" strokeweight=".5pt">
              <v:textbox inset=",0,,0">
                <w:txbxContent>
                  <w:p w14:paraId="0AD3349B" w14:textId="6BBFAE67" w:rsidR="00E835EE" w:rsidRPr="00BE441D" w:rsidRDefault="00E835EE" w:rsidP="00BE441D">
                    <w:pPr>
                      <w:jc w:val="center"/>
                      <w:rPr>
                        <w:color w:val="A80000"/>
                      </w:rPr>
                    </w:pPr>
                  </w:p>
                </w:txbxContent>
              </v:textbox>
              <w10:wrap anchorx="page" anchory="page"/>
            </v:shape>
          </w:pict>
        </mc:Fallback>
      </mc:AlternateContent>
    </w:r>
    <w:r>
      <w:t xml:space="preserve">Docket No. PL19-4-000 </w:t>
    </w:r>
    <w:r>
      <w:tab/>
    </w:r>
    <w:r>
      <w:fldChar w:fldCharType="begin"/>
    </w:r>
    <w:r>
      <w:instrText xml:space="preserve"> PAGE  \* MERGEFORMAT </w:instrText>
    </w:r>
    <w:r>
      <w:fldChar w:fldCharType="separate"/>
    </w:r>
    <w:r>
      <w:rPr>
        <w:noProof/>
      </w:rPr>
      <w:t>- 18 -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6E97" w14:textId="374D82D7" w:rsidR="00E835EE" w:rsidRDefault="00E835EE" w:rsidP="00EC3F55">
    <w:pPr>
      <w:pStyle w:val="Header"/>
      <w:tabs>
        <w:tab w:val="clear" w:pos="4680"/>
      </w:tabs>
    </w:pPr>
    <w:r>
      <w:rPr>
        <w:noProof/>
      </w:rPr>
      <mc:AlternateContent>
        <mc:Choice Requires="wps">
          <w:drawing>
            <wp:anchor distT="0" distB="0" distL="114300" distR="114300" simplePos="0" relativeHeight="251658243" behindDoc="0" locked="0" layoutInCell="0" allowOverlap="1" wp14:anchorId="33A1377D" wp14:editId="5B5CB6EF">
              <wp:simplePos x="0" y="0"/>
              <wp:positionH relativeFrom="page">
                <wp:posOffset>0</wp:posOffset>
              </wp:positionH>
              <wp:positionV relativeFrom="page">
                <wp:posOffset>190500</wp:posOffset>
              </wp:positionV>
              <wp:extent cx="7772400" cy="266700"/>
              <wp:effectExtent l="0" t="0" r="0" b="0"/>
              <wp:wrapNone/>
              <wp:docPr id="4" name="MSIPCM7d9f4aea832c00136c50af85" descr="{&quot;HashCode&quot;:1097858330,&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D3FF9" w14:textId="33928C12" w:rsidR="00E835EE" w:rsidRPr="00BE441D" w:rsidRDefault="00E835EE" w:rsidP="00BE441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A1377D" id="_x0000_t202" coordsize="21600,21600" o:spt="202" path="m,l,21600r21600,l21600,xe">
              <v:stroke joinstyle="miter"/>
              <v:path gradientshapeok="t" o:connecttype="rect"/>
            </v:shapetype>
            <v:shape id="MSIPCM7d9f4aea832c00136c50af85" o:spid="_x0000_s1029" type="#_x0000_t202" alt="{&quot;HashCode&quot;:1097858330,&quot;Height&quot;:792.0,&quot;Width&quot;:612.0,&quot;Placement&quot;:&quot;Header&quot;,&quot;Index&quot;:&quot;FirstPage&quot;,&quot;Section&quot;:2,&quot;Top&quot;:0.0,&quot;Left&quot;:0.0}" style="position:absolute;margin-left:0;margin-top:15pt;width:612pt;height:21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XW6veBYDAAA/BgAADgAAAAAAAAAAAAAAAAAuAgAA&#10;ZHJzL2Uyb0RvYy54bWxQSwECLQAUAAYACAAAACEAaDuVdtsAAAAHAQAADwAAAAAAAAAAAAAAAABw&#10;BQAAZHJzL2Rvd25yZXYueG1sUEsFBgAAAAAEAAQA8wAAAHgGAAAAAA==&#10;" o:allowincell="f" filled="f" stroked="f" strokeweight=".5pt">
              <v:textbox inset=",0,,0">
                <w:txbxContent>
                  <w:p w14:paraId="47BD3FF9" w14:textId="33928C12" w:rsidR="00E835EE" w:rsidRPr="00BE441D" w:rsidRDefault="00E835EE" w:rsidP="00BE441D">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2A1FFA"/>
    <w:multiLevelType w:val="hybridMultilevel"/>
    <w:tmpl w:val="089A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3"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15:restartNumberingAfterBreak="0">
    <w:nsid w:val="2675032C"/>
    <w:multiLevelType w:val="hybridMultilevel"/>
    <w:tmpl w:val="E16EB5A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1B1966"/>
    <w:multiLevelType w:val="hybridMultilevel"/>
    <w:tmpl w:val="B0B6AE6E"/>
    <w:lvl w:ilvl="0" w:tplc="80D28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502FF"/>
    <w:multiLevelType w:val="multilevel"/>
    <w:tmpl w:val="681C69F4"/>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600136"/>
    <w:multiLevelType w:val="hybridMultilevel"/>
    <w:tmpl w:val="0472D78C"/>
    <w:lvl w:ilvl="0" w:tplc="CFA6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9"/>
  </w:num>
  <w:num w:numId="13">
    <w:abstractNumId w:val="14"/>
  </w:num>
  <w:num w:numId="14">
    <w:abstractNumId w:val="21"/>
  </w:num>
  <w:num w:numId="15">
    <w:abstractNumId w:val="1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5"/>
  </w:num>
  <w:num w:numId="20">
    <w:abstractNumId w:val="13"/>
  </w:num>
  <w:num w:numId="21">
    <w:abstractNumId w:val="23"/>
  </w:num>
  <w:num w:numId="22">
    <w:abstractNumId w:val="22"/>
    <w:lvlOverride w:ilvl="0">
      <w:startOverride w:val="1"/>
    </w:lvlOverride>
  </w:num>
  <w:num w:numId="23">
    <w:abstractNumId w:val="22"/>
    <w:lvlOverride w:ilvl="0">
      <w:startOverride w:val="1"/>
    </w:lvlOverride>
  </w:num>
  <w:num w:numId="24">
    <w:abstractNumId w:val="11"/>
  </w:num>
  <w:num w:numId="25">
    <w:abstractNumId w:val="18"/>
    <w:lvlOverride w:ilvl="0">
      <w:startOverride w:val="1"/>
    </w:lvlOverride>
    <w:lvlOverride w:ilvl="1">
      <w:startOverride w:val="2"/>
    </w:lvlOverride>
  </w:num>
  <w:num w:numId="26">
    <w:abstractNumId w:val="22"/>
    <w:lvlOverride w:ilvl="0">
      <w:startOverride w:val="5"/>
    </w:lvlOverride>
  </w:num>
  <w:num w:numId="27">
    <w:abstractNumId w:val="22"/>
    <w:lvlOverride w:ilvl="0">
      <w:startOverride w:val="5"/>
    </w:lvlOverride>
  </w:num>
  <w:num w:numId="28">
    <w:abstractNumId w:val="16"/>
  </w:num>
  <w:num w:numId="29">
    <w:abstractNumId w:val="2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F"/>
    <w:rsid w:val="000004E8"/>
    <w:rsid w:val="00000B30"/>
    <w:rsid w:val="00000FD2"/>
    <w:rsid w:val="00001116"/>
    <w:rsid w:val="0000117F"/>
    <w:rsid w:val="0000249B"/>
    <w:rsid w:val="000024B4"/>
    <w:rsid w:val="00002ECF"/>
    <w:rsid w:val="00003340"/>
    <w:rsid w:val="0000397B"/>
    <w:rsid w:val="0000469D"/>
    <w:rsid w:val="00004BA5"/>
    <w:rsid w:val="00005AA1"/>
    <w:rsid w:val="000061A4"/>
    <w:rsid w:val="00006B41"/>
    <w:rsid w:val="000071C8"/>
    <w:rsid w:val="0000731D"/>
    <w:rsid w:val="00007D8B"/>
    <w:rsid w:val="00010FA6"/>
    <w:rsid w:val="000118C8"/>
    <w:rsid w:val="000127ED"/>
    <w:rsid w:val="00012843"/>
    <w:rsid w:val="000143AA"/>
    <w:rsid w:val="00015B4C"/>
    <w:rsid w:val="000167D7"/>
    <w:rsid w:val="0002042F"/>
    <w:rsid w:val="00022A33"/>
    <w:rsid w:val="0002326E"/>
    <w:rsid w:val="0002355F"/>
    <w:rsid w:val="00024DF9"/>
    <w:rsid w:val="00025AC5"/>
    <w:rsid w:val="00026815"/>
    <w:rsid w:val="00026BE6"/>
    <w:rsid w:val="00027BED"/>
    <w:rsid w:val="00030A04"/>
    <w:rsid w:val="00030D60"/>
    <w:rsid w:val="000312A2"/>
    <w:rsid w:val="000313BB"/>
    <w:rsid w:val="00031529"/>
    <w:rsid w:val="00031899"/>
    <w:rsid w:val="00031FC4"/>
    <w:rsid w:val="00032F23"/>
    <w:rsid w:val="00033BCD"/>
    <w:rsid w:val="00036D68"/>
    <w:rsid w:val="00036DE0"/>
    <w:rsid w:val="0003761E"/>
    <w:rsid w:val="00037A3D"/>
    <w:rsid w:val="00037B03"/>
    <w:rsid w:val="00037FD2"/>
    <w:rsid w:val="00040AD7"/>
    <w:rsid w:val="00041561"/>
    <w:rsid w:val="000417DE"/>
    <w:rsid w:val="000419DE"/>
    <w:rsid w:val="00041A7B"/>
    <w:rsid w:val="000428C4"/>
    <w:rsid w:val="00042D26"/>
    <w:rsid w:val="00042FBB"/>
    <w:rsid w:val="000432FA"/>
    <w:rsid w:val="00043F2F"/>
    <w:rsid w:val="000441E6"/>
    <w:rsid w:val="00045767"/>
    <w:rsid w:val="0004624A"/>
    <w:rsid w:val="00047B30"/>
    <w:rsid w:val="00047FB6"/>
    <w:rsid w:val="00050013"/>
    <w:rsid w:val="0005056B"/>
    <w:rsid w:val="0005169E"/>
    <w:rsid w:val="00052161"/>
    <w:rsid w:val="00052B8A"/>
    <w:rsid w:val="00053025"/>
    <w:rsid w:val="0005310F"/>
    <w:rsid w:val="00053316"/>
    <w:rsid w:val="00055000"/>
    <w:rsid w:val="000550DC"/>
    <w:rsid w:val="00055DBF"/>
    <w:rsid w:val="00055DDF"/>
    <w:rsid w:val="00055F5F"/>
    <w:rsid w:val="0005663F"/>
    <w:rsid w:val="000570C2"/>
    <w:rsid w:val="00057B05"/>
    <w:rsid w:val="00057F6A"/>
    <w:rsid w:val="000608BE"/>
    <w:rsid w:val="0006117F"/>
    <w:rsid w:val="00061B1F"/>
    <w:rsid w:val="00062A25"/>
    <w:rsid w:val="00062FDE"/>
    <w:rsid w:val="00063DA6"/>
    <w:rsid w:val="0006600E"/>
    <w:rsid w:val="00066846"/>
    <w:rsid w:val="00066A39"/>
    <w:rsid w:val="00067205"/>
    <w:rsid w:val="00070415"/>
    <w:rsid w:val="00070603"/>
    <w:rsid w:val="00070857"/>
    <w:rsid w:val="000710C7"/>
    <w:rsid w:val="000715D2"/>
    <w:rsid w:val="000717A5"/>
    <w:rsid w:val="0007377C"/>
    <w:rsid w:val="00074151"/>
    <w:rsid w:val="00074C8F"/>
    <w:rsid w:val="00074E16"/>
    <w:rsid w:val="000752D0"/>
    <w:rsid w:val="00075474"/>
    <w:rsid w:val="0007636C"/>
    <w:rsid w:val="000763B0"/>
    <w:rsid w:val="00076C66"/>
    <w:rsid w:val="00077B93"/>
    <w:rsid w:val="000802DE"/>
    <w:rsid w:val="00081432"/>
    <w:rsid w:val="00081912"/>
    <w:rsid w:val="00083503"/>
    <w:rsid w:val="00083E41"/>
    <w:rsid w:val="0008478C"/>
    <w:rsid w:val="00084A31"/>
    <w:rsid w:val="00084D9D"/>
    <w:rsid w:val="00085A1E"/>
    <w:rsid w:val="00085A7D"/>
    <w:rsid w:val="00086783"/>
    <w:rsid w:val="00086D98"/>
    <w:rsid w:val="0008778D"/>
    <w:rsid w:val="00090C69"/>
    <w:rsid w:val="0009156B"/>
    <w:rsid w:val="000916EE"/>
    <w:rsid w:val="00092634"/>
    <w:rsid w:val="0009266D"/>
    <w:rsid w:val="000932B6"/>
    <w:rsid w:val="0009359D"/>
    <w:rsid w:val="00094F92"/>
    <w:rsid w:val="000950AC"/>
    <w:rsid w:val="00095AD6"/>
    <w:rsid w:val="0009621C"/>
    <w:rsid w:val="00096239"/>
    <w:rsid w:val="000964D4"/>
    <w:rsid w:val="00096854"/>
    <w:rsid w:val="00097C05"/>
    <w:rsid w:val="000A054D"/>
    <w:rsid w:val="000A05D8"/>
    <w:rsid w:val="000A10BA"/>
    <w:rsid w:val="000A134B"/>
    <w:rsid w:val="000A17D5"/>
    <w:rsid w:val="000A1B04"/>
    <w:rsid w:val="000A3D2F"/>
    <w:rsid w:val="000A4C76"/>
    <w:rsid w:val="000A5467"/>
    <w:rsid w:val="000A5614"/>
    <w:rsid w:val="000A57B7"/>
    <w:rsid w:val="000A5B7A"/>
    <w:rsid w:val="000A63F4"/>
    <w:rsid w:val="000A6835"/>
    <w:rsid w:val="000A76E6"/>
    <w:rsid w:val="000B0982"/>
    <w:rsid w:val="000B0E82"/>
    <w:rsid w:val="000B14F0"/>
    <w:rsid w:val="000B1AD0"/>
    <w:rsid w:val="000B2C3E"/>
    <w:rsid w:val="000B3654"/>
    <w:rsid w:val="000B4124"/>
    <w:rsid w:val="000B4C18"/>
    <w:rsid w:val="000B4D29"/>
    <w:rsid w:val="000B5A31"/>
    <w:rsid w:val="000B5D17"/>
    <w:rsid w:val="000B611B"/>
    <w:rsid w:val="000B6B17"/>
    <w:rsid w:val="000B7E62"/>
    <w:rsid w:val="000C0253"/>
    <w:rsid w:val="000C101D"/>
    <w:rsid w:val="000C1BDA"/>
    <w:rsid w:val="000C1C2D"/>
    <w:rsid w:val="000C1DB0"/>
    <w:rsid w:val="000C1FCA"/>
    <w:rsid w:val="000C29BC"/>
    <w:rsid w:val="000C3586"/>
    <w:rsid w:val="000C3CB8"/>
    <w:rsid w:val="000C3FD2"/>
    <w:rsid w:val="000C482D"/>
    <w:rsid w:val="000C4A0B"/>
    <w:rsid w:val="000C5509"/>
    <w:rsid w:val="000C5A92"/>
    <w:rsid w:val="000C5EC4"/>
    <w:rsid w:val="000C6044"/>
    <w:rsid w:val="000C6869"/>
    <w:rsid w:val="000C6B8D"/>
    <w:rsid w:val="000C6D79"/>
    <w:rsid w:val="000C7883"/>
    <w:rsid w:val="000D076E"/>
    <w:rsid w:val="000D0E76"/>
    <w:rsid w:val="000D0EE6"/>
    <w:rsid w:val="000D14D7"/>
    <w:rsid w:val="000D1A0A"/>
    <w:rsid w:val="000D1D4B"/>
    <w:rsid w:val="000D1FB6"/>
    <w:rsid w:val="000D2A3B"/>
    <w:rsid w:val="000D3916"/>
    <w:rsid w:val="000D4078"/>
    <w:rsid w:val="000D4428"/>
    <w:rsid w:val="000D4A6C"/>
    <w:rsid w:val="000D4BB1"/>
    <w:rsid w:val="000D5ED2"/>
    <w:rsid w:val="000D69C4"/>
    <w:rsid w:val="000D6BC4"/>
    <w:rsid w:val="000D6C24"/>
    <w:rsid w:val="000D739B"/>
    <w:rsid w:val="000D79FF"/>
    <w:rsid w:val="000D7DD4"/>
    <w:rsid w:val="000D7E96"/>
    <w:rsid w:val="000E0857"/>
    <w:rsid w:val="000E08CF"/>
    <w:rsid w:val="000E1FF8"/>
    <w:rsid w:val="000E2BFA"/>
    <w:rsid w:val="000E2EC5"/>
    <w:rsid w:val="000E31FF"/>
    <w:rsid w:val="000E32AB"/>
    <w:rsid w:val="000E3C08"/>
    <w:rsid w:val="000E3F08"/>
    <w:rsid w:val="000E4235"/>
    <w:rsid w:val="000E4CA4"/>
    <w:rsid w:val="000E4EE5"/>
    <w:rsid w:val="000E5F8D"/>
    <w:rsid w:val="000E607A"/>
    <w:rsid w:val="000E63BB"/>
    <w:rsid w:val="000E645C"/>
    <w:rsid w:val="000E75D4"/>
    <w:rsid w:val="000E7D77"/>
    <w:rsid w:val="000F0210"/>
    <w:rsid w:val="000F139C"/>
    <w:rsid w:val="000F144D"/>
    <w:rsid w:val="000F15ED"/>
    <w:rsid w:val="000F2DC1"/>
    <w:rsid w:val="000F372C"/>
    <w:rsid w:val="000F4893"/>
    <w:rsid w:val="000F4908"/>
    <w:rsid w:val="000F603B"/>
    <w:rsid w:val="000F6182"/>
    <w:rsid w:val="000F6403"/>
    <w:rsid w:val="000F659F"/>
    <w:rsid w:val="000F667A"/>
    <w:rsid w:val="000F6C7F"/>
    <w:rsid w:val="000F7D71"/>
    <w:rsid w:val="00100E1B"/>
    <w:rsid w:val="00100F83"/>
    <w:rsid w:val="00101107"/>
    <w:rsid w:val="00102736"/>
    <w:rsid w:val="0010290F"/>
    <w:rsid w:val="00102DC8"/>
    <w:rsid w:val="00102F3B"/>
    <w:rsid w:val="001033C1"/>
    <w:rsid w:val="0010429C"/>
    <w:rsid w:val="00104627"/>
    <w:rsid w:val="00104778"/>
    <w:rsid w:val="00104792"/>
    <w:rsid w:val="00104F76"/>
    <w:rsid w:val="001058F3"/>
    <w:rsid w:val="00106005"/>
    <w:rsid w:val="001063FC"/>
    <w:rsid w:val="00106792"/>
    <w:rsid w:val="00106818"/>
    <w:rsid w:val="001068EC"/>
    <w:rsid w:val="00107401"/>
    <w:rsid w:val="00110A75"/>
    <w:rsid w:val="001111B2"/>
    <w:rsid w:val="00112593"/>
    <w:rsid w:val="00112A0A"/>
    <w:rsid w:val="00113C07"/>
    <w:rsid w:val="0011421F"/>
    <w:rsid w:val="00114643"/>
    <w:rsid w:val="001153AF"/>
    <w:rsid w:val="00115545"/>
    <w:rsid w:val="0011602B"/>
    <w:rsid w:val="00117409"/>
    <w:rsid w:val="001201FD"/>
    <w:rsid w:val="00120584"/>
    <w:rsid w:val="00120603"/>
    <w:rsid w:val="0012066A"/>
    <w:rsid w:val="001209EF"/>
    <w:rsid w:val="00120E72"/>
    <w:rsid w:val="00121E38"/>
    <w:rsid w:val="001225C3"/>
    <w:rsid w:val="00122AEA"/>
    <w:rsid w:val="001244B2"/>
    <w:rsid w:val="00124C66"/>
    <w:rsid w:val="001256CD"/>
    <w:rsid w:val="0012645C"/>
    <w:rsid w:val="0012713F"/>
    <w:rsid w:val="00127478"/>
    <w:rsid w:val="0012756C"/>
    <w:rsid w:val="001279B9"/>
    <w:rsid w:val="0013077A"/>
    <w:rsid w:val="00130CCE"/>
    <w:rsid w:val="00132D57"/>
    <w:rsid w:val="00133543"/>
    <w:rsid w:val="00134D27"/>
    <w:rsid w:val="00136863"/>
    <w:rsid w:val="00136A66"/>
    <w:rsid w:val="00137096"/>
    <w:rsid w:val="00137429"/>
    <w:rsid w:val="00137666"/>
    <w:rsid w:val="001403BD"/>
    <w:rsid w:val="001421AA"/>
    <w:rsid w:val="00142582"/>
    <w:rsid w:val="00143C21"/>
    <w:rsid w:val="00143D52"/>
    <w:rsid w:val="0014490E"/>
    <w:rsid w:val="00144AB4"/>
    <w:rsid w:val="00146221"/>
    <w:rsid w:val="00146A50"/>
    <w:rsid w:val="001471F1"/>
    <w:rsid w:val="001479FE"/>
    <w:rsid w:val="00150177"/>
    <w:rsid w:val="00150347"/>
    <w:rsid w:val="00150A60"/>
    <w:rsid w:val="001520D4"/>
    <w:rsid w:val="00152945"/>
    <w:rsid w:val="001535EB"/>
    <w:rsid w:val="00153D20"/>
    <w:rsid w:val="001549DE"/>
    <w:rsid w:val="00154C7A"/>
    <w:rsid w:val="00154D22"/>
    <w:rsid w:val="00156053"/>
    <w:rsid w:val="00157ED3"/>
    <w:rsid w:val="00160437"/>
    <w:rsid w:val="00163FDC"/>
    <w:rsid w:val="00164E5D"/>
    <w:rsid w:val="001650C2"/>
    <w:rsid w:val="00165DED"/>
    <w:rsid w:val="00165ED6"/>
    <w:rsid w:val="001666CB"/>
    <w:rsid w:val="00166FBD"/>
    <w:rsid w:val="00167DB1"/>
    <w:rsid w:val="001708EA"/>
    <w:rsid w:val="00171C0B"/>
    <w:rsid w:val="00171DAA"/>
    <w:rsid w:val="001722FC"/>
    <w:rsid w:val="001726D8"/>
    <w:rsid w:val="00172702"/>
    <w:rsid w:val="00172A16"/>
    <w:rsid w:val="00172C67"/>
    <w:rsid w:val="00172D26"/>
    <w:rsid w:val="0017383C"/>
    <w:rsid w:val="00173D2C"/>
    <w:rsid w:val="00173F12"/>
    <w:rsid w:val="00174535"/>
    <w:rsid w:val="00174583"/>
    <w:rsid w:val="00174EBF"/>
    <w:rsid w:val="00175E15"/>
    <w:rsid w:val="0017696A"/>
    <w:rsid w:val="0017701D"/>
    <w:rsid w:val="001776C7"/>
    <w:rsid w:val="001809C9"/>
    <w:rsid w:val="0018174C"/>
    <w:rsid w:val="00182AAB"/>
    <w:rsid w:val="001833E1"/>
    <w:rsid w:val="00184AB1"/>
    <w:rsid w:val="00186655"/>
    <w:rsid w:val="0018758C"/>
    <w:rsid w:val="00190916"/>
    <w:rsid w:val="00190C7A"/>
    <w:rsid w:val="00190F29"/>
    <w:rsid w:val="0019119F"/>
    <w:rsid w:val="001912E1"/>
    <w:rsid w:val="00191617"/>
    <w:rsid w:val="0019292E"/>
    <w:rsid w:val="0019491B"/>
    <w:rsid w:val="00195591"/>
    <w:rsid w:val="001958D9"/>
    <w:rsid w:val="001960DD"/>
    <w:rsid w:val="00196C4A"/>
    <w:rsid w:val="00197D4D"/>
    <w:rsid w:val="001A1A89"/>
    <w:rsid w:val="001A29D4"/>
    <w:rsid w:val="001A2AF1"/>
    <w:rsid w:val="001A2CC0"/>
    <w:rsid w:val="001A33D6"/>
    <w:rsid w:val="001A3C20"/>
    <w:rsid w:val="001A4FAA"/>
    <w:rsid w:val="001A50E6"/>
    <w:rsid w:val="001A523D"/>
    <w:rsid w:val="001A563A"/>
    <w:rsid w:val="001A5DE2"/>
    <w:rsid w:val="001A671C"/>
    <w:rsid w:val="001A68C1"/>
    <w:rsid w:val="001A6F53"/>
    <w:rsid w:val="001A76FE"/>
    <w:rsid w:val="001A77CE"/>
    <w:rsid w:val="001B042B"/>
    <w:rsid w:val="001B0DD2"/>
    <w:rsid w:val="001B0F8A"/>
    <w:rsid w:val="001B1FE9"/>
    <w:rsid w:val="001B2C6D"/>
    <w:rsid w:val="001B2DF9"/>
    <w:rsid w:val="001B2FC4"/>
    <w:rsid w:val="001B362D"/>
    <w:rsid w:val="001B3637"/>
    <w:rsid w:val="001B48F9"/>
    <w:rsid w:val="001B49B3"/>
    <w:rsid w:val="001B4FB2"/>
    <w:rsid w:val="001B4FFF"/>
    <w:rsid w:val="001B50AF"/>
    <w:rsid w:val="001B609E"/>
    <w:rsid w:val="001B69BA"/>
    <w:rsid w:val="001B6F09"/>
    <w:rsid w:val="001B733D"/>
    <w:rsid w:val="001B73B7"/>
    <w:rsid w:val="001C051B"/>
    <w:rsid w:val="001C08D5"/>
    <w:rsid w:val="001C0B51"/>
    <w:rsid w:val="001C125B"/>
    <w:rsid w:val="001C2A54"/>
    <w:rsid w:val="001C2FBB"/>
    <w:rsid w:val="001C3547"/>
    <w:rsid w:val="001C544B"/>
    <w:rsid w:val="001D0254"/>
    <w:rsid w:val="001D264B"/>
    <w:rsid w:val="001D27C0"/>
    <w:rsid w:val="001D29ED"/>
    <w:rsid w:val="001D3B0D"/>
    <w:rsid w:val="001D3EA8"/>
    <w:rsid w:val="001D52F5"/>
    <w:rsid w:val="001D5C43"/>
    <w:rsid w:val="001D5EB8"/>
    <w:rsid w:val="001D6ED1"/>
    <w:rsid w:val="001D74DC"/>
    <w:rsid w:val="001D7927"/>
    <w:rsid w:val="001E0534"/>
    <w:rsid w:val="001E0863"/>
    <w:rsid w:val="001E08CA"/>
    <w:rsid w:val="001E0C58"/>
    <w:rsid w:val="001E1D70"/>
    <w:rsid w:val="001E1E99"/>
    <w:rsid w:val="001E20C8"/>
    <w:rsid w:val="001E21AD"/>
    <w:rsid w:val="001E3755"/>
    <w:rsid w:val="001E3766"/>
    <w:rsid w:val="001E3A3D"/>
    <w:rsid w:val="001E49A1"/>
    <w:rsid w:val="001E59F9"/>
    <w:rsid w:val="001E5CC9"/>
    <w:rsid w:val="001E5F61"/>
    <w:rsid w:val="001E71B6"/>
    <w:rsid w:val="001E7823"/>
    <w:rsid w:val="001E7A8F"/>
    <w:rsid w:val="001F078C"/>
    <w:rsid w:val="001F0809"/>
    <w:rsid w:val="001F12A8"/>
    <w:rsid w:val="001F2ECA"/>
    <w:rsid w:val="001F372E"/>
    <w:rsid w:val="001F4ED9"/>
    <w:rsid w:val="001F51A0"/>
    <w:rsid w:val="001F5CC6"/>
    <w:rsid w:val="0020057C"/>
    <w:rsid w:val="0020096F"/>
    <w:rsid w:val="0020285C"/>
    <w:rsid w:val="00202BC3"/>
    <w:rsid w:val="00203911"/>
    <w:rsid w:val="00203BB8"/>
    <w:rsid w:val="00204576"/>
    <w:rsid w:val="0020479E"/>
    <w:rsid w:val="00204C4A"/>
    <w:rsid w:val="002052D7"/>
    <w:rsid w:val="0020659B"/>
    <w:rsid w:val="002072CF"/>
    <w:rsid w:val="002074B0"/>
    <w:rsid w:val="00207D83"/>
    <w:rsid w:val="00207FB2"/>
    <w:rsid w:val="00211765"/>
    <w:rsid w:val="002123B9"/>
    <w:rsid w:val="002136E7"/>
    <w:rsid w:val="00216116"/>
    <w:rsid w:val="00216931"/>
    <w:rsid w:val="002174EF"/>
    <w:rsid w:val="00217744"/>
    <w:rsid w:val="002206DB"/>
    <w:rsid w:val="00221D58"/>
    <w:rsid w:val="00222B83"/>
    <w:rsid w:val="00222F85"/>
    <w:rsid w:val="0022448D"/>
    <w:rsid w:val="00224574"/>
    <w:rsid w:val="00224859"/>
    <w:rsid w:val="00224C16"/>
    <w:rsid w:val="00225A12"/>
    <w:rsid w:val="002261B3"/>
    <w:rsid w:val="00227974"/>
    <w:rsid w:val="00230782"/>
    <w:rsid w:val="00230FAC"/>
    <w:rsid w:val="00230FCC"/>
    <w:rsid w:val="00230FDA"/>
    <w:rsid w:val="002318B6"/>
    <w:rsid w:val="00233CEF"/>
    <w:rsid w:val="00233FD0"/>
    <w:rsid w:val="002352B0"/>
    <w:rsid w:val="002354E4"/>
    <w:rsid w:val="002375E4"/>
    <w:rsid w:val="00240493"/>
    <w:rsid w:val="00240C6A"/>
    <w:rsid w:val="002412C7"/>
    <w:rsid w:val="00241D80"/>
    <w:rsid w:val="002425C8"/>
    <w:rsid w:val="00242730"/>
    <w:rsid w:val="00242D4C"/>
    <w:rsid w:val="00243CAA"/>
    <w:rsid w:val="00244A68"/>
    <w:rsid w:val="002464E8"/>
    <w:rsid w:val="00247179"/>
    <w:rsid w:val="00251CFE"/>
    <w:rsid w:val="00251EFE"/>
    <w:rsid w:val="00252C66"/>
    <w:rsid w:val="002530E8"/>
    <w:rsid w:val="00253216"/>
    <w:rsid w:val="0025366F"/>
    <w:rsid w:val="00253776"/>
    <w:rsid w:val="00253C7C"/>
    <w:rsid w:val="00253FF2"/>
    <w:rsid w:val="002542C9"/>
    <w:rsid w:val="002543A6"/>
    <w:rsid w:val="00255417"/>
    <w:rsid w:val="00256879"/>
    <w:rsid w:val="002569C0"/>
    <w:rsid w:val="00256F3E"/>
    <w:rsid w:val="00257590"/>
    <w:rsid w:val="00257989"/>
    <w:rsid w:val="0026027F"/>
    <w:rsid w:val="00260517"/>
    <w:rsid w:val="00260951"/>
    <w:rsid w:val="00260EBA"/>
    <w:rsid w:val="002610AC"/>
    <w:rsid w:val="002618B9"/>
    <w:rsid w:val="00262B21"/>
    <w:rsid w:val="00262FED"/>
    <w:rsid w:val="0026421C"/>
    <w:rsid w:val="00264BAB"/>
    <w:rsid w:val="00265E85"/>
    <w:rsid w:val="002663BA"/>
    <w:rsid w:val="00267328"/>
    <w:rsid w:val="0027095D"/>
    <w:rsid w:val="002712CC"/>
    <w:rsid w:val="00271D1D"/>
    <w:rsid w:val="002725DE"/>
    <w:rsid w:val="0027341D"/>
    <w:rsid w:val="002735A7"/>
    <w:rsid w:val="00274963"/>
    <w:rsid w:val="002769A5"/>
    <w:rsid w:val="00280677"/>
    <w:rsid w:val="002810AF"/>
    <w:rsid w:val="002816AD"/>
    <w:rsid w:val="002817CE"/>
    <w:rsid w:val="00282D3A"/>
    <w:rsid w:val="00282E81"/>
    <w:rsid w:val="00282F99"/>
    <w:rsid w:val="0028325B"/>
    <w:rsid w:val="002833D5"/>
    <w:rsid w:val="00283AA6"/>
    <w:rsid w:val="002840FE"/>
    <w:rsid w:val="0028432C"/>
    <w:rsid w:val="002857E2"/>
    <w:rsid w:val="00285D54"/>
    <w:rsid w:val="002860F7"/>
    <w:rsid w:val="00286ACA"/>
    <w:rsid w:val="002870A9"/>
    <w:rsid w:val="0028778E"/>
    <w:rsid w:val="002908A8"/>
    <w:rsid w:val="00290A0F"/>
    <w:rsid w:val="00290ABD"/>
    <w:rsid w:val="00290B6B"/>
    <w:rsid w:val="0029195D"/>
    <w:rsid w:val="00291D09"/>
    <w:rsid w:val="00291D75"/>
    <w:rsid w:val="00292454"/>
    <w:rsid w:val="00292F38"/>
    <w:rsid w:val="00293414"/>
    <w:rsid w:val="00294156"/>
    <w:rsid w:val="00294323"/>
    <w:rsid w:val="00294FFC"/>
    <w:rsid w:val="00295096"/>
    <w:rsid w:val="00297026"/>
    <w:rsid w:val="00297140"/>
    <w:rsid w:val="0029730D"/>
    <w:rsid w:val="002A0B4A"/>
    <w:rsid w:val="002A0F0B"/>
    <w:rsid w:val="002A10AE"/>
    <w:rsid w:val="002A1672"/>
    <w:rsid w:val="002A34C1"/>
    <w:rsid w:val="002A489C"/>
    <w:rsid w:val="002A5C43"/>
    <w:rsid w:val="002A65C2"/>
    <w:rsid w:val="002A6C96"/>
    <w:rsid w:val="002A729E"/>
    <w:rsid w:val="002A7309"/>
    <w:rsid w:val="002A77E0"/>
    <w:rsid w:val="002A7B55"/>
    <w:rsid w:val="002A7FB5"/>
    <w:rsid w:val="002B03F5"/>
    <w:rsid w:val="002B1F9B"/>
    <w:rsid w:val="002B2A0E"/>
    <w:rsid w:val="002B2EA5"/>
    <w:rsid w:val="002B35F2"/>
    <w:rsid w:val="002B52C3"/>
    <w:rsid w:val="002B5583"/>
    <w:rsid w:val="002B5E5A"/>
    <w:rsid w:val="002B6125"/>
    <w:rsid w:val="002B61DB"/>
    <w:rsid w:val="002B7996"/>
    <w:rsid w:val="002B7A91"/>
    <w:rsid w:val="002C0771"/>
    <w:rsid w:val="002C2CB6"/>
    <w:rsid w:val="002C4491"/>
    <w:rsid w:val="002C4D72"/>
    <w:rsid w:val="002C4E77"/>
    <w:rsid w:val="002C52A7"/>
    <w:rsid w:val="002C57E5"/>
    <w:rsid w:val="002C585B"/>
    <w:rsid w:val="002C7704"/>
    <w:rsid w:val="002C7771"/>
    <w:rsid w:val="002D035C"/>
    <w:rsid w:val="002D0F59"/>
    <w:rsid w:val="002D197C"/>
    <w:rsid w:val="002D1BE9"/>
    <w:rsid w:val="002D206A"/>
    <w:rsid w:val="002D20D0"/>
    <w:rsid w:val="002D22BE"/>
    <w:rsid w:val="002D2E4E"/>
    <w:rsid w:val="002D30D4"/>
    <w:rsid w:val="002D331E"/>
    <w:rsid w:val="002D358E"/>
    <w:rsid w:val="002D390A"/>
    <w:rsid w:val="002D4C10"/>
    <w:rsid w:val="002D65B3"/>
    <w:rsid w:val="002D6F8F"/>
    <w:rsid w:val="002D735E"/>
    <w:rsid w:val="002D7D6B"/>
    <w:rsid w:val="002E0E7A"/>
    <w:rsid w:val="002E1283"/>
    <w:rsid w:val="002E1C83"/>
    <w:rsid w:val="002E226A"/>
    <w:rsid w:val="002E250A"/>
    <w:rsid w:val="002E25DA"/>
    <w:rsid w:val="002E2C59"/>
    <w:rsid w:val="002E2E99"/>
    <w:rsid w:val="002E3148"/>
    <w:rsid w:val="002E3432"/>
    <w:rsid w:val="002E36A8"/>
    <w:rsid w:val="002E4E8A"/>
    <w:rsid w:val="002E7E91"/>
    <w:rsid w:val="002F02AE"/>
    <w:rsid w:val="002F06D4"/>
    <w:rsid w:val="002F1C5C"/>
    <w:rsid w:val="002F3818"/>
    <w:rsid w:val="002F388B"/>
    <w:rsid w:val="002F4D79"/>
    <w:rsid w:val="002F52A9"/>
    <w:rsid w:val="002F5AB7"/>
    <w:rsid w:val="00300872"/>
    <w:rsid w:val="00301D68"/>
    <w:rsid w:val="003025BA"/>
    <w:rsid w:val="003026C9"/>
    <w:rsid w:val="0030303B"/>
    <w:rsid w:val="003031DA"/>
    <w:rsid w:val="0030339D"/>
    <w:rsid w:val="003033DE"/>
    <w:rsid w:val="00303B31"/>
    <w:rsid w:val="00303BC0"/>
    <w:rsid w:val="00303C96"/>
    <w:rsid w:val="00303CC0"/>
    <w:rsid w:val="0030557E"/>
    <w:rsid w:val="00305856"/>
    <w:rsid w:val="003059A5"/>
    <w:rsid w:val="00307B81"/>
    <w:rsid w:val="00307F2D"/>
    <w:rsid w:val="0031085B"/>
    <w:rsid w:val="003110BF"/>
    <w:rsid w:val="00311ADB"/>
    <w:rsid w:val="00312651"/>
    <w:rsid w:val="00313634"/>
    <w:rsid w:val="00313B9E"/>
    <w:rsid w:val="00314326"/>
    <w:rsid w:val="00314CC9"/>
    <w:rsid w:val="003164F3"/>
    <w:rsid w:val="00316BDB"/>
    <w:rsid w:val="003179C0"/>
    <w:rsid w:val="0032042E"/>
    <w:rsid w:val="0032095E"/>
    <w:rsid w:val="00321428"/>
    <w:rsid w:val="00321E9D"/>
    <w:rsid w:val="003223FF"/>
    <w:rsid w:val="00322463"/>
    <w:rsid w:val="0032289E"/>
    <w:rsid w:val="00322A2C"/>
    <w:rsid w:val="00322F05"/>
    <w:rsid w:val="00323A0A"/>
    <w:rsid w:val="003240BE"/>
    <w:rsid w:val="00324109"/>
    <w:rsid w:val="00324F79"/>
    <w:rsid w:val="00325F57"/>
    <w:rsid w:val="0032679A"/>
    <w:rsid w:val="00326E68"/>
    <w:rsid w:val="00326EC7"/>
    <w:rsid w:val="00327401"/>
    <w:rsid w:val="00330B6D"/>
    <w:rsid w:val="0033327C"/>
    <w:rsid w:val="0033368B"/>
    <w:rsid w:val="00334228"/>
    <w:rsid w:val="003346EB"/>
    <w:rsid w:val="00334E61"/>
    <w:rsid w:val="003356E6"/>
    <w:rsid w:val="00335933"/>
    <w:rsid w:val="003370E4"/>
    <w:rsid w:val="00337417"/>
    <w:rsid w:val="00337CAA"/>
    <w:rsid w:val="00337DB0"/>
    <w:rsid w:val="0034023B"/>
    <w:rsid w:val="00340475"/>
    <w:rsid w:val="00340BDB"/>
    <w:rsid w:val="00342EDF"/>
    <w:rsid w:val="003437BD"/>
    <w:rsid w:val="00343A3A"/>
    <w:rsid w:val="00343D67"/>
    <w:rsid w:val="0034470B"/>
    <w:rsid w:val="00345207"/>
    <w:rsid w:val="003454B6"/>
    <w:rsid w:val="0034604F"/>
    <w:rsid w:val="003472A7"/>
    <w:rsid w:val="003478CF"/>
    <w:rsid w:val="00350749"/>
    <w:rsid w:val="00350CDA"/>
    <w:rsid w:val="00350E1D"/>
    <w:rsid w:val="00350E98"/>
    <w:rsid w:val="00350FC8"/>
    <w:rsid w:val="003520AD"/>
    <w:rsid w:val="00353EBD"/>
    <w:rsid w:val="0035485C"/>
    <w:rsid w:val="00354B0D"/>
    <w:rsid w:val="00354E22"/>
    <w:rsid w:val="00356733"/>
    <w:rsid w:val="0035695D"/>
    <w:rsid w:val="00357106"/>
    <w:rsid w:val="00357C49"/>
    <w:rsid w:val="00357E27"/>
    <w:rsid w:val="003604CC"/>
    <w:rsid w:val="003604DB"/>
    <w:rsid w:val="00360AA1"/>
    <w:rsid w:val="00360CCB"/>
    <w:rsid w:val="003613AA"/>
    <w:rsid w:val="0036145C"/>
    <w:rsid w:val="003617E3"/>
    <w:rsid w:val="00362ADB"/>
    <w:rsid w:val="003640C7"/>
    <w:rsid w:val="00364E6F"/>
    <w:rsid w:val="0036500A"/>
    <w:rsid w:val="0036526F"/>
    <w:rsid w:val="00365CC8"/>
    <w:rsid w:val="00366266"/>
    <w:rsid w:val="00367043"/>
    <w:rsid w:val="00367453"/>
    <w:rsid w:val="003675C5"/>
    <w:rsid w:val="003679BF"/>
    <w:rsid w:val="00367F84"/>
    <w:rsid w:val="00371229"/>
    <w:rsid w:val="003732E1"/>
    <w:rsid w:val="0037409F"/>
    <w:rsid w:val="0037441E"/>
    <w:rsid w:val="00374532"/>
    <w:rsid w:val="00374868"/>
    <w:rsid w:val="00375628"/>
    <w:rsid w:val="0037596C"/>
    <w:rsid w:val="00375D57"/>
    <w:rsid w:val="00375DF4"/>
    <w:rsid w:val="00376313"/>
    <w:rsid w:val="003766C6"/>
    <w:rsid w:val="00376A8E"/>
    <w:rsid w:val="00377830"/>
    <w:rsid w:val="0038070A"/>
    <w:rsid w:val="003809CF"/>
    <w:rsid w:val="00380F1A"/>
    <w:rsid w:val="00383004"/>
    <w:rsid w:val="003830CE"/>
    <w:rsid w:val="00385249"/>
    <w:rsid w:val="00385586"/>
    <w:rsid w:val="00385E2D"/>
    <w:rsid w:val="00386842"/>
    <w:rsid w:val="00386A64"/>
    <w:rsid w:val="003907D0"/>
    <w:rsid w:val="0039087B"/>
    <w:rsid w:val="00390E08"/>
    <w:rsid w:val="0039119F"/>
    <w:rsid w:val="0039262E"/>
    <w:rsid w:val="003937F3"/>
    <w:rsid w:val="00393A6E"/>
    <w:rsid w:val="00393E78"/>
    <w:rsid w:val="00394691"/>
    <w:rsid w:val="00394F37"/>
    <w:rsid w:val="003955EE"/>
    <w:rsid w:val="003957CE"/>
    <w:rsid w:val="0039730E"/>
    <w:rsid w:val="003A15D6"/>
    <w:rsid w:val="003A2815"/>
    <w:rsid w:val="003A4CB2"/>
    <w:rsid w:val="003A5145"/>
    <w:rsid w:val="003A65C7"/>
    <w:rsid w:val="003A69C8"/>
    <w:rsid w:val="003A7124"/>
    <w:rsid w:val="003A777C"/>
    <w:rsid w:val="003A7B08"/>
    <w:rsid w:val="003B03CF"/>
    <w:rsid w:val="003B0843"/>
    <w:rsid w:val="003B13AD"/>
    <w:rsid w:val="003B1B26"/>
    <w:rsid w:val="003B233C"/>
    <w:rsid w:val="003B2445"/>
    <w:rsid w:val="003B2792"/>
    <w:rsid w:val="003B366C"/>
    <w:rsid w:val="003B528E"/>
    <w:rsid w:val="003B5A68"/>
    <w:rsid w:val="003B66C5"/>
    <w:rsid w:val="003B67CF"/>
    <w:rsid w:val="003B6AE9"/>
    <w:rsid w:val="003B798B"/>
    <w:rsid w:val="003B7E9A"/>
    <w:rsid w:val="003B7F05"/>
    <w:rsid w:val="003C1435"/>
    <w:rsid w:val="003C1943"/>
    <w:rsid w:val="003C2CCF"/>
    <w:rsid w:val="003C2EAD"/>
    <w:rsid w:val="003C3A1E"/>
    <w:rsid w:val="003C505B"/>
    <w:rsid w:val="003C6407"/>
    <w:rsid w:val="003C66E8"/>
    <w:rsid w:val="003C6A46"/>
    <w:rsid w:val="003C6E05"/>
    <w:rsid w:val="003C71CF"/>
    <w:rsid w:val="003C7517"/>
    <w:rsid w:val="003C789D"/>
    <w:rsid w:val="003C7AE9"/>
    <w:rsid w:val="003D07B5"/>
    <w:rsid w:val="003D0864"/>
    <w:rsid w:val="003D0FD1"/>
    <w:rsid w:val="003D2825"/>
    <w:rsid w:val="003D3E76"/>
    <w:rsid w:val="003D3F2E"/>
    <w:rsid w:val="003D44ED"/>
    <w:rsid w:val="003D49DA"/>
    <w:rsid w:val="003D4A56"/>
    <w:rsid w:val="003D5827"/>
    <w:rsid w:val="003D587B"/>
    <w:rsid w:val="003D6B95"/>
    <w:rsid w:val="003D7732"/>
    <w:rsid w:val="003D7A95"/>
    <w:rsid w:val="003D7B2C"/>
    <w:rsid w:val="003E05F6"/>
    <w:rsid w:val="003E05F7"/>
    <w:rsid w:val="003E0D4E"/>
    <w:rsid w:val="003E11B7"/>
    <w:rsid w:val="003E1917"/>
    <w:rsid w:val="003E259A"/>
    <w:rsid w:val="003E292D"/>
    <w:rsid w:val="003E29B0"/>
    <w:rsid w:val="003E3E25"/>
    <w:rsid w:val="003E3FEF"/>
    <w:rsid w:val="003E49C0"/>
    <w:rsid w:val="003E5211"/>
    <w:rsid w:val="003E5EB7"/>
    <w:rsid w:val="003E63D8"/>
    <w:rsid w:val="003E772F"/>
    <w:rsid w:val="003E7862"/>
    <w:rsid w:val="003F009A"/>
    <w:rsid w:val="003F029E"/>
    <w:rsid w:val="003F0602"/>
    <w:rsid w:val="003F139C"/>
    <w:rsid w:val="003F2C25"/>
    <w:rsid w:val="003F31D2"/>
    <w:rsid w:val="003F3286"/>
    <w:rsid w:val="003F3716"/>
    <w:rsid w:val="003F3DC0"/>
    <w:rsid w:val="003F4845"/>
    <w:rsid w:val="003F4847"/>
    <w:rsid w:val="003F4A35"/>
    <w:rsid w:val="003F4DBE"/>
    <w:rsid w:val="003F54CA"/>
    <w:rsid w:val="003F557E"/>
    <w:rsid w:val="003F6BB4"/>
    <w:rsid w:val="003F7CC5"/>
    <w:rsid w:val="003F7EC4"/>
    <w:rsid w:val="004005C6"/>
    <w:rsid w:val="004008BD"/>
    <w:rsid w:val="00400D68"/>
    <w:rsid w:val="004019D8"/>
    <w:rsid w:val="00401A63"/>
    <w:rsid w:val="004023BE"/>
    <w:rsid w:val="00402603"/>
    <w:rsid w:val="00403602"/>
    <w:rsid w:val="00403E5A"/>
    <w:rsid w:val="004045EF"/>
    <w:rsid w:val="004049B7"/>
    <w:rsid w:val="00404D4D"/>
    <w:rsid w:val="00405149"/>
    <w:rsid w:val="00405C29"/>
    <w:rsid w:val="004067AD"/>
    <w:rsid w:val="00407DF9"/>
    <w:rsid w:val="00407EE0"/>
    <w:rsid w:val="00410061"/>
    <w:rsid w:val="004108B6"/>
    <w:rsid w:val="004113CB"/>
    <w:rsid w:val="00412420"/>
    <w:rsid w:val="00412F2D"/>
    <w:rsid w:val="004133BC"/>
    <w:rsid w:val="00413D82"/>
    <w:rsid w:val="00414806"/>
    <w:rsid w:val="00415237"/>
    <w:rsid w:val="004155F4"/>
    <w:rsid w:val="004160EC"/>
    <w:rsid w:val="004166EE"/>
    <w:rsid w:val="00416836"/>
    <w:rsid w:val="0041751F"/>
    <w:rsid w:val="0041768B"/>
    <w:rsid w:val="004200E0"/>
    <w:rsid w:val="00420DF7"/>
    <w:rsid w:val="00421D3B"/>
    <w:rsid w:val="004223F3"/>
    <w:rsid w:val="00422447"/>
    <w:rsid w:val="0042264B"/>
    <w:rsid w:val="00422892"/>
    <w:rsid w:val="0042321D"/>
    <w:rsid w:val="00423435"/>
    <w:rsid w:val="00423AFF"/>
    <w:rsid w:val="00424649"/>
    <w:rsid w:val="00424ACB"/>
    <w:rsid w:val="00424B78"/>
    <w:rsid w:val="00424FEA"/>
    <w:rsid w:val="00427566"/>
    <w:rsid w:val="004300B5"/>
    <w:rsid w:val="004305BD"/>
    <w:rsid w:val="00430D44"/>
    <w:rsid w:val="0043167F"/>
    <w:rsid w:val="00431898"/>
    <w:rsid w:val="00432C96"/>
    <w:rsid w:val="004335E8"/>
    <w:rsid w:val="004344ED"/>
    <w:rsid w:val="004353F2"/>
    <w:rsid w:val="00436369"/>
    <w:rsid w:val="00436A3E"/>
    <w:rsid w:val="00436ADD"/>
    <w:rsid w:val="00436B3B"/>
    <w:rsid w:val="00437452"/>
    <w:rsid w:val="004374D0"/>
    <w:rsid w:val="004401CD"/>
    <w:rsid w:val="0044020F"/>
    <w:rsid w:val="0044032C"/>
    <w:rsid w:val="004409FE"/>
    <w:rsid w:val="00440D78"/>
    <w:rsid w:val="00441534"/>
    <w:rsid w:val="00441A2A"/>
    <w:rsid w:val="004420F6"/>
    <w:rsid w:val="004426E8"/>
    <w:rsid w:val="00442A04"/>
    <w:rsid w:val="00442B79"/>
    <w:rsid w:val="00442D1C"/>
    <w:rsid w:val="00443236"/>
    <w:rsid w:val="00443460"/>
    <w:rsid w:val="0044359A"/>
    <w:rsid w:val="00443F25"/>
    <w:rsid w:val="00444F65"/>
    <w:rsid w:val="00445D8A"/>
    <w:rsid w:val="00446B86"/>
    <w:rsid w:val="004476C6"/>
    <w:rsid w:val="00450933"/>
    <w:rsid w:val="0045130C"/>
    <w:rsid w:val="0045189C"/>
    <w:rsid w:val="00452566"/>
    <w:rsid w:val="00452FBD"/>
    <w:rsid w:val="0045323E"/>
    <w:rsid w:val="00453578"/>
    <w:rsid w:val="00454A58"/>
    <w:rsid w:val="00454C96"/>
    <w:rsid w:val="00454DA9"/>
    <w:rsid w:val="00454DD2"/>
    <w:rsid w:val="00454E9F"/>
    <w:rsid w:val="004551CC"/>
    <w:rsid w:val="00455214"/>
    <w:rsid w:val="00455639"/>
    <w:rsid w:val="00456D5A"/>
    <w:rsid w:val="0045778D"/>
    <w:rsid w:val="004608D0"/>
    <w:rsid w:val="00461108"/>
    <w:rsid w:val="0046133D"/>
    <w:rsid w:val="004614F3"/>
    <w:rsid w:val="00461944"/>
    <w:rsid w:val="0046268F"/>
    <w:rsid w:val="00462F55"/>
    <w:rsid w:val="00463784"/>
    <w:rsid w:val="004641F0"/>
    <w:rsid w:val="00464992"/>
    <w:rsid w:val="00464A76"/>
    <w:rsid w:val="004653DC"/>
    <w:rsid w:val="004671D5"/>
    <w:rsid w:val="00470AF0"/>
    <w:rsid w:val="00472C9B"/>
    <w:rsid w:val="00473A5E"/>
    <w:rsid w:val="00473C3C"/>
    <w:rsid w:val="00473E59"/>
    <w:rsid w:val="00473F23"/>
    <w:rsid w:val="0047434F"/>
    <w:rsid w:val="00475417"/>
    <w:rsid w:val="004758A9"/>
    <w:rsid w:val="00475E7F"/>
    <w:rsid w:val="00475F02"/>
    <w:rsid w:val="00475F22"/>
    <w:rsid w:val="00476273"/>
    <w:rsid w:val="00476F6B"/>
    <w:rsid w:val="00477399"/>
    <w:rsid w:val="00477DD3"/>
    <w:rsid w:val="0048020B"/>
    <w:rsid w:val="0048062D"/>
    <w:rsid w:val="004819A2"/>
    <w:rsid w:val="00481F93"/>
    <w:rsid w:val="004822D0"/>
    <w:rsid w:val="0048239D"/>
    <w:rsid w:val="00482BE0"/>
    <w:rsid w:val="00485869"/>
    <w:rsid w:val="004864DA"/>
    <w:rsid w:val="004870AB"/>
    <w:rsid w:val="004870E9"/>
    <w:rsid w:val="004872BC"/>
    <w:rsid w:val="004874A4"/>
    <w:rsid w:val="00491607"/>
    <w:rsid w:val="0049341D"/>
    <w:rsid w:val="0049359A"/>
    <w:rsid w:val="00494355"/>
    <w:rsid w:val="004943E9"/>
    <w:rsid w:val="00494945"/>
    <w:rsid w:val="00495744"/>
    <w:rsid w:val="00495E07"/>
    <w:rsid w:val="0049610A"/>
    <w:rsid w:val="004964C0"/>
    <w:rsid w:val="004978C9"/>
    <w:rsid w:val="004979C2"/>
    <w:rsid w:val="00497F70"/>
    <w:rsid w:val="004A03E5"/>
    <w:rsid w:val="004A0544"/>
    <w:rsid w:val="004A08FB"/>
    <w:rsid w:val="004A184A"/>
    <w:rsid w:val="004A1B47"/>
    <w:rsid w:val="004A353F"/>
    <w:rsid w:val="004A4145"/>
    <w:rsid w:val="004A42B9"/>
    <w:rsid w:val="004A480E"/>
    <w:rsid w:val="004A503D"/>
    <w:rsid w:val="004A5A73"/>
    <w:rsid w:val="004A66D9"/>
    <w:rsid w:val="004A69FA"/>
    <w:rsid w:val="004B10F6"/>
    <w:rsid w:val="004B141F"/>
    <w:rsid w:val="004B2A52"/>
    <w:rsid w:val="004B44FF"/>
    <w:rsid w:val="004B4A8D"/>
    <w:rsid w:val="004B4D71"/>
    <w:rsid w:val="004B5AB2"/>
    <w:rsid w:val="004C004F"/>
    <w:rsid w:val="004C0E28"/>
    <w:rsid w:val="004C13D9"/>
    <w:rsid w:val="004C190E"/>
    <w:rsid w:val="004C1F79"/>
    <w:rsid w:val="004C2E9E"/>
    <w:rsid w:val="004C2FE1"/>
    <w:rsid w:val="004C3FAA"/>
    <w:rsid w:val="004C4300"/>
    <w:rsid w:val="004C456B"/>
    <w:rsid w:val="004C4B46"/>
    <w:rsid w:val="004C4D5F"/>
    <w:rsid w:val="004C64B3"/>
    <w:rsid w:val="004C7CFD"/>
    <w:rsid w:val="004D0A0B"/>
    <w:rsid w:val="004D0DCB"/>
    <w:rsid w:val="004D1B04"/>
    <w:rsid w:val="004D2BF4"/>
    <w:rsid w:val="004D35E8"/>
    <w:rsid w:val="004D5149"/>
    <w:rsid w:val="004D614C"/>
    <w:rsid w:val="004D7064"/>
    <w:rsid w:val="004E0B3F"/>
    <w:rsid w:val="004E0CB7"/>
    <w:rsid w:val="004E1A36"/>
    <w:rsid w:val="004E1BE9"/>
    <w:rsid w:val="004E1DAE"/>
    <w:rsid w:val="004E23B5"/>
    <w:rsid w:val="004E243C"/>
    <w:rsid w:val="004E25A6"/>
    <w:rsid w:val="004E2D7E"/>
    <w:rsid w:val="004E354E"/>
    <w:rsid w:val="004E3966"/>
    <w:rsid w:val="004E4126"/>
    <w:rsid w:val="004E486A"/>
    <w:rsid w:val="004E5142"/>
    <w:rsid w:val="004E7301"/>
    <w:rsid w:val="004F0DE7"/>
    <w:rsid w:val="004F1147"/>
    <w:rsid w:val="004F1913"/>
    <w:rsid w:val="004F2879"/>
    <w:rsid w:val="004F3653"/>
    <w:rsid w:val="004F3B6D"/>
    <w:rsid w:val="004F4C94"/>
    <w:rsid w:val="004F5303"/>
    <w:rsid w:val="004F6475"/>
    <w:rsid w:val="004F67EC"/>
    <w:rsid w:val="004F6A57"/>
    <w:rsid w:val="004F7765"/>
    <w:rsid w:val="004F79EB"/>
    <w:rsid w:val="0050001C"/>
    <w:rsid w:val="005001A7"/>
    <w:rsid w:val="0050038C"/>
    <w:rsid w:val="00500C71"/>
    <w:rsid w:val="0050344D"/>
    <w:rsid w:val="0050348A"/>
    <w:rsid w:val="0050434F"/>
    <w:rsid w:val="00505858"/>
    <w:rsid w:val="005059EC"/>
    <w:rsid w:val="00505B13"/>
    <w:rsid w:val="00505F7C"/>
    <w:rsid w:val="005062EB"/>
    <w:rsid w:val="0050698E"/>
    <w:rsid w:val="0050706D"/>
    <w:rsid w:val="005070C6"/>
    <w:rsid w:val="00510833"/>
    <w:rsid w:val="00510CE8"/>
    <w:rsid w:val="005129DF"/>
    <w:rsid w:val="005139D7"/>
    <w:rsid w:val="00513C15"/>
    <w:rsid w:val="00513E14"/>
    <w:rsid w:val="00514026"/>
    <w:rsid w:val="00514D88"/>
    <w:rsid w:val="00514D93"/>
    <w:rsid w:val="00514E40"/>
    <w:rsid w:val="005154C1"/>
    <w:rsid w:val="005162AB"/>
    <w:rsid w:val="005162BF"/>
    <w:rsid w:val="005164B7"/>
    <w:rsid w:val="00516D5B"/>
    <w:rsid w:val="00517A71"/>
    <w:rsid w:val="005203D3"/>
    <w:rsid w:val="00521122"/>
    <w:rsid w:val="005214E3"/>
    <w:rsid w:val="0052291C"/>
    <w:rsid w:val="0052351B"/>
    <w:rsid w:val="00525B92"/>
    <w:rsid w:val="005267D0"/>
    <w:rsid w:val="00527383"/>
    <w:rsid w:val="005279A3"/>
    <w:rsid w:val="00530A9C"/>
    <w:rsid w:val="005312C7"/>
    <w:rsid w:val="0053134E"/>
    <w:rsid w:val="0053155A"/>
    <w:rsid w:val="00531995"/>
    <w:rsid w:val="00532353"/>
    <w:rsid w:val="00534557"/>
    <w:rsid w:val="00534F9E"/>
    <w:rsid w:val="00535E6E"/>
    <w:rsid w:val="00537161"/>
    <w:rsid w:val="00537180"/>
    <w:rsid w:val="005375EF"/>
    <w:rsid w:val="00537CF9"/>
    <w:rsid w:val="00541146"/>
    <w:rsid w:val="0054193E"/>
    <w:rsid w:val="00542814"/>
    <w:rsid w:val="00542F07"/>
    <w:rsid w:val="005437C8"/>
    <w:rsid w:val="00543F46"/>
    <w:rsid w:val="00544C9B"/>
    <w:rsid w:val="00544F58"/>
    <w:rsid w:val="00545940"/>
    <w:rsid w:val="00545CC2"/>
    <w:rsid w:val="0054622D"/>
    <w:rsid w:val="00546238"/>
    <w:rsid w:val="00546BD4"/>
    <w:rsid w:val="00546D01"/>
    <w:rsid w:val="005475F9"/>
    <w:rsid w:val="00547D3F"/>
    <w:rsid w:val="005500C9"/>
    <w:rsid w:val="00551406"/>
    <w:rsid w:val="00551752"/>
    <w:rsid w:val="00551C8C"/>
    <w:rsid w:val="00551CDA"/>
    <w:rsid w:val="00552012"/>
    <w:rsid w:val="00552271"/>
    <w:rsid w:val="00552481"/>
    <w:rsid w:val="00552A11"/>
    <w:rsid w:val="00552AEC"/>
    <w:rsid w:val="00554909"/>
    <w:rsid w:val="00554E18"/>
    <w:rsid w:val="00554F76"/>
    <w:rsid w:val="00555D3F"/>
    <w:rsid w:val="00555D5C"/>
    <w:rsid w:val="0055623A"/>
    <w:rsid w:val="00556376"/>
    <w:rsid w:val="005577D9"/>
    <w:rsid w:val="00557A06"/>
    <w:rsid w:val="0056101B"/>
    <w:rsid w:val="005611CC"/>
    <w:rsid w:val="005618C7"/>
    <w:rsid w:val="00561DA8"/>
    <w:rsid w:val="005625BF"/>
    <w:rsid w:val="005627E1"/>
    <w:rsid w:val="00562C17"/>
    <w:rsid w:val="00562CB2"/>
    <w:rsid w:val="00563664"/>
    <w:rsid w:val="00563BBF"/>
    <w:rsid w:val="00563BD2"/>
    <w:rsid w:val="00563F79"/>
    <w:rsid w:val="005648DC"/>
    <w:rsid w:val="0056594F"/>
    <w:rsid w:val="00566C04"/>
    <w:rsid w:val="00570BCD"/>
    <w:rsid w:val="00570D90"/>
    <w:rsid w:val="00570E13"/>
    <w:rsid w:val="00571633"/>
    <w:rsid w:val="00571D6D"/>
    <w:rsid w:val="005721F3"/>
    <w:rsid w:val="00572698"/>
    <w:rsid w:val="00572F46"/>
    <w:rsid w:val="00573315"/>
    <w:rsid w:val="00573780"/>
    <w:rsid w:val="0057410F"/>
    <w:rsid w:val="005749F6"/>
    <w:rsid w:val="00574A02"/>
    <w:rsid w:val="00574DA0"/>
    <w:rsid w:val="00575A76"/>
    <w:rsid w:val="00575DD7"/>
    <w:rsid w:val="0057663B"/>
    <w:rsid w:val="00576A54"/>
    <w:rsid w:val="00577DC6"/>
    <w:rsid w:val="00577E34"/>
    <w:rsid w:val="005804BC"/>
    <w:rsid w:val="00580DAF"/>
    <w:rsid w:val="005816F4"/>
    <w:rsid w:val="00581BDF"/>
    <w:rsid w:val="00581D9E"/>
    <w:rsid w:val="00583274"/>
    <w:rsid w:val="0058452A"/>
    <w:rsid w:val="00584DFC"/>
    <w:rsid w:val="00585174"/>
    <w:rsid w:val="005876B6"/>
    <w:rsid w:val="005877D1"/>
    <w:rsid w:val="00587B5D"/>
    <w:rsid w:val="00590332"/>
    <w:rsid w:val="0059038C"/>
    <w:rsid w:val="00590FDE"/>
    <w:rsid w:val="0059182E"/>
    <w:rsid w:val="0059211C"/>
    <w:rsid w:val="005921E2"/>
    <w:rsid w:val="00592716"/>
    <w:rsid w:val="005931DC"/>
    <w:rsid w:val="005935F3"/>
    <w:rsid w:val="00594E87"/>
    <w:rsid w:val="005950E5"/>
    <w:rsid w:val="00595589"/>
    <w:rsid w:val="00595910"/>
    <w:rsid w:val="00595B61"/>
    <w:rsid w:val="0059684D"/>
    <w:rsid w:val="00596C6D"/>
    <w:rsid w:val="00597309"/>
    <w:rsid w:val="00597F74"/>
    <w:rsid w:val="005A03FB"/>
    <w:rsid w:val="005A12A3"/>
    <w:rsid w:val="005A166D"/>
    <w:rsid w:val="005A1CD7"/>
    <w:rsid w:val="005A228F"/>
    <w:rsid w:val="005A26E8"/>
    <w:rsid w:val="005A2BF0"/>
    <w:rsid w:val="005A2CCA"/>
    <w:rsid w:val="005A2D4C"/>
    <w:rsid w:val="005A374D"/>
    <w:rsid w:val="005A3D1C"/>
    <w:rsid w:val="005A4CD3"/>
    <w:rsid w:val="005A587E"/>
    <w:rsid w:val="005A5B6A"/>
    <w:rsid w:val="005A6F7C"/>
    <w:rsid w:val="005A7DBC"/>
    <w:rsid w:val="005B0FB2"/>
    <w:rsid w:val="005B132F"/>
    <w:rsid w:val="005B16FC"/>
    <w:rsid w:val="005B18B2"/>
    <w:rsid w:val="005B1CB1"/>
    <w:rsid w:val="005B24F4"/>
    <w:rsid w:val="005B2F22"/>
    <w:rsid w:val="005B3178"/>
    <w:rsid w:val="005B40A6"/>
    <w:rsid w:val="005B40FF"/>
    <w:rsid w:val="005B600F"/>
    <w:rsid w:val="005B6851"/>
    <w:rsid w:val="005B7299"/>
    <w:rsid w:val="005C0180"/>
    <w:rsid w:val="005C01B7"/>
    <w:rsid w:val="005C0220"/>
    <w:rsid w:val="005C25FD"/>
    <w:rsid w:val="005C3A92"/>
    <w:rsid w:val="005C5648"/>
    <w:rsid w:val="005C6E26"/>
    <w:rsid w:val="005C7CFE"/>
    <w:rsid w:val="005D010C"/>
    <w:rsid w:val="005D1A06"/>
    <w:rsid w:val="005D26F2"/>
    <w:rsid w:val="005D2A79"/>
    <w:rsid w:val="005D2A8D"/>
    <w:rsid w:val="005D3004"/>
    <w:rsid w:val="005D3C12"/>
    <w:rsid w:val="005D3D39"/>
    <w:rsid w:val="005D6770"/>
    <w:rsid w:val="005D6B34"/>
    <w:rsid w:val="005D77CD"/>
    <w:rsid w:val="005D787E"/>
    <w:rsid w:val="005D7C39"/>
    <w:rsid w:val="005E13DF"/>
    <w:rsid w:val="005E255A"/>
    <w:rsid w:val="005E25A4"/>
    <w:rsid w:val="005E26AF"/>
    <w:rsid w:val="005E30CC"/>
    <w:rsid w:val="005E37BB"/>
    <w:rsid w:val="005E383E"/>
    <w:rsid w:val="005E387D"/>
    <w:rsid w:val="005E3B75"/>
    <w:rsid w:val="005E3D15"/>
    <w:rsid w:val="005E4449"/>
    <w:rsid w:val="005E4C65"/>
    <w:rsid w:val="005E60A0"/>
    <w:rsid w:val="005E6AC3"/>
    <w:rsid w:val="005E7396"/>
    <w:rsid w:val="005E7CF6"/>
    <w:rsid w:val="005F01F9"/>
    <w:rsid w:val="005F0B59"/>
    <w:rsid w:val="005F0B79"/>
    <w:rsid w:val="005F0BF4"/>
    <w:rsid w:val="005F1032"/>
    <w:rsid w:val="005F1A11"/>
    <w:rsid w:val="005F2946"/>
    <w:rsid w:val="005F34C6"/>
    <w:rsid w:val="005F375C"/>
    <w:rsid w:val="005F3768"/>
    <w:rsid w:val="005F3854"/>
    <w:rsid w:val="005F3F14"/>
    <w:rsid w:val="005F4318"/>
    <w:rsid w:val="005F4F8E"/>
    <w:rsid w:val="005F54A4"/>
    <w:rsid w:val="005F5ADD"/>
    <w:rsid w:val="005F71D1"/>
    <w:rsid w:val="005F7788"/>
    <w:rsid w:val="0060035F"/>
    <w:rsid w:val="0060099E"/>
    <w:rsid w:val="00600BEB"/>
    <w:rsid w:val="0060123A"/>
    <w:rsid w:val="00601558"/>
    <w:rsid w:val="00601BB8"/>
    <w:rsid w:val="00602A79"/>
    <w:rsid w:val="00602B2C"/>
    <w:rsid w:val="0060361B"/>
    <w:rsid w:val="00603CD7"/>
    <w:rsid w:val="00603DE1"/>
    <w:rsid w:val="006046AF"/>
    <w:rsid w:val="00604C48"/>
    <w:rsid w:val="00605CAB"/>
    <w:rsid w:val="00605D05"/>
    <w:rsid w:val="006070FC"/>
    <w:rsid w:val="00607205"/>
    <w:rsid w:val="00607339"/>
    <w:rsid w:val="006074E4"/>
    <w:rsid w:val="00610946"/>
    <w:rsid w:val="006112D1"/>
    <w:rsid w:val="006112F8"/>
    <w:rsid w:val="006112FA"/>
    <w:rsid w:val="006116D0"/>
    <w:rsid w:val="006121E7"/>
    <w:rsid w:val="0061252C"/>
    <w:rsid w:val="006125E1"/>
    <w:rsid w:val="006132E9"/>
    <w:rsid w:val="006133A2"/>
    <w:rsid w:val="006134DA"/>
    <w:rsid w:val="0061506B"/>
    <w:rsid w:val="00615183"/>
    <w:rsid w:val="00616732"/>
    <w:rsid w:val="00616B10"/>
    <w:rsid w:val="006171A1"/>
    <w:rsid w:val="006171F8"/>
    <w:rsid w:val="006177F8"/>
    <w:rsid w:val="00620205"/>
    <w:rsid w:val="00621C02"/>
    <w:rsid w:val="006221DB"/>
    <w:rsid w:val="00622D42"/>
    <w:rsid w:val="00622F63"/>
    <w:rsid w:val="00623402"/>
    <w:rsid w:val="006242BA"/>
    <w:rsid w:val="0062442A"/>
    <w:rsid w:val="00624962"/>
    <w:rsid w:val="00624B34"/>
    <w:rsid w:val="006253E5"/>
    <w:rsid w:val="006255AC"/>
    <w:rsid w:val="0062581F"/>
    <w:rsid w:val="00625B7F"/>
    <w:rsid w:val="00625B93"/>
    <w:rsid w:val="0062730F"/>
    <w:rsid w:val="00627686"/>
    <w:rsid w:val="0063007F"/>
    <w:rsid w:val="00630B25"/>
    <w:rsid w:val="00631766"/>
    <w:rsid w:val="00631772"/>
    <w:rsid w:val="00632918"/>
    <w:rsid w:val="00633563"/>
    <w:rsid w:val="00633A13"/>
    <w:rsid w:val="006340E3"/>
    <w:rsid w:val="00635674"/>
    <w:rsid w:val="006356DA"/>
    <w:rsid w:val="006359E9"/>
    <w:rsid w:val="00635B28"/>
    <w:rsid w:val="00636271"/>
    <w:rsid w:val="006369ED"/>
    <w:rsid w:val="00636EAA"/>
    <w:rsid w:val="006372A0"/>
    <w:rsid w:val="0063750A"/>
    <w:rsid w:val="00637BFC"/>
    <w:rsid w:val="00640AEB"/>
    <w:rsid w:val="0064290F"/>
    <w:rsid w:val="00642E70"/>
    <w:rsid w:val="00643C5A"/>
    <w:rsid w:val="00643E84"/>
    <w:rsid w:val="00644FF8"/>
    <w:rsid w:val="00645086"/>
    <w:rsid w:val="00645DD8"/>
    <w:rsid w:val="00646499"/>
    <w:rsid w:val="0064686F"/>
    <w:rsid w:val="00646D02"/>
    <w:rsid w:val="00647EAD"/>
    <w:rsid w:val="006502FA"/>
    <w:rsid w:val="00652CC6"/>
    <w:rsid w:val="00653D8D"/>
    <w:rsid w:val="00653E58"/>
    <w:rsid w:val="00654E87"/>
    <w:rsid w:val="006556BB"/>
    <w:rsid w:val="006558D9"/>
    <w:rsid w:val="00655A79"/>
    <w:rsid w:val="00656566"/>
    <w:rsid w:val="00656C7B"/>
    <w:rsid w:val="00657BFB"/>
    <w:rsid w:val="006603D3"/>
    <w:rsid w:val="0066181A"/>
    <w:rsid w:val="006626E8"/>
    <w:rsid w:val="00662C27"/>
    <w:rsid w:val="00665372"/>
    <w:rsid w:val="006678B7"/>
    <w:rsid w:val="00667B22"/>
    <w:rsid w:val="00667E3B"/>
    <w:rsid w:val="00670690"/>
    <w:rsid w:val="006710C1"/>
    <w:rsid w:val="0067194C"/>
    <w:rsid w:val="0067304E"/>
    <w:rsid w:val="00673ACE"/>
    <w:rsid w:val="006745E5"/>
    <w:rsid w:val="00674EE3"/>
    <w:rsid w:val="00675236"/>
    <w:rsid w:val="00675A27"/>
    <w:rsid w:val="00676392"/>
    <w:rsid w:val="00676F2E"/>
    <w:rsid w:val="0067736A"/>
    <w:rsid w:val="00677817"/>
    <w:rsid w:val="00677A0E"/>
    <w:rsid w:val="00681181"/>
    <w:rsid w:val="0068158E"/>
    <w:rsid w:val="00681721"/>
    <w:rsid w:val="00682099"/>
    <w:rsid w:val="00682CDE"/>
    <w:rsid w:val="00682D71"/>
    <w:rsid w:val="00682FCA"/>
    <w:rsid w:val="00683A6B"/>
    <w:rsid w:val="00683DC1"/>
    <w:rsid w:val="0068450D"/>
    <w:rsid w:val="00684927"/>
    <w:rsid w:val="00685082"/>
    <w:rsid w:val="006855C4"/>
    <w:rsid w:val="00685A22"/>
    <w:rsid w:val="00685DB7"/>
    <w:rsid w:val="00686F68"/>
    <w:rsid w:val="006872C9"/>
    <w:rsid w:val="0068783B"/>
    <w:rsid w:val="00687CF4"/>
    <w:rsid w:val="00687D90"/>
    <w:rsid w:val="00690206"/>
    <w:rsid w:val="00690C5A"/>
    <w:rsid w:val="00691226"/>
    <w:rsid w:val="006920F8"/>
    <w:rsid w:val="006931F3"/>
    <w:rsid w:val="006948A8"/>
    <w:rsid w:val="00694F3D"/>
    <w:rsid w:val="00695E2E"/>
    <w:rsid w:val="0069644D"/>
    <w:rsid w:val="006A05DE"/>
    <w:rsid w:val="006A0F38"/>
    <w:rsid w:val="006A13D4"/>
    <w:rsid w:val="006A18B6"/>
    <w:rsid w:val="006A1EDC"/>
    <w:rsid w:val="006A249C"/>
    <w:rsid w:val="006A2997"/>
    <w:rsid w:val="006A2E26"/>
    <w:rsid w:val="006A32E9"/>
    <w:rsid w:val="006A4041"/>
    <w:rsid w:val="006A446F"/>
    <w:rsid w:val="006A4542"/>
    <w:rsid w:val="006A4A0D"/>
    <w:rsid w:val="006A4B99"/>
    <w:rsid w:val="006A5B0F"/>
    <w:rsid w:val="006A5ED6"/>
    <w:rsid w:val="006A5FF3"/>
    <w:rsid w:val="006B181D"/>
    <w:rsid w:val="006B1F4D"/>
    <w:rsid w:val="006B20EE"/>
    <w:rsid w:val="006B305A"/>
    <w:rsid w:val="006B3338"/>
    <w:rsid w:val="006B35B3"/>
    <w:rsid w:val="006B3D9F"/>
    <w:rsid w:val="006B3EDF"/>
    <w:rsid w:val="006B4203"/>
    <w:rsid w:val="006B460B"/>
    <w:rsid w:val="006B4826"/>
    <w:rsid w:val="006B57AF"/>
    <w:rsid w:val="006B5A8B"/>
    <w:rsid w:val="006B5B8D"/>
    <w:rsid w:val="006B5D78"/>
    <w:rsid w:val="006B7295"/>
    <w:rsid w:val="006B7697"/>
    <w:rsid w:val="006C033E"/>
    <w:rsid w:val="006C09DD"/>
    <w:rsid w:val="006C1614"/>
    <w:rsid w:val="006C1B32"/>
    <w:rsid w:val="006C1D8C"/>
    <w:rsid w:val="006C1E63"/>
    <w:rsid w:val="006C27C9"/>
    <w:rsid w:val="006C2DBE"/>
    <w:rsid w:val="006C37FB"/>
    <w:rsid w:val="006C4964"/>
    <w:rsid w:val="006C51D5"/>
    <w:rsid w:val="006C5679"/>
    <w:rsid w:val="006C60B4"/>
    <w:rsid w:val="006C76A7"/>
    <w:rsid w:val="006C7CE0"/>
    <w:rsid w:val="006C7E47"/>
    <w:rsid w:val="006D0711"/>
    <w:rsid w:val="006D0C3F"/>
    <w:rsid w:val="006D148C"/>
    <w:rsid w:val="006D1B52"/>
    <w:rsid w:val="006D1E49"/>
    <w:rsid w:val="006D24A4"/>
    <w:rsid w:val="006D2504"/>
    <w:rsid w:val="006D28CE"/>
    <w:rsid w:val="006D2C01"/>
    <w:rsid w:val="006D32C5"/>
    <w:rsid w:val="006D33B8"/>
    <w:rsid w:val="006D374F"/>
    <w:rsid w:val="006D3E09"/>
    <w:rsid w:val="006D430D"/>
    <w:rsid w:val="006D432E"/>
    <w:rsid w:val="006D4F0E"/>
    <w:rsid w:val="006D5A9D"/>
    <w:rsid w:val="006D5B0E"/>
    <w:rsid w:val="006D5FF3"/>
    <w:rsid w:val="006D65CF"/>
    <w:rsid w:val="006E02D2"/>
    <w:rsid w:val="006E26AC"/>
    <w:rsid w:val="006E29C2"/>
    <w:rsid w:val="006E31EF"/>
    <w:rsid w:val="006E4894"/>
    <w:rsid w:val="006E4D1D"/>
    <w:rsid w:val="006E50C4"/>
    <w:rsid w:val="006E5820"/>
    <w:rsid w:val="006E6044"/>
    <w:rsid w:val="006E6500"/>
    <w:rsid w:val="006E7928"/>
    <w:rsid w:val="006F00F2"/>
    <w:rsid w:val="006F0AFA"/>
    <w:rsid w:val="006F0D12"/>
    <w:rsid w:val="006F1B52"/>
    <w:rsid w:val="006F27A6"/>
    <w:rsid w:val="006F2E6D"/>
    <w:rsid w:val="006F30EF"/>
    <w:rsid w:val="006F323B"/>
    <w:rsid w:val="006F32C0"/>
    <w:rsid w:val="006F3EE7"/>
    <w:rsid w:val="006F3FFF"/>
    <w:rsid w:val="006F42DE"/>
    <w:rsid w:val="006F506E"/>
    <w:rsid w:val="006F5D4F"/>
    <w:rsid w:val="006F617B"/>
    <w:rsid w:val="006F6331"/>
    <w:rsid w:val="006F6A12"/>
    <w:rsid w:val="006F6AB0"/>
    <w:rsid w:val="006F6F7F"/>
    <w:rsid w:val="006F74E5"/>
    <w:rsid w:val="0070012F"/>
    <w:rsid w:val="0070040B"/>
    <w:rsid w:val="00700C15"/>
    <w:rsid w:val="00700C3D"/>
    <w:rsid w:val="00701CD0"/>
    <w:rsid w:val="0070376A"/>
    <w:rsid w:val="0070380A"/>
    <w:rsid w:val="00703BBE"/>
    <w:rsid w:val="00703E38"/>
    <w:rsid w:val="00704396"/>
    <w:rsid w:val="00704D58"/>
    <w:rsid w:val="00705B33"/>
    <w:rsid w:val="0070615E"/>
    <w:rsid w:val="00706C4B"/>
    <w:rsid w:val="0070782A"/>
    <w:rsid w:val="00707887"/>
    <w:rsid w:val="00707C01"/>
    <w:rsid w:val="00707EBF"/>
    <w:rsid w:val="00710848"/>
    <w:rsid w:val="00710A58"/>
    <w:rsid w:val="00711376"/>
    <w:rsid w:val="00711675"/>
    <w:rsid w:val="007116AC"/>
    <w:rsid w:val="00711D79"/>
    <w:rsid w:val="007124A2"/>
    <w:rsid w:val="007133ED"/>
    <w:rsid w:val="007170D6"/>
    <w:rsid w:val="00717335"/>
    <w:rsid w:val="00717B74"/>
    <w:rsid w:val="007204D0"/>
    <w:rsid w:val="0072096B"/>
    <w:rsid w:val="00720A63"/>
    <w:rsid w:val="00721956"/>
    <w:rsid w:val="00721A2E"/>
    <w:rsid w:val="00721BB1"/>
    <w:rsid w:val="007227EA"/>
    <w:rsid w:val="007230D6"/>
    <w:rsid w:val="00723B9B"/>
    <w:rsid w:val="00723E4B"/>
    <w:rsid w:val="00724553"/>
    <w:rsid w:val="007245C3"/>
    <w:rsid w:val="0072563F"/>
    <w:rsid w:val="00726B93"/>
    <w:rsid w:val="00726C6D"/>
    <w:rsid w:val="00727049"/>
    <w:rsid w:val="007276ED"/>
    <w:rsid w:val="00727FBC"/>
    <w:rsid w:val="0073018F"/>
    <w:rsid w:val="007305B7"/>
    <w:rsid w:val="007305CB"/>
    <w:rsid w:val="007306FE"/>
    <w:rsid w:val="007310CE"/>
    <w:rsid w:val="00731893"/>
    <w:rsid w:val="00731C13"/>
    <w:rsid w:val="00731C8D"/>
    <w:rsid w:val="00731E0C"/>
    <w:rsid w:val="00732CFA"/>
    <w:rsid w:val="00732E2C"/>
    <w:rsid w:val="00733398"/>
    <w:rsid w:val="00733E1C"/>
    <w:rsid w:val="00734468"/>
    <w:rsid w:val="00734706"/>
    <w:rsid w:val="00734D41"/>
    <w:rsid w:val="00734D64"/>
    <w:rsid w:val="00735ECF"/>
    <w:rsid w:val="00736719"/>
    <w:rsid w:val="007368A2"/>
    <w:rsid w:val="00736DE9"/>
    <w:rsid w:val="0073760A"/>
    <w:rsid w:val="00737CB3"/>
    <w:rsid w:val="00740348"/>
    <w:rsid w:val="0074070B"/>
    <w:rsid w:val="00740D70"/>
    <w:rsid w:val="007420F5"/>
    <w:rsid w:val="00742439"/>
    <w:rsid w:val="00742B9D"/>
    <w:rsid w:val="00742D9F"/>
    <w:rsid w:val="0074357E"/>
    <w:rsid w:val="007435C1"/>
    <w:rsid w:val="00743A10"/>
    <w:rsid w:val="00743C3F"/>
    <w:rsid w:val="0074415A"/>
    <w:rsid w:val="007455AD"/>
    <w:rsid w:val="007465A9"/>
    <w:rsid w:val="00746DCE"/>
    <w:rsid w:val="00747C8B"/>
    <w:rsid w:val="00751F3C"/>
    <w:rsid w:val="007537CC"/>
    <w:rsid w:val="00754A0D"/>
    <w:rsid w:val="007552C1"/>
    <w:rsid w:val="007562E2"/>
    <w:rsid w:val="00756E68"/>
    <w:rsid w:val="007577C2"/>
    <w:rsid w:val="00757BFF"/>
    <w:rsid w:val="007607C5"/>
    <w:rsid w:val="00760FEC"/>
    <w:rsid w:val="00762D71"/>
    <w:rsid w:val="00762F2B"/>
    <w:rsid w:val="0076328E"/>
    <w:rsid w:val="00763519"/>
    <w:rsid w:val="00763F92"/>
    <w:rsid w:val="00764ADF"/>
    <w:rsid w:val="00764DE5"/>
    <w:rsid w:val="007652FF"/>
    <w:rsid w:val="0076561E"/>
    <w:rsid w:val="00765EF4"/>
    <w:rsid w:val="00765F29"/>
    <w:rsid w:val="0076610B"/>
    <w:rsid w:val="007661B0"/>
    <w:rsid w:val="00766408"/>
    <w:rsid w:val="007713C9"/>
    <w:rsid w:val="00773353"/>
    <w:rsid w:val="007739E6"/>
    <w:rsid w:val="0077406B"/>
    <w:rsid w:val="0077482F"/>
    <w:rsid w:val="00774AEB"/>
    <w:rsid w:val="007767AB"/>
    <w:rsid w:val="007768D3"/>
    <w:rsid w:val="007769BC"/>
    <w:rsid w:val="00776D73"/>
    <w:rsid w:val="007774C1"/>
    <w:rsid w:val="00777AE4"/>
    <w:rsid w:val="00777EE6"/>
    <w:rsid w:val="007802AF"/>
    <w:rsid w:val="00780A45"/>
    <w:rsid w:val="007810C7"/>
    <w:rsid w:val="00782BFB"/>
    <w:rsid w:val="00783297"/>
    <w:rsid w:val="0078333E"/>
    <w:rsid w:val="00783842"/>
    <w:rsid w:val="00784019"/>
    <w:rsid w:val="007843CD"/>
    <w:rsid w:val="00787060"/>
    <w:rsid w:val="007876E3"/>
    <w:rsid w:val="00790665"/>
    <w:rsid w:val="00790C3D"/>
    <w:rsid w:val="00791338"/>
    <w:rsid w:val="00791672"/>
    <w:rsid w:val="00791832"/>
    <w:rsid w:val="007928AD"/>
    <w:rsid w:val="0079359C"/>
    <w:rsid w:val="007935F4"/>
    <w:rsid w:val="00793C5D"/>
    <w:rsid w:val="00793FD2"/>
    <w:rsid w:val="0079450C"/>
    <w:rsid w:val="00794630"/>
    <w:rsid w:val="00794724"/>
    <w:rsid w:val="00795516"/>
    <w:rsid w:val="00796459"/>
    <w:rsid w:val="007965D8"/>
    <w:rsid w:val="00796CFE"/>
    <w:rsid w:val="00796DA8"/>
    <w:rsid w:val="0079771E"/>
    <w:rsid w:val="007A0174"/>
    <w:rsid w:val="007A0589"/>
    <w:rsid w:val="007A0BB2"/>
    <w:rsid w:val="007A176E"/>
    <w:rsid w:val="007A2432"/>
    <w:rsid w:val="007A26B9"/>
    <w:rsid w:val="007A3009"/>
    <w:rsid w:val="007A441A"/>
    <w:rsid w:val="007A474A"/>
    <w:rsid w:val="007A5131"/>
    <w:rsid w:val="007A51E5"/>
    <w:rsid w:val="007A6151"/>
    <w:rsid w:val="007A6309"/>
    <w:rsid w:val="007A6532"/>
    <w:rsid w:val="007A68D8"/>
    <w:rsid w:val="007B0182"/>
    <w:rsid w:val="007B0409"/>
    <w:rsid w:val="007B084D"/>
    <w:rsid w:val="007B191C"/>
    <w:rsid w:val="007B208C"/>
    <w:rsid w:val="007B2AD9"/>
    <w:rsid w:val="007B4019"/>
    <w:rsid w:val="007B53C7"/>
    <w:rsid w:val="007B5603"/>
    <w:rsid w:val="007B599D"/>
    <w:rsid w:val="007B5B7D"/>
    <w:rsid w:val="007B66A0"/>
    <w:rsid w:val="007B6B08"/>
    <w:rsid w:val="007B6E4E"/>
    <w:rsid w:val="007B71E9"/>
    <w:rsid w:val="007B73BB"/>
    <w:rsid w:val="007B74B0"/>
    <w:rsid w:val="007B7F72"/>
    <w:rsid w:val="007C1593"/>
    <w:rsid w:val="007C1702"/>
    <w:rsid w:val="007C1CBC"/>
    <w:rsid w:val="007C1F45"/>
    <w:rsid w:val="007C2800"/>
    <w:rsid w:val="007C3CE5"/>
    <w:rsid w:val="007C3D13"/>
    <w:rsid w:val="007C41D1"/>
    <w:rsid w:val="007C4423"/>
    <w:rsid w:val="007C4767"/>
    <w:rsid w:val="007C47A5"/>
    <w:rsid w:val="007C48C7"/>
    <w:rsid w:val="007C5908"/>
    <w:rsid w:val="007C6472"/>
    <w:rsid w:val="007C655F"/>
    <w:rsid w:val="007C69D6"/>
    <w:rsid w:val="007C6FE3"/>
    <w:rsid w:val="007D243A"/>
    <w:rsid w:val="007D25A8"/>
    <w:rsid w:val="007D2635"/>
    <w:rsid w:val="007D2CEB"/>
    <w:rsid w:val="007D309E"/>
    <w:rsid w:val="007D3591"/>
    <w:rsid w:val="007D42C4"/>
    <w:rsid w:val="007D4506"/>
    <w:rsid w:val="007D471B"/>
    <w:rsid w:val="007D4768"/>
    <w:rsid w:val="007D5F5D"/>
    <w:rsid w:val="007D6562"/>
    <w:rsid w:val="007D6683"/>
    <w:rsid w:val="007E09A1"/>
    <w:rsid w:val="007E124E"/>
    <w:rsid w:val="007E375A"/>
    <w:rsid w:val="007E3DD9"/>
    <w:rsid w:val="007E5469"/>
    <w:rsid w:val="007E562E"/>
    <w:rsid w:val="007E5DE5"/>
    <w:rsid w:val="007E5EAC"/>
    <w:rsid w:val="007E6167"/>
    <w:rsid w:val="007E6752"/>
    <w:rsid w:val="007E6D43"/>
    <w:rsid w:val="007E74C5"/>
    <w:rsid w:val="007E7BA6"/>
    <w:rsid w:val="007E7E9D"/>
    <w:rsid w:val="007F0B26"/>
    <w:rsid w:val="007F0E34"/>
    <w:rsid w:val="007F2180"/>
    <w:rsid w:val="007F32C6"/>
    <w:rsid w:val="007F6368"/>
    <w:rsid w:val="007F73EF"/>
    <w:rsid w:val="007F7B7F"/>
    <w:rsid w:val="00800160"/>
    <w:rsid w:val="00800305"/>
    <w:rsid w:val="008018AE"/>
    <w:rsid w:val="00802D90"/>
    <w:rsid w:val="00803F0E"/>
    <w:rsid w:val="008043DE"/>
    <w:rsid w:val="0080498D"/>
    <w:rsid w:val="00805B3D"/>
    <w:rsid w:val="0080606A"/>
    <w:rsid w:val="0080608F"/>
    <w:rsid w:val="008065F0"/>
    <w:rsid w:val="0080684A"/>
    <w:rsid w:val="00806C9E"/>
    <w:rsid w:val="00807C2F"/>
    <w:rsid w:val="0081117A"/>
    <w:rsid w:val="00811AB8"/>
    <w:rsid w:val="008129C6"/>
    <w:rsid w:val="008129E9"/>
    <w:rsid w:val="00812E0A"/>
    <w:rsid w:val="00813041"/>
    <w:rsid w:val="0081352B"/>
    <w:rsid w:val="00813BF7"/>
    <w:rsid w:val="00814514"/>
    <w:rsid w:val="00814A3C"/>
    <w:rsid w:val="0081596A"/>
    <w:rsid w:val="00815A92"/>
    <w:rsid w:val="0081654E"/>
    <w:rsid w:val="0081691A"/>
    <w:rsid w:val="00817DF4"/>
    <w:rsid w:val="0082077B"/>
    <w:rsid w:val="00820840"/>
    <w:rsid w:val="00822D70"/>
    <w:rsid w:val="00823592"/>
    <w:rsid w:val="00823669"/>
    <w:rsid w:val="008237E2"/>
    <w:rsid w:val="00823E33"/>
    <w:rsid w:val="008248DB"/>
    <w:rsid w:val="00824F8F"/>
    <w:rsid w:val="0082532E"/>
    <w:rsid w:val="008255E4"/>
    <w:rsid w:val="00825759"/>
    <w:rsid w:val="008261DA"/>
    <w:rsid w:val="00826280"/>
    <w:rsid w:val="0082640A"/>
    <w:rsid w:val="00827BAD"/>
    <w:rsid w:val="00830639"/>
    <w:rsid w:val="008309C9"/>
    <w:rsid w:val="00830A8E"/>
    <w:rsid w:val="00830BC7"/>
    <w:rsid w:val="0083259C"/>
    <w:rsid w:val="00832A1E"/>
    <w:rsid w:val="00832A9E"/>
    <w:rsid w:val="008335E3"/>
    <w:rsid w:val="00834496"/>
    <w:rsid w:val="0083462C"/>
    <w:rsid w:val="00834DCB"/>
    <w:rsid w:val="00835108"/>
    <w:rsid w:val="008355B9"/>
    <w:rsid w:val="008356E6"/>
    <w:rsid w:val="0083606C"/>
    <w:rsid w:val="008363A0"/>
    <w:rsid w:val="00836494"/>
    <w:rsid w:val="008365B2"/>
    <w:rsid w:val="00836673"/>
    <w:rsid w:val="00836896"/>
    <w:rsid w:val="00836DE2"/>
    <w:rsid w:val="00836DF5"/>
    <w:rsid w:val="00837B88"/>
    <w:rsid w:val="00840C01"/>
    <w:rsid w:val="00840C42"/>
    <w:rsid w:val="0084167C"/>
    <w:rsid w:val="0084186D"/>
    <w:rsid w:val="008418E0"/>
    <w:rsid w:val="00842011"/>
    <w:rsid w:val="0084224D"/>
    <w:rsid w:val="008423E3"/>
    <w:rsid w:val="0084344D"/>
    <w:rsid w:val="00843743"/>
    <w:rsid w:val="00843B1F"/>
    <w:rsid w:val="00844553"/>
    <w:rsid w:val="00844683"/>
    <w:rsid w:val="008449AD"/>
    <w:rsid w:val="00844A63"/>
    <w:rsid w:val="00844C40"/>
    <w:rsid w:val="00844D8A"/>
    <w:rsid w:val="00844F10"/>
    <w:rsid w:val="00845186"/>
    <w:rsid w:val="00845BBC"/>
    <w:rsid w:val="00846CA6"/>
    <w:rsid w:val="00847DF2"/>
    <w:rsid w:val="00847F2B"/>
    <w:rsid w:val="00850048"/>
    <w:rsid w:val="0085010E"/>
    <w:rsid w:val="008508DA"/>
    <w:rsid w:val="008513D8"/>
    <w:rsid w:val="0085205D"/>
    <w:rsid w:val="00852C25"/>
    <w:rsid w:val="00852DF8"/>
    <w:rsid w:val="00855679"/>
    <w:rsid w:val="00855D43"/>
    <w:rsid w:val="008561D7"/>
    <w:rsid w:val="00856E0D"/>
    <w:rsid w:val="00857964"/>
    <w:rsid w:val="00857E46"/>
    <w:rsid w:val="00860B22"/>
    <w:rsid w:val="00861074"/>
    <w:rsid w:val="00862121"/>
    <w:rsid w:val="00862FBB"/>
    <w:rsid w:val="008636FC"/>
    <w:rsid w:val="00863BD8"/>
    <w:rsid w:val="00863CC9"/>
    <w:rsid w:val="00863DB6"/>
    <w:rsid w:val="00863EBA"/>
    <w:rsid w:val="00864B32"/>
    <w:rsid w:val="00864BC2"/>
    <w:rsid w:val="00864CC4"/>
    <w:rsid w:val="00865516"/>
    <w:rsid w:val="008661FC"/>
    <w:rsid w:val="0086731E"/>
    <w:rsid w:val="00867893"/>
    <w:rsid w:val="00867914"/>
    <w:rsid w:val="00867965"/>
    <w:rsid w:val="00870396"/>
    <w:rsid w:val="00870498"/>
    <w:rsid w:val="00871164"/>
    <w:rsid w:val="0087154D"/>
    <w:rsid w:val="008716B7"/>
    <w:rsid w:val="00872208"/>
    <w:rsid w:val="00872598"/>
    <w:rsid w:val="00873841"/>
    <w:rsid w:val="00873BC6"/>
    <w:rsid w:val="00873DDE"/>
    <w:rsid w:val="00873E41"/>
    <w:rsid w:val="00874110"/>
    <w:rsid w:val="00874FB1"/>
    <w:rsid w:val="00874FC1"/>
    <w:rsid w:val="00875D50"/>
    <w:rsid w:val="00876371"/>
    <w:rsid w:val="008771F4"/>
    <w:rsid w:val="00880902"/>
    <w:rsid w:val="00880FB4"/>
    <w:rsid w:val="00881A0A"/>
    <w:rsid w:val="00881E3C"/>
    <w:rsid w:val="00882D0F"/>
    <w:rsid w:val="00883212"/>
    <w:rsid w:val="00885CE8"/>
    <w:rsid w:val="00885E5F"/>
    <w:rsid w:val="00886035"/>
    <w:rsid w:val="00886B28"/>
    <w:rsid w:val="008871E6"/>
    <w:rsid w:val="0088740E"/>
    <w:rsid w:val="00887BC6"/>
    <w:rsid w:val="0089131C"/>
    <w:rsid w:val="00891A99"/>
    <w:rsid w:val="00892036"/>
    <w:rsid w:val="00892A4E"/>
    <w:rsid w:val="00893043"/>
    <w:rsid w:val="0089350E"/>
    <w:rsid w:val="00894A27"/>
    <w:rsid w:val="00894A35"/>
    <w:rsid w:val="00895DEF"/>
    <w:rsid w:val="00896A4C"/>
    <w:rsid w:val="00896A91"/>
    <w:rsid w:val="00896BEA"/>
    <w:rsid w:val="00896D77"/>
    <w:rsid w:val="00896EBA"/>
    <w:rsid w:val="0089797F"/>
    <w:rsid w:val="008A053D"/>
    <w:rsid w:val="008A1602"/>
    <w:rsid w:val="008A1867"/>
    <w:rsid w:val="008A237D"/>
    <w:rsid w:val="008A23C9"/>
    <w:rsid w:val="008A24F3"/>
    <w:rsid w:val="008A2603"/>
    <w:rsid w:val="008A2B17"/>
    <w:rsid w:val="008A39F8"/>
    <w:rsid w:val="008A4ECD"/>
    <w:rsid w:val="008A5531"/>
    <w:rsid w:val="008A59A8"/>
    <w:rsid w:val="008A6E44"/>
    <w:rsid w:val="008A7693"/>
    <w:rsid w:val="008B0B3A"/>
    <w:rsid w:val="008B0FFF"/>
    <w:rsid w:val="008B2A97"/>
    <w:rsid w:val="008B32A9"/>
    <w:rsid w:val="008B3FC4"/>
    <w:rsid w:val="008B434E"/>
    <w:rsid w:val="008B4593"/>
    <w:rsid w:val="008B6240"/>
    <w:rsid w:val="008B647B"/>
    <w:rsid w:val="008B657A"/>
    <w:rsid w:val="008B70D8"/>
    <w:rsid w:val="008B7E16"/>
    <w:rsid w:val="008C0083"/>
    <w:rsid w:val="008C1142"/>
    <w:rsid w:val="008C1EA2"/>
    <w:rsid w:val="008C2799"/>
    <w:rsid w:val="008C2857"/>
    <w:rsid w:val="008C2EDB"/>
    <w:rsid w:val="008C5213"/>
    <w:rsid w:val="008C5F55"/>
    <w:rsid w:val="008C6C9A"/>
    <w:rsid w:val="008C6DF5"/>
    <w:rsid w:val="008C701E"/>
    <w:rsid w:val="008C7A74"/>
    <w:rsid w:val="008D0319"/>
    <w:rsid w:val="008D06CF"/>
    <w:rsid w:val="008D09B7"/>
    <w:rsid w:val="008D0AA9"/>
    <w:rsid w:val="008D117D"/>
    <w:rsid w:val="008D1B64"/>
    <w:rsid w:val="008D25D3"/>
    <w:rsid w:val="008D27EA"/>
    <w:rsid w:val="008D2DAF"/>
    <w:rsid w:val="008D3009"/>
    <w:rsid w:val="008D306B"/>
    <w:rsid w:val="008D3E51"/>
    <w:rsid w:val="008D3F91"/>
    <w:rsid w:val="008D4042"/>
    <w:rsid w:val="008D4162"/>
    <w:rsid w:val="008D4336"/>
    <w:rsid w:val="008D49E0"/>
    <w:rsid w:val="008D4B95"/>
    <w:rsid w:val="008D4E54"/>
    <w:rsid w:val="008D5B9F"/>
    <w:rsid w:val="008D776E"/>
    <w:rsid w:val="008D799C"/>
    <w:rsid w:val="008E049F"/>
    <w:rsid w:val="008E0946"/>
    <w:rsid w:val="008E1316"/>
    <w:rsid w:val="008E2B4A"/>
    <w:rsid w:val="008E2C05"/>
    <w:rsid w:val="008E341A"/>
    <w:rsid w:val="008E357C"/>
    <w:rsid w:val="008E46F6"/>
    <w:rsid w:val="008E4DD2"/>
    <w:rsid w:val="008E51AF"/>
    <w:rsid w:val="008E548A"/>
    <w:rsid w:val="008E584A"/>
    <w:rsid w:val="008E59FE"/>
    <w:rsid w:val="008E6554"/>
    <w:rsid w:val="008E6D4F"/>
    <w:rsid w:val="008E70DC"/>
    <w:rsid w:val="008E74A2"/>
    <w:rsid w:val="008E7631"/>
    <w:rsid w:val="008F15B9"/>
    <w:rsid w:val="008F1A67"/>
    <w:rsid w:val="008F3356"/>
    <w:rsid w:val="008F3B12"/>
    <w:rsid w:val="008F3DEC"/>
    <w:rsid w:val="008F3E1F"/>
    <w:rsid w:val="008F4B82"/>
    <w:rsid w:val="008F4DCF"/>
    <w:rsid w:val="008F5BA4"/>
    <w:rsid w:val="008F5C90"/>
    <w:rsid w:val="008F5CF4"/>
    <w:rsid w:val="008F5D1F"/>
    <w:rsid w:val="008F69B0"/>
    <w:rsid w:val="008F69C4"/>
    <w:rsid w:val="008F79C6"/>
    <w:rsid w:val="0090028B"/>
    <w:rsid w:val="009002FA"/>
    <w:rsid w:val="009004AD"/>
    <w:rsid w:val="00901E25"/>
    <w:rsid w:val="00902721"/>
    <w:rsid w:val="0090380A"/>
    <w:rsid w:val="009038BD"/>
    <w:rsid w:val="009039E0"/>
    <w:rsid w:val="00903AC3"/>
    <w:rsid w:val="00903DB2"/>
    <w:rsid w:val="0090412E"/>
    <w:rsid w:val="00904536"/>
    <w:rsid w:val="0090478A"/>
    <w:rsid w:val="00904989"/>
    <w:rsid w:val="00904F00"/>
    <w:rsid w:val="00905214"/>
    <w:rsid w:val="009055EE"/>
    <w:rsid w:val="00905F2D"/>
    <w:rsid w:val="009066CE"/>
    <w:rsid w:val="00906AAF"/>
    <w:rsid w:val="009071EB"/>
    <w:rsid w:val="009102A7"/>
    <w:rsid w:val="00910B2C"/>
    <w:rsid w:val="00910D81"/>
    <w:rsid w:val="00911042"/>
    <w:rsid w:val="009113A6"/>
    <w:rsid w:val="00911D86"/>
    <w:rsid w:val="00911EDD"/>
    <w:rsid w:val="00912DC8"/>
    <w:rsid w:val="00913104"/>
    <w:rsid w:val="009144B5"/>
    <w:rsid w:val="009146F6"/>
    <w:rsid w:val="00915863"/>
    <w:rsid w:val="00915B07"/>
    <w:rsid w:val="00915B0B"/>
    <w:rsid w:val="00916DD3"/>
    <w:rsid w:val="00916ED7"/>
    <w:rsid w:val="00917898"/>
    <w:rsid w:val="00917CE0"/>
    <w:rsid w:val="0092014B"/>
    <w:rsid w:val="0092035E"/>
    <w:rsid w:val="00921E81"/>
    <w:rsid w:val="00922135"/>
    <w:rsid w:val="00922D0A"/>
    <w:rsid w:val="009237B0"/>
    <w:rsid w:val="009244D3"/>
    <w:rsid w:val="00925920"/>
    <w:rsid w:val="00926743"/>
    <w:rsid w:val="00926E69"/>
    <w:rsid w:val="00926EAC"/>
    <w:rsid w:val="00927BCD"/>
    <w:rsid w:val="0093019E"/>
    <w:rsid w:val="009302B4"/>
    <w:rsid w:val="00930EF7"/>
    <w:rsid w:val="009317B8"/>
    <w:rsid w:val="009327FB"/>
    <w:rsid w:val="00933167"/>
    <w:rsid w:val="00934241"/>
    <w:rsid w:val="00935B1F"/>
    <w:rsid w:val="00935F27"/>
    <w:rsid w:val="009360D6"/>
    <w:rsid w:val="00936510"/>
    <w:rsid w:val="00936852"/>
    <w:rsid w:val="009369CD"/>
    <w:rsid w:val="00936B63"/>
    <w:rsid w:val="00936C33"/>
    <w:rsid w:val="00936DD4"/>
    <w:rsid w:val="00937410"/>
    <w:rsid w:val="00937C82"/>
    <w:rsid w:val="0094005F"/>
    <w:rsid w:val="00941336"/>
    <w:rsid w:val="00941AE2"/>
    <w:rsid w:val="009420BC"/>
    <w:rsid w:val="00942BEA"/>
    <w:rsid w:val="009439EC"/>
    <w:rsid w:val="00944196"/>
    <w:rsid w:val="009445B9"/>
    <w:rsid w:val="00944CA8"/>
    <w:rsid w:val="00945E92"/>
    <w:rsid w:val="009466EE"/>
    <w:rsid w:val="00946F66"/>
    <w:rsid w:val="00947193"/>
    <w:rsid w:val="00947AB6"/>
    <w:rsid w:val="00947B4E"/>
    <w:rsid w:val="00950297"/>
    <w:rsid w:val="00952457"/>
    <w:rsid w:val="00954196"/>
    <w:rsid w:val="0095422E"/>
    <w:rsid w:val="0095445B"/>
    <w:rsid w:val="009547F0"/>
    <w:rsid w:val="009554DC"/>
    <w:rsid w:val="00955909"/>
    <w:rsid w:val="00955954"/>
    <w:rsid w:val="009560E6"/>
    <w:rsid w:val="00956306"/>
    <w:rsid w:val="00956579"/>
    <w:rsid w:val="009565FA"/>
    <w:rsid w:val="00956CB0"/>
    <w:rsid w:val="00956EF3"/>
    <w:rsid w:val="00956EF8"/>
    <w:rsid w:val="009573C6"/>
    <w:rsid w:val="009575E1"/>
    <w:rsid w:val="00957BDE"/>
    <w:rsid w:val="009600A1"/>
    <w:rsid w:val="0096044D"/>
    <w:rsid w:val="009604B4"/>
    <w:rsid w:val="00960BC7"/>
    <w:rsid w:val="009620BE"/>
    <w:rsid w:val="00962129"/>
    <w:rsid w:val="00962147"/>
    <w:rsid w:val="009632C9"/>
    <w:rsid w:val="0096380B"/>
    <w:rsid w:val="00964625"/>
    <w:rsid w:val="00965254"/>
    <w:rsid w:val="00965339"/>
    <w:rsid w:val="0096599D"/>
    <w:rsid w:val="00965FF3"/>
    <w:rsid w:val="009667EE"/>
    <w:rsid w:val="009670F7"/>
    <w:rsid w:val="00970B36"/>
    <w:rsid w:val="0097110D"/>
    <w:rsid w:val="00971CDE"/>
    <w:rsid w:val="00972425"/>
    <w:rsid w:val="0097316B"/>
    <w:rsid w:val="0097354A"/>
    <w:rsid w:val="009743E3"/>
    <w:rsid w:val="00974FAA"/>
    <w:rsid w:val="0097556D"/>
    <w:rsid w:val="00975844"/>
    <w:rsid w:val="0097595F"/>
    <w:rsid w:val="00976EFD"/>
    <w:rsid w:val="00977184"/>
    <w:rsid w:val="0097718F"/>
    <w:rsid w:val="0098017B"/>
    <w:rsid w:val="009802C9"/>
    <w:rsid w:val="00980C71"/>
    <w:rsid w:val="00982715"/>
    <w:rsid w:val="00982C7C"/>
    <w:rsid w:val="0098303D"/>
    <w:rsid w:val="009830FA"/>
    <w:rsid w:val="00983244"/>
    <w:rsid w:val="0098343B"/>
    <w:rsid w:val="00984F55"/>
    <w:rsid w:val="00984F9D"/>
    <w:rsid w:val="009857F6"/>
    <w:rsid w:val="00985ABF"/>
    <w:rsid w:val="00990388"/>
    <w:rsid w:val="00991685"/>
    <w:rsid w:val="00991922"/>
    <w:rsid w:val="009927FA"/>
    <w:rsid w:val="009929D7"/>
    <w:rsid w:val="009939E3"/>
    <w:rsid w:val="00994157"/>
    <w:rsid w:val="00994231"/>
    <w:rsid w:val="009944E4"/>
    <w:rsid w:val="009948EB"/>
    <w:rsid w:val="00994B4B"/>
    <w:rsid w:val="009958BE"/>
    <w:rsid w:val="009967F2"/>
    <w:rsid w:val="0099697C"/>
    <w:rsid w:val="009969CC"/>
    <w:rsid w:val="009976FF"/>
    <w:rsid w:val="00997790"/>
    <w:rsid w:val="00997C5A"/>
    <w:rsid w:val="009A2385"/>
    <w:rsid w:val="009A2A0E"/>
    <w:rsid w:val="009A3489"/>
    <w:rsid w:val="009A451F"/>
    <w:rsid w:val="009A4D5E"/>
    <w:rsid w:val="009A4F26"/>
    <w:rsid w:val="009A5874"/>
    <w:rsid w:val="009A5F55"/>
    <w:rsid w:val="009A5F63"/>
    <w:rsid w:val="009A66D0"/>
    <w:rsid w:val="009B01FC"/>
    <w:rsid w:val="009B09ED"/>
    <w:rsid w:val="009B1BFE"/>
    <w:rsid w:val="009B2B82"/>
    <w:rsid w:val="009B5705"/>
    <w:rsid w:val="009B6844"/>
    <w:rsid w:val="009B7367"/>
    <w:rsid w:val="009B7ED4"/>
    <w:rsid w:val="009C04A7"/>
    <w:rsid w:val="009C0BCC"/>
    <w:rsid w:val="009C1525"/>
    <w:rsid w:val="009C15E9"/>
    <w:rsid w:val="009C2857"/>
    <w:rsid w:val="009C3682"/>
    <w:rsid w:val="009C3BF6"/>
    <w:rsid w:val="009C3EFA"/>
    <w:rsid w:val="009C460F"/>
    <w:rsid w:val="009C4AD7"/>
    <w:rsid w:val="009C4B65"/>
    <w:rsid w:val="009C54B7"/>
    <w:rsid w:val="009C5A69"/>
    <w:rsid w:val="009C5DA3"/>
    <w:rsid w:val="009C6C21"/>
    <w:rsid w:val="009C707C"/>
    <w:rsid w:val="009C7F37"/>
    <w:rsid w:val="009D3F76"/>
    <w:rsid w:val="009D5210"/>
    <w:rsid w:val="009D5796"/>
    <w:rsid w:val="009D5CF0"/>
    <w:rsid w:val="009D5EBD"/>
    <w:rsid w:val="009D6484"/>
    <w:rsid w:val="009D7880"/>
    <w:rsid w:val="009D7C1C"/>
    <w:rsid w:val="009E0CAC"/>
    <w:rsid w:val="009E0EA2"/>
    <w:rsid w:val="009E17AD"/>
    <w:rsid w:val="009E1C47"/>
    <w:rsid w:val="009E1EF6"/>
    <w:rsid w:val="009E214D"/>
    <w:rsid w:val="009E28EC"/>
    <w:rsid w:val="009E2FB8"/>
    <w:rsid w:val="009E309A"/>
    <w:rsid w:val="009E3B66"/>
    <w:rsid w:val="009E4160"/>
    <w:rsid w:val="009E4234"/>
    <w:rsid w:val="009E44FF"/>
    <w:rsid w:val="009E453F"/>
    <w:rsid w:val="009E474F"/>
    <w:rsid w:val="009E4841"/>
    <w:rsid w:val="009E4D5B"/>
    <w:rsid w:val="009E4DA6"/>
    <w:rsid w:val="009E5603"/>
    <w:rsid w:val="009E7983"/>
    <w:rsid w:val="009F06C2"/>
    <w:rsid w:val="009F0B4C"/>
    <w:rsid w:val="009F1646"/>
    <w:rsid w:val="009F1960"/>
    <w:rsid w:val="009F1D69"/>
    <w:rsid w:val="009F2E31"/>
    <w:rsid w:val="009F3AF3"/>
    <w:rsid w:val="009F3F1F"/>
    <w:rsid w:val="009F4E81"/>
    <w:rsid w:val="009F4FB3"/>
    <w:rsid w:val="009F5B74"/>
    <w:rsid w:val="009F5CC8"/>
    <w:rsid w:val="009F5CEF"/>
    <w:rsid w:val="009F6444"/>
    <w:rsid w:val="009F6EFD"/>
    <w:rsid w:val="009F71D1"/>
    <w:rsid w:val="009F7CE7"/>
    <w:rsid w:val="00A00DD6"/>
    <w:rsid w:val="00A012A9"/>
    <w:rsid w:val="00A0155C"/>
    <w:rsid w:val="00A017BA"/>
    <w:rsid w:val="00A01A37"/>
    <w:rsid w:val="00A01EFD"/>
    <w:rsid w:val="00A02024"/>
    <w:rsid w:val="00A0212D"/>
    <w:rsid w:val="00A026DF"/>
    <w:rsid w:val="00A02AAF"/>
    <w:rsid w:val="00A02C48"/>
    <w:rsid w:val="00A03A5F"/>
    <w:rsid w:val="00A03FEE"/>
    <w:rsid w:val="00A04100"/>
    <w:rsid w:val="00A05781"/>
    <w:rsid w:val="00A062F6"/>
    <w:rsid w:val="00A0648E"/>
    <w:rsid w:val="00A066DE"/>
    <w:rsid w:val="00A0687A"/>
    <w:rsid w:val="00A07105"/>
    <w:rsid w:val="00A075C1"/>
    <w:rsid w:val="00A075C8"/>
    <w:rsid w:val="00A07AC7"/>
    <w:rsid w:val="00A10B65"/>
    <w:rsid w:val="00A11E7A"/>
    <w:rsid w:val="00A121B0"/>
    <w:rsid w:val="00A1395B"/>
    <w:rsid w:val="00A13E0C"/>
    <w:rsid w:val="00A141E5"/>
    <w:rsid w:val="00A15581"/>
    <w:rsid w:val="00A1593F"/>
    <w:rsid w:val="00A15B57"/>
    <w:rsid w:val="00A165B8"/>
    <w:rsid w:val="00A175F7"/>
    <w:rsid w:val="00A17C75"/>
    <w:rsid w:val="00A20309"/>
    <w:rsid w:val="00A2076C"/>
    <w:rsid w:val="00A21F92"/>
    <w:rsid w:val="00A23137"/>
    <w:rsid w:val="00A23A99"/>
    <w:rsid w:val="00A2446D"/>
    <w:rsid w:val="00A24E15"/>
    <w:rsid w:val="00A2536F"/>
    <w:rsid w:val="00A257F8"/>
    <w:rsid w:val="00A258CD"/>
    <w:rsid w:val="00A263F4"/>
    <w:rsid w:val="00A2698B"/>
    <w:rsid w:val="00A26AF6"/>
    <w:rsid w:val="00A26CBB"/>
    <w:rsid w:val="00A26ECD"/>
    <w:rsid w:val="00A26F96"/>
    <w:rsid w:val="00A27727"/>
    <w:rsid w:val="00A30DB3"/>
    <w:rsid w:val="00A31FBA"/>
    <w:rsid w:val="00A32F3A"/>
    <w:rsid w:val="00A333B1"/>
    <w:rsid w:val="00A33746"/>
    <w:rsid w:val="00A3396A"/>
    <w:rsid w:val="00A34026"/>
    <w:rsid w:val="00A34252"/>
    <w:rsid w:val="00A344A6"/>
    <w:rsid w:val="00A3545C"/>
    <w:rsid w:val="00A35A2E"/>
    <w:rsid w:val="00A360AA"/>
    <w:rsid w:val="00A3723E"/>
    <w:rsid w:val="00A403E9"/>
    <w:rsid w:val="00A40626"/>
    <w:rsid w:val="00A406DC"/>
    <w:rsid w:val="00A40A9E"/>
    <w:rsid w:val="00A40CFC"/>
    <w:rsid w:val="00A41119"/>
    <w:rsid w:val="00A41A96"/>
    <w:rsid w:val="00A428F7"/>
    <w:rsid w:val="00A42A78"/>
    <w:rsid w:val="00A42CF5"/>
    <w:rsid w:val="00A43455"/>
    <w:rsid w:val="00A4347E"/>
    <w:rsid w:val="00A4381E"/>
    <w:rsid w:val="00A43875"/>
    <w:rsid w:val="00A443EA"/>
    <w:rsid w:val="00A44743"/>
    <w:rsid w:val="00A45CDF"/>
    <w:rsid w:val="00A461CB"/>
    <w:rsid w:val="00A4630E"/>
    <w:rsid w:val="00A46716"/>
    <w:rsid w:val="00A46CB1"/>
    <w:rsid w:val="00A46CEF"/>
    <w:rsid w:val="00A47DE3"/>
    <w:rsid w:val="00A5115D"/>
    <w:rsid w:val="00A51DAD"/>
    <w:rsid w:val="00A52191"/>
    <w:rsid w:val="00A5227A"/>
    <w:rsid w:val="00A52FA9"/>
    <w:rsid w:val="00A543FA"/>
    <w:rsid w:val="00A5464D"/>
    <w:rsid w:val="00A55018"/>
    <w:rsid w:val="00A55A38"/>
    <w:rsid w:val="00A55A52"/>
    <w:rsid w:val="00A55DE0"/>
    <w:rsid w:val="00A576BE"/>
    <w:rsid w:val="00A57B7F"/>
    <w:rsid w:val="00A57D42"/>
    <w:rsid w:val="00A57FB8"/>
    <w:rsid w:val="00A60BBB"/>
    <w:rsid w:val="00A60C83"/>
    <w:rsid w:val="00A61D2E"/>
    <w:rsid w:val="00A61FCC"/>
    <w:rsid w:val="00A62031"/>
    <w:rsid w:val="00A62437"/>
    <w:rsid w:val="00A63A99"/>
    <w:rsid w:val="00A63BB5"/>
    <w:rsid w:val="00A63EE0"/>
    <w:rsid w:val="00A6401C"/>
    <w:rsid w:val="00A64BCC"/>
    <w:rsid w:val="00A65344"/>
    <w:rsid w:val="00A65639"/>
    <w:rsid w:val="00A65792"/>
    <w:rsid w:val="00A65935"/>
    <w:rsid w:val="00A65B1F"/>
    <w:rsid w:val="00A65F1E"/>
    <w:rsid w:val="00A66598"/>
    <w:rsid w:val="00A67ED0"/>
    <w:rsid w:val="00A70863"/>
    <w:rsid w:val="00A72729"/>
    <w:rsid w:val="00A73514"/>
    <w:rsid w:val="00A739AD"/>
    <w:rsid w:val="00A73DDA"/>
    <w:rsid w:val="00A74253"/>
    <w:rsid w:val="00A743A2"/>
    <w:rsid w:val="00A7550D"/>
    <w:rsid w:val="00A76E80"/>
    <w:rsid w:val="00A76FA6"/>
    <w:rsid w:val="00A77268"/>
    <w:rsid w:val="00A774FD"/>
    <w:rsid w:val="00A77503"/>
    <w:rsid w:val="00A775A1"/>
    <w:rsid w:val="00A805AD"/>
    <w:rsid w:val="00A80964"/>
    <w:rsid w:val="00A81111"/>
    <w:rsid w:val="00A81168"/>
    <w:rsid w:val="00A812DD"/>
    <w:rsid w:val="00A8223E"/>
    <w:rsid w:val="00A8237B"/>
    <w:rsid w:val="00A83111"/>
    <w:rsid w:val="00A8330D"/>
    <w:rsid w:val="00A84047"/>
    <w:rsid w:val="00A855AA"/>
    <w:rsid w:val="00A85982"/>
    <w:rsid w:val="00A860FE"/>
    <w:rsid w:val="00A868EA"/>
    <w:rsid w:val="00A86B2E"/>
    <w:rsid w:val="00A86CB0"/>
    <w:rsid w:val="00A871FD"/>
    <w:rsid w:val="00A915C8"/>
    <w:rsid w:val="00A91C0B"/>
    <w:rsid w:val="00A934C1"/>
    <w:rsid w:val="00A947BC"/>
    <w:rsid w:val="00A947F3"/>
    <w:rsid w:val="00A958DF"/>
    <w:rsid w:val="00A972FF"/>
    <w:rsid w:val="00A97F6F"/>
    <w:rsid w:val="00AA1241"/>
    <w:rsid w:val="00AA1DD6"/>
    <w:rsid w:val="00AA22FC"/>
    <w:rsid w:val="00AA3348"/>
    <w:rsid w:val="00AA44C4"/>
    <w:rsid w:val="00AA6898"/>
    <w:rsid w:val="00AA738F"/>
    <w:rsid w:val="00AB0683"/>
    <w:rsid w:val="00AB070B"/>
    <w:rsid w:val="00AB0B51"/>
    <w:rsid w:val="00AB0F2A"/>
    <w:rsid w:val="00AB16B7"/>
    <w:rsid w:val="00AB1702"/>
    <w:rsid w:val="00AB179B"/>
    <w:rsid w:val="00AB1871"/>
    <w:rsid w:val="00AB197C"/>
    <w:rsid w:val="00AB199E"/>
    <w:rsid w:val="00AB1FB1"/>
    <w:rsid w:val="00AB24A8"/>
    <w:rsid w:val="00AB27D6"/>
    <w:rsid w:val="00AB2DA9"/>
    <w:rsid w:val="00AB35F9"/>
    <w:rsid w:val="00AB489D"/>
    <w:rsid w:val="00AB4A76"/>
    <w:rsid w:val="00AB4C23"/>
    <w:rsid w:val="00AB4C32"/>
    <w:rsid w:val="00AB5052"/>
    <w:rsid w:val="00AB5069"/>
    <w:rsid w:val="00AB5560"/>
    <w:rsid w:val="00AB59E0"/>
    <w:rsid w:val="00AB5DD7"/>
    <w:rsid w:val="00AB60B3"/>
    <w:rsid w:val="00AB6136"/>
    <w:rsid w:val="00AB642F"/>
    <w:rsid w:val="00AB739C"/>
    <w:rsid w:val="00AB7ADA"/>
    <w:rsid w:val="00AB7BC5"/>
    <w:rsid w:val="00AB7FB2"/>
    <w:rsid w:val="00AC0310"/>
    <w:rsid w:val="00AC0AC8"/>
    <w:rsid w:val="00AC13D7"/>
    <w:rsid w:val="00AC194A"/>
    <w:rsid w:val="00AC1B4C"/>
    <w:rsid w:val="00AC3A6D"/>
    <w:rsid w:val="00AC4CC2"/>
    <w:rsid w:val="00AC58FC"/>
    <w:rsid w:val="00AC5EB7"/>
    <w:rsid w:val="00AD04DD"/>
    <w:rsid w:val="00AD0771"/>
    <w:rsid w:val="00AD0841"/>
    <w:rsid w:val="00AD09AB"/>
    <w:rsid w:val="00AD0AC6"/>
    <w:rsid w:val="00AD0CB8"/>
    <w:rsid w:val="00AD0D6B"/>
    <w:rsid w:val="00AD1F82"/>
    <w:rsid w:val="00AD2028"/>
    <w:rsid w:val="00AD2360"/>
    <w:rsid w:val="00AD3696"/>
    <w:rsid w:val="00AD4498"/>
    <w:rsid w:val="00AD4667"/>
    <w:rsid w:val="00AD48BE"/>
    <w:rsid w:val="00AD48EC"/>
    <w:rsid w:val="00AD56D4"/>
    <w:rsid w:val="00AD5E69"/>
    <w:rsid w:val="00AD62E4"/>
    <w:rsid w:val="00AD6BC6"/>
    <w:rsid w:val="00AD7AA1"/>
    <w:rsid w:val="00AE277D"/>
    <w:rsid w:val="00AE49B5"/>
    <w:rsid w:val="00AE4C98"/>
    <w:rsid w:val="00AE66BA"/>
    <w:rsid w:val="00AE671A"/>
    <w:rsid w:val="00AE7AF6"/>
    <w:rsid w:val="00AE7B86"/>
    <w:rsid w:val="00AF2305"/>
    <w:rsid w:val="00AF2A93"/>
    <w:rsid w:val="00AF2AD5"/>
    <w:rsid w:val="00AF3B6A"/>
    <w:rsid w:val="00AF46AA"/>
    <w:rsid w:val="00AF480B"/>
    <w:rsid w:val="00AF48D5"/>
    <w:rsid w:val="00AF5CDE"/>
    <w:rsid w:val="00AF5D98"/>
    <w:rsid w:val="00AF6D66"/>
    <w:rsid w:val="00AF6D69"/>
    <w:rsid w:val="00AF72B5"/>
    <w:rsid w:val="00AF7307"/>
    <w:rsid w:val="00AF7A90"/>
    <w:rsid w:val="00AF7D6D"/>
    <w:rsid w:val="00B0132E"/>
    <w:rsid w:val="00B03A57"/>
    <w:rsid w:val="00B040CB"/>
    <w:rsid w:val="00B04438"/>
    <w:rsid w:val="00B044C6"/>
    <w:rsid w:val="00B046B5"/>
    <w:rsid w:val="00B0484D"/>
    <w:rsid w:val="00B04913"/>
    <w:rsid w:val="00B05180"/>
    <w:rsid w:val="00B057E5"/>
    <w:rsid w:val="00B059B4"/>
    <w:rsid w:val="00B0606D"/>
    <w:rsid w:val="00B06BB8"/>
    <w:rsid w:val="00B07E81"/>
    <w:rsid w:val="00B10B21"/>
    <w:rsid w:val="00B10D7D"/>
    <w:rsid w:val="00B115BC"/>
    <w:rsid w:val="00B11607"/>
    <w:rsid w:val="00B11AB6"/>
    <w:rsid w:val="00B11E6B"/>
    <w:rsid w:val="00B11FF2"/>
    <w:rsid w:val="00B1336E"/>
    <w:rsid w:val="00B14121"/>
    <w:rsid w:val="00B14978"/>
    <w:rsid w:val="00B1610B"/>
    <w:rsid w:val="00B20141"/>
    <w:rsid w:val="00B203B1"/>
    <w:rsid w:val="00B20933"/>
    <w:rsid w:val="00B21B78"/>
    <w:rsid w:val="00B2203B"/>
    <w:rsid w:val="00B2222C"/>
    <w:rsid w:val="00B23D43"/>
    <w:rsid w:val="00B26221"/>
    <w:rsid w:val="00B26319"/>
    <w:rsid w:val="00B2655D"/>
    <w:rsid w:val="00B267EC"/>
    <w:rsid w:val="00B26EA5"/>
    <w:rsid w:val="00B2704B"/>
    <w:rsid w:val="00B27A34"/>
    <w:rsid w:val="00B307AF"/>
    <w:rsid w:val="00B30E87"/>
    <w:rsid w:val="00B30FD3"/>
    <w:rsid w:val="00B3172C"/>
    <w:rsid w:val="00B317B3"/>
    <w:rsid w:val="00B33E52"/>
    <w:rsid w:val="00B341E0"/>
    <w:rsid w:val="00B343CB"/>
    <w:rsid w:val="00B34F63"/>
    <w:rsid w:val="00B351B2"/>
    <w:rsid w:val="00B35670"/>
    <w:rsid w:val="00B35BF5"/>
    <w:rsid w:val="00B37E11"/>
    <w:rsid w:val="00B40124"/>
    <w:rsid w:val="00B4012B"/>
    <w:rsid w:val="00B40166"/>
    <w:rsid w:val="00B401CC"/>
    <w:rsid w:val="00B40EDB"/>
    <w:rsid w:val="00B41369"/>
    <w:rsid w:val="00B4196A"/>
    <w:rsid w:val="00B42734"/>
    <w:rsid w:val="00B43126"/>
    <w:rsid w:val="00B4313B"/>
    <w:rsid w:val="00B43284"/>
    <w:rsid w:val="00B43502"/>
    <w:rsid w:val="00B43556"/>
    <w:rsid w:val="00B447CB"/>
    <w:rsid w:val="00B44857"/>
    <w:rsid w:val="00B454C8"/>
    <w:rsid w:val="00B4598B"/>
    <w:rsid w:val="00B46083"/>
    <w:rsid w:val="00B4644F"/>
    <w:rsid w:val="00B46673"/>
    <w:rsid w:val="00B46BD7"/>
    <w:rsid w:val="00B47FF8"/>
    <w:rsid w:val="00B50478"/>
    <w:rsid w:val="00B515C8"/>
    <w:rsid w:val="00B5204F"/>
    <w:rsid w:val="00B5275C"/>
    <w:rsid w:val="00B5379D"/>
    <w:rsid w:val="00B53A21"/>
    <w:rsid w:val="00B53B49"/>
    <w:rsid w:val="00B53D7B"/>
    <w:rsid w:val="00B548FA"/>
    <w:rsid w:val="00B54A0A"/>
    <w:rsid w:val="00B54EDC"/>
    <w:rsid w:val="00B55812"/>
    <w:rsid w:val="00B564FB"/>
    <w:rsid w:val="00B56CB5"/>
    <w:rsid w:val="00B56FF3"/>
    <w:rsid w:val="00B571BD"/>
    <w:rsid w:val="00B57AFD"/>
    <w:rsid w:val="00B57EA9"/>
    <w:rsid w:val="00B60794"/>
    <w:rsid w:val="00B609F1"/>
    <w:rsid w:val="00B60C76"/>
    <w:rsid w:val="00B62D96"/>
    <w:rsid w:val="00B630A4"/>
    <w:rsid w:val="00B641F8"/>
    <w:rsid w:val="00B64399"/>
    <w:rsid w:val="00B64C34"/>
    <w:rsid w:val="00B672D6"/>
    <w:rsid w:val="00B67BC1"/>
    <w:rsid w:val="00B70599"/>
    <w:rsid w:val="00B70FF9"/>
    <w:rsid w:val="00B71D28"/>
    <w:rsid w:val="00B7228A"/>
    <w:rsid w:val="00B729E9"/>
    <w:rsid w:val="00B72B75"/>
    <w:rsid w:val="00B740D1"/>
    <w:rsid w:val="00B742A0"/>
    <w:rsid w:val="00B74A55"/>
    <w:rsid w:val="00B75335"/>
    <w:rsid w:val="00B75BB7"/>
    <w:rsid w:val="00B7662E"/>
    <w:rsid w:val="00B8001C"/>
    <w:rsid w:val="00B806EB"/>
    <w:rsid w:val="00B817F2"/>
    <w:rsid w:val="00B82086"/>
    <w:rsid w:val="00B82115"/>
    <w:rsid w:val="00B8375C"/>
    <w:rsid w:val="00B84734"/>
    <w:rsid w:val="00B85141"/>
    <w:rsid w:val="00B86AEC"/>
    <w:rsid w:val="00B87811"/>
    <w:rsid w:val="00B87BFA"/>
    <w:rsid w:val="00B90ABD"/>
    <w:rsid w:val="00B90D27"/>
    <w:rsid w:val="00B91263"/>
    <w:rsid w:val="00B9234D"/>
    <w:rsid w:val="00B927E5"/>
    <w:rsid w:val="00B92933"/>
    <w:rsid w:val="00B934DA"/>
    <w:rsid w:val="00B948C5"/>
    <w:rsid w:val="00B94BA7"/>
    <w:rsid w:val="00B94C1F"/>
    <w:rsid w:val="00B94F33"/>
    <w:rsid w:val="00B9622F"/>
    <w:rsid w:val="00B96AF8"/>
    <w:rsid w:val="00B9719B"/>
    <w:rsid w:val="00B971E4"/>
    <w:rsid w:val="00B975F3"/>
    <w:rsid w:val="00BA0C9F"/>
    <w:rsid w:val="00BA1A63"/>
    <w:rsid w:val="00BA1DE2"/>
    <w:rsid w:val="00BA1E11"/>
    <w:rsid w:val="00BA2AFD"/>
    <w:rsid w:val="00BA337B"/>
    <w:rsid w:val="00BA3CF9"/>
    <w:rsid w:val="00BA4F47"/>
    <w:rsid w:val="00BA5233"/>
    <w:rsid w:val="00BA64DC"/>
    <w:rsid w:val="00BA6CF5"/>
    <w:rsid w:val="00BA6FD7"/>
    <w:rsid w:val="00BA7453"/>
    <w:rsid w:val="00BA7E84"/>
    <w:rsid w:val="00BB03B6"/>
    <w:rsid w:val="00BB1152"/>
    <w:rsid w:val="00BB1156"/>
    <w:rsid w:val="00BB1228"/>
    <w:rsid w:val="00BB18F0"/>
    <w:rsid w:val="00BB1A0F"/>
    <w:rsid w:val="00BB30E5"/>
    <w:rsid w:val="00BB69A5"/>
    <w:rsid w:val="00BB6EF0"/>
    <w:rsid w:val="00BB7C25"/>
    <w:rsid w:val="00BB7C99"/>
    <w:rsid w:val="00BC0B30"/>
    <w:rsid w:val="00BC0BAF"/>
    <w:rsid w:val="00BC0DB1"/>
    <w:rsid w:val="00BC0EFB"/>
    <w:rsid w:val="00BC14C6"/>
    <w:rsid w:val="00BC1DD5"/>
    <w:rsid w:val="00BC215A"/>
    <w:rsid w:val="00BC21EE"/>
    <w:rsid w:val="00BC252A"/>
    <w:rsid w:val="00BC2905"/>
    <w:rsid w:val="00BC2B9B"/>
    <w:rsid w:val="00BC4A67"/>
    <w:rsid w:val="00BC5174"/>
    <w:rsid w:val="00BC57AD"/>
    <w:rsid w:val="00BC595F"/>
    <w:rsid w:val="00BC5C2C"/>
    <w:rsid w:val="00BC65D8"/>
    <w:rsid w:val="00BC7976"/>
    <w:rsid w:val="00BD0218"/>
    <w:rsid w:val="00BD0759"/>
    <w:rsid w:val="00BD1415"/>
    <w:rsid w:val="00BD1CB7"/>
    <w:rsid w:val="00BD316B"/>
    <w:rsid w:val="00BD397F"/>
    <w:rsid w:val="00BD3C5F"/>
    <w:rsid w:val="00BD4653"/>
    <w:rsid w:val="00BD560B"/>
    <w:rsid w:val="00BD57AC"/>
    <w:rsid w:val="00BD594E"/>
    <w:rsid w:val="00BD5A12"/>
    <w:rsid w:val="00BD61E2"/>
    <w:rsid w:val="00BD6475"/>
    <w:rsid w:val="00BD648B"/>
    <w:rsid w:val="00BD6952"/>
    <w:rsid w:val="00BD6C04"/>
    <w:rsid w:val="00BD6EF8"/>
    <w:rsid w:val="00BD76A4"/>
    <w:rsid w:val="00BE2499"/>
    <w:rsid w:val="00BE2982"/>
    <w:rsid w:val="00BE2FD6"/>
    <w:rsid w:val="00BE3F69"/>
    <w:rsid w:val="00BE43DA"/>
    <w:rsid w:val="00BE441D"/>
    <w:rsid w:val="00BE4FA7"/>
    <w:rsid w:val="00BE515A"/>
    <w:rsid w:val="00BE6721"/>
    <w:rsid w:val="00BE690D"/>
    <w:rsid w:val="00BE75A7"/>
    <w:rsid w:val="00BF0271"/>
    <w:rsid w:val="00BF06DD"/>
    <w:rsid w:val="00BF0EF1"/>
    <w:rsid w:val="00BF110C"/>
    <w:rsid w:val="00BF125F"/>
    <w:rsid w:val="00BF12C4"/>
    <w:rsid w:val="00BF139C"/>
    <w:rsid w:val="00BF1A59"/>
    <w:rsid w:val="00BF2389"/>
    <w:rsid w:val="00BF2C0E"/>
    <w:rsid w:val="00BF56D1"/>
    <w:rsid w:val="00BF5E81"/>
    <w:rsid w:val="00BF62FE"/>
    <w:rsid w:val="00BF65CA"/>
    <w:rsid w:val="00BF76E5"/>
    <w:rsid w:val="00BF7827"/>
    <w:rsid w:val="00BF7D58"/>
    <w:rsid w:val="00C00A34"/>
    <w:rsid w:val="00C00A5E"/>
    <w:rsid w:val="00C00DEF"/>
    <w:rsid w:val="00C01123"/>
    <w:rsid w:val="00C02108"/>
    <w:rsid w:val="00C05153"/>
    <w:rsid w:val="00C057D4"/>
    <w:rsid w:val="00C07A1B"/>
    <w:rsid w:val="00C10A21"/>
    <w:rsid w:val="00C1110D"/>
    <w:rsid w:val="00C1127A"/>
    <w:rsid w:val="00C11CC2"/>
    <w:rsid w:val="00C127B1"/>
    <w:rsid w:val="00C134B7"/>
    <w:rsid w:val="00C13AB1"/>
    <w:rsid w:val="00C14618"/>
    <w:rsid w:val="00C148FF"/>
    <w:rsid w:val="00C14959"/>
    <w:rsid w:val="00C14996"/>
    <w:rsid w:val="00C152C6"/>
    <w:rsid w:val="00C15E87"/>
    <w:rsid w:val="00C161E4"/>
    <w:rsid w:val="00C1622E"/>
    <w:rsid w:val="00C17389"/>
    <w:rsid w:val="00C175D0"/>
    <w:rsid w:val="00C17A34"/>
    <w:rsid w:val="00C2096B"/>
    <w:rsid w:val="00C21A8D"/>
    <w:rsid w:val="00C21E2C"/>
    <w:rsid w:val="00C21E9F"/>
    <w:rsid w:val="00C22158"/>
    <w:rsid w:val="00C22304"/>
    <w:rsid w:val="00C22D8B"/>
    <w:rsid w:val="00C22EFD"/>
    <w:rsid w:val="00C233DA"/>
    <w:rsid w:val="00C23B8A"/>
    <w:rsid w:val="00C24051"/>
    <w:rsid w:val="00C24482"/>
    <w:rsid w:val="00C24B50"/>
    <w:rsid w:val="00C24DB0"/>
    <w:rsid w:val="00C25E50"/>
    <w:rsid w:val="00C25EF4"/>
    <w:rsid w:val="00C26711"/>
    <w:rsid w:val="00C26819"/>
    <w:rsid w:val="00C26B1C"/>
    <w:rsid w:val="00C270BE"/>
    <w:rsid w:val="00C274AA"/>
    <w:rsid w:val="00C30250"/>
    <w:rsid w:val="00C3028C"/>
    <w:rsid w:val="00C30B8C"/>
    <w:rsid w:val="00C30CFF"/>
    <w:rsid w:val="00C31C13"/>
    <w:rsid w:val="00C32039"/>
    <w:rsid w:val="00C32B75"/>
    <w:rsid w:val="00C32CF8"/>
    <w:rsid w:val="00C32F72"/>
    <w:rsid w:val="00C332CB"/>
    <w:rsid w:val="00C3426D"/>
    <w:rsid w:val="00C34AD7"/>
    <w:rsid w:val="00C351DD"/>
    <w:rsid w:val="00C35C5A"/>
    <w:rsid w:val="00C35D3E"/>
    <w:rsid w:val="00C35E3D"/>
    <w:rsid w:val="00C372E9"/>
    <w:rsid w:val="00C37CE9"/>
    <w:rsid w:val="00C37F77"/>
    <w:rsid w:val="00C408BC"/>
    <w:rsid w:val="00C4147D"/>
    <w:rsid w:val="00C41A2C"/>
    <w:rsid w:val="00C421FE"/>
    <w:rsid w:val="00C43340"/>
    <w:rsid w:val="00C444F9"/>
    <w:rsid w:val="00C44ADA"/>
    <w:rsid w:val="00C44EA7"/>
    <w:rsid w:val="00C451CC"/>
    <w:rsid w:val="00C45B1A"/>
    <w:rsid w:val="00C46060"/>
    <w:rsid w:val="00C46C40"/>
    <w:rsid w:val="00C46DC1"/>
    <w:rsid w:val="00C47676"/>
    <w:rsid w:val="00C500C3"/>
    <w:rsid w:val="00C50711"/>
    <w:rsid w:val="00C50EB3"/>
    <w:rsid w:val="00C51C1F"/>
    <w:rsid w:val="00C523C6"/>
    <w:rsid w:val="00C5258F"/>
    <w:rsid w:val="00C525BA"/>
    <w:rsid w:val="00C52A38"/>
    <w:rsid w:val="00C52A3E"/>
    <w:rsid w:val="00C52F10"/>
    <w:rsid w:val="00C53065"/>
    <w:rsid w:val="00C54204"/>
    <w:rsid w:val="00C549DF"/>
    <w:rsid w:val="00C54B35"/>
    <w:rsid w:val="00C555F7"/>
    <w:rsid w:val="00C561AB"/>
    <w:rsid w:val="00C56446"/>
    <w:rsid w:val="00C574CE"/>
    <w:rsid w:val="00C60863"/>
    <w:rsid w:val="00C61894"/>
    <w:rsid w:val="00C61D87"/>
    <w:rsid w:val="00C6256C"/>
    <w:rsid w:val="00C6285D"/>
    <w:rsid w:val="00C62F9D"/>
    <w:rsid w:val="00C639E3"/>
    <w:rsid w:val="00C6536C"/>
    <w:rsid w:val="00C6652E"/>
    <w:rsid w:val="00C66A45"/>
    <w:rsid w:val="00C672CB"/>
    <w:rsid w:val="00C67525"/>
    <w:rsid w:val="00C67A50"/>
    <w:rsid w:val="00C70267"/>
    <w:rsid w:val="00C70563"/>
    <w:rsid w:val="00C71292"/>
    <w:rsid w:val="00C71484"/>
    <w:rsid w:val="00C716CA"/>
    <w:rsid w:val="00C735A7"/>
    <w:rsid w:val="00C74884"/>
    <w:rsid w:val="00C74950"/>
    <w:rsid w:val="00C74B02"/>
    <w:rsid w:val="00C74B2A"/>
    <w:rsid w:val="00C756E0"/>
    <w:rsid w:val="00C76FAC"/>
    <w:rsid w:val="00C7763F"/>
    <w:rsid w:val="00C779A3"/>
    <w:rsid w:val="00C77ADE"/>
    <w:rsid w:val="00C77CD7"/>
    <w:rsid w:val="00C81E3B"/>
    <w:rsid w:val="00C82A9D"/>
    <w:rsid w:val="00C84010"/>
    <w:rsid w:val="00C84210"/>
    <w:rsid w:val="00C84EE3"/>
    <w:rsid w:val="00C8566F"/>
    <w:rsid w:val="00C85EC9"/>
    <w:rsid w:val="00C85F5E"/>
    <w:rsid w:val="00C86287"/>
    <w:rsid w:val="00C86432"/>
    <w:rsid w:val="00C86B3C"/>
    <w:rsid w:val="00C86C8F"/>
    <w:rsid w:val="00C86FAF"/>
    <w:rsid w:val="00C87C2E"/>
    <w:rsid w:val="00C87C43"/>
    <w:rsid w:val="00C90DBF"/>
    <w:rsid w:val="00C913C8"/>
    <w:rsid w:val="00C916BB"/>
    <w:rsid w:val="00C91827"/>
    <w:rsid w:val="00C922BB"/>
    <w:rsid w:val="00C92B15"/>
    <w:rsid w:val="00C9315B"/>
    <w:rsid w:val="00C9385E"/>
    <w:rsid w:val="00C93F49"/>
    <w:rsid w:val="00C9763D"/>
    <w:rsid w:val="00C979D0"/>
    <w:rsid w:val="00C97BF4"/>
    <w:rsid w:val="00CA023A"/>
    <w:rsid w:val="00CA0E10"/>
    <w:rsid w:val="00CA1E86"/>
    <w:rsid w:val="00CA2757"/>
    <w:rsid w:val="00CA2DC4"/>
    <w:rsid w:val="00CA3C0D"/>
    <w:rsid w:val="00CA3D7F"/>
    <w:rsid w:val="00CA410E"/>
    <w:rsid w:val="00CA447E"/>
    <w:rsid w:val="00CA476F"/>
    <w:rsid w:val="00CA56B2"/>
    <w:rsid w:val="00CA71DF"/>
    <w:rsid w:val="00CA7DCD"/>
    <w:rsid w:val="00CB0120"/>
    <w:rsid w:val="00CB02D2"/>
    <w:rsid w:val="00CB031A"/>
    <w:rsid w:val="00CB082A"/>
    <w:rsid w:val="00CB091A"/>
    <w:rsid w:val="00CB0CDF"/>
    <w:rsid w:val="00CB0FE7"/>
    <w:rsid w:val="00CB30D8"/>
    <w:rsid w:val="00CB528D"/>
    <w:rsid w:val="00CB5B2B"/>
    <w:rsid w:val="00CB7321"/>
    <w:rsid w:val="00CB776A"/>
    <w:rsid w:val="00CB7E0A"/>
    <w:rsid w:val="00CC00DA"/>
    <w:rsid w:val="00CC0F25"/>
    <w:rsid w:val="00CC3A42"/>
    <w:rsid w:val="00CC421B"/>
    <w:rsid w:val="00CC4852"/>
    <w:rsid w:val="00CC4FE8"/>
    <w:rsid w:val="00CC56B5"/>
    <w:rsid w:val="00CC58FF"/>
    <w:rsid w:val="00CC5E53"/>
    <w:rsid w:val="00CC6377"/>
    <w:rsid w:val="00CC6755"/>
    <w:rsid w:val="00CC7698"/>
    <w:rsid w:val="00CC783F"/>
    <w:rsid w:val="00CC7AEB"/>
    <w:rsid w:val="00CC7BC1"/>
    <w:rsid w:val="00CD03D6"/>
    <w:rsid w:val="00CD0E3C"/>
    <w:rsid w:val="00CD10C2"/>
    <w:rsid w:val="00CD1BC6"/>
    <w:rsid w:val="00CD1F12"/>
    <w:rsid w:val="00CD290A"/>
    <w:rsid w:val="00CD457E"/>
    <w:rsid w:val="00CD4726"/>
    <w:rsid w:val="00CD5DF4"/>
    <w:rsid w:val="00CD5F23"/>
    <w:rsid w:val="00CE10BD"/>
    <w:rsid w:val="00CE135B"/>
    <w:rsid w:val="00CE15D9"/>
    <w:rsid w:val="00CE18F6"/>
    <w:rsid w:val="00CE1F17"/>
    <w:rsid w:val="00CE1FFC"/>
    <w:rsid w:val="00CE2C30"/>
    <w:rsid w:val="00CE4A58"/>
    <w:rsid w:val="00CE4DFA"/>
    <w:rsid w:val="00CE63F6"/>
    <w:rsid w:val="00CE7F13"/>
    <w:rsid w:val="00CF008D"/>
    <w:rsid w:val="00CF0186"/>
    <w:rsid w:val="00CF21D7"/>
    <w:rsid w:val="00CF289C"/>
    <w:rsid w:val="00CF3FB2"/>
    <w:rsid w:val="00CF59AB"/>
    <w:rsid w:val="00CF5EF8"/>
    <w:rsid w:val="00CF6033"/>
    <w:rsid w:val="00CF6D2A"/>
    <w:rsid w:val="00CF6FA4"/>
    <w:rsid w:val="00D0000C"/>
    <w:rsid w:val="00D004BE"/>
    <w:rsid w:val="00D00DBC"/>
    <w:rsid w:val="00D03586"/>
    <w:rsid w:val="00D0375C"/>
    <w:rsid w:val="00D04063"/>
    <w:rsid w:val="00D04EC3"/>
    <w:rsid w:val="00D05726"/>
    <w:rsid w:val="00D05D95"/>
    <w:rsid w:val="00D062DC"/>
    <w:rsid w:val="00D075C6"/>
    <w:rsid w:val="00D07E80"/>
    <w:rsid w:val="00D1063A"/>
    <w:rsid w:val="00D11132"/>
    <w:rsid w:val="00D112C8"/>
    <w:rsid w:val="00D1144B"/>
    <w:rsid w:val="00D11697"/>
    <w:rsid w:val="00D12B97"/>
    <w:rsid w:val="00D13107"/>
    <w:rsid w:val="00D13F63"/>
    <w:rsid w:val="00D14FB9"/>
    <w:rsid w:val="00D15901"/>
    <w:rsid w:val="00D15CED"/>
    <w:rsid w:val="00D15FF5"/>
    <w:rsid w:val="00D200B1"/>
    <w:rsid w:val="00D202F5"/>
    <w:rsid w:val="00D213E9"/>
    <w:rsid w:val="00D21ACF"/>
    <w:rsid w:val="00D221DD"/>
    <w:rsid w:val="00D22E04"/>
    <w:rsid w:val="00D23426"/>
    <w:rsid w:val="00D238D2"/>
    <w:rsid w:val="00D245C1"/>
    <w:rsid w:val="00D24D8E"/>
    <w:rsid w:val="00D2539D"/>
    <w:rsid w:val="00D259C5"/>
    <w:rsid w:val="00D26F00"/>
    <w:rsid w:val="00D30E72"/>
    <w:rsid w:val="00D31293"/>
    <w:rsid w:val="00D32379"/>
    <w:rsid w:val="00D33334"/>
    <w:rsid w:val="00D336CF"/>
    <w:rsid w:val="00D33C93"/>
    <w:rsid w:val="00D3454C"/>
    <w:rsid w:val="00D3464A"/>
    <w:rsid w:val="00D34DF9"/>
    <w:rsid w:val="00D35857"/>
    <w:rsid w:val="00D36B98"/>
    <w:rsid w:val="00D36BDA"/>
    <w:rsid w:val="00D36D76"/>
    <w:rsid w:val="00D37F45"/>
    <w:rsid w:val="00D401BF"/>
    <w:rsid w:val="00D40BD2"/>
    <w:rsid w:val="00D4105E"/>
    <w:rsid w:val="00D41243"/>
    <w:rsid w:val="00D42E24"/>
    <w:rsid w:val="00D43BD3"/>
    <w:rsid w:val="00D4434B"/>
    <w:rsid w:val="00D44CE9"/>
    <w:rsid w:val="00D45067"/>
    <w:rsid w:val="00D45E7E"/>
    <w:rsid w:val="00D46107"/>
    <w:rsid w:val="00D46D2B"/>
    <w:rsid w:val="00D47C0C"/>
    <w:rsid w:val="00D504CD"/>
    <w:rsid w:val="00D50854"/>
    <w:rsid w:val="00D50899"/>
    <w:rsid w:val="00D50E54"/>
    <w:rsid w:val="00D51062"/>
    <w:rsid w:val="00D51596"/>
    <w:rsid w:val="00D526BA"/>
    <w:rsid w:val="00D52AAB"/>
    <w:rsid w:val="00D5346E"/>
    <w:rsid w:val="00D54158"/>
    <w:rsid w:val="00D542F8"/>
    <w:rsid w:val="00D54D9B"/>
    <w:rsid w:val="00D54EF0"/>
    <w:rsid w:val="00D60BD6"/>
    <w:rsid w:val="00D60DAA"/>
    <w:rsid w:val="00D6148F"/>
    <w:rsid w:val="00D6165B"/>
    <w:rsid w:val="00D62376"/>
    <w:rsid w:val="00D637A1"/>
    <w:rsid w:val="00D637DE"/>
    <w:rsid w:val="00D63D4F"/>
    <w:rsid w:val="00D63D53"/>
    <w:rsid w:val="00D65053"/>
    <w:rsid w:val="00D658F7"/>
    <w:rsid w:val="00D65A6E"/>
    <w:rsid w:val="00D65E57"/>
    <w:rsid w:val="00D6723E"/>
    <w:rsid w:val="00D67285"/>
    <w:rsid w:val="00D674FA"/>
    <w:rsid w:val="00D6768B"/>
    <w:rsid w:val="00D67750"/>
    <w:rsid w:val="00D67C9F"/>
    <w:rsid w:val="00D7025B"/>
    <w:rsid w:val="00D7132C"/>
    <w:rsid w:val="00D71334"/>
    <w:rsid w:val="00D71340"/>
    <w:rsid w:val="00D72181"/>
    <w:rsid w:val="00D738CA"/>
    <w:rsid w:val="00D7396F"/>
    <w:rsid w:val="00D748CE"/>
    <w:rsid w:val="00D753E6"/>
    <w:rsid w:val="00D759E5"/>
    <w:rsid w:val="00D75E00"/>
    <w:rsid w:val="00D76A33"/>
    <w:rsid w:val="00D801FB"/>
    <w:rsid w:val="00D80585"/>
    <w:rsid w:val="00D8183D"/>
    <w:rsid w:val="00D81AD1"/>
    <w:rsid w:val="00D81AF1"/>
    <w:rsid w:val="00D8269F"/>
    <w:rsid w:val="00D83267"/>
    <w:rsid w:val="00D843D7"/>
    <w:rsid w:val="00D8449E"/>
    <w:rsid w:val="00D848BB"/>
    <w:rsid w:val="00D84A29"/>
    <w:rsid w:val="00D84CDB"/>
    <w:rsid w:val="00D84E4B"/>
    <w:rsid w:val="00D8560D"/>
    <w:rsid w:val="00D867E3"/>
    <w:rsid w:val="00D90345"/>
    <w:rsid w:val="00D90A44"/>
    <w:rsid w:val="00D915ED"/>
    <w:rsid w:val="00D92A4E"/>
    <w:rsid w:val="00D942DA"/>
    <w:rsid w:val="00D94682"/>
    <w:rsid w:val="00D955CC"/>
    <w:rsid w:val="00D95D50"/>
    <w:rsid w:val="00D967DF"/>
    <w:rsid w:val="00D9696B"/>
    <w:rsid w:val="00D96B58"/>
    <w:rsid w:val="00D96EAA"/>
    <w:rsid w:val="00D97282"/>
    <w:rsid w:val="00D97D5E"/>
    <w:rsid w:val="00D97E15"/>
    <w:rsid w:val="00D97F50"/>
    <w:rsid w:val="00DA09F7"/>
    <w:rsid w:val="00DA0D04"/>
    <w:rsid w:val="00DA1220"/>
    <w:rsid w:val="00DA14B7"/>
    <w:rsid w:val="00DA2441"/>
    <w:rsid w:val="00DA29DD"/>
    <w:rsid w:val="00DA302D"/>
    <w:rsid w:val="00DA3D2E"/>
    <w:rsid w:val="00DA4017"/>
    <w:rsid w:val="00DA42C6"/>
    <w:rsid w:val="00DA51BA"/>
    <w:rsid w:val="00DA5248"/>
    <w:rsid w:val="00DA59D3"/>
    <w:rsid w:val="00DA5B94"/>
    <w:rsid w:val="00DA5D75"/>
    <w:rsid w:val="00DA5ED1"/>
    <w:rsid w:val="00DA68B2"/>
    <w:rsid w:val="00DA72DC"/>
    <w:rsid w:val="00DA7EFB"/>
    <w:rsid w:val="00DB0B5D"/>
    <w:rsid w:val="00DB0D1C"/>
    <w:rsid w:val="00DB16ED"/>
    <w:rsid w:val="00DB1CAA"/>
    <w:rsid w:val="00DB377D"/>
    <w:rsid w:val="00DB5C4C"/>
    <w:rsid w:val="00DB5C76"/>
    <w:rsid w:val="00DB6E45"/>
    <w:rsid w:val="00DB7684"/>
    <w:rsid w:val="00DC0159"/>
    <w:rsid w:val="00DC0282"/>
    <w:rsid w:val="00DC0500"/>
    <w:rsid w:val="00DC086F"/>
    <w:rsid w:val="00DC0C66"/>
    <w:rsid w:val="00DC193F"/>
    <w:rsid w:val="00DC21BD"/>
    <w:rsid w:val="00DC2BB9"/>
    <w:rsid w:val="00DC30AD"/>
    <w:rsid w:val="00DC3497"/>
    <w:rsid w:val="00DC3930"/>
    <w:rsid w:val="00DC47AA"/>
    <w:rsid w:val="00DC5090"/>
    <w:rsid w:val="00DC54BF"/>
    <w:rsid w:val="00DC57BA"/>
    <w:rsid w:val="00DC6494"/>
    <w:rsid w:val="00DC69E7"/>
    <w:rsid w:val="00DC7584"/>
    <w:rsid w:val="00DC7B1D"/>
    <w:rsid w:val="00DD0A45"/>
    <w:rsid w:val="00DD1675"/>
    <w:rsid w:val="00DD1854"/>
    <w:rsid w:val="00DD1A8F"/>
    <w:rsid w:val="00DD1ED1"/>
    <w:rsid w:val="00DD2133"/>
    <w:rsid w:val="00DD24EC"/>
    <w:rsid w:val="00DD2B27"/>
    <w:rsid w:val="00DD3D30"/>
    <w:rsid w:val="00DD3FB7"/>
    <w:rsid w:val="00DD4292"/>
    <w:rsid w:val="00DD50EC"/>
    <w:rsid w:val="00DD6D90"/>
    <w:rsid w:val="00DD6F82"/>
    <w:rsid w:val="00DD776A"/>
    <w:rsid w:val="00DD7C7F"/>
    <w:rsid w:val="00DE05EA"/>
    <w:rsid w:val="00DE0E17"/>
    <w:rsid w:val="00DE1DDD"/>
    <w:rsid w:val="00DE2490"/>
    <w:rsid w:val="00DE261E"/>
    <w:rsid w:val="00DE26C0"/>
    <w:rsid w:val="00DE2B2A"/>
    <w:rsid w:val="00DE2F8D"/>
    <w:rsid w:val="00DE303B"/>
    <w:rsid w:val="00DE3065"/>
    <w:rsid w:val="00DE40BE"/>
    <w:rsid w:val="00DE4784"/>
    <w:rsid w:val="00DE69C2"/>
    <w:rsid w:val="00DE69CA"/>
    <w:rsid w:val="00DE7144"/>
    <w:rsid w:val="00DF0F46"/>
    <w:rsid w:val="00DF258A"/>
    <w:rsid w:val="00DF262D"/>
    <w:rsid w:val="00DF3569"/>
    <w:rsid w:val="00DF3691"/>
    <w:rsid w:val="00DF4A45"/>
    <w:rsid w:val="00DF4E11"/>
    <w:rsid w:val="00DF69BE"/>
    <w:rsid w:val="00DF78D1"/>
    <w:rsid w:val="00DF794B"/>
    <w:rsid w:val="00DF7C56"/>
    <w:rsid w:val="00E01676"/>
    <w:rsid w:val="00E01853"/>
    <w:rsid w:val="00E0251E"/>
    <w:rsid w:val="00E03175"/>
    <w:rsid w:val="00E031C3"/>
    <w:rsid w:val="00E03344"/>
    <w:rsid w:val="00E03B49"/>
    <w:rsid w:val="00E03BD3"/>
    <w:rsid w:val="00E03E99"/>
    <w:rsid w:val="00E04182"/>
    <w:rsid w:val="00E05735"/>
    <w:rsid w:val="00E0589F"/>
    <w:rsid w:val="00E05FC9"/>
    <w:rsid w:val="00E06220"/>
    <w:rsid w:val="00E063D7"/>
    <w:rsid w:val="00E065E4"/>
    <w:rsid w:val="00E066DA"/>
    <w:rsid w:val="00E10117"/>
    <w:rsid w:val="00E10B70"/>
    <w:rsid w:val="00E10D16"/>
    <w:rsid w:val="00E11893"/>
    <w:rsid w:val="00E121CA"/>
    <w:rsid w:val="00E12277"/>
    <w:rsid w:val="00E126A8"/>
    <w:rsid w:val="00E12DE3"/>
    <w:rsid w:val="00E13115"/>
    <w:rsid w:val="00E1367F"/>
    <w:rsid w:val="00E14525"/>
    <w:rsid w:val="00E14C89"/>
    <w:rsid w:val="00E15F7D"/>
    <w:rsid w:val="00E1655A"/>
    <w:rsid w:val="00E1719B"/>
    <w:rsid w:val="00E17B3A"/>
    <w:rsid w:val="00E207AF"/>
    <w:rsid w:val="00E21471"/>
    <w:rsid w:val="00E216A6"/>
    <w:rsid w:val="00E2297A"/>
    <w:rsid w:val="00E230DB"/>
    <w:rsid w:val="00E231C0"/>
    <w:rsid w:val="00E26B34"/>
    <w:rsid w:val="00E27437"/>
    <w:rsid w:val="00E2749E"/>
    <w:rsid w:val="00E300A4"/>
    <w:rsid w:val="00E302ED"/>
    <w:rsid w:val="00E30489"/>
    <w:rsid w:val="00E3107B"/>
    <w:rsid w:val="00E312E5"/>
    <w:rsid w:val="00E32392"/>
    <w:rsid w:val="00E323AF"/>
    <w:rsid w:val="00E323B9"/>
    <w:rsid w:val="00E332F7"/>
    <w:rsid w:val="00E338FF"/>
    <w:rsid w:val="00E34682"/>
    <w:rsid w:val="00E35990"/>
    <w:rsid w:val="00E35B18"/>
    <w:rsid w:val="00E35E1E"/>
    <w:rsid w:val="00E35EA7"/>
    <w:rsid w:val="00E36281"/>
    <w:rsid w:val="00E36780"/>
    <w:rsid w:val="00E36F79"/>
    <w:rsid w:val="00E374E0"/>
    <w:rsid w:val="00E37AD9"/>
    <w:rsid w:val="00E37D07"/>
    <w:rsid w:val="00E41ECE"/>
    <w:rsid w:val="00E4270F"/>
    <w:rsid w:val="00E42744"/>
    <w:rsid w:val="00E435E0"/>
    <w:rsid w:val="00E44968"/>
    <w:rsid w:val="00E44F98"/>
    <w:rsid w:val="00E4575D"/>
    <w:rsid w:val="00E45A71"/>
    <w:rsid w:val="00E45BB6"/>
    <w:rsid w:val="00E46528"/>
    <w:rsid w:val="00E4685B"/>
    <w:rsid w:val="00E47430"/>
    <w:rsid w:val="00E475FE"/>
    <w:rsid w:val="00E4775F"/>
    <w:rsid w:val="00E47B0B"/>
    <w:rsid w:val="00E501BF"/>
    <w:rsid w:val="00E50484"/>
    <w:rsid w:val="00E5120F"/>
    <w:rsid w:val="00E521ED"/>
    <w:rsid w:val="00E523EB"/>
    <w:rsid w:val="00E523F8"/>
    <w:rsid w:val="00E5318A"/>
    <w:rsid w:val="00E53C53"/>
    <w:rsid w:val="00E53F4F"/>
    <w:rsid w:val="00E54900"/>
    <w:rsid w:val="00E54A87"/>
    <w:rsid w:val="00E54A9D"/>
    <w:rsid w:val="00E54AC7"/>
    <w:rsid w:val="00E54C15"/>
    <w:rsid w:val="00E54C40"/>
    <w:rsid w:val="00E55503"/>
    <w:rsid w:val="00E5661B"/>
    <w:rsid w:val="00E5678D"/>
    <w:rsid w:val="00E57DFF"/>
    <w:rsid w:val="00E61899"/>
    <w:rsid w:val="00E624AF"/>
    <w:rsid w:val="00E63B5E"/>
    <w:rsid w:val="00E6447D"/>
    <w:rsid w:val="00E64B3B"/>
    <w:rsid w:val="00E64B4E"/>
    <w:rsid w:val="00E6516A"/>
    <w:rsid w:val="00E67487"/>
    <w:rsid w:val="00E677A2"/>
    <w:rsid w:val="00E67814"/>
    <w:rsid w:val="00E6783B"/>
    <w:rsid w:val="00E67BC8"/>
    <w:rsid w:val="00E67C65"/>
    <w:rsid w:val="00E67E7B"/>
    <w:rsid w:val="00E702CD"/>
    <w:rsid w:val="00E70A7F"/>
    <w:rsid w:val="00E71122"/>
    <w:rsid w:val="00E72331"/>
    <w:rsid w:val="00E72A8B"/>
    <w:rsid w:val="00E72AFF"/>
    <w:rsid w:val="00E73055"/>
    <w:rsid w:val="00E74704"/>
    <w:rsid w:val="00E75105"/>
    <w:rsid w:val="00E7526F"/>
    <w:rsid w:val="00E75ACF"/>
    <w:rsid w:val="00E77696"/>
    <w:rsid w:val="00E809A8"/>
    <w:rsid w:val="00E812FD"/>
    <w:rsid w:val="00E814AC"/>
    <w:rsid w:val="00E81C52"/>
    <w:rsid w:val="00E81DF8"/>
    <w:rsid w:val="00E82A7A"/>
    <w:rsid w:val="00E82B88"/>
    <w:rsid w:val="00E835EE"/>
    <w:rsid w:val="00E8384F"/>
    <w:rsid w:val="00E84518"/>
    <w:rsid w:val="00E84E99"/>
    <w:rsid w:val="00E85556"/>
    <w:rsid w:val="00E85711"/>
    <w:rsid w:val="00E857A6"/>
    <w:rsid w:val="00E85B47"/>
    <w:rsid w:val="00E8606D"/>
    <w:rsid w:val="00E87584"/>
    <w:rsid w:val="00E87F29"/>
    <w:rsid w:val="00E900DB"/>
    <w:rsid w:val="00E901C8"/>
    <w:rsid w:val="00E91584"/>
    <w:rsid w:val="00E9166D"/>
    <w:rsid w:val="00E917E1"/>
    <w:rsid w:val="00E92258"/>
    <w:rsid w:val="00E9233E"/>
    <w:rsid w:val="00E9253B"/>
    <w:rsid w:val="00E928A6"/>
    <w:rsid w:val="00E92C22"/>
    <w:rsid w:val="00E92CA9"/>
    <w:rsid w:val="00E92F00"/>
    <w:rsid w:val="00E95267"/>
    <w:rsid w:val="00E9559D"/>
    <w:rsid w:val="00E95C34"/>
    <w:rsid w:val="00E96D3F"/>
    <w:rsid w:val="00E970B3"/>
    <w:rsid w:val="00E9758C"/>
    <w:rsid w:val="00E97592"/>
    <w:rsid w:val="00EA0741"/>
    <w:rsid w:val="00EA16B3"/>
    <w:rsid w:val="00EA2A81"/>
    <w:rsid w:val="00EA35D6"/>
    <w:rsid w:val="00EA39C6"/>
    <w:rsid w:val="00EA548F"/>
    <w:rsid w:val="00EA5DEE"/>
    <w:rsid w:val="00EA5F09"/>
    <w:rsid w:val="00EA6B3B"/>
    <w:rsid w:val="00EA6B8F"/>
    <w:rsid w:val="00EA7310"/>
    <w:rsid w:val="00EA7477"/>
    <w:rsid w:val="00EA77F3"/>
    <w:rsid w:val="00EB00E5"/>
    <w:rsid w:val="00EB166A"/>
    <w:rsid w:val="00EB21A9"/>
    <w:rsid w:val="00EB28C1"/>
    <w:rsid w:val="00EB2CD3"/>
    <w:rsid w:val="00EB2DB6"/>
    <w:rsid w:val="00EB2DB7"/>
    <w:rsid w:val="00EB3DAA"/>
    <w:rsid w:val="00EB3EDF"/>
    <w:rsid w:val="00EB4056"/>
    <w:rsid w:val="00EB4A03"/>
    <w:rsid w:val="00EB5D6A"/>
    <w:rsid w:val="00EB7414"/>
    <w:rsid w:val="00EC0839"/>
    <w:rsid w:val="00EC2FB1"/>
    <w:rsid w:val="00EC2FEC"/>
    <w:rsid w:val="00EC3F55"/>
    <w:rsid w:val="00EC4AE7"/>
    <w:rsid w:val="00EC4CF7"/>
    <w:rsid w:val="00EC5D8C"/>
    <w:rsid w:val="00EC7948"/>
    <w:rsid w:val="00EC7C5A"/>
    <w:rsid w:val="00ED0125"/>
    <w:rsid w:val="00ED1223"/>
    <w:rsid w:val="00ED1D4D"/>
    <w:rsid w:val="00ED2B63"/>
    <w:rsid w:val="00ED30BF"/>
    <w:rsid w:val="00ED3D9E"/>
    <w:rsid w:val="00ED43F7"/>
    <w:rsid w:val="00ED48BB"/>
    <w:rsid w:val="00ED7D08"/>
    <w:rsid w:val="00EE02EA"/>
    <w:rsid w:val="00EE0322"/>
    <w:rsid w:val="00EE0739"/>
    <w:rsid w:val="00EE0842"/>
    <w:rsid w:val="00EE12CF"/>
    <w:rsid w:val="00EE167B"/>
    <w:rsid w:val="00EE181C"/>
    <w:rsid w:val="00EE19BF"/>
    <w:rsid w:val="00EE26D6"/>
    <w:rsid w:val="00EE2959"/>
    <w:rsid w:val="00EE2D4B"/>
    <w:rsid w:val="00EE32B7"/>
    <w:rsid w:val="00EE3BC3"/>
    <w:rsid w:val="00EE44DF"/>
    <w:rsid w:val="00EE5593"/>
    <w:rsid w:val="00EE597D"/>
    <w:rsid w:val="00EE6774"/>
    <w:rsid w:val="00EE6EFA"/>
    <w:rsid w:val="00EE79C9"/>
    <w:rsid w:val="00EE7BD4"/>
    <w:rsid w:val="00EF06E7"/>
    <w:rsid w:val="00EF4035"/>
    <w:rsid w:val="00EF6697"/>
    <w:rsid w:val="00EF6E86"/>
    <w:rsid w:val="00EF7D64"/>
    <w:rsid w:val="00EF7F1D"/>
    <w:rsid w:val="00F0000F"/>
    <w:rsid w:val="00F00150"/>
    <w:rsid w:val="00F00AF7"/>
    <w:rsid w:val="00F01066"/>
    <w:rsid w:val="00F01990"/>
    <w:rsid w:val="00F03106"/>
    <w:rsid w:val="00F03337"/>
    <w:rsid w:val="00F033E6"/>
    <w:rsid w:val="00F0507C"/>
    <w:rsid w:val="00F050C1"/>
    <w:rsid w:val="00F0511D"/>
    <w:rsid w:val="00F05AD6"/>
    <w:rsid w:val="00F05BAD"/>
    <w:rsid w:val="00F05E57"/>
    <w:rsid w:val="00F05E5F"/>
    <w:rsid w:val="00F05F9A"/>
    <w:rsid w:val="00F0652B"/>
    <w:rsid w:val="00F06BEB"/>
    <w:rsid w:val="00F06F4A"/>
    <w:rsid w:val="00F07057"/>
    <w:rsid w:val="00F07694"/>
    <w:rsid w:val="00F07BDD"/>
    <w:rsid w:val="00F07F26"/>
    <w:rsid w:val="00F12D19"/>
    <w:rsid w:val="00F13029"/>
    <w:rsid w:val="00F13177"/>
    <w:rsid w:val="00F14081"/>
    <w:rsid w:val="00F1412A"/>
    <w:rsid w:val="00F142D0"/>
    <w:rsid w:val="00F15405"/>
    <w:rsid w:val="00F1588F"/>
    <w:rsid w:val="00F16B6C"/>
    <w:rsid w:val="00F171EE"/>
    <w:rsid w:val="00F17268"/>
    <w:rsid w:val="00F176C9"/>
    <w:rsid w:val="00F215C3"/>
    <w:rsid w:val="00F21DC9"/>
    <w:rsid w:val="00F232B9"/>
    <w:rsid w:val="00F23784"/>
    <w:rsid w:val="00F2720D"/>
    <w:rsid w:val="00F27672"/>
    <w:rsid w:val="00F30113"/>
    <w:rsid w:val="00F30F42"/>
    <w:rsid w:val="00F30F87"/>
    <w:rsid w:val="00F30FFE"/>
    <w:rsid w:val="00F31067"/>
    <w:rsid w:val="00F315D4"/>
    <w:rsid w:val="00F3192B"/>
    <w:rsid w:val="00F3385A"/>
    <w:rsid w:val="00F356D3"/>
    <w:rsid w:val="00F35D97"/>
    <w:rsid w:val="00F35ED7"/>
    <w:rsid w:val="00F35F1E"/>
    <w:rsid w:val="00F369CF"/>
    <w:rsid w:val="00F36B98"/>
    <w:rsid w:val="00F36E4A"/>
    <w:rsid w:val="00F37B4F"/>
    <w:rsid w:val="00F40720"/>
    <w:rsid w:val="00F416A2"/>
    <w:rsid w:val="00F41E46"/>
    <w:rsid w:val="00F42328"/>
    <w:rsid w:val="00F4253D"/>
    <w:rsid w:val="00F42671"/>
    <w:rsid w:val="00F43870"/>
    <w:rsid w:val="00F4389C"/>
    <w:rsid w:val="00F43980"/>
    <w:rsid w:val="00F43B1B"/>
    <w:rsid w:val="00F43C37"/>
    <w:rsid w:val="00F43C4C"/>
    <w:rsid w:val="00F45291"/>
    <w:rsid w:val="00F453DA"/>
    <w:rsid w:val="00F45A38"/>
    <w:rsid w:val="00F46693"/>
    <w:rsid w:val="00F468C6"/>
    <w:rsid w:val="00F46912"/>
    <w:rsid w:val="00F46DAC"/>
    <w:rsid w:val="00F4782A"/>
    <w:rsid w:val="00F47B1C"/>
    <w:rsid w:val="00F47DD4"/>
    <w:rsid w:val="00F50230"/>
    <w:rsid w:val="00F503DD"/>
    <w:rsid w:val="00F50CB0"/>
    <w:rsid w:val="00F525AE"/>
    <w:rsid w:val="00F54125"/>
    <w:rsid w:val="00F54657"/>
    <w:rsid w:val="00F54975"/>
    <w:rsid w:val="00F54E7B"/>
    <w:rsid w:val="00F55563"/>
    <w:rsid w:val="00F56B3E"/>
    <w:rsid w:val="00F56DC0"/>
    <w:rsid w:val="00F57050"/>
    <w:rsid w:val="00F60452"/>
    <w:rsid w:val="00F60AB3"/>
    <w:rsid w:val="00F612C8"/>
    <w:rsid w:val="00F6164E"/>
    <w:rsid w:val="00F61DE6"/>
    <w:rsid w:val="00F63868"/>
    <w:rsid w:val="00F63A3C"/>
    <w:rsid w:val="00F63E63"/>
    <w:rsid w:val="00F6495E"/>
    <w:rsid w:val="00F6496A"/>
    <w:rsid w:val="00F66FE7"/>
    <w:rsid w:val="00F7000C"/>
    <w:rsid w:val="00F701FD"/>
    <w:rsid w:val="00F71008"/>
    <w:rsid w:val="00F71169"/>
    <w:rsid w:val="00F724A9"/>
    <w:rsid w:val="00F74315"/>
    <w:rsid w:val="00F74323"/>
    <w:rsid w:val="00F74CC3"/>
    <w:rsid w:val="00F74D33"/>
    <w:rsid w:val="00F75823"/>
    <w:rsid w:val="00F764AC"/>
    <w:rsid w:val="00F81978"/>
    <w:rsid w:val="00F8252B"/>
    <w:rsid w:val="00F82891"/>
    <w:rsid w:val="00F828D1"/>
    <w:rsid w:val="00F829C6"/>
    <w:rsid w:val="00F82B34"/>
    <w:rsid w:val="00F82C56"/>
    <w:rsid w:val="00F8345B"/>
    <w:rsid w:val="00F83853"/>
    <w:rsid w:val="00F84267"/>
    <w:rsid w:val="00F8472A"/>
    <w:rsid w:val="00F84A29"/>
    <w:rsid w:val="00F84E9B"/>
    <w:rsid w:val="00F859A4"/>
    <w:rsid w:val="00F86B4A"/>
    <w:rsid w:val="00F86C75"/>
    <w:rsid w:val="00F87795"/>
    <w:rsid w:val="00F87B22"/>
    <w:rsid w:val="00F87E78"/>
    <w:rsid w:val="00F90595"/>
    <w:rsid w:val="00F913C1"/>
    <w:rsid w:val="00F929AC"/>
    <w:rsid w:val="00F93715"/>
    <w:rsid w:val="00F942DF"/>
    <w:rsid w:val="00F95500"/>
    <w:rsid w:val="00F96090"/>
    <w:rsid w:val="00F96159"/>
    <w:rsid w:val="00F9677C"/>
    <w:rsid w:val="00F96952"/>
    <w:rsid w:val="00F96BDA"/>
    <w:rsid w:val="00F9770D"/>
    <w:rsid w:val="00F97FB3"/>
    <w:rsid w:val="00FA02AF"/>
    <w:rsid w:val="00FA0382"/>
    <w:rsid w:val="00FA1B11"/>
    <w:rsid w:val="00FA1EB8"/>
    <w:rsid w:val="00FA477D"/>
    <w:rsid w:val="00FA4CDA"/>
    <w:rsid w:val="00FA72A2"/>
    <w:rsid w:val="00FA7EEB"/>
    <w:rsid w:val="00FB0004"/>
    <w:rsid w:val="00FB049C"/>
    <w:rsid w:val="00FB128F"/>
    <w:rsid w:val="00FB14A9"/>
    <w:rsid w:val="00FB1C19"/>
    <w:rsid w:val="00FB1D69"/>
    <w:rsid w:val="00FB315D"/>
    <w:rsid w:val="00FB3823"/>
    <w:rsid w:val="00FB48D4"/>
    <w:rsid w:val="00FB65C9"/>
    <w:rsid w:val="00FB68FA"/>
    <w:rsid w:val="00FB6D58"/>
    <w:rsid w:val="00FB70F4"/>
    <w:rsid w:val="00FB7325"/>
    <w:rsid w:val="00FC0871"/>
    <w:rsid w:val="00FC0EAE"/>
    <w:rsid w:val="00FC13CF"/>
    <w:rsid w:val="00FC1FC3"/>
    <w:rsid w:val="00FC2012"/>
    <w:rsid w:val="00FC20F5"/>
    <w:rsid w:val="00FC27B2"/>
    <w:rsid w:val="00FC2F2C"/>
    <w:rsid w:val="00FC322C"/>
    <w:rsid w:val="00FC3F7C"/>
    <w:rsid w:val="00FC4451"/>
    <w:rsid w:val="00FC469E"/>
    <w:rsid w:val="00FC4B23"/>
    <w:rsid w:val="00FC68F1"/>
    <w:rsid w:val="00FC6E88"/>
    <w:rsid w:val="00FC70CB"/>
    <w:rsid w:val="00FC7F33"/>
    <w:rsid w:val="00FD0CA4"/>
    <w:rsid w:val="00FD0CBC"/>
    <w:rsid w:val="00FD1029"/>
    <w:rsid w:val="00FD2796"/>
    <w:rsid w:val="00FD3D3B"/>
    <w:rsid w:val="00FD4046"/>
    <w:rsid w:val="00FD6D2B"/>
    <w:rsid w:val="00FE0479"/>
    <w:rsid w:val="00FE0C58"/>
    <w:rsid w:val="00FE31D7"/>
    <w:rsid w:val="00FE3B26"/>
    <w:rsid w:val="00FE40D3"/>
    <w:rsid w:val="00FE4CC3"/>
    <w:rsid w:val="00FE519C"/>
    <w:rsid w:val="00FE57C2"/>
    <w:rsid w:val="00FE59F4"/>
    <w:rsid w:val="00FE60F6"/>
    <w:rsid w:val="00FE7027"/>
    <w:rsid w:val="00FE7BD9"/>
    <w:rsid w:val="00FF0130"/>
    <w:rsid w:val="00FF055E"/>
    <w:rsid w:val="00FF0959"/>
    <w:rsid w:val="00FF2891"/>
    <w:rsid w:val="00FF31F7"/>
    <w:rsid w:val="00FF33F4"/>
    <w:rsid w:val="00FF41BA"/>
    <w:rsid w:val="00FF4227"/>
    <w:rsid w:val="00FF4E89"/>
    <w:rsid w:val="00FF4ED5"/>
    <w:rsid w:val="00FF5621"/>
    <w:rsid w:val="00FF5898"/>
    <w:rsid w:val="00FF5EB2"/>
    <w:rsid w:val="00FF60E9"/>
    <w:rsid w:val="00FF6E2B"/>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89889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3679BF"/>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3679BF"/>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3679BF"/>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3679BF"/>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unhideWhenUsed/>
    <w:qFormat/>
    <w:rsid w:val="003679BF"/>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3679BF"/>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3679BF"/>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3679BF"/>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3679BF"/>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nhideWhenUsed/>
    <w:rsid w:val="00AF2305"/>
    <w:rPr>
      <w:rFonts w:ascii="Arial" w:hAnsi="Arial" w:cs="Arial"/>
      <w:sz w:val="20"/>
      <w:szCs w:val="20"/>
    </w:rPr>
  </w:style>
  <w:style w:type="character" w:customStyle="1" w:styleId="CommentTextChar">
    <w:name w:val="Comment Text Char"/>
    <w:basedOn w:val="DefaultParagraphFont"/>
    <w:link w:val="CommentText"/>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qFormat/>
    <w:rsid w:val="003679BF"/>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3679BF"/>
    <w:rPr>
      <w:rFonts w:ascii="Times New Roman" w:hAnsi="Times New Roman" w:cs="Times New Roman"/>
      <w:sz w:val="26"/>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3679BF"/>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nhideWhenUsed/>
    <w:rsid w:val="00407EE0"/>
    <w:rPr>
      <w:sz w:val="16"/>
      <w:szCs w:val="16"/>
    </w:rPr>
  </w:style>
  <w:style w:type="character" w:customStyle="1" w:styleId="UnresolvedMention1">
    <w:name w:val="Unresolved Mention1"/>
    <w:basedOn w:val="DefaultParagraphFont"/>
    <w:uiPriority w:val="99"/>
    <w:semiHidden/>
    <w:unhideWhenUsed/>
    <w:rsid w:val="004641F0"/>
    <w:rPr>
      <w:color w:val="605E5C"/>
      <w:shd w:val="clear" w:color="auto" w:fill="E1DFDD"/>
    </w:rPr>
  </w:style>
  <w:style w:type="paragraph" w:styleId="Revision">
    <w:name w:val="Revision"/>
    <w:hidden/>
    <w:uiPriority w:val="99"/>
    <w:semiHidden/>
    <w:rsid w:val="00D96B58"/>
    <w:pPr>
      <w:spacing w:after="0" w:line="240" w:lineRule="auto"/>
    </w:pPr>
    <w:rPr>
      <w:rFonts w:ascii="Times New Roman" w:hAnsi="Times New Roman" w:cs="Times New Roman"/>
      <w:sz w:val="26"/>
    </w:rPr>
  </w:style>
  <w:style w:type="table" w:customStyle="1" w:styleId="TableGrid1">
    <w:name w:val="Table Grid1"/>
    <w:basedOn w:val="TableNormal"/>
    <w:next w:val="TableGrid"/>
    <w:rsid w:val="00C9763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43F4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1085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80677"/>
    <w:rPr>
      <w:color w:val="605E5C"/>
      <w:shd w:val="clear" w:color="auto" w:fill="E1DFDD"/>
    </w:rPr>
  </w:style>
  <w:style w:type="character" w:styleId="UnresolvedMention">
    <w:name w:val="Unresolved Mention"/>
    <w:basedOn w:val="DefaultParagraphFont"/>
    <w:uiPriority w:val="99"/>
    <w:semiHidden/>
    <w:unhideWhenUsed/>
    <w:rsid w:val="00BD0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7357">
      <w:bodyDiv w:val="1"/>
      <w:marLeft w:val="0"/>
      <w:marRight w:val="0"/>
      <w:marTop w:val="0"/>
      <w:marBottom w:val="0"/>
      <w:divBdr>
        <w:top w:val="none" w:sz="0" w:space="0" w:color="auto"/>
        <w:left w:val="none" w:sz="0" w:space="0" w:color="auto"/>
        <w:bottom w:val="none" w:sz="0" w:space="0" w:color="auto"/>
        <w:right w:val="none" w:sz="0" w:space="0" w:color="auto"/>
      </w:divBdr>
    </w:div>
    <w:div w:id="572468658">
      <w:bodyDiv w:val="1"/>
      <w:marLeft w:val="0"/>
      <w:marRight w:val="0"/>
      <w:marTop w:val="0"/>
      <w:marBottom w:val="0"/>
      <w:divBdr>
        <w:top w:val="none" w:sz="0" w:space="0" w:color="auto"/>
        <w:left w:val="none" w:sz="0" w:space="0" w:color="auto"/>
        <w:bottom w:val="none" w:sz="0" w:space="0" w:color="auto"/>
        <w:right w:val="none" w:sz="0" w:space="0" w:color="auto"/>
      </w:divBdr>
    </w:div>
    <w:div w:id="911502583">
      <w:bodyDiv w:val="1"/>
      <w:marLeft w:val="0"/>
      <w:marRight w:val="0"/>
      <w:marTop w:val="0"/>
      <w:marBottom w:val="0"/>
      <w:divBdr>
        <w:top w:val="none" w:sz="0" w:space="0" w:color="auto"/>
        <w:left w:val="none" w:sz="0" w:space="0" w:color="auto"/>
        <w:bottom w:val="none" w:sz="0" w:space="0" w:color="auto"/>
        <w:right w:val="none" w:sz="0" w:space="0" w:color="auto"/>
      </w:divBdr>
    </w:div>
    <w:div w:id="1055351324">
      <w:bodyDiv w:val="1"/>
      <w:marLeft w:val="0"/>
      <w:marRight w:val="0"/>
      <w:marTop w:val="0"/>
      <w:marBottom w:val="0"/>
      <w:divBdr>
        <w:top w:val="none" w:sz="0" w:space="0" w:color="auto"/>
        <w:left w:val="none" w:sz="0" w:space="0" w:color="auto"/>
        <w:bottom w:val="none" w:sz="0" w:space="0" w:color="auto"/>
        <w:right w:val="none" w:sz="0" w:space="0" w:color="auto"/>
      </w:divBdr>
    </w:div>
    <w:div w:id="1237931598">
      <w:bodyDiv w:val="1"/>
      <w:marLeft w:val="0"/>
      <w:marRight w:val="0"/>
      <w:marTop w:val="0"/>
      <w:marBottom w:val="0"/>
      <w:divBdr>
        <w:top w:val="none" w:sz="0" w:space="0" w:color="auto"/>
        <w:left w:val="none" w:sz="0" w:space="0" w:color="auto"/>
        <w:bottom w:val="none" w:sz="0" w:space="0" w:color="auto"/>
        <w:right w:val="none" w:sz="0" w:space="0" w:color="auto"/>
      </w:divBdr>
    </w:div>
    <w:div w:id="1272316947">
      <w:bodyDiv w:val="1"/>
      <w:marLeft w:val="0"/>
      <w:marRight w:val="0"/>
      <w:marTop w:val="0"/>
      <w:marBottom w:val="0"/>
      <w:divBdr>
        <w:top w:val="none" w:sz="0" w:space="0" w:color="auto"/>
        <w:left w:val="none" w:sz="0" w:space="0" w:color="auto"/>
        <w:bottom w:val="none" w:sz="0" w:space="0" w:color="auto"/>
        <w:right w:val="none" w:sz="0" w:space="0" w:color="auto"/>
      </w:divBdr>
    </w:div>
    <w:div w:id="1301569579">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51109036">
      <w:bodyDiv w:val="1"/>
      <w:marLeft w:val="0"/>
      <w:marRight w:val="0"/>
      <w:marTop w:val="0"/>
      <w:marBottom w:val="0"/>
      <w:divBdr>
        <w:top w:val="none" w:sz="0" w:space="0" w:color="auto"/>
        <w:left w:val="none" w:sz="0" w:space="0" w:color="auto"/>
        <w:bottom w:val="none" w:sz="0" w:space="0" w:color="auto"/>
        <w:right w:val="none" w:sz="0" w:space="0" w:color="auto"/>
      </w:divBdr>
    </w:div>
    <w:div w:id="1659311368">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670252625">
      <w:bodyDiv w:val="1"/>
      <w:marLeft w:val="0"/>
      <w:marRight w:val="0"/>
      <w:marTop w:val="0"/>
      <w:marBottom w:val="0"/>
      <w:divBdr>
        <w:top w:val="none" w:sz="0" w:space="0" w:color="auto"/>
        <w:left w:val="none" w:sz="0" w:space="0" w:color="auto"/>
        <w:bottom w:val="none" w:sz="0" w:space="0" w:color="auto"/>
        <w:right w:val="none" w:sz="0" w:space="0" w:color="auto"/>
      </w:divBdr>
    </w:div>
    <w:div w:id="1717655489">
      <w:bodyDiv w:val="1"/>
      <w:marLeft w:val="0"/>
      <w:marRight w:val="0"/>
      <w:marTop w:val="0"/>
      <w:marBottom w:val="0"/>
      <w:divBdr>
        <w:top w:val="none" w:sz="0" w:space="0" w:color="auto"/>
        <w:left w:val="none" w:sz="0" w:space="0" w:color="auto"/>
        <w:bottom w:val="none" w:sz="0" w:space="0" w:color="auto"/>
        <w:right w:val="none" w:sz="0" w:space="0" w:color="auto"/>
      </w:divBdr>
    </w:div>
    <w:div w:id="1886133665">
      <w:bodyDiv w:val="1"/>
      <w:marLeft w:val="0"/>
      <w:marRight w:val="0"/>
      <w:marTop w:val="0"/>
      <w:marBottom w:val="0"/>
      <w:divBdr>
        <w:top w:val="none" w:sz="0" w:space="0" w:color="auto"/>
        <w:left w:val="none" w:sz="0" w:space="0" w:color="auto"/>
        <w:bottom w:val="none" w:sz="0" w:space="0" w:color="auto"/>
        <w:right w:val="none" w:sz="0" w:space="0" w:color="auto"/>
      </w:divBdr>
    </w:div>
    <w:div w:id="2018729505">
      <w:bodyDiv w:val="1"/>
      <w:marLeft w:val="0"/>
      <w:marRight w:val="0"/>
      <w:marTop w:val="0"/>
      <w:marBottom w:val="0"/>
      <w:divBdr>
        <w:top w:val="none" w:sz="0" w:space="0" w:color="auto"/>
        <w:left w:val="none" w:sz="0" w:space="0" w:color="auto"/>
        <w:bottom w:val="none" w:sz="0" w:space="0" w:color="auto"/>
        <w:right w:val="none" w:sz="0" w:space="0" w:color="auto"/>
      </w:divBdr>
    </w:div>
    <w:div w:id="2021395350">
      <w:bodyDiv w:val="1"/>
      <w:marLeft w:val="0"/>
      <w:marRight w:val="0"/>
      <w:marTop w:val="0"/>
      <w:marBottom w:val="0"/>
      <w:divBdr>
        <w:top w:val="none" w:sz="0" w:space="0" w:color="auto"/>
        <w:left w:val="none" w:sz="0" w:space="0" w:color="auto"/>
        <w:bottom w:val="none" w:sz="0" w:space="0" w:color="auto"/>
        <w:right w:val="none" w:sz="0" w:space="0" w:color="auto"/>
      </w:divBdr>
    </w:div>
    <w:div w:id="20789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ferconlinesupport@ferc.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er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reginfo.gov/public/do/PRAMai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public.referenceroom@ferc.gov"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2020-05-21T04:00:00.000Z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P</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56201-A857-4F1B-A020-12FFFD7C8C76}">
  <ds:schemaRefs>
    <ds:schemaRef ds:uri="Microsoft.SharePoint.Taxonomy.ContentTypeSync"/>
  </ds:schemaRefs>
</ds:datastoreItem>
</file>

<file path=customXml/itemProps2.xml><?xml version="1.0" encoding="utf-8"?>
<ds:datastoreItem xmlns:ds="http://schemas.openxmlformats.org/officeDocument/2006/customXml" ds:itemID="{6E688F0A-DCA8-40C6-9E59-909A2714CE29}">
  <ds:schemaRefs>
    <ds:schemaRef ds:uri="http://schemas.microsoft.com/office/2006/metadata/customXsn"/>
  </ds:schemaRefs>
</ds:datastoreItem>
</file>

<file path=customXml/itemProps3.xml><?xml version="1.0" encoding="utf-8"?>
<ds:datastoreItem xmlns:ds="http://schemas.openxmlformats.org/officeDocument/2006/customXml" ds:itemID="{E29FD3AF-6613-4663-8A2C-3936FA93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1019A-EA69-4EE6-B61D-8F3C2D21AEBC}">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B8232F7-ABB5-452D-ACFB-70887F21B275}">
  <ds:schemaRefs>
    <ds:schemaRef ds:uri="http://schemas.microsoft.com/sharepoint/v3/contenttype/forms"/>
  </ds:schemaRefs>
</ds:datastoreItem>
</file>

<file path=customXml/itemProps6.xml><?xml version="1.0" encoding="utf-8"?>
<ds:datastoreItem xmlns:ds="http://schemas.openxmlformats.org/officeDocument/2006/customXml" ds:itemID="{1ED67F5C-8AB2-41DD-9CD7-2E3BE18C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10846</Words>
  <Characters>61828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2020-06-26T19:01:00Z</dcterms:created>
  <dcterms:modified xsi:type="dcterms:W3CDTF">2020-06-26T19:01:00Z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