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53F" w:rsidRDefault="00F63BA0" w14:paraId="2F69EA15" w14:textId="77777777">
      <w:pPr>
        <w:widowControl/>
        <w:tabs>
          <w:tab w:val="center" w:pos="5040"/>
        </w:tabs>
        <w:jc w:val="center"/>
        <w:rPr>
          <w:b/>
          <w:sz w:val="26"/>
          <w:szCs w:val="26"/>
        </w:rPr>
      </w:pPr>
      <w:r>
        <w:rPr>
          <w:b/>
          <w:sz w:val="26"/>
          <w:szCs w:val="26"/>
        </w:rPr>
        <w:t>Supporting Statement for</w:t>
      </w:r>
      <w:r>
        <w:rPr>
          <w:b/>
          <w:bCs/>
          <w:sz w:val="26"/>
          <w:szCs w:val="26"/>
        </w:rPr>
        <w:t xml:space="preserve"> FERC Form No. 556 and FERC-912</w:t>
      </w:r>
      <w:r>
        <w:rPr>
          <w:b/>
          <w:sz w:val="26"/>
          <w:szCs w:val="26"/>
        </w:rPr>
        <w:t>,</w:t>
      </w:r>
    </w:p>
    <w:p w:rsidR="00EB053F" w:rsidRDefault="00F63BA0" w14:paraId="0D45F27C" w14:textId="53806F2A">
      <w:pPr>
        <w:widowControl/>
        <w:tabs>
          <w:tab w:val="center" w:pos="5040"/>
        </w:tabs>
        <w:jc w:val="center"/>
        <w:rPr>
          <w:b/>
          <w:sz w:val="26"/>
          <w:szCs w:val="26"/>
          <w:vertAlign w:val="superscript"/>
        </w:rPr>
      </w:pPr>
      <w:r>
        <w:rPr>
          <w:b/>
          <w:sz w:val="26"/>
          <w:szCs w:val="26"/>
        </w:rPr>
        <w:t xml:space="preserve">as revised by the Final Rule </w:t>
      </w:r>
      <w:r w:rsidR="0011193A">
        <w:rPr>
          <w:b/>
          <w:sz w:val="26"/>
          <w:szCs w:val="26"/>
        </w:rPr>
        <w:t xml:space="preserve">and </w:t>
      </w:r>
      <w:r w:rsidR="003171FC">
        <w:rPr>
          <w:b/>
          <w:sz w:val="26"/>
          <w:szCs w:val="26"/>
        </w:rPr>
        <w:t>R</w:t>
      </w:r>
      <w:r w:rsidR="00E0289C">
        <w:rPr>
          <w:b/>
          <w:sz w:val="26"/>
          <w:szCs w:val="26"/>
        </w:rPr>
        <w:t xml:space="preserve">ehearing </w:t>
      </w:r>
      <w:r w:rsidR="003171FC">
        <w:rPr>
          <w:b/>
          <w:sz w:val="26"/>
          <w:szCs w:val="26"/>
        </w:rPr>
        <w:t>O</w:t>
      </w:r>
      <w:r w:rsidR="00E0289C">
        <w:rPr>
          <w:b/>
          <w:sz w:val="26"/>
          <w:szCs w:val="26"/>
        </w:rPr>
        <w:t>rder</w:t>
      </w:r>
      <w:r w:rsidR="00DA6082">
        <w:rPr>
          <w:b/>
          <w:sz w:val="26"/>
          <w:szCs w:val="26"/>
        </w:rPr>
        <w:t xml:space="preserve"> </w:t>
      </w:r>
      <w:r>
        <w:rPr>
          <w:b/>
          <w:sz w:val="26"/>
          <w:szCs w:val="26"/>
        </w:rPr>
        <w:t>in Docket Nos. RM19-15</w:t>
      </w:r>
      <w:r>
        <w:rPr>
          <w:sz w:val="26"/>
          <w:szCs w:val="26"/>
        </w:rPr>
        <w:t xml:space="preserve"> </w:t>
      </w:r>
      <w:r>
        <w:rPr>
          <w:b/>
          <w:sz w:val="26"/>
          <w:szCs w:val="26"/>
        </w:rPr>
        <w:t>and AD16-16</w:t>
      </w:r>
      <w:r>
        <w:rPr>
          <w:rStyle w:val="FootnoteReference"/>
          <w:b/>
          <w:sz w:val="26"/>
          <w:szCs w:val="26"/>
          <w:vertAlign w:val="superscript"/>
        </w:rPr>
        <w:footnoteReference w:id="2"/>
      </w:r>
      <w:r w:rsidR="0011193A">
        <w:rPr>
          <w:b/>
          <w:sz w:val="26"/>
          <w:szCs w:val="26"/>
        </w:rPr>
        <w:t xml:space="preserve"> </w:t>
      </w:r>
    </w:p>
    <w:p w:rsidR="00EB053F" w:rsidRDefault="00EB053F" w14:paraId="4F744421" w14:textId="77777777">
      <w:pPr>
        <w:widowControl/>
        <w:tabs>
          <w:tab w:val="center" w:pos="5040"/>
        </w:tabs>
        <w:jc w:val="center"/>
        <w:rPr>
          <w:sz w:val="26"/>
          <w:szCs w:val="26"/>
        </w:rPr>
      </w:pPr>
    </w:p>
    <w:p w:rsidR="00EB053F" w:rsidRDefault="00F63BA0" w14:paraId="3A6691F6" w14:textId="7C611C56">
      <w:pPr>
        <w:rPr>
          <w:bCs/>
          <w:sz w:val="26"/>
          <w:szCs w:val="26"/>
          <w:vertAlign w:val="superscript"/>
        </w:rPr>
      </w:pPr>
      <w:r>
        <w:rPr>
          <w:bCs/>
          <w:sz w:val="26"/>
          <w:szCs w:val="26"/>
        </w:rPr>
        <w:t xml:space="preserve">The Federal Energy Regulatory Commission (Commission or FERC) requests that the Office of Management and Budget (OMB) review and approve the following two existing information collections, as revised by the final rule (Order </w:t>
      </w:r>
      <w:r w:rsidR="00153B36">
        <w:rPr>
          <w:bCs/>
          <w:sz w:val="26"/>
          <w:szCs w:val="26"/>
        </w:rPr>
        <w:t xml:space="preserve">No. </w:t>
      </w:r>
      <w:r>
        <w:rPr>
          <w:bCs/>
          <w:sz w:val="26"/>
          <w:szCs w:val="26"/>
        </w:rPr>
        <w:t xml:space="preserve">872) </w:t>
      </w:r>
      <w:r w:rsidR="00E0289C">
        <w:rPr>
          <w:bCs/>
          <w:sz w:val="26"/>
          <w:szCs w:val="26"/>
        </w:rPr>
        <w:t>and rehearing order</w:t>
      </w:r>
      <w:r w:rsidR="00DA6082">
        <w:rPr>
          <w:bCs/>
          <w:sz w:val="26"/>
          <w:szCs w:val="26"/>
        </w:rPr>
        <w:t xml:space="preserve"> </w:t>
      </w:r>
      <w:r w:rsidR="00E0289C">
        <w:rPr>
          <w:bCs/>
          <w:sz w:val="26"/>
          <w:szCs w:val="26"/>
        </w:rPr>
        <w:t xml:space="preserve">(Order </w:t>
      </w:r>
      <w:r w:rsidR="00153B36">
        <w:rPr>
          <w:bCs/>
          <w:sz w:val="26"/>
          <w:szCs w:val="26"/>
        </w:rPr>
        <w:t xml:space="preserve">No. </w:t>
      </w:r>
      <w:r w:rsidR="00E0289C">
        <w:rPr>
          <w:bCs/>
          <w:sz w:val="26"/>
          <w:szCs w:val="26"/>
        </w:rPr>
        <w:t xml:space="preserve">872-A) </w:t>
      </w:r>
      <w:r>
        <w:rPr>
          <w:bCs/>
          <w:sz w:val="26"/>
          <w:szCs w:val="26"/>
        </w:rPr>
        <w:t>in Docket Nos. RM19-15</w:t>
      </w:r>
      <w:r>
        <w:rPr>
          <w:sz w:val="26"/>
          <w:szCs w:val="26"/>
        </w:rPr>
        <w:t xml:space="preserve"> </w:t>
      </w:r>
      <w:r>
        <w:rPr>
          <w:bCs/>
          <w:sz w:val="26"/>
          <w:szCs w:val="26"/>
        </w:rPr>
        <w:t>and AD16-16:</w:t>
      </w:r>
      <w:r>
        <w:rPr>
          <w:rStyle w:val="FootnoteReference"/>
          <w:bCs/>
          <w:sz w:val="26"/>
          <w:szCs w:val="26"/>
          <w:vertAlign w:val="superscript"/>
        </w:rPr>
        <w:footnoteReference w:id="3"/>
      </w:r>
      <w:r>
        <w:rPr>
          <w:bCs/>
          <w:sz w:val="26"/>
          <w:szCs w:val="26"/>
          <w:vertAlign w:val="superscript"/>
        </w:rPr>
        <w:t>,</w:t>
      </w:r>
      <w:r>
        <w:rPr>
          <w:rStyle w:val="FootnoteReference"/>
          <w:bCs/>
          <w:sz w:val="26"/>
          <w:szCs w:val="26"/>
          <w:vertAlign w:val="superscript"/>
        </w:rPr>
        <w:footnoteReference w:id="4"/>
      </w:r>
      <w:r>
        <w:rPr>
          <w:bCs/>
          <w:sz w:val="26"/>
          <w:szCs w:val="26"/>
          <w:vertAlign w:val="superscript"/>
        </w:rPr>
        <w:t xml:space="preserve"> </w:t>
      </w:r>
    </w:p>
    <w:p w:rsidR="00EB053F" w:rsidRDefault="00EB053F" w14:paraId="0BFA5A65" w14:textId="77777777">
      <w:pPr>
        <w:rPr>
          <w:bCs/>
          <w:sz w:val="26"/>
          <w:szCs w:val="26"/>
        </w:rPr>
      </w:pPr>
    </w:p>
    <w:p w:rsidR="00EB053F" w:rsidRDefault="00F63BA0" w14:paraId="1E6A87DF" w14:textId="77777777">
      <w:pPr>
        <w:pStyle w:val="ListParagraph"/>
        <w:numPr>
          <w:ilvl w:val="0"/>
          <w:numId w:val="20"/>
        </w:numPr>
        <w:spacing w:line="240" w:lineRule="auto"/>
        <w:rPr>
          <w:rFonts w:ascii="Times New Roman" w:hAnsi="Times New Roman"/>
          <w:bCs/>
          <w:sz w:val="26"/>
          <w:szCs w:val="26"/>
        </w:rPr>
      </w:pPr>
      <w:r>
        <w:rPr>
          <w:rFonts w:ascii="Times New Roman" w:hAnsi="Times New Roman"/>
          <w:bCs/>
          <w:sz w:val="26"/>
          <w:szCs w:val="26"/>
        </w:rPr>
        <w:t>FERC Form No. 556 (Certification of Qualifying Facility (QF) Status for a Small Power Production or Cogeneration Facility), OMB expiration date of 11/30/2022</w:t>
      </w:r>
    </w:p>
    <w:p w:rsidR="00EB053F" w:rsidRDefault="00F63BA0" w14:paraId="77EB2BCF" w14:textId="77777777">
      <w:pPr>
        <w:pStyle w:val="ListParagraph"/>
        <w:numPr>
          <w:ilvl w:val="0"/>
          <w:numId w:val="20"/>
        </w:numPr>
        <w:spacing w:after="0" w:line="240" w:lineRule="auto"/>
        <w:rPr>
          <w:rFonts w:ascii="Times New Roman" w:hAnsi="Times New Roman"/>
          <w:bCs/>
          <w:sz w:val="26"/>
          <w:szCs w:val="26"/>
        </w:rPr>
      </w:pPr>
      <w:r>
        <w:rPr>
          <w:rFonts w:ascii="Times New Roman" w:hAnsi="Times New Roman"/>
          <w:bCs/>
          <w:sz w:val="26"/>
          <w:szCs w:val="26"/>
        </w:rPr>
        <w:t>FERC-912 (PURPA Section 210(m) Notification Requirements Applicable to Cogeneration and Small Power Production Facilities), OMB expiration date of 9/30/2022.</w:t>
      </w:r>
      <w:r>
        <w:rPr>
          <w:rStyle w:val="FootnoteReference"/>
          <w:rFonts w:ascii="Times New Roman" w:hAnsi="Times New Roman"/>
          <w:sz w:val="26"/>
          <w:szCs w:val="26"/>
          <w:vertAlign w:val="superscript"/>
        </w:rPr>
        <w:footnoteReference w:id="5"/>
      </w:r>
      <w:r>
        <w:rPr>
          <w:rFonts w:ascii="Times New Roman" w:hAnsi="Times New Roman"/>
          <w:sz w:val="26"/>
          <w:szCs w:val="26"/>
          <w:vertAlign w:val="superscript"/>
        </w:rPr>
        <w:t xml:space="preserve"> </w:t>
      </w:r>
    </w:p>
    <w:p w:rsidR="00EB053F" w:rsidRDefault="00EB053F" w14:paraId="13FC8E13" w14:textId="77777777">
      <w:pPr>
        <w:rPr>
          <w:bCs/>
          <w:sz w:val="26"/>
          <w:szCs w:val="26"/>
        </w:rPr>
      </w:pPr>
    </w:p>
    <w:p w:rsidR="00EB053F" w:rsidRDefault="00F63BA0" w14:paraId="5AE33BB4" w14:textId="77777777">
      <w:pPr>
        <w:rPr>
          <w:bCs/>
          <w:sz w:val="26"/>
          <w:szCs w:val="26"/>
        </w:rPr>
      </w:pPr>
      <w:r>
        <w:rPr>
          <w:bCs/>
          <w:sz w:val="26"/>
          <w:szCs w:val="26"/>
        </w:rPr>
        <w:t>We are requesting the current OMB expiration dates (noted above) continue for the collections.</w:t>
      </w:r>
    </w:p>
    <w:p w:rsidR="00EB053F" w:rsidRDefault="00EB053F" w14:paraId="5A764932" w14:textId="77777777">
      <w:pPr>
        <w:widowControl/>
        <w:rPr>
          <w:sz w:val="26"/>
          <w:szCs w:val="26"/>
        </w:rPr>
      </w:pPr>
    </w:p>
    <w:p w:rsidR="003851F4" w:rsidRDefault="002E58F4" w14:paraId="34890302" w14:textId="77777777">
      <w:pPr>
        <w:widowControl/>
        <w:rPr>
          <w:sz w:val="26"/>
          <w:szCs w:val="26"/>
        </w:rPr>
      </w:pPr>
      <w:r>
        <w:rPr>
          <w:sz w:val="26"/>
          <w:szCs w:val="26"/>
        </w:rPr>
        <w:t xml:space="preserve">The Commission previously submitted a </w:t>
      </w:r>
      <w:r w:rsidR="003F0F07">
        <w:rPr>
          <w:sz w:val="26"/>
          <w:szCs w:val="26"/>
        </w:rPr>
        <w:t>supporting statement</w:t>
      </w:r>
      <w:r>
        <w:rPr>
          <w:sz w:val="26"/>
          <w:szCs w:val="26"/>
        </w:rPr>
        <w:t xml:space="preserve"> on </w:t>
      </w:r>
      <w:r w:rsidR="003F0F07">
        <w:rPr>
          <w:sz w:val="26"/>
          <w:szCs w:val="26"/>
        </w:rPr>
        <w:t>September 2, 2020</w:t>
      </w:r>
      <w:r>
        <w:rPr>
          <w:sz w:val="26"/>
          <w:szCs w:val="26"/>
        </w:rPr>
        <w:t xml:space="preserve">.  </w:t>
      </w:r>
      <w:r w:rsidR="003851F4">
        <w:rPr>
          <w:sz w:val="26"/>
          <w:szCs w:val="26"/>
        </w:rPr>
        <w:t>Th</w:t>
      </w:r>
      <w:r>
        <w:rPr>
          <w:sz w:val="26"/>
          <w:szCs w:val="26"/>
        </w:rPr>
        <w:t xml:space="preserve">is </w:t>
      </w:r>
      <w:r w:rsidR="003851F4">
        <w:rPr>
          <w:sz w:val="26"/>
          <w:szCs w:val="26"/>
        </w:rPr>
        <w:t xml:space="preserve">supporting statement </w:t>
      </w:r>
      <w:r>
        <w:rPr>
          <w:sz w:val="26"/>
          <w:szCs w:val="26"/>
        </w:rPr>
        <w:t xml:space="preserve">updates the </w:t>
      </w:r>
      <w:r w:rsidR="003F0F07">
        <w:rPr>
          <w:sz w:val="26"/>
          <w:szCs w:val="26"/>
        </w:rPr>
        <w:t>September 2, 2020</w:t>
      </w:r>
      <w:r>
        <w:rPr>
          <w:sz w:val="26"/>
          <w:szCs w:val="26"/>
        </w:rPr>
        <w:t xml:space="preserve"> supporting statement </w:t>
      </w:r>
      <w:r w:rsidR="003851F4">
        <w:rPr>
          <w:sz w:val="26"/>
          <w:szCs w:val="26"/>
        </w:rPr>
        <w:t xml:space="preserve">to reflect </w:t>
      </w:r>
      <w:r>
        <w:rPr>
          <w:sz w:val="26"/>
          <w:szCs w:val="26"/>
        </w:rPr>
        <w:t xml:space="preserve">changes the Commission made to Order No. 872 in </w:t>
      </w:r>
      <w:r w:rsidR="003851F4">
        <w:rPr>
          <w:sz w:val="26"/>
          <w:szCs w:val="26"/>
        </w:rPr>
        <w:t xml:space="preserve">the Rehearing Order </w:t>
      </w:r>
      <w:r w:rsidR="00736FE1">
        <w:rPr>
          <w:sz w:val="26"/>
          <w:szCs w:val="26"/>
        </w:rPr>
        <w:t xml:space="preserve">(Order No. 872-A) </w:t>
      </w:r>
      <w:r w:rsidR="003851F4">
        <w:rPr>
          <w:sz w:val="26"/>
          <w:szCs w:val="26"/>
        </w:rPr>
        <w:t>issued 11/19/2020.</w:t>
      </w:r>
      <w:r w:rsidR="00736FE1">
        <w:rPr>
          <w:sz w:val="26"/>
          <w:szCs w:val="26"/>
        </w:rPr>
        <w:t xml:space="preserve">  A summary of the changes made in Order </w:t>
      </w:r>
      <w:r w:rsidR="006B476C">
        <w:rPr>
          <w:sz w:val="26"/>
          <w:szCs w:val="26"/>
        </w:rPr>
        <w:t xml:space="preserve">No. </w:t>
      </w:r>
      <w:r w:rsidR="00736FE1">
        <w:rPr>
          <w:sz w:val="26"/>
          <w:szCs w:val="26"/>
        </w:rPr>
        <w:t>872-A is provided below.</w:t>
      </w:r>
    </w:p>
    <w:p w:rsidR="00736FE1" w:rsidRDefault="00736FE1" w14:paraId="07453B2C" w14:textId="77777777">
      <w:pPr>
        <w:widowControl/>
        <w:rPr>
          <w:sz w:val="26"/>
          <w:szCs w:val="26"/>
        </w:rPr>
      </w:pPr>
    </w:p>
    <w:p w:rsidR="00EB053F" w:rsidRDefault="00F63BA0" w14:paraId="06E2F715" w14:textId="77777777">
      <w:pPr>
        <w:keepNext/>
        <w:widowControl/>
        <w:ind w:left="720" w:hanging="720"/>
        <w:rPr>
          <w:b/>
          <w:sz w:val="26"/>
          <w:szCs w:val="26"/>
        </w:rPr>
      </w:pPr>
      <w:r>
        <w:rPr>
          <w:b/>
          <w:sz w:val="26"/>
          <w:szCs w:val="26"/>
        </w:rPr>
        <w:t>1.</w:t>
      </w:r>
      <w:r>
        <w:rPr>
          <w:b/>
          <w:sz w:val="26"/>
          <w:szCs w:val="26"/>
        </w:rPr>
        <w:tab/>
        <w:t>CIRCUMSTANCES THAT MAKE THE COLLECTION OF INFORMATION NECESSARY</w:t>
      </w:r>
    </w:p>
    <w:p w:rsidR="00EB053F" w:rsidRDefault="00EB053F" w14:paraId="4C2D9408" w14:textId="77777777">
      <w:pPr>
        <w:keepNext/>
        <w:keepLines/>
        <w:widowControl/>
        <w:rPr>
          <w:b/>
          <w:sz w:val="26"/>
          <w:szCs w:val="26"/>
        </w:rPr>
      </w:pPr>
    </w:p>
    <w:p w:rsidR="00EB053F" w:rsidRDefault="00F63BA0" w14:paraId="0B94C19D" w14:textId="77777777">
      <w:pPr>
        <w:pStyle w:val="FERCparanumber"/>
        <w:numPr>
          <w:ilvl w:val="0"/>
          <w:numId w:val="0"/>
        </w:numPr>
        <w:rPr>
          <w:szCs w:val="26"/>
        </w:rPr>
      </w:pPr>
      <w:r>
        <w:rPr>
          <w:szCs w:val="26"/>
        </w:rPr>
        <w:t>The Public Utility Regulatory Policies Act of 1978 (PURPA)</w:t>
      </w:r>
      <w:r>
        <w:rPr>
          <w:rStyle w:val="FootnoteReference"/>
          <w:szCs w:val="26"/>
          <w:vertAlign w:val="superscript"/>
        </w:rPr>
        <w:footnoteReference w:id="6"/>
      </w:r>
      <w:r>
        <w:rPr>
          <w:szCs w:val="26"/>
        </w:rPr>
        <w:t xml:space="preserve"> was enacted in 1978 as part of a package of legislative proposals intended to reduce the country’s dependence on oil and natural gas, which at the time were in short supply and subject to dramatic price increases.  PURPA sets forth a framework to encourage the development of alternative generation resources that do not rely on traditional fossil fuels (i.e., oil, natural gas and coal) and cogeneration facilities that make more efficient use of the heat produced from the fossil fuels that were then commonly used in the production of electricity.  </w:t>
      </w:r>
    </w:p>
    <w:p w:rsidR="00EB053F" w:rsidRDefault="00EB053F" w14:paraId="64D45B2E" w14:textId="77777777">
      <w:pPr>
        <w:pStyle w:val="FERCparanumber"/>
        <w:numPr>
          <w:ilvl w:val="0"/>
          <w:numId w:val="0"/>
        </w:numPr>
        <w:rPr>
          <w:szCs w:val="26"/>
        </w:rPr>
      </w:pPr>
    </w:p>
    <w:p w:rsidR="00EB053F" w:rsidRDefault="00F63BA0" w14:paraId="41BAE7ED" w14:textId="77777777">
      <w:pPr>
        <w:pStyle w:val="FERCparanumber"/>
        <w:numPr>
          <w:ilvl w:val="0"/>
          <w:numId w:val="0"/>
        </w:numPr>
        <w:rPr>
          <w:szCs w:val="26"/>
        </w:rPr>
      </w:pPr>
      <w:r>
        <w:rPr>
          <w:szCs w:val="26"/>
        </w:rPr>
        <w:t>To accomplish this goal, PURPA section 210(a) directs that the Commission “prescribe, and from time to time thereafter revise, such rules as [the Commission] determines necessary to encourage cogeneration and small power production,” including rules requiring electric utilities to offer to sell electricity to, and purchase electricity from, QFs.  PURPA section 210(f) required each state regulatory authority and nonregulated electric utility (together, states) to implement the Commission’s rules.</w:t>
      </w:r>
    </w:p>
    <w:p w:rsidR="00EB053F" w:rsidRDefault="00EB053F" w14:paraId="3A603E5F" w14:textId="77777777">
      <w:pPr>
        <w:pStyle w:val="FERCparanumber"/>
        <w:numPr>
          <w:ilvl w:val="0"/>
          <w:numId w:val="0"/>
        </w:numPr>
        <w:rPr>
          <w:szCs w:val="26"/>
        </w:rPr>
      </w:pPr>
    </w:p>
    <w:p w:rsidR="00EB053F" w:rsidRDefault="00F63BA0" w14:paraId="1945A319" w14:textId="77777777">
      <w:pPr>
        <w:pStyle w:val="FERCparanumber"/>
        <w:numPr>
          <w:ilvl w:val="0"/>
          <w:numId w:val="0"/>
        </w:numPr>
        <w:rPr>
          <w:szCs w:val="26"/>
        </w:rPr>
      </w:pPr>
      <w:r>
        <w:rPr>
          <w:szCs w:val="26"/>
        </w:rPr>
        <w:t xml:space="preserve">In 1980, the Commission issued Order Nos. 69 and 70, which promulgated the required rules that, with limited exceptions, remain in effect today.  </w:t>
      </w:r>
    </w:p>
    <w:p w:rsidR="00EB053F" w:rsidRDefault="00EB053F" w14:paraId="1F8EAEBB" w14:textId="77777777">
      <w:pPr>
        <w:pStyle w:val="FERCparanumber"/>
        <w:numPr>
          <w:ilvl w:val="0"/>
          <w:numId w:val="0"/>
        </w:numPr>
        <w:rPr>
          <w:szCs w:val="26"/>
        </w:rPr>
      </w:pPr>
    </w:p>
    <w:p w:rsidR="00F41E1B" w:rsidRDefault="00F41E1B" w14:paraId="05FBB97D" w14:textId="77777777">
      <w:pPr>
        <w:pStyle w:val="FERCparanumber"/>
        <w:numPr>
          <w:ilvl w:val="0"/>
          <w:numId w:val="0"/>
        </w:numPr>
        <w:rPr>
          <w:szCs w:val="26"/>
        </w:rPr>
      </w:pPr>
    </w:p>
    <w:p w:rsidR="00EB053F" w:rsidRDefault="00F63BA0" w14:paraId="3FD1FBB3" w14:textId="77777777">
      <w:pPr>
        <w:pStyle w:val="FERCparanumber"/>
        <w:numPr>
          <w:ilvl w:val="0"/>
          <w:numId w:val="0"/>
        </w:numPr>
        <w:rPr>
          <w:szCs w:val="26"/>
        </w:rPr>
      </w:pPr>
      <w:r>
        <w:rPr>
          <w:i/>
          <w:iCs/>
          <w:szCs w:val="26"/>
        </w:rPr>
        <w:t>Circumstances Leading to the Commission’s Re-evaluation of the PURPA Regulations and the Issuance of the NOPR.</w:t>
      </w:r>
    </w:p>
    <w:p w:rsidR="00EB053F" w:rsidRDefault="00EB053F" w14:paraId="75B1CB9B" w14:textId="77777777">
      <w:pPr>
        <w:pStyle w:val="FERCparanumber"/>
        <w:numPr>
          <w:ilvl w:val="0"/>
          <w:numId w:val="0"/>
        </w:numPr>
        <w:rPr>
          <w:szCs w:val="26"/>
        </w:rPr>
      </w:pPr>
    </w:p>
    <w:p w:rsidR="00EB053F" w:rsidRDefault="00F63BA0" w14:paraId="40DCE162" w14:textId="77777777">
      <w:pPr>
        <w:pStyle w:val="FERCparanumber"/>
        <w:numPr>
          <w:ilvl w:val="0"/>
          <w:numId w:val="0"/>
        </w:numPr>
        <w:rPr>
          <w:szCs w:val="26"/>
        </w:rPr>
      </w:pPr>
      <w:r>
        <w:rPr>
          <w:szCs w:val="26"/>
        </w:rPr>
        <w:t xml:space="preserve">In the NOPR in Docket Nos. RM19-15 and AD16-16, the Commission described three important changes in the circumstances that had originally prompted Congress to pass PURPA in 1978.  First, as the Commission explained, the United States has seen an </w:t>
      </w:r>
      <w:r>
        <w:rPr>
          <w:szCs w:val="26"/>
        </w:rPr>
        <w:lastRenderedPageBreak/>
        <w:t>unprecedented change in the dynamics of the natural gas market and the relevant supply and demand.  Led by advancements in production technologies, primarily in accessing shale reserves, natural gas supplies increased dramatically.  Further, the EIA forecasted continued supply growth over the next 25 years.  In short, as the Commission found in issuing the NOPR, there are no longer shortages of natural gas supply.</w:t>
      </w:r>
    </w:p>
    <w:p w:rsidR="00EB053F" w:rsidRDefault="00EB053F" w14:paraId="74BF51FA" w14:textId="77777777">
      <w:pPr>
        <w:pStyle w:val="FERCparanumber"/>
        <w:numPr>
          <w:ilvl w:val="0"/>
          <w:numId w:val="0"/>
        </w:numPr>
        <w:rPr>
          <w:szCs w:val="26"/>
        </w:rPr>
      </w:pPr>
    </w:p>
    <w:p w:rsidR="00EB053F" w:rsidRDefault="00F63BA0" w14:paraId="6AB8DACE" w14:textId="77777777">
      <w:pPr>
        <w:pStyle w:val="FERCparanumber"/>
        <w:numPr>
          <w:ilvl w:val="0"/>
          <w:numId w:val="0"/>
        </w:numPr>
        <w:rPr>
          <w:szCs w:val="26"/>
        </w:rPr>
      </w:pPr>
      <w:r>
        <w:rPr>
          <w:szCs w:val="26"/>
        </w:rPr>
        <w:t xml:space="preserve">Second, the Commission found that, since 1978, the outlook for the development of alternatives to natural gas and oil-fired generation resources, such as renewable resources, has changed equally dramatically.  The once-nascent renewables industry has grown and matured over the past 40 years and has only accelerated subsequent to the Energy Policy Act of 2005’s (EPAct 2005) amendment of PURPA.  The Commission noted that the cost of building renewable facilities has decreased substantially to the point that the cost of renewable resources is now or is shortly expected to approach the cost of traditional electric generation.  The Commission also recognized that renewable resources (including hydro) provide a significant share of the electricity currently generated in the United States, that most renewable resources today are not QFs, and that 65 percent of capacity additions in 2019 were expected to come from renewable resources.   </w:t>
      </w:r>
    </w:p>
    <w:p w:rsidR="00EB053F" w:rsidRDefault="00EB053F" w14:paraId="50AEFBC2" w14:textId="77777777">
      <w:pPr>
        <w:pStyle w:val="FERCparanumber"/>
        <w:numPr>
          <w:ilvl w:val="0"/>
          <w:numId w:val="0"/>
        </w:numPr>
        <w:rPr>
          <w:szCs w:val="26"/>
        </w:rPr>
      </w:pPr>
    </w:p>
    <w:p w:rsidR="00EB053F" w:rsidRDefault="00F63BA0" w14:paraId="63FD2308" w14:textId="77777777">
      <w:pPr>
        <w:pStyle w:val="FERCparanumber"/>
        <w:numPr>
          <w:ilvl w:val="0"/>
          <w:numId w:val="0"/>
        </w:numPr>
        <w:rPr>
          <w:szCs w:val="26"/>
        </w:rPr>
      </w:pPr>
      <w:r>
        <w:rPr>
          <w:szCs w:val="26"/>
        </w:rPr>
        <w:t xml:space="preserve">Third, the introduction of QFs as competing sources of electricity to the incumbent electric utilities has led to the development of significant non-QF independent power production.  In addition, RTOs and ISOs have developed competitive wholesale electric markets that serve roughly two-thirds of electricity consumers in the United States. </w:t>
      </w:r>
    </w:p>
    <w:p w:rsidR="00EB053F" w:rsidRDefault="00EB053F" w14:paraId="0135D6C8" w14:textId="77777777">
      <w:pPr>
        <w:pStyle w:val="FERCparanumber"/>
        <w:numPr>
          <w:ilvl w:val="0"/>
          <w:numId w:val="0"/>
        </w:numPr>
        <w:rPr>
          <w:szCs w:val="26"/>
        </w:rPr>
      </w:pPr>
    </w:p>
    <w:p w:rsidR="00EB053F" w:rsidRDefault="00F63BA0" w14:paraId="097D6737" w14:textId="77777777">
      <w:pPr>
        <w:pStyle w:val="FERCparanumber"/>
        <w:numPr>
          <w:ilvl w:val="0"/>
          <w:numId w:val="0"/>
        </w:numPr>
        <w:rPr>
          <w:szCs w:val="26"/>
        </w:rPr>
      </w:pPr>
      <w:r>
        <w:rPr>
          <w:szCs w:val="26"/>
        </w:rPr>
        <w:t xml:space="preserve">In PURPA section 210(a), Congress directed not only that the Commission prescribe regulations, but that the Commission revise those regulations “from time to time thereafter.”  The Commission determined in the NOPR that, in light of these dramatic changes in circumstances since the passage of PURPA, it was appropriate to review the PURPA Regulations to determine whether changes to those regulations were warranted.  </w:t>
      </w:r>
    </w:p>
    <w:p w:rsidR="00EB053F" w:rsidRDefault="00EB053F" w14:paraId="2AED5112" w14:textId="77777777">
      <w:pPr>
        <w:pStyle w:val="FERCparanumber"/>
        <w:numPr>
          <w:ilvl w:val="0"/>
          <w:numId w:val="0"/>
        </w:numPr>
        <w:rPr>
          <w:szCs w:val="26"/>
        </w:rPr>
      </w:pPr>
    </w:p>
    <w:p w:rsidR="00736FE1" w:rsidRDefault="00736FE1" w14:paraId="2507B439" w14:textId="77777777">
      <w:pPr>
        <w:pStyle w:val="FERCparanumber"/>
        <w:numPr>
          <w:ilvl w:val="0"/>
          <w:numId w:val="0"/>
        </w:numPr>
        <w:rPr>
          <w:szCs w:val="26"/>
        </w:rPr>
      </w:pPr>
    </w:p>
    <w:p w:rsidR="00EB053F" w:rsidRDefault="00F63BA0" w14:paraId="6D4BE555" w14:textId="601AD80C">
      <w:pPr>
        <w:pStyle w:val="FERCparanumber"/>
        <w:numPr>
          <w:ilvl w:val="0"/>
          <w:numId w:val="0"/>
        </w:numPr>
        <w:rPr>
          <w:i/>
          <w:iCs/>
          <w:szCs w:val="26"/>
        </w:rPr>
      </w:pPr>
      <w:r>
        <w:rPr>
          <w:i/>
          <w:iCs/>
          <w:szCs w:val="26"/>
        </w:rPr>
        <w:t xml:space="preserve">Summary of Changes to the PURPA Regulations Implemented by </w:t>
      </w:r>
      <w:r w:rsidR="00884694">
        <w:rPr>
          <w:i/>
          <w:iCs/>
          <w:szCs w:val="26"/>
        </w:rPr>
        <w:t xml:space="preserve">the </w:t>
      </w:r>
      <w:r>
        <w:rPr>
          <w:i/>
          <w:iCs/>
          <w:szCs w:val="26"/>
        </w:rPr>
        <w:t>final rule</w:t>
      </w:r>
      <w:r w:rsidR="00884694">
        <w:rPr>
          <w:i/>
          <w:iCs/>
          <w:szCs w:val="26"/>
        </w:rPr>
        <w:t xml:space="preserve"> (</w:t>
      </w:r>
      <w:r w:rsidR="003171FC">
        <w:rPr>
          <w:i/>
          <w:iCs/>
          <w:szCs w:val="26"/>
        </w:rPr>
        <w:t xml:space="preserve">Order </w:t>
      </w:r>
      <w:r w:rsidR="00884694">
        <w:rPr>
          <w:i/>
          <w:iCs/>
          <w:szCs w:val="26"/>
        </w:rPr>
        <w:t xml:space="preserve">No. </w:t>
      </w:r>
      <w:r w:rsidR="003171FC">
        <w:rPr>
          <w:i/>
          <w:iCs/>
          <w:szCs w:val="26"/>
        </w:rPr>
        <w:t>872</w:t>
      </w:r>
      <w:r w:rsidR="00884694">
        <w:rPr>
          <w:i/>
          <w:iCs/>
          <w:szCs w:val="26"/>
        </w:rPr>
        <w:t>)</w:t>
      </w:r>
      <w:r w:rsidR="00DA6082">
        <w:rPr>
          <w:i/>
          <w:iCs/>
          <w:szCs w:val="26"/>
        </w:rPr>
        <w:t>.</w:t>
      </w:r>
    </w:p>
    <w:p w:rsidR="00EB053F" w:rsidRDefault="00EB053F" w14:paraId="13A9E282" w14:textId="77777777">
      <w:pPr>
        <w:pStyle w:val="FERCparanumber"/>
        <w:numPr>
          <w:ilvl w:val="0"/>
          <w:numId w:val="0"/>
        </w:numPr>
        <w:rPr>
          <w:szCs w:val="26"/>
        </w:rPr>
      </w:pPr>
    </w:p>
    <w:p w:rsidR="00EB053F" w:rsidRDefault="00156E05" w14:paraId="77635164" w14:textId="25B685D4">
      <w:pPr>
        <w:pStyle w:val="FERCparanumber"/>
        <w:numPr>
          <w:ilvl w:val="0"/>
          <w:numId w:val="0"/>
        </w:numPr>
        <w:rPr>
          <w:szCs w:val="26"/>
        </w:rPr>
      </w:pPr>
      <w:r>
        <w:rPr>
          <w:szCs w:val="26"/>
        </w:rPr>
        <w:t>In Order No. 872</w:t>
      </w:r>
      <w:r w:rsidR="00F452A6">
        <w:rPr>
          <w:szCs w:val="26"/>
        </w:rPr>
        <w:t>, the</w:t>
      </w:r>
      <w:r w:rsidR="00F63BA0">
        <w:rPr>
          <w:szCs w:val="26"/>
        </w:rPr>
        <w:t xml:space="preserve"> Commission revised its PURPA Regulations based on the record of this proceeding, including comments submitted in the technical conference in Docket No. AD16-16-000 (Technical Conference), the record evidence cited in the NOPR, and the comments submitted in response to the NOPR.  These changes, including modifications to the proposals made in the NOPR, are summarized below.   </w:t>
      </w:r>
    </w:p>
    <w:p w:rsidR="00EB053F" w:rsidRDefault="00EB053F" w14:paraId="38366410" w14:textId="77777777">
      <w:pPr>
        <w:pStyle w:val="FERCparanumber"/>
        <w:numPr>
          <w:ilvl w:val="0"/>
          <w:numId w:val="0"/>
        </w:numPr>
        <w:rPr>
          <w:szCs w:val="26"/>
        </w:rPr>
      </w:pPr>
    </w:p>
    <w:p w:rsidR="00EB053F" w:rsidRDefault="00F63BA0" w14:paraId="19A981AC" w14:textId="0C8A338E">
      <w:pPr>
        <w:pStyle w:val="FERCparanumber"/>
        <w:numPr>
          <w:ilvl w:val="0"/>
          <w:numId w:val="0"/>
        </w:numPr>
        <w:rPr>
          <w:szCs w:val="26"/>
        </w:rPr>
      </w:pPr>
      <w:r>
        <w:rPr>
          <w:szCs w:val="26"/>
        </w:rPr>
        <w:lastRenderedPageBreak/>
        <w:t xml:space="preserve">First, the Commission </w:t>
      </w:r>
      <w:r w:rsidR="00DA6082">
        <w:rPr>
          <w:szCs w:val="26"/>
        </w:rPr>
        <w:t>grant</w:t>
      </w:r>
      <w:r w:rsidR="00156E05">
        <w:rPr>
          <w:szCs w:val="26"/>
        </w:rPr>
        <w:t>ed</w:t>
      </w:r>
      <w:r>
        <w:rPr>
          <w:szCs w:val="26"/>
        </w:rPr>
        <w:t xml:space="preserve"> states the flexibility to require that energy rates (but not capacity rates) in QF power sales contracts and other legally enforceable obligations (LEOs) vary in accordance with changes in the purchasing electric utility’s as-available avoided costs at the time the energy is delivered.  Under this change, if a state exercises this flexibility, a QF would no longer have the ability to elect to have its energy rate be </w:t>
      </w:r>
      <w:proofErr w:type="gramStart"/>
      <w:r>
        <w:rPr>
          <w:szCs w:val="26"/>
        </w:rPr>
        <w:t>fixed, but</w:t>
      </w:r>
      <w:proofErr w:type="gramEnd"/>
      <w:r>
        <w:rPr>
          <w:szCs w:val="26"/>
        </w:rPr>
        <w:t xml:space="preserve"> would continue to be entitled to a fixed capacity rate for the term of the contract or LEO.   </w:t>
      </w:r>
    </w:p>
    <w:p w:rsidR="00EB053F" w:rsidRDefault="00EB053F" w14:paraId="16E05E61" w14:textId="77777777">
      <w:pPr>
        <w:pStyle w:val="FERCparanumber"/>
        <w:numPr>
          <w:ilvl w:val="0"/>
          <w:numId w:val="0"/>
        </w:numPr>
        <w:rPr>
          <w:szCs w:val="26"/>
        </w:rPr>
      </w:pPr>
    </w:p>
    <w:p w:rsidR="00EB053F" w:rsidRDefault="00F63BA0" w14:paraId="3891803D" w14:textId="1E647DC8">
      <w:pPr>
        <w:pStyle w:val="FERCparanumber"/>
        <w:numPr>
          <w:ilvl w:val="0"/>
          <w:numId w:val="0"/>
        </w:numPr>
        <w:rPr>
          <w:szCs w:val="26"/>
        </w:rPr>
      </w:pPr>
      <w:r>
        <w:rPr>
          <w:szCs w:val="26"/>
        </w:rPr>
        <w:t xml:space="preserve">Second, the Commission </w:t>
      </w:r>
      <w:r w:rsidR="00DA6082">
        <w:rPr>
          <w:szCs w:val="26"/>
        </w:rPr>
        <w:t>grant</w:t>
      </w:r>
      <w:r w:rsidR="00156E05">
        <w:rPr>
          <w:szCs w:val="26"/>
        </w:rPr>
        <w:t>ed</w:t>
      </w:r>
      <w:r>
        <w:rPr>
          <w:szCs w:val="26"/>
        </w:rPr>
        <w:t xml:space="preserve"> states additional flexibility to allow QFs to have a fixed energy rate, but to provide that such state-authorized fixed energy rate can be based on projected energy prices during the term of a QF’s contract based on the anticipated dates of delivery.  </w:t>
      </w:r>
    </w:p>
    <w:p w:rsidR="00EB053F" w:rsidRDefault="00EB053F" w14:paraId="40F16533" w14:textId="77777777">
      <w:pPr>
        <w:pStyle w:val="FERCparanumber"/>
        <w:numPr>
          <w:ilvl w:val="0"/>
          <w:numId w:val="0"/>
        </w:numPr>
        <w:rPr>
          <w:szCs w:val="26"/>
        </w:rPr>
      </w:pPr>
    </w:p>
    <w:p w:rsidR="00EB053F" w:rsidRDefault="00F63BA0" w14:paraId="07C4227C" w14:textId="44EC4332">
      <w:pPr>
        <w:pStyle w:val="FERCparanumber"/>
        <w:numPr>
          <w:ilvl w:val="0"/>
          <w:numId w:val="0"/>
        </w:numPr>
        <w:rPr>
          <w:szCs w:val="26"/>
        </w:rPr>
      </w:pPr>
      <w:r>
        <w:rPr>
          <w:szCs w:val="26"/>
        </w:rPr>
        <w:t xml:space="preserve">Third, the Commission </w:t>
      </w:r>
      <w:r w:rsidR="00DA6082">
        <w:rPr>
          <w:szCs w:val="26"/>
        </w:rPr>
        <w:t>grant</w:t>
      </w:r>
      <w:r w:rsidR="00156E05">
        <w:rPr>
          <w:szCs w:val="26"/>
        </w:rPr>
        <w:t>ed</w:t>
      </w:r>
      <w:r>
        <w:rPr>
          <w:szCs w:val="26"/>
        </w:rPr>
        <w:t xml:space="preserve"> states flexibility to set “as-available” QF energy rates as follows:  the Commission </w:t>
      </w:r>
      <w:r w:rsidR="00DA6082">
        <w:rPr>
          <w:szCs w:val="26"/>
        </w:rPr>
        <w:t>establishe</w:t>
      </w:r>
      <w:r w:rsidR="00156E05">
        <w:rPr>
          <w:szCs w:val="26"/>
        </w:rPr>
        <w:t>d</w:t>
      </w:r>
      <w:r>
        <w:rPr>
          <w:szCs w:val="26"/>
        </w:rPr>
        <w:t xml:space="preserve"> a rebuttal presumption, rather than a per se rule as proposed in the NOPR, that the locational marginal price (LMP) established in the organized electric markets defined in 18 C.F.R. § 292.309(e), (f), or (g) represents the as-available avoided costs of electric utilities located in these markets.  So long as this presumption is not rebutted, a state can, at its option, establish as-available energy avoided cost rates for QFs selling to such electric utilities at the LMP.  With respect to QFs selling to electric utilities located outside of the organized electric markets defined in 18 C.F.R. § 292.309(e), (f), or (g), states have the option to set as-available energy avoided cost rates at competitive prices from liquid market hubs or calculated from a formula based on natural gas price indices and specified heat rates, provided that the </w:t>
      </w:r>
      <w:proofErr w:type="spellStart"/>
      <w:r>
        <w:rPr>
          <w:szCs w:val="26"/>
        </w:rPr>
        <w:t>states</w:t>
      </w:r>
      <w:proofErr w:type="spellEnd"/>
      <w:r>
        <w:rPr>
          <w:szCs w:val="26"/>
        </w:rPr>
        <w:t xml:space="preserve"> first determine that such prices represent the purchasing electric utilities’ avoided costs.  The states would have the flexibility to choose to adopt one or more of these options or to continue setting QF rates under the standards long established in the PURPA Regulations.</w:t>
      </w:r>
    </w:p>
    <w:p w:rsidR="00EB053F" w:rsidRDefault="00EB053F" w14:paraId="0A6B9111" w14:textId="77777777">
      <w:pPr>
        <w:pStyle w:val="FERCparanumber"/>
        <w:numPr>
          <w:ilvl w:val="0"/>
          <w:numId w:val="0"/>
        </w:numPr>
        <w:rPr>
          <w:szCs w:val="26"/>
        </w:rPr>
      </w:pPr>
    </w:p>
    <w:p w:rsidR="00EB053F" w:rsidRDefault="00F63BA0" w14:paraId="5BA8FE7C" w14:textId="17321944">
      <w:pPr>
        <w:pStyle w:val="FERCparanumber"/>
        <w:numPr>
          <w:ilvl w:val="0"/>
          <w:numId w:val="0"/>
        </w:numPr>
        <w:rPr>
          <w:szCs w:val="26"/>
        </w:rPr>
      </w:pPr>
      <w:r>
        <w:rPr>
          <w:szCs w:val="26"/>
        </w:rPr>
        <w:t xml:space="preserve">Fourth, the Commission </w:t>
      </w:r>
      <w:r w:rsidR="00DA6082">
        <w:rPr>
          <w:szCs w:val="26"/>
        </w:rPr>
        <w:t>provide</w:t>
      </w:r>
      <w:r w:rsidR="00156E05">
        <w:rPr>
          <w:szCs w:val="26"/>
        </w:rPr>
        <w:t>d</w:t>
      </w:r>
      <w:r>
        <w:rPr>
          <w:szCs w:val="26"/>
        </w:rPr>
        <w:t xml:space="preserve"> states the flexibility to set energy and capacity rates pursuant to a competitive solicitation process conducted pursuant to transparent and non-discriminatory procedures consistent with the Commission’s </w:t>
      </w:r>
      <w:r>
        <w:rPr>
          <w:i/>
          <w:szCs w:val="26"/>
        </w:rPr>
        <w:t>Allegheny</w:t>
      </w:r>
      <w:r>
        <w:rPr>
          <w:szCs w:val="26"/>
        </w:rPr>
        <w:t xml:space="preserve"> standard.</w:t>
      </w:r>
      <w:r>
        <w:rPr>
          <w:rStyle w:val="FootnoteReference"/>
          <w:szCs w:val="26"/>
          <w:vertAlign w:val="superscript"/>
        </w:rPr>
        <w:footnoteReference w:id="7"/>
      </w:r>
      <w:r>
        <w:rPr>
          <w:szCs w:val="26"/>
        </w:rPr>
        <w:t xml:space="preserve">    </w:t>
      </w:r>
    </w:p>
    <w:p w:rsidR="00EB053F" w:rsidRDefault="00EB053F" w14:paraId="7D37B58F" w14:textId="77777777">
      <w:pPr>
        <w:pStyle w:val="FERCparanumber"/>
        <w:numPr>
          <w:ilvl w:val="0"/>
          <w:numId w:val="0"/>
        </w:numPr>
        <w:rPr>
          <w:szCs w:val="26"/>
        </w:rPr>
      </w:pPr>
    </w:p>
    <w:p w:rsidR="00EB053F" w:rsidRDefault="00F63BA0" w14:paraId="5D3D18F9" w14:textId="217C497F">
      <w:pPr>
        <w:pStyle w:val="FERCparanumber"/>
        <w:numPr>
          <w:ilvl w:val="0"/>
          <w:numId w:val="0"/>
        </w:numPr>
        <w:rPr>
          <w:szCs w:val="26"/>
        </w:rPr>
      </w:pPr>
      <w:r>
        <w:rPr>
          <w:szCs w:val="26"/>
        </w:rPr>
        <w:t xml:space="preserve">Fifth, the Commission </w:t>
      </w:r>
      <w:r w:rsidR="00DA6082">
        <w:rPr>
          <w:szCs w:val="26"/>
        </w:rPr>
        <w:t>modifie</w:t>
      </w:r>
      <w:r w:rsidR="00156E05">
        <w:rPr>
          <w:szCs w:val="26"/>
        </w:rPr>
        <w:t>d</w:t>
      </w:r>
      <w:r>
        <w:rPr>
          <w:szCs w:val="26"/>
        </w:rPr>
        <w:t xml:space="preserve"> its “one-mile rule” for determining whether generation facilities are considered to be at the same site for purposes of determining whether they exceed the statutory 80 MW size limit on small power production QFs.  Specifically, the Commission </w:t>
      </w:r>
      <w:r w:rsidR="00DA6082">
        <w:rPr>
          <w:szCs w:val="26"/>
        </w:rPr>
        <w:t>allow</w:t>
      </w:r>
      <w:r w:rsidR="00156E05">
        <w:rPr>
          <w:szCs w:val="26"/>
        </w:rPr>
        <w:t>ed</w:t>
      </w:r>
      <w:r>
        <w:rPr>
          <w:szCs w:val="26"/>
        </w:rPr>
        <w:t xml:space="preserve"> electric utilities, state regulatory authorities, and other interested parties to provide evidence to show that affiliated small power production facilities that use the same energy resource and are more than one mile apart and less than 10 miles </w:t>
      </w:r>
      <w:r>
        <w:rPr>
          <w:szCs w:val="26"/>
        </w:rPr>
        <w:lastRenderedPageBreak/>
        <w:t xml:space="preserve">apart actually are at the same site (with distances one mile or less apart still </w:t>
      </w:r>
      <w:proofErr w:type="spellStart"/>
      <w:r>
        <w:rPr>
          <w:szCs w:val="26"/>
        </w:rPr>
        <w:t>irrebuttably</w:t>
      </w:r>
      <w:proofErr w:type="spellEnd"/>
      <w:r>
        <w:rPr>
          <w:szCs w:val="26"/>
        </w:rPr>
        <w:t xml:space="preserve"> at the same site, and distances 10 miles or more apart </w:t>
      </w:r>
      <w:proofErr w:type="spellStart"/>
      <w:r>
        <w:rPr>
          <w:szCs w:val="26"/>
        </w:rPr>
        <w:t>irrebuttably</w:t>
      </w:r>
      <w:proofErr w:type="spellEnd"/>
      <w:r>
        <w:rPr>
          <w:szCs w:val="26"/>
        </w:rPr>
        <w:t xml:space="preserve"> at separate sites).  The Commission also </w:t>
      </w:r>
      <w:r w:rsidR="00DA6082">
        <w:rPr>
          <w:szCs w:val="26"/>
        </w:rPr>
        <w:t>allow</w:t>
      </w:r>
      <w:r w:rsidR="00156E05">
        <w:rPr>
          <w:szCs w:val="26"/>
        </w:rPr>
        <w:t>ed</w:t>
      </w:r>
      <w:r>
        <w:rPr>
          <w:szCs w:val="26"/>
        </w:rPr>
        <w:t xml:space="preserve"> a small power production facility seeking QF status to provide further information in its certification (whether a self-certification or an application for Commission certification) or recertification (whether a self-recertification or an application for Commission recertification) to defend preemptively against subsequent challenges, by identifying factors affirmatively demonstrating that its facility is indeed at a separate site from other affiliated small power production QFs.  The Commission further </w:t>
      </w:r>
      <w:r w:rsidR="00DA6082">
        <w:rPr>
          <w:szCs w:val="26"/>
        </w:rPr>
        <w:t>add</w:t>
      </w:r>
      <w:r w:rsidR="00156E05">
        <w:rPr>
          <w:szCs w:val="26"/>
        </w:rPr>
        <w:t>ed</w:t>
      </w:r>
      <w:r>
        <w:rPr>
          <w:szCs w:val="26"/>
        </w:rPr>
        <w:t xml:space="preserve"> a definition of the term “electrical generating equipment” to the PURPA Regulations to clarify how the distance between facilities is to be calculated.  </w:t>
      </w:r>
    </w:p>
    <w:p w:rsidR="00EB053F" w:rsidRDefault="00EB053F" w14:paraId="0BF3E333" w14:textId="77777777">
      <w:pPr>
        <w:pStyle w:val="FERCparanumber"/>
        <w:numPr>
          <w:ilvl w:val="0"/>
          <w:numId w:val="0"/>
        </w:numPr>
        <w:rPr>
          <w:szCs w:val="26"/>
        </w:rPr>
      </w:pPr>
    </w:p>
    <w:p w:rsidR="00EB053F" w:rsidRDefault="00F63BA0" w14:paraId="265FCDBB" w14:textId="5A105FD3">
      <w:pPr>
        <w:pStyle w:val="FERCparanumber"/>
        <w:numPr>
          <w:ilvl w:val="0"/>
          <w:numId w:val="0"/>
        </w:numPr>
        <w:rPr>
          <w:szCs w:val="26"/>
        </w:rPr>
      </w:pPr>
      <w:r>
        <w:rPr>
          <w:szCs w:val="26"/>
        </w:rPr>
        <w:t xml:space="preserve">Sixth, the Commission </w:t>
      </w:r>
      <w:r w:rsidR="00DA6082">
        <w:rPr>
          <w:szCs w:val="26"/>
        </w:rPr>
        <w:t>allow</w:t>
      </w:r>
      <w:r w:rsidR="00156E05">
        <w:rPr>
          <w:szCs w:val="26"/>
        </w:rPr>
        <w:t>ed</w:t>
      </w:r>
      <w:r>
        <w:rPr>
          <w:szCs w:val="26"/>
        </w:rPr>
        <w:t xml:space="preserve"> an entity to protest an initial self-certification or self-recertification without being required to file a separate petition for declaratory order and to pay the associated filing fee.  However, the Commission </w:t>
      </w:r>
      <w:r w:rsidR="00DA6082">
        <w:rPr>
          <w:szCs w:val="26"/>
        </w:rPr>
        <w:t>clarifie</w:t>
      </w:r>
      <w:r w:rsidR="00156E05">
        <w:rPr>
          <w:szCs w:val="26"/>
        </w:rPr>
        <w:t>d</w:t>
      </w:r>
      <w:r>
        <w:rPr>
          <w:szCs w:val="26"/>
        </w:rPr>
        <w:t xml:space="preserve"> in </w:t>
      </w:r>
      <w:r w:rsidR="003171FC">
        <w:rPr>
          <w:szCs w:val="26"/>
        </w:rPr>
        <w:t xml:space="preserve">Order </w:t>
      </w:r>
      <w:r w:rsidR="00153B36">
        <w:rPr>
          <w:szCs w:val="26"/>
        </w:rPr>
        <w:t xml:space="preserve">No. </w:t>
      </w:r>
      <w:r w:rsidR="003171FC">
        <w:rPr>
          <w:szCs w:val="26"/>
        </w:rPr>
        <w:t>872</w:t>
      </w:r>
      <w:r>
        <w:rPr>
          <w:szCs w:val="26"/>
        </w:rPr>
        <w:t xml:space="preserve"> that such protests may be made to new certifications (both self-certifications and applications for Commission certification) but to only self-recertifications and applications for Commission recertifications making substantive changes to the existing certification.</w:t>
      </w:r>
    </w:p>
    <w:p w:rsidR="00EB053F" w:rsidRDefault="00EB053F" w14:paraId="44644D3C" w14:textId="77777777">
      <w:pPr>
        <w:pStyle w:val="FERCparanumber"/>
        <w:numPr>
          <w:ilvl w:val="0"/>
          <w:numId w:val="0"/>
        </w:numPr>
        <w:rPr>
          <w:szCs w:val="26"/>
        </w:rPr>
      </w:pPr>
    </w:p>
    <w:p w:rsidR="00EB053F" w:rsidRDefault="00F63BA0" w14:paraId="56F3C984" w14:textId="7E516460">
      <w:pPr>
        <w:pStyle w:val="FERCparanumber"/>
        <w:numPr>
          <w:ilvl w:val="0"/>
          <w:numId w:val="0"/>
        </w:numPr>
        <w:rPr>
          <w:szCs w:val="26"/>
        </w:rPr>
      </w:pPr>
      <w:r>
        <w:rPr>
          <w:szCs w:val="26"/>
        </w:rPr>
        <w:t xml:space="preserve">Seventh, the Commission </w:t>
      </w:r>
      <w:r w:rsidR="00DA6082">
        <w:rPr>
          <w:szCs w:val="26"/>
        </w:rPr>
        <w:t>revise</w:t>
      </w:r>
      <w:r w:rsidR="00156E05">
        <w:rPr>
          <w:szCs w:val="26"/>
        </w:rPr>
        <w:t>d</w:t>
      </w:r>
      <w:r>
        <w:rPr>
          <w:szCs w:val="26"/>
        </w:rPr>
        <w:t xml:space="preserve"> </w:t>
      </w:r>
      <w:bookmarkStart w:name="_Hlk45524858" w:id="1"/>
      <w:r>
        <w:rPr>
          <w:szCs w:val="26"/>
        </w:rPr>
        <w:t xml:space="preserve">its regulations implementing PURPA section 210(m), which provide for the termination of an electric utility’s obligation to purchase from a QF with nondiscriminatory access to certain markets.  </w:t>
      </w:r>
      <w:r w:rsidR="00156E05">
        <w:rPr>
          <w:szCs w:val="26"/>
        </w:rPr>
        <w:t>Prior to Order No. 872, there was</w:t>
      </w:r>
      <w:r>
        <w:rPr>
          <w:szCs w:val="26"/>
        </w:rPr>
        <w:t xml:space="preserve"> a rebuttable presumption that QFs with a net capacity at or below 20 MW do not have nondiscriminatory access to such markets.  The Commission in </w:t>
      </w:r>
      <w:r w:rsidR="003171FC">
        <w:rPr>
          <w:szCs w:val="26"/>
        </w:rPr>
        <w:t xml:space="preserve">Order </w:t>
      </w:r>
      <w:r w:rsidR="00153B36">
        <w:rPr>
          <w:szCs w:val="26"/>
        </w:rPr>
        <w:t xml:space="preserve">No. </w:t>
      </w:r>
      <w:r w:rsidR="003171FC">
        <w:rPr>
          <w:szCs w:val="26"/>
        </w:rPr>
        <w:t>872</w:t>
      </w:r>
      <w:r w:rsidR="00DA6082">
        <w:rPr>
          <w:szCs w:val="26"/>
        </w:rPr>
        <w:t xml:space="preserve"> update</w:t>
      </w:r>
      <w:r w:rsidR="00156E05">
        <w:rPr>
          <w:szCs w:val="26"/>
        </w:rPr>
        <w:t>d</w:t>
      </w:r>
      <w:r>
        <w:rPr>
          <w:szCs w:val="26"/>
        </w:rPr>
        <w:t xml:space="preserve"> the rebuttable presumption for small power production facilities (but not cogeneration facilities) from 20 MW to 5 MW and, in </w:t>
      </w:r>
      <w:r w:rsidR="004311A2">
        <w:rPr>
          <w:szCs w:val="26"/>
        </w:rPr>
        <w:t xml:space="preserve">the </w:t>
      </w:r>
      <w:r w:rsidR="003171FC">
        <w:rPr>
          <w:szCs w:val="26"/>
        </w:rPr>
        <w:t xml:space="preserve">Order </w:t>
      </w:r>
      <w:r w:rsidR="00153B36">
        <w:rPr>
          <w:szCs w:val="26"/>
        </w:rPr>
        <w:t xml:space="preserve">No. </w:t>
      </w:r>
      <w:r w:rsidR="003171FC">
        <w:rPr>
          <w:szCs w:val="26"/>
        </w:rPr>
        <w:t>872</w:t>
      </w:r>
      <w:r w:rsidR="00DA6082">
        <w:rPr>
          <w:szCs w:val="26"/>
        </w:rPr>
        <w:t>, revise</w:t>
      </w:r>
      <w:r w:rsidR="00156E05">
        <w:rPr>
          <w:szCs w:val="26"/>
        </w:rPr>
        <w:t>d</w:t>
      </w:r>
      <w:r>
        <w:rPr>
          <w:szCs w:val="26"/>
        </w:rPr>
        <w:t xml:space="preserve"> the regulations to include examples of factors, among others, that QFs may argue show that they lack nondiscriminatory access to such markets</w:t>
      </w:r>
      <w:bookmarkEnd w:id="1"/>
      <w:r>
        <w:rPr>
          <w:szCs w:val="26"/>
        </w:rPr>
        <w:t>.</w:t>
      </w:r>
    </w:p>
    <w:p w:rsidR="00EB053F" w:rsidRDefault="00EB053F" w14:paraId="6186BB2C" w14:textId="77777777">
      <w:pPr>
        <w:pStyle w:val="FERCparanumber"/>
        <w:numPr>
          <w:ilvl w:val="0"/>
          <w:numId w:val="0"/>
        </w:numPr>
        <w:rPr>
          <w:szCs w:val="26"/>
        </w:rPr>
      </w:pPr>
    </w:p>
    <w:p w:rsidR="00EB053F" w:rsidRDefault="00F63BA0" w14:paraId="08C7683F" w14:textId="26775D79">
      <w:pPr>
        <w:pStyle w:val="FERCparanumber"/>
        <w:numPr>
          <w:ilvl w:val="0"/>
          <w:numId w:val="0"/>
        </w:numPr>
        <w:rPr>
          <w:szCs w:val="26"/>
        </w:rPr>
      </w:pPr>
      <w:r>
        <w:rPr>
          <w:szCs w:val="26"/>
        </w:rPr>
        <w:t xml:space="preserve">Finally, the Commission </w:t>
      </w:r>
      <w:r w:rsidR="00DA6082">
        <w:rPr>
          <w:szCs w:val="26"/>
        </w:rPr>
        <w:t>clarifie</w:t>
      </w:r>
      <w:r w:rsidR="00156E05">
        <w:rPr>
          <w:szCs w:val="26"/>
        </w:rPr>
        <w:t>d</w:t>
      </w:r>
      <w:r>
        <w:rPr>
          <w:szCs w:val="26"/>
        </w:rPr>
        <w:t xml:space="preserve"> that a QF must demonstrate commercial viability and a financial commitment to construct its facility pursuant to objective and reasonable state-determined criteria before the QF is entitled to a contract or LEO.  States may not impose any requirements for a LEO other than a showing of commercial viability and a financial commitment to construct the facility.  </w:t>
      </w:r>
    </w:p>
    <w:p w:rsidR="00EB053F" w:rsidRDefault="00EB053F" w14:paraId="64F6E385" w14:textId="77777777">
      <w:pPr>
        <w:pStyle w:val="FERCparanumber"/>
        <w:numPr>
          <w:ilvl w:val="0"/>
          <w:numId w:val="0"/>
        </w:numPr>
        <w:rPr>
          <w:szCs w:val="26"/>
        </w:rPr>
      </w:pPr>
    </w:p>
    <w:p w:rsidR="00EB053F" w:rsidRDefault="00F63BA0" w14:paraId="6E834CB7" w14:textId="4BBDCBF0">
      <w:pPr>
        <w:pStyle w:val="FERCparanumber"/>
        <w:numPr>
          <w:ilvl w:val="0"/>
          <w:numId w:val="0"/>
        </w:numPr>
        <w:rPr>
          <w:szCs w:val="26"/>
        </w:rPr>
      </w:pPr>
      <w:r>
        <w:rPr>
          <w:szCs w:val="26"/>
        </w:rPr>
        <w:t xml:space="preserve">As explained in the </w:t>
      </w:r>
      <w:r w:rsidR="003171FC">
        <w:rPr>
          <w:szCs w:val="26"/>
        </w:rPr>
        <w:t xml:space="preserve">Order </w:t>
      </w:r>
      <w:r w:rsidR="00153B36">
        <w:rPr>
          <w:szCs w:val="26"/>
        </w:rPr>
        <w:t xml:space="preserve">No. </w:t>
      </w:r>
      <w:r w:rsidR="003171FC">
        <w:rPr>
          <w:szCs w:val="26"/>
        </w:rPr>
        <w:t>872</w:t>
      </w:r>
      <w:r>
        <w:rPr>
          <w:szCs w:val="26"/>
        </w:rPr>
        <w:t xml:space="preserve">, these changes enable the Commission to continue to fulfill its statutory obligations under sections 201 and 210 of PURPA.  These changes are effective prospectively for new contracts or LEOs and for new facility certifications and recertifications filed on or after the effective date of </w:t>
      </w:r>
      <w:r w:rsidR="00156E05">
        <w:rPr>
          <w:szCs w:val="26"/>
        </w:rPr>
        <w:t>Order No. 872</w:t>
      </w:r>
      <w:r>
        <w:rPr>
          <w:szCs w:val="26"/>
        </w:rPr>
        <w:t xml:space="preserve">; the Commission does not by </w:t>
      </w:r>
      <w:r w:rsidR="00156E05">
        <w:rPr>
          <w:szCs w:val="26"/>
        </w:rPr>
        <w:t>Order No. 872</w:t>
      </w:r>
      <w:r>
        <w:rPr>
          <w:szCs w:val="26"/>
        </w:rPr>
        <w:t xml:space="preserve"> rule permit disturbance of existing contracts or LEOs or existing facility certifications.</w:t>
      </w:r>
    </w:p>
    <w:p w:rsidR="008704C5" w:rsidRDefault="008704C5" w14:paraId="598ED667" w14:textId="77777777">
      <w:pPr>
        <w:pStyle w:val="FERCparanumber"/>
        <w:numPr>
          <w:ilvl w:val="0"/>
          <w:numId w:val="0"/>
        </w:numPr>
        <w:rPr>
          <w:szCs w:val="26"/>
        </w:rPr>
      </w:pPr>
    </w:p>
    <w:p w:rsidR="00736FE1" w:rsidRDefault="00736FE1" w14:paraId="57C4114C" w14:textId="77777777">
      <w:pPr>
        <w:pStyle w:val="FERCparanumber"/>
        <w:numPr>
          <w:ilvl w:val="0"/>
          <w:numId w:val="0"/>
        </w:numPr>
        <w:rPr>
          <w:szCs w:val="26"/>
        </w:rPr>
      </w:pPr>
    </w:p>
    <w:p w:rsidR="008704C5" w:rsidP="008704C5" w:rsidRDefault="008704C5" w14:paraId="17D86F52" w14:textId="77777777">
      <w:pPr>
        <w:pStyle w:val="FERCparanumber"/>
        <w:numPr>
          <w:ilvl w:val="0"/>
          <w:numId w:val="0"/>
        </w:numPr>
        <w:rPr>
          <w:i/>
          <w:iCs/>
          <w:szCs w:val="26"/>
        </w:rPr>
      </w:pPr>
      <w:r w:rsidRPr="00736FE1">
        <w:rPr>
          <w:i/>
          <w:iCs/>
          <w:szCs w:val="26"/>
        </w:rPr>
        <w:t xml:space="preserve">Summary of Changes to the PURPA Regulations Implemented </w:t>
      </w:r>
      <w:r w:rsidRPr="00736FE1" w:rsidR="00D242AA">
        <w:rPr>
          <w:i/>
          <w:iCs/>
          <w:szCs w:val="26"/>
        </w:rPr>
        <w:t xml:space="preserve">by the </w:t>
      </w:r>
      <w:r w:rsidRPr="00736FE1" w:rsidR="00E0289C">
        <w:rPr>
          <w:i/>
          <w:iCs/>
          <w:szCs w:val="26"/>
        </w:rPr>
        <w:t>rehearing order</w:t>
      </w:r>
      <w:r w:rsidRPr="00736FE1" w:rsidR="00884694">
        <w:rPr>
          <w:i/>
          <w:iCs/>
          <w:szCs w:val="26"/>
        </w:rPr>
        <w:t xml:space="preserve"> (Order No. 872-A)</w:t>
      </w:r>
    </w:p>
    <w:p w:rsidR="00153CF2" w:rsidP="008704C5" w:rsidRDefault="00153CF2" w14:paraId="6533670B" w14:textId="77777777">
      <w:pPr>
        <w:pStyle w:val="FERCparanumber"/>
        <w:numPr>
          <w:ilvl w:val="0"/>
          <w:numId w:val="0"/>
        </w:numPr>
        <w:rPr>
          <w:i/>
          <w:iCs/>
          <w:szCs w:val="26"/>
        </w:rPr>
      </w:pPr>
    </w:p>
    <w:p w:rsidR="00153CF2" w:rsidP="00A703E6" w:rsidRDefault="00153CF2" w14:paraId="0004EB10" w14:textId="77777777">
      <w:pPr>
        <w:pStyle w:val="FERCparanumber"/>
        <w:numPr>
          <w:ilvl w:val="0"/>
          <w:numId w:val="0"/>
        </w:numPr>
        <w:autoSpaceDE w:val="0"/>
        <w:autoSpaceDN w:val="0"/>
        <w:adjustRightInd w:val="0"/>
        <w:rPr>
          <w:szCs w:val="26"/>
        </w:rPr>
      </w:pPr>
      <w:r>
        <w:t xml:space="preserve">In the </w:t>
      </w:r>
      <w:r w:rsidR="00E0289C">
        <w:rPr>
          <w:szCs w:val="26"/>
        </w:rPr>
        <w:t>rehearing order</w:t>
      </w:r>
      <w:r>
        <w:rPr>
          <w:szCs w:val="26"/>
        </w:rPr>
        <w:t>,</w:t>
      </w:r>
      <w:r w:rsidRPr="00153CF2">
        <w:t xml:space="preserve"> </w:t>
      </w:r>
      <w:r w:rsidR="0011193A">
        <w:t>the Commission</w:t>
      </w:r>
      <w:r w:rsidRPr="00153CF2">
        <w:t xml:space="preserve"> either</w:t>
      </w:r>
      <w:r w:rsidRPr="006D759C">
        <w:t xml:space="preserve"> dismiss</w:t>
      </w:r>
      <w:r w:rsidR="0011193A">
        <w:t>es</w:t>
      </w:r>
      <w:r w:rsidRPr="006D759C">
        <w:t xml:space="preserve"> or disagree</w:t>
      </w:r>
      <w:r w:rsidR="0011193A">
        <w:t>s</w:t>
      </w:r>
      <w:r w:rsidRPr="006D759C">
        <w:t xml:space="preserve"> with most arguments raised on rehearing.  </w:t>
      </w:r>
      <w:r w:rsidR="000F1F4A">
        <w:rPr>
          <w:szCs w:val="26"/>
        </w:rPr>
        <w:t>The Commission</w:t>
      </w:r>
      <w:r w:rsidRPr="006D759C">
        <w:rPr>
          <w:szCs w:val="26"/>
        </w:rPr>
        <w:t xml:space="preserve"> also provide</w:t>
      </w:r>
      <w:r w:rsidR="000F1F4A">
        <w:rPr>
          <w:szCs w:val="26"/>
        </w:rPr>
        <w:t>s</w:t>
      </w:r>
      <w:r w:rsidRPr="006D759C">
        <w:rPr>
          <w:szCs w:val="26"/>
        </w:rPr>
        <w:t xml:space="preserve"> further clarification on (1) states’ use of tiered avoided cost pricing; (2) states’ use of variable energy rates in QF contracts and </w:t>
      </w:r>
      <w:r w:rsidR="00107B52">
        <w:rPr>
          <w:szCs w:val="26"/>
        </w:rPr>
        <w:t xml:space="preserve">the </w:t>
      </w:r>
      <w:r w:rsidRPr="006D759C">
        <w:rPr>
          <w:szCs w:val="26"/>
        </w:rPr>
        <w:t xml:space="preserve">availability of utility avoided cost data; </w:t>
      </w:r>
      <w:bookmarkStart w:name="_Hlk53655587" w:id="2"/>
      <w:r w:rsidRPr="006D759C">
        <w:rPr>
          <w:szCs w:val="26"/>
        </w:rPr>
        <w:t xml:space="preserve">(3) the role of independent entities overseeing competitive solicitations; (4) the circumstances under which </w:t>
      </w:r>
      <w:r w:rsidRPr="006D759C">
        <w:t xml:space="preserve">a small power production QF needs to recertify; </w:t>
      </w:r>
      <w:r w:rsidRPr="006D759C">
        <w:rPr>
          <w:szCs w:val="26"/>
        </w:rPr>
        <w:t xml:space="preserve">(5) </w:t>
      </w:r>
      <w:bookmarkEnd w:id="2"/>
      <w:r w:rsidRPr="006D759C">
        <w:rPr>
          <w:szCs w:val="26"/>
        </w:rPr>
        <w:t>application of the rebuttable presumption of separate sites for the purpose of determining the power production capacity of small power production facilities; and (6) the PURPA section 210(m) rebuttable presumption of nondiscriminatory access to markets and accompanying regulatory text</w:t>
      </w:r>
      <w:r w:rsidR="000F1F4A">
        <w:rPr>
          <w:szCs w:val="26"/>
        </w:rPr>
        <w:t>.</w:t>
      </w:r>
      <w:r w:rsidR="005771C8">
        <w:rPr>
          <w:szCs w:val="26"/>
        </w:rPr>
        <w:t xml:space="preserve">  The Commission expects that the clarification regarding the circumstances under which a small power production QF needs to recertify will reduce the burden on filers, as described below.</w:t>
      </w:r>
    </w:p>
    <w:p w:rsidR="0028422F" w:rsidP="00A703E6" w:rsidRDefault="0028422F" w14:paraId="57BA8506" w14:textId="77777777">
      <w:pPr>
        <w:pStyle w:val="FERCparanumber"/>
        <w:numPr>
          <w:ilvl w:val="0"/>
          <w:numId w:val="0"/>
        </w:numPr>
        <w:autoSpaceDE w:val="0"/>
        <w:autoSpaceDN w:val="0"/>
        <w:adjustRightInd w:val="0"/>
        <w:rPr>
          <w:szCs w:val="26"/>
        </w:rPr>
      </w:pPr>
    </w:p>
    <w:p w:rsidRPr="00B57D5C" w:rsidR="007210C0" w:rsidP="007210C0" w:rsidRDefault="007210C0" w14:paraId="298E2A93" w14:textId="77777777">
      <w:pPr>
        <w:pStyle w:val="FERCparanumber"/>
        <w:numPr>
          <w:ilvl w:val="0"/>
          <w:numId w:val="0"/>
        </w:numPr>
        <w:autoSpaceDE w:val="0"/>
        <w:autoSpaceDN w:val="0"/>
        <w:adjustRightInd w:val="0"/>
        <w:rPr>
          <w:szCs w:val="26"/>
        </w:rPr>
      </w:pPr>
      <w:r>
        <w:rPr>
          <w:szCs w:val="26"/>
        </w:rPr>
        <w:t>The Commission in Order No. 872-A disagrees with</w:t>
      </w:r>
      <w:r w:rsidRPr="00B57D5C">
        <w:rPr>
          <w:szCs w:val="26"/>
        </w:rPr>
        <w:t xml:space="preserve"> arguments that the “[10]-mile rule” adds unnecessary regulatory burdens, </w:t>
      </w:r>
      <w:r>
        <w:rPr>
          <w:szCs w:val="26"/>
        </w:rPr>
        <w:t>finding instead that t</w:t>
      </w:r>
      <w:r w:rsidRPr="00B57D5C">
        <w:rPr>
          <w:szCs w:val="26"/>
        </w:rPr>
        <w:t xml:space="preserve">he changes to the one-mile rule and the corresponding changes to the Form No. 556 </w:t>
      </w:r>
      <w:r w:rsidRPr="00B57D5C">
        <w:rPr>
          <w:rFonts w:eastAsia="Calibri"/>
          <w:szCs w:val="26"/>
        </w:rPr>
        <w:t xml:space="preserve">are necessary to provide the Commission </w:t>
      </w:r>
      <w:r w:rsidRPr="00B57D5C">
        <w:rPr>
          <w:szCs w:val="26"/>
        </w:rPr>
        <w:t>the</w:t>
      </w:r>
      <w:r w:rsidRPr="00B57D5C">
        <w:rPr>
          <w:rFonts w:eastAsia="Calibri"/>
          <w:szCs w:val="26"/>
        </w:rPr>
        <w:t xml:space="preserve"> information it </w:t>
      </w:r>
      <w:r w:rsidRPr="00B57D5C">
        <w:rPr>
          <w:szCs w:val="26"/>
        </w:rPr>
        <w:t xml:space="preserve">needs to determine whether a facility qualifies </w:t>
      </w:r>
      <w:r w:rsidRPr="00B57D5C">
        <w:rPr>
          <w:rFonts w:eastAsia="Calibri"/>
          <w:szCs w:val="26"/>
        </w:rPr>
        <w:t xml:space="preserve">to </w:t>
      </w:r>
      <w:r w:rsidRPr="00B57D5C">
        <w:rPr>
          <w:szCs w:val="26"/>
        </w:rPr>
        <w:t>be a QF</w:t>
      </w:r>
      <w:r>
        <w:rPr>
          <w:szCs w:val="26"/>
        </w:rPr>
        <w:t>.  In response to requests for rehearing, the Commission in Order No. 872-A modifie</w:t>
      </w:r>
      <w:r w:rsidR="00EC2AAA">
        <w:rPr>
          <w:szCs w:val="26"/>
        </w:rPr>
        <w:t>s</w:t>
      </w:r>
      <w:r>
        <w:rPr>
          <w:szCs w:val="26"/>
        </w:rPr>
        <w:t xml:space="preserve"> Order No. 872 to reduce the recertification burden.  The Commission conclud</w:t>
      </w:r>
      <w:r w:rsidR="00EC2AAA">
        <w:rPr>
          <w:szCs w:val="26"/>
        </w:rPr>
        <w:t>es</w:t>
      </w:r>
      <w:r>
        <w:rPr>
          <w:szCs w:val="26"/>
        </w:rPr>
        <w:t xml:space="preserve"> that w</w:t>
      </w:r>
      <w:r w:rsidRPr="00B57D5C">
        <w:rPr>
          <w:szCs w:val="26"/>
        </w:rPr>
        <w:t xml:space="preserve">ith </w:t>
      </w:r>
      <w:r>
        <w:rPr>
          <w:szCs w:val="26"/>
        </w:rPr>
        <w:t>that</w:t>
      </w:r>
      <w:r w:rsidRPr="00B57D5C">
        <w:rPr>
          <w:szCs w:val="26"/>
        </w:rPr>
        <w:t xml:space="preserve"> modification</w:t>
      </w:r>
      <w:r>
        <w:rPr>
          <w:szCs w:val="26"/>
        </w:rPr>
        <w:t xml:space="preserve"> lessening the burden,</w:t>
      </w:r>
      <w:r w:rsidRPr="00B57D5C">
        <w:rPr>
          <w:szCs w:val="26"/>
        </w:rPr>
        <w:t xml:space="preserve"> </w:t>
      </w:r>
      <w:r>
        <w:rPr>
          <w:szCs w:val="26"/>
        </w:rPr>
        <w:t>the</w:t>
      </w:r>
      <w:r w:rsidRPr="00B57D5C">
        <w:rPr>
          <w:szCs w:val="26"/>
        </w:rPr>
        <w:t xml:space="preserve"> burden estimates, as reported in </w:t>
      </w:r>
      <w:r>
        <w:rPr>
          <w:szCs w:val="26"/>
        </w:rPr>
        <w:t>Order No. 872</w:t>
      </w:r>
      <w:r w:rsidRPr="00B57D5C">
        <w:rPr>
          <w:szCs w:val="26"/>
        </w:rPr>
        <w:t>, continue to be reasonable</w:t>
      </w:r>
      <w:r>
        <w:rPr>
          <w:szCs w:val="26"/>
        </w:rPr>
        <w:t>.</w:t>
      </w:r>
    </w:p>
    <w:p w:rsidR="00EB053F" w:rsidRDefault="00EB053F" w14:paraId="3E22FBCC" w14:textId="77777777">
      <w:pPr>
        <w:pStyle w:val="FERCparanumber"/>
        <w:numPr>
          <w:ilvl w:val="0"/>
          <w:numId w:val="0"/>
        </w:numPr>
        <w:rPr>
          <w:szCs w:val="26"/>
        </w:rPr>
      </w:pPr>
    </w:p>
    <w:p w:rsidR="00EB053F" w:rsidRDefault="00F63BA0" w14:paraId="5F228990" w14:textId="77777777">
      <w:pPr>
        <w:pStyle w:val="FERCparanumber"/>
        <w:numPr>
          <w:ilvl w:val="0"/>
          <w:numId w:val="0"/>
        </w:numPr>
        <w:tabs>
          <w:tab w:val="left" w:pos="720"/>
          <w:tab w:val="left" w:pos="4860"/>
        </w:tabs>
        <w:rPr>
          <w:b/>
          <w:bCs/>
          <w:szCs w:val="26"/>
        </w:rPr>
      </w:pPr>
      <w:r>
        <w:rPr>
          <w:b/>
          <w:bCs/>
          <w:szCs w:val="26"/>
        </w:rPr>
        <w:t>FERC-556 and FERC-912 and Reason for Changes in Docket No. RM19-15.</w:t>
      </w:r>
    </w:p>
    <w:p w:rsidR="00EB053F" w:rsidRDefault="00EB053F" w14:paraId="4B044BF4" w14:textId="77777777">
      <w:pPr>
        <w:pStyle w:val="FERCparanumber"/>
        <w:numPr>
          <w:ilvl w:val="0"/>
          <w:numId w:val="0"/>
        </w:numPr>
      </w:pPr>
    </w:p>
    <w:p w:rsidR="00EB053F" w:rsidRDefault="00F63BA0" w14:paraId="7EE2A608" w14:textId="77777777">
      <w:pPr>
        <w:widowControl/>
        <w:rPr>
          <w:sz w:val="26"/>
          <w:szCs w:val="26"/>
        </w:rPr>
      </w:pPr>
      <w:r>
        <w:rPr>
          <w:b/>
          <w:sz w:val="26"/>
          <w:szCs w:val="26"/>
        </w:rPr>
        <w:t>FERC-556.</w:t>
      </w:r>
      <w:r>
        <w:rPr>
          <w:sz w:val="26"/>
          <w:szCs w:val="26"/>
        </w:rPr>
        <w:t xml:space="preserve">  FERC Form No. 556 is required to implement sections 201 and 210 of PURPA.  The Commission’s regulations in 18 CFR Part 292 specify: a) the certification procedures which must be followed by the applicant (legal entity on whose behalf qualifying facility status is sought) of small power production and cogeneration facilities; b) the criteria which the applicant must meet; c) the information which the applicant must submit to FERC in order to obtain qualifying status; d) the PURPA rights which are available to QFs to encourage small power production and cogeneration; and e) the requirements pertaining to arrangements between electric utilities and QFs.</w:t>
      </w:r>
    </w:p>
    <w:p w:rsidR="00EB053F" w:rsidRDefault="00EB053F" w14:paraId="58086B4E" w14:textId="77777777">
      <w:pPr>
        <w:widowControl/>
        <w:rPr>
          <w:sz w:val="26"/>
          <w:szCs w:val="26"/>
        </w:rPr>
      </w:pPr>
    </w:p>
    <w:p w:rsidR="00EB053F" w:rsidRDefault="00F63BA0" w14:paraId="5609667A" w14:textId="77777777">
      <w:pPr>
        <w:widowControl/>
        <w:rPr>
          <w:sz w:val="26"/>
          <w:szCs w:val="26"/>
        </w:rPr>
      </w:pPr>
      <w:r>
        <w:rPr>
          <w:sz w:val="26"/>
          <w:szCs w:val="26"/>
        </w:rPr>
        <w:t>18 CFR Part 292 requires electric utilities to:</w:t>
      </w:r>
    </w:p>
    <w:p w:rsidR="00EB053F" w:rsidRDefault="00EB053F" w14:paraId="41AD39AD" w14:textId="77777777">
      <w:pPr>
        <w:widowControl/>
        <w:ind w:left="720" w:hanging="360"/>
        <w:rPr>
          <w:sz w:val="26"/>
          <w:szCs w:val="26"/>
        </w:rPr>
      </w:pPr>
    </w:p>
    <w:p w:rsidR="00EB053F" w:rsidRDefault="00F63BA0" w14:paraId="2D8A7625" w14:textId="77777777">
      <w:pPr>
        <w:widowControl/>
        <w:numPr>
          <w:ilvl w:val="0"/>
          <w:numId w:val="6"/>
        </w:numPr>
        <w:tabs>
          <w:tab w:val="num" w:pos="1080"/>
        </w:tabs>
        <w:rPr>
          <w:sz w:val="26"/>
          <w:szCs w:val="26"/>
        </w:rPr>
      </w:pPr>
      <w:r>
        <w:rPr>
          <w:sz w:val="26"/>
          <w:szCs w:val="26"/>
        </w:rPr>
        <w:lastRenderedPageBreak/>
        <w:t xml:space="preserve">purchase energy and capacity from QFs, with such purchases priced on the basis of the avoided cost of the power that is displaced by the QF power (i.e., the incremental cost to the purchasing utility if it had generated the displaced power itself or purchased it from another source); </w:t>
      </w:r>
    </w:p>
    <w:p w:rsidR="00EB053F" w:rsidRDefault="00F63BA0" w14:paraId="33E32A2E" w14:textId="77777777">
      <w:pPr>
        <w:widowControl/>
        <w:numPr>
          <w:ilvl w:val="0"/>
          <w:numId w:val="6"/>
        </w:numPr>
        <w:rPr>
          <w:sz w:val="26"/>
          <w:szCs w:val="26"/>
        </w:rPr>
      </w:pPr>
      <w:r>
        <w:rPr>
          <w:sz w:val="26"/>
          <w:szCs w:val="26"/>
        </w:rPr>
        <w:t xml:space="preserve">sell backup, maintenance, and other power services to QFs; </w:t>
      </w:r>
    </w:p>
    <w:p w:rsidR="00EB053F" w:rsidRDefault="00F63BA0" w14:paraId="2CD5FE27" w14:textId="77777777">
      <w:pPr>
        <w:widowControl/>
        <w:numPr>
          <w:ilvl w:val="0"/>
          <w:numId w:val="6"/>
        </w:numPr>
        <w:rPr>
          <w:sz w:val="26"/>
          <w:szCs w:val="26"/>
        </w:rPr>
      </w:pPr>
      <w:r>
        <w:rPr>
          <w:sz w:val="26"/>
          <w:szCs w:val="26"/>
        </w:rPr>
        <w:t xml:space="preserve">provide interconnection and transmission services to QFs; </w:t>
      </w:r>
    </w:p>
    <w:p w:rsidR="00EB053F" w:rsidRDefault="00F63BA0" w14:paraId="2883F709" w14:textId="77777777">
      <w:pPr>
        <w:widowControl/>
        <w:numPr>
          <w:ilvl w:val="0"/>
          <w:numId w:val="6"/>
        </w:numPr>
        <w:rPr>
          <w:sz w:val="26"/>
          <w:szCs w:val="26"/>
        </w:rPr>
      </w:pPr>
      <w:r>
        <w:rPr>
          <w:sz w:val="26"/>
          <w:szCs w:val="26"/>
        </w:rPr>
        <w:t xml:space="preserve">offer to operate in “parallel” with QFs pursuant to standards determined by a </w:t>
      </w:r>
      <w:r>
        <w:rPr>
          <w:color w:val="000000"/>
          <w:sz w:val="26"/>
          <w:szCs w:val="26"/>
          <w:shd w:val="clear" w:color="auto" w:fill="FFFFFF"/>
        </w:rPr>
        <w:t>state regulatory authority (with respect to any electric utility over which it has ratemaking authority) or nonregulated electric utility to ensure system safety and reliability of interconnected operations</w:t>
      </w:r>
      <w:r>
        <w:rPr>
          <w:rFonts w:ascii="Arial" w:hAnsi="Arial" w:cs="Arial"/>
          <w:color w:val="000000"/>
          <w:sz w:val="21"/>
          <w:szCs w:val="21"/>
          <w:shd w:val="clear" w:color="auto" w:fill="FFFFFF"/>
        </w:rPr>
        <w:t>;</w:t>
      </w:r>
      <w:r>
        <w:rPr>
          <w:sz w:val="26"/>
          <w:szCs w:val="26"/>
        </w:rPr>
        <w:t xml:space="preserve"> and,</w:t>
      </w:r>
    </w:p>
    <w:p w:rsidR="00EB053F" w:rsidRDefault="00F63BA0" w14:paraId="69A8D814" w14:textId="77777777">
      <w:pPr>
        <w:widowControl/>
        <w:numPr>
          <w:ilvl w:val="0"/>
          <w:numId w:val="6"/>
        </w:numPr>
        <w:rPr>
          <w:sz w:val="26"/>
          <w:szCs w:val="26"/>
        </w:rPr>
      </w:pPr>
      <w:r>
        <w:rPr>
          <w:sz w:val="26"/>
          <w:szCs w:val="26"/>
        </w:rPr>
        <w:t>make avoided cost information and system capacity needs available to the public.</w:t>
      </w:r>
    </w:p>
    <w:p w:rsidR="00EB053F" w:rsidRDefault="00EB053F" w14:paraId="0D765FDE" w14:textId="77777777">
      <w:pPr>
        <w:widowControl/>
        <w:ind w:left="720"/>
        <w:rPr>
          <w:sz w:val="26"/>
          <w:szCs w:val="26"/>
        </w:rPr>
      </w:pPr>
    </w:p>
    <w:p w:rsidR="00EB053F" w:rsidRDefault="00F63BA0" w14:paraId="11489102" w14:textId="77777777">
      <w:pPr>
        <w:rPr>
          <w:sz w:val="26"/>
          <w:szCs w:val="26"/>
        </w:rPr>
      </w:pPr>
      <w:r>
        <w:rPr>
          <w:sz w:val="26"/>
          <w:szCs w:val="26"/>
        </w:rPr>
        <w:t>In 18 CFR Part 292, the Commission also exempts QFs from certain corporate, accounting, reporting, and rate regulation requirements of the Federal Power Act (FPA) and the Public Utility Holding Company Act of 2005.</w:t>
      </w:r>
    </w:p>
    <w:p w:rsidR="002E58F4" w:rsidRDefault="002E58F4" w14:paraId="4E040040" w14:textId="77777777">
      <w:pPr>
        <w:rPr>
          <w:sz w:val="26"/>
          <w:szCs w:val="26"/>
        </w:rPr>
      </w:pPr>
    </w:p>
    <w:p w:rsidR="00EB053F" w:rsidRDefault="00F63BA0" w14:paraId="27EFA689" w14:textId="77777777">
      <w:pPr>
        <w:tabs>
          <w:tab w:val="left" w:pos="8188"/>
        </w:tabs>
        <w:rPr>
          <w:szCs w:val="26"/>
        </w:rPr>
      </w:pPr>
      <w:r>
        <w:rPr>
          <w:sz w:val="26"/>
          <w:szCs w:val="26"/>
        </w:rPr>
        <w:t>In Order No. 732,</w:t>
      </w:r>
      <w:r>
        <w:rPr>
          <w:rStyle w:val="FootnoteReference"/>
          <w:sz w:val="26"/>
          <w:szCs w:val="26"/>
          <w:vertAlign w:val="superscript"/>
        </w:rPr>
        <w:footnoteReference w:id="8"/>
      </w:r>
      <w:r>
        <w:rPr>
          <w:sz w:val="26"/>
          <w:szCs w:val="26"/>
        </w:rPr>
        <w:t xml:space="preserve"> the Commission provided that an applicant seeking to certify QF status of a small power production or cogeneration facility complete and file the FERC Form No. 556 that is in effect at the time of filing.  The current form is available for download from the FERC website.  FERC also began requiring that the FERC Form No. 556 be submitted electronically.</w:t>
      </w:r>
    </w:p>
    <w:p w:rsidR="00EB053F" w:rsidRDefault="00EB053F" w14:paraId="2FD4A113" w14:textId="77777777">
      <w:pPr>
        <w:pStyle w:val="FERCparanumber"/>
        <w:numPr>
          <w:ilvl w:val="0"/>
          <w:numId w:val="0"/>
        </w:numPr>
        <w:tabs>
          <w:tab w:val="left" w:pos="810"/>
          <w:tab w:val="left" w:pos="4860"/>
        </w:tabs>
        <w:rPr>
          <w:szCs w:val="26"/>
        </w:rPr>
      </w:pPr>
    </w:p>
    <w:p w:rsidR="00EB053F" w:rsidRDefault="00F63BA0" w14:paraId="0B341E70" w14:textId="77777777">
      <w:pPr>
        <w:rPr>
          <w:sz w:val="26"/>
          <w:szCs w:val="26"/>
        </w:rPr>
      </w:pPr>
      <w:r>
        <w:rPr>
          <w:b/>
          <w:sz w:val="26"/>
          <w:szCs w:val="26"/>
        </w:rPr>
        <w:t xml:space="preserve">FERC-912.  </w:t>
      </w:r>
      <w:r>
        <w:rPr>
          <w:sz w:val="26"/>
          <w:szCs w:val="26"/>
        </w:rPr>
        <w:t xml:space="preserve">The use of FERC-912 is necessary to provide the Commission with the information needed to determine whether an order is appropriate to either terminate or reinstate the purchasing or selling of energy under the PURPA section 210(m). </w:t>
      </w:r>
    </w:p>
    <w:p w:rsidR="00EB053F" w:rsidRDefault="00F63BA0" w14:paraId="69805B91" w14:textId="77777777">
      <w:pPr>
        <w:pStyle w:val="ListParagraph"/>
        <w:numPr>
          <w:ilvl w:val="0"/>
          <w:numId w:val="14"/>
        </w:numPr>
        <w:spacing w:after="0"/>
        <w:rPr>
          <w:rFonts w:ascii="Times New Roman" w:hAnsi="Times New Roman"/>
          <w:sz w:val="26"/>
          <w:szCs w:val="26"/>
        </w:rPr>
      </w:pPr>
      <w:r>
        <w:rPr>
          <w:rFonts w:ascii="Times New Roman" w:hAnsi="Times New Roman"/>
          <w:sz w:val="26"/>
          <w:szCs w:val="26"/>
        </w:rPr>
        <w:t xml:space="preserve">The Commission’s implementing regulations, found in 18 C.F.R. Part 292, provide the following -  </w:t>
      </w:r>
    </w:p>
    <w:p w:rsidR="00EB053F" w:rsidRDefault="00F63BA0" w14:paraId="7C45C24F" w14:textId="77777777">
      <w:pPr>
        <w:pStyle w:val="ListParagraph"/>
        <w:numPr>
          <w:ilvl w:val="0"/>
          <w:numId w:val="14"/>
        </w:numPr>
        <w:spacing w:after="0"/>
        <w:rPr>
          <w:rFonts w:ascii="Times New Roman" w:hAnsi="Times New Roman"/>
          <w:sz w:val="26"/>
          <w:szCs w:val="26"/>
        </w:rPr>
      </w:pPr>
      <w:r>
        <w:rPr>
          <w:rFonts w:ascii="Times New Roman" w:hAnsi="Times New Roman"/>
          <w:sz w:val="26"/>
          <w:szCs w:val="26"/>
        </w:rPr>
        <w:t>§292.310: an electric utility’s application for the termination of its obligation to purchase energy from a QF,</w:t>
      </w:r>
    </w:p>
    <w:p w:rsidR="00EB053F" w:rsidRDefault="00F63BA0" w14:paraId="1B3C3B7A" w14:textId="77777777">
      <w:pPr>
        <w:pStyle w:val="ListParagraph"/>
        <w:numPr>
          <w:ilvl w:val="0"/>
          <w:numId w:val="14"/>
        </w:numPr>
        <w:spacing w:after="0"/>
        <w:rPr>
          <w:rFonts w:ascii="Times New Roman" w:hAnsi="Times New Roman"/>
          <w:sz w:val="26"/>
          <w:szCs w:val="26"/>
        </w:rPr>
      </w:pPr>
      <w:r>
        <w:rPr>
          <w:rFonts w:ascii="Times New Roman" w:hAnsi="Times New Roman"/>
          <w:sz w:val="26"/>
          <w:szCs w:val="26"/>
        </w:rPr>
        <w:t>§292.311: an affected entity or person’s application to the Commission for an order reinstating the electric utility’s obligation to purchase energy from a QF,</w:t>
      </w:r>
    </w:p>
    <w:p w:rsidR="00EB053F" w:rsidRDefault="00F63BA0" w14:paraId="70C264A6" w14:textId="77777777">
      <w:pPr>
        <w:pStyle w:val="ListParagraph"/>
        <w:numPr>
          <w:ilvl w:val="0"/>
          <w:numId w:val="14"/>
        </w:numPr>
        <w:spacing w:after="0"/>
        <w:rPr>
          <w:rFonts w:ascii="Times New Roman" w:hAnsi="Times New Roman"/>
          <w:sz w:val="26"/>
          <w:szCs w:val="26"/>
        </w:rPr>
      </w:pPr>
      <w:r>
        <w:rPr>
          <w:rFonts w:ascii="Times New Roman" w:hAnsi="Times New Roman"/>
          <w:sz w:val="26"/>
          <w:szCs w:val="26"/>
        </w:rPr>
        <w:t>§292.312: an electric utility’s application for the termination of its obligation to sell energy and capacity to QFs, and</w:t>
      </w:r>
    </w:p>
    <w:p w:rsidR="00EB053F" w:rsidRDefault="00F63BA0" w14:paraId="6C9C3062" w14:textId="77777777">
      <w:pPr>
        <w:pStyle w:val="ListParagraph"/>
        <w:numPr>
          <w:ilvl w:val="0"/>
          <w:numId w:val="14"/>
        </w:numPr>
        <w:spacing w:after="0"/>
        <w:rPr>
          <w:rFonts w:ascii="Times New Roman" w:hAnsi="Times New Roman"/>
          <w:sz w:val="26"/>
          <w:szCs w:val="26"/>
        </w:rPr>
      </w:pPr>
      <w:r>
        <w:rPr>
          <w:rFonts w:ascii="Times New Roman" w:hAnsi="Times New Roman"/>
          <w:sz w:val="26"/>
          <w:szCs w:val="26"/>
        </w:rPr>
        <w:t xml:space="preserve">§292.313: an affected entity or person’s application to the Commission for an order reinstating the electric utility’s obligation to sell energy and capacity to QFs. </w:t>
      </w:r>
    </w:p>
    <w:p w:rsidR="00EB053F" w:rsidRDefault="00EB053F" w14:paraId="3EF91803" w14:textId="77777777">
      <w:pPr>
        <w:pStyle w:val="FERCparanumber"/>
        <w:numPr>
          <w:ilvl w:val="0"/>
          <w:numId w:val="0"/>
        </w:numPr>
        <w:tabs>
          <w:tab w:val="left" w:pos="720"/>
          <w:tab w:val="left" w:pos="4860"/>
        </w:tabs>
        <w:rPr>
          <w:b/>
          <w:bCs/>
          <w:szCs w:val="26"/>
        </w:rPr>
      </w:pPr>
    </w:p>
    <w:p w:rsidR="00EB053F" w:rsidRDefault="00F63BA0" w14:paraId="751B0108" w14:textId="07AE0D1F">
      <w:pPr>
        <w:pStyle w:val="FERCparanumber"/>
        <w:numPr>
          <w:ilvl w:val="0"/>
          <w:numId w:val="0"/>
        </w:numPr>
        <w:tabs>
          <w:tab w:val="left" w:pos="720"/>
          <w:tab w:val="left" w:pos="4860"/>
        </w:tabs>
        <w:rPr>
          <w:szCs w:val="26"/>
        </w:rPr>
      </w:pPr>
      <w:r>
        <w:rPr>
          <w:szCs w:val="26"/>
        </w:rPr>
        <w:t xml:space="preserve">In Docket No. RM19-15, </w:t>
      </w:r>
      <w:r w:rsidR="005052AD">
        <w:rPr>
          <w:szCs w:val="26"/>
        </w:rPr>
        <w:t xml:space="preserve">and as modified in </w:t>
      </w:r>
      <w:r w:rsidR="00884694">
        <w:rPr>
          <w:szCs w:val="26"/>
        </w:rPr>
        <w:t xml:space="preserve">Docket No. </w:t>
      </w:r>
      <w:r w:rsidR="005052AD">
        <w:rPr>
          <w:szCs w:val="26"/>
        </w:rPr>
        <w:t>RM19-15-001,</w:t>
      </w:r>
      <w:r w:rsidR="00DA6082">
        <w:rPr>
          <w:szCs w:val="26"/>
        </w:rPr>
        <w:t xml:space="preserve"> </w:t>
      </w:r>
      <w:r>
        <w:rPr>
          <w:szCs w:val="26"/>
        </w:rPr>
        <w:t xml:space="preserve">the Commission makes changes to the current FERC-556 </w:t>
      </w:r>
      <w:r w:rsidR="00250C4C">
        <w:rPr>
          <w:szCs w:val="26"/>
        </w:rPr>
        <w:t xml:space="preserve">(affected by both orders) </w:t>
      </w:r>
      <w:r>
        <w:rPr>
          <w:szCs w:val="26"/>
        </w:rPr>
        <w:t xml:space="preserve">and FERC-912 </w:t>
      </w:r>
      <w:r w:rsidR="00250C4C">
        <w:rPr>
          <w:szCs w:val="26"/>
        </w:rPr>
        <w:t xml:space="preserve">(affected only by Order 872) </w:t>
      </w:r>
      <w:r>
        <w:rPr>
          <w:szCs w:val="26"/>
        </w:rPr>
        <w:t>to implement the revised regulations as described above.  As a result of these changes to the FERC-556 and FERC-912, the Commission also updates the information collection statement.</w:t>
      </w:r>
    </w:p>
    <w:p w:rsidR="00EB053F" w:rsidRDefault="00EB053F" w14:paraId="280376DC" w14:textId="77777777">
      <w:pPr>
        <w:pStyle w:val="FERCparanumber"/>
        <w:numPr>
          <w:ilvl w:val="0"/>
          <w:numId w:val="0"/>
        </w:numPr>
        <w:tabs>
          <w:tab w:val="left" w:pos="720"/>
          <w:tab w:val="left" w:pos="4860"/>
        </w:tabs>
        <w:rPr>
          <w:szCs w:val="26"/>
        </w:rPr>
      </w:pPr>
    </w:p>
    <w:p w:rsidR="00EB053F" w:rsidRDefault="00F63BA0" w14:paraId="27F39F94" w14:textId="77777777">
      <w:pPr>
        <w:pStyle w:val="FERCparanumber"/>
        <w:numPr>
          <w:ilvl w:val="0"/>
          <w:numId w:val="7"/>
        </w:numPr>
        <w:tabs>
          <w:tab w:val="left" w:pos="720"/>
          <w:tab w:val="left" w:pos="4860"/>
        </w:tabs>
        <w:rPr>
          <w:szCs w:val="26"/>
        </w:rPr>
      </w:pPr>
      <w:r>
        <w:rPr>
          <w:b/>
          <w:szCs w:val="26"/>
        </w:rPr>
        <w:t>HOW, BY WHOM AND FOR WHAT PURPOSE IS THE INFORMATION USED, AND THE CONSEQUENCES OF NOT COLLECTING THE INFORMATION</w:t>
      </w:r>
    </w:p>
    <w:p w:rsidR="00EB053F" w:rsidRDefault="00EB053F" w14:paraId="483DB972" w14:textId="77777777">
      <w:pPr>
        <w:pStyle w:val="FERCparanumber"/>
        <w:numPr>
          <w:ilvl w:val="0"/>
          <w:numId w:val="0"/>
        </w:numPr>
        <w:tabs>
          <w:tab w:val="left" w:pos="720"/>
          <w:tab w:val="left" w:pos="4860"/>
        </w:tabs>
        <w:rPr>
          <w:b/>
          <w:szCs w:val="26"/>
        </w:rPr>
      </w:pPr>
    </w:p>
    <w:p w:rsidR="00EB053F" w:rsidRDefault="00F63BA0" w14:paraId="03002B9A" w14:textId="77777777">
      <w:pPr>
        <w:rPr>
          <w:sz w:val="26"/>
          <w:szCs w:val="26"/>
        </w:rPr>
      </w:pPr>
      <w:r>
        <w:rPr>
          <w:b/>
          <w:sz w:val="26"/>
          <w:szCs w:val="26"/>
        </w:rPr>
        <w:t xml:space="preserve">FERC-556.  </w:t>
      </w:r>
      <w:r>
        <w:rPr>
          <w:sz w:val="26"/>
          <w:szCs w:val="26"/>
        </w:rPr>
        <w:t>The information collected from FERC Form No. 556 under 18 C.F.R. § 131.80 and 18 C.F.R. Part 292 is used by the Commission to determine whether a proposed certification for QF status meets the criteria for a qualifying small power production facility or a qualifying cogeneration facility under Commission regulations and is eligible to receive the benefits available to a QF under PURPA.</w:t>
      </w:r>
    </w:p>
    <w:p w:rsidR="00EB053F" w:rsidRDefault="00EB053F" w14:paraId="3895569D" w14:textId="77777777">
      <w:pPr>
        <w:rPr>
          <w:sz w:val="26"/>
          <w:szCs w:val="26"/>
        </w:rPr>
      </w:pPr>
    </w:p>
    <w:p w:rsidR="00EB053F" w:rsidRDefault="00F63BA0" w14:paraId="54288A32" w14:textId="77777777">
      <w:pPr>
        <w:rPr>
          <w:sz w:val="26"/>
          <w:szCs w:val="26"/>
        </w:rPr>
      </w:pPr>
      <w:r>
        <w:rPr>
          <w:sz w:val="26"/>
          <w:szCs w:val="26"/>
        </w:rPr>
        <w:t xml:space="preserve">In order to obtain QF status and obtain PURPA benefits, an applicant for QF status must follow the process indicated in FERC Form No. 556 and select, at its option, either the procedure set forth in 18 C.F.R. </w:t>
      </w:r>
      <w:r>
        <w:rPr>
          <w:szCs w:val="26"/>
        </w:rPr>
        <w:t>§</w:t>
      </w:r>
      <w:r>
        <w:rPr>
          <w:sz w:val="26"/>
          <w:szCs w:val="26"/>
        </w:rPr>
        <w:t xml:space="preserve"> 292.207(a), which requires the submission to FERC of a self-certification or self-recertification, or the procedure set forth in 18 C.F.R. </w:t>
      </w:r>
      <w:r>
        <w:rPr>
          <w:szCs w:val="26"/>
        </w:rPr>
        <w:t xml:space="preserve">§ </w:t>
      </w:r>
      <w:r>
        <w:rPr>
          <w:sz w:val="26"/>
          <w:szCs w:val="26"/>
        </w:rPr>
        <w:t>292.207(b), which requires the submission to FERC of an application for Commission certification or recertification.</w:t>
      </w:r>
      <w:r>
        <w:rPr>
          <w:rStyle w:val="FootnoteReference"/>
          <w:sz w:val="26"/>
          <w:szCs w:val="26"/>
          <w:vertAlign w:val="superscript"/>
        </w:rPr>
        <w:footnoteReference w:id="9"/>
      </w:r>
      <w:r>
        <w:rPr>
          <w:sz w:val="26"/>
          <w:szCs w:val="26"/>
        </w:rPr>
        <w:t xml:space="preserve">  If FERC did not collect the FERC Form No. 556 information, there would be no basis for the Commission to determine whether a facility satisfies the requirements of QF status.</w:t>
      </w:r>
    </w:p>
    <w:p w:rsidR="00EB053F" w:rsidRDefault="00EB053F" w14:paraId="324A83BF" w14:textId="77777777">
      <w:pPr>
        <w:rPr>
          <w:sz w:val="26"/>
          <w:szCs w:val="26"/>
        </w:rPr>
      </w:pPr>
    </w:p>
    <w:p w:rsidR="00EB053F" w:rsidRDefault="00F63BA0" w14:paraId="6FACF938" w14:textId="4743FB04">
      <w:pPr>
        <w:pStyle w:val="FERCparanumber"/>
        <w:numPr>
          <w:ilvl w:val="0"/>
          <w:numId w:val="0"/>
        </w:numPr>
        <w:rPr>
          <w:szCs w:val="26"/>
        </w:rPr>
      </w:pPr>
      <w:r>
        <w:rPr>
          <w:szCs w:val="26"/>
        </w:rPr>
        <w:t xml:space="preserve">The revised FERC Form No. 556 with instructions is an attachment to </w:t>
      </w:r>
      <w:r w:rsidR="003171FC">
        <w:rPr>
          <w:szCs w:val="26"/>
        </w:rPr>
        <w:t xml:space="preserve">Order </w:t>
      </w:r>
      <w:r w:rsidR="00C52130">
        <w:rPr>
          <w:szCs w:val="26"/>
        </w:rPr>
        <w:t xml:space="preserve">No. </w:t>
      </w:r>
      <w:r w:rsidR="003171FC">
        <w:rPr>
          <w:szCs w:val="26"/>
        </w:rPr>
        <w:t>872</w:t>
      </w:r>
      <w:r w:rsidR="00C52130">
        <w:rPr>
          <w:szCs w:val="26"/>
        </w:rPr>
        <w:t>-A</w:t>
      </w:r>
      <w:r w:rsidR="00DA6082">
        <w:rPr>
          <w:szCs w:val="26"/>
        </w:rPr>
        <w:t xml:space="preserve"> </w:t>
      </w:r>
      <w:r>
        <w:rPr>
          <w:szCs w:val="26"/>
        </w:rPr>
        <w:t>and included in ROCIS and reginfo.gov.</w:t>
      </w:r>
    </w:p>
    <w:p w:rsidR="00EB053F" w:rsidRDefault="00EB053F" w14:paraId="59E1DA72" w14:textId="77777777">
      <w:pPr>
        <w:rPr>
          <w:sz w:val="26"/>
          <w:szCs w:val="26"/>
        </w:rPr>
      </w:pPr>
    </w:p>
    <w:p w:rsidR="00EB053F" w:rsidRDefault="00F63BA0" w14:paraId="4886200E" w14:textId="77777777">
      <w:pPr>
        <w:rPr>
          <w:sz w:val="26"/>
          <w:szCs w:val="26"/>
        </w:rPr>
      </w:pPr>
      <w:r>
        <w:rPr>
          <w:b/>
          <w:sz w:val="26"/>
          <w:szCs w:val="26"/>
        </w:rPr>
        <w:t xml:space="preserve">FERC-912.  </w:t>
      </w:r>
      <w:r>
        <w:rPr>
          <w:sz w:val="26"/>
          <w:szCs w:val="26"/>
        </w:rPr>
        <w:t>The Commission uses the information collected by FERC-912 to determine if an order is appropriate and required under PURPA section 210(m).</w:t>
      </w:r>
      <w:r>
        <w:rPr>
          <w:rStyle w:val="FootnoteReference"/>
          <w:sz w:val="26"/>
          <w:szCs w:val="26"/>
          <w:vertAlign w:val="superscript"/>
        </w:rPr>
        <w:footnoteReference w:id="10"/>
      </w:r>
      <w:r>
        <w:rPr>
          <w:sz w:val="26"/>
          <w:szCs w:val="26"/>
        </w:rPr>
        <w:t xml:space="preserve">  Without this </w:t>
      </w:r>
      <w:r>
        <w:rPr>
          <w:sz w:val="26"/>
          <w:szCs w:val="26"/>
        </w:rPr>
        <w:lastRenderedPageBreak/>
        <w:t>collection of information, the Commission would not be able to carry out its obligations under PURPA section 210(m).</w:t>
      </w:r>
    </w:p>
    <w:p w:rsidR="00EB053F" w:rsidRDefault="00EB053F" w14:paraId="5C888E5A" w14:textId="77777777">
      <w:pPr>
        <w:rPr>
          <w:sz w:val="26"/>
          <w:szCs w:val="26"/>
        </w:rPr>
      </w:pPr>
    </w:p>
    <w:p w:rsidR="00EB053F" w:rsidRDefault="00F63BA0" w14:paraId="7DCA07A8" w14:textId="77777777">
      <w:pPr>
        <w:widowControl/>
        <w:numPr>
          <w:ilvl w:val="0"/>
          <w:numId w:val="7"/>
        </w:numPr>
        <w:rPr>
          <w:sz w:val="26"/>
          <w:szCs w:val="26"/>
        </w:rPr>
      </w:pPr>
      <w:r>
        <w:rPr>
          <w:b/>
          <w:sz w:val="26"/>
          <w:szCs w:val="26"/>
        </w:rPr>
        <w:t>DESCRIBE ANY CONSIDERATION OF THE USE OF IMPROVED INFORMATION TECHNOLOGY TO REDUCE BURDEN AND THE TECHNICAL OR LEGAL OBSTACLES TO REDUCING BURDEN</w:t>
      </w:r>
    </w:p>
    <w:p w:rsidR="00EB053F" w:rsidRDefault="00EB053F" w14:paraId="4A94A6A0" w14:textId="77777777">
      <w:pPr>
        <w:rPr>
          <w:sz w:val="26"/>
          <w:szCs w:val="26"/>
        </w:rPr>
      </w:pPr>
    </w:p>
    <w:p w:rsidR="00EB053F" w:rsidRDefault="00F63BA0" w14:paraId="43C925DC" w14:textId="77777777">
      <w:pPr>
        <w:widowControl/>
        <w:rPr>
          <w:sz w:val="26"/>
          <w:szCs w:val="26"/>
        </w:rPr>
      </w:pPr>
      <w:r>
        <w:rPr>
          <w:sz w:val="26"/>
          <w:szCs w:val="26"/>
        </w:rPr>
        <w:t>In Order No. 619,</w:t>
      </w:r>
      <w:r>
        <w:rPr>
          <w:rStyle w:val="FootnoteReference"/>
          <w:sz w:val="26"/>
          <w:szCs w:val="26"/>
          <w:vertAlign w:val="superscript"/>
        </w:rPr>
        <w:footnoteReference w:id="11"/>
      </w:r>
      <w:r>
        <w:rPr>
          <w:sz w:val="26"/>
          <w:szCs w:val="26"/>
        </w:rPr>
        <w:t xml:space="preserve"> FERC established an electronic filing initiative to meet the goals of the Government Paperwork Elimination Act, which directed agencies to provide for optimal use and acceptance of electronic documents and signatures and electronic recordkeeping, where practical, by October 2003.</w:t>
      </w:r>
    </w:p>
    <w:p w:rsidR="00EB053F" w:rsidRDefault="00EB053F" w14:paraId="16BE4BAE" w14:textId="77777777">
      <w:pPr>
        <w:widowControl/>
        <w:rPr>
          <w:sz w:val="26"/>
          <w:szCs w:val="26"/>
        </w:rPr>
      </w:pPr>
    </w:p>
    <w:p w:rsidR="00EB053F" w:rsidRDefault="00F63BA0" w14:paraId="1D6A1520" w14:textId="77777777">
      <w:pPr>
        <w:rPr>
          <w:sz w:val="26"/>
          <w:szCs w:val="26"/>
        </w:rPr>
      </w:pPr>
      <w:r>
        <w:rPr>
          <w:b/>
          <w:bCs/>
          <w:sz w:val="26"/>
          <w:szCs w:val="26"/>
        </w:rPr>
        <w:t xml:space="preserve">FERC-556. </w:t>
      </w:r>
      <w:r>
        <w:rPr>
          <w:sz w:val="26"/>
          <w:szCs w:val="26"/>
        </w:rPr>
        <w:t xml:space="preserve"> FERC has attempted to facilitate the process of seeking QF status by electronically providing materials to potential small power producers and </w:t>
      </w:r>
      <w:proofErr w:type="spellStart"/>
      <w:r>
        <w:rPr>
          <w:sz w:val="26"/>
          <w:szCs w:val="26"/>
        </w:rPr>
        <w:t>cogenerators</w:t>
      </w:r>
      <w:proofErr w:type="spellEnd"/>
      <w:r>
        <w:rPr>
          <w:sz w:val="26"/>
          <w:szCs w:val="26"/>
        </w:rPr>
        <w:t xml:space="preserve"> to assist in their preparation of notices of self-certification and applications for Commission certification.  FERC Form No. 556 can be downloaded from FERC’s web site at: </w:t>
      </w:r>
      <w:hyperlink w:history="1" r:id="rId13">
        <w:r>
          <w:rPr>
            <w:rStyle w:val="Hyperlink"/>
            <w:color w:val="auto"/>
            <w:sz w:val="26"/>
            <w:szCs w:val="26"/>
          </w:rPr>
          <w:t>https://www.ferc.gov/industries-data/electric/general-information/electric-industry-forms</w:t>
        </w:r>
      </w:hyperlink>
      <w:r>
        <w:rPr>
          <w:sz w:val="26"/>
          <w:szCs w:val="26"/>
        </w:rPr>
        <w:t>.</w:t>
      </w:r>
    </w:p>
    <w:p w:rsidR="00EB053F" w:rsidRDefault="00EB053F" w14:paraId="09B927F9" w14:textId="77777777">
      <w:pPr>
        <w:rPr>
          <w:sz w:val="26"/>
          <w:szCs w:val="26"/>
        </w:rPr>
      </w:pPr>
    </w:p>
    <w:p w:rsidR="00EB053F" w:rsidRDefault="00F63BA0" w14:paraId="1F3F298A" w14:textId="77777777">
      <w:pPr>
        <w:pStyle w:val="FERCparanumber"/>
        <w:numPr>
          <w:ilvl w:val="0"/>
          <w:numId w:val="0"/>
        </w:numPr>
        <w:rPr>
          <w:szCs w:val="26"/>
        </w:rPr>
      </w:pPr>
      <w:r>
        <w:rPr>
          <w:szCs w:val="26"/>
        </w:rPr>
        <w:t>In Order No. 732, FERC required that applicants submit their QF applications (whether initial certifications or recertifications, and whether self-certifications or applications for Commission certification) electronically via the FERC website.  The electronic filing process is faster, easier, less costly and less resource-intensive than hard-copy filing.  An applicant filing electronically receives an acknowledgement that the Commission has received the application and a docket number for the submittal much more quickly than if filing in hard-copy format.  Electronic filing has allowed the Commission to electronically process QF applications, reduced required staff resources and human error, and allowed the Commission to identify patterns of reporting errors and noncompliance that would be difficult to detect through manual processing.  Finally, electronic filing of QF applications has facilitated the compilation of QF data.  Requiring applicants to file electronically has made it possible to make better use of this data.</w:t>
      </w:r>
    </w:p>
    <w:p w:rsidR="00EB053F" w:rsidRDefault="00EB053F" w14:paraId="552961CE" w14:textId="77777777">
      <w:pPr>
        <w:pStyle w:val="FERCparanumber"/>
        <w:numPr>
          <w:ilvl w:val="0"/>
          <w:numId w:val="0"/>
        </w:numPr>
        <w:rPr>
          <w:szCs w:val="26"/>
        </w:rPr>
      </w:pPr>
    </w:p>
    <w:p w:rsidR="00EB053F" w:rsidRDefault="00F63BA0" w14:paraId="2F9A1166" w14:textId="77777777">
      <w:pPr>
        <w:pStyle w:val="FERCparanumber"/>
        <w:numPr>
          <w:ilvl w:val="0"/>
          <w:numId w:val="0"/>
        </w:numPr>
        <w:rPr>
          <w:szCs w:val="26"/>
        </w:rPr>
      </w:pPr>
      <w:r>
        <w:rPr>
          <w:b/>
          <w:bCs/>
          <w:szCs w:val="26"/>
        </w:rPr>
        <w:t>FERC-912</w:t>
      </w:r>
      <w:r>
        <w:rPr>
          <w:b/>
          <w:szCs w:val="26"/>
        </w:rPr>
        <w:t>.</w:t>
      </w:r>
      <w:r>
        <w:rPr>
          <w:szCs w:val="26"/>
        </w:rPr>
        <w:t xml:space="preserve">  Applicants use the </w:t>
      </w:r>
      <w:proofErr w:type="spellStart"/>
      <w:r>
        <w:rPr>
          <w:szCs w:val="26"/>
        </w:rPr>
        <w:t>eFiling</w:t>
      </w:r>
      <w:proofErr w:type="spellEnd"/>
      <w:r>
        <w:rPr>
          <w:szCs w:val="26"/>
        </w:rPr>
        <w:t xml:space="preserve"> system to file the required information to the Commission.  </w:t>
      </w:r>
    </w:p>
    <w:p w:rsidR="00EB053F" w:rsidRDefault="00EB053F" w14:paraId="449A4FAB" w14:textId="77777777">
      <w:pPr>
        <w:pStyle w:val="FERCparanumber"/>
        <w:numPr>
          <w:ilvl w:val="0"/>
          <w:numId w:val="0"/>
        </w:numPr>
        <w:rPr>
          <w:szCs w:val="26"/>
        </w:rPr>
      </w:pPr>
    </w:p>
    <w:p w:rsidR="00EB053F" w:rsidRDefault="00F63BA0" w14:paraId="6EEF3640" w14:textId="77777777">
      <w:pPr>
        <w:pStyle w:val="FERCparanumber"/>
        <w:numPr>
          <w:ilvl w:val="0"/>
          <w:numId w:val="7"/>
        </w:numPr>
        <w:rPr>
          <w:szCs w:val="26"/>
        </w:rPr>
      </w:pPr>
      <w:r>
        <w:rPr>
          <w:b/>
          <w:szCs w:val="26"/>
        </w:rPr>
        <w:t>DESCRIBE EFFORTS TO IDENTIFY DUPLICATON AND SHOW SPECIFICALLY WHY ANY SIMILAR INFORMATION ALREADY AVAILABLE CANNOT BE USED OR MODIFIED FOR USE FOR THE PURPOSE(S) DESCRIBED IN INSTRUCTION NO. 2.</w:t>
      </w:r>
    </w:p>
    <w:p w:rsidR="00EB053F" w:rsidRDefault="00EB053F" w14:paraId="6A011B00" w14:textId="77777777">
      <w:pPr>
        <w:pStyle w:val="FERCparanumber"/>
        <w:numPr>
          <w:ilvl w:val="0"/>
          <w:numId w:val="0"/>
        </w:numPr>
        <w:rPr>
          <w:b/>
          <w:szCs w:val="26"/>
        </w:rPr>
      </w:pPr>
    </w:p>
    <w:p w:rsidR="00EB053F" w:rsidRDefault="00F63BA0" w14:paraId="4775C29D" w14:textId="77777777">
      <w:pPr>
        <w:widowControl/>
        <w:rPr>
          <w:sz w:val="26"/>
          <w:szCs w:val="26"/>
        </w:rPr>
      </w:pPr>
      <w:r>
        <w:rPr>
          <w:sz w:val="26"/>
          <w:szCs w:val="26"/>
        </w:rPr>
        <w:t xml:space="preserve">FERC Form No. 556 and FERC-912 are necessary information collections for the Commission to remain in compliance with FPA and PURPA mandates.  No similar information is, in fact, publicly available.  There are no other Federal agencies collecting this data, as there are no other Federal agencies responsible for certifying an electric generating facility as a QF and/or allowing a cogenerator or small power producer to determine whether it qualifies for the benefits bestowed by PURPA, including the exemptions from certain provisions of federal and state law.  </w:t>
      </w:r>
    </w:p>
    <w:p w:rsidR="00EB053F" w:rsidRDefault="00EB053F" w14:paraId="0BB7E54B" w14:textId="77777777">
      <w:pPr>
        <w:pStyle w:val="FERCparanumber"/>
        <w:numPr>
          <w:ilvl w:val="0"/>
          <w:numId w:val="0"/>
        </w:numPr>
        <w:rPr>
          <w:szCs w:val="26"/>
        </w:rPr>
      </w:pPr>
    </w:p>
    <w:p w:rsidR="00EB053F" w:rsidRDefault="00F63BA0" w14:paraId="28E42313" w14:textId="77777777">
      <w:pPr>
        <w:pStyle w:val="FERCparanumber"/>
        <w:numPr>
          <w:ilvl w:val="0"/>
          <w:numId w:val="7"/>
        </w:numPr>
        <w:rPr>
          <w:szCs w:val="26"/>
        </w:rPr>
      </w:pPr>
      <w:r>
        <w:rPr>
          <w:b/>
          <w:szCs w:val="26"/>
        </w:rPr>
        <w:t>METHODS USED TO MINIMIZE BURDEN IN COLLECTION OF INFORMATION INVOLVING SMALL ENTITIES</w:t>
      </w:r>
      <w:r>
        <w:rPr>
          <w:szCs w:val="26"/>
        </w:rPr>
        <w:t xml:space="preserve"> </w:t>
      </w:r>
    </w:p>
    <w:p w:rsidR="00EB053F" w:rsidRDefault="00EB053F" w14:paraId="5322458D" w14:textId="77777777">
      <w:pPr>
        <w:widowControl/>
        <w:rPr>
          <w:sz w:val="26"/>
          <w:szCs w:val="26"/>
        </w:rPr>
      </w:pPr>
    </w:p>
    <w:p w:rsidR="00EB053F" w:rsidRDefault="00F63BA0" w14:paraId="64D30E28" w14:textId="40ACEFF7">
      <w:pPr>
        <w:pStyle w:val="FERCparanumber"/>
        <w:numPr>
          <w:ilvl w:val="0"/>
          <w:numId w:val="0"/>
        </w:numPr>
        <w:tabs>
          <w:tab w:val="left" w:pos="720"/>
        </w:tabs>
        <w:rPr>
          <w:szCs w:val="26"/>
        </w:rPr>
      </w:pPr>
      <w:r>
        <w:rPr>
          <w:b/>
          <w:szCs w:val="26"/>
        </w:rPr>
        <w:t xml:space="preserve">FERC-556.  </w:t>
      </w:r>
      <w:r>
        <w:rPr>
          <w:szCs w:val="26"/>
        </w:rPr>
        <w:t>The FERC Form No. 556 and accompanying instructions have made it easier for applicants to file for QF status because the form leads applicants step-by-step through the compliance determinations.  Without this step-by-step process applicants (particularly small applicants) must independently research the requirements and determine compliance with PURPA and the Commission’s regulations</w:t>
      </w:r>
      <w:r w:rsidR="009E725D">
        <w:rPr>
          <w:szCs w:val="26"/>
        </w:rPr>
        <w:t>.</w:t>
      </w:r>
    </w:p>
    <w:p w:rsidR="00EB053F" w:rsidRDefault="00EB053F" w14:paraId="0FD30FDE" w14:textId="77777777">
      <w:pPr>
        <w:pStyle w:val="FERCparanumber"/>
        <w:numPr>
          <w:ilvl w:val="0"/>
          <w:numId w:val="0"/>
        </w:numPr>
        <w:tabs>
          <w:tab w:val="left" w:pos="720"/>
        </w:tabs>
        <w:rPr>
          <w:szCs w:val="26"/>
        </w:rPr>
      </w:pPr>
    </w:p>
    <w:p w:rsidR="00EB053F" w:rsidRDefault="00F63BA0" w14:paraId="2F146A60" w14:textId="77777777">
      <w:pPr>
        <w:pStyle w:val="FERCparanumber"/>
        <w:numPr>
          <w:ilvl w:val="0"/>
          <w:numId w:val="0"/>
        </w:numPr>
        <w:tabs>
          <w:tab w:val="left" w:pos="720"/>
        </w:tabs>
        <w:rPr>
          <w:szCs w:val="26"/>
        </w:rPr>
      </w:pPr>
      <w:r>
        <w:rPr>
          <w:szCs w:val="26"/>
        </w:rPr>
        <w:t>The FERC website has a list of frequently asked questions</w:t>
      </w:r>
      <w:r>
        <w:rPr>
          <w:szCs w:val="26"/>
          <w:vertAlign w:val="superscript"/>
        </w:rPr>
        <w:t xml:space="preserve"> </w:t>
      </w:r>
      <w:r>
        <w:rPr>
          <w:szCs w:val="26"/>
        </w:rPr>
        <w:t>to help filers.</w:t>
      </w:r>
      <w:r>
        <w:rPr>
          <w:rStyle w:val="FootnoteReference"/>
          <w:szCs w:val="26"/>
          <w:vertAlign w:val="superscript"/>
        </w:rPr>
        <w:footnoteReference w:id="12"/>
      </w:r>
      <w:r>
        <w:rPr>
          <w:szCs w:val="26"/>
        </w:rPr>
        <w:t xml:space="preserve">  It also provides the names and phone numbers of legal and technical staff at FERC that filers can call directly to get answers to questions and to receive general guidance and information about FERC’s QF program and policies.  The website also provides email addresses that can be used to submit written questions to FERC technical and legal staff.</w:t>
      </w:r>
    </w:p>
    <w:p w:rsidR="00EB053F" w:rsidRDefault="00EB053F" w14:paraId="3D41BD97" w14:textId="77777777">
      <w:pPr>
        <w:pStyle w:val="FERCparanumber"/>
        <w:numPr>
          <w:ilvl w:val="0"/>
          <w:numId w:val="0"/>
        </w:numPr>
        <w:tabs>
          <w:tab w:val="num" w:pos="720"/>
        </w:tabs>
        <w:rPr>
          <w:szCs w:val="26"/>
        </w:rPr>
      </w:pPr>
    </w:p>
    <w:p w:rsidR="00EB053F" w:rsidRDefault="00F63BA0" w14:paraId="1E132618" w14:textId="77777777">
      <w:pPr>
        <w:pStyle w:val="FERCparanumber"/>
        <w:numPr>
          <w:ilvl w:val="0"/>
          <w:numId w:val="0"/>
        </w:numPr>
        <w:tabs>
          <w:tab w:val="num" w:pos="0"/>
        </w:tabs>
        <w:rPr>
          <w:szCs w:val="26"/>
        </w:rPr>
      </w:pPr>
      <w:r>
        <w:rPr>
          <w:szCs w:val="26"/>
        </w:rPr>
        <w:t>Finally, the Commission has exempted applicants for facilities with net power production capacities of 1 MW and smaller from any filing requirement; the electronic filing requirement thus does not apply to these small QFs.  The Commission believes that any applicant for a facility larger than 1 MW would have access to the resources needed to develop and make an electronic filing.</w:t>
      </w:r>
    </w:p>
    <w:p w:rsidR="00EB053F" w:rsidRDefault="00EB053F" w14:paraId="5FA93132" w14:textId="77777777">
      <w:pPr>
        <w:pStyle w:val="FERCparanumber"/>
        <w:numPr>
          <w:ilvl w:val="0"/>
          <w:numId w:val="0"/>
        </w:numPr>
        <w:tabs>
          <w:tab w:val="num" w:pos="0"/>
        </w:tabs>
        <w:rPr>
          <w:szCs w:val="26"/>
        </w:rPr>
      </w:pPr>
    </w:p>
    <w:p w:rsidR="00EB053F" w:rsidRDefault="00F63BA0" w14:paraId="78D13A21" w14:textId="77777777">
      <w:pPr>
        <w:pStyle w:val="FERCparanumber"/>
        <w:numPr>
          <w:ilvl w:val="0"/>
          <w:numId w:val="0"/>
        </w:numPr>
        <w:tabs>
          <w:tab w:val="num" w:pos="0"/>
        </w:tabs>
        <w:rPr>
          <w:szCs w:val="26"/>
        </w:rPr>
      </w:pPr>
      <w:r>
        <w:rPr>
          <w:b/>
          <w:szCs w:val="26"/>
        </w:rPr>
        <w:t xml:space="preserve">FERC-912.  </w:t>
      </w:r>
      <w:r>
        <w:rPr>
          <w:bCs/>
          <w:szCs w:val="26"/>
        </w:rPr>
        <w:t xml:space="preserve"> The FERC-912 is related to the Commission’s regulations implementing PURPA section 210(m), which provide for the termination of an electric utility’s obligation to purchase from a QF with nondiscriminatory access to certain markets.  As such, the direct reporting burden of the FERC-912 falls on electric utilities located within such markets wishing to be </w:t>
      </w:r>
      <w:bookmarkStart w:name="_Hlk45533215" w:id="3"/>
      <w:r>
        <w:rPr>
          <w:bCs/>
          <w:szCs w:val="26"/>
        </w:rPr>
        <w:t>relieved from the purchase obligation</w:t>
      </w:r>
      <w:bookmarkEnd w:id="3"/>
      <w:r>
        <w:rPr>
          <w:bCs/>
          <w:szCs w:val="26"/>
        </w:rPr>
        <w:t xml:space="preserve">.  Seeking such relief is voluntary, and if such electric utilities were small entities, they would decide whether to seek such relief based on the same considerations as larger entities, i.e., whether the cost savings from being relieved of the purchase obligation exceed the cost of seeking such </w:t>
      </w:r>
      <w:r>
        <w:rPr>
          <w:bCs/>
          <w:szCs w:val="26"/>
        </w:rPr>
        <w:lastRenderedPageBreak/>
        <w:t xml:space="preserve">relief.  The Commission believes these considerations are appropriate for entities of all </w:t>
      </w:r>
      <w:proofErr w:type="gramStart"/>
      <w:r>
        <w:rPr>
          <w:bCs/>
          <w:szCs w:val="26"/>
        </w:rPr>
        <w:t>sizes, and</w:t>
      </w:r>
      <w:proofErr w:type="gramEnd"/>
      <w:r>
        <w:rPr>
          <w:bCs/>
          <w:szCs w:val="26"/>
        </w:rPr>
        <w:t xml:space="preserve"> is aware of no way to further minimize this voluntary burden on small electric utilities.</w:t>
      </w:r>
    </w:p>
    <w:p w:rsidR="00EB053F" w:rsidRDefault="00EB053F" w14:paraId="0DB00492" w14:textId="77777777">
      <w:pPr>
        <w:pStyle w:val="FERCparanumber"/>
        <w:numPr>
          <w:ilvl w:val="0"/>
          <w:numId w:val="0"/>
        </w:numPr>
        <w:tabs>
          <w:tab w:val="num" w:pos="0"/>
        </w:tabs>
        <w:rPr>
          <w:szCs w:val="26"/>
        </w:rPr>
      </w:pPr>
    </w:p>
    <w:p w:rsidR="00EB053F" w:rsidRDefault="00F63BA0" w14:paraId="34ABFCD4" w14:textId="77777777">
      <w:pPr>
        <w:pStyle w:val="FERCparanumber"/>
        <w:numPr>
          <w:ilvl w:val="0"/>
          <w:numId w:val="7"/>
        </w:numPr>
        <w:rPr>
          <w:szCs w:val="26"/>
        </w:rPr>
      </w:pPr>
      <w:r>
        <w:rPr>
          <w:b/>
          <w:szCs w:val="26"/>
        </w:rPr>
        <w:t>CONSEQUENCE TO FEDERAL PROGRAM IF COLLECTION WERE CONDUCTED LESS FREQUENTLY</w:t>
      </w:r>
    </w:p>
    <w:p w:rsidR="00EB053F" w:rsidRDefault="00EB053F" w14:paraId="450F15CD" w14:textId="77777777">
      <w:pPr>
        <w:pStyle w:val="FERCparanumber"/>
        <w:numPr>
          <w:ilvl w:val="0"/>
          <w:numId w:val="0"/>
        </w:numPr>
        <w:rPr>
          <w:szCs w:val="26"/>
        </w:rPr>
      </w:pPr>
    </w:p>
    <w:p w:rsidR="00EB053F" w:rsidRDefault="00F63BA0" w14:paraId="6EC42992" w14:textId="77777777">
      <w:pPr>
        <w:widowControl/>
        <w:rPr>
          <w:sz w:val="26"/>
          <w:szCs w:val="26"/>
        </w:rPr>
      </w:pPr>
      <w:r>
        <w:rPr>
          <w:b/>
          <w:sz w:val="26"/>
          <w:szCs w:val="26"/>
        </w:rPr>
        <w:t xml:space="preserve">FERC-556.  </w:t>
      </w:r>
      <w:r>
        <w:rPr>
          <w:sz w:val="26"/>
          <w:szCs w:val="26"/>
        </w:rPr>
        <w:t>Applicants submit an initial form and additional forms for any changes in QF status criteria.  If the information were not collected and kept up-to-date, or if any changes that affect the QF status occur, the Commission would be unable to certify the facility as a QF, and the cogenerator or small power producer would be unable to determine whether it qualifies for the benefits bestowed by PURPA, including the exemptions from certain provisions of Federal and state law.</w:t>
      </w:r>
    </w:p>
    <w:p w:rsidR="00EB053F" w:rsidRDefault="00EB053F" w14:paraId="767BA68B" w14:textId="77777777">
      <w:pPr>
        <w:widowControl/>
        <w:rPr>
          <w:sz w:val="26"/>
          <w:szCs w:val="26"/>
        </w:rPr>
      </w:pPr>
    </w:p>
    <w:p w:rsidR="00EB053F" w:rsidRDefault="00F63BA0" w14:paraId="00B120E8" w14:textId="77777777">
      <w:pPr>
        <w:widowControl/>
        <w:rPr>
          <w:sz w:val="26"/>
          <w:szCs w:val="26"/>
        </w:rPr>
      </w:pPr>
      <w:r>
        <w:rPr>
          <w:b/>
          <w:bCs/>
          <w:sz w:val="26"/>
          <w:szCs w:val="26"/>
        </w:rPr>
        <w:t>FERC-912.</w:t>
      </w:r>
      <w:r>
        <w:rPr>
          <w:sz w:val="26"/>
          <w:szCs w:val="26"/>
        </w:rPr>
        <w:t xml:space="preserve">  Respondents file the FERC-912 information only when circumstances in 18 C.F.R. Part 292 are met, and only if the respondent chooses to make the filing.  This is not a recurring collection.  The Commission cannot conduct this information collection less frequently.  The only way to conduct this collection less frequently would be to discontinue it.  That would result in the Commission failing to meet its statutory mandates.</w:t>
      </w:r>
    </w:p>
    <w:p w:rsidR="00EB053F" w:rsidRDefault="00EB053F" w14:paraId="264801E1" w14:textId="77777777">
      <w:pPr>
        <w:pStyle w:val="FERCparanumber"/>
        <w:numPr>
          <w:ilvl w:val="0"/>
          <w:numId w:val="0"/>
        </w:numPr>
        <w:rPr>
          <w:szCs w:val="26"/>
        </w:rPr>
      </w:pPr>
    </w:p>
    <w:p w:rsidR="00EB053F" w:rsidRDefault="00F63BA0" w14:paraId="337CE4EA" w14:textId="77777777">
      <w:pPr>
        <w:pStyle w:val="FERCparanumber"/>
        <w:numPr>
          <w:ilvl w:val="0"/>
          <w:numId w:val="7"/>
        </w:numPr>
        <w:rPr>
          <w:szCs w:val="26"/>
        </w:rPr>
      </w:pPr>
      <w:r>
        <w:rPr>
          <w:b/>
          <w:szCs w:val="26"/>
        </w:rPr>
        <w:t>EXPLAIN ANY SPECIAL CIRCUMSTANCES RELATING TO THE INFORMATION</w:t>
      </w:r>
    </w:p>
    <w:p w:rsidR="00EB053F" w:rsidRDefault="00EB053F" w14:paraId="5966B19F" w14:textId="77777777">
      <w:pPr>
        <w:pStyle w:val="FERCparanumber"/>
        <w:numPr>
          <w:ilvl w:val="0"/>
          <w:numId w:val="0"/>
        </w:numPr>
        <w:rPr>
          <w:b/>
          <w:szCs w:val="26"/>
        </w:rPr>
      </w:pPr>
    </w:p>
    <w:p w:rsidR="00EB053F" w:rsidRDefault="00F63BA0" w14:paraId="53B90354" w14:textId="77777777">
      <w:pPr>
        <w:rPr>
          <w:sz w:val="26"/>
          <w:szCs w:val="26"/>
        </w:rPr>
      </w:pPr>
      <w:r>
        <w:rPr>
          <w:sz w:val="26"/>
          <w:szCs w:val="26"/>
        </w:rPr>
        <w:t xml:space="preserve">There are no special circumstances.  </w:t>
      </w:r>
    </w:p>
    <w:p w:rsidR="00EB053F" w:rsidRDefault="00EB053F" w14:paraId="7BC19883" w14:textId="77777777">
      <w:pPr>
        <w:pStyle w:val="FERCparanumber"/>
        <w:numPr>
          <w:ilvl w:val="0"/>
          <w:numId w:val="0"/>
        </w:numPr>
        <w:rPr>
          <w:szCs w:val="26"/>
        </w:rPr>
      </w:pPr>
    </w:p>
    <w:p w:rsidR="00EB053F" w:rsidRDefault="00F63BA0" w14:paraId="4D04C21D" w14:textId="77777777">
      <w:pPr>
        <w:pStyle w:val="FERCparanumber"/>
        <w:numPr>
          <w:ilvl w:val="0"/>
          <w:numId w:val="7"/>
        </w:numPr>
        <w:rPr>
          <w:szCs w:val="26"/>
        </w:rPr>
      </w:pPr>
      <w:r>
        <w:rPr>
          <w:b/>
          <w:szCs w:val="26"/>
        </w:rPr>
        <w:t>DESCRIBE EFFORTS TO CONSULT OUTSIDE THE AGENCY: SUMMARIZE PUBLIC COMMENTS AND THE AGENCY’S RESPONSE TO THESE COMMENTS</w:t>
      </w:r>
    </w:p>
    <w:p w:rsidR="00EB053F" w:rsidRDefault="00EB053F" w14:paraId="4A97BB5C" w14:textId="77777777">
      <w:pPr>
        <w:pStyle w:val="FERCparanumber"/>
        <w:numPr>
          <w:ilvl w:val="0"/>
          <w:numId w:val="0"/>
        </w:numPr>
        <w:rPr>
          <w:b/>
          <w:szCs w:val="26"/>
        </w:rPr>
      </w:pPr>
    </w:p>
    <w:p w:rsidR="00EB053F" w:rsidRDefault="00F63BA0" w14:paraId="39FB96AF" w14:textId="77777777">
      <w:pPr>
        <w:pStyle w:val="FERCparanumber"/>
        <w:numPr>
          <w:ilvl w:val="0"/>
          <w:numId w:val="0"/>
        </w:numPr>
        <w:rPr>
          <w:szCs w:val="26"/>
        </w:rPr>
      </w:pPr>
      <w:r>
        <w:rPr>
          <w:szCs w:val="26"/>
        </w:rPr>
        <w:t xml:space="preserve">Each FERC rulemaking (both proposed and final rules) is published in the Federal Register thereby providing public utilities and licensees, state commissions, Federal agencies, and other interested parties an opportunity to submit data, views, comments or suggestions concerning the proposed collection of data.  The NOPR (issued 9/19/2019) was published in the Federal Register (84 FR 53246, 10/4/2019).   </w:t>
      </w:r>
    </w:p>
    <w:p w:rsidR="00EB053F" w:rsidRDefault="00EB053F" w14:paraId="03D07E63" w14:textId="77777777">
      <w:pPr>
        <w:pStyle w:val="FERCparanumber"/>
        <w:numPr>
          <w:ilvl w:val="0"/>
          <w:numId w:val="0"/>
        </w:numPr>
        <w:rPr>
          <w:szCs w:val="26"/>
        </w:rPr>
      </w:pPr>
    </w:p>
    <w:p w:rsidR="00BE7A06" w:rsidRDefault="00BE7A06" w14:paraId="457EBB0F" w14:textId="77777777">
      <w:pPr>
        <w:pStyle w:val="FERCparanumber"/>
        <w:numPr>
          <w:ilvl w:val="0"/>
          <w:numId w:val="0"/>
        </w:numPr>
        <w:rPr>
          <w:szCs w:val="26"/>
        </w:rPr>
      </w:pPr>
    </w:p>
    <w:p w:rsidR="00BE7A06" w:rsidRDefault="00BE7A06" w14:paraId="29DB109B" w14:textId="77777777">
      <w:pPr>
        <w:pStyle w:val="FERCparanumber"/>
        <w:numPr>
          <w:ilvl w:val="0"/>
          <w:numId w:val="0"/>
        </w:numPr>
        <w:rPr>
          <w:b/>
          <w:bCs/>
          <w:szCs w:val="26"/>
        </w:rPr>
      </w:pPr>
      <w:r w:rsidRPr="00CE3384">
        <w:rPr>
          <w:b/>
          <w:bCs/>
          <w:szCs w:val="26"/>
        </w:rPr>
        <w:t>Comments on the NOPR and FERC Responses</w:t>
      </w:r>
      <w:r>
        <w:rPr>
          <w:b/>
          <w:bCs/>
          <w:szCs w:val="26"/>
        </w:rPr>
        <w:t xml:space="preserve"> </w:t>
      </w:r>
    </w:p>
    <w:p w:rsidR="00EB053F" w:rsidRDefault="00F63BA0" w14:paraId="708D4207" w14:textId="5418E233">
      <w:pPr>
        <w:pStyle w:val="FERCparanumber"/>
        <w:numPr>
          <w:ilvl w:val="0"/>
          <w:numId w:val="0"/>
        </w:numPr>
        <w:rPr>
          <w:szCs w:val="26"/>
        </w:rPr>
      </w:pPr>
      <w:r>
        <w:rPr>
          <w:szCs w:val="26"/>
        </w:rPr>
        <w:t xml:space="preserve">FERC received 12 comments </w:t>
      </w:r>
      <w:r w:rsidRPr="00CE3384" w:rsidR="000F1F4A">
        <w:rPr>
          <w:szCs w:val="26"/>
        </w:rPr>
        <w:t xml:space="preserve">on the NOPR </w:t>
      </w:r>
      <w:r>
        <w:rPr>
          <w:szCs w:val="26"/>
        </w:rPr>
        <w:t>related to PRA issues.  Comment summaries and FERC’s responses follow.</w:t>
      </w:r>
    </w:p>
    <w:p w:rsidR="00EB053F" w:rsidRDefault="00EB053F" w14:paraId="762AEADE" w14:textId="77777777">
      <w:pPr>
        <w:pStyle w:val="FERCparanumber"/>
        <w:numPr>
          <w:ilvl w:val="0"/>
          <w:numId w:val="0"/>
        </w:numPr>
        <w:rPr>
          <w:szCs w:val="26"/>
        </w:rPr>
      </w:pPr>
    </w:p>
    <w:p w:rsidR="00EB053F" w:rsidRDefault="00F63BA0" w14:paraId="67814F3E" w14:textId="55A0A298">
      <w:pPr>
        <w:pStyle w:val="FERCparanumber"/>
        <w:numPr>
          <w:ilvl w:val="0"/>
          <w:numId w:val="0"/>
        </w:numPr>
        <w:rPr>
          <w:szCs w:val="26"/>
        </w:rPr>
      </w:pPr>
      <w:r>
        <w:rPr>
          <w:b/>
        </w:rPr>
        <w:lastRenderedPageBreak/>
        <w:t>Public Comments</w:t>
      </w:r>
      <w:r w:rsidR="00EF5020">
        <w:rPr>
          <w:b/>
        </w:rPr>
        <w:t xml:space="preserve"> in Response to the NOPR</w:t>
      </w:r>
      <w:r w:rsidR="00DA6082">
        <w:rPr>
          <w:b/>
        </w:rPr>
        <w:t xml:space="preserve">:  </w:t>
      </w:r>
      <w:r w:rsidR="00EF5020">
        <w:t>T</w:t>
      </w:r>
      <w:bookmarkStart w:name="_Hlk45561891" w:id="4"/>
      <w:r>
        <w:t xml:space="preserve">he Southeast Public Interest Organizations and SC Solar Alliance </w:t>
      </w:r>
      <w:r w:rsidR="00DA6082">
        <w:t>state</w:t>
      </w:r>
      <w:r w:rsidR="007034F6">
        <w:t>d</w:t>
      </w:r>
      <w:r>
        <w:t xml:space="preserve"> that </w:t>
      </w:r>
      <w:r w:rsidR="003171FC">
        <w:t xml:space="preserve">Order </w:t>
      </w:r>
      <w:r w:rsidR="00153B36">
        <w:t xml:space="preserve">No. </w:t>
      </w:r>
      <w:r w:rsidR="003171FC">
        <w:t>872</w:t>
      </w:r>
      <w:r>
        <w:t xml:space="preserve"> will make recertification burdensome, citing generally the increased burden of reporting affiliates within 10 miles and having to defend against challenges to QF status based on such affiliation within 10 miles.</w:t>
      </w:r>
      <w:r>
        <w:rPr>
          <w:vertAlign w:val="superscript"/>
        </w:rPr>
        <w:footnoteReference w:id="13"/>
      </w:r>
      <w:r>
        <w:t xml:space="preserve">  Similarly, Solar Energy Industries </w:t>
      </w:r>
      <w:r w:rsidR="007034F6">
        <w:t xml:space="preserve">were </w:t>
      </w:r>
      <w:r>
        <w:t>concerned that QFs may need to defend numerous self-certifications over a facility’s lifetime, and assert that QFs could be forced to recertify any time the information represented in the Form No. 556 changes, including ownership changes to affiliated facilities located within 10 miles.</w:t>
      </w:r>
      <w:r>
        <w:rPr>
          <w:vertAlign w:val="superscript"/>
        </w:rPr>
        <w:footnoteReference w:id="14"/>
      </w:r>
      <w:r>
        <w:t xml:space="preserve">  </w:t>
      </w:r>
      <w:bookmarkEnd w:id="4"/>
    </w:p>
    <w:p w:rsidR="00EB053F" w:rsidRDefault="00EB053F" w14:paraId="66C9DC75" w14:textId="77777777">
      <w:pPr>
        <w:pStyle w:val="FERCparanumber"/>
        <w:numPr>
          <w:ilvl w:val="0"/>
          <w:numId w:val="0"/>
        </w:numPr>
        <w:rPr>
          <w:szCs w:val="26"/>
        </w:rPr>
      </w:pPr>
    </w:p>
    <w:p w:rsidR="00EB053F" w:rsidRDefault="00F63BA0" w14:paraId="691B53A9" w14:textId="321A9F2A">
      <w:pPr>
        <w:pStyle w:val="FERCparanumber"/>
        <w:numPr>
          <w:ilvl w:val="0"/>
          <w:numId w:val="0"/>
        </w:numPr>
        <w:rPr>
          <w:b/>
          <w:szCs w:val="26"/>
        </w:rPr>
      </w:pPr>
      <w:bookmarkStart w:name="_Hlk45561930" w:id="5"/>
      <w:r>
        <w:rPr>
          <w:szCs w:val="26"/>
        </w:rPr>
        <w:t xml:space="preserve">Several commenters </w:t>
      </w:r>
      <w:r w:rsidR="00DA6082">
        <w:rPr>
          <w:szCs w:val="26"/>
        </w:rPr>
        <w:t>state</w:t>
      </w:r>
      <w:r w:rsidR="007034F6">
        <w:rPr>
          <w:szCs w:val="26"/>
        </w:rPr>
        <w:t>d</w:t>
      </w:r>
      <w:r>
        <w:rPr>
          <w:szCs w:val="26"/>
        </w:rPr>
        <w:t xml:space="preserve"> that there will be substantial costs associated with allowing a party to protest a self-certification or self-recertification of a facility without being required to file a separate petition for declaratory order and pay the associated filing fee, that will fall on ratepayers and QFs.</w:t>
      </w:r>
      <w:r>
        <w:rPr>
          <w:szCs w:val="26"/>
          <w:vertAlign w:val="superscript"/>
        </w:rPr>
        <w:footnoteReference w:id="15"/>
      </w:r>
      <w:r>
        <w:rPr>
          <w:szCs w:val="26"/>
        </w:rPr>
        <w:t xml:space="preserve">  Several commenters </w:t>
      </w:r>
      <w:r w:rsidR="00DA6082">
        <w:rPr>
          <w:szCs w:val="26"/>
        </w:rPr>
        <w:t>state</w:t>
      </w:r>
      <w:r w:rsidR="007034F6">
        <w:rPr>
          <w:szCs w:val="26"/>
        </w:rPr>
        <w:t>d</w:t>
      </w:r>
      <w:r>
        <w:rPr>
          <w:szCs w:val="26"/>
        </w:rPr>
        <w:t xml:space="preserve"> that the proposed changes will lead to increased administrative burden and expense.</w:t>
      </w:r>
      <w:r>
        <w:rPr>
          <w:szCs w:val="26"/>
          <w:vertAlign w:val="superscript"/>
        </w:rPr>
        <w:footnoteReference w:id="16"/>
      </w:r>
      <w:r>
        <w:rPr>
          <w:szCs w:val="26"/>
        </w:rPr>
        <w:t xml:space="preserve">  However, several commenters </w:t>
      </w:r>
      <w:r w:rsidR="00DA6082">
        <w:rPr>
          <w:szCs w:val="26"/>
        </w:rPr>
        <w:t>state</w:t>
      </w:r>
      <w:r w:rsidR="007034F6">
        <w:rPr>
          <w:szCs w:val="26"/>
        </w:rPr>
        <w:t>d</w:t>
      </w:r>
      <w:r>
        <w:rPr>
          <w:szCs w:val="26"/>
        </w:rPr>
        <w:t xml:space="preserve"> that this change would increase the efficiency of the process, reduce administrative costs, and could solve potential certification problems before they even begin.</w:t>
      </w:r>
      <w:r>
        <w:rPr>
          <w:szCs w:val="26"/>
          <w:vertAlign w:val="superscript"/>
        </w:rPr>
        <w:footnoteReference w:id="17"/>
      </w:r>
    </w:p>
    <w:p w:rsidR="00EB053F" w:rsidRDefault="00EB053F" w14:paraId="58656E75" w14:textId="77777777">
      <w:pPr>
        <w:pStyle w:val="FERCparanumber"/>
        <w:numPr>
          <w:ilvl w:val="0"/>
          <w:numId w:val="0"/>
        </w:numPr>
        <w:rPr>
          <w:szCs w:val="26"/>
        </w:rPr>
      </w:pPr>
    </w:p>
    <w:p w:rsidR="00EB053F" w:rsidRDefault="00F63BA0" w14:paraId="464B6634" w14:textId="49F57FEC">
      <w:pPr>
        <w:pStyle w:val="FERCparanumber"/>
        <w:numPr>
          <w:ilvl w:val="0"/>
          <w:numId w:val="0"/>
        </w:numPr>
        <w:rPr>
          <w:szCs w:val="26"/>
        </w:rPr>
      </w:pPr>
      <w:r>
        <w:rPr>
          <w:szCs w:val="26"/>
        </w:rPr>
        <w:t xml:space="preserve">Solar Energy Industries </w:t>
      </w:r>
      <w:r w:rsidR="00DA6082">
        <w:rPr>
          <w:szCs w:val="26"/>
        </w:rPr>
        <w:t>state</w:t>
      </w:r>
      <w:r w:rsidR="007034F6">
        <w:rPr>
          <w:szCs w:val="26"/>
        </w:rPr>
        <w:t>d</w:t>
      </w:r>
      <w:r>
        <w:rPr>
          <w:szCs w:val="26"/>
        </w:rPr>
        <w:t xml:space="preserve"> that the proposed changes to the one-mile rule will substantially increase the regulatory burden on QFs and the self-certification process will no longer be quick.</w:t>
      </w:r>
      <w:r>
        <w:rPr>
          <w:szCs w:val="26"/>
          <w:vertAlign w:val="superscript"/>
        </w:rPr>
        <w:footnoteReference w:id="18"/>
      </w:r>
      <w:r>
        <w:rPr>
          <w:szCs w:val="26"/>
        </w:rPr>
        <w:t xml:space="preserve">  Solar Energy Industries </w:t>
      </w:r>
      <w:r w:rsidR="00AE4ECB">
        <w:rPr>
          <w:szCs w:val="26"/>
        </w:rPr>
        <w:t>assert</w:t>
      </w:r>
      <w:r w:rsidR="007034F6">
        <w:rPr>
          <w:szCs w:val="26"/>
        </w:rPr>
        <w:t>ed</w:t>
      </w:r>
      <w:r w:rsidR="00AE4ECB">
        <w:rPr>
          <w:szCs w:val="26"/>
        </w:rPr>
        <w:t xml:space="preserve"> that </w:t>
      </w:r>
      <w:r w:rsidR="00AE4ECB">
        <w:t xml:space="preserve">a QF could be forced to recertify any time the information represented changes, including ownership changes to </w:t>
      </w:r>
      <w:r w:rsidR="00AE4ECB">
        <w:lastRenderedPageBreak/>
        <w:t>affiliated facilities located within ten miles.</w:t>
      </w:r>
      <w:r w:rsidRPr="00DD3490" w:rsidR="00AE4ECB">
        <w:rPr>
          <w:rStyle w:val="FootnoteReference"/>
          <w:vertAlign w:val="superscript"/>
        </w:rPr>
        <w:footnoteReference w:id="19"/>
      </w:r>
      <w:r w:rsidR="00AE4ECB">
        <w:t xml:space="preserve">  </w:t>
      </w:r>
      <w:r w:rsidR="00DA6082">
        <w:rPr>
          <w:szCs w:val="26"/>
        </w:rPr>
        <w:t>Solar Energy Industries state</w:t>
      </w:r>
      <w:r w:rsidR="007034F6">
        <w:rPr>
          <w:szCs w:val="26"/>
        </w:rPr>
        <w:t>d</w:t>
      </w:r>
      <w:r>
        <w:rPr>
          <w:szCs w:val="26"/>
        </w:rPr>
        <w:t xml:space="preserve"> that the NOPR’s estimate of an additional eight hours and $632 per docket for each QF self-certification or re-certification is a substantial underestimation.</w:t>
      </w:r>
      <w:r>
        <w:rPr>
          <w:szCs w:val="26"/>
          <w:vertAlign w:val="superscript"/>
        </w:rPr>
        <w:footnoteReference w:id="20"/>
      </w:r>
      <w:r>
        <w:rPr>
          <w:szCs w:val="26"/>
        </w:rPr>
        <w:t xml:space="preserve">  Solar Energy Industries </w:t>
      </w:r>
      <w:r w:rsidR="00DA6082">
        <w:rPr>
          <w:szCs w:val="26"/>
        </w:rPr>
        <w:t>estimate</w:t>
      </w:r>
      <w:r w:rsidR="007034F6">
        <w:rPr>
          <w:szCs w:val="26"/>
        </w:rPr>
        <w:t>d</w:t>
      </w:r>
      <w:r>
        <w:rPr>
          <w:szCs w:val="26"/>
        </w:rPr>
        <w:t xml:space="preserve"> that it would require an additional approximately 90 to 120 hours per year to comply with the new requirements.</w:t>
      </w:r>
      <w:r>
        <w:rPr>
          <w:bCs/>
          <w:szCs w:val="26"/>
          <w:vertAlign w:val="superscript"/>
        </w:rPr>
        <w:footnoteReference w:id="21"/>
      </w:r>
      <w:r>
        <w:rPr>
          <w:szCs w:val="26"/>
        </w:rPr>
        <w:t xml:space="preserve">  Solar Energy Industries </w:t>
      </w:r>
      <w:r w:rsidR="00DA6082">
        <w:rPr>
          <w:szCs w:val="26"/>
        </w:rPr>
        <w:t>assert</w:t>
      </w:r>
      <w:r w:rsidR="007034F6">
        <w:rPr>
          <w:szCs w:val="26"/>
        </w:rPr>
        <w:t>ed</w:t>
      </w:r>
      <w:r>
        <w:rPr>
          <w:szCs w:val="26"/>
        </w:rPr>
        <w:t xml:space="preserve"> that the flood of self-certification filings and updates would be a substantial burden on Commission staff and provide little value to the Commission or the public.</w:t>
      </w:r>
      <w:r>
        <w:rPr>
          <w:szCs w:val="26"/>
          <w:vertAlign w:val="superscript"/>
        </w:rPr>
        <w:footnoteReference w:id="22"/>
      </w:r>
      <w:r>
        <w:rPr>
          <w:szCs w:val="26"/>
        </w:rPr>
        <w:t xml:space="preserve">  </w:t>
      </w:r>
      <w:bookmarkEnd w:id="5"/>
    </w:p>
    <w:p w:rsidR="00EB053F" w:rsidRDefault="00EB053F" w14:paraId="559CC1B7" w14:textId="77777777">
      <w:pPr>
        <w:pStyle w:val="FERCparanumber"/>
        <w:numPr>
          <w:ilvl w:val="0"/>
          <w:numId w:val="0"/>
        </w:numPr>
        <w:rPr>
          <w:szCs w:val="26"/>
        </w:rPr>
      </w:pPr>
    </w:p>
    <w:p w:rsidR="00EB053F" w:rsidRDefault="00F63BA0" w14:paraId="79C067BD" w14:textId="5F5873B1">
      <w:pPr>
        <w:widowControl/>
      </w:pPr>
      <w:r>
        <w:rPr>
          <w:rStyle w:val="Heading2Char"/>
          <w:rFonts w:ascii="Times New Roman" w:hAnsi="Times New Roman" w:cs="Times New Roman"/>
          <w:b/>
          <w:color w:val="auto"/>
          <w:sz w:val="26"/>
          <w:szCs w:val="26"/>
        </w:rPr>
        <w:t>Commission Response</w:t>
      </w:r>
      <w:r w:rsidR="00EF5020">
        <w:rPr>
          <w:rStyle w:val="Heading2Char"/>
          <w:rFonts w:ascii="Times New Roman" w:hAnsi="Times New Roman" w:cs="Times New Roman"/>
          <w:b/>
          <w:color w:val="auto"/>
          <w:sz w:val="26"/>
          <w:szCs w:val="26"/>
        </w:rPr>
        <w:t xml:space="preserve"> in</w:t>
      </w:r>
      <w:r w:rsidR="008E4F1A">
        <w:rPr>
          <w:rStyle w:val="Heading2Char"/>
          <w:rFonts w:ascii="Times New Roman" w:hAnsi="Times New Roman" w:cs="Times New Roman"/>
          <w:b/>
          <w:color w:val="auto"/>
          <w:sz w:val="26"/>
          <w:szCs w:val="26"/>
        </w:rPr>
        <w:t xml:space="preserve"> </w:t>
      </w:r>
      <w:r w:rsidR="003171FC">
        <w:rPr>
          <w:rStyle w:val="Heading2Char"/>
          <w:rFonts w:ascii="Times New Roman" w:hAnsi="Times New Roman" w:cs="Times New Roman"/>
          <w:b/>
          <w:color w:val="auto"/>
          <w:sz w:val="26"/>
          <w:szCs w:val="26"/>
        </w:rPr>
        <w:t xml:space="preserve">Order </w:t>
      </w:r>
      <w:r w:rsidR="00153B36">
        <w:rPr>
          <w:rStyle w:val="Heading2Char"/>
          <w:rFonts w:ascii="Times New Roman" w:hAnsi="Times New Roman" w:cs="Times New Roman"/>
          <w:b/>
          <w:color w:val="auto"/>
          <w:sz w:val="26"/>
          <w:szCs w:val="26"/>
        </w:rPr>
        <w:t xml:space="preserve">No. </w:t>
      </w:r>
      <w:r w:rsidR="003171FC">
        <w:rPr>
          <w:rStyle w:val="Heading2Char"/>
          <w:rFonts w:ascii="Times New Roman" w:hAnsi="Times New Roman" w:cs="Times New Roman"/>
          <w:b/>
          <w:color w:val="auto"/>
          <w:sz w:val="26"/>
          <w:szCs w:val="26"/>
        </w:rPr>
        <w:t>872</w:t>
      </w:r>
      <w:r>
        <w:rPr>
          <w:rStyle w:val="Heading2Char"/>
          <w:rFonts w:ascii="Times New Roman" w:hAnsi="Times New Roman" w:cs="Times New Roman"/>
          <w:b/>
          <w:color w:val="auto"/>
          <w:sz w:val="26"/>
          <w:szCs w:val="26"/>
        </w:rPr>
        <w:t xml:space="preserve">:  </w:t>
      </w:r>
      <w:r>
        <w:rPr>
          <w:sz w:val="26"/>
          <w:szCs w:val="26"/>
        </w:rPr>
        <w:t xml:space="preserve">The Commission </w:t>
      </w:r>
      <w:r w:rsidR="009E2496">
        <w:rPr>
          <w:sz w:val="26"/>
          <w:szCs w:val="26"/>
        </w:rPr>
        <w:t>in</w:t>
      </w:r>
      <w:r w:rsidR="008E4F1A">
        <w:rPr>
          <w:sz w:val="26"/>
          <w:szCs w:val="26"/>
        </w:rPr>
        <w:t xml:space="preserve"> </w:t>
      </w:r>
      <w:r w:rsidR="003171FC">
        <w:rPr>
          <w:sz w:val="26"/>
          <w:szCs w:val="26"/>
        </w:rPr>
        <w:t xml:space="preserve">Order </w:t>
      </w:r>
      <w:r w:rsidR="00153B36">
        <w:rPr>
          <w:sz w:val="26"/>
          <w:szCs w:val="26"/>
        </w:rPr>
        <w:t xml:space="preserve">No. </w:t>
      </w:r>
      <w:r w:rsidR="003171FC">
        <w:rPr>
          <w:sz w:val="26"/>
          <w:szCs w:val="26"/>
        </w:rPr>
        <w:t>872</w:t>
      </w:r>
      <w:r w:rsidR="009E2496">
        <w:rPr>
          <w:sz w:val="26"/>
          <w:szCs w:val="26"/>
        </w:rPr>
        <w:t xml:space="preserve"> </w:t>
      </w:r>
      <w:r w:rsidR="007034F6">
        <w:rPr>
          <w:sz w:val="26"/>
          <w:szCs w:val="26"/>
        </w:rPr>
        <w:t>found</w:t>
      </w:r>
      <w:r>
        <w:rPr>
          <w:sz w:val="26"/>
          <w:szCs w:val="26"/>
        </w:rPr>
        <w:t xml:space="preserve"> that any increased administrative burden imposed by the new rule is justified by the need to ensure that QFs meet the statutory criteria for QF status.  With regard to recertifications, the Commission </w:t>
      </w:r>
      <w:r w:rsidR="00DA6082">
        <w:rPr>
          <w:sz w:val="26"/>
          <w:szCs w:val="26"/>
        </w:rPr>
        <w:t>grant</w:t>
      </w:r>
      <w:r w:rsidR="007034F6">
        <w:rPr>
          <w:sz w:val="26"/>
          <w:szCs w:val="26"/>
        </w:rPr>
        <w:t>ed</w:t>
      </w:r>
      <w:r>
        <w:rPr>
          <w:sz w:val="26"/>
          <w:szCs w:val="26"/>
        </w:rPr>
        <w:t xml:space="preserve"> legacy treatment to existing QFs under certain circumstances.  </w:t>
      </w:r>
    </w:p>
    <w:p w:rsidR="00EB053F" w:rsidRDefault="00EB053F" w14:paraId="6558AAD4" w14:textId="77777777">
      <w:pPr>
        <w:rPr>
          <w:szCs w:val="26"/>
        </w:rPr>
      </w:pPr>
    </w:p>
    <w:p w:rsidR="00EB053F" w:rsidRDefault="00F63BA0" w14:paraId="159E79E2" w14:textId="54E444E0">
      <w:pPr>
        <w:pStyle w:val="FERCparanumber"/>
        <w:numPr>
          <w:ilvl w:val="0"/>
          <w:numId w:val="0"/>
        </w:numPr>
        <w:rPr>
          <w:szCs w:val="26"/>
        </w:rPr>
      </w:pPr>
      <w:r>
        <w:rPr>
          <w:szCs w:val="26"/>
        </w:rPr>
        <w:t xml:space="preserve">The Commission </w:t>
      </w:r>
      <w:r w:rsidR="00DA6082">
        <w:rPr>
          <w:szCs w:val="26"/>
        </w:rPr>
        <w:t>limit</w:t>
      </w:r>
      <w:r w:rsidR="007034F6">
        <w:rPr>
          <w:szCs w:val="26"/>
        </w:rPr>
        <w:t>ed</w:t>
      </w:r>
      <w:r>
        <w:rPr>
          <w:szCs w:val="26"/>
        </w:rPr>
        <w:t xml:space="preserve"> protests under </w:t>
      </w:r>
      <w:r w:rsidR="001E01CC">
        <w:rPr>
          <w:szCs w:val="26"/>
        </w:rPr>
        <w:t>Order No. 872</w:t>
      </w:r>
      <w:r>
        <w:rPr>
          <w:szCs w:val="26"/>
        </w:rPr>
        <w:t>.  P</w:t>
      </w:r>
      <w:r>
        <w:rPr>
          <w:bCs/>
          <w:szCs w:val="26"/>
        </w:rPr>
        <w:t>rotests may be filed to an initial certification</w:t>
      </w:r>
      <w:r>
        <w:rPr>
          <w:szCs w:val="26"/>
        </w:rPr>
        <w:t xml:space="preserve"> (both self-certification and application for Commission certification) filed on or after the effective date of </w:t>
      </w:r>
      <w:r w:rsidR="001E01CC">
        <w:rPr>
          <w:szCs w:val="26"/>
        </w:rPr>
        <w:t>Order No. 872</w:t>
      </w:r>
      <w:r>
        <w:rPr>
          <w:szCs w:val="26"/>
        </w:rPr>
        <w:t>,</w:t>
      </w:r>
      <w:r>
        <w:rPr>
          <w:bCs/>
          <w:szCs w:val="26"/>
        </w:rPr>
        <w:t xml:space="preserve"> but only to a </w:t>
      </w:r>
      <w:r>
        <w:rPr>
          <w:szCs w:val="26"/>
        </w:rPr>
        <w:t xml:space="preserve">recertification (both self-recertification and application for Commission recertification) that makes </w:t>
      </w:r>
      <w:r>
        <w:rPr>
          <w:bCs/>
          <w:szCs w:val="26"/>
        </w:rPr>
        <w:t xml:space="preserve">substantive </w:t>
      </w:r>
      <w:r>
        <w:rPr>
          <w:szCs w:val="26"/>
        </w:rPr>
        <w:t xml:space="preserve">changes to the existing certification and that are filed on or after the effective date of </w:t>
      </w:r>
      <w:r w:rsidR="001E01CC">
        <w:rPr>
          <w:szCs w:val="26"/>
        </w:rPr>
        <w:t>Order No. 872</w:t>
      </w:r>
      <w:r w:rsidR="00DA6082">
        <w:rPr>
          <w:bCs/>
          <w:szCs w:val="26"/>
        </w:rPr>
        <w:t>.</w:t>
      </w:r>
      <w:r>
        <w:rPr>
          <w:bCs/>
          <w:szCs w:val="26"/>
        </w:rPr>
        <w:t xml:space="preserve">  The Commission </w:t>
      </w:r>
      <w:r w:rsidR="007034F6">
        <w:rPr>
          <w:bCs/>
          <w:szCs w:val="26"/>
        </w:rPr>
        <w:t>found</w:t>
      </w:r>
      <w:r>
        <w:rPr>
          <w:bCs/>
          <w:szCs w:val="26"/>
        </w:rPr>
        <w:t xml:space="preserve"> that recertifications (both self-recertifications and applications for Commission recertifications) making </w:t>
      </w:r>
      <w:r>
        <w:rPr>
          <w:szCs w:val="26"/>
        </w:rPr>
        <w:t>“administrative only” changes should not be subject to a protest</w:t>
      </w:r>
      <w:r>
        <w:rPr>
          <w:bCs/>
          <w:szCs w:val="26"/>
        </w:rPr>
        <w:t xml:space="preserve"> pursuant to </w:t>
      </w:r>
      <w:r w:rsidR="001E01CC">
        <w:rPr>
          <w:bCs/>
          <w:szCs w:val="26"/>
        </w:rPr>
        <w:t>Order No. 872</w:t>
      </w:r>
      <w:r>
        <w:rPr>
          <w:szCs w:val="26"/>
        </w:rPr>
        <w:t>.</w:t>
      </w:r>
      <w:r>
        <w:rPr>
          <w:szCs w:val="26"/>
          <w:vertAlign w:val="superscript"/>
        </w:rPr>
        <w:footnoteReference w:id="23"/>
      </w:r>
      <w:r>
        <w:rPr>
          <w:szCs w:val="26"/>
        </w:rPr>
        <w:t xml:space="preserve">  </w:t>
      </w:r>
    </w:p>
    <w:p w:rsidR="00EB053F" w:rsidRDefault="00EB053F" w14:paraId="7BB69808" w14:textId="77777777">
      <w:pPr>
        <w:pStyle w:val="FERCparanumber"/>
        <w:numPr>
          <w:ilvl w:val="0"/>
          <w:numId w:val="0"/>
        </w:numPr>
        <w:rPr>
          <w:szCs w:val="26"/>
        </w:rPr>
      </w:pPr>
    </w:p>
    <w:p w:rsidR="00EB053F" w:rsidRDefault="00F63BA0" w14:paraId="26F36F4E" w14:textId="4958C68A">
      <w:pPr>
        <w:pStyle w:val="FERCparanumber"/>
        <w:numPr>
          <w:ilvl w:val="0"/>
          <w:numId w:val="0"/>
        </w:numPr>
        <w:rPr>
          <w:szCs w:val="26"/>
        </w:rPr>
      </w:pPr>
      <w:r>
        <w:rPr>
          <w:szCs w:val="26"/>
        </w:rPr>
        <w:t xml:space="preserve">The Commission </w:t>
      </w:r>
      <w:r w:rsidR="00760B67">
        <w:rPr>
          <w:szCs w:val="26"/>
        </w:rPr>
        <w:t>in</w:t>
      </w:r>
      <w:r w:rsidR="00640188">
        <w:rPr>
          <w:szCs w:val="26"/>
        </w:rPr>
        <w:t xml:space="preserve"> </w:t>
      </w:r>
      <w:r w:rsidR="003171FC">
        <w:rPr>
          <w:szCs w:val="26"/>
        </w:rPr>
        <w:t xml:space="preserve">Order </w:t>
      </w:r>
      <w:r w:rsidR="00153B36">
        <w:rPr>
          <w:szCs w:val="26"/>
        </w:rPr>
        <w:t xml:space="preserve">No. </w:t>
      </w:r>
      <w:r w:rsidR="003171FC">
        <w:rPr>
          <w:szCs w:val="26"/>
        </w:rPr>
        <w:t>872</w:t>
      </w:r>
      <w:r w:rsidR="00760B67">
        <w:rPr>
          <w:szCs w:val="26"/>
        </w:rPr>
        <w:t xml:space="preserve"> </w:t>
      </w:r>
      <w:r w:rsidR="007034F6">
        <w:rPr>
          <w:szCs w:val="26"/>
        </w:rPr>
        <w:t>did</w:t>
      </w:r>
      <w:r>
        <w:rPr>
          <w:szCs w:val="26"/>
        </w:rPr>
        <w:t xml:space="preserve"> not agree with Solar Energy Industries’ estimates.  First, </w:t>
      </w:r>
      <w:r w:rsidR="00760B67">
        <w:rPr>
          <w:szCs w:val="26"/>
        </w:rPr>
        <w:t xml:space="preserve">the Commission </w:t>
      </w:r>
      <w:r w:rsidR="00DA6082">
        <w:rPr>
          <w:szCs w:val="26"/>
        </w:rPr>
        <w:t>note</w:t>
      </w:r>
      <w:r w:rsidR="007034F6">
        <w:rPr>
          <w:szCs w:val="26"/>
        </w:rPr>
        <w:t>d</w:t>
      </w:r>
      <w:r>
        <w:rPr>
          <w:szCs w:val="26"/>
        </w:rPr>
        <w:t xml:space="preserve"> that 18 C.F.R. § 292.207(d) (which the Commission </w:t>
      </w:r>
      <w:r w:rsidR="00C44EA8">
        <w:rPr>
          <w:szCs w:val="26"/>
        </w:rPr>
        <w:t xml:space="preserve">did </w:t>
      </w:r>
      <w:r>
        <w:rPr>
          <w:szCs w:val="26"/>
        </w:rPr>
        <w:t xml:space="preserve">not alter </w:t>
      </w:r>
      <w:r w:rsidR="00C44EA8">
        <w:rPr>
          <w:szCs w:val="26"/>
        </w:rPr>
        <w:t>in Order No. 872</w:t>
      </w:r>
      <w:r>
        <w:rPr>
          <w:szCs w:val="26"/>
        </w:rPr>
        <w:t xml:space="preserve"> except to renumber as 18 C.F.R. § 292.207(f)) already states that, if a QF fails to conform with any material facts or representations presented in the certification, the QF status of the facility may no longer be relied upon,</w:t>
      </w:r>
      <w:r>
        <w:rPr>
          <w:szCs w:val="26"/>
          <w:vertAlign w:val="superscript"/>
        </w:rPr>
        <w:footnoteReference w:id="24"/>
      </w:r>
      <w:r>
        <w:rPr>
          <w:szCs w:val="26"/>
        </w:rPr>
        <w:t xml:space="preserve"> and hence it is </w:t>
      </w:r>
      <w:r>
        <w:rPr>
          <w:szCs w:val="26"/>
        </w:rPr>
        <w:lastRenderedPageBreak/>
        <w:t xml:space="preserve">long-standing practice that a QF must recertify when material facts or representations in the Form No. 556 change.    </w:t>
      </w:r>
    </w:p>
    <w:p w:rsidR="00EB053F" w:rsidRDefault="00EB053F" w14:paraId="6401DBAD" w14:textId="77777777">
      <w:pPr>
        <w:pStyle w:val="FERCparanumber"/>
        <w:numPr>
          <w:ilvl w:val="0"/>
          <w:numId w:val="0"/>
        </w:numPr>
        <w:rPr>
          <w:szCs w:val="26"/>
        </w:rPr>
      </w:pPr>
    </w:p>
    <w:p w:rsidR="00EB053F" w:rsidRDefault="00F63BA0" w14:paraId="36555B9B" w14:textId="54B0227E">
      <w:pPr>
        <w:pStyle w:val="FERCparanumber"/>
        <w:numPr>
          <w:ilvl w:val="0"/>
          <w:numId w:val="0"/>
        </w:numPr>
        <w:rPr>
          <w:szCs w:val="26"/>
        </w:rPr>
      </w:pPr>
      <w:r>
        <w:rPr>
          <w:szCs w:val="26"/>
        </w:rPr>
        <w:t>Second,</w:t>
      </w:r>
      <w:r w:rsidR="00DA6082">
        <w:rPr>
          <w:szCs w:val="26"/>
        </w:rPr>
        <w:t xml:space="preserve"> </w:t>
      </w:r>
      <w:r w:rsidR="007034F6">
        <w:rPr>
          <w:szCs w:val="26"/>
        </w:rPr>
        <w:t>the Commission in Order No. 872 stated that</w:t>
      </w:r>
      <w:r>
        <w:rPr>
          <w:szCs w:val="26"/>
        </w:rPr>
        <w:t xml:space="preserve"> certifications and recertifications are already subject to protests, albeit in the form of petitions for declaratory order, and therefore dealing with objections to a certification or recertification is not new.  The Commission </w:t>
      </w:r>
      <w:r w:rsidR="00DA6082">
        <w:rPr>
          <w:szCs w:val="26"/>
        </w:rPr>
        <w:t>anticipate</w:t>
      </w:r>
      <w:r w:rsidR="007034F6">
        <w:rPr>
          <w:szCs w:val="26"/>
        </w:rPr>
        <w:t>d</w:t>
      </w:r>
      <w:r>
        <w:rPr>
          <w:szCs w:val="26"/>
        </w:rPr>
        <w:t xml:space="preserve"> that most, though not all, of the protests filed pursuant to the new 18 C.F.R. § 292.207(a) will relate to the new more-than-one-but-less-than-10-miles rebuttable presumption.</w:t>
      </w:r>
      <w:r>
        <w:rPr>
          <w:szCs w:val="26"/>
          <w:vertAlign w:val="superscript"/>
        </w:rPr>
        <w:footnoteReference w:id="25"/>
      </w:r>
      <w:r>
        <w:rPr>
          <w:szCs w:val="26"/>
        </w:rPr>
        <w:t xml:space="preserve">  Such protests will necessarily be limited because not all certifications and recertifications will be subject to the new more-than-one-but-less-than-10-miles rebuttable presumption.  Only small power production facilities seeking QF status that have an affiliated small power production QF more than one but less than 10 miles away and that uses the same energy resource are subject to the rebuttable presumption.  Small power production facilities that do not have multiple small power production facilities or affiliates will not be affected by the new rebuttable presumption.  Nor will cogeneration QFs be affected by the new rebuttable presumption.</w:t>
      </w:r>
      <w:r>
        <w:rPr>
          <w:szCs w:val="26"/>
          <w:vertAlign w:val="superscript"/>
        </w:rPr>
        <w:footnoteReference w:id="26"/>
      </w:r>
      <w:r>
        <w:rPr>
          <w:szCs w:val="26"/>
        </w:rPr>
        <w:t xml:space="preserve">  Additionally, in general as described above, </w:t>
      </w:r>
      <w:r>
        <w:rPr>
          <w:bCs/>
          <w:szCs w:val="26"/>
        </w:rPr>
        <w:t xml:space="preserve">protests may only be made to an initial certification </w:t>
      </w:r>
      <w:r>
        <w:rPr>
          <w:szCs w:val="26"/>
        </w:rPr>
        <w:t xml:space="preserve">(both self-certification and application for Commission certification) filed on or after the effective date of </w:t>
      </w:r>
      <w:r w:rsidR="001E01CC">
        <w:rPr>
          <w:szCs w:val="26"/>
        </w:rPr>
        <w:t>Order No. 872</w:t>
      </w:r>
      <w:r>
        <w:rPr>
          <w:szCs w:val="26"/>
        </w:rPr>
        <w:t>,</w:t>
      </w:r>
      <w:r>
        <w:rPr>
          <w:bCs/>
          <w:szCs w:val="26"/>
        </w:rPr>
        <w:t xml:space="preserve"> and only to a recertification (self-recertification or application for Commission recertification) that makes substantive </w:t>
      </w:r>
      <w:r>
        <w:rPr>
          <w:szCs w:val="26"/>
        </w:rPr>
        <w:t xml:space="preserve">changes to the existing certification that are filed after the effective date of </w:t>
      </w:r>
      <w:r w:rsidR="001E01CC">
        <w:rPr>
          <w:szCs w:val="26"/>
        </w:rPr>
        <w:t>Order No. 872</w:t>
      </w:r>
      <w:r>
        <w:rPr>
          <w:szCs w:val="26"/>
        </w:rPr>
        <w:t xml:space="preserve">.  </w:t>
      </w:r>
    </w:p>
    <w:p w:rsidR="00EB053F" w:rsidRDefault="00EB053F" w14:paraId="03A82866" w14:textId="77777777">
      <w:pPr>
        <w:pStyle w:val="FERCparanumber"/>
        <w:numPr>
          <w:ilvl w:val="0"/>
          <w:numId w:val="0"/>
        </w:numPr>
        <w:rPr>
          <w:szCs w:val="26"/>
        </w:rPr>
      </w:pPr>
    </w:p>
    <w:p w:rsidR="00EB053F" w:rsidRDefault="00F63BA0" w14:paraId="6522716C" w14:textId="21E6D5C5">
      <w:pPr>
        <w:pStyle w:val="FERCparanumber"/>
        <w:numPr>
          <w:ilvl w:val="0"/>
          <w:numId w:val="0"/>
        </w:numPr>
        <w:rPr>
          <w:szCs w:val="26"/>
        </w:rPr>
      </w:pPr>
      <w:r>
        <w:rPr>
          <w:szCs w:val="26"/>
        </w:rPr>
        <w:t xml:space="preserve">Third, the Commission also </w:t>
      </w:r>
      <w:r w:rsidR="00DA6082">
        <w:rPr>
          <w:szCs w:val="26"/>
        </w:rPr>
        <w:t>institut</w:t>
      </w:r>
      <w:r w:rsidR="007034F6">
        <w:rPr>
          <w:szCs w:val="26"/>
        </w:rPr>
        <w:t>ed</w:t>
      </w:r>
      <w:r>
        <w:rPr>
          <w:szCs w:val="26"/>
        </w:rPr>
        <w:t xml:space="preserve"> time limits on protests that may be filed under </w:t>
      </w:r>
      <w:r w:rsidR="001E01CC">
        <w:rPr>
          <w:szCs w:val="26"/>
        </w:rPr>
        <w:t>Order No. 872</w:t>
      </w:r>
      <w:r w:rsidR="00DA6082">
        <w:rPr>
          <w:szCs w:val="26"/>
        </w:rPr>
        <w:t>.</w:t>
      </w:r>
      <w:r>
        <w:rPr>
          <w:szCs w:val="26"/>
        </w:rPr>
        <w:t xml:space="preserve">  The Commission </w:t>
      </w:r>
      <w:r w:rsidR="00DA6082">
        <w:rPr>
          <w:szCs w:val="26"/>
        </w:rPr>
        <w:t>adopt</w:t>
      </w:r>
      <w:r w:rsidR="007034F6">
        <w:rPr>
          <w:szCs w:val="26"/>
        </w:rPr>
        <w:t>ed</w:t>
      </w:r>
      <w:r>
        <w:rPr>
          <w:szCs w:val="26"/>
        </w:rPr>
        <w:t xml:space="preserve"> the NOPR proposal that interested parties will have 30 days from the date of the filing of the Form No. 556 at the Commission to file a protest (without paying a fee).</w:t>
      </w:r>
      <w:r>
        <w:rPr>
          <w:szCs w:val="26"/>
          <w:vertAlign w:val="superscript"/>
        </w:rPr>
        <w:footnoteReference w:id="27"/>
      </w:r>
      <w:r>
        <w:rPr>
          <w:szCs w:val="26"/>
        </w:rPr>
        <w:t xml:space="preserve">  </w:t>
      </w:r>
    </w:p>
    <w:p w:rsidR="00EB053F" w:rsidRDefault="00EB053F" w14:paraId="7566280E" w14:textId="77777777">
      <w:pPr>
        <w:pStyle w:val="FERCparanumber"/>
        <w:numPr>
          <w:ilvl w:val="0"/>
          <w:numId w:val="0"/>
        </w:numPr>
        <w:rPr>
          <w:szCs w:val="26"/>
        </w:rPr>
      </w:pPr>
    </w:p>
    <w:p w:rsidR="00EB053F" w:rsidRDefault="00F63BA0" w14:paraId="6B1B8989" w14:textId="77777777">
      <w:pPr>
        <w:pStyle w:val="FERCparanumber"/>
        <w:numPr>
          <w:ilvl w:val="0"/>
          <w:numId w:val="0"/>
        </w:numPr>
        <w:rPr>
          <w:szCs w:val="26"/>
        </w:rPr>
      </w:pPr>
      <w:r>
        <w:rPr>
          <w:szCs w:val="26"/>
        </w:rPr>
        <w:t xml:space="preserve">Fourth, regarding Solar Energy Industries’ concern that a QF may have to engage in multiple defenses of its status, in addition to the above limits on protests, once the Commission has affirmatively certified an applicant’s QF status in response to a protest opposing a self-certification or self-recertification, or in response to an application for Commission certification or Commission recertification, any later protest to a recertification (self-recertification or application for Commission recertification) making substantive changes to a QF’s existing certification, e.g., asserting that the entity seeking QF status is at the same site as affiliated small power production QFs more than one but less than 10 miles from it, must demonstrate changed circumstances from the facts on which the Commission acted on the certification filing that call into question the continued validity of the earlier certification.  </w:t>
      </w:r>
    </w:p>
    <w:p w:rsidR="00EB053F" w:rsidRDefault="00EB053F" w14:paraId="1A782EB4" w14:textId="77777777">
      <w:pPr>
        <w:pStyle w:val="FERCparanumber"/>
        <w:numPr>
          <w:ilvl w:val="0"/>
          <w:numId w:val="0"/>
        </w:numPr>
        <w:rPr>
          <w:szCs w:val="26"/>
        </w:rPr>
      </w:pPr>
    </w:p>
    <w:p w:rsidR="00EB053F" w:rsidRDefault="00F63BA0" w14:paraId="0FA47274" w14:textId="7D683239">
      <w:pPr>
        <w:pStyle w:val="FERCparanumber"/>
        <w:numPr>
          <w:ilvl w:val="0"/>
          <w:numId w:val="0"/>
        </w:numPr>
        <w:rPr>
          <w:szCs w:val="26"/>
        </w:rPr>
      </w:pPr>
      <w:r>
        <w:rPr>
          <w:szCs w:val="26"/>
        </w:rPr>
        <w:t>Finally,</w:t>
      </w:r>
      <w:r w:rsidR="00760B67">
        <w:rPr>
          <w:szCs w:val="26"/>
        </w:rPr>
        <w:t xml:space="preserve"> the Commission in</w:t>
      </w:r>
      <w:r w:rsidR="00200463">
        <w:rPr>
          <w:szCs w:val="26"/>
        </w:rPr>
        <w:t xml:space="preserve"> </w:t>
      </w:r>
      <w:r w:rsidR="003171FC">
        <w:rPr>
          <w:szCs w:val="26"/>
        </w:rPr>
        <w:t xml:space="preserve">Order </w:t>
      </w:r>
      <w:r w:rsidR="00153B36">
        <w:rPr>
          <w:szCs w:val="26"/>
        </w:rPr>
        <w:t xml:space="preserve">No. </w:t>
      </w:r>
      <w:r w:rsidR="003171FC">
        <w:rPr>
          <w:szCs w:val="26"/>
        </w:rPr>
        <w:t>872</w:t>
      </w:r>
      <w:r w:rsidR="00760B67">
        <w:rPr>
          <w:szCs w:val="26"/>
        </w:rPr>
        <w:t xml:space="preserve"> note</w:t>
      </w:r>
      <w:r w:rsidR="007034F6">
        <w:rPr>
          <w:szCs w:val="26"/>
        </w:rPr>
        <w:t>d</w:t>
      </w:r>
      <w:r w:rsidR="00760B67">
        <w:rPr>
          <w:szCs w:val="26"/>
        </w:rPr>
        <w:t xml:space="preserve"> that</w:t>
      </w:r>
      <w:r>
        <w:rPr>
          <w:szCs w:val="26"/>
        </w:rPr>
        <w:t xml:space="preserve"> even if it indeed takes </w:t>
      </w:r>
      <w:r>
        <w:rPr>
          <w:i/>
          <w:iCs/>
          <w:szCs w:val="26"/>
        </w:rPr>
        <w:t>some</w:t>
      </w:r>
      <w:r>
        <w:rPr>
          <w:szCs w:val="26"/>
        </w:rPr>
        <w:t xml:space="preserve"> small power production facilities an additional 90 to 120 hours (and we think that unlikely), that is not an unreasonable burden to impose to ensure that a generating facility that seeks to be a QF is, in fact, entitled to QF status and complying with PURPA.</w:t>
      </w:r>
      <w:r>
        <w:rPr>
          <w:bCs/>
          <w:szCs w:val="26"/>
          <w:vertAlign w:val="superscript"/>
        </w:rPr>
        <w:footnoteReference w:id="28"/>
      </w:r>
      <w:r>
        <w:rPr>
          <w:szCs w:val="26"/>
        </w:rPr>
        <w:t xml:space="preserve"> However, </w:t>
      </w:r>
      <w:r w:rsidR="00760B67">
        <w:rPr>
          <w:szCs w:val="26"/>
        </w:rPr>
        <w:t xml:space="preserve">the Commission </w:t>
      </w:r>
      <w:r w:rsidR="007034F6">
        <w:rPr>
          <w:szCs w:val="26"/>
        </w:rPr>
        <w:t>thought</w:t>
      </w:r>
      <w:r>
        <w:rPr>
          <w:szCs w:val="26"/>
        </w:rPr>
        <w:t xml:space="preserve"> it highly unlikely that any small power production facility’s burden will increase by 90 to 120 hours, and posit that, to the extent this might occur, it would be an anomaly.</w:t>
      </w:r>
      <w:r w:rsidRPr="00C86F4C" w:rsidR="009B25B3">
        <w:rPr>
          <w:rStyle w:val="FootnoteReference"/>
          <w:szCs w:val="26"/>
          <w:vertAlign w:val="superscript"/>
        </w:rPr>
        <w:footnoteReference w:id="29"/>
      </w:r>
      <w:r>
        <w:rPr>
          <w:szCs w:val="26"/>
        </w:rPr>
        <w:t xml:space="preserve"> </w:t>
      </w:r>
    </w:p>
    <w:p w:rsidR="00EB053F" w:rsidRDefault="00EB053F" w14:paraId="32C7956C" w14:textId="77777777">
      <w:pPr>
        <w:pStyle w:val="FERCparanumber"/>
        <w:numPr>
          <w:ilvl w:val="0"/>
          <w:numId w:val="0"/>
        </w:numPr>
        <w:rPr>
          <w:szCs w:val="26"/>
        </w:rPr>
      </w:pPr>
    </w:p>
    <w:p w:rsidR="00EB053F" w:rsidRDefault="007034F6" w14:paraId="2DBC1C70" w14:textId="7214EA24">
      <w:pPr>
        <w:pStyle w:val="FERCparanumber"/>
        <w:numPr>
          <w:ilvl w:val="0"/>
          <w:numId w:val="0"/>
        </w:numPr>
        <w:rPr>
          <w:szCs w:val="26"/>
          <w:shd w:val="clear" w:color="auto" w:fill="FFFFFF"/>
        </w:rPr>
      </w:pPr>
      <w:r>
        <w:rPr>
          <w:szCs w:val="26"/>
        </w:rPr>
        <w:t xml:space="preserve">The Commission </w:t>
      </w:r>
      <w:r w:rsidR="00F63BA0">
        <w:rPr>
          <w:szCs w:val="26"/>
        </w:rPr>
        <w:t xml:space="preserve">also </w:t>
      </w:r>
      <w:r w:rsidR="00DA6082">
        <w:rPr>
          <w:szCs w:val="26"/>
        </w:rPr>
        <w:t>reduce</w:t>
      </w:r>
      <w:r>
        <w:rPr>
          <w:szCs w:val="26"/>
        </w:rPr>
        <w:t>d</w:t>
      </w:r>
      <w:r w:rsidR="00F63BA0">
        <w:rPr>
          <w:szCs w:val="26"/>
        </w:rPr>
        <w:t xml:space="preserve"> the burden on rooftop solar photovoltaic (PV) developers by permitting rooftop solar PV developers an alternative option to file their recertification </w:t>
      </w:r>
      <w:r w:rsidR="00F63BA0">
        <w:rPr>
          <w:szCs w:val="26"/>
        </w:rPr>
        <w:lastRenderedPageBreak/>
        <w:t xml:space="preserve">applications.  That is, rather than be required to file for recertification each time the rooftop solar developer adds or removes a rooftop facility, a rooftop solar PV developer may recertify on a quarterly basis.  </w:t>
      </w:r>
      <w:r w:rsidR="00F63BA0">
        <w:rPr>
          <w:szCs w:val="26"/>
          <w:shd w:val="clear" w:color="auto" w:fill="FFFFFF"/>
        </w:rPr>
        <w:t>However, if in any quarter a rooftop solar PV developer either has no changes or only has changes of power production capacity of 1 MW or less</w:t>
      </w:r>
      <w:r w:rsidR="00F63BA0">
        <w:rPr>
          <w:rFonts w:eastAsia="Calibri"/>
          <w:szCs w:val="26"/>
          <w:shd w:val="clear" w:color="auto" w:fill="FFFFFF"/>
        </w:rPr>
        <w:t>,</w:t>
      </w:r>
      <w:r w:rsidR="00F63BA0">
        <w:rPr>
          <w:szCs w:val="26"/>
          <w:shd w:val="clear" w:color="auto" w:fill="FFFFFF"/>
        </w:rPr>
        <w:t xml:space="preserve"> then it would not be required to recertify until cumulatively over the quarters since its last filing, it has accumulated changes greater than 1 MW.</w:t>
      </w:r>
    </w:p>
    <w:p w:rsidR="00EB053F" w:rsidRDefault="00EB053F" w14:paraId="249BC41D" w14:textId="77777777">
      <w:pPr>
        <w:pStyle w:val="FERCparanumber"/>
        <w:numPr>
          <w:ilvl w:val="0"/>
          <w:numId w:val="0"/>
        </w:numPr>
        <w:rPr>
          <w:szCs w:val="26"/>
          <w:shd w:val="clear" w:color="auto" w:fill="FFFFFF"/>
        </w:rPr>
      </w:pPr>
    </w:p>
    <w:p w:rsidR="00EB053F" w:rsidRDefault="00F63BA0" w14:paraId="06BF54B2" w14:textId="38151B2C">
      <w:pPr>
        <w:pStyle w:val="FERCparanumber"/>
        <w:numPr>
          <w:ilvl w:val="0"/>
          <w:numId w:val="0"/>
        </w:numPr>
        <w:rPr>
          <w:szCs w:val="26"/>
        </w:rPr>
      </w:pPr>
      <w:r>
        <w:rPr>
          <w:b/>
        </w:rPr>
        <w:t xml:space="preserve">Public Comments Related to </w:t>
      </w:r>
      <w:bookmarkStart w:name="_bmk133" w:id="6"/>
      <w:bookmarkStart w:name="_Toc40884766" w:id="7"/>
      <w:r>
        <w:rPr>
          <w:b/>
        </w:rPr>
        <w:t>C</w:t>
      </w:r>
      <w:bookmarkEnd w:id="6"/>
      <w:r>
        <w:rPr>
          <w:b/>
        </w:rPr>
        <w:t xml:space="preserve">orresponding Changes to the FERC Form No. </w:t>
      </w:r>
      <w:r w:rsidR="00DA6082">
        <w:rPr>
          <w:b/>
        </w:rPr>
        <w:t>556</w:t>
      </w:r>
      <w:r w:rsidR="005052AD">
        <w:rPr>
          <w:b/>
        </w:rPr>
        <w:t xml:space="preserve"> in Response to the NOPR</w:t>
      </w:r>
      <w:bookmarkEnd w:id="7"/>
    </w:p>
    <w:p w:rsidR="00107B52" w:rsidRDefault="00107B52" w14:paraId="4DF5A95D" w14:textId="77777777">
      <w:pPr>
        <w:pStyle w:val="FERCparanumber"/>
        <w:numPr>
          <w:ilvl w:val="0"/>
          <w:numId w:val="0"/>
        </w:numPr>
        <w:rPr>
          <w:szCs w:val="26"/>
        </w:rPr>
      </w:pPr>
    </w:p>
    <w:p w:rsidR="00EB053F" w:rsidRDefault="00F63BA0" w14:paraId="7520E111" w14:textId="195892CD">
      <w:pPr>
        <w:pStyle w:val="FERCparanumber"/>
        <w:numPr>
          <w:ilvl w:val="0"/>
          <w:numId w:val="0"/>
        </w:numPr>
        <w:rPr>
          <w:szCs w:val="26"/>
        </w:rPr>
      </w:pPr>
      <w:bookmarkStart w:name="_Hlk28940807" w:id="8"/>
      <w:r>
        <w:rPr>
          <w:szCs w:val="26"/>
        </w:rPr>
        <w:t xml:space="preserve">Solar Energy Industries and the Southeast Public Interest Organizations </w:t>
      </w:r>
      <w:bookmarkEnd w:id="8"/>
      <w:r w:rsidR="00DA6082">
        <w:rPr>
          <w:szCs w:val="26"/>
        </w:rPr>
        <w:t>contend</w:t>
      </w:r>
      <w:r w:rsidR="007034F6">
        <w:rPr>
          <w:szCs w:val="26"/>
        </w:rPr>
        <w:t>ed</w:t>
      </w:r>
      <w:r>
        <w:rPr>
          <w:szCs w:val="26"/>
        </w:rPr>
        <w:t xml:space="preserve"> that the proposed new item 8b that requests a list of all affiliated facilities within one to 10 miles from the certifying QF would be a significant increase in information collection, time, effort, and cost of QF certification.</w:t>
      </w:r>
      <w:r>
        <w:rPr>
          <w:szCs w:val="26"/>
          <w:vertAlign w:val="superscript"/>
        </w:rPr>
        <w:footnoteReference w:id="30"/>
      </w:r>
      <w:r>
        <w:rPr>
          <w:szCs w:val="26"/>
        </w:rPr>
        <w:t xml:space="preserve">  Solar Energy Industries </w:t>
      </w:r>
      <w:r w:rsidR="00DA6082">
        <w:rPr>
          <w:szCs w:val="26"/>
        </w:rPr>
        <w:t>argue</w:t>
      </w:r>
      <w:r w:rsidR="007034F6">
        <w:rPr>
          <w:szCs w:val="26"/>
        </w:rPr>
        <w:t>d</w:t>
      </w:r>
      <w:r>
        <w:rPr>
          <w:szCs w:val="26"/>
        </w:rPr>
        <w:t xml:space="preserve"> that this is not a mere information collection requirement, but a request for information that is not otherwise publicly available and is inconsistent with the Commission’s finding on the burden of collecting Connected Entity information.</w:t>
      </w:r>
      <w:r>
        <w:rPr>
          <w:szCs w:val="26"/>
          <w:vertAlign w:val="superscript"/>
        </w:rPr>
        <w:footnoteReference w:id="31"/>
      </w:r>
      <w:r>
        <w:rPr>
          <w:szCs w:val="26"/>
        </w:rPr>
        <w:t xml:space="preserve"> </w:t>
      </w:r>
    </w:p>
    <w:p w:rsidR="00EB053F" w:rsidRDefault="00EB053F" w14:paraId="0967300E" w14:textId="77777777">
      <w:pPr>
        <w:pStyle w:val="FERCparanumber"/>
        <w:numPr>
          <w:ilvl w:val="0"/>
          <w:numId w:val="0"/>
        </w:numPr>
        <w:rPr>
          <w:szCs w:val="26"/>
        </w:rPr>
      </w:pPr>
    </w:p>
    <w:p w:rsidR="00EB053F" w:rsidRDefault="00F63BA0" w14:paraId="56AB4BB2" w14:textId="76047306">
      <w:pPr>
        <w:pStyle w:val="FERCparanumber"/>
        <w:numPr>
          <w:ilvl w:val="0"/>
          <w:numId w:val="0"/>
        </w:numPr>
        <w:rPr>
          <w:szCs w:val="26"/>
        </w:rPr>
      </w:pPr>
      <w:r>
        <w:rPr>
          <w:szCs w:val="26"/>
        </w:rPr>
        <w:t xml:space="preserve">The Southeast Public Interest Organizations </w:t>
      </w:r>
      <w:r w:rsidR="00DA6082">
        <w:rPr>
          <w:szCs w:val="26"/>
        </w:rPr>
        <w:t>object</w:t>
      </w:r>
      <w:r w:rsidR="007034F6">
        <w:rPr>
          <w:szCs w:val="26"/>
        </w:rPr>
        <w:t>ed</w:t>
      </w:r>
      <w:r>
        <w:rPr>
          <w:szCs w:val="26"/>
        </w:rPr>
        <w:t xml:space="preserve"> that the obligation to show how distances are calculated and to identify electrical generating equipment and their associated geographic coordinates are overly burdensome for facilities that are presumed to be separate.</w:t>
      </w:r>
      <w:r>
        <w:rPr>
          <w:szCs w:val="26"/>
          <w:vertAlign w:val="superscript"/>
        </w:rPr>
        <w:footnoteReference w:id="32"/>
      </w:r>
      <w:r>
        <w:rPr>
          <w:szCs w:val="26"/>
        </w:rPr>
        <w:t xml:space="preserve">  </w:t>
      </w:r>
    </w:p>
    <w:p w:rsidR="00EB053F" w:rsidRDefault="00EB053F" w14:paraId="0483D7DD" w14:textId="77777777">
      <w:pPr>
        <w:pStyle w:val="FERCparanumber"/>
        <w:numPr>
          <w:ilvl w:val="0"/>
          <w:numId w:val="0"/>
        </w:numPr>
        <w:rPr>
          <w:szCs w:val="26"/>
        </w:rPr>
      </w:pPr>
    </w:p>
    <w:p w:rsidR="00EB053F" w:rsidRDefault="00F63BA0" w14:paraId="50FCF7D9" w14:textId="2DE78ECF">
      <w:pPr>
        <w:pStyle w:val="FERCparanumber"/>
        <w:numPr>
          <w:ilvl w:val="0"/>
          <w:numId w:val="0"/>
        </w:numPr>
        <w:rPr>
          <w:b/>
        </w:rPr>
      </w:pPr>
      <w:r>
        <w:rPr>
          <w:b/>
        </w:rPr>
        <w:t>Commission Response</w:t>
      </w:r>
      <w:r w:rsidR="00E872C0">
        <w:rPr>
          <w:b/>
        </w:rPr>
        <w:t xml:space="preserve"> in</w:t>
      </w:r>
      <w:r w:rsidR="00200463">
        <w:rPr>
          <w:b/>
        </w:rPr>
        <w:t xml:space="preserve"> </w:t>
      </w:r>
      <w:r w:rsidR="003171FC">
        <w:rPr>
          <w:b/>
        </w:rPr>
        <w:t xml:space="preserve">Order </w:t>
      </w:r>
      <w:r w:rsidR="00153B36">
        <w:rPr>
          <w:b/>
        </w:rPr>
        <w:t xml:space="preserve">No. </w:t>
      </w:r>
      <w:r w:rsidR="003171FC">
        <w:rPr>
          <w:b/>
        </w:rPr>
        <w:t>872</w:t>
      </w:r>
      <w:r>
        <w:rPr>
          <w:b/>
        </w:rPr>
        <w:t>:</w:t>
      </w:r>
    </w:p>
    <w:p w:rsidR="00107B52" w:rsidRDefault="00107B52" w14:paraId="275E6D53" w14:textId="77777777">
      <w:pPr>
        <w:pStyle w:val="FERCparanumber"/>
        <w:numPr>
          <w:ilvl w:val="0"/>
          <w:numId w:val="0"/>
        </w:numPr>
        <w:rPr>
          <w:b/>
        </w:rPr>
      </w:pPr>
    </w:p>
    <w:p w:rsidR="00EB053F" w:rsidRDefault="00F63BA0" w14:paraId="13BD3360" w14:textId="2636C23F">
      <w:pPr>
        <w:pStyle w:val="FERCparanumber"/>
        <w:numPr>
          <w:ilvl w:val="0"/>
          <w:numId w:val="0"/>
        </w:numPr>
        <w:rPr>
          <w:szCs w:val="26"/>
        </w:rPr>
      </w:pPr>
      <w:r>
        <w:rPr>
          <w:szCs w:val="26"/>
        </w:rPr>
        <w:t xml:space="preserve">The Commission </w:t>
      </w:r>
      <w:r w:rsidR="007034F6">
        <w:rPr>
          <w:szCs w:val="26"/>
        </w:rPr>
        <w:t>found</w:t>
      </w:r>
      <w:r>
        <w:rPr>
          <w:szCs w:val="26"/>
        </w:rPr>
        <w:t xml:space="preserve"> that the added information collected by changes to the FERC Form No. 556 is necessary to implement the changes made to the regulations in </w:t>
      </w:r>
      <w:r w:rsidR="001E01CC">
        <w:rPr>
          <w:szCs w:val="26"/>
        </w:rPr>
        <w:t>Order No. 872</w:t>
      </w:r>
      <w:r>
        <w:rPr>
          <w:szCs w:val="26"/>
        </w:rPr>
        <w:t xml:space="preserve">, and thus justifies the increase in reporting burden.  The Commission </w:t>
      </w:r>
      <w:r w:rsidR="007034F6">
        <w:rPr>
          <w:szCs w:val="26"/>
        </w:rPr>
        <w:t>found</w:t>
      </w:r>
      <w:r>
        <w:rPr>
          <w:szCs w:val="26"/>
        </w:rPr>
        <w:t xml:space="preserve"> that item 3c (geographic coordinates) and the Geographic Coordinates instructions on page 4 of the current FERC Form No. 556 will be revised to require all applicants to report the applicant facility’s geographic coordinates, rather than only for applications where there is no street address (as was the case previously).  The Commission </w:t>
      </w:r>
      <w:r w:rsidR="007034F6">
        <w:rPr>
          <w:szCs w:val="26"/>
        </w:rPr>
        <w:t>found</w:t>
      </w:r>
      <w:r>
        <w:rPr>
          <w:szCs w:val="26"/>
        </w:rPr>
        <w:t xml:space="preserve"> that such information will provide more transparency regarding the location of each site, and that </w:t>
      </w:r>
      <w:r>
        <w:rPr>
          <w:szCs w:val="26"/>
        </w:rPr>
        <w:lastRenderedPageBreak/>
        <w:t xml:space="preserve">such transparency may be useful for both the public and Commission staff in monitoring compliance with the Commission’s QF regulations.  </w:t>
      </w:r>
    </w:p>
    <w:p w:rsidR="00EB053F" w:rsidRDefault="00EB053F" w14:paraId="5C68A0CC" w14:textId="77777777">
      <w:pPr>
        <w:pStyle w:val="FERCparanumber"/>
        <w:numPr>
          <w:ilvl w:val="0"/>
          <w:numId w:val="0"/>
        </w:numPr>
        <w:rPr>
          <w:szCs w:val="26"/>
        </w:rPr>
      </w:pPr>
    </w:p>
    <w:p w:rsidR="00EB053F" w:rsidRDefault="00F63BA0" w14:paraId="34ED916B" w14:textId="00B8F92C">
      <w:pPr>
        <w:pStyle w:val="FERCparanumber"/>
        <w:numPr>
          <w:ilvl w:val="0"/>
          <w:numId w:val="0"/>
        </w:numPr>
        <w:rPr>
          <w:szCs w:val="26"/>
        </w:rPr>
      </w:pPr>
      <w:r>
        <w:rPr>
          <w:szCs w:val="26"/>
        </w:rPr>
        <w:t>Regarding Solar Energy Industries’ concern regarding the expansion of the information collection requirements,</w:t>
      </w:r>
      <w:r w:rsidR="00E0289C">
        <w:rPr>
          <w:szCs w:val="26"/>
        </w:rPr>
        <w:t xml:space="preserve"> </w:t>
      </w:r>
      <w:r w:rsidR="00760B67">
        <w:rPr>
          <w:szCs w:val="26"/>
        </w:rPr>
        <w:t>the Commission</w:t>
      </w:r>
      <w:r w:rsidR="00E0289C">
        <w:rPr>
          <w:szCs w:val="26"/>
        </w:rPr>
        <w:t xml:space="preserve"> </w:t>
      </w:r>
      <w:r w:rsidR="007034F6">
        <w:rPr>
          <w:szCs w:val="26"/>
        </w:rPr>
        <w:t>found</w:t>
      </w:r>
      <w:r>
        <w:rPr>
          <w:szCs w:val="26"/>
        </w:rPr>
        <w:t xml:space="preserve"> that the added information collected by item 8 of the Form No. 556 is necessary to implement the changes made to the regulations in </w:t>
      </w:r>
      <w:r w:rsidR="001E01CC">
        <w:rPr>
          <w:szCs w:val="26"/>
        </w:rPr>
        <w:t>Order No. 872</w:t>
      </w:r>
      <w:r>
        <w:rPr>
          <w:szCs w:val="26"/>
        </w:rPr>
        <w:t xml:space="preserve">, and thus justifies the increase in reporting burden.  Regarding Solar Energy Industries contention regarding the currently pending Connected Entity proceeding, </w:t>
      </w:r>
      <w:r w:rsidR="007034F6">
        <w:rPr>
          <w:szCs w:val="26"/>
        </w:rPr>
        <w:t xml:space="preserve">the Commission found that </w:t>
      </w:r>
      <w:r>
        <w:rPr>
          <w:szCs w:val="26"/>
        </w:rPr>
        <w:t>that is a separate proceeding and beyond the scope of this proceeding.</w:t>
      </w:r>
      <w:r>
        <w:rPr>
          <w:rStyle w:val="FootnoteReference"/>
          <w:szCs w:val="26"/>
          <w:vertAlign w:val="superscript"/>
        </w:rPr>
        <w:footnoteReference w:id="33"/>
      </w:r>
      <w:r>
        <w:rPr>
          <w:szCs w:val="26"/>
          <w:vertAlign w:val="superscript"/>
        </w:rPr>
        <w:t xml:space="preserve"> </w:t>
      </w:r>
      <w:r>
        <w:rPr>
          <w:szCs w:val="26"/>
        </w:rPr>
        <w:t xml:space="preserve"> </w:t>
      </w:r>
    </w:p>
    <w:p w:rsidR="00EB053F" w:rsidRDefault="00EB053F" w14:paraId="18F09183" w14:textId="77777777">
      <w:pPr>
        <w:pStyle w:val="FERCparanumber"/>
        <w:numPr>
          <w:ilvl w:val="0"/>
          <w:numId w:val="0"/>
        </w:numPr>
        <w:rPr>
          <w:szCs w:val="26"/>
        </w:rPr>
      </w:pPr>
    </w:p>
    <w:p w:rsidR="00EB053F" w:rsidRDefault="00F63BA0" w14:paraId="2232AE26" w14:textId="7FF74C0A">
      <w:pPr>
        <w:pStyle w:val="FERCparanumber"/>
        <w:numPr>
          <w:ilvl w:val="0"/>
          <w:numId w:val="0"/>
        </w:numPr>
        <w:rPr>
          <w:szCs w:val="26"/>
        </w:rPr>
      </w:pPr>
      <w:r>
        <w:rPr>
          <w:szCs w:val="26"/>
        </w:rPr>
        <w:t>The Final Rule in Docket Nos. RM19-15 and AD16-16 was issued by the Commission on 7/16/2020</w:t>
      </w:r>
      <w:r>
        <w:rPr>
          <w:rStyle w:val="FootnoteReference"/>
          <w:szCs w:val="26"/>
          <w:vertAlign w:val="superscript"/>
        </w:rPr>
        <w:footnoteReference w:id="34"/>
      </w:r>
      <w:r>
        <w:rPr>
          <w:szCs w:val="26"/>
          <w:vertAlign w:val="superscript"/>
        </w:rPr>
        <w:t xml:space="preserve"> </w:t>
      </w:r>
      <w:r>
        <w:rPr>
          <w:szCs w:val="26"/>
        </w:rPr>
        <w:t>and published in the Federal Register on 9/2/2020 (85 FR 54638).</w:t>
      </w:r>
    </w:p>
    <w:p w:rsidR="00BE7A06" w:rsidRDefault="00BE7A06" w14:paraId="160EEAA4" w14:textId="77777777">
      <w:pPr>
        <w:pStyle w:val="FERCparanumber"/>
        <w:numPr>
          <w:ilvl w:val="0"/>
          <w:numId w:val="0"/>
        </w:numPr>
        <w:rPr>
          <w:szCs w:val="26"/>
        </w:rPr>
      </w:pPr>
    </w:p>
    <w:p w:rsidR="00A173E7" w:rsidRDefault="00BE7A06" w14:paraId="554C435C" w14:textId="77777777">
      <w:pPr>
        <w:pStyle w:val="FERCparanumber"/>
        <w:numPr>
          <w:ilvl w:val="0"/>
          <w:numId w:val="0"/>
        </w:numPr>
        <w:rPr>
          <w:b/>
          <w:bCs/>
          <w:szCs w:val="26"/>
        </w:rPr>
      </w:pPr>
      <w:r w:rsidRPr="00CE3384">
        <w:rPr>
          <w:b/>
          <w:bCs/>
          <w:szCs w:val="26"/>
        </w:rPr>
        <w:t xml:space="preserve">Comments on the Final Rule </w:t>
      </w:r>
      <w:r w:rsidRPr="00CE3384" w:rsidR="00AD2934">
        <w:rPr>
          <w:b/>
          <w:bCs/>
          <w:szCs w:val="26"/>
        </w:rPr>
        <w:t xml:space="preserve">(Order </w:t>
      </w:r>
      <w:r w:rsidRPr="00CE3384" w:rsidR="00CA7930">
        <w:rPr>
          <w:b/>
          <w:bCs/>
          <w:szCs w:val="26"/>
        </w:rPr>
        <w:t xml:space="preserve">No. </w:t>
      </w:r>
      <w:r w:rsidRPr="00CE3384" w:rsidR="00AD2934">
        <w:rPr>
          <w:b/>
          <w:bCs/>
          <w:szCs w:val="26"/>
        </w:rPr>
        <w:t xml:space="preserve">872) </w:t>
      </w:r>
      <w:r w:rsidRPr="00CE3384">
        <w:rPr>
          <w:b/>
          <w:bCs/>
          <w:szCs w:val="26"/>
        </w:rPr>
        <w:t xml:space="preserve">and FERC Responses in </w:t>
      </w:r>
      <w:r w:rsidRPr="00CE3384" w:rsidR="00A173E7">
        <w:rPr>
          <w:b/>
          <w:szCs w:val="26"/>
        </w:rPr>
        <w:t xml:space="preserve">Order No. 872-A </w:t>
      </w:r>
      <w:r w:rsidRPr="00CE3384">
        <w:rPr>
          <w:b/>
          <w:szCs w:val="26"/>
        </w:rPr>
        <w:t xml:space="preserve">(Rehearing Order) </w:t>
      </w:r>
      <w:r w:rsidRPr="00CE3384" w:rsidR="00A173E7">
        <w:rPr>
          <w:b/>
          <w:szCs w:val="26"/>
        </w:rPr>
        <w:t>in Docket Nos. RM19-15-001 and AD16-16-001.</w:t>
      </w:r>
    </w:p>
    <w:p w:rsidR="00A173E7" w:rsidRDefault="00A173E7" w14:paraId="69C0F996" w14:textId="77777777">
      <w:pPr>
        <w:pStyle w:val="FERCparanumber"/>
        <w:numPr>
          <w:ilvl w:val="0"/>
          <w:numId w:val="0"/>
        </w:numPr>
        <w:rPr>
          <w:b/>
          <w:bCs/>
          <w:szCs w:val="26"/>
        </w:rPr>
      </w:pPr>
    </w:p>
    <w:p w:rsidR="00944A70" w:rsidP="00944A70" w:rsidRDefault="00A173E7" w14:paraId="2B33CF2D" w14:textId="77777777">
      <w:pPr>
        <w:pStyle w:val="FERCparanumber"/>
        <w:numPr>
          <w:ilvl w:val="0"/>
          <w:numId w:val="0"/>
        </w:numPr>
        <w:rPr>
          <w:szCs w:val="26"/>
        </w:rPr>
      </w:pPr>
      <w:r>
        <w:rPr>
          <w:szCs w:val="26"/>
        </w:rPr>
        <w:t xml:space="preserve">The Commission also received </w:t>
      </w:r>
      <w:r w:rsidR="002F01FB">
        <w:rPr>
          <w:szCs w:val="26"/>
        </w:rPr>
        <w:t xml:space="preserve">arguments on rehearing. </w:t>
      </w:r>
      <w:r>
        <w:rPr>
          <w:szCs w:val="26"/>
        </w:rPr>
        <w:t xml:space="preserve"> </w:t>
      </w:r>
      <w:r w:rsidRPr="00A173E7">
        <w:rPr>
          <w:szCs w:val="26"/>
        </w:rPr>
        <w:t>In Order</w:t>
      </w:r>
      <w:r w:rsidR="002F01FB">
        <w:rPr>
          <w:szCs w:val="26"/>
        </w:rPr>
        <w:t xml:space="preserve"> </w:t>
      </w:r>
      <w:r w:rsidR="00153B36">
        <w:rPr>
          <w:szCs w:val="26"/>
        </w:rPr>
        <w:t xml:space="preserve">No. </w:t>
      </w:r>
      <w:r w:rsidR="002F01FB">
        <w:rPr>
          <w:szCs w:val="26"/>
        </w:rPr>
        <w:t>872-A</w:t>
      </w:r>
      <w:r w:rsidRPr="00A173E7">
        <w:rPr>
          <w:szCs w:val="26"/>
        </w:rPr>
        <w:t xml:space="preserve">, the Commission addresses </w:t>
      </w:r>
      <w:r w:rsidR="002F01FB">
        <w:rPr>
          <w:szCs w:val="26"/>
        </w:rPr>
        <w:t xml:space="preserve">the </w:t>
      </w:r>
      <w:r w:rsidRPr="00A173E7">
        <w:rPr>
          <w:szCs w:val="26"/>
        </w:rPr>
        <w:t>arguments raised on rehearing and clarifies, in part, its final rule adopting revisions to its regulations implementing sections 201 and 210 of the Public Utility Regulatory Policies Act of 1978 (PURPA).</w:t>
      </w:r>
      <w:r w:rsidR="002F01FB">
        <w:rPr>
          <w:szCs w:val="26"/>
        </w:rPr>
        <w:t xml:space="preserve">  </w:t>
      </w:r>
      <w:r w:rsidR="00C16C82">
        <w:rPr>
          <w:szCs w:val="26"/>
        </w:rPr>
        <w:t>The Commission</w:t>
      </w:r>
      <w:r w:rsidRPr="00580C5B" w:rsidR="00944A70">
        <w:rPr>
          <w:szCs w:val="26"/>
        </w:rPr>
        <w:t xml:space="preserve"> received </w:t>
      </w:r>
      <w:r w:rsidRPr="00580C5B" w:rsidR="00145996">
        <w:rPr>
          <w:szCs w:val="26"/>
        </w:rPr>
        <w:t>two</w:t>
      </w:r>
      <w:r w:rsidR="00145996">
        <w:rPr>
          <w:szCs w:val="26"/>
        </w:rPr>
        <w:t xml:space="preserve"> </w:t>
      </w:r>
      <w:r w:rsidRPr="00580C5B" w:rsidR="00145996">
        <w:rPr>
          <w:szCs w:val="26"/>
        </w:rPr>
        <w:t>c</w:t>
      </w:r>
      <w:r w:rsidRPr="00580C5B" w:rsidR="00944A70">
        <w:rPr>
          <w:szCs w:val="26"/>
        </w:rPr>
        <w:t xml:space="preserve">omments related to PRA issues.  Comment summaries and </w:t>
      </w:r>
      <w:r w:rsidR="00C16C82">
        <w:rPr>
          <w:szCs w:val="26"/>
        </w:rPr>
        <w:t xml:space="preserve">the Commission’s </w:t>
      </w:r>
      <w:r w:rsidRPr="00580C5B" w:rsidR="00944A70">
        <w:rPr>
          <w:szCs w:val="26"/>
        </w:rPr>
        <w:t>responses follow.</w:t>
      </w:r>
    </w:p>
    <w:p w:rsidR="00EF5020" w:rsidRDefault="00EF5020" w14:paraId="7D9FC976" w14:textId="77777777">
      <w:pPr>
        <w:pStyle w:val="FERCparanumber"/>
        <w:numPr>
          <w:ilvl w:val="0"/>
          <w:numId w:val="0"/>
        </w:numPr>
        <w:rPr>
          <w:szCs w:val="26"/>
        </w:rPr>
      </w:pPr>
    </w:p>
    <w:p w:rsidR="008A2DCF" w:rsidRDefault="008A2DCF" w14:paraId="7600A515" w14:textId="77777777">
      <w:pPr>
        <w:pStyle w:val="FERCparanumber"/>
        <w:numPr>
          <w:ilvl w:val="0"/>
          <w:numId w:val="0"/>
        </w:numPr>
        <w:rPr>
          <w:szCs w:val="26"/>
        </w:rPr>
      </w:pPr>
    </w:p>
    <w:p w:rsidR="00E872C0" w:rsidP="00E872C0" w:rsidRDefault="00E872C0" w14:paraId="11CA0227" w14:textId="77777777">
      <w:pPr>
        <w:pStyle w:val="FERCparanumber"/>
        <w:numPr>
          <w:ilvl w:val="0"/>
          <w:numId w:val="0"/>
        </w:numPr>
        <w:rPr>
          <w:szCs w:val="26"/>
        </w:rPr>
      </w:pPr>
      <w:r w:rsidRPr="00580C5B">
        <w:rPr>
          <w:b/>
          <w:szCs w:val="26"/>
        </w:rPr>
        <w:t>Public Comment in Response to</w:t>
      </w:r>
      <w:r w:rsidRPr="00580C5B" w:rsidR="003171FC">
        <w:rPr>
          <w:b/>
          <w:szCs w:val="26"/>
        </w:rPr>
        <w:t xml:space="preserve"> Order </w:t>
      </w:r>
      <w:r w:rsidRPr="00580C5B" w:rsidR="00153B36">
        <w:rPr>
          <w:b/>
          <w:szCs w:val="26"/>
        </w:rPr>
        <w:t xml:space="preserve">No. </w:t>
      </w:r>
      <w:r w:rsidRPr="00580C5B" w:rsidR="003171FC">
        <w:rPr>
          <w:b/>
          <w:szCs w:val="26"/>
        </w:rPr>
        <w:t>872</w:t>
      </w:r>
      <w:r w:rsidRPr="00580C5B">
        <w:rPr>
          <w:szCs w:val="26"/>
        </w:rPr>
        <w:t>:</w:t>
      </w:r>
      <w:r>
        <w:rPr>
          <w:szCs w:val="26"/>
        </w:rPr>
        <w:t xml:space="preserve"> </w:t>
      </w:r>
    </w:p>
    <w:p w:rsidR="00E872C0" w:rsidP="00E872C0" w:rsidRDefault="00E872C0" w14:paraId="0DC15ED3" w14:textId="77777777">
      <w:pPr>
        <w:pStyle w:val="FERCparanumber"/>
        <w:numPr>
          <w:ilvl w:val="0"/>
          <w:numId w:val="0"/>
        </w:numPr>
      </w:pPr>
      <w:bookmarkStart w:name="_Hlk52338953" w:id="9"/>
    </w:p>
    <w:p w:rsidR="00CD3528" w:rsidP="00E0289C" w:rsidRDefault="00EF4779" w14:paraId="4E5F7129" w14:textId="4D2D1A7C">
      <w:pPr>
        <w:pStyle w:val="FERCparanumber"/>
        <w:numPr>
          <w:ilvl w:val="0"/>
          <w:numId w:val="0"/>
        </w:numPr>
        <w:rPr>
          <w:szCs w:val="26"/>
        </w:rPr>
      </w:pPr>
      <w:r w:rsidRPr="006D759C">
        <w:t xml:space="preserve">Solar Energy Industries’ </w:t>
      </w:r>
      <w:r w:rsidR="00944A70">
        <w:t>argues</w:t>
      </w:r>
      <w:r w:rsidRPr="006D759C">
        <w:t xml:space="preserve"> that the “[10]-mile rule” adds unnecessary regulatory burdens, making the self-certification process no longer “quick and not unduly </w:t>
      </w:r>
      <w:r w:rsidRPr="006D759C">
        <w:lastRenderedPageBreak/>
        <w:t>burdensome.”</w:t>
      </w:r>
      <w:r w:rsidRPr="003F7947">
        <w:rPr>
          <w:rStyle w:val="FootnoteReference"/>
          <w:vertAlign w:val="superscript"/>
        </w:rPr>
        <w:footnoteReference w:id="35"/>
      </w:r>
      <w:r w:rsidRPr="00EF4779">
        <w:t xml:space="preserve"> </w:t>
      </w:r>
      <w:r w:rsidRPr="006D759C">
        <w:t xml:space="preserve"> </w:t>
      </w:r>
      <w:r w:rsidRPr="008039B9" w:rsidR="00E872C0">
        <w:rPr>
          <w:szCs w:val="26"/>
        </w:rPr>
        <w:t xml:space="preserve">Public Interest Organizations argue </w:t>
      </w:r>
      <w:r w:rsidR="00CD3528">
        <w:rPr>
          <w:szCs w:val="26"/>
        </w:rPr>
        <w:t>that</w:t>
      </w:r>
      <w:r w:rsidR="003171FC">
        <w:rPr>
          <w:szCs w:val="26"/>
        </w:rPr>
        <w:t xml:space="preserve"> Order </w:t>
      </w:r>
      <w:r w:rsidR="00153B36">
        <w:rPr>
          <w:szCs w:val="26"/>
        </w:rPr>
        <w:t xml:space="preserve">No. </w:t>
      </w:r>
      <w:r w:rsidR="003171FC">
        <w:rPr>
          <w:szCs w:val="26"/>
        </w:rPr>
        <w:t>872</w:t>
      </w:r>
      <w:r w:rsidR="00CD3528">
        <w:rPr>
          <w:szCs w:val="26"/>
        </w:rPr>
        <w:t>’s requirement</w:t>
      </w:r>
      <w:r w:rsidRPr="006D759C" w:rsidR="00E872C0">
        <w:rPr>
          <w:szCs w:val="26"/>
        </w:rPr>
        <w:t xml:space="preserve"> to list in Form No. 556 all “affiliated small power production QFs using the same energy resource within one mile,” as well as “all affiliated small power production QFs using the same energy resource whose nearest electrical generating equipment is less than 10 miles from the electrical generating equipment of the entity seeking small power production QF status</w:t>
      </w:r>
      <w:r w:rsidR="00CD3528">
        <w:rPr>
          <w:szCs w:val="26"/>
        </w:rPr>
        <w:t>,</w:t>
      </w:r>
      <w:r w:rsidRPr="003F7947" w:rsidR="00E872C0">
        <w:rPr>
          <w:rStyle w:val="FootnoteReference"/>
          <w:vertAlign w:val="superscript"/>
        </w:rPr>
        <w:footnoteReference w:id="36"/>
      </w:r>
      <w:r w:rsidRPr="00E0289C" w:rsidR="00E872C0">
        <w:rPr>
          <w:szCs w:val="26"/>
          <w:vertAlign w:val="superscript"/>
        </w:rPr>
        <w:t xml:space="preserve"> </w:t>
      </w:r>
      <w:r w:rsidRPr="008039B9" w:rsidR="00E872C0">
        <w:rPr>
          <w:szCs w:val="26"/>
        </w:rPr>
        <w:t xml:space="preserve"> </w:t>
      </w:r>
      <w:r w:rsidRPr="006D759C" w:rsidR="00E872C0">
        <w:rPr>
          <w:szCs w:val="26"/>
        </w:rPr>
        <w:t>would impose a significant burden</w:t>
      </w:r>
      <w:r w:rsidR="00CD3528">
        <w:rPr>
          <w:szCs w:val="26"/>
        </w:rPr>
        <w:t>.</w:t>
      </w:r>
      <w:r w:rsidRPr="003F7947" w:rsidR="00E872C0">
        <w:rPr>
          <w:rStyle w:val="FootnoteReference"/>
          <w:vertAlign w:val="superscript"/>
        </w:rPr>
        <w:footnoteReference w:id="37"/>
      </w:r>
      <w:r w:rsidRPr="00E0289C" w:rsidR="00E872C0">
        <w:rPr>
          <w:b/>
          <w:bCs/>
          <w:szCs w:val="26"/>
        </w:rPr>
        <w:t xml:space="preserve"> </w:t>
      </w:r>
    </w:p>
    <w:p w:rsidR="00CD3528" w:rsidP="00CD3528" w:rsidRDefault="00CD3528" w14:paraId="3E8507B0" w14:textId="77777777">
      <w:pPr>
        <w:pStyle w:val="FERCparanumber"/>
        <w:numPr>
          <w:ilvl w:val="0"/>
          <w:numId w:val="0"/>
        </w:numPr>
        <w:autoSpaceDE w:val="0"/>
        <w:autoSpaceDN w:val="0"/>
        <w:adjustRightInd w:val="0"/>
        <w:rPr>
          <w:szCs w:val="26"/>
        </w:rPr>
      </w:pPr>
    </w:p>
    <w:p w:rsidRPr="006D759C" w:rsidR="00E872C0" w:rsidP="003F7947" w:rsidRDefault="00E872C0" w14:paraId="1084C3F5" w14:textId="77777777">
      <w:pPr>
        <w:pStyle w:val="FERCparanumber"/>
        <w:numPr>
          <w:ilvl w:val="0"/>
          <w:numId w:val="0"/>
        </w:numPr>
        <w:autoSpaceDE w:val="0"/>
        <w:autoSpaceDN w:val="0"/>
        <w:adjustRightInd w:val="0"/>
      </w:pPr>
      <w:r w:rsidRPr="008039B9">
        <w:rPr>
          <w:szCs w:val="26"/>
        </w:rPr>
        <w:t xml:space="preserve">Public Interest Organizations </w:t>
      </w:r>
      <w:r w:rsidRPr="006D759C">
        <w:rPr>
          <w:szCs w:val="26"/>
        </w:rPr>
        <w:t>contend that the basis for the Commission’s estimate that</w:t>
      </w:r>
      <w:r w:rsidR="003171FC">
        <w:rPr>
          <w:szCs w:val="26"/>
        </w:rPr>
        <w:t xml:space="preserve"> Order </w:t>
      </w:r>
      <w:r w:rsidR="00153B36">
        <w:rPr>
          <w:szCs w:val="26"/>
        </w:rPr>
        <w:t xml:space="preserve">No. </w:t>
      </w:r>
      <w:r w:rsidR="003171FC">
        <w:rPr>
          <w:szCs w:val="26"/>
        </w:rPr>
        <w:t>872</w:t>
      </w:r>
      <w:r w:rsidRPr="006D759C">
        <w:rPr>
          <w:szCs w:val="26"/>
        </w:rPr>
        <w:t xml:space="preserve"> would impose 62 hours of administrative work on every small power production facility over 1 MW with affiliated facilities between one and 10 miles away is not clear.</w:t>
      </w:r>
      <w:r w:rsidRPr="003F7947">
        <w:rPr>
          <w:rStyle w:val="FootnoteReference"/>
          <w:vertAlign w:val="superscript"/>
        </w:rPr>
        <w:footnoteReference w:id="38"/>
      </w:r>
      <w:r w:rsidRPr="008039B9">
        <w:rPr>
          <w:szCs w:val="26"/>
        </w:rPr>
        <w:t xml:space="preserve">  Public Interest Organizations </w:t>
      </w:r>
      <w:r w:rsidRPr="006D759C">
        <w:rPr>
          <w:szCs w:val="26"/>
        </w:rPr>
        <w:t>note that Solar Energy Industries extensively raised and documented the expected regulatory burden of the new rule, and refer to Solar Energy Industries’ estimate that the new rule would require an additional 90 to 120 hours per year to comply.</w:t>
      </w:r>
      <w:r w:rsidRPr="003F7947">
        <w:rPr>
          <w:rStyle w:val="FootnoteReference"/>
          <w:vertAlign w:val="superscript"/>
        </w:rPr>
        <w:footnoteReference w:id="39"/>
      </w:r>
      <w:r w:rsidRPr="008039B9">
        <w:rPr>
          <w:szCs w:val="26"/>
        </w:rPr>
        <w:t xml:space="preserve">  </w:t>
      </w:r>
      <w:bookmarkStart w:name="_Hlk52378395" w:id="10"/>
      <w:bookmarkEnd w:id="9"/>
      <w:r w:rsidRPr="00DC2B16" w:rsidR="005F320E">
        <w:t xml:space="preserve">Public Interest Organizations </w:t>
      </w:r>
      <w:r w:rsidRPr="006D759C" w:rsidR="005F320E">
        <w:t>assert that the Commission dismissed Solar Energy Industries’ estimates without providing additional justification or explanation for the Commission’s time and expense estimates.</w:t>
      </w:r>
      <w:r w:rsidRPr="003F7947" w:rsidR="005F320E">
        <w:rPr>
          <w:bCs/>
          <w:vertAlign w:val="superscript"/>
        </w:rPr>
        <w:footnoteReference w:id="40"/>
      </w:r>
      <w:r w:rsidRPr="00DC2B16" w:rsidR="005F320E">
        <w:t xml:space="preserve">  </w:t>
      </w:r>
      <w:r w:rsidRPr="006D759C">
        <w:t xml:space="preserve">Public Interest Organizations </w:t>
      </w:r>
      <w:r w:rsidR="00944A70">
        <w:t xml:space="preserve">also </w:t>
      </w:r>
      <w:r w:rsidRPr="006D759C">
        <w:t xml:space="preserve">point out Southeast Public Interest Organizations’ comment that the change to the one-mile rule would have implications for nearly every existing QF in North Carolina and </w:t>
      </w:r>
      <w:r w:rsidR="00C16C82">
        <w:t xml:space="preserve">its </w:t>
      </w:r>
      <w:r w:rsidRPr="006D759C">
        <w:t>map that shows that facilities in compliance with the original one-mile rule are within 10 miles from other QFs and could trigger the new rule on recertification.</w:t>
      </w:r>
      <w:r w:rsidRPr="00AF1402">
        <w:rPr>
          <w:rStyle w:val="FootnoteReference"/>
          <w:vertAlign w:val="superscript"/>
        </w:rPr>
        <w:footnoteReference w:id="41"/>
      </w:r>
      <w:r w:rsidRPr="00AF1402">
        <w:rPr>
          <w:b/>
          <w:bCs/>
          <w:vertAlign w:val="superscript"/>
        </w:rPr>
        <w:t xml:space="preserve"> </w:t>
      </w:r>
      <w:r w:rsidRPr="008039B9">
        <w:t xml:space="preserve"> </w:t>
      </w:r>
    </w:p>
    <w:bookmarkEnd w:id="10"/>
    <w:p w:rsidR="00E872C0" w:rsidP="00E872C0" w:rsidRDefault="00E872C0" w14:paraId="505E3963" w14:textId="77777777">
      <w:pPr>
        <w:pStyle w:val="FERCparanumber"/>
        <w:numPr>
          <w:ilvl w:val="0"/>
          <w:numId w:val="0"/>
        </w:numPr>
        <w:rPr>
          <w:szCs w:val="26"/>
        </w:rPr>
      </w:pPr>
    </w:p>
    <w:p w:rsidR="00E872C0" w:rsidP="00AF1402" w:rsidRDefault="00E872C0" w14:paraId="49CC6B53" w14:textId="77777777">
      <w:pPr>
        <w:pStyle w:val="FERCparanumber"/>
        <w:numPr>
          <w:ilvl w:val="0"/>
          <w:numId w:val="0"/>
        </w:numPr>
        <w:tabs>
          <w:tab w:val="left" w:pos="5235"/>
        </w:tabs>
        <w:rPr>
          <w:szCs w:val="26"/>
        </w:rPr>
      </w:pPr>
      <w:r w:rsidRPr="003F7947">
        <w:rPr>
          <w:b/>
          <w:szCs w:val="26"/>
        </w:rPr>
        <w:t xml:space="preserve">Commission Response </w:t>
      </w:r>
      <w:r w:rsidRPr="003F7947" w:rsidR="00096F25">
        <w:rPr>
          <w:b/>
          <w:szCs w:val="26"/>
        </w:rPr>
        <w:t xml:space="preserve">in Order </w:t>
      </w:r>
      <w:r w:rsidRPr="003F7947" w:rsidR="00153B36">
        <w:rPr>
          <w:b/>
          <w:szCs w:val="26"/>
        </w:rPr>
        <w:t xml:space="preserve">No. </w:t>
      </w:r>
      <w:r w:rsidRPr="003F7947" w:rsidR="00096F25">
        <w:rPr>
          <w:b/>
          <w:szCs w:val="26"/>
        </w:rPr>
        <w:t>872-A</w:t>
      </w:r>
      <w:r w:rsidRPr="003F7947">
        <w:rPr>
          <w:szCs w:val="26"/>
        </w:rPr>
        <w:t>:</w:t>
      </w:r>
      <w:r>
        <w:rPr>
          <w:szCs w:val="26"/>
        </w:rPr>
        <w:t xml:space="preserve"> </w:t>
      </w:r>
      <w:r w:rsidR="002B56EA">
        <w:rPr>
          <w:szCs w:val="26"/>
        </w:rPr>
        <w:tab/>
      </w:r>
    </w:p>
    <w:p w:rsidR="00EF4779" w:rsidP="00EF4779" w:rsidRDefault="00EF4779" w14:paraId="423E1942" w14:textId="77777777">
      <w:pPr>
        <w:pStyle w:val="FERCparanumber"/>
        <w:numPr>
          <w:ilvl w:val="0"/>
          <w:numId w:val="0"/>
        </w:numPr>
        <w:autoSpaceDE w:val="0"/>
        <w:autoSpaceDN w:val="0"/>
        <w:adjustRightInd w:val="0"/>
      </w:pPr>
    </w:p>
    <w:p w:rsidR="00E872C0" w:rsidP="00EF4779" w:rsidRDefault="005745E3" w14:paraId="635BC51A" w14:textId="26920A78">
      <w:pPr>
        <w:pStyle w:val="FERCparanumber"/>
        <w:numPr>
          <w:ilvl w:val="0"/>
          <w:numId w:val="0"/>
        </w:numPr>
        <w:autoSpaceDE w:val="0"/>
        <w:autoSpaceDN w:val="0"/>
        <w:adjustRightInd w:val="0"/>
        <w:rPr>
          <w:szCs w:val="26"/>
        </w:rPr>
      </w:pPr>
      <w:r>
        <w:lastRenderedPageBreak/>
        <w:t>Solar Energy Industries’ comment on the NOPR and the Commission’s responses in Order No. 872 are discussed on pages 11-13 of this supporting statement.  In Order No. 872-A, t</w:t>
      </w:r>
      <w:r w:rsidR="008A2DCF">
        <w:t>he Commission</w:t>
      </w:r>
      <w:r w:rsidRPr="00DC2B16" w:rsidR="00E872C0">
        <w:t xml:space="preserve"> </w:t>
      </w:r>
      <w:r w:rsidR="00866234">
        <w:t xml:space="preserve">determined that the assertions of </w:t>
      </w:r>
      <w:r w:rsidR="005771C8">
        <w:t>unreasonable</w:t>
      </w:r>
      <w:r w:rsidR="00866234">
        <w:t xml:space="preserve"> burden have no merit.  First, the Commission </w:t>
      </w:r>
      <w:r w:rsidRPr="00DC2B16" w:rsidR="00E872C0">
        <w:t>note</w:t>
      </w:r>
      <w:r w:rsidR="00A452CE">
        <w:t>d</w:t>
      </w:r>
      <w:r w:rsidRPr="00DC2B16" w:rsidR="00E872C0">
        <w:t xml:space="preserve"> that </w:t>
      </w:r>
      <w:r w:rsidRPr="006D759C" w:rsidR="00E872C0">
        <w:rPr>
          <w:szCs w:val="26"/>
        </w:rPr>
        <w:t>Solar Energy Industries did not independently support its estimate of increased burden of 90 to 120 hours.  Rather,</w:t>
      </w:r>
      <w:r w:rsidRPr="006D759C" w:rsidDel="00584EC5" w:rsidR="00E872C0">
        <w:rPr>
          <w:szCs w:val="26"/>
        </w:rPr>
        <w:t xml:space="preserve"> </w:t>
      </w:r>
      <w:r w:rsidRPr="006D759C" w:rsidR="00E872C0">
        <w:rPr>
          <w:szCs w:val="26"/>
        </w:rPr>
        <w:t>Solar Energy Industries relied on a separate rulemaking proceeding for a different regulatory program administered by the Commission,</w:t>
      </w:r>
      <w:r w:rsidRPr="00AF1402" w:rsidR="00E872C0">
        <w:rPr>
          <w:rStyle w:val="FootnoteReference"/>
          <w:vertAlign w:val="superscript"/>
        </w:rPr>
        <w:footnoteReference w:id="42"/>
      </w:r>
      <w:r w:rsidRPr="00DC2B16" w:rsidR="00E872C0">
        <w:rPr>
          <w:szCs w:val="26"/>
        </w:rPr>
        <w:t xml:space="preserve"> </w:t>
      </w:r>
      <w:r w:rsidRPr="006D759C" w:rsidR="00E872C0">
        <w:rPr>
          <w:szCs w:val="26"/>
        </w:rPr>
        <w:t>and stated, without justification, that it believed the estimates for an ultimately withdrawn portion of that rulemaking (the proposed Connected Entity Information requirement) are a reasonable approximation of the burden that QFs would face in complying with the new requirements in</w:t>
      </w:r>
      <w:r w:rsidR="003171FC">
        <w:rPr>
          <w:szCs w:val="26"/>
        </w:rPr>
        <w:t xml:space="preserve"> Order </w:t>
      </w:r>
      <w:r w:rsidR="00153B36">
        <w:rPr>
          <w:szCs w:val="26"/>
        </w:rPr>
        <w:t xml:space="preserve">No. </w:t>
      </w:r>
      <w:r w:rsidR="003171FC">
        <w:rPr>
          <w:szCs w:val="26"/>
        </w:rPr>
        <w:t>872</w:t>
      </w:r>
      <w:r w:rsidRPr="006D759C" w:rsidR="00E872C0">
        <w:rPr>
          <w:szCs w:val="26"/>
        </w:rPr>
        <w:t>.</w:t>
      </w:r>
      <w:r w:rsidRPr="007B2FDD" w:rsidR="00E872C0">
        <w:rPr>
          <w:rStyle w:val="FootnoteReference"/>
          <w:vertAlign w:val="superscript"/>
        </w:rPr>
        <w:footnoteReference w:id="43"/>
      </w:r>
      <w:r w:rsidRPr="00DC2B16" w:rsidR="00E872C0">
        <w:rPr>
          <w:szCs w:val="26"/>
        </w:rPr>
        <w:t xml:space="preserve"> </w:t>
      </w:r>
      <w:r w:rsidRPr="006D759C" w:rsidR="00E872C0">
        <w:rPr>
          <w:szCs w:val="26"/>
        </w:rPr>
        <w:t xml:space="preserve"> While both rulemakings require the disclosure of affiliate information, </w:t>
      </w:r>
      <w:r w:rsidR="00866234">
        <w:rPr>
          <w:szCs w:val="26"/>
        </w:rPr>
        <w:t>the Commission</w:t>
      </w:r>
      <w:r w:rsidR="009E725D">
        <w:rPr>
          <w:szCs w:val="26"/>
        </w:rPr>
        <w:t xml:space="preserve"> </w:t>
      </w:r>
      <w:r w:rsidR="00866234">
        <w:rPr>
          <w:szCs w:val="26"/>
        </w:rPr>
        <w:t xml:space="preserve">concluded </w:t>
      </w:r>
      <w:r w:rsidR="00A452CE">
        <w:rPr>
          <w:szCs w:val="26"/>
        </w:rPr>
        <w:t xml:space="preserve">that </w:t>
      </w:r>
      <w:r w:rsidR="00866234">
        <w:rPr>
          <w:szCs w:val="26"/>
        </w:rPr>
        <w:t xml:space="preserve">the comparison of </w:t>
      </w:r>
      <w:r w:rsidR="009E725D">
        <w:rPr>
          <w:szCs w:val="26"/>
        </w:rPr>
        <w:t>Order No. 872</w:t>
      </w:r>
      <w:r w:rsidR="00866234">
        <w:rPr>
          <w:szCs w:val="26"/>
        </w:rPr>
        <w:t xml:space="preserve"> and the </w:t>
      </w:r>
      <w:r w:rsidR="005771C8">
        <w:rPr>
          <w:szCs w:val="26"/>
        </w:rPr>
        <w:t>referenced separate</w:t>
      </w:r>
      <w:r w:rsidR="00866234">
        <w:rPr>
          <w:szCs w:val="26"/>
        </w:rPr>
        <w:t xml:space="preserve"> rule</w:t>
      </w:r>
      <w:r w:rsidR="005771C8">
        <w:rPr>
          <w:szCs w:val="26"/>
        </w:rPr>
        <w:t>making</w:t>
      </w:r>
      <w:r w:rsidR="00866234">
        <w:rPr>
          <w:szCs w:val="26"/>
        </w:rPr>
        <w:t xml:space="preserve"> has no merit.  The </w:t>
      </w:r>
      <w:r w:rsidRPr="006D759C" w:rsidR="00E872C0">
        <w:rPr>
          <w:szCs w:val="26"/>
        </w:rPr>
        <w:t xml:space="preserve">withdrawn </w:t>
      </w:r>
      <w:r w:rsidR="005771C8">
        <w:rPr>
          <w:szCs w:val="26"/>
        </w:rPr>
        <w:t>“</w:t>
      </w:r>
      <w:r w:rsidRPr="006D759C" w:rsidR="00E872C0">
        <w:rPr>
          <w:szCs w:val="26"/>
        </w:rPr>
        <w:t>Connected Entity Information</w:t>
      </w:r>
      <w:r w:rsidR="005771C8">
        <w:rPr>
          <w:szCs w:val="26"/>
        </w:rPr>
        <w:t>”</w:t>
      </w:r>
      <w:r w:rsidRPr="006D759C" w:rsidR="00E872C0">
        <w:rPr>
          <w:szCs w:val="26"/>
        </w:rPr>
        <w:t xml:space="preserve"> proposal would have also required reporting of certain</w:t>
      </w:r>
      <w:r w:rsidR="002E58F4">
        <w:rPr>
          <w:szCs w:val="26"/>
        </w:rPr>
        <w:t xml:space="preserve"> information not required </w:t>
      </w:r>
      <w:r w:rsidR="009E725D">
        <w:rPr>
          <w:szCs w:val="26"/>
        </w:rPr>
        <w:t>by Order No. 872</w:t>
      </w:r>
      <w:r w:rsidR="00866234">
        <w:rPr>
          <w:szCs w:val="26"/>
        </w:rPr>
        <w:t>,</w:t>
      </w:r>
      <w:r w:rsidR="002E58F4">
        <w:rPr>
          <w:szCs w:val="26"/>
        </w:rPr>
        <w:t xml:space="preserve"> such as detailed</w:t>
      </w:r>
      <w:r w:rsidRPr="006D759C" w:rsidR="00E872C0">
        <w:rPr>
          <w:szCs w:val="26"/>
        </w:rPr>
        <w:t xml:space="preserve"> employee information.</w:t>
      </w:r>
      <w:r w:rsidRPr="007B2FDD" w:rsidR="00E872C0">
        <w:rPr>
          <w:rStyle w:val="FootnoteReference"/>
          <w:vertAlign w:val="superscript"/>
        </w:rPr>
        <w:footnoteReference w:id="44"/>
      </w:r>
      <w:r w:rsidRPr="007B2FDD" w:rsidR="00E872C0">
        <w:rPr>
          <w:b/>
          <w:bCs/>
          <w:szCs w:val="26"/>
          <w:vertAlign w:val="superscript"/>
        </w:rPr>
        <w:t xml:space="preserve"> </w:t>
      </w:r>
      <w:r w:rsidRPr="00DC2B16" w:rsidR="00E872C0">
        <w:rPr>
          <w:szCs w:val="26"/>
        </w:rPr>
        <w:t xml:space="preserve"> Furthermore</w:t>
      </w:r>
      <w:r w:rsidRPr="006D759C" w:rsidR="00E872C0">
        <w:rPr>
          <w:szCs w:val="26"/>
        </w:rPr>
        <w:t>,</w:t>
      </w:r>
      <w:r w:rsidR="003171FC">
        <w:rPr>
          <w:szCs w:val="26"/>
        </w:rPr>
        <w:t xml:space="preserve"> Order </w:t>
      </w:r>
      <w:r w:rsidR="00153B36">
        <w:rPr>
          <w:szCs w:val="26"/>
        </w:rPr>
        <w:t xml:space="preserve">No. </w:t>
      </w:r>
      <w:r w:rsidR="003171FC">
        <w:rPr>
          <w:szCs w:val="26"/>
        </w:rPr>
        <w:t>872</w:t>
      </w:r>
      <w:r w:rsidRPr="006D759C" w:rsidR="00E872C0">
        <w:rPr>
          <w:szCs w:val="26"/>
        </w:rPr>
        <w:t xml:space="preserve"> limits the information geographically to require the listing of only those affiliated entities that are less than 10 miles away, whereas the withdrawn Connected Entity Information requirement from the other proceeding would have </w:t>
      </w:r>
      <w:r w:rsidR="002E58F4">
        <w:rPr>
          <w:szCs w:val="26"/>
        </w:rPr>
        <w:t xml:space="preserve">required </w:t>
      </w:r>
      <w:r w:rsidR="00866234">
        <w:rPr>
          <w:szCs w:val="26"/>
        </w:rPr>
        <w:t>filers</w:t>
      </w:r>
      <w:r w:rsidR="002E58F4">
        <w:rPr>
          <w:szCs w:val="26"/>
        </w:rPr>
        <w:t xml:space="preserve"> to report information </w:t>
      </w:r>
      <w:r w:rsidR="00866234">
        <w:rPr>
          <w:szCs w:val="26"/>
        </w:rPr>
        <w:t>regarding</w:t>
      </w:r>
      <w:r w:rsidR="002E58F4">
        <w:rPr>
          <w:szCs w:val="26"/>
        </w:rPr>
        <w:t xml:space="preserve"> </w:t>
      </w:r>
      <w:r w:rsidR="00866234">
        <w:rPr>
          <w:szCs w:val="26"/>
        </w:rPr>
        <w:t>affiliates</w:t>
      </w:r>
      <w:r w:rsidR="002E58F4">
        <w:rPr>
          <w:szCs w:val="26"/>
        </w:rPr>
        <w:t xml:space="preserve"> nation-wide rathe</w:t>
      </w:r>
      <w:r w:rsidR="00866234">
        <w:rPr>
          <w:szCs w:val="26"/>
        </w:rPr>
        <w:t>r</w:t>
      </w:r>
      <w:r w:rsidR="002E58F4">
        <w:rPr>
          <w:szCs w:val="26"/>
        </w:rPr>
        <w:t xml:space="preserve"> th</w:t>
      </w:r>
      <w:r w:rsidR="00866234">
        <w:rPr>
          <w:szCs w:val="26"/>
        </w:rPr>
        <w:t xml:space="preserve">an for a limited geographic area as in </w:t>
      </w:r>
      <w:r w:rsidR="009E725D">
        <w:rPr>
          <w:szCs w:val="26"/>
        </w:rPr>
        <w:t>Order No. 8</w:t>
      </w:r>
      <w:r w:rsidR="00A452CE">
        <w:rPr>
          <w:szCs w:val="26"/>
        </w:rPr>
        <w:t>7</w:t>
      </w:r>
      <w:r w:rsidR="009E725D">
        <w:rPr>
          <w:szCs w:val="26"/>
        </w:rPr>
        <w:t>2</w:t>
      </w:r>
      <w:r w:rsidRPr="006D759C" w:rsidR="00E872C0">
        <w:rPr>
          <w:szCs w:val="26"/>
        </w:rPr>
        <w:t>.</w:t>
      </w:r>
      <w:r w:rsidRPr="006D759C" w:rsidDel="00584EC5" w:rsidR="00E872C0">
        <w:rPr>
          <w:szCs w:val="26"/>
        </w:rPr>
        <w:t xml:space="preserve"> </w:t>
      </w:r>
    </w:p>
    <w:p w:rsidRPr="006D759C" w:rsidR="00EF4779" w:rsidP="007B2FDD" w:rsidRDefault="00EF4779" w14:paraId="52A56543" w14:textId="77777777">
      <w:pPr>
        <w:pStyle w:val="FERCparanumber"/>
        <w:numPr>
          <w:ilvl w:val="0"/>
          <w:numId w:val="0"/>
        </w:numPr>
        <w:autoSpaceDE w:val="0"/>
        <w:autoSpaceDN w:val="0"/>
        <w:adjustRightInd w:val="0"/>
      </w:pPr>
    </w:p>
    <w:p w:rsidRPr="006D759C" w:rsidR="00E872C0" w:rsidP="007B2FDD" w:rsidRDefault="00E872C0" w14:paraId="2E2AADFB" w14:textId="77777777">
      <w:pPr>
        <w:pStyle w:val="FERCparanumber"/>
        <w:numPr>
          <w:ilvl w:val="0"/>
          <w:numId w:val="0"/>
        </w:numPr>
        <w:autoSpaceDE w:val="0"/>
        <w:autoSpaceDN w:val="0"/>
        <w:adjustRightInd w:val="0"/>
      </w:pPr>
      <w:r w:rsidRPr="006D759C">
        <w:t>Moreover,</w:t>
      </w:r>
      <w:r w:rsidR="00096F25">
        <w:t xml:space="preserve"> </w:t>
      </w:r>
      <w:r w:rsidR="00760B67">
        <w:t>the Commission</w:t>
      </w:r>
      <w:r w:rsidR="00096F25">
        <w:t xml:space="preserve"> </w:t>
      </w:r>
      <w:r w:rsidRPr="006D759C">
        <w:t>believe</w:t>
      </w:r>
      <w:r w:rsidR="00760B67">
        <w:t>s</w:t>
      </w:r>
      <w:r w:rsidRPr="006D759C">
        <w:t xml:space="preserve"> that Solar Energy Industries’ estimate vastly overstates the regulatory burden.  </w:t>
      </w:r>
      <w:r w:rsidRPr="006D759C">
        <w:rPr>
          <w:szCs w:val="26"/>
        </w:rPr>
        <w:t>First, the Commission explained in</w:t>
      </w:r>
      <w:r w:rsidR="003171FC">
        <w:rPr>
          <w:szCs w:val="26"/>
        </w:rPr>
        <w:t xml:space="preserve"> Order </w:t>
      </w:r>
      <w:r w:rsidR="00153B36">
        <w:rPr>
          <w:szCs w:val="26"/>
        </w:rPr>
        <w:t xml:space="preserve">No. </w:t>
      </w:r>
      <w:r w:rsidR="003171FC">
        <w:rPr>
          <w:szCs w:val="26"/>
        </w:rPr>
        <w:t>872</w:t>
      </w:r>
      <w:r w:rsidRPr="006D759C">
        <w:rPr>
          <w:szCs w:val="26"/>
        </w:rPr>
        <w:t xml:space="preserve"> that 18 C</w:t>
      </w:r>
      <w:r w:rsidR="002B56EA">
        <w:rPr>
          <w:szCs w:val="26"/>
        </w:rPr>
        <w:t>.</w:t>
      </w:r>
      <w:r w:rsidRPr="006D759C">
        <w:rPr>
          <w:szCs w:val="26"/>
        </w:rPr>
        <w:t>F</w:t>
      </w:r>
      <w:r w:rsidR="002B56EA">
        <w:rPr>
          <w:szCs w:val="26"/>
        </w:rPr>
        <w:t>.</w:t>
      </w:r>
      <w:r w:rsidRPr="006D759C">
        <w:rPr>
          <w:szCs w:val="26"/>
        </w:rPr>
        <w:t>R</w:t>
      </w:r>
      <w:r w:rsidR="002B56EA">
        <w:rPr>
          <w:szCs w:val="26"/>
        </w:rPr>
        <w:t>.</w:t>
      </w:r>
      <w:r w:rsidRPr="006D759C">
        <w:rPr>
          <w:szCs w:val="26"/>
        </w:rPr>
        <w:t xml:space="preserve"> </w:t>
      </w:r>
      <w:r w:rsidR="002B56EA">
        <w:rPr>
          <w:szCs w:val="26"/>
        </w:rPr>
        <w:t xml:space="preserve">§ </w:t>
      </w:r>
      <w:r w:rsidRPr="006D759C">
        <w:rPr>
          <w:szCs w:val="26"/>
        </w:rPr>
        <w:t>292.207(d) (which the Commission did not alter in</w:t>
      </w:r>
      <w:r w:rsidR="003171FC">
        <w:rPr>
          <w:szCs w:val="26"/>
        </w:rPr>
        <w:t xml:space="preserve"> Order </w:t>
      </w:r>
      <w:r w:rsidR="00153B36">
        <w:rPr>
          <w:szCs w:val="26"/>
        </w:rPr>
        <w:t xml:space="preserve">No. </w:t>
      </w:r>
      <w:r w:rsidR="003171FC">
        <w:rPr>
          <w:szCs w:val="26"/>
        </w:rPr>
        <w:t>872</w:t>
      </w:r>
      <w:r w:rsidRPr="006D759C">
        <w:rPr>
          <w:szCs w:val="26"/>
        </w:rPr>
        <w:t xml:space="preserve"> except to renumber as 18 C</w:t>
      </w:r>
      <w:r w:rsidR="002B56EA">
        <w:rPr>
          <w:szCs w:val="26"/>
        </w:rPr>
        <w:t>.</w:t>
      </w:r>
      <w:r w:rsidRPr="006D759C">
        <w:rPr>
          <w:szCs w:val="26"/>
        </w:rPr>
        <w:t>F</w:t>
      </w:r>
      <w:r w:rsidR="002B56EA">
        <w:rPr>
          <w:szCs w:val="26"/>
        </w:rPr>
        <w:t>.</w:t>
      </w:r>
      <w:r w:rsidRPr="006D759C">
        <w:rPr>
          <w:szCs w:val="26"/>
        </w:rPr>
        <w:t>R</w:t>
      </w:r>
      <w:r w:rsidR="002B56EA">
        <w:rPr>
          <w:szCs w:val="26"/>
        </w:rPr>
        <w:t>.</w:t>
      </w:r>
      <w:r w:rsidRPr="006D759C">
        <w:rPr>
          <w:szCs w:val="26"/>
        </w:rPr>
        <w:t xml:space="preserve"> </w:t>
      </w:r>
      <w:r w:rsidR="002B56EA">
        <w:rPr>
          <w:szCs w:val="26"/>
        </w:rPr>
        <w:t xml:space="preserve">§ </w:t>
      </w:r>
      <w:r w:rsidRPr="006D759C">
        <w:rPr>
          <w:szCs w:val="26"/>
        </w:rPr>
        <w:t>292.207(f)) already states that if a QF fails to conform with any material facts or representations presented in the certification, the QF status of the facility may no longer be relied upon,</w:t>
      </w:r>
      <w:r w:rsidRPr="007B2FDD">
        <w:rPr>
          <w:bCs/>
          <w:szCs w:val="26"/>
          <w:vertAlign w:val="superscript"/>
        </w:rPr>
        <w:footnoteReference w:id="45"/>
      </w:r>
      <w:r w:rsidRPr="00DC2B16">
        <w:rPr>
          <w:szCs w:val="26"/>
        </w:rPr>
        <w:t xml:space="preserve"> and hence it is l</w:t>
      </w:r>
      <w:r w:rsidRPr="006D759C">
        <w:rPr>
          <w:szCs w:val="26"/>
        </w:rPr>
        <w:t xml:space="preserve">ong-standing practice that a QF must recertify when material facts or representations in the Form No. 556 change. </w:t>
      </w:r>
    </w:p>
    <w:p w:rsidR="00EF4779" w:rsidP="00EF4779" w:rsidRDefault="00EF4779" w14:paraId="36614C94" w14:textId="77777777">
      <w:pPr>
        <w:pStyle w:val="FERCparanumber"/>
        <w:numPr>
          <w:ilvl w:val="0"/>
          <w:numId w:val="0"/>
        </w:numPr>
        <w:autoSpaceDE w:val="0"/>
        <w:autoSpaceDN w:val="0"/>
        <w:adjustRightInd w:val="0"/>
        <w:rPr>
          <w:szCs w:val="26"/>
        </w:rPr>
      </w:pPr>
    </w:p>
    <w:p w:rsidR="00E872C0" w:rsidP="00EF4779" w:rsidRDefault="00E872C0" w14:paraId="4DC38DCD" w14:textId="77777777">
      <w:pPr>
        <w:pStyle w:val="FERCparanumber"/>
        <w:numPr>
          <w:ilvl w:val="0"/>
          <w:numId w:val="0"/>
        </w:numPr>
        <w:autoSpaceDE w:val="0"/>
        <w:autoSpaceDN w:val="0"/>
        <w:adjustRightInd w:val="0"/>
        <w:rPr>
          <w:szCs w:val="26"/>
        </w:rPr>
      </w:pPr>
      <w:r w:rsidRPr="006D759C">
        <w:rPr>
          <w:szCs w:val="26"/>
        </w:rPr>
        <w:lastRenderedPageBreak/>
        <w:t>Second, with regard to the new Form No. 556 requirement to identify all affiliated small power production QFs using the same energy resource that are less than 10 miles from the electrical generating equipment of the certifying facility,</w:t>
      </w:r>
      <w:r w:rsidR="00096F25">
        <w:rPr>
          <w:szCs w:val="26"/>
        </w:rPr>
        <w:t xml:space="preserve"> </w:t>
      </w:r>
      <w:r w:rsidR="00760B67">
        <w:rPr>
          <w:szCs w:val="26"/>
        </w:rPr>
        <w:t>the Commission</w:t>
      </w:r>
      <w:r w:rsidR="00096F25">
        <w:rPr>
          <w:szCs w:val="26"/>
        </w:rPr>
        <w:t xml:space="preserve"> </w:t>
      </w:r>
      <w:r w:rsidRPr="006D759C">
        <w:rPr>
          <w:szCs w:val="26"/>
        </w:rPr>
        <w:t>note</w:t>
      </w:r>
      <w:r w:rsidR="00760B67">
        <w:rPr>
          <w:szCs w:val="26"/>
        </w:rPr>
        <w:t>s</w:t>
      </w:r>
      <w:r w:rsidRPr="006D759C">
        <w:rPr>
          <w:szCs w:val="26"/>
        </w:rPr>
        <w:t xml:space="preserve"> that</w:t>
      </w:r>
      <w:r w:rsidR="003171FC">
        <w:rPr>
          <w:szCs w:val="26"/>
        </w:rPr>
        <w:t xml:space="preserve"> Order </w:t>
      </w:r>
      <w:r w:rsidR="00153B36">
        <w:rPr>
          <w:szCs w:val="26"/>
        </w:rPr>
        <w:t xml:space="preserve">No. </w:t>
      </w:r>
      <w:r w:rsidR="003171FC">
        <w:rPr>
          <w:szCs w:val="26"/>
        </w:rPr>
        <w:t>872</w:t>
      </w:r>
      <w:r w:rsidRPr="006D759C">
        <w:rPr>
          <w:szCs w:val="26"/>
        </w:rPr>
        <w:t xml:space="preserve"> expanded the requirement to identify such facilities to less than 10 miles away, but the requirement to identify such facilities less than one mile already existed. </w:t>
      </w:r>
    </w:p>
    <w:p w:rsidRPr="006D759C" w:rsidR="00EF4779" w:rsidP="00067038" w:rsidRDefault="00EF4779" w14:paraId="6223C89D" w14:textId="77777777">
      <w:pPr>
        <w:pStyle w:val="FERCparanumber"/>
        <w:numPr>
          <w:ilvl w:val="0"/>
          <w:numId w:val="0"/>
        </w:numPr>
        <w:autoSpaceDE w:val="0"/>
        <w:autoSpaceDN w:val="0"/>
        <w:adjustRightInd w:val="0"/>
        <w:rPr>
          <w:szCs w:val="26"/>
        </w:rPr>
      </w:pPr>
    </w:p>
    <w:p w:rsidR="00E872C0" w:rsidP="00EF4779" w:rsidRDefault="00E872C0" w14:paraId="11D41265" w14:textId="77777777">
      <w:pPr>
        <w:pStyle w:val="FERCparanumber"/>
        <w:numPr>
          <w:ilvl w:val="0"/>
          <w:numId w:val="0"/>
        </w:numPr>
        <w:autoSpaceDE w:val="0"/>
        <w:autoSpaceDN w:val="0"/>
        <w:adjustRightInd w:val="0"/>
        <w:rPr>
          <w:szCs w:val="26"/>
        </w:rPr>
      </w:pPr>
      <w:r w:rsidRPr="006D759C">
        <w:rPr>
          <w:szCs w:val="26"/>
        </w:rPr>
        <w:t>Third,</w:t>
      </w:r>
      <w:r w:rsidR="00760B67">
        <w:rPr>
          <w:szCs w:val="26"/>
        </w:rPr>
        <w:t xml:space="preserve"> the Commission </w:t>
      </w:r>
      <w:r w:rsidRPr="006D759C">
        <w:rPr>
          <w:szCs w:val="26"/>
        </w:rPr>
        <w:t>note</w:t>
      </w:r>
      <w:r w:rsidR="00760B67">
        <w:rPr>
          <w:szCs w:val="26"/>
        </w:rPr>
        <w:t>s</w:t>
      </w:r>
      <w:r w:rsidRPr="006D759C">
        <w:rPr>
          <w:szCs w:val="26"/>
        </w:rPr>
        <w:t xml:space="preserve"> that not all QFs will be affected by this expanded requirement.  Only small power production QFs that have an affiliated small power production QF more than one but less than 10 miles away that uses the same energy resource will be subject to the new requirement to list the affiliated small power production QF.  QFs that have no </w:t>
      </w:r>
      <w:r w:rsidRPr="006D759C">
        <w:rPr>
          <w:rFonts w:eastAsia="Calibri"/>
        </w:rPr>
        <w:t>affiliated small power production QFs</w:t>
      </w:r>
      <w:r w:rsidRPr="006D759C">
        <w:rPr>
          <w:szCs w:val="26"/>
        </w:rPr>
        <w:t xml:space="preserve"> will not be affected, nor will those whose only affiliates are more than 10 miles away.  Moreover, those QFs that have only a few </w:t>
      </w:r>
      <w:r w:rsidRPr="006D759C">
        <w:rPr>
          <w:rFonts w:eastAsia="Calibri"/>
        </w:rPr>
        <w:t>affiliated small power production QFs</w:t>
      </w:r>
      <w:r w:rsidRPr="006D759C">
        <w:rPr>
          <w:szCs w:val="26"/>
        </w:rPr>
        <w:t xml:space="preserve"> more than one but less than 10 miles away will only </w:t>
      </w:r>
      <w:r w:rsidR="00855017">
        <w:rPr>
          <w:szCs w:val="26"/>
        </w:rPr>
        <w:t>see</w:t>
      </w:r>
      <w:r w:rsidRPr="006D759C">
        <w:rPr>
          <w:szCs w:val="26"/>
        </w:rPr>
        <w:t xml:space="preserve"> a small increase in burden to list these affiliated facilities.  The only facilities that may </w:t>
      </w:r>
      <w:r w:rsidR="00855017">
        <w:rPr>
          <w:szCs w:val="26"/>
        </w:rPr>
        <w:t>see</w:t>
      </w:r>
      <w:r w:rsidRPr="006D759C">
        <w:rPr>
          <w:szCs w:val="26"/>
        </w:rPr>
        <w:t xml:space="preserve"> a more significant burden—from the new requirement to identify affiliated facilities that use the same energy resource more than one and less than 10 miles away—are facilities with multiple facilities close together, and it is precisely this group of facilities from whom the Commission needs this information, in order to determine whether those facilities should be considered to be at the same site.</w:t>
      </w:r>
    </w:p>
    <w:p w:rsidRPr="006D759C" w:rsidR="00944A70" w:rsidP="00067038" w:rsidRDefault="00944A70" w14:paraId="0FD25AA0" w14:textId="77777777">
      <w:pPr>
        <w:pStyle w:val="FERCparanumber"/>
        <w:numPr>
          <w:ilvl w:val="0"/>
          <w:numId w:val="0"/>
        </w:numPr>
        <w:autoSpaceDE w:val="0"/>
        <w:autoSpaceDN w:val="0"/>
        <w:adjustRightInd w:val="0"/>
        <w:rPr>
          <w:szCs w:val="26"/>
        </w:rPr>
      </w:pPr>
    </w:p>
    <w:p w:rsidRPr="00EF4779" w:rsidR="00E872C0" w:rsidP="00067038" w:rsidRDefault="00096F25" w14:paraId="13EB6CDE" w14:textId="77777777">
      <w:pPr>
        <w:pStyle w:val="FERCparanumber"/>
        <w:numPr>
          <w:ilvl w:val="0"/>
          <w:numId w:val="0"/>
        </w:numPr>
        <w:autoSpaceDE w:val="0"/>
        <w:autoSpaceDN w:val="0"/>
        <w:adjustRightInd w:val="0"/>
        <w:rPr>
          <w:rFonts w:eastAsia="Calibri"/>
        </w:rPr>
      </w:pPr>
      <w:r>
        <w:t>The Commission</w:t>
      </w:r>
      <w:r w:rsidRPr="006D759C" w:rsidR="00E872C0">
        <w:t xml:space="preserve"> disagree</w:t>
      </w:r>
      <w:r>
        <w:t>s</w:t>
      </w:r>
      <w:r w:rsidRPr="006D759C" w:rsidR="00E872C0">
        <w:t xml:space="preserve"> with Solar Energy Industries’ arguments that the “[10]-mile rule” adds unnecessary regulatory burdens, making the self-certification process no longer “quick and not unduly burdensome.”  The changes to the one-mile rule and the corresponding changes to the Form No. 556 </w:t>
      </w:r>
      <w:r w:rsidRPr="00EF4779" w:rsidR="00E872C0">
        <w:rPr>
          <w:rFonts w:eastAsia="Calibri"/>
        </w:rPr>
        <w:t xml:space="preserve">are necessary to provide the Commission </w:t>
      </w:r>
      <w:r w:rsidRPr="006D759C" w:rsidR="00E872C0">
        <w:t>the</w:t>
      </w:r>
      <w:r w:rsidRPr="00EF4779" w:rsidR="00E872C0">
        <w:rPr>
          <w:rFonts w:eastAsia="Calibri"/>
        </w:rPr>
        <w:t xml:space="preserve"> information it </w:t>
      </w:r>
      <w:r w:rsidRPr="006D759C" w:rsidR="00E872C0">
        <w:t xml:space="preserve">needs to determine whether a facility qualifies </w:t>
      </w:r>
      <w:r w:rsidRPr="00EF4779" w:rsidR="00E872C0">
        <w:rPr>
          <w:rFonts w:eastAsia="Calibri"/>
        </w:rPr>
        <w:t xml:space="preserve">to </w:t>
      </w:r>
      <w:r w:rsidRPr="006D759C" w:rsidR="00E872C0">
        <w:t>be a QF, consistent with the standards laid out in the statute.</w:t>
      </w:r>
      <w:r w:rsidRPr="00EF4779" w:rsidR="00E872C0">
        <w:rPr>
          <w:rFonts w:eastAsia="Calibri"/>
        </w:rPr>
        <w:t xml:space="preserve">  In particular, the new requirement to list </w:t>
      </w:r>
      <w:r w:rsidRPr="00EF4779" w:rsidR="00E872C0">
        <w:rPr>
          <w:szCs w:val="26"/>
        </w:rPr>
        <w:t>affiliated small power production QFs</w:t>
      </w:r>
      <w:r w:rsidRPr="00067038" w:rsidR="007B2FDD">
        <w:rPr>
          <w:rStyle w:val="FootnoteReference"/>
          <w:szCs w:val="26"/>
          <w:vertAlign w:val="superscript"/>
        </w:rPr>
        <w:footnoteReference w:id="46"/>
      </w:r>
      <w:r w:rsidRPr="00EF4779" w:rsidR="00E872C0">
        <w:rPr>
          <w:szCs w:val="26"/>
        </w:rPr>
        <w:t xml:space="preserve"> is needed to assess whether the applicant facility and </w:t>
      </w:r>
      <w:r w:rsidRPr="00EF4779" w:rsidR="00E872C0">
        <w:rPr>
          <w:rFonts w:eastAsia="Calibri"/>
          <w:color w:val="000000"/>
          <w:szCs w:val="22"/>
        </w:rPr>
        <w:t>other affiliated facilities using the same energy resource are located at the same</w:t>
      </w:r>
      <w:r w:rsidRPr="00EF4779" w:rsidR="00E872C0">
        <w:rPr>
          <w:rFonts w:eastAsia="Calibri"/>
          <w:i/>
          <w:color w:val="000000"/>
          <w:szCs w:val="22"/>
        </w:rPr>
        <w:t xml:space="preserve"> </w:t>
      </w:r>
      <w:r w:rsidRPr="00EF4779" w:rsidR="00E872C0">
        <w:rPr>
          <w:rFonts w:eastAsia="Calibri"/>
          <w:color w:val="000000"/>
          <w:szCs w:val="22"/>
        </w:rPr>
        <w:t xml:space="preserve">site and ultimately whether they meet the statutory </w:t>
      </w:r>
      <w:r w:rsidRPr="00EF4779" w:rsidR="00E872C0">
        <w:rPr>
          <w:szCs w:val="26"/>
        </w:rPr>
        <w:t xml:space="preserve">80 MW limit.  Moreover, the requirement is to list </w:t>
      </w:r>
      <w:r w:rsidRPr="00EF4779" w:rsidR="00E872C0">
        <w:rPr>
          <w:i/>
          <w:iCs/>
          <w:szCs w:val="26"/>
        </w:rPr>
        <w:t>affiliated</w:t>
      </w:r>
      <w:r w:rsidRPr="00EF4779" w:rsidR="00E872C0">
        <w:rPr>
          <w:szCs w:val="26"/>
        </w:rPr>
        <w:t xml:space="preserve"> small power production QFs; thus, only facilities with affiliates will be affected by this information requirement — single, unaffiliated QFs will face no additional burden.  Similarly, for QF applicants with few affiliated facilities less than 10 miles from the applicant facility, this listing requirement should be only minimally burdensome.  The requirement to list affiliates less than 10 miles from the applicant facility would likely require more time when a project owner owns many QFs less than </w:t>
      </w:r>
      <w:r w:rsidRPr="00EF4779" w:rsidR="00E872C0">
        <w:rPr>
          <w:szCs w:val="26"/>
        </w:rPr>
        <w:lastRenderedPageBreak/>
        <w:t xml:space="preserve">10 miles from the applicant facility, which will likely be a larger, more sophisticated QF developer that has resources to prepare the form.  Even then, it is a necessary burden in order to ensure compliance with PURPA.    </w:t>
      </w:r>
    </w:p>
    <w:p w:rsidR="00EF4779" w:rsidP="00EF4779" w:rsidRDefault="00EF4779" w14:paraId="49BC31BA" w14:textId="77777777">
      <w:pPr>
        <w:pStyle w:val="FERCparanumber"/>
        <w:numPr>
          <w:ilvl w:val="0"/>
          <w:numId w:val="0"/>
        </w:numPr>
        <w:autoSpaceDE w:val="0"/>
        <w:autoSpaceDN w:val="0"/>
        <w:adjustRightInd w:val="0"/>
        <w:rPr>
          <w:szCs w:val="26"/>
        </w:rPr>
      </w:pPr>
    </w:p>
    <w:p w:rsidR="00F6388E" w:rsidP="00F6388E" w:rsidRDefault="00F6388E" w14:paraId="53CC856F" w14:textId="77777777">
      <w:pPr>
        <w:pStyle w:val="FERCparanumber"/>
        <w:numPr>
          <w:ilvl w:val="0"/>
          <w:numId w:val="0"/>
        </w:numPr>
        <w:autoSpaceDE w:val="0"/>
        <w:autoSpaceDN w:val="0"/>
        <w:adjustRightInd w:val="0"/>
      </w:pPr>
      <w:r w:rsidRPr="006D759C">
        <w:t>However, in light of Public Interest Organizations’ and Solar Energy Industries’ renewed assertion that the regulatory burden on QFs is substantial,</w:t>
      </w:r>
      <w:r w:rsidRPr="00096F25">
        <w:rPr>
          <w:rStyle w:val="FootnoteReference"/>
          <w:b/>
          <w:bCs/>
          <w:color w:val="212121"/>
          <w:vertAlign w:val="superscript"/>
        </w:rPr>
        <w:footnoteReference w:id="47"/>
      </w:r>
      <w:r>
        <w:t xml:space="preserve"> the Commission</w:t>
      </w:r>
      <w:r w:rsidRPr="008039B9">
        <w:t xml:space="preserve"> modif</w:t>
      </w:r>
      <w:r>
        <w:t>ies</w:t>
      </w:r>
      <w:r w:rsidRPr="008039B9">
        <w:t xml:space="preserve"> a</w:t>
      </w:r>
      <w:r>
        <w:t>n</w:t>
      </w:r>
      <w:r w:rsidRPr="008039B9">
        <w:t>d clarif</w:t>
      </w:r>
      <w:r>
        <w:t>ies</w:t>
      </w:r>
      <w:r w:rsidRPr="008039B9">
        <w:t xml:space="preserve"> our requirements regarding the identification of </w:t>
      </w:r>
      <w:r w:rsidRPr="006D759C">
        <w:rPr>
          <w:rFonts w:eastAsia="Calibri"/>
        </w:rPr>
        <w:t>affiliated small power production QFs</w:t>
      </w:r>
      <w:r w:rsidR="00680AB6">
        <w:rPr>
          <w:rFonts w:eastAsia="Calibri"/>
        </w:rPr>
        <w:t xml:space="preserve"> in Order No. 872-A</w:t>
      </w:r>
      <w:r w:rsidRPr="006D759C">
        <w:rPr>
          <w:rFonts w:eastAsia="Calibri"/>
        </w:rPr>
        <w:t>,</w:t>
      </w:r>
      <w:r w:rsidRPr="006D759C">
        <w:t xml:space="preserve"> in order to further ensure that the regulatory burden on small power production facilities is within reasonable limits.  The Form No. 556, as revised by</w:t>
      </w:r>
      <w:r>
        <w:t xml:space="preserve"> Order </w:t>
      </w:r>
      <w:r w:rsidR="00153B36">
        <w:t xml:space="preserve">No. </w:t>
      </w:r>
      <w:r>
        <w:t>872</w:t>
      </w:r>
      <w:r w:rsidRPr="006D759C">
        <w:t>, requires that a facility filing a certification or recertification after the effective date of</w:t>
      </w:r>
      <w:r>
        <w:t xml:space="preserve"> Order </w:t>
      </w:r>
      <w:r w:rsidR="00153B36">
        <w:t xml:space="preserve">No. </w:t>
      </w:r>
      <w:r>
        <w:t>872</w:t>
      </w:r>
      <w:r w:rsidRPr="006D759C">
        <w:t xml:space="preserve"> identify, in item 8a of the Form No. 556, any affiliated small power production QFs that use the same energy resource and are located less than 10 miles from the electrical generating equipment of the applicant facility, by including in the Form No. 556 each affiliated facility’s:  (1) location, including geographic coordinates; (2) root docket number, if any; (3) maximum net power production capacity; and (4) common owners.  Section 292.207(d) of the Commission’s regulations, which</w:t>
      </w:r>
      <w:r>
        <w:t xml:space="preserve"> Order </w:t>
      </w:r>
      <w:r w:rsidR="00F9794D">
        <w:t xml:space="preserve">No. </w:t>
      </w:r>
      <w:r>
        <w:t>872</w:t>
      </w:r>
      <w:r w:rsidRPr="006D759C">
        <w:t xml:space="preserve"> renumbered to 18 C</w:t>
      </w:r>
      <w:r w:rsidR="00F9794D">
        <w:t>.</w:t>
      </w:r>
      <w:r w:rsidRPr="006D759C">
        <w:t>F</w:t>
      </w:r>
      <w:r w:rsidR="00F9794D">
        <w:t>.</w:t>
      </w:r>
      <w:r w:rsidRPr="006D759C">
        <w:t>R</w:t>
      </w:r>
      <w:r w:rsidR="00F9794D">
        <w:t>.</w:t>
      </w:r>
      <w:r w:rsidRPr="006D759C">
        <w:t xml:space="preserve"> </w:t>
      </w:r>
      <w:r w:rsidR="00F9794D">
        <w:t xml:space="preserve">§ </w:t>
      </w:r>
      <w:r w:rsidRPr="006D759C">
        <w:t>292.207(f), states that if a QF fails to conform with any material facts or representations presented in the certification the QF status of the facility may no longer be relied upon.</w:t>
      </w:r>
      <w:r w:rsidRPr="00580C5B">
        <w:rPr>
          <w:vertAlign w:val="superscript"/>
        </w:rPr>
        <w:footnoteReference w:id="48"/>
      </w:r>
      <w:r w:rsidRPr="008039B9">
        <w:t xml:space="preserve">  </w:t>
      </w:r>
    </w:p>
    <w:p w:rsidRPr="006D759C" w:rsidR="00F6388E" w:rsidP="00F6388E" w:rsidRDefault="00F6388E" w14:paraId="6827DD7F" w14:textId="77777777">
      <w:pPr>
        <w:pStyle w:val="FERCparanumber"/>
        <w:numPr>
          <w:ilvl w:val="0"/>
          <w:numId w:val="0"/>
        </w:numPr>
        <w:autoSpaceDE w:val="0"/>
        <w:autoSpaceDN w:val="0"/>
        <w:adjustRightInd w:val="0"/>
      </w:pPr>
    </w:p>
    <w:p w:rsidR="00107B52" w:rsidP="00F6388E" w:rsidRDefault="00F6388E" w14:paraId="5C6939BC" w14:textId="77777777">
      <w:pPr>
        <w:pStyle w:val="FERCparanumber"/>
        <w:numPr>
          <w:ilvl w:val="0"/>
          <w:numId w:val="0"/>
        </w:numPr>
        <w:autoSpaceDE w:val="0"/>
        <w:autoSpaceDN w:val="0"/>
        <w:adjustRightInd w:val="0"/>
      </w:pPr>
      <w:r w:rsidRPr="006D759C">
        <w:t xml:space="preserve">As a result, when any of a small power production QF’s </w:t>
      </w:r>
      <w:r w:rsidRPr="006D759C">
        <w:rPr>
          <w:rFonts w:eastAsia="Calibri"/>
        </w:rPr>
        <w:t xml:space="preserve">affiliated </w:t>
      </w:r>
      <w:r w:rsidRPr="006D759C">
        <w:t>facilities less than 10 miles away changes any of the items listed above,</w:t>
      </w:r>
      <w:r>
        <w:t xml:space="preserve"> Order </w:t>
      </w:r>
      <w:r w:rsidR="00153B36">
        <w:t xml:space="preserve">No. </w:t>
      </w:r>
      <w:r>
        <w:t>872</w:t>
      </w:r>
      <w:r w:rsidRPr="006D759C">
        <w:t xml:space="preserve"> would require a small power production QF to recertify its own Form No. 556 to </w:t>
      </w:r>
      <w:r w:rsidRPr="00DD3490">
        <w:t>reflect its</w:t>
      </w:r>
      <w:r w:rsidRPr="006D759C">
        <w:t xml:space="preserve"> affiliated facility’s updated information.  This represents an expansion from the requirement </w:t>
      </w:r>
      <w:bookmarkStart w:name="_Hlk55464813" w:id="11"/>
      <w:r w:rsidRPr="006D759C">
        <w:t>prior to</w:t>
      </w:r>
      <w:r>
        <w:t xml:space="preserve"> Order </w:t>
      </w:r>
      <w:r w:rsidR="00153B36">
        <w:t xml:space="preserve">No. </w:t>
      </w:r>
      <w:r>
        <w:t>872</w:t>
      </w:r>
      <w:r w:rsidRPr="006D759C">
        <w:t xml:space="preserve"> that a small power production QF</w:t>
      </w:r>
      <w:bookmarkStart w:name="_Hlk55400452" w:id="12"/>
      <w:r w:rsidRPr="006D759C">
        <w:t xml:space="preserve"> reflect the updated information of its affiliated small power production facilities one mile or less away.</w:t>
      </w:r>
      <w:bookmarkStart w:name="_Ref56353338" w:id="13"/>
      <w:r w:rsidRPr="00580C5B">
        <w:rPr>
          <w:rStyle w:val="FootnoteReference"/>
          <w:vertAlign w:val="superscript"/>
        </w:rPr>
        <w:footnoteReference w:id="49"/>
      </w:r>
      <w:bookmarkEnd w:id="13"/>
      <w:r w:rsidRPr="009D69A0">
        <w:rPr>
          <w:b/>
          <w:bCs/>
          <w:vertAlign w:val="superscript"/>
        </w:rPr>
        <w:t xml:space="preserve"> </w:t>
      </w:r>
      <w:bookmarkEnd w:id="11"/>
      <w:bookmarkEnd w:id="12"/>
      <w:r w:rsidRPr="006D759C">
        <w:t xml:space="preserve"> Moreover, in order to maintain </w:t>
      </w:r>
      <w:r w:rsidRPr="006D759C">
        <w:lastRenderedPageBreak/>
        <w:t>an up-to-date Form No. 556 and recertify with the correct affiliated facility information, under</w:t>
      </w:r>
      <w:r>
        <w:t xml:space="preserve"> Order </w:t>
      </w:r>
      <w:r w:rsidR="00153B36">
        <w:t xml:space="preserve">No. </w:t>
      </w:r>
      <w:r>
        <w:t>872</w:t>
      </w:r>
      <w:r w:rsidRPr="006D759C">
        <w:t xml:space="preserve"> a small power production QF would need to monitor continually all of its affiliated small power production QFs that are less than 10 miles away for changes.  This also is an expansion from the requirement, prior to</w:t>
      </w:r>
      <w:r>
        <w:t xml:space="preserve"> Order </w:t>
      </w:r>
      <w:r w:rsidR="00153B36">
        <w:t xml:space="preserve">No. </w:t>
      </w:r>
      <w:r>
        <w:t>872</w:t>
      </w:r>
      <w:r w:rsidRPr="006D759C">
        <w:t>, that a small power production QF monitor its affiliated small power production QFs one mile or less away for changes.</w:t>
      </w:r>
      <w:r w:rsidRPr="00580C5B">
        <w:rPr>
          <w:rStyle w:val="FootnoteReference"/>
          <w:vertAlign w:val="superscript"/>
        </w:rPr>
        <w:footnoteReference w:id="50"/>
      </w:r>
      <w:r w:rsidRPr="009D69A0">
        <w:rPr>
          <w:b/>
          <w:bCs/>
          <w:vertAlign w:val="superscript"/>
        </w:rPr>
        <w:t xml:space="preserve"> </w:t>
      </w:r>
      <w:r w:rsidRPr="008039B9">
        <w:t xml:space="preserve"> </w:t>
      </w:r>
    </w:p>
    <w:p w:rsidR="00107B52" w:rsidP="00F6388E" w:rsidRDefault="00107B52" w14:paraId="4BD8D104" w14:textId="77777777">
      <w:pPr>
        <w:pStyle w:val="FERCparanumber"/>
        <w:numPr>
          <w:ilvl w:val="0"/>
          <w:numId w:val="0"/>
        </w:numPr>
        <w:autoSpaceDE w:val="0"/>
        <w:autoSpaceDN w:val="0"/>
        <w:adjustRightInd w:val="0"/>
      </w:pPr>
    </w:p>
    <w:p w:rsidRPr="00580C5B" w:rsidR="00F6388E" w:rsidP="00F6388E" w:rsidRDefault="009D3D2C" w14:paraId="4880B67E" w14:textId="4A2C2280">
      <w:pPr>
        <w:pStyle w:val="FERCparanumber"/>
        <w:numPr>
          <w:ilvl w:val="0"/>
          <w:numId w:val="0"/>
        </w:numPr>
        <w:autoSpaceDE w:val="0"/>
        <w:autoSpaceDN w:val="0"/>
        <w:adjustRightInd w:val="0"/>
      </w:pPr>
      <w:r>
        <w:t>In Order No. 872-A, t</w:t>
      </w:r>
      <w:r w:rsidR="00F6388E">
        <w:t>he Commission</w:t>
      </w:r>
      <w:r w:rsidR="00866234">
        <w:t xml:space="preserve"> changed the filing requirement in Form No. 556 to lessen the burden on filers to address these concerns.  </w:t>
      </w:r>
      <w:bookmarkStart w:name="_Hlk55403778" w:id="14"/>
      <w:r>
        <w:t>In Order No. 872-A, t</w:t>
      </w:r>
      <w:r w:rsidR="00F6388E">
        <w:t>he Commission</w:t>
      </w:r>
      <w:r w:rsidRPr="006D759C" w:rsidR="00F6388E">
        <w:t xml:space="preserve"> modif</w:t>
      </w:r>
      <w:r w:rsidR="00F6388E">
        <w:t xml:space="preserve">ies Order </w:t>
      </w:r>
      <w:r w:rsidR="00153B36">
        <w:t xml:space="preserve">No. </w:t>
      </w:r>
      <w:r w:rsidR="00F6388E">
        <w:t>872</w:t>
      </w:r>
      <w:r w:rsidRPr="006D759C" w:rsidR="00F6388E">
        <w:t xml:space="preserve"> to state that </w:t>
      </w:r>
      <w:bookmarkStart w:name="_Hlk56085505" w:id="15"/>
      <w:r w:rsidRPr="006D759C" w:rsidR="00F6388E">
        <w:t xml:space="preserve">a small power production QF evaluating whether it needs to recertify </w:t>
      </w:r>
      <w:r w:rsidRPr="00580C5B" w:rsidR="00F6388E">
        <w:t xml:space="preserve">does </w:t>
      </w:r>
      <w:r w:rsidRPr="00580C5B" w:rsidR="00F6388E">
        <w:rPr>
          <w:i/>
        </w:rPr>
        <w:t>not</w:t>
      </w:r>
      <w:r w:rsidRPr="00580C5B" w:rsidR="00F6388E">
        <w:t xml:space="preserve"> need to recertify</w:t>
      </w:r>
      <w:r w:rsidRPr="00580C5B" w:rsidR="007B2FDD">
        <w:t>: (1)</w:t>
      </w:r>
      <w:r w:rsidRPr="00580C5B" w:rsidR="00F6388E">
        <w:t xml:space="preserve"> due to a change in the information it has previously reported regarding its </w:t>
      </w:r>
      <w:r w:rsidRPr="00580C5B" w:rsidR="00F6388E">
        <w:rPr>
          <w:rFonts w:eastAsia="Calibri"/>
        </w:rPr>
        <w:t xml:space="preserve">affiliated small power production QFs </w:t>
      </w:r>
      <w:r w:rsidRPr="00580C5B" w:rsidR="00F6388E">
        <w:t>that are more than one mile but less than 10 miles from its electrical generating equipment, including adding or removing an affiliated small power production QF more than one mile but less than 10 miles away, or</w:t>
      </w:r>
      <w:r w:rsidRPr="00580C5B" w:rsidR="007B2FDD">
        <w:t xml:space="preserve"> (2)</w:t>
      </w:r>
      <w:r w:rsidRPr="00580C5B" w:rsidR="00F6388E">
        <w:t xml:space="preserve"> if an affiliated small power production QF more than one mile but less than 10 miles away</w:t>
      </w:r>
      <w:r w:rsidRPr="00580C5B" w:rsidR="00F6388E">
        <w:rPr>
          <w:szCs w:val="26"/>
        </w:rPr>
        <w:t xml:space="preserve"> and previously reported in item 8a makes a modification,</w:t>
      </w:r>
      <w:r w:rsidRPr="00580C5B" w:rsidR="00F6388E">
        <w:t xml:space="preserve"> unless that change also impacts any other entries on the evaluating small power production QF’s Form No. 556.  </w:t>
      </w:r>
      <w:bookmarkEnd w:id="15"/>
    </w:p>
    <w:p w:rsidRPr="00580C5B" w:rsidR="00F6388E" w:rsidP="00F6388E" w:rsidRDefault="00F6388E" w14:paraId="0CE5D306" w14:textId="77777777">
      <w:pPr>
        <w:pStyle w:val="FERCparanumber"/>
        <w:numPr>
          <w:ilvl w:val="0"/>
          <w:numId w:val="0"/>
        </w:numPr>
        <w:autoSpaceDE w:val="0"/>
        <w:autoSpaceDN w:val="0"/>
        <w:adjustRightInd w:val="0"/>
      </w:pPr>
    </w:p>
    <w:p w:rsidRPr="00580C5B" w:rsidR="00F6388E" w:rsidP="00F6388E" w:rsidRDefault="00F6388E" w14:paraId="67DD3916" w14:textId="1A346929">
      <w:pPr>
        <w:pStyle w:val="FERCparanumber"/>
        <w:numPr>
          <w:ilvl w:val="0"/>
          <w:numId w:val="0"/>
        </w:numPr>
        <w:autoSpaceDE w:val="0"/>
        <w:autoSpaceDN w:val="0"/>
        <w:adjustRightInd w:val="0"/>
      </w:pPr>
      <w:r w:rsidRPr="00580C5B">
        <w:t xml:space="preserve">The Commission will continue to require that a small power production QF, as </w:t>
      </w:r>
      <w:r w:rsidRPr="00580C5B" w:rsidR="0020681A">
        <w:t xml:space="preserve">the QF </w:t>
      </w:r>
      <w:r w:rsidRPr="00580C5B">
        <w:t xml:space="preserve">was </w:t>
      </w:r>
      <w:r w:rsidRPr="00580C5B" w:rsidR="0020681A">
        <w:t xml:space="preserve">required </w:t>
      </w:r>
      <w:r w:rsidRPr="00580C5B">
        <w:t xml:space="preserve">prior to Order </w:t>
      </w:r>
      <w:r w:rsidRPr="00580C5B" w:rsidR="00153B36">
        <w:t xml:space="preserve">No. </w:t>
      </w:r>
      <w:r w:rsidRPr="00580C5B">
        <w:t>872, recertify</w:t>
      </w:r>
      <w:r w:rsidRPr="00580C5B">
        <w:rPr>
          <w:szCs w:val="26"/>
        </w:rPr>
        <w:t xml:space="preserve"> its Form No. 556 to update </w:t>
      </w:r>
      <w:r w:rsidR="00BB223A">
        <w:rPr>
          <w:szCs w:val="26"/>
        </w:rPr>
        <w:t xml:space="preserve">information in </w:t>
      </w:r>
      <w:r w:rsidRPr="00580C5B">
        <w:rPr>
          <w:szCs w:val="26"/>
        </w:rPr>
        <w:t>item 8a due to a change at any of its affiliated small power production facilities that use the same energy resource and are located one mile or less from its electrical generating equipment.</w:t>
      </w:r>
      <w:r w:rsidRPr="00580C5B">
        <w:rPr>
          <w:rStyle w:val="FootnoteReference"/>
          <w:vertAlign w:val="superscript"/>
        </w:rPr>
        <w:footnoteReference w:id="51"/>
      </w:r>
      <w:r w:rsidRPr="00580C5B">
        <w:rPr>
          <w:szCs w:val="26"/>
        </w:rPr>
        <w:t xml:space="preserve">  </w:t>
      </w:r>
      <w:r w:rsidRPr="00580C5B">
        <w:t xml:space="preserve">The Commission will also still require that a small power production QF recertify due to a change in material fact or representation to its own facility.  </w:t>
      </w:r>
    </w:p>
    <w:p w:rsidRPr="00580C5B" w:rsidR="00F6388E" w:rsidP="00F6388E" w:rsidRDefault="00F6388E" w14:paraId="2CE3EBC4" w14:textId="77777777">
      <w:pPr>
        <w:pStyle w:val="FERCparanumber"/>
        <w:numPr>
          <w:ilvl w:val="0"/>
          <w:numId w:val="0"/>
        </w:numPr>
        <w:autoSpaceDE w:val="0"/>
        <w:autoSpaceDN w:val="0"/>
        <w:adjustRightInd w:val="0"/>
      </w:pPr>
    </w:p>
    <w:p w:rsidR="00F6388E" w:rsidP="00F6388E" w:rsidRDefault="00F6388E" w14:paraId="3ED891D3" w14:textId="77777777">
      <w:pPr>
        <w:pStyle w:val="FERCparanumber"/>
        <w:numPr>
          <w:ilvl w:val="0"/>
          <w:numId w:val="0"/>
        </w:numPr>
        <w:autoSpaceDE w:val="0"/>
        <w:autoSpaceDN w:val="0"/>
        <w:adjustRightInd w:val="0"/>
        <w:rPr>
          <w:shd w:val="clear" w:color="auto" w:fill="FFFFFF"/>
        </w:rPr>
      </w:pPr>
      <w:r w:rsidRPr="00580C5B">
        <w:t>At such time as the small power production QF makes a recertification due to a change in material fact or representation to its own facility or</w:t>
      </w:r>
      <w:r w:rsidRPr="00580C5B">
        <w:rPr>
          <w:szCs w:val="26"/>
        </w:rPr>
        <w:t xml:space="preserve"> at any of its affiliated small power production facilities that use the same energy resource and are located one mile or less from its electrical generating equipment, </w:t>
      </w:r>
      <w:r w:rsidRPr="00580C5B">
        <w:t xml:space="preserve">the Commission will require that the small power production QF update item 8a for all of its affiliated small power production QFs within 10 miles, including adding or deleting affiliated small power production QFs, and </w:t>
      </w:r>
      <w:r w:rsidRPr="00580C5B">
        <w:lastRenderedPageBreak/>
        <w:t>recording changes to previously listed small power production QFs, so that the information in its Form No. 556 is complete, accurate, and up-to-date.</w:t>
      </w:r>
      <w:r w:rsidRPr="00580C5B">
        <w:rPr>
          <w:rStyle w:val="FootnoteReference"/>
          <w:vertAlign w:val="superscript"/>
        </w:rPr>
        <w:footnoteReference w:id="52"/>
      </w:r>
      <w:r w:rsidRPr="00580C5B">
        <w:rPr>
          <w:b/>
          <w:shd w:val="clear" w:color="auto" w:fill="FFFFFF"/>
          <w:vertAlign w:val="superscript"/>
        </w:rPr>
        <w:t xml:space="preserve"> </w:t>
      </w:r>
      <w:r w:rsidRPr="00580C5B">
        <w:rPr>
          <w:b/>
          <w:shd w:val="clear" w:color="auto" w:fill="FFFFFF"/>
        </w:rPr>
        <w:t xml:space="preserve"> </w:t>
      </w:r>
    </w:p>
    <w:p w:rsidRPr="006D759C" w:rsidR="00F6388E" w:rsidP="00F6388E" w:rsidRDefault="00F6388E" w14:paraId="155F1A68" w14:textId="77777777">
      <w:pPr>
        <w:pStyle w:val="FERCparanumber"/>
        <w:numPr>
          <w:ilvl w:val="0"/>
          <w:numId w:val="0"/>
        </w:numPr>
        <w:autoSpaceDE w:val="0"/>
        <w:autoSpaceDN w:val="0"/>
        <w:adjustRightInd w:val="0"/>
      </w:pPr>
    </w:p>
    <w:p w:rsidR="00F6388E" w:rsidP="00F6388E" w:rsidRDefault="00F9794D" w14:paraId="7C84B795" w14:textId="77777777">
      <w:pPr>
        <w:pStyle w:val="FERCparanumber"/>
        <w:numPr>
          <w:ilvl w:val="0"/>
          <w:numId w:val="0"/>
        </w:numPr>
        <w:autoSpaceDE w:val="0"/>
        <w:autoSpaceDN w:val="0"/>
        <w:adjustRightInd w:val="0"/>
      </w:pPr>
      <w:r>
        <w:t>The Commission</w:t>
      </w:r>
      <w:r w:rsidRPr="008039B9" w:rsidR="00F6388E">
        <w:t xml:space="preserve"> believe</w:t>
      </w:r>
      <w:r>
        <w:t>s</w:t>
      </w:r>
      <w:r w:rsidRPr="008039B9" w:rsidR="00F6388E">
        <w:t xml:space="preserve"> that this modification reduces the burden on small power production QFs because </w:t>
      </w:r>
      <w:r w:rsidRPr="006D759C" w:rsidR="00F6388E">
        <w:t>they will not be required to continually monitor their affiliated small power production QFs more than one mile but less than 10 miles away for changes, nor will</w:t>
      </w:r>
      <w:r w:rsidR="00F6388E">
        <w:t xml:space="preserve"> the Commission </w:t>
      </w:r>
      <w:r w:rsidRPr="006D759C" w:rsidR="00F6388E">
        <w:t xml:space="preserve">require a </w:t>
      </w:r>
      <w:r w:rsidRPr="008039B9" w:rsidR="00F6388E">
        <w:t>small power production QF</w:t>
      </w:r>
      <w:r w:rsidRPr="006D759C" w:rsidR="00F6388E">
        <w:t xml:space="preserve"> that is evaluating whether it must recertify its facility to </w:t>
      </w:r>
      <w:r w:rsidRPr="008039B9" w:rsidR="00F6388E">
        <w:t xml:space="preserve">recertify </w:t>
      </w:r>
      <w:r w:rsidRPr="006D759C" w:rsidR="00F6388E">
        <w:t xml:space="preserve">to </w:t>
      </w:r>
      <w:r w:rsidRPr="006D759C" w:rsidR="00F6388E">
        <w:rPr>
          <w:szCs w:val="26"/>
        </w:rPr>
        <w:t xml:space="preserve">update item 8a due to a change </w:t>
      </w:r>
      <w:r w:rsidRPr="006D759C" w:rsidR="00F6388E">
        <w:t xml:space="preserve">at its </w:t>
      </w:r>
      <w:r w:rsidRPr="008039B9" w:rsidR="00F6388E">
        <w:t>affiliated</w:t>
      </w:r>
      <w:r w:rsidRPr="006D759C" w:rsidR="00F6388E">
        <w:rPr>
          <w:szCs w:val="26"/>
        </w:rPr>
        <w:t xml:space="preserve"> small power production facilities more than one mile but less than 10 miles </w:t>
      </w:r>
      <w:r w:rsidRPr="006D759C" w:rsidR="00F6388E">
        <w:t xml:space="preserve">from </w:t>
      </w:r>
      <w:r w:rsidRPr="006D759C" w:rsidR="00F6388E">
        <w:rPr>
          <w:szCs w:val="26"/>
        </w:rPr>
        <w:t>the evaluating facility’s electrical generating equipment.</w:t>
      </w:r>
      <w:r w:rsidRPr="00AD7271" w:rsidR="00F6388E">
        <w:rPr>
          <w:rStyle w:val="FootnoteReference"/>
          <w:vertAlign w:val="superscript"/>
        </w:rPr>
        <w:footnoteReference w:id="53"/>
      </w:r>
      <w:r w:rsidRPr="008039B9" w:rsidR="00F6388E">
        <w:t xml:space="preserve">  </w:t>
      </w:r>
      <w:r w:rsidRPr="006D759C" w:rsidR="00F6388E">
        <w:t xml:space="preserve">However, the affiliated QF of that evaluating small power production QF </w:t>
      </w:r>
      <w:r w:rsidRPr="009C0230" w:rsidR="00F6388E">
        <w:t>will</w:t>
      </w:r>
      <w:r w:rsidRPr="006D759C" w:rsidR="00F6388E">
        <w:t xml:space="preserve"> need to recertify if the affiliated QF makes a material change to its information in its Form </w:t>
      </w:r>
      <w:r w:rsidR="00F6388E">
        <w:t xml:space="preserve">No. </w:t>
      </w:r>
      <w:r w:rsidRPr="006D759C" w:rsidR="00F6388E">
        <w:t>556.</w:t>
      </w:r>
      <w:r w:rsidR="00F6388E">
        <w:t xml:space="preserve"> </w:t>
      </w:r>
      <w:r w:rsidRPr="006D759C" w:rsidR="00F6388E">
        <w:t xml:space="preserve"> </w:t>
      </w:r>
      <w:bookmarkEnd w:id="14"/>
    </w:p>
    <w:p w:rsidR="00F6388E" w:rsidP="00F6388E" w:rsidRDefault="00F6388E" w14:paraId="0A83CAFD" w14:textId="77777777">
      <w:pPr>
        <w:pStyle w:val="FERCparanumber"/>
        <w:numPr>
          <w:ilvl w:val="0"/>
          <w:numId w:val="0"/>
        </w:numPr>
        <w:autoSpaceDE w:val="0"/>
        <w:autoSpaceDN w:val="0"/>
        <w:adjustRightInd w:val="0"/>
      </w:pPr>
    </w:p>
    <w:p w:rsidRPr="00AD7271" w:rsidR="00F6388E" w:rsidP="00EF4779" w:rsidRDefault="00F6388E" w14:paraId="7D0F0920" w14:textId="77777777">
      <w:pPr>
        <w:pStyle w:val="FERCparanumber"/>
        <w:numPr>
          <w:ilvl w:val="0"/>
          <w:numId w:val="0"/>
        </w:numPr>
        <w:autoSpaceDE w:val="0"/>
        <w:autoSpaceDN w:val="0"/>
        <w:adjustRightInd w:val="0"/>
      </w:pPr>
      <w:r w:rsidRPr="006D759C">
        <w:t>After reviewing the rehearing requests, and implementing the modification described above,</w:t>
      </w:r>
      <w:r>
        <w:t xml:space="preserve"> the Commission </w:t>
      </w:r>
      <w:r w:rsidRPr="006D759C">
        <w:t>conclude</w:t>
      </w:r>
      <w:r>
        <w:t>s</w:t>
      </w:r>
      <w:r w:rsidRPr="006D759C">
        <w:t xml:space="preserve"> </w:t>
      </w:r>
      <w:r w:rsidR="00BE5484">
        <w:t xml:space="preserve">in Order No. 872-A </w:t>
      </w:r>
      <w:r w:rsidRPr="006D759C">
        <w:t xml:space="preserve">that this requirement strikes an appropriate balance between the need to address improper circumvention </w:t>
      </w:r>
      <w:r w:rsidR="004063E7">
        <w:t>of</w:t>
      </w:r>
      <w:r w:rsidRPr="006D759C">
        <w:t xml:space="preserve"> the </w:t>
      </w:r>
      <w:r w:rsidR="004063E7">
        <w:t xml:space="preserve">one-mile rule </w:t>
      </w:r>
      <w:r w:rsidRPr="006D759C">
        <w:t>and the need to avoid unduly burdening small power production QFs.  With the modificatio</w:t>
      </w:r>
      <w:r w:rsidRPr="00AD7271">
        <w:t>n described</w:t>
      </w:r>
      <w:r w:rsidRPr="006D759C">
        <w:t xml:space="preserve"> above,</w:t>
      </w:r>
      <w:r>
        <w:t xml:space="preserve"> the Commission </w:t>
      </w:r>
      <w:r w:rsidRPr="006D759C">
        <w:t>find</w:t>
      </w:r>
      <w:r>
        <w:t>s</w:t>
      </w:r>
      <w:r w:rsidRPr="006D759C">
        <w:t xml:space="preserve"> that our burden estimates, as reported in</w:t>
      </w:r>
      <w:r>
        <w:t xml:space="preserve"> Order </w:t>
      </w:r>
      <w:r w:rsidR="00153B36">
        <w:t xml:space="preserve">No. </w:t>
      </w:r>
      <w:r>
        <w:t>872</w:t>
      </w:r>
      <w:r w:rsidRPr="006D759C">
        <w:t xml:space="preserve">, </w:t>
      </w:r>
      <w:r w:rsidR="00A719B6">
        <w:t>are</w:t>
      </w:r>
      <w:r w:rsidRPr="006D759C">
        <w:t xml:space="preserve"> reasonable</w:t>
      </w:r>
      <w:r>
        <w:t xml:space="preserve">, especially now that </w:t>
      </w:r>
      <w:r w:rsidR="00BE5484">
        <w:t xml:space="preserve">we </w:t>
      </w:r>
      <w:r>
        <w:t xml:space="preserve">have lessened the </w:t>
      </w:r>
      <w:r w:rsidR="00A719B6">
        <w:t>requirements</w:t>
      </w:r>
      <w:r>
        <w:t xml:space="preserve"> as compared to Order </w:t>
      </w:r>
      <w:r w:rsidR="00153B36">
        <w:t xml:space="preserve">No. </w:t>
      </w:r>
      <w:r>
        <w:t>872 by making this change on rehearing</w:t>
      </w:r>
      <w:r w:rsidRPr="006D759C">
        <w:t xml:space="preserve">.  </w:t>
      </w:r>
      <w:r>
        <w:t>The Commission</w:t>
      </w:r>
      <w:r w:rsidRPr="006D759C">
        <w:t xml:space="preserve"> do</w:t>
      </w:r>
      <w:r>
        <w:t>es</w:t>
      </w:r>
      <w:r w:rsidRPr="006D759C">
        <w:t xml:space="preserve"> not believe that the change we have made today to the Form No. 556 to implement the above modification adds any additional burden to the information collection.  </w:t>
      </w:r>
      <w:r>
        <w:t>The Commission</w:t>
      </w:r>
      <w:r w:rsidRPr="006D759C">
        <w:t xml:space="preserve"> also note</w:t>
      </w:r>
      <w:r>
        <w:t>s</w:t>
      </w:r>
      <w:r w:rsidRPr="006D759C">
        <w:t xml:space="preserve"> that, in retaining the pre-final rule requirement that a small power production</w:t>
      </w:r>
      <w:r w:rsidR="00BE5484">
        <w:t xml:space="preserve"> facility</w:t>
      </w:r>
      <w:r w:rsidRPr="006D759C">
        <w:t xml:space="preserve"> recertify information on affiliate small power production facilities one mile or less away,</w:t>
      </w:r>
      <w:r w:rsidRPr="00AD7271">
        <w:rPr>
          <w:rStyle w:val="FootnoteReference"/>
          <w:vertAlign w:val="superscript"/>
        </w:rPr>
        <w:footnoteReference w:id="54"/>
      </w:r>
      <w:r w:rsidRPr="009D69A0">
        <w:rPr>
          <w:b/>
          <w:bCs/>
          <w:vertAlign w:val="superscript"/>
        </w:rPr>
        <w:t xml:space="preserve"> </w:t>
      </w:r>
      <w:r>
        <w:t>the Commission is</w:t>
      </w:r>
      <w:r w:rsidRPr="006D759C">
        <w:t xml:space="preserve"> not adding any additional burden.   </w:t>
      </w:r>
    </w:p>
    <w:p w:rsidR="00DB64B7" w:rsidP="00EF4779" w:rsidRDefault="00DB64B7" w14:paraId="44DDF9D3" w14:textId="77777777">
      <w:pPr>
        <w:pStyle w:val="FERCparanumber"/>
        <w:numPr>
          <w:ilvl w:val="0"/>
          <w:numId w:val="0"/>
        </w:numPr>
        <w:autoSpaceDE w:val="0"/>
        <w:autoSpaceDN w:val="0"/>
        <w:adjustRightInd w:val="0"/>
        <w:rPr>
          <w:b/>
          <w:bCs/>
          <w:szCs w:val="26"/>
          <w:vertAlign w:val="superscript"/>
        </w:rPr>
      </w:pPr>
    </w:p>
    <w:p w:rsidRPr="00580C5B" w:rsidR="00DB64B7" w:rsidP="00DB64B7" w:rsidRDefault="00DB64B7" w14:paraId="12C5EE65" w14:textId="77777777">
      <w:pPr>
        <w:pStyle w:val="FERCparanumber"/>
        <w:numPr>
          <w:ilvl w:val="0"/>
          <w:numId w:val="0"/>
        </w:numPr>
        <w:autoSpaceDE w:val="0"/>
        <w:autoSpaceDN w:val="0"/>
        <w:adjustRightInd w:val="0"/>
      </w:pPr>
      <w:r w:rsidRPr="00580C5B">
        <w:t>Though</w:t>
      </w:r>
      <w:r w:rsidR="00163525">
        <w:t xml:space="preserve"> on rehearing</w:t>
      </w:r>
      <w:r w:rsidRPr="00580C5B">
        <w:t xml:space="preserve"> Public Interest Organizations and Solar Energy Industries questioned the Commission’s estimates</w:t>
      </w:r>
      <w:r w:rsidRPr="00580C5B" w:rsidR="00163525">
        <w:t xml:space="preserve"> provided in Order No. 872</w:t>
      </w:r>
      <w:r w:rsidRPr="00580C5B">
        <w:t xml:space="preserve">, the Commission provided ample justification for why the burden and cost estimates would increase as a </w:t>
      </w:r>
      <w:r w:rsidRPr="00580C5B">
        <w:lastRenderedPageBreak/>
        <w:t>result of</w:t>
      </w:r>
      <w:r w:rsidRPr="00580C5B" w:rsidR="003171FC">
        <w:t xml:space="preserve"> Order </w:t>
      </w:r>
      <w:r w:rsidRPr="00580C5B" w:rsidR="00153B36">
        <w:t xml:space="preserve">No. </w:t>
      </w:r>
      <w:r w:rsidRPr="00580C5B" w:rsidR="003171FC">
        <w:t>872</w:t>
      </w:r>
      <w:r w:rsidRPr="00580C5B">
        <w:t>.  In</w:t>
      </w:r>
      <w:r w:rsidRPr="00580C5B" w:rsidR="003171FC">
        <w:t xml:space="preserve"> Order </w:t>
      </w:r>
      <w:r w:rsidRPr="00580C5B" w:rsidR="00153B36">
        <w:t xml:space="preserve">No. </w:t>
      </w:r>
      <w:r w:rsidRPr="00580C5B" w:rsidR="00163525">
        <w:t>872-A, the Commission reiterate</w:t>
      </w:r>
      <w:r w:rsidR="00674617">
        <w:t>s</w:t>
      </w:r>
      <w:r w:rsidRPr="00580C5B" w:rsidR="00163525">
        <w:t xml:space="preserve"> that i</w:t>
      </w:r>
      <w:r w:rsidRPr="00580C5B">
        <w:t>n</w:t>
      </w:r>
      <w:r w:rsidRPr="00580C5B" w:rsidR="003171FC">
        <w:t xml:space="preserve"> Order </w:t>
      </w:r>
      <w:r w:rsidRPr="00580C5B" w:rsidR="00153B36">
        <w:t xml:space="preserve">No. </w:t>
      </w:r>
      <w:r w:rsidRPr="00580C5B" w:rsidR="003171FC">
        <w:t>872</w:t>
      </w:r>
      <w:r w:rsidRPr="00580C5B">
        <w:t>, the Commission estimated that the annual burden hours and costs for the information collection for the Form No. 556 would increase as a result of the changes to the “one-mile rule” in</w:t>
      </w:r>
      <w:r w:rsidRPr="00580C5B" w:rsidR="003171FC">
        <w:t xml:space="preserve"> Order </w:t>
      </w:r>
      <w:r w:rsidRPr="00580C5B" w:rsidR="00153B36">
        <w:t xml:space="preserve">No. </w:t>
      </w:r>
      <w:r w:rsidRPr="00580C5B" w:rsidR="003171FC">
        <w:t>872</w:t>
      </w:r>
      <w:r w:rsidRPr="00580C5B">
        <w:t>.</w:t>
      </w:r>
      <w:r w:rsidRPr="00580C5B">
        <w:rPr>
          <w:rStyle w:val="FootnoteReference"/>
          <w:vertAlign w:val="superscript"/>
        </w:rPr>
        <w:footnoteReference w:id="55"/>
      </w:r>
      <w:r w:rsidRPr="00580C5B">
        <w:t xml:space="preserve">  The Commission explain</w:t>
      </w:r>
      <w:r w:rsidR="00674617">
        <w:t>s</w:t>
      </w:r>
      <w:r w:rsidRPr="00580C5B">
        <w:t xml:space="preserve"> that it was implementing new requirements for applicants to </w:t>
      </w:r>
      <w:bookmarkStart w:name="_Hlk52783923" w:id="17"/>
      <w:r w:rsidRPr="00580C5B">
        <w:t>report the QF’s geographic coordinates, list affiliated small power production QFs using the same energy resource one mile or less from the applicant facility, list affiliated small power production QFs using the same energy resource whose nearest electrical generating equipment is greater than one mile and less than 10 miles from the electrical generating equipment of the applicant facility, and list the geographic coordinates of the nearest “electrical generating equipment” of both its own facility and the affiliated small power production QF in question.</w:t>
      </w:r>
      <w:r w:rsidRPr="00580C5B">
        <w:rPr>
          <w:rStyle w:val="FootnoteReference"/>
          <w:vertAlign w:val="superscript"/>
        </w:rPr>
        <w:footnoteReference w:id="56"/>
      </w:r>
      <w:r w:rsidRPr="00580C5B">
        <w:t xml:space="preserve">  The Commission also suggest</w:t>
      </w:r>
      <w:r w:rsidR="00674617">
        <w:t>s</w:t>
      </w:r>
      <w:r w:rsidRPr="00580C5B">
        <w:t xml:space="preserve"> that if applicants anticipate a protest to their certifications,  they could provide explanations as to why the affiliated small power production QFs using the same energy resource that are more than one mile and less than 10 miles from the electrical generating equipment of the applicant facility should be considered at separate sites from the applicant’s facility.</w:t>
      </w:r>
      <w:r w:rsidRPr="00580C5B">
        <w:rPr>
          <w:rStyle w:val="FootnoteReference"/>
          <w:vertAlign w:val="superscript"/>
        </w:rPr>
        <w:footnoteReference w:id="57"/>
      </w:r>
      <w:r w:rsidRPr="00580C5B">
        <w:t xml:space="preserve">  </w:t>
      </w:r>
    </w:p>
    <w:bookmarkEnd w:id="17"/>
    <w:p w:rsidRPr="00580C5B" w:rsidR="00DB64B7" w:rsidP="00DB64B7" w:rsidRDefault="00DB64B7" w14:paraId="4E574AE5" w14:textId="77777777">
      <w:pPr>
        <w:pStyle w:val="FERCparanumber"/>
        <w:numPr>
          <w:ilvl w:val="0"/>
          <w:numId w:val="0"/>
        </w:numPr>
        <w:autoSpaceDE w:val="0"/>
        <w:autoSpaceDN w:val="0"/>
        <w:adjustRightInd w:val="0"/>
      </w:pPr>
    </w:p>
    <w:p w:rsidRPr="00580C5B" w:rsidR="00DB64B7" w:rsidP="00DB64B7" w:rsidRDefault="00DB64B7" w14:paraId="05E1017F" w14:textId="77777777">
      <w:pPr>
        <w:pStyle w:val="FERCparanumber"/>
        <w:numPr>
          <w:ilvl w:val="0"/>
          <w:numId w:val="0"/>
        </w:numPr>
        <w:autoSpaceDE w:val="0"/>
        <w:autoSpaceDN w:val="0"/>
        <w:adjustRightInd w:val="0"/>
        <w:rPr>
          <w:b/>
          <w:vertAlign w:val="superscript"/>
        </w:rPr>
      </w:pPr>
      <w:r w:rsidRPr="00580C5B">
        <w:t xml:space="preserve">Additionally, the Commission </w:t>
      </w:r>
      <w:r w:rsidRPr="00580C5B" w:rsidR="00163525">
        <w:t>in Order No. 872-A reiterate</w:t>
      </w:r>
      <w:r w:rsidR="00674617">
        <w:t>s</w:t>
      </w:r>
      <w:r w:rsidRPr="00580C5B" w:rsidR="00163525">
        <w:t xml:space="preserve"> that </w:t>
      </w:r>
      <w:r w:rsidRPr="00580C5B">
        <w:t xml:space="preserve">the Commission </w:t>
      </w:r>
      <w:r w:rsidRPr="00580C5B" w:rsidR="00163525">
        <w:t>in Order 87</w:t>
      </w:r>
      <w:r w:rsidRPr="00580C5B" w:rsidR="00256108">
        <w:t>2</w:t>
      </w:r>
      <w:r w:rsidRPr="00580C5B" w:rsidR="00163525">
        <w:t xml:space="preserve"> </w:t>
      </w:r>
      <w:r w:rsidRPr="00580C5B">
        <w:t>noted that as a result of the changes to the PURPA Regulations made in</w:t>
      </w:r>
      <w:r w:rsidRPr="00580C5B" w:rsidR="003171FC">
        <w:t xml:space="preserve"> Order </w:t>
      </w:r>
      <w:r w:rsidRPr="00580C5B" w:rsidR="009B25B3">
        <w:t xml:space="preserve">No. </w:t>
      </w:r>
      <w:r w:rsidRPr="00580C5B" w:rsidR="003171FC">
        <w:t>872</w:t>
      </w:r>
      <w:r w:rsidRPr="00580C5B">
        <w:t xml:space="preserve">, small power production QFs will have to spend more time identifying any affiliated small power production QFs that are less than one mile, between one and 10 miles, and more than 10 miles, apart.  The Commission </w:t>
      </w:r>
      <w:r w:rsidRPr="00580C5B" w:rsidR="00163525">
        <w:t>in Order No. 872</w:t>
      </w:r>
      <w:r w:rsidRPr="00580C5B">
        <w:t xml:space="preserve"> further expected that there will be an increase in the burden hours and cost due to the new ability of entities to protest without a fee, which will affect initial self-certifications, applications for Commission certification, or recertifications that make substantive changes to an existing certification after the effective date of</w:t>
      </w:r>
      <w:r w:rsidRPr="00580C5B" w:rsidR="003171FC">
        <w:t xml:space="preserve"> Order </w:t>
      </w:r>
      <w:r w:rsidRPr="00580C5B" w:rsidR="009B25B3">
        <w:t xml:space="preserve">No. </w:t>
      </w:r>
      <w:r w:rsidRPr="00580C5B" w:rsidR="003171FC">
        <w:t>872</w:t>
      </w:r>
      <w:r w:rsidRPr="00580C5B">
        <w:t>.</w:t>
      </w:r>
      <w:r w:rsidRPr="00580C5B">
        <w:rPr>
          <w:rStyle w:val="FootnoteReference"/>
          <w:vertAlign w:val="superscript"/>
        </w:rPr>
        <w:footnoteReference w:id="58"/>
      </w:r>
      <w:r w:rsidRPr="00580C5B">
        <w:rPr>
          <w:b/>
          <w:vertAlign w:val="superscript"/>
        </w:rPr>
        <w:t xml:space="preserve"> </w:t>
      </w:r>
    </w:p>
    <w:p w:rsidRPr="00580C5B" w:rsidR="00163525" w:rsidP="00DB64B7" w:rsidRDefault="00163525" w14:paraId="2403117F" w14:textId="77777777">
      <w:pPr>
        <w:pStyle w:val="FERCparanumber"/>
        <w:numPr>
          <w:ilvl w:val="0"/>
          <w:numId w:val="0"/>
        </w:numPr>
        <w:autoSpaceDE w:val="0"/>
        <w:autoSpaceDN w:val="0"/>
        <w:adjustRightInd w:val="0"/>
        <w:rPr>
          <w:b/>
        </w:rPr>
      </w:pPr>
    </w:p>
    <w:p w:rsidRPr="00580C5B" w:rsidR="00163525" w:rsidP="00DB64B7" w:rsidRDefault="00163525" w14:paraId="24C2FCFF" w14:textId="77777777">
      <w:pPr>
        <w:pStyle w:val="FERCparanumber"/>
        <w:numPr>
          <w:ilvl w:val="0"/>
          <w:numId w:val="0"/>
        </w:numPr>
        <w:autoSpaceDE w:val="0"/>
        <w:autoSpaceDN w:val="0"/>
        <w:adjustRightInd w:val="0"/>
        <w:rPr>
          <w:vertAlign w:val="superscript"/>
        </w:rPr>
      </w:pPr>
      <w:r w:rsidRPr="00580C5B">
        <w:t>The Commission in Order No. 872-A nevertheless provide</w:t>
      </w:r>
      <w:r w:rsidR="006E6A1E">
        <w:t>s</w:t>
      </w:r>
      <w:r w:rsidRPr="00580C5B">
        <w:t xml:space="preserve"> the following further explanation for its burden estimates.</w:t>
      </w:r>
    </w:p>
    <w:p w:rsidRPr="00580C5B" w:rsidR="00DB64B7" w:rsidP="00AD7271" w:rsidRDefault="00DB64B7" w14:paraId="67707D87" w14:textId="77777777">
      <w:pPr>
        <w:pStyle w:val="FERCparanumber"/>
        <w:numPr>
          <w:ilvl w:val="0"/>
          <w:numId w:val="0"/>
        </w:numPr>
        <w:autoSpaceDE w:val="0"/>
        <w:autoSpaceDN w:val="0"/>
        <w:adjustRightInd w:val="0"/>
      </w:pPr>
    </w:p>
    <w:p w:rsidRPr="00580C5B" w:rsidR="00DB64B7" w:rsidP="00DB64B7" w:rsidRDefault="00DB64B7" w14:paraId="618C9B67" w14:textId="77777777">
      <w:pPr>
        <w:pStyle w:val="Heading3"/>
        <w:widowControl/>
        <w:numPr>
          <w:ilvl w:val="2"/>
          <w:numId w:val="30"/>
        </w:numPr>
        <w:spacing w:before="0" w:after="260"/>
        <w:rPr>
          <w:rFonts w:ascii="Times New Roman" w:hAnsi="Times New Roman" w:cs="Times New Roman"/>
          <w:color w:val="auto"/>
          <w:sz w:val="26"/>
          <w:szCs w:val="26"/>
        </w:rPr>
      </w:pPr>
      <w:bookmarkStart w:name="_bmk61" w:id="19"/>
      <w:bookmarkStart w:name="_Hlk52983098" w:id="20"/>
      <w:r w:rsidRPr="00580C5B">
        <w:rPr>
          <w:rFonts w:ascii="Times New Roman" w:hAnsi="Times New Roman" w:cs="Times New Roman"/>
          <w:color w:val="auto"/>
          <w:sz w:val="26"/>
          <w:szCs w:val="26"/>
        </w:rPr>
        <w:lastRenderedPageBreak/>
        <w:t>Q</w:t>
      </w:r>
      <w:bookmarkEnd w:id="19"/>
      <w:r w:rsidRPr="00580C5B">
        <w:rPr>
          <w:rFonts w:ascii="Times New Roman" w:hAnsi="Times New Roman" w:cs="Times New Roman"/>
          <w:color w:val="auto"/>
          <w:sz w:val="26"/>
          <w:szCs w:val="26"/>
        </w:rPr>
        <w:t>Fs Submitting Self-Certifications</w:t>
      </w:r>
    </w:p>
    <w:p w:rsidRPr="00580C5B" w:rsidR="00DB64B7" w:rsidP="00AD7271" w:rsidRDefault="00DB64B7" w14:paraId="6A32A5D1" w14:textId="77777777">
      <w:pPr>
        <w:pStyle w:val="FERCparanumber"/>
        <w:numPr>
          <w:ilvl w:val="0"/>
          <w:numId w:val="0"/>
        </w:numPr>
        <w:autoSpaceDE w:val="0"/>
        <w:autoSpaceDN w:val="0"/>
        <w:adjustRightInd w:val="0"/>
        <w:rPr>
          <w:szCs w:val="26"/>
        </w:rPr>
      </w:pPr>
      <w:r w:rsidRPr="00580C5B">
        <w:rPr>
          <w:szCs w:val="26"/>
        </w:rPr>
        <w:t>Prior to</w:t>
      </w:r>
      <w:r w:rsidRPr="00580C5B" w:rsidR="003171FC">
        <w:rPr>
          <w:szCs w:val="26"/>
        </w:rPr>
        <w:t xml:space="preserve"> Order </w:t>
      </w:r>
      <w:r w:rsidRPr="00580C5B" w:rsidR="009B25B3">
        <w:rPr>
          <w:szCs w:val="26"/>
        </w:rPr>
        <w:t xml:space="preserve">No. </w:t>
      </w:r>
      <w:r w:rsidRPr="00580C5B" w:rsidR="003171FC">
        <w:rPr>
          <w:szCs w:val="26"/>
        </w:rPr>
        <w:t>872</w:t>
      </w:r>
      <w:r w:rsidRPr="00580C5B">
        <w:rPr>
          <w:szCs w:val="26"/>
        </w:rPr>
        <w:t>, the estimated burden for a small power production facility greater than 1 MW filing a self-certification was 1.5 hours.</w:t>
      </w:r>
      <w:r w:rsidRPr="00580C5B">
        <w:rPr>
          <w:rStyle w:val="FootnoteReference"/>
          <w:szCs w:val="26"/>
          <w:vertAlign w:val="superscript"/>
        </w:rPr>
        <w:footnoteReference w:id="59"/>
      </w:r>
      <w:r w:rsidRPr="00580C5B">
        <w:rPr>
          <w:szCs w:val="26"/>
        </w:rPr>
        <w:t xml:space="preserve">  </w:t>
      </w:r>
    </w:p>
    <w:p w:rsidRPr="00580C5B" w:rsidR="00736986" w:rsidP="00AD7271" w:rsidRDefault="00736986" w14:paraId="3410363E" w14:textId="77777777">
      <w:pPr>
        <w:pStyle w:val="FERCparanumber"/>
        <w:numPr>
          <w:ilvl w:val="0"/>
          <w:numId w:val="0"/>
        </w:numPr>
        <w:autoSpaceDE w:val="0"/>
        <w:autoSpaceDN w:val="0"/>
        <w:adjustRightInd w:val="0"/>
        <w:rPr>
          <w:szCs w:val="26"/>
        </w:rPr>
      </w:pPr>
    </w:p>
    <w:p w:rsidRPr="00580C5B" w:rsidR="00DB64B7" w:rsidP="00DB64B7" w:rsidRDefault="00DB64B7" w14:paraId="6CFDB0E7" w14:textId="77777777">
      <w:pPr>
        <w:pStyle w:val="Heading4"/>
        <w:widowControl/>
        <w:numPr>
          <w:ilvl w:val="3"/>
          <w:numId w:val="31"/>
        </w:numPr>
        <w:spacing w:before="0" w:after="260"/>
        <w:rPr>
          <w:rFonts w:ascii="Times New Roman" w:hAnsi="Times New Roman" w:cs="Times New Roman"/>
          <w:color w:val="auto"/>
          <w:sz w:val="26"/>
          <w:szCs w:val="26"/>
        </w:rPr>
      </w:pPr>
      <w:bookmarkStart w:name="_bmk62" w:id="21"/>
      <w:r w:rsidRPr="00580C5B">
        <w:rPr>
          <w:rFonts w:ascii="Times New Roman" w:hAnsi="Times New Roman" w:cs="Times New Roman"/>
          <w:color w:val="auto"/>
          <w:sz w:val="26"/>
          <w:szCs w:val="26"/>
        </w:rPr>
        <w:t>S</w:t>
      </w:r>
      <w:bookmarkEnd w:id="21"/>
      <w:r w:rsidRPr="00580C5B">
        <w:rPr>
          <w:rFonts w:ascii="Times New Roman" w:hAnsi="Times New Roman" w:cs="Times New Roman"/>
          <w:color w:val="auto"/>
          <w:sz w:val="26"/>
          <w:szCs w:val="26"/>
        </w:rPr>
        <w:t>mall Power Production Facility Greater Than 1 MW, and Less Than One Mile from an Affiliated Small Power Production QF</w:t>
      </w:r>
    </w:p>
    <w:p w:rsidRPr="00E66276" w:rsidR="00DB64B7" w:rsidP="00736986" w:rsidRDefault="00DB64B7" w14:paraId="5B787997" w14:textId="77777777">
      <w:pPr>
        <w:pStyle w:val="FERCparanumber"/>
        <w:numPr>
          <w:ilvl w:val="0"/>
          <w:numId w:val="0"/>
        </w:numPr>
        <w:autoSpaceDE w:val="0"/>
        <w:autoSpaceDN w:val="0"/>
        <w:adjustRightInd w:val="0"/>
        <w:rPr>
          <w:szCs w:val="26"/>
        </w:rPr>
      </w:pPr>
      <w:bookmarkStart w:name="_Hlk54800249" w:id="22"/>
      <w:r w:rsidRPr="00580C5B">
        <w:rPr>
          <w:szCs w:val="26"/>
        </w:rPr>
        <w:t>In</w:t>
      </w:r>
      <w:r w:rsidRPr="00580C5B" w:rsidR="003171FC">
        <w:rPr>
          <w:szCs w:val="26"/>
        </w:rPr>
        <w:t xml:space="preserve"> Order </w:t>
      </w:r>
      <w:r w:rsidRPr="00580C5B" w:rsidR="009B25B3">
        <w:rPr>
          <w:szCs w:val="26"/>
        </w:rPr>
        <w:t xml:space="preserve">No. </w:t>
      </w:r>
      <w:r w:rsidRPr="00580C5B" w:rsidR="003171FC">
        <w:rPr>
          <w:szCs w:val="26"/>
        </w:rPr>
        <w:t>872</w:t>
      </w:r>
      <w:r w:rsidRPr="00580C5B">
        <w:rPr>
          <w:szCs w:val="26"/>
        </w:rPr>
        <w:t>, given the implementation of the new 10-mile rule, the Commission estimated that it would take a small power production facility greater than 1 MW, and less than one mile from an affiliated facility, two hours in addition to the prior estimated 1.5 hours to fill out the new version of the Form No. 556 for a self-certification.</w:t>
      </w:r>
      <w:r w:rsidRPr="00580C5B">
        <w:rPr>
          <w:rStyle w:val="FootnoteReference"/>
          <w:szCs w:val="26"/>
          <w:vertAlign w:val="superscript"/>
        </w:rPr>
        <w:footnoteReference w:id="60"/>
      </w:r>
      <w:r w:rsidRPr="00580C5B">
        <w:rPr>
          <w:szCs w:val="26"/>
        </w:rPr>
        <w:t xml:space="preserve">  </w:t>
      </w:r>
      <w:bookmarkEnd w:id="22"/>
      <w:r w:rsidRPr="00580C5B">
        <w:rPr>
          <w:szCs w:val="26"/>
        </w:rPr>
        <w:t>In making this estimate of two additional hours, the Commission took into consideration that the applicant would now be required to additionally provide its geographic coordinates.</w:t>
      </w:r>
      <w:r w:rsidRPr="00580C5B">
        <w:rPr>
          <w:rStyle w:val="FootnoteReference"/>
          <w:szCs w:val="26"/>
          <w:vertAlign w:val="superscript"/>
        </w:rPr>
        <w:footnoteReference w:id="61"/>
      </w:r>
      <w:r w:rsidRPr="00580C5B">
        <w:rPr>
          <w:szCs w:val="26"/>
        </w:rPr>
        <w:t xml:space="preserve">  While it would also be required to identify and provide the geographic coordinates for any small power production QFs located less than 10 miles from the applicant facility, the current Form No. 556 already required </w:t>
      </w:r>
      <w:r w:rsidR="00BB223A">
        <w:rPr>
          <w:szCs w:val="26"/>
        </w:rPr>
        <w:t xml:space="preserve">filers to </w:t>
      </w:r>
      <w:r w:rsidRPr="00580C5B">
        <w:rPr>
          <w:szCs w:val="26"/>
        </w:rPr>
        <w:t>identify any facilities located within one mile of the applicant facility.  The Commission reasoned that the applicant may need to take some additional time to ascertain that there were no additional facilities located more than one mile from the applicant facility.  The Commission therefore reasoned that, for this category, it may take an applicant facility an additional two hours to complete the Form No. 556.</w:t>
      </w:r>
      <w:r w:rsidRPr="00E66276">
        <w:rPr>
          <w:rStyle w:val="FootnoteReference"/>
          <w:szCs w:val="26"/>
          <w:vertAlign w:val="superscript"/>
        </w:rPr>
        <w:footnoteReference w:id="62"/>
      </w:r>
    </w:p>
    <w:p w:rsidRPr="00E66276" w:rsidR="00736986" w:rsidP="007C606B" w:rsidRDefault="00736986" w14:paraId="37DD7072" w14:textId="77777777">
      <w:pPr>
        <w:pStyle w:val="FERCparanumber"/>
        <w:numPr>
          <w:ilvl w:val="0"/>
          <w:numId w:val="0"/>
        </w:numPr>
        <w:autoSpaceDE w:val="0"/>
        <w:autoSpaceDN w:val="0"/>
        <w:adjustRightInd w:val="0"/>
        <w:rPr>
          <w:szCs w:val="26"/>
        </w:rPr>
      </w:pPr>
    </w:p>
    <w:p w:rsidRPr="00E66276" w:rsidR="00DB64B7" w:rsidP="00DB64B7" w:rsidRDefault="00DB64B7" w14:paraId="452F900B" w14:textId="77777777">
      <w:pPr>
        <w:pStyle w:val="Heading4"/>
        <w:widowControl/>
        <w:numPr>
          <w:ilvl w:val="3"/>
          <w:numId w:val="30"/>
        </w:numPr>
        <w:spacing w:before="0" w:after="260"/>
        <w:rPr>
          <w:rFonts w:ascii="Times New Roman" w:hAnsi="Times New Roman" w:cs="Times New Roman"/>
          <w:color w:val="auto"/>
          <w:sz w:val="26"/>
          <w:szCs w:val="26"/>
        </w:rPr>
      </w:pPr>
      <w:bookmarkStart w:name="_bmk63" w:id="23"/>
      <w:r w:rsidRPr="00E66276">
        <w:rPr>
          <w:rFonts w:ascii="Times New Roman" w:hAnsi="Times New Roman" w:cs="Times New Roman"/>
          <w:color w:val="auto"/>
          <w:sz w:val="26"/>
          <w:szCs w:val="26"/>
        </w:rPr>
        <w:t>S</w:t>
      </w:r>
      <w:bookmarkEnd w:id="23"/>
      <w:r w:rsidRPr="00E66276">
        <w:rPr>
          <w:rFonts w:ascii="Times New Roman" w:hAnsi="Times New Roman" w:cs="Times New Roman"/>
          <w:color w:val="auto"/>
          <w:sz w:val="26"/>
          <w:szCs w:val="26"/>
        </w:rPr>
        <w:t>mall Power Production Facility Greater than 1 MW, and More than One Mile but Less than 10 Miles from an Affiliated Small Power Production QF</w:t>
      </w:r>
    </w:p>
    <w:p w:rsidRPr="00E66276" w:rsidR="00DB64B7" w:rsidP="00736986" w:rsidRDefault="00DB64B7" w14:paraId="4CB5CC8A" w14:textId="77777777">
      <w:pPr>
        <w:pStyle w:val="FERCparanumber"/>
        <w:numPr>
          <w:ilvl w:val="0"/>
          <w:numId w:val="0"/>
        </w:numPr>
        <w:autoSpaceDE w:val="0"/>
        <w:autoSpaceDN w:val="0"/>
        <w:adjustRightInd w:val="0"/>
        <w:rPr>
          <w:szCs w:val="26"/>
        </w:rPr>
      </w:pPr>
      <w:r w:rsidRPr="00E66276">
        <w:rPr>
          <w:szCs w:val="26"/>
        </w:rPr>
        <w:t>In</w:t>
      </w:r>
      <w:r w:rsidRPr="00E66276" w:rsidR="003171FC">
        <w:rPr>
          <w:szCs w:val="26"/>
        </w:rPr>
        <w:t xml:space="preserve"> Order </w:t>
      </w:r>
      <w:r w:rsidRPr="00E66276" w:rsidR="009B25B3">
        <w:rPr>
          <w:szCs w:val="26"/>
        </w:rPr>
        <w:t xml:space="preserve">No. </w:t>
      </w:r>
      <w:r w:rsidRPr="00E66276" w:rsidR="003171FC">
        <w:rPr>
          <w:szCs w:val="26"/>
        </w:rPr>
        <w:t>872</w:t>
      </w:r>
      <w:r w:rsidRPr="00E66276">
        <w:rPr>
          <w:szCs w:val="26"/>
        </w:rPr>
        <w:t xml:space="preserve">, given the implementation of the new 10-mile rule, the Commission estimated that it would take a small power production facility greater than 1 MW, and more than one mile but less than 10 miles from an affiliated facility, eight hours in </w:t>
      </w:r>
      <w:r w:rsidRPr="00E66276">
        <w:rPr>
          <w:szCs w:val="26"/>
        </w:rPr>
        <w:lastRenderedPageBreak/>
        <w:t>addition to the prior estimated 1.5 hours to fill out the new version of the Form No. 556 for a self-certification.</w:t>
      </w:r>
      <w:r w:rsidRPr="00E66276">
        <w:rPr>
          <w:rStyle w:val="FootnoteReference"/>
          <w:szCs w:val="26"/>
          <w:vertAlign w:val="superscript"/>
        </w:rPr>
        <w:footnoteReference w:id="63"/>
      </w:r>
      <w:r w:rsidRPr="00E66276">
        <w:rPr>
          <w:b/>
          <w:szCs w:val="26"/>
          <w:vertAlign w:val="superscript"/>
        </w:rPr>
        <w:t xml:space="preserve"> </w:t>
      </w:r>
      <w:r w:rsidRPr="00E66276">
        <w:rPr>
          <w:szCs w:val="26"/>
        </w:rPr>
        <w:t xml:space="preserve"> In making this estimate of eight additional hours, the Commission took into consideration that the applicant would now be required to additionally provide its geographic coordinates and to identify and provide the geographic coordinates for any </w:t>
      </w:r>
      <w:r w:rsidR="00BB223A">
        <w:rPr>
          <w:szCs w:val="26"/>
        </w:rPr>
        <w:t xml:space="preserve">affiliated </w:t>
      </w:r>
      <w:r w:rsidRPr="00E66276">
        <w:rPr>
          <w:szCs w:val="26"/>
        </w:rPr>
        <w:t>small power production QFs located less than 10 miles from the applicant facility.  If the applicant chose, it could provide explanations as to why the affiliated small power production QFs using the same energy resource that are more than one mile and less than 10 miles from the electrical generating equipment of the applicant facility should be considered to be at separate sites from the applicant’s facility.</w:t>
      </w:r>
      <w:r w:rsidRPr="00E66276">
        <w:rPr>
          <w:rStyle w:val="FootnoteReference"/>
          <w:szCs w:val="26"/>
          <w:vertAlign w:val="superscript"/>
        </w:rPr>
        <w:footnoteReference w:id="64"/>
      </w:r>
      <w:r w:rsidRPr="00E66276">
        <w:rPr>
          <w:szCs w:val="26"/>
        </w:rPr>
        <w:t xml:space="preserve">  The Commission therefore reasoned that, for this category, it may take an applicant facility an additional eight hours to complete the Form No. 556.</w:t>
      </w:r>
      <w:r w:rsidRPr="00E66276">
        <w:rPr>
          <w:rStyle w:val="FootnoteReference"/>
          <w:szCs w:val="26"/>
          <w:vertAlign w:val="superscript"/>
        </w:rPr>
        <w:footnoteReference w:id="65"/>
      </w:r>
    </w:p>
    <w:p w:rsidRPr="00E66276" w:rsidR="00736986" w:rsidP="00E66276" w:rsidRDefault="00736986" w14:paraId="75749C1A" w14:textId="77777777">
      <w:pPr>
        <w:pStyle w:val="FERCparanumber"/>
        <w:numPr>
          <w:ilvl w:val="0"/>
          <w:numId w:val="0"/>
        </w:numPr>
        <w:autoSpaceDE w:val="0"/>
        <w:autoSpaceDN w:val="0"/>
        <w:adjustRightInd w:val="0"/>
        <w:rPr>
          <w:szCs w:val="26"/>
        </w:rPr>
      </w:pPr>
    </w:p>
    <w:p w:rsidRPr="00E66276" w:rsidR="00DB64B7" w:rsidP="00DB64B7" w:rsidRDefault="00DB64B7" w14:paraId="159586B6" w14:textId="77777777">
      <w:pPr>
        <w:pStyle w:val="Heading4"/>
        <w:widowControl/>
        <w:numPr>
          <w:ilvl w:val="3"/>
          <w:numId w:val="30"/>
        </w:numPr>
        <w:spacing w:before="0" w:after="260"/>
        <w:rPr>
          <w:rFonts w:ascii="Times New Roman" w:hAnsi="Times New Roman" w:cs="Times New Roman"/>
          <w:color w:val="auto"/>
          <w:sz w:val="26"/>
          <w:szCs w:val="26"/>
        </w:rPr>
      </w:pPr>
      <w:bookmarkStart w:name="_bmk64" w:id="24"/>
      <w:r w:rsidRPr="00E66276">
        <w:rPr>
          <w:rFonts w:ascii="Times New Roman" w:hAnsi="Times New Roman" w:cs="Times New Roman"/>
          <w:color w:val="auto"/>
          <w:sz w:val="26"/>
          <w:szCs w:val="26"/>
        </w:rPr>
        <w:t>S</w:t>
      </w:r>
      <w:bookmarkEnd w:id="24"/>
      <w:r w:rsidRPr="00E66276">
        <w:rPr>
          <w:rFonts w:ascii="Times New Roman" w:hAnsi="Times New Roman" w:cs="Times New Roman"/>
          <w:color w:val="auto"/>
          <w:sz w:val="26"/>
          <w:szCs w:val="26"/>
        </w:rPr>
        <w:t>mall Power Production Facility Greater than 1 MW and 10 Miles or More from an Affiliated Small Power Production QF</w:t>
      </w:r>
    </w:p>
    <w:p w:rsidRPr="00E66276" w:rsidR="00DB64B7" w:rsidP="00736986" w:rsidRDefault="00DB64B7" w14:paraId="245DB1EF" w14:textId="77777777">
      <w:pPr>
        <w:pStyle w:val="FERCparanumber"/>
        <w:numPr>
          <w:ilvl w:val="0"/>
          <w:numId w:val="0"/>
        </w:numPr>
        <w:autoSpaceDE w:val="0"/>
        <w:autoSpaceDN w:val="0"/>
        <w:adjustRightInd w:val="0"/>
        <w:rPr>
          <w:szCs w:val="26"/>
        </w:rPr>
      </w:pPr>
      <w:r w:rsidRPr="00E66276">
        <w:rPr>
          <w:szCs w:val="26"/>
        </w:rPr>
        <w:t>In</w:t>
      </w:r>
      <w:r w:rsidRPr="00E66276" w:rsidR="003171FC">
        <w:rPr>
          <w:szCs w:val="26"/>
        </w:rPr>
        <w:t xml:space="preserve"> Order </w:t>
      </w:r>
      <w:r w:rsidRPr="00E66276" w:rsidR="009B25B3">
        <w:rPr>
          <w:szCs w:val="26"/>
        </w:rPr>
        <w:t xml:space="preserve">No. </w:t>
      </w:r>
      <w:r w:rsidRPr="00E66276" w:rsidR="003171FC">
        <w:rPr>
          <w:szCs w:val="26"/>
        </w:rPr>
        <w:t>872</w:t>
      </w:r>
      <w:r w:rsidRPr="00E66276">
        <w:rPr>
          <w:szCs w:val="26"/>
        </w:rPr>
        <w:t>, given the implementation of the new 10-mile rule, the Commission estimated that it would take a small power production facility greater than 1 MW and 10 miles or more from an affiliated facility two hours in addition to the prior estimated 1.5 hours to fill out the new version of the Form No. 556 for a self-certification.</w:t>
      </w:r>
      <w:r w:rsidRPr="00E66276">
        <w:rPr>
          <w:rStyle w:val="FootnoteReference"/>
          <w:szCs w:val="26"/>
          <w:vertAlign w:val="superscript"/>
        </w:rPr>
        <w:footnoteReference w:id="66"/>
      </w:r>
      <w:r w:rsidRPr="00E66276">
        <w:rPr>
          <w:szCs w:val="26"/>
        </w:rPr>
        <w:t xml:space="preserve">  In making this estimate of two additional hours, the Commission took into consideration that the applicant </w:t>
      </w:r>
      <w:bookmarkStart w:name="_Hlk52982678" w:id="25"/>
      <w:r w:rsidRPr="00E66276">
        <w:rPr>
          <w:szCs w:val="26"/>
        </w:rPr>
        <w:t xml:space="preserve">would now be required to additionally provide its geographic coordinates but would not be required to identify and provide the geographic coordinates for any </w:t>
      </w:r>
      <w:r w:rsidR="00BB223A">
        <w:rPr>
          <w:szCs w:val="26"/>
        </w:rPr>
        <w:t xml:space="preserve">affiliated </w:t>
      </w:r>
      <w:r w:rsidRPr="00E66276">
        <w:rPr>
          <w:szCs w:val="26"/>
        </w:rPr>
        <w:t xml:space="preserve">small power production QFs located more than 10 miles from the applicant facility.  The Commission reasoned that the applicant may need to take some additional time to ascertain that there were no additional </w:t>
      </w:r>
      <w:r w:rsidR="00BB223A">
        <w:rPr>
          <w:szCs w:val="26"/>
        </w:rPr>
        <w:t xml:space="preserve">affiliated </w:t>
      </w:r>
      <w:r w:rsidRPr="00E66276">
        <w:rPr>
          <w:szCs w:val="26"/>
        </w:rPr>
        <w:t>facilities located less than 10 miles from the applicant facility.  The Commission therefore reasoned that, for this category, it may take an applicant facility an additional two hours to complete the Form No. 556.</w:t>
      </w:r>
      <w:r w:rsidRPr="00E66276">
        <w:rPr>
          <w:rStyle w:val="FootnoteReference"/>
          <w:szCs w:val="26"/>
          <w:vertAlign w:val="superscript"/>
        </w:rPr>
        <w:footnoteReference w:id="67"/>
      </w:r>
    </w:p>
    <w:p w:rsidRPr="00E66276" w:rsidR="00736986" w:rsidP="00E66276" w:rsidRDefault="00736986" w14:paraId="397FF20B" w14:textId="77777777">
      <w:pPr>
        <w:pStyle w:val="FERCparanumber"/>
        <w:numPr>
          <w:ilvl w:val="0"/>
          <w:numId w:val="0"/>
        </w:numPr>
        <w:autoSpaceDE w:val="0"/>
        <w:autoSpaceDN w:val="0"/>
        <w:adjustRightInd w:val="0"/>
        <w:rPr>
          <w:szCs w:val="26"/>
        </w:rPr>
      </w:pPr>
    </w:p>
    <w:p w:rsidRPr="00E66276" w:rsidR="00DB64B7" w:rsidP="00DB64B7" w:rsidRDefault="00DB64B7" w14:paraId="7C757020" w14:textId="77777777">
      <w:pPr>
        <w:pStyle w:val="Heading3"/>
        <w:widowControl/>
        <w:numPr>
          <w:ilvl w:val="2"/>
          <w:numId w:val="30"/>
        </w:numPr>
        <w:spacing w:before="0" w:after="260"/>
        <w:rPr>
          <w:rFonts w:ascii="Times New Roman" w:hAnsi="Times New Roman" w:cs="Times New Roman"/>
          <w:color w:val="auto"/>
          <w:sz w:val="26"/>
          <w:szCs w:val="26"/>
        </w:rPr>
      </w:pPr>
      <w:bookmarkStart w:name="_bmk65" w:id="26"/>
      <w:r w:rsidRPr="00E66276">
        <w:rPr>
          <w:rFonts w:ascii="Times New Roman" w:hAnsi="Times New Roman" w:cs="Times New Roman"/>
          <w:color w:val="auto"/>
          <w:sz w:val="26"/>
          <w:szCs w:val="26"/>
        </w:rPr>
        <w:lastRenderedPageBreak/>
        <w:t>Q</w:t>
      </w:r>
      <w:bookmarkEnd w:id="26"/>
      <w:r w:rsidRPr="00E66276">
        <w:rPr>
          <w:rFonts w:ascii="Times New Roman" w:hAnsi="Times New Roman" w:cs="Times New Roman"/>
          <w:color w:val="auto"/>
          <w:sz w:val="26"/>
          <w:szCs w:val="26"/>
        </w:rPr>
        <w:t>Fs Submitting Applications for Commission Certification</w:t>
      </w:r>
    </w:p>
    <w:p w:rsidR="00BB223A" w:rsidP="00736986" w:rsidRDefault="001B3F3C" w14:paraId="405B7D8D" w14:textId="77777777">
      <w:pPr>
        <w:pStyle w:val="FERCparanumber"/>
        <w:numPr>
          <w:ilvl w:val="0"/>
          <w:numId w:val="0"/>
        </w:numPr>
        <w:autoSpaceDE w:val="0"/>
        <w:autoSpaceDN w:val="0"/>
        <w:adjustRightInd w:val="0"/>
        <w:rPr>
          <w:szCs w:val="26"/>
        </w:rPr>
      </w:pPr>
      <w:r>
        <w:rPr>
          <w:szCs w:val="26"/>
        </w:rPr>
        <w:t xml:space="preserve">Nothing in the Commission’s regulations dictates which certification procedures, i.e., the self-certification procedures addressed </w:t>
      </w:r>
      <w:proofErr w:type="gramStart"/>
      <w:r>
        <w:rPr>
          <w:szCs w:val="26"/>
        </w:rPr>
        <w:t>above</w:t>
      </w:r>
      <w:proofErr w:type="gramEnd"/>
      <w:r>
        <w:rPr>
          <w:szCs w:val="26"/>
        </w:rPr>
        <w:t xml:space="preserve"> or the Commission certification procedures described in this section, that a small power production QF should use.  </w:t>
      </w:r>
      <w:r w:rsidR="00BB223A">
        <w:rPr>
          <w:szCs w:val="26"/>
        </w:rPr>
        <w:t xml:space="preserve">  </w:t>
      </w:r>
    </w:p>
    <w:p w:rsidR="00BB223A" w:rsidP="00736986" w:rsidRDefault="00BB223A" w14:paraId="10EC62DE" w14:textId="77777777">
      <w:pPr>
        <w:pStyle w:val="FERCparanumber"/>
        <w:numPr>
          <w:ilvl w:val="0"/>
          <w:numId w:val="0"/>
        </w:numPr>
        <w:autoSpaceDE w:val="0"/>
        <w:autoSpaceDN w:val="0"/>
        <w:adjustRightInd w:val="0"/>
        <w:rPr>
          <w:szCs w:val="26"/>
        </w:rPr>
      </w:pPr>
    </w:p>
    <w:p w:rsidRPr="00E66276" w:rsidR="00736986" w:rsidP="00736986" w:rsidRDefault="00BB223A" w14:paraId="57998D8D" w14:textId="77777777">
      <w:pPr>
        <w:pStyle w:val="FERCparanumber"/>
        <w:numPr>
          <w:ilvl w:val="0"/>
          <w:numId w:val="0"/>
        </w:numPr>
        <w:autoSpaceDE w:val="0"/>
        <w:autoSpaceDN w:val="0"/>
        <w:adjustRightInd w:val="0"/>
        <w:rPr>
          <w:szCs w:val="26"/>
        </w:rPr>
      </w:pPr>
      <w:r>
        <w:rPr>
          <w:szCs w:val="26"/>
        </w:rPr>
        <w:t xml:space="preserve"> </w:t>
      </w:r>
      <w:r w:rsidRPr="00E66276" w:rsidR="00DB64B7">
        <w:rPr>
          <w:szCs w:val="26"/>
        </w:rPr>
        <w:t>Prior to</w:t>
      </w:r>
      <w:r w:rsidRPr="00E66276" w:rsidR="003171FC">
        <w:rPr>
          <w:szCs w:val="26"/>
        </w:rPr>
        <w:t xml:space="preserve"> Order </w:t>
      </w:r>
      <w:r w:rsidRPr="00E66276" w:rsidR="009B25B3">
        <w:rPr>
          <w:szCs w:val="26"/>
        </w:rPr>
        <w:t xml:space="preserve">No. </w:t>
      </w:r>
      <w:r w:rsidRPr="00E66276" w:rsidR="003171FC">
        <w:rPr>
          <w:szCs w:val="26"/>
        </w:rPr>
        <w:t>872</w:t>
      </w:r>
      <w:r w:rsidRPr="00E66276" w:rsidR="00DB64B7">
        <w:rPr>
          <w:szCs w:val="26"/>
        </w:rPr>
        <w:t>, the estimated burden for a small power production facility greater than 1 MW filing an application for Commission certification was 50 hours.</w:t>
      </w:r>
      <w:r w:rsidRPr="00E66276" w:rsidR="00DB64B7">
        <w:rPr>
          <w:rStyle w:val="FootnoteReference"/>
          <w:b/>
          <w:szCs w:val="26"/>
          <w:vertAlign w:val="superscript"/>
        </w:rPr>
        <w:footnoteReference w:id="68"/>
      </w:r>
      <w:r w:rsidRPr="00E66276" w:rsidR="00DB64B7">
        <w:rPr>
          <w:b/>
          <w:szCs w:val="26"/>
          <w:vertAlign w:val="superscript"/>
        </w:rPr>
        <w:t xml:space="preserve"> </w:t>
      </w:r>
    </w:p>
    <w:p w:rsidRPr="00E66276" w:rsidR="00DB64B7" w:rsidP="00E66276" w:rsidRDefault="00DB64B7" w14:paraId="38D84F30" w14:textId="77777777">
      <w:pPr>
        <w:pStyle w:val="FERCparanumber"/>
        <w:numPr>
          <w:ilvl w:val="0"/>
          <w:numId w:val="0"/>
        </w:numPr>
        <w:autoSpaceDE w:val="0"/>
        <w:autoSpaceDN w:val="0"/>
        <w:adjustRightInd w:val="0"/>
        <w:rPr>
          <w:szCs w:val="26"/>
        </w:rPr>
      </w:pPr>
      <w:r w:rsidRPr="00E66276">
        <w:rPr>
          <w:szCs w:val="26"/>
        </w:rPr>
        <w:t xml:space="preserve"> </w:t>
      </w:r>
    </w:p>
    <w:p w:rsidRPr="00E66276" w:rsidR="00DB64B7" w:rsidP="00DB64B7" w:rsidRDefault="00DB64B7" w14:paraId="5D62ACAB" w14:textId="77777777">
      <w:pPr>
        <w:pStyle w:val="Heading4"/>
        <w:widowControl/>
        <w:numPr>
          <w:ilvl w:val="3"/>
          <w:numId w:val="32"/>
        </w:numPr>
        <w:spacing w:before="0" w:after="260"/>
        <w:rPr>
          <w:rFonts w:ascii="Times New Roman" w:hAnsi="Times New Roman" w:cs="Times New Roman"/>
          <w:color w:val="auto"/>
          <w:sz w:val="26"/>
          <w:szCs w:val="26"/>
        </w:rPr>
      </w:pPr>
      <w:bookmarkStart w:name="_bmk66" w:id="27"/>
      <w:r w:rsidRPr="00E66276">
        <w:rPr>
          <w:rFonts w:ascii="Times New Roman" w:hAnsi="Times New Roman" w:cs="Times New Roman"/>
          <w:color w:val="auto"/>
          <w:sz w:val="26"/>
          <w:szCs w:val="26"/>
        </w:rPr>
        <w:t>S</w:t>
      </w:r>
      <w:bookmarkEnd w:id="27"/>
      <w:r w:rsidRPr="00E66276">
        <w:rPr>
          <w:rFonts w:ascii="Times New Roman" w:hAnsi="Times New Roman" w:cs="Times New Roman"/>
          <w:color w:val="auto"/>
          <w:sz w:val="26"/>
          <w:szCs w:val="26"/>
        </w:rPr>
        <w:t>mall Power Production Facility Greater than 1 MW, and Less than One Mile from an Affiliated Small Power Production QF</w:t>
      </w:r>
    </w:p>
    <w:bookmarkEnd w:id="25"/>
    <w:p w:rsidRPr="00E66276" w:rsidR="00DB64B7" w:rsidP="00736986" w:rsidRDefault="00DB64B7" w14:paraId="2D86F9DC" w14:textId="77777777">
      <w:pPr>
        <w:pStyle w:val="FERCparanumber"/>
        <w:numPr>
          <w:ilvl w:val="0"/>
          <w:numId w:val="0"/>
        </w:numPr>
        <w:autoSpaceDE w:val="0"/>
        <w:autoSpaceDN w:val="0"/>
        <w:adjustRightInd w:val="0"/>
        <w:rPr>
          <w:szCs w:val="26"/>
        </w:rPr>
      </w:pPr>
      <w:r w:rsidRPr="00E66276">
        <w:rPr>
          <w:szCs w:val="26"/>
        </w:rPr>
        <w:t>In</w:t>
      </w:r>
      <w:r w:rsidRPr="00E66276" w:rsidR="003171FC">
        <w:rPr>
          <w:szCs w:val="26"/>
        </w:rPr>
        <w:t xml:space="preserve"> Order </w:t>
      </w:r>
      <w:r w:rsidRPr="00E66276" w:rsidR="009B25B3">
        <w:rPr>
          <w:szCs w:val="26"/>
        </w:rPr>
        <w:t xml:space="preserve">No. </w:t>
      </w:r>
      <w:r w:rsidRPr="00E66276" w:rsidR="003171FC">
        <w:rPr>
          <w:szCs w:val="26"/>
        </w:rPr>
        <w:t>872</w:t>
      </w:r>
      <w:r w:rsidRPr="00E66276">
        <w:rPr>
          <w:szCs w:val="26"/>
        </w:rPr>
        <w:t>, given the implementation of the new 10-mile rule, the Commission estimated that it would take a small power production facility greater than 1 MW, and less than one mile from an affiliated facility, six hours in addition to the prior estimated 50 hours to fill out the new version of the Form No. 556 as part of an application for Commission certification.</w:t>
      </w:r>
      <w:r w:rsidRPr="00E66276">
        <w:rPr>
          <w:rStyle w:val="FootnoteReference"/>
          <w:szCs w:val="26"/>
          <w:vertAlign w:val="superscript"/>
        </w:rPr>
        <w:footnoteReference w:id="69"/>
      </w:r>
      <w:r w:rsidRPr="00E66276">
        <w:rPr>
          <w:szCs w:val="26"/>
        </w:rPr>
        <w:t xml:space="preserve">  In making this estimate of six additional hours, the Commission took into consideration that the applicant would now be required to additionally provide its geographic coordinates.  Also, while the applicant would also be required to identify and provide the geographic coordinates for any </w:t>
      </w:r>
      <w:r w:rsidR="00BB223A">
        <w:rPr>
          <w:szCs w:val="26"/>
        </w:rPr>
        <w:t xml:space="preserve">affiliated </w:t>
      </w:r>
      <w:r w:rsidRPr="00E66276">
        <w:rPr>
          <w:szCs w:val="26"/>
        </w:rPr>
        <w:t xml:space="preserve">small power production QFs located less than 10 miles from the applicant facility, the current Form No. 556 already required identifying any </w:t>
      </w:r>
      <w:r w:rsidR="00BB223A">
        <w:rPr>
          <w:szCs w:val="26"/>
        </w:rPr>
        <w:t xml:space="preserve">affiliated </w:t>
      </w:r>
      <w:r w:rsidRPr="00E66276">
        <w:rPr>
          <w:szCs w:val="26"/>
        </w:rPr>
        <w:t xml:space="preserve">facilities located within one mile of the applicant facility.  The Commission reasoned that the applicant may need to take some additional time to ascertain that there were no additional </w:t>
      </w:r>
      <w:r w:rsidR="00BB223A">
        <w:rPr>
          <w:szCs w:val="26"/>
        </w:rPr>
        <w:t xml:space="preserve">affiliated </w:t>
      </w:r>
      <w:r w:rsidRPr="00E66276">
        <w:rPr>
          <w:szCs w:val="26"/>
        </w:rPr>
        <w:t>facilities located more than one mile from the applicant facility.  Unlike</w:t>
      </w:r>
      <w:bookmarkStart w:name="_Hlk52896941" w:id="28"/>
      <w:r w:rsidRPr="00E66276">
        <w:rPr>
          <w:szCs w:val="26"/>
        </w:rPr>
        <w:t xml:space="preserve"> a self-certification, the application for Commission certification also requires the applicant to pay a filing fee, </w:t>
      </w:r>
      <w:bookmarkStart w:name="_Hlk52979649" w:id="29"/>
      <w:r w:rsidRPr="00E66276">
        <w:rPr>
          <w:szCs w:val="26"/>
        </w:rPr>
        <w:t>and applicants for a Commission certification generally provide more explanation and a narrative filing.</w:t>
      </w:r>
      <w:bookmarkEnd w:id="29"/>
      <w:r w:rsidRPr="00E66276">
        <w:rPr>
          <w:szCs w:val="26"/>
        </w:rPr>
        <w:t xml:space="preserve">  The Commission therefore reasoned that, for this category, it may take an applicant facility an additional six hours to complete the Form No. 556.</w:t>
      </w:r>
      <w:r w:rsidRPr="00E66276">
        <w:rPr>
          <w:rStyle w:val="FootnoteReference"/>
          <w:szCs w:val="26"/>
          <w:vertAlign w:val="superscript"/>
        </w:rPr>
        <w:footnoteReference w:id="70"/>
      </w:r>
    </w:p>
    <w:p w:rsidRPr="00E66276" w:rsidR="00736986" w:rsidP="00E66276" w:rsidRDefault="00736986" w14:paraId="2E2C2951" w14:textId="77777777">
      <w:pPr>
        <w:pStyle w:val="FERCparanumber"/>
        <w:numPr>
          <w:ilvl w:val="0"/>
          <w:numId w:val="0"/>
        </w:numPr>
        <w:autoSpaceDE w:val="0"/>
        <w:autoSpaceDN w:val="0"/>
        <w:adjustRightInd w:val="0"/>
        <w:rPr>
          <w:szCs w:val="26"/>
        </w:rPr>
      </w:pPr>
    </w:p>
    <w:p w:rsidRPr="00E66276" w:rsidR="00DB64B7" w:rsidP="00DB64B7" w:rsidRDefault="00DB64B7" w14:paraId="6F39CB56" w14:textId="77777777">
      <w:pPr>
        <w:pStyle w:val="Heading4"/>
        <w:widowControl/>
        <w:numPr>
          <w:ilvl w:val="3"/>
          <w:numId w:val="30"/>
        </w:numPr>
        <w:spacing w:before="0" w:after="260"/>
        <w:rPr>
          <w:rFonts w:ascii="Times New Roman" w:hAnsi="Times New Roman" w:cs="Times New Roman"/>
          <w:color w:val="auto"/>
          <w:sz w:val="26"/>
          <w:szCs w:val="26"/>
        </w:rPr>
      </w:pPr>
      <w:bookmarkStart w:name="_bmk67" w:id="30"/>
      <w:r w:rsidRPr="00E66276">
        <w:rPr>
          <w:rFonts w:ascii="Times New Roman" w:hAnsi="Times New Roman" w:cs="Times New Roman"/>
          <w:color w:val="auto"/>
          <w:sz w:val="26"/>
          <w:szCs w:val="26"/>
        </w:rPr>
        <w:lastRenderedPageBreak/>
        <w:t>S</w:t>
      </w:r>
      <w:bookmarkEnd w:id="30"/>
      <w:r w:rsidRPr="00E66276">
        <w:rPr>
          <w:rFonts w:ascii="Times New Roman" w:hAnsi="Times New Roman" w:cs="Times New Roman"/>
          <w:color w:val="auto"/>
          <w:sz w:val="26"/>
          <w:szCs w:val="26"/>
        </w:rPr>
        <w:t>mall Power Production Facility Greater than 1 MW, and More than One Mile but Less than 10 Miles from an Affiliated Small Power Production QF</w:t>
      </w:r>
    </w:p>
    <w:bookmarkEnd w:id="28"/>
    <w:p w:rsidRPr="00E66276" w:rsidR="00DB64B7" w:rsidP="00736986" w:rsidRDefault="00DB64B7" w14:paraId="173A83F4" w14:textId="77777777">
      <w:pPr>
        <w:pStyle w:val="FERCparanumber"/>
        <w:numPr>
          <w:ilvl w:val="0"/>
          <w:numId w:val="0"/>
        </w:numPr>
        <w:autoSpaceDE w:val="0"/>
        <w:autoSpaceDN w:val="0"/>
        <w:adjustRightInd w:val="0"/>
        <w:rPr>
          <w:szCs w:val="26"/>
        </w:rPr>
      </w:pPr>
      <w:r w:rsidRPr="00E66276">
        <w:rPr>
          <w:szCs w:val="26"/>
        </w:rPr>
        <w:t>In</w:t>
      </w:r>
      <w:r w:rsidRPr="00E66276" w:rsidR="003171FC">
        <w:rPr>
          <w:szCs w:val="26"/>
        </w:rPr>
        <w:t xml:space="preserve"> Order </w:t>
      </w:r>
      <w:r w:rsidRPr="00E66276" w:rsidR="009B25B3">
        <w:rPr>
          <w:szCs w:val="26"/>
        </w:rPr>
        <w:t xml:space="preserve">No. </w:t>
      </w:r>
      <w:r w:rsidRPr="00E66276" w:rsidR="003171FC">
        <w:rPr>
          <w:szCs w:val="26"/>
        </w:rPr>
        <w:t>872</w:t>
      </w:r>
      <w:r w:rsidRPr="00E66276">
        <w:rPr>
          <w:szCs w:val="26"/>
        </w:rPr>
        <w:t>, given the implementation of the new 10-mile rule, the Commission estimated that it would take a small power production facility greater than 1 MW, and more than one mile but less than 10 miles from an affiliated facility, 12 hours in addition to the prior estimated 50 hours to fill out the new version of the Form No. 556 for an application for Commission certification.</w:t>
      </w:r>
      <w:r w:rsidRPr="00E66276">
        <w:rPr>
          <w:rStyle w:val="FootnoteReference"/>
          <w:szCs w:val="26"/>
          <w:vertAlign w:val="superscript"/>
        </w:rPr>
        <w:footnoteReference w:id="71"/>
      </w:r>
      <w:r w:rsidRPr="00E66276">
        <w:rPr>
          <w:b/>
          <w:szCs w:val="26"/>
          <w:vertAlign w:val="superscript"/>
        </w:rPr>
        <w:t xml:space="preserve"> </w:t>
      </w:r>
      <w:r w:rsidRPr="00E66276">
        <w:rPr>
          <w:szCs w:val="26"/>
        </w:rPr>
        <w:t xml:space="preserve"> In making this estimate of 12 additional hours, the Commission took into consideration that the applicant would now be required to additionally provide its geographic coordinates and to identify and provide the geographic coordinates for any small power production QFs located less than 10 miles from the applicant facility.  If the applicant chose, it could also provide explanations as to why the affiliated small power production QFs using the same energy resource, that are more than one mile and less than 10 miles from the electrical generating equipment of the applicant facility, should be considered to be at separate sites from the applicant’s facility.</w:t>
      </w:r>
      <w:r w:rsidRPr="00E66276">
        <w:rPr>
          <w:rStyle w:val="FootnoteReference"/>
          <w:szCs w:val="26"/>
          <w:vertAlign w:val="superscript"/>
        </w:rPr>
        <w:footnoteReference w:id="72"/>
      </w:r>
      <w:r w:rsidRPr="00E66276">
        <w:rPr>
          <w:szCs w:val="26"/>
        </w:rPr>
        <w:t xml:space="preserve">  Unlike</w:t>
      </w:r>
      <w:bookmarkStart w:name="_Hlk52982736" w:id="31"/>
      <w:r w:rsidRPr="00E66276">
        <w:rPr>
          <w:szCs w:val="26"/>
        </w:rPr>
        <w:t xml:space="preserve"> a self-certification, the application for Commission certification also requires the applicant to pay a filing fee, and applicants for a Commission certification generally provide more explanation and a narrative filing.  Therefore, the Commission reasoned that, for this category, it may take an applicant facility an additional 12 hours to complete the Form No. 556.</w:t>
      </w:r>
      <w:r w:rsidRPr="00E66276">
        <w:rPr>
          <w:rStyle w:val="FootnoteReference"/>
          <w:szCs w:val="26"/>
          <w:vertAlign w:val="superscript"/>
        </w:rPr>
        <w:footnoteReference w:id="73"/>
      </w:r>
      <w:r w:rsidRPr="00E66276">
        <w:rPr>
          <w:b/>
          <w:szCs w:val="26"/>
          <w:vertAlign w:val="superscript"/>
        </w:rPr>
        <w:t xml:space="preserve"> </w:t>
      </w:r>
    </w:p>
    <w:p w:rsidRPr="00E66276" w:rsidR="00736986" w:rsidP="00E66276" w:rsidRDefault="00736986" w14:paraId="3AE4D5B9" w14:textId="77777777">
      <w:pPr>
        <w:pStyle w:val="FERCparanumber"/>
        <w:numPr>
          <w:ilvl w:val="0"/>
          <w:numId w:val="0"/>
        </w:numPr>
        <w:autoSpaceDE w:val="0"/>
        <w:autoSpaceDN w:val="0"/>
        <w:adjustRightInd w:val="0"/>
        <w:rPr>
          <w:szCs w:val="26"/>
        </w:rPr>
      </w:pPr>
    </w:p>
    <w:p w:rsidRPr="00E66276" w:rsidR="00DB64B7" w:rsidP="00DB64B7" w:rsidRDefault="00DB64B7" w14:paraId="77E7E8E1" w14:textId="77777777">
      <w:pPr>
        <w:pStyle w:val="Heading4"/>
        <w:widowControl/>
        <w:numPr>
          <w:ilvl w:val="3"/>
          <w:numId w:val="30"/>
        </w:numPr>
        <w:spacing w:before="0" w:after="260"/>
        <w:rPr>
          <w:rFonts w:ascii="Times New Roman" w:hAnsi="Times New Roman" w:cs="Times New Roman"/>
          <w:color w:val="auto"/>
          <w:sz w:val="26"/>
          <w:szCs w:val="26"/>
        </w:rPr>
      </w:pPr>
      <w:bookmarkStart w:name="_bmk68" w:id="32"/>
      <w:r w:rsidRPr="00E66276">
        <w:rPr>
          <w:rFonts w:ascii="Times New Roman" w:hAnsi="Times New Roman" w:cs="Times New Roman"/>
          <w:color w:val="auto"/>
          <w:sz w:val="26"/>
          <w:szCs w:val="26"/>
        </w:rPr>
        <w:t>S</w:t>
      </w:r>
      <w:bookmarkEnd w:id="32"/>
      <w:r w:rsidRPr="00E66276">
        <w:rPr>
          <w:rFonts w:ascii="Times New Roman" w:hAnsi="Times New Roman" w:cs="Times New Roman"/>
          <w:color w:val="auto"/>
          <w:sz w:val="26"/>
          <w:szCs w:val="26"/>
        </w:rPr>
        <w:t>mall Power Production Facility Greater than 1 MW and 10 Miles or More from an Affiliated Small Power Production QF</w:t>
      </w:r>
    </w:p>
    <w:bookmarkEnd w:id="31"/>
    <w:p w:rsidRPr="00E66276" w:rsidR="00DB64B7" w:rsidP="00E66276" w:rsidRDefault="00DB64B7" w14:paraId="16DDF54E" w14:textId="77777777">
      <w:pPr>
        <w:pStyle w:val="FERCparanumber"/>
        <w:numPr>
          <w:ilvl w:val="0"/>
          <w:numId w:val="0"/>
        </w:numPr>
        <w:autoSpaceDE w:val="0"/>
        <w:autoSpaceDN w:val="0"/>
        <w:adjustRightInd w:val="0"/>
        <w:rPr>
          <w:szCs w:val="26"/>
        </w:rPr>
      </w:pPr>
      <w:r w:rsidRPr="00E66276">
        <w:rPr>
          <w:szCs w:val="26"/>
        </w:rPr>
        <w:t>In</w:t>
      </w:r>
      <w:r w:rsidRPr="00E66276" w:rsidR="003171FC">
        <w:rPr>
          <w:szCs w:val="26"/>
        </w:rPr>
        <w:t xml:space="preserve"> Order </w:t>
      </w:r>
      <w:r w:rsidRPr="00E66276" w:rsidR="009B25B3">
        <w:rPr>
          <w:szCs w:val="26"/>
        </w:rPr>
        <w:t xml:space="preserve">No. </w:t>
      </w:r>
      <w:r w:rsidRPr="00E66276" w:rsidR="003171FC">
        <w:rPr>
          <w:szCs w:val="26"/>
        </w:rPr>
        <w:t>872</w:t>
      </w:r>
      <w:r w:rsidRPr="00E66276">
        <w:rPr>
          <w:szCs w:val="26"/>
        </w:rPr>
        <w:t>, given the implementation of the new 10-mile rule, the Commission estimated that it would take a small power production facility greater than 1 MW and 10 miles or more from an affiliated facility six hours in addition to the prior estimated 50 hours to fill out the new version of the Form No. 556 for an application for Commission certification.</w:t>
      </w:r>
      <w:r w:rsidRPr="00E66276">
        <w:rPr>
          <w:rStyle w:val="FootnoteReference"/>
          <w:szCs w:val="26"/>
          <w:vertAlign w:val="superscript"/>
        </w:rPr>
        <w:footnoteReference w:id="74"/>
      </w:r>
      <w:r w:rsidRPr="00E66276">
        <w:rPr>
          <w:szCs w:val="26"/>
        </w:rPr>
        <w:t xml:space="preserve">  In making this estimate of six additional hours, the Commission took into consideration that the applicant would now be required to additionally provide its geographic coordinates, but the applicant would not be required to identify and provide </w:t>
      </w:r>
      <w:r w:rsidRPr="00E66276">
        <w:rPr>
          <w:szCs w:val="26"/>
        </w:rPr>
        <w:lastRenderedPageBreak/>
        <w:t xml:space="preserve">the geographic coordinates for any small power production QFs located more than 10 miles from the applicant facility.  The Commission reasoned that the applicant may need to take some additional time to ascertain that there were no additional </w:t>
      </w:r>
      <w:r w:rsidR="001B3F3C">
        <w:rPr>
          <w:szCs w:val="26"/>
        </w:rPr>
        <w:t xml:space="preserve">affiliated </w:t>
      </w:r>
      <w:r w:rsidRPr="00E66276">
        <w:rPr>
          <w:szCs w:val="26"/>
        </w:rPr>
        <w:t>facilities located less than 10 miles from the applicant</w:t>
      </w:r>
      <w:r w:rsidR="001B3F3C">
        <w:rPr>
          <w:szCs w:val="26"/>
        </w:rPr>
        <w:t>’s</w:t>
      </w:r>
      <w:r w:rsidRPr="00E66276">
        <w:rPr>
          <w:szCs w:val="26"/>
        </w:rPr>
        <w:t xml:space="preserve"> facility.  Unlike a self-certification, the application for Commission certification also requires the applicant to pay a filing fee, and applicants for a Commission certification generally provide more explanation and a narrative filing.  The Commission reasoned that, for this category, it may take an applicant facility an additional six hours to complete the Form No. 556.</w:t>
      </w:r>
      <w:r w:rsidRPr="00E66276">
        <w:rPr>
          <w:rStyle w:val="FootnoteReference"/>
          <w:szCs w:val="26"/>
          <w:vertAlign w:val="superscript"/>
        </w:rPr>
        <w:footnoteReference w:id="75"/>
      </w:r>
      <w:r w:rsidRPr="00E66276">
        <w:rPr>
          <w:szCs w:val="26"/>
          <w:vertAlign w:val="superscript"/>
        </w:rPr>
        <w:t xml:space="preserve"> </w:t>
      </w:r>
    </w:p>
    <w:p w:rsidRPr="00E66276" w:rsidR="00736986" w:rsidP="00E66276" w:rsidRDefault="00736986" w14:paraId="5C1864A9" w14:textId="77777777">
      <w:pPr>
        <w:pStyle w:val="FERCparanumber"/>
        <w:numPr>
          <w:ilvl w:val="0"/>
          <w:numId w:val="0"/>
        </w:numPr>
        <w:autoSpaceDE w:val="0"/>
        <w:autoSpaceDN w:val="0"/>
        <w:adjustRightInd w:val="0"/>
        <w:rPr>
          <w:szCs w:val="26"/>
        </w:rPr>
      </w:pPr>
    </w:p>
    <w:p w:rsidRPr="00E66276" w:rsidR="00DB64B7" w:rsidP="00DB64B7" w:rsidRDefault="00DB64B7" w14:paraId="2EDA917F" w14:textId="77777777">
      <w:pPr>
        <w:pStyle w:val="Heading3"/>
        <w:widowControl/>
        <w:numPr>
          <w:ilvl w:val="2"/>
          <w:numId w:val="30"/>
        </w:numPr>
        <w:spacing w:before="0" w:after="260"/>
        <w:rPr>
          <w:rFonts w:ascii="Times New Roman" w:hAnsi="Times New Roman" w:cs="Times New Roman"/>
          <w:color w:val="auto"/>
          <w:sz w:val="26"/>
          <w:szCs w:val="26"/>
        </w:rPr>
      </w:pPr>
      <w:bookmarkStart w:name="_bmk69" w:id="33"/>
      <w:r w:rsidRPr="00E66276">
        <w:rPr>
          <w:rFonts w:ascii="Times New Roman" w:hAnsi="Times New Roman" w:cs="Times New Roman"/>
          <w:color w:val="auto"/>
          <w:sz w:val="26"/>
          <w:szCs w:val="26"/>
        </w:rPr>
        <w:t>C</w:t>
      </w:r>
      <w:bookmarkEnd w:id="33"/>
      <w:r w:rsidRPr="00E66276">
        <w:rPr>
          <w:rFonts w:ascii="Times New Roman" w:hAnsi="Times New Roman" w:cs="Times New Roman"/>
          <w:color w:val="auto"/>
          <w:sz w:val="26"/>
          <w:szCs w:val="26"/>
        </w:rPr>
        <w:t>alculations for Additional Burden and Cost</w:t>
      </w:r>
    </w:p>
    <w:bookmarkEnd w:id="20"/>
    <w:p w:rsidRPr="00580C5B" w:rsidR="00DB64B7" w:rsidP="00E66276" w:rsidRDefault="00DB64B7" w14:paraId="120C7068" w14:textId="77777777">
      <w:pPr>
        <w:pStyle w:val="FERCparanumber"/>
        <w:numPr>
          <w:ilvl w:val="0"/>
          <w:numId w:val="0"/>
        </w:numPr>
        <w:autoSpaceDE w:val="0"/>
        <w:autoSpaceDN w:val="0"/>
        <w:adjustRightInd w:val="0"/>
        <w:rPr>
          <w:szCs w:val="26"/>
        </w:rPr>
      </w:pPr>
      <w:r w:rsidRPr="00E66276">
        <w:rPr>
          <w:szCs w:val="26"/>
        </w:rPr>
        <w:t xml:space="preserve">Lastly, the Commission explained </w:t>
      </w:r>
      <w:r w:rsidRPr="00E66276" w:rsidR="00C3361C">
        <w:rPr>
          <w:szCs w:val="26"/>
        </w:rPr>
        <w:t xml:space="preserve">in Order </w:t>
      </w:r>
      <w:r w:rsidR="00304B23">
        <w:rPr>
          <w:bCs/>
          <w:szCs w:val="26"/>
        </w:rPr>
        <w:t xml:space="preserve">No. </w:t>
      </w:r>
      <w:r w:rsidRPr="00E66276" w:rsidR="00C3361C">
        <w:rPr>
          <w:szCs w:val="26"/>
        </w:rPr>
        <w:t xml:space="preserve">872 </w:t>
      </w:r>
      <w:r w:rsidRPr="00E66276">
        <w:rPr>
          <w:szCs w:val="26"/>
        </w:rPr>
        <w:t xml:space="preserve">that it believed that </w:t>
      </w:r>
      <w:r w:rsidR="00CB27E3">
        <w:rPr>
          <w:szCs w:val="26"/>
        </w:rPr>
        <w:t>FERC’s 2020 average hourly wage and benefits</w:t>
      </w:r>
      <w:r w:rsidR="00390415">
        <w:rPr>
          <w:szCs w:val="26"/>
        </w:rPr>
        <w:t xml:space="preserve"> were appropriate to use here</w:t>
      </w:r>
      <w:r w:rsidRPr="00E66276">
        <w:rPr>
          <w:szCs w:val="26"/>
        </w:rPr>
        <w:t>.  Therefore, estimates for the annual cost of additional burden are based on FERC’s 2020 average hourly wage (and benefits) of $83.00 per hour.</w:t>
      </w:r>
      <w:r w:rsidRPr="00E66276">
        <w:rPr>
          <w:rStyle w:val="FootnoteReference"/>
          <w:szCs w:val="26"/>
          <w:vertAlign w:val="superscript"/>
        </w:rPr>
        <w:footnoteReference w:id="76"/>
      </w:r>
      <w:r w:rsidRPr="00E66276">
        <w:rPr>
          <w:szCs w:val="26"/>
        </w:rPr>
        <w:t xml:space="preserve">  In order to determine the cost per response in the column titled “Increased Average Burden Hours &amp; Cost Per Response ($) (4),” the Commission multiplied the number of additional burden hours by the average hourly wage </w:t>
      </w:r>
      <w:r w:rsidRPr="00E66276" w:rsidR="00C3361C">
        <w:rPr>
          <w:szCs w:val="26"/>
        </w:rPr>
        <w:t xml:space="preserve">(including benefits) </w:t>
      </w:r>
      <w:r w:rsidRPr="00E66276">
        <w:rPr>
          <w:szCs w:val="26"/>
        </w:rPr>
        <w:t>of $83.00 per hour.  For example, for small power production facilities greater than 1 MW located less than one mile from affiliated small power production QFs, the Commission determined that the increased average burden hours as a result of</w:t>
      </w:r>
      <w:r w:rsidRPr="00E66276" w:rsidR="003171FC">
        <w:rPr>
          <w:szCs w:val="26"/>
        </w:rPr>
        <w:t xml:space="preserve"> Order </w:t>
      </w:r>
      <w:r w:rsidRPr="00E66276" w:rsidR="009B25B3">
        <w:rPr>
          <w:szCs w:val="26"/>
        </w:rPr>
        <w:t xml:space="preserve">No. </w:t>
      </w:r>
      <w:r w:rsidRPr="00E66276" w:rsidR="003171FC">
        <w:rPr>
          <w:szCs w:val="26"/>
        </w:rPr>
        <w:t>872</w:t>
      </w:r>
      <w:r w:rsidRPr="00E66276">
        <w:rPr>
          <w:szCs w:val="26"/>
        </w:rPr>
        <w:t xml:space="preserve"> was two hours.  The two-hour increase in the average burden hours, multiplied by an average hourly wage of $83.00 per hour, equals $166 cost per response.</w:t>
      </w:r>
      <w:r w:rsidRPr="00E66276">
        <w:rPr>
          <w:rStyle w:val="FootnoteReference"/>
          <w:szCs w:val="26"/>
          <w:vertAlign w:val="superscript"/>
        </w:rPr>
        <w:footnoteReference w:id="77"/>
      </w:r>
      <w:r w:rsidRPr="00E66276">
        <w:rPr>
          <w:szCs w:val="26"/>
        </w:rPr>
        <w:t xml:space="preserve">  In order to determine the increased total annual burden hours and total annual cost in the column titled “Increased Total Annual Burden Hours &amp; Total Annual Cost ($) (3)*(4)=(5),” the Commission multiplied the numbers in the column titled “Total Number of Responses (1)*(2)=(3)” by the numbers in the column titled “Increased Average Burden Hours &amp; Cost Per Response ($) (4).”  For example, for small power production facilities greater than 1 MW located less than one mile from affiliated small power production QFs, the Commission multiplied the increased average burden hours of two hours by the total number of responses of 1,123.75 for increased total annual burden hours of 2,247.5 hours.  The Commission then multiplied the increased cost per response of $166 by the total number of responses of 1,123.75 for an increased total annual cost of $186,542.50.</w:t>
      </w:r>
      <w:r w:rsidRPr="00580C5B">
        <w:rPr>
          <w:rStyle w:val="FootnoteReference"/>
          <w:szCs w:val="26"/>
          <w:vertAlign w:val="superscript"/>
        </w:rPr>
        <w:footnoteReference w:id="78"/>
      </w:r>
      <w:r w:rsidRPr="00580C5B">
        <w:rPr>
          <w:b/>
          <w:szCs w:val="26"/>
          <w:vertAlign w:val="superscript"/>
        </w:rPr>
        <w:t xml:space="preserve">  </w:t>
      </w:r>
    </w:p>
    <w:p w:rsidRPr="006D759C" w:rsidR="008E692B" w:rsidP="00E66276" w:rsidRDefault="008E692B" w14:paraId="02411343" w14:textId="77777777">
      <w:pPr>
        <w:pStyle w:val="FERCparanumber"/>
        <w:numPr>
          <w:ilvl w:val="0"/>
          <w:numId w:val="0"/>
        </w:numPr>
        <w:autoSpaceDE w:val="0"/>
        <w:autoSpaceDN w:val="0"/>
        <w:adjustRightInd w:val="0"/>
        <w:rPr>
          <w:szCs w:val="26"/>
        </w:rPr>
      </w:pPr>
    </w:p>
    <w:p w:rsidRPr="006D759C" w:rsidR="008E692B" w:rsidP="00E66276" w:rsidRDefault="008E692B" w14:paraId="158C9DC6" w14:textId="77777777">
      <w:pPr>
        <w:pStyle w:val="FERCparanumber"/>
        <w:numPr>
          <w:ilvl w:val="0"/>
          <w:numId w:val="0"/>
        </w:numPr>
        <w:autoSpaceDE w:val="0"/>
        <w:autoSpaceDN w:val="0"/>
        <w:adjustRightInd w:val="0"/>
      </w:pPr>
    </w:p>
    <w:p w:rsidRPr="00580C5B" w:rsidR="00E872C0" w:rsidP="00E66276" w:rsidRDefault="00E872C0" w14:paraId="4E8D83C2" w14:textId="77777777">
      <w:pPr>
        <w:pStyle w:val="FERCparanumber"/>
        <w:numPr>
          <w:ilvl w:val="0"/>
          <w:numId w:val="0"/>
        </w:numPr>
        <w:rPr>
          <w:szCs w:val="26"/>
        </w:rPr>
      </w:pPr>
      <w:r w:rsidRPr="00580C5B">
        <w:rPr>
          <w:b/>
        </w:rPr>
        <w:t>Public Comments in Response to</w:t>
      </w:r>
      <w:r w:rsidRPr="00580C5B" w:rsidR="003171FC">
        <w:rPr>
          <w:b/>
        </w:rPr>
        <w:t xml:space="preserve"> Order </w:t>
      </w:r>
      <w:r w:rsidRPr="00580C5B" w:rsidR="009B25B3">
        <w:rPr>
          <w:b/>
        </w:rPr>
        <w:t xml:space="preserve">No. </w:t>
      </w:r>
      <w:r w:rsidRPr="00580C5B" w:rsidR="003171FC">
        <w:rPr>
          <w:b/>
        </w:rPr>
        <w:t>872</w:t>
      </w:r>
      <w:r w:rsidRPr="00580C5B">
        <w:rPr>
          <w:b/>
        </w:rPr>
        <w:t>, Related to Corresponding Changes to the FERC Form No. 556:</w:t>
      </w:r>
    </w:p>
    <w:p w:rsidR="00736986" w:rsidP="00E872C0" w:rsidRDefault="00736986" w14:paraId="26047741" w14:textId="77777777">
      <w:pPr>
        <w:pStyle w:val="FERCparanumber"/>
        <w:numPr>
          <w:ilvl w:val="0"/>
          <w:numId w:val="0"/>
        </w:numPr>
        <w:autoSpaceDE w:val="0"/>
        <w:autoSpaceDN w:val="0"/>
        <w:adjustRightInd w:val="0"/>
      </w:pPr>
    </w:p>
    <w:p w:rsidRPr="00232E09" w:rsidR="00E872C0" w:rsidP="00E872C0" w:rsidRDefault="00E872C0" w14:paraId="145FC0EC" w14:textId="77777777">
      <w:pPr>
        <w:pStyle w:val="FERCparanumber"/>
        <w:numPr>
          <w:ilvl w:val="0"/>
          <w:numId w:val="0"/>
        </w:numPr>
        <w:autoSpaceDE w:val="0"/>
        <w:autoSpaceDN w:val="0"/>
        <w:adjustRightInd w:val="0"/>
        <w:rPr>
          <w:b/>
          <w:vertAlign w:val="superscript"/>
        </w:rPr>
      </w:pPr>
      <w:r w:rsidRPr="006D759C">
        <w:t>Public Interest Organizations state that</w:t>
      </w:r>
      <w:r w:rsidR="003171FC">
        <w:t xml:space="preserve"> Order </w:t>
      </w:r>
      <w:r w:rsidR="009B25B3">
        <w:t xml:space="preserve">No. </w:t>
      </w:r>
      <w:r w:rsidR="003171FC">
        <w:t>872</w:t>
      </w:r>
      <w:r w:rsidRPr="006D759C">
        <w:t xml:space="preserve"> would impose 62 hours of administrative work on every small power production facility over 1 MW with affiliated facilities between one and 10 miles away and the basis for </w:t>
      </w:r>
      <w:r w:rsidR="00304B23">
        <w:t>[the 62-hour]</w:t>
      </w:r>
      <w:r w:rsidRPr="006D759C">
        <w:t xml:space="preserve"> calculation is not clear</w:t>
      </w:r>
      <w:r w:rsidRPr="00736986">
        <w:t>.</w:t>
      </w:r>
      <w:r w:rsidRPr="00232E09">
        <w:rPr>
          <w:rStyle w:val="FootnoteReference"/>
          <w:vertAlign w:val="superscript"/>
        </w:rPr>
        <w:footnoteReference w:id="79"/>
      </w:r>
    </w:p>
    <w:p w:rsidR="00736986" w:rsidP="00E872C0" w:rsidRDefault="00736986" w14:paraId="3878DC13" w14:textId="77777777">
      <w:pPr>
        <w:pStyle w:val="FERCparanumber"/>
        <w:numPr>
          <w:ilvl w:val="0"/>
          <w:numId w:val="0"/>
        </w:numPr>
        <w:autoSpaceDE w:val="0"/>
        <w:autoSpaceDN w:val="0"/>
        <w:adjustRightInd w:val="0"/>
        <w:rPr>
          <w:b/>
          <w:bCs/>
        </w:rPr>
      </w:pPr>
    </w:p>
    <w:p w:rsidR="00E872C0" w:rsidP="00E872C0" w:rsidRDefault="00E872C0" w14:paraId="0F9FA38A" w14:textId="77777777">
      <w:pPr>
        <w:pStyle w:val="FERCparanumber"/>
        <w:numPr>
          <w:ilvl w:val="0"/>
          <w:numId w:val="0"/>
        </w:numPr>
        <w:autoSpaceDE w:val="0"/>
        <w:autoSpaceDN w:val="0"/>
        <w:adjustRightInd w:val="0"/>
        <w:rPr>
          <w:b/>
          <w:bCs/>
        </w:rPr>
      </w:pPr>
      <w:r w:rsidRPr="00CA7930">
        <w:rPr>
          <w:b/>
        </w:rPr>
        <w:t>Commission Response on Rehearing:</w:t>
      </w:r>
    </w:p>
    <w:p w:rsidR="00736986" w:rsidP="00736986" w:rsidRDefault="00736986" w14:paraId="7A51A86A" w14:textId="77777777">
      <w:pPr>
        <w:pStyle w:val="FERCparanumber"/>
        <w:numPr>
          <w:ilvl w:val="0"/>
          <w:numId w:val="0"/>
        </w:numPr>
        <w:autoSpaceDE w:val="0"/>
        <w:autoSpaceDN w:val="0"/>
        <w:adjustRightInd w:val="0"/>
      </w:pPr>
    </w:p>
    <w:p w:rsidRPr="006D759C" w:rsidR="00E872C0" w:rsidP="00232E09" w:rsidRDefault="00E872C0" w14:paraId="29B6EF0F" w14:textId="77777777">
      <w:pPr>
        <w:pStyle w:val="FERCparanumber"/>
        <w:numPr>
          <w:ilvl w:val="0"/>
          <w:numId w:val="0"/>
        </w:numPr>
        <w:autoSpaceDE w:val="0"/>
        <w:autoSpaceDN w:val="0"/>
        <w:adjustRightInd w:val="0"/>
        <w:rPr>
          <w:szCs w:val="26"/>
        </w:rPr>
      </w:pPr>
      <w:r w:rsidRPr="006D759C">
        <w:t>Public Interest Organizations misread</w:t>
      </w:r>
      <w:r w:rsidR="003171FC">
        <w:t xml:space="preserve"> Order </w:t>
      </w:r>
      <w:r w:rsidR="009B25B3">
        <w:t xml:space="preserve">No. </w:t>
      </w:r>
      <w:r w:rsidR="003171FC">
        <w:t>872</w:t>
      </w:r>
      <w:r w:rsidRPr="006D759C">
        <w:t xml:space="preserve"> on this point. </w:t>
      </w:r>
      <w:r w:rsidR="003171FC">
        <w:t xml:space="preserve"> Order </w:t>
      </w:r>
      <w:r w:rsidR="009B25B3">
        <w:t xml:space="preserve">No. </w:t>
      </w:r>
      <w:r w:rsidR="003171FC">
        <w:t>872</w:t>
      </w:r>
      <w:r w:rsidRPr="006D759C">
        <w:rPr>
          <w:szCs w:val="26"/>
        </w:rPr>
        <w:t xml:space="preserve"> provided a total burden estimate of 9.5 hours for </w:t>
      </w:r>
      <w:r w:rsidRPr="006D759C">
        <w:rPr>
          <w:i/>
          <w:iCs/>
          <w:szCs w:val="26"/>
        </w:rPr>
        <w:t>self-certifications</w:t>
      </w:r>
      <w:r w:rsidRPr="006D759C">
        <w:rPr>
          <w:szCs w:val="26"/>
        </w:rPr>
        <w:t xml:space="preserve"> of small power producers over 1 MW with affiliated small power production QFs more than one but less than 10 miles apart that use the same energy resource, but 62 hours for an </w:t>
      </w:r>
      <w:r w:rsidRPr="006D759C">
        <w:rPr>
          <w:i/>
          <w:iCs/>
          <w:szCs w:val="26"/>
        </w:rPr>
        <w:t>application for Commission certification</w:t>
      </w:r>
      <w:r w:rsidRPr="006D759C">
        <w:rPr>
          <w:szCs w:val="26"/>
        </w:rPr>
        <w:t xml:space="preserve"> of a small power production facility over 1 MW with affiliated small power production QFs more than one but less than 10 miles that use the same energy resource.</w:t>
      </w:r>
      <w:r w:rsidRPr="00232E09">
        <w:rPr>
          <w:rStyle w:val="FootnoteReference"/>
          <w:vertAlign w:val="superscript"/>
        </w:rPr>
        <w:footnoteReference w:id="80"/>
      </w:r>
      <w:r w:rsidRPr="008039B9">
        <w:rPr>
          <w:szCs w:val="26"/>
        </w:rPr>
        <w:t xml:space="preserve">  </w:t>
      </w:r>
      <w:r w:rsidRPr="006D759C">
        <w:rPr>
          <w:szCs w:val="26"/>
        </w:rPr>
        <w:t xml:space="preserve">The estimate is not that </w:t>
      </w:r>
      <w:r w:rsidRPr="006D759C">
        <w:rPr>
          <w:i/>
          <w:iCs/>
          <w:szCs w:val="26"/>
        </w:rPr>
        <w:t>every</w:t>
      </w:r>
      <w:r w:rsidRPr="006D759C">
        <w:rPr>
          <w:szCs w:val="26"/>
        </w:rPr>
        <w:t xml:space="preserve"> small power production facility over 1 MW with affiliated facilities between one and 10 miles away will have a total burden of 62 hours, but </w:t>
      </w:r>
      <w:r w:rsidRPr="006D759C">
        <w:rPr>
          <w:i/>
          <w:szCs w:val="26"/>
        </w:rPr>
        <w:t>only those who chose to apply for Commission certification</w:t>
      </w:r>
      <w:r w:rsidRPr="006D759C">
        <w:rPr>
          <w:szCs w:val="26"/>
        </w:rPr>
        <w:t xml:space="preserve"> (as opposed to use the self-certification process).  For those who self-certify, the burden estimate is 9.5 hours.</w:t>
      </w:r>
    </w:p>
    <w:p w:rsidR="00736986" w:rsidP="00736986" w:rsidRDefault="00736986" w14:paraId="69FDD25C" w14:textId="77777777">
      <w:pPr>
        <w:pStyle w:val="FERCparanumber"/>
        <w:numPr>
          <w:ilvl w:val="0"/>
          <w:numId w:val="0"/>
        </w:numPr>
        <w:autoSpaceDE w:val="0"/>
        <w:autoSpaceDN w:val="0"/>
        <w:adjustRightInd w:val="0"/>
        <w:rPr>
          <w:rFonts w:eastAsiaTheme="minorHAnsi"/>
          <w:szCs w:val="26"/>
        </w:rPr>
      </w:pPr>
    </w:p>
    <w:p w:rsidR="00E872C0" w:rsidP="00736986" w:rsidRDefault="00E872C0" w14:paraId="497C114D" w14:textId="77777777">
      <w:pPr>
        <w:pStyle w:val="FERCparanumber"/>
        <w:numPr>
          <w:ilvl w:val="0"/>
          <w:numId w:val="0"/>
        </w:numPr>
        <w:autoSpaceDE w:val="0"/>
        <w:autoSpaceDN w:val="0"/>
        <w:adjustRightInd w:val="0"/>
        <w:rPr>
          <w:szCs w:val="26"/>
        </w:rPr>
      </w:pPr>
      <w:r w:rsidRPr="006D759C">
        <w:rPr>
          <w:rFonts w:eastAsiaTheme="minorHAnsi"/>
          <w:szCs w:val="26"/>
        </w:rPr>
        <w:t xml:space="preserve">In response to Public Interest Organizations’ assertion that the basis for the </w:t>
      </w:r>
      <w:r w:rsidR="00FF140D">
        <w:rPr>
          <w:rFonts w:eastAsiaTheme="minorHAnsi"/>
          <w:szCs w:val="26"/>
        </w:rPr>
        <w:t xml:space="preserve">burden </w:t>
      </w:r>
      <w:r w:rsidRPr="006D759C">
        <w:rPr>
          <w:rFonts w:eastAsiaTheme="minorHAnsi"/>
          <w:szCs w:val="26"/>
        </w:rPr>
        <w:t xml:space="preserve">calculation is not clear, below </w:t>
      </w:r>
      <w:r w:rsidR="00760B67">
        <w:rPr>
          <w:rFonts w:eastAsiaTheme="minorHAnsi"/>
          <w:szCs w:val="26"/>
        </w:rPr>
        <w:t>the Commission</w:t>
      </w:r>
      <w:r w:rsidRPr="006D759C">
        <w:rPr>
          <w:rFonts w:eastAsiaTheme="minorHAnsi"/>
          <w:szCs w:val="26"/>
        </w:rPr>
        <w:t xml:space="preserve"> explain</w:t>
      </w:r>
      <w:r w:rsidR="00760B67">
        <w:rPr>
          <w:rFonts w:eastAsiaTheme="minorHAnsi"/>
          <w:szCs w:val="26"/>
        </w:rPr>
        <w:t>s</w:t>
      </w:r>
      <w:r w:rsidRPr="006D759C">
        <w:rPr>
          <w:rFonts w:eastAsiaTheme="minorHAnsi"/>
          <w:szCs w:val="26"/>
        </w:rPr>
        <w:t xml:space="preserve"> the calculation</w:t>
      </w:r>
      <w:r w:rsidR="003F3BDC">
        <w:rPr>
          <w:rFonts w:eastAsiaTheme="minorHAnsi"/>
          <w:szCs w:val="26"/>
        </w:rPr>
        <w:t xml:space="preserve"> it provides in Order No. 872-A</w:t>
      </w:r>
      <w:r w:rsidRPr="006D759C">
        <w:rPr>
          <w:rFonts w:eastAsiaTheme="minorHAnsi"/>
          <w:szCs w:val="26"/>
        </w:rPr>
        <w:t xml:space="preserve">.  </w:t>
      </w:r>
      <w:r w:rsidRPr="006D759C">
        <w:rPr>
          <w:szCs w:val="26"/>
        </w:rPr>
        <w:t>Prior to</w:t>
      </w:r>
      <w:r w:rsidR="003171FC">
        <w:rPr>
          <w:szCs w:val="26"/>
        </w:rPr>
        <w:t xml:space="preserve"> Order </w:t>
      </w:r>
      <w:r w:rsidR="009B25B3">
        <w:rPr>
          <w:szCs w:val="26"/>
        </w:rPr>
        <w:t xml:space="preserve">No. </w:t>
      </w:r>
      <w:r w:rsidR="003171FC">
        <w:rPr>
          <w:szCs w:val="26"/>
        </w:rPr>
        <w:t>872</w:t>
      </w:r>
      <w:r w:rsidRPr="006D759C">
        <w:rPr>
          <w:szCs w:val="26"/>
        </w:rPr>
        <w:t>, “[t]he estimated burden for completing the Form No. 556, including gathering and reporting information, [was] as follows:  1.5 hours for self-certification of a small power production facility</w:t>
      </w:r>
      <w:r w:rsidRPr="00DD3490">
        <w:t xml:space="preserve"> . . .</w:t>
      </w:r>
      <w:r w:rsidRPr="008039B9">
        <w:rPr>
          <w:spacing w:val="34"/>
          <w:szCs w:val="26"/>
        </w:rPr>
        <w:t xml:space="preserve"> </w:t>
      </w:r>
      <w:r w:rsidRPr="006D759C">
        <w:rPr>
          <w:szCs w:val="26"/>
        </w:rPr>
        <w:t xml:space="preserve">50 hours for an </w:t>
      </w:r>
      <w:r w:rsidRPr="006D759C">
        <w:rPr>
          <w:szCs w:val="26"/>
        </w:rPr>
        <w:lastRenderedPageBreak/>
        <w:t xml:space="preserve">application for Commission certification of a small power production </w:t>
      </w:r>
      <w:r w:rsidRPr="006D759C">
        <w:t>facility</w:t>
      </w:r>
      <w:r w:rsidRPr="00DD3490">
        <w:t> . . . .</w:t>
      </w:r>
      <w:r w:rsidRPr="008039B9">
        <w:rPr>
          <w:szCs w:val="26"/>
        </w:rPr>
        <w:t>”</w:t>
      </w:r>
      <w:r w:rsidRPr="00E66276">
        <w:rPr>
          <w:rStyle w:val="FootnoteReference"/>
          <w:vertAlign w:val="superscript"/>
        </w:rPr>
        <w:footnoteReference w:id="81"/>
      </w:r>
      <w:r w:rsidRPr="00E66276">
        <w:rPr>
          <w:b/>
          <w:szCs w:val="26"/>
          <w:vertAlign w:val="superscript"/>
        </w:rPr>
        <w:t xml:space="preserve"> </w:t>
      </w:r>
      <w:r w:rsidRPr="006D759C">
        <w:rPr>
          <w:szCs w:val="26"/>
        </w:rPr>
        <w:t xml:space="preserve"> The Information Collection Section of</w:t>
      </w:r>
      <w:r w:rsidR="003171FC">
        <w:rPr>
          <w:szCs w:val="26"/>
        </w:rPr>
        <w:t xml:space="preserve"> Order </w:t>
      </w:r>
      <w:r w:rsidR="009B25B3">
        <w:rPr>
          <w:szCs w:val="26"/>
        </w:rPr>
        <w:t xml:space="preserve">No. </w:t>
      </w:r>
      <w:r w:rsidR="003171FC">
        <w:rPr>
          <w:szCs w:val="26"/>
        </w:rPr>
        <w:t>872</w:t>
      </w:r>
      <w:r w:rsidRPr="006D759C">
        <w:rPr>
          <w:szCs w:val="26"/>
        </w:rPr>
        <w:t xml:space="preserve"> showed changes due to</w:t>
      </w:r>
      <w:r w:rsidR="003171FC">
        <w:rPr>
          <w:szCs w:val="26"/>
        </w:rPr>
        <w:t xml:space="preserve"> Order </w:t>
      </w:r>
      <w:r w:rsidR="009B25B3">
        <w:rPr>
          <w:szCs w:val="26"/>
        </w:rPr>
        <w:t xml:space="preserve">No. </w:t>
      </w:r>
      <w:r w:rsidR="003171FC">
        <w:rPr>
          <w:szCs w:val="26"/>
        </w:rPr>
        <w:t>872</w:t>
      </w:r>
      <w:r w:rsidRPr="006D759C">
        <w:rPr>
          <w:szCs w:val="26"/>
        </w:rPr>
        <w:t xml:space="preserve"> and estimated an additional 8 hours for the category “self-certifications” and 12 hours for the category “applications for Commission certification” of small power production facilities greater than 1 MW that are more than one but less than 10 miles from affiliated small power production QFs.  Therefore, the total burden estimate as provided in</w:t>
      </w:r>
      <w:r w:rsidR="003171FC">
        <w:rPr>
          <w:szCs w:val="26"/>
        </w:rPr>
        <w:t xml:space="preserve"> Order 872</w:t>
      </w:r>
      <w:r w:rsidRPr="006D759C">
        <w:rPr>
          <w:szCs w:val="26"/>
        </w:rPr>
        <w:t xml:space="preserve"> is as follows:  1.5 hours plus 8 hours for a total of 9.5 hours for self-certifications</w:t>
      </w:r>
      <w:r w:rsidR="004A64AC">
        <w:rPr>
          <w:szCs w:val="26"/>
        </w:rPr>
        <w:t>,</w:t>
      </w:r>
      <w:r w:rsidRPr="006D759C">
        <w:rPr>
          <w:szCs w:val="26"/>
        </w:rPr>
        <w:t xml:space="preserve"> and 50 hours plus 12 hours for a total of 62 hours for applications for Commission certification.  </w:t>
      </w:r>
    </w:p>
    <w:p w:rsidRPr="00DD3490" w:rsidR="00736986" w:rsidP="00E66276" w:rsidRDefault="00736986" w14:paraId="37B096CF" w14:textId="77777777">
      <w:pPr>
        <w:pStyle w:val="FERCparanumber"/>
        <w:numPr>
          <w:ilvl w:val="0"/>
          <w:numId w:val="0"/>
        </w:numPr>
        <w:autoSpaceDE w:val="0"/>
        <w:autoSpaceDN w:val="0"/>
        <w:adjustRightInd w:val="0"/>
        <w:rPr>
          <w:rFonts w:eastAsiaTheme="minorHAnsi"/>
          <w:szCs w:val="26"/>
        </w:rPr>
      </w:pPr>
    </w:p>
    <w:p w:rsidRPr="0011193A" w:rsidR="00304B23" w:rsidP="00E66276" w:rsidRDefault="00E872C0" w14:paraId="7B90E770" w14:textId="3485DB8F">
      <w:pPr>
        <w:pStyle w:val="FERCparanumber"/>
        <w:numPr>
          <w:ilvl w:val="0"/>
          <w:numId w:val="0"/>
        </w:numPr>
        <w:autoSpaceDE w:val="0"/>
        <w:autoSpaceDN w:val="0"/>
        <w:adjustRightInd w:val="0"/>
      </w:pPr>
      <w:r w:rsidRPr="006D759C">
        <w:rPr>
          <w:rFonts w:eastAsiaTheme="minorHAnsi"/>
        </w:rPr>
        <w:t>In light of the modification to</w:t>
      </w:r>
      <w:r w:rsidR="003171FC">
        <w:rPr>
          <w:rFonts w:eastAsiaTheme="minorHAnsi"/>
        </w:rPr>
        <w:t xml:space="preserve"> Order </w:t>
      </w:r>
      <w:r w:rsidR="009B25B3">
        <w:rPr>
          <w:rFonts w:eastAsiaTheme="minorHAnsi"/>
        </w:rPr>
        <w:t xml:space="preserve">No. </w:t>
      </w:r>
      <w:r w:rsidR="003171FC">
        <w:rPr>
          <w:rFonts w:eastAsiaTheme="minorHAnsi"/>
        </w:rPr>
        <w:t>872</w:t>
      </w:r>
      <w:r w:rsidRPr="006D759C">
        <w:rPr>
          <w:rFonts w:eastAsiaTheme="minorHAnsi"/>
        </w:rPr>
        <w:t xml:space="preserve"> described in section III.D, </w:t>
      </w:r>
      <w:r w:rsidR="001B3F3C">
        <w:rPr>
          <w:rFonts w:eastAsiaTheme="minorHAnsi"/>
        </w:rPr>
        <w:t xml:space="preserve">in </w:t>
      </w:r>
      <w:r w:rsidR="003F3BDC">
        <w:rPr>
          <w:rFonts w:eastAsiaTheme="minorHAnsi"/>
        </w:rPr>
        <w:t xml:space="preserve">Order No. </w:t>
      </w:r>
      <w:r w:rsidR="001B3F3C">
        <w:rPr>
          <w:rFonts w:eastAsiaTheme="minorHAnsi"/>
        </w:rPr>
        <w:t xml:space="preserve">872-A </w:t>
      </w:r>
      <w:r w:rsidR="00760B67">
        <w:rPr>
          <w:rFonts w:eastAsiaTheme="minorHAnsi"/>
        </w:rPr>
        <w:t>the Commission</w:t>
      </w:r>
      <w:r w:rsidRPr="006D759C">
        <w:rPr>
          <w:rFonts w:eastAsiaTheme="minorHAnsi"/>
        </w:rPr>
        <w:t xml:space="preserve"> further modif</w:t>
      </w:r>
      <w:r w:rsidR="00760B67">
        <w:rPr>
          <w:rFonts w:eastAsiaTheme="minorHAnsi"/>
        </w:rPr>
        <w:t>ies</w:t>
      </w:r>
      <w:r w:rsidRPr="006D759C">
        <w:rPr>
          <w:rFonts w:eastAsiaTheme="minorHAnsi"/>
        </w:rPr>
        <w:t xml:space="preserve"> the “Recertification” section in page one of the instructions of the Form No. 556, which was added by</w:t>
      </w:r>
      <w:r w:rsidR="003171FC">
        <w:rPr>
          <w:rFonts w:eastAsiaTheme="minorHAnsi"/>
        </w:rPr>
        <w:t xml:space="preserve"> Order </w:t>
      </w:r>
      <w:r w:rsidR="009B25B3">
        <w:rPr>
          <w:rFonts w:eastAsiaTheme="minorHAnsi"/>
        </w:rPr>
        <w:t xml:space="preserve">No. </w:t>
      </w:r>
      <w:r w:rsidR="003171FC">
        <w:rPr>
          <w:rFonts w:eastAsiaTheme="minorHAnsi"/>
        </w:rPr>
        <w:t>872</w:t>
      </w:r>
      <w:r w:rsidRPr="006D759C">
        <w:rPr>
          <w:rFonts w:eastAsiaTheme="minorHAnsi"/>
        </w:rPr>
        <w:t xml:space="preserve">.  The “Recertification” section currently reads “A QF must file a recertification whenever the qualifying facility ‘fails to conform with any material facts or representations presented . . . in its submittals to the Commission.’ 18. C.F.R. § 292.207(f).”  To this, </w:t>
      </w:r>
      <w:r w:rsidR="00760B67">
        <w:rPr>
          <w:rFonts w:eastAsiaTheme="minorHAnsi"/>
        </w:rPr>
        <w:t>the Commission</w:t>
      </w:r>
      <w:r w:rsidRPr="006D759C">
        <w:rPr>
          <w:rFonts w:eastAsiaTheme="minorHAnsi"/>
        </w:rPr>
        <w:t xml:space="preserve"> </w:t>
      </w:r>
      <w:r w:rsidR="003F3BDC">
        <w:rPr>
          <w:rFonts w:eastAsiaTheme="minorHAnsi"/>
        </w:rPr>
        <w:t xml:space="preserve">in Order No. 872-A </w:t>
      </w:r>
      <w:r w:rsidRPr="006D759C">
        <w:rPr>
          <w:rFonts w:eastAsiaTheme="minorHAnsi"/>
        </w:rPr>
        <w:t>add</w:t>
      </w:r>
      <w:r w:rsidR="003F3BDC">
        <w:rPr>
          <w:rFonts w:eastAsiaTheme="minorHAnsi"/>
        </w:rPr>
        <w:t>s</w:t>
      </w:r>
      <w:r w:rsidRPr="006D759C">
        <w:rPr>
          <w:rFonts w:eastAsiaTheme="minorHAnsi"/>
        </w:rPr>
        <w:t xml:space="preserve"> “Among other possible changes in material facts that would necessitate recertification, a</w:t>
      </w:r>
      <w:r w:rsidRPr="006D759C">
        <w:t xml:space="preserve"> small power production QF is required to recertify to update item 8a due to a change at an affiliated facility(</w:t>
      </w:r>
      <w:proofErr w:type="spellStart"/>
      <w:r w:rsidRPr="006D759C">
        <w:t>ies</w:t>
      </w:r>
      <w:proofErr w:type="spellEnd"/>
      <w:r w:rsidRPr="006D759C">
        <w:t xml:space="preserve">) one mile or less from its electrical generating equipment.  </w:t>
      </w:r>
      <w:r w:rsidRPr="006D759C">
        <w:rPr>
          <w:rFonts w:eastAsiaTheme="minorHAnsi"/>
        </w:rPr>
        <w:t xml:space="preserve">A small power production QF is </w:t>
      </w:r>
      <w:r w:rsidRPr="006D759C">
        <w:rPr>
          <w:rFonts w:eastAsiaTheme="minorHAnsi"/>
          <w:i/>
        </w:rPr>
        <w:t>not</w:t>
      </w:r>
      <w:r w:rsidRPr="006D759C">
        <w:rPr>
          <w:rFonts w:eastAsiaTheme="minorHAnsi"/>
        </w:rPr>
        <w:t xml:space="preserve"> required to recertify due to a change at an affiliated facility(</w:t>
      </w:r>
      <w:proofErr w:type="spellStart"/>
      <w:r w:rsidRPr="006D759C">
        <w:rPr>
          <w:rFonts w:eastAsiaTheme="minorHAnsi"/>
        </w:rPr>
        <w:t>ies</w:t>
      </w:r>
      <w:proofErr w:type="spellEnd"/>
      <w:r w:rsidRPr="006D759C">
        <w:rPr>
          <w:rFonts w:eastAsiaTheme="minorHAnsi"/>
        </w:rPr>
        <w:t xml:space="preserve">) listed in item 8a that is more than one mile but less than 10 miles away from its electrical generating equipment, </w:t>
      </w:r>
      <w:r w:rsidRPr="006D759C">
        <w:t>unless that change also impacts any other entries on the Form 556</w:t>
      </w:r>
      <w:r w:rsidRPr="006D759C">
        <w:rPr>
          <w:rFonts w:eastAsiaTheme="minorHAnsi"/>
        </w:rPr>
        <w:t>.”</w:t>
      </w:r>
    </w:p>
    <w:p w:rsidR="000C3587" w:rsidP="00E66276" w:rsidRDefault="000C3587" w14:paraId="010B9FE3" w14:textId="77777777">
      <w:pPr>
        <w:pStyle w:val="FERCparanumber"/>
        <w:numPr>
          <w:ilvl w:val="0"/>
          <w:numId w:val="0"/>
        </w:numPr>
        <w:rPr>
          <w:szCs w:val="26"/>
        </w:rPr>
      </w:pPr>
    </w:p>
    <w:p w:rsidR="0070402E" w:rsidP="0070402E" w:rsidRDefault="0070402E" w14:paraId="36018608" w14:textId="77777777">
      <w:pPr>
        <w:pStyle w:val="FERCparanumber"/>
        <w:numPr>
          <w:ilvl w:val="0"/>
          <w:numId w:val="0"/>
        </w:numPr>
        <w:rPr>
          <w:szCs w:val="26"/>
        </w:rPr>
      </w:pPr>
      <w:r>
        <w:rPr>
          <w:szCs w:val="26"/>
        </w:rPr>
        <w:t xml:space="preserve">The </w:t>
      </w:r>
      <w:r w:rsidR="001B3F3C">
        <w:rPr>
          <w:szCs w:val="26"/>
        </w:rPr>
        <w:t xml:space="preserve">Commission issued the </w:t>
      </w:r>
      <w:r>
        <w:rPr>
          <w:szCs w:val="26"/>
        </w:rPr>
        <w:t>Order on Rehearing in Docket Nos. RM19-15</w:t>
      </w:r>
      <w:r w:rsidR="004A64AC">
        <w:rPr>
          <w:szCs w:val="26"/>
        </w:rPr>
        <w:t>-001</w:t>
      </w:r>
      <w:r>
        <w:rPr>
          <w:szCs w:val="26"/>
        </w:rPr>
        <w:t xml:space="preserve"> and AD16-16</w:t>
      </w:r>
      <w:r w:rsidR="004A64AC">
        <w:rPr>
          <w:szCs w:val="26"/>
        </w:rPr>
        <w:t>-001</w:t>
      </w:r>
      <w:r>
        <w:rPr>
          <w:szCs w:val="26"/>
        </w:rPr>
        <w:t xml:space="preserve"> on 11/19/2020</w:t>
      </w:r>
      <w:r>
        <w:rPr>
          <w:rStyle w:val="FootnoteReference"/>
          <w:szCs w:val="26"/>
          <w:vertAlign w:val="superscript"/>
        </w:rPr>
        <w:footnoteReference w:id="82"/>
      </w:r>
      <w:r>
        <w:rPr>
          <w:szCs w:val="26"/>
          <w:vertAlign w:val="superscript"/>
        </w:rPr>
        <w:t xml:space="preserve"> </w:t>
      </w:r>
      <w:r>
        <w:rPr>
          <w:szCs w:val="26"/>
        </w:rPr>
        <w:t xml:space="preserve">and </w:t>
      </w:r>
      <w:r w:rsidR="001B3F3C">
        <w:rPr>
          <w:szCs w:val="26"/>
        </w:rPr>
        <w:t xml:space="preserve">the order will be </w:t>
      </w:r>
      <w:r>
        <w:rPr>
          <w:szCs w:val="26"/>
        </w:rPr>
        <w:t>published in the Federal Register</w:t>
      </w:r>
      <w:r w:rsidRPr="008C7DE0">
        <w:rPr>
          <w:szCs w:val="26"/>
        </w:rPr>
        <w:t>.</w:t>
      </w:r>
    </w:p>
    <w:p w:rsidRPr="00E66276" w:rsidR="002F01FB" w:rsidRDefault="002F01FB" w14:paraId="737FAE15" w14:textId="77777777">
      <w:pPr>
        <w:pStyle w:val="FERCparanumber"/>
        <w:numPr>
          <w:ilvl w:val="0"/>
          <w:numId w:val="0"/>
        </w:numPr>
        <w:rPr>
          <w:b/>
          <w:szCs w:val="26"/>
        </w:rPr>
      </w:pPr>
    </w:p>
    <w:p w:rsidR="00F41E1B" w:rsidRDefault="00F41E1B" w14:paraId="04464462" w14:textId="77777777">
      <w:pPr>
        <w:pStyle w:val="FERCparanumber"/>
        <w:numPr>
          <w:ilvl w:val="0"/>
          <w:numId w:val="0"/>
        </w:numPr>
        <w:rPr>
          <w:szCs w:val="26"/>
        </w:rPr>
      </w:pPr>
    </w:p>
    <w:p w:rsidR="00EB053F" w:rsidRDefault="00F63BA0" w14:paraId="0D4FBF06" w14:textId="77777777">
      <w:pPr>
        <w:pStyle w:val="FERCparanumber"/>
        <w:numPr>
          <w:ilvl w:val="0"/>
          <w:numId w:val="7"/>
        </w:numPr>
        <w:rPr>
          <w:szCs w:val="26"/>
        </w:rPr>
      </w:pPr>
      <w:r>
        <w:rPr>
          <w:b/>
          <w:szCs w:val="26"/>
        </w:rPr>
        <w:t>EXPLAIN ANY PAYMENT OR GIFTS TO RESPONDENTS</w:t>
      </w:r>
    </w:p>
    <w:p w:rsidR="00EB053F" w:rsidRDefault="00EB053F" w14:paraId="47600D24" w14:textId="77777777">
      <w:pPr>
        <w:pStyle w:val="FERCparanumber"/>
        <w:numPr>
          <w:ilvl w:val="0"/>
          <w:numId w:val="0"/>
        </w:numPr>
        <w:rPr>
          <w:b/>
          <w:szCs w:val="26"/>
        </w:rPr>
      </w:pPr>
    </w:p>
    <w:p w:rsidR="00EB053F" w:rsidRDefault="00F63BA0" w14:paraId="4AE4EE40" w14:textId="77777777">
      <w:pPr>
        <w:widowControl/>
        <w:rPr>
          <w:sz w:val="26"/>
          <w:szCs w:val="26"/>
        </w:rPr>
      </w:pPr>
      <w:r>
        <w:rPr>
          <w:sz w:val="26"/>
          <w:szCs w:val="26"/>
        </w:rPr>
        <w:t>There are no payments or gifts to respondents.</w:t>
      </w:r>
    </w:p>
    <w:p w:rsidR="00EB053F" w:rsidRDefault="00EB053F" w14:paraId="4B94F4BA" w14:textId="77777777">
      <w:pPr>
        <w:widowControl/>
        <w:rPr>
          <w:sz w:val="26"/>
          <w:szCs w:val="26"/>
        </w:rPr>
      </w:pPr>
    </w:p>
    <w:p w:rsidR="00EB053F" w:rsidRDefault="00F63BA0" w14:paraId="2C7D577E" w14:textId="77777777">
      <w:pPr>
        <w:pStyle w:val="FERCparanumber"/>
        <w:numPr>
          <w:ilvl w:val="0"/>
          <w:numId w:val="7"/>
        </w:numPr>
        <w:rPr>
          <w:szCs w:val="26"/>
        </w:rPr>
      </w:pPr>
      <w:r>
        <w:rPr>
          <w:b/>
          <w:szCs w:val="26"/>
        </w:rPr>
        <w:t>DESCRIBE ANY ASSURANCE OF CONFIDENTIALITY PROVIDED TO RESPONDENTS</w:t>
      </w:r>
    </w:p>
    <w:p w:rsidR="00EB053F" w:rsidRDefault="00EB053F" w14:paraId="5F924108" w14:textId="77777777">
      <w:pPr>
        <w:pStyle w:val="FERCparanumber"/>
        <w:widowControl w:val="0"/>
        <w:numPr>
          <w:ilvl w:val="0"/>
          <w:numId w:val="0"/>
        </w:numPr>
        <w:rPr>
          <w:szCs w:val="26"/>
        </w:rPr>
      </w:pPr>
    </w:p>
    <w:p w:rsidR="00EB053F" w:rsidRDefault="00F63BA0" w14:paraId="08D5BBF5" w14:textId="77777777">
      <w:pPr>
        <w:pStyle w:val="FERCparanumber"/>
        <w:widowControl w:val="0"/>
        <w:numPr>
          <w:ilvl w:val="0"/>
          <w:numId w:val="0"/>
        </w:numPr>
        <w:rPr>
          <w:szCs w:val="26"/>
        </w:rPr>
      </w:pPr>
      <w:r>
        <w:rPr>
          <w:szCs w:val="26"/>
        </w:rPr>
        <w:lastRenderedPageBreak/>
        <w:t>The Commission does not consider the information collected in Form No. 556 and FERC-912 filings to be confidential.  However, the Commission will consider specific requests for confidential treatment (e.g., Critical Energy/Electric Infrastructure Information (CEII) or non-public) to the extent permitted by law.</w:t>
      </w:r>
      <w:r>
        <w:rPr>
          <w:rStyle w:val="FootnoteReference"/>
          <w:szCs w:val="26"/>
          <w:vertAlign w:val="superscript"/>
        </w:rPr>
        <w:footnoteReference w:id="83"/>
      </w:r>
      <w:r>
        <w:rPr>
          <w:szCs w:val="26"/>
        </w:rPr>
        <w:t xml:space="preserve">  The Commission will review each request for confidential treatment on a case-by-case basis.</w:t>
      </w:r>
    </w:p>
    <w:p w:rsidR="00EB053F" w:rsidRDefault="00EB053F" w14:paraId="0A9856A3" w14:textId="77777777">
      <w:pPr>
        <w:pStyle w:val="FERCparanumber"/>
        <w:numPr>
          <w:ilvl w:val="0"/>
          <w:numId w:val="0"/>
        </w:numPr>
        <w:rPr>
          <w:szCs w:val="26"/>
        </w:rPr>
      </w:pPr>
    </w:p>
    <w:p w:rsidR="00EB053F" w:rsidRDefault="00F63BA0" w14:paraId="11405A46" w14:textId="77777777">
      <w:pPr>
        <w:pStyle w:val="FERCparanumber"/>
        <w:keepLines/>
        <w:numPr>
          <w:ilvl w:val="0"/>
          <w:numId w:val="7"/>
        </w:numPr>
        <w:rPr>
          <w:szCs w:val="26"/>
        </w:rPr>
      </w:pPr>
      <w:r>
        <w:rPr>
          <w:b/>
          <w:szCs w:val="26"/>
        </w:rPr>
        <w:t>PROVIDE ADDITIONAL JUSTIFICATION FOR ANY QUESTIONS OF A SENSITIVE NATURE, SUCH AS SEXUAL BEHAVIOR AND ATTITUDES, RELIGIOUS BELIEFS, AND OTHER MATTERS THAT ARE COMMONLY CONSIDERED PRIVATE</w:t>
      </w:r>
    </w:p>
    <w:p w:rsidR="00EB053F" w:rsidRDefault="00EB053F" w14:paraId="6CD3E59A" w14:textId="77777777">
      <w:pPr>
        <w:pStyle w:val="FERCparanumber"/>
        <w:numPr>
          <w:ilvl w:val="0"/>
          <w:numId w:val="0"/>
        </w:numPr>
        <w:rPr>
          <w:b/>
          <w:szCs w:val="26"/>
        </w:rPr>
      </w:pPr>
    </w:p>
    <w:p w:rsidR="00EB053F" w:rsidRDefault="00F63BA0" w14:paraId="181C2B4D" w14:textId="77777777">
      <w:pPr>
        <w:widowControl/>
        <w:rPr>
          <w:b/>
          <w:sz w:val="26"/>
          <w:szCs w:val="26"/>
        </w:rPr>
      </w:pPr>
      <w:r>
        <w:rPr>
          <w:sz w:val="26"/>
          <w:szCs w:val="26"/>
        </w:rPr>
        <w:t xml:space="preserve">There are no questions of a sensitive nature.  </w:t>
      </w:r>
    </w:p>
    <w:p w:rsidR="00EB053F" w:rsidRDefault="00EB053F" w14:paraId="0BB5E13F" w14:textId="77777777">
      <w:pPr>
        <w:pStyle w:val="FERCparanumber"/>
        <w:numPr>
          <w:ilvl w:val="0"/>
          <w:numId w:val="0"/>
        </w:numPr>
        <w:rPr>
          <w:szCs w:val="26"/>
        </w:rPr>
      </w:pPr>
    </w:p>
    <w:p w:rsidR="00EB053F" w:rsidRDefault="00F63BA0" w14:paraId="5B8EF12C" w14:textId="77777777">
      <w:pPr>
        <w:pStyle w:val="FERCparanumber"/>
        <w:numPr>
          <w:ilvl w:val="0"/>
          <w:numId w:val="7"/>
        </w:numPr>
        <w:rPr>
          <w:szCs w:val="26"/>
        </w:rPr>
      </w:pPr>
      <w:r>
        <w:rPr>
          <w:b/>
          <w:szCs w:val="26"/>
        </w:rPr>
        <w:t>ESTIMATED BURDEN FOR COLLECTION OF INFORMATION</w:t>
      </w:r>
    </w:p>
    <w:p w:rsidR="00EB053F" w:rsidRDefault="00EB053F" w14:paraId="15C7032C" w14:textId="77777777">
      <w:pPr>
        <w:widowControl/>
        <w:rPr>
          <w:sz w:val="26"/>
          <w:szCs w:val="26"/>
        </w:rPr>
      </w:pPr>
    </w:p>
    <w:p w:rsidR="00EB053F" w:rsidRDefault="00F63BA0" w14:paraId="0ED16ED4" w14:textId="7E2260E5">
      <w:pPr>
        <w:pStyle w:val="FERCparanumber"/>
        <w:numPr>
          <w:ilvl w:val="0"/>
          <w:numId w:val="0"/>
        </w:numPr>
        <w:ind w:left="72"/>
        <w:rPr>
          <w:szCs w:val="26"/>
        </w:rPr>
      </w:pPr>
      <w:bookmarkStart w:name="_Hlk19625702" w:id="34"/>
      <w:r>
        <w:rPr>
          <w:szCs w:val="26"/>
        </w:rPr>
        <w:t xml:space="preserve">The estimated changes due to </w:t>
      </w:r>
      <w:r w:rsidR="003171FC">
        <w:rPr>
          <w:szCs w:val="26"/>
        </w:rPr>
        <w:t xml:space="preserve">Order </w:t>
      </w:r>
      <w:r w:rsidR="008C7DE0">
        <w:rPr>
          <w:szCs w:val="26"/>
        </w:rPr>
        <w:t xml:space="preserve">No. </w:t>
      </w:r>
      <w:r w:rsidR="003171FC">
        <w:rPr>
          <w:szCs w:val="26"/>
        </w:rPr>
        <w:t>872</w:t>
      </w:r>
      <w:r w:rsidR="00DA6082">
        <w:rPr>
          <w:szCs w:val="26"/>
        </w:rPr>
        <w:t xml:space="preserve"> </w:t>
      </w:r>
      <w:r w:rsidR="00CB4C72">
        <w:rPr>
          <w:szCs w:val="26"/>
        </w:rPr>
        <w:t xml:space="preserve">and </w:t>
      </w:r>
      <w:r w:rsidR="00504A20">
        <w:rPr>
          <w:szCs w:val="26"/>
        </w:rPr>
        <w:t xml:space="preserve">Order </w:t>
      </w:r>
      <w:r w:rsidR="008C7DE0">
        <w:rPr>
          <w:szCs w:val="26"/>
        </w:rPr>
        <w:t xml:space="preserve">No. </w:t>
      </w:r>
      <w:r w:rsidR="00504A20">
        <w:rPr>
          <w:szCs w:val="26"/>
        </w:rPr>
        <w:t>872-A</w:t>
      </w:r>
      <w:r w:rsidR="00CB4C72">
        <w:rPr>
          <w:szCs w:val="26"/>
        </w:rPr>
        <w:t xml:space="preserve"> </w:t>
      </w:r>
      <w:r>
        <w:rPr>
          <w:szCs w:val="26"/>
        </w:rPr>
        <w:t>in Docket Nos RM19-15</w:t>
      </w:r>
      <w:r w:rsidR="00CB4C72">
        <w:rPr>
          <w:szCs w:val="26"/>
        </w:rPr>
        <w:t>-000 and -001</w:t>
      </w:r>
      <w:r>
        <w:rPr>
          <w:szCs w:val="26"/>
        </w:rPr>
        <w:t xml:space="preserve"> and AD16-16</w:t>
      </w:r>
      <w:r w:rsidR="00CB4C72">
        <w:rPr>
          <w:szCs w:val="26"/>
        </w:rPr>
        <w:t>-000 and -001</w:t>
      </w:r>
      <w:r>
        <w:rPr>
          <w:szCs w:val="26"/>
        </w:rPr>
        <w:t xml:space="preserve"> follow.</w:t>
      </w:r>
      <w:r w:rsidR="00CB4C72">
        <w:rPr>
          <w:szCs w:val="26"/>
        </w:rPr>
        <w:t xml:space="preserve">  (Note that FERC-912 is not affected by the rehearing order.)</w:t>
      </w:r>
    </w:p>
    <w:p w:rsidR="00EB053F" w:rsidRDefault="00EB053F" w14:paraId="13956534" w14:textId="77777777">
      <w:pPr>
        <w:pStyle w:val="FERCparanumber"/>
        <w:numPr>
          <w:ilvl w:val="0"/>
          <w:numId w:val="0"/>
        </w:numPr>
        <w:rPr>
          <w:szCs w:val="26"/>
        </w:rPr>
      </w:pPr>
    </w:p>
    <w:tbl>
      <w:tblPr>
        <w:tblpPr w:leftFromText="180" w:rightFromText="180" w:vertAnchor="text" w:horzAnchor="margin" w:tblpX="-305" w:tblpY="79"/>
        <w:tblW w:w="10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75"/>
        <w:gridCol w:w="1355"/>
        <w:gridCol w:w="1353"/>
        <w:gridCol w:w="1260"/>
        <w:gridCol w:w="1170"/>
        <w:gridCol w:w="1079"/>
        <w:gridCol w:w="1166"/>
        <w:gridCol w:w="1262"/>
      </w:tblGrid>
      <w:tr w:rsidR="00EB053F" w14:paraId="04A2095D" w14:textId="77777777">
        <w:trPr>
          <w:cantSplit/>
        </w:trPr>
        <w:tc>
          <w:tcPr>
            <w:tcW w:w="5000" w:type="pct"/>
            <w:gridSpan w:val="8"/>
            <w:tcBorders>
              <w:top w:val="single" w:color="auto" w:sz="4" w:space="0"/>
              <w:left w:val="single" w:color="auto" w:sz="4" w:space="0"/>
              <w:bottom w:val="single" w:color="auto" w:sz="4" w:space="0"/>
              <w:right w:val="single" w:color="auto" w:sz="4" w:space="0"/>
            </w:tcBorders>
            <w:shd w:val="clear" w:color="auto" w:fill="D9D9D9"/>
          </w:tcPr>
          <w:p w:rsidR="00EB053F" w:rsidRDefault="00F63BA0" w14:paraId="6558397B" w14:textId="603B7D43">
            <w:pPr>
              <w:jc w:val="center"/>
              <w:rPr>
                <w:rFonts w:eastAsia="Calibri"/>
                <w:b/>
                <w:sz w:val="26"/>
                <w:szCs w:val="26"/>
              </w:rPr>
            </w:pPr>
            <w:r>
              <w:rPr>
                <w:b/>
                <w:sz w:val="26"/>
                <w:szCs w:val="26"/>
              </w:rPr>
              <w:t>FERC-556, Changes Due to Docket Nos. RM19-15 and AD16-16</w:t>
            </w:r>
            <w:r>
              <w:rPr>
                <w:sz w:val="26"/>
                <w:szCs w:val="26"/>
                <w:vertAlign w:val="superscript"/>
              </w:rPr>
              <w:footnoteReference w:id="84"/>
            </w:r>
            <w:r>
              <w:rPr>
                <w:b/>
                <w:sz w:val="26"/>
                <w:szCs w:val="26"/>
                <w:vertAlign w:val="superscript"/>
              </w:rPr>
              <w:t xml:space="preserve"> </w:t>
            </w:r>
          </w:p>
        </w:tc>
      </w:tr>
      <w:tr w:rsidR="00EB053F" w14:paraId="224ED4D6" w14:textId="77777777">
        <w:trPr>
          <w:cantSplit/>
        </w:trPr>
        <w:tc>
          <w:tcPr>
            <w:tcW w:w="93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EB053F" w:rsidRDefault="00F63BA0" w14:paraId="574DFAEB" w14:textId="77777777">
            <w:pPr>
              <w:jc w:val="center"/>
              <w:rPr>
                <w:b/>
                <w:sz w:val="20"/>
                <w:szCs w:val="20"/>
              </w:rPr>
            </w:pPr>
            <w:r>
              <w:rPr>
                <w:b/>
                <w:sz w:val="20"/>
                <w:szCs w:val="20"/>
              </w:rPr>
              <w:t>Facility Type</w:t>
            </w:r>
          </w:p>
        </w:tc>
        <w:tc>
          <w:tcPr>
            <w:tcW w:w="63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EB053F" w:rsidRDefault="00F63BA0" w14:paraId="659FE3CF" w14:textId="77777777">
            <w:pPr>
              <w:jc w:val="center"/>
              <w:rPr>
                <w:b/>
                <w:sz w:val="20"/>
                <w:szCs w:val="20"/>
              </w:rPr>
            </w:pPr>
            <w:r>
              <w:rPr>
                <w:b/>
                <w:sz w:val="20"/>
                <w:szCs w:val="20"/>
              </w:rPr>
              <w:t>Filing Type</w:t>
            </w:r>
          </w:p>
        </w:tc>
        <w:tc>
          <w:tcPr>
            <w:tcW w:w="63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EB053F" w:rsidRDefault="00F63BA0" w14:paraId="41F35F41" w14:textId="77777777">
            <w:pPr>
              <w:jc w:val="center"/>
              <w:rPr>
                <w:b/>
                <w:sz w:val="20"/>
                <w:szCs w:val="20"/>
              </w:rPr>
            </w:pPr>
            <w:r>
              <w:rPr>
                <w:b/>
                <w:sz w:val="20"/>
                <w:szCs w:val="20"/>
              </w:rPr>
              <w:t>Number of Respondents</w:t>
            </w:r>
          </w:p>
          <w:p w:rsidR="00EB053F" w:rsidRDefault="00F63BA0" w14:paraId="309A1F66" w14:textId="77777777">
            <w:pPr>
              <w:jc w:val="center"/>
              <w:rPr>
                <w:b/>
                <w:sz w:val="20"/>
                <w:szCs w:val="20"/>
              </w:rPr>
            </w:pPr>
            <w:r>
              <w:rPr>
                <w:b/>
                <w:sz w:val="20"/>
                <w:szCs w:val="20"/>
              </w:rPr>
              <w:t>(1)</w:t>
            </w:r>
          </w:p>
        </w:tc>
        <w:tc>
          <w:tcPr>
            <w:tcW w:w="59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EB053F" w:rsidRDefault="00F63BA0" w14:paraId="23B35D47" w14:textId="77777777">
            <w:pPr>
              <w:jc w:val="center"/>
              <w:rPr>
                <w:b/>
                <w:sz w:val="20"/>
                <w:szCs w:val="20"/>
              </w:rPr>
            </w:pPr>
            <w:r>
              <w:rPr>
                <w:b/>
                <w:sz w:val="20"/>
                <w:szCs w:val="20"/>
              </w:rPr>
              <w:t>Annual Number of Responses per Respondent</w:t>
            </w:r>
          </w:p>
          <w:p w:rsidR="00EB053F" w:rsidRDefault="00F63BA0" w14:paraId="330E42BD" w14:textId="77777777">
            <w:pPr>
              <w:jc w:val="center"/>
              <w:rPr>
                <w:b/>
                <w:sz w:val="20"/>
                <w:szCs w:val="20"/>
              </w:rPr>
            </w:pPr>
            <w:r>
              <w:rPr>
                <w:b/>
                <w:sz w:val="20"/>
                <w:szCs w:val="20"/>
              </w:rPr>
              <w:t>(2)</w:t>
            </w:r>
          </w:p>
        </w:tc>
        <w:tc>
          <w:tcPr>
            <w:tcW w:w="55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EB053F" w:rsidRDefault="00F63BA0" w14:paraId="45230D40" w14:textId="77777777">
            <w:pPr>
              <w:jc w:val="center"/>
              <w:rPr>
                <w:b/>
                <w:sz w:val="20"/>
                <w:szCs w:val="20"/>
              </w:rPr>
            </w:pPr>
            <w:r>
              <w:rPr>
                <w:b/>
                <w:sz w:val="20"/>
                <w:szCs w:val="20"/>
              </w:rPr>
              <w:t>Total Number of Responses</w:t>
            </w:r>
          </w:p>
          <w:p w:rsidR="00EB053F" w:rsidRDefault="00F63BA0" w14:paraId="6CC019C1" w14:textId="77777777">
            <w:pPr>
              <w:jc w:val="center"/>
              <w:rPr>
                <w:b/>
                <w:sz w:val="20"/>
                <w:szCs w:val="20"/>
              </w:rPr>
            </w:pPr>
            <w:r>
              <w:rPr>
                <w:b/>
                <w:sz w:val="20"/>
                <w:szCs w:val="20"/>
              </w:rPr>
              <w:t>(1)*(2)=(3)</w:t>
            </w:r>
          </w:p>
        </w:tc>
        <w:tc>
          <w:tcPr>
            <w:tcW w:w="50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EB053F" w:rsidRDefault="00F63BA0" w14:paraId="20A8E239" w14:textId="77777777">
            <w:pPr>
              <w:jc w:val="center"/>
              <w:rPr>
                <w:b/>
                <w:sz w:val="20"/>
                <w:szCs w:val="20"/>
              </w:rPr>
            </w:pPr>
            <w:r>
              <w:rPr>
                <w:b/>
                <w:sz w:val="20"/>
                <w:szCs w:val="20"/>
              </w:rPr>
              <w:t>Increased Average Burden Hours &amp; Cost Per Response ($)</w:t>
            </w:r>
          </w:p>
          <w:p w:rsidR="00EB053F" w:rsidRDefault="00F63BA0" w14:paraId="09FB67C5" w14:textId="77777777">
            <w:pPr>
              <w:jc w:val="center"/>
              <w:rPr>
                <w:b/>
                <w:sz w:val="20"/>
                <w:szCs w:val="20"/>
              </w:rPr>
            </w:pPr>
            <w:r>
              <w:rPr>
                <w:b/>
                <w:sz w:val="20"/>
                <w:szCs w:val="20"/>
              </w:rPr>
              <w:lastRenderedPageBreak/>
              <w:t>(4)</w:t>
            </w:r>
          </w:p>
        </w:tc>
        <w:tc>
          <w:tcPr>
            <w:tcW w:w="54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EB053F" w:rsidRDefault="00F63BA0" w14:paraId="0CC8B9DA" w14:textId="77777777">
            <w:pPr>
              <w:jc w:val="center"/>
              <w:rPr>
                <w:b/>
                <w:sz w:val="20"/>
                <w:szCs w:val="20"/>
              </w:rPr>
            </w:pPr>
            <w:r>
              <w:rPr>
                <w:b/>
                <w:sz w:val="20"/>
                <w:szCs w:val="20"/>
              </w:rPr>
              <w:lastRenderedPageBreak/>
              <w:t xml:space="preserve">Increased Total Annual Burden Hours &amp; Total Annual </w:t>
            </w:r>
            <w:r>
              <w:rPr>
                <w:b/>
                <w:sz w:val="20"/>
                <w:szCs w:val="20"/>
              </w:rPr>
              <w:lastRenderedPageBreak/>
              <w:t>Cost ($)</w:t>
            </w:r>
          </w:p>
          <w:p w:rsidR="00EB053F" w:rsidRDefault="00F63BA0" w14:paraId="0B8E860A" w14:textId="77777777">
            <w:pPr>
              <w:jc w:val="center"/>
              <w:rPr>
                <w:b/>
                <w:sz w:val="20"/>
                <w:szCs w:val="20"/>
              </w:rPr>
            </w:pPr>
            <w:r>
              <w:rPr>
                <w:b/>
                <w:sz w:val="20"/>
                <w:szCs w:val="20"/>
              </w:rPr>
              <w:t>(3)*(4)=(5)</w:t>
            </w:r>
          </w:p>
        </w:tc>
        <w:tc>
          <w:tcPr>
            <w:tcW w:w="59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00EB053F" w:rsidRDefault="00F63BA0" w14:paraId="75B8D6B1" w14:textId="77777777">
            <w:pPr>
              <w:jc w:val="center"/>
              <w:rPr>
                <w:b/>
                <w:sz w:val="20"/>
                <w:szCs w:val="20"/>
              </w:rPr>
            </w:pPr>
            <w:r>
              <w:rPr>
                <w:b/>
                <w:sz w:val="20"/>
                <w:szCs w:val="20"/>
              </w:rPr>
              <w:lastRenderedPageBreak/>
              <w:t xml:space="preserve">Increased Annual Cost per Respondent </w:t>
            </w:r>
          </w:p>
          <w:p w:rsidR="00EB053F" w:rsidRDefault="00F63BA0" w14:paraId="4F1132D2" w14:textId="77777777">
            <w:pPr>
              <w:jc w:val="center"/>
              <w:rPr>
                <w:b/>
                <w:sz w:val="20"/>
                <w:szCs w:val="20"/>
              </w:rPr>
            </w:pPr>
            <w:r>
              <w:rPr>
                <w:b/>
                <w:sz w:val="20"/>
                <w:szCs w:val="20"/>
              </w:rPr>
              <w:t>($)</w:t>
            </w:r>
          </w:p>
          <w:p w:rsidR="00EB053F" w:rsidRDefault="00F63BA0" w14:paraId="61D77921" w14:textId="77777777">
            <w:pPr>
              <w:jc w:val="center"/>
              <w:rPr>
                <w:b/>
                <w:sz w:val="20"/>
                <w:szCs w:val="20"/>
              </w:rPr>
            </w:pPr>
            <w:r>
              <w:rPr>
                <w:b/>
                <w:sz w:val="20"/>
                <w:szCs w:val="20"/>
              </w:rPr>
              <w:t>(5)÷(1)=(6)</w:t>
            </w:r>
          </w:p>
        </w:tc>
      </w:tr>
      <w:tr w:rsidR="00EB053F" w14:paraId="6ADDDC48" w14:textId="77777777">
        <w:trPr>
          <w:cantSplit/>
          <w:trHeight w:val="968"/>
        </w:trPr>
        <w:tc>
          <w:tcPr>
            <w:tcW w:w="930" w:type="pct"/>
            <w:tcBorders>
              <w:top w:val="single" w:color="auto" w:sz="4" w:space="0"/>
              <w:left w:val="single" w:color="auto" w:sz="4" w:space="0"/>
              <w:bottom w:val="single" w:color="auto" w:sz="4" w:space="0"/>
              <w:right w:val="single" w:color="auto" w:sz="4" w:space="0"/>
            </w:tcBorders>
            <w:shd w:val="clear" w:color="auto" w:fill="FFFFFF"/>
            <w:vAlign w:val="center"/>
          </w:tcPr>
          <w:p w:rsidR="00EB053F" w:rsidRDefault="00F63BA0" w14:paraId="4547D428" w14:textId="77777777">
            <w:pPr>
              <w:rPr>
                <w:b/>
                <w:sz w:val="20"/>
                <w:szCs w:val="20"/>
              </w:rPr>
            </w:pPr>
            <w:r>
              <w:rPr>
                <w:sz w:val="20"/>
                <w:szCs w:val="20"/>
              </w:rPr>
              <w:t>Cogeneration and Small Power Production Facility ≤ 1 MW</w:t>
            </w:r>
            <w:r>
              <w:rPr>
                <w:b/>
                <w:sz w:val="20"/>
                <w:szCs w:val="20"/>
                <w:vertAlign w:val="superscript"/>
              </w:rPr>
              <w:footnoteReference w:id="85"/>
            </w:r>
          </w:p>
        </w:tc>
        <w:tc>
          <w:tcPr>
            <w:tcW w:w="638" w:type="pct"/>
            <w:tcBorders>
              <w:top w:val="single" w:color="auto" w:sz="4" w:space="0"/>
              <w:left w:val="single" w:color="auto" w:sz="4" w:space="0"/>
              <w:bottom w:val="single" w:color="auto" w:sz="4" w:space="0"/>
              <w:right w:val="single" w:color="auto" w:sz="4" w:space="0"/>
            </w:tcBorders>
            <w:shd w:val="clear" w:color="auto" w:fill="FFFFFF"/>
            <w:vAlign w:val="center"/>
          </w:tcPr>
          <w:p w:rsidR="00EB053F" w:rsidRDefault="00F63BA0" w14:paraId="6FA2E822" w14:textId="77777777">
            <w:pPr>
              <w:rPr>
                <w:b/>
                <w:sz w:val="20"/>
                <w:szCs w:val="20"/>
              </w:rPr>
            </w:pPr>
            <w:r>
              <w:rPr>
                <w:sz w:val="20"/>
                <w:szCs w:val="20"/>
              </w:rPr>
              <w:t>Self-certification</w:t>
            </w:r>
          </w:p>
        </w:tc>
        <w:tc>
          <w:tcPr>
            <w:tcW w:w="637" w:type="pct"/>
            <w:tcBorders>
              <w:top w:val="single" w:color="auto" w:sz="4" w:space="0"/>
              <w:left w:val="single" w:color="auto" w:sz="4" w:space="0"/>
              <w:bottom w:val="single" w:color="auto" w:sz="4" w:space="0"/>
              <w:right w:val="single" w:color="auto" w:sz="4" w:space="0"/>
            </w:tcBorders>
            <w:shd w:val="clear" w:color="auto" w:fill="FFFFFF"/>
            <w:vAlign w:val="center"/>
          </w:tcPr>
          <w:p w:rsidR="00EB053F" w:rsidRDefault="00F63BA0" w14:paraId="57B045E1" w14:textId="77777777">
            <w:pPr>
              <w:jc w:val="right"/>
              <w:rPr>
                <w:sz w:val="20"/>
                <w:szCs w:val="20"/>
              </w:rPr>
            </w:pPr>
            <w:r>
              <w:rPr>
                <w:sz w:val="20"/>
                <w:szCs w:val="20"/>
              </w:rPr>
              <w:t>no change</w:t>
            </w:r>
          </w:p>
          <w:p w:rsidR="00EB053F" w:rsidRDefault="00F63BA0" w14:paraId="2075A760" w14:textId="77777777">
            <w:pPr>
              <w:jc w:val="right"/>
              <w:rPr>
                <w:b/>
                <w:sz w:val="20"/>
                <w:szCs w:val="20"/>
              </w:rPr>
            </w:pPr>
            <w:r>
              <w:rPr>
                <w:sz w:val="20"/>
                <w:szCs w:val="20"/>
              </w:rPr>
              <w:t>(692)</w:t>
            </w:r>
          </w:p>
        </w:tc>
        <w:tc>
          <w:tcPr>
            <w:tcW w:w="593" w:type="pct"/>
            <w:tcBorders>
              <w:top w:val="single" w:color="auto" w:sz="4" w:space="0"/>
              <w:left w:val="single" w:color="auto" w:sz="4" w:space="0"/>
              <w:bottom w:val="single" w:color="auto" w:sz="4" w:space="0"/>
              <w:right w:val="single" w:color="auto" w:sz="4" w:space="0"/>
            </w:tcBorders>
            <w:shd w:val="clear" w:color="auto" w:fill="FFFFFF"/>
            <w:vAlign w:val="center"/>
          </w:tcPr>
          <w:p w:rsidR="00EB053F" w:rsidRDefault="00F63BA0" w14:paraId="5CA2D129" w14:textId="77777777">
            <w:pPr>
              <w:jc w:val="right"/>
              <w:rPr>
                <w:sz w:val="20"/>
                <w:szCs w:val="20"/>
              </w:rPr>
            </w:pPr>
            <w:r>
              <w:rPr>
                <w:sz w:val="20"/>
                <w:szCs w:val="20"/>
              </w:rPr>
              <w:t>no change</w:t>
            </w:r>
          </w:p>
          <w:p w:rsidR="00EB053F" w:rsidRDefault="00F63BA0" w14:paraId="6D3EF014" w14:textId="77777777">
            <w:pPr>
              <w:jc w:val="right"/>
              <w:rPr>
                <w:b/>
                <w:sz w:val="20"/>
                <w:szCs w:val="20"/>
              </w:rPr>
            </w:pPr>
            <w:r>
              <w:rPr>
                <w:sz w:val="20"/>
                <w:szCs w:val="20"/>
              </w:rPr>
              <w:t>(1.25)</w:t>
            </w:r>
          </w:p>
        </w:tc>
        <w:tc>
          <w:tcPr>
            <w:tcW w:w="551" w:type="pct"/>
            <w:tcBorders>
              <w:top w:val="single" w:color="auto" w:sz="4" w:space="0"/>
              <w:left w:val="single" w:color="auto" w:sz="4" w:space="0"/>
              <w:bottom w:val="single" w:color="auto" w:sz="4" w:space="0"/>
              <w:right w:val="single" w:color="auto" w:sz="4" w:space="0"/>
            </w:tcBorders>
            <w:shd w:val="clear" w:color="auto" w:fill="FFFFFF"/>
            <w:vAlign w:val="center"/>
          </w:tcPr>
          <w:p w:rsidR="00EB053F" w:rsidRDefault="00F63BA0" w14:paraId="228D1578" w14:textId="77777777">
            <w:pPr>
              <w:jc w:val="right"/>
              <w:rPr>
                <w:sz w:val="20"/>
                <w:szCs w:val="20"/>
              </w:rPr>
            </w:pPr>
            <w:r>
              <w:rPr>
                <w:sz w:val="20"/>
                <w:szCs w:val="20"/>
              </w:rPr>
              <w:t>no change</w:t>
            </w:r>
          </w:p>
          <w:p w:rsidR="00EB053F" w:rsidRDefault="00F63BA0" w14:paraId="197D6D25" w14:textId="77777777">
            <w:pPr>
              <w:jc w:val="right"/>
              <w:rPr>
                <w:b/>
                <w:sz w:val="20"/>
                <w:szCs w:val="20"/>
              </w:rPr>
            </w:pPr>
            <w:r>
              <w:rPr>
                <w:sz w:val="20"/>
                <w:szCs w:val="20"/>
              </w:rPr>
              <w:t>(865)</w:t>
            </w:r>
          </w:p>
        </w:tc>
        <w:tc>
          <w:tcPr>
            <w:tcW w:w="508" w:type="pct"/>
            <w:tcBorders>
              <w:top w:val="single" w:color="auto" w:sz="4" w:space="0"/>
              <w:left w:val="single" w:color="auto" w:sz="4" w:space="0"/>
              <w:bottom w:val="single" w:color="auto" w:sz="4" w:space="0"/>
              <w:right w:val="single" w:color="auto" w:sz="4" w:space="0"/>
            </w:tcBorders>
            <w:shd w:val="clear" w:color="auto" w:fill="FFFFFF"/>
            <w:vAlign w:val="center"/>
          </w:tcPr>
          <w:p w:rsidR="00EB053F" w:rsidRDefault="00F63BA0" w14:paraId="7BD0E207" w14:textId="77777777">
            <w:pPr>
              <w:jc w:val="right"/>
              <w:rPr>
                <w:sz w:val="20"/>
                <w:szCs w:val="20"/>
              </w:rPr>
            </w:pPr>
            <w:r>
              <w:rPr>
                <w:sz w:val="20"/>
                <w:szCs w:val="20"/>
              </w:rPr>
              <w:t>no change</w:t>
            </w:r>
          </w:p>
          <w:p w:rsidR="00EB053F" w:rsidRDefault="00F63BA0" w14:paraId="177C3296" w14:textId="77777777">
            <w:pPr>
              <w:jc w:val="right"/>
              <w:rPr>
                <w:sz w:val="20"/>
                <w:szCs w:val="20"/>
              </w:rPr>
            </w:pPr>
            <w:r>
              <w:rPr>
                <w:sz w:val="20"/>
                <w:szCs w:val="20"/>
              </w:rPr>
              <w:t>(1.5 hrs.);</w:t>
            </w:r>
          </w:p>
          <w:p w:rsidR="00EB053F" w:rsidRDefault="00F63BA0" w14:paraId="12AD6AB4" w14:textId="77777777">
            <w:pPr>
              <w:jc w:val="right"/>
              <w:rPr>
                <w:sz w:val="20"/>
                <w:szCs w:val="20"/>
              </w:rPr>
            </w:pPr>
            <w:r>
              <w:rPr>
                <w:sz w:val="20"/>
                <w:szCs w:val="20"/>
              </w:rPr>
              <w:t>$0</w:t>
            </w:r>
          </w:p>
        </w:tc>
        <w:tc>
          <w:tcPr>
            <w:tcW w:w="549" w:type="pct"/>
            <w:tcBorders>
              <w:top w:val="single" w:color="auto" w:sz="4" w:space="0"/>
              <w:left w:val="single" w:color="auto" w:sz="4" w:space="0"/>
              <w:bottom w:val="single" w:color="auto" w:sz="4" w:space="0"/>
              <w:right w:val="single" w:color="auto" w:sz="4" w:space="0"/>
            </w:tcBorders>
            <w:shd w:val="clear" w:color="auto" w:fill="FFFFFF"/>
            <w:vAlign w:val="center"/>
          </w:tcPr>
          <w:p w:rsidR="00EB053F" w:rsidRDefault="00F63BA0" w14:paraId="21E33670" w14:textId="77777777">
            <w:pPr>
              <w:jc w:val="right"/>
              <w:rPr>
                <w:sz w:val="20"/>
                <w:szCs w:val="20"/>
              </w:rPr>
            </w:pPr>
            <w:r>
              <w:rPr>
                <w:sz w:val="20"/>
                <w:szCs w:val="20"/>
              </w:rPr>
              <w:t xml:space="preserve"> no change</w:t>
            </w:r>
          </w:p>
          <w:p w:rsidR="00EB053F" w:rsidRDefault="00F63BA0" w14:paraId="24AC1F43" w14:textId="77777777">
            <w:pPr>
              <w:jc w:val="right"/>
              <w:rPr>
                <w:sz w:val="20"/>
                <w:szCs w:val="20"/>
              </w:rPr>
            </w:pPr>
            <w:r>
              <w:rPr>
                <w:sz w:val="20"/>
                <w:szCs w:val="20"/>
              </w:rPr>
              <w:t>(1,297.5 hrs.);</w:t>
            </w:r>
          </w:p>
          <w:p w:rsidR="00EB053F" w:rsidRDefault="00F63BA0" w14:paraId="7A380622" w14:textId="77777777">
            <w:pPr>
              <w:jc w:val="right"/>
              <w:rPr>
                <w:sz w:val="20"/>
                <w:szCs w:val="20"/>
              </w:rPr>
            </w:pPr>
            <w:r>
              <w:rPr>
                <w:sz w:val="20"/>
                <w:szCs w:val="20"/>
              </w:rPr>
              <w:t>$0</w:t>
            </w:r>
          </w:p>
        </w:tc>
        <w:tc>
          <w:tcPr>
            <w:tcW w:w="594" w:type="pct"/>
            <w:tcBorders>
              <w:top w:val="single" w:color="auto" w:sz="4" w:space="0"/>
              <w:left w:val="single" w:color="auto" w:sz="4" w:space="0"/>
              <w:bottom w:val="single" w:color="auto" w:sz="4" w:space="0"/>
              <w:right w:val="single" w:color="auto" w:sz="4" w:space="0"/>
            </w:tcBorders>
            <w:shd w:val="clear" w:color="auto" w:fill="FFFFFF"/>
            <w:vAlign w:val="center"/>
          </w:tcPr>
          <w:p w:rsidR="00EB053F" w:rsidRDefault="00F63BA0" w14:paraId="52503A6A" w14:textId="77777777">
            <w:pPr>
              <w:jc w:val="right"/>
              <w:rPr>
                <w:sz w:val="20"/>
                <w:szCs w:val="20"/>
              </w:rPr>
            </w:pPr>
            <w:r>
              <w:rPr>
                <w:sz w:val="20"/>
                <w:szCs w:val="20"/>
              </w:rPr>
              <w:t>$0</w:t>
            </w:r>
          </w:p>
        </w:tc>
      </w:tr>
      <w:tr w:rsidR="00EB053F" w14:paraId="10E21164" w14:textId="77777777">
        <w:trPr>
          <w:cantSplit/>
        </w:trPr>
        <w:tc>
          <w:tcPr>
            <w:tcW w:w="930" w:type="pct"/>
            <w:tcBorders>
              <w:top w:val="single" w:color="auto" w:sz="4" w:space="0"/>
              <w:left w:val="single" w:color="auto" w:sz="4" w:space="0"/>
              <w:bottom w:val="single" w:color="auto" w:sz="4" w:space="0"/>
              <w:right w:val="single" w:color="auto" w:sz="4" w:space="0"/>
            </w:tcBorders>
            <w:vAlign w:val="center"/>
            <w:hideMark/>
          </w:tcPr>
          <w:p w:rsidR="00EB053F" w:rsidRDefault="00F63BA0" w14:paraId="5C58A5F3" w14:textId="77777777">
            <w:pPr>
              <w:rPr>
                <w:sz w:val="20"/>
                <w:szCs w:val="20"/>
              </w:rPr>
            </w:pPr>
            <w:r>
              <w:rPr>
                <w:sz w:val="20"/>
                <w:szCs w:val="20"/>
              </w:rPr>
              <w:t>Cogeneration Facility &gt; 1 MW</w:t>
            </w:r>
          </w:p>
        </w:tc>
        <w:tc>
          <w:tcPr>
            <w:tcW w:w="638" w:type="pct"/>
            <w:tcBorders>
              <w:top w:val="single" w:color="auto" w:sz="4" w:space="0"/>
              <w:left w:val="single" w:color="auto" w:sz="4" w:space="0"/>
              <w:bottom w:val="single" w:color="auto" w:sz="4" w:space="0"/>
              <w:right w:val="single" w:color="auto" w:sz="4" w:space="0"/>
            </w:tcBorders>
            <w:vAlign w:val="center"/>
            <w:hideMark/>
          </w:tcPr>
          <w:p w:rsidR="00EB053F" w:rsidRDefault="00F63BA0" w14:paraId="4FE3356A" w14:textId="77777777">
            <w:pPr>
              <w:rPr>
                <w:sz w:val="20"/>
                <w:szCs w:val="20"/>
              </w:rPr>
            </w:pPr>
            <w:r>
              <w:rPr>
                <w:sz w:val="20"/>
                <w:szCs w:val="20"/>
              </w:rPr>
              <w:t>Self-certification</w:t>
            </w:r>
          </w:p>
        </w:tc>
        <w:tc>
          <w:tcPr>
            <w:tcW w:w="637" w:type="pct"/>
            <w:tcBorders>
              <w:top w:val="single" w:color="auto" w:sz="4" w:space="0"/>
              <w:left w:val="single" w:color="auto" w:sz="4" w:space="0"/>
              <w:bottom w:val="single" w:color="auto" w:sz="4" w:space="0"/>
              <w:right w:val="single" w:color="auto" w:sz="4" w:space="0"/>
            </w:tcBorders>
            <w:vAlign w:val="center"/>
          </w:tcPr>
          <w:p w:rsidR="00EB053F" w:rsidRDefault="00F63BA0" w14:paraId="5A85110D" w14:textId="77777777">
            <w:pPr>
              <w:jc w:val="right"/>
              <w:rPr>
                <w:sz w:val="20"/>
                <w:szCs w:val="20"/>
              </w:rPr>
            </w:pPr>
            <w:r>
              <w:rPr>
                <w:sz w:val="20"/>
                <w:szCs w:val="20"/>
              </w:rPr>
              <w:t xml:space="preserve">no change </w:t>
            </w:r>
          </w:p>
          <w:p w:rsidR="00EB053F" w:rsidRDefault="00F63BA0" w14:paraId="3DEC0EFE" w14:textId="77777777">
            <w:pPr>
              <w:jc w:val="right"/>
              <w:rPr>
                <w:sz w:val="20"/>
                <w:szCs w:val="20"/>
              </w:rPr>
            </w:pPr>
            <w:r>
              <w:rPr>
                <w:sz w:val="20"/>
                <w:szCs w:val="20"/>
              </w:rPr>
              <w:t xml:space="preserve"> (63)</w:t>
            </w:r>
          </w:p>
        </w:tc>
        <w:tc>
          <w:tcPr>
            <w:tcW w:w="593" w:type="pct"/>
            <w:tcBorders>
              <w:top w:val="single" w:color="auto" w:sz="4" w:space="0"/>
              <w:left w:val="single" w:color="auto" w:sz="4" w:space="0"/>
              <w:bottom w:val="single" w:color="auto" w:sz="4" w:space="0"/>
              <w:right w:val="single" w:color="auto" w:sz="4" w:space="0"/>
            </w:tcBorders>
            <w:vAlign w:val="center"/>
            <w:hideMark/>
          </w:tcPr>
          <w:p w:rsidR="00EB053F" w:rsidRDefault="00F63BA0" w14:paraId="2407F600" w14:textId="77777777">
            <w:pPr>
              <w:jc w:val="right"/>
              <w:rPr>
                <w:sz w:val="20"/>
                <w:szCs w:val="20"/>
              </w:rPr>
            </w:pPr>
            <w:r>
              <w:rPr>
                <w:sz w:val="20"/>
                <w:szCs w:val="20"/>
              </w:rPr>
              <w:t>no change</w:t>
            </w:r>
          </w:p>
          <w:p w:rsidR="00EB053F" w:rsidRDefault="00F63BA0" w14:paraId="60751BAA" w14:textId="77777777">
            <w:pPr>
              <w:jc w:val="right"/>
              <w:rPr>
                <w:sz w:val="20"/>
                <w:szCs w:val="20"/>
              </w:rPr>
            </w:pPr>
            <w:r>
              <w:rPr>
                <w:sz w:val="20"/>
                <w:szCs w:val="20"/>
              </w:rPr>
              <w:t>(1.25)</w:t>
            </w:r>
          </w:p>
        </w:tc>
        <w:tc>
          <w:tcPr>
            <w:tcW w:w="551" w:type="pct"/>
            <w:tcBorders>
              <w:top w:val="single" w:color="auto" w:sz="4" w:space="0"/>
              <w:left w:val="single" w:color="auto" w:sz="4" w:space="0"/>
              <w:bottom w:val="single" w:color="auto" w:sz="4" w:space="0"/>
              <w:right w:val="single" w:color="auto" w:sz="4" w:space="0"/>
            </w:tcBorders>
            <w:vAlign w:val="center"/>
            <w:hideMark/>
          </w:tcPr>
          <w:p w:rsidR="00EB053F" w:rsidRDefault="00F63BA0" w14:paraId="07B33568" w14:textId="77777777">
            <w:pPr>
              <w:jc w:val="right"/>
              <w:rPr>
                <w:sz w:val="20"/>
                <w:szCs w:val="20"/>
              </w:rPr>
            </w:pPr>
            <w:r>
              <w:rPr>
                <w:sz w:val="20"/>
                <w:szCs w:val="20"/>
              </w:rPr>
              <w:t>no change</w:t>
            </w:r>
          </w:p>
          <w:p w:rsidR="00EB053F" w:rsidRDefault="00F63BA0" w14:paraId="011498CC" w14:textId="77777777">
            <w:pPr>
              <w:jc w:val="right"/>
              <w:rPr>
                <w:sz w:val="20"/>
                <w:szCs w:val="20"/>
              </w:rPr>
            </w:pPr>
            <w:r>
              <w:rPr>
                <w:sz w:val="20"/>
                <w:szCs w:val="20"/>
              </w:rPr>
              <w:t>(78.75)</w:t>
            </w:r>
          </w:p>
        </w:tc>
        <w:tc>
          <w:tcPr>
            <w:tcW w:w="508" w:type="pct"/>
            <w:tcBorders>
              <w:top w:val="single" w:color="auto" w:sz="4" w:space="0"/>
              <w:left w:val="single" w:color="auto" w:sz="4" w:space="0"/>
              <w:bottom w:val="single" w:color="auto" w:sz="4" w:space="0"/>
              <w:right w:val="single" w:color="auto" w:sz="4" w:space="0"/>
            </w:tcBorders>
            <w:vAlign w:val="center"/>
            <w:hideMark/>
          </w:tcPr>
          <w:p w:rsidR="00EB053F" w:rsidRDefault="00F63BA0" w14:paraId="0E367E90" w14:textId="77777777">
            <w:pPr>
              <w:jc w:val="right"/>
              <w:rPr>
                <w:sz w:val="20"/>
                <w:szCs w:val="20"/>
              </w:rPr>
            </w:pPr>
            <w:r>
              <w:rPr>
                <w:sz w:val="20"/>
                <w:szCs w:val="20"/>
              </w:rPr>
              <w:t>no change</w:t>
            </w:r>
          </w:p>
          <w:p w:rsidR="00EB053F" w:rsidRDefault="00F63BA0" w14:paraId="5BA2137C" w14:textId="77777777">
            <w:pPr>
              <w:jc w:val="right"/>
              <w:rPr>
                <w:sz w:val="20"/>
                <w:szCs w:val="20"/>
              </w:rPr>
            </w:pPr>
            <w:r>
              <w:rPr>
                <w:sz w:val="20"/>
                <w:szCs w:val="20"/>
              </w:rPr>
              <w:t>(1.5 hrs.);</w:t>
            </w:r>
          </w:p>
          <w:p w:rsidR="00EB053F" w:rsidRDefault="00F63BA0" w14:paraId="73D251B9" w14:textId="77777777">
            <w:pPr>
              <w:jc w:val="right"/>
              <w:rPr>
                <w:sz w:val="20"/>
                <w:szCs w:val="20"/>
              </w:rPr>
            </w:pPr>
            <w:r>
              <w:rPr>
                <w:sz w:val="20"/>
                <w:szCs w:val="20"/>
              </w:rPr>
              <w:t>$0</w:t>
            </w:r>
          </w:p>
          <w:p w:rsidR="00EB053F" w:rsidRDefault="00EB053F" w14:paraId="66962E46" w14:textId="77777777">
            <w:pPr>
              <w:jc w:val="right"/>
              <w:rPr>
                <w:sz w:val="20"/>
                <w:szCs w:val="20"/>
              </w:rPr>
            </w:pPr>
          </w:p>
        </w:tc>
        <w:tc>
          <w:tcPr>
            <w:tcW w:w="549" w:type="pct"/>
            <w:tcBorders>
              <w:top w:val="single" w:color="auto" w:sz="4" w:space="0"/>
              <w:left w:val="single" w:color="auto" w:sz="4" w:space="0"/>
              <w:bottom w:val="single" w:color="auto" w:sz="4" w:space="0"/>
              <w:right w:val="single" w:color="auto" w:sz="4" w:space="0"/>
            </w:tcBorders>
            <w:vAlign w:val="center"/>
            <w:hideMark/>
          </w:tcPr>
          <w:p w:rsidR="00EB053F" w:rsidRDefault="00F63BA0" w14:paraId="2A7A2E3D" w14:textId="77777777">
            <w:pPr>
              <w:jc w:val="right"/>
              <w:rPr>
                <w:sz w:val="20"/>
                <w:szCs w:val="20"/>
              </w:rPr>
            </w:pPr>
            <w:r>
              <w:rPr>
                <w:sz w:val="20"/>
                <w:szCs w:val="20"/>
              </w:rPr>
              <w:t>no change</w:t>
            </w:r>
          </w:p>
          <w:p w:rsidR="00EB053F" w:rsidRDefault="00F63BA0" w14:paraId="2C4CA8D6" w14:textId="77777777">
            <w:pPr>
              <w:jc w:val="right"/>
              <w:rPr>
                <w:sz w:val="20"/>
                <w:szCs w:val="20"/>
              </w:rPr>
            </w:pPr>
            <w:r>
              <w:rPr>
                <w:sz w:val="20"/>
                <w:szCs w:val="20"/>
              </w:rPr>
              <w:t>(118.125 hrs.);</w:t>
            </w:r>
          </w:p>
          <w:p w:rsidR="00EB053F" w:rsidRDefault="00F63BA0" w14:paraId="13F5E8F2" w14:textId="77777777">
            <w:pPr>
              <w:jc w:val="right"/>
              <w:rPr>
                <w:sz w:val="20"/>
                <w:szCs w:val="20"/>
              </w:rPr>
            </w:pPr>
            <w:r>
              <w:rPr>
                <w:sz w:val="20"/>
                <w:szCs w:val="20"/>
              </w:rPr>
              <w:t>$0</w:t>
            </w:r>
          </w:p>
        </w:tc>
        <w:tc>
          <w:tcPr>
            <w:tcW w:w="594" w:type="pct"/>
            <w:tcBorders>
              <w:top w:val="single" w:color="auto" w:sz="4" w:space="0"/>
              <w:left w:val="single" w:color="auto" w:sz="4" w:space="0"/>
              <w:bottom w:val="single" w:color="auto" w:sz="4" w:space="0"/>
              <w:right w:val="single" w:color="auto" w:sz="4" w:space="0"/>
            </w:tcBorders>
            <w:vAlign w:val="center"/>
          </w:tcPr>
          <w:p w:rsidR="00EB053F" w:rsidRDefault="00F63BA0" w14:paraId="5BF63F2A" w14:textId="77777777">
            <w:pPr>
              <w:jc w:val="right"/>
              <w:rPr>
                <w:sz w:val="20"/>
                <w:szCs w:val="20"/>
              </w:rPr>
            </w:pPr>
            <w:r>
              <w:rPr>
                <w:sz w:val="20"/>
                <w:szCs w:val="20"/>
              </w:rPr>
              <w:t>$0</w:t>
            </w:r>
          </w:p>
        </w:tc>
      </w:tr>
      <w:tr w:rsidR="00EB053F" w14:paraId="7597562F" w14:textId="77777777">
        <w:trPr>
          <w:cantSplit/>
          <w:trHeight w:val="530"/>
        </w:trPr>
        <w:tc>
          <w:tcPr>
            <w:tcW w:w="930" w:type="pct"/>
            <w:tcBorders>
              <w:top w:val="single" w:color="auto" w:sz="4" w:space="0"/>
              <w:left w:val="single" w:color="auto" w:sz="4" w:space="0"/>
              <w:bottom w:val="single" w:color="auto" w:sz="4" w:space="0"/>
              <w:right w:val="single" w:color="auto" w:sz="4" w:space="0"/>
            </w:tcBorders>
            <w:vAlign w:val="center"/>
            <w:hideMark/>
          </w:tcPr>
          <w:p w:rsidR="00EB053F" w:rsidRDefault="00F63BA0" w14:paraId="4BC1E8B8" w14:textId="77777777">
            <w:pPr>
              <w:rPr>
                <w:sz w:val="20"/>
                <w:szCs w:val="20"/>
              </w:rPr>
            </w:pPr>
            <w:r>
              <w:rPr>
                <w:sz w:val="20"/>
                <w:szCs w:val="20"/>
              </w:rPr>
              <w:t>Cogeneration Facility &gt; 1 MW</w:t>
            </w:r>
          </w:p>
        </w:tc>
        <w:tc>
          <w:tcPr>
            <w:tcW w:w="638" w:type="pct"/>
            <w:tcBorders>
              <w:top w:val="single" w:color="auto" w:sz="4" w:space="0"/>
              <w:left w:val="single" w:color="auto" w:sz="4" w:space="0"/>
              <w:bottom w:val="single" w:color="auto" w:sz="4" w:space="0"/>
              <w:right w:val="single" w:color="auto" w:sz="4" w:space="0"/>
            </w:tcBorders>
            <w:vAlign w:val="center"/>
            <w:hideMark/>
          </w:tcPr>
          <w:p w:rsidR="00EB053F" w:rsidRDefault="00F63BA0" w14:paraId="6909A7F1" w14:textId="77777777">
            <w:pPr>
              <w:rPr>
                <w:sz w:val="20"/>
                <w:szCs w:val="20"/>
              </w:rPr>
            </w:pPr>
            <w:r>
              <w:rPr>
                <w:sz w:val="20"/>
                <w:szCs w:val="20"/>
              </w:rPr>
              <w:t>Application for FERC certification</w:t>
            </w:r>
          </w:p>
        </w:tc>
        <w:tc>
          <w:tcPr>
            <w:tcW w:w="637" w:type="pct"/>
            <w:tcBorders>
              <w:top w:val="single" w:color="auto" w:sz="4" w:space="0"/>
              <w:left w:val="single" w:color="auto" w:sz="4" w:space="0"/>
              <w:bottom w:val="single" w:color="auto" w:sz="4" w:space="0"/>
              <w:right w:val="single" w:color="auto" w:sz="4" w:space="0"/>
            </w:tcBorders>
            <w:vAlign w:val="center"/>
            <w:hideMark/>
          </w:tcPr>
          <w:p w:rsidR="00EB053F" w:rsidRDefault="00F63BA0" w14:paraId="327CC53C" w14:textId="77777777">
            <w:pPr>
              <w:jc w:val="right"/>
              <w:rPr>
                <w:sz w:val="20"/>
                <w:szCs w:val="20"/>
              </w:rPr>
            </w:pPr>
            <w:r>
              <w:rPr>
                <w:sz w:val="20"/>
                <w:szCs w:val="20"/>
              </w:rPr>
              <w:t xml:space="preserve">no change </w:t>
            </w:r>
          </w:p>
          <w:p w:rsidR="00EB053F" w:rsidRDefault="00F63BA0" w14:paraId="77A74BDC" w14:textId="77777777">
            <w:pPr>
              <w:jc w:val="right"/>
              <w:rPr>
                <w:sz w:val="20"/>
                <w:szCs w:val="20"/>
              </w:rPr>
            </w:pPr>
            <w:r>
              <w:rPr>
                <w:sz w:val="20"/>
                <w:szCs w:val="20"/>
              </w:rPr>
              <w:t>(1)</w:t>
            </w:r>
          </w:p>
        </w:tc>
        <w:tc>
          <w:tcPr>
            <w:tcW w:w="593" w:type="pct"/>
            <w:tcBorders>
              <w:top w:val="single" w:color="auto" w:sz="4" w:space="0"/>
              <w:left w:val="single" w:color="auto" w:sz="4" w:space="0"/>
              <w:bottom w:val="single" w:color="auto" w:sz="4" w:space="0"/>
              <w:right w:val="single" w:color="auto" w:sz="4" w:space="0"/>
            </w:tcBorders>
            <w:vAlign w:val="center"/>
            <w:hideMark/>
          </w:tcPr>
          <w:p w:rsidR="00EB053F" w:rsidRDefault="00F63BA0" w14:paraId="6816388C" w14:textId="77777777">
            <w:pPr>
              <w:jc w:val="right"/>
              <w:rPr>
                <w:sz w:val="20"/>
                <w:szCs w:val="20"/>
              </w:rPr>
            </w:pPr>
            <w:r>
              <w:rPr>
                <w:sz w:val="20"/>
                <w:szCs w:val="20"/>
              </w:rPr>
              <w:t>no change</w:t>
            </w:r>
          </w:p>
          <w:p w:rsidR="00EB053F" w:rsidRDefault="00F63BA0" w14:paraId="378435FE" w14:textId="77777777">
            <w:pPr>
              <w:jc w:val="right"/>
              <w:rPr>
                <w:sz w:val="20"/>
                <w:szCs w:val="20"/>
              </w:rPr>
            </w:pPr>
            <w:r>
              <w:rPr>
                <w:sz w:val="20"/>
                <w:szCs w:val="20"/>
              </w:rPr>
              <w:t>(1.25)</w:t>
            </w:r>
          </w:p>
        </w:tc>
        <w:tc>
          <w:tcPr>
            <w:tcW w:w="551" w:type="pct"/>
            <w:tcBorders>
              <w:top w:val="single" w:color="auto" w:sz="4" w:space="0"/>
              <w:left w:val="single" w:color="auto" w:sz="4" w:space="0"/>
              <w:bottom w:val="single" w:color="auto" w:sz="4" w:space="0"/>
              <w:right w:val="single" w:color="auto" w:sz="4" w:space="0"/>
            </w:tcBorders>
            <w:vAlign w:val="center"/>
            <w:hideMark/>
          </w:tcPr>
          <w:p w:rsidR="00EB053F" w:rsidRDefault="00F63BA0" w14:paraId="661810A9" w14:textId="77777777">
            <w:pPr>
              <w:jc w:val="right"/>
              <w:rPr>
                <w:sz w:val="20"/>
                <w:szCs w:val="20"/>
              </w:rPr>
            </w:pPr>
            <w:r>
              <w:rPr>
                <w:sz w:val="20"/>
                <w:szCs w:val="20"/>
              </w:rPr>
              <w:t>no change</w:t>
            </w:r>
          </w:p>
          <w:p w:rsidR="00EB053F" w:rsidRDefault="00F63BA0" w14:paraId="444416DC" w14:textId="77777777">
            <w:pPr>
              <w:jc w:val="right"/>
              <w:rPr>
                <w:sz w:val="20"/>
                <w:szCs w:val="20"/>
              </w:rPr>
            </w:pPr>
            <w:r>
              <w:rPr>
                <w:sz w:val="20"/>
                <w:szCs w:val="20"/>
              </w:rPr>
              <w:t>(1.25)</w:t>
            </w:r>
          </w:p>
        </w:tc>
        <w:tc>
          <w:tcPr>
            <w:tcW w:w="508" w:type="pct"/>
            <w:tcBorders>
              <w:top w:val="single" w:color="auto" w:sz="4" w:space="0"/>
              <w:left w:val="single" w:color="auto" w:sz="4" w:space="0"/>
              <w:bottom w:val="single" w:color="auto" w:sz="4" w:space="0"/>
              <w:right w:val="single" w:color="auto" w:sz="4" w:space="0"/>
            </w:tcBorders>
            <w:vAlign w:val="center"/>
            <w:hideMark/>
          </w:tcPr>
          <w:p w:rsidR="00EB053F" w:rsidRDefault="00F63BA0" w14:paraId="032DCC3E" w14:textId="77777777">
            <w:pPr>
              <w:jc w:val="right"/>
              <w:rPr>
                <w:sz w:val="20"/>
                <w:szCs w:val="20"/>
              </w:rPr>
            </w:pPr>
            <w:r>
              <w:rPr>
                <w:sz w:val="20"/>
                <w:szCs w:val="20"/>
              </w:rPr>
              <w:t xml:space="preserve">no change </w:t>
            </w:r>
          </w:p>
          <w:p w:rsidR="00EB053F" w:rsidRDefault="00F63BA0" w14:paraId="0F012398" w14:textId="77777777">
            <w:pPr>
              <w:jc w:val="right"/>
              <w:rPr>
                <w:sz w:val="20"/>
                <w:szCs w:val="20"/>
              </w:rPr>
            </w:pPr>
            <w:r>
              <w:rPr>
                <w:sz w:val="20"/>
                <w:szCs w:val="20"/>
              </w:rPr>
              <w:t>(50 hrs.);</w:t>
            </w:r>
          </w:p>
          <w:p w:rsidR="00EB053F" w:rsidRDefault="00F63BA0" w14:paraId="39BF331F" w14:textId="77777777">
            <w:pPr>
              <w:jc w:val="right"/>
              <w:rPr>
                <w:sz w:val="20"/>
                <w:szCs w:val="20"/>
              </w:rPr>
            </w:pPr>
            <w:r>
              <w:rPr>
                <w:sz w:val="20"/>
                <w:szCs w:val="20"/>
              </w:rPr>
              <w:t>$0</w:t>
            </w:r>
          </w:p>
        </w:tc>
        <w:tc>
          <w:tcPr>
            <w:tcW w:w="549" w:type="pct"/>
            <w:tcBorders>
              <w:top w:val="single" w:color="auto" w:sz="4" w:space="0"/>
              <w:left w:val="single" w:color="auto" w:sz="4" w:space="0"/>
              <w:bottom w:val="single" w:color="auto" w:sz="4" w:space="0"/>
              <w:right w:val="single" w:color="auto" w:sz="4" w:space="0"/>
            </w:tcBorders>
            <w:vAlign w:val="center"/>
            <w:hideMark/>
          </w:tcPr>
          <w:p w:rsidR="00EB053F" w:rsidRDefault="00F63BA0" w14:paraId="7718FFE1" w14:textId="77777777">
            <w:pPr>
              <w:jc w:val="right"/>
              <w:rPr>
                <w:sz w:val="20"/>
                <w:szCs w:val="20"/>
              </w:rPr>
            </w:pPr>
            <w:r>
              <w:rPr>
                <w:sz w:val="20"/>
                <w:szCs w:val="20"/>
              </w:rPr>
              <w:t>no change</w:t>
            </w:r>
          </w:p>
          <w:p w:rsidR="00EB053F" w:rsidRDefault="00F63BA0" w14:paraId="151D4FDB" w14:textId="77777777">
            <w:pPr>
              <w:jc w:val="right"/>
              <w:rPr>
                <w:sz w:val="20"/>
                <w:szCs w:val="20"/>
              </w:rPr>
            </w:pPr>
            <w:r>
              <w:rPr>
                <w:sz w:val="20"/>
                <w:szCs w:val="20"/>
              </w:rPr>
              <w:t>(62.5 hrs.);</w:t>
            </w:r>
          </w:p>
          <w:p w:rsidR="00EB053F" w:rsidRDefault="00F63BA0" w14:paraId="208D3471" w14:textId="77777777">
            <w:pPr>
              <w:jc w:val="right"/>
              <w:rPr>
                <w:sz w:val="20"/>
                <w:szCs w:val="20"/>
              </w:rPr>
            </w:pPr>
            <w:r>
              <w:rPr>
                <w:sz w:val="20"/>
                <w:szCs w:val="20"/>
              </w:rPr>
              <w:t>$0</w:t>
            </w:r>
          </w:p>
        </w:tc>
        <w:tc>
          <w:tcPr>
            <w:tcW w:w="594" w:type="pct"/>
            <w:tcBorders>
              <w:top w:val="single" w:color="auto" w:sz="4" w:space="0"/>
              <w:left w:val="single" w:color="auto" w:sz="4" w:space="0"/>
              <w:bottom w:val="single" w:color="auto" w:sz="4" w:space="0"/>
              <w:right w:val="single" w:color="auto" w:sz="4" w:space="0"/>
            </w:tcBorders>
            <w:vAlign w:val="center"/>
            <w:hideMark/>
          </w:tcPr>
          <w:p w:rsidR="00EB053F" w:rsidRDefault="00F63BA0" w14:paraId="64218926" w14:textId="77777777">
            <w:pPr>
              <w:jc w:val="right"/>
              <w:rPr>
                <w:sz w:val="20"/>
                <w:szCs w:val="20"/>
              </w:rPr>
            </w:pPr>
            <w:r>
              <w:rPr>
                <w:sz w:val="20"/>
                <w:szCs w:val="20"/>
              </w:rPr>
              <w:t>$0</w:t>
            </w:r>
          </w:p>
        </w:tc>
      </w:tr>
      <w:tr w:rsidR="00EB053F" w14:paraId="3595413A" w14:textId="77777777">
        <w:trPr>
          <w:cantSplit/>
          <w:trHeight w:val="530"/>
        </w:trPr>
        <w:tc>
          <w:tcPr>
            <w:tcW w:w="930" w:type="pct"/>
            <w:tcBorders>
              <w:top w:val="single" w:color="auto" w:sz="4" w:space="0"/>
              <w:left w:val="single" w:color="auto" w:sz="4" w:space="0"/>
              <w:bottom w:val="single" w:color="auto" w:sz="4" w:space="0"/>
              <w:right w:val="single" w:color="auto" w:sz="4" w:space="0"/>
            </w:tcBorders>
            <w:vAlign w:val="center"/>
          </w:tcPr>
          <w:p w:rsidR="00EB053F" w:rsidRDefault="00F63BA0" w14:paraId="49D2520B" w14:textId="77777777">
            <w:pPr>
              <w:rPr>
                <w:sz w:val="20"/>
                <w:szCs w:val="20"/>
              </w:rPr>
            </w:pPr>
            <w:r>
              <w:rPr>
                <w:sz w:val="20"/>
                <w:szCs w:val="20"/>
              </w:rPr>
              <w:t>Small Power Production Facility &gt; 1 MW, ≤ 1 Mile from Affiliated Small Power Production QF</w:t>
            </w:r>
          </w:p>
        </w:tc>
        <w:tc>
          <w:tcPr>
            <w:tcW w:w="638" w:type="pct"/>
            <w:tcBorders>
              <w:top w:val="single" w:color="auto" w:sz="4" w:space="0"/>
              <w:left w:val="single" w:color="auto" w:sz="4" w:space="0"/>
              <w:bottom w:val="single" w:color="auto" w:sz="4" w:space="0"/>
              <w:right w:val="single" w:color="auto" w:sz="4" w:space="0"/>
            </w:tcBorders>
            <w:vAlign w:val="center"/>
          </w:tcPr>
          <w:p w:rsidR="00EB053F" w:rsidRDefault="00F63BA0" w14:paraId="24A24B56" w14:textId="77777777">
            <w:pPr>
              <w:rPr>
                <w:sz w:val="20"/>
                <w:szCs w:val="20"/>
              </w:rPr>
            </w:pPr>
            <w:r>
              <w:rPr>
                <w:sz w:val="20"/>
                <w:szCs w:val="20"/>
              </w:rPr>
              <w:t>Self-certification</w:t>
            </w:r>
          </w:p>
        </w:tc>
        <w:tc>
          <w:tcPr>
            <w:tcW w:w="637" w:type="pct"/>
            <w:tcBorders>
              <w:top w:val="single" w:color="auto" w:sz="4" w:space="0"/>
              <w:left w:val="single" w:color="auto" w:sz="4" w:space="0"/>
              <w:bottom w:val="single" w:color="auto" w:sz="4" w:space="0"/>
              <w:right w:val="single" w:color="auto" w:sz="4" w:space="0"/>
            </w:tcBorders>
            <w:vAlign w:val="center"/>
          </w:tcPr>
          <w:p w:rsidR="00EB053F" w:rsidRDefault="00F63BA0" w14:paraId="0130E5D5" w14:textId="77777777">
            <w:pPr>
              <w:jc w:val="right"/>
              <w:rPr>
                <w:sz w:val="20"/>
                <w:szCs w:val="20"/>
              </w:rPr>
            </w:pPr>
            <w:r>
              <w:rPr>
                <w:sz w:val="20"/>
                <w:szCs w:val="20"/>
              </w:rPr>
              <w:t xml:space="preserve">no change </w:t>
            </w:r>
          </w:p>
          <w:p w:rsidR="00EB053F" w:rsidRDefault="00F63BA0" w14:paraId="4BEDC9B6" w14:textId="77777777">
            <w:pPr>
              <w:jc w:val="right"/>
              <w:rPr>
                <w:sz w:val="20"/>
                <w:szCs w:val="20"/>
              </w:rPr>
            </w:pPr>
            <w:r>
              <w:rPr>
                <w:sz w:val="20"/>
                <w:szCs w:val="20"/>
              </w:rPr>
              <w:t>(899)</w:t>
            </w:r>
            <w:r>
              <w:rPr>
                <w:b/>
                <w:sz w:val="20"/>
                <w:szCs w:val="20"/>
                <w:vertAlign w:val="superscript"/>
              </w:rPr>
              <w:footnoteReference w:id="86"/>
            </w:r>
          </w:p>
        </w:tc>
        <w:tc>
          <w:tcPr>
            <w:tcW w:w="593" w:type="pct"/>
            <w:tcBorders>
              <w:top w:val="single" w:color="auto" w:sz="4" w:space="0"/>
              <w:left w:val="single" w:color="auto" w:sz="4" w:space="0"/>
              <w:bottom w:val="single" w:color="auto" w:sz="4" w:space="0"/>
              <w:right w:val="single" w:color="auto" w:sz="4" w:space="0"/>
            </w:tcBorders>
            <w:vAlign w:val="center"/>
          </w:tcPr>
          <w:p w:rsidR="00EB053F" w:rsidRDefault="00F63BA0" w14:paraId="7C6020D5" w14:textId="77777777">
            <w:pPr>
              <w:jc w:val="right"/>
              <w:rPr>
                <w:sz w:val="20"/>
                <w:szCs w:val="20"/>
              </w:rPr>
            </w:pPr>
            <w:r>
              <w:rPr>
                <w:sz w:val="20"/>
                <w:szCs w:val="20"/>
              </w:rPr>
              <w:t>no change</w:t>
            </w:r>
          </w:p>
          <w:p w:rsidR="00EB053F" w:rsidRDefault="00F63BA0" w14:paraId="0ED88F42" w14:textId="77777777">
            <w:pPr>
              <w:jc w:val="right"/>
              <w:rPr>
                <w:sz w:val="20"/>
                <w:szCs w:val="20"/>
              </w:rPr>
            </w:pPr>
            <w:r>
              <w:rPr>
                <w:sz w:val="20"/>
                <w:szCs w:val="20"/>
              </w:rPr>
              <w:t>(1.25)</w:t>
            </w:r>
          </w:p>
        </w:tc>
        <w:tc>
          <w:tcPr>
            <w:tcW w:w="551" w:type="pct"/>
            <w:tcBorders>
              <w:top w:val="single" w:color="auto" w:sz="4" w:space="0"/>
              <w:left w:val="single" w:color="auto" w:sz="4" w:space="0"/>
              <w:bottom w:val="single" w:color="auto" w:sz="4" w:space="0"/>
              <w:right w:val="single" w:color="auto" w:sz="4" w:space="0"/>
            </w:tcBorders>
            <w:vAlign w:val="center"/>
          </w:tcPr>
          <w:p w:rsidR="00EB053F" w:rsidRDefault="00F63BA0" w14:paraId="24FC7E77" w14:textId="77777777">
            <w:pPr>
              <w:jc w:val="right"/>
              <w:rPr>
                <w:sz w:val="20"/>
                <w:szCs w:val="20"/>
              </w:rPr>
            </w:pPr>
            <w:r>
              <w:rPr>
                <w:sz w:val="20"/>
                <w:szCs w:val="20"/>
              </w:rPr>
              <w:t>no change</w:t>
            </w:r>
          </w:p>
          <w:p w:rsidR="00EB053F" w:rsidRDefault="00F63BA0" w14:paraId="058C6A82" w14:textId="77777777">
            <w:pPr>
              <w:jc w:val="right"/>
              <w:rPr>
                <w:sz w:val="20"/>
                <w:szCs w:val="20"/>
              </w:rPr>
            </w:pPr>
            <w:r>
              <w:rPr>
                <w:sz w:val="20"/>
                <w:szCs w:val="20"/>
              </w:rPr>
              <w:t>(1,123.75)</w:t>
            </w:r>
          </w:p>
        </w:tc>
        <w:tc>
          <w:tcPr>
            <w:tcW w:w="508" w:type="pct"/>
            <w:tcBorders>
              <w:top w:val="single" w:color="auto" w:sz="4" w:space="0"/>
              <w:left w:val="single" w:color="auto" w:sz="4" w:space="0"/>
              <w:bottom w:val="single" w:color="auto" w:sz="4" w:space="0"/>
              <w:right w:val="single" w:color="auto" w:sz="4" w:space="0"/>
            </w:tcBorders>
            <w:vAlign w:val="center"/>
          </w:tcPr>
          <w:p w:rsidR="00EB053F" w:rsidRDefault="00F63BA0" w14:paraId="76DEB771" w14:textId="77777777">
            <w:pPr>
              <w:jc w:val="right"/>
              <w:rPr>
                <w:sz w:val="20"/>
                <w:szCs w:val="20"/>
              </w:rPr>
            </w:pPr>
            <w:r>
              <w:rPr>
                <w:sz w:val="20"/>
                <w:szCs w:val="20"/>
              </w:rPr>
              <w:t>2 hrs.;</w:t>
            </w:r>
          </w:p>
          <w:p w:rsidR="00EB053F" w:rsidRDefault="00F63BA0" w14:paraId="59306F6C" w14:textId="77777777">
            <w:pPr>
              <w:jc w:val="right"/>
              <w:rPr>
                <w:sz w:val="20"/>
                <w:szCs w:val="20"/>
              </w:rPr>
            </w:pPr>
            <w:r>
              <w:rPr>
                <w:sz w:val="20"/>
                <w:szCs w:val="20"/>
              </w:rPr>
              <w:t>$166</w:t>
            </w:r>
          </w:p>
        </w:tc>
        <w:tc>
          <w:tcPr>
            <w:tcW w:w="549" w:type="pct"/>
            <w:tcBorders>
              <w:top w:val="single" w:color="auto" w:sz="4" w:space="0"/>
              <w:left w:val="single" w:color="auto" w:sz="4" w:space="0"/>
              <w:bottom w:val="single" w:color="auto" w:sz="4" w:space="0"/>
              <w:right w:val="single" w:color="auto" w:sz="4" w:space="0"/>
            </w:tcBorders>
            <w:vAlign w:val="center"/>
          </w:tcPr>
          <w:p w:rsidR="00EB053F" w:rsidRDefault="00F63BA0" w14:paraId="322F685D" w14:textId="77777777">
            <w:pPr>
              <w:jc w:val="right"/>
              <w:rPr>
                <w:sz w:val="20"/>
                <w:szCs w:val="20"/>
              </w:rPr>
            </w:pPr>
            <w:r>
              <w:rPr>
                <w:sz w:val="20"/>
                <w:szCs w:val="20"/>
              </w:rPr>
              <w:t>2,247.5 hrs.;</w:t>
            </w:r>
          </w:p>
          <w:p w:rsidR="00EB053F" w:rsidRDefault="00F63BA0" w14:paraId="5FC3815D" w14:textId="77777777">
            <w:pPr>
              <w:jc w:val="right"/>
              <w:rPr>
                <w:sz w:val="20"/>
                <w:szCs w:val="20"/>
              </w:rPr>
            </w:pPr>
            <w:r>
              <w:rPr>
                <w:sz w:val="20"/>
                <w:szCs w:val="20"/>
              </w:rPr>
              <w:t>$186,542.5</w:t>
            </w:r>
          </w:p>
        </w:tc>
        <w:tc>
          <w:tcPr>
            <w:tcW w:w="594" w:type="pct"/>
            <w:tcBorders>
              <w:top w:val="single" w:color="auto" w:sz="4" w:space="0"/>
              <w:left w:val="single" w:color="auto" w:sz="4" w:space="0"/>
              <w:bottom w:val="single" w:color="auto" w:sz="4" w:space="0"/>
              <w:right w:val="single" w:color="auto" w:sz="4" w:space="0"/>
            </w:tcBorders>
            <w:vAlign w:val="center"/>
          </w:tcPr>
          <w:p w:rsidR="00EB053F" w:rsidRDefault="00F63BA0" w14:paraId="6A46B4DC" w14:textId="77777777">
            <w:pPr>
              <w:jc w:val="right"/>
              <w:rPr>
                <w:sz w:val="20"/>
                <w:szCs w:val="20"/>
              </w:rPr>
            </w:pPr>
            <w:r>
              <w:rPr>
                <w:sz w:val="20"/>
                <w:szCs w:val="20"/>
              </w:rPr>
              <w:t>$207.5</w:t>
            </w:r>
          </w:p>
        </w:tc>
      </w:tr>
      <w:tr w:rsidR="00EB053F" w14:paraId="17752B17" w14:textId="77777777">
        <w:trPr>
          <w:cantSplit/>
        </w:trPr>
        <w:tc>
          <w:tcPr>
            <w:tcW w:w="930" w:type="pct"/>
            <w:tcBorders>
              <w:top w:val="single" w:color="auto" w:sz="4" w:space="0"/>
              <w:left w:val="single" w:color="auto" w:sz="4" w:space="0"/>
              <w:bottom w:val="single" w:color="auto" w:sz="4" w:space="0"/>
              <w:right w:val="single" w:color="auto" w:sz="4" w:space="0"/>
            </w:tcBorders>
            <w:vAlign w:val="center"/>
            <w:hideMark/>
          </w:tcPr>
          <w:p w:rsidR="00EB053F" w:rsidRDefault="00F63BA0" w14:paraId="39F417BA" w14:textId="77777777">
            <w:pPr>
              <w:rPr>
                <w:sz w:val="20"/>
                <w:szCs w:val="20"/>
              </w:rPr>
            </w:pPr>
            <w:r>
              <w:rPr>
                <w:sz w:val="20"/>
                <w:szCs w:val="20"/>
              </w:rPr>
              <w:t>Small Power Production Facility &gt; 1 MW, ≤ 1 Mile from Affiliated Small Power Production QF</w:t>
            </w:r>
          </w:p>
        </w:tc>
        <w:tc>
          <w:tcPr>
            <w:tcW w:w="638" w:type="pct"/>
            <w:tcBorders>
              <w:top w:val="single" w:color="auto" w:sz="4" w:space="0"/>
              <w:left w:val="single" w:color="auto" w:sz="4" w:space="0"/>
              <w:bottom w:val="single" w:color="auto" w:sz="4" w:space="0"/>
              <w:right w:val="single" w:color="auto" w:sz="4" w:space="0"/>
            </w:tcBorders>
            <w:vAlign w:val="center"/>
            <w:hideMark/>
          </w:tcPr>
          <w:p w:rsidR="00EB053F" w:rsidRDefault="00F63BA0" w14:paraId="643F0340" w14:textId="77777777">
            <w:pPr>
              <w:rPr>
                <w:sz w:val="20"/>
                <w:szCs w:val="20"/>
              </w:rPr>
            </w:pPr>
            <w:r>
              <w:rPr>
                <w:sz w:val="20"/>
                <w:szCs w:val="20"/>
              </w:rPr>
              <w:t>Application for FERC certification</w:t>
            </w:r>
          </w:p>
        </w:tc>
        <w:tc>
          <w:tcPr>
            <w:tcW w:w="637" w:type="pct"/>
            <w:tcBorders>
              <w:top w:val="single" w:color="auto" w:sz="4" w:space="0"/>
              <w:left w:val="single" w:color="auto" w:sz="4" w:space="0"/>
              <w:bottom w:val="single" w:color="auto" w:sz="4" w:space="0"/>
              <w:right w:val="single" w:color="auto" w:sz="4" w:space="0"/>
            </w:tcBorders>
            <w:vAlign w:val="center"/>
            <w:hideMark/>
          </w:tcPr>
          <w:p w:rsidR="00EB053F" w:rsidRDefault="00F63BA0" w14:paraId="606C8F6E" w14:textId="77777777">
            <w:pPr>
              <w:jc w:val="right"/>
              <w:rPr>
                <w:sz w:val="20"/>
                <w:szCs w:val="20"/>
              </w:rPr>
            </w:pPr>
            <w:r>
              <w:rPr>
                <w:sz w:val="20"/>
                <w:szCs w:val="20"/>
              </w:rPr>
              <w:t xml:space="preserve">no change </w:t>
            </w:r>
          </w:p>
          <w:p w:rsidR="00EB053F" w:rsidRDefault="00F63BA0" w14:paraId="3FC75F5B" w14:textId="77777777">
            <w:pPr>
              <w:jc w:val="right"/>
              <w:rPr>
                <w:sz w:val="20"/>
                <w:szCs w:val="20"/>
              </w:rPr>
            </w:pPr>
            <w:r>
              <w:rPr>
                <w:sz w:val="20"/>
                <w:szCs w:val="20"/>
              </w:rPr>
              <w:t>(0)</w:t>
            </w:r>
          </w:p>
        </w:tc>
        <w:tc>
          <w:tcPr>
            <w:tcW w:w="593" w:type="pct"/>
            <w:tcBorders>
              <w:top w:val="single" w:color="auto" w:sz="4" w:space="0"/>
              <w:left w:val="single" w:color="auto" w:sz="4" w:space="0"/>
              <w:bottom w:val="single" w:color="auto" w:sz="4" w:space="0"/>
              <w:right w:val="single" w:color="auto" w:sz="4" w:space="0"/>
            </w:tcBorders>
            <w:vAlign w:val="center"/>
            <w:hideMark/>
          </w:tcPr>
          <w:p w:rsidR="00EB053F" w:rsidRDefault="00F63BA0" w14:paraId="5EA1EB37" w14:textId="77777777">
            <w:pPr>
              <w:jc w:val="right"/>
              <w:rPr>
                <w:sz w:val="20"/>
                <w:szCs w:val="20"/>
              </w:rPr>
            </w:pPr>
            <w:r>
              <w:rPr>
                <w:sz w:val="20"/>
                <w:szCs w:val="20"/>
              </w:rPr>
              <w:t>no change</w:t>
            </w:r>
          </w:p>
          <w:p w:rsidR="00EB053F" w:rsidRDefault="00F63BA0" w14:paraId="04C98FED" w14:textId="77777777">
            <w:pPr>
              <w:jc w:val="right"/>
              <w:rPr>
                <w:sz w:val="20"/>
                <w:szCs w:val="20"/>
              </w:rPr>
            </w:pPr>
            <w:r>
              <w:rPr>
                <w:sz w:val="20"/>
                <w:szCs w:val="20"/>
              </w:rPr>
              <w:t>(1.25)</w:t>
            </w:r>
          </w:p>
        </w:tc>
        <w:tc>
          <w:tcPr>
            <w:tcW w:w="551" w:type="pct"/>
            <w:tcBorders>
              <w:top w:val="single" w:color="auto" w:sz="4" w:space="0"/>
              <w:left w:val="single" w:color="auto" w:sz="4" w:space="0"/>
              <w:bottom w:val="single" w:color="auto" w:sz="4" w:space="0"/>
              <w:right w:val="single" w:color="auto" w:sz="4" w:space="0"/>
            </w:tcBorders>
            <w:vAlign w:val="center"/>
            <w:hideMark/>
          </w:tcPr>
          <w:p w:rsidR="00EB053F" w:rsidRDefault="00F63BA0" w14:paraId="43A31CA3" w14:textId="77777777">
            <w:pPr>
              <w:jc w:val="right"/>
              <w:rPr>
                <w:sz w:val="20"/>
                <w:szCs w:val="20"/>
              </w:rPr>
            </w:pPr>
            <w:r>
              <w:rPr>
                <w:sz w:val="20"/>
                <w:szCs w:val="20"/>
              </w:rPr>
              <w:t xml:space="preserve">no change </w:t>
            </w:r>
          </w:p>
          <w:p w:rsidR="00EB053F" w:rsidRDefault="00F63BA0" w14:paraId="638E7320" w14:textId="77777777">
            <w:pPr>
              <w:jc w:val="right"/>
              <w:rPr>
                <w:sz w:val="20"/>
                <w:szCs w:val="20"/>
              </w:rPr>
            </w:pPr>
            <w:r>
              <w:rPr>
                <w:sz w:val="20"/>
                <w:szCs w:val="20"/>
              </w:rPr>
              <w:t>(0)</w:t>
            </w:r>
          </w:p>
        </w:tc>
        <w:tc>
          <w:tcPr>
            <w:tcW w:w="508" w:type="pct"/>
            <w:tcBorders>
              <w:top w:val="single" w:color="auto" w:sz="4" w:space="0"/>
              <w:left w:val="single" w:color="auto" w:sz="4" w:space="0"/>
              <w:bottom w:val="single" w:color="auto" w:sz="4" w:space="0"/>
              <w:right w:val="single" w:color="auto" w:sz="4" w:space="0"/>
            </w:tcBorders>
            <w:vAlign w:val="center"/>
            <w:hideMark/>
          </w:tcPr>
          <w:p w:rsidR="00EB053F" w:rsidRDefault="00F63BA0" w14:paraId="6AE391A0" w14:textId="77777777">
            <w:pPr>
              <w:jc w:val="right"/>
              <w:rPr>
                <w:sz w:val="20"/>
                <w:szCs w:val="20"/>
              </w:rPr>
            </w:pPr>
            <w:r>
              <w:rPr>
                <w:sz w:val="20"/>
                <w:szCs w:val="20"/>
              </w:rPr>
              <w:t>6 hrs.;</w:t>
            </w:r>
          </w:p>
          <w:p w:rsidR="00EB053F" w:rsidRDefault="00F63BA0" w14:paraId="3756A2C2" w14:textId="77777777">
            <w:pPr>
              <w:jc w:val="right"/>
              <w:rPr>
                <w:sz w:val="20"/>
                <w:szCs w:val="20"/>
              </w:rPr>
            </w:pPr>
            <w:r>
              <w:rPr>
                <w:sz w:val="20"/>
                <w:szCs w:val="20"/>
              </w:rPr>
              <w:t>$498</w:t>
            </w:r>
          </w:p>
        </w:tc>
        <w:tc>
          <w:tcPr>
            <w:tcW w:w="549" w:type="pct"/>
            <w:tcBorders>
              <w:top w:val="single" w:color="auto" w:sz="4" w:space="0"/>
              <w:left w:val="single" w:color="auto" w:sz="4" w:space="0"/>
              <w:bottom w:val="single" w:color="auto" w:sz="4" w:space="0"/>
              <w:right w:val="single" w:color="auto" w:sz="4" w:space="0"/>
            </w:tcBorders>
            <w:vAlign w:val="center"/>
            <w:hideMark/>
          </w:tcPr>
          <w:p w:rsidR="00EB053F" w:rsidRDefault="00F63BA0" w14:paraId="11AEBB3B" w14:textId="77777777">
            <w:pPr>
              <w:jc w:val="right"/>
              <w:rPr>
                <w:sz w:val="20"/>
                <w:szCs w:val="20"/>
              </w:rPr>
            </w:pPr>
            <w:r>
              <w:rPr>
                <w:sz w:val="20"/>
                <w:szCs w:val="20"/>
              </w:rPr>
              <w:t>no change</w:t>
            </w:r>
          </w:p>
          <w:p w:rsidR="00EB053F" w:rsidRDefault="00F63BA0" w14:paraId="7751763C" w14:textId="77777777">
            <w:pPr>
              <w:jc w:val="right"/>
              <w:rPr>
                <w:sz w:val="20"/>
                <w:szCs w:val="20"/>
              </w:rPr>
            </w:pPr>
            <w:r>
              <w:rPr>
                <w:sz w:val="20"/>
                <w:szCs w:val="20"/>
              </w:rPr>
              <w:t>(0 hrs.);</w:t>
            </w:r>
          </w:p>
          <w:p w:rsidR="00EB053F" w:rsidRDefault="00F63BA0" w14:paraId="0B31D7A8" w14:textId="77777777">
            <w:pPr>
              <w:jc w:val="right"/>
              <w:rPr>
                <w:sz w:val="20"/>
                <w:szCs w:val="20"/>
              </w:rPr>
            </w:pPr>
            <w:r>
              <w:rPr>
                <w:sz w:val="20"/>
                <w:szCs w:val="20"/>
              </w:rPr>
              <w:t>$0</w:t>
            </w:r>
          </w:p>
        </w:tc>
        <w:tc>
          <w:tcPr>
            <w:tcW w:w="594" w:type="pct"/>
            <w:tcBorders>
              <w:top w:val="single" w:color="auto" w:sz="4" w:space="0"/>
              <w:left w:val="single" w:color="auto" w:sz="4" w:space="0"/>
              <w:bottom w:val="single" w:color="auto" w:sz="4" w:space="0"/>
              <w:right w:val="single" w:color="auto" w:sz="4" w:space="0"/>
            </w:tcBorders>
            <w:vAlign w:val="center"/>
            <w:hideMark/>
          </w:tcPr>
          <w:p w:rsidR="00EB053F" w:rsidRDefault="00F63BA0" w14:paraId="122B0540" w14:textId="77777777">
            <w:pPr>
              <w:jc w:val="right"/>
              <w:rPr>
                <w:sz w:val="20"/>
                <w:szCs w:val="20"/>
              </w:rPr>
            </w:pPr>
            <w:r>
              <w:rPr>
                <w:sz w:val="20"/>
                <w:szCs w:val="20"/>
              </w:rPr>
              <w:t>$0</w:t>
            </w:r>
          </w:p>
        </w:tc>
      </w:tr>
      <w:tr w:rsidR="00EB053F" w14:paraId="51AA5AA5" w14:textId="77777777">
        <w:trPr>
          <w:cantSplit/>
        </w:trPr>
        <w:tc>
          <w:tcPr>
            <w:tcW w:w="930" w:type="pct"/>
            <w:tcBorders>
              <w:top w:val="single" w:color="auto" w:sz="4" w:space="0"/>
              <w:left w:val="single" w:color="auto" w:sz="4" w:space="0"/>
              <w:bottom w:val="single" w:color="auto" w:sz="4" w:space="0"/>
              <w:right w:val="single" w:color="auto" w:sz="4" w:space="0"/>
            </w:tcBorders>
            <w:vAlign w:val="center"/>
          </w:tcPr>
          <w:p w:rsidR="00EB053F" w:rsidRDefault="00F63BA0" w14:paraId="0502C5BC" w14:textId="77777777">
            <w:pPr>
              <w:rPr>
                <w:sz w:val="20"/>
                <w:szCs w:val="20"/>
              </w:rPr>
            </w:pPr>
            <w:r>
              <w:rPr>
                <w:sz w:val="20"/>
                <w:szCs w:val="20"/>
              </w:rPr>
              <w:t>Small Power Production Facility &gt; 1 MW, &gt; 1 Mile, &lt; 10 Miles from Affiliated Small Power Production QF</w:t>
            </w:r>
          </w:p>
        </w:tc>
        <w:tc>
          <w:tcPr>
            <w:tcW w:w="638" w:type="pct"/>
            <w:tcBorders>
              <w:top w:val="single" w:color="auto" w:sz="4" w:space="0"/>
              <w:left w:val="single" w:color="auto" w:sz="4" w:space="0"/>
              <w:bottom w:val="single" w:color="auto" w:sz="4" w:space="0"/>
              <w:right w:val="single" w:color="auto" w:sz="4" w:space="0"/>
            </w:tcBorders>
            <w:vAlign w:val="center"/>
          </w:tcPr>
          <w:p w:rsidR="00EB053F" w:rsidRDefault="00F63BA0" w14:paraId="56686F7F" w14:textId="77777777">
            <w:pPr>
              <w:rPr>
                <w:sz w:val="20"/>
                <w:szCs w:val="20"/>
              </w:rPr>
            </w:pPr>
            <w:r>
              <w:rPr>
                <w:sz w:val="20"/>
                <w:szCs w:val="20"/>
              </w:rPr>
              <w:t>Self-certification</w:t>
            </w:r>
          </w:p>
        </w:tc>
        <w:tc>
          <w:tcPr>
            <w:tcW w:w="637" w:type="pct"/>
            <w:tcBorders>
              <w:top w:val="single" w:color="auto" w:sz="4" w:space="0"/>
              <w:left w:val="single" w:color="auto" w:sz="4" w:space="0"/>
              <w:bottom w:val="single" w:color="auto" w:sz="4" w:space="0"/>
              <w:right w:val="single" w:color="auto" w:sz="4" w:space="0"/>
            </w:tcBorders>
            <w:vAlign w:val="center"/>
          </w:tcPr>
          <w:p w:rsidR="00EB053F" w:rsidRDefault="00F63BA0" w14:paraId="7F8A4FCC" w14:textId="77777777">
            <w:pPr>
              <w:jc w:val="right"/>
              <w:rPr>
                <w:sz w:val="20"/>
                <w:szCs w:val="20"/>
              </w:rPr>
            </w:pPr>
            <w:r>
              <w:rPr>
                <w:sz w:val="20"/>
                <w:szCs w:val="20"/>
              </w:rPr>
              <w:t>no change</w:t>
            </w:r>
          </w:p>
          <w:p w:rsidR="00EB053F" w:rsidRDefault="00F63BA0" w14:paraId="78243E31" w14:textId="77777777">
            <w:pPr>
              <w:jc w:val="right"/>
              <w:rPr>
                <w:sz w:val="20"/>
                <w:szCs w:val="20"/>
              </w:rPr>
            </w:pPr>
            <w:r>
              <w:rPr>
                <w:sz w:val="20"/>
                <w:szCs w:val="20"/>
              </w:rPr>
              <w:t>(900)</w:t>
            </w:r>
          </w:p>
        </w:tc>
        <w:tc>
          <w:tcPr>
            <w:tcW w:w="593" w:type="pct"/>
            <w:tcBorders>
              <w:top w:val="single" w:color="auto" w:sz="4" w:space="0"/>
              <w:left w:val="single" w:color="auto" w:sz="4" w:space="0"/>
              <w:bottom w:val="single" w:color="auto" w:sz="4" w:space="0"/>
              <w:right w:val="single" w:color="auto" w:sz="4" w:space="0"/>
            </w:tcBorders>
            <w:vAlign w:val="center"/>
          </w:tcPr>
          <w:p w:rsidR="00EB053F" w:rsidRDefault="00F63BA0" w14:paraId="2172CC06" w14:textId="77777777">
            <w:pPr>
              <w:jc w:val="right"/>
              <w:rPr>
                <w:sz w:val="20"/>
                <w:szCs w:val="20"/>
              </w:rPr>
            </w:pPr>
            <w:r>
              <w:rPr>
                <w:sz w:val="20"/>
                <w:szCs w:val="20"/>
              </w:rPr>
              <w:t>no change</w:t>
            </w:r>
          </w:p>
          <w:p w:rsidR="00EB053F" w:rsidRDefault="00F63BA0" w14:paraId="4C09BD26" w14:textId="77777777">
            <w:pPr>
              <w:jc w:val="right"/>
              <w:rPr>
                <w:sz w:val="20"/>
                <w:szCs w:val="20"/>
              </w:rPr>
            </w:pPr>
            <w:r>
              <w:rPr>
                <w:sz w:val="20"/>
                <w:szCs w:val="20"/>
              </w:rPr>
              <w:t>(1.25)</w:t>
            </w:r>
          </w:p>
        </w:tc>
        <w:tc>
          <w:tcPr>
            <w:tcW w:w="551" w:type="pct"/>
            <w:tcBorders>
              <w:top w:val="single" w:color="auto" w:sz="4" w:space="0"/>
              <w:left w:val="single" w:color="auto" w:sz="4" w:space="0"/>
              <w:bottom w:val="single" w:color="auto" w:sz="4" w:space="0"/>
              <w:right w:val="single" w:color="auto" w:sz="4" w:space="0"/>
            </w:tcBorders>
            <w:vAlign w:val="center"/>
          </w:tcPr>
          <w:p w:rsidR="00EB053F" w:rsidRDefault="00F63BA0" w14:paraId="2CAA32C6" w14:textId="77777777">
            <w:pPr>
              <w:jc w:val="right"/>
              <w:rPr>
                <w:sz w:val="20"/>
                <w:szCs w:val="20"/>
              </w:rPr>
            </w:pPr>
            <w:r>
              <w:rPr>
                <w:sz w:val="20"/>
                <w:szCs w:val="20"/>
              </w:rPr>
              <w:t>no change</w:t>
            </w:r>
          </w:p>
          <w:p w:rsidR="00EB053F" w:rsidRDefault="00F63BA0" w14:paraId="186A92D9" w14:textId="77777777">
            <w:pPr>
              <w:jc w:val="right"/>
              <w:rPr>
                <w:sz w:val="20"/>
                <w:szCs w:val="20"/>
              </w:rPr>
            </w:pPr>
            <w:r>
              <w:rPr>
                <w:sz w:val="20"/>
                <w:szCs w:val="20"/>
              </w:rPr>
              <w:t>(1,125)</w:t>
            </w:r>
          </w:p>
        </w:tc>
        <w:tc>
          <w:tcPr>
            <w:tcW w:w="508" w:type="pct"/>
            <w:tcBorders>
              <w:top w:val="single" w:color="auto" w:sz="4" w:space="0"/>
              <w:left w:val="single" w:color="auto" w:sz="4" w:space="0"/>
              <w:bottom w:val="single" w:color="auto" w:sz="4" w:space="0"/>
              <w:right w:val="single" w:color="auto" w:sz="4" w:space="0"/>
            </w:tcBorders>
            <w:vAlign w:val="center"/>
          </w:tcPr>
          <w:p w:rsidR="00EB053F" w:rsidRDefault="00F63BA0" w14:paraId="4B905C28" w14:textId="77777777">
            <w:pPr>
              <w:jc w:val="right"/>
              <w:rPr>
                <w:sz w:val="20"/>
                <w:szCs w:val="20"/>
              </w:rPr>
            </w:pPr>
            <w:r>
              <w:rPr>
                <w:sz w:val="20"/>
                <w:szCs w:val="20"/>
              </w:rPr>
              <w:t>8 hrs.;</w:t>
            </w:r>
          </w:p>
          <w:p w:rsidR="00EB053F" w:rsidRDefault="00F63BA0" w14:paraId="7C2C55C0" w14:textId="77777777">
            <w:pPr>
              <w:jc w:val="right"/>
              <w:rPr>
                <w:sz w:val="20"/>
                <w:szCs w:val="20"/>
              </w:rPr>
            </w:pPr>
            <w:r>
              <w:rPr>
                <w:sz w:val="20"/>
                <w:szCs w:val="20"/>
              </w:rPr>
              <w:t>$664</w:t>
            </w:r>
          </w:p>
        </w:tc>
        <w:tc>
          <w:tcPr>
            <w:tcW w:w="549" w:type="pct"/>
            <w:tcBorders>
              <w:top w:val="single" w:color="auto" w:sz="4" w:space="0"/>
              <w:left w:val="single" w:color="auto" w:sz="4" w:space="0"/>
              <w:bottom w:val="single" w:color="auto" w:sz="4" w:space="0"/>
              <w:right w:val="single" w:color="auto" w:sz="4" w:space="0"/>
            </w:tcBorders>
            <w:vAlign w:val="center"/>
          </w:tcPr>
          <w:p w:rsidR="00EB053F" w:rsidRDefault="00F63BA0" w14:paraId="4BE2A42E" w14:textId="77777777">
            <w:pPr>
              <w:jc w:val="right"/>
              <w:rPr>
                <w:sz w:val="20"/>
                <w:szCs w:val="20"/>
              </w:rPr>
            </w:pPr>
            <w:r>
              <w:rPr>
                <w:sz w:val="20"/>
                <w:szCs w:val="20"/>
              </w:rPr>
              <w:t>9,000 hrs.;</w:t>
            </w:r>
          </w:p>
          <w:p w:rsidR="00EB053F" w:rsidRDefault="00F63BA0" w14:paraId="50C1553F" w14:textId="77777777">
            <w:pPr>
              <w:jc w:val="right"/>
              <w:rPr>
                <w:sz w:val="20"/>
                <w:szCs w:val="20"/>
              </w:rPr>
            </w:pPr>
            <w:r>
              <w:rPr>
                <w:sz w:val="20"/>
                <w:szCs w:val="20"/>
              </w:rPr>
              <w:t>$747,000</w:t>
            </w:r>
          </w:p>
        </w:tc>
        <w:tc>
          <w:tcPr>
            <w:tcW w:w="594" w:type="pct"/>
            <w:tcBorders>
              <w:top w:val="single" w:color="auto" w:sz="4" w:space="0"/>
              <w:left w:val="single" w:color="auto" w:sz="4" w:space="0"/>
              <w:bottom w:val="single" w:color="auto" w:sz="4" w:space="0"/>
              <w:right w:val="single" w:color="auto" w:sz="4" w:space="0"/>
            </w:tcBorders>
            <w:vAlign w:val="center"/>
          </w:tcPr>
          <w:p w:rsidR="00EB053F" w:rsidRDefault="00F63BA0" w14:paraId="23F0383E" w14:textId="1F617999">
            <w:pPr>
              <w:jc w:val="right"/>
              <w:rPr>
                <w:sz w:val="20"/>
                <w:szCs w:val="20"/>
              </w:rPr>
            </w:pPr>
            <w:r>
              <w:rPr>
                <w:sz w:val="20"/>
                <w:szCs w:val="20"/>
              </w:rPr>
              <w:t>$830</w:t>
            </w:r>
            <w:commentRangeStart w:id="35"/>
            <w:commentRangeEnd w:id="35"/>
          </w:p>
        </w:tc>
      </w:tr>
      <w:tr w:rsidR="00EB053F" w14:paraId="365CAE54" w14:textId="77777777">
        <w:trPr>
          <w:cantSplit/>
        </w:trPr>
        <w:tc>
          <w:tcPr>
            <w:tcW w:w="930" w:type="pct"/>
            <w:tcBorders>
              <w:top w:val="single" w:color="auto" w:sz="4" w:space="0"/>
              <w:left w:val="single" w:color="auto" w:sz="4" w:space="0"/>
              <w:bottom w:val="single" w:color="auto" w:sz="4" w:space="0"/>
              <w:right w:val="single" w:color="auto" w:sz="4" w:space="0"/>
            </w:tcBorders>
            <w:vAlign w:val="center"/>
            <w:hideMark/>
          </w:tcPr>
          <w:p w:rsidR="00EB053F" w:rsidRDefault="00F63BA0" w14:paraId="0F6447A8" w14:textId="77777777">
            <w:pPr>
              <w:rPr>
                <w:sz w:val="20"/>
                <w:szCs w:val="20"/>
              </w:rPr>
            </w:pPr>
            <w:r>
              <w:rPr>
                <w:sz w:val="20"/>
                <w:szCs w:val="20"/>
              </w:rPr>
              <w:t>Small Power Production Facility &gt; 1 MW, &gt; 1 Mile, &lt; 10 Miles from Affiliated Small Power Production QF</w:t>
            </w:r>
          </w:p>
        </w:tc>
        <w:tc>
          <w:tcPr>
            <w:tcW w:w="638" w:type="pct"/>
            <w:tcBorders>
              <w:top w:val="single" w:color="auto" w:sz="4" w:space="0"/>
              <w:left w:val="single" w:color="auto" w:sz="4" w:space="0"/>
              <w:bottom w:val="single" w:color="auto" w:sz="4" w:space="0"/>
              <w:right w:val="single" w:color="auto" w:sz="4" w:space="0"/>
            </w:tcBorders>
            <w:vAlign w:val="center"/>
            <w:hideMark/>
          </w:tcPr>
          <w:p w:rsidR="00EB053F" w:rsidRDefault="00F63BA0" w14:paraId="151DB819" w14:textId="77777777">
            <w:pPr>
              <w:rPr>
                <w:sz w:val="20"/>
                <w:szCs w:val="20"/>
              </w:rPr>
            </w:pPr>
            <w:r>
              <w:rPr>
                <w:sz w:val="20"/>
                <w:szCs w:val="20"/>
              </w:rPr>
              <w:t>Application for FERC certification</w:t>
            </w:r>
          </w:p>
        </w:tc>
        <w:tc>
          <w:tcPr>
            <w:tcW w:w="637" w:type="pct"/>
            <w:tcBorders>
              <w:top w:val="single" w:color="auto" w:sz="4" w:space="0"/>
              <w:left w:val="single" w:color="auto" w:sz="4" w:space="0"/>
              <w:bottom w:val="single" w:color="auto" w:sz="4" w:space="0"/>
              <w:right w:val="single" w:color="auto" w:sz="4" w:space="0"/>
            </w:tcBorders>
            <w:vAlign w:val="center"/>
            <w:hideMark/>
          </w:tcPr>
          <w:p w:rsidR="00EB053F" w:rsidRDefault="00F63BA0" w14:paraId="302C562C" w14:textId="77777777">
            <w:pPr>
              <w:jc w:val="right"/>
              <w:rPr>
                <w:sz w:val="20"/>
                <w:szCs w:val="20"/>
              </w:rPr>
            </w:pPr>
            <w:r>
              <w:rPr>
                <w:sz w:val="20"/>
                <w:szCs w:val="20"/>
              </w:rPr>
              <w:t>no change</w:t>
            </w:r>
          </w:p>
          <w:p w:rsidR="00EB053F" w:rsidRDefault="00F63BA0" w14:paraId="2FF2AD94" w14:textId="77777777">
            <w:pPr>
              <w:jc w:val="right"/>
              <w:rPr>
                <w:sz w:val="20"/>
                <w:szCs w:val="20"/>
              </w:rPr>
            </w:pPr>
            <w:r>
              <w:rPr>
                <w:sz w:val="20"/>
                <w:szCs w:val="20"/>
              </w:rPr>
              <w:t>(0)</w:t>
            </w:r>
          </w:p>
        </w:tc>
        <w:tc>
          <w:tcPr>
            <w:tcW w:w="593" w:type="pct"/>
            <w:tcBorders>
              <w:top w:val="single" w:color="auto" w:sz="4" w:space="0"/>
              <w:left w:val="single" w:color="auto" w:sz="4" w:space="0"/>
              <w:bottom w:val="single" w:color="auto" w:sz="4" w:space="0"/>
              <w:right w:val="single" w:color="auto" w:sz="4" w:space="0"/>
            </w:tcBorders>
            <w:vAlign w:val="center"/>
            <w:hideMark/>
          </w:tcPr>
          <w:p w:rsidR="00EB053F" w:rsidRDefault="00F63BA0" w14:paraId="0BF9C735" w14:textId="77777777">
            <w:pPr>
              <w:jc w:val="right"/>
              <w:rPr>
                <w:sz w:val="20"/>
                <w:szCs w:val="20"/>
              </w:rPr>
            </w:pPr>
            <w:r>
              <w:rPr>
                <w:sz w:val="20"/>
                <w:szCs w:val="20"/>
              </w:rPr>
              <w:t>no change</w:t>
            </w:r>
          </w:p>
          <w:p w:rsidR="00EB053F" w:rsidRDefault="00F63BA0" w14:paraId="085BF7D3" w14:textId="77777777">
            <w:pPr>
              <w:jc w:val="right"/>
              <w:rPr>
                <w:sz w:val="20"/>
                <w:szCs w:val="20"/>
              </w:rPr>
            </w:pPr>
            <w:r>
              <w:rPr>
                <w:sz w:val="20"/>
                <w:szCs w:val="20"/>
              </w:rPr>
              <w:t>(1.25)</w:t>
            </w:r>
          </w:p>
        </w:tc>
        <w:tc>
          <w:tcPr>
            <w:tcW w:w="551" w:type="pct"/>
            <w:tcBorders>
              <w:top w:val="single" w:color="auto" w:sz="4" w:space="0"/>
              <w:left w:val="single" w:color="auto" w:sz="4" w:space="0"/>
              <w:bottom w:val="single" w:color="auto" w:sz="4" w:space="0"/>
              <w:right w:val="single" w:color="auto" w:sz="4" w:space="0"/>
            </w:tcBorders>
            <w:vAlign w:val="center"/>
            <w:hideMark/>
          </w:tcPr>
          <w:p w:rsidR="00EB053F" w:rsidRDefault="00F63BA0" w14:paraId="4B3F1CA3" w14:textId="77777777">
            <w:pPr>
              <w:jc w:val="right"/>
              <w:rPr>
                <w:sz w:val="20"/>
                <w:szCs w:val="20"/>
              </w:rPr>
            </w:pPr>
            <w:r>
              <w:rPr>
                <w:sz w:val="20"/>
                <w:szCs w:val="20"/>
              </w:rPr>
              <w:t>no change</w:t>
            </w:r>
          </w:p>
          <w:p w:rsidR="00EB053F" w:rsidRDefault="00F63BA0" w14:paraId="4F3A81E4" w14:textId="77777777">
            <w:pPr>
              <w:jc w:val="right"/>
              <w:rPr>
                <w:sz w:val="20"/>
                <w:szCs w:val="20"/>
              </w:rPr>
            </w:pPr>
            <w:r>
              <w:rPr>
                <w:sz w:val="20"/>
                <w:szCs w:val="20"/>
              </w:rPr>
              <w:t>(0)</w:t>
            </w:r>
          </w:p>
        </w:tc>
        <w:tc>
          <w:tcPr>
            <w:tcW w:w="508" w:type="pct"/>
            <w:tcBorders>
              <w:top w:val="single" w:color="auto" w:sz="4" w:space="0"/>
              <w:left w:val="single" w:color="auto" w:sz="4" w:space="0"/>
              <w:bottom w:val="single" w:color="auto" w:sz="4" w:space="0"/>
              <w:right w:val="single" w:color="auto" w:sz="4" w:space="0"/>
            </w:tcBorders>
            <w:vAlign w:val="center"/>
            <w:hideMark/>
          </w:tcPr>
          <w:p w:rsidR="00EB053F" w:rsidRDefault="00F63BA0" w14:paraId="1295D828" w14:textId="77777777">
            <w:pPr>
              <w:jc w:val="right"/>
              <w:rPr>
                <w:sz w:val="20"/>
                <w:szCs w:val="20"/>
              </w:rPr>
            </w:pPr>
            <w:r>
              <w:rPr>
                <w:sz w:val="20"/>
                <w:szCs w:val="20"/>
              </w:rPr>
              <w:t>12 hrs.;</w:t>
            </w:r>
          </w:p>
          <w:p w:rsidR="00EB053F" w:rsidRDefault="00F63BA0" w14:paraId="19921F38" w14:textId="77777777">
            <w:pPr>
              <w:jc w:val="right"/>
              <w:rPr>
                <w:sz w:val="20"/>
                <w:szCs w:val="20"/>
              </w:rPr>
            </w:pPr>
            <w:r>
              <w:rPr>
                <w:sz w:val="20"/>
                <w:szCs w:val="20"/>
              </w:rPr>
              <w:t>$996</w:t>
            </w:r>
          </w:p>
        </w:tc>
        <w:tc>
          <w:tcPr>
            <w:tcW w:w="549" w:type="pct"/>
            <w:tcBorders>
              <w:top w:val="single" w:color="auto" w:sz="4" w:space="0"/>
              <w:left w:val="single" w:color="auto" w:sz="4" w:space="0"/>
              <w:bottom w:val="single" w:color="auto" w:sz="4" w:space="0"/>
              <w:right w:val="single" w:color="auto" w:sz="4" w:space="0"/>
            </w:tcBorders>
            <w:vAlign w:val="center"/>
            <w:hideMark/>
          </w:tcPr>
          <w:p w:rsidR="00EB053F" w:rsidRDefault="00F63BA0" w14:paraId="15C47306" w14:textId="77777777">
            <w:pPr>
              <w:jc w:val="right"/>
              <w:rPr>
                <w:sz w:val="20"/>
                <w:szCs w:val="20"/>
              </w:rPr>
            </w:pPr>
            <w:r>
              <w:rPr>
                <w:sz w:val="20"/>
                <w:szCs w:val="20"/>
              </w:rPr>
              <w:t>no change</w:t>
            </w:r>
          </w:p>
          <w:p w:rsidR="00EB053F" w:rsidRDefault="00F63BA0" w14:paraId="2C7D7231" w14:textId="77777777">
            <w:pPr>
              <w:jc w:val="right"/>
              <w:rPr>
                <w:sz w:val="20"/>
                <w:szCs w:val="20"/>
              </w:rPr>
            </w:pPr>
            <w:r>
              <w:rPr>
                <w:sz w:val="20"/>
                <w:szCs w:val="20"/>
              </w:rPr>
              <w:t>(0 hrs.);</w:t>
            </w:r>
          </w:p>
          <w:p w:rsidR="00EB053F" w:rsidRDefault="00F63BA0" w14:paraId="63928070" w14:textId="77777777">
            <w:pPr>
              <w:jc w:val="right"/>
              <w:rPr>
                <w:sz w:val="20"/>
                <w:szCs w:val="20"/>
              </w:rPr>
            </w:pPr>
            <w:r>
              <w:rPr>
                <w:sz w:val="20"/>
                <w:szCs w:val="20"/>
              </w:rPr>
              <w:t>$0</w:t>
            </w:r>
          </w:p>
        </w:tc>
        <w:tc>
          <w:tcPr>
            <w:tcW w:w="594" w:type="pct"/>
            <w:tcBorders>
              <w:top w:val="single" w:color="auto" w:sz="4" w:space="0"/>
              <w:left w:val="single" w:color="auto" w:sz="4" w:space="0"/>
              <w:bottom w:val="single" w:color="auto" w:sz="4" w:space="0"/>
              <w:right w:val="single" w:color="auto" w:sz="4" w:space="0"/>
            </w:tcBorders>
            <w:vAlign w:val="center"/>
            <w:hideMark/>
          </w:tcPr>
          <w:p w:rsidR="00EB053F" w:rsidRDefault="00F63BA0" w14:paraId="06564333" w14:textId="77777777">
            <w:pPr>
              <w:jc w:val="right"/>
              <w:rPr>
                <w:sz w:val="20"/>
                <w:szCs w:val="20"/>
              </w:rPr>
            </w:pPr>
            <w:r>
              <w:rPr>
                <w:sz w:val="20"/>
                <w:szCs w:val="20"/>
              </w:rPr>
              <w:t>$0</w:t>
            </w:r>
          </w:p>
        </w:tc>
      </w:tr>
      <w:tr w:rsidR="00EB053F" w14:paraId="0CCFBBE8" w14:textId="77777777">
        <w:trPr>
          <w:cantSplit/>
        </w:trPr>
        <w:tc>
          <w:tcPr>
            <w:tcW w:w="930" w:type="pct"/>
            <w:tcBorders>
              <w:top w:val="single" w:color="auto" w:sz="4" w:space="0"/>
              <w:left w:val="single" w:color="auto" w:sz="4" w:space="0"/>
              <w:bottom w:val="single" w:color="auto" w:sz="4" w:space="0"/>
              <w:right w:val="single" w:color="auto" w:sz="4" w:space="0"/>
            </w:tcBorders>
            <w:vAlign w:val="center"/>
          </w:tcPr>
          <w:p w:rsidR="00EB053F" w:rsidRDefault="00F63BA0" w14:paraId="1C98AC34" w14:textId="77777777">
            <w:pPr>
              <w:rPr>
                <w:sz w:val="20"/>
                <w:szCs w:val="20"/>
              </w:rPr>
            </w:pPr>
            <w:r>
              <w:rPr>
                <w:sz w:val="20"/>
                <w:szCs w:val="20"/>
              </w:rPr>
              <w:t xml:space="preserve">Small Power Production Facility &gt; 1 MW, ≥ 10 Miles </w:t>
            </w:r>
            <w:r>
              <w:rPr>
                <w:sz w:val="20"/>
                <w:szCs w:val="20"/>
              </w:rPr>
              <w:lastRenderedPageBreak/>
              <w:t>from Affiliated Small Power Production QF</w:t>
            </w:r>
          </w:p>
        </w:tc>
        <w:tc>
          <w:tcPr>
            <w:tcW w:w="638" w:type="pct"/>
            <w:tcBorders>
              <w:top w:val="single" w:color="auto" w:sz="4" w:space="0"/>
              <w:left w:val="single" w:color="auto" w:sz="4" w:space="0"/>
              <w:bottom w:val="single" w:color="auto" w:sz="4" w:space="0"/>
              <w:right w:val="single" w:color="auto" w:sz="4" w:space="0"/>
            </w:tcBorders>
            <w:vAlign w:val="center"/>
          </w:tcPr>
          <w:p w:rsidR="00EB053F" w:rsidRDefault="00F63BA0" w14:paraId="2812F8A5" w14:textId="77777777">
            <w:pPr>
              <w:rPr>
                <w:sz w:val="20"/>
                <w:szCs w:val="20"/>
              </w:rPr>
            </w:pPr>
            <w:r>
              <w:rPr>
                <w:sz w:val="20"/>
                <w:szCs w:val="20"/>
              </w:rPr>
              <w:lastRenderedPageBreak/>
              <w:t>Self-certification</w:t>
            </w:r>
          </w:p>
        </w:tc>
        <w:tc>
          <w:tcPr>
            <w:tcW w:w="637" w:type="pct"/>
            <w:tcBorders>
              <w:top w:val="single" w:color="auto" w:sz="4" w:space="0"/>
              <w:left w:val="single" w:color="auto" w:sz="4" w:space="0"/>
              <w:bottom w:val="single" w:color="auto" w:sz="4" w:space="0"/>
              <w:right w:val="single" w:color="auto" w:sz="4" w:space="0"/>
            </w:tcBorders>
            <w:vAlign w:val="center"/>
          </w:tcPr>
          <w:p w:rsidR="00EB053F" w:rsidRDefault="00F63BA0" w14:paraId="7AD99CCB" w14:textId="77777777">
            <w:pPr>
              <w:jc w:val="right"/>
              <w:rPr>
                <w:sz w:val="20"/>
                <w:szCs w:val="20"/>
              </w:rPr>
            </w:pPr>
            <w:r>
              <w:rPr>
                <w:sz w:val="20"/>
                <w:szCs w:val="20"/>
              </w:rPr>
              <w:t>no change</w:t>
            </w:r>
          </w:p>
          <w:p w:rsidR="00EB053F" w:rsidRDefault="00F63BA0" w14:paraId="09610332" w14:textId="77777777">
            <w:pPr>
              <w:jc w:val="right"/>
              <w:rPr>
                <w:sz w:val="20"/>
                <w:szCs w:val="20"/>
              </w:rPr>
            </w:pPr>
            <w:r>
              <w:rPr>
                <w:sz w:val="20"/>
                <w:szCs w:val="20"/>
              </w:rPr>
              <w:t>(899)</w:t>
            </w:r>
          </w:p>
        </w:tc>
        <w:tc>
          <w:tcPr>
            <w:tcW w:w="593" w:type="pct"/>
            <w:tcBorders>
              <w:top w:val="single" w:color="auto" w:sz="4" w:space="0"/>
              <w:left w:val="single" w:color="auto" w:sz="4" w:space="0"/>
              <w:bottom w:val="single" w:color="auto" w:sz="4" w:space="0"/>
              <w:right w:val="single" w:color="auto" w:sz="4" w:space="0"/>
            </w:tcBorders>
            <w:vAlign w:val="center"/>
          </w:tcPr>
          <w:p w:rsidR="00EB053F" w:rsidRDefault="00F63BA0" w14:paraId="69C45AEC" w14:textId="77777777">
            <w:pPr>
              <w:jc w:val="right"/>
              <w:rPr>
                <w:sz w:val="20"/>
                <w:szCs w:val="20"/>
              </w:rPr>
            </w:pPr>
            <w:r>
              <w:rPr>
                <w:sz w:val="20"/>
                <w:szCs w:val="20"/>
              </w:rPr>
              <w:t>no change</w:t>
            </w:r>
          </w:p>
          <w:p w:rsidR="00EB053F" w:rsidRDefault="00F63BA0" w14:paraId="2CE0EDB2" w14:textId="77777777">
            <w:pPr>
              <w:jc w:val="right"/>
              <w:rPr>
                <w:sz w:val="20"/>
                <w:szCs w:val="20"/>
              </w:rPr>
            </w:pPr>
            <w:r>
              <w:rPr>
                <w:sz w:val="20"/>
                <w:szCs w:val="20"/>
              </w:rPr>
              <w:t>(1.25)</w:t>
            </w:r>
          </w:p>
        </w:tc>
        <w:tc>
          <w:tcPr>
            <w:tcW w:w="551" w:type="pct"/>
            <w:tcBorders>
              <w:top w:val="single" w:color="auto" w:sz="4" w:space="0"/>
              <w:left w:val="single" w:color="auto" w:sz="4" w:space="0"/>
              <w:bottom w:val="single" w:color="auto" w:sz="4" w:space="0"/>
              <w:right w:val="single" w:color="auto" w:sz="4" w:space="0"/>
            </w:tcBorders>
            <w:vAlign w:val="center"/>
          </w:tcPr>
          <w:p w:rsidR="00EB053F" w:rsidRDefault="00F63BA0" w14:paraId="4C0B96F6" w14:textId="77777777">
            <w:pPr>
              <w:jc w:val="right"/>
              <w:rPr>
                <w:sz w:val="20"/>
                <w:szCs w:val="20"/>
              </w:rPr>
            </w:pPr>
            <w:r>
              <w:rPr>
                <w:sz w:val="20"/>
                <w:szCs w:val="20"/>
              </w:rPr>
              <w:t>no change</w:t>
            </w:r>
          </w:p>
          <w:p w:rsidR="00EB053F" w:rsidRDefault="00F63BA0" w14:paraId="73AB3847" w14:textId="77777777">
            <w:pPr>
              <w:jc w:val="right"/>
              <w:rPr>
                <w:sz w:val="20"/>
                <w:szCs w:val="20"/>
              </w:rPr>
            </w:pPr>
            <w:r>
              <w:rPr>
                <w:sz w:val="20"/>
                <w:szCs w:val="20"/>
              </w:rPr>
              <w:t>(1,123.75)</w:t>
            </w:r>
          </w:p>
        </w:tc>
        <w:tc>
          <w:tcPr>
            <w:tcW w:w="508" w:type="pct"/>
            <w:tcBorders>
              <w:top w:val="single" w:color="auto" w:sz="4" w:space="0"/>
              <w:left w:val="single" w:color="auto" w:sz="4" w:space="0"/>
              <w:bottom w:val="single" w:color="auto" w:sz="4" w:space="0"/>
              <w:right w:val="single" w:color="auto" w:sz="4" w:space="0"/>
            </w:tcBorders>
            <w:vAlign w:val="center"/>
          </w:tcPr>
          <w:p w:rsidR="00EB053F" w:rsidRDefault="00F63BA0" w14:paraId="0A9ADEA1" w14:textId="77777777">
            <w:pPr>
              <w:jc w:val="right"/>
              <w:rPr>
                <w:sz w:val="20"/>
                <w:szCs w:val="20"/>
              </w:rPr>
            </w:pPr>
            <w:r>
              <w:rPr>
                <w:sz w:val="20"/>
                <w:szCs w:val="20"/>
              </w:rPr>
              <w:t>2 hrs.;</w:t>
            </w:r>
          </w:p>
          <w:p w:rsidR="00EB053F" w:rsidRDefault="00F63BA0" w14:paraId="725B6A14" w14:textId="77777777">
            <w:pPr>
              <w:jc w:val="right"/>
              <w:rPr>
                <w:sz w:val="20"/>
                <w:szCs w:val="20"/>
              </w:rPr>
            </w:pPr>
            <w:r>
              <w:rPr>
                <w:sz w:val="20"/>
                <w:szCs w:val="20"/>
              </w:rPr>
              <w:t>$166</w:t>
            </w:r>
          </w:p>
        </w:tc>
        <w:tc>
          <w:tcPr>
            <w:tcW w:w="549" w:type="pct"/>
            <w:tcBorders>
              <w:top w:val="single" w:color="auto" w:sz="4" w:space="0"/>
              <w:left w:val="single" w:color="auto" w:sz="4" w:space="0"/>
              <w:bottom w:val="single" w:color="auto" w:sz="4" w:space="0"/>
              <w:right w:val="single" w:color="auto" w:sz="4" w:space="0"/>
            </w:tcBorders>
            <w:vAlign w:val="center"/>
          </w:tcPr>
          <w:p w:rsidR="00EB053F" w:rsidRDefault="00F63BA0" w14:paraId="380165D2" w14:textId="77777777">
            <w:pPr>
              <w:jc w:val="right"/>
              <w:rPr>
                <w:sz w:val="20"/>
                <w:szCs w:val="20"/>
              </w:rPr>
            </w:pPr>
            <w:r>
              <w:rPr>
                <w:sz w:val="20"/>
                <w:szCs w:val="20"/>
              </w:rPr>
              <w:t>2,247.5 hrs.;</w:t>
            </w:r>
          </w:p>
          <w:p w:rsidR="00EB053F" w:rsidRDefault="00F63BA0" w14:paraId="28ABFA23" w14:textId="77777777">
            <w:pPr>
              <w:jc w:val="right"/>
              <w:rPr>
                <w:sz w:val="20"/>
                <w:szCs w:val="20"/>
              </w:rPr>
            </w:pPr>
            <w:r>
              <w:rPr>
                <w:sz w:val="20"/>
                <w:szCs w:val="20"/>
              </w:rPr>
              <w:t>$186,542.5</w:t>
            </w:r>
          </w:p>
        </w:tc>
        <w:tc>
          <w:tcPr>
            <w:tcW w:w="594" w:type="pct"/>
            <w:tcBorders>
              <w:top w:val="single" w:color="auto" w:sz="4" w:space="0"/>
              <w:left w:val="single" w:color="auto" w:sz="4" w:space="0"/>
              <w:bottom w:val="single" w:color="auto" w:sz="4" w:space="0"/>
              <w:right w:val="single" w:color="auto" w:sz="4" w:space="0"/>
            </w:tcBorders>
            <w:vAlign w:val="center"/>
          </w:tcPr>
          <w:p w:rsidR="00EB053F" w:rsidRDefault="00F63BA0" w14:paraId="68A7EA2D" w14:textId="77777777">
            <w:pPr>
              <w:jc w:val="right"/>
              <w:rPr>
                <w:sz w:val="20"/>
                <w:szCs w:val="20"/>
              </w:rPr>
            </w:pPr>
            <w:r>
              <w:rPr>
                <w:sz w:val="20"/>
                <w:szCs w:val="20"/>
              </w:rPr>
              <w:t>$207.5</w:t>
            </w:r>
          </w:p>
        </w:tc>
      </w:tr>
      <w:tr w:rsidR="00EB053F" w14:paraId="3075D5E1" w14:textId="77777777">
        <w:trPr>
          <w:cantSplit/>
          <w:trHeight w:val="1232"/>
        </w:trPr>
        <w:tc>
          <w:tcPr>
            <w:tcW w:w="930" w:type="pct"/>
            <w:tcBorders>
              <w:top w:val="single" w:color="auto" w:sz="4" w:space="0"/>
              <w:left w:val="single" w:color="auto" w:sz="4" w:space="0"/>
              <w:bottom w:val="single" w:color="auto" w:sz="4" w:space="0"/>
              <w:right w:val="single" w:color="auto" w:sz="4" w:space="0"/>
            </w:tcBorders>
            <w:vAlign w:val="center"/>
          </w:tcPr>
          <w:p w:rsidR="00EB053F" w:rsidRDefault="00F63BA0" w14:paraId="18687AEA" w14:textId="77777777">
            <w:pPr>
              <w:rPr>
                <w:sz w:val="20"/>
                <w:szCs w:val="20"/>
              </w:rPr>
            </w:pPr>
            <w:r>
              <w:rPr>
                <w:sz w:val="20"/>
                <w:szCs w:val="20"/>
              </w:rPr>
              <w:t>Small Power Production Facility &gt; 1 MW, ≥ 10 Miles from Affiliated Small Power Production QF</w:t>
            </w:r>
          </w:p>
        </w:tc>
        <w:tc>
          <w:tcPr>
            <w:tcW w:w="638" w:type="pct"/>
            <w:tcBorders>
              <w:top w:val="single" w:color="auto" w:sz="4" w:space="0"/>
              <w:left w:val="single" w:color="auto" w:sz="4" w:space="0"/>
              <w:bottom w:val="single" w:color="auto" w:sz="4" w:space="0"/>
              <w:right w:val="single" w:color="auto" w:sz="4" w:space="0"/>
            </w:tcBorders>
            <w:vAlign w:val="center"/>
          </w:tcPr>
          <w:p w:rsidR="00EB053F" w:rsidRDefault="00F63BA0" w14:paraId="7B402F5B" w14:textId="77777777">
            <w:pPr>
              <w:rPr>
                <w:sz w:val="20"/>
                <w:szCs w:val="20"/>
              </w:rPr>
            </w:pPr>
            <w:r>
              <w:rPr>
                <w:sz w:val="20"/>
                <w:szCs w:val="20"/>
              </w:rPr>
              <w:t>Application for FERC certification</w:t>
            </w:r>
          </w:p>
        </w:tc>
        <w:tc>
          <w:tcPr>
            <w:tcW w:w="637" w:type="pct"/>
            <w:tcBorders>
              <w:top w:val="single" w:color="auto" w:sz="4" w:space="0"/>
              <w:left w:val="single" w:color="auto" w:sz="4" w:space="0"/>
              <w:bottom w:val="single" w:color="auto" w:sz="4" w:space="0"/>
              <w:right w:val="single" w:color="auto" w:sz="4" w:space="0"/>
            </w:tcBorders>
            <w:vAlign w:val="center"/>
          </w:tcPr>
          <w:p w:rsidR="00EB053F" w:rsidRDefault="00F63BA0" w14:paraId="6865B9C8" w14:textId="77777777">
            <w:pPr>
              <w:jc w:val="right"/>
              <w:rPr>
                <w:sz w:val="20"/>
                <w:szCs w:val="20"/>
              </w:rPr>
            </w:pPr>
            <w:r>
              <w:rPr>
                <w:sz w:val="20"/>
                <w:szCs w:val="20"/>
              </w:rPr>
              <w:t>no change</w:t>
            </w:r>
          </w:p>
          <w:p w:rsidR="00EB053F" w:rsidRDefault="00F63BA0" w14:paraId="21951416" w14:textId="77777777">
            <w:pPr>
              <w:jc w:val="right"/>
              <w:rPr>
                <w:sz w:val="20"/>
                <w:szCs w:val="20"/>
              </w:rPr>
            </w:pPr>
            <w:r>
              <w:rPr>
                <w:sz w:val="20"/>
                <w:szCs w:val="20"/>
              </w:rPr>
              <w:t>(0)</w:t>
            </w:r>
          </w:p>
        </w:tc>
        <w:tc>
          <w:tcPr>
            <w:tcW w:w="593" w:type="pct"/>
            <w:tcBorders>
              <w:top w:val="single" w:color="auto" w:sz="4" w:space="0"/>
              <w:left w:val="single" w:color="auto" w:sz="4" w:space="0"/>
              <w:bottom w:val="single" w:color="auto" w:sz="4" w:space="0"/>
              <w:right w:val="single" w:color="auto" w:sz="4" w:space="0"/>
            </w:tcBorders>
            <w:vAlign w:val="center"/>
          </w:tcPr>
          <w:p w:rsidR="00EB053F" w:rsidRDefault="00F63BA0" w14:paraId="6F304F14" w14:textId="77777777">
            <w:pPr>
              <w:jc w:val="right"/>
              <w:rPr>
                <w:sz w:val="20"/>
                <w:szCs w:val="20"/>
              </w:rPr>
            </w:pPr>
            <w:r>
              <w:rPr>
                <w:sz w:val="20"/>
                <w:szCs w:val="20"/>
              </w:rPr>
              <w:t>no change</w:t>
            </w:r>
          </w:p>
          <w:p w:rsidR="00EB053F" w:rsidRDefault="00F63BA0" w14:paraId="2B56B039" w14:textId="77777777">
            <w:pPr>
              <w:jc w:val="right"/>
              <w:rPr>
                <w:sz w:val="20"/>
                <w:szCs w:val="20"/>
              </w:rPr>
            </w:pPr>
            <w:r>
              <w:rPr>
                <w:sz w:val="20"/>
                <w:szCs w:val="20"/>
              </w:rPr>
              <w:t>(1.25)</w:t>
            </w:r>
          </w:p>
        </w:tc>
        <w:tc>
          <w:tcPr>
            <w:tcW w:w="551" w:type="pct"/>
            <w:tcBorders>
              <w:top w:val="single" w:color="auto" w:sz="4" w:space="0"/>
              <w:left w:val="single" w:color="auto" w:sz="4" w:space="0"/>
              <w:bottom w:val="single" w:color="auto" w:sz="4" w:space="0"/>
              <w:right w:val="single" w:color="auto" w:sz="4" w:space="0"/>
            </w:tcBorders>
            <w:vAlign w:val="center"/>
          </w:tcPr>
          <w:p w:rsidR="00EB053F" w:rsidRDefault="00F63BA0" w14:paraId="37B33B39" w14:textId="77777777">
            <w:pPr>
              <w:jc w:val="right"/>
              <w:rPr>
                <w:sz w:val="20"/>
                <w:szCs w:val="20"/>
              </w:rPr>
            </w:pPr>
            <w:r>
              <w:rPr>
                <w:sz w:val="20"/>
                <w:szCs w:val="20"/>
              </w:rPr>
              <w:t>no change</w:t>
            </w:r>
          </w:p>
          <w:p w:rsidR="00EB053F" w:rsidRDefault="00F63BA0" w14:paraId="71F3BC3E" w14:textId="77777777">
            <w:pPr>
              <w:jc w:val="right"/>
              <w:rPr>
                <w:sz w:val="20"/>
                <w:szCs w:val="20"/>
              </w:rPr>
            </w:pPr>
            <w:r>
              <w:rPr>
                <w:sz w:val="20"/>
                <w:szCs w:val="20"/>
              </w:rPr>
              <w:t>(0)</w:t>
            </w:r>
          </w:p>
        </w:tc>
        <w:tc>
          <w:tcPr>
            <w:tcW w:w="508" w:type="pct"/>
            <w:tcBorders>
              <w:top w:val="single" w:color="auto" w:sz="4" w:space="0"/>
              <w:left w:val="single" w:color="auto" w:sz="4" w:space="0"/>
              <w:bottom w:val="single" w:color="auto" w:sz="4" w:space="0"/>
              <w:right w:val="single" w:color="auto" w:sz="4" w:space="0"/>
            </w:tcBorders>
            <w:vAlign w:val="center"/>
          </w:tcPr>
          <w:p w:rsidR="00EB053F" w:rsidRDefault="00F63BA0" w14:paraId="2E897BC1" w14:textId="77777777">
            <w:pPr>
              <w:jc w:val="right"/>
              <w:rPr>
                <w:sz w:val="20"/>
                <w:szCs w:val="20"/>
              </w:rPr>
            </w:pPr>
            <w:r>
              <w:rPr>
                <w:sz w:val="20"/>
                <w:szCs w:val="20"/>
              </w:rPr>
              <w:t>6 hrs.;</w:t>
            </w:r>
          </w:p>
          <w:p w:rsidR="00EB053F" w:rsidRDefault="00F63BA0" w14:paraId="6B5D5DDF" w14:textId="77777777">
            <w:pPr>
              <w:jc w:val="right"/>
              <w:rPr>
                <w:sz w:val="20"/>
                <w:szCs w:val="20"/>
              </w:rPr>
            </w:pPr>
            <w:r>
              <w:rPr>
                <w:sz w:val="20"/>
                <w:szCs w:val="20"/>
              </w:rPr>
              <w:t>$498</w:t>
            </w:r>
          </w:p>
        </w:tc>
        <w:tc>
          <w:tcPr>
            <w:tcW w:w="549" w:type="pct"/>
            <w:tcBorders>
              <w:top w:val="single" w:color="auto" w:sz="4" w:space="0"/>
              <w:left w:val="single" w:color="auto" w:sz="4" w:space="0"/>
              <w:bottom w:val="single" w:color="auto" w:sz="4" w:space="0"/>
              <w:right w:val="single" w:color="auto" w:sz="4" w:space="0"/>
            </w:tcBorders>
            <w:vAlign w:val="center"/>
          </w:tcPr>
          <w:p w:rsidR="00EB053F" w:rsidRDefault="00F63BA0" w14:paraId="77E72E24" w14:textId="77777777">
            <w:pPr>
              <w:jc w:val="right"/>
              <w:rPr>
                <w:sz w:val="20"/>
                <w:szCs w:val="20"/>
              </w:rPr>
            </w:pPr>
            <w:r>
              <w:rPr>
                <w:sz w:val="20"/>
                <w:szCs w:val="20"/>
              </w:rPr>
              <w:t>no change</w:t>
            </w:r>
          </w:p>
          <w:p w:rsidR="00EB053F" w:rsidRDefault="00F63BA0" w14:paraId="7AE21E46" w14:textId="77777777">
            <w:pPr>
              <w:jc w:val="right"/>
              <w:rPr>
                <w:sz w:val="20"/>
                <w:szCs w:val="20"/>
              </w:rPr>
            </w:pPr>
            <w:r>
              <w:rPr>
                <w:sz w:val="20"/>
                <w:szCs w:val="20"/>
              </w:rPr>
              <w:t>(0 hrs.);</w:t>
            </w:r>
          </w:p>
          <w:p w:rsidR="00EB053F" w:rsidRDefault="00F63BA0" w14:paraId="4FB065BB" w14:textId="77777777">
            <w:pPr>
              <w:jc w:val="right"/>
              <w:rPr>
                <w:sz w:val="20"/>
                <w:szCs w:val="20"/>
              </w:rPr>
            </w:pPr>
            <w:r>
              <w:rPr>
                <w:sz w:val="20"/>
                <w:szCs w:val="20"/>
              </w:rPr>
              <w:t>$0</w:t>
            </w:r>
          </w:p>
        </w:tc>
        <w:tc>
          <w:tcPr>
            <w:tcW w:w="594" w:type="pct"/>
            <w:tcBorders>
              <w:top w:val="single" w:color="auto" w:sz="4" w:space="0"/>
              <w:left w:val="single" w:color="auto" w:sz="4" w:space="0"/>
              <w:bottom w:val="single" w:color="auto" w:sz="4" w:space="0"/>
              <w:right w:val="single" w:color="auto" w:sz="4" w:space="0"/>
            </w:tcBorders>
            <w:vAlign w:val="center"/>
          </w:tcPr>
          <w:p w:rsidR="00EB053F" w:rsidRDefault="00F63BA0" w14:paraId="3D3B8BFA" w14:textId="77777777">
            <w:pPr>
              <w:jc w:val="right"/>
              <w:rPr>
                <w:sz w:val="20"/>
                <w:szCs w:val="20"/>
              </w:rPr>
            </w:pPr>
            <w:r>
              <w:rPr>
                <w:sz w:val="20"/>
                <w:szCs w:val="20"/>
              </w:rPr>
              <w:t>$0</w:t>
            </w:r>
          </w:p>
        </w:tc>
      </w:tr>
      <w:tr w:rsidR="00EB053F" w14:paraId="1A293C75" w14:textId="77777777">
        <w:trPr>
          <w:cantSplit/>
        </w:trPr>
        <w:tc>
          <w:tcPr>
            <w:tcW w:w="930" w:type="pct"/>
            <w:tcBorders>
              <w:top w:val="single" w:color="auto" w:sz="4" w:space="0"/>
              <w:left w:val="single" w:color="auto" w:sz="4" w:space="0"/>
              <w:bottom w:val="single" w:color="auto" w:sz="4" w:space="0"/>
              <w:right w:val="single" w:color="auto" w:sz="4" w:space="0"/>
            </w:tcBorders>
            <w:vAlign w:val="center"/>
          </w:tcPr>
          <w:p w:rsidR="00EB053F" w:rsidRDefault="00F63BA0" w14:paraId="339AED55" w14:textId="26D6D4AB">
            <w:pPr>
              <w:rPr>
                <w:b/>
                <w:sz w:val="20"/>
                <w:szCs w:val="20"/>
              </w:rPr>
            </w:pPr>
            <w:r>
              <w:rPr>
                <w:b/>
                <w:sz w:val="20"/>
                <w:szCs w:val="20"/>
              </w:rPr>
              <w:t xml:space="preserve">FERC-556, TOTAL ADDITIONAL BURDEN AND COST DUE TO FINAL RULE </w:t>
            </w:r>
            <w:r w:rsidR="00CB4C72">
              <w:rPr>
                <w:b/>
                <w:sz w:val="20"/>
                <w:szCs w:val="20"/>
              </w:rPr>
              <w:t>AND REHEARING ORDER</w:t>
            </w:r>
            <w:r w:rsidR="00DA6082">
              <w:rPr>
                <w:b/>
                <w:sz w:val="20"/>
                <w:szCs w:val="20"/>
              </w:rPr>
              <w:t xml:space="preserve"> </w:t>
            </w:r>
          </w:p>
        </w:tc>
        <w:tc>
          <w:tcPr>
            <w:tcW w:w="638" w:type="pct"/>
            <w:tcBorders>
              <w:top w:val="single" w:color="auto" w:sz="4" w:space="0"/>
              <w:left w:val="single" w:color="auto" w:sz="4" w:space="0"/>
              <w:bottom w:val="single" w:color="auto" w:sz="4" w:space="0"/>
              <w:right w:val="single" w:color="auto" w:sz="4" w:space="0"/>
            </w:tcBorders>
            <w:vAlign w:val="center"/>
          </w:tcPr>
          <w:p w:rsidR="00EB053F" w:rsidRDefault="00EB053F" w14:paraId="598FB27D" w14:textId="77777777">
            <w:pPr>
              <w:rPr>
                <w:b/>
                <w:sz w:val="20"/>
                <w:szCs w:val="20"/>
              </w:rPr>
            </w:pPr>
          </w:p>
        </w:tc>
        <w:tc>
          <w:tcPr>
            <w:tcW w:w="637" w:type="pct"/>
            <w:tcBorders>
              <w:top w:val="single" w:color="auto" w:sz="4" w:space="0"/>
              <w:left w:val="single" w:color="auto" w:sz="4" w:space="0"/>
              <w:bottom w:val="single" w:color="auto" w:sz="4" w:space="0"/>
              <w:right w:val="single" w:color="auto" w:sz="4" w:space="0"/>
            </w:tcBorders>
            <w:vAlign w:val="center"/>
          </w:tcPr>
          <w:p w:rsidR="00EB053F" w:rsidRDefault="00F63BA0" w14:paraId="78BF52BA" w14:textId="77777777">
            <w:pPr>
              <w:jc w:val="right"/>
              <w:rPr>
                <w:b/>
                <w:sz w:val="20"/>
                <w:szCs w:val="20"/>
              </w:rPr>
            </w:pPr>
            <w:r>
              <w:rPr>
                <w:b/>
                <w:sz w:val="20"/>
                <w:szCs w:val="20"/>
              </w:rPr>
              <w:t>no change</w:t>
            </w:r>
          </w:p>
          <w:p w:rsidR="00EB053F" w:rsidRDefault="00F63BA0" w14:paraId="5ED5AA4C" w14:textId="77777777">
            <w:pPr>
              <w:jc w:val="right"/>
              <w:rPr>
                <w:sz w:val="20"/>
                <w:szCs w:val="20"/>
              </w:rPr>
            </w:pPr>
            <w:r>
              <w:rPr>
                <w:sz w:val="20"/>
                <w:szCs w:val="20"/>
              </w:rPr>
              <w:t>(3,454)</w:t>
            </w:r>
          </w:p>
        </w:tc>
        <w:tc>
          <w:tcPr>
            <w:tcW w:w="593" w:type="pct"/>
            <w:tcBorders>
              <w:top w:val="single" w:color="auto" w:sz="4" w:space="0"/>
              <w:left w:val="single" w:color="auto" w:sz="4" w:space="0"/>
              <w:bottom w:val="single" w:color="auto" w:sz="4" w:space="0"/>
              <w:right w:val="single" w:color="auto" w:sz="4" w:space="0"/>
            </w:tcBorders>
            <w:shd w:val="clear" w:color="auto" w:fill="BFBFBF"/>
            <w:vAlign w:val="center"/>
          </w:tcPr>
          <w:p w:rsidR="00EB053F" w:rsidRDefault="00EB053F" w14:paraId="45F301D9" w14:textId="77777777">
            <w:pPr>
              <w:jc w:val="right"/>
              <w:rPr>
                <w:b/>
                <w:sz w:val="20"/>
                <w:szCs w:val="20"/>
              </w:rPr>
            </w:pPr>
          </w:p>
        </w:tc>
        <w:tc>
          <w:tcPr>
            <w:tcW w:w="551" w:type="pct"/>
            <w:tcBorders>
              <w:top w:val="single" w:color="auto" w:sz="4" w:space="0"/>
              <w:left w:val="single" w:color="auto" w:sz="4" w:space="0"/>
              <w:bottom w:val="single" w:color="auto" w:sz="4" w:space="0"/>
              <w:right w:val="single" w:color="auto" w:sz="4" w:space="0"/>
            </w:tcBorders>
            <w:vAlign w:val="center"/>
          </w:tcPr>
          <w:p w:rsidR="00EB053F" w:rsidRDefault="00F63BA0" w14:paraId="169AAC50" w14:textId="77777777">
            <w:pPr>
              <w:jc w:val="right"/>
              <w:rPr>
                <w:b/>
                <w:sz w:val="20"/>
                <w:szCs w:val="20"/>
              </w:rPr>
            </w:pPr>
            <w:r>
              <w:rPr>
                <w:b/>
                <w:sz w:val="20"/>
                <w:szCs w:val="20"/>
              </w:rPr>
              <w:t>no change</w:t>
            </w:r>
          </w:p>
          <w:p w:rsidR="00EB053F" w:rsidRDefault="00F63BA0" w14:paraId="46D141AB" w14:textId="77777777">
            <w:pPr>
              <w:jc w:val="right"/>
              <w:rPr>
                <w:sz w:val="20"/>
                <w:szCs w:val="20"/>
              </w:rPr>
            </w:pPr>
            <w:r>
              <w:rPr>
                <w:sz w:val="20"/>
                <w:szCs w:val="20"/>
              </w:rPr>
              <w:t>(4,317.5)</w:t>
            </w:r>
          </w:p>
        </w:tc>
        <w:tc>
          <w:tcPr>
            <w:tcW w:w="508" w:type="pct"/>
            <w:tcBorders>
              <w:top w:val="single" w:color="auto" w:sz="4" w:space="0"/>
              <w:left w:val="single" w:color="auto" w:sz="4" w:space="0"/>
              <w:bottom w:val="single" w:color="auto" w:sz="4" w:space="0"/>
              <w:right w:val="single" w:color="auto" w:sz="4" w:space="0"/>
            </w:tcBorders>
            <w:shd w:val="clear" w:color="auto" w:fill="BFBFBF"/>
            <w:vAlign w:val="center"/>
          </w:tcPr>
          <w:p w:rsidR="00EB053F" w:rsidRDefault="00EB053F" w14:paraId="64D11755" w14:textId="77777777">
            <w:pPr>
              <w:jc w:val="right"/>
              <w:rPr>
                <w:b/>
                <w:sz w:val="20"/>
                <w:szCs w:val="20"/>
              </w:rPr>
            </w:pPr>
          </w:p>
        </w:tc>
        <w:tc>
          <w:tcPr>
            <w:tcW w:w="549" w:type="pct"/>
            <w:tcBorders>
              <w:top w:val="single" w:color="auto" w:sz="4" w:space="0"/>
              <w:left w:val="single" w:color="auto" w:sz="4" w:space="0"/>
              <w:bottom w:val="single" w:color="auto" w:sz="4" w:space="0"/>
              <w:right w:val="single" w:color="auto" w:sz="4" w:space="0"/>
            </w:tcBorders>
            <w:vAlign w:val="center"/>
          </w:tcPr>
          <w:p w:rsidR="00EB053F" w:rsidRDefault="00F63BA0" w14:paraId="44790C64" w14:textId="77777777">
            <w:pPr>
              <w:jc w:val="right"/>
              <w:rPr>
                <w:b/>
                <w:sz w:val="20"/>
                <w:szCs w:val="20"/>
              </w:rPr>
            </w:pPr>
            <w:r>
              <w:rPr>
                <w:b/>
                <w:sz w:val="20"/>
                <w:szCs w:val="20"/>
              </w:rPr>
              <w:t>13,495 hrs.;</w:t>
            </w:r>
          </w:p>
          <w:p w:rsidR="00EB053F" w:rsidRDefault="00F63BA0" w14:paraId="72DD4379" w14:textId="77777777">
            <w:pPr>
              <w:jc w:val="right"/>
              <w:rPr>
                <w:b/>
                <w:sz w:val="20"/>
                <w:szCs w:val="20"/>
              </w:rPr>
            </w:pPr>
            <w:bookmarkStart w:name="_Hlk46149544" w:id="36"/>
            <w:r>
              <w:rPr>
                <w:b/>
                <w:sz w:val="20"/>
                <w:szCs w:val="20"/>
              </w:rPr>
              <w:t>$1,120,085</w:t>
            </w:r>
            <w:bookmarkEnd w:id="36"/>
          </w:p>
        </w:tc>
        <w:tc>
          <w:tcPr>
            <w:tcW w:w="594" w:type="pct"/>
            <w:tcBorders>
              <w:top w:val="single" w:color="auto" w:sz="4" w:space="0"/>
              <w:left w:val="single" w:color="auto" w:sz="4" w:space="0"/>
              <w:bottom w:val="single" w:color="auto" w:sz="4" w:space="0"/>
              <w:right w:val="single" w:color="auto" w:sz="4" w:space="0"/>
            </w:tcBorders>
            <w:shd w:val="clear" w:color="auto" w:fill="BFBFBF"/>
            <w:vAlign w:val="center"/>
          </w:tcPr>
          <w:p w:rsidR="00EB053F" w:rsidRDefault="00EB053F" w14:paraId="2D726F6C" w14:textId="77777777">
            <w:pPr>
              <w:jc w:val="right"/>
              <w:rPr>
                <w:b/>
                <w:sz w:val="20"/>
                <w:szCs w:val="20"/>
              </w:rPr>
            </w:pPr>
          </w:p>
        </w:tc>
      </w:tr>
    </w:tbl>
    <w:p w:rsidR="00EB053F" w:rsidRDefault="00EB053F" w14:paraId="3B010D26" w14:textId="77777777">
      <w:pPr>
        <w:pStyle w:val="FERCparanumber"/>
        <w:numPr>
          <w:ilvl w:val="0"/>
          <w:numId w:val="0"/>
        </w:numPr>
        <w:rPr>
          <w:szCs w:val="26"/>
        </w:rPr>
      </w:pPr>
    </w:p>
    <w:tbl>
      <w:tblPr>
        <w:tblW w:w="1062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88"/>
        <w:gridCol w:w="1406"/>
        <w:gridCol w:w="1471"/>
        <w:gridCol w:w="1205"/>
        <w:gridCol w:w="1350"/>
        <w:gridCol w:w="1620"/>
        <w:gridCol w:w="1980"/>
      </w:tblGrid>
      <w:tr w:rsidR="00EB053F" w14:paraId="00C7AA68" w14:textId="77777777">
        <w:trPr>
          <w:trHeight w:val="154"/>
        </w:trPr>
        <w:tc>
          <w:tcPr>
            <w:tcW w:w="10620" w:type="dxa"/>
            <w:gridSpan w:val="7"/>
            <w:tcBorders>
              <w:bottom w:val="single" w:color="auto" w:sz="4" w:space="0"/>
            </w:tcBorders>
            <w:shd w:val="clear" w:color="auto" w:fill="808080"/>
            <w:vAlign w:val="bottom"/>
          </w:tcPr>
          <w:p w:rsidR="00EB053F" w:rsidRDefault="00F63BA0" w14:paraId="326250EF" w14:textId="77777777">
            <w:pPr>
              <w:widowControl/>
              <w:autoSpaceDE/>
              <w:autoSpaceDN/>
              <w:adjustRightInd/>
              <w:jc w:val="center"/>
              <w:rPr>
                <w:rFonts w:eastAsia="Calibri"/>
                <w:b/>
                <w:sz w:val="26"/>
                <w:szCs w:val="26"/>
              </w:rPr>
            </w:pPr>
            <w:r>
              <w:rPr>
                <w:rFonts w:eastAsia="Calibri"/>
                <w:b/>
                <w:sz w:val="26"/>
                <w:szCs w:val="26"/>
              </w:rPr>
              <w:t>FERC-912, Changes Due to Final Rule in Docket Nos. RM19-15-000 and AD16-16-000</w:t>
            </w:r>
          </w:p>
        </w:tc>
      </w:tr>
      <w:tr w:rsidR="00EB053F" w14:paraId="4D6E6DB6" w14:textId="77777777">
        <w:trPr>
          <w:trHeight w:val="154"/>
        </w:trPr>
        <w:tc>
          <w:tcPr>
            <w:tcW w:w="1588" w:type="dxa"/>
            <w:shd w:val="clear" w:color="auto" w:fill="D9D9D9"/>
            <w:vAlign w:val="bottom"/>
          </w:tcPr>
          <w:p w:rsidR="00EB053F" w:rsidRDefault="00F63BA0" w14:paraId="06E1197F" w14:textId="77777777">
            <w:pPr>
              <w:widowControl/>
              <w:autoSpaceDE/>
              <w:autoSpaceDN/>
              <w:adjustRightInd/>
              <w:jc w:val="center"/>
              <w:rPr>
                <w:rFonts w:eastAsia="Calibri"/>
                <w:b/>
                <w:sz w:val="20"/>
                <w:szCs w:val="20"/>
              </w:rPr>
            </w:pPr>
            <w:r>
              <w:rPr>
                <w:rFonts w:eastAsia="Calibri"/>
                <w:b/>
                <w:sz w:val="20"/>
                <w:szCs w:val="20"/>
              </w:rPr>
              <w:t xml:space="preserve"> (termination of obligation to purchase)</w:t>
            </w:r>
          </w:p>
          <w:p w:rsidR="00EB053F" w:rsidRDefault="00EB053F" w14:paraId="049BDC15" w14:textId="77777777">
            <w:pPr>
              <w:widowControl/>
              <w:autoSpaceDE/>
              <w:autoSpaceDN/>
              <w:adjustRightInd/>
              <w:jc w:val="center"/>
              <w:rPr>
                <w:rFonts w:eastAsia="Calibri"/>
                <w:b/>
                <w:sz w:val="20"/>
                <w:szCs w:val="20"/>
              </w:rPr>
            </w:pPr>
          </w:p>
        </w:tc>
        <w:tc>
          <w:tcPr>
            <w:tcW w:w="1406" w:type="dxa"/>
            <w:shd w:val="clear" w:color="auto" w:fill="D9D9D9"/>
            <w:vAlign w:val="bottom"/>
          </w:tcPr>
          <w:p w:rsidR="00EB053F" w:rsidRDefault="00F63BA0" w14:paraId="6A56C06B" w14:textId="77777777">
            <w:pPr>
              <w:widowControl/>
              <w:autoSpaceDE/>
              <w:autoSpaceDN/>
              <w:adjustRightInd/>
              <w:jc w:val="center"/>
              <w:rPr>
                <w:rFonts w:eastAsia="Calibri"/>
                <w:b/>
                <w:sz w:val="20"/>
                <w:szCs w:val="20"/>
              </w:rPr>
            </w:pPr>
            <w:r>
              <w:rPr>
                <w:rFonts w:eastAsia="Calibri"/>
                <w:b/>
                <w:sz w:val="20"/>
                <w:szCs w:val="20"/>
              </w:rPr>
              <w:t>Number of Respondents</w:t>
            </w:r>
          </w:p>
          <w:p w:rsidR="00EB053F" w:rsidRDefault="00F63BA0" w14:paraId="1D20C691" w14:textId="77777777">
            <w:pPr>
              <w:widowControl/>
              <w:autoSpaceDE/>
              <w:autoSpaceDN/>
              <w:adjustRightInd/>
              <w:jc w:val="center"/>
              <w:rPr>
                <w:rFonts w:eastAsia="Calibri"/>
                <w:b/>
                <w:sz w:val="20"/>
                <w:szCs w:val="20"/>
              </w:rPr>
            </w:pPr>
            <w:r>
              <w:rPr>
                <w:rFonts w:eastAsia="Calibri"/>
                <w:b/>
                <w:sz w:val="20"/>
                <w:szCs w:val="20"/>
              </w:rPr>
              <w:t>(1)</w:t>
            </w:r>
          </w:p>
        </w:tc>
        <w:tc>
          <w:tcPr>
            <w:tcW w:w="1471" w:type="dxa"/>
            <w:shd w:val="clear" w:color="auto" w:fill="D9D9D9"/>
            <w:vAlign w:val="bottom"/>
          </w:tcPr>
          <w:p w:rsidR="00EB053F" w:rsidRDefault="00F63BA0" w14:paraId="0D6E63DF" w14:textId="77777777">
            <w:pPr>
              <w:widowControl/>
              <w:autoSpaceDE/>
              <w:autoSpaceDN/>
              <w:adjustRightInd/>
              <w:jc w:val="center"/>
              <w:rPr>
                <w:rFonts w:eastAsia="Calibri"/>
                <w:b/>
                <w:sz w:val="20"/>
                <w:szCs w:val="20"/>
              </w:rPr>
            </w:pPr>
            <w:r>
              <w:rPr>
                <w:rFonts w:eastAsia="Calibri"/>
                <w:b/>
                <w:sz w:val="20"/>
                <w:szCs w:val="20"/>
              </w:rPr>
              <w:t xml:space="preserve">Annual Number of Responses per Respondent </w:t>
            </w:r>
          </w:p>
          <w:p w:rsidR="00EB053F" w:rsidRDefault="00F63BA0" w14:paraId="5EFA2885" w14:textId="77777777">
            <w:pPr>
              <w:widowControl/>
              <w:autoSpaceDE/>
              <w:autoSpaceDN/>
              <w:adjustRightInd/>
              <w:jc w:val="center"/>
              <w:rPr>
                <w:rFonts w:eastAsia="Calibri"/>
                <w:b/>
                <w:sz w:val="20"/>
                <w:szCs w:val="20"/>
              </w:rPr>
            </w:pPr>
            <w:r>
              <w:rPr>
                <w:rFonts w:eastAsia="Calibri"/>
                <w:b/>
                <w:sz w:val="20"/>
                <w:szCs w:val="20"/>
              </w:rPr>
              <w:t>(2)</w:t>
            </w:r>
          </w:p>
        </w:tc>
        <w:tc>
          <w:tcPr>
            <w:tcW w:w="1205" w:type="dxa"/>
            <w:shd w:val="clear" w:color="auto" w:fill="D9D9D9"/>
            <w:vAlign w:val="bottom"/>
          </w:tcPr>
          <w:p w:rsidR="00EB053F" w:rsidRDefault="00F63BA0" w14:paraId="3DF14D3C" w14:textId="77777777">
            <w:pPr>
              <w:widowControl/>
              <w:autoSpaceDE/>
              <w:autoSpaceDN/>
              <w:adjustRightInd/>
              <w:jc w:val="center"/>
              <w:rPr>
                <w:rFonts w:eastAsia="Calibri"/>
                <w:b/>
                <w:sz w:val="20"/>
                <w:szCs w:val="20"/>
              </w:rPr>
            </w:pPr>
            <w:r>
              <w:rPr>
                <w:rFonts w:eastAsia="Calibri"/>
                <w:b/>
                <w:sz w:val="20"/>
                <w:szCs w:val="20"/>
              </w:rPr>
              <w:t>Total Number of Responses</w:t>
            </w:r>
          </w:p>
          <w:p w:rsidR="00EB053F" w:rsidRDefault="00F63BA0" w14:paraId="6D2CC53F" w14:textId="77777777">
            <w:pPr>
              <w:widowControl/>
              <w:autoSpaceDE/>
              <w:autoSpaceDN/>
              <w:adjustRightInd/>
              <w:jc w:val="center"/>
              <w:rPr>
                <w:rFonts w:eastAsia="Calibri"/>
                <w:b/>
                <w:sz w:val="20"/>
                <w:szCs w:val="20"/>
              </w:rPr>
            </w:pPr>
            <w:r>
              <w:rPr>
                <w:rFonts w:eastAsia="Calibri"/>
                <w:b/>
                <w:sz w:val="20"/>
                <w:szCs w:val="20"/>
              </w:rPr>
              <w:t>(1)x(2)=(3)</w:t>
            </w:r>
          </w:p>
        </w:tc>
        <w:tc>
          <w:tcPr>
            <w:tcW w:w="1350" w:type="dxa"/>
            <w:shd w:val="clear" w:color="auto" w:fill="D9D9D9"/>
            <w:vAlign w:val="bottom"/>
          </w:tcPr>
          <w:p w:rsidR="00EB053F" w:rsidRDefault="00F63BA0" w14:paraId="6997E28B" w14:textId="77777777">
            <w:pPr>
              <w:widowControl/>
              <w:autoSpaceDE/>
              <w:autoSpaceDN/>
              <w:adjustRightInd/>
              <w:jc w:val="center"/>
              <w:rPr>
                <w:rFonts w:eastAsia="Calibri"/>
                <w:b/>
                <w:sz w:val="20"/>
                <w:szCs w:val="20"/>
              </w:rPr>
            </w:pPr>
            <w:r>
              <w:rPr>
                <w:rFonts w:eastAsia="Calibri"/>
                <w:b/>
                <w:sz w:val="20"/>
                <w:szCs w:val="20"/>
              </w:rPr>
              <w:t>Increased Average Hours &amp; Cost Per Response ($)</w:t>
            </w:r>
          </w:p>
          <w:p w:rsidR="00EB053F" w:rsidRDefault="00F63BA0" w14:paraId="02DAD4A1" w14:textId="77777777">
            <w:pPr>
              <w:widowControl/>
              <w:autoSpaceDE/>
              <w:autoSpaceDN/>
              <w:adjustRightInd/>
              <w:jc w:val="center"/>
              <w:rPr>
                <w:rFonts w:eastAsia="Calibri"/>
                <w:b/>
                <w:sz w:val="20"/>
                <w:szCs w:val="20"/>
              </w:rPr>
            </w:pPr>
            <w:r>
              <w:rPr>
                <w:rFonts w:eastAsia="Calibri"/>
                <w:b/>
                <w:sz w:val="20"/>
                <w:szCs w:val="20"/>
              </w:rPr>
              <w:t>(4)</w:t>
            </w:r>
          </w:p>
        </w:tc>
        <w:tc>
          <w:tcPr>
            <w:tcW w:w="1620" w:type="dxa"/>
            <w:shd w:val="clear" w:color="auto" w:fill="D9D9D9"/>
            <w:vAlign w:val="bottom"/>
          </w:tcPr>
          <w:p w:rsidR="00EB053F" w:rsidRDefault="00F63BA0" w14:paraId="201BC7B5" w14:textId="77777777">
            <w:pPr>
              <w:widowControl/>
              <w:autoSpaceDE/>
              <w:autoSpaceDN/>
              <w:adjustRightInd/>
              <w:jc w:val="center"/>
              <w:rPr>
                <w:rFonts w:eastAsia="Calibri"/>
                <w:b/>
                <w:sz w:val="20"/>
                <w:szCs w:val="20"/>
              </w:rPr>
            </w:pPr>
            <w:r>
              <w:rPr>
                <w:rFonts w:eastAsia="Calibri"/>
                <w:b/>
                <w:sz w:val="20"/>
                <w:szCs w:val="20"/>
              </w:rPr>
              <w:t>Increased Total Annual Burden Hours &amp; Total Annual Cost ($)</w:t>
            </w:r>
          </w:p>
          <w:p w:rsidR="00EB053F" w:rsidRDefault="00F63BA0" w14:paraId="64C92C77" w14:textId="77777777">
            <w:pPr>
              <w:widowControl/>
              <w:autoSpaceDE/>
              <w:autoSpaceDN/>
              <w:adjustRightInd/>
              <w:jc w:val="center"/>
              <w:rPr>
                <w:rFonts w:eastAsia="Calibri"/>
                <w:b/>
                <w:sz w:val="20"/>
                <w:szCs w:val="20"/>
              </w:rPr>
            </w:pPr>
            <w:r>
              <w:rPr>
                <w:rFonts w:eastAsia="Calibri"/>
                <w:b/>
                <w:sz w:val="20"/>
                <w:szCs w:val="20"/>
              </w:rPr>
              <w:t xml:space="preserve">(3)*(4)=(5) </w:t>
            </w:r>
          </w:p>
        </w:tc>
        <w:tc>
          <w:tcPr>
            <w:tcW w:w="1980" w:type="dxa"/>
            <w:shd w:val="clear" w:color="auto" w:fill="D9D9D9"/>
            <w:vAlign w:val="bottom"/>
          </w:tcPr>
          <w:p w:rsidR="00EB053F" w:rsidRDefault="00F63BA0" w14:paraId="14BBCD8A" w14:textId="77777777">
            <w:pPr>
              <w:widowControl/>
              <w:autoSpaceDE/>
              <w:autoSpaceDN/>
              <w:adjustRightInd/>
              <w:jc w:val="center"/>
              <w:rPr>
                <w:rFonts w:eastAsia="Calibri"/>
                <w:b/>
                <w:sz w:val="20"/>
                <w:szCs w:val="20"/>
              </w:rPr>
            </w:pPr>
            <w:r>
              <w:rPr>
                <w:rFonts w:eastAsia="Calibri"/>
                <w:b/>
                <w:sz w:val="20"/>
                <w:szCs w:val="20"/>
              </w:rPr>
              <w:t>Increased Annual Cost Per Respondent (at $83/hr.)</w:t>
            </w:r>
          </w:p>
          <w:p w:rsidR="00EB053F" w:rsidRDefault="00F63BA0" w14:paraId="03C8E7BA" w14:textId="77777777">
            <w:pPr>
              <w:widowControl/>
              <w:autoSpaceDE/>
              <w:autoSpaceDN/>
              <w:adjustRightInd/>
              <w:jc w:val="center"/>
              <w:rPr>
                <w:rFonts w:eastAsia="Calibri"/>
                <w:b/>
                <w:sz w:val="20"/>
                <w:szCs w:val="20"/>
              </w:rPr>
            </w:pPr>
            <w:r>
              <w:rPr>
                <w:rFonts w:eastAsia="Calibri"/>
                <w:b/>
                <w:sz w:val="20"/>
                <w:szCs w:val="20"/>
              </w:rPr>
              <w:t>(5)/(1)=(6)</w:t>
            </w:r>
          </w:p>
        </w:tc>
      </w:tr>
      <w:tr w:rsidR="00EB053F" w14:paraId="61F27A0B" w14:textId="77777777">
        <w:trPr>
          <w:trHeight w:val="154"/>
        </w:trPr>
        <w:tc>
          <w:tcPr>
            <w:tcW w:w="1588" w:type="dxa"/>
          </w:tcPr>
          <w:p w:rsidR="00EB053F" w:rsidRDefault="00F63BA0" w14:paraId="2073C03A" w14:textId="77777777">
            <w:pPr>
              <w:widowControl/>
              <w:autoSpaceDE/>
              <w:autoSpaceDN/>
              <w:adjustRightInd/>
              <w:rPr>
                <w:rFonts w:eastAsia="Calibri"/>
                <w:sz w:val="20"/>
                <w:szCs w:val="20"/>
              </w:rPr>
            </w:pPr>
            <w:r>
              <w:rPr>
                <w:rFonts w:eastAsia="Calibri"/>
                <w:sz w:val="20"/>
                <w:szCs w:val="20"/>
              </w:rPr>
              <w:t>Electric utility burden of reducing 210(m) rebuttable presumption from 20 MW to 5 MW</w:t>
            </w:r>
            <w:r>
              <w:rPr>
                <w:rFonts w:eastAsia="Calibri"/>
                <w:sz w:val="20"/>
                <w:szCs w:val="20"/>
                <w:vertAlign w:val="superscript"/>
              </w:rPr>
              <w:footnoteReference w:id="87"/>
            </w:r>
          </w:p>
        </w:tc>
        <w:tc>
          <w:tcPr>
            <w:tcW w:w="1406" w:type="dxa"/>
            <w:vAlign w:val="bottom"/>
          </w:tcPr>
          <w:p w:rsidR="00EB053F" w:rsidRDefault="00F63BA0" w14:paraId="13A23422" w14:textId="77777777">
            <w:pPr>
              <w:widowControl/>
              <w:tabs>
                <w:tab w:val="num" w:pos="720"/>
              </w:tabs>
              <w:autoSpaceDE/>
              <w:autoSpaceDN/>
              <w:adjustRightInd/>
              <w:spacing w:after="160" w:line="259" w:lineRule="auto"/>
              <w:jc w:val="right"/>
              <w:rPr>
                <w:rFonts w:eastAsia="Calibri"/>
                <w:sz w:val="20"/>
                <w:szCs w:val="20"/>
              </w:rPr>
            </w:pPr>
            <w:r>
              <w:rPr>
                <w:rFonts w:eastAsia="Calibri"/>
                <w:sz w:val="20"/>
                <w:szCs w:val="20"/>
              </w:rPr>
              <w:t>30</w:t>
            </w:r>
          </w:p>
        </w:tc>
        <w:tc>
          <w:tcPr>
            <w:tcW w:w="1471" w:type="dxa"/>
            <w:vAlign w:val="bottom"/>
          </w:tcPr>
          <w:p w:rsidR="00EB053F" w:rsidRDefault="00F63BA0" w14:paraId="50B6C5A1" w14:textId="77777777">
            <w:pPr>
              <w:widowControl/>
              <w:tabs>
                <w:tab w:val="num" w:pos="720"/>
              </w:tabs>
              <w:autoSpaceDE/>
              <w:autoSpaceDN/>
              <w:adjustRightInd/>
              <w:spacing w:after="160" w:line="259" w:lineRule="auto"/>
              <w:jc w:val="right"/>
              <w:rPr>
                <w:rFonts w:eastAsia="Calibri"/>
                <w:sz w:val="20"/>
                <w:szCs w:val="20"/>
              </w:rPr>
            </w:pPr>
            <w:r>
              <w:rPr>
                <w:rFonts w:eastAsia="Calibri"/>
                <w:sz w:val="20"/>
                <w:szCs w:val="20"/>
              </w:rPr>
              <w:t>1</w:t>
            </w:r>
          </w:p>
        </w:tc>
        <w:tc>
          <w:tcPr>
            <w:tcW w:w="1205" w:type="dxa"/>
            <w:vAlign w:val="bottom"/>
          </w:tcPr>
          <w:p w:rsidR="00EB053F" w:rsidRDefault="00F63BA0" w14:paraId="0EC8A40F" w14:textId="77777777">
            <w:pPr>
              <w:widowControl/>
              <w:tabs>
                <w:tab w:val="num" w:pos="720"/>
              </w:tabs>
              <w:autoSpaceDE/>
              <w:autoSpaceDN/>
              <w:adjustRightInd/>
              <w:spacing w:after="160" w:line="259" w:lineRule="auto"/>
              <w:jc w:val="right"/>
              <w:rPr>
                <w:rFonts w:eastAsia="Calibri"/>
                <w:sz w:val="20"/>
                <w:szCs w:val="20"/>
              </w:rPr>
            </w:pPr>
            <w:r>
              <w:rPr>
                <w:rFonts w:eastAsia="Calibri"/>
                <w:sz w:val="20"/>
                <w:szCs w:val="20"/>
              </w:rPr>
              <w:t>30</w:t>
            </w:r>
          </w:p>
        </w:tc>
        <w:tc>
          <w:tcPr>
            <w:tcW w:w="1350" w:type="dxa"/>
            <w:vAlign w:val="bottom"/>
          </w:tcPr>
          <w:p w:rsidR="00EB053F" w:rsidRDefault="00F63BA0" w14:paraId="424A7C83" w14:textId="77777777">
            <w:pPr>
              <w:widowControl/>
              <w:tabs>
                <w:tab w:val="num" w:pos="720"/>
              </w:tabs>
              <w:autoSpaceDE/>
              <w:autoSpaceDN/>
              <w:adjustRightInd/>
              <w:spacing w:after="160" w:line="259" w:lineRule="auto"/>
              <w:jc w:val="right"/>
              <w:rPr>
                <w:rFonts w:eastAsia="Calibri"/>
                <w:sz w:val="20"/>
                <w:szCs w:val="20"/>
              </w:rPr>
            </w:pPr>
            <w:r>
              <w:rPr>
                <w:rFonts w:eastAsia="Calibri"/>
                <w:sz w:val="20"/>
                <w:szCs w:val="20"/>
              </w:rPr>
              <w:t>12 hrs.; $996</w:t>
            </w:r>
          </w:p>
        </w:tc>
        <w:tc>
          <w:tcPr>
            <w:tcW w:w="1620" w:type="dxa"/>
            <w:vAlign w:val="bottom"/>
          </w:tcPr>
          <w:p w:rsidR="00EB053F" w:rsidRDefault="00F63BA0" w14:paraId="3E9775BF" w14:textId="77777777">
            <w:pPr>
              <w:widowControl/>
              <w:tabs>
                <w:tab w:val="num" w:pos="720"/>
              </w:tabs>
              <w:autoSpaceDE/>
              <w:autoSpaceDN/>
              <w:adjustRightInd/>
              <w:spacing w:after="160" w:line="259" w:lineRule="auto"/>
              <w:jc w:val="right"/>
              <w:rPr>
                <w:rFonts w:eastAsia="Calibri"/>
                <w:sz w:val="20"/>
                <w:szCs w:val="20"/>
              </w:rPr>
            </w:pPr>
            <w:r>
              <w:rPr>
                <w:rFonts w:eastAsia="Calibri"/>
                <w:sz w:val="20"/>
                <w:szCs w:val="20"/>
              </w:rPr>
              <w:t>360 hrs.; $29,880</w:t>
            </w:r>
          </w:p>
        </w:tc>
        <w:tc>
          <w:tcPr>
            <w:tcW w:w="1980" w:type="dxa"/>
            <w:vAlign w:val="bottom"/>
          </w:tcPr>
          <w:p w:rsidR="00EB053F" w:rsidRDefault="00F63BA0" w14:paraId="538CF727" w14:textId="77777777">
            <w:pPr>
              <w:widowControl/>
              <w:tabs>
                <w:tab w:val="num" w:pos="720"/>
              </w:tabs>
              <w:autoSpaceDE/>
              <w:autoSpaceDN/>
              <w:adjustRightInd/>
              <w:spacing w:after="160" w:line="259" w:lineRule="auto"/>
              <w:jc w:val="right"/>
              <w:rPr>
                <w:rFonts w:eastAsia="Calibri"/>
                <w:sz w:val="20"/>
                <w:szCs w:val="20"/>
              </w:rPr>
            </w:pPr>
            <w:r>
              <w:rPr>
                <w:rFonts w:eastAsia="Calibri"/>
                <w:sz w:val="20"/>
                <w:szCs w:val="20"/>
              </w:rPr>
              <w:t>$996</w:t>
            </w:r>
          </w:p>
        </w:tc>
      </w:tr>
      <w:tr w:rsidR="00EB053F" w14:paraId="46513381" w14:textId="77777777">
        <w:trPr>
          <w:trHeight w:val="154"/>
        </w:trPr>
        <w:tc>
          <w:tcPr>
            <w:tcW w:w="1588" w:type="dxa"/>
            <w:vAlign w:val="bottom"/>
          </w:tcPr>
          <w:p w:rsidR="00EB053F" w:rsidRDefault="00F63BA0" w14:paraId="2E40E0E6" w14:textId="77777777">
            <w:pPr>
              <w:widowControl/>
              <w:tabs>
                <w:tab w:val="num" w:pos="720"/>
              </w:tabs>
              <w:autoSpaceDE/>
              <w:autoSpaceDN/>
              <w:adjustRightInd/>
              <w:rPr>
                <w:rFonts w:eastAsia="Calibri"/>
                <w:b/>
                <w:sz w:val="20"/>
                <w:szCs w:val="20"/>
              </w:rPr>
            </w:pPr>
            <w:r>
              <w:rPr>
                <w:rFonts w:eastAsia="Calibri"/>
                <w:b/>
                <w:sz w:val="20"/>
                <w:szCs w:val="20"/>
              </w:rPr>
              <w:t>FERC-912, TOTAL ADDITIONAL BURDEN AND COST DUE TO FINAL RULE</w:t>
            </w:r>
          </w:p>
        </w:tc>
        <w:tc>
          <w:tcPr>
            <w:tcW w:w="1406" w:type="dxa"/>
            <w:vAlign w:val="bottom"/>
          </w:tcPr>
          <w:p w:rsidR="00EB053F" w:rsidRDefault="00F63BA0" w14:paraId="0A00966C" w14:textId="77777777">
            <w:pPr>
              <w:widowControl/>
              <w:tabs>
                <w:tab w:val="num" w:pos="720"/>
              </w:tabs>
              <w:autoSpaceDE/>
              <w:autoSpaceDN/>
              <w:adjustRightInd/>
              <w:spacing w:after="160" w:line="259" w:lineRule="auto"/>
              <w:jc w:val="right"/>
              <w:rPr>
                <w:rFonts w:eastAsia="Calibri"/>
                <w:sz w:val="20"/>
                <w:szCs w:val="20"/>
              </w:rPr>
            </w:pPr>
            <w:r>
              <w:rPr>
                <w:rFonts w:eastAsia="Calibri"/>
                <w:sz w:val="20"/>
                <w:szCs w:val="20"/>
              </w:rPr>
              <w:t>30</w:t>
            </w:r>
          </w:p>
        </w:tc>
        <w:tc>
          <w:tcPr>
            <w:tcW w:w="1471" w:type="dxa"/>
            <w:vAlign w:val="bottom"/>
          </w:tcPr>
          <w:p w:rsidR="00EB053F" w:rsidRDefault="00F63BA0" w14:paraId="53976FEB" w14:textId="77777777">
            <w:pPr>
              <w:widowControl/>
              <w:tabs>
                <w:tab w:val="num" w:pos="720"/>
              </w:tabs>
              <w:autoSpaceDE/>
              <w:autoSpaceDN/>
              <w:adjustRightInd/>
              <w:spacing w:after="160" w:line="259" w:lineRule="auto"/>
              <w:jc w:val="right"/>
              <w:rPr>
                <w:rFonts w:eastAsia="Calibri"/>
                <w:sz w:val="20"/>
                <w:szCs w:val="20"/>
              </w:rPr>
            </w:pPr>
            <w:r>
              <w:rPr>
                <w:rFonts w:eastAsia="Calibri"/>
                <w:sz w:val="20"/>
                <w:szCs w:val="20"/>
              </w:rPr>
              <w:t>1</w:t>
            </w:r>
          </w:p>
        </w:tc>
        <w:tc>
          <w:tcPr>
            <w:tcW w:w="1205" w:type="dxa"/>
            <w:vAlign w:val="bottom"/>
          </w:tcPr>
          <w:p w:rsidR="00EB053F" w:rsidRDefault="00F63BA0" w14:paraId="73AD7D88" w14:textId="77777777">
            <w:pPr>
              <w:widowControl/>
              <w:tabs>
                <w:tab w:val="num" w:pos="720"/>
              </w:tabs>
              <w:autoSpaceDE/>
              <w:autoSpaceDN/>
              <w:adjustRightInd/>
              <w:spacing w:after="160" w:line="259" w:lineRule="auto"/>
              <w:jc w:val="right"/>
              <w:rPr>
                <w:rFonts w:eastAsia="Calibri"/>
                <w:sz w:val="20"/>
                <w:szCs w:val="20"/>
              </w:rPr>
            </w:pPr>
            <w:r>
              <w:rPr>
                <w:rFonts w:eastAsia="Calibri"/>
                <w:sz w:val="20"/>
                <w:szCs w:val="20"/>
              </w:rPr>
              <w:t>30</w:t>
            </w:r>
          </w:p>
        </w:tc>
        <w:tc>
          <w:tcPr>
            <w:tcW w:w="1350" w:type="dxa"/>
            <w:vAlign w:val="bottom"/>
          </w:tcPr>
          <w:p w:rsidR="00EB053F" w:rsidRDefault="00F63BA0" w14:paraId="61B5D193" w14:textId="77777777">
            <w:pPr>
              <w:widowControl/>
              <w:tabs>
                <w:tab w:val="num" w:pos="720"/>
              </w:tabs>
              <w:autoSpaceDE/>
              <w:autoSpaceDN/>
              <w:adjustRightInd/>
              <w:spacing w:after="160" w:line="259" w:lineRule="auto"/>
              <w:jc w:val="right"/>
              <w:rPr>
                <w:rFonts w:eastAsia="Calibri"/>
                <w:sz w:val="20"/>
                <w:szCs w:val="20"/>
              </w:rPr>
            </w:pPr>
            <w:r>
              <w:rPr>
                <w:rFonts w:eastAsia="Calibri"/>
                <w:sz w:val="20"/>
                <w:szCs w:val="20"/>
              </w:rPr>
              <w:t>12 hrs.; $996</w:t>
            </w:r>
          </w:p>
        </w:tc>
        <w:tc>
          <w:tcPr>
            <w:tcW w:w="1620" w:type="dxa"/>
            <w:vAlign w:val="bottom"/>
          </w:tcPr>
          <w:p w:rsidR="00EB053F" w:rsidRDefault="00F63BA0" w14:paraId="1735E852" w14:textId="77777777">
            <w:pPr>
              <w:widowControl/>
              <w:tabs>
                <w:tab w:val="num" w:pos="720"/>
              </w:tabs>
              <w:autoSpaceDE/>
              <w:autoSpaceDN/>
              <w:adjustRightInd/>
              <w:spacing w:after="160" w:line="259" w:lineRule="auto"/>
              <w:jc w:val="right"/>
              <w:rPr>
                <w:rFonts w:eastAsia="Calibri"/>
                <w:sz w:val="20"/>
                <w:szCs w:val="20"/>
              </w:rPr>
            </w:pPr>
            <w:r>
              <w:rPr>
                <w:rFonts w:eastAsia="Calibri"/>
                <w:sz w:val="20"/>
                <w:szCs w:val="20"/>
              </w:rPr>
              <w:t xml:space="preserve">360 hrs.; $29,880 </w:t>
            </w:r>
          </w:p>
        </w:tc>
        <w:tc>
          <w:tcPr>
            <w:tcW w:w="1980" w:type="dxa"/>
            <w:vAlign w:val="bottom"/>
          </w:tcPr>
          <w:p w:rsidR="00EB053F" w:rsidRDefault="00F63BA0" w14:paraId="0A1E4532" w14:textId="77777777">
            <w:pPr>
              <w:widowControl/>
              <w:tabs>
                <w:tab w:val="num" w:pos="720"/>
              </w:tabs>
              <w:autoSpaceDE/>
              <w:autoSpaceDN/>
              <w:adjustRightInd/>
              <w:spacing w:after="160" w:line="259" w:lineRule="auto"/>
              <w:jc w:val="right"/>
              <w:rPr>
                <w:rFonts w:eastAsia="Calibri"/>
                <w:sz w:val="20"/>
                <w:szCs w:val="20"/>
              </w:rPr>
            </w:pPr>
            <w:r>
              <w:rPr>
                <w:rFonts w:eastAsia="Calibri"/>
                <w:sz w:val="20"/>
                <w:szCs w:val="20"/>
              </w:rPr>
              <w:t>$996</w:t>
            </w:r>
          </w:p>
        </w:tc>
      </w:tr>
    </w:tbl>
    <w:p w:rsidR="00EB053F" w:rsidRDefault="00EB053F" w14:paraId="3431B960" w14:textId="77777777">
      <w:pPr>
        <w:pStyle w:val="FERCparanumber"/>
        <w:numPr>
          <w:ilvl w:val="0"/>
          <w:numId w:val="0"/>
        </w:numPr>
        <w:rPr>
          <w:szCs w:val="26"/>
        </w:rPr>
      </w:pPr>
    </w:p>
    <w:p w:rsidR="00EB053F" w:rsidRDefault="00F63BA0" w14:paraId="72A165B9" w14:textId="18204E05">
      <w:pPr>
        <w:pStyle w:val="FERCparanumber"/>
        <w:numPr>
          <w:ilvl w:val="0"/>
          <w:numId w:val="0"/>
        </w:numPr>
        <w:ind w:left="72"/>
        <w:rPr>
          <w:szCs w:val="26"/>
        </w:rPr>
      </w:pPr>
      <w:r>
        <w:rPr>
          <w:szCs w:val="26"/>
        </w:rPr>
        <w:t>After implementation of</w:t>
      </w:r>
      <w:r w:rsidR="003171FC">
        <w:rPr>
          <w:szCs w:val="26"/>
        </w:rPr>
        <w:t xml:space="preserve"> Order </w:t>
      </w:r>
      <w:r w:rsidR="009B25B3">
        <w:rPr>
          <w:szCs w:val="26"/>
        </w:rPr>
        <w:t xml:space="preserve">Nos. </w:t>
      </w:r>
      <w:r w:rsidR="003171FC">
        <w:rPr>
          <w:szCs w:val="26"/>
        </w:rPr>
        <w:t>872</w:t>
      </w:r>
      <w:r w:rsidR="00AE7B0C">
        <w:rPr>
          <w:szCs w:val="26"/>
        </w:rPr>
        <w:t xml:space="preserve"> and 872-A</w:t>
      </w:r>
      <w:r>
        <w:rPr>
          <w:szCs w:val="26"/>
        </w:rPr>
        <w:t>, the total estimated annual figures (including current inventory and changes due to</w:t>
      </w:r>
      <w:r w:rsidR="003171FC">
        <w:rPr>
          <w:szCs w:val="26"/>
        </w:rPr>
        <w:t xml:space="preserve"> Order </w:t>
      </w:r>
      <w:r w:rsidR="009B25B3">
        <w:rPr>
          <w:szCs w:val="26"/>
        </w:rPr>
        <w:t>No</w:t>
      </w:r>
      <w:r w:rsidR="00A8339E">
        <w:rPr>
          <w:szCs w:val="26"/>
        </w:rPr>
        <w:t>s</w:t>
      </w:r>
      <w:r w:rsidR="009B25B3">
        <w:rPr>
          <w:szCs w:val="26"/>
        </w:rPr>
        <w:t xml:space="preserve">. </w:t>
      </w:r>
      <w:r w:rsidR="003171FC">
        <w:rPr>
          <w:szCs w:val="26"/>
        </w:rPr>
        <w:t>872</w:t>
      </w:r>
      <w:r w:rsidR="00A8339E">
        <w:rPr>
          <w:szCs w:val="26"/>
        </w:rPr>
        <w:t xml:space="preserve"> and 872-A</w:t>
      </w:r>
      <w:r>
        <w:rPr>
          <w:szCs w:val="26"/>
        </w:rPr>
        <w:t>) will be as follows.</w:t>
      </w:r>
    </w:p>
    <w:p w:rsidR="00EB053F" w:rsidRDefault="00EB053F" w14:paraId="34C85FD8" w14:textId="77777777">
      <w:pPr>
        <w:pStyle w:val="FERCparanumber"/>
        <w:numPr>
          <w:ilvl w:val="0"/>
          <w:numId w:val="0"/>
        </w:numPr>
        <w:rPr>
          <w:szCs w:val="26"/>
        </w:rPr>
      </w:pPr>
    </w:p>
    <w:tbl>
      <w:tblPr>
        <w:tblStyle w:val="TableGrid"/>
        <w:tblW w:w="5598" w:type="dxa"/>
        <w:tblInd w:w="607" w:type="dxa"/>
        <w:tblLook w:val="04A0" w:firstRow="1" w:lastRow="0" w:firstColumn="1" w:lastColumn="0" w:noHBand="0" w:noVBand="1"/>
      </w:tblPr>
      <w:tblGrid>
        <w:gridCol w:w="1543"/>
        <w:gridCol w:w="2345"/>
        <w:gridCol w:w="1710"/>
      </w:tblGrid>
      <w:tr w:rsidR="00EB053F" w14:paraId="14656EE0" w14:textId="77777777">
        <w:tc>
          <w:tcPr>
            <w:tcW w:w="1543" w:type="dxa"/>
          </w:tcPr>
          <w:p w:rsidR="00EB053F" w:rsidRDefault="00EB053F" w14:paraId="0611C234" w14:textId="77777777">
            <w:pPr>
              <w:pStyle w:val="FERCparanumber"/>
              <w:numPr>
                <w:ilvl w:val="0"/>
                <w:numId w:val="0"/>
              </w:numPr>
              <w:rPr>
                <w:szCs w:val="26"/>
              </w:rPr>
            </w:pPr>
          </w:p>
        </w:tc>
        <w:tc>
          <w:tcPr>
            <w:tcW w:w="2345" w:type="dxa"/>
          </w:tcPr>
          <w:p w:rsidR="00EB053F" w:rsidRDefault="00F63BA0" w14:paraId="72540B78" w14:textId="77777777">
            <w:pPr>
              <w:pStyle w:val="FERCparanumber"/>
              <w:numPr>
                <w:ilvl w:val="0"/>
                <w:numId w:val="0"/>
              </w:numPr>
              <w:rPr>
                <w:szCs w:val="26"/>
              </w:rPr>
            </w:pPr>
            <w:r>
              <w:rPr>
                <w:szCs w:val="26"/>
              </w:rPr>
              <w:t>No. of Responses</w:t>
            </w:r>
          </w:p>
        </w:tc>
        <w:tc>
          <w:tcPr>
            <w:tcW w:w="1710" w:type="dxa"/>
          </w:tcPr>
          <w:p w:rsidR="00EB053F" w:rsidRDefault="00F63BA0" w14:paraId="1D48FED8" w14:textId="77777777">
            <w:pPr>
              <w:pStyle w:val="FERCparanumber"/>
              <w:numPr>
                <w:ilvl w:val="0"/>
                <w:numId w:val="0"/>
              </w:numPr>
              <w:rPr>
                <w:szCs w:val="26"/>
              </w:rPr>
            </w:pPr>
            <w:r>
              <w:rPr>
                <w:szCs w:val="26"/>
              </w:rPr>
              <w:t>Burden Hrs.</w:t>
            </w:r>
          </w:p>
        </w:tc>
      </w:tr>
      <w:tr w:rsidR="00EB053F" w14:paraId="20F4E82F" w14:textId="77777777">
        <w:tc>
          <w:tcPr>
            <w:tcW w:w="1543" w:type="dxa"/>
          </w:tcPr>
          <w:p w:rsidR="00EB053F" w:rsidRDefault="00F63BA0" w14:paraId="125B4904" w14:textId="77777777">
            <w:pPr>
              <w:pStyle w:val="FERCparanumber"/>
              <w:numPr>
                <w:ilvl w:val="0"/>
                <w:numId w:val="0"/>
              </w:numPr>
              <w:rPr>
                <w:szCs w:val="26"/>
              </w:rPr>
            </w:pPr>
            <w:r>
              <w:rPr>
                <w:szCs w:val="26"/>
              </w:rPr>
              <w:t>FERC-556</w:t>
            </w:r>
          </w:p>
        </w:tc>
        <w:tc>
          <w:tcPr>
            <w:tcW w:w="2345" w:type="dxa"/>
          </w:tcPr>
          <w:p w:rsidR="00EB053F" w:rsidRDefault="00F63BA0" w14:paraId="530CD66C" w14:textId="77777777">
            <w:pPr>
              <w:pStyle w:val="FERCparanumber"/>
              <w:numPr>
                <w:ilvl w:val="0"/>
                <w:numId w:val="0"/>
              </w:numPr>
              <w:jc w:val="right"/>
              <w:rPr>
                <w:szCs w:val="26"/>
              </w:rPr>
            </w:pPr>
            <w:r>
              <w:rPr>
                <w:szCs w:val="26"/>
              </w:rPr>
              <w:t>4,318 (rounded)</w:t>
            </w:r>
          </w:p>
        </w:tc>
        <w:tc>
          <w:tcPr>
            <w:tcW w:w="1710" w:type="dxa"/>
          </w:tcPr>
          <w:p w:rsidR="00EB053F" w:rsidRDefault="00F63BA0" w14:paraId="2E8AE160" w14:textId="77777777">
            <w:pPr>
              <w:pStyle w:val="FERCparanumber"/>
              <w:numPr>
                <w:ilvl w:val="0"/>
                <w:numId w:val="0"/>
              </w:numPr>
              <w:jc w:val="right"/>
              <w:rPr>
                <w:szCs w:val="26"/>
              </w:rPr>
            </w:pPr>
            <w:r>
              <w:rPr>
                <w:szCs w:val="26"/>
              </w:rPr>
              <w:t>20,032</w:t>
            </w:r>
          </w:p>
        </w:tc>
      </w:tr>
      <w:tr w:rsidR="00EB053F" w14:paraId="442AD1A0" w14:textId="77777777">
        <w:tc>
          <w:tcPr>
            <w:tcW w:w="1543" w:type="dxa"/>
          </w:tcPr>
          <w:p w:rsidR="00EB053F" w:rsidRDefault="00F63BA0" w14:paraId="6E7C1169" w14:textId="77777777">
            <w:pPr>
              <w:pStyle w:val="FERCparanumber"/>
              <w:numPr>
                <w:ilvl w:val="0"/>
                <w:numId w:val="0"/>
              </w:numPr>
              <w:rPr>
                <w:szCs w:val="26"/>
              </w:rPr>
            </w:pPr>
            <w:r>
              <w:rPr>
                <w:szCs w:val="26"/>
              </w:rPr>
              <w:t>FERC-912</w:t>
            </w:r>
          </w:p>
        </w:tc>
        <w:tc>
          <w:tcPr>
            <w:tcW w:w="2345" w:type="dxa"/>
          </w:tcPr>
          <w:p w:rsidR="00EB053F" w:rsidRDefault="00F63BA0" w14:paraId="28B4EE25" w14:textId="77777777">
            <w:pPr>
              <w:pStyle w:val="FERCparanumber"/>
              <w:numPr>
                <w:ilvl w:val="0"/>
                <w:numId w:val="0"/>
              </w:numPr>
              <w:jc w:val="right"/>
              <w:rPr>
                <w:szCs w:val="26"/>
              </w:rPr>
            </w:pPr>
            <w:r>
              <w:rPr>
                <w:szCs w:val="26"/>
              </w:rPr>
              <w:t>39</w:t>
            </w:r>
          </w:p>
        </w:tc>
        <w:tc>
          <w:tcPr>
            <w:tcW w:w="1710" w:type="dxa"/>
          </w:tcPr>
          <w:p w:rsidR="00EB053F" w:rsidRDefault="00F63BA0" w14:paraId="4020C4CD" w14:textId="77777777">
            <w:pPr>
              <w:pStyle w:val="FERCparanumber"/>
              <w:numPr>
                <w:ilvl w:val="0"/>
                <w:numId w:val="0"/>
              </w:numPr>
              <w:jc w:val="right"/>
              <w:rPr>
                <w:szCs w:val="26"/>
              </w:rPr>
            </w:pPr>
            <w:r>
              <w:rPr>
                <w:szCs w:val="26"/>
              </w:rPr>
              <w:t>460</w:t>
            </w:r>
          </w:p>
        </w:tc>
      </w:tr>
    </w:tbl>
    <w:p w:rsidR="00EB053F" w:rsidRDefault="00EB053F" w14:paraId="39B8C935" w14:textId="77777777">
      <w:pPr>
        <w:pStyle w:val="FERCparanumber"/>
        <w:numPr>
          <w:ilvl w:val="0"/>
          <w:numId w:val="0"/>
        </w:numPr>
        <w:rPr>
          <w:szCs w:val="26"/>
        </w:rPr>
      </w:pPr>
    </w:p>
    <w:bookmarkEnd w:id="34"/>
    <w:p w:rsidR="00EB053F" w:rsidRDefault="00F63BA0" w14:paraId="010BC72E" w14:textId="77777777">
      <w:pPr>
        <w:pStyle w:val="FERCparanumber"/>
        <w:numPr>
          <w:ilvl w:val="0"/>
          <w:numId w:val="7"/>
        </w:numPr>
        <w:rPr>
          <w:szCs w:val="26"/>
        </w:rPr>
      </w:pPr>
      <w:r>
        <w:rPr>
          <w:b/>
          <w:szCs w:val="26"/>
        </w:rPr>
        <w:lastRenderedPageBreak/>
        <w:t>ESTIMATE OF THE TOTAL ANNUAL COST BURDEN TO RESPONDENTS</w:t>
      </w:r>
    </w:p>
    <w:p w:rsidR="00EB053F" w:rsidRDefault="00EB053F" w14:paraId="3BE4E9C8" w14:textId="77777777">
      <w:pPr>
        <w:pStyle w:val="FERCparanumber"/>
        <w:numPr>
          <w:ilvl w:val="0"/>
          <w:numId w:val="0"/>
        </w:numPr>
        <w:rPr>
          <w:b/>
          <w:szCs w:val="26"/>
        </w:rPr>
      </w:pPr>
    </w:p>
    <w:p w:rsidR="00EB053F" w:rsidRDefault="00F63BA0" w14:paraId="57E96EBB" w14:textId="77777777">
      <w:pPr>
        <w:widowControl/>
        <w:rPr>
          <w:sz w:val="26"/>
          <w:szCs w:val="26"/>
        </w:rPr>
      </w:pPr>
      <w:r>
        <w:rPr>
          <w:sz w:val="26"/>
          <w:szCs w:val="26"/>
        </w:rPr>
        <w:t>There are no non-labor start-up costs.  All costs are related to burden hours and are addressed in Questions #12 and #15.</w:t>
      </w:r>
    </w:p>
    <w:p w:rsidR="00EB053F" w:rsidRDefault="00EB053F" w14:paraId="3149CF68" w14:textId="77777777">
      <w:pPr>
        <w:pStyle w:val="FERCparanumber"/>
        <w:numPr>
          <w:ilvl w:val="0"/>
          <w:numId w:val="0"/>
        </w:numPr>
        <w:rPr>
          <w:szCs w:val="26"/>
        </w:rPr>
      </w:pPr>
    </w:p>
    <w:p w:rsidR="00EB053F" w:rsidRDefault="00F63BA0" w14:paraId="77A68997" w14:textId="77777777">
      <w:pPr>
        <w:pStyle w:val="FERCparanumber"/>
        <w:numPr>
          <w:ilvl w:val="0"/>
          <w:numId w:val="7"/>
        </w:numPr>
        <w:rPr>
          <w:b/>
          <w:szCs w:val="26"/>
        </w:rPr>
      </w:pPr>
      <w:r>
        <w:rPr>
          <w:b/>
          <w:szCs w:val="26"/>
        </w:rPr>
        <w:t>ESTIMATED ANNUALIZED COST TO FEDERAL GOVERNMENT</w:t>
      </w:r>
    </w:p>
    <w:p w:rsidR="00EB053F" w:rsidRDefault="00EB053F" w14:paraId="4AF96AA1" w14:textId="77777777">
      <w:pPr>
        <w:pStyle w:val="FERCparanumber"/>
        <w:numPr>
          <w:ilvl w:val="0"/>
          <w:numId w:val="0"/>
        </w:numPr>
        <w:rPr>
          <w:b/>
          <w:szCs w:val="26"/>
        </w:rPr>
      </w:pPr>
    </w:p>
    <w:p w:rsidR="00EB053F" w:rsidRDefault="00F63BA0" w14:paraId="5D7C773B" w14:textId="77777777">
      <w:pPr>
        <w:rPr>
          <w:strike/>
          <w:sz w:val="26"/>
          <w:szCs w:val="26"/>
        </w:rPr>
      </w:pPr>
      <w:r>
        <w:rPr>
          <w:sz w:val="26"/>
          <w:szCs w:val="26"/>
        </w:rPr>
        <w:t>The estimate of the cost for “analysis and processing of filings”</w:t>
      </w:r>
      <w:r>
        <w:rPr>
          <w:rStyle w:val="FootnoteReference"/>
          <w:sz w:val="26"/>
          <w:szCs w:val="26"/>
          <w:vertAlign w:val="superscript"/>
        </w:rPr>
        <w:footnoteReference w:id="88"/>
      </w:r>
      <w:r>
        <w:rPr>
          <w:sz w:val="26"/>
          <w:szCs w:val="26"/>
          <w:vertAlign w:val="superscript"/>
        </w:rPr>
        <w:t xml:space="preserve"> </w:t>
      </w:r>
      <w:r>
        <w:rPr>
          <w:sz w:val="26"/>
          <w:szCs w:val="26"/>
        </w:rPr>
        <w:t>is based on salaries and benefits for professional and clerical support.  This estimated cost represents staff analysis, decision-making, and review of any actual filings submitted in response to the information collection.  There are also some IT development costs.</w:t>
      </w:r>
    </w:p>
    <w:p w:rsidR="00EB053F" w:rsidRDefault="00EB053F" w14:paraId="0AF6FCFC" w14:textId="77777777">
      <w:pPr>
        <w:rPr>
          <w:strike/>
          <w:sz w:val="26"/>
          <w:szCs w:val="26"/>
        </w:rPr>
      </w:pPr>
    </w:p>
    <w:p w:rsidR="00EB053F" w:rsidRDefault="00F63BA0" w14:paraId="40540E43" w14:textId="77777777">
      <w:pPr>
        <w:rPr>
          <w:sz w:val="26"/>
          <w:szCs w:val="26"/>
        </w:rPr>
      </w:pPr>
      <w:r>
        <w:rPr>
          <w:sz w:val="26"/>
          <w:szCs w:val="26"/>
        </w:rPr>
        <w:t>The PRA Administrative Cost</w:t>
      </w:r>
      <w:r>
        <w:rPr>
          <w:rStyle w:val="FootnoteReference"/>
          <w:sz w:val="26"/>
          <w:szCs w:val="26"/>
          <w:vertAlign w:val="superscript"/>
        </w:rPr>
        <w:footnoteReference w:id="89"/>
      </w:r>
      <w:r>
        <w:rPr>
          <w:sz w:val="26"/>
          <w:szCs w:val="26"/>
          <w:vertAlign w:val="superscript"/>
        </w:rPr>
        <w:t xml:space="preserve"> </w:t>
      </w:r>
      <w:r>
        <w:rPr>
          <w:sz w:val="26"/>
          <w:szCs w:val="26"/>
        </w:rPr>
        <w:t>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EB053F" w:rsidRDefault="00EB053F" w14:paraId="73B3FB73" w14:textId="77777777">
      <w:pPr>
        <w:rPr>
          <w:b/>
          <w:sz w:val="26"/>
          <w:szCs w:val="2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4"/>
        <w:gridCol w:w="3042"/>
        <w:gridCol w:w="3024"/>
      </w:tblGrid>
      <w:tr w:rsidR="00EB053F" w14:paraId="0BA0C792" w14:textId="77777777">
        <w:tc>
          <w:tcPr>
            <w:tcW w:w="1756" w:type="pct"/>
            <w:shd w:val="clear" w:color="auto" w:fill="D9D9D9"/>
            <w:vAlign w:val="center"/>
          </w:tcPr>
          <w:p w:rsidR="00EB053F" w:rsidRDefault="00EB053F" w14:paraId="5AC2662F" w14:textId="77777777">
            <w:pPr>
              <w:pStyle w:val="ListParagraph"/>
              <w:spacing w:after="0" w:line="240" w:lineRule="auto"/>
              <w:ind w:left="0"/>
              <w:jc w:val="center"/>
              <w:rPr>
                <w:rFonts w:ascii="Times New Roman" w:hAnsi="Times New Roman"/>
                <w:b/>
                <w:sz w:val="26"/>
                <w:szCs w:val="26"/>
              </w:rPr>
            </w:pPr>
          </w:p>
        </w:tc>
        <w:tc>
          <w:tcPr>
            <w:tcW w:w="1627" w:type="pct"/>
            <w:shd w:val="clear" w:color="auto" w:fill="D9D9D9"/>
            <w:vAlign w:val="center"/>
          </w:tcPr>
          <w:p w:rsidR="00EB053F" w:rsidRDefault="00F63BA0" w14:paraId="6ED6F934" w14:textId="77777777">
            <w:pPr>
              <w:pStyle w:val="ListParagraph"/>
              <w:spacing w:after="0" w:line="240" w:lineRule="auto"/>
              <w:ind w:left="0"/>
              <w:jc w:val="center"/>
              <w:rPr>
                <w:rFonts w:ascii="Times New Roman" w:hAnsi="Times New Roman"/>
                <w:b/>
                <w:sz w:val="26"/>
                <w:szCs w:val="26"/>
              </w:rPr>
            </w:pPr>
            <w:r>
              <w:rPr>
                <w:rFonts w:ascii="Times New Roman" w:hAnsi="Times New Roman"/>
                <w:b/>
                <w:sz w:val="26"/>
                <w:szCs w:val="26"/>
              </w:rPr>
              <w:t>Number of Federal Employees (FTE)</w:t>
            </w:r>
          </w:p>
        </w:tc>
        <w:tc>
          <w:tcPr>
            <w:tcW w:w="1617" w:type="pct"/>
            <w:shd w:val="clear" w:color="auto" w:fill="D9D9D9"/>
            <w:vAlign w:val="center"/>
          </w:tcPr>
          <w:p w:rsidR="00EB053F" w:rsidRDefault="00F63BA0" w14:paraId="482341D1" w14:textId="77777777">
            <w:pPr>
              <w:pStyle w:val="ListParagraph"/>
              <w:spacing w:after="0" w:line="240" w:lineRule="auto"/>
              <w:ind w:left="0"/>
              <w:jc w:val="center"/>
              <w:rPr>
                <w:rFonts w:ascii="Times New Roman" w:hAnsi="Times New Roman"/>
                <w:b/>
                <w:sz w:val="26"/>
                <w:szCs w:val="26"/>
              </w:rPr>
            </w:pPr>
            <w:r>
              <w:rPr>
                <w:rFonts w:ascii="Times New Roman" w:hAnsi="Times New Roman"/>
                <w:b/>
                <w:sz w:val="26"/>
                <w:szCs w:val="26"/>
              </w:rPr>
              <w:t>Estimated Annual Federal Cost</w:t>
            </w:r>
          </w:p>
        </w:tc>
      </w:tr>
      <w:tr w:rsidR="00EB053F" w14:paraId="65204483" w14:textId="77777777">
        <w:tc>
          <w:tcPr>
            <w:tcW w:w="5000" w:type="pct"/>
            <w:gridSpan w:val="3"/>
            <w:shd w:val="clear" w:color="auto" w:fill="D9D9D9"/>
            <w:vAlign w:val="center"/>
          </w:tcPr>
          <w:p w:rsidR="00EB053F" w:rsidRDefault="00F63BA0" w14:paraId="3214DAF2" w14:textId="77777777">
            <w:pPr>
              <w:pStyle w:val="ListParagraph"/>
              <w:spacing w:after="0" w:line="240" w:lineRule="auto"/>
              <w:ind w:left="0"/>
              <w:jc w:val="center"/>
              <w:rPr>
                <w:rFonts w:ascii="Times New Roman" w:hAnsi="Times New Roman"/>
                <w:b/>
                <w:sz w:val="26"/>
                <w:szCs w:val="26"/>
              </w:rPr>
            </w:pPr>
            <w:r>
              <w:rPr>
                <w:rFonts w:ascii="Times New Roman" w:hAnsi="Times New Roman"/>
                <w:b/>
                <w:sz w:val="26"/>
                <w:szCs w:val="26"/>
              </w:rPr>
              <w:t>FERC-556</w:t>
            </w:r>
          </w:p>
        </w:tc>
      </w:tr>
      <w:tr w:rsidR="00EB053F" w14:paraId="3E2DE0EA" w14:textId="77777777">
        <w:tc>
          <w:tcPr>
            <w:tcW w:w="1756" w:type="pct"/>
            <w:shd w:val="clear" w:color="auto" w:fill="auto"/>
            <w:vAlign w:val="center"/>
          </w:tcPr>
          <w:p w:rsidR="00EB053F" w:rsidRDefault="00F63BA0" w14:paraId="21F14430" w14:textId="77777777">
            <w:pPr>
              <w:pStyle w:val="ListParagraph"/>
              <w:spacing w:after="0" w:line="240" w:lineRule="auto"/>
              <w:ind w:left="0"/>
              <w:rPr>
                <w:rFonts w:ascii="Times New Roman" w:hAnsi="Times New Roman"/>
                <w:sz w:val="26"/>
                <w:szCs w:val="26"/>
              </w:rPr>
            </w:pPr>
            <w:r>
              <w:rPr>
                <w:rFonts w:ascii="Times New Roman" w:hAnsi="Times New Roman"/>
                <w:sz w:val="26"/>
                <w:szCs w:val="26"/>
              </w:rPr>
              <w:t>Analysis and Processing of Filings</w:t>
            </w:r>
          </w:p>
        </w:tc>
        <w:tc>
          <w:tcPr>
            <w:tcW w:w="1627" w:type="pct"/>
            <w:tcBorders>
              <w:bottom w:val="single" w:color="auto" w:sz="4" w:space="0"/>
            </w:tcBorders>
            <w:shd w:val="clear" w:color="auto" w:fill="auto"/>
            <w:vAlign w:val="center"/>
          </w:tcPr>
          <w:p w:rsidR="00EB053F" w:rsidRDefault="00F63BA0" w14:paraId="3FD19CCF" w14:textId="77777777">
            <w:pPr>
              <w:pStyle w:val="ListParagraph"/>
              <w:spacing w:after="0" w:line="240" w:lineRule="auto"/>
              <w:ind w:left="0"/>
              <w:jc w:val="right"/>
              <w:rPr>
                <w:rFonts w:ascii="Times New Roman" w:hAnsi="Times New Roman"/>
                <w:sz w:val="26"/>
                <w:szCs w:val="26"/>
                <w:highlight w:val="yellow"/>
              </w:rPr>
            </w:pPr>
            <w:r>
              <w:rPr>
                <w:rFonts w:ascii="Times New Roman" w:hAnsi="Times New Roman"/>
                <w:sz w:val="26"/>
                <w:szCs w:val="26"/>
              </w:rPr>
              <w:t>3</w:t>
            </w:r>
            <w:r>
              <w:rPr>
                <w:rStyle w:val="FootnoteReference"/>
                <w:rFonts w:ascii="Times New Roman" w:hAnsi="Times New Roman"/>
                <w:sz w:val="26"/>
                <w:szCs w:val="26"/>
                <w:vertAlign w:val="superscript"/>
              </w:rPr>
              <w:footnoteReference w:id="90"/>
            </w:r>
          </w:p>
        </w:tc>
        <w:tc>
          <w:tcPr>
            <w:tcW w:w="1617" w:type="pct"/>
            <w:shd w:val="clear" w:color="auto" w:fill="auto"/>
            <w:vAlign w:val="center"/>
          </w:tcPr>
          <w:p w:rsidR="00EB053F" w:rsidRDefault="00F63BA0" w14:paraId="677993F4" w14:textId="77777777">
            <w:pPr>
              <w:pStyle w:val="ListParagraph"/>
              <w:spacing w:after="0" w:line="240" w:lineRule="auto"/>
              <w:ind w:left="0"/>
              <w:jc w:val="right"/>
              <w:rPr>
                <w:rFonts w:ascii="Times New Roman" w:hAnsi="Times New Roman"/>
                <w:sz w:val="26"/>
                <w:szCs w:val="26"/>
              </w:rPr>
            </w:pPr>
            <w:r>
              <w:rPr>
                <w:rFonts w:ascii="Times New Roman" w:hAnsi="Times New Roman"/>
                <w:sz w:val="26"/>
                <w:szCs w:val="26"/>
              </w:rPr>
              <w:t>$516,987</w:t>
            </w:r>
          </w:p>
        </w:tc>
      </w:tr>
      <w:tr w:rsidR="00EB053F" w14:paraId="1D522A98" w14:textId="77777777">
        <w:tc>
          <w:tcPr>
            <w:tcW w:w="1756" w:type="pct"/>
            <w:shd w:val="clear" w:color="auto" w:fill="auto"/>
            <w:vAlign w:val="center"/>
          </w:tcPr>
          <w:p w:rsidR="00EB053F" w:rsidRDefault="00F63BA0" w14:paraId="011A52B8" w14:textId="77777777">
            <w:pPr>
              <w:pStyle w:val="ListParagraph"/>
              <w:spacing w:after="0" w:line="240" w:lineRule="auto"/>
              <w:ind w:left="0"/>
              <w:rPr>
                <w:rFonts w:ascii="Times New Roman" w:hAnsi="Times New Roman"/>
                <w:sz w:val="26"/>
                <w:szCs w:val="26"/>
              </w:rPr>
            </w:pPr>
            <w:r>
              <w:rPr>
                <w:rFonts w:ascii="Times New Roman" w:hAnsi="Times New Roman"/>
                <w:sz w:val="26"/>
                <w:szCs w:val="26"/>
              </w:rPr>
              <w:t>PRA Administrative Cost</w:t>
            </w:r>
          </w:p>
        </w:tc>
        <w:tc>
          <w:tcPr>
            <w:tcW w:w="1627" w:type="pct"/>
            <w:shd w:val="clear" w:color="auto" w:fill="D9D9D9" w:themeFill="background1" w:themeFillShade="D9"/>
            <w:vAlign w:val="center"/>
          </w:tcPr>
          <w:p w:rsidR="00EB053F" w:rsidRDefault="00EB053F" w14:paraId="69E40AEC" w14:textId="77777777">
            <w:pPr>
              <w:pStyle w:val="ListParagraph"/>
              <w:spacing w:after="0" w:line="240" w:lineRule="auto"/>
              <w:ind w:left="0"/>
              <w:jc w:val="right"/>
              <w:rPr>
                <w:rFonts w:ascii="Times New Roman" w:hAnsi="Times New Roman"/>
                <w:b/>
                <w:sz w:val="26"/>
                <w:szCs w:val="26"/>
              </w:rPr>
            </w:pPr>
          </w:p>
        </w:tc>
        <w:tc>
          <w:tcPr>
            <w:tcW w:w="1617" w:type="pct"/>
            <w:shd w:val="clear" w:color="auto" w:fill="auto"/>
            <w:vAlign w:val="center"/>
          </w:tcPr>
          <w:p w:rsidR="00EB053F" w:rsidRDefault="00F63BA0" w14:paraId="6C83F4C5" w14:textId="77777777">
            <w:pPr>
              <w:pStyle w:val="ListParagraph"/>
              <w:spacing w:after="0" w:line="240" w:lineRule="auto"/>
              <w:ind w:left="0"/>
              <w:jc w:val="right"/>
              <w:rPr>
                <w:rFonts w:ascii="Times New Roman" w:hAnsi="Times New Roman"/>
                <w:sz w:val="26"/>
                <w:szCs w:val="26"/>
              </w:rPr>
            </w:pPr>
            <w:r>
              <w:rPr>
                <w:rFonts w:ascii="Times New Roman" w:hAnsi="Times New Roman"/>
                <w:sz w:val="26"/>
                <w:szCs w:val="26"/>
              </w:rPr>
              <w:t>$6,475</w:t>
            </w:r>
          </w:p>
        </w:tc>
      </w:tr>
      <w:tr w:rsidR="00EB053F" w14:paraId="01DE4CBD" w14:textId="77777777">
        <w:tc>
          <w:tcPr>
            <w:tcW w:w="1756" w:type="pct"/>
            <w:shd w:val="clear" w:color="auto" w:fill="auto"/>
            <w:vAlign w:val="center"/>
          </w:tcPr>
          <w:p w:rsidR="00EB053F" w:rsidRDefault="00F63BA0" w14:paraId="7438DAF6" w14:textId="77777777">
            <w:pPr>
              <w:pStyle w:val="ListParagraph"/>
              <w:spacing w:after="0" w:line="240" w:lineRule="auto"/>
              <w:ind w:left="0"/>
              <w:rPr>
                <w:rFonts w:ascii="Times New Roman" w:hAnsi="Times New Roman"/>
                <w:sz w:val="26"/>
                <w:szCs w:val="26"/>
              </w:rPr>
            </w:pPr>
            <w:r>
              <w:rPr>
                <w:rFonts w:ascii="Times New Roman" w:hAnsi="Times New Roman"/>
                <w:sz w:val="26"/>
                <w:szCs w:val="26"/>
              </w:rPr>
              <w:t>IT Development Cost</w:t>
            </w:r>
          </w:p>
        </w:tc>
        <w:tc>
          <w:tcPr>
            <w:tcW w:w="1627" w:type="pct"/>
            <w:shd w:val="clear" w:color="auto" w:fill="D9D9D9" w:themeFill="background1" w:themeFillShade="D9"/>
            <w:vAlign w:val="center"/>
          </w:tcPr>
          <w:p w:rsidR="00EB053F" w:rsidRDefault="00EB053F" w14:paraId="44351617" w14:textId="77777777">
            <w:pPr>
              <w:pStyle w:val="ListParagraph"/>
              <w:spacing w:after="0" w:line="240" w:lineRule="auto"/>
              <w:ind w:left="0"/>
              <w:jc w:val="right"/>
              <w:rPr>
                <w:rFonts w:ascii="Times New Roman" w:hAnsi="Times New Roman"/>
                <w:b/>
                <w:sz w:val="26"/>
                <w:szCs w:val="26"/>
              </w:rPr>
            </w:pPr>
          </w:p>
        </w:tc>
        <w:tc>
          <w:tcPr>
            <w:tcW w:w="1617" w:type="pct"/>
            <w:shd w:val="clear" w:color="auto" w:fill="auto"/>
            <w:vAlign w:val="center"/>
          </w:tcPr>
          <w:p w:rsidR="00EB053F" w:rsidRDefault="00F63BA0" w14:paraId="439D3A9C" w14:textId="77777777">
            <w:pPr>
              <w:pStyle w:val="ListParagraph"/>
              <w:spacing w:after="0" w:line="240" w:lineRule="auto"/>
              <w:ind w:left="0"/>
              <w:jc w:val="right"/>
              <w:rPr>
                <w:rFonts w:ascii="Times New Roman" w:hAnsi="Times New Roman"/>
                <w:sz w:val="26"/>
                <w:szCs w:val="26"/>
              </w:rPr>
            </w:pPr>
            <w:r>
              <w:rPr>
                <w:rFonts w:ascii="Times New Roman" w:hAnsi="Times New Roman"/>
                <w:sz w:val="26"/>
                <w:szCs w:val="26"/>
              </w:rPr>
              <w:t>$37,071</w:t>
            </w:r>
            <w:r>
              <w:rPr>
                <w:rStyle w:val="FootnoteReference"/>
                <w:rFonts w:ascii="Times New Roman" w:hAnsi="Times New Roman"/>
                <w:sz w:val="26"/>
                <w:szCs w:val="26"/>
                <w:vertAlign w:val="superscript"/>
              </w:rPr>
              <w:footnoteReference w:id="91"/>
            </w:r>
          </w:p>
        </w:tc>
      </w:tr>
      <w:tr w:rsidR="00EB053F" w14:paraId="48CE790D" w14:textId="77777777">
        <w:tc>
          <w:tcPr>
            <w:tcW w:w="1756" w:type="pct"/>
            <w:tcBorders>
              <w:bottom w:val="single" w:color="auto" w:sz="4" w:space="0"/>
            </w:tcBorders>
            <w:shd w:val="clear" w:color="auto" w:fill="auto"/>
            <w:vAlign w:val="center"/>
          </w:tcPr>
          <w:p w:rsidR="00EB053F" w:rsidRDefault="00F63BA0" w14:paraId="4832AEE0" w14:textId="77777777">
            <w:pPr>
              <w:pStyle w:val="ListParagraph"/>
              <w:spacing w:after="0" w:line="240" w:lineRule="auto"/>
              <w:ind w:left="0"/>
              <w:rPr>
                <w:rFonts w:ascii="Times New Roman" w:hAnsi="Times New Roman"/>
                <w:sz w:val="26"/>
                <w:szCs w:val="26"/>
              </w:rPr>
            </w:pPr>
            <w:r>
              <w:rPr>
                <w:rFonts w:ascii="Times New Roman" w:hAnsi="Times New Roman"/>
                <w:sz w:val="26"/>
                <w:szCs w:val="26"/>
              </w:rPr>
              <w:t>Total for FERC-556</w:t>
            </w:r>
          </w:p>
        </w:tc>
        <w:tc>
          <w:tcPr>
            <w:tcW w:w="1627" w:type="pct"/>
            <w:tcBorders>
              <w:bottom w:val="single" w:color="auto" w:sz="4" w:space="0"/>
            </w:tcBorders>
            <w:shd w:val="clear" w:color="auto" w:fill="D9D9D9" w:themeFill="background1" w:themeFillShade="D9"/>
            <w:vAlign w:val="center"/>
          </w:tcPr>
          <w:p w:rsidR="00EB053F" w:rsidRDefault="00EB053F" w14:paraId="5B6B9467" w14:textId="77777777">
            <w:pPr>
              <w:pStyle w:val="ListParagraph"/>
              <w:spacing w:after="0" w:line="240" w:lineRule="auto"/>
              <w:ind w:left="0"/>
              <w:jc w:val="right"/>
              <w:rPr>
                <w:rFonts w:ascii="Times New Roman" w:hAnsi="Times New Roman"/>
                <w:b/>
                <w:sz w:val="26"/>
                <w:szCs w:val="26"/>
              </w:rPr>
            </w:pPr>
          </w:p>
        </w:tc>
        <w:tc>
          <w:tcPr>
            <w:tcW w:w="1617" w:type="pct"/>
            <w:tcBorders>
              <w:bottom w:val="single" w:color="auto" w:sz="4" w:space="0"/>
            </w:tcBorders>
            <w:shd w:val="clear" w:color="auto" w:fill="auto"/>
            <w:vAlign w:val="center"/>
          </w:tcPr>
          <w:p w:rsidR="00EB053F" w:rsidRDefault="00F63BA0" w14:paraId="492919C5" w14:textId="77777777">
            <w:pPr>
              <w:pStyle w:val="ListParagraph"/>
              <w:spacing w:after="0" w:line="240" w:lineRule="auto"/>
              <w:ind w:left="0"/>
              <w:jc w:val="right"/>
              <w:rPr>
                <w:rFonts w:ascii="Times New Roman" w:hAnsi="Times New Roman"/>
                <w:sz w:val="26"/>
                <w:szCs w:val="26"/>
                <w:highlight w:val="green"/>
              </w:rPr>
            </w:pPr>
            <w:r>
              <w:rPr>
                <w:rFonts w:ascii="Times New Roman" w:hAnsi="Times New Roman"/>
                <w:sz w:val="26"/>
                <w:szCs w:val="26"/>
              </w:rPr>
              <w:t>$560,533</w:t>
            </w:r>
          </w:p>
        </w:tc>
      </w:tr>
      <w:tr w:rsidR="00EB053F" w14:paraId="02845FC1" w14:textId="77777777">
        <w:tc>
          <w:tcPr>
            <w:tcW w:w="5000" w:type="pct"/>
            <w:gridSpan w:val="3"/>
            <w:shd w:val="clear" w:color="auto" w:fill="D9D9D9" w:themeFill="background1" w:themeFillShade="D9"/>
            <w:vAlign w:val="center"/>
          </w:tcPr>
          <w:p w:rsidR="00EB053F" w:rsidRDefault="00F63BA0" w14:paraId="3406C370" w14:textId="77777777">
            <w:pPr>
              <w:pStyle w:val="ListParagraph"/>
              <w:spacing w:after="0" w:line="240" w:lineRule="auto"/>
              <w:ind w:left="0"/>
              <w:jc w:val="center"/>
              <w:rPr>
                <w:rFonts w:ascii="Times New Roman" w:hAnsi="Times New Roman"/>
                <w:sz w:val="26"/>
                <w:szCs w:val="26"/>
              </w:rPr>
            </w:pPr>
            <w:r>
              <w:rPr>
                <w:rFonts w:ascii="Times New Roman" w:hAnsi="Times New Roman"/>
                <w:b/>
                <w:bCs/>
                <w:sz w:val="26"/>
                <w:szCs w:val="26"/>
              </w:rPr>
              <w:lastRenderedPageBreak/>
              <w:t>FERC-912</w:t>
            </w:r>
          </w:p>
        </w:tc>
      </w:tr>
      <w:tr w:rsidR="00EB053F" w14:paraId="3311E847" w14:textId="77777777">
        <w:tc>
          <w:tcPr>
            <w:tcW w:w="1756" w:type="pct"/>
            <w:shd w:val="clear" w:color="auto" w:fill="auto"/>
          </w:tcPr>
          <w:p w:rsidR="00EB053F" w:rsidRDefault="00F63BA0" w14:paraId="2B5A2E34" w14:textId="77777777">
            <w:pPr>
              <w:pStyle w:val="ListParagraph"/>
              <w:spacing w:after="0" w:line="240" w:lineRule="auto"/>
              <w:ind w:left="0"/>
              <w:rPr>
                <w:rFonts w:ascii="Times New Roman" w:hAnsi="Times New Roman"/>
                <w:sz w:val="26"/>
                <w:szCs w:val="26"/>
              </w:rPr>
            </w:pPr>
            <w:r>
              <w:rPr>
                <w:rFonts w:ascii="Times New Roman" w:hAnsi="Times New Roman"/>
                <w:sz w:val="26"/>
                <w:szCs w:val="26"/>
              </w:rPr>
              <w:t>Analysis and Processing of Filings</w:t>
            </w:r>
          </w:p>
        </w:tc>
        <w:tc>
          <w:tcPr>
            <w:tcW w:w="1627" w:type="pct"/>
            <w:tcBorders>
              <w:bottom w:val="single" w:color="auto" w:sz="4" w:space="0"/>
            </w:tcBorders>
            <w:shd w:val="clear" w:color="auto" w:fill="auto"/>
            <w:vAlign w:val="center"/>
          </w:tcPr>
          <w:p w:rsidR="00EB053F" w:rsidRDefault="00F63BA0" w14:paraId="3DAB587C" w14:textId="77777777">
            <w:pPr>
              <w:pStyle w:val="ListParagraph"/>
              <w:spacing w:after="0" w:line="240" w:lineRule="auto"/>
              <w:ind w:left="0"/>
              <w:jc w:val="right"/>
              <w:rPr>
                <w:rFonts w:ascii="Times New Roman" w:hAnsi="Times New Roman"/>
                <w:b/>
                <w:sz w:val="26"/>
                <w:szCs w:val="26"/>
              </w:rPr>
            </w:pPr>
            <w:r>
              <w:rPr>
                <w:rFonts w:ascii="Times New Roman" w:hAnsi="Times New Roman"/>
                <w:sz w:val="26"/>
                <w:szCs w:val="26"/>
              </w:rPr>
              <w:t>3</w:t>
            </w:r>
            <w:r>
              <w:rPr>
                <w:rStyle w:val="FootnoteReference"/>
                <w:rFonts w:ascii="Times New Roman" w:hAnsi="Times New Roman"/>
                <w:sz w:val="26"/>
                <w:szCs w:val="26"/>
                <w:vertAlign w:val="superscript"/>
              </w:rPr>
              <w:footnoteReference w:id="92"/>
            </w:r>
            <w:r>
              <w:rPr>
                <w:rFonts w:ascii="Times New Roman" w:hAnsi="Times New Roman"/>
                <w:sz w:val="26"/>
                <w:szCs w:val="26"/>
              </w:rPr>
              <w:t xml:space="preserve">  </w:t>
            </w:r>
          </w:p>
        </w:tc>
        <w:tc>
          <w:tcPr>
            <w:tcW w:w="1617" w:type="pct"/>
            <w:shd w:val="clear" w:color="auto" w:fill="auto"/>
            <w:vAlign w:val="center"/>
          </w:tcPr>
          <w:p w:rsidR="00EB053F" w:rsidRDefault="00F63BA0" w14:paraId="716E647C" w14:textId="77777777">
            <w:pPr>
              <w:pStyle w:val="ListParagraph"/>
              <w:spacing w:after="0" w:line="240" w:lineRule="auto"/>
              <w:ind w:left="0"/>
              <w:jc w:val="right"/>
              <w:rPr>
                <w:rFonts w:ascii="Times New Roman" w:hAnsi="Times New Roman"/>
                <w:sz w:val="26"/>
                <w:szCs w:val="26"/>
              </w:rPr>
            </w:pPr>
            <w:r>
              <w:rPr>
                <w:rFonts w:ascii="Times New Roman" w:hAnsi="Times New Roman"/>
                <w:sz w:val="26"/>
                <w:szCs w:val="26"/>
              </w:rPr>
              <w:t>$516,987</w:t>
            </w:r>
          </w:p>
        </w:tc>
      </w:tr>
      <w:tr w:rsidR="00EB053F" w14:paraId="7F3A2C8E" w14:textId="77777777">
        <w:tc>
          <w:tcPr>
            <w:tcW w:w="1756" w:type="pct"/>
            <w:shd w:val="clear" w:color="auto" w:fill="auto"/>
          </w:tcPr>
          <w:p w:rsidR="00EB053F" w:rsidRDefault="00F63BA0" w14:paraId="5108AFC1" w14:textId="77777777">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PRA Administrative Cost </w:t>
            </w:r>
          </w:p>
        </w:tc>
        <w:tc>
          <w:tcPr>
            <w:tcW w:w="1627" w:type="pct"/>
            <w:shd w:val="clear" w:color="auto" w:fill="D9D9D9" w:themeFill="background1" w:themeFillShade="D9"/>
            <w:vAlign w:val="center"/>
          </w:tcPr>
          <w:p w:rsidR="00EB053F" w:rsidRDefault="00EB053F" w14:paraId="554B4F49" w14:textId="77777777">
            <w:pPr>
              <w:pStyle w:val="ListParagraph"/>
              <w:spacing w:after="0" w:line="240" w:lineRule="auto"/>
              <w:ind w:left="0"/>
              <w:jc w:val="right"/>
              <w:rPr>
                <w:rFonts w:ascii="Times New Roman" w:hAnsi="Times New Roman"/>
                <w:b/>
                <w:sz w:val="26"/>
                <w:szCs w:val="26"/>
              </w:rPr>
            </w:pPr>
          </w:p>
        </w:tc>
        <w:tc>
          <w:tcPr>
            <w:tcW w:w="1617" w:type="pct"/>
            <w:shd w:val="clear" w:color="auto" w:fill="auto"/>
            <w:vAlign w:val="center"/>
          </w:tcPr>
          <w:p w:rsidR="00EB053F" w:rsidRDefault="00F63BA0" w14:paraId="452D8AFF" w14:textId="77777777">
            <w:pPr>
              <w:pStyle w:val="ListParagraph"/>
              <w:spacing w:after="0" w:line="240" w:lineRule="auto"/>
              <w:ind w:left="0"/>
              <w:jc w:val="right"/>
              <w:rPr>
                <w:rFonts w:ascii="Times New Roman" w:hAnsi="Times New Roman"/>
                <w:sz w:val="26"/>
                <w:szCs w:val="26"/>
              </w:rPr>
            </w:pPr>
            <w:r>
              <w:rPr>
                <w:rFonts w:ascii="Times New Roman" w:hAnsi="Times New Roman"/>
                <w:sz w:val="26"/>
                <w:szCs w:val="26"/>
              </w:rPr>
              <w:t>$6,475</w:t>
            </w:r>
          </w:p>
        </w:tc>
      </w:tr>
      <w:tr w:rsidR="00EB053F" w14:paraId="480D6DE9" w14:textId="77777777">
        <w:tc>
          <w:tcPr>
            <w:tcW w:w="1756" w:type="pct"/>
            <w:shd w:val="clear" w:color="auto" w:fill="auto"/>
          </w:tcPr>
          <w:p w:rsidR="00EB053F" w:rsidRDefault="00F63BA0" w14:paraId="75CC2E35" w14:textId="77777777">
            <w:pPr>
              <w:pStyle w:val="ListParagraph"/>
              <w:spacing w:after="0" w:line="240" w:lineRule="auto"/>
              <w:ind w:left="0"/>
              <w:rPr>
                <w:rFonts w:ascii="Times New Roman" w:hAnsi="Times New Roman"/>
                <w:sz w:val="26"/>
                <w:szCs w:val="26"/>
              </w:rPr>
            </w:pPr>
            <w:r>
              <w:rPr>
                <w:rFonts w:ascii="Times New Roman" w:hAnsi="Times New Roman"/>
                <w:sz w:val="26"/>
                <w:szCs w:val="26"/>
              </w:rPr>
              <w:t>Total for FERC-912</w:t>
            </w:r>
          </w:p>
        </w:tc>
        <w:tc>
          <w:tcPr>
            <w:tcW w:w="1627" w:type="pct"/>
            <w:shd w:val="clear" w:color="auto" w:fill="D9D9D9" w:themeFill="background1" w:themeFillShade="D9"/>
            <w:vAlign w:val="center"/>
          </w:tcPr>
          <w:p w:rsidR="00EB053F" w:rsidRDefault="00EB053F" w14:paraId="35159360" w14:textId="77777777">
            <w:pPr>
              <w:pStyle w:val="ListParagraph"/>
              <w:spacing w:after="0" w:line="240" w:lineRule="auto"/>
              <w:ind w:left="0"/>
              <w:jc w:val="right"/>
              <w:rPr>
                <w:rFonts w:ascii="Times New Roman" w:hAnsi="Times New Roman"/>
                <w:b/>
                <w:sz w:val="26"/>
                <w:szCs w:val="26"/>
              </w:rPr>
            </w:pPr>
          </w:p>
        </w:tc>
        <w:tc>
          <w:tcPr>
            <w:tcW w:w="1617" w:type="pct"/>
            <w:shd w:val="clear" w:color="auto" w:fill="auto"/>
            <w:vAlign w:val="center"/>
          </w:tcPr>
          <w:p w:rsidR="00EB053F" w:rsidRDefault="00F63BA0" w14:paraId="17C3A7EA" w14:textId="77777777">
            <w:pPr>
              <w:pStyle w:val="ListParagraph"/>
              <w:spacing w:after="0" w:line="240" w:lineRule="auto"/>
              <w:ind w:left="0"/>
              <w:jc w:val="right"/>
              <w:rPr>
                <w:rFonts w:ascii="Times New Roman" w:hAnsi="Times New Roman"/>
                <w:sz w:val="26"/>
                <w:szCs w:val="26"/>
                <w:highlight w:val="magenta"/>
              </w:rPr>
            </w:pPr>
            <w:r>
              <w:rPr>
                <w:rFonts w:ascii="Times New Roman" w:hAnsi="Times New Roman"/>
                <w:sz w:val="26"/>
                <w:szCs w:val="26"/>
              </w:rPr>
              <w:t>$523,462</w:t>
            </w:r>
          </w:p>
        </w:tc>
      </w:tr>
    </w:tbl>
    <w:p w:rsidR="00EB053F" w:rsidRDefault="00EB053F" w14:paraId="463E5C6F" w14:textId="77777777">
      <w:pPr>
        <w:rPr>
          <w:b/>
          <w:sz w:val="26"/>
          <w:szCs w:val="26"/>
        </w:rPr>
      </w:pPr>
    </w:p>
    <w:p w:rsidR="00EB053F" w:rsidRDefault="00F63BA0" w14:paraId="616CF187" w14:textId="77777777">
      <w:pPr>
        <w:pStyle w:val="FERCparanumber"/>
        <w:numPr>
          <w:ilvl w:val="0"/>
          <w:numId w:val="7"/>
        </w:numPr>
        <w:rPr>
          <w:b/>
          <w:szCs w:val="26"/>
        </w:rPr>
      </w:pPr>
      <w:r>
        <w:rPr>
          <w:b/>
          <w:szCs w:val="26"/>
        </w:rPr>
        <w:t xml:space="preserve">REASONS FOR CHANGES IN BURDEN INCLUDING THE NEED FOR ANY INCREASE </w:t>
      </w:r>
    </w:p>
    <w:p w:rsidR="00EB053F" w:rsidRDefault="00EB053F" w14:paraId="2B7AB4C4" w14:textId="77777777">
      <w:pPr>
        <w:pStyle w:val="FERCparanumber"/>
        <w:numPr>
          <w:ilvl w:val="0"/>
          <w:numId w:val="0"/>
        </w:numPr>
        <w:rPr>
          <w:szCs w:val="26"/>
        </w:rPr>
      </w:pPr>
    </w:p>
    <w:p w:rsidR="00EB053F" w:rsidRDefault="00F63BA0" w14:paraId="1D758C30" w14:textId="0D804DC0">
      <w:pPr>
        <w:pStyle w:val="FERCparanumber"/>
        <w:numPr>
          <w:ilvl w:val="0"/>
          <w:numId w:val="0"/>
        </w:numPr>
        <w:rPr>
          <w:szCs w:val="26"/>
        </w:rPr>
      </w:pPr>
      <w:r>
        <w:rPr>
          <w:szCs w:val="26"/>
        </w:rPr>
        <w:t xml:space="preserve">In </w:t>
      </w:r>
      <w:r w:rsidR="003171FC">
        <w:rPr>
          <w:szCs w:val="26"/>
        </w:rPr>
        <w:t>Order</w:t>
      </w:r>
      <w:r w:rsidR="009B25B3">
        <w:rPr>
          <w:szCs w:val="26"/>
        </w:rPr>
        <w:t xml:space="preserve"> Nos.</w:t>
      </w:r>
      <w:r w:rsidR="003171FC">
        <w:rPr>
          <w:szCs w:val="26"/>
        </w:rPr>
        <w:t xml:space="preserve"> 872</w:t>
      </w:r>
      <w:r w:rsidR="00DA6082">
        <w:rPr>
          <w:szCs w:val="26"/>
        </w:rPr>
        <w:t xml:space="preserve"> </w:t>
      </w:r>
      <w:r w:rsidR="003171FC">
        <w:rPr>
          <w:szCs w:val="26"/>
        </w:rPr>
        <w:t>and 872-A</w:t>
      </w:r>
      <w:r w:rsidR="000D17AD">
        <w:rPr>
          <w:szCs w:val="26"/>
        </w:rPr>
        <w:t xml:space="preserve"> </w:t>
      </w:r>
      <w:r>
        <w:rPr>
          <w:szCs w:val="26"/>
        </w:rPr>
        <w:t>in Docket Nos. RM19-15</w:t>
      </w:r>
      <w:r w:rsidR="000D17AD">
        <w:rPr>
          <w:szCs w:val="26"/>
        </w:rPr>
        <w:t>-000, and -001,</w:t>
      </w:r>
      <w:r>
        <w:rPr>
          <w:szCs w:val="26"/>
        </w:rPr>
        <w:t>and AD16-16</w:t>
      </w:r>
      <w:r w:rsidR="000D17AD">
        <w:rPr>
          <w:szCs w:val="26"/>
        </w:rPr>
        <w:t>-000 and -001</w:t>
      </w:r>
      <w:r>
        <w:rPr>
          <w:szCs w:val="26"/>
        </w:rPr>
        <w:t>, the Commission makes the following changes to the FERC Form No. 556 and FERC-912.</w:t>
      </w:r>
    </w:p>
    <w:p w:rsidR="00EB053F" w:rsidRDefault="00EB053F" w14:paraId="418FBDC4" w14:textId="77777777">
      <w:pPr>
        <w:pStyle w:val="FERCparanumber"/>
        <w:numPr>
          <w:ilvl w:val="0"/>
          <w:numId w:val="0"/>
        </w:numPr>
        <w:rPr>
          <w:szCs w:val="26"/>
        </w:rPr>
      </w:pPr>
    </w:p>
    <w:p w:rsidR="00EB053F" w:rsidRDefault="00F63BA0" w14:paraId="426FE81D" w14:textId="67A9219E">
      <w:pPr>
        <w:pStyle w:val="FERCparanumber"/>
        <w:numPr>
          <w:ilvl w:val="0"/>
          <w:numId w:val="0"/>
        </w:numPr>
        <w:rPr>
          <w:b/>
          <w:bCs/>
          <w:szCs w:val="26"/>
        </w:rPr>
      </w:pPr>
      <w:r>
        <w:rPr>
          <w:b/>
          <w:bCs/>
          <w:szCs w:val="26"/>
        </w:rPr>
        <w:t xml:space="preserve">FERC-556. </w:t>
      </w:r>
      <w:r w:rsidRPr="006E33A1">
        <w:rPr>
          <w:b/>
        </w:rPr>
        <w:t xml:space="preserve"> </w:t>
      </w:r>
      <w:r w:rsidRPr="00140CA0" w:rsidR="003171FC">
        <w:rPr>
          <w:szCs w:val="26"/>
        </w:rPr>
        <w:t xml:space="preserve">Order </w:t>
      </w:r>
      <w:r w:rsidR="009B25B3">
        <w:rPr>
          <w:szCs w:val="26"/>
        </w:rPr>
        <w:t xml:space="preserve">No. </w:t>
      </w:r>
      <w:r w:rsidRPr="00140CA0" w:rsidR="003171FC">
        <w:rPr>
          <w:szCs w:val="26"/>
        </w:rPr>
        <w:t>872</w:t>
      </w:r>
      <w:r w:rsidR="00DA6082">
        <w:rPr>
          <w:szCs w:val="26"/>
        </w:rPr>
        <w:t xml:space="preserve"> </w:t>
      </w:r>
      <w:r>
        <w:rPr>
          <w:szCs w:val="26"/>
        </w:rPr>
        <w:t>does the following:</w:t>
      </w:r>
      <w:r>
        <w:rPr>
          <w:b/>
          <w:bCs/>
          <w:szCs w:val="26"/>
        </w:rPr>
        <w:t xml:space="preserve">  </w:t>
      </w:r>
    </w:p>
    <w:p w:rsidR="00EB053F" w:rsidRDefault="00F63BA0" w14:paraId="5A286731" w14:textId="7AA5C6A7">
      <w:pPr>
        <w:pStyle w:val="FERCparanumber"/>
        <w:numPr>
          <w:ilvl w:val="0"/>
          <w:numId w:val="19"/>
        </w:numPr>
        <w:rPr>
          <w:szCs w:val="26"/>
        </w:rPr>
      </w:pPr>
      <w:r>
        <w:rPr>
          <w:szCs w:val="26"/>
        </w:rPr>
        <w:t xml:space="preserve">Allows an interested person or other entity challenging a QF certification the opportunity to file a protest, without a fee, to an initial certification (both self-certification and application for Commission certification) filed on or after the effective date of </w:t>
      </w:r>
      <w:r w:rsidR="001E01CC">
        <w:rPr>
          <w:szCs w:val="26"/>
        </w:rPr>
        <w:t>Order No. 872</w:t>
      </w:r>
      <w:r>
        <w:rPr>
          <w:szCs w:val="26"/>
        </w:rPr>
        <w:t xml:space="preserve">, or to a recertification (self-recertification or application for Commission recertification) that makes substantive changes to the existing certification that is filed on or after the effective date of </w:t>
      </w:r>
      <w:r w:rsidR="001E01CC">
        <w:rPr>
          <w:szCs w:val="26"/>
        </w:rPr>
        <w:t>Order No. 872</w:t>
      </w:r>
      <w:r w:rsidR="00DA6082">
        <w:rPr>
          <w:szCs w:val="26"/>
        </w:rPr>
        <w:t>.</w:t>
      </w:r>
      <w:r>
        <w:rPr>
          <w:szCs w:val="26"/>
        </w:rPr>
        <w:t xml:space="preserve">  </w:t>
      </w:r>
    </w:p>
    <w:p w:rsidR="00EB053F" w:rsidRDefault="00F63BA0" w14:paraId="5B0BA7A7" w14:textId="77777777">
      <w:pPr>
        <w:pStyle w:val="FERCparanumber"/>
        <w:numPr>
          <w:ilvl w:val="0"/>
          <w:numId w:val="19"/>
        </w:numPr>
        <w:rPr>
          <w:szCs w:val="26"/>
        </w:rPr>
      </w:pPr>
      <w:r>
        <w:rPr>
          <w:szCs w:val="26"/>
        </w:rPr>
        <w:t>Requires all applicants to report the applicant facility’s geographic coordinates, rather than only for applications where there is no street address.</w:t>
      </w:r>
    </w:p>
    <w:p w:rsidR="00EB053F" w:rsidRDefault="00F63BA0" w14:paraId="692B9E3D" w14:textId="77777777">
      <w:pPr>
        <w:pStyle w:val="FERCparanumber"/>
        <w:numPr>
          <w:ilvl w:val="0"/>
          <w:numId w:val="19"/>
        </w:numPr>
        <w:rPr>
          <w:szCs w:val="26"/>
        </w:rPr>
      </w:pPr>
      <w:r>
        <w:rPr>
          <w:szCs w:val="26"/>
        </w:rPr>
        <w:t>Changes the current requirement to identify any affiliated facilities with electrical generating equipment within one mile of the applicant facility’s electrical generating equipment to instead require applicants to list only affiliated small power production QFs using the same energy resource one mile or less from the applicant facility.</w:t>
      </w:r>
    </w:p>
    <w:p w:rsidR="00EB053F" w:rsidRDefault="00F63BA0" w14:paraId="49626B91" w14:textId="77777777">
      <w:pPr>
        <w:pStyle w:val="FERCparanumber"/>
        <w:numPr>
          <w:ilvl w:val="0"/>
          <w:numId w:val="18"/>
        </w:numPr>
        <w:rPr>
          <w:szCs w:val="26"/>
        </w:rPr>
      </w:pPr>
      <w:proofErr w:type="gramStart"/>
      <w:r>
        <w:rPr>
          <w:szCs w:val="26"/>
        </w:rPr>
        <w:lastRenderedPageBreak/>
        <w:t>Additionally</w:t>
      </w:r>
      <w:proofErr w:type="gramEnd"/>
      <w:r>
        <w:rPr>
          <w:szCs w:val="26"/>
        </w:rPr>
        <w:t xml:space="preserve"> requires applicants to list affiliated small power production QFs using the same energy resource whose nearest electrical generating equipment is greater than one mile and less than 10 miles from the electrical generating equipment of the applicant facility.</w:t>
      </w:r>
    </w:p>
    <w:p w:rsidR="00EB053F" w:rsidRDefault="00F63BA0" w14:paraId="5FC5789C" w14:textId="44C2DD31">
      <w:pPr>
        <w:pStyle w:val="FERCparanumber"/>
        <w:numPr>
          <w:ilvl w:val="0"/>
          <w:numId w:val="17"/>
        </w:numPr>
        <w:rPr>
          <w:szCs w:val="26"/>
        </w:rPr>
      </w:pPr>
      <w:r>
        <w:rPr>
          <w:szCs w:val="26"/>
        </w:rPr>
        <w:t xml:space="preserve">Requires the applicant to list the geographic coordinates of the nearest “electrical generating equipment” of both its own facility and the affiliated small power production QF in question based on the definitions adopted in </w:t>
      </w:r>
      <w:r w:rsidR="001E01CC">
        <w:rPr>
          <w:szCs w:val="26"/>
        </w:rPr>
        <w:t>Order No. 872</w:t>
      </w:r>
      <w:r>
        <w:rPr>
          <w:szCs w:val="26"/>
        </w:rPr>
        <w:t>.</w:t>
      </w:r>
    </w:p>
    <w:p w:rsidR="00EB053F" w:rsidRDefault="00F63BA0" w14:paraId="35B0D7D5" w14:textId="02AC89A1">
      <w:pPr>
        <w:pStyle w:val="FERCparanumber"/>
        <w:numPr>
          <w:ilvl w:val="0"/>
          <w:numId w:val="16"/>
        </w:numPr>
        <w:rPr>
          <w:szCs w:val="26"/>
        </w:rPr>
      </w:pPr>
      <w:r>
        <w:rPr>
          <w:szCs w:val="26"/>
        </w:rPr>
        <w:t xml:space="preserve">Provides space for the applicant to explain, if it chooses to do so, why the affiliated small power production QFs using the same energy resource, that are more than one mile and less than 10 miles from the electrical generating equipment of the applicant facility, should be considered to be at separate sites from the applicant’s facility, considering the relevant physical and ownership factors identified in </w:t>
      </w:r>
      <w:r w:rsidR="001E01CC">
        <w:rPr>
          <w:szCs w:val="26"/>
        </w:rPr>
        <w:t>Order No. 872</w:t>
      </w:r>
      <w:r>
        <w:rPr>
          <w:szCs w:val="26"/>
        </w:rPr>
        <w:t>.</w:t>
      </w:r>
    </w:p>
    <w:p w:rsidR="002E6BFF" w:rsidP="00CE3384" w:rsidRDefault="002E6BFF" w14:paraId="0C6CA57A" w14:textId="77777777">
      <w:pPr>
        <w:pStyle w:val="FERCparanumber"/>
        <w:numPr>
          <w:ilvl w:val="0"/>
          <w:numId w:val="0"/>
        </w:numPr>
        <w:ind w:left="720"/>
        <w:rPr>
          <w:szCs w:val="26"/>
        </w:rPr>
      </w:pPr>
    </w:p>
    <w:p w:rsidR="00A703E6" w:rsidP="00AE7B0C" w:rsidRDefault="001821DA" w14:paraId="1EF5B4FE" w14:textId="7C26805B">
      <w:pPr>
        <w:pStyle w:val="FERCparanumber"/>
        <w:numPr>
          <w:ilvl w:val="0"/>
          <w:numId w:val="0"/>
        </w:numPr>
        <w:rPr>
          <w:szCs w:val="26"/>
        </w:rPr>
      </w:pPr>
      <w:r>
        <w:rPr>
          <w:szCs w:val="26"/>
        </w:rPr>
        <w:t xml:space="preserve">As relevant here, </w:t>
      </w:r>
      <w:r w:rsidR="00AE7B0C">
        <w:rPr>
          <w:szCs w:val="26"/>
        </w:rPr>
        <w:t xml:space="preserve">Order </w:t>
      </w:r>
      <w:r w:rsidR="009B25B3">
        <w:rPr>
          <w:szCs w:val="26"/>
        </w:rPr>
        <w:t xml:space="preserve">No. </w:t>
      </w:r>
      <w:r w:rsidR="00AE7B0C">
        <w:rPr>
          <w:szCs w:val="26"/>
        </w:rPr>
        <w:t>872</w:t>
      </w:r>
      <w:r w:rsidR="009B25B3">
        <w:rPr>
          <w:szCs w:val="26"/>
        </w:rPr>
        <w:t>-A</w:t>
      </w:r>
      <w:r w:rsidR="00AE7B0C">
        <w:rPr>
          <w:szCs w:val="26"/>
        </w:rPr>
        <w:t xml:space="preserve"> does the following:</w:t>
      </w:r>
      <w:r w:rsidR="00A703E6">
        <w:rPr>
          <w:szCs w:val="26"/>
        </w:rPr>
        <w:t xml:space="preserve">  </w:t>
      </w:r>
    </w:p>
    <w:p w:rsidR="00A703E6" w:rsidRDefault="00A703E6" w14:paraId="532D3EFA" w14:textId="77777777">
      <w:pPr>
        <w:pStyle w:val="FERCparanumber"/>
        <w:numPr>
          <w:ilvl w:val="0"/>
          <w:numId w:val="0"/>
        </w:numPr>
        <w:rPr>
          <w:rFonts w:eastAsiaTheme="minorHAnsi"/>
        </w:rPr>
      </w:pPr>
    </w:p>
    <w:p w:rsidRPr="00132A16" w:rsidR="00F5297E" w:rsidP="00CE3384" w:rsidRDefault="00AE7B0C" w14:paraId="77B58691" w14:textId="6FD52EC1">
      <w:pPr>
        <w:pStyle w:val="FERCparanumber"/>
        <w:numPr>
          <w:ilvl w:val="0"/>
          <w:numId w:val="16"/>
        </w:numPr>
        <w:rPr>
          <w:szCs w:val="26"/>
        </w:rPr>
      </w:pPr>
      <w:r w:rsidRPr="00132A16">
        <w:rPr>
          <w:rFonts w:eastAsiaTheme="minorHAnsi"/>
        </w:rPr>
        <w:t>Modifies the “Recertification” section in page one of the instructions</w:t>
      </w:r>
      <w:r w:rsidR="00F5297E">
        <w:rPr>
          <w:rFonts w:eastAsiaTheme="minorHAnsi"/>
        </w:rPr>
        <w:t xml:space="preserve"> of the Form No. 556, which was added by Order No. 872</w:t>
      </w:r>
      <w:r w:rsidRPr="00132A16">
        <w:rPr>
          <w:rFonts w:eastAsiaTheme="minorHAnsi"/>
        </w:rPr>
        <w:t xml:space="preserve">, to clarify </w:t>
      </w:r>
      <w:r w:rsidRPr="00132A16" w:rsidR="00132A16">
        <w:rPr>
          <w:szCs w:val="26"/>
        </w:rPr>
        <w:t xml:space="preserve">the circumstances under which </w:t>
      </w:r>
      <w:r w:rsidRPr="006D759C" w:rsidR="00132A16">
        <w:t>a small power production QF needs to recertify</w:t>
      </w:r>
      <w:r w:rsidR="001B3F3C">
        <w:t xml:space="preserve"> and </w:t>
      </w:r>
      <w:r w:rsidR="001B3F3C">
        <w:rPr>
          <w:rFonts w:eastAsiaTheme="minorHAnsi"/>
        </w:rPr>
        <w:t>thereby lessen the burden on filers</w:t>
      </w:r>
      <w:r w:rsidR="00B1462D">
        <w:rPr>
          <w:rFonts w:eastAsiaTheme="minorHAnsi"/>
        </w:rPr>
        <w:t>.</w:t>
      </w:r>
      <w:r w:rsidRPr="003733EF" w:rsidR="003733EF">
        <w:rPr>
          <w:rFonts w:eastAsiaTheme="minorHAnsi"/>
        </w:rPr>
        <w:t xml:space="preserve"> </w:t>
      </w:r>
      <w:r w:rsidRPr="006D759C" w:rsidR="003733EF">
        <w:rPr>
          <w:rFonts w:eastAsiaTheme="minorHAnsi"/>
        </w:rPr>
        <w:t xml:space="preserve">The “Recertification” section currently reads “A QF must file a recertification whenever the qualifying facility ‘fails to conform with any material facts or representations presented . . . in its submittals to the Commission.’ 18. C.F.R. § 292.207(f).”  To this, </w:t>
      </w:r>
      <w:r w:rsidR="003733EF">
        <w:rPr>
          <w:rFonts w:eastAsiaTheme="minorHAnsi"/>
        </w:rPr>
        <w:t>the Commission</w:t>
      </w:r>
      <w:r w:rsidRPr="006D759C" w:rsidR="003733EF">
        <w:rPr>
          <w:rFonts w:eastAsiaTheme="minorHAnsi"/>
        </w:rPr>
        <w:t xml:space="preserve"> will add “Among other possible changes in material facts that would necessitate recertification, a</w:t>
      </w:r>
      <w:r w:rsidRPr="006D759C" w:rsidR="003733EF">
        <w:t xml:space="preserve"> small power production QF is required to recertify to update item 8a due to a change at an affiliated facility(</w:t>
      </w:r>
      <w:proofErr w:type="spellStart"/>
      <w:r w:rsidRPr="006D759C" w:rsidR="003733EF">
        <w:t>ies</w:t>
      </w:r>
      <w:proofErr w:type="spellEnd"/>
      <w:r w:rsidRPr="006D759C" w:rsidR="003733EF">
        <w:t xml:space="preserve">) one mile or less from its electrical generating equipment.  </w:t>
      </w:r>
      <w:r w:rsidRPr="006D759C" w:rsidR="003733EF">
        <w:rPr>
          <w:rFonts w:eastAsiaTheme="minorHAnsi"/>
        </w:rPr>
        <w:t xml:space="preserve">A small power production QF is </w:t>
      </w:r>
      <w:r w:rsidRPr="006D759C" w:rsidR="003733EF">
        <w:rPr>
          <w:rFonts w:eastAsiaTheme="minorHAnsi"/>
          <w:i/>
        </w:rPr>
        <w:t>not</w:t>
      </w:r>
      <w:r w:rsidRPr="006D759C" w:rsidR="003733EF">
        <w:rPr>
          <w:rFonts w:eastAsiaTheme="minorHAnsi"/>
        </w:rPr>
        <w:t xml:space="preserve"> required to recertify due to a change at an affiliated facility(</w:t>
      </w:r>
      <w:proofErr w:type="spellStart"/>
      <w:r w:rsidRPr="006D759C" w:rsidR="003733EF">
        <w:rPr>
          <w:rFonts w:eastAsiaTheme="minorHAnsi"/>
        </w:rPr>
        <w:t>ies</w:t>
      </w:r>
      <w:proofErr w:type="spellEnd"/>
      <w:r w:rsidRPr="006D759C" w:rsidR="003733EF">
        <w:rPr>
          <w:rFonts w:eastAsiaTheme="minorHAnsi"/>
        </w:rPr>
        <w:t xml:space="preserve">) listed in item 8a that is more than one mile but less than 10 miles away from its electrical generating equipment, </w:t>
      </w:r>
      <w:r w:rsidRPr="006D759C" w:rsidR="003733EF">
        <w:t>unless that change also impacts any other entries on the Form 556</w:t>
      </w:r>
      <w:r w:rsidRPr="006D759C" w:rsidR="003733EF">
        <w:rPr>
          <w:rFonts w:eastAsiaTheme="minorHAnsi"/>
        </w:rPr>
        <w:t>.”</w:t>
      </w:r>
    </w:p>
    <w:p w:rsidR="00EB053F" w:rsidP="006E33A1" w:rsidRDefault="00EB053F" w14:paraId="5C54D414" w14:textId="77777777">
      <w:pPr>
        <w:pStyle w:val="FERCparanumber"/>
        <w:numPr>
          <w:ilvl w:val="0"/>
          <w:numId w:val="0"/>
        </w:numPr>
        <w:ind w:left="720"/>
        <w:rPr>
          <w:szCs w:val="26"/>
        </w:rPr>
      </w:pPr>
    </w:p>
    <w:p w:rsidR="00EB053F" w:rsidRDefault="00F63BA0" w14:paraId="3D58EAF8" w14:textId="01177695">
      <w:pPr>
        <w:pStyle w:val="FERCparanumber"/>
        <w:numPr>
          <w:ilvl w:val="0"/>
          <w:numId w:val="0"/>
        </w:numPr>
        <w:rPr>
          <w:b/>
          <w:bCs/>
          <w:szCs w:val="26"/>
        </w:rPr>
      </w:pPr>
      <w:r>
        <w:rPr>
          <w:b/>
          <w:bCs/>
          <w:szCs w:val="26"/>
        </w:rPr>
        <w:t xml:space="preserve">FERC-912.  </w:t>
      </w:r>
      <w:r w:rsidR="001E01CC">
        <w:rPr>
          <w:szCs w:val="26"/>
        </w:rPr>
        <w:t>Order No. 872</w:t>
      </w:r>
      <w:r>
        <w:rPr>
          <w:szCs w:val="26"/>
        </w:rPr>
        <w:t xml:space="preserve"> allows potential</w:t>
      </w:r>
      <w:r>
        <w:rPr>
          <w:b/>
          <w:bCs/>
          <w:szCs w:val="26"/>
        </w:rPr>
        <w:t xml:space="preserve"> </w:t>
      </w:r>
      <w:r>
        <w:rPr>
          <w:szCs w:val="26"/>
        </w:rPr>
        <w:t xml:space="preserve">respondent electric utilities to seek relief from the mandatory purchase obligation with respect to smaller QFs than permitted before issuance of </w:t>
      </w:r>
      <w:r w:rsidR="001E01CC">
        <w:rPr>
          <w:szCs w:val="26"/>
        </w:rPr>
        <w:t>Order No. 872</w:t>
      </w:r>
      <w:r w:rsidR="00DA6082">
        <w:rPr>
          <w:szCs w:val="26"/>
        </w:rPr>
        <w:t>.</w:t>
      </w:r>
      <w:r>
        <w:rPr>
          <w:szCs w:val="26"/>
        </w:rPr>
        <w:t xml:space="preserve">  This change is necessary to continue to comply with the requirement of the EPAct 2005 that the mandatory purchase obligation should be terminated where QFs have nondiscriminatory access to certain wholesale electricity markets. </w:t>
      </w:r>
    </w:p>
    <w:p w:rsidR="00EB053F" w:rsidRDefault="00EB053F" w14:paraId="173AEE8F" w14:textId="77777777">
      <w:pPr>
        <w:pStyle w:val="FERCparanumber"/>
        <w:numPr>
          <w:ilvl w:val="0"/>
          <w:numId w:val="0"/>
        </w:numPr>
        <w:rPr>
          <w:szCs w:val="2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60"/>
        <w:gridCol w:w="1146"/>
        <w:gridCol w:w="1590"/>
        <w:gridCol w:w="1646"/>
        <w:gridCol w:w="2208"/>
      </w:tblGrid>
      <w:tr w:rsidR="00EB053F" w14:paraId="6D4C7C43" w14:textId="77777777">
        <w:trPr>
          <w:trHeight w:val="870"/>
        </w:trPr>
        <w:tc>
          <w:tcPr>
            <w:tcW w:w="1476" w:type="pct"/>
            <w:shd w:val="clear" w:color="auto" w:fill="D9D9D9"/>
            <w:vAlign w:val="bottom"/>
          </w:tcPr>
          <w:p w:rsidR="00EB053F" w:rsidRDefault="00EB053F" w14:paraId="4ADE9BD8" w14:textId="77777777">
            <w:pPr>
              <w:jc w:val="center"/>
              <w:rPr>
                <w:b/>
                <w:sz w:val="26"/>
                <w:szCs w:val="26"/>
              </w:rPr>
            </w:pPr>
          </w:p>
        </w:tc>
        <w:tc>
          <w:tcPr>
            <w:tcW w:w="613" w:type="pct"/>
            <w:shd w:val="clear" w:color="auto" w:fill="D9D9D9"/>
            <w:vAlign w:val="bottom"/>
          </w:tcPr>
          <w:p w:rsidR="00EB053F" w:rsidRDefault="00F63BA0" w14:paraId="590D9AA3" w14:textId="77777777">
            <w:pPr>
              <w:jc w:val="center"/>
              <w:rPr>
                <w:b/>
                <w:sz w:val="26"/>
                <w:szCs w:val="26"/>
              </w:rPr>
            </w:pPr>
            <w:r>
              <w:rPr>
                <w:b/>
                <w:sz w:val="26"/>
                <w:szCs w:val="26"/>
              </w:rPr>
              <w:t>Total Request</w:t>
            </w:r>
          </w:p>
        </w:tc>
        <w:tc>
          <w:tcPr>
            <w:tcW w:w="850" w:type="pct"/>
            <w:shd w:val="clear" w:color="auto" w:fill="D9D9D9"/>
            <w:vAlign w:val="bottom"/>
          </w:tcPr>
          <w:p w:rsidR="00EB053F" w:rsidRDefault="00F63BA0" w14:paraId="79F25200" w14:textId="77777777">
            <w:pPr>
              <w:jc w:val="center"/>
              <w:rPr>
                <w:b/>
                <w:sz w:val="26"/>
                <w:szCs w:val="26"/>
              </w:rPr>
            </w:pPr>
            <w:r>
              <w:rPr>
                <w:b/>
                <w:sz w:val="26"/>
                <w:szCs w:val="26"/>
              </w:rPr>
              <w:t>Previously Approved</w:t>
            </w:r>
          </w:p>
        </w:tc>
        <w:tc>
          <w:tcPr>
            <w:tcW w:w="880" w:type="pct"/>
            <w:shd w:val="clear" w:color="auto" w:fill="D9D9D9"/>
            <w:vAlign w:val="bottom"/>
          </w:tcPr>
          <w:p w:rsidR="00EB053F" w:rsidRDefault="00F63BA0" w14:paraId="6040D4B1" w14:textId="77777777">
            <w:pPr>
              <w:jc w:val="center"/>
              <w:rPr>
                <w:b/>
                <w:sz w:val="26"/>
                <w:szCs w:val="26"/>
              </w:rPr>
            </w:pPr>
            <w:r>
              <w:rPr>
                <w:b/>
                <w:sz w:val="26"/>
                <w:szCs w:val="26"/>
              </w:rPr>
              <w:t>Change Due to Adjustment in Estimate</w:t>
            </w:r>
          </w:p>
        </w:tc>
        <w:tc>
          <w:tcPr>
            <w:tcW w:w="1181" w:type="pct"/>
            <w:shd w:val="clear" w:color="auto" w:fill="D9D9D9"/>
            <w:vAlign w:val="bottom"/>
          </w:tcPr>
          <w:p w:rsidR="00EB053F" w:rsidRDefault="00F63BA0" w14:paraId="322C6C88" w14:textId="77777777">
            <w:pPr>
              <w:jc w:val="center"/>
              <w:rPr>
                <w:b/>
                <w:sz w:val="26"/>
                <w:szCs w:val="26"/>
              </w:rPr>
            </w:pPr>
            <w:r>
              <w:rPr>
                <w:b/>
                <w:sz w:val="26"/>
                <w:szCs w:val="26"/>
              </w:rPr>
              <w:t>Change Due to Agency Discretion</w:t>
            </w:r>
          </w:p>
        </w:tc>
      </w:tr>
      <w:tr w:rsidR="00EB053F" w14:paraId="2A566717" w14:textId="77777777">
        <w:trPr>
          <w:trHeight w:val="287"/>
        </w:trPr>
        <w:tc>
          <w:tcPr>
            <w:tcW w:w="5000" w:type="pct"/>
            <w:gridSpan w:val="5"/>
            <w:shd w:val="clear" w:color="auto" w:fill="D9D9D9"/>
            <w:vAlign w:val="center"/>
          </w:tcPr>
          <w:p w:rsidR="00EB053F" w:rsidRDefault="00F63BA0" w14:paraId="2A4814E5" w14:textId="77777777">
            <w:pPr>
              <w:jc w:val="center"/>
              <w:rPr>
                <w:b/>
                <w:sz w:val="26"/>
                <w:szCs w:val="26"/>
              </w:rPr>
            </w:pPr>
            <w:r>
              <w:rPr>
                <w:b/>
                <w:sz w:val="26"/>
                <w:szCs w:val="26"/>
              </w:rPr>
              <w:t>FERC-556</w:t>
            </w:r>
          </w:p>
        </w:tc>
      </w:tr>
      <w:tr w:rsidR="00EB053F" w14:paraId="210ACFA8" w14:textId="77777777">
        <w:trPr>
          <w:trHeight w:val="591"/>
        </w:trPr>
        <w:tc>
          <w:tcPr>
            <w:tcW w:w="1476" w:type="pct"/>
            <w:shd w:val="clear" w:color="auto" w:fill="auto"/>
          </w:tcPr>
          <w:p w:rsidR="00EB053F" w:rsidRDefault="00F63BA0" w14:paraId="4FBDA549" w14:textId="77777777">
            <w:pPr>
              <w:rPr>
                <w:sz w:val="26"/>
                <w:szCs w:val="26"/>
              </w:rPr>
            </w:pPr>
            <w:r>
              <w:rPr>
                <w:sz w:val="26"/>
                <w:szCs w:val="26"/>
              </w:rPr>
              <w:t>Annual Number of Responses</w:t>
            </w:r>
          </w:p>
        </w:tc>
        <w:tc>
          <w:tcPr>
            <w:tcW w:w="613" w:type="pct"/>
            <w:shd w:val="clear" w:color="auto" w:fill="auto"/>
            <w:vAlign w:val="center"/>
          </w:tcPr>
          <w:p w:rsidR="00EB053F" w:rsidRDefault="00F63BA0" w14:paraId="397AC9BF" w14:textId="77777777">
            <w:pPr>
              <w:jc w:val="right"/>
              <w:rPr>
                <w:sz w:val="26"/>
                <w:szCs w:val="26"/>
              </w:rPr>
            </w:pPr>
            <w:r>
              <w:rPr>
                <w:sz w:val="26"/>
                <w:szCs w:val="26"/>
              </w:rPr>
              <w:t>4,318</w:t>
            </w:r>
          </w:p>
        </w:tc>
        <w:tc>
          <w:tcPr>
            <w:tcW w:w="850" w:type="pct"/>
            <w:shd w:val="clear" w:color="auto" w:fill="auto"/>
            <w:vAlign w:val="center"/>
          </w:tcPr>
          <w:p w:rsidR="00EB053F" w:rsidRDefault="00F63BA0" w14:paraId="369A7144" w14:textId="77777777">
            <w:pPr>
              <w:jc w:val="right"/>
              <w:rPr>
                <w:sz w:val="26"/>
                <w:szCs w:val="26"/>
              </w:rPr>
            </w:pPr>
            <w:r>
              <w:rPr>
                <w:sz w:val="26"/>
                <w:szCs w:val="26"/>
              </w:rPr>
              <w:t>4,318</w:t>
            </w:r>
          </w:p>
        </w:tc>
        <w:tc>
          <w:tcPr>
            <w:tcW w:w="880" w:type="pct"/>
            <w:shd w:val="clear" w:color="auto" w:fill="auto"/>
            <w:vAlign w:val="center"/>
          </w:tcPr>
          <w:p w:rsidR="00EB053F" w:rsidRDefault="00F63BA0" w14:paraId="5DF7FF1D" w14:textId="77777777">
            <w:pPr>
              <w:jc w:val="right"/>
              <w:rPr>
                <w:sz w:val="26"/>
                <w:szCs w:val="26"/>
              </w:rPr>
            </w:pPr>
            <w:r>
              <w:rPr>
                <w:sz w:val="26"/>
                <w:szCs w:val="26"/>
              </w:rPr>
              <w:t>0</w:t>
            </w:r>
          </w:p>
        </w:tc>
        <w:tc>
          <w:tcPr>
            <w:tcW w:w="1181" w:type="pct"/>
            <w:shd w:val="clear" w:color="auto" w:fill="auto"/>
            <w:vAlign w:val="center"/>
          </w:tcPr>
          <w:p w:rsidR="00EB053F" w:rsidRDefault="00F63BA0" w14:paraId="0E02EB55" w14:textId="77777777">
            <w:pPr>
              <w:jc w:val="right"/>
              <w:rPr>
                <w:sz w:val="26"/>
                <w:szCs w:val="26"/>
              </w:rPr>
            </w:pPr>
            <w:r>
              <w:rPr>
                <w:sz w:val="26"/>
                <w:szCs w:val="26"/>
              </w:rPr>
              <w:t>0</w:t>
            </w:r>
          </w:p>
        </w:tc>
      </w:tr>
      <w:tr w:rsidR="00EB053F" w14:paraId="58F538C0" w14:textId="77777777">
        <w:trPr>
          <w:trHeight w:val="575"/>
        </w:trPr>
        <w:tc>
          <w:tcPr>
            <w:tcW w:w="1476" w:type="pct"/>
            <w:shd w:val="clear" w:color="auto" w:fill="auto"/>
          </w:tcPr>
          <w:p w:rsidR="00EB053F" w:rsidRDefault="00F63BA0" w14:paraId="36CD2737" w14:textId="77777777">
            <w:pPr>
              <w:rPr>
                <w:sz w:val="26"/>
                <w:szCs w:val="26"/>
              </w:rPr>
            </w:pPr>
            <w:r>
              <w:rPr>
                <w:sz w:val="26"/>
                <w:szCs w:val="26"/>
              </w:rPr>
              <w:t>Annual Time Burden (Hours)</w:t>
            </w:r>
          </w:p>
        </w:tc>
        <w:tc>
          <w:tcPr>
            <w:tcW w:w="613" w:type="pct"/>
            <w:shd w:val="clear" w:color="auto" w:fill="auto"/>
            <w:vAlign w:val="center"/>
          </w:tcPr>
          <w:p w:rsidR="00EB053F" w:rsidRDefault="00F63BA0" w14:paraId="776631E2" w14:textId="77777777">
            <w:pPr>
              <w:jc w:val="right"/>
              <w:rPr>
                <w:sz w:val="26"/>
                <w:szCs w:val="26"/>
              </w:rPr>
            </w:pPr>
            <w:r>
              <w:rPr>
                <w:sz w:val="26"/>
                <w:szCs w:val="26"/>
              </w:rPr>
              <w:t>20,032</w:t>
            </w:r>
          </w:p>
        </w:tc>
        <w:tc>
          <w:tcPr>
            <w:tcW w:w="850" w:type="pct"/>
            <w:shd w:val="clear" w:color="auto" w:fill="auto"/>
            <w:vAlign w:val="center"/>
          </w:tcPr>
          <w:p w:rsidR="00EB053F" w:rsidRDefault="00F63BA0" w14:paraId="2694A131" w14:textId="77777777">
            <w:pPr>
              <w:jc w:val="right"/>
              <w:rPr>
                <w:sz w:val="26"/>
                <w:szCs w:val="26"/>
              </w:rPr>
            </w:pPr>
            <w:r>
              <w:rPr>
                <w:sz w:val="26"/>
                <w:szCs w:val="26"/>
              </w:rPr>
              <w:t>6,537</w:t>
            </w:r>
          </w:p>
        </w:tc>
        <w:tc>
          <w:tcPr>
            <w:tcW w:w="880" w:type="pct"/>
            <w:shd w:val="clear" w:color="auto" w:fill="auto"/>
            <w:vAlign w:val="center"/>
          </w:tcPr>
          <w:p w:rsidR="00EB053F" w:rsidRDefault="00F63BA0" w14:paraId="2EF89278" w14:textId="77777777">
            <w:pPr>
              <w:jc w:val="right"/>
              <w:rPr>
                <w:sz w:val="26"/>
                <w:szCs w:val="26"/>
              </w:rPr>
            </w:pPr>
            <w:r>
              <w:rPr>
                <w:sz w:val="26"/>
                <w:szCs w:val="26"/>
              </w:rPr>
              <w:t>0</w:t>
            </w:r>
          </w:p>
        </w:tc>
        <w:tc>
          <w:tcPr>
            <w:tcW w:w="1181" w:type="pct"/>
            <w:shd w:val="clear" w:color="auto" w:fill="auto"/>
            <w:vAlign w:val="center"/>
          </w:tcPr>
          <w:p w:rsidR="00EB053F" w:rsidRDefault="00F63BA0" w14:paraId="1117CBE1" w14:textId="77777777">
            <w:pPr>
              <w:jc w:val="right"/>
              <w:rPr>
                <w:sz w:val="26"/>
                <w:szCs w:val="26"/>
              </w:rPr>
            </w:pPr>
            <w:r>
              <w:rPr>
                <w:sz w:val="26"/>
                <w:szCs w:val="26"/>
              </w:rPr>
              <w:t>13,495</w:t>
            </w:r>
          </w:p>
        </w:tc>
      </w:tr>
      <w:tr w:rsidR="00EB053F" w14:paraId="16605588" w14:textId="77777777">
        <w:trPr>
          <w:trHeight w:val="295"/>
        </w:trPr>
        <w:tc>
          <w:tcPr>
            <w:tcW w:w="1476" w:type="pct"/>
            <w:shd w:val="clear" w:color="auto" w:fill="auto"/>
          </w:tcPr>
          <w:p w:rsidR="00EB053F" w:rsidRDefault="00F63BA0" w14:paraId="528EF890" w14:textId="77777777">
            <w:pPr>
              <w:rPr>
                <w:sz w:val="26"/>
                <w:szCs w:val="26"/>
              </w:rPr>
            </w:pPr>
            <w:r>
              <w:rPr>
                <w:sz w:val="26"/>
                <w:szCs w:val="26"/>
              </w:rPr>
              <w:t>Annual Cost Burden ($)</w:t>
            </w:r>
          </w:p>
        </w:tc>
        <w:tc>
          <w:tcPr>
            <w:tcW w:w="613" w:type="pct"/>
            <w:shd w:val="clear" w:color="auto" w:fill="auto"/>
            <w:vAlign w:val="center"/>
          </w:tcPr>
          <w:p w:rsidR="00EB053F" w:rsidRDefault="00F63BA0" w14:paraId="51E28BD8" w14:textId="77777777">
            <w:pPr>
              <w:jc w:val="right"/>
              <w:rPr>
                <w:sz w:val="26"/>
                <w:szCs w:val="26"/>
              </w:rPr>
            </w:pPr>
            <w:r>
              <w:rPr>
                <w:sz w:val="26"/>
                <w:szCs w:val="26"/>
              </w:rPr>
              <w:t>0</w:t>
            </w:r>
          </w:p>
        </w:tc>
        <w:tc>
          <w:tcPr>
            <w:tcW w:w="850" w:type="pct"/>
            <w:shd w:val="clear" w:color="auto" w:fill="auto"/>
            <w:vAlign w:val="center"/>
          </w:tcPr>
          <w:p w:rsidR="00EB053F" w:rsidRDefault="00F63BA0" w14:paraId="7B1BCE02" w14:textId="77777777">
            <w:pPr>
              <w:jc w:val="right"/>
              <w:rPr>
                <w:sz w:val="26"/>
                <w:szCs w:val="26"/>
              </w:rPr>
            </w:pPr>
            <w:r>
              <w:rPr>
                <w:sz w:val="26"/>
                <w:szCs w:val="26"/>
              </w:rPr>
              <w:t>0</w:t>
            </w:r>
          </w:p>
        </w:tc>
        <w:tc>
          <w:tcPr>
            <w:tcW w:w="880" w:type="pct"/>
            <w:shd w:val="clear" w:color="auto" w:fill="auto"/>
            <w:vAlign w:val="center"/>
          </w:tcPr>
          <w:p w:rsidR="00EB053F" w:rsidRDefault="00F63BA0" w14:paraId="74BB1C2F" w14:textId="77777777">
            <w:pPr>
              <w:jc w:val="right"/>
              <w:rPr>
                <w:sz w:val="26"/>
                <w:szCs w:val="26"/>
              </w:rPr>
            </w:pPr>
            <w:r>
              <w:rPr>
                <w:sz w:val="26"/>
                <w:szCs w:val="26"/>
              </w:rPr>
              <w:t>0</w:t>
            </w:r>
          </w:p>
        </w:tc>
        <w:tc>
          <w:tcPr>
            <w:tcW w:w="1181" w:type="pct"/>
            <w:shd w:val="clear" w:color="auto" w:fill="auto"/>
            <w:vAlign w:val="center"/>
          </w:tcPr>
          <w:p w:rsidR="00EB053F" w:rsidRDefault="00F63BA0" w14:paraId="493521D9" w14:textId="77777777">
            <w:pPr>
              <w:jc w:val="right"/>
              <w:rPr>
                <w:sz w:val="26"/>
                <w:szCs w:val="26"/>
              </w:rPr>
            </w:pPr>
            <w:r>
              <w:rPr>
                <w:sz w:val="26"/>
                <w:szCs w:val="26"/>
              </w:rPr>
              <w:t>0</w:t>
            </w:r>
          </w:p>
        </w:tc>
      </w:tr>
      <w:tr w:rsidR="00EB053F" w14:paraId="79F097E2" w14:textId="77777777">
        <w:trPr>
          <w:trHeight w:val="295"/>
        </w:trPr>
        <w:tc>
          <w:tcPr>
            <w:tcW w:w="5000" w:type="pct"/>
            <w:gridSpan w:val="5"/>
            <w:shd w:val="clear" w:color="auto" w:fill="D9D9D9" w:themeFill="background1" w:themeFillShade="D9"/>
          </w:tcPr>
          <w:p w:rsidR="00EB053F" w:rsidRDefault="00F63BA0" w14:paraId="08BDF1C4" w14:textId="77777777">
            <w:pPr>
              <w:jc w:val="center"/>
              <w:rPr>
                <w:sz w:val="26"/>
                <w:szCs w:val="26"/>
              </w:rPr>
            </w:pPr>
            <w:r>
              <w:rPr>
                <w:b/>
                <w:bCs/>
                <w:sz w:val="26"/>
                <w:szCs w:val="26"/>
              </w:rPr>
              <w:t>FERC-912</w:t>
            </w:r>
          </w:p>
        </w:tc>
      </w:tr>
      <w:tr w:rsidR="00EB053F" w14:paraId="1CD672B2" w14:textId="77777777">
        <w:trPr>
          <w:trHeight w:val="295"/>
        </w:trPr>
        <w:tc>
          <w:tcPr>
            <w:tcW w:w="1476" w:type="pct"/>
            <w:shd w:val="clear" w:color="auto" w:fill="auto"/>
          </w:tcPr>
          <w:p w:rsidR="00EB053F" w:rsidRDefault="00F63BA0" w14:paraId="1DFFB556" w14:textId="77777777">
            <w:pPr>
              <w:rPr>
                <w:sz w:val="26"/>
                <w:szCs w:val="26"/>
              </w:rPr>
            </w:pPr>
            <w:r>
              <w:rPr>
                <w:sz w:val="26"/>
                <w:szCs w:val="26"/>
              </w:rPr>
              <w:t>Annual Number of Responses</w:t>
            </w:r>
          </w:p>
        </w:tc>
        <w:tc>
          <w:tcPr>
            <w:tcW w:w="613" w:type="pct"/>
            <w:shd w:val="clear" w:color="auto" w:fill="auto"/>
            <w:vAlign w:val="center"/>
          </w:tcPr>
          <w:p w:rsidR="00EB053F" w:rsidRDefault="00F63BA0" w14:paraId="75DC5E02" w14:textId="77777777">
            <w:pPr>
              <w:jc w:val="right"/>
              <w:rPr>
                <w:sz w:val="26"/>
                <w:szCs w:val="26"/>
              </w:rPr>
            </w:pPr>
            <w:r>
              <w:rPr>
                <w:sz w:val="26"/>
                <w:szCs w:val="26"/>
              </w:rPr>
              <w:t>39</w:t>
            </w:r>
          </w:p>
        </w:tc>
        <w:tc>
          <w:tcPr>
            <w:tcW w:w="850" w:type="pct"/>
            <w:shd w:val="clear" w:color="auto" w:fill="auto"/>
            <w:vAlign w:val="center"/>
          </w:tcPr>
          <w:p w:rsidR="00EB053F" w:rsidRDefault="00F63BA0" w14:paraId="220F74A8" w14:textId="77777777">
            <w:pPr>
              <w:jc w:val="right"/>
              <w:rPr>
                <w:sz w:val="26"/>
                <w:szCs w:val="26"/>
              </w:rPr>
            </w:pPr>
            <w:r>
              <w:rPr>
                <w:sz w:val="26"/>
                <w:szCs w:val="26"/>
              </w:rPr>
              <w:t>9</w:t>
            </w:r>
          </w:p>
        </w:tc>
        <w:tc>
          <w:tcPr>
            <w:tcW w:w="880" w:type="pct"/>
            <w:shd w:val="clear" w:color="auto" w:fill="auto"/>
            <w:vAlign w:val="center"/>
          </w:tcPr>
          <w:p w:rsidR="00EB053F" w:rsidRDefault="00F63BA0" w14:paraId="45FB034F" w14:textId="77777777">
            <w:pPr>
              <w:jc w:val="right"/>
              <w:rPr>
                <w:sz w:val="26"/>
                <w:szCs w:val="26"/>
              </w:rPr>
            </w:pPr>
            <w:r>
              <w:rPr>
                <w:sz w:val="26"/>
                <w:szCs w:val="26"/>
              </w:rPr>
              <w:t>0</w:t>
            </w:r>
          </w:p>
        </w:tc>
        <w:tc>
          <w:tcPr>
            <w:tcW w:w="1181" w:type="pct"/>
            <w:shd w:val="clear" w:color="auto" w:fill="auto"/>
            <w:vAlign w:val="center"/>
          </w:tcPr>
          <w:p w:rsidR="00EB053F" w:rsidRDefault="00F63BA0" w14:paraId="49BAC2F8" w14:textId="77777777">
            <w:pPr>
              <w:jc w:val="right"/>
              <w:rPr>
                <w:sz w:val="26"/>
                <w:szCs w:val="26"/>
              </w:rPr>
            </w:pPr>
            <w:r>
              <w:rPr>
                <w:sz w:val="26"/>
                <w:szCs w:val="26"/>
              </w:rPr>
              <w:t>30</w:t>
            </w:r>
          </w:p>
        </w:tc>
      </w:tr>
      <w:tr w:rsidR="00EB053F" w14:paraId="0619ED6C" w14:textId="77777777">
        <w:trPr>
          <w:trHeight w:val="295"/>
        </w:trPr>
        <w:tc>
          <w:tcPr>
            <w:tcW w:w="1476" w:type="pct"/>
            <w:shd w:val="clear" w:color="auto" w:fill="auto"/>
          </w:tcPr>
          <w:p w:rsidR="00EB053F" w:rsidRDefault="00F63BA0" w14:paraId="69FADEE5" w14:textId="77777777">
            <w:pPr>
              <w:rPr>
                <w:sz w:val="26"/>
                <w:szCs w:val="26"/>
              </w:rPr>
            </w:pPr>
            <w:r>
              <w:rPr>
                <w:sz w:val="26"/>
                <w:szCs w:val="26"/>
              </w:rPr>
              <w:t>Annual Time Burden (Hours)</w:t>
            </w:r>
          </w:p>
        </w:tc>
        <w:tc>
          <w:tcPr>
            <w:tcW w:w="613" w:type="pct"/>
            <w:shd w:val="clear" w:color="auto" w:fill="auto"/>
            <w:vAlign w:val="center"/>
          </w:tcPr>
          <w:p w:rsidR="00EB053F" w:rsidRDefault="00F63BA0" w14:paraId="5845D4ED" w14:textId="77777777">
            <w:pPr>
              <w:jc w:val="right"/>
              <w:rPr>
                <w:sz w:val="26"/>
                <w:szCs w:val="26"/>
              </w:rPr>
            </w:pPr>
            <w:r>
              <w:rPr>
                <w:sz w:val="26"/>
                <w:szCs w:val="26"/>
              </w:rPr>
              <w:t>460</w:t>
            </w:r>
          </w:p>
        </w:tc>
        <w:tc>
          <w:tcPr>
            <w:tcW w:w="850" w:type="pct"/>
            <w:shd w:val="clear" w:color="auto" w:fill="auto"/>
            <w:vAlign w:val="center"/>
          </w:tcPr>
          <w:p w:rsidR="00EB053F" w:rsidRDefault="00F63BA0" w14:paraId="0A066ADB" w14:textId="77777777">
            <w:pPr>
              <w:jc w:val="right"/>
              <w:rPr>
                <w:sz w:val="26"/>
                <w:szCs w:val="26"/>
              </w:rPr>
            </w:pPr>
            <w:r>
              <w:rPr>
                <w:sz w:val="26"/>
                <w:szCs w:val="26"/>
              </w:rPr>
              <w:t>100</w:t>
            </w:r>
          </w:p>
        </w:tc>
        <w:tc>
          <w:tcPr>
            <w:tcW w:w="880" w:type="pct"/>
            <w:shd w:val="clear" w:color="auto" w:fill="auto"/>
            <w:vAlign w:val="center"/>
          </w:tcPr>
          <w:p w:rsidR="00EB053F" w:rsidRDefault="00F63BA0" w14:paraId="333E1678" w14:textId="77777777">
            <w:pPr>
              <w:jc w:val="right"/>
              <w:rPr>
                <w:sz w:val="26"/>
                <w:szCs w:val="26"/>
              </w:rPr>
            </w:pPr>
            <w:r>
              <w:rPr>
                <w:sz w:val="26"/>
                <w:szCs w:val="26"/>
              </w:rPr>
              <w:t>0</w:t>
            </w:r>
          </w:p>
        </w:tc>
        <w:tc>
          <w:tcPr>
            <w:tcW w:w="1181" w:type="pct"/>
            <w:shd w:val="clear" w:color="auto" w:fill="auto"/>
            <w:vAlign w:val="center"/>
          </w:tcPr>
          <w:p w:rsidR="00EB053F" w:rsidRDefault="00F63BA0" w14:paraId="6FF0DB4C" w14:textId="77777777">
            <w:pPr>
              <w:jc w:val="right"/>
              <w:rPr>
                <w:sz w:val="26"/>
                <w:szCs w:val="26"/>
              </w:rPr>
            </w:pPr>
            <w:r>
              <w:rPr>
                <w:sz w:val="26"/>
                <w:szCs w:val="26"/>
              </w:rPr>
              <w:t>360</w:t>
            </w:r>
          </w:p>
        </w:tc>
      </w:tr>
      <w:tr w:rsidR="00EB053F" w14:paraId="588B603C" w14:textId="77777777">
        <w:trPr>
          <w:trHeight w:val="295"/>
        </w:trPr>
        <w:tc>
          <w:tcPr>
            <w:tcW w:w="1476" w:type="pct"/>
            <w:shd w:val="clear" w:color="auto" w:fill="auto"/>
          </w:tcPr>
          <w:p w:rsidR="00EB053F" w:rsidRDefault="00F63BA0" w14:paraId="2BB5F09F" w14:textId="77777777">
            <w:pPr>
              <w:rPr>
                <w:sz w:val="26"/>
                <w:szCs w:val="26"/>
              </w:rPr>
            </w:pPr>
            <w:r>
              <w:rPr>
                <w:sz w:val="26"/>
                <w:szCs w:val="26"/>
              </w:rPr>
              <w:t>Annual Cost Burden ($)</w:t>
            </w:r>
          </w:p>
        </w:tc>
        <w:tc>
          <w:tcPr>
            <w:tcW w:w="613" w:type="pct"/>
            <w:shd w:val="clear" w:color="auto" w:fill="auto"/>
            <w:vAlign w:val="center"/>
          </w:tcPr>
          <w:p w:rsidR="00EB053F" w:rsidRDefault="00F63BA0" w14:paraId="7DDCD9ED" w14:textId="77777777">
            <w:pPr>
              <w:jc w:val="right"/>
              <w:rPr>
                <w:sz w:val="26"/>
                <w:szCs w:val="26"/>
              </w:rPr>
            </w:pPr>
            <w:r>
              <w:rPr>
                <w:sz w:val="26"/>
                <w:szCs w:val="26"/>
              </w:rPr>
              <w:t>0</w:t>
            </w:r>
          </w:p>
        </w:tc>
        <w:tc>
          <w:tcPr>
            <w:tcW w:w="850" w:type="pct"/>
            <w:shd w:val="clear" w:color="auto" w:fill="auto"/>
            <w:vAlign w:val="center"/>
          </w:tcPr>
          <w:p w:rsidR="00EB053F" w:rsidRDefault="00F63BA0" w14:paraId="1CA154F5" w14:textId="77777777">
            <w:pPr>
              <w:jc w:val="right"/>
              <w:rPr>
                <w:sz w:val="26"/>
                <w:szCs w:val="26"/>
              </w:rPr>
            </w:pPr>
            <w:r>
              <w:rPr>
                <w:sz w:val="26"/>
                <w:szCs w:val="26"/>
              </w:rPr>
              <w:t>0</w:t>
            </w:r>
          </w:p>
        </w:tc>
        <w:tc>
          <w:tcPr>
            <w:tcW w:w="880" w:type="pct"/>
            <w:shd w:val="clear" w:color="auto" w:fill="auto"/>
            <w:vAlign w:val="center"/>
          </w:tcPr>
          <w:p w:rsidR="00EB053F" w:rsidRDefault="00F63BA0" w14:paraId="7444F838" w14:textId="77777777">
            <w:pPr>
              <w:jc w:val="right"/>
              <w:rPr>
                <w:sz w:val="26"/>
                <w:szCs w:val="26"/>
              </w:rPr>
            </w:pPr>
            <w:r>
              <w:rPr>
                <w:sz w:val="26"/>
                <w:szCs w:val="26"/>
              </w:rPr>
              <w:t>0</w:t>
            </w:r>
          </w:p>
        </w:tc>
        <w:tc>
          <w:tcPr>
            <w:tcW w:w="1181" w:type="pct"/>
            <w:shd w:val="clear" w:color="auto" w:fill="auto"/>
            <w:vAlign w:val="center"/>
          </w:tcPr>
          <w:p w:rsidR="00EB053F" w:rsidRDefault="00F63BA0" w14:paraId="14F3658C" w14:textId="77777777">
            <w:pPr>
              <w:jc w:val="right"/>
              <w:rPr>
                <w:sz w:val="26"/>
                <w:szCs w:val="26"/>
              </w:rPr>
            </w:pPr>
            <w:r>
              <w:rPr>
                <w:sz w:val="26"/>
                <w:szCs w:val="26"/>
              </w:rPr>
              <w:t>0</w:t>
            </w:r>
          </w:p>
        </w:tc>
      </w:tr>
    </w:tbl>
    <w:p w:rsidR="00EB053F" w:rsidRDefault="00EB053F" w14:paraId="75F7B65C" w14:textId="77777777">
      <w:pPr>
        <w:widowControl/>
        <w:rPr>
          <w:b/>
          <w:sz w:val="26"/>
          <w:szCs w:val="26"/>
        </w:rPr>
      </w:pPr>
    </w:p>
    <w:p w:rsidR="00EB053F" w:rsidRDefault="00F63BA0" w14:paraId="3B1BDC16" w14:textId="77777777">
      <w:pPr>
        <w:pStyle w:val="FERCparanumber"/>
        <w:numPr>
          <w:ilvl w:val="0"/>
          <w:numId w:val="7"/>
        </w:numPr>
        <w:rPr>
          <w:b/>
          <w:szCs w:val="26"/>
        </w:rPr>
      </w:pPr>
      <w:r>
        <w:rPr>
          <w:b/>
          <w:szCs w:val="26"/>
        </w:rPr>
        <w:t>TIME SCHEDULE FOR PUBLICATION OF DATA</w:t>
      </w:r>
    </w:p>
    <w:p w:rsidR="00EB053F" w:rsidRDefault="00EB053F" w14:paraId="36D70ACA" w14:textId="77777777">
      <w:pPr>
        <w:pStyle w:val="FERCparanumber"/>
        <w:numPr>
          <w:ilvl w:val="0"/>
          <w:numId w:val="0"/>
        </w:numPr>
        <w:rPr>
          <w:b/>
          <w:szCs w:val="26"/>
        </w:rPr>
      </w:pPr>
    </w:p>
    <w:p w:rsidR="00EB053F" w:rsidRDefault="00F63BA0" w14:paraId="72C5B634" w14:textId="77777777">
      <w:pPr>
        <w:widowControl/>
        <w:rPr>
          <w:sz w:val="26"/>
          <w:szCs w:val="26"/>
        </w:rPr>
      </w:pPr>
      <w:r>
        <w:rPr>
          <w:sz w:val="26"/>
          <w:szCs w:val="26"/>
        </w:rPr>
        <w:t>There are no plans for publication.  The data are used for regulatory purposes only.</w:t>
      </w:r>
    </w:p>
    <w:p w:rsidR="00EB053F" w:rsidRDefault="00EB053F" w14:paraId="25EBEC64" w14:textId="77777777">
      <w:pPr>
        <w:pStyle w:val="FERCparanumber"/>
        <w:numPr>
          <w:ilvl w:val="0"/>
          <w:numId w:val="0"/>
        </w:numPr>
        <w:rPr>
          <w:b/>
          <w:szCs w:val="26"/>
        </w:rPr>
      </w:pPr>
    </w:p>
    <w:p w:rsidR="00EB053F" w:rsidRDefault="00F63BA0" w14:paraId="66D889C6" w14:textId="77777777">
      <w:pPr>
        <w:pStyle w:val="FERCparanumber"/>
        <w:numPr>
          <w:ilvl w:val="0"/>
          <w:numId w:val="7"/>
        </w:numPr>
        <w:rPr>
          <w:b/>
          <w:szCs w:val="26"/>
        </w:rPr>
      </w:pPr>
      <w:r>
        <w:rPr>
          <w:b/>
          <w:szCs w:val="26"/>
        </w:rPr>
        <w:t>DISPLAY OF EXPIRATION DATE</w:t>
      </w:r>
    </w:p>
    <w:p w:rsidR="00EB053F" w:rsidRDefault="00EB053F" w14:paraId="1C2A5BC8" w14:textId="77777777">
      <w:pPr>
        <w:pStyle w:val="FERCparanumber"/>
        <w:numPr>
          <w:ilvl w:val="0"/>
          <w:numId w:val="0"/>
        </w:numPr>
        <w:rPr>
          <w:b/>
          <w:szCs w:val="26"/>
        </w:rPr>
      </w:pPr>
    </w:p>
    <w:p w:rsidR="00EB053F" w:rsidRDefault="00F63BA0" w14:paraId="200FBBE2" w14:textId="77777777">
      <w:pPr>
        <w:widowControl/>
        <w:rPr>
          <w:sz w:val="26"/>
          <w:szCs w:val="26"/>
        </w:rPr>
      </w:pPr>
      <w:r>
        <w:rPr>
          <w:sz w:val="26"/>
          <w:szCs w:val="26"/>
        </w:rPr>
        <w:t>Form No. 556 is available from the Commission’s website (</w:t>
      </w:r>
      <w:hyperlink w:history="1" w:anchor="556" r:id="rId14">
        <w:r>
          <w:rPr>
            <w:rStyle w:val="Hyperlink"/>
            <w:color w:val="auto"/>
            <w:sz w:val="26"/>
            <w:szCs w:val="26"/>
          </w:rPr>
          <w:t>http://www.ferc.gov/docs-filing/forms.asp#556</w:t>
        </w:r>
      </w:hyperlink>
      <w:r>
        <w:rPr>
          <w:sz w:val="26"/>
          <w:szCs w:val="26"/>
        </w:rPr>
        <w:t>) as a standard form that can be downloaded; the expiration date for OMB approval is on the form/instructions.</w:t>
      </w:r>
    </w:p>
    <w:p w:rsidR="00EB053F" w:rsidRDefault="00EB053F" w14:paraId="16A797BC" w14:textId="77777777">
      <w:pPr>
        <w:widowControl/>
        <w:rPr>
          <w:sz w:val="26"/>
          <w:szCs w:val="26"/>
        </w:rPr>
      </w:pPr>
    </w:p>
    <w:p w:rsidR="00EB053F" w:rsidRDefault="00F63BA0" w14:paraId="3674B77A" w14:textId="77777777">
      <w:pPr>
        <w:widowControl/>
        <w:rPr>
          <w:sz w:val="26"/>
          <w:szCs w:val="26"/>
        </w:rPr>
      </w:pPr>
      <w:r>
        <w:rPr>
          <w:sz w:val="26"/>
          <w:szCs w:val="26"/>
        </w:rPr>
        <w:t xml:space="preserve">The OMB expiration dates are also posted on </w:t>
      </w:r>
      <w:hyperlink w:history="1" r:id="rId15">
        <w:r>
          <w:rPr>
            <w:rStyle w:val="Hyperlink"/>
            <w:color w:val="auto"/>
            <w:sz w:val="26"/>
            <w:szCs w:val="26"/>
          </w:rPr>
          <w:t>http://www.ferc.gov/docs-filing/info-collections.asp</w:t>
        </w:r>
      </w:hyperlink>
      <w:r>
        <w:rPr>
          <w:sz w:val="26"/>
          <w:szCs w:val="26"/>
        </w:rPr>
        <w:t xml:space="preserve"> .</w:t>
      </w:r>
    </w:p>
    <w:p w:rsidR="00EB053F" w:rsidRDefault="00EB053F" w14:paraId="36AF954B" w14:textId="77777777">
      <w:pPr>
        <w:pStyle w:val="FERCparanumber"/>
        <w:numPr>
          <w:ilvl w:val="0"/>
          <w:numId w:val="0"/>
        </w:numPr>
        <w:rPr>
          <w:b/>
          <w:szCs w:val="26"/>
        </w:rPr>
      </w:pPr>
    </w:p>
    <w:p w:rsidR="00EB053F" w:rsidRDefault="00F63BA0" w14:paraId="08FF2D26" w14:textId="77777777">
      <w:pPr>
        <w:widowControl/>
        <w:numPr>
          <w:ilvl w:val="0"/>
          <w:numId w:val="7"/>
        </w:numPr>
        <w:ind w:hanging="720"/>
        <w:rPr>
          <w:b/>
          <w:sz w:val="26"/>
          <w:szCs w:val="26"/>
        </w:rPr>
      </w:pPr>
      <w:r>
        <w:rPr>
          <w:b/>
          <w:sz w:val="26"/>
          <w:szCs w:val="26"/>
        </w:rPr>
        <w:t>EXCEPTIONS TO THE CERTIFICATION STATEMENT</w:t>
      </w:r>
    </w:p>
    <w:p w:rsidR="00EB053F" w:rsidRDefault="00EB053F" w14:paraId="4073C88C" w14:textId="77777777">
      <w:pPr>
        <w:widowControl/>
        <w:ind w:left="720"/>
        <w:rPr>
          <w:b/>
          <w:sz w:val="26"/>
          <w:szCs w:val="26"/>
        </w:rPr>
      </w:pPr>
    </w:p>
    <w:p w:rsidR="00EB053F" w:rsidRDefault="00F63BA0" w14:paraId="34E1701D" w14:textId="77777777">
      <w:pPr>
        <w:widowControl/>
        <w:rPr>
          <w:sz w:val="26"/>
          <w:szCs w:val="26"/>
        </w:rPr>
      </w:pPr>
      <w:r>
        <w:rPr>
          <w:sz w:val="26"/>
          <w:szCs w:val="26"/>
        </w:rPr>
        <w:t>There are no exceptions.</w:t>
      </w:r>
    </w:p>
    <w:p w:rsidR="00EB053F" w:rsidRDefault="00EB053F" w14:paraId="4796C66D" w14:textId="77777777">
      <w:pPr>
        <w:widowControl/>
        <w:tabs>
          <w:tab w:val="num" w:pos="720"/>
        </w:tabs>
        <w:autoSpaceDE/>
        <w:autoSpaceDN/>
        <w:adjustRightInd/>
        <w:spacing w:after="240"/>
        <w:rPr>
          <w:b/>
          <w:strike/>
          <w:sz w:val="26"/>
          <w:szCs w:val="26"/>
        </w:rPr>
      </w:pPr>
    </w:p>
    <w:sectPr w:rsidR="00EB053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E11D5" w14:textId="77777777" w:rsidR="00F15FD0" w:rsidRDefault="00F15FD0">
      <w:r>
        <w:separator/>
      </w:r>
    </w:p>
  </w:endnote>
  <w:endnote w:type="continuationSeparator" w:id="0">
    <w:p w14:paraId="59907E99" w14:textId="77777777" w:rsidR="00F15FD0" w:rsidRDefault="00F15FD0">
      <w:r>
        <w:continuationSeparator/>
      </w:r>
    </w:p>
  </w:endnote>
  <w:endnote w:type="continuationNotice" w:id="1">
    <w:p w14:paraId="477B6147" w14:textId="77777777" w:rsidR="00F15FD0" w:rsidRDefault="00F15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E68AF" w14:textId="77777777" w:rsidR="00B908E9" w:rsidRDefault="00B90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4B0B5" w14:textId="77777777" w:rsidR="00EB053F" w:rsidRDefault="00F63BA0">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18</w:t>
        </w:r>
        <w:r>
          <w:rPr>
            <w:noProof/>
          </w:rPr>
          <w:fldChar w:fldCharType="end"/>
        </w:r>
      </w:sdtContent>
    </w:sdt>
  </w:p>
  <w:p w14:paraId="43EBDD61" w14:textId="77777777" w:rsidR="00EB053F" w:rsidRDefault="00EB05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EEB34" w14:textId="77777777" w:rsidR="00B908E9" w:rsidRDefault="00B90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6BE40" w14:textId="77777777" w:rsidR="00F15FD0" w:rsidRDefault="00F15FD0">
      <w:r>
        <w:separator/>
      </w:r>
    </w:p>
  </w:footnote>
  <w:footnote w:type="continuationSeparator" w:id="0">
    <w:p w14:paraId="5F645579" w14:textId="77777777" w:rsidR="00F15FD0" w:rsidRDefault="00F15FD0">
      <w:r>
        <w:continuationSeparator/>
      </w:r>
    </w:p>
  </w:footnote>
  <w:footnote w:type="continuationNotice" w:id="1">
    <w:p w14:paraId="736FA1AF" w14:textId="77777777" w:rsidR="00F15FD0" w:rsidRPr="006E33A1" w:rsidRDefault="00F15FD0" w:rsidP="006E33A1">
      <w:pPr>
        <w:spacing w:line="14" w:lineRule="exact"/>
        <w:rPr>
          <w:sz w:val="2"/>
        </w:rPr>
      </w:pPr>
    </w:p>
  </w:footnote>
  <w:footnote w:id="2">
    <w:p w14:paraId="29967268" w14:textId="77777777" w:rsidR="00EB053F" w:rsidRDefault="00F63BA0">
      <w:pPr>
        <w:pStyle w:val="FootnoteText"/>
        <w:rPr>
          <w:sz w:val="26"/>
          <w:szCs w:val="26"/>
        </w:rPr>
      </w:pPr>
      <w:r>
        <w:rPr>
          <w:rStyle w:val="FootnoteReference"/>
          <w:sz w:val="26"/>
          <w:szCs w:val="26"/>
          <w:vertAlign w:val="superscript"/>
        </w:rPr>
        <w:footnoteRef/>
      </w:r>
      <w:r>
        <w:rPr>
          <w:sz w:val="26"/>
          <w:szCs w:val="26"/>
        </w:rPr>
        <w:t xml:space="preserve"> When the Notice of Proposed Rulemaking (NOPR) and corresponding information collection request were submitted to OMB for Docket Nos. RM19-15 and AD16-16, OMB review was pending for the regular renewal of the existing FERC Form No. 556.  Only one item per OMB Control No. can be pending OMB review at a time.  Therefore, we had to use a temporary (placeholder) information collection number (FERC-556A, OMB Control No. 1902-0316) in order to submit the NOPR to OMB on a timely basis.</w:t>
      </w:r>
    </w:p>
    <w:p w14:paraId="2D965271" w14:textId="77777777" w:rsidR="00BF538B" w:rsidRDefault="00F63BA0">
      <w:pPr>
        <w:pStyle w:val="FootnoteText"/>
        <w:rPr>
          <w:sz w:val="26"/>
          <w:szCs w:val="26"/>
        </w:rPr>
      </w:pPr>
      <w:r>
        <w:rPr>
          <w:sz w:val="26"/>
          <w:szCs w:val="26"/>
        </w:rPr>
        <w:t>Note that the FERC-912 was not submitted for Paperwork Reduction Act (PRA) review at the NOPR stage but is being submitted here due to the Final Rule.</w:t>
      </w:r>
    </w:p>
    <w:p w14:paraId="0BAFB62F" w14:textId="77777777" w:rsidR="00EB053F" w:rsidRDefault="00EB053F">
      <w:pPr>
        <w:pStyle w:val="FootnoteText"/>
        <w:rPr>
          <w:sz w:val="26"/>
          <w:szCs w:val="26"/>
        </w:rPr>
      </w:pPr>
    </w:p>
  </w:footnote>
  <w:footnote w:id="3">
    <w:p w14:paraId="46AAAE2E" w14:textId="77777777" w:rsidR="00BF538B" w:rsidRDefault="00F63BA0">
      <w:pPr>
        <w:pStyle w:val="FootnoteText"/>
        <w:rPr>
          <w:sz w:val="26"/>
          <w:szCs w:val="26"/>
        </w:rPr>
      </w:pPr>
      <w:r>
        <w:rPr>
          <w:rStyle w:val="FootnoteReference"/>
          <w:sz w:val="26"/>
          <w:szCs w:val="26"/>
          <w:vertAlign w:val="superscript"/>
        </w:rPr>
        <w:footnoteRef/>
      </w:r>
      <w:r>
        <w:rPr>
          <w:sz w:val="26"/>
          <w:szCs w:val="26"/>
          <w:vertAlign w:val="superscript"/>
        </w:rPr>
        <w:t xml:space="preserve"> </w:t>
      </w:r>
      <w:r>
        <w:rPr>
          <w:sz w:val="26"/>
          <w:szCs w:val="26"/>
        </w:rPr>
        <w:t xml:space="preserve">The final rule, with Commissioner Glick’s dissent in part, is posted in FERC’s eLibrary at https://elibrary.ferc.gov/idmws/common/opennat.asp?fileID=15586408.  The News Release is posted at https://www.ferc.gov/news-events/news/ferc-modernizes-purpa-rules-ensure-compliance-reflect-todays-markets, with a Fact Sheet at https://www.ferc.gov/sites/default/files/2020-07/07-2020-E-1-PURPA-fact-sheet.pdf.  The Staff Presentation is posted at </w:t>
      </w:r>
      <w:hyperlink r:id="rId1" w:history="1">
        <w:r w:rsidR="00BF538B" w:rsidRPr="009B25B3">
          <w:rPr>
            <w:rStyle w:val="Hyperlink"/>
            <w:sz w:val="26"/>
            <w:szCs w:val="26"/>
          </w:rPr>
          <w:t>https://www.ferc.gov/sites/default/files/2020-07/07-2020-E-1-staff-presentation.pdf</w:t>
        </w:r>
      </w:hyperlink>
      <w:r w:rsidR="00BF538B" w:rsidRPr="009B25B3">
        <w:rPr>
          <w:sz w:val="26"/>
          <w:szCs w:val="26"/>
        </w:rPr>
        <w:t xml:space="preserve">.  </w:t>
      </w:r>
    </w:p>
    <w:p w14:paraId="1CE8E498" w14:textId="05BAEB1D" w:rsidR="00BF538B" w:rsidRDefault="00BF538B">
      <w:pPr>
        <w:pStyle w:val="FootnoteText"/>
        <w:rPr>
          <w:sz w:val="26"/>
          <w:szCs w:val="26"/>
        </w:rPr>
      </w:pPr>
      <w:r w:rsidRPr="009B25B3">
        <w:rPr>
          <w:sz w:val="26"/>
          <w:szCs w:val="26"/>
        </w:rPr>
        <w:t xml:space="preserve">The rehearing order, with Commissioner Glick’s dissent in part, is posted in FERC’s eLibrary at </w:t>
      </w:r>
      <w:hyperlink r:id="rId2" w:history="1">
        <w:r w:rsidR="00D013DA" w:rsidRPr="001D4099">
          <w:rPr>
            <w:rStyle w:val="Hyperlink"/>
            <w:sz w:val="26"/>
            <w:szCs w:val="26"/>
          </w:rPr>
          <w:t>https://elibrary.ferc.gov/eLibrary/docinfo?document_id=14908630</w:t>
        </w:r>
      </w:hyperlink>
      <w:r w:rsidR="00D013DA">
        <w:rPr>
          <w:sz w:val="26"/>
          <w:szCs w:val="26"/>
        </w:rPr>
        <w:t xml:space="preserve"> </w:t>
      </w:r>
      <w:bookmarkStart w:id="0" w:name="_GoBack"/>
      <w:bookmarkEnd w:id="0"/>
      <w:r w:rsidRPr="00C86F4C">
        <w:rPr>
          <w:sz w:val="26"/>
          <w:szCs w:val="26"/>
        </w:rPr>
        <w:t>.  The News Release on the rehearing order is posted at</w:t>
      </w:r>
      <w:r w:rsidRPr="009B25B3">
        <w:rPr>
          <w:sz w:val="26"/>
          <w:szCs w:val="26"/>
        </w:rPr>
        <w:t xml:space="preserve"> </w:t>
      </w:r>
      <w:hyperlink r:id="rId3" w:history="1">
        <w:r w:rsidRPr="00CB6D2E">
          <w:rPr>
            <w:rStyle w:val="Hyperlink"/>
            <w:sz w:val="26"/>
            <w:szCs w:val="26"/>
          </w:rPr>
          <w:t>https://www.ferc.gov/news-events/news/ferc-affirms-clarifies-purpa-final-rule</w:t>
        </w:r>
      </w:hyperlink>
      <w:r>
        <w:rPr>
          <w:sz w:val="26"/>
          <w:szCs w:val="26"/>
        </w:rPr>
        <w:t>.</w:t>
      </w:r>
    </w:p>
    <w:p w14:paraId="6EECD79A" w14:textId="54C86D8E" w:rsidR="00EB053F" w:rsidRDefault="00EB053F">
      <w:pPr>
        <w:pStyle w:val="FootnoteText"/>
        <w:rPr>
          <w:sz w:val="26"/>
          <w:szCs w:val="26"/>
        </w:rPr>
      </w:pPr>
    </w:p>
  </w:footnote>
  <w:footnote w:id="4">
    <w:p w14:paraId="0AC8712E" w14:textId="77777777" w:rsidR="00BF538B" w:rsidRDefault="00F63BA0">
      <w:pPr>
        <w:pStyle w:val="FootnoteText"/>
        <w:rPr>
          <w:sz w:val="26"/>
          <w:szCs w:val="26"/>
        </w:rPr>
      </w:pPr>
      <w:r>
        <w:rPr>
          <w:rStyle w:val="FootnoteReference"/>
          <w:sz w:val="26"/>
          <w:szCs w:val="26"/>
          <w:vertAlign w:val="superscript"/>
        </w:rPr>
        <w:footnoteRef/>
      </w:r>
      <w:r>
        <w:rPr>
          <w:sz w:val="26"/>
          <w:szCs w:val="26"/>
        </w:rPr>
        <w:t xml:space="preserve"> The information collections are prescribed in 18 CFR Part 292 (both FERC Form No. 556 and FERC-912) and 131.80 (for FERC Form No. 556).</w:t>
      </w:r>
    </w:p>
    <w:p w14:paraId="0F18276F" w14:textId="77777777" w:rsidR="00EB053F" w:rsidRDefault="00EB053F">
      <w:pPr>
        <w:pStyle w:val="FootnoteText"/>
        <w:rPr>
          <w:sz w:val="26"/>
          <w:szCs w:val="26"/>
        </w:rPr>
      </w:pPr>
    </w:p>
  </w:footnote>
  <w:footnote w:id="5">
    <w:p w14:paraId="39479914" w14:textId="77777777" w:rsidR="00BF538B" w:rsidRDefault="00F63BA0">
      <w:pPr>
        <w:pStyle w:val="FootnoteText"/>
        <w:rPr>
          <w:sz w:val="26"/>
          <w:szCs w:val="26"/>
        </w:rPr>
      </w:pPr>
      <w:r>
        <w:rPr>
          <w:rStyle w:val="FootnoteReference"/>
          <w:sz w:val="26"/>
          <w:szCs w:val="26"/>
          <w:vertAlign w:val="superscript"/>
        </w:rPr>
        <w:footnoteRef/>
      </w:r>
      <w:r w:rsidR="00BF538B" w:rsidRPr="009B25B3">
        <w:rPr>
          <w:sz w:val="26"/>
          <w:szCs w:val="26"/>
        </w:rPr>
        <w:t xml:space="preserve"> </w:t>
      </w:r>
      <w:r>
        <w:rPr>
          <w:sz w:val="26"/>
          <w:szCs w:val="26"/>
        </w:rPr>
        <w:t>We inadvertently did not submit to OMB the proposed PRA-related changes to FERC-912, as discussed in the NOPR.</w:t>
      </w:r>
    </w:p>
    <w:p w14:paraId="2CAD83CC" w14:textId="1B80DA68" w:rsidR="00EB053F" w:rsidRDefault="00EB053F">
      <w:pPr>
        <w:pStyle w:val="FootnoteText"/>
        <w:rPr>
          <w:sz w:val="26"/>
          <w:szCs w:val="26"/>
        </w:rPr>
      </w:pPr>
    </w:p>
  </w:footnote>
  <w:footnote w:id="6">
    <w:p w14:paraId="17A604F9" w14:textId="77777777" w:rsidR="00EB053F" w:rsidRDefault="00F63BA0">
      <w:pPr>
        <w:pStyle w:val="FootnoteText"/>
        <w:rPr>
          <w:sz w:val="26"/>
          <w:szCs w:val="26"/>
        </w:rPr>
      </w:pPr>
      <w:r>
        <w:rPr>
          <w:rStyle w:val="FootnoteReference"/>
          <w:sz w:val="26"/>
          <w:szCs w:val="26"/>
          <w:vertAlign w:val="superscript"/>
        </w:rPr>
        <w:footnoteRef/>
      </w:r>
      <w:r>
        <w:rPr>
          <w:sz w:val="26"/>
          <w:szCs w:val="26"/>
        </w:rPr>
        <w:t xml:space="preserve"> 16 U.S.C. 796(17)-(22), 824a-3.</w:t>
      </w:r>
    </w:p>
  </w:footnote>
  <w:footnote w:id="7">
    <w:p w14:paraId="57199275" w14:textId="77777777" w:rsidR="00EB053F" w:rsidRDefault="00F63BA0">
      <w:pPr>
        <w:pStyle w:val="FootnoteText"/>
        <w:rPr>
          <w:sz w:val="26"/>
          <w:szCs w:val="26"/>
        </w:rPr>
      </w:pPr>
      <w:r>
        <w:rPr>
          <w:rStyle w:val="FootnoteReference"/>
          <w:sz w:val="26"/>
          <w:szCs w:val="26"/>
          <w:vertAlign w:val="superscript"/>
        </w:rPr>
        <w:footnoteRef/>
      </w:r>
      <w:r>
        <w:rPr>
          <w:sz w:val="26"/>
          <w:szCs w:val="26"/>
          <w:vertAlign w:val="superscript"/>
        </w:rPr>
        <w:t xml:space="preserve"> </w:t>
      </w:r>
      <w:r>
        <w:rPr>
          <w:i/>
          <w:sz w:val="26"/>
          <w:szCs w:val="26"/>
        </w:rPr>
        <w:t>Allegheny Energy Supply Co., LLC</w:t>
      </w:r>
      <w:r>
        <w:rPr>
          <w:sz w:val="26"/>
          <w:szCs w:val="26"/>
        </w:rPr>
        <w:t>, 108 FERC ¶ 61,082 (2004).</w:t>
      </w:r>
    </w:p>
  </w:footnote>
  <w:footnote w:id="8">
    <w:p w14:paraId="0B146FB8" w14:textId="77777777" w:rsidR="00EB053F" w:rsidRDefault="00F63BA0">
      <w:pPr>
        <w:pStyle w:val="FootnoteText"/>
        <w:rPr>
          <w:sz w:val="26"/>
          <w:szCs w:val="26"/>
        </w:rPr>
      </w:pPr>
      <w:r>
        <w:rPr>
          <w:rStyle w:val="FootnoteReference"/>
          <w:sz w:val="26"/>
          <w:szCs w:val="26"/>
          <w:vertAlign w:val="superscript"/>
        </w:rPr>
        <w:footnoteRef/>
      </w:r>
      <w:r>
        <w:rPr>
          <w:sz w:val="26"/>
          <w:szCs w:val="26"/>
        </w:rPr>
        <w:t xml:space="preserve"> </w:t>
      </w:r>
      <w:r>
        <w:rPr>
          <w:i/>
          <w:sz w:val="26"/>
          <w:szCs w:val="26"/>
        </w:rPr>
        <w:t>Revisions to Form, Procedures, and Criteria for Certification of Qualifying Facility Status for a Small Power Production or Cogeneration Facility</w:t>
      </w:r>
      <w:r>
        <w:rPr>
          <w:sz w:val="26"/>
          <w:szCs w:val="26"/>
        </w:rPr>
        <w:t>, Order No. 732, 130 FERC ¶ 61,214 (2010).</w:t>
      </w:r>
    </w:p>
  </w:footnote>
  <w:footnote w:id="9">
    <w:p w14:paraId="6621031A" w14:textId="77777777" w:rsidR="00BF538B" w:rsidRDefault="00F63BA0">
      <w:pPr>
        <w:rPr>
          <w:sz w:val="26"/>
          <w:szCs w:val="26"/>
        </w:rPr>
      </w:pPr>
      <w:r w:rsidRPr="006E33A1">
        <w:rPr>
          <w:rStyle w:val="FootnoteReference"/>
          <w:sz w:val="26"/>
          <w:vertAlign w:val="superscript"/>
        </w:rPr>
        <w:footnoteRef/>
      </w:r>
      <w:r w:rsidRPr="006E33A1">
        <w:rPr>
          <w:sz w:val="26"/>
        </w:rPr>
        <w:t xml:space="preserve"> </w:t>
      </w:r>
      <w:r>
        <w:rPr>
          <w:sz w:val="26"/>
          <w:szCs w:val="26"/>
        </w:rPr>
        <w:t xml:space="preserve">Since FERC may revoke the QF status of a small power production or cogeneration facility if the facility fails to comply with any of the 18 C.F.R. Part 292 criteria, private financial lenders to small power production and cogeneration power facilities occasionally require small power producers and </w:t>
      </w:r>
      <w:proofErr w:type="spellStart"/>
      <w:r>
        <w:rPr>
          <w:sz w:val="26"/>
          <w:szCs w:val="26"/>
        </w:rPr>
        <w:t>cogenerators</w:t>
      </w:r>
      <w:proofErr w:type="spellEnd"/>
      <w:r>
        <w:rPr>
          <w:sz w:val="26"/>
          <w:szCs w:val="26"/>
        </w:rPr>
        <w:t xml:space="preserve"> to follow 18 C.F.R. § 292.207(b) procedures (certification by FERC as opposed to self-certification) in order to reduce the risk of status revocation.</w:t>
      </w:r>
    </w:p>
    <w:p w14:paraId="2A0E97D3" w14:textId="77777777" w:rsidR="00EB053F" w:rsidRPr="006E33A1" w:rsidRDefault="00EB053F">
      <w:pPr>
        <w:rPr>
          <w:sz w:val="26"/>
        </w:rPr>
      </w:pPr>
    </w:p>
  </w:footnote>
  <w:footnote w:id="10">
    <w:p w14:paraId="45ABAD37" w14:textId="77777777" w:rsidR="00BF538B" w:rsidRDefault="00F63BA0">
      <w:pPr>
        <w:pStyle w:val="FootnoteText"/>
        <w:rPr>
          <w:sz w:val="26"/>
          <w:szCs w:val="26"/>
        </w:rPr>
      </w:pPr>
      <w:r>
        <w:rPr>
          <w:rStyle w:val="FootnoteReference"/>
          <w:sz w:val="26"/>
          <w:szCs w:val="26"/>
          <w:vertAlign w:val="superscript"/>
        </w:rPr>
        <w:footnoteRef/>
      </w:r>
      <w:r>
        <w:rPr>
          <w:sz w:val="26"/>
          <w:szCs w:val="26"/>
        </w:rPr>
        <w:t xml:space="preserve"> As amended by P.L. 109-58 Section 1253 (EPAct 2005).</w:t>
      </w:r>
    </w:p>
    <w:p w14:paraId="0CE3330D" w14:textId="77777777" w:rsidR="00EB053F" w:rsidRDefault="00EB053F">
      <w:pPr>
        <w:pStyle w:val="FootnoteText"/>
        <w:rPr>
          <w:sz w:val="26"/>
          <w:szCs w:val="26"/>
        </w:rPr>
      </w:pPr>
    </w:p>
  </w:footnote>
  <w:footnote w:id="11">
    <w:p w14:paraId="032A3273" w14:textId="77777777" w:rsidR="00EB053F" w:rsidRDefault="00F63BA0">
      <w:pPr>
        <w:pStyle w:val="FootnoteText"/>
        <w:rPr>
          <w:sz w:val="26"/>
          <w:szCs w:val="26"/>
        </w:rPr>
      </w:pPr>
      <w:r>
        <w:rPr>
          <w:rStyle w:val="FootnoteReference"/>
          <w:sz w:val="26"/>
          <w:szCs w:val="26"/>
          <w:vertAlign w:val="superscript"/>
        </w:rPr>
        <w:footnoteRef/>
      </w:r>
      <w:r>
        <w:rPr>
          <w:sz w:val="26"/>
          <w:szCs w:val="26"/>
        </w:rPr>
        <w:t xml:space="preserve"> </w:t>
      </w:r>
      <w:r>
        <w:rPr>
          <w:i/>
          <w:sz w:val="26"/>
          <w:szCs w:val="26"/>
        </w:rPr>
        <w:t>Electronic Filing of Documents</w:t>
      </w:r>
      <w:r>
        <w:rPr>
          <w:sz w:val="26"/>
          <w:szCs w:val="26"/>
        </w:rPr>
        <w:t>, Order No. 619, 65 FR 57088 (Sept. 21, 2000), FERC Stats. &amp; Regs. ¶ 31,107 (2000).</w:t>
      </w:r>
    </w:p>
  </w:footnote>
  <w:footnote w:id="12">
    <w:p w14:paraId="04DE0626" w14:textId="77777777" w:rsidR="00EB053F" w:rsidRDefault="00F63BA0">
      <w:pPr>
        <w:pStyle w:val="FootnoteText"/>
        <w:rPr>
          <w:sz w:val="26"/>
          <w:szCs w:val="26"/>
        </w:rPr>
      </w:pPr>
      <w:r>
        <w:rPr>
          <w:rStyle w:val="FootnoteReference"/>
          <w:sz w:val="26"/>
          <w:szCs w:val="26"/>
          <w:vertAlign w:val="superscript"/>
        </w:rPr>
        <w:footnoteRef/>
      </w:r>
      <w:r>
        <w:rPr>
          <w:sz w:val="26"/>
          <w:szCs w:val="26"/>
          <w:vertAlign w:val="superscript"/>
        </w:rPr>
        <w:t xml:space="preserve"> </w:t>
      </w:r>
      <w:r>
        <w:rPr>
          <w:sz w:val="26"/>
          <w:szCs w:val="26"/>
        </w:rPr>
        <w:t>The frequently asked questions are posted at</w:t>
      </w:r>
      <w:r>
        <w:rPr>
          <w:rStyle w:val="Hyperlink"/>
          <w:sz w:val="26"/>
          <w:szCs w:val="26"/>
        </w:rPr>
        <w:t xml:space="preserve"> https://www.ferc.gov/about/what-ferc/frequently-asked-questions-faqs/qualifying-facilities-qf-faq</w:t>
      </w:r>
      <w:r>
        <w:rPr>
          <w:sz w:val="26"/>
          <w:szCs w:val="26"/>
        </w:rPr>
        <w:t xml:space="preserve">. </w:t>
      </w:r>
    </w:p>
  </w:footnote>
  <w:footnote w:id="13">
    <w:p w14:paraId="4AAF6467" w14:textId="77777777" w:rsidR="00BF538B" w:rsidRDefault="00F63BA0">
      <w:pPr>
        <w:pStyle w:val="FootnoteText"/>
        <w:rPr>
          <w:sz w:val="26"/>
          <w:szCs w:val="26"/>
        </w:rPr>
      </w:pPr>
      <w:r>
        <w:rPr>
          <w:rStyle w:val="FootnoteReference"/>
          <w:sz w:val="26"/>
          <w:szCs w:val="26"/>
          <w:vertAlign w:val="superscript"/>
        </w:rPr>
        <w:footnoteRef/>
      </w:r>
      <w:r>
        <w:rPr>
          <w:sz w:val="26"/>
          <w:szCs w:val="26"/>
        </w:rPr>
        <w:t xml:space="preserve"> Southeast Public Interest Organizations Comments at 29; SC Solar Alliance Comments at 18.</w:t>
      </w:r>
    </w:p>
    <w:p w14:paraId="549EA544" w14:textId="77777777" w:rsidR="00EB053F" w:rsidRDefault="00EB053F">
      <w:pPr>
        <w:pStyle w:val="FootnoteText"/>
        <w:rPr>
          <w:sz w:val="26"/>
          <w:szCs w:val="26"/>
        </w:rPr>
      </w:pPr>
    </w:p>
  </w:footnote>
  <w:footnote w:id="14">
    <w:p w14:paraId="6536FAC8" w14:textId="77777777" w:rsidR="00EB053F" w:rsidRDefault="00F63BA0" w:rsidP="006E33A1">
      <w:pPr>
        <w:pStyle w:val="FootnoteText"/>
        <w:spacing w:after="240"/>
        <w:rPr>
          <w:sz w:val="26"/>
          <w:szCs w:val="26"/>
        </w:rPr>
      </w:pPr>
      <w:r>
        <w:rPr>
          <w:rStyle w:val="FootnoteReference"/>
          <w:sz w:val="26"/>
          <w:szCs w:val="26"/>
          <w:vertAlign w:val="superscript"/>
        </w:rPr>
        <w:footnoteRef/>
      </w:r>
      <w:r>
        <w:rPr>
          <w:sz w:val="26"/>
          <w:szCs w:val="26"/>
        </w:rPr>
        <w:t xml:space="preserve"> Solar Energy Industries at 57.</w:t>
      </w:r>
    </w:p>
  </w:footnote>
  <w:footnote w:id="15">
    <w:p w14:paraId="1B7DF868" w14:textId="77777777" w:rsidR="00BF538B" w:rsidRDefault="00F63BA0">
      <w:pPr>
        <w:pStyle w:val="FootnoteText"/>
        <w:rPr>
          <w:sz w:val="26"/>
          <w:szCs w:val="26"/>
        </w:rPr>
      </w:pPr>
      <w:r>
        <w:rPr>
          <w:rStyle w:val="FootnoteReference"/>
          <w:sz w:val="26"/>
          <w:szCs w:val="26"/>
          <w:vertAlign w:val="superscript"/>
        </w:rPr>
        <w:footnoteRef/>
      </w:r>
      <w:r>
        <w:rPr>
          <w:sz w:val="26"/>
          <w:szCs w:val="26"/>
        </w:rPr>
        <w:t xml:space="preserve"> Con Edison Comments at 5; ENGIE Comments at 4; Public Interest Organizations Comments at 97; Solar Energy Industries Comments at 58.</w:t>
      </w:r>
    </w:p>
    <w:p w14:paraId="093FBA74" w14:textId="77777777" w:rsidR="00EB053F" w:rsidRDefault="00EB053F">
      <w:pPr>
        <w:pStyle w:val="FootnoteText"/>
        <w:rPr>
          <w:sz w:val="26"/>
          <w:szCs w:val="26"/>
        </w:rPr>
      </w:pPr>
    </w:p>
  </w:footnote>
  <w:footnote w:id="16">
    <w:p w14:paraId="5DF1ACC5" w14:textId="77777777" w:rsidR="00BF538B" w:rsidRDefault="00F63BA0">
      <w:pPr>
        <w:pStyle w:val="FootnoteText"/>
        <w:rPr>
          <w:sz w:val="26"/>
          <w:szCs w:val="26"/>
        </w:rPr>
      </w:pPr>
      <w:r>
        <w:rPr>
          <w:rStyle w:val="FootnoteReference"/>
          <w:sz w:val="26"/>
          <w:szCs w:val="26"/>
          <w:vertAlign w:val="superscript"/>
        </w:rPr>
        <w:footnoteRef/>
      </w:r>
      <w:r>
        <w:rPr>
          <w:sz w:val="26"/>
          <w:szCs w:val="26"/>
        </w:rPr>
        <w:t xml:space="preserve"> Ares Comments at 6; Borrego Solar Comments at 4; Con Edison Comments at 5; Public Interest Organizations Comments at 97-98; Solar Energy Industries Comments at 51-52, 54, 57-58; SC Solar Alliance Comments at 15-18; Southeast Public Interest Organizations Comments at 29, 35; </w:t>
      </w:r>
      <w:proofErr w:type="spellStart"/>
      <w:r>
        <w:rPr>
          <w:sz w:val="26"/>
          <w:szCs w:val="26"/>
        </w:rPr>
        <w:t>sPower</w:t>
      </w:r>
      <w:proofErr w:type="spellEnd"/>
      <w:r>
        <w:rPr>
          <w:sz w:val="26"/>
          <w:szCs w:val="26"/>
        </w:rPr>
        <w:t xml:space="preserve"> Comments at 14.</w:t>
      </w:r>
    </w:p>
    <w:p w14:paraId="6CE0A7EA" w14:textId="77777777" w:rsidR="00EB053F" w:rsidRDefault="00EB053F">
      <w:pPr>
        <w:pStyle w:val="FootnoteText"/>
        <w:rPr>
          <w:sz w:val="26"/>
          <w:szCs w:val="26"/>
        </w:rPr>
      </w:pPr>
    </w:p>
  </w:footnote>
  <w:footnote w:id="17">
    <w:p w14:paraId="3D8622CB" w14:textId="77777777" w:rsidR="00BF538B" w:rsidRDefault="00F63BA0">
      <w:pPr>
        <w:pStyle w:val="FootnoteText"/>
        <w:rPr>
          <w:sz w:val="26"/>
          <w:szCs w:val="26"/>
        </w:rPr>
      </w:pPr>
      <w:r>
        <w:rPr>
          <w:rStyle w:val="FootnoteReference"/>
          <w:sz w:val="26"/>
          <w:szCs w:val="26"/>
          <w:vertAlign w:val="superscript"/>
        </w:rPr>
        <w:footnoteRef/>
      </w:r>
      <w:r>
        <w:rPr>
          <w:sz w:val="26"/>
          <w:szCs w:val="26"/>
        </w:rPr>
        <w:t xml:space="preserve"> Indiana Municipal Comments at 10; NRECA Comments at 21-22; Portland General Comments at 21-22.</w:t>
      </w:r>
    </w:p>
    <w:p w14:paraId="0196A98F" w14:textId="77777777" w:rsidR="00EB053F" w:rsidRDefault="00EB053F">
      <w:pPr>
        <w:pStyle w:val="FootnoteText"/>
        <w:rPr>
          <w:sz w:val="26"/>
          <w:szCs w:val="26"/>
        </w:rPr>
      </w:pPr>
    </w:p>
  </w:footnote>
  <w:footnote w:id="18">
    <w:p w14:paraId="6F08BEA1" w14:textId="77777777" w:rsidR="00BF538B" w:rsidRDefault="00F63BA0">
      <w:pPr>
        <w:pStyle w:val="FootnoteText"/>
        <w:rPr>
          <w:sz w:val="26"/>
          <w:szCs w:val="26"/>
        </w:rPr>
      </w:pPr>
      <w:r>
        <w:rPr>
          <w:rStyle w:val="FootnoteReference"/>
          <w:sz w:val="26"/>
          <w:szCs w:val="26"/>
          <w:vertAlign w:val="superscript"/>
        </w:rPr>
        <w:footnoteRef/>
      </w:r>
      <w:r>
        <w:rPr>
          <w:sz w:val="26"/>
          <w:szCs w:val="26"/>
        </w:rPr>
        <w:t xml:space="preserve"> Solar Energy Industries Comments at 52.</w:t>
      </w:r>
    </w:p>
    <w:p w14:paraId="0BF375A5" w14:textId="77777777" w:rsidR="00EB053F" w:rsidRDefault="00EB053F">
      <w:pPr>
        <w:pStyle w:val="FootnoteText"/>
        <w:rPr>
          <w:sz w:val="26"/>
          <w:szCs w:val="26"/>
        </w:rPr>
      </w:pPr>
    </w:p>
  </w:footnote>
  <w:footnote w:id="19">
    <w:p w14:paraId="5C5EA46D" w14:textId="77777777" w:rsidR="00BF538B" w:rsidRDefault="00BF538B" w:rsidP="00AE4ECB">
      <w:pPr>
        <w:pStyle w:val="FootnoteText"/>
        <w:rPr>
          <w:sz w:val="26"/>
          <w:szCs w:val="26"/>
        </w:rPr>
      </w:pPr>
      <w:r w:rsidRPr="00CE3384">
        <w:rPr>
          <w:rStyle w:val="FootnoteReference"/>
          <w:sz w:val="26"/>
          <w:szCs w:val="26"/>
          <w:vertAlign w:val="superscript"/>
        </w:rPr>
        <w:footnoteRef/>
      </w:r>
      <w:r w:rsidRPr="009B25B3">
        <w:rPr>
          <w:sz w:val="26"/>
          <w:szCs w:val="26"/>
        </w:rPr>
        <w:t xml:space="preserve"> </w:t>
      </w:r>
      <w:r w:rsidRPr="009B25B3">
        <w:rPr>
          <w:i/>
          <w:iCs/>
          <w:sz w:val="26"/>
          <w:szCs w:val="26"/>
        </w:rPr>
        <w:t>Id</w:t>
      </w:r>
      <w:r w:rsidRPr="009B25B3">
        <w:rPr>
          <w:sz w:val="26"/>
          <w:szCs w:val="26"/>
        </w:rPr>
        <w:t>. at 57.</w:t>
      </w:r>
    </w:p>
    <w:p w14:paraId="35D6DF03" w14:textId="77777777" w:rsidR="00BF538B" w:rsidRPr="009B25B3" w:rsidRDefault="00BF538B" w:rsidP="00AE4ECB">
      <w:pPr>
        <w:pStyle w:val="FootnoteText"/>
        <w:rPr>
          <w:sz w:val="26"/>
          <w:szCs w:val="26"/>
        </w:rPr>
      </w:pPr>
    </w:p>
  </w:footnote>
  <w:footnote w:id="20">
    <w:p w14:paraId="6D2CE98D" w14:textId="77777777" w:rsidR="00BF538B" w:rsidRDefault="00F63BA0">
      <w:pPr>
        <w:pStyle w:val="FootnoteText"/>
        <w:rPr>
          <w:i/>
          <w:sz w:val="26"/>
          <w:szCs w:val="26"/>
        </w:rPr>
      </w:pPr>
      <w:r>
        <w:rPr>
          <w:rStyle w:val="FootnoteReference"/>
          <w:sz w:val="26"/>
          <w:szCs w:val="26"/>
          <w:vertAlign w:val="superscript"/>
        </w:rPr>
        <w:footnoteRef/>
      </w:r>
      <w:r>
        <w:rPr>
          <w:sz w:val="26"/>
          <w:szCs w:val="26"/>
        </w:rPr>
        <w:t xml:space="preserve"> </w:t>
      </w:r>
      <w:r>
        <w:rPr>
          <w:i/>
          <w:sz w:val="26"/>
          <w:szCs w:val="26"/>
        </w:rPr>
        <w:t>Id.</w:t>
      </w:r>
    </w:p>
    <w:p w14:paraId="15F4F23E" w14:textId="77777777" w:rsidR="00EB053F" w:rsidRDefault="00EB053F">
      <w:pPr>
        <w:pStyle w:val="FootnoteText"/>
        <w:rPr>
          <w:sz w:val="26"/>
          <w:szCs w:val="26"/>
        </w:rPr>
      </w:pPr>
    </w:p>
  </w:footnote>
  <w:footnote w:id="21">
    <w:p w14:paraId="1AE8B9CF" w14:textId="77777777" w:rsidR="00BF538B" w:rsidRDefault="00F63BA0">
      <w:pPr>
        <w:pStyle w:val="FootnoteText"/>
        <w:rPr>
          <w:sz w:val="26"/>
          <w:szCs w:val="26"/>
        </w:rPr>
      </w:pPr>
      <w:r>
        <w:rPr>
          <w:rStyle w:val="FootnoteReference"/>
          <w:sz w:val="26"/>
          <w:szCs w:val="26"/>
          <w:vertAlign w:val="superscript"/>
        </w:rPr>
        <w:footnoteRef/>
      </w:r>
      <w:r>
        <w:rPr>
          <w:sz w:val="26"/>
          <w:szCs w:val="26"/>
        </w:rPr>
        <w:t xml:space="preserve"> </w:t>
      </w:r>
      <w:r>
        <w:rPr>
          <w:i/>
          <w:iCs/>
          <w:sz w:val="26"/>
          <w:szCs w:val="26"/>
        </w:rPr>
        <w:t>Id.</w:t>
      </w:r>
      <w:r>
        <w:rPr>
          <w:sz w:val="26"/>
          <w:szCs w:val="26"/>
        </w:rPr>
        <w:t xml:space="preserve"> at 58.</w:t>
      </w:r>
    </w:p>
    <w:p w14:paraId="70FDF572" w14:textId="77777777" w:rsidR="00EB053F" w:rsidRDefault="00EB053F">
      <w:pPr>
        <w:pStyle w:val="FootnoteText"/>
        <w:rPr>
          <w:sz w:val="26"/>
          <w:szCs w:val="26"/>
        </w:rPr>
      </w:pPr>
    </w:p>
  </w:footnote>
  <w:footnote w:id="22">
    <w:p w14:paraId="05B564CD" w14:textId="77777777" w:rsidR="00BF538B" w:rsidRDefault="00F63BA0">
      <w:pPr>
        <w:pStyle w:val="FootnoteText"/>
        <w:rPr>
          <w:sz w:val="26"/>
          <w:szCs w:val="26"/>
        </w:rPr>
      </w:pPr>
      <w:r>
        <w:rPr>
          <w:rStyle w:val="FootnoteReference"/>
          <w:sz w:val="26"/>
          <w:szCs w:val="26"/>
          <w:vertAlign w:val="superscript"/>
        </w:rPr>
        <w:footnoteRef/>
      </w:r>
      <w:r>
        <w:rPr>
          <w:sz w:val="26"/>
          <w:szCs w:val="26"/>
        </w:rPr>
        <w:t xml:space="preserve"> </w:t>
      </w:r>
      <w:r>
        <w:rPr>
          <w:i/>
          <w:sz w:val="26"/>
          <w:szCs w:val="26"/>
        </w:rPr>
        <w:t>Id.</w:t>
      </w:r>
      <w:r>
        <w:rPr>
          <w:sz w:val="26"/>
          <w:szCs w:val="26"/>
        </w:rPr>
        <w:t xml:space="preserve"> at 53-54.</w:t>
      </w:r>
    </w:p>
    <w:p w14:paraId="59BE1275" w14:textId="77777777" w:rsidR="00EB053F" w:rsidRDefault="00EB053F">
      <w:pPr>
        <w:pStyle w:val="FootnoteText"/>
        <w:rPr>
          <w:sz w:val="26"/>
          <w:szCs w:val="26"/>
        </w:rPr>
      </w:pPr>
    </w:p>
  </w:footnote>
  <w:footnote w:id="23">
    <w:p w14:paraId="5903E6AD" w14:textId="281FB5C8" w:rsidR="00BF538B" w:rsidRDefault="00F63BA0">
      <w:pPr>
        <w:pStyle w:val="FootnoteText"/>
        <w:rPr>
          <w:sz w:val="26"/>
          <w:szCs w:val="26"/>
        </w:rPr>
      </w:pPr>
      <w:r>
        <w:rPr>
          <w:rStyle w:val="FootnoteReference"/>
          <w:sz w:val="26"/>
          <w:szCs w:val="26"/>
          <w:vertAlign w:val="superscript"/>
        </w:rPr>
        <w:footnoteRef/>
      </w:r>
      <w:r>
        <w:rPr>
          <w:sz w:val="26"/>
          <w:szCs w:val="26"/>
        </w:rPr>
        <w:t xml:space="preserve"> As noted in </w:t>
      </w:r>
      <w:r w:rsidR="00BF538B">
        <w:rPr>
          <w:sz w:val="26"/>
          <w:szCs w:val="26"/>
        </w:rPr>
        <w:t>Order No. 872</w:t>
      </w:r>
      <w:r>
        <w:rPr>
          <w:sz w:val="26"/>
          <w:szCs w:val="26"/>
        </w:rPr>
        <w:t xml:space="preserve">, our allowing protests does not eliminate the ability to file a petition for declaratory order seeking revocation of QF status. </w:t>
      </w:r>
    </w:p>
    <w:p w14:paraId="6BD6F448" w14:textId="3EAEF543" w:rsidR="00EB053F" w:rsidRDefault="00EB053F">
      <w:pPr>
        <w:pStyle w:val="FootnoteText"/>
        <w:rPr>
          <w:sz w:val="26"/>
          <w:szCs w:val="26"/>
        </w:rPr>
      </w:pPr>
    </w:p>
  </w:footnote>
  <w:footnote w:id="24">
    <w:p w14:paraId="61DEE2C8" w14:textId="77777777" w:rsidR="00BF538B" w:rsidRDefault="00F63BA0">
      <w:pPr>
        <w:pStyle w:val="FootnoteText"/>
        <w:rPr>
          <w:sz w:val="26"/>
          <w:szCs w:val="26"/>
        </w:rPr>
      </w:pPr>
      <w:r>
        <w:rPr>
          <w:rStyle w:val="FootnoteReference"/>
          <w:sz w:val="26"/>
          <w:szCs w:val="26"/>
          <w:vertAlign w:val="superscript"/>
        </w:rPr>
        <w:footnoteRef/>
      </w:r>
      <w:r>
        <w:rPr>
          <w:sz w:val="26"/>
          <w:szCs w:val="26"/>
        </w:rPr>
        <w:t xml:space="preserve"> 18 C.F.R. § 292.207(d), which this final rule will renumber to 18 C.F.R. § 292.207(f).</w:t>
      </w:r>
    </w:p>
    <w:p w14:paraId="30666FEF" w14:textId="77777777" w:rsidR="00EB053F" w:rsidRDefault="00EB053F">
      <w:pPr>
        <w:pStyle w:val="FootnoteText"/>
        <w:rPr>
          <w:sz w:val="26"/>
          <w:szCs w:val="26"/>
        </w:rPr>
      </w:pPr>
    </w:p>
  </w:footnote>
  <w:footnote w:id="25">
    <w:p w14:paraId="22924E9F" w14:textId="77777777" w:rsidR="00BF538B" w:rsidRDefault="00F63BA0">
      <w:pPr>
        <w:pStyle w:val="FootnoteText"/>
        <w:rPr>
          <w:sz w:val="26"/>
          <w:szCs w:val="26"/>
        </w:rPr>
      </w:pPr>
      <w:r>
        <w:rPr>
          <w:rStyle w:val="FootnoteReference"/>
          <w:sz w:val="26"/>
          <w:szCs w:val="26"/>
          <w:vertAlign w:val="superscript"/>
        </w:rPr>
        <w:footnoteRef/>
      </w:r>
      <w:r>
        <w:rPr>
          <w:sz w:val="26"/>
          <w:szCs w:val="26"/>
        </w:rPr>
        <w:t xml:space="preserve"> While the Commission anticipates that most protests will involve interested persons or entities attempting to rebut the presumption of separate sites for affiliated small power production QFs that are more than one and less than 10 miles apart, we note that protesters may also protest any fact or representation in the Form No. 556, or other aspect of a QF’s filing they believe is inconsistent with PURPA or our PURPA Regulations.</w:t>
      </w:r>
    </w:p>
    <w:p w14:paraId="64E0EE60" w14:textId="77777777" w:rsidR="00EB053F" w:rsidRDefault="00EB053F">
      <w:pPr>
        <w:pStyle w:val="FootnoteText"/>
        <w:rPr>
          <w:sz w:val="26"/>
          <w:szCs w:val="26"/>
        </w:rPr>
      </w:pPr>
    </w:p>
  </w:footnote>
  <w:footnote w:id="26">
    <w:p w14:paraId="336AC848" w14:textId="77777777" w:rsidR="00BF538B" w:rsidRDefault="00F63BA0">
      <w:pPr>
        <w:pStyle w:val="FootnoteText"/>
        <w:rPr>
          <w:sz w:val="26"/>
          <w:szCs w:val="26"/>
        </w:rPr>
      </w:pPr>
      <w:r>
        <w:rPr>
          <w:rStyle w:val="FootnoteReference"/>
          <w:sz w:val="26"/>
          <w:szCs w:val="26"/>
          <w:vertAlign w:val="superscript"/>
        </w:rPr>
        <w:footnoteRef/>
      </w:r>
      <w:r>
        <w:rPr>
          <w:sz w:val="26"/>
          <w:szCs w:val="26"/>
        </w:rPr>
        <w:t xml:space="preserve"> The 80 MW limit and same site determination only apply to small power production facilities, not cogeneration facilities.  </w:t>
      </w:r>
      <w:r>
        <w:rPr>
          <w:i/>
          <w:sz w:val="26"/>
          <w:szCs w:val="26"/>
        </w:rPr>
        <w:t>See</w:t>
      </w:r>
      <w:r>
        <w:rPr>
          <w:sz w:val="26"/>
          <w:szCs w:val="26"/>
        </w:rPr>
        <w:t xml:space="preserve"> 16 U.S.C. § 796(17)(A).</w:t>
      </w:r>
    </w:p>
    <w:p w14:paraId="2425CED0" w14:textId="77777777" w:rsidR="00EB053F" w:rsidRDefault="00EB053F">
      <w:pPr>
        <w:pStyle w:val="FootnoteText"/>
        <w:rPr>
          <w:sz w:val="26"/>
          <w:szCs w:val="26"/>
        </w:rPr>
      </w:pPr>
    </w:p>
  </w:footnote>
  <w:footnote w:id="27">
    <w:p w14:paraId="64A54591" w14:textId="77777777" w:rsidR="00BF538B" w:rsidRDefault="00F63BA0">
      <w:pPr>
        <w:pStyle w:val="FootnoteText"/>
        <w:rPr>
          <w:sz w:val="26"/>
          <w:szCs w:val="26"/>
        </w:rPr>
      </w:pPr>
      <w:r>
        <w:rPr>
          <w:rStyle w:val="FootnoteReference"/>
          <w:sz w:val="26"/>
          <w:szCs w:val="26"/>
          <w:vertAlign w:val="superscript"/>
        </w:rPr>
        <w:footnoteRef/>
      </w:r>
      <w:r>
        <w:rPr>
          <w:sz w:val="26"/>
          <w:szCs w:val="26"/>
        </w:rPr>
        <w:t xml:space="preserve"> The Commission notes that section 292.207(c) of the PURPA Regulations requires the applicant to concurrently with its filing serve a copy of the filing on each applicable electric utility as well as the applicable State regulatory authority.  The Commission expects an applicant seeking QF status (or recertifying its status) to timely comply with that regulation.  Therefore, a utility should also receive the filing at the same time that the filing is made at the Commission.</w:t>
      </w:r>
    </w:p>
    <w:p w14:paraId="597BD7A7" w14:textId="77777777" w:rsidR="00EB053F" w:rsidRDefault="00EB053F">
      <w:pPr>
        <w:pStyle w:val="FootnoteText"/>
        <w:rPr>
          <w:sz w:val="26"/>
          <w:szCs w:val="26"/>
        </w:rPr>
      </w:pPr>
    </w:p>
  </w:footnote>
  <w:footnote w:id="28">
    <w:p w14:paraId="6EE5100A" w14:textId="476933CF" w:rsidR="00BF538B" w:rsidRDefault="00F63BA0">
      <w:pPr>
        <w:pStyle w:val="FootnoteText"/>
        <w:rPr>
          <w:sz w:val="26"/>
          <w:szCs w:val="26"/>
        </w:rPr>
      </w:pPr>
      <w:r>
        <w:rPr>
          <w:rStyle w:val="FootnoteReference"/>
          <w:sz w:val="26"/>
          <w:szCs w:val="26"/>
          <w:vertAlign w:val="superscript"/>
        </w:rPr>
        <w:footnoteRef/>
      </w:r>
      <w:r>
        <w:rPr>
          <w:sz w:val="26"/>
          <w:szCs w:val="26"/>
        </w:rPr>
        <w:t xml:space="preserve"> The regulations adopted in </w:t>
      </w:r>
      <w:r w:rsidR="00BF538B">
        <w:rPr>
          <w:sz w:val="26"/>
          <w:szCs w:val="26"/>
        </w:rPr>
        <w:t>Order No. 872</w:t>
      </w:r>
      <w:r>
        <w:rPr>
          <w:sz w:val="26"/>
          <w:szCs w:val="26"/>
        </w:rPr>
        <w:t xml:space="preserve"> explicitly make self-certifications and self-recertifications effective upon filing and allow them to remain effective even if challenged until such time as the Commission finds that a facility does not qualify to be a QF.  Additionally, entities seeking QF status can file self-certifications years in advance of facility operation, such that the few months contemplated by the new process should not cause delay.  Finally, with regard to the time it may take to fill in the Form No. 556, the Commission </w:t>
      </w:r>
      <w:r w:rsidR="00BF538B">
        <w:rPr>
          <w:sz w:val="26"/>
          <w:szCs w:val="26"/>
        </w:rPr>
        <w:t>noted</w:t>
      </w:r>
      <w:r>
        <w:rPr>
          <w:sz w:val="26"/>
          <w:szCs w:val="26"/>
        </w:rPr>
        <w:t xml:space="preserve"> that while an entity seeking QF status </w:t>
      </w:r>
      <w:r>
        <w:rPr>
          <w:i/>
          <w:iCs/>
          <w:sz w:val="26"/>
          <w:szCs w:val="26"/>
        </w:rPr>
        <w:t>may choose</w:t>
      </w:r>
      <w:r>
        <w:rPr>
          <w:sz w:val="26"/>
          <w:szCs w:val="26"/>
        </w:rPr>
        <w:t xml:space="preserve"> to preemptively defend against claims that it should be considered to be at the same site as affiliated small power production QFs located more than one but less than 10 miles from it, this is optional, not required.</w:t>
      </w:r>
    </w:p>
    <w:p w14:paraId="7F0D168D" w14:textId="0BD469A2" w:rsidR="00EB053F" w:rsidRDefault="00EB053F">
      <w:pPr>
        <w:pStyle w:val="FootnoteText"/>
        <w:rPr>
          <w:sz w:val="26"/>
          <w:szCs w:val="26"/>
        </w:rPr>
      </w:pPr>
    </w:p>
  </w:footnote>
  <w:footnote w:id="29">
    <w:p w14:paraId="58C36E0C" w14:textId="77777777" w:rsidR="00BF538B" w:rsidRPr="00D058E8" w:rsidRDefault="00BF538B" w:rsidP="00CB2468">
      <w:pPr>
        <w:pStyle w:val="FootnoteText"/>
        <w:spacing w:after="240"/>
        <w:rPr>
          <w:sz w:val="26"/>
          <w:szCs w:val="26"/>
        </w:rPr>
      </w:pPr>
      <w:r w:rsidRPr="00CE3384">
        <w:rPr>
          <w:rStyle w:val="FootnoteReference"/>
          <w:sz w:val="26"/>
          <w:szCs w:val="26"/>
          <w:vertAlign w:val="superscript"/>
        </w:rPr>
        <w:footnoteRef/>
      </w:r>
      <w:r w:rsidRPr="00D058E8">
        <w:rPr>
          <w:sz w:val="26"/>
          <w:szCs w:val="26"/>
        </w:rPr>
        <w:t xml:space="preserve"> The Commission provides below a further response to this argument.</w:t>
      </w:r>
    </w:p>
  </w:footnote>
  <w:footnote w:id="30">
    <w:p w14:paraId="2CFD2F98" w14:textId="77777777" w:rsidR="00BF538B" w:rsidRDefault="00F63BA0">
      <w:pPr>
        <w:pStyle w:val="FootnoteText"/>
        <w:rPr>
          <w:sz w:val="26"/>
          <w:szCs w:val="26"/>
        </w:rPr>
      </w:pPr>
      <w:r>
        <w:rPr>
          <w:rStyle w:val="FootnoteReference"/>
          <w:sz w:val="26"/>
          <w:szCs w:val="26"/>
          <w:vertAlign w:val="superscript"/>
        </w:rPr>
        <w:footnoteRef/>
      </w:r>
      <w:r>
        <w:rPr>
          <w:sz w:val="26"/>
          <w:szCs w:val="26"/>
        </w:rPr>
        <w:t xml:space="preserve"> Solar Energy Industries Comments at 56; Southeast Public Interest Organizations Comments at 36-37.</w:t>
      </w:r>
    </w:p>
    <w:p w14:paraId="34272D36" w14:textId="77777777" w:rsidR="00EB053F" w:rsidRDefault="00EB053F">
      <w:pPr>
        <w:pStyle w:val="FootnoteText"/>
        <w:rPr>
          <w:sz w:val="26"/>
          <w:szCs w:val="26"/>
        </w:rPr>
      </w:pPr>
    </w:p>
  </w:footnote>
  <w:footnote w:id="31">
    <w:p w14:paraId="4B022974" w14:textId="77777777" w:rsidR="00BF538B" w:rsidRDefault="00F63BA0">
      <w:pPr>
        <w:pStyle w:val="FootnoteText"/>
        <w:rPr>
          <w:sz w:val="26"/>
          <w:szCs w:val="26"/>
        </w:rPr>
      </w:pPr>
      <w:r>
        <w:rPr>
          <w:rStyle w:val="FootnoteReference"/>
          <w:sz w:val="26"/>
          <w:szCs w:val="26"/>
          <w:vertAlign w:val="superscript"/>
        </w:rPr>
        <w:footnoteRef/>
      </w:r>
      <w:r>
        <w:rPr>
          <w:sz w:val="26"/>
          <w:szCs w:val="26"/>
        </w:rPr>
        <w:t xml:space="preserve"> Solar Energy Industries Comments at 56-57.</w:t>
      </w:r>
    </w:p>
    <w:p w14:paraId="5DFE528C" w14:textId="77777777" w:rsidR="00EB053F" w:rsidRDefault="00EB053F">
      <w:pPr>
        <w:pStyle w:val="FootnoteText"/>
        <w:rPr>
          <w:sz w:val="26"/>
          <w:szCs w:val="26"/>
        </w:rPr>
      </w:pPr>
    </w:p>
  </w:footnote>
  <w:footnote w:id="32">
    <w:p w14:paraId="00B1AE36" w14:textId="77777777" w:rsidR="00EB053F" w:rsidRDefault="00F63BA0">
      <w:pPr>
        <w:pStyle w:val="FootnoteText"/>
        <w:rPr>
          <w:sz w:val="26"/>
          <w:szCs w:val="26"/>
        </w:rPr>
      </w:pPr>
      <w:r>
        <w:rPr>
          <w:rStyle w:val="FootnoteReference"/>
          <w:sz w:val="26"/>
          <w:szCs w:val="26"/>
          <w:vertAlign w:val="superscript"/>
        </w:rPr>
        <w:footnoteRef/>
      </w:r>
      <w:r>
        <w:rPr>
          <w:sz w:val="26"/>
          <w:szCs w:val="26"/>
        </w:rPr>
        <w:t xml:space="preserve"> Southeast Public Interest Organizations Comments at 37-38.</w:t>
      </w:r>
    </w:p>
  </w:footnote>
  <w:footnote w:id="33">
    <w:p w14:paraId="4D4AD60A" w14:textId="77777777" w:rsidR="00BF538B" w:rsidRDefault="00F63BA0">
      <w:pPr>
        <w:pStyle w:val="FERCparanumber"/>
        <w:numPr>
          <w:ilvl w:val="0"/>
          <w:numId w:val="0"/>
        </w:numPr>
      </w:pPr>
      <w:r>
        <w:rPr>
          <w:rStyle w:val="FootnoteReference"/>
          <w:vertAlign w:val="superscript"/>
        </w:rPr>
        <w:footnoteRef/>
      </w:r>
      <w:r>
        <w:rPr>
          <w:vertAlign w:val="superscript"/>
        </w:rPr>
        <w:t xml:space="preserve"> </w:t>
      </w:r>
      <w:r>
        <w:t xml:space="preserve">Moreover, the data collection at issue in that proceeding does not eliminate the need for the Commission to collect the data required by the FERC Form No. 556 so that the Commission has the information it needs to determine whether a facility qualifies to be a QF consistent with the standards laid out in the statute.  In any event, we note that the Connected Entity rulemaking was about market-based rate sellers, not QFs, and it is likely that the Connected Entity rulemaking would not apply to many QFs in the first place since they often neither seek nor have the authority to sell at market-based rates.  </w:t>
      </w:r>
    </w:p>
    <w:p w14:paraId="3B750FEE" w14:textId="77777777" w:rsidR="00EB053F" w:rsidRDefault="00EB053F">
      <w:pPr>
        <w:pStyle w:val="FERCparanumber"/>
        <w:numPr>
          <w:ilvl w:val="0"/>
          <w:numId w:val="0"/>
        </w:numPr>
        <w:rPr>
          <w:szCs w:val="26"/>
        </w:rPr>
      </w:pPr>
    </w:p>
  </w:footnote>
  <w:footnote w:id="34">
    <w:p w14:paraId="73B6F7BC" w14:textId="29F563B8" w:rsidR="00BF538B" w:rsidRDefault="00F63BA0">
      <w:pPr>
        <w:pStyle w:val="FootnoteText"/>
        <w:rPr>
          <w:sz w:val="26"/>
          <w:szCs w:val="26"/>
        </w:rPr>
      </w:pPr>
      <w:r>
        <w:rPr>
          <w:rStyle w:val="FootnoteReference"/>
          <w:sz w:val="26"/>
          <w:szCs w:val="26"/>
          <w:vertAlign w:val="superscript"/>
        </w:rPr>
        <w:footnoteRef/>
      </w:r>
      <w:r>
        <w:rPr>
          <w:sz w:val="26"/>
          <w:szCs w:val="26"/>
          <w:vertAlign w:val="superscript"/>
        </w:rPr>
        <w:t xml:space="preserve"> </w:t>
      </w:r>
      <w:r>
        <w:rPr>
          <w:sz w:val="26"/>
          <w:szCs w:val="26"/>
        </w:rPr>
        <w:t xml:space="preserve">The Final Rule is posted in FERC’s eLibrary at </w:t>
      </w:r>
      <w:hyperlink r:id="rId4" w:history="1">
        <w:r>
          <w:rPr>
            <w:rStyle w:val="Hyperlink"/>
            <w:sz w:val="26"/>
            <w:szCs w:val="26"/>
          </w:rPr>
          <w:t>https://elibrary.ferc.gov/eLibrary/filedownload?fileid=15586408</w:t>
        </w:r>
      </w:hyperlink>
      <w:r>
        <w:rPr>
          <w:sz w:val="26"/>
          <w:szCs w:val="26"/>
        </w:rPr>
        <w:t>.</w:t>
      </w:r>
    </w:p>
    <w:p w14:paraId="14F0EDCA" w14:textId="77777777" w:rsidR="00EB053F" w:rsidRDefault="00EB053F">
      <w:pPr>
        <w:pStyle w:val="FootnoteText"/>
        <w:rPr>
          <w:sz w:val="26"/>
          <w:szCs w:val="26"/>
        </w:rPr>
      </w:pPr>
    </w:p>
  </w:footnote>
  <w:footnote w:id="35">
    <w:p w14:paraId="16BA14AF" w14:textId="77777777" w:rsidR="00BF538B" w:rsidRPr="00067038" w:rsidRDefault="00BF538B" w:rsidP="001961BA">
      <w:pPr>
        <w:pStyle w:val="FootnoteText"/>
        <w:spacing w:after="240"/>
        <w:rPr>
          <w:sz w:val="26"/>
          <w:szCs w:val="26"/>
        </w:rPr>
      </w:pPr>
      <w:r w:rsidRPr="00D058E8">
        <w:rPr>
          <w:rStyle w:val="FootnoteReference"/>
          <w:sz w:val="26"/>
          <w:szCs w:val="26"/>
          <w:vertAlign w:val="superscript"/>
        </w:rPr>
        <w:footnoteRef/>
      </w:r>
      <w:r w:rsidRPr="00145996">
        <w:rPr>
          <w:sz w:val="26"/>
          <w:szCs w:val="26"/>
        </w:rPr>
        <w:t xml:space="preserve"> </w:t>
      </w:r>
      <w:r>
        <w:rPr>
          <w:sz w:val="26"/>
          <w:szCs w:val="26"/>
        </w:rPr>
        <w:t>Solar Energy Industries Request for Rehearing and/or Clarification</w:t>
      </w:r>
      <w:r w:rsidRPr="00CE3384">
        <w:rPr>
          <w:rFonts w:eastAsiaTheme="minorHAnsi"/>
          <w:i/>
          <w:color w:val="333333"/>
          <w:sz w:val="26"/>
          <w:szCs w:val="26"/>
        </w:rPr>
        <w:t xml:space="preserve"> </w:t>
      </w:r>
      <w:r w:rsidRPr="00CE3384">
        <w:rPr>
          <w:sz w:val="26"/>
          <w:szCs w:val="26"/>
        </w:rPr>
        <w:t>at 34,</w:t>
      </w:r>
      <w:r>
        <w:rPr>
          <w:sz w:val="26"/>
          <w:szCs w:val="26"/>
        </w:rPr>
        <w:t xml:space="preserve"> </w:t>
      </w:r>
      <w:r w:rsidRPr="00067038">
        <w:rPr>
          <w:sz w:val="26"/>
          <w:szCs w:val="26"/>
        </w:rPr>
        <w:t>52.</w:t>
      </w:r>
    </w:p>
  </w:footnote>
  <w:footnote w:id="36">
    <w:p w14:paraId="7BB83013" w14:textId="77777777" w:rsidR="00BF538B" w:rsidRDefault="00BF538B" w:rsidP="00E872C0">
      <w:pPr>
        <w:pStyle w:val="FootnoteText"/>
        <w:rPr>
          <w:rFonts w:eastAsiaTheme="minorHAnsi"/>
          <w:i/>
          <w:iCs/>
          <w:color w:val="333333"/>
          <w:sz w:val="26"/>
          <w:szCs w:val="26"/>
        </w:rPr>
      </w:pPr>
      <w:r w:rsidRPr="00CB2468">
        <w:rPr>
          <w:rStyle w:val="FootnoteReference"/>
          <w:sz w:val="26"/>
          <w:szCs w:val="26"/>
          <w:vertAlign w:val="superscript"/>
        </w:rPr>
        <w:footnoteRef/>
      </w:r>
      <w:r w:rsidRPr="007B2FDD">
        <w:rPr>
          <w:sz w:val="26"/>
          <w:szCs w:val="26"/>
        </w:rPr>
        <w:t xml:space="preserve"> </w:t>
      </w:r>
      <w:r w:rsidRPr="007B2FDD">
        <w:rPr>
          <w:rFonts w:eastAsiaTheme="minorHAnsi"/>
          <w:i/>
          <w:iCs/>
          <w:color w:val="333333"/>
          <w:sz w:val="26"/>
          <w:szCs w:val="26"/>
        </w:rPr>
        <w:t>Id.</w:t>
      </w:r>
    </w:p>
    <w:p w14:paraId="64193313" w14:textId="77777777" w:rsidR="00BF538B" w:rsidRPr="007B2FDD" w:rsidRDefault="00BF538B" w:rsidP="00E872C0">
      <w:pPr>
        <w:pStyle w:val="FootnoteText"/>
        <w:rPr>
          <w:sz w:val="26"/>
          <w:szCs w:val="26"/>
        </w:rPr>
      </w:pPr>
    </w:p>
  </w:footnote>
  <w:footnote w:id="37">
    <w:p w14:paraId="35C94894" w14:textId="77777777" w:rsidR="00BF538B" w:rsidRDefault="00BF538B" w:rsidP="00E872C0">
      <w:pPr>
        <w:pStyle w:val="FootnoteText"/>
        <w:rPr>
          <w:sz w:val="26"/>
          <w:szCs w:val="26"/>
        </w:rPr>
      </w:pPr>
      <w:r w:rsidRPr="00580C5B">
        <w:rPr>
          <w:rStyle w:val="FootnoteReference"/>
          <w:sz w:val="26"/>
          <w:szCs w:val="26"/>
          <w:vertAlign w:val="superscript"/>
        </w:rPr>
        <w:footnoteRef/>
      </w:r>
      <w:r w:rsidRPr="00AF1402">
        <w:rPr>
          <w:sz w:val="26"/>
          <w:szCs w:val="26"/>
        </w:rPr>
        <w:t xml:space="preserve"> </w:t>
      </w:r>
      <w:r w:rsidRPr="00AF1402">
        <w:rPr>
          <w:rFonts w:eastAsiaTheme="minorHAnsi"/>
          <w:i/>
          <w:iCs/>
          <w:color w:val="333333"/>
          <w:sz w:val="26"/>
          <w:szCs w:val="26"/>
        </w:rPr>
        <w:t>Id.</w:t>
      </w:r>
      <w:r w:rsidRPr="00AF1402">
        <w:rPr>
          <w:rFonts w:eastAsiaTheme="minorHAnsi"/>
          <w:i/>
          <w:color w:val="333333"/>
          <w:sz w:val="26"/>
          <w:szCs w:val="26"/>
        </w:rPr>
        <w:t xml:space="preserve"> </w:t>
      </w:r>
      <w:r w:rsidRPr="00AF1402">
        <w:rPr>
          <w:sz w:val="26"/>
          <w:szCs w:val="26"/>
        </w:rPr>
        <w:t xml:space="preserve">(citing </w:t>
      </w:r>
      <w:r w:rsidRPr="00AF1402">
        <w:rPr>
          <w:color w:val="201F1E"/>
          <w:sz w:val="26"/>
          <w:szCs w:val="26"/>
          <w:shd w:val="clear" w:color="auto" w:fill="FFFFFF"/>
        </w:rPr>
        <w:t xml:space="preserve">Order No. 872, 172 FERC ¶ 61,041 at </w:t>
      </w:r>
      <w:r w:rsidRPr="00AF1402">
        <w:rPr>
          <w:sz w:val="26"/>
          <w:szCs w:val="26"/>
        </w:rPr>
        <w:t>PP 485, 539-42, 577-83).</w:t>
      </w:r>
    </w:p>
    <w:p w14:paraId="05F22618" w14:textId="77777777" w:rsidR="00BF538B" w:rsidRPr="00AF1402" w:rsidRDefault="00BF538B" w:rsidP="00E872C0">
      <w:pPr>
        <w:pStyle w:val="FootnoteText"/>
        <w:rPr>
          <w:sz w:val="26"/>
          <w:szCs w:val="26"/>
        </w:rPr>
      </w:pPr>
    </w:p>
  </w:footnote>
  <w:footnote w:id="38">
    <w:p w14:paraId="35AC0F68" w14:textId="77777777" w:rsidR="00BF538B" w:rsidRDefault="00BF538B" w:rsidP="00E872C0">
      <w:pPr>
        <w:pStyle w:val="FootnoteText"/>
        <w:rPr>
          <w:sz w:val="26"/>
          <w:szCs w:val="26"/>
        </w:rPr>
      </w:pPr>
      <w:r w:rsidRPr="00580C5B">
        <w:rPr>
          <w:rStyle w:val="FootnoteReference"/>
          <w:sz w:val="26"/>
          <w:szCs w:val="26"/>
          <w:vertAlign w:val="superscript"/>
        </w:rPr>
        <w:footnoteRef/>
      </w:r>
      <w:r w:rsidRPr="00145996">
        <w:rPr>
          <w:sz w:val="26"/>
          <w:szCs w:val="26"/>
        </w:rPr>
        <w:t xml:space="preserve"> </w:t>
      </w:r>
      <w:r w:rsidRPr="00145996">
        <w:rPr>
          <w:rFonts w:eastAsiaTheme="minorHAnsi"/>
          <w:i/>
          <w:iCs/>
          <w:color w:val="333333"/>
          <w:sz w:val="26"/>
          <w:szCs w:val="26"/>
        </w:rPr>
        <w:t>Id.</w:t>
      </w:r>
      <w:r w:rsidRPr="00145996">
        <w:rPr>
          <w:rFonts w:eastAsiaTheme="minorHAnsi"/>
          <w:i/>
          <w:color w:val="333333"/>
          <w:sz w:val="26"/>
          <w:szCs w:val="26"/>
        </w:rPr>
        <w:t xml:space="preserve"> </w:t>
      </w:r>
      <w:r w:rsidRPr="00145996">
        <w:rPr>
          <w:sz w:val="26"/>
          <w:szCs w:val="26"/>
        </w:rPr>
        <w:t xml:space="preserve">at 117 (citing </w:t>
      </w:r>
      <w:r w:rsidRPr="00145996">
        <w:rPr>
          <w:color w:val="201F1E"/>
          <w:sz w:val="26"/>
          <w:szCs w:val="26"/>
          <w:shd w:val="clear" w:color="auto" w:fill="FFFFFF"/>
        </w:rPr>
        <w:t xml:space="preserve">Order No. 872, 172 FERC ¶ 61,041 at </w:t>
      </w:r>
      <w:r w:rsidRPr="00145996">
        <w:rPr>
          <w:sz w:val="26"/>
          <w:szCs w:val="26"/>
        </w:rPr>
        <w:t>P 587).</w:t>
      </w:r>
    </w:p>
    <w:p w14:paraId="24D7D476" w14:textId="77777777" w:rsidR="00BF538B" w:rsidRPr="00145996" w:rsidRDefault="00BF538B" w:rsidP="00E872C0">
      <w:pPr>
        <w:pStyle w:val="FootnoteText"/>
        <w:rPr>
          <w:sz w:val="26"/>
          <w:szCs w:val="26"/>
        </w:rPr>
      </w:pPr>
    </w:p>
  </w:footnote>
  <w:footnote w:id="39">
    <w:p w14:paraId="06FE77E1" w14:textId="77777777" w:rsidR="00BF538B" w:rsidRDefault="00BF538B" w:rsidP="00E872C0">
      <w:pPr>
        <w:pStyle w:val="FootnoteText"/>
        <w:tabs>
          <w:tab w:val="left" w:pos="180"/>
        </w:tabs>
        <w:rPr>
          <w:sz w:val="26"/>
          <w:szCs w:val="26"/>
        </w:rPr>
      </w:pPr>
      <w:r w:rsidRPr="00AF1402">
        <w:rPr>
          <w:rStyle w:val="FootnoteReference"/>
          <w:sz w:val="26"/>
          <w:szCs w:val="26"/>
          <w:vertAlign w:val="superscript"/>
        </w:rPr>
        <w:footnoteRef/>
      </w:r>
      <w:r w:rsidRPr="00067038">
        <w:rPr>
          <w:sz w:val="26"/>
          <w:szCs w:val="26"/>
        </w:rPr>
        <w:t xml:space="preserve"> </w:t>
      </w:r>
      <w:r w:rsidRPr="00067038">
        <w:rPr>
          <w:rFonts w:eastAsiaTheme="minorHAnsi"/>
          <w:i/>
          <w:iCs/>
          <w:color w:val="333333"/>
          <w:sz w:val="26"/>
          <w:szCs w:val="26"/>
        </w:rPr>
        <w:t>Id.</w:t>
      </w:r>
      <w:r w:rsidRPr="00067038">
        <w:rPr>
          <w:rFonts w:eastAsiaTheme="minorHAnsi"/>
          <w:i/>
          <w:color w:val="333333"/>
          <w:sz w:val="26"/>
          <w:szCs w:val="26"/>
        </w:rPr>
        <w:t xml:space="preserve"> </w:t>
      </w:r>
      <w:r w:rsidRPr="00067038">
        <w:rPr>
          <w:sz w:val="26"/>
          <w:szCs w:val="26"/>
        </w:rPr>
        <w:t>at 129 (citing Solar Energy Industries Comments, Docket No. RM19-15-000, at 52 (Dec. 3, 2019)).</w:t>
      </w:r>
    </w:p>
    <w:p w14:paraId="6B49B160" w14:textId="77777777" w:rsidR="00BF538B" w:rsidRPr="00067038" w:rsidRDefault="00BF538B" w:rsidP="00E872C0">
      <w:pPr>
        <w:pStyle w:val="FootnoteText"/>
        <w:tabs>
          <w:tab w:val="left" w:pos="180"/>
        </w:tabs>
        <w:rPr>
          <w:sz w:val="26"/>
          <w:szCs w:val="26"/>
        </w:rPr>
      </w:pPr>
    </w:p>
  </w:footnote>
  <w:footnote w:id="40">
    <w:p w14:paraId="0526AA63" w14:textId="77777777" w:rsidR="00BF538B" w:rsidRDefault="00BF538B" w:rsidP="005F320E">
      <w:pPr>
        <w:pStyle w:val="FootnoteText"/>
        <w:rPr>
          <w:sz w:val="26"/>
          <w:szCs w:val="26"/>
        </w:rPr>
      </w:pPr>
      <w:r w:rsidRPr="007B2FDD">
        <w:rPr>
          <w:rStyle w:val="FootnoteReference"/>
          <w:sz w:val="26"/>
          <w:szCs w:val="26"/>
          <w:vertAlign w:val="superscript"/>
        </w:rPr>
        <w:footnoteRef/>
      </w:r>
      <w:r w:rsidRPr="00A703E6">
        <w:rPr>
          <w:sz w:val="26"/>
          <w:szCs w:val="26"/>
        </w:rPr>
        <w:t xml:space="preserve"> </w:t>
      </w:r>
      <w:r w:rsidRPr="00A703E6">
        <w:rPr>
          <w:i/>
          <w:iCs/>
          <w:sz w:val="26"/>
          <w:szCs w:val="26"/>
        </w:rPr>
        <w:t>Id</w:t>
      </w:r>
      <w:r w:rsidRPr="00A703E6">
        <w:rPr>
          <w:i/>
          <w:sz w:val="26"/>
          <w:szCs w:val="26"/>
        </w:rPr>
        <w:t>.</w:t>
      </w:r>
      <w:r w:rsidRPr="00A703E6">
        <w:rPr>
          <w:sz w:val="26"/>
          <w:szCs w:val="26"/>
        </w:rPr>
        <w:t xml:space="preserve"> at 129-30.</w:t>
      </w:r>
    </w:p>
    <w:p w14:paraId="37634AD8" w14:textId="77777777" w:rsidR="00BF538B" w:rsidRPr="00A703E6" w:rsidRDefault="00BF538B" w:rsidP="005F320E">
      <w:pPr>
        <w:pStyle w:val="FootnoteText"/>
        <w:rPr>
          <w:sz w:val="26"/>
          <w:szCs w:val="26"/>
        </w:rPr>
      </w:pPr>
    </w:p>
  </w:footnote>
  <w:footnote w:id="41">
    <w:p w14:paraId="773B00C1" w14:textId="77777777" w:rsidR="00BF538B" w:rsidRDefault="00BF538B" w:rsidP="00E872C0">
      <w:pPr>
        <w:pStyle w:val="FootnoteText"/>
        <w:rPr>
          <w:sz w:val="26"/>
          <w:szCs w:val="26"/>
        </w:rPr>
      </w:pPr>
      <w:r w:rsidRPr="00CE3384">
        <w:rPr>
          <w:rStyle w:val="FootnoteReference"/>
          <w:sz w:val="26"/>
          <w:szCs w:val="26"/>
          <w:vertAlign w:val="superscript"/>
        </w:rPr>
        <w:footnoteRef/>
      </w:r>
      <w:r w:rsidRPr="00D058E8">
        <w:rPr>
          <w:sz w:val="26"/>
          <w:szCs w:val="26"/>
        </w:rPr>
        <w:t xml:space="preserve"> </w:t>
      </w:r>
      <w:r w:rsidRPr="00D058E8">
        <w:rPr>
          <w:rFonts w:eastAsiaTheme="minorHAnsi"/>
          <w:i/>
          <w:iCs/>
          <w:color w:val="333333"/>
          <w:sz w:val="26"/>
          <w:szCs w:val="26"/>
        </w:rPr>
        <w:t>Id.</w:t>
      </w:r>
      <w:r w:rsidRPr="00D058E8">
        <w:rPr>
          <w:rFonts w:eastAsiaTheme="minorHAnsi"/>
          <w:i/>
          <w:color w:val="333333"/>
          <w:sz w:val="26"/>
          <w:szCs w:val="26"/>
        </w:rPr>
        <w:t xml:space="preserve"> </w:t>
      </w:r>
      <w:r w:rsidRPr="00D058E8">
        <w:rPr>
          <w:sz w:val="26"/>
          <w:szCs w:val="26"/>
        </w:rPr>
        <w:t>at 130-31 (citing Southeast Public Interest Organizations Comments, Docket No. RM19-15-000, at 31 (Dec. 3, 2019)).</w:t>
      </w:r>
    </w:p>
    <w:p w14:paraId="2D98E679" w14:textId="77777777" w:rsidR="00BF538B" w:rsidRPr="00D058E8" w:rsidRDefault="00BF538B" w:rsidP="00E872C0">
      <w:pPr>
        <w:pStyle w:val="FootnoteText"/>
        <w:rPr>
          <w:sz w:val="26"/>
          <w:szCs w:val="26"/>
        </w:rPr>
      </w:pPr>
      <w:r w:rsidRPr="00D058E8">
        <w:rPr>
          <w:sz w:val="26"/>
          <w:szCs w:val="26"/>
        </w:rPr>
        <w:t xml:space="preserve"> </w:t>
      </w:r>
    </w:p>
  </w:footnote>
  <w:footnote w:id="42">
    <w:p w14:paraId="5DCE7B42" w14:textId="77777777" w:rsidR="00BF538B" w:rsidRDefault="00BF538B" w:rsidP="00E872C0">
      <w:pPr>
        <w:pStyle w:val="FootnoteText"/>
        <w:rPr>
          <w:sz w:val="26"/>
          <w:szCs w:val="26"/>
        </w:rPr>
      </w:pPr>
      <w:r w:rsidRPr="00CE3384">
        <w:rPr>
          <w:rStyle w:val="FootnoteReference"/>
          <w:sz w:val="26"/>
          <w:szCs w:val="26"/>
          <w:vertAlign w:val="superscript"/>
        </w:rPr>
        <w:footnoteRef/>
      </w:r>
      <w:r w:rsidRPr="00067038">
        <w:rPr>
          <w:sz w:val="26"/>
          <w:szCs w:val="26"/>
        </w:rPr>
        <w:t xml:space="preserve"> </w:t>
      </w:r>
      <w:r w:rsidRPr="00067038">
        <w:rPr>
          <w:i/>
          <w:iCs/>
          <w:sz w:val="26"/>
          <w:szCs w:val="26"/>
        </w:rPr>
        <w:t>See Data Collection for Analytics and Surveillance and Market-Based Rate Purposes</w:t>
      </w:r>
      <w:r w:rsidRPr="00067038">
        <w:rPr>
          <w:sz w:val="26"/>
          <w:szCs w:val="26"/>
        </w:rPr>
        <w:t>, Order No. 860, 168 FERC ¶ 61,039 (2019) (adopting rules concerning data collection for public utilities with market-based rates).</w:t>
      </w:r>
    </w:p>
    <w:p w14:paraId="555B81DF" w14:textId="77777777" w:rsidR="00BF538B" w:rsidRPr="00067038" w:rsidRDefault="00BF538B" w:rsidP="00E872C0">
      <w:pPr>
        <w:pStyle w:val="FootnoteText"/>
        <w:rPr>
          <w:sz w:val="26"/>
          <w:szCs w:val="26"/>
        </w:rPr>
      </w:pPr>
    </w:p>
  </w:footnote>
  <w:footnote w:id="43">
    <w:p w14:paraId="32921B42" w14:textId="77777777" w:rsidR="00BF538B" w:rsidRDefault="00BF538B" w:rsidP="00E872C0">
      <w:pPr>
        <w:pStyle w:val="FootnoteText"/>
        <w:rPr>
          <w:sz w:val="26"/>
          <w:szCs w:val="26"/>
        </w:rPr>
      </w:pPr>
      <w:r w:rsidRPr="003F7947">
        <w:rPr>
          <w:rStyle w:val="FootnoteReference"/>
          <w:sz w:val="26"/>
          <w:szCs w:val="26"/>
          <w:vertAlign w:val="superscript"/>
        </w:rPr>
        <w:footnoteRef/>
      </w:r>
      <w:r w:rsidRPr="009F7403">
        <w:rPr>
          <w:sz w:val="26"/>
          <w:szCs w:val="26"/>
        </w:rPr>
        <w:t xml:space="preserve"> Solar Energy Industries Comments, Docket No. RM19-15-000, at 57-58 (Dec. 3, 2019). </w:t>
      </w:r>
    </w:p>
    <w:p w14:paraId="2A2C8540" w14:textId="77777777" w:rsidR="00BF538B" w:rsidRPr="009F7403" w:rsidRDefault="00BF538B" w:rsidP="00E872C0">
      <w:pPr>
        <w:pStyle w:val="FootnoteText"/>
        <w:rPr>
          <w:sz w:val="26"/>
          <w:szCs w:val="26"/>
        </w:rPr>
      </w:pPr>
    </w:p>
  </w:footnote>
  <w:footnote w:id="44">
    <w:p w14:paraId="0900ACAA" w14:textId="77777777" w:rsidR="00BF538B" w:rsidRDefault="00BF538B" w:rsidP="00E872C0">
      <w:pPr>
        <w:pStyle w:val="FootnoteText"/>
        <w:rPr>
          <w:sz w:val="26"/>
          <w:szCs w:val="26"/>
        </w:rPr>
      </w:pPr>
      <w:r w:rsidRPr="00580C5B">
        <w:rPr>
          <w:rStyle w:val="FootnoteReference"/>
          <w:sz w:val="26"/>
          <w:szCs w:val="26"/>
          <w:vertAlign w:val="superscript"/>
        </w:rPr>
        <w:footnoteRef/>
      </w:r>
      <w:r w:rsidRPr="00D058E8">
        <w:rPr>
          <w:sz w:val="26"/>
          <w:szCs w:val="26"/>
        </w:rPr>
        <w:t xml:space="preserve"> </w:t>
      </w:r>
      <w:r w:rsidRPr="00D058E8">
        <w:rPr>
          <w:i/>
          <w:iCs/>
          <w:sz w:val="26"/>
          <w:szCs w:val="26"/>
        </w:rPr>
        <w:t>See Data Collection for Analytics and Surveillance and Market-Based Rate Purposes</w:t>
      </w:r>
      <w:r w:rsidRPr="00D058E8">
        <w:rPr>
          <w:sz w:val="26"/>
          <w:szCs w:val="26"/>
        </w:rPr>
        <w:t>, Notice of Proposed Rulemaking, 156 FERC ¶ 61,045, at P 52 (2016).</w:t>
      </w:r>
    </w:p>
    <w:p w14:paraId="79ECA303" w14:textId="77777777" w:rsidR="00BF538B" w:rsidRPr="00D058E8" w:rsidRDefault="00BF538B" w:rsidP="00E872C0">
      <w:pPr>
        <w:pStyle w:val="FootnoteText"/>
        <w:rPr>
          <w:sz w:val="26"/>
          <w:szCs w:val="26"/>
        </w:rPr>
      </w:pPr>
    </w:p>
  </w:footnote>
  <w:footnote w:id="45">
    <w:p w14:paraId="06369F35" w14:textId="77777777" w:rsidR="00BF538B" w:rsidRPr="00D058E8" w:rsidRDefault="00BF538B" w:rsidP="001961BA">
      <w:pPr>
        <w:pStyle w:val="FootnoteText"/>
        <w:spacing w:after="240"/>
        <w:rPr>
          <w:sz w:val="26"/>
          <w:szCs w:val="26"/>
        </w:rPr>
      </w:pPr>
      <w:r w:rsidRPr="003F7947">
        <w:rPr>
          <w:rStyle w:val="FootnoteReference"/>
          <w:sz w:val="26"/>
          <w:szCs w:val="26"/>
          <w:vertAlign w:val="superscript"/>
        </w:rPr>
        <w:footnoteRef/>
      </w:r>
      <w:r w:rsidRPr="008C7DE0">
        <w:rPr>
          <w:sz w:val="26"/>
          <w:szCs w:val="26"/>
        </w:rPr>
        <w:t xml:space="preserve"> 18 C</w:t>
      </w:r>
      <w:r>
        <w:rPr>
          <w:sz w:val="26"/>
          <w:szCs w:val="26"/>
        </w:rPr>
        <w:t>.</w:t>
      </w:r>
      <w:r w:rsidRPr="00AF1402">
        <w:rPr>
          <w:sz w:val="26"/>
          <w:szCs w:val="26"/>
        </w:rPr>
        <w:t>F</w:t>
      </w:r>
      <w:r>
        <w:rPr>
          <w:sz w:val="26"/>
          <w:szCs w:val="26"/>
        </w:rPr>
        <w:t>.</w:t>
      </w:r>
      <w:r w:rsidRPr="00580C5B">
        <w:rPr>
          <w:sz w:val="26"/>
          <w:szCs w:val="26"/>
        </w:rPr>
        <w:t>R</w:t>
      </w:r>
      <w:r>
        <w:rPr>
          <w:sz w:val="26"/>
          <w:szCs w:val="26"/>
        </w:rPr>
        <w:t>.</w:t>
      </w:r>
      <w:r w:rsidRPr="005E2605">
        <w:rPr>
          <w:sz w:val="26"/>
          <w:szCs w:val="26"/>
        </w:rPr>
        <w:t xml:space="preserve"> </w:t>
      </w:r>
      <w:r>
        <w:rPr>
          <w:sz w:val="26"/>
          <w:szCs w:val="26"/>
        </w:rPr>
        <w:t xml:space="preserve">§ </w:t>
      </w:r>
      <w:r w:rsidRPr="00CE3384">
        <w:rPr>
          <w:sz w:val="26"/>
          <w:szCs w:val="26"/>
        </w:rPr>
        <w:t>292.207(d), which the final rule renumbered to 18 C</w:t>
      </w:r>
      <w:r>
        <w:rPr>
          <w:sz w:val="26"/>
          <w:szCs w:val="26"/>
        </w:rPr>
        <w:t>.</w:t>
      </w:r>
      <w:r w:rsidRPr="00067038">
        <w:rPr>
          <w:sz w:val="26"/>
          <w:szCs w:val="26"/>
        </w:rPr>
        <w:t>F</w:t>
      </w:r>
      <w:r>
        <w:rPr>
          <w:sz w:val="26"/>
          <w:szCs w:val="26"/>
        </w:rPr>
        <w:t>.</w:t>
      </w:r>
      <w:r w:rsidRPr="009F7403">
        <w:rPr>
          <w:sz w:val="26"/>
          <w:szCs w:val="26"/>
        </w:rPr>
        <w:t>R</w:t>
      </w:r>
      <w:r>
        <w:rPr>
          <w:sz w:val="26"/>
          <w:szCs w:val="26"/>
        </w:rPr>
        <w:t>. §</w:t>
      </w:r>
      <w:r w:rsidRPr="00D058E8">
        <w:rPr>
          <w:sz w:val="26"/>
          <w:szCs w:val="26"/>
        </w:rPr>
        <w:t xml:space="preserve"> 292.207(f).</w:t>
      </w:r>
    </w:p>
  </w:footnote>
  <w:footnote w:id="46">
    <w:p w14:paraId="78866421" w14:textId="77777777" w:rsidR="00BF538B" w:rsidRDefault="00BF538B">
      <w:pPr>
        <w:pStyle w:val="FootnoteText"/>
        <w:rPr>
          <w:sz w:val="26"/>
          <w:szCs w:val="26"/>
        </w:rPr>
      </w:pPr>
      <w:r w:rsidRPr="008C7DE0">
        <w:rPr>
          <w:rStyle w:val="FootnoteReference"/>
          <w:sz w:val="26"/>
          <w:szCs w:val="26"/>
          <w:vertAlign w:val="superscript"/>
        </w:rPr>
        <w:footnoteRef/>
      </w:r>
      <w:r w:rsidRPr="009F7403">
        <w:rPr>
          <w:sz w:val="26"/>
          <w:szCs w:val="26"/>
          <w:vertAlign w:val="superscript"/>
        </w:rPr>
        <w:t xml:space="preserve"> </w:t>
      </w:r>
      <w:r w:rsidRPr="00580C5B">
        <w:rPr>
          <w:sz w:val="26"/>
          <w:szCs w:val="26"/>
        </w:rPr>
        <w:t>Specifically, the new requirement is to list affiliated small power production QFs using the same energy resource whose nearest electrical generating equipment is less than 10 miles from the electrical generating equipment of the entity seeking small power production QF status, both on initial certification and recertification.</w:t>
      </w:r>
    </w:p>
    <w:p w14:paraId="56BC48D0" w14:textId="77777777" w:rsidR="00BF538B" w:rsidRPr="00580C5B" w:rsidRDefault="00BF538B">
      <w:pPr>
        <w:pStyle w:val="FootnoteText"/>
        <w:rPr>
          <w:sz w:val="26"/>
          <w:szCs w:val="26"/>
        </w:rPr>
      </w:pPr>
    </w:p>
  </w:footnote>
  <w:footnote w:id="47">
    <w:p w14:paraId="10423319" w14:textId="77777777" w:rsidR="00BF538B" w:rsidRPr="004063E7" w:rsidRDefault="00BF538B" w:rsidP="001961BA">
      <w:pPr>
        <w:pStyle w:val="FootnoteText"/>
        <w:spacing w:after="240"/>
        <w:rPr>
          <w:sz w:val="26"/>
          <w:szCs w:val="26"/>
        </w:rPr>
      </w:pPr>
      <w:r w:rsidRPr="00CE3384">
        <w:rPr>
          <w:rStyle w:val="FootnoteReference"/>
          <w:sz w:val="26"/>
          <w:szCs w:val="26"/>
          <w:vertAlign w:val="superscript"/>
        </w:rPr>
        <w:footnoteRef/>
      </w:r>
      <w:r w:rsidRPr="004063E7">
        <w:rPr>
          <w:sz w:val="26"/>
          <w:szCs w:val="26"/>
        </w:rPr>
        <w:t xml:space="preserve"> Public Interest Organizations Request for Rehearing at 127-29; </w:t>
      </w:r>
      <w:r w:rsidRPr="004063E7">
        <w:rPr>
          <w:i/>
          <w:sz w:val="26"/>
          <w:szCs w:val="26"/>
        </w:rPr>
        <w:t>see</w:t>
      </w:r>
      <w:r w:rsidRPr="004063E7">
        <w:rPr>
          <w:sz w:val="26"/>
          <w:szCs w:val="26"/>
        </w:rPr>
        <w:t xml:space="preserve"> Solar Energy Industries Request for Rehearing and/or Clarification at 34.</w:t>
      </w:r>
    </w:p>
  </w:footnote>
  <w:footnote w:id="48">
    <w:p w14:paraId="56AF1043" w14:textId="77777777" w:rsidR="00BF538B" w:rsidRDefault="00BF538B" w:rsidP="00F6388E">
      <w:pPr>
        <w:pStyle w:val="FootnoteText"/>
        <w:rPr>
          <w:sz w:val="26"/>
          <w:szCs w:val="26"/>
        </w:rPr>
      </w:pPr>
      <w:r w:rsidRPr="007B2FDD">
        <w:rPr>
          <w:rStyle w:val="FootnoteReference"/>
          <w:sz w:val="26"/>
          <w:szCs w:val="26"/>
          <w:vertAlign w:val="superscript"/>
        </w:rPr>
        <w:footnoteRef/>
      </w:r>
      <w:r w:rsidRPr="00067038">
        <w:rPr>
          <w:sz w:val="26"/>
          <w:szCs w:val="26"/>
        </w:rPr>
        <w:t xml:space="preserve"> 18 C</w:t>
      </w:r>
      <w:r>
        <w:rPr>
          <w:sz w:val="26"/>
          <w:szCs w:val="26"/>
        </w:rPr>
        <w:t>.</w:t>
      </w:r>
      <w:r w:rsidRPr="00D058E8">
        <w:rPr>
          <w:sz w:val="26"/>
          <w:szCs w:val="26"/>
        </w:rPr>
        <w:t>F</w:t>
      </w:r>
      <w:r>
        <w:rPr>
          <w:sz w:val="26"/>
          <w:szCs w:val="26"/>
        </w:rPr>
        <w:t>.</w:t>
      </w:r>
      <w:r w:rsidRPr="004B1906">
        <w:rPr>
          <w:sz w:val="26"/>
          <w:szCs w:val="26"/>
        </w:rPr>
        <w:t>R</w:t>
      </w:r>
      <w:r>
        <w:rPr>
          <w:sz w:val="26"/>
          <w:szCs w:val="26"/>
        </w:rPr>
        <w:t>.</w:t>
      </w:r>
      <w:r w:rsidRPr="002208E2">
        <w:rPr>
          <w:sz w:val="26"/>
          <w:szCs w:val="26"/>
        </w:rPr>
        <w:t xml:space="preserve"> </w:t>
      </w:r>
      <w:r>
        <w:rPr>
          <w:sz w:val="26"/>
          <w:szCs w:val="26"/>
        </w:rPr>
        <w:t xml:space="preserve">§ </w:t>
      </w:r>
      <w:r w:rsidRPr="004B1906">
        <w:rPr>
          <w:sz w:val="26"/>
          <w:szCs w:val="26"/>
        </w:rPr>
        <w:t xml:space="preserve">292.207(d), which </w:t>
      </w:r>
      <w:r>
        <w:rPr>
          <w:sz w:val="26"/>
          <w:szCs w:val="26"/>
        </w:rPr>
        <w:t>Order No. 872</w:t>
      </w:r>
      <w:r w:rsidRPr="004B1906">
        <w:rPr>
          <w:sz w:val="26"/>
          <w:szCs w:val="26"/>
        </w:rPr>
        <w:t xml:space="preserve"> renumber</w:t>
      </w:r>
      <w:r>
        <w:rPr>
          <w:sz w:val="26"/>
          <w:szCs w:val="26"/>
        </w:rPr>
        <w:t>ed</w:t>
      </w:r>
      <w:r w:rsidRPr="004B1906">
        <w:rPr>
          <w:sz w:val="26"/>
          <w:szCs w:val="26"/>
        </w:rPr>
        <w:t xml:space="preserve"> to 18 C</w:t>
      </w:r>
      <w:r>
        <w:rPr>
          <w:sz w:val="26"/>
          <w:szCs w:val="26"/>
        </w:rPr>
        <w:t>.</w:t>
      </w:r>
      <w:r w:rsidRPr="00AF1402">
        <w:rPr>
          <w:sz w:val="26"/>
          <w:szCs w:val="26"/>
        </w:rPr>
        <w:t>F</w:t>
      </w:r>
      <w:r>
        <w:rPr>
          <w:sz w:val="26"/>
          <w:szCs w:val="26"/>
        </w:rPr>
        <w:t>.</w:t>
      </w:r>
      <w:r w:rsidRPr="004B1906">
        <w:rPr>
          <w:sz w:val="26"/>
          <w:szCs w:val="26"/>
        </w:rPr>
        <w:t>R</w:t>
      </w:r>
      <w:r>
        <w:rPr>
          <w:sz w:val="26"/>
          <w:szCs w:val="26"/>
        </w:rPr>
        <w:t>.</w:t>
      </w:r>
      <w:r w:rsidRPr="004B1906">
        <w:rPr>
          <w:sz w:val="26"/>
          <w:szCs w:val="26"/>
        </w:rPr>
        <w:t xml:space="preserve"> </w:t>
      </w:r>
      <w:r>
        <w:rPr>
          <w:sz w:val="26"/>
          <w:szCs w:val="26"/>
        </w:rPr>
        <w:t xml:space="preserve">§ </w:t>
      </w:r>
      <w:r w:rsidRPr="005E2605">
        <w:rPr>
          <w:sz w:val="26"/>
          <w:szCs w:val="26"/>
        </w:rPr>
        <w:t>292.207(f).</w:t>
      </w:r>
    </w:p>
    <w:p w14:paraId="150FAD70" w14:textId="77777777" w:rsidR="00BF538B" w:rsidRPr="005E2605" w:rsidRDefault="00BF538B" w:rsidP="00F6388E">
      <w:pPr>
        <w:pStyle w:val="FootnoteText"/>
        <w:rPr>
          <w:sz w:val="26"/>
          <w:szCs w:val="26"/>
        </w:rPr>
      </w:pPr>
    </w:p>
  </w:footnote>
  <w:footnote w:id="49">
    <w:p w14:paraId="157D6606" w14:textId="77777777" w:rsidR="00BF538B" w:rsidRDefault="00BF538B" w:rsidP="00F6388E">
      <w:pPr>
        <w:pStyle w:val="FootnoteText"/>
        <w:rPr>
          <w:sz w:val="26"/>
          <w:szCs w:val="26"/>
        </w:rPr>
      </w:pPr>
      <w:r w:rsidRPr="00580C5B">
        <w:rPr>
          <w:rStyle w:val="FootnoteReference"/>
          <w:sz w:val="26"/>
          <w:szCs w:val="26"/>
          <w:vertAlign w:val="superscript"/>
        </w:rPr>
        <w:footnoteRef/>
      </w:r>
      <w:r w:rsidRPr="00AF1402">
        <w:rPr>
          <w:sz w:val="26"/>
          <w:szCs w:val="26"/>
        </w:rPr>
        <w:t xml:space="preserve"> Item 8a of the Form No. 556 effective prior to </w:t>
      </w:r>
      <w:r>
        <w:rPr>
          <w:sz w:val="26"/>
          <w:szCs w:val="26"/>
        </w:rPr>
        <w:t>Order No. 872</w:t>
      </w:r>
      <w:r w:rsidRPr="00AF1402">
        <w:rPr>
          <w:sz w:val="26"/>
          <w:szCs w:val="26"/>
        </w:rPr>
        <w:t xml:space="preserve"> required an applicant to “[</w:t>
      </w:r>
      <w:proofErr w:type="spellStart"/>
      <w:r w:rsidRPr="00AF1402">
        <w:rPr>
          <w:sz w:val="26"/>
          <w:szCs w:val="26"/>
        </w:rPr>
        <w:t>i</w:t>
      </w:r>
      <w:proofErr w:type="spellEnd"/>
      <w:r w:rsidRPr="00AF1402">
        <w:rPr>
          <w:sz w:val="26"/>
          <w:szCs w:val="26"/>
        </w:rPr>
        <w:t>]</w:t>
      </w:r>
      <w:proofErr w:type="spellStart"/>
      <w:r w:rsidRPr="00AF1402">
        <w:rPr>
          <w:sz w:val="26"/>
          <w:szCs w:val="26"/>
        </w:rPr>
        <w:t>dentify</w:t>
      </w:r>
      <w:proofErr w:type="spellEnd"/>
      <w:r w:rsidRPr="00AF1402">
        <w:rPr>
          <w:sz w:val="26"/>
          <w:szCs w:val="26"/>
        </w:rPr>
        <w:t xml:space="preserve"> any facilities with electrical generating equipment located within 1 mile of the electrical generating equipment of the instant facility . . .”  Section 292.207(d) of the Commission’s regulations, which </w:t>
      </w:r>
      <w:r>
        <w:rPr>
          <w:sz w:val="26"/>
          <w:szCs w:val="26"/>
        </w:rPr>
        <w:t>Order No. 872</w:t>
      </w:r>
      <w:r w:rsidRPr="00AF1402">
        <w:rPr>
          <w:sz w:val="26"/>
          <w:szCs w:val="26"/>
        </w:rPr>
        <w:t xml:space="preserve"> renumbered to 18 C</w:t>
      </w:r>
      <w:r>
        <w:rPr>
          <w:sz w:val="26"/>
          <w:szCs w:val="26"/>
        </w:rPr>
        <w:t>.</w:t>
      </w:r>
      <w:r w:rsidRPr="007B2FDD">
        <w:rPr>
          <w:sz w:val="26"/>
          <w:szCs w:val="26"/>
        </w:rPr>
        <w:t>F</w:t>
      </w:r>
      <w:r>
        <w:rPr>
          <w:sz w:val="26"/>
          <w:szCs w:val="26"/>
        </w:rPr>
        <w:t>.</w:t>
      </w:r>
      <w:r w:rsidRPr="00D058E8">
        <w:rPr>
          <w:sz w:val="26"/>
          <w:szCs w:val="26"/>
        </w:rPr>
        <w:t>R</w:t>
      </w:r>
      <w:r>
        <w:rPr>
          <w:sz w:val="26"/>
          <w:szCs w:val="26"/>
        </w:rPr>
        <w:t>.</w:t>
      </w:r>
      <w:r w:rsidRPr="005E2605">
        <w:rPr>
          <w:sz w:val="26"/>
          <w:szCs w:val="26"/>
        </w:rPr>
        <w:t xml:space="preserve"> </w:t>
      </w:r>
      <w:r>
        <w:rPr>
          <w:sz w:val="26"/>
          <w:szCs w:val="26"/>
        </w:rPr>
        <w:t xml:space="preserve">§ </w:t>
      </w:r>
      <w:r w:rsidRPr="00067038">
        <w:rPr>
          <w:sz w:val="26"/>
          <w:szCs w:val="26"/>
        </w:rPr>
        <w:t xml:space="preserve">292.207(f), states that if a QF fails to conform with any material facts or representations presented in the certification the QF status of the facility may no longer be relied upon.  While the requirement, prior to </w:t>
      </w:r>
      <w:r>
        <w:rPr>
          <w:sz w:val="26"/>
          <w:szCs w:val="26"/>
        </w:rPr>
        <w:t>Order No. 872</w:t>
      </w:r>
      <w:r w:rsidRPr="00067038">
        <w:rPr>
          <w:sz w:val="26"/>
          <w:szCs w:val="26"/>
        </w:rPr>
        <w:t xml:space="preserve">, that a small power production QF update its Form No. 556 with the updated information of its affiliated small power production facilities one mile or less away, is not explicit, we believe that this requirement is the logical result of the intersection of the above.  </w:t>
      </w:r>
    </w:p>
    <w:p w14:paraId="06BFC0D6" w14:textId="77777777" w:rsidR="00BF538B" w:rsidRPr="00067038" w:rsidRDefault="00BF538B" w:rsidP="00F6388E">
      <w:pPr>
        <w:pStyle w:val="FootnoteText"/>
        <w:rPr>
          <w:sz w:val="26"/>
          <w:szCs w:val="26"/>
        </w:rPr>
      </w:pPr>
    </w:p>
  </w:footnote>
  <w:footnote w:id="50">
    <w:p w14:paraId="05557E41" w14:textId="77777777" w:rsidR="00BF538B" w:rsidRPr="002208E2" w:rsidRDefault="00BF538B" w:rsidP="001961BA">
      <w:pPr>
        <w:pStyle w:val="FootnoteText"/>
        <w:spacing w:after="240"/>
        <w:rPr>
          <w:sz w:val="26"/>
          <w:szCs w:val="26"/>
        </w:rPr>
      </w:pPr>
      <w:r w:rsidRPr="00CE3384">
        <w:rPr>
          <w:rStyle w:val="FootnoteReference"/>
          <w:sz w:val="26"/>
          <w:szCs w:val="26"/>
          <w:vertAlign w:val="superscript"/>
        </w:rPr>
        <w:footnoteRef/>
      </w:r>
      <w:r w:rsidRPr="004B1906">
        <w:rPr>
          <w:sz w:val="26"/>
          <w:szCs w:val="26"/>
        </w:rPr>
        <w:t xml:space="preserve"> </w:t>
      </w:r>
      <w:r w:rsidRPr="004B1906">
        <w:rPr>
          <w:i/>
          <w:iCs/>
          <w:sz w:val="26"/>
          <w:szCs w:val="26"/>
        </w:rPr>
        <w:t>See supra</w:t>
      </w:r>
      <w:r>
        <w:rPr>
          <w:sz w:val="26"/>
          <w:szCs w:val="26"/>
        </w:rPr>
        <w:t xml:space="preserve"> note </w:t>
      </w:r>
      <w:r>
        <w:rPr>
          <w:sz w:val="26"/>
          <w:szCs w:val="26"/>
        </w:rPr>
        <w:fldChar w:fldCharType="begin"/>
      </w:r>
      <w:r>
        <w:rPr>
          <w:sz w:val="26"/>
          <w:szCs w:val="26"/>
        </w:rPr>
        <w:instrText xml:space="preserve"> NOTEREF _Ref56353338 \h </w:instrText>
      </w:r>
      <w:r>
        <w:rPr>
          <w:sz w:val="26"/>
          <w:szCs w:val="26"/>
        </w:rPr>
      </w:r>
      <w:r>
        <w:rPr>
          <w:sz w:val="26"/>
          <w:szCs w:val="26"/>
        </w:rPr>
        <w:fldChar w:fldCharType="separate"/>
      </w:r>
      <w:r>
        <w:rPr>
          <w:sz w:val="26"/>
          <w:szCs w:val="26"/>
        </w:rPr>
        <w:t>48</w:t>
      </w:r>
      <w:r>
        <w:rPr>
          <w:sz w:val="26"/>
          <w:szCs w:val="26"/>
        </w:rPr>
        <w:fldChar w:fldCharType="end"/>
      </w:r>
      <w:r>
        <w:rPr>
          <w:sz w:val="26"/>
          <w:szCs w:val="26"/>
        </w:rPr>
        <w:t>.</w:t>
      </w:r>
      <w:r w:rsidRPr="00165600">
        <w:rPr>
          <w:sz w:val="26"/>
          <w:szCs w:val="26"/>
        </w:rPr>
        <w:t xml:space="preserve">  </w:t>
      </w:r>
    </w:p>
  </w:footnote>
  <w:footnote w:id="51">
    <w:p w14:paraId="3BD9330B" w14:textId="77777777" w:rsidR="00BF538B" w:rsidRDefault="00BF538B" w:rsidP="00F6388E">
      <w:pPr>
        <w:pStyle w:val="FootnoteText"/>
        <w:rPr>
          <w:sz w:val="26"/>
          <w:szCs w:val="26"/>
        </w:rPr>
      </w:pPr>
      <w:r w:rsidRPr="002208E2">
        <w:rPr>
          <w:rStyle w:val="FootnoteReference"/>
          <w:sz w:val="26"/>
          <w:szCs w:val="26"/>
          <w:vertAlign w:val="superscript"/>
        </w:rPr>
        <w:footnoteRef/>
      </w:r>
      <w:r w:rsidRPr="00580C5B">
        <w:rPr>
          <w:sz w:val="26"/>
          <w:szCs w:val="26"/>
        </w:rPr>
        <w:t xml:space="preserve"> </w:t>
      </w:r>
      <w:r w:rsidRPr="00AD7271">
        <w:rPr>
          <w:i/>
          <w:iCs/>
          <w:sz w:val="26"/>
          <w:szCs w:val="26"/>
        </w:rPr>
        <w:t>See supra</w:t>
      </w:r>
      <w:r>
        <w:rPr>
          <w:sz w:val="26"/>
          <w:szCs w:val="26"/>
        </w:rPr>
        <w:t xml:space="preserve"> note </w:t>
      </w:r>
      <w:r>
        <w:rPr>
          <w:sz w:val="26"/>
          <w:szCs w:val="26"/>
        </w:rPr>
        <w:fldChar w:fldCharType="begin"/>
      </w:r>
      <w:r>
        <w:rPr>
          <w:sz w:val="26"/>
          <w:szCs w:val="26"/>
        </w:rPr>
        <w:instrText xml:space="preserve"> NOTEREF _Ref56353338 \h </w:instrText>
      </w:r>
      <w:r>
        <w:rPr>
          <w:sz w:val="26"/>
          <w:szCs w:val="26"/>
        </w:rPr>
      </w:r>
      <w:r>
        <w:rPr>
          <w:sz w:val="26"/>
          <w:szCs w:val="26"/>
        </w:rPr>
        <w:fldChar w:fldCharType="separate"/>
      </w:r>
      <w:r>
        <w:rPr>
          <w:sz w:val="26"/>
          <w:szCs w:val="26"/>
        </w:rPr>
        <w:t>48</w:t>
      </w:r>
      <w:r>
        <w:rPr>
          <w:sz w:val="26"/>
          <w:szCs w:val="26"/>
        </w:rPr>
        <w:fldChar w:fldCharType="end"/>
      </w:r>
      <w:r>
        <w:rPr>
          <w:sz w:val="26"/>
          <w:szCs w:val="26"/>
        </w:rPr>
        <w:t>.</w:t>
      </w:r>
      <w:r w:rsidRPr="008C7DE0">
        <w:rPr>
          <w:sz w:val="26"/>
          <w:szCs w:val="26"/>
        </w:rPr>
        <w:t xml:space="preserve"> </w:t>
      </w:r>
    </w:p>
    <w:p w14:paraId="16880604" w14:textId="77777777" w:rsidR="00BF538B" w:rsidRPr="008C7DE0" w:rsidRDefault="00BF538B" w:rsidP="00F6388E">
      <w:pPr>
        <w:pStyle w:val="FootnoteText"/>
        <w:rPr>
          <w:sz w:val="26"/>
          <w:szCs w:val="26"/>
        </w:rPr>
      </w:pPr>
    </w:p>
  </w:footnote>
  <w:footnote w:id="52">
    <w:p w14:paraId="7B5B72D5" w14:textId="77777777" w:rsidR="00BF538B" w:rsidRPr="00D058E8" w:rsidRDefault="00BF538B" w:rsidP="001961BA">
      <w:pPr>
        <w:pStyle w:val="FootnoteText"/>
        <w:spacing w:after="240"/>
        <w:rPr>
          <w:sz w:val="26"/>
          <w:szCs w:val="26"/>
        </w:rPr>
      </w:pPr>
      <w:r w:rsidRPr="00580C5B">
        <w:rPr>
          <w:rStyle w:val="FootnoteReference"/>
          <w:sz w:val="26"/>
          <w:szCs w:val="26"/>
          <w:vertAlign w:val="superscript"/>
        </w:rPr>
        <w:footnoteRef/>
      </w:r>
      <w:r w:rsidRPr="008C7DE0">
        <w:rPr>
          <w:sz w:val="26"/>
          <w:szCs w:val="26"/>
        </w:rPr>
        <w:t xml:space="preserve"> </w:t>
      </w:r>
      <w:r w:rsidRPr="008C7DE0">
        <w:rPr>
          <w:sz w:val="26"/>
          <w:szCs w:val="26"/>
          <w:shd w:val="clear" w:color="auto" w:fill="FFFFFF"/>
        </w:rPr>
        <w:t xml:space="preserve">If a small power production QF that was certified prior to the effective date of </w:t>
      </w:r>
      <w:r w:rsidRPr="00B05DED">
        <w:rPr>
          <w:sz w:val="26"/>
          <w:szCs w:val="26"/>
          <w:shd w:val="clear" w:color="auto" w:fill="FFFFFF"/>
        </w:rPr>
        <w:t>Order</w:t>
      </w:r>
      <w:r>
        <w:rPr>
          <w:sz w:val="26"/>
          <w:szCs w:val="26"/>
          <w:shd w:val="clear" w:color="auto" w:fill="FFFFFF"/>
        </w:rPr>
        <w:t xml:space="preserve"> No. 872-A</w:t>
      </w:r>
      <w:r w:rsidRPr="00CE3384">
        <w:rPr>
          <w:sz w:val="26"/>
          <w:szCs w:val="26"/>
          <w:shd w:val="clear" w:color="auto" w:fill="FFFFFF"/>
        </w:rPr>
        <w:t xml:space="preserve"> is required</w:t>
      </w:r>
      <w:r w:rsidRPr="00D058E8">
        <w:rPr>
          <w:sz w:val="26"/>
          <w:szCs w:val="26"/>
          <w:shd w:val="clear" w:color="auto" w:fill="FFFFFF"/>
        </w:rPr>
        <w:t xml:space="preserve"> to recertify due to a material change to its own facility, then at that time it will be required to identify affiliates less than 10 miles from the applicant facility.</w:t>
      </w:r>
    </w:p>
  </w:footnote>
  <w:footnote w:id="53">
    <w:p w14:paraId="7E515C19" w14:textId="77777777" w:rsidR="00BF538B" w:rsidRDefault="00BF538B" w:rsidP="00F6388E">
      <w:pPr>
        <w:pStyle w:val="FootnoteText"/>
        <w:rPr>
          <w:sz w:val="26"/>
          <w:szCs w:val="26"/>
        </w:rPr>
      </w:pPr>
      <w:r w:rsidRPr="00580C5B">
        <w:rPr>
          <w:rStyle w:val="FootnoteReference"/>
          <w:sz w:val="26"/>
          <w:szCs w:val="26"/>
          <w:vertAlign w:val="superscript"/>
        </w:rPr>
        <w:footnoteRef/>
      </w:r>
      <w:r w:rsidRPr="00CE3384">
        <w:rPr>
          <w:sz w:val="26"/>
          <w:szCs w:val="26"/>
        </w:rPr>
        <w:t xml:space="preserve"> </w:t>
      </w:r>
      <w:r>
        <w:rPr>
          <w:sz w:val="26"/>
          <w:szCs w:val="26"/>
        </w:rPr>
        <w:t>The Commission notes that it is</w:t>
      </w:r>
      <w:r w:rsidRPr="007C606B">
        <w:rPr>
          <w:sz w:val="26"/>
          <w:szCs w:val="26"/>
        </w:rPr>
        <w:t xml:space="preserve"> maintaining the final rule’s alternative option for rooftop solar PV developers </w:t>
      </w:r>
      <w:r w:rsidRPr="007C606B">
        <w:rPr>
          <w:sz w:val="26"/>
          <w:szCs w:val="26"/>
          <w:shd w:val="clear" w:color="auto" w:fill="FFFFFF"/>
        </w:rPr>
        <w:t xml:space="preserve">to file their recertification applications.  </w:t>
      </w:r>
      <w:r w:rsidRPr="007C606B">
        <w:rPr>
          <w:i/>
          <w:iCs/>
          <w:sz w:val="26"/>
          <w:szCs w:val="26"/>
          <w:shd w:val="clear" w:color="auto" w:fill="FFFFFF"/>
        </w:rPr>
        <w:t>See</w:t>
      </w:r>
      <w:r w:rsidRPr="007C606B">
        <w:rPr>
          <w:sz w:val="26"/>
          <w:szCs w:val="26"/>
          <w:shd w:val="clear" w:color="auto" w:fill="FFFFFF"/>
        </w:rPr>
        <w:t xml:space="preserve"> </w:t>
      </w:r>
      <w:r w:rsidRPr="007C606B">
        <w:rPr>
          <w:sz w:val="26"/>
          <w:szCs w:val="26"/>
        </w:rPr>
        <w:t>Order No. 872</w:t>
      </w:r>
      <w:r w:rsidRPr="007C606B">
        <w:rPr>
          <w:rFonts w:eastAsiaTheme="minorHAnsi"/>
          <w:color w:val="333333"/>
          <w:sz w:val="26"/>
          <w:szCs w:val="26"/>
        </w:rPr>
        <w:t>, 172 FERC ¶ 61,041</w:t>
      </w:r>
      <w:r w:rsidRPr="007C606B">
        <w:rPr>
          <w:sz w:val="26"/>
          <w:szCs w:val="26"/>
        </w:rPr>
        <w:t xml:space="preserve"> at P 560.</w:t>
      </w:r>
    </w:p>
    <w:p w14:paraId="12471BB4" w14:textId="77777777" w:rsidR="00BF538B" w:rsidRPr="007C606B" w:rsidRDefault="00BF538B" w:rsidP="00F6388E">
      <w:pPr>
        <w:pStyle w:val="FootnoteText"/>
        <w:rPr>
          <w:sz w:val="26"/>
          <w:szCs w:val="26"/>
        </w:rPr>
      </w:pPr>
    </w:p>
  </w:footnote>
  <w:footnote w:id="54">
    <w:p w14:paraId="4CFE7C2A" w14:textId="77777777" w:rsidR="00BF538B" w:rsidRDefault="00BF538B" w:rsidP="00F6388E">
      <w:pPr>
        <w:pStyle w:val="FootnoteText"/>
        <w:rPr>
          <w:sz w:val="26"/>
          <w:szCs w:val="26"/>
        </w:rPr>
      </w:pPr>
      <w:r w:rsidRPr="00D058E8">
        <w:rPr>
          <w:rStyle w:val="FootnoteReference"/>
          <w:sz w:val="26"/>
          <w:szCs w:val="26"/>
          <w:vertAlign w:val="superscript"/>
        </w:rPr>
        <w:footnoteRef/>
      </w:r>
      <w:r w:rsidRPr="007C606B">
        <w:rPr>
          <w:sz w:val="26"/>
          <w:szCs w:val="26"/>
        </w:rPr>
        <w:t xml:space="preserve"> </w:t>
      </w:r>
      <w:r w:rsidRPr="007C606B">
        <w:rPr>
          <w:i/>
          <w:iCs/>
          <w:sz w:val="26"/>
          <w:szCs w:val="26"/>
        </w:rPr>
        <w:t xml:space="preserve">See supra </w:t>
      </w:r>
      <w:r w:rsidRPr="007C606B">
        <w:rPr>
          <w:sz w:val="26"/>
          <w:szCs w:val="26"/>
        </w:rPr>
        <w:t xml:space="preserve">note </w:t>
      </w:r>
      <w:r>
        <w:rPr>
          <w:sz w:val="26"/>
          <w:szCs w:val="26"/>
        </w:rPr>
        <w:fldChar w:fldCharType="begin"/>
      </w:r>
      <w:r>
        <w:rPr>
          <w:sz w:val="26"/>
          <w:szCs w:val="26"/>
        </w:rPr>
        <w:instrText xml:space="preserve"> NOTEREF _Ref56353338 \h </w:instrText>
      </w:r>
      <w:r>
        <w:rPr>
          <w:sz w:val="26"/>
          <w:szCs w:val="26"/>
        </w:rPr>
      </w:r>
      <w:r>
        <w:rPr>
          <w:sz w:val="26"/>
          <w:szCs w:val="26"/>
        </w:rPr>
        <w:fldChar w:fldCharType="separate"/>
      </w:r>
      <w:r>
        <w:rPr>
          <w:sz w:val="26"/>
          <w:szCs w:val="26"/>
        </w:rPr>
        <w:t>48</w:t>
      </w:r>
      <w:r>
        <w:rPr>
          <w:sz w:val="26"/>
          <w:szCs w:val="26"/>
        </w:rPr>
        <w:fldChar w:fldCharType="end"/>
      </w:r>
      <w:r>
        <w:rPr>
          <w:sz w:val="26"/>
          <w:szCs w:val="26"/>
        </w:rPr>
        <w:t>.</w:t>
      </w:r>
    </w:p>
    <w:p w14:paraId="59EE44CD" w14:textId="77777777" w:rsidR="00BF538B" w:rsidRPr="007C606B" w:rsidRDefault="00BF538B" w:rsidP="00F6388E">
      <w:pPr>
        <w:pStyle w:val="FootnoteText"/>
        <w:rPr>
          <w:sz w:val="26"/>
          <w:szCs w:val="26"/>
        </w:rPr>
      </w:pPr>
    </w:p>
  </w:footnote>
  <w:footnote w:id="55">
    <w:p w14:paraId="24D25BBE" w14:textId="77777777" w:rsidR="00BF538B" w:rsidRPr="007C606B" w:rsidRDefault="00BF538B" w:rsidP="001961BA">
      <w:pPr>
        <w:pStyle w:val="FootnoteText"/>
        <w:spacing w:after="240"/>
        <w:rPr>
          <w:sz w:val="26"/>
          <w:szCs w:val="26"/>
        </w:rPr>
      </w:pPr>
      <w:r w:rsidRPr="00AD7271">
        <w:rPr>
          <w:rStyle w:val="FootnoteReference"/>
          <w:sz w:val="26"/>
          <w:szCs w:val="26"/>
          <w:vertAlign w:val="superscript"/>
        </w:rPr>
        <w:footnoteRef/>
      </w:r>
      <w:r w:rsidRPr="007C606B">
        <w:rPr>
          <w:sz w:val="26"/>
          <w:szCs w:val="26"/>
        </w:rPr>
        <w:t xml:space="preserve"> </w:t>
      </w:r>
      <w:bookmarkStart w:id="16" w:name="_Hlk55225149"/>
      <w:r w:rsidRPr="007C606B">
        <w:rPr>
          <w:rFonts w:eastAsiaTheme="minorHAnsi"/>
          <w:color w:val="333333"/>
          <w:sz w:val="26"/>
          <w:szCs w:val="26"/>
        </w:rPr>
        <w:t>Order No. 872, 172 FERC ¶ 61,041 at P 699.</w:t>
      </w:r>
      <w:bookmarkEnd w:id="16"/>
    </w:p>
  </w:footnote>
  <w:footnote w:id="56">
    <w:p w14:paraId="351657C0" w14:textId="77777777" w:rsidR="00BF538B" w:rsidRDefault="00BF538B" w:rsidP="00DB64B7">
      <w:pPr>
        <w:pStyle w:val="FootnoteText"/>
        <w:rPr>
          <w:rFonts w:eastAsiaTheme="minorHAnsi"/>
          <w:color w:val="333333"/>
          <w:sz w:val="26"/>
          <w:szCs w:val="26"/>
        </w:rPr>
      </w:pPr>
      <w:r w:rsidRPr="008C7DE0">
        <w:rPr>
          <w:rStyle w:val="FootnoteReference"/>
          <w:sz w:val="26"/>
          <w:szCs w:val="26"/>
          <w:vertAlign w:val="superscript"/>
        </w:rPr>
        <w:footnoteRef/>
      </w:r>
      <w:r w:rsidRPr="00CE3384">
        <w:rPr>
          <w:sz w:val="26"/>
          <w:szCs w:val="26"/>
        </w:rPr>
        <w:t xml:space="preserve"> </w:t>
      </w:r>
      <w:r w:rsidRPr="00CE3384">
        <w:rPr>
          <w:rFonts w:eastAsiaTheme="minorHAnsi"/>
          <w:i/>
          <w:iCs/>
          <w:color w:val="333333"/>
          <w:sz w:val="26"/>
          <w:szCs w:val="26"/>
        </w:rPr>
        <w:t>Id</w:t>
      </w:r>
      <w:r w:rsidRPr="00CE3384">
        <w:rPr>
          <w:rFonts w:eastAsiaTheme="minorHAnsi"/>
          <w:i/>
          <w:color w:val="333333"/>
          <w:sz w:val="26"/>
          <w:szCs w:val="26"/>
        </w:rPr>
        <w:t>.</w:t>
      </w:r>
      <w:r w:rsidRPr="00CE3384">
        <w:rPr>
          <w:rFonts w:eastAsiaTheme="minorHAnsi"/>
          <w:color w:val="333333"/>
          <w:sz w:val="26"/>
          <w:szCs w:val="26"/>
        </w:rPr>
        <w:t xml:space="preserve"> P 698.</w:t>
      </w:r>
    </w:p>
    <w:p w14:paraId="35311E6B" w14:textId="77777777" w:rsidR="00BF538B" w:rsidRPr="00CE3384" w:rsidRDefault="00BF538B" w:rsidP="00DB64B7">
      <w:pPr>
        <w:pStyle w:val="FootnoteText"/>
        <w:rPr>
          <w:sz w:val="26"/>
          <w:szCs w:val="26"/>
        </w:rPr>
      </w:pPr>
    </w:p>
  </w:footnote>
  <w:footnote w:id="57">
    <w:p w14:paraId="3868B528" w14:textId="77777777" w:rsidR="00BF538B" w:rsidRDefault="00BF538B" w:rsidP="00DB64B7">
      <w:pPr>
        <w:pStyle w:val="FootnoteText"/>
        <w:rPr>
          <w:sz w:val="26"/>
          <w:szCs w:val="26"/>
        </w:rPr>
      </w:pPr>
      <w:r w:rsidRPr="00D058E8">
        <w:rPr>
          <w:rStyle w:val="FootnoteReference"/>
          <w:sz w:val="26"/>
          <w:szCs w:val="26"/>
          <w:vertAlign w:val="superscript"/>
        </w:rPr>
        <w:footnoteRef/>
      </w:r>
      <w:r w:rsidRPr="004B1906">
        <w:rPr>
          <w:sz w:val="26"/>
          <w:szCs w:val="26"/>
        </w:rPr>
        <w:t xml:space="preserve"> </w:t>
      </w:r>
      <w:r w:rsidRPr="004B1906">
        <w:rPr>
          <w:i/>
          <w:iCs/>
          <w:sz w:val="26"/>
          <w:szCs w:val="26"/>
        </w:rPr>
        <w:t>Id</w:t>
      </w:r>
      <w:r w:rsidRPr="004B1906">
        <w:rPr>
          <w:i/>
          <w:sz w:val="26"/>
          <w:szCs w:val="26"/>
        </w:rPr>
        <w:t>.</w:t>
      </w:r>
      <w:r w:rsidRPr="004B1906">
        <w:rPr>
          <w:sz w:val="26"/>
          <w:szCs w:val="26"/>
        </w:rPr>
        <w:t xml:space="preserve"> </w:t>
      </w:r>
    </w:p>
    <w:p w14:paraId="23FA818C" w14:textId="77777777" w:rsidR="00BF538B" w:rsidRPr="004B1906" w:rsidRDefault="00BF538B" w:rsidP="00DB64B7">
      <w:pPr>
        <w:pStyle w:val="FootnoteText"/>
        <w:rPr>
          <w:sz w:val="26"/>
          <w:szCs w:val="26"/>
        </w:rPr>
      </w:pPr>
    </w:p>
  </w:footnote>
  <w:footnote w:id="58">
    <w:p w14:paraId="5C488C4F" w14:textId="77777777" w:rsidR="00BF538B" w:rsidRDefault="00BF538B" w:rsidP="00DB64B7">
      <w:pPr>
        <w:pStyle w:val="FootnoteText"/>
        <w:rPr>
          <w:rFonts w:eastAsiaTheme="minorHAnsi"/>
          <w:color w:val="333333"/>
          <w:sz w:val="26"/>
          <w:szCs w:val="26"/>
        </w:rPr>
      </w:pPr>
      <w:r w:rsidRPr="007C606B">
        <w:rPr>
          <w:rStyle w:val="FootnoteReference"/>
          <w:sz w:val="26"/>
          <w:szCs w:val="26"/>
          <w:vertAlign w:val="superscript"/>
        </w:rPr>
        <w:footnoteRef/>
      </w:r>
      <w:r w:rsidRPr="008C7DE0">
        <w:rPr>
          <w:sz w:val="26"/>
          <w:szCs w:val="26"/>
        </w:rPr>
        <w:t xml:space="preserve"> </w:t>
      </w:r>
      <w:bookmarkStart w:id="18" w:name="_Hlk54556379"/>
      <w:r w:rsidRPr="008C7DE0">
        <w:rPr>
          <w:rFonts w:eastAsiaTheme="minorHAnsi"/>
          <w:i/>
          <w:iCs/>
          <w:color w:val="333333"/>
          <w:sz w:val="26"/>
          <w:szCs w:val="26"/>
        </w:rPr>
        <w:t>Id</w:t>
      </w:r>
      <w:r w:rsidRPr="008C7DE0">
        <w:rPr>
          <w:rFonts w:eastAsiaTheme="minorHAnsi"/>
          <w:i/>
          <w:color w:val="333333"/>
          <w:sz w:val="26"/>
          <w:szCs w:val="26"/>
        </w:rPr>
        <w:t>.</w:t>
      </w:r>
      <w:r w:rsidRPr="008C7DE0">
        <w:rPr>
          <w:rFonts w:eastAsiaTheme="minorHAnsi"/>
          <w:color w:val="333333"/>
          <w:sz w:val="26"/>
          <w:szCs w:val="26"/>
        </w:rPr>
        <w:t xml:space="preserve"> P 699.</w:t>
      </w:r>
      <w:bookmarkEnd w:id="18"/>
    </w:p>
    <w:p w14:paraId="663B923B" w14:textId="77777777" w:rsidR="00BF538B" w:rsidRPr="008C7DE0" w:rsidRDefault="00BF538B" w:rsidP="00DB64B7">
      <w:pPr>
        <w:pStyle w:val="FootnoteText"/>
        <w:rPr>
          <w:sz w:val="26"/>
          <w:szCs w:val="26"/>
        </w:rPr>
      </w:pPr>
    </w:p>
  </w:footnote>
  <w:footnote w:id="59">
    <w:p w14:paraId="1665D1FB" w14:textId="77777777" w:rsidR="00BF538B" w:rsidRPr="008C7DE0" w:rsidRDefault="00BF538B" w:rsidP="001961BA">
      <w:pPr>
        <w:pStyle w:val="FootnoteText"/>
        <w:spacing w:after="240"/>
        <w:rPr>
          <w:sz w:val="26"/>
          <w:szCs w:val="26"/>
        </w:rPr>
      </w:pPr>
      <w:r w:rsidRPr="007C606B">
        <w:rPr>
          <w:rStyle w:val="FootnoteReference"/>
          <w:sz w:val="26"/>
          <w:szCs w:val="26"/>
          <w:vertAlign w:val="superscript"/>
        </w:rPr>
        <w:footnoteRef/>
      </w:r>
      <w:r w:rsidRPr="008C7DE0">
        <w:rPr>
          <w:sz w:val="26"/>
          <w:szCs w:val="26"/>
        </w:rPr>
        <w:t xml:space="preserve"> </w:t>
      </w:r>
      <w:r w:rsidRPr="008C7DE0">
        <w:rPr>
          <w:i/>
          <w:iCs/>
          <w:sz w:val="26"/>
          <w:szCs w:val="26"/>
        </w:rPr>
        <w:t>Commission Information Collection Activities (FERC-556); Comment Request; Extension</w:t>
      </w:r>
      <w:r w:rsidRPr="008C7DE0">
        <w:rPr>
          <w:sz w:val="26"/>
          <w:szCs w:val="26"/>
        </w:rPr>
        <w:t>, Docket No. IC19-16-000 (issued May 15, 2019).</w:t>
      </w:r>
    </w:p>
  </w:footnote>
  <w:footnote w:id="60">
    <w:p w14:paraId="5B3536EA" w14:textId="77777777" w:rsidR="00BF538B" w:rsidRDefault="00BF538B" w:rsidP="00DB64B7">
      <w:pPr>
        <w:pStyle w:val="FootnoteText"/>
        <w:rPr>
          <w:rFonts w:eastAsiaTheme="minorHAnsi"/>
          <w:color w:val="333333"/>
          <w:sz w:val="26"/>
          <w:szCs w:val="26"/>
        </w:rPr>
      </w:pPr>
      <w:r w:rsidRPr="007C606B">
        <w:rPr>
          <w:rStyle w:val="FootnoteReference"/>
          <w:sz w:val="26"/>
          <w:szCs w:val="26"/>
          <w:vertAlign w:val="superscript"/>
        </w:rPr>
        <w:footnoteRef/>
      </w:r>
      <w:r w:rsidRPr="008C7DE0">
        <w:rPr>
          <w:sz w:val="26"/>
          <w:szCs w:val="26"/>
        </w:rPr>
        <w:t xml:space="preserve"> </w:t>
      </w:r>
      <w:r w:rsidRPr="008C7DE0">
        <w:rPr>
          <w:rFonts w:eastAsiaTheme="minorHAnsi"/>
          <w:color w:val="333333"/>
          <w:sz w:val="26"/>
          <w:szCs w:val="26"/>
        </w:rPr>
        <w:t>Order No. 872, 172 FERC ¶ 61,041 at P 699.</w:t>
      </w:r>
    </w:p>
    <w:p w14:paraId="238899B5" w14:textId="77777777" w:rsidR="00BF538B" w:rsidRPr="008C7DE0" w:rsidRDefault="00BF538B" w:rsidP="00DB64B7">
      <w:pPr>
        <w:pStyle w:val="FootnoteText"/>
        <w:rPr>
          <w:sz w:val="26"/>
          <w:szCs w:val="26"/>
        </w:rPr>
      </w:pPr>
    </w:p>
  </w:footnote>
  <w:footnote w:id="61">
    <w:p w14:paraId="4A7D8168" w14:textId="77777777" w:rsidR="00BF538B" w:rsidRDefault="00BF538B" w:rsidP="00DB64B7">
      <w:pPr>
        <w:pStyle w:val="FootnoteText"/>
        <w:rPr>
          <w:rFonts w:eastAsiaTheme="minorHAnsi"/>
          <w:color w:val="333333"/>
          <w:sz w:val="26"/>
          <w:szCs w:val="26"/>
        </w:rPr>
      </w:pPr>
      <w:r w:rsidRPr="00CE3384">
        <w:rPr>
          <w:rStyle w:val="FootnoteReference"/>
          <w:sz w:val="26"/>
          <w:szCs w:val="26"/>
          <w:vertAlign w:val="superscript"/>
        </w:rPr>
        <w:footnoteRef/>
      </w:r>
      <w:r w:rsidRPr="00D058E8">
        <w:rPr>
          <w:sz w:val="26"/>
          <w:szCs w:val="26"/>
        </w:rPr>
        <w:t xml:space="preserve"> </w:t>
      </w:r>
      <w:r w:rsidRPr="00D058E8">
        <w:rPr>
          <w:i/>
          <w:iCs/>
          <w:sz w:val="26"/>
          <w:szCs w:val="26"/>
        </w:rPr>
        <w:t>Id</w:t>
      </w:r>
      <w:r w:rsidRPr="00D058E8">
        <w:rPr>
          <w:i/>
          <w:sz w:val="26"/>
          <w:szCs w:val="26"/>
        </w:rPr>
        <w:t>.</w:t>
      </w:r>
      <w:r w:rsidRPr="00D058E8">
        <w:rPr>
          <w:sz w:val="26"/>
          <w:szCs w:val="26"/>
        </w:rPr>
        <w:t xml:space="preserve"> </w:t>
      </w:r>
      <w:r w:rsidRPr="00D058E8">
        <w:rPr>
          <w:rFonts w:eastAsiaTheme="minorHAnsi"/>
          <w:color w:val="333333"/>
          <w:sz w:val="26"/>
          <w:szCs w:val="26"/>
        </w:rPr>
        <w:t>P 698.</w:t>
      </w:r>
    </w:p>
    <w:p w14:paraId="4BDA45A7" w14:textId="77777777" w:rsidR="00BF538B" w:rsidRPr="00D058E8" w:rsidRDefault="00BF538B" w:rsidP="00DB64B7">
      <w:pPr>
        <w:pStyle w:val="FootnoteText"/>
        <w:rPr>
          <w:sz w:val="26"/>
          <w:szCs w:val="26"/>
        </w:rPr>
      </w:pPr>
    </w:p>
  </w:footnote>
  <w:footnote w:id="62">
    <w:p w14:paraId="0FAEED77" w14:textId="77777777" w:rsidR="00BF538B" w:rsidRDefault="00BF538B" w:rsidP="00DB64B7">
      <w:pPr>
        <w:pStyle w:val="FootnoteText"/>
        <w:rPr>
          <w:rFonts w:eastAsiaTheme="minorHAnsi"/>
          <w:color w:val="333333"/>
          <w:sz w:val="26"/>
          <w:szCs w:val="26"/>
        </w:rPr>
      </w:pPr>
      <w:r w:rsidRPr="004B1906">
        <w:rPr>
          <w:rStyle w:val="FootnoteReference"/>
          <w:sz w:val="26"/>
          <w:szCs w:val="26"/>
          <w:vertAlign w:val="superscript"/>
        </w:rPr>
        <w:footnoteRef/>
      </w:r>
      <w:r w:rsidRPr="004B1906">
        <w:rPr>
          <w:sz w:val="26"/>
          <w:szCs w:val="26"/>
        </w:rPr>
        <w:t xml:space="preserve"> </w:t>
      </w:r>
      <w:r w:rsidRPr="004B1906">
        <w:rPr>
          <w:rFonts w:eastAsiaTheme="minorHAnsi"/>
          <w:i/>
          <w:iCs/>
          <w:color w:val="333333"/>
          <w:sz w:val="26"/>
          <w:szCs w:val="26"/>
        </w:rPr>
        <w:t>Id</w:t>
      </w:r>
      <w:r w:rsidRPr="004B1906">
        <w:rPr>
          <w:rFonts w:eastAsiaTheme="minorHAnsi"/>
          <w:i/>
          <w:color w:val="333333"/>
          <w:sz w:val="26"/>
          <w:szCs w:val="26"/>
        </w:rPr>
        <w:t>.</w:t>
      </w:r>
      <w:r w:rsidRPr="004B1906">
        <w:rPr>
          <w:rFonts w:eastAsiaTheme="minorHAnsi"/>
          <w:color w:val="333333"/>
          <w:sz w:val="26"/>
          <w:szCs w:val="26"/>
        </w:rPr>
        <w:t xml:space="preserve"> P 699.</w:t>
      </w:r>
    </w:p>
    <w:p w14:paraId="44D8A0E2" w14:textId="77777777" w:rsidR="00BF538B" w:rsidRPr="004B1906" w:rsidRDefault="00BF538B" w:rsidP="00DB64B7">
      <w:pPr>
        <w:pStyle w:val="FootnoteText"/>
        <w:rPr>
          <w:sz w:val="26"/>
          <w:szCs w:val="26"/>
        </w:rPr>
      </w:pPr>
    </w:p>
  </w:footnote>
  <w:footnote w:id="63">
    <w:p w14:paraId="45A0CFD9" w14:textId="77777777" w:rsidR="00BF538B" w:rsidRPr="00CE3384" w:rsidRDefault="00BF538B" w:rsidP="001961BA">
      <w:pPr>
        <w:pStyle w:val="FootnoteText"/>
        <w:spacing w:after="240"/>
        <w:rPr>
          <w:sz w:val="26"/>
          <w:szCs w:val="26"/>
        </w:rPr>
      </w:pPr>
      <w:r w:rsidRPr="008C7DE0">
        <w:rPr>
          <w:rStyle w:val="FootnoteReference"/>
          <w:sz w:val="26"/>
          <w:szCs w:val="26"/>
          <w:vertAlign w:val="superscript"/>
        </w:rPr>
        <w:footnoteRef/>
      </w:r>
      <w:r w:rsidRPr="00CE3384">
        <w:rPr>
          <w:sz w:val="26"/>
          <w:szCs w:val="26"/>
        </w:rPr>
        <w:t xml:space="preserve"> </w:t>
      </w:r>
      <w:r w:rsidRPr="00CE3384">
        <w:rPr>
          <w:i/>
          <w:iCs/>
          <w:sz w:val="26"/>
          <w:szCs w:val="26"/>
        </w:rPr>
        <w:t>Id</w:t>
      </w:r>
      <w:r w:rsidRPr="00CE3384">
        <w:rPr>
          <w:i/>
          <w:sz w:val="26"/>
          <w:szCs w:val="26"/>
        </w:rPr>
        <w:t xml:space="preserve">. </w:t>
      </w:r>
    </w:p>
  </w:footnote>
  <w:footnote w:id="64">
    <w:p w14:paraId="45529831" w14:textId="77777777" w:rsidR="00BF538B" w:rsidRDefault="00BF538B" w:rsidP="00DB64B7">
      <w:pPr>
        <w:pStyle w:val="FootnoteText"/>
        <w:rPr>
          <w:rFonts w:eastAsiaTheme="minorHAnsi"/>
          <w:color w:val="333333"/>
          <w:sz w:val="26"/>
          <w:szCs w:val="26"/>
        </w:rPr>
      </w:pPr>
      <w:r w:rsidRPr="00D058E8">
        <w:rPr>
          <w:rStyle w:val="FootnoteReference"/>
          <w:sz w:val="26"/>
          <w:szCs w:val="26"/>
          <w:vertAlign w:val="superscript"/>
        </w:rPr>
        <w:footnoteRef/>
      </w:r>
      <w:r w:rsidRPr="00AF1402">
        <w:rPr>
          <w:sz w:val="26"/>
          <w:szCs w:val="26"/>
        </w:rPr>
        <w:t xml:space="preserve"> </w:t>
      </w:r>
      <w:r w:rsidRPr="00AF1402">
        <w:rPr>
          <w:i/>
          <w:iCs/>
          <w:sz w:val="26"/>
          <w:szCs w:val="26"/>
        </w:rPr>
        <w:t>Id</w:t>
      </w:r>
      <w:r w:rsidRPr="00AF1402">
        <w:rPr>
          <w:rFonts w:eastAsiaTheme="minorHAnsi"/>
          <w:i/>
          <w:color w:val="333333"/>
          <w:sz w:val="26"/>
          <w:szCs w:val="26"/>
        </w:rPr>
        <w:t>.</w:t>
      </w:r>
      <w:r w:rsidRPr="00AF1402">
        <w:rPr>
          <w:rFonts w:eastAsiaTheme="minorHAnsi"/>
          <w:color w:val="333333"/>
          <w:sz w:val="26"/>
          <w:szCs w:val="26"/>
        </w:rPr>
        <w:t xml:space="preserve"> P 698.</w:t>
      </w:r>
    </w:p>
    <w:p w14:paraId="0CA559E9" w14:textId="77777777" w:rsidR="00BF538B" w:rsidRPr="00AF1402" w:rsidRDefault="00BF538B" w:rsidP="00DB64B7">
      <w:pPr>
        <w:pStyle w:val="FootnoteText"/>
        <w:rPr>
          <w:sz w:val="26"/>
          <w:szCs w:val="26"/>
        </w:rPr>
      </w:pPr>
    </w:p>
  </w:footnote>
  <w:footnote w:id="65">
    <w:p w14:paraId="3E76E569" w14:textId="77777777" w:rsidR="00BF538B" w:rsidRDefault="00BF538B" w:rsidP="00DB64B7">
      <w:pPr>
        <w:pStyle w:val="FootnoteText"/>
        <w:rPr>
          <w:rFonts w:eastAsiaTheme="minorHAnsi"/>
          <w:color w:val="333333"/>
          <w:sz w:val="26"/>
          <w:szCs w:val="26"/>
        </w:rPr>
      </w:pPr>
      <w:r w:rsidRPr="004B1906">
        <w:rPr>
          <w:rStyle w:val="FootnoteReference"/>
          <w:sz w:val="26"/>
          <w:szCs w:val="26"/>
          <w:vertAlign w:val="superscript"/>
        </w:rPr>
        <w:footnoteRef/>
      </w:r>
      <w:r w:rsidRPr="004B1906">
        <w:rPr>
          <w:sz w:val="26"/>
          <w:szCs w:val="26"/>
        </w:rPr>
        <w:t xml:space="preserve"> </w:t>
      </w:r>
      <w:r w:rsidRPr="004B1906">
        <w:rPr>
          <w:i/>
          <w:iCs/>
          <w:sz w:val="26"/>
          <w:szCs w:val="26"/>
        </w:rPr>
        <w:t>Id</w:t>
      </w:r>
      <w:r w:rsidRPr="004B1906">
        <w:rPr>
          <w:i/>
          <w:sz w:val="26"/>
          <w:szCs w:val="26"/>
        </w:rPr>
        <w:t>.</w:t>
      </w:r>
      <w:r w:rsidRPr="004B1906">
        <w:rPr>
          <w:sz w:val="26"/>
          <w:szCs w:val="26"/>
        </w:rPr>
        <w:t xml:space="preserve"> </w:t>
      </w:r>
      <w:r w:rsidRPr="004B1906">
        <w:rPr>
          <w:rFonts w:eastAsiaTheme="minorHAnsi"/>
          <w:color w:val="333333"/>
          <w:sz w:val="26"/>
          <w:szCs w:val="26"/>
        </w:rPr>
        <w:t>P 699.</w:t>
      </w:r>
    </w:p>
    <w:p w14:paraId="724BB599" w14:textId="77777777" w:rsidR="00BF538B" w:rsidRPr="004B1906" w:rsidRDefault="00BF538B" w:rsidP="00DB64B7">
      <w:pPr>
        <w:pStyle w:val="FootnoteText"/>
        <w:rPr>
          <w:sz w:val="26"/>
          <w:szCs w:val="26"/>
        </w:rPr>
      </w:pPr>
    </w:p>
  </w:footnote>
  <w:footnote w:id="66">
    <w:p w14:paraId="5D82A139" w14:textId="77777777" w:rsidR="00BF538B" w:rsidRDefault="00BF538B" w:rsidP="00DB64B7">
      <w:pPr>
        <w:pStyle w:val="FootnoteText"/>
        <w:rPr>
          <w:sz w:val="26"/>
          <w:szCs w:val="26"/>
        </w:rPr>
      </w:pPr>
      <w:r w:rsidRPr="008C7DE0">
        <w:rPr>
          <w:rStyle w:val="FootnoteReference"/>
          <w:sz w:val="26"/>
          <w:szCs w:val="26"/>
          <w:vertAlign w:val="superscript"/>
        </w:rPr>
        <w:footnoteRef/>
      </w:r>
      <w:r w:rsidRPr="00CE3384">
        <w:rPr>
          <w:sz w:val="26"/>
          <w:szCs w:val="26"/>
        </w:rPr>
        <w:t xml:space="preserve"> </w:t>
      </w:r>
      <w:r w:rsidRPr="00CE3384">
        <w:rPr>
          <w:i/>
          <w:iCs/>
          <w:sz w:val="26"/>
          <w:szCs w:val="26"/>
        </w:rPr>
        <w:t>Id</w:t>
      </w:r>
      <w:r w:rsidRPr="00CE3384">
        <w:rPr>
          <w:i/>
          <w:sz w:val="26"/>
          <w:szCs w:val="26"/>
        </w:rPr>
        <w:t>.</w:t>
      </w:r>
      <w:r w:rsidRPr="00CE3384">
        <w:rPr>
          <w:sz w:val="26"/>
          <w:szCs w:val="26"/>
        </w:rPr>
        <w:t xml:space="preserve"> </w:t>
      </w:r>
    </w:p>
    <w:p w14:paraId="776FDE3F" w14:textId="77777777" w:rsidR="00BF538B" w:rsidRPr="00CE3384" w:rsidRDefault="00BF538B" w:rsidP="00DB64B7">
      <w:pPr>
        <w:pStyle w:val="FootnoteText"/>
        <w:rPr>
          <w:sz w:val="26"/>
          <w:szCs w:val="26"/>
        </w:rPr>
      </w:pPr>
    </w:p>
  </w:footnote>
  <w:footnote w:id="67">
    <w:p w14:paraId="19AE0F39" w14:textId="77777777" w:rsidR="00BF538B" w:rsidRDefault="00BF538B" w:rsidP="00DB64B7">
      <w:pPr>
        <w:pStyle w:val="FootnoteText"/>
        <w:rPr>
          <w:sz w:val="26"/>
          <w:szCs w:val="26"/>
        </w:rPr>
      </w:pPr>
      <w:r w:rsidRPr="00AF1402">
        <w:rPr>
          <w:rStyle w:val="FootnoteReference"/>
          <w:sz w:val="26"/>
          <w:szCs w:val="26"/>
          <w:vertAlign w:val="superscript"/>
        </w:rPr>
        <w:footnoteRef/>
      </w:r>
      <w:r w:rsidRPr="00D058E8">
        <w:rPr>
          <w:sz w:val="26"/>
          <w:szCs w:val="26"/>
        </w:rPr>
        <w:t xml:space="preserve"> </w:t>
      </w:r>
      <w:r w:rsidRPr="00D058E8">
        <w:rPr>
          <w:i/>
          <w:iCs/>
          <w:sz w:val="26"/>
          <w:szCs w:val="26"/>
        </w:rPr>
        <w:t>Id</w:t>
      </w:r>
      <w:r w:rsidRPr="00D058E8">
        <w:rPr>
          <w:i/>
          <w:sz w:val="26"/>
          <w:szCs w:val="26"/>
        </w:rPr>
        <w:t>.</w:t>
      </w:r>
      <w:r w:rsidRPr="00D058E8">
        <w:rPr>
          <w:sz w:val="26"/>
          <w:szCs w:val="26"/>
        </w:rPr>
        <w:t xml:space="preserve"> </w:t>
      </w:r>
    </w:p>
    <w:p w14:paraId="458ACCC2" w14:textId="77777777" w:rsidR="00BF538B" w:rsidRPr="00D058E8" w:rsidRDefault="00BF538B" w:rsidP="00DB64B7">
      <w:pPr>
        <w:pStyle w:val="FootnoteText"/>
        <w:rPr>
          <w:sz w:val="26"/>
          <w:szCs w:val="26"/>
        </w:rPr>
      </w:pPr>
    </w:p>
  </w:footnote>
  <w:footnote w:id="68">
    <w:p w14:paraId="78DDFA27" w14:textId="77777777" w:rsidR="00BF538B" w:rsidRPr="00CE3384" w:rsidRDefault="00BF538B" w:rsidP="001961BA">
      <w:pPr>
        <w:pStyle w:val="FootnoteText"/>
        <w:spacing w:after="240"/>
        <w:rPr>
          <w:sz w:val="26"/>
          <w:szCs w:val="26"/>
        </w:rPr>
      </w:pPr>
      <w:r w:rsidRPr="008C7DE0">
        <w:rPr>
          <w:rStyle w:val="FootnoteReference"/>
          <w:sz w:val="26"/>
          <w:szCs w:val="26"/>
          <w:vertAlign w:val="superscript"/>
        </w:rPr>
        <w:footnoteRef/>
      </w:r>
      <w:r w:rsidRPr="00CE3384">
        <w:rPr>
          <w:sz w:val="26"/>
          <w:szCs w:val="26"/>
        </w:rPr>
        <w:t xml:space="preserve"> </w:t>
      </w:r>
      <w:r w:rsidRPr="00CE3384">
        <w:rPr>
          <w:i/>
          <w:iCs/>
          <w:sz w:val="26"/>
          <w:szCs w:val="26"/>
        </w:rPr>
        <w:t>Commission Information Collection Activities (FERC-556); Comment Request; Extension</w:t>
      </w:r>
      <w:r w:rsidRPr="00CE3384">
        <w:rPr>
          <w:sz w:val="26"/>
          <w:szCs w:val="26"/>
        </w:rPr>
        <w:t>, Docket No. IC19-16-000 (issued May 15, 2019).</w:t>
      </w:r>
    </w:p>
  </w:footnote>
  <w:footnote w:id="69">
    <w:p w14:paraId="76D2958A" w14:textId="77777777" w:rsidR="00BF538B" w:rsidRDefault="00BF538B" w:rsidP="001961BA">
      <w:pPr>
        <w:pStyle w:val="FootnoteText"/>
        <w:spacing w:after="240"/>
        <w:rPr>
          <w:rFonts w:eastAsiaTheme="minorHAnsi"/>
          <w:color w:val="333333"/>
          <w:sz w:val="26"/>
          <w:szCs w:val="26"/>
        </w:rPr>
      </w:pPr>
      <w:r w:rsidRPr="00AF1402">
        <w:rPr>
          <w:rStyle w:val="FootnoteReference"/>
          <w:sz w:val="26"/>
          <w:szCs w:val="26"/>
          <w:vertAlign w:val="superscript"/>
        </w:rPr>
        <w:footnoteRef/>
      </w:r>
      <w:r w:rsidRPr="008C7DE0">
        <w:rPr>
          <w:sz w:val="26"/>
          <w:szCs w:val="26"/>
        </w:rPr>
        <w:t xml:space="preserve"> </w:t>
      </w:r>
      <w:r w:rsidRPr="008C7DE0">
        <w:rPr>
          <w:rFonts w:eastAsiaTheme="minorHAnsi"/>
          <w:color w:val="333333"/>
          <w:sz w:val="26"/>
          <w:szCs w:val="26"/>
        </w:rPr>
        <w:t>Order No. 872, 172 FERC ¶ 61,041 at P 699.</w:t>
      </w:r>
    </w:p>
    <w:p w14:paraId="07BFB437" w14:textId="77777777" w:rsidR="00BF538B" w:rsidRPr="008C7DE0" w:rsidRDefault="00BF538B" w:rsidP="00DB64B7">
      <w:pPr>
        <w:pStyle w:val="FootnoteText"/>
        <w:rPr>
          <w:sz w:val="26"/>
          <w:szCs w:val="26"/>
        </w:rPr>
      </w:pPr>
    </w:p>
  </w:footnote>
  <w:footnote w:id="70">
    <w:p w14:paraId="607156CE" w14:textId="77777777" w:rsidR="00BF538B" w:rsidRDefault="00BF538B" w:rsidP="00DB64B7">
      <w:pPr>
        <w:pStyle w:val="FootnoteText"/>
        <w:rPr>
          <w:sz w:val="26"/>
          <w:szCs w:val="26"/>
        </w:rPr>
      </w:pPr>
      <w:r w:rsidRPr="00CE3384">
        <w:rPr>
          <w:rStyle w:val="FootnoteReference"/>
          <w:sz w:val="26"/>
          <w:szCs w:val="26"/>
          <w:vertAlign w:val="superscript"/>
        </w:rPr>
        <w:footnoteRef/>
      </w:r>
      <w:r w:rsidRPr="00D058E8">
        <w:rPr>
          <w:sz w:val="26"/>
          <w:szCs w:val="26"/>
        </w:rPr>
        <w:t xml:space="preserve"> </w:t>
      </w:r>
      <w:r w:rsidRPr="00D058E8">
        <w:rPr>
          <w:i/>
          <w:iCs/>
          <w:sz w:val="26"/>
          <w:szCs w:val="26"/>
        </w:rPr>
        <w:t>Id</w:t>
      </w:r>
      <w:r w:rsidRPr="00D058E8">
        <w:rPr>
          <w:i/>
          <w:sz w:val="26"/>
          <w:szCs w:val="26"/>
        </w:rPr>
        <w:t>.</w:t>
      </w:r>
      <w:r w:rsidRPr="00D058E8">
        <w:rPr>
          <w:sz w:val="26"/>
          <w:szCs w:val="26"/>
        </w:rPr>
        <w:t xml:space="preserve"> </w:t>
      </w:r>
    </w:p>
    <w:p w14:paraId="771BF8D8" w14:textId="77777777" w:rsidR="00BF538B" w:rsidRPr="00D058E8" w:rsidRDefault="00BF538B" w:rsidP="00DB64B7">
      <w:pPr>
        <w:pStyle w:val="FootnoteText"/>
        <w:rPr>
          <w:sz w:val="26"/>
          <w:szCs w:val="26"/>
        </w:rPr>
      </w:pPr>
    </w:p>
  </w:footnote>
  <w:footnote w:id="71">
    <w:p w14:paraId="072678C6" w14:textId="77777777" w:rsidR="00BF538B" w:rsidRPr="00CE3384" w:rsidRDefault="00BF538B" w:rsidP="001961BA">
      <w:pPr>
        <w:pStyle w:val="FootnoteText"/>
        <w:spacing w:after="240"/>
        <w:rPr>
          <w:sz w:val="26"/>
          <w:szCs w:val="26"/>
        </w:rPr>
      </w:pPr>
      <w:r w:rsidRPr="008C7DE0">
        <w:rPr>
          <w:rStyle w:val="FootnoteReference"/>
          <w:sz w:val="26"/>
          <w:szCs w:val="26"/>
          <w:vertAlign w:val="superscript"/>
        </w:rPr>
        <w:footnoteRef/>
      </w:r>
      <w:r w:rsidRPr="00CE3384">
        <w:rPr>
          <w:sz w:val="26"/>
          <w:szCs w:val="26"/>
        </w:rPr>
        <w:t xml:space="preserve"> </w:t>
      </w:r>
      <w:r w:rsidRPr="00CE3384">
        <w:rPr>
          <w:i/>
          <w:iCs/>
          <w:sz w:val="26"/>
          <w:szCs w:val="26"/>
        </w:rPr>
        <w:t>Id</w:t>
      </w:r>
      <w:r w:rsidRPr="00CE3384">
        <w:rPr>
          <w:i/>
          <w:sz w:val="26"/>
          <w:szCs w:val="26"/>
        </w:rPr>
        <w:t>.</w:t>
      </w:r>
      <w:r w:rsidRPr="00CE3384">
        <w:rPr>
          <w:sz w:val="26"/>
          <w:szCs w:val="26"/>
        </w:rPr>
        <w:t xml:space="preserve"> </w:t>
      </w:r>
    </w:p>
  </w:footnote>
  <w:footnote w:id="72">
    <w:p w14:paraId="69F3F29C" w14:textId="77777777" w:rsidR="00BF538B" w:rsidRDefault="00BF538B" w:rsidP="00DB64B7">
      <w:pPr>
        <w:pStyle w:val="FootnoteText"/>
        <w:rPr>
          <w:rFonts w:eastAsiaTheme="minorHAnsi"/>
          <w:color w:val="333333"/>
          <w:sz w:val="26"/>
          <w:szCs w:val="26"/>
        </w:rPr>
      </w:pPr>
      <w:r w:rsidRPr="00D058E8">
        <w:rPr>
          <w:rStyle w:val="FootnoteReference"/>
          <w:sz w:val="26"/>
          <w:szCs w:val="26"/>
          <w:vertAlign w:val="superscript"/>
        </w:rPr>
        <w:footnoteRef/>
      </w:r>
      <w:r w:rsidRPr="004B1906">
        <w:rPr>
          <w:sz w:val="26"/>
          <w:szCs w:val="26"/>
        </w:rPr>
        <w:t xml:space="preserve"> </w:t>
      </w:r>
      <w:r w:rsidRPr="004B1906">
        <w:rPr>
          <w:i/>
          <w:iCs/>
          <w:sz w:val="26"/>
          <w:szCs w:val="26"/>
        </w:rPr>
        <w:t>Id</w:t>
      </w:r>
      <w:r w:rsidRPr="004B1906">
        <w:rPr>
          <w:i/>
          <w:sz w:val="26"/>
          <w:szCs w:val="26"/>
        </w:rPr>
        <w:t>.</w:t>
      </w:r>
      <w:r w:rsidRPr="004B1906">
        <w:rPr>
          <w:sz w:val="26"/>
          <w:szCs w:val="26"/>
        </w:rPr>
        <w:t xml:space="preserve"> </w:t>
      </w:r>
      <w:r w:rsidRPr="004B1906">
        <w:rPr>
          <w:rFonts w:eastAsiaTheme="minorHAnsi"/>
          <w:color w:val="333333"/>
          <w:sz w:val="26"/>
          <w:szCs w:val="26"/>
        </w:rPr>
        <w:t>P 698.</w:t>
      </w:r>
    </w:p>
    <w:p w14:paraId="4EAF2ABB" w14:textId="77777777" w:rsidR="00BF538B" w:rsidRPr="004B1906" w:rsidRDefault="00BF538B" w:rsidP="00DB64B7">
      <w:pPr>
        <w:pStyle w:val="FootnoteText"/>
        <w:rPr>
          <w:sz w:val="26"/>
          <w:szCs w:val="26"/>
        </w:rPr>
      </w:pPr>
    </w:p>
  </w:footnote>
  <w:footnote w:id="73">
    <w:p w14:paraId="31071C87" w14:textId="77777777" w:rsidR="00BF538B" w:rsidRDefault="00BF538B" w:rsidP="00DB64B7">
      <w:pPr>
        <w:pStyle w:val="FootnoteText"/>
        <w:rPr>
          <w:rFonts w:eastAsiaTheme="minorHAnsi"/>
          <w:color w:val="333333"/>
          <w:sz w:val="26"/>
          <w:szCs w:val="26"/>
        </w:rPr>
      </w:pPr>
      <w:r w:rsidRPr="004B1906">
        <w:rPr>
          <w:rStyle w:val="FootnoteReference"/>
          <w:sz w:val="26"/>
          <w:szCs w:val="26"/>
          <w:vertAlign w:val="superscript"/>
        </w:rPr>
        <w:footnoteRef/>
      </w:r>
      <w:r w:rsidRPr="004B1906">
        <w:rPr>
          <w:sz w:val="26"/>
          <w:szCs w:val="26"/>
        </w:rPr>
        <w:t xml:space="preserve"> </w:t>
      </w:r>
      <w:r w:rsidRPr="004B1906">
        <w:rPr>
          <w:i/>
          <w:iCs/>
          <w:sz w:val="26"/>
          <w:szCs w:val="26"/>
        </w:rPr>
        <w:t>Id</w:t>
      </w:r>
      <w:r w:rsidRPr="004B1906">
        <w:rPr>
          <w:i/>
          <w:sz w:val="26"/>
          <w:szCs w:val="26"/>
        </w:rPr>
        <w:t>.</w:t>
      </w:r>
      <w:r w:rsidRPr="004B1906">
        <w:rPr>
          <w:sz w:val="26"/>
          <w:szCs w:val="26"/>
        </w:rPr>
        <w:t xml:space="preserve"> </w:t>
      </w:r>
      <w:r w:rsidRPr="004B1906">
        <w:rPr>
          <w:rFonts w:eastAsiaTheme="minorHAnsi"/>
          <w:color w:val="333333"/>
          <w:sz w:val="26"/>
          <w:szCs w:val="26"/>
        </w:rPr>
        <w:t>P 699.</w:t>
      </w:r>
    </w:p>
    <w:p w14:paraId="78DE43A7" w14:textId="77777777" w:rsidR="00BF538B" w:rsidRPr="004B1906" w:rsidRDefault="00BF538B" w:rsidP="00DB64B7">
      <w:pPr>
        <w:pStyle w:val="FootnoteText"/>
        <w:rPr>
          <w:sz w:val="26"/>
          <w:szCs w:val="26"/>
        </w:rPr>
      </w:pPr>
    </w:p>
  </w:footnote>
  <w:footnote w:id="74">
    <w:p w14:paraId="01D64AFE" w14:textId="77777777" w:rsidR="00BF538B" w:rsidRDefault="00BF538B" w:rsidP="00DB64B7">
      <w:pPr>
        <w:pStyle w:val="FootnoteText"/>
        <w:rPr>
          <w:sz w:val="26"/>
          <w:szCs w:val="26"/>
        </w:rPr>
      </w:pPr>
      <w:r w:rsidRPr="008C7DE0">
        <w:rPr>
          <w:rStyle w:val="FootnoteReference"/>
          <w:sz w:val="26"/>
          <w:szCs w:val="26"/>
          <w:vertAlign w:val="superscript"/>
        </w:rPr>
        <w:footnoteRef/>
      </w:r>
      <w:r w:rsidRPr="00CE3384">
        <w:rPr>
          <w:sz w:val="26"/>
          <w:szCs w:val="26"/>
        </w:rPr>
        <w:t xml:space="preserve"> </w:t>
      </w:r>
      <w:r w:rsidRPr="00CE3384">
        <w:rPr>
          <w:i/>
          <w:iCs/>
          <w:sz w:val="26"/>
          <w:szCs w:val="26"/>
        </w:rPr>
        <w:t>Id</w:t>
      </w:r>
      <w:r w:rsidRPr="00CE3384">
        <w:rPr>
          <w:i/>
          <w:sz w:val="26"/>
          <w:szCs w:val="26"/>
        </w:rPr>
        <w:t>.</w:t>
      </w:r>
      <w:r w:rsidRPr="00CE3384">
        <w:rPr>
          <w:sz w:val="26"/>
          <w:szCs w:val="26"/>
        </w:rPr>
        <w:t xml:space="preserve"> </w:t>
      </w:r>
    </w:p>
    <w:p w14:paraId="1507A65A" w14:textId="77777777" w:rsidR="00BF538B" w:rsidRPr="00CE3384" w:rsidRDefault="00BF538B" w:rsidP="00DB64B7">
      <w:pPr>
        <w:pStyle w:val="FootnoteText"/>
        <w:rPr>
          <w:sz w:val="26"/>
          <w:szCs w:val="26"/>
        </w:rPr>
      </w:pPr>
    </w:p>
  </w:footnote>
  <w:footnote w:id="75">
    <w:p w14:paraId="61858763" w14:textId="77777777" w:rsidR="00BF538B" w:rsidRPr="004B1906" w:rsidRDefault="00BF538B" w:rsidP="00B1462D">
      <w:pPr>
        <w:pStyle w:val="FootnoteText"/>
        <w:spacing w:after="240"/>
        <w:rPr>
          <w:sz w:val="26"/>
          <w:szCs w:val="26"/>
        </w:rPr>
      </w:pPr>
      <w:r w:rsidRPr="00D058E8">
        <w:rPr>
          <w:rStyle w:val="FootnoteReference"/>
          <w:sz w:val="26"/>
          <w:szCs w:val="26"/>
          <w:vertAlign w:val="superscript"/>
        </w:rPr>
        <w:footnoteRef/>
      </w:r>
      <w:r w:rsidRPr="004B1906">
        <w:rPr>
          <w:sz w:val="26"/>
          <w:szCs w:val="26"/>
        </w:rPr>
        <w:t xml:space="preserve"> </w:t>
      </w:r>
      <w:r w:rsidRPr="004B1906">
        <w:rPr>
          <w:i/>
          <w:iCs/>
          <w:sz w:val="26"/>
          <w:szCs w:val="26"/>
        </w:rPr>
        <w:t>Id</w:t>
      </w:r>
      <w:r w:rsidRPr="004B1906">
        <w:rPr>
          <w:i/>
          <w:sz w:val="26"/>
          <w:szCs w:val="26"/>
        </w:rPr>
        <w:t>.</w:t>
      </w:r>
      <w:r w:rsidRPr="004B1906">
        <w:rPr>
          <w:sz w:val="26"/>
          <w:szCs w:val="26"/>
        </w:rPr>
        <w:t xml:space="preserve"> </w:t>
      </w:r>
    </w:p>
  </w:footnote>
  <w:footnote w:id="76">
    <w:p w14:paraId="5AA7D6C0" w14:textId="77777777" w:rsidR="00BF538B" w:rsidRDefault="00BF538B" w:rsidP="00E66276">
      <w:pPr>
        <w:widowControl/>
        <w:rPr>
          <w:rFonts w:eastAsiaTheme="minorHAnsi"/>
          <w:color w:val="333333"/>
          <w:sz w:val="26"/>
          <w:szCs w:val="26"/>
        </w:rPr>
      </w:pPr>
      <w:r w:rsidRPr="00E66276">
        <w:rPr>
          <w:rStyle w:val="FootnoteReference"/>
          <w:sz w:val="26"/>
          <w:szCs w:val="26"/>
          <w:vertAlign w:val="superscript"/>
        </w:rPr>
        <w:footnoteRef/>
      </w:r>
      <w:r w:rsidRPr="008C7DE0">
        <w:rPr>
          <w:sz w:val="26"/>
          <w:szCs w:val="26"/>
        </w:rPr>
        <w:t xml:space="preserve"> </w:t>
      </w:r>
      <w:r w:rsidRPr="008C7DE0">
        <w:rPr>
          <w:i/>
          <w:iCs/>
          <w:sz w:val="26"/>
          <w:szCs w:val="26"/>
        </w:rPr>
        <w:t>Id.</w:t>
      </w:r>
      <w:r w:rsidRPr="008C7DE0">
        <w:rPr>
          <w:sz w:val="26"/>
          <w:szCs w:val="26"/>
        </w:rPr>
        <w:t xml:space="preserve"> </w:t>
      </w:r>
      <w:r w:rsidRPr="008C7DE0">
        <w:rPr>
          <w:rFonts w:eastAsiaTheme="minorHAnsi"/>
          <w:color w:val="333333"/>
          <w:sz w:val="26"/>
          <w:szCs w:val="26"/>
        </w:rPr>
        <w:t>P 699 n.1050.</w:t>
      </w:r>
    </w:p>
    <w:p w14:paraId="73E67244" w14:textId="77777777" w:rsidR="00BF538B" w:rsidRPr="008C7DE0" w:rsidRDefault="00BF538B" w:rsidP="00E66276">
      <w:pPr>
        <w:widowControl/>
        <w:rPr>
          <w:sz w:val="26"/>
          <w:szCs w:val="26"/>
        </w:rPr>
      </w:pPr>
    </w:p>
  </w:footnote>
  <w:footnote w:id="77">
    <w:p w14:paraId="6ABA97D5" w14:textId="77777777" w:rsidR="00BF538B" w:rsidRDefault="00BF538B" w:rsidP="00DB64B7">
      <w:pPr>
        <w:pStyle w:val="FootnoteText"/>
        <w:rPr>
          <w:rFonts w:eastAsiaTheme="minorHAnsi"/>
          <w:color w:val="333333"/>
          <w:sz w:val="26"/>
          <w:szCs w:val="26"/>
        </w:rPr>
      </w:pPr>
      <w:r w:rsidRPr="00D058E8">
        <w:rPr>
          <w:rStyle w:val="FootnoteReference"/>
          <w:sz w:val="26"/>
          <w:szCs w:val="26"/>
          <w:vertAlign w:val="superscript"/>
        </w:rPr>
        <w:footnoteRef/>
      </w:r>
      <w:r w:rsidRPr="004B1906">
        <w:rPr>
          <w:sz w:val="26"/>
          <w:szCs w:val="26"/>
        </w:rPr>
        <w:t xml:space="preserve"> </w:t>
      </w:r>
      <w:r w:rsidRPr="004B1906">
        <w:rPr>
          <w:i/>
          <w:iCs/>
          <w:sz w:val="26"/>
          <w:szCs w:val="26"/>
        </w:rPr>
        <w:t>Id</w:t>
      </w:r>
      <w:r w:rsidRPr="004B1906">
        <w:rPr>
          <w:i/>
          <w:sz w:val="26"/>
          <w:szCs w:val="26"/>
        </w:rPr>
        <w:t>.</w:t>
      </w:r>
      <w:r w:rsidRPr="004B1906">
        <w:rPr>
          <w:sz w:val="26"/>
          <w:szCs w:val="26"/>
        </w:rPr>
        <w:t xml:space="preserve"> </w:t>
      </w:r>
      <w:r w:rsidRPr="004B1906">
        <w:rPr>
          <w:rFonts w:eastAsiaTheme="minorHAnsi"/>
          <w:color w:val="333333"/>
          <w:sz w:val="26"/>
          <w:szCs w:val="26"/>
        </w:rPr>
        <w:t>P 699.</w:t>
      </w:r>
    </w:p>
    <w:p w14:paraId="135FAD69" w14:textId="77777777" w:rsidR="00BF538B" w:rsidRPr="004B1906" w:rsidRDefault="00BF538B" w:rsidP="00DB64B7">
      <w:pPr>
        <w:pStyle w:val="FootnoteText"/>
        <w:rPr>
          <w:sz w:val="26"/>
          <w:szCs w:val="26"/>
        </w:rPr>
      </w:pPr>
    </w:p>
  </w:footnote>
  <w:footnote w:id="78">
    <w:p w14:paraId="588C3F41" w14:textId="77777777" w:rsidR="00BF538B" w:rsidRDefault="00BF538B" w:rsidP="00DB64B7">
      <w:pPr>
        <w:pStyle w:val="FootnoteText"/>
        <w:rPr>
          <w:sz w:val="26"/>
          <w:szCs w:val="26"/>
        </w:rPr>
      </w:pPr>
      <w:r w:rsidRPr="004B1906">
        <w:rPr>
          <w:rStyle w:val="FootnoteReference"/>
          <w:sz w:val="26"/>
          <w:szCs w:val="26"/>
          <w:vertAlign w:val="superscript"/>
        </w:rPr>
        <w:footnoteRef/>
      </w:r>
      <w:r w:rsidRPr="00232E09">
        <w:rPr>
          <w:sz w:val="26"/>
          <w:szCs w:val="26"/>
        </w:rPr>
        <w:t xml:space="preserve"> </w:t>
      </w:r>
      <w:r w:rsidRPr="00232E09">
        <w:rPr>
          <w:i/>
          <w:sz w:val="26"/>
          <w:szCs w:val="26"/>
        </w:rPr>
        <w:t>Id.</w:t>
      </w:r>
      <w:r w:rsidRPr="00232E09">
        <w:rPr>
          <w:sz w:val="26"/>
          <w:szCs w:val="26"/>
        </w:rPr>
        <w:t xml:space="preserve"> </w:t>
      </w:r>
    </w:p>
    <w:p w14:paraId="17637D9A" w14:textId="77777777" w:rsidR="00BF538B" w:rsidRPr="00232E09" w:rsidRDefault="00BF538B" w:rsidP="00DB64B7">
      <w:pPr>
        <w:pStyle w:val="FootnoteText"/>
        <w:rPr>
          <w:sz w:val="26"/>
          <w:szCs w:val="26"/>
        </w:rPr>
      </w:pPr>
    </w:p>
  </w:footnote>
  <w:footnote w:id="79">
    <w:p w14:paraId="5ED64061" w14:textId="77777777" w:rsidR="00BF538B" w:rsidRPr="00E66276" w:rsidRDefault="00BF538B" w:rsidP="00B1462D">
      <w:pPr>
        <w:pStyle w:val="FootnoteText"/>
        <w:spacing w:after="240"/>
        <w:rPr>
          <w:sz w:val="26"/>
          <w:szCs w:val="26"/>
        </w:rPr>
      </w:pPr>
      <w:r w:rsidRPr="00232E09">
        <w:rPr>
          <w:rStyle w:val="FootnoteReference"/>
          <w:sz w:val="26"/>
          <w:szCs w:val="26"/>
          <w:vertAlign w:val="superscript"/>
        </w:rPr>
        <w:footnoteRef/>
      </w:r>
      <w:r w:rsidRPr="00E66276">
        <w:rPr>
          <w:sz w:val="26"/>
          <w:szCs w:val="26"/>
        </w:rPr>
        <w:t xml:space="preserve"> Public Interest Organizations Request for Rehearing at 117 (citing </w:t>
      </w:r>
      <w:r w:rsidRPr="00E66276">
        <w:rPr>
          <w:color w:val="201F1E"/>
          <w:sz w:val="26"/>
          <w:szCs w:val="26"/>
          <w:shd w:val="clear" w:color="auto" w:fill="FFFFFF"/>
        </w:rPr>
        <w:t xml:space="preserve">Order No. 872, 172 FERC ¶ 61,041 </w:t>
      </w:r>
      <w:r w:rsidRPr="00E66276">
        <w:rPr>
          <w:sz w:val="26"/>
          <w:szCs w:val="26"/>
        </w:rPr>
        <w:t>at P 587).</w:t>
      </w:r>
    </w:p>
  </w:footnote>
  <w:footnote w:id="80">
    <w:p w14:paraId="5C70B55C" w14:textId="77777777" w:rsidR="00BF538B" w:rsidRDefault="00BF538B" w:rsidP="00E872C0">
      <w:pPr>
        <w:pStyle w:val="FootnoteText"/>
        <w:rPr>
          <w:rFonts w:eastAsiaTheme="minorHAnsi"/>
          <w:color w:val="333333"/>
          <w:sz w:val="26"/>
          <w:szCs w:val="26"/>
        </w:rPr>
      </w:pPr>
      <w:r w:rsidRPr="00AF1402">
        <w:rPr>
          <w:rStyle w:val="FootnoteReference"/>
          <w:sz w:val="26"/>
          <w:szCs w:val="26"/>
          <w:vertAlign w:val="superscript"/>
        </w:rPr>
        <w:footnoteRef/>
      </w:r>
      <w:r w:rsidRPr="00E66276">
        <w:rPr>
          <w:sz w:val="26"/>
          <w:szCs w:val="26"/>
        </w:rPr>
        <w:t xml:space="preserve"> </w:t>
      </w:r>
      <w:r w:rsidRPr="00E66276">
        <w:rPr>
          <w:i/>
          <w:sz w:val="26"/>
          <w:szCs w:val="26"/>
        </w:rPr>
        <w:t>See</w:t>
      </w:r>
      <w:r w:rsidRPr="00E66276">
        <w:rPr>
          <w:sz w:val="26"/>
          <w:szCs w:val="26"/>
        </w:rPr>
        <w:t xml:space="preserve"> </w:t>
      </w:r>
      <w:r w:rsidRPr="00E66276">
        <w:rPr>
          <w:rFonts w:eastAsiaTheme="minorHAnsi"/>
          <w:color w:val="333333"/>
          <w:sz w:val="26"/>
          <w:szCs w:val="26"/>
        </w:rPr>
        <w:t>Order No. 872, 172 FERC ¶ 61,041 at P 587.  The majority of QFs choose the less burdensome option to self-certify pursuant to 18 C</w:t>
      </w:r>
      <w:r>
        <w:rPr>
          <w:rFonts w:eastAsiaTheme="minorHAnsi"/>
          <w:color w:val="333333"/>
          <w:sz w:val="26"/>
          <w:szCs w:val="26"/>
        </w:rPr>
        <w:t>.</w:t>
      </w:r>
      <w:r w:rsidRPr="008C7DE0">
        <w:rPr>
          <w:rFonts w:eastAsiaTheme="minorHAnsi"/>
          <w:color w:val="333333"/>
          <w:sz w:val="26"/>
          <w:szCs w:val="26"/>
        </w:rPr>
        <w:t>F</w:t>
      </w:r>
      <w:r>
        <w:rPr>
          <w:rFonts w:eastAsiaTheme="minorHAnsi"/>
          <w:color w:val="333333"/>
          <w:sz w:val="26"/>
          <w:szCs w:val="26"/>
        </w:rPr>
        <w:t>.</w:t>
      </w:r>
      <w:r w:rsidRPr="00CE3384">
        <w:rPr>
          <w:rFonts w:eastAsiaTheme="minorHAnsi"/>
          <w:color w:val="333333"/>
          <w:sz w:val="26"/>
          <w:szCs w:val="26"/>
        </w:rPr>
        <w:t>R</w:t>
      </w:r>
      <w:r>
        <w:rPr>
          <w:rFonts w:eastAsiaTheme="minorHAnsi"/>
          <w:color w:val="333333"/>
          <w:sz w:val="26"/>
          <w:szCs w:val="26"/>
        </w:rPr>
        <w:t>.</w:t>
      </w:r>
      <w:r w:rsidRPr="00D058E8">
        <w:rPr>
          <w:rFonts w:eastAsiaTheme="minorHAnsi"/>
          <w:color w:val="333333"/>
          <w:sz w:val="26"/>
          <w:szCs w:val="26"/>
        </w:rPr>
        <w:t xml:space="preserve"> </w:t>
      </w:r>
      <w:r>
        <w:rPr>
          <w:rFonts w:eastAsiaTheme="minorHAnsi"/>
          <w:color w:val="333333"/>
          <w:sz w:val="26"/>
          <w:szCs w:val="26"/>
        </w:rPr>
        <w:t xml:space="preserve">§ </w:t>
      </w:r>
      <w:r w:rsidRPr="004B1906">
        <w:rPr>
          <w:rFonts w:eastAsiaTheme="minorHAnsi"/>
          <w:color w:val="333333"/>
          <w:sz w:val="26"/>
          <w:szCs w:val="26"/>
        </w:rPr>
        <w:t>292.207(a), by filing a Form No. 556.  An application for Commission certification pursuant to 18 C</w:t>
      </w:r>
      <w:r>
        <w:rPr>
          <w:rFonts w:eastAsiaTheme="minorHAnsi"/>
          <w:color w:val="333333"/>
          <w:sz w:val="26"/>
          <w:szCs w:val="26"/>
        </w:rPr>
        <w:t>.</w:t>
      </w:r>
      <w:r w:rsidRPr="004B1906">
        <w:rPr>
          <w:rFonts w:eastAsiaTheme="minorHAnsi"/>
          <w:color w:val="333333"/>
          <w:sz w:val="26"/>
          <w:szCs w:val="26"/>
        </w:rPr>
        <w:t>F</w:t>
      </w:r>
      <w:r>
        <w:rPr>
          <w:rFonts w:eastAsiaTheme="minorHAnsi"/>
          <w:color w:val="333333"/>
          <w:sz w:val="26"/>
          <w:szCs w:val="26"/>
        </w:rPr>
        <w:t>.</w:t>
      </w:r>
      <w:r w:rsidRPr="004B1906">
        <w:rPr>
          <w:rFonts w:eastAsiaTheme="minorHAnsi"/>
          <w:color w:val="333333"/>
          <w:sz w:val="26"/>
          <w:szCs w:val="26"/>
        </w:rPr>
        <w:t>R</w:t>
      </w:r>
      <w:r>
        <w:rPr>
          <w:rFonts w:eastAsiaTheme="minorHAnsi"/>
          <w:color w:val="333333"/>
          <w:sz w:val="26"/>
          <w:szCs w:val="26"/>
        </w:rPr>
        <w:t>.</w:t>
      </w:r>
      <w:r w:rsidRPr="004B1906">
        <w:rPr>
          <w:rFonts w:eastAsiaTheme="minorHAnsi"/>
          <w:color w:val="333333"/>
          <w:sz w:val="26"/>
          <w:szCs w:val="26"/>
        </w:rPr>
        <w:t xml:space="preserve"> </w:t>
      </w:r>
      <w:r>
        <w:rPr>
          <w:rFonts w:eastAsiaTheme="minorHAnsi"/>
          <w:color w:val="333333"/>
          <w:sz w:val="26"/>
          <w:szCs w:val="26"/>
        </w:rPr>
        <w:t xml:space="preserve">§ </w:t>
      </w:r>
      <w:r w:rsidRPr="004B1906">
        <w:rPr>
          <w:rFonts w:eastAsiaTheme="minorHAnsi"/>
          <w:color w:val="333333"/>
          <w:sz w:val="26"/>
          <w:szCs w:val="26"/>
        </w:rPr>
        <w:t xml:space="preserve">292.207(b) also requires filing the Form No. 556, but applicants for Commission certification typically additionally prepare a written petition arguing why the Commission should grant QF status.  </w:t>
      </w:r>
    </w:p>
    <w:p w14:paraId="6AEA6861" w14:textId="77777777" w:rsidR="00BF538B" w:rsidRPr="004B1906" w:rsidRDefault="00BF538B" w:rsidP="00E872C0">
      <w:pPr>
        <w:pStyle w:val="FootnoteText"/>
        <w:rPr>
          <w:sz w:val="26"/>
          <w:szCs w:val="26"/>
        </w:rPr>
      </w:pPr>
    </w:p>
  </w:footnote>
  <w:footnote w:id="81">
    <w:p w14:paraId="3DB348E6" w14:textId="77777777" w:rsidR="00BF538B" w:rsidRPr="00D058E8" w:rsidRDefault="00BF538B" w:rsidP="00E872C0">
      <w:pPr>
        <w:pStyle w:val="FootnoteText"/>
        <w:rPr>
          <w:sz w:val="26"/>
          <w:szCs w:val="26"/>
        </w:rPr>
      </w:pPr>
      <w:r w:rsidRPr="008C7DE0">
        <w:rPr>
          <w:rStyle w:val="FootnoteReference"/>
          <w:sz w:val="26"/>
          <w:szCs w:val="26"/>
          <w:vertAlign w:val="superscript"/>
        </w:rPr>
        <w:footnoteRef/>
      </w:r>
      <w:r w:rsidRPr="00D058E8">
        <w:rPr>
          <w:sz w:val="26"/>
          <w:szCs w:val="26"/>
        </w:rPr>
        <w:t xml:space="preserve"> </w:t>
      </w:r>
      <w:r w:rsidRPr="00D058E8">
        <w:rPr>
          <w:i/>
          <w:sz w:val="26"/>
          <w:szCs w:val="26"/>
        </w:rPr>
        <w:t>Commission Information Collection Activities (FERC-556); Comment Request; Extension</w:t>
      </w:r>
      <w:r w:rsidRPr="00D058E8">
        <w:rPr>
          <w:sz w:val="26"/>
          <w:szCs w:val="26"/>
        </w:rPr>
        <w:t>, Docket No. IC19-16-000, at 5 (issued May 15, 2019).</w:t>
      </w:r>
    </w:p>
  </w:footnote>
  <w:footnote w:id="82">
    <w:p w14:paraId="22007C8B" w14:textId="77777777" w:rsidR="00BF538B" w:rsidRDefault="00BF538B" w:rsidP="0070402E">
      <w:pPr>
        <w:pStyle w:val="FootnoteText"/>
        <w:rPr>
          <w:sz w:val="26"/>
          <w:szCs w:val="26"/>
        </w:rPr>
      </w:pPr>
      <w:r w:rsidRPr="009B25B3">
        <w:rPr>
          <w:rStyle w:val="FootnoteReference"/>
          <w:sz w:val="26"/>
          <w:szCs w:val="26"/>
          <w:vertAlign w:val="superscript"/>
        </w:rPr>
        <w:footnoteRef/>
      </w:r>
      <w:r w:rsidRPr="009B25B3">
        <w:rPr>
          <w:sz w:val="26"/>
          <w:szCs w:val="26"/>
          <w:vertAlign w:val="superscript"/>
        </w:rPr>
        <w:t xml:space="preserve"> </w:t>
      </w:r>
      <w:r w:rsidRPr="002B56EA">
        <w:rPr>
          <w:sz w:val="26"/>
          <w:szCs w:val="26"/>
        </w:rPr>
        <w:t xml:space="preserve">The Final Rule is posted in FERC’s eLibrary at </w:t>
      </w:r>
      <w:hyperlink r:id="rId5" w:history="1">
        <w:r w:rsidRPr="009B25B3">
          <w:rPr>
            <w:rStyle w:val="Hyperlink"/>
            <w:sz w:val="26"/>
            <w:szCs w:val="26"/>
          </w:rPr>
          <w:t>https://elibrary.ferc.gov/eLibrary/filedownload?fileid=15586408</w:t>
        </w:r>
      </w:hyperlink>
      <w:r w:rsidRPr="009B25B3">
        <w:rPr>
          <w:sz w:val="26"/>
          <w:szCs w:val="26"/>
        </w:rPr>
        <w:t>.</w:t>
      </w:r>
    </w:p>
    <w:p w14:paraId="07B6A3EF" w14:textId="77777777" w:rsidR="00BF538B" w:rsidRPr="002B56EA" w:rsidRDefault="00BF538B" w:rsidP="0070402E">
      <w:pPr>
        <w:pStyle w:val="FootnoteText"/>
        <w:rPr>
          <w:sz w:val="26"/>
          <w:szCs w:val="26"/>
        </w:rPr>
      </w:pPr>
    </w:p>
  </w:footnote>
  <w:footnote w:id="83">
    <w:p w14:paraId="79DF1288" w14:textId="77777777" w:rsidR="00EB053F" w:rsidRDefault="00F63BA0">
      <w:pPr>
        <w:pStyle w:val="FootnoteText"/>
        <w:rPr>
          <w:sz w:val="26"/>
          <w:szCs w:val="26"/>
        </w:rPr>
      </w:pPr>
      <w:r>
        <w:rPr>
          <w:rStyle w:val="FootnoteReference"/>
          <w:sz w:val="26"/>
          <w:szCs w:val="26"/>
          <w:vertAlign w:val="superscript"/>
        </w:rPr>
        <w:footnoteRef/>
      </w:r>
      <w:r>
        <w:rPr>
          <w:sz w:val="26"/>
          <w:szCs w:val="26"/>
        </w:rPr>
        <w:t xml:space="preserve"> 18 C.F.R. § 388.112.  More information on the CEII definition, program and requirements is posted at </w:t>
      </w:r>
      <w:hyperlink r:id="rId6" w:history="1">
        <w:r>
          <w:rPr>
            <w:rStyle w:val="Hyperlink"/>
            <w:sz w:val="26"/>
            <w:szCs w:val="26"/>
          </w:rPr>
          <w:t>http://www.ferc.gov</w:t>
        </w:r>
      </w:hyperlink>
      <w:r>
        <w:rPr>
          <w:sz w:val="26"/>
          <w:szCs w:val="26"/>
        </w:rPr>
        <w:t>.</w:t>
      </w:r>
    </w:p>
  </w:footnote>
  <w:footnote w:id="84">
    <w:p w14:paraId="0773775E" w14:textId="77777777" w:rsidR="00BF538B" w:rsidRDefault="00F63BA0">
      <w:pPr>
        <w:pStyle w:val="FootnoteText"/>
        <w:rPr>
          <w:sz w:val="26"/>
          <w:szCs w:val="26"/>
        </w:rPr>
      </w:pPr>
      <w:r>
        <w:rPr>
          <w:rStyle w:val="FootnoteReference"/>
          <w:sz w:val="26"/>
          <w:szCs w:val="26"/>
          <w:vertAlign w:val="superscript"/>
        </w:rPr>
        <w:footnoteRef/>
      </w:r>
      <w:r>
        <w:rPr>
          <w:sz w:val="26"/>
          <w:szCs w:val="26"/>
          <w:vertAlign w:val="superscript"/>
        </w:rPr>
        <w:t xml:space="preserve"> </w:t>
      </w:r>
      <w:r>
        <w:rPr>
          <w:sz w:val="26"/>
          <w:szCs w:val="26"/>
        </w:rPr>
        <w:t>The figures in this table reflect estimated changes to the current OMB-approved inventory for the FERC Form No. 556 (approved by the Office of Management and Budget (OMB) on November 18, 2019).  Where “no change” is indicated, the current figure is included parenthetically for information only.  Those parenthetical figures are not included in the final total for column 5.  Commission staff believes that the industry is similarly situated in terms of wages and benefits.  Therefore, cost estimates are based on FERC’s 2020 average hourly wage (and benefits) of $83.00/hour.  (The submittal to and approval of OMB in 2019 for FERC Form No. 556 was based on FERC’s 2018 average annual wage hourly rate of $79.00/hour.  Because the change from the $79.00 hourly rate to the current $83.00 hourly rate was not due to the final rule, this chart does not depict this increase.)</w:t>
      </w:r>
    </w:p>
    <w:p w14:paraId="7DD6D56D" w14:textId="77777777" w:rsidR="00EB053F" w:rsidRDefault="00EB053F">
      <w:pPr>
        <w:pStyle w:val="FootnoteText"/>
        <w:rPr>
          <w:sz w:val="26"/>
          <w:szCs w:val="26"/>
        </w:rPr>
      </w:pPr>
    </w:p>
  </w:footnote>
  <w:footnote w:id="85">
    <w:p w14:paraId="35C6B7B3" w14:textId="77777777" w:rsidR="00EB053F" w:rsidRDefault="00F63BA0" w:rsidP="006E33A1">
      <w:pPr>
        <w:pStyle w:val="FootnoteText"/>
        <w:spacing w:after="240"/>
        <w:rPr>
          <w:rStyle w:val="FootnoteReference"/>
          <w:b/>
          <w:sz w:val="26"/>
          <w:szCs w:val="26"/>
        </w:rPr>
      </w:pPr>
      <w:r>
        <w:rPr>
          <w:rStyle w:val="FootnoteReference"/>
          <w:sz w:val="26"/>
          <w:szCs w:val="26"/>
          <w:vertAlign w:val="superscript"/>
        </w:rPr>
        <w:footnoteRef/>
      </w:r>
      <w:r>
        <w:rPr>
          <w:rStyle w:val="FootnoteReference"/>
          <w:sz w:val="26"/>
          <w:szCs w:val="26"/>
        </w:rPr>
        <w:t xml:space="preserve"> </w:t>
      </w:r>
      <w:r>
        <w:rPr>
          <w:sz w:val="26"/>
          <w:szCs w:val="26"/>
        </w:rPr>
        <w:t>Not required to file.</w:t>
      </w:r>
    </w:p>
  </w:footnote>
  <w:footnote w:id="86">
    <w:p w14:paraId="238226AB" w14:textId="77777777" w:rsidR="00EB053F" w:rsidRDefault="00F63BA0">
      <w:pPr>
        <w:pStyle w:val="FootnoteText"/>
        <w:rPr>
          <w:rStyle w:val="FootnoteReference"/>
          <w:b/>
          <w:bCs/>
          <w:sz w:val="26"/>
          <w:szCs w:val="26"/>
        </w:rPr>
      </w:pPr>
      <w:r>
        <w:rPr>
          <w:rStyle w:val="FootnoteReference"/>
          <w:sz w:val="26"/>
          <w:szCs w:val="26"/>
          <w:vertAlign w:val="superscript"/>
        </w:rPr>
        <w:footnoteRef/>
      </w:r>
      <w:r>
        <w:rPr>
          <w:rStyle w:val="FootnoteReference"/>
          <w:sz w:val="26"/>
          <w:szCs w:val="26"/>
        </w:rPr>
        <w:t xml:space="preserve"> </w:t>
      </w:r>
      <w:r>
        <w:rPr>
          <w:sz w:val="26"/>
          <w:szCs w:val="26"/>
        </w:rPr>
        <w:t>In the</w:t>
      </w:r>
      <w:r>
        <w:rPr>
          <w:bCs/>
          <w:sz w:val="26"/>
          <w:szCs w:val="26"/>
        </w:rPr>
        <w:t xml:space="preserve"> </w:t>
      </w:r>
      <w:r>
        <w:rPr>
          <w:sz w:val="26"/>
          <w:szCs w:val="26"/>
        </w:rPr>
        <w:t>FERC Form No. 556 approved by OMB</w:t>
      </w:r>
      <w:r>
        <w:rPr>
          <w:bCs/>
          <w:sz w:val="26"/>
          <w:szCs w:val="26"/>
        </w:rPr>
        <w:t xml:space="preserve"> in 2019</w:t>
      </w:r>
      <w:r>
        <w:rPr>
          <w:sz w:val="26"/>
          <w:szCs w:val="26"/>
        </w:rPr>
        <w:t>, for the category “Small Power Production Facility &gt; 1 MW, Self-certification,” we estimated the number of respondents at 2,698.  We have now divided that category into three categories: “Small Power Production Facility &gt; 1 MW, ≤ 1 Mile from Affiliated Small Power Production QF,” “Small Power Production Facility &gt; 1 MW, &gt; 1 Mile, &lt; 10 Miles from Affiliated Small Power Production QF,” “Small Power Production Facility &gt; 1 MW, ≥ 10 Miles from Affiliated Small Power Production QF.”  In this column, the numbers 899, 900, and 899 are a distribution of those same estimated 2,698 respondents across the three categories.</w:t>
      </w:r>
    </w:p>
  </w:footnote>
  <w:footnote w:id="87">
    <w:p w14:paraId="11A5246F" w14:textId="77777777" w:rsidR="00BF538B" w:rsidRDefault="00F63BA0">
      <w:pPr>
        <w:pStyle w:val="FootnoteText"/>
        <w:rPr>
          <w:sz w:val="26"/>
          <w:szCs w:val="26"/>
        </w:rPr>
      </w:pPr>
      <w:r>
        <w:rPr>
          <w:rStyle w:val="FootnoteReference"/>
          <w:sz w:val="26"/>
          <w:szCs w:val="26"/>
          <w:vertAlign w:val="superscript"/>
        </w:rPr>
        <w:footnoteRef/>
      </w:r>
      <w:r>
        <w:rPr>
          <w:sz w:val="26"/>
          <w:szCs w:val="26"/>
          <w:vertAlign w:val="superscript"/>
        </w:rPr>
        <w:t xml:space="preserve"> </w:t>
      </w:r>
      <w:r>
        <w:rPr>
          <w:sz w:val="26"/>
          <w:szCs w:val="26"/>
        </w:rPr>
        <w:t>Staff estimates a total of 90 discretionary responses may be submitted in Years 1-3, with an annual average of 30.</w:t>
      </w:r>
    </w:p>
    <w:p w14:paraId="53124363" w14:textId="77777777" w:rsidR="00EB053F" w:rsidRDefault="00EB053F">
      <w:pPr>
        <w:pStyle w:val="FootnoteText"/>
        <w:rPr>
          <w:sz w:val="26"/>
          <w:szCs w:val="26"/>
        </w:rPr>
      </w:pPr>
    </w:p>
  </w:footnote>
  <w:footnote w:id="88">
    <w:p w14:paraId="7EB021ED" w14:textId="77777777" w:rsidR="00EB053F" w:rsidRDefault="00F63BA0" w:rsidP="006E33A1">
      <w:pPr>
        <w:pStyle w:val="FootnoteText"/>
        <w:spacing w:after="240"/>
        <w:rPr>
          <w:sz w:val="26"/>
          <w:szCs w:val="26"/>
        </w:rPr>
      </w:pPr>
      <w:r>
        <w:rPr>
          <w:rStyle w:val="FootnoteReference"/>
          <w:sz w:val="26"/>
          <w:szCs w:val="26"/>
          <w:vertAlign w:val="superscript"/>
        </w:rPr>
        <w:footnoteRef/>
      </w:r>
      <w:r>
        <w:rPr>
          <w:sz w:val="26"/>
          <w:szCs w:val="26"/>
          <w:vertAlign w:val="superscript"/>
        </w:rPr>
        <w:t xml:space="preserve"> </w:t>
      </w:r>
      <w:r>
        <w:rPr>
          <w:sz w:val="26"/>
          <w:szCs w:val="26"/>
        </w:rPr>
        <w:t xml:space="preserve"> FERC’s 2020 average salary plus benefits for one FTE (full-time equivalent) is $172,329 per year ($83.00/hour). </w:t>
      </w:r>
    </w:p>
  </w:footnote>
  <w:footnote w:id="89">
    <w:p w14:paraId="515DAC3B" w14:textId="77777777" w:rsidR="00BF538B" w:rsidRDefault="00F63BA0">
      <w:pPr>
        <w:pStyle w:val="FootnoteText"/>
        <w:rPr>
          <w:sz w:val="26"/>
          <w:szCs w:val="26"/>
        </w:rPr>
      </w:pPr>
      <w:r>
        <w:rPr>
          <w:rStyle w:val="FootnoteReference"/>
          <w:sz w:val="26"/>
          <w:szCs w:val="26"/>
          <w:vertAlign w:val="superscript"/>
        </w:rPr>
        <w:footnoteRef/>
      </w:r>
      <w:r>
        <w:rPr>
          <w:sz w:val="26"/>
          <w:szCs w:val="26"/>
          <w:vertAlign w:val="superscript"/>
        </w:rPr>
        <w:t xml:space="preserve"> </w:t>
      </w:r>
      <w:r>
        <w:rPr>
          <w:sz w:val="26"/>
          <w:szCs w:val="26"/>
        </w:rPr>
        <w:t>This estimate is based upon FERC’s 2020 estimated average annual PRA Administrative Cost of $6,475 for each collection.</w:t>
      </w:r>
    </w:p>
    <w:p w14:paraId="46126FB1" w14:textId="77777777" w:rsidR="00EB053F" w:rsidRDefault="00EB053F">
      <w:pPr>
        <w:pStyle w:val="FootnoteText"/>
        <w:rPr>
          <w:sz w:val="26"/>
          <w:szCs w:val="26"/>
        </w:rPr>
      </w:pPr>
    </w:p>
  </w:footnote>
  <w:footnote w:id="90">
    <w:p w14:paraId="5A64354D" w14:textId="77777777" w:rsidR="00BF538B" w:rsidRDefault="00F63BA0">
      <w:pPr>
        <w:pStyle w:val="FootnoteText"/>
        <w:rPr>
          <w:sz w:val="26"/>
          <w:szCs w:val="26"/>
        </w:rPr>
      </w:pPr>
      <w:r>
        <w:rPr>
          <w:rStyle w:val="FootnoteReference"/>
          <w:sz w:val="26"/>
          <w:szCs w:val="26"/>
          <w:vertAlign w:val="superscript"/>
        </w:rPr>
        <w:footnoteRef/>
      </w:r>
      <w:r>
        <w:rPr>
          <w:sz w:val="26"/>
          <w:szCs w:val="26"/>
        </w:rPr>
        <w:t xml:space="preserve"> The existing FERC-556 has an annual estimate of two (2) FERC FTEs.  The changes due to the final rule in Docket Nos. RM19-15 and AD16-16 would add one (1) FERC FTE, giving a new total of three (3) FERC FTEs annually to analyze and process the filings.</w:t>
      </w:r>
    </w:p>
    <w:p w14:paraId="4C53B709" w14:textId="77777777" w:rsidR="00EB053F" w:rsidRDefault="00EB053F">
      <w:pPr>
        <w:pStyle w:val="FootnoteText"/>
        <w:rPr>
          <w:sz w:val="26"/>
          <w:szCs w:val="26"/>
        </w:rPr>
      </w:pPr>
    </w:p>
  </w:footnote>
  <w:footnote w:id="91">
    <w:p w14:paraId="3F59281A" w14:textId="77777777" w:rsidR="00BF538B" w:rsidRDefault="00F63BA0">
      <w:pPr>
        <w:pStyle w:val="FootnoteText"/>
        <w:rPr>
          <w:sz w:val="26"/>
        </w:rPr>
      </w:pPr>
      <w:r>
        <w:rPr>
          <w:rStyle w:val="FootnoteReference"/>
          <w:sz w:val="26"/>
          <w:vertAlign w:val="superscript"/>
        </w:rPr>
        <w:footnoteRef/>
      </w:r>
      <w:r>
        <w:rPr>
          <w:sz w:val="26"/>
        </w:rPr>
        <w:t xml:space="preserve"> This estimate is preliminary and is subject to change.</w:t>
      </w:r>
    </w:p>
    <w:p w14:paraId="42A1B706" w14:textId="77777777" w:rsidR="00EB053F" w:rsidRDefault="00EB053F">
      <w:pPr>
        <w:pStyle w:val="FootnoteText"/>
        <w:rPr>
          <w:sz w:val="26"/>
          <w:vertAlign w:val="superscript"/>
        </w:rPr>
      </w:pPr>
    </w:p>
  </w:footnote>
  <w:footnote w:id="92">
    <w:p w14:paraId="50F74A74" w14:textId="77777777" w:rsidR="00EB053F" w:rsidRPr="006E33A1" w:rsidRDefault="00F63BA0">
      <w:pPr>
        <w:pStyle w:val="FootnoteText"/>
        <w:rPr>
          <w:sz w:val="26"/>
        </w:rPr>
      </w:pPr>
      <w:r>
        <w:rPr>
          <w:rStyle w:val="FootnoteReference"/>
          <w:sz w:val="26"/>
          <w:szCs w:val="26"/>
          <w:vertAlign w:val="superscript"/>
        </w:rPr>
        <w:footnoteRef/>
      </w:r>
      <w:r>
        <w:rPr>
          <w:sz w:val="26"/>
          <w:szCs w:val="26"/>
          <w:vertAlign w:val="superscript"/>
        </w:rPr>
        <w:t xml:space="preserve"> </w:t>
      </w:r>
      <w:r>
        <w:rPr>
          <w:sz w:val="26"/>
          <w:szCs w:val="26"/>
        </w:rPr>
        <w:t>The existing FERC-912 has an annual estimate of .3 FERC FTEs, which is based on the fact that PURPA section 210(m) petitions are occasionally submitted by electric utilities who did not make such submissions in the past.  This new final rule also makes it possible for electric utilities who already petitioned under PURPA section 210(m) for QFs above 20 MW, to now file new petitions for QFs larger than 5 MWs but no greater than 20 MW.  Accordingly, this estimate assumes that the final rule will require two (2) dedicated FTEs from the Office of Energy Market Regulation and the equivalent of one (1) additional FTE comprised of staff from the Office of General Counsel and the Office of Energy Policy and Innovation, and that the occasional first-time submittals of PURPA section 210(m) petitions will be processed, at least during this FERC-912 authorization period, by the same staff.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D2756" w14:textId="77777777" w:rsidR="00B908E9" w:rsidRDefault="00B90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6C68F" w14:textId="77777777" w:rsidR="00EB053F" w:rsidRDefault="00F63BA0">
    <w:pPr>
      <w:pStyle w:val="Header"/>
    </w:pPr>
    <w:r>
      <w:t>FERC Form No. 556 and FERC-912 (OMB Control Nos. 1902-0075 and 1902-0237)</w:t>
    </w:r>
  </w:p>
  <w:p w14:paraId="2B5C2FF2" w14:textId="7C2CD8A4" w:rsidR="00EB053F" w:rsidRDefault="00F63BA0">
    <w:pPr>
      <w:pStyle w:val="Header"/>
    </w:pPr>
    <w:r>
      <w:t>Final Rule (</w:t>
    </w:r>
    <w:r w:rsidR="00BF538B">
      <w:t xml:space="preserve">Order 872, </w:t>
    </w:r>
    <w:r>
      <w:t xml:space="preserve">issued 7/16/2020) </w:t>
    </w:r>
    <w:r w:rsidR="00BF538B">
      <w:t xml:space="preserve">and Order 872-A (issued 11/19/2020) </w:t>
    </w:r>
    <w:r>
      <w:t xml:space="preserve">in </w:t>
    </w:r>
    <w:bookmarkStart w:id="37" w:name="_Hlk31721277"/>
    <w:r>
      <w:t>Docket Nos. RM19-15</w:t>
    </w:r>
    <w:r w:rsidR="00BF538B">
      <w:t>-000, RM19-15-001,</w:t>
    </w:r>
    <w:r>
      <w:t xml:space="preserve"> AD16-16</w:t>
    </w:r>
    <w:r w:rsidR="00BF538B">
      <w:t>-000, and AD16-16-001</w:t>
    </w:r>
    <w:bookmarkEnd w:id="37"/>
  </w:p>
  <w:p w14:paraId="0AA82225" w14:textId="77777777" w:rsidR="00EB053F" w:rsidRDefault="00F63BA0">
    <w:pPr>
      <w:pStyle w:val="Header"/>
    </w:pPr>
    <w:r>
      <w:t>RIN: 1902- AF67</w:t>
    </w:r>
  </w:p>
  <w:p w14:paraId="6F32A700" w14:textId="48440F1B" w:rsidR="00EB053F" w:rsidRDefault="00BF538B">
    <w:pPr>
      <w:pStyle w:val="Header"/>
    </w:pPr>
    <w:r>
      <w:t xml:space="preserve">(Updated </w:t>
    </w:r>
    <w:r w:rsidR="00B908E9">
      <w:t>12/1/</w:t>
    </w:r>
    <w:r>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6C10A" w14:textId="77777777" w:rsidR="00EB053F" w:rsidRDefault="00F63BA0">
    <w:pPr>
      <w:pStyle w:val="Header"/>
    </w:pPr>
    <w:r>
      <w:rPr>
        <w:highlight w:val="yellow"/>
      </w:rPr>
      <w:t>draft 3/5/2019</w:t>
    </w:r>
  </w:p>
  <w:p w14:paraId="06F87A86" w14:textId="77777777" w:rsidR="00EB053F" w:rsidRDefault="00F63BA0">
    <w:pPr>
      <w:pStyle w:val="Header"/>
    </w:pPr>
    <w:r>
      <w:rPr>
        <w:highlight w:val="cyan"/>
      </w:rPr>
      <w:t>FERC Form 556A (OMB Control No. TBD)</w:t>
    </w:r>
  </w:p>
  <w:p w14:paraId="05810AA6" w14:textId="77777777" w:rsidR="00EB053F" w:rsidRDefault="00F63BA0">
    <w:pPr>
      <w:pStyle w:val="Header"/>
    </w:pPr>
    <w:r>
      <w:t>NOPR (</w:t>
    </w:r>
    <w:r>
      <w:rPr>
        <w:highlight w:val="yellow"/>
      </w:rPr>
      <w:t>issued 3/??/2019)</w:t>
    </w:r>
    <w:r>
      <w:t xml:space="preserve"> in Docket No. RM19-15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27E67D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4658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2D0EBC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0185E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3E854C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E84C0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A5CB32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B4EC59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CAD01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90A10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E94668"/>
    <w:multiLevelType w:val="hybridMultilevel"/>
    <w:tmpl w:val="55BED2B0"/>
    <w:lvl w:ilvl="0" w:tplc="CFB4E504">
      <w:start w:val="1"/>
      <w:numFmt w:val="lowerRoman"/>
      <w:lvlText w:val="%1."/>
      <w:lvlJc w:val="left"/>
      <w:pPr>
        <w:ind w:left="1440" w:hanging="72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B322545"/>
    <w:multiLevelType w:val="hybridMultilevel"/>
    <w:tmpl w:val="0D501B28"/>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516616"/>
    <w:multiLevelType w:val="hybridMultilevel"/>
    <w:tmpl w:val="3DAE9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542E92"/>
    <w:multiLevelType w:val="hybridMultilevel"/>
    <w:tmpl w:val="CC0A4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F9531A"/>
    <w:multiLevelType w:val="hybridMultilevel"/>
    <w:tmpl w:val="D4541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896CF2"/>
    <w:multiLevelType w:val="hybridMultilevel"/>
    <w:tmpl w:val="8EFA79AA"/>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BF33D7"/>
    <w:multiLevelType w:val="hybridMultilevel"/>
    <w:tmpl w:val="55BED2B0"/>
    <w:lvl w:ilvl="0" w:tplc="CFB4E504">
      <w:start w:val="1"/>
      <w:numFmt w:val="lowerRoman"/>
      <w:lvlText w:val="%1."/>
      <w:lvlJc w:val="left"/>
      <w:pPr>
        <w:ind w:left="1440" w:hanging="72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53B13C2"/>
    <w:multiLevelType w:val="hybridMultilevel"/>
    <w:tmpl w:val="AD6CB1D6"/>
    <w:lvl w:ilvl="0" w:tplc="BA96A6B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0D64E7"/>
    <w:multiLevelType w:val="hybridMultilevel"/>
    <w:tmpl w:val="9EEE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5152ED"/>
    <w:multiLevelType w:val="hybridMultilevel"/>
    <w:tmpl w:val="48B0E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413AAA"/>
    <w:multiLevelType w:val="hybridMultilevel"/>
    <w:tmpl w:val="90848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B3306C"/>
    <w:multiLevelType w:val="hybridMultilevel"/>
    <w:tmpl w:val="60D0A2E4"/>
    <w:lvl w:ilvl="0" w:tplc="7AB6F884">
      <w:start w:val="2"/>
      <w:numFmt w:val="decimal"/>
      <w:lvlText w:val="%1."/>
      <w:lvlJc w:val="left"/>
      <w:pPr>
        <w:tabs>
          <w:tab w:val="num" w:pos="1815"/>
        </w:tabs>
        <w:ind w:left="1815" w:hanging="181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5913062"/>
    <w:multiLevelType w:val="multilevel"/>
    <w:tmpl w:val="972AC156"/>
    <w:lvl w:ilvl="0">
      <w:start w:val="1"/>
      <w:numFmt w:val="upperRoman"/>
      <w:lvlRestart w:val="0"/>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2"/>
      <w:numFmt w:val="lowerLetter"/>
      <w:lvlText w:val="%4."/>
      <w:lvlJc w:val="left"/>
      <w:pPr>
        <w:tabs>
          <w:tab w:val="num" w:pos="2880"/>
        </w:tabs>
        <w:ind w:left="2880" w:hanging="720"/>
      </w:pPr>
      <w:rPr>
        <w:rFonts w:hint="default"/>
        <w:b/>
        <w:bCs w:val="0"/>
      </w:rPr>
    </w:lvl>
    <w:lvl w:ilvl="4">
      <w:start w:val="1"/>
      <w:numFmt w:val="lowerRoman"/>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Roman"/>
      <w:lvlText w:val="(%8)"/>
      <w:lvlJc w:val="left"/>
      <w:pPr>
        <w:tabs>
          <w:tab w:val="num" w:pos="5760"/>
        </w:tabs>
        <w:ind w:left="5760" w:hanging="720"/>
      </w:pPr>
      <w:rPr>
        <w:rFonts w:hint="default"/>
      </w:rPr>
    </w:lvl>
    <w:lvl w:ilvl="8">
      <w:start w:val="1"/>
      <w:numFmt w:val="decimalZero"/>
      <w:lvlText w:val="(%9)"/>
      <w:lvlJc w:val="left"/>
      <w:pPr>
        <w:tabs>
          <w:tab w:val="num" w:pos="6480"/>
        </w:tabs>
        <w:ind w:left="6480" w:hanging="720"/>
      </w:pPr>
      <w:rPr>
        <w:rFonts w:hint="default"/>
      </w:rPr>
    </w:lvl>
  </w:abstractNum>
  <w:abstractNum w:abstractNumId="24"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176320"/>
    <w:multiLevelType w:val="hybridMultilevel"/>
    <w:tmpl w:val="55BED2B0"/>
    <w:lvl w:ilvl="0" w:tplc="CFB4E504">
      <w:start w:val="1"/>
      <w:numFmt w:val="lowerRoman"/>
      <w:lvlText w:val="%1."/>
      <w:lvlJc w:val="left"/>
      <w:pPr>
        <w:ind w:left="1440" w:hanging="72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0DA7693"/>
    <w:multiLevelType w:val="hybridMultilevel"/>
    <w:tmpl w:val="6DC0C4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57B2723"/>
    <w:multiLevelType w:val="hybridMultilevel"/>
    <w:tmpl w:val="BBF09648"/>
    <w:lvl w:ilvl="0" w:tplc="5172DDC0">
      <w:start w:val="1"/>
      <w:numFmt w:val="lowerLetter"/>
      <w:lvlText w:val="%1."/>
      <w:lvlJc w:val="left"/>
      <w:pPr>
        <w:ind w:left="720" w:hanging="360"/>
      </w:pPr>
      <w:rPr>
        <w:rFonts w:eastAsiaTheme="majorEastAsia" w:cstheme="majorBidi" w:hint="default"/>
        <w:b w:val="0"/>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5C06DA"/>
    <w:multiLevelType w:val="hybridMultilevel"/>
    <w:tmpl w:val="FC74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9EC0529"/>
    <w:multiLevelType w:val="hybridMultilevel"/>
    <w:tmpl w:val="368C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3E33E3"/>
    <w:multiLevelType w:val="hybridMultilevel"/>
    <w:tmpl w:val="7B608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797982"/>
    <w:multiLevelType w:val="hybridMultilevel"/>
    <w:tmpl w:val="11F423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4B338F8"/>
    <w:multiLevelType w:val="hybridMultilevel"/>
    <w:tmpl w:val="A7921066"/>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D07D57"/>
    <w:multiLevelType w:val="hybridMultilevel"/>
    <w:tmpl w:val="76785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DB1927"/>
    <w:multiLevelType w:val="hybridMultilevel"/>
    <w:tmpl w:val="D4541E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235338"/>
    <w:multiLevelType w:val="hybridMultilevel"/>
    <w:tmpl w:val="A7E0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CA1C07"/>
    <w:multiLevelType w:val="hybridMultilevel"/>
    <w:tmpl w:val="EB06E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3B09D3"/>
    <w:multiLevelType w:val="hybridMultilevel"/>
    <w:tmpl w:val="290E8058"/>
    <w:lvl w:ilvl="0" w:tplc="313E6436">
      <w:start w:val="1"/>
      <w:numFmt w:val="decimal"/>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4E4DD3"/>
    <w:multiLevelType w:val="hybridMultilevel"/>
    <w:tmpl w:val="7AF6B962"/>
    <w:lvl w:ilvl="0" w:tplc="4094B9C4">
      <w:start w:val="1"/>
      <w:numFmt w:val="decimal"/>
      <w:lvlText w:val="%1."/>
      <w:lvlJc w:val="left"/>
      <w:pPr>
        <w:tabs>
          <w:tab w:val="num" w:pos="720"/>
        </w:tabs>
        <w:ind w:left="0" w:firstLine="0"/>
      </w:pPr>
      <w:rPr>
        <w:rFonts w:hint="default"/>
        <w:b w:val="0"/>
        <w:color w:val="auto"/>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22"/>
  </w:num>
  <w:num w:numId="3">
    <w:abstractNumId w:val="30"/>
  </w:num>
  <w:num w:numId="4">
    <w:abstractNumId w:val="17"/>
  </w:num>
  <w:num w:numId="5">
    <w:abstractNumId w:val="26"/>
  </w:num>
  <w:num w:numId="6">
    <w:abstractNumId w:val="31"/>
  </w:num>
  <w:num w:numId="7">
    <w:abstractNumId w:val="24"/>
  </w:num>
  <w:num w:numId="8">
    <w:abstractNumId w:val="15"/>
  </w:num>
  <w:num w:numId="9">
    <w:abstractNumId w:val="35"/>
  </w:num>
  <w:num w:numId="10">
    <w:abstractNumId w:val="11"/>
  </w:num>
  <w:num w:numId="11">
    <w:abstractNumId w:val="27"/>
  </w:num>
  <w:num w:numId="12">
    <w:abstractNumId w:val="40"/>
  </w:num>
  <w:num w:numId="13">
    <w:abstractNumId w:val="39"/>
  </w:num>
  <w:num w:numId="14">
    <w:abstractNumId w:val="20"/>
  </w:num>
  <w:num w:numId="15">
    <w:abstractNumId w:val="36"/>
  </w:num>
  <w:num w:numId="16">
    <w:abstractNumId w:val="13"/>
  </w:num>
  <w:num w:numId="17">
    <w:abstractNumId w:val="38"/>
  </w:num>
  <w:num w:numId="18">
    <w:abstractNumId w:val="21"/>
  </w:num>
  <w:num w:numId="19">
    <w:abstractNumId w:val="32"/>
  </w:num>
  <w:num w:numId="20">
    <w:abstractNumId w:val="12"/>
  </w:num>
  <w:num w:numId="21">
    <w:abstractNumId w:val="41"/>
  </w:num>
  <w:num w:numId="22">
    <w:abstractNumId w:val="16"/>
  </w:num>
  <w:num w:numId="23">
    <w:abstractNumId w:val="25"/>
  </w:num>
  <w:num w:numId="24">
    <w:abstractNumId w:val="10"/>
  </w:num>
  <w:num w:numId="25">
    <w:abstractNumId w:val="28"/>
  </w:num>
  <w:num w:numId="26">
    <w:abstractNumId w:val="18"/>
  </w:num>
  <w:num w:numId="27">
    <w:abstractNumId w:val="33"/>
  </w:num>
  <w:num w:numId="28">
    <w:abstractNumId w:val="37"/>
  </w:num>
  <w:num w:numId="29">
    <w:abstractNumId w:val="14"/>
  </w:num>
  <w:num w:numId="30">
    <w:abstractNumId w:val="23"/>
  </w:num>
  <w:num w:numId="31">
    <w:abstractNumId w:val="2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9"/>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3F"/>
    <w:rsid w:val="00006E3B"/>
    <w:rsid w:val="000119B5"/>
    <w:rsid w:val="00016884"/>
    <w:rsid w:val="00035961"/>
    <w:rsid w:val="00037973"/>
    <w:rsid w:val="00043F95"/>
    <w:rsid w:val="00044172"/>
    <w:rsid w:val="000516FD"/>
    <w:rsid w:val="00061C60"/>
    <w:rsid w:val="0006503D"/>
    <w:rsid w:val="000659CF"/>
    <w:rsid w:val="00067038"/>
    <w:rsid w:val="000712D0"/>
    <w:rsid w:val="0007639E"/>
    <w:rsid w:val="00083F97"/>
    <w:rsid w:val="00096F25"/>
    <w:rsid w:val="00097E5A"/>
    <w:rsid w:val="000A6A27"/>
    <w:rsid w:val="000B5C8A"/>
    <w:rsid w:val="000B7441"/>
    <w:rsid w:val="000C3587"/>
    <w:rsid w:val="000C3ECA"/>
    <w:rsid w:val="000C5120"/>
    <w:rsid w:val="000D17AD"/>
    <w:rsid w:val="000F1F4A"/>
    <w:rsid w:val="00104C71"/>
    <w:rsid w:val="00107B52"/>
    <w:rsid w:val="0011193A"/>
    <w:rsid w:val="00132A16"/>
    <w:rsid w:val="001354FC"/>
    <w:rsid w:val="00140CA0"/>
    <w:rsid w:val="00145996"/>
    <w:rsid w:val="0015130A"/>
    <w:rsid w:val="0015195F"/>
    <w:rsid w:val="00153B36"/>
    <w:rsid w:val="00153CF2"/>
    <w:rsid w:val="00154567"/>
    <w:rsid w:val="00156E05"/>
    <w:rsid w:val="00160656"/>
    <w:rsid w:val="001634D9"/>
    <w:rsid w:val="00163525"/>
    <w:rsid w:val="00163A0A"/>
    <w:rsid w:val="00175C04"/>
    <w:rsid w:val="00176041"/>
    <w:rsid w:val="001821DA"/>
    <w:rsid w:val="00190F50"/>
    <w:rsid w:val="001911BB"/>
    <w:rsid w:val="001961BA"/>
    <w:rsid w:val="001B3F3C"/>
    <w:rsid w:val="001D6FB8"/>
    <w:rsid w:val="001E01CC"/>
    <w:rsid w:val="001E422B"/>
    <w:rsid w:val="00200463"/>
    <w:rsid w:val="002004D3"/>
    <w:rsid w:val="0020367E"/>
    <w:rsid w:val="00204685"/>
    <w:rsid w:val="0020681A"/>
    <w:rsid w:val="002208E2"/>
    <w:rsid w:val="00225D8A"/>
    <w:rsid w:val="00232E09"/>
    <w:rsid w:val="0024056C"/>
    <w:rsid w:val="00250C4C"/>
    <w:rsid w:val="00256108"/>
    <w:rsid w:val="002570C8"/>
    <w:rsid w:val="00261927"/>
    <w:rsid w:val="002810F8"/>
    <w:rsid w:val="00283E18"/>
    <w:rsid w:val="0028422F"/>
    <w:rsid w:val="00284DE6"/>
    <w:rsid w:val="00285686"/>
    <w:rsid w:val="00285D88"/>
    <w:rsid w:val="002A49A5"/>
    <w:rsid w:val="002B56EA"/>
    <w:rsid w:val="002C5E33"/>
    <w:rsid w:val="002E458C"/>
    <w:rsid w:val="002E58F4"/>
    <w:rsid w:val="002E6BFF"/>
    <w:rsid w:val="002F01FB"/>
    <w:rsid w:val="00304B23"/>
    <w:rsid w:val="003171FC"/>
    <w:rsid w:val="0032572C"/>
    <w:rsid w:val="003359CD"/>
    <w:rsid w:val="00367E46"/>
    <w:rsid w:val="00371CD4"/>
    <w:rsid w:val="003733EF"/>
    <w:rsid w:val="003851F4"/>
    <w:rsid w:val="00390415"/>
    <w:rsid w:val="00395A8D"/>
    <w:rsid w:val="003B2D77"/>
    <w:rsid w:val="003C682C"/>
    <w:rsid w:val="003D7C88"/>
    <w:rsid w:val="003F0F07"/>
    <w:rsid w:val="003F3BDC"/>
    <w:rsid w:val="003F7947"/>
    <w:rsid w:val="004063E7"/>
    <w:rsid w:val="00411830"/>
    <w:rsid w:val="00412F25"/>
    <w:rsid w:val="00415D09"/>
    <w:rsid w:val="00425AB3"/>
    <w:rsid w:val="0043116A"/>
    <w:rsid w:val="004311A2"/>
    <w:rsid w:val="0045422E"/>
    <w:rsid w:val="00456B9F"/>
    <w:rsid w:val="00481D07"/>
    <w:rsid w:val="004831A9"/>
    <w:rsid w:val="004A35A8"/>
    <w:rsid w:val="004A64AC"/>
    <w:rsid w:val="004B1906"/>
    <w:rsid w:val="004C7A03"/>
    <w:rsid w:val="004D00FD"/>
    <w:rsid w:val="00504A20"/>
    <w:rsid w:val="005052AD"/>
    <w:rsid w:val="0051342B"/>
    <w:rsid w:val="00521471"/>
    <w:rsid w:val="00544E73"/>
    <w:rsid w:val="005745E3"/>
    <w:rsid w:val="00575BA9"/>
    <w:rsid w:val="005771C8"/>
    <w:rsid w:val="00580C5B"/>
    <w:rsid w:val="005810D9"/>
    <w:rsid w:val="005D6C19"/>
    <w:rsid w:val="005E2605"/>
    <w:rsid w:val="005F1CC8"/>
    <w:rsid w:val="005F320E"/>
    <w:rsid w:val="00615DB2"/>
    <w:rsid w:val="00617122"/>
    <w:rsid w:val="00620302"/>
    <w:rsid w:val="00640188"/>
    <w:rsid w:val="00643924"/>
    <w:rsid w:val="00646560"/>
    <w:rsid w:val="0065638C"/>
    <w:rsid w:val="00661CFF"/>
    <w:rsid w:val="00665F90"/>
    <w:rsid w:val="006734AB"/>
    <w:rsid w:val="00674617"/>
    <w:rsid w:val="00680A54"/>
    <w:rsid w:val="00680AB6"/>
    <w:rsid w:val="00681A77"/>
    <w:rsid w:val="006826C5"/>
    <w:rsid w:val="0068560B"/>
    <w:rsid w:val="006B476C"/>
    <w:rsid w:val="006D76D6"/>
    <w:rsid w:val="006E0D08"/>
    <w:rsid w:val="006E33A1"/>
    <w:rsid w:val="006E5C5A"/>
    <w:rsid w:val="006E6A1E"/>
    <w:rsid w:val="007034F6"/>
    <w:rsid w:val="0070402E"/>
    <w:rsid w:val="00704BC4"/>
    <w:rsid w:val="00705F8C"/>
    <w:rsid w:val="007103CD"/>
    <w:rsid w:val="00717280"/>
    <w:rsid w:val="007175E7"/>
    <w:rsid w:val="007210C0"/>
    <w:rsid w:val="00723EE6"/>
    <w:rsid w:val="00726B3C"/>
    <w:rsid w:val="007271F4"/>
    <w:rsid w:val="00730774"/>
    <w:rsid w:val="00736986"/>
    <w:rsid w:val="00736FE1"/>
    <w:rsid w:val="00760B67"/>
    <w:rsid w:val="0076723A"/>
    <w:rsid w:val="007A4DED"/>
    <w:rsid w:val="007B2FDD"/>
    <w:rsid w:val="007C606B"/>
    <w:rsid w:val="00817C14"/>
    <w:rsid w:val="00824452"/>
    <w:rsid w:val="00843FD9"/>
    <w:rsid w:val="00846B4C"/>
    <w:rsid w:val="00855017"/>
    <w:rsid w:val="00866234"/>
    <w:rsid w:val="008704C5"/>
    <w:rsid w:val="0087364B"/>
    <w:rsid w:val="00876D6A"/>
    <w:rsid w:val="00884694"/>
    <w:rsid w:val="008A2DCF"/>
    <w:rsid w:val="008A36E6"/>
    <w:rsid w:val="008A6341"/>
    <w:rsid w:val="008B7C88"/>
    <w:rsid w:val="008C1A1A"/>
    <w:rsid w:val="008C2CD6"/>
    <w:rsid w:val="008C7DE0"/>
    <w:rsid w:val="008D1616"/>
    <w:rsid w:val="008E4F1A"/>
    <w:rsid w:val="008E692B"/>
    <w:rsid w:val="008F4B53"/>
    <w:rsid w:val="00902394"/>
    <w:rsid w:val="009221A6"/>
    <w:rsid w:val="009376AB"/>
    <w:rsid w:val="00944A70"/>
    <w:rsid w:val="009A1C54"/>
    <w:rsid w:val="009A26B9"/>
    <w:rsid w:val="009B25B3"/>
    <w:rsid w:val="009B7747"/>
    <w:rsid w:val="009D3D2C"/>
    <w:rsid w:val="009E2496"/>
    <w:rsid w:val="009E2DF8"/>
    <w:rsid w:val="009E725D"/>
    <w:rsid w:val="009F0AF0"/>
    <w:rsid w:val="009F7403"/>
    <w:rsid w:val="00A05543"/>
    <w:rsid w:val="00A173E7"/>
    <w:rsid w:val="00A333D1"/>
    <w:rsid w:val="00A407D6"/>
    <w:rsid w:val="00A452CE"/>
    <w:rsid w:val="00A466AA"/>
    <w:rsid w:val="00A55CB1"/>
    <w:rsid w:val="00A57782"/>
    <w:rsid w:val="00A645BE"/>
    <w:rsid w:val="00A703E6"/>
    <w:rsid w:val="00A719B6"/>
    <w:rsid w:val="00A7365A"/>
    <w:rsid w:val="00A74137"/>
    <w:rsid w:val="00A8339E"/>
    <w:rsid w:val="00A97AEC"/>
    <w:rsid w:val="00AA046F"/>
    <w:rsid w:val="00AB1B67"/>
    <w:rsid w:val="00AB2CEB"/>
    <w:rsid w:val="00AB63F1"/>
    <w:rsid w:val="00AD2934"/>
    <w:rsid w:val="00AD7271"/>
    <w:rsid w:val="00AE18D7"/>
    <w:rsid w:val="00AE4ECB"/>
    <w:rsid w:val="00AE7B0C"/>
    <w:rsid w:val="00AF1146"/>
    <w:rsid w:val="00AF1402"/>
    <w:rsid w:val="00AF5190"/>
    <w:rsid w:val="00B0017B"/>
    <w:rsid w:val="00B05DED"/>
    <w:rsid w:val="00B1462D"/>
    <w:rsid w:val="00B33367"/>
    <w:rsid w:val="00B44166"/>
    <w:rsid w:val="00B45FC8"/>
    <w:rsid w:val="00B52197"/>
    <w:rsid w:val="00B67E73"/>
    <w:rsid w:val="00B908E9"/>
    <w:rsid w:val="00B94A2E"/>
    <w:rsid w:val="00BA1D76"/>
    <w:rsid w:val="00BA24BE"/>
    <w:rsid w:val="00BA3693"/>
    <w:rsid w:val="00BB223A"/>
    <w:rsid w:val="00BE5484"/>
    <w:rsid w:val="00BE7A06"/>
    <w:rsid w:val="00BF538B"/>
    <w:rsid w:val="00C04E67"/>
    <w:rsid w:val="00C07AA2"/>
    <w:rsid w:val="00C14694"/>
    <w:rsid w:val="00C15153"/>
    <w:rsid w:val="00C16C82"/>
    <w:rsid w:val="00C3361C"/>
    <w:rsid w:val="00C34453"/>
    <w:rsid w:val="00C36E9C"/>
    <w:rsid w:val="00C42B38"/>
    <w:rsid w:val="00C44EA8"/>
    <w:rsid w:val="00C52130"/>
    <w:rsid w:val="00C53E02"/>
    <w:rsid w:val="00C53EB1"/>
    <w:rsid w:val="00C622EE"/>
    <w:rsid w:val="00C62B6F"/>
    <w:rsid w:val="00C7676F"/>
    <w:rsid w:val="00C86F4C"/>
    <w:rsid w:val="00C9604E"/>
    <w:rsid w:val="00CA7930"/>
    <w:rsid w:val="00CB0F3B"/>
    <w:rsid w:val="00CB2468"/>
    <w:rsid w:val="00CB27B8"/>
    <w:rsid w:val="00CB27E3"/>
    <w:rsid w:val="00CB4C72"/>
    <w:rsid w:val="00CD3528"/>
    <w:rsid w:val="00CE3384"/>
    <w:rsid w:val="00CF3769"/>
    <w:rsid w:val="00D013DA"/>
    <w:rsid w:val="00D046B6"/>
    <w:rsid w:val="00D058E8"/>
    <w:rsid w:val="00D242AA"/>
    <w:rsid w:val="00D3222D"/>
    <w:rsid w:val="00D33B92"/>
    <w:rsid w:val="00D472AE"/>
    <w:rsid w:val="00D720DD"/>
    <w:rsid w:val="00D83C13"/>
    <w:rsid w:val="00D84070"/>
    <w:rsid w:val="00D865A8"/>
    <w:rsid w:val="00D87773"/>
    <w:rsid w:val="00D97671"/>
    <w:rsid w:val="00DA6082"/>
    <w:rsid w:val="00DB1A7A"/>
    <w:rsid w:val="00DB1F76"/>
    <w:rsid w:val="00DB64B7"/>
    <w:rsid w:val="00DF5D53"/>
    <w:rsid w:val="00DF6D69"/>
    <w:rsid w:val="00E0289C"/>
    <w:rsid w:val="00E0435F"/>
    <w:rsid w:val="00E52D39"/>
    <w:rsid w:val="00E61F57"/>
    <w:rsid w:val="00E64A95"/>
    <w:rsid w:val="00E66276"/>
    <w:rsid w:val="00E872C0"/>
    <w:rsid w:val="00EA05B1"/>
    <w:rsid w:val="00EB053F"/>
    <w:rsid w:val="00EC2AAA"/>
    <w:rsid w:val="00EE2EA4"/>
    <w:rsid w:val="00EE56BD"/>
    <w:rsid w:val="00EF4779"/>
    <w:rsid w:val="00EF5020"/>
    <w:rsid w:val="00F15FD0"/>
    <w:rsid w:val="00F35255"/>
    <w:rsid w:val="00F41E1B"/>
    <w:rsid w:val="00F452A6"/>
    <w:rsid w:val="00F45727"/>
    <w:rsid w:val="00F5297E"/>
    <w:rsid w:val="00F6388E"/>
    <w:rsid w:val="00F63BA0"/>
    <w:rsid w:val="00F65E00"/>
    <w:rsid w:val="00F73510"/>
    <w:rsid w:val="00F9205F"/>
    <w:rsid w:val="00F9794D"/>
    <w:rsid w:val="00FB4BD9"/>
    <w:rsid w:val="00FE5410"/>
    <w:rsid w:val="00FF140D"/>
    <w:rsid w:val="00FF5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4D478"/>
  <w15:docId w15:val="{15D36615-0BAC-4B76-918D-544C4B6B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spacing w:after="0" w:line="240" w:lineRule="auto"/>
    </w:pPr>
    <w:rPr>
      <w:rFonts w:eastAsia="Times New Roman"/>
      <w:sz w:val="24"/>
      <w:szCs w:val="24"/>
    </w:rPr>
  </w:style>
  <w:style w:type="paragraph" w:styleId="Heading1">
    <w:name w:val="heading 1"/>
    <w:basedOn w:val="Normal"/>
    <w:next w:val="FERCparanumber"/>
    <w:link w:val="Heading1Char"/>
    <w:qFormat/>
    <w:rsid w:val="00F63BA0"/>
    <w:pPr>
      <w:keepNext/>
      <w:keepLines/>
      <w:widowControl/>
      <w:tabs>
        <w:tab w:val="num" w:pos="720"/>
      </w:tabs>
      <w:spacing w:after="260"/>
      <w:ind w:left="720" w:hanging="720"/>
      <w:outlineLvl w:val="0"/>
    </w:pPr>
    <w:rPr>
      <w:b/>
      <w:bCs/>
      <w:kern w:val="32"/>
      <w:sz w:val="26"/>
      <w:szCs w:val="32"/>
      <w:u w:val="single"/>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F63BA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FERCparanumber"/>
    <w:link w:val="Heading6Char"/>
    <w:qFormat/>
    <w:rsid w:val="00F63BA0"/>
    <w:pPr>
      <w:keepNext/>
      <w:keepLines/>
      <w:widowControl/>
      <w:tabs>
        <w:tab w:val="num" w:pos="4320"/>
      </w:tabs>
      <w:spacing w:after="260"/>
      <w:ind w:left="4320" w:hanging="720"/>
      <w:outlineLvl w:val="5"/>
    </w:pPr>
    <w:rPr>
      <w:b/>
      <w:bCs/>
      <w:kern w:val="32"/>
      <w:sz w:val="26"/>
      <w:szCs w:val="22"/>
      <w:u w:val="single"/>
    </w:rPr>
  </w:style>
  <w:style w:type="paragraph" w:styleId="Heading7">
    <w:name w:val="heading 7"/>
    <w:basedOn w:val="Normal"/>
    <w:next w:val="FERCparanumber"/>
    <w:link w:val="Heading7Char"/>
    <w:qFormat/>
    <w:rsid w:val="00F63BA0"/>
    <w:pPr>
      <w:keepNext/>
      <w:keepLines/>
      <w:widowControl/>
      <w:tabs>
        <w:tab w:val="num" w:pos="5040"/>
      </w:tabs>
      <w:spacing w:after="260"/>
      <w:ind w:left="5040" w:hanging="720"/>
      <w:outlineLvl w:val="6"/>
    </w:pPr>
    <w:rPr>
      <w:b/>
      <w:kern w:val="32"/>
      <w:sz w:val="26"/>
      <w:u w:val="single"/>
    </w:rPr>
  </w:style>
  <w:style w:type="paragraph" w:styleId="Heading8">
    <w:name w:val="heading 8"/>
    <w:basedOn w:val="Normal"/>
    <w:next w:val="FERCparanumber"/>
    <w:link w:val="Heading8Char"/>
    <w:qFormat/>
    <w:rsid w:val="00F63BA0"/>
    <w:pPr>
      <w:keepNext/>
      <w:keepLines/>
      <w:widowControl/>
      <w:tabs>
        <w:tab w:val="num" w:pos="5760"/>
      </w:tabs>
      <w:spacing w:after="260"/>
      <w:ind w:left="5760" w:hanging="720"/>
      <w:outlineLvl w:val="7"/>
    </w:pPr>
    <w:rPr>
      <w:b/>
      <w:iCs/>
      <w:kern w:val="32"/>
      <w:sz w:val="26"/>
      <w:u w:val="single"/>
    </w:rPr>
  </w:style>
  <w:style w:type="paragraph" w:styleId="Heading9">
    <w:name w:val="heading 9"/>
    <w:basedOn w:val="Normal"/>
    <w:next w:val="FERCparanumber"/>
    <w:link w:val="Heading9Char"/>
    <w:qFormat/>
    <w:rsid w:val="00F63BA0"/>
    <w:pPr>
      <w:keepNext/>
      <w:keepLines/>
      <w:widowControl/>
      <w:tabs>
        <w:tab w:val="num" w:pos="6480"/>
      </w:tabs>
      <w:spacing w:after="260"/>
      <w:ind w:left="6480" w:hanging="720"/>
      <w:outlineLvl w:val="8"/>
    </w:pPr>
    <w:rPr>
      <w:b/>
      <w:kern w:val="32"/>
      <w:sz w:val="26"/>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uiPriority w:val="99"/>
    <w:qFormat/>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f"/>
    <w:basedOn w:val="Normal"/>
    <w:link w:val="FootnoteTextChar2"/>
    <w:uiPriority w:val="99"/>
    <w:qFormat/>
    <w:rPr>
      <w:sz w:val="20"/>
      <w:szCs w:val="20"/>
    </w:rPr>
  </w:style>
  <w:style w:type="character" w:customStyle="1" w:styleId="FootnoteTextChar">
    <w:name w:val="Footnote Text Char"/>
    <w:aliases w:val="Char Char1 Char,Footnote Text Char1 Char Char1,Footnote Text MRP Char,Footnote Text Char1 Char Char Char,Footnote Text Char3 Char,Footnote Text Char2 Char Char,ft Char Char,ft Char1,Footnote Text Char2 Char Char1,fn Char1,fn1 Char"/>
    <w:basedOn w:val="DefaultParagraphFont"/>
    <w:uiPriority w:val="99"/>
    <w:rPr>
      <w:rFonts w:eastAsia="Times New Roman"/>
      <w:sz w:val="20"/>
      <w:szCs w:val="20"/>
    </w:rPr>
  </w:style>
  <w:style w:type="paragraph" w:customStyle="1" w:styleId="FERCparanumber">
    <w:name w:val="FERC paranumber"/>
    <w:basedOn w:val="Normal"/>
    <w:link w:val="FERCparanumberChar"/>
    <w:qFormat/>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uiPriority w:val="99"/>
    <w:locked/>
    <w:rPr>
      <w:rFonts w:eastAsia="Times New Roman"/>
      <w:sz w:val="20"/>
      <w:szCs w:val="20"/>
    </w:rPr>
  </w:style>
  <w:style w:type="character" w:customStyle="1" w:styleId="FERCparanumberChar">
    <w:name w:val="FERC paranumber Char"/>
    <w:link w:val="FERCparanumber"/>
    <w:rPr>
      <w:rFonts w:eastAsia="Times New Roman"/>
      <w:szCs w:val="24"/>
    </w:rPr>
  </w:style>
  <w:style w:type="character" w:styleId="Hyperlink">
    <w:name w:val="Hyperlink"/>
    <w:rPr>
      <w:color w:val="0000FF"/>
      <w:u w:val="single"/>
    </w:rPr>
  </w:style>
  <w:style w:type="paragraph" w:styleId="ListParagraph">
    <w:name w:val="List Paragraph"/>
    <w:basedOn w:val="Normal"/>
    <w:uiPriority w:val="34"/>
    <w:qFormat/>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eastAsia="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sz w:val="24"/>
      <w:szCs w:val="24"/>
    </w:rPr>
  </w:style>
  <w:style w:type="paragraph" w:styleId="BalloonText">
    <w:name w:val="Balloon Text"/>
    <w:basedOn w:val="Normal"/>
    <w:link w:val="BalloonTextChar"/>
    <w:uiPriority w:val="99"/>
    <w:semiHidden/>
    <w:unhideWhenUsed/>
    <w:rPr>
      <w:rFonts w:ascii="Arial" w:hAnsi="Arial" w:cs="Arial"/>
      <w:sz w:val="20"/>
      <w:szCs w:val="16"/>
    </w:rPr>
  </w:style>
  <w:style w:type="character" w:customStyle="1" w:styleId="BalloonTextChar">
    <w:name w:val="Balloon Text Char"/>
    <w:basedOn w:val="DefaultParagraphFont"/>
    <w:link w:val="BalloonText"/>
    <w:uiPriority w:val="99"/>
    <w:semiHidden/>
    <w:rPr>
      <w:rFonts w:ascii="Arial" w:eastAsia="Times New Roman" w:hAnsi="Arial" w:cs="Arial"/>
      <w:sz w:val="20"/>
      <w:szCs w:val="16"/>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rFonts w:ascii="Arial" w:hAnsi="Arial" w:cs="Arial"/>
      <w:sz w:val="20"/>
      <w:szCs w:val="20"/>
    </w:rPr>
  </w:style>
  <w:style w:type="character" w:customStyle="1" w:styleId="CommentTextChar">
    <w:name w:val="Comment Text Char"/>
    <w:basedOn w:val="DefaultParagraphFont"/>
    <w:link w:val="CommentText"/>
    <w:uiPriority w:val="9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styleId="Revision">
    <w:name w:val="Revision"/>
    <w:hidden/>
    <w:uiPriority w:val="99"/>
    <w:semiHidden/>
    <w:pPr>
      <w:spacing w:after="0" w:line="240" w:lineRule="auto"/>
    </w:pPr>
    <w:rPr>
      <w:rFonts w:eastAsia="Times New Roman"/>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rPr>
      <w:rFonts w:asciiTheme="majorHAnsi" w:eastAsiaTheme="majorEastAsia" w:hAnsiTheme="majorHAnsi" w:cstheme="majorBidi"/>
      <w:color w:val="365F91" w:themeColor="accent1" w:themeShade="BF"/>
      <w:sz w:val="24"/>
      <w:szCs w:val="24"/>
    </w:rPr>
  </w:style>
  <w:style w:type="character" w:customStyle="1" w:styleId="Heading1Char">
    <w:name w:val="Heading 1 Char"/>
    <w:basedOn w:val="DefaultParagraphFont"/>
    <w:link w:val="Heading1"/>
    <w:rsid w:val="00F63BA0"/>
    <w:rPr>
      <w:rFonts w:eastAsia="Times New Roman"/>
      <w:b/>
      <w:bCs/>
      <w:kern w:val="32"/>
      <w:szCs w:val="32"/>
      <w:u w:val="single"/>
    </w:rPr>
  </w:style>
  <w:style w:type="character" w:customStyle="1" w:styleId="Heading3Char">
    <w:name w:val="Heading 3 Char"/>
    <w:basedOn w:val="DefaultParagraphFont"/>
    <w:link w:val="Heading3"/>
    <w:rsid w:val="00F63BA0"/>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F63BA0"/>
    <w:rPr>
      <w:rFonts w:eastAsia="Times New Roman"/>
      <w:b/>
      <w:bCs/>
      <w:kern w:val="32"/>
      <w:szCs w:val="22"/>
      <w:u w:val="single"/>
    </w:rPr>
  </w:style>
  <w:style w:type="character" w:customStyle="1" w:styleId="Heading7Char">
    <w:name w:val="Heading 7 Char"/>
    <w:basedOn w:val="DefaultParagraphFont"/>
    <w:link w:val="Heading7"/>
    <w:rsid w:val="00F63BA0"/>
    <w:rPr>
      <w:rFonts w:eastAsia="Times New Roman"/>
      <w:b/>
      <w:kern w:val="32"/>
      <w:szCs w:val="24"/>
      <w:u w:val="single"/>
    </w:rPr>
  </w:style>
  <w:style w:type="character" w:customStyle="1" w:styleId="Heading8Char">
    <w:name w:val="Heading 8 Char"/>
    <w:basedOn w:val="DefaultParagraphFont"/>
    <w:link w:val="Heading8"/>
    <w:rsid w:val="00F63BA0"/>
    <w:rPr>
      <w:rFonts w:eastAsia="Times New Roman"/>
      <w:b/>
      <w:iCs/>
      <w:kern w:val="32"/>
      <w:szCs w:val="24"/>
      <w:u w:val="single"/>
    </w:rPr>
  </w:style>
  <w:style w:type="character" w:customStyle="1" w:styleId="Heading9Char">
    <w:name w:val="Heading 9 Char"/>
    <w:basedOn w:val="DefaultParagraphFont"/>
    <w:link w:val="Heading9"/>
    <w:rsid w:val="00F63BA0"/>
    <w:rPr>
      <w:rFonts w:eastAsia="Times New Roman"/>
      <w:b/>
      <w:kern w:val="32"/>
      <w:szCs w:val="22"/>
      <w:u w:val="single"/>
    </w:rPr>
  </w:style>
  <w:style w:type="character" w:customStyle="1" w:styleId="FERCparanumberChar1">
    <w:name w:val="FERC paranumber Char1"/>
    <w:rsid w:val="00F63BA0"/>
    <w:rPr>
      <w:rFonts w:eastAsia="Times New Roman" w:cs="Times New Roman"/>
      <w:szCs w:val="24"/>
    </w:rPr>
  </w:style>
  <w:style w:type="character" w:styleId="UnresolvedMention">
    <w:name w:val="Unresolved Mention"/>
    <w:basedOn w:val="DefaultParagraphFont"/>
    <w:uiPriority w:val="99"/>
    <w:semiHidden/>
    <w:unhideWhenUsed/>
    <w:rsid w:val="00F63BA0"/>
    <w:rPr>
      <w:color w:val="605E5C"/>
      <w:shd w:val="clear" w:color="auto" w:fill="E1DFDD"/>
    </w:rPr>
  </w:style>
  <w:style w:type="paragraph" w:styleId="Bibliography">
    <w:name w:val="Bibliography"/>
    <w:basedOn w:val="Normal"/>
    <w:next w:val="Normal"/>
    <w:uiPriority w:val="37"/>
    <w:semiHidden/>
    <w:unhideWhenUsed/>
    <w:rsid w:val="00F63BA0"/>
  </w:style>
  <w:style w:type="paragraph" w:styleId="BlockText">
    <w:name w:val="Block Text"/>
    <w:basedOn w:val="Normal"/>
    <w:uiPriority w:val="99"/>
    <w:semiHidden/>
    <w:unhideWhenUsed/>
    <w:rsid w:val="00F63B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F63BA0"/>
    <w:pPr>
      <w:spacing w:after="120"/>
    </w:pPr>
  </w:style>
  <w:style w:type="character" w:customStyle="1" w:styleId="BodyTextChar">
    <w:name w:val="Body Text Char"/>
    <w:basedOn w:val="DefaultParagraphFont"/>
    <w:link w:val="BodyText"/>
    <w:uiPriority w:val="99"/>
    <w:semiHidden/>
    <w:rsid w:val="00F63BA0"/>
    <w:rPr>
      <w:rFonts w:eastAsia="Times New Roman"/>
      <w:sz w:val="24"/>
      <w:szCs w:val="24"/>
    </w:rPr>
  </w:style>
  <w:style w:type="paragraph" w:styleId="BodyText2">
    <w:name w:val="Body Text 2"/>
    <w:basedOn w:val="Normal"/>
    <w:link w:val="BodyText2Char"/>
    <w:uiPriority w:val="99"/>
    <w:semiHidden/>
    <w:unhideWhenUsed/>
    <w:rsid w:val="00F63BA0"/>
    <w:pPr>
      <w:spacing w:after="120" w:line="480" w:lineRule="auto"/>
    </w:pPr>
  </w:style>
  <w:style w:type="character" w:customStyle="1" w:styleId="BodyText2Char">
    <w:name w:val="Body Text 2 Char"/>
    <w:basedOn w:val="DefaultParagraphFont"/>
    <w:link w:val="BodyText2"/>
    <w:uiPriority w:val="99"/>
    <w:semiHidden/>
    <w:rsid w:val="00F63BA0"/>
    <w:rPr>
      <w:rFonts w:eastAsia="Times New Roman"/>
      <w:sz w:val="24"/>
      <w:szCs w:val="24"/>
    </w:rPr>
  </w:style>
  <w:style w:type="paragraph" w:styleId="BodyText3">
    <w:name w:val="Body Text 3"/>
    <w:basedOn w:val="Normal"/>
    <w:link w:val="BodyText3Char"/>
    <w:uiPriority w:val="99"/>
    <w:semiHidden/>
    <w:unhideWhenUsed/>
    <w:rsid w:val="00F63BA0"/>
    <w:pPr>
      <w:spacing w:after="120"/>
    </w:pPr>
    <w:rPr>
      <w:sz w:val="16"/>
      <w:szCs w:val="16"/>
    </w:rPr>
  </w:style>
  <w:style w:type="character" w:customStyle="1" w:styleId="BodyText3Char">
    <w:name w:val="Body Text 3 Char"/>
    <w:basedOn w:val="DefaultParagraphFont"/>
    <w:link w:val="BodyText3"/>
    <w:uiPriority w:val="99"/>
    <w:semiHidden/>
    <w:rsid w:val="00F63BA0"/>
    <w:rPr>
      <w:rFonts w:eastAsia="Times New Roman"/>
      <w:sz w:val="16"/>
      <w:szCs w:val="16"/>
    </w:rPr>
  </w:style>
  <w:style w:type="paragraph" w:styleId="BodyTextFirstIndent">
    <w:name w:val="Body Text First Indent"/>
    <w:basedOn w:val="BodyText"/>
    <w:link w:val="BodyTextFirstIndentChar"/>
    <w:uiPriority w:val="99"/>
    <w:semiHidden/>
    <w:unhideWhenUsed/>
    <w:rsid w:val="00F63BA0"/>
    <w:pPr>
      <w:spacing w:after="0"/>
      <w:ind w:firstLine="360"/>
    </w:pPr>
  </w:style>
  <w:style w:type="character" w:customStyle="1" w:styleId="BodyTextFirstIndentChar">
    <w:name w:val="Body Text First Indent Char"/>
    <w:basedOn w:val="BodyTextChar"/>
    <w:link w:val="BodyTextFirstIndent"/>
    <w:uiPriority w:val="99"/>
    <w:semiHidden/>
    <w:rsid w:val="00F63BA0"/>
    <w:rPr>
      <w:rFonts w:eastAsia="Times New Roman"/>
      <w:sz w:val="24"/>
      <w:szCs w:val="24"/>
    </w:rPr>
  </w:style>
  <w:style w:type="paragraph" w:styleId="BodyTextIndent">
    <w:name w:val="Body Text Indent"/>
    <w:basedOn w:val="Normal"/>
    <w:link w:val="BodyTextIndentChar"/>
    <w:uiPriority w:val="99"/>
    <w:semiHidden/>
    <w:unhideWhenUsed/>
    <w:rsid w:val="00F63BA0"/>
    <w:pPr>
      <w:spacing w:after="120"/>
      <w:ind w:left="360"/>
    </w:pPr>
  </w:style>
  <w:style w:type="character" w:customStyle="1" w:styleId="BodyTextIndentChar">
    <w:name w:val="Body Text Indent Char"/>
    <w:basedOn w:val="DefaultParagraphFont"/>
    <w:link w:val="BodyTextIndent"/>
    <w:uiPriority w:val="99"/>
    <w:semiHidden/>
    <w:rsid w:val="00F63BA0"/>
    <w:rPr>
      <w:rFonts w:eastAsia="Times New Roman"/>
      <w:sz w:val="24"/>
      <w:szCs w:val="24"/>
    </w:rPr>
  </w:style>
  <w:style w:type="paragraph" w:styleId="BodyTextFirstIndent2">
    <w:name w:val="Body Text First Indent 2"/>
    <w:basedOn w:val="BodyTextIndent"/>
    <w:link w:val="BodyTextFirstIndent2Char"/>
    <w:uiPriority w:val="99"/>
    <w:semiHidden/>
    <w:unhideWhenUsed/>
    <w:rsid w:val="00F63BA0"/>
    <w:pPr>
      <w:spacing w:after="0"/>
      <w:ind w:firstLine="360"/>
    </w:pPr>
  </w:style>
  <w:style w:type="character" w:customStyle="1" w:styleId="BodyTextFirstIndent2Char">
    <w:name w:val="Body Text First Indent 2 Char"/>
    <w:basedOn w:val="BodyTextIndentChar"/>
    <w:link w:val="BodyTextFirstIndent2"/>
    <w:uiPriority w:val="99"/>
    <w:semiHidden/>
    <w:rsid w:val="00F63BA0"/>
    <w:rPr>
      <w:rFonts w:eastAsia="Times New Roman"/>
      <w:sz w:val="24"/>
      <w:szCs w:val="24"/>
    </w:rPr>
  </w:style>
  <w:style w:type="paragraph" w:styleId="BodyTextIndent2">
    <w:name w:val="Body Text Indent 2"/>
    <w:basedOn w:val="Normal"/>
    <w:link w:val="BodyTextIndent2Char"/>
    <w:uiPriority w:val="99"/>
    <w:semiHidden/>
    <w:unhideWhenUsed/>
    <w:rsid w:val="00F63BA0"/>
    <w:pPr>
      <w:spacing w:after="120" w:line="480" w:lineRule="auto"/>
      <w:ind w:left="360"/>
    </w:pPr>
  </w:style>
  <w:style w:type="character" w:customStyle="1" w:styleId="BodyTextIndent2Char">
    <w:name w:val="Body Text Indent 2 Char"/>
    <w:basedOn w:val="DefaultParagraphFont"/>
    <w:link w:val="BodyTextIndent2"/>
    <w:uiPriority w:val="99"/>
    <w:semiHidden/>
    <w:rsid w:val="00F63BA0"/>
    <w:rPr>
      <w:rFonts w:eastAsia="Times New Roman"/>
      <w:sz w:val="24"/>
      <w:szCs w:val="24"/>
    </w:rPr>
  </w:style>
  <w:style w:type="paragraph" w:styleId="BodyTextIndent3">
    <w:name w:val="Body Text Indent 3"/>
    <w:basedOn w:val="Normal"/>
    <w:link w:val="BodyTextIndent3Char"/>
    <w:uiPriority w:val="99"/>
    <w:semiHidden/>
    <w:unhideWhenUsed/>
    <w:rsid w:val="00F63BA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63BA0"/>
    <w:rPr>
      <w:rFonts w:eastAsia="Times New Roman"/>
      <w:sz w:val="16"/>
      <w:szCs w:val="16"/>
    </w:rPr>
  </w:style>
  <w:style w:type="paragraph" w:styleId="Caption">
    <w:name w:val="caption"/>
    <w:basedOn w:val="Normal"/>
    <w:next w:val="Normal"/>
    <w:uiPriority w:val="35"/>
    <w:semiHidden/>
    <w:unhideWhenUsed/>
    <w:qFormat/>
    <w:rsid w:val="00F63BA0"/>
    <w:pPr>
      <w:spacing w:after="200"/>
    </w:pPr>
    <w:rPr>
      <w:iCs/>
      <w:color w:val="1F497D" w:themeColor="text2"/>
      <w:sz w:val="26"/>
      <w:szCs w:val="18"/>
    </w:rPr>
  </w:style>
  <w:style w:type="paragraph" w:styleId="Closing">
    <w:name w:val="Closing"/>
    <w:basedOn w:val="Normal"/>
    <w:link w:val="ClosingChar"/>
    <w:uiPriority w:val="99"/>
    <w:semiHidden/>
    <w:unhideWhenUsed/>
    <w:rsid w:val="00F63BA0"/>
    <w:pPr>
      <w:ind w:left="4320"/>
    </w:pPr>
  </w:style>
  <w:style w:type="character" w:customStyle="1" w:styleId="ClosingChar">
    <w:name w:val="Closing Char"/>
    <w:basedOn w:val="DefaultParagraphFont"/>
    <w:link w:val="Closing"/>
    <w:uiPriority w:val="99"/>
    <w:semiHidden/>
    <w:rsid w:val="00F63BA0"/>
    <w:rPr>
      <w:rFonts w:eastAsia="Times New Roman"/>
      <w:sz w:val="24"/>
      <w:szCs w:val="24"/>
    </w:rPr>
  </w:style>
  <w:style w:type="paragraph" w:styleId="Date">
    <w:name w:val="Date"/>
    <w:basedOn w:val="Normal"/>
    <w:next w:val="Normal"/>
    <w:link w:val="DateChar"/>
    <w:uiPriority w:val="99"/>
    <w:semiHidden/>
    <w:unhideWhenUsed/>
    <w:rsid w:val="00F63BA0"/>
  </w:style>
  <w:style w:type="character" w:customStyle="1" w:styleId="DateChar">
    <w:name w:val="Date Char"/>
    <w:basedOn w:val="DefaultParagraphFont"/>
    <w:link w:val="Date"/>
    <w:uiPriority w:val="99"/>
    <w:semiHidden/>
    <w:rsid w:val="00F63BA0"/>
    <w:rPr>
      <w:rFonts w:eastAsia="Times New Roman"/>
      <w:sz w:val="24"/>
      <w:szCs w:val="24"/>
    </w:rPr>
  </w:style>
  <w:style w:type="paragraph" w:styleId="DocumentMap">
    <w:name w:val="Document Map"/>
    <w:basedOn w:val="Normal"/>
    <w:link w:val="DocumentMapChar"/>
    <w:uiPriority w:val="99"/>
    <w:semiHidden/>
    <w:unhideWhenUsed/>
    <w:rsid w:val="00F63BA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63BA0"/>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F63BA0"/>
  </w:style>
  <w:style w:type="character" w:customStyle="1" w:styleId="E-mailSignatureChar">
    <w:name w:val="E-mail Signature Char"/>
    <w:basedOn w:val="DefaultParagraphFont"/>
    <w:link w:val="E-mailSignature"/>
    <w:uiPriority w:val="99"/>
    <w:semiHidden/>
    <w:rsid w:val="00F63BA0"/>
    <w:rPr>
      <w:rFonts w:eastAsia="Times New Roman"/>
      <w:sz w:val="24"/>
      <w:szCs w:val="24"/>
    </w:rPr>
  </w:style>
  <w:style w:type="paragraph" w:styleId="EndnoteText">
    <w:name w:val="endnote text"/>
    <w:basedOn w:val="Normal"/>
    <w:link w:val="EndnoteTextChar"/>
    <w:uiPriority w:val="99"/>
    <w:semiHidden/>
    <w:unhideWhenUsed/>
    <w:rsid w:val="00F63BA0"/>
    <w:rPr>
      <w:sz w:val="20"/>
      <w:szCs w:val="20"/>
    </w:rPr>
  </w:style>
  <w:style w:type="character" w:customStyle="1" w:styleId="EndnoteTextChar">
    <w:name w:val="Endnote Text Char"/>
    <w:basedOn w:val="DefaultParagraphFont"/>
    <w:link w:val="EndnoteText"/>
    <w:uiPriority w:val="99"/>
    <w:semiHidden/>
    <w:rsid w:val="00F63BA0"/>
    <w:rPr>
      <w:rFonts w:eastAsia="Times New Roman"/>
      <w:sz w:val="20"/>
      <w:szCs w:val="20"/>
    </w:rPr>
  </w:style>
  <w:style w:type="paragraph" w:styleId="EnvelopeAddress">
    <w:name w:val="envelope address"/>
    <w:basedOn w:val="Normal"/>
    <w:uiPriority w:val="99"/>
    <w:semiHidden/>
    <w:unhideWhenUsed/>
    <w:rsid w:val="00F63BA0"/>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63BA0"/>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63BA0"/>
    <w:rPr>
      <w:i/>
      <w:iCs/>
    </w:rPr>
  </w:style>
  <w:style w:type="character" w:customStyle="1" w:styleId="HTMLAddressChar">
    <w:name w:val="HTML Address Char"/>
    <w:basedOn w:val="DefaultParagraphFont"/>
    <w:link w:val="HTMLAddress"/>
    <w:uiPriority w:val="99"/>
    <w:semiHidden/>
    <w:rsid w:val="00F63BA0"/>
    <w:rPr>
      <w:rFonts w:eastAsia="Times New Roman"/>
      <w:i/>
      <w:iCs/>
      <w:sz w:val="24"/>
      <w:szCs w:val="24"/>
    </w:rPr>
  </w:style>
  <w:style w:type="paragraph" w:styleId="HTMLPreformatted">
    <w:name w:val="HTML Preformatted"/>
    <w:basedOn w:val="Normal"/>
    <w:link w:val="HTMLPreformattedChar"/>
    <w:uiPriority w:val="99"/>
    <w:semiHidden/>
    <w:unhideWhenUsed/>
    <w:rsid w:val="00F63BA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63BA0"/>
    <w:rPr>
      <w:rFonts w:ascii="Consolas" w:eastAsia="Times New Roman" w:hAnsi="Consolas"/>
      <w:sz w:val="20"/>
      <w:szCs w:val="20"/>
    </w:rPr>
  </w:style>
  <w:style w:type="paragraph" w:styleId="Index1">
    <w:name w:val="index 1"/>
    <w:basedOn w:val="Normal"/>
    <w:next w:val="Normal"/>
    <w:uiPriority w:val="99"/>
    <w:semiHidden/>
    <w:unhideWhenUsed/>
    <w:rsid w:val="00F63BA0"/>
    <w:pPr>
      <w:ind w:left="240" w:hanging="240"/>
    </w:pPr>
  </w:style>
  <w:style w:type="paragraph" w:styleId="Index2">
    <w:name w:val="index 2"/>
    <w:basedOn w:val="Normal"/>
    <w:next w:val="Normal"/>
    <w:uiPriority w:val="99"/>
    <w:semiHidden/>
    <w:unhideWhenUsed/>
    <w:rsid w:val="00F63BA0"/>
    <w:pPr>
      <w:ind w:left="480" w:hanging="240"/>
    </w:pPr>
  </w:style>
  <w:style w:type="paragraph" w:styleId="Index3">
    <w:name w:val="index 3"/>
    <w:basedOn w:val="Normal"/>
    <w:next w:val="Normal"/>
    <w:uiPriority w:val="99"/>
    <w:semiHidden/>
    <w:unhideWhenUsed/>
    <w:rsid w:val="00F63BA0"/>
    <w:pPr>
      <w:ind w:left="720" w:hanging="240"/>
    </w:pPr>
  </w:style>
  <w:style w:type="paragraph" w:styleId="Index4">
    <w:name w:val="index 4"/>
    <w:basedOn w:val="Normal"/>
    <w:next w:val="Normal"/>
    <w:uiPriority w:val="99"/>
    <w:semiHidden/>
    <w:unhideWhenUsed/>
    <w:rsid w:val="00F63BA0"/>
    <w:pPr>
      <w:ind w:left="960" w:hanging="240"/>
    </w:pPr>
  </w:style>
  <w:style w:type="paragraph" w:styleId="Index5">
    <w:name w:val="index 5"/>
    <w:basedOn w:val="Normal"/>
    <w:next w:val="Normal"/>
    <w:uiPriority w:val="99"/>
    <w:semiHidden/>
    <w:unhideWhenUsed/>
    <w:rsid w:val="00F63BA0"/>
    <w:pPr>
      <w:ind w:left="1200" w:hanging="240"/>
    </w:pPr>
  </w:style>
  <w:style w:type="paragraph" w:styleId="Index6">
    <w:name w:val="index 6"/>
    <w:basedOn w:val="Normal"/>
    <w:next w:val="Normal"/>
    <w:uiPriority w:val="99"/>
    <w:semiHidden/>
    <w:unhideWhenUsed/>
    <w:rsid w:val="00F63BA0"/>
    <w:pPr>
      <w:ind w:left="1440" w:hanging="240"/>
    </w:pPr>
  </w:style>
  <w:style w:type="paragraph" w:styleId="Index7">
    <w:name w:val="index 7"/>
    <w:basedOn w:val="Normal"/>
    <w:next w:val="Normal"/>
    <w:uiPriority w:val="99"/>
    <w:semiHidden/>
    <w:unhideWhenUsed/>
    <w:rsid w:val="00F63BA0"/>
    <w:pPr>
      <w:ind w:left="1680" w:hanging="240"/>
    </w:pPr>
  </w:style>
  <w:style w:type="paragraph" w:styleId="Index8">
    <w:name w:val="index 8"/>
    <w:basedOn w:val="Normal"/>
    <w:next w:val="Normal"/>
    <w:uiPriority w:val="99"/>
    <w:semiHidden/>
    <w:unhideWhenUsed/>
    <w:rsid w:val="00F63BA0"/>
    <w:pPr>
      <w:ind w:left="1920" w:hanging="240"/>
    </w:pPr>
  </w:style>
  <w:style w:type="paragraph" w:styleId="Index9">
    <w:name w:val="index 9"/>
    <w:basedOn w:val="Normal"/>
    <w:next w:val="Normal"/>
    <w:uiPriority w:val="99"/>
    <w:semiHidden/>
    <w:unhideWhenUsed/>
    <w:rsid w:val="00F63BA0"/>
    <w:pPr>
      <w:ind w:left="2160" w:hanging="240"/>
    </w:pPr>
  </w:style>
  <w:style w:type="paragraph" w:styleId="IndexHeading">
    <w:name w:val="index heading"/>
    <w:basedOn w:val="Normal"/>
    <w:next w:val="Index1"/>
    <w:uiPriority w:val="99"/>
    <w:semiHidden/>
    <w:unhideWhenUsed/>
    <w:rsid w:val="00F63B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3B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63BA0"/>
    <w:rPr>
      <w:rFonts w:eastAsia="Times New Roman"/>
      <w:i/>
      <w:iCs/>
      <w:color w:val="4F81BD" w:themeColor="accent1"/>
      <w:sz w:val="24"/>
      <w:szCs w:val="24"/>
    </w:rPr>
  </w:style>
  <w:style w:type="paragraph" w:styleId="List">
    <w:name w:val="List"/>
    <w:basedOn w:val="Normal"/>
    <w:uiPriority w:val="99"/>
    <w:semiHidden/>
    <w:unhideWhenUsed/>
    <w:rsid w:val="00F63BA0"/>
    <w:pPr>
      <w:ind w:left="360" w:hanging="360"/>
      <w:contextualSpacing/>
    </w:pPr>
  </w:style>
  <w:style w:type="paragraph" w:styleId="List2">
    <w:name w:val="List 2"/>
    <w:basedOn w:val="Normal"/>
    <w:uiPriority w:val="99"/>
    <w:semiHidden/>
    <w:unhideWhenUsed/>
    <w:rsid w:val="00F63BA0"/>
    <w:pPr>
      <w:ind w:left="720" w:hanging="360"/>
      <w:contextualSpacing/>
    </w:pPr>
  </w:style>
  <w:style w:type="paragraph" w:styleId="List3">
    <w:name w:val="List 3"/>
    <w:basedOn w:val="Normal"/>
    <w:uiPriority w:val="99"/>
    <w:semiHidden/>
    <w:unhideWhenUsed/>
    <w:rsid w:val="00F63BA0"/>
    <w:pPr>
      <w:ind w:left="1080" w:hanging="360"/>
      <w:contextualSpacing/>
    </w:pPr>
  </w:style>
  <w:style w:type="paragraph" w:styleId="List4">
    <w:name w:val="List 4"/>
    <w:basedOn w:val="Normal"/>
    <w:uiPriority w:val="99"/>
    <w:semiHidden/>
    <w:unhideWhenUsed/>
    <w:rsid w:val="00F63BA0"/>
    <w:pPr>
      <w:ind w:left="1440" w:hanging="360"/>
      <w:contextualSpacing/>
    </w:pPr>
  </w:style>
  <w:style w:type="paragraph" w:styleId="List5">
    <w:name w:val="List 5"/>
    <w:basedOn w:val="Normal"/>
    <w:uiPriority w:val="99"/>
    <w:semiHidden/>
    <w:unhideWhenUsed/>
    <w:rsid w:val="00F63BA0"/>
    <w:pPr>
      <w:ind w:left="1800" w:hanging="360"/>
      <w:contextualSpacing/>
    </w:pPr>
  </w:style>
  <w:style w:type="paragraph" w:styleId="ListBullet">
    <w:name w:val="List Bullet"/>
    <w:basedOn w:val="Normal"/>
    <w:uiPriority w:val="99"/>
    <w:semiHidden/>
    <w:unhideWhenUsed/>
    <w:rsid w:val="00F63BA0"/>
    <w:pPr>
      <w:numPr>
        <w:numId w:val="35"/>
      </w:numPr>
      <w:contextualSpacing/>
    </w:pPr>
  </w:style>
  <w:style w:type="paragraph" w:styleId="ListBullet2">
    <w:name w:val="List Bullet 2"/>
    <w:basedOn w:val="Normal"/>
    <w:uiPriority w:val="99"/>
    <w:semiHidden/>
    <w:unhideWhenUsed/>
    <w:rsid w:val="00F63BA0"/>
    <w:pPr>
      <w:numPr>
        <w:numId w:val="36"/>
      </w:numPr>
      <w:contextualSpacing/>
    </w:pPr>
  </w:style>
  <w:style w:type="paragraph" w:styleId="ListBullet3">
    <w:name w:val="List Bullet 3"/>
    <w:basedOn w:val="Normal"/>
    <w:uiPriority w:val="99"/>
    <w:semiHidden/>
    <w:unhideWhenUsed/>
    <w:rsid w:val="00F63BA0"/>
    <w:pPr>
      <w:numPr>
        <w:numId w:val="37"/>
      </w:numPr>
      <w:contextualSpacing/>
    </w:pPr>
  </w:style>
  <w:style w:type="paragraph" w:styleId="ListBullet4">
    <w:name w:val="List Bullet 4"/>
    <w:basedOn w:val="Normal"/>
    <w:uiPriority w:val="99"/>
    <w:semiHidden/>
    <w:unhideWhenUsed/>
    <w:rsid w:val="00F63BA0"/>
    <w:pPr>
      <w:numPr>
        <w:numId w:val="38"/>
      </w:numPr>
      <w:contextualSpacing/>
    </w:pPr>
  </w:style>
  <w:style w:type="paragraph" w:styleId="ListBullet5">
    <w:name w:val="List Bullet 5"/>
    <w:basedOn w:val="Normal"/>
    <w:uiPriority w:val="99"/>
    <w:semiHidden/>
    <w:unhideWhenUsed/>
    <w:rsid w:val="00F63BA0"/>
    <w:pPr>
      <w:numPr>
        <w:numId w:val="39"/>
      </w:numPr>
      <w:contextualSpacing/>
    </w:pPr>
  </w:style>
  <w:style w:type="paragraph" w:styleId="ListContinue">
    <w:name w:val="List Continue"/>
    <w:basedOn w:val="Normal"/>
    <w:uiPriority w:val="99"/>
    <w:semiHidden/>
    <w:unhideWhenUsed/>
    <w:rsid w:val="00F63BA0"/>
    <w:pPr>
      <w:spacing w:after="120"/>
      <w:ind w:left="360"/>
      <w:contextualSpacing/>
    </w:pPr>
  </w:style>
  <w:style w:type="paragraph" w:styleId="ListContinue2">
    <w:name w:val="List Continue 2"/>
    <w:basedOn w:val="Normal"/>
    <w:uiPriority w:val="99"/>
    <w:semiHidden/>
    <w:unhideWhenUsed/>
    <w:rsid w:val="00F63BA0"/>
    <w:pPr>
      <w:spacing w:after="120"/>
      <w:ind w:left="720"/>
      <w:contextualSpacing/>
    </w:pPr>
  </w:style>
  <w:style w:type="paragraph" w:styleId="ListContinue3">
    <w:name w:val="List Continue 3"/>
    <w:basedOn w:val="Normal"/>
    <w:uiPriority w:val="99"/>
    <w:semiHidden/>
    <w:unhideWhenUsed/>
    <w:rsid w:val="00F63BA0"/>
    <w:pPr>
      <w:spacing w:after="120"/>
      <w:ind w:left="1080"/>
      <w:contextualSpacing/>
    </w:pPr>
  </w:style>
  <w:style w:type="paragraph" w:styleId="ListContinue4">
    <w:name w:val="List Continue 4"/>
    <w:basedOn w:val="Normal"/>
    <w:uiPriority w:val="99"/>
    <w:semiHidden/>
    <w:unhideWhenUsed/>
    <w:rsid w:val="00F63BA0"/>
    <w:pPr>
      <w:spacing w:after="120"/>
      <w:ind w:left="1440"/>
      <w:contextualSpacing/>
    </w:pPr>
  </w:style>
  <w:style w:type="paragraph" w:styleId="ListContinue5">
    <w:name w:val="List Continue 5"/>
    <w:basedOn w:val="Normal"/>
    <w:uiPriority w:val="99"/>
    <w:semiHidden/>
    <w:unhideWhenUsed/>
    <w:rsid w:val="00F63BA0"/>
    <w:pPr>
      <w:spacing w:after="120"/>
      <w:ind w:left="1800"/>
      <w:contextualSpacing/>
    </w:pPr>
  </w:style>
  <w:style w:type="paragraph" w:styleId="ListNumber">
    <w:name w:val="List Number"/>
    <w:basedOn w:val="Normal"/>
    <w:uiPriority w:val="99"/>
    <w:semiHidden/>
    <w:unhideWhenUsed/>
    <w:rsid w:val="00F63BA0"/>
    <w:pPr>
      <w:numPr>
        <w:numId w:val="40"/>
      </w:numPr>
      <w:contextualSpacing/>
    </w:pPr>
  </w:style>
  <w:style w:type="paragraph" w:styleId="ListNumber2">
    <w:name w:val="List Number 2"/>
    <w:basedOn w:val="Normal"/>
    <w:uiPriority w:val="99"/>
    <w:semiHidden/>
    <w:unhideWhenUsed/>
    <w:rsid w:val="00F63BA0"/>
    <w:pPr>
      <w:numPr>
        <w:numId w:val="41"/>
      </w:numPr>
      <w:contextualSpacing/>
    </w:pPr>
  </w:style>
  <w:style w:type="paragraph" w:styleId="ListNumber3">
    <w:name w:val="List Number 3"/>
    <w:basedOn w:val="Normal"/>
    <w:uiPriority w:val="99"/>
    <w:semiHidden/>
    <w:unhideWhenUsed/>
    <w:rsid w:val="00F63BA0"/>
    <w:pPr>
      <w:numPr>
        <w:numId w:val="42"/>
      </w:numPr>
      <w:contextualSpacing/>
    </w:pPr>
  </w:style>
  <w:style w:type="paragraph" w:styleId="ListNumber4">
    <w:name w:val="List Number 4"/>
    <w:basedOn w:val="Normal"/>
    <w:uiPriority w:val="99"/>
    <w:semiHidden/>
    <w:unhideWhenUsed/>
    <w:rsid w:val="00F63BA0"/>
    <w:pPr>
      <w:numPr>
        <w:numId w:val="43"/>
      </w:numPr>
      <w:contextualSpacing/>
    </w:pPr>
  </w:style>
  <w:style w:type="paragraph" w:styleId="ListNumber5">
    <w:name w:val="List Number 5"/>
    <w:basedOn w:val="Normal"/>
    <w:uiPriority w:val="99"/>
    <w:semiHidden/>
    <w:unhideWhenUsed/>
    <w:rsid w:val="00F63BA0"/>
    <w:pPr>
      <w:numPr>
        <w:numId w:val="44"/>
      </w:numPr>
      <w:contextualSpacing/>
    </w:pPr>
  </w:style>
  <w:style w:type="paragraph" w:styleId="MacroText">
    <w:name w:val="macro"/>
    <w:link w:val="MacroTextChar"/>
    <w:uiPriority w:val="99"/>
    <w:semiHidden/>
    <w:unhideWhenUsed/>
    <w:rsid w:val="00F63BA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nsolas" w:eastAsia="Times New Roman" w:hAnsi="Consolas"/>
      <w:sz w:val="20"/>
      <w:szCs w:val="20"/>
    </w:rPr>
  </w:style>
  <w:style w:type="character" w:customStyle="1" w:styleId="MacroTextChar">
    <w:name w:val="Macro Text Char"/>
    <w:basedOn w:val="DefaultParagraphFont"/>
    <w:link w:val="MacroText"/>
    <w:uiPriority w:val="99"/>
    <w:semiHidden/>
    <w:rsid w:val="00F63BA0"/>
    <w:rPr>
      <w:rFonts w:ascii="Consolas" w:eastAsia="Times New Roman" w:hAnsi="Consolas"/>
      <w:sz w:val="20"/>
      <w:szCs w:val="20"/>
    </w:rPr>
  </w:style>
  <w:style w:type="paragraph" w:styleId="MessageHeader">
    <w:name w:val="Message Header"/>
    <w:basedOn w:val="Normal"/>
    <w:link w:val="MessageHeaderChar"/>
    <w:uiPriority w:val="99"/>
    <w:semiHidden/>
    <w:unhideWhenUsed/>
    <w:rsid w:val="00F63BA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63BA0"/>
    <w:rPr>
      <w:rFonts w:asciiTheme="majorHAnsi" w:eastAsiaTheme="majorEastAsia" w:hAnsiTheme="majorHAnsi" w:cstheme="majorBidi"/>
      <w:sz w:val="24"/>
      <w:szCs w:val="24"/>
      <w:shd w:val="pct20" w:color="auto" w:fill="auto"/>
    </w:rPr>
  </w:style>
  <w:style w:type="paragraph" w:styleId="NoSpacing">
    <w:name w:val="No Spacing"/>
    <w:uiPriority w:val="1"/>
    <w:qFormat/>
    <w:rsid w:val="00F63BA0"/>
    <w:pPr>
      <w:widowControl w:val="0"/>
      <w:autoSpaceDE w:val="0"/>
      <w:autoSpaceDN w:val="0"/>
      <w:adjustRightInd w:val="0"/>
      <w:spacing w:after="0" w:line="240" w:lineRule="auto"/>
    </w:pPr>
    <w:rPr>
      <w:rFonts w:eastAsia="Times New Roman"/>
      <w:sz w:val="24"/>
      <w:szCs w:val="24"/>
    </w:rPr>
  </w:style>
  <w:style w:type="paragraph" w:styleId="NormalWeb">
    <w:name w:val="Normal (Web)"/>
    <w:basedOn w:val="Normal"/>
    <w:uiPriority w:val="99"/>
    <w:semiHidden/>
    <w:unhideWhenUsed/>
    <w:rsid w:val="00F63BA0"/>
  </w:style>
  <w:style w:type="paragraph" w:styleId="NormalIndent">
    <w:name w:val="Normal Indent"/>
    <w:basedOn w:val="Normal"/>
    <w:uiPriority w:val="99"/>
    <w:semiHidden/>
    <w:unhideWhenUsed/>
    <w:rsid w:val="00F63BA0"/>
    <w:pPr>
      <w:ind w:left="720"/>
    </w:pPr>
  </w:style>
  <w:style w:type="paragraph" w:styleId="NoteHeading">
    <w:name w:val="Note Heading"/>
    <w:basedOn w:val="Normal"/>
    <w:next w:val="Normal"/>
    <w:link w:val="NoteHeadingChar"/>
    <w:uiPriority w:val="99"/>
    <w:semiHidden/>
    <w:unhideWhenUsed/>
    <w:rsid w:val="00F63BA0"/>
  </w:style>
  <w:style w:type="character" w:customStyle="1" w:styleId="NoteHeadingChar">
    <w:name w:val="Note Heading Char"/>
    <w:basedOn w:val="DefaultParagraphFont"/>
    <w:link w:val="NoteHeading"/>
    <w:uiPriority w:val="99"/>
    <w:semiHidden/>
    <w:rsid w:val="00F63BA0"/>
    <w:rPr>
      <w:rFonts w:eastAsia="Times New Roman"/>
      <w:sz w:val="24"/>
      <w:szCs w:val="24"/>
    </w:rPr>
  </w:style>
  <w:style w:type="paragraph" w:styleId="PlainText">
    <w:name w:val="Plain Text"/>
    <w:basedOn w:val="Normal"/>
    <w:link w:val="PlainTextChar"/>
    <w:uiPriority w:val="99"/>
    <w:semiHidden/>
    <w:unhideWhenUsed/>
    <w:rsid w:val="00F63BA0"/>
    <w:rPr>
      <w:rFonts w:ascii="Consolas" w:hAnsi="Consolas"/>
      <w:sz w:val="21"/>
      <w:szCs w:val="21"/>
    </w:rPr>
  </w:style>
  <w:style w:type="character" w:customStyle="1" w:styleId="PlainTextChar">
    <w:name w:val="Plain Text Char"/>
    <w:basedOn w:val="DefaultParagraphFont"/>
    <w:link w:val="PlainText"/>
    <w:uiPriority w:val="99"/>
    <w:semiHidden/>
    <w:rsid w:val="00F63BA0"/>
    <w:rPr>
      <w:rFonts w:ascii="Consolas" w:eastAsia="Times New Roman" w:hAnsi="Consolas"/>
      <w:sz w:val="21"/>
      <w:szCs w:val="21"/>
    </w:rPr>
  </w:style>
  <w:style w:type="paragraph" w:styleId="Quote">
    <w:name w:val="Quote"/>
    <w:basedOn w:val="Normal"/>
    <w:next w:val="Normal"/>
    <w:link w:val="QuoteChar"/>
    <w:uiPriority w:val="29"/>
    <w:qFormat/>
    <w:rsid w:val="00F63B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3BA0"/>
    <w:rPr>
      <w:rFonts w:eastAsia="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F63BA0"/>
  </w:style>
  <w:style w:type="character" w:customStyle="1" w:styleId="SalutationChar">
    <w:name w:val="Salutation Char"/>
    <w:basedOn w:val="DefaultParagraphFont"/>
    <w:link w:val="Salutation"/>
    <w:uiPriority w:val="99"/>
    <w:semiHidden/>
    <w:rsid w:val="00F63BA0"/>
    <w:rPr>
      <w:rFonts w:eastAsia="Times New Roman"/>
      <w:sz w:val="24"/>
      <w:szCs w:val="24"/>
    </w:rPr>
  </w:style>
  <w:style w:type="paragraph" w:styleId="Signature">
    <w:name w:val="Signature"/>
    <w:basedOn w:val="Normal"/>
    <w:link w:val="SignatureChar"/>
    <w:uiPriority w:val="99"/>
    <w:semiHidden/>
    <w:unhideWhenUsed/>
    <w:rsid w:val="00F63BA0"/>
    <w:pPr>
      <w:ind w:left="4320"/>
    </w:pPr>
  </w:style>
  <w:style w:type="character" w:customStyle="1" w:styleId="SignatureChar">
    <w:name w:val="Signature Char"/>
    <w:basedOn w:val="DefaultParagraphFont"/>
    <w:link w:val="Signature"/>
    <w:uiPriority w:val="99"/>
    <w:semiHidden/>
    <w:rsid w:val="00F63BA0"/>
    <w:rPr>
      <w:rFonts w:eastAsia="Times New Roman"/>
      <w:sz w:val="24"/>
      <w:szCs w:val="24"/>
    </w:rPr>
  </w:style>
  <w:style w:type="paragraph" w:styleId="Subtitle">
    <w:name w:val="Subtitle"/>
    <w:basedOn w:val="Normal"/>
    <w:next w:val="Normal"/>
    <w:link w:val="SubtitleChar"/>
    <w:uiPriority w:val="11"/>
    <w:qFormat/>
    <w:rsid w:val="00F63B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63BA0"/>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F63BA0"/>
    <w:pPr>
      <w:ind w:left="240" w:hanging="240"/>
    </w:pPr>
  </w:style>
  <w:style w:type="paragraph" w:styleId="TableofFigures">
    <w:name w:val="table of figures"/>
    <w:basedOn w:val="Normal"/>
    <w:next w:val="Normal"/>
    <w:uiPriority w:val="99"/>
    <w:semiHidden/>
    <w:unhideWhenUsed/>
    <w:rsid w:val="00F63BA0"/>
  </w:style>
  <w:style w:type="paragraph" w:styleId="Title">
    <w:name w:val="Title"/>
    <w:basedOn w:val="Normal"/>
    <w:next w:val="Normal"/>
    <w:link w:val="TitleChar"/>
    <w:uiPriority w:val="10"/>
    <w:qFormat/>
    <w:rsid w:val="00F63BA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BA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63BA0"/>
    <w:pPr>
      <w:spacing w:before="120"/>
    </w:pPr>
    <w:rPr>
      <w:rFonts w:asciiTheme="majorHAnsi" w:eastAsiaTheme="majorEastAsia" w:hAnsiTheme="majorHAnsi" w:cstheme="majorBidi"/>
      <w:b/>
      <w:bCs/>
    </w:rPr>
  </w:style>
  <w:style w:type="paragraph" w:styleId="TOC1">
    <w:name w:val="toc 1"/>
    <w:basedOn w:val="Normal"/>
    <w:next w:val="Normal"/>
    <w:uiPriority w:val="39"/>
    <w:semiHidden/>
    <w:unhideWhenUsed/>
    <w:rsid w:val="00F63BA0"/>
    <w:pPr>
      <w:spacing w:after="100"/>
    </w:pPr>
  </w:style>
  <w:style w:type="paragraph" w:styleId="TOC2">
    <w:name w:val="toc 2"/>
    <w:basedOn w:val="Normal"/>
    <w:next w:val="Normal"/>
    <w:uiPriority w:val="39"/>
    <w:semiHidden/>
    <w:unhideWhenUsed/>
    <w:rsid w:val="00F63BA0"/>
    <w:pPr>
      <w:spacing w:after="100"/>
      <w:ind w:left="240"/>
    </w:pPr>
  </w:style>
  <w:style w:type="paragraph" w:styleId="TOC3">
    <w:name w:val="toc 3"/>
    <w:basedOn w:val="Normal"/>
    <w:next w:val="Normal"/>
    <w:uiPriority w:val="39"/>
    <w:semiHidden/>
    <w:unhideWhenUsed/>
    <w:rsid w:val="00F63BA0"/>
    <w:pPr>
      <w:spacing w:after="100"/>
      <w:ind w:left="480"/>
    </w:pPr>
  </w:style>
  <w:style w:type="paragraph" w:styleId="TOC4">
    <w:name w:val="toc 4"/>
    <w:basedOn w:val="Normal"/>
    <w:next w:val="Normal"/>
    <w:uiPriority w:val="39"/>
    <w:semiHidden/>
    <w:unhideWhenUsed/>
    <w:rsid w:val="00F63BA0"/>
    <w:pPr>
      <w:spacing w:after="100"/>
      <w:ind w:left="720"/>
    </w:pPr>
  </w:style>
  <w:style w:type="paragraph" w:styleId="TOC5">
    <w:name w:val="toc 5"/>
    <w:basedOn w:val="Normal"/>
    <w:next w:val="Normal"/>
    <w:uiPriority w:val="39"/>
    <w:semiHidden/>
    <w:unhideWhenUsed/>
    <w:rsid w:val="00F63BA0"/>
    <w:pPr>
      <w:spacing w:after="100"/>
      <w:ind w:left="960"/>
    </w:pPr>
  </w:style>
  <w:style w:type="paragraph" w:styleId="TOC6">
    <w:name w:val="toc 6"/>
    <w:basedOn w:val="Normal"/>
    <w:next w:val="Normal"/>
    <w:uiPriority w:val="39"/>
    <w:semiHidden/>
    <w:unhideWhenUsed/>
    <w:rsid w:val="00F63BA0"/>
    <w:pPr>
      <w:spacing w:after="100"/>
      <w:ind w:left="1200"/>
    </w:pPr>
  </w:style>
  <w:style w:type="paragraph" w:styleId="TOC7">
    <w:name w:val="toc 7"/>
    <w:basedOn w:val="Normal"/>
    <w:next w:val="Normal"/>
    <w:uiPriority w:val="39"/>
    <w:semiHidden/>
    <w:unhideWhenUsed/>
    <w:rsid w:val="00F63BA0"/>
    <w:pPr>
      <w:spacing w:after="100"/>
      <w:ind w:left="1440"/>
    </w:pPr>
  </w:style>
  <w:style w:type="paragraph" w:styleId="TOC8">
    <w:name w:val="toc 8"/>
    <w:basedOn w:val="Normal"/>
    <w:next w:val="Normal"/>
    <w:uiPriority w:val="39"/>
    <w:semiHidden/>
    <w:unhideWhenUsed/>
    <w:rsid w:val="00F63BA0"/>
    <w:pPr>
      <w:spacing w:after="100"/>
      <w:ind w:left="1680"/>
    </w:pPr>
  </w:style>
  <w:style w:type="paragraph" w:styleId="TOC9">
    <w:name w:val="toc 9"/>
    <w:basedOn w:val="Normal"/>
    <w:next w:val="Normal"/>
    <w:uiPriority w:val="39"/>
    <w:semiHidden/>
    <w:unhideWhenUsed/>
    <w:rsid w:val="00F63BA0"/>
    <w:pPr>
      <w:spacing w:after="100"/>
      <w:ind w:left="1920"/>
    </w:pPr>
  </w:style>
  <w:style w:type="paragraph" w:styleId="TOCHeading">
    <w:name w:val="TOC Heading"/>
    <w:basedOn w:val="Heading1"/>
    <w:next w:val="Normal"/>
    <w:uiPriority w:val="39"/>
    <w:semiHidden/>
    <w:unhideWhenUsed/>
    <w:qFormat/>
    <w:rsid w:val="00F63BA0"/>
    <w:pPr>
      <w:widowControl w:val="0"/>
      <w:tabs>
        <w:tab w:val="clear" w:pos="720"/>
      </w:tabs>
      <w:spacing w:before="240" w:after="0"/>
      <w:ind w:left="0" w:firstLine="0"/>
      <w:outlineLvl w:val="9"/>
    </w:pPr>
    <w:rPr>
      <w:rFonts w:asciiTheme="majorHAnsi" w:eastAsiaTheme="majorEastAsia" w:hAnsiTheme="majorHAnsi" w:cstheme="majorBidi"/>
      <w:b w:val="0"/>
      <w:bCs w:val="0"/>
      <w:color w:val="365F91" w:themeColor="accent1" w:themeShade="BF"/>
      <w:kern w:val="0"/>
      <w:sz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969607">
      <w:bodyDiv w:val="1"/>
      <w:marLeft w:val="0"/>
      <w:marRight w:val="0"/>
      <w:marTop w:val="0"/>
      <w:marBottom w:val="0"/>
      <w:divBdr>
        <w:top w:val="none" w:sz="0" w:space="0" w:color="auto"/>
        <w:left w:val="none" w:sz="0" w:space="0" w:color="auto"/>
        <w:bottom w:val="none" w:sz="0" w:space="0" w:color="auto"/>
        <w:right w:val="none" w:sz="0" w:space="0" w:color="auto"/>
      </w:divBdr>
    </w:div>
    <w:div w:id="126584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erc.gov/industries-data/electric/general-information/electric-industry-form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docs-filing/info-collections.asp"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forms.asp"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erc.gov/news-events/news/ferc-affirms-clarifies-purpa-final-rule" TargetMode="External"/><Relationship Id="rId2" Type="http://schemas.openxmlformats.org/officeDocument/2006/relationships/hyperlink" Target="https://elibrary.ferc.gov/eLibrary/docinfo?document_id=14908630" TargetMode="External"/><Relationship Id="rId1" Type="http://schemas.openxmlformats.org/officeDocument/2006/relationships/hyperlink" Target="https://www.ferc.gov/sites/default/files/2020-07/07-2020-E-1-staff-presentation.pdf" TargetMode="External"/><Relationship Id="rId6" Type="http://schemas.openxmlformats.org/officeDocument/2006/relationships/hyperlink" Target="http://www.ferc.gov" TargetMode="External"/><Relationship Id="rId5" Type="http://schemas.openxmlformats.org/officeDocument/2006/relationships/hyperlink" Target="https://elibrary.ferc.gov/eLibrary/filedownload?fileid=15586408" TargetMode="External"/><Relationship Id="rId4" Type="http://schemas.openxmlformats.org/officeDocument/2006/relationships/hyperlink" Target="https://elibrary.ferc.gov/eLibrary/filedownload?fileid=155864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556</_x0031__x002e__x0020_Collection_x0020_Number>
    <Date xmlns="d6eefc7d-9817-4fa6-84d5-3bc009be21b8">2020-12-14T05:00:00.000Z</Date>
    <Status xmlns="d6eefc7d-9817-4fa6-84d5-3bc009be21b8">Draft</Status>
    <_x0032__x002e__x0020_Docket_x0020_Number xmlns="d6eefc7d-9817-4fa6-84d5-3bc009be21b8">AD16-16</_x0032__x002e__x0020_Docket_x0020_Number>
    <_x0032__x002e__x0020_Collection_x0020_Number xmlns="d6eefc7d-9817-4fa6-84d5-3bc009be21b8">912</_x0032__x002e__x0020_Collection_x0020_Number>
    <_x0031__x002e__x0020_Docket_x0020_Number xmlns="d6eefc7d-9817-4fa6-84d5-3bc009be21b8">RM19-15</_x0031__x002e__x0020_Docket_x0020_Number>
    <_x0033__x002e__x0020_Collection_x0020_Number xmlns="d6eefc7d-9817-4fa6-84d5-3bc009be21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93D27-ACE7-498D-9982-673E34C2974F}">
  <ds:schemaRefs>
    <ds:schemaRef ds:uri="http://schemas.microsoft.com/office/2006/metadata/customXsn"/>
  </ds:schemaRefs>
</ds:datastoreItem>
</file>

<file path=customXml/itemProps2.xml><?xml version="1.0" encoding="utf-8"?>
<ds:datastoreItem xmlns:ds="http://schemas.openxmlformats.org/officeDocument/2006/customXml" ds:itemID="{384B5CC9-811E-4133-AA73-0A43F446C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93762E-DD30-41FA-BE95-7A3DAA0E9F6E}">
  <ds:schemaRefs>
    <ds:schemaRef ds:uri="http://schemas.microsoft.com/office/2006/metadata/properties"/>
    <ds:schemaRef ds:uri="http://schemas.microsoft.com/office/infopath/2007/PartnerControls"/>
    <ds:schemaRef ds:uri="d6eefc7d-9817-4fa6-84d5-3bc009be21b8"/>
  </ds:schemaRefs>
</ds:datastoreItem>
</file>

<file path=customXml/itemProps4.xml><?xml version="1.0" encoding="utf-8"?>
<ds:datastoreItem xmlns:ds="http://schemas.openxmlformats.org/officeDocument/2006/customXml" ds:itemID="{A9BA10FD-78F8-4EE3-85B1-ECBD4703B7F1}">
  <ds:schemaRefs>
    <ds:schemaRef ds:uri="http://schemas.microsoft.com/sharepoint/v3/contenttype/forms"/>
  </ds:schemaRefs>
</ds:datastoreItem>
</file>

<file path=customXml/itemProps5.xml><?xml version="1.0" encoding="utf-8"?>
<ds:datastoreItem xmlns:ds="http://schemas.openxmlformats.org/officeDocument/2006/customXml" ds:itemID="{6E117E1C-DE12-4FFE-87D2-E4D85E811355}">
  <ds:schemaRefs>
    <ds:schemaRef ds:uri="Microsoft.SharePoint.Taxonomy.ContentTypeSync"/>
  </ds:schemaRefs>
</ds:datastoreItem>
</file>

<file path=customXml/itemProps6.xml><?xml version="1.0" encoding="utf-8"?>
<ds:datastoreItem xmlns:ds="http://schemas.openxmlformats.org/officeDocument/2006/customXml" ds:itemID="{C2C5B9D5-F8E1-4BE0-B946-CC8F39C9F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38</Pages>
  <Words>11474</Words>
  <Characters>65402</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Brown</dc:creator>
  <cp:lastModifiedBy>Ellen Brown</cp:lastModifiedBy>
  <cp:revision>3</cp:revision>
  <dcterms:created xsi:type="dcterms:W3CDTF">2020-12-14T21:02:00Z</dcterms:created>
  <dcterms:modified xsi:type="dcterms:W3CDTF">2020-12-14T21:47:00Z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0x0101001EA51C0686BDB848B772F285AB6866B0</vt:lpwstr>
  </property>
  <property fmtid="{D5CDD505-2E9C-101B-9397-08002B2CF9AE}" pid="4" name="MSIP_Label_6155a89b-0f08-4a93-8ea2-8a916d6643b5_Enabled">
    <vt:lpwstr>True</vt:lpwstr>
  </property>
  <property fmtid="{D5CDD505-2E9C-101B-9397-08002B2CF9AE}" pid="5" name="MSIP_Label_6155a89b-0f08-4a93-8ea2-8a916d6643b5_SiteId">
    <vt:lpwstr>19caa9e9-04ff-43fa-885f-d77fac387903</vt:lpwstr>
  </property>
  <property fmtid="{D5CDD505-2E9C-101B-9397-08002B2CF9AE}" pid="6" name="MSIP_Label_6155a89b-0f08-4a93-8ea2-8a916d6643b5_Owner">
    <vt:lpwstr>ellen.brown@ferc.gov</vt:lpwstr>
  </property>
  <property fmtid="{D5CDD505-2E9C-101B-9397-08002B2CF9AE}" pid="7" name="MSIP_Label_6155a89b-0f08-4a93-8ea2-8a916d6643b5_SetDate">
    <vt:lpwstr>2020-09-02T12:12:14.4832242Z</vt:lpwstr>
  </property>
  <property fmtid="{D5CDD505-2E9C-101B-9397-08002B2CF9AE}" pid="8" name="MSIP_Label_6155a89b-0f08-4a93-8ea2-8a916d6643b5_Name">
    <vt:lpwstr>General</vt:lpwstr>
  </property>
  <property fmtid="{D5CDD505-2E9C-101B-9397-08002B2CF9AE}" pid="9" name="MSIP_Label_6155a89b-0f08-4a93-8ea2-8a916d6643b5_Application">
    <vt:lpwstr>Microsoft Azure Information Protection</vt:lpwstr>
  </property>
  <property fmtid="{D5CDD505-2E9C-101B-9397-08002B2CF9AE}" pid="10" name="MSIP_Label_6155a89b-0f08-4a93-8ea2-8a916d6643b5_ActionId">
    <vt:lpwstr>dd85f251-4e3d-4173-b333-04de82951578</vt:lpwstr>
  </property>
  <property fmtid="{D5CDD505-2E9C-101B-9397-08002B2CF9AE}" pid="11" name="MSIP_Label_6155a89b-0f08-4a93-8ea2-8a916d6643b5_Extended_MSFT_Method">
    <vt:lpwstr>Manual</vt:lpwstr>
  </property>
  <property fmtid="{D5CDD505-2E9C-101B-9397-08002B2CF9AE}" pid="12" name="Sensitivity">
    <vt:lpwstr>General</vt:lpwstr>
  </property>
</Properties>
</file>