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1A49" w:rsidR="0034335B" w:rsidP="0034335B" w:rsidRDefault="0034335B" w14:paraId="598FC88A" w14:textId="77777777">
      <w:pPr>
        <w:widowControl/>
        <w:tabs>
          <w:tab w:val="center" w:pos="4680"/>
        </w:tabs>
        <w:jc w:val="center"/>
        <w:rPr>
          <w:rFonts w:ascii="Times New Roman" w:hAnsi="Times New Roman"/>
          <w:sz w:val="26"/>
          <w:szCs w:val="26"/>
        </w:rPr>
      </w:pPr>
      <w:bookmarkStart w:name="_GoBack" w:id="0"/>
      <w:bookmarkEnd w:id="0"/>
      <w:r w:rsidRPr="00F61A49">
        <w:rPr>
          <w:rFonts w:ascii="Times New Roman" w:hAnsi="Times New Roman"/>
          <w:sz w:val="26"/>
          <w:szCs w:val="26"/>
        </w:rPr>
        <w:t>S</w:t>
      </w:r>
      <w:r w:rsidRPr="00F61A49" w:rsidR="00EE4257">
        <w:rPr>
          <w:rFonts w:ascii="Times New Roman" w:hAnsi="Times New Roman"/>
          <w:sz w:val="26"/>
          <w:szCs w:val="26"/>
        </w:rPr>
        <w:t>upporting Statement</w:t>
      </w:r>
      <w:r w:rsidRPr="00F61A49">
        <w:rPr>
          <w:rFonts w:ascii="Times New Roman" w:hAnsi="Times New Roman"/>
          <w:sz w:val="26"/>
          <w:szCs w:val="26"/>
        </w:rPr>
        <w:t xml:space="preserve"> </w:t>
      </w:r>
    </w:p>
    <w:p w:rsidRPr="00F61A49" w:rsidR="0034335B" w:rsidP="0034335B" w:rsidRDefault="0034335B" w14:paraId="7C0D4074" w14:textId="77777777">
      <w:pPr>
        <w:widowControl/>
        <w:tabs>
          <w:tab w:val="center" w:pos="4680"/>
        </w:tabs>
        <w:jc w:val="center"/>
        <w:rPr>
          <w:rFonts w:ascii="Times New Roman" w:hAnsi="Times New Roman"/>
          <w:b/>
          <w:sz w:val="26"/>
          <w:szCs w:val="26"/>
        </w:rPr>
      </w:pPr>
      <w:r w:rsidRPr="00F61A49">
        <w:rPr>
          <w:rFonts w:ascii="Times New Roman" w:hAnsi="Times New Roman"/>
          <w:b/>
          <w:sz w:val="26"/>
          <w:szCs w:val="26"/>
        </w:rPr>
        <w:t>FERC</w:t>
      </w:r>
      <w:r w:rsidRPr="00F61A49" w:rsidR="00E4382B">
        <w:rPr>
          <w:rFonts w:ascii="Times New Roman" w:hAnsi="Times New Roman"/>
          <w:b/>
          <w:sz w:val="26"/>
          <w:szCs w:val="26"/>
        </w:rPr>
        <w:t>-</w:t>
      </w:r>
      <w:r w:rsidRPr="00F61A49">
        <w:rPr>
          <w:rFonts w:ascii="Times New Roman" w:hAnsi="Times New Roman"/>
          <w:b/>
          <w:sz w:val="26"/>
          <w:szCs w:val="26"/>
        </w:rPr>
        <w:t xml:space="preserve">73 </w:t>
      </w:r>
      <w:r w:rsidRPr="00F61A49" w:rsidR="00E4382B">
        <w:rPr>
          <w:rFonts w:ascii="Times New Roman" w:hAnsi="Times New Roman"/>
          <w:b/>
          <w:sz w:val="26"/>
          <w:szCs w:val="26"/>
        </w:rPr>
        <w:t>(</w:t>
      </w:r>
      <w:r w:rsidRPr="00F61A49">
        <w:rPr>
          <w:rFonts w:ascii="Times New Roman" w:hAnsi="Times New Roman"/>
          <w:b/>
          <w:sz w:val="26"/>
          <w:szCs w:val="26"/>
        </w:rPr>
        <w:t>Oil Pipeline Service Life Data</w:t>
      </w:r>
      <w:r w:rsidRPr="00F61A49" w:rsidR="00E4382B">
        <w:rPr>
          <w:rFonts w:ascii="Times New Roman" w:hAnsi="Times New Roman"/>
          <w:b/>
          <w:sz w:val="26"/>
          <w:szCs w:val="26"/>
        </w:rPr>
        <w:t>)</w:t>
      </w:r>
      <w:r w:rsidRPr="00F61A49">
        <w:rPr>
          <w:rFonts w:ascii="Times New Roman" w:hAnsi="Times New Roman"/>
          <w:b/>
          <w:sz w:val="26"/>
          <w:szCs w:val="26"/>
        </w:rPr>
        <w:t xml:space="preserve">  </w:t>
      </w:r>
    </w:p>
    <w:p w:rsidRPr="00F61A49" w:rsidR="0034335B" w:rsidP="0034335B" w:rsidRDefault="0034335B" w14:paraId="236E98AE" w14:textId="77777777">
      <w:pPr>
        <w:widowControl/>
        <w:rPr>
          <w:rFonts w:ascii="Times New Roman" w:hAnsi="Times New Roman"/>
          <w:sz w:val="26"/>
          <w:szCs w:val="26"/>
        </w:rPr>
      </w:pPr>
    </w:p>
    <w:p w:rsidRPr="00F61A49" w:rsidR="0034335B" w:rsidP="0034335B" w:rsidRDefault="0034335B" w14:paraId="64E40C79" w14:textId="77777777">
      <w:pPr>
        <w:widowControl/>
        <w:ind w:left="720"/>
        <w:rPr>
          <w:rFonts w:ascii="Times New Roman" w:hAnsi="Times New Roman"/>
          <w:sz w:val="26"/>
          <w:szCs w:val="26"/>
        </w:rPr>
      </w:pPr>
      <w:r w:rsidRPr="00F61A49">
        <w:rPr>
          <w:rFonts w:ascii="Times New Roman" w:hAnsi="Times New Roman"/>
          <w:sz w:val="26"/>
          <w:szCs w:val="26"/>
        </w:rPr>
        <w:t xml:space="preserve">The Federal Energy Regulatory Commission (FERC or Commission) requests that the Office of Management and Budget (OMB) review and </w:t>
      </w:r>
      <w:r w:rsidRPr="00F61A49" w:rsidR="00DF2BEC">
        <w:rPr>
          <w:rFonts w:ascii="Times New Roman" w:hAnsi="Times New Roman"/>
          <w:sz w:val="26"/>
          <w:szCs w:val="26"/>
        </w:rPr>
        <w:t xml:space="preserve">approve </w:t>
      </w:r>
      <w:r w:rsidRPr="00F61A49" w:rsidR="00E4382B">
        <w:rPr>
          <w:rFonts w:ascii="Times New Roman" w:hAnsi="Times New Roman"/>
          <w:sz w:val="26"/>
          <w:szCs w:val="26"/>
        </w:rPr>
        <w:t xml:space="preserve">the information collection </w:t>
      </w:r>
      <w:r w:rsidRPr="00F61A49">
        <w:rPr>
          <w:rFonts w:ascii="Times New Roman" w:hAnsi="Times New Roman"/>
          <w:sz w:val="26"/>
          <w:szCs w:val="26"/>
        </w:rPr>
        <w:t>FERC</w:t>
      </w:r>
      <w:r w:rsidRPr="00F61A49" w:rsidR="00E4382B">
        <w:rPr>
          <w:rFonts w:ascii="Times New Roman" w:hAnsi="Times New Roman"/>
          <w:sz w:val="26"/>
          <w:szCs w:val="26"/>
        </w:rPr>
        <w:t>-</w:t>
      </w:r>
      <w:r w:rsidRPr="00F61A49">
        <w:rPr>
          <w:rFonts w:ascii="Times New Roman" w:hAnsi="Times New Roman"/>
          <w:sz w:val="26"/>
          <w:szCs w:val="26"/>
        </w:rPr>
        <w:t>73, Oil Pipeline Service Life Data, for a three</w:t>
      </w:r>
      <w:r w:rsidRPr="00F61A49" w:rsidR="00DF2BEC">
        <w:rPr>
          <w:rFonts w:ascii="Times New Roman" w:hAnsi="Times New Roman"/>
          <w:sz w:val="26"/>
          <w:szCs w:val="26"/>
        </w:rPr>
        <w:t>-</w:t>
      </w:r>
      <w:r w:rsidRPr="00F61A49">
        <w:rPr>
          <w:rFonts w:ascii="Times New Roman" w:hAnsi="Times New Roman"/>
          <w:sz w:val="26"/>
          <w:szCs w:val="26"/>
        </w:rPr>
        <w:t xml:space="preserve">year period. </w:t>
      </w:r>
    </w:p>
    <w:p w:rsidRPr="00F61A49" w:rsidR="0034335B" w:rsidP="0034335B" w:rsidRDefault="0034335B" w14:paraId="1BBF5FD1" w14:textId="77777777">
      <w:pPr>
        <w:widowControl/>
        <w:ind w:left="720" w:firstLine="720"/>
        <w:rPr>
          <w:rFonts w:ascii="Times New Roman" w:hAnsi="Times New Roman"/>
          <w:sz w:val="26"/>
          <w:szCs w:val="26"/>
        </w:rPr>
      </w:pPr>
    </w:p>
    <w:p w:rsidRPr="00F61A49" w:rsidR="0034335B" w:rsidP="0034335B" w:rsidRDefault="0034335B" w14:paraId="17CB90F2" w14:textId="77777777">
      <w:pPr>
        <w:widowControl/>
        <w:tabs>
          <w:tab w:val="left" w:pos="-1440"/>
        </w:tabs>
        <w:ind w:left="720" w:hanging="720"/>
        <w:rPr>
          <w:rFonts w:ascii="Times New Roman" w:hAnsi="Times New Roman"/>
          <w:sz w:val="26"/>
          <w:szCs w:val="26"/>
        </w:rPr>
      </w:pPr>
      <w:r w:rsidRPr="00F61A49">
        <w:rPr>
          <w:rFonts w:ascii="Times New Roman" w:hAnsi="Times New Roman"/>
          <w:sz w:val="26"/>
          <w:szCs w:val="26"/>
        </w:rPr>
        <w:t>1.</w:t>
      </w:r>
      <w:r w:rsidRPr="00F61A49">
        <w:rPr>
          <w:rFonts w:ascii="Times New Roman" w:hAnsi="Times New Roman"/>
          <w:sz w:val="26"/>
          <w:szCs w:val="26"/>
        </w:rPr>
        <w:tab/>
      </w:r>
      <w:r w:rsidRPr="00F61A49">
        <w:rPr>
          <w:rFonts w:ascii="Times New Roman" w:hAnsi="Times New Roman"/>
          <w:b/>
          <w:sz w:val="26"/>
          <w:szCs w:val="26"/>
        </w:rPr>
        <w:t>CIRCUMSTANCES THAT MAKE THE COLLECTION OF INFORMATION NECESSARY</w:t>
      </w:r>
    </w:p>
    <w:p w:rsidRPr="00F61A49" w:rsidR="0034335B" w:rsidP="0034335B" w:rsidRDefault="0034335B" w14:paraId="77845A58" w14:textId="77777777">
      <w:pPr>
        <w:widowControl/>
        <w:tabs>
          <w:tab w:val="left" w:pos="-1440"/>
        </w:tabs>
        <w:ind w:left="720" w:hanging="720"/>
        <w:rPr>
          <w:rFonts w:ascii="Times New Roman" w:hAnsi="Times New Roman"/>
          <w:sz w:val="26"/>
          <w:szCs w:val="26"/>
        </w:rPr>
      </w:pPr>
      <w:r w:rsidRPr="00F61A49">
        <w:rPr>
          <w:rFonts w:ascii="Times New Roman" w:hAnsi="Times New Roman"/>
          <w:sz w:val="26"/>
          <w:szCs w:val="26"/>
        </w:rPr>
        <w:tab/>
      </w:r>
    </w:p>
    <w:p w:rsidR="009C74D3" w:rsidP="002433D0" w:rsidRDefault="002433D0" w14:paraId="692578ED" w14:textId="6EED696F">
      <w:pPr>
        <w:widowControl/>
        <w:tabs>
          <w:tab w:val="left" w:pos="-1440"/>
        </w:tabs>
        <w:ind w:left="720"/>
        <w:rPr>
          <w:rFonts w:ascii="Times New Roman" w:hAnsi="Times New Roman"/>
          <w:sz w:val="26"/>
          <w:szCs w:val="26"/>
        </w:rPr>
      </w:pPr>
      <w:r w:rsidRPr="00F61A49">
        <w:rPr>
          <w:rFonts w:ascii="Times New Roman" w:hAnsi="Times New Roman"/>
          <w:sz w:val="26"/>
          <w:szCs w:val="26"/>
        </w:rPr>
        <w:t>Oil pipelines are common carriers.  As such, they must provide transportation service to anyone who requests.  Congress gave the Commission jurisdiction over oil pipeline rates, charges and valuations in Pub. L. 103-272, Sec. 60502 (1994).</w:t>
      </w:r>
      <w:r w:rsidRPr="00F61A49">
        <w:rPr>
          <w:rFonts w:ascii="Times New Roman" w:hAnsi="Times New Roman"/>
          <w:sz w:val="26"/>
          <w:szCs w:val="26"/>
          <w:vertAlign w:val="superscript"/>
        </w:rPr>
        <w:footnoteReference w:id="1"/>
      </w:r>
      <w:r w:rsidRPr="00F61A49">
        <w:rPr>
          <w:rFonts w:ascii="Times New Roman" w:hAnsi="Times New Roman"/>
          <w:sz w:val="26"/>
          <w:szCs w:val="26"/>
        </w:rPr>
        <w:t xml:space="preserve">   FERC </w:t>
      </w:r>
      <w:r w:rsidR="001C0166">
        <w:rPr>
          <w:rFonts w:ascii="Times New Roman" w:hAnsi="Times New Roman"/>
          <w:sz w:val="26"/>
          <w:szCs w:val="26"/>
        </w:rPr>
        <w:t xml:space="preserve">promulgated </w:t>
      </w:r>
      <w:r w:rsidRPr="00F61A49">
        <w:rPr>
          <w:rFonts w:ascii="Times New Roman" w:hAnsi="Times New Roman"/>
          <w:sz w:val="26"/>
          <w:szCs w:val="26"/>
        </w:rPr>
        <w:t xml:space="preserve">regulations for oil pipeline rate methodologies and procedures in </w:t>
      </w:r>
      <w:r w:rsidR="00033BCE">
        <w:rPr>
          <w:rFonts w:ascii="Times New Roman" w:hAnsi="Times New Roman"/>
          <w:sz w:val="26"/>
          <w:szCs w:val="26"/>
        </w:rPr>
        <w:t xml:space="preserve">18 CFR </w:t>
      </w:r>
      <w:r w:rsidRPr="00F61A49">
        <w:rPr>
          <w:rFonts w:ascii="Times New Roman" w:hAnsi="Times New Roman"/>
          <w:sz w:val="26"/>
          <w:szCs w:val="26"/>
        </w:rPr>
        <w:t>Part 342</w:t>
      </w:r>
      <w:r w:rsidR="001C0166">
        <w:rPr>
          <w:rFonts w:ascii="Times New Roman" w:hAnsi="Times New Roman"/>
          <w:sz w:val="26"/>
          <w:szCs w:val="26"/>
        </w:rPr>
        <w:t xml:space="preserve"> and</w:t>
      </w:r>
      <w:r w:rsidRPr="00F61A49">
        <w:rPr>
          <w:rFonts w:ascii="Times New Roman" w:hAnsi="Times New Roman"/>
          <w:sz w:val="26"/>
          <w:szCs w:val="26"/>
        </w:rPr>
        <w:t>.</w:t>
      </w:r>
      <w:r w:rsidR="001C0166">
        <w:rPr>
          <w:rFonts w:ascii="Times New Roman" w:hAnsi="Times New Roman"/>
          <w:sz w:val="26"/>
          <w:szCs w:val="26"/>
        </w:rPr>
        <w:t xml:space="preserve"> regulations for oil pipeline depreciation rate procedures </w:t>
      </w:r>
      <w:r w:rsidR="00C30A21">
        <w:rPr>
          <w:rFonts w:ascii="Times New Roman" w:hAnsi="Times New Roman"/>
          <w:sz w:val="26"/>
          <w:szCs w:val="26"/>
        </w:rPr>
        <w:t xml:space="preserve">in </w:t>
      </w:r>
      <w:r w:rsidR="0014487F">
        <w:rPr>
          <w:rFonts w:ascii="Times New Roman" w:hAnsi="Times New Roman"/>
          <w:sz w:val="26"/>
          <w:szCs w:val="26"/>
        </w:rPr>
        <w:t xml:space="preserve">18 CFR </w:t>
      </w:r>
      <w:r w:rsidR="00C30A21">
        <w:rPr>
          <w:rFonts w:ascii="Times New Roman" w:hAnsi="Times New Roman"/>
          <w:sz w:val="26"/>
          <w:szCs w:val="26"/>
        </w:rPr>
        <w:t xml:space="preserve">Parts </w:t>
      </w:r>
      <w:r w:rsidR="0014487F">
        <w:rPr>
          <w:rFonts w:ascii="Times New Roman" w:hAnsi="Times New Roman"/>
          <w:sz w:val="26"/>
          <w:szCs w:val="26"/>
        </w:rPr>
        <w:t>347 and 357</w:t>
      </w:r>
      <w:r w:rsidR="00C30A21">
        <w:rPr>
          <w:rFonts w:ascii="Times New Roman" w:hAnsi="Times New Roman"/>
          <w:sz w:val="26"/>
          <w:szCs w:val="26"/>
        </w:rPr>
        <w:t>, which</w:t>
      </w:r>
      <w:r w:rsidR="0014487F">
        <w:rPr>
          <w:rFonts w:ascii="Times New Roman" w:hAnsi="Times New Roman"/>
          <w:sz w:val="26"/>
          <w:szCs w:val="26"/>
        </w:rPr>
        <w:t xml:space="preserve"> are relevant </w:t>
      </w:r>
      <w:r w:rsidR="00C30A21">
        <w:rPr>
          <w:rFonts w:ascii="Times New Roman" w:hAnsi="Times New Roman"/>
          <w:sz w:val="26"/>
          <w:szCs w:val="26"/>
        </w:rPr>
        <w:t xml:space="preserve">for the purposes </w:t>
      </w:r>
      <w:r w:rsidR="00AC06B1">
        <w:rPr>
          <w:rFonts w:ascii="Times New Roman" w:hAnsi="Times New Roman"/>
          <w:sz w:val="26"/>
          <w:szCs w:val="26"/>
        </w:rPr>
        <w:t>of the</w:t>
      </w:r>
      <w:r w:rsidR="000C7646">
        <w:rPr>
          <w:rFonts w:ascii="Times New Roman" w:hAnsi="Times New Roman"/>
          <w:sz w:val="26"/>
          <w:szCs w:val="26"/>
        </w:rPr>
        <w:t xml:space="preserve"> </w:t>
      </w:r>
      <w:r w:rsidR="0014487F">
        <w:rPr>
          <w:rFonts w:ascii="Times New Roman" w:hAnsi="Times New Roman"/>
          <w:sz w:val="26"/>
          <w:szCs w:val="26"/>
        </w:rPr>
        <w:t>FERC-73</w:t>
      </w:r>
      <w:r w:rsidR="00544CDA">
        <w:rPr>
          <w:rFonts w:ascii="Times New Roman" w:hAnsi="Times New Roman"/>
          <w:sz w:val="26"/>
          <w:szCs w:val="26"/>
        </w:rPr>
        <w:t xml:space="preserve"> </w:t>
      </w:r>
      <w:r w:rsidR="00481B31">
        <w:rPr>
          <w:rFonts w:ascii="Times New Roman" w:hAnsi="Times New Roman"/>
          <w:sz w:val="26"/>
          <w:szCs w:val="26"/>
        </w:rPr>
        <w:t xml:space="preserve">information </w:t>
      </w:r>
      <w:r w:rsidR="00544CDA">
        <w:rPr>
          <w:rFonts w:ascii="Times New Roman" w:hAnsi="Times New Roman"/>
          <w:sz w:val="26"/>
          <w:szCs w:val="26"/>
        </w:rPr>
        <w:t>collection</w:t>
      </w:r>
      <w:r w:rsidR="0014487F">
        <w:rPr>
          <w:rFonts w:ascii="Times New Roman" w:hAnsi="Times New Roman"/>
          <w:sz w:val="26"/>
          <w:szCs w:val="26"/>
        </w:rPr>
        <w:t>.</w:t>
      </w:r>
      <w:r w:rsidRPr="00F61A49">
        <w:rPr>
          <w:rFonts w:ascii="Times New Roman" w:hAnsi="Times New Roman"/>
          <w:sz w:val="26"/>
          <w:szCs w:val="26"/>
        </w:rPr>
        <w:t xml:space="preserve"> </w:t>
      </w:r>
    </w:p>
    <w:p w:rsidR="009C74D3" w:rsidP="002433D0" w:rsidRDefault="009C74D3" w14:paraId="6DCC993B" w14:textId="77777777">
      <w:pPr>
        <w:widowControl/>
        <w:tabs>
          <w:tab w:val="left" w:pos="-1440"/>
        </w:tabs>
        <w:ind w:left="720"/>
        <w:rPr>
          <w:rFonts w:ascii="Times New Roman" w:hAnsi="Times New Roman"/>
          <w:sz w:val="26"/>
          <w:szCs w:val="26"/>
        </w:rPr>
      </w:pPr>
    </w:p>
    <w:p w:rsidRPr="00F61A49" w:rsidR="009C74D3" w:rsidP="009C74D3" w:rsidRDefault="009C74D3" w14:paraId="5D1F5D33" w14:textId="77777777">
      <w:pPr>
        <w:pStyle w:val="ListParagraph"/>
        <w:rPr>
          <w:rFonts w:ascii="Times New Roman" w:hAnsi="Times New Roman"/>
          <w:sz w:val="26"/>
          <w:szCs w:val="26"/>
        </w:rPr>
      </w:pPr>
    </w:p>
    <w:p w:rsidRPr="00F61A49" w:rsidR="009C74D3" w:rsidP="009C74D3" w:rsidRDefault="009C74D3" w14:paraId="1747559B" w14:textId="77777777">
      <w:pPr>
        <w:widowControl/>
        <w:tabs>
          <w:tab w:val="left" w:pos="-1440"/>
        </w:tabs>
        <w:ind w:left="720"/>
        <w:rPr>
          <w:rFonts w:ascii="Times New Roman" w:hAnsi="Times New Roman"/>
          <w:sz w:val="26"/>
          <w:szCs w:val="26"/>
        </w:rPr>
      </w:pPr>
      <w:r w:rsidRPr="00DB0AAE">
        <w:rPr>
          <w:rFonts w:ascii="Times New Roman" w:hAnsi="Times New Roman"/>
          <w:sz w:val="26"/>
          <w:szCs w:val="26"/>
        </w:rPr>
        <w:t xml:space="preserve">In </w:t>
      </w:r>
      <w:hyperlink w:history="1" r:id="rId12">
        <w:r w:rsidRPr="00FD18F6">
          <w:rPr>
            <w:rStyle w:val="Hyperlink"/>
            <w:rFonts w:ascii="Times New Roman" w:hAnsi="Times New Roman"/>
            <w:color w:val="auto"/>
            <w:sz w:val="26"/>
            <w:szCs w:val="26"/>
            <w:u w:val="none"/>
          </w:rPr>
          <w:t>Order No. 561</w:t>
        </w:r>
      </w:hyperlink>
      <w:r w:rsidRPr="00F61A49">
        <w:rPr>
          <w:rFonts w:ascii="Times New Roman" w:hAnsi="Times New Roman"/>
          <w:sz w:val="26"/>
          <w:szCs w:val="26"/>
        </w:rPr>
        <w:t>,</w:t>
      </w:r>
      <w:r w:rsidRPr="00F61A49">
        <w:rPr>
          <w:rFonts w:ascii="Times New Roman" w:hAnsi="Times New Roman"/>
          <w:sz w:val="26"/>
          <w:szCs w:val="26"/>
          <w:vertAlign w:val="superscript"/>
        </w:rPr>
        <w:footnoteReference w:id="2"/>
      </w:r>
      <w:r w:rsidRPr="00F61A49">
        <w:rPr>
          <w:rFonts w:ascii="Times New Roman" w:hAnsi="Times New Roman"/>
          <w:sz w:val="26"/>
          <w:szCs w:val="26"/>
          <w:vertAlign w:val="superscript"/>
        </w:rPr>
        <w:t xml:space="preserve"> </w:t>
      </w:r>
      <w:r w:rsidRPr="00F61A49">
        <w:rPr>
          <w:rFonts w:ascii="Times New Roman" w:hAnsi="Times New Roman"/>
          <w:sz w:val="26"/>
          <w:szCs w:val="26"/>
        </w:rPr>
        <w:t xml:space="preserve"> the Commission determined that pipeline depreciation studies would be performed by oil pipeline companies.  Prior to the order, the Commission had been performing depreciation studies to establish revised depreciation rates for oil pipelines.  The Commission determined that this task unnecessarily burdened Commission’s resources.  The Commission’s regulations pertaining to depreciation accounting, are in 18 C.F.R. Part 352, General Instruction 1-8 (b)(2), and those for depreciation studies are in 18 C.F.R. Part 347, Oil Pipeline Depreciation Studies.   </w:t>
      </w:r>
    </w:p>
    <w:p w:rsidRPr="00F61A49" w:rsidR="009C74D3" w:rsidP="009C74D3" w:rsidRDefault="009C74D3" w14:paraId="26ABDA40" w14:textId="77777777">
      <w:pPr>
        <w:widowControl/>
        <w:tabs>
          <w:tab w:val="left" w:pos="-1440"/>
        </w:tabs>
        <w:ind w:left="720"/>
        <w:rPr>
          <w:rFonts w:ascii="Times New Roman" w:hAnsi="Times New Roman"/>
          <w:sz w:val="26"/>
          <w:szCs w:val="26"/>
        </w:rPr>
      </w:pPr>
    </w:p>
    <w:p w:rsidRPr="00F61A49" w:rsidR="009C74D3" w:rsidP="009C74D3" w:rsidRDefault="009C74D3" w14:paraId="29E092E8" w14:textId="77777777">
      <w:pPr>
        <w:widowControl/>
        <w:tabs>
          <w:tab w:val="left" w:pos="-1440"/>
        </w:tabs>
        <w:ind w:left="720"/>
        <w:rPr>
          <w:rFonts w:ascii="Times New Roman" w:hAnsi="Times New Roman"/>
          <w:sz w:val="26"/>
          <w:szCs w:val="26"/>
        </w:rPr>
      </w:pPr>
      <w:r w:rsidRPr="00F61A49">
        <w:rPr>
          <w:rFonts w:ascii="Times New Roman" w:hAnsi="Times New Roman"/>
          <w:sz w:val="26"/>
          <w:szCs w:val="26"/>
        </w:rPr>
        <w:lastRenderedPageBreak/>
        <w:t>In Order No. 571,</w:t>
      </w:r>
      <w:r w:rsidRPr="00F61A49">
        <w:rPr>
          <w:rFonts w:ascii="Times New Roman" w:hAnsi="Times New Roman"/>
          <w:sz w:val="26"/>
          <w:szCs w:val="26"/>
          <w:vertAlign w:val="superscript"/>
        </w:rPr>
        <w:footnoteReference w:id="3"/>
      </w:r>
      <w:r w:rsidRPr="00F61A49">
        <w:rPr>
          <w:rFonts w:ascii="Times New Roman" w:hAnsi="Times New Roman"/>
          <w:sz w:val="26"/>
          <w:szCs w:val="26"/>
        </w:rPr>
        <w:t xml:space="preserve">  the Commission modified the process by which oil pipeline companies are assigned depreciation rates.  In that order, the Commission made it the responsibility of the oil pipeline companies to request new or modified </w:t>
      </w:r>
      <w:r w:rsidRPr="00D97D5E">
        <w:rPr>
          <w:rFonts w:ascii="Times New Roman" w:hAnsi="Times New Roman"/>
          <w:sz w:val="26"/>
          <w:szCs w:val="26"/>
        </w:rPr>
        <w:t>depreciation rates when needed.  The order also promulgated the regulations under which the submittals would be made and detailed the information needed to process such requests made by</w:t>
      </w:r>
      <w:r w:rsidRPr="00F61A49">
        <w:rPr>
          <w:rFonts w:ascii="Times New Roman" w:hAnsi="Times New Roman"/>
          <w:sz w:val="26"/>
          <w:szCs w:val="26"/>
        </w:rPr>
        <w:t xml:space="preserve"> the companies.</w:t>
      </w:r>
      <w:r w:rsidRPr="00F61A49">
        <w:rPr>
          <w:rFonts w:ascii="Times New Roman" w:hAnsi="Times New Roman"/>
          <w:sz w:val="26"/>
          <w:szCs w:val="26"/>
          <w:vertAlign w:val="superscript"/>
        </w:rPr>
        <w:footnoteReference w:id="4"/>
      </w:r>
      <w:r w:rsidRPr="00F61A49">
        <w:rPr>
          <w:rFonts w:ascii="Times New Roman" w:hAnsi="Times New Roman"/>
          <w:sz w:val="26"/>
          <w:szCs w:val="26"/>
        </w:rPr>
        <w:t xml:space="preserve">    </w:t>
      </w:r>
    </w:p>
    <w:p w:rsidRPr="00F61A49" w:rsidR="002433D0" w:rsidP="002433D0" w:rsidRDefault="002433D0" w14:paraId="089814CE" w14:textId="77777777">
      <w:pPr>
        <w:widowControl/>
        <w:tabs>
          <w:tab w:val="left" w:pos="-1440"/>
        </w:tabs>
        <w:ind w:left="720"/>
        <w:rPr>
          <w:rFonts w:ascii="Times New Roman" w:hAnsi="Times New Roman"/>
          <w:sz w:val="26"/>
          <w:szCs w:val="26"/>
        </w:rPr>
      </w:pPr>
    </w:p>
    <w:p w:rsidRPr="00F61A49" w:rsidR="002433D0" w:rsidP="002433D0" w:rsidRDefault="002433D0" w14:paraId="4D62E3B9" w14:textId="77777777">
      <w:pPr>
        <w:widowControl/>
        <w:tabs>
          <w:tab w:val="left" w:pos="-1440"/>
        </w:tabs>
        <w:ind w:left="720"/>
        <w:rPr>
          <w:rFonts w:ascii="Times New Roman" w:hAnsi="Times New Roman"/>
          <w:sz w:val="26"/>
          <w:szCs w:val="26"/>
        </w:rPr>
      </w:pPr>
      <w:r w:rsidRPr="00F61A49">
        <w:rPr>
          <w:rFonts w:ascii="Times New Roman" w:hAnsi="Times New Roman"/>
          <w:sz w:val="26"/>
          <w:szCs w:val="26"/>
        </w:rPr>
        <w:t>Section 342.2 of the Commission's regulations specifies that pipelines establish initial rates for new service in one of two ways.  The first way is by filing cost, revenue, and throughput data supporting the rate.  The second way is to provide a sworn affidavit that the rate is agreed to by at least one non-affiliated shipper intending to use the service.  Importantly, if a protest to the initial rate is filed, the carrier must file cost, revenue, and throughput data so FERC can determine whether the rate is just and reasonable.  If the initial rates for new service are for a pipeline which has other pipeline assets, the Commission uses FERC Form No. 73 to ensure that the service life of the facilities being used for the new service is accounted for appropriately.</w:t>
      </w:r>
    </w:p>
    <w:p w:rsidRPr="00F61A49" w:rsidR="002433D0" w:rsidP="002433D0" w:rsidRDefault="002433D0" w14:paraId="65C71595" w14:textId="77777777">
      <w:pPr>
        <w:widowControl/>
        <w:tabs>
          <w:tab w:val="left" w:pos="-1440"/>
        </w:tabs>
        <w:ind w:left="720"/>
        <w:rPr>
          <w:rFonts w:ascii="Times New Roman" w:hAnsi="Times New Roman"/>
          <w:sz w:val="26"/>
          <w:szCs w:val="26"/>
        </w:rPr>
      </w:pPr>
    </w:p>
    <w:p w:rsidR="00342E96" w:rsidP="00342E96" w:rsidRDefault="002433D0" w14:paraId="2EABC01F" w14:textId="5DB91B0D">
      <w:pPr>
        <w:widowControl/>
        <w:tabs>
          <w:tab w:val="left" w:pos="-1440"/>
        </w:tabs>
        <w:ind w:left="720"/>
        <w:rPr>
          <w:rFonts w:ascii="Times New Roman" w:hAnsi="Times New Roman"/>
          <w:sz w:val="26"/>
          <w:szCs w:val="26"/>
        </w:rPr>
      </w:pPr>
      <w:r w:rsidRPr="00F61A49">
        <w:rPr>
          <w:rFonts w:ascii="Times New Roman" w:hAnsi="Times New Roman"/>
          <w:sz w:val="26"/>
          <w:szCs w:val="26"/>
        </w:rPr>
        <w:t>The Commission’s regulations governing FERC Form No. 73 “Oil Pipeline Service Life Data” are contained in 18 C.F.R. § 357.3.</w:t>
      </w:r>
      <w:r w:rsidR="00FC675F">
        <w:rPr>
          <w:rFonts w:ascii="Times New Roman" w:hAnsi="Times New Roman"/>
          <w:sz w:val="26"/>
          <w:szCs w:val="26"/>
        </w:rPr>
        <w:t xml:space="preserve">  The material that must support a request for newly established or change</w:t>
      </w:r>
      <w:r w:rsidR="00EF110E">
        <w:rPr>
          <w:rFonts w:ascii="Times New Roman" w:hAnsi="Times New Roman"/>
          <w:sz w:val="26"/>
          <w:szCs w:val="26"/>
        </w:rPr>
        <w:t>d</w:t>
      </w:r>
      <w:r w:rsidR="00FC675F">
        <w:rPr>
          <w:rFonts w:ascii="Times New Roman" w:hAnsi="Times New Roman"/>
          <w:sz w:val="26"/>
          <w:szCs w:val="26"/>
        </w:rPr>
        <w:t xml:space="preserve"> depreciation studies is listed at 18 CFR 347.</w:t>
      </w:r>
      <w:r w:rsidR="00342E96">
        <w:rPr>
          <w:rFonts w:ascii="Times New Roman" w:hAnsi="Times New Roman"/>
          <w:sz w:val="26"/>
          <w:szCs w:val="26"/>
        </w:rPr>
        <w:t>1,</w:t>
      </w:r>
    </w:p>
    <w:p w:rsidR="00342E96" w:rsidP="00342E96" w:rsidRDefault="00342E96" w14:paraId="3A4740F9" w14:textId="77777777">
      <w:pPr>
        <w:widowControl/>
        <w:tabs>
          <w:tab w:val="left" w:pos="-1440"/>
        </w:tabs>
        <w:ind w:left="720"/>
        <w:rPr>
          <w:rFonts w:ascii="Times New Roman" w:hAnsi="Times New Roman"/>
          <w:sz w:val="26"/>
          <w:szCs w:val="26"/>
        </w:rPr>
      </w:pPr>
    </w:p>
    <w:p w:rsidR="0030601B" w:rsidP="0030601B" w:rsidRDefault="00342E96" w14:paraId="0D13B055" w14:textId="555C4585">
      <w:pPr>
        <w:widowControl/>
        <w:tabs>
          <w:tab w:val="left" w:pos="-1440"/>
        </w:tabs>
        <w:ind w:left="720"/>
        <w:rPr>
          <w:rFonts w:ascii="Times New Roman" w:hAnsi="Times New Roman"/>
          <w:sz w:val="26"/>
          <w:szCs w:val="26"/>
        </w:rPr>
      </w:pPr>
      <w:r w:rsidRPr="006E1A88">
        <w:rPr>
          <w:rFonts w:ascii="Times New Roman" w:hAnsi="Times New Roman"/>
          <w:sz w:val="26"/>
          <w:szCs w:val="26"/>
        </w:rPr>
        <w:t xml:space="preserve">Section 347.1 </w:t>
      </w:r>
      <w:r w:rsidRPr="00460B2D" w:rsidR="006D19C5">
        <w:rPr>
          <w:rFonts w:ascii="Times New Roman" w:hAnsi="Times New Roman"/>
          <w:sz w:val="26"/>
          <w:szCs w:val="26"/>
        </w:rPr>
        <w:t>requires</w:t>
      </w:r>
      <w:r w:rsidRPr="006E1A88">
        <w:rPr>
          <w:rFonts w:ascii="Times New Roman" w:hAnsi="Times New Roman"/>
          <w:sz w:val="26"/>
          <w:szCs w:val="26"/>
        </w:rPr>
        <w:t xml:space="preserve"> </w:t>
      </w:r>
      <w:r w:rsidRPr="00460B2D" w:rsidR="006D19C5">
        <w:rPr>
          <w:rFonts w:ascii="Times New Roman" w:hAnsi="Times New Roman"/>
          <w:sz w:val="26"/>
          <w:szCs w:val="26"/>
        </w:rPr>
        <w:t>submission</w:t>
      </w:r>
      <w:r w:rsidRPr="006E1A88">
        <w:rPr>
          <w:rFonts w:ascii="Times New Roman" w:hAnsi="Times New Roman"/>
          <w:sz w:val="26"/>
          <w:szCs w:val="26"/>
        </w:rPr>
        <w:t xml:space="preserve"> of a transmittal letter </w:t>
      </w:r>
      <w:r w:rsidRPr="006E1A88" w:rsidR="0030601B">
        <w:rPr>
          <w:rFonts w:ascii="Times New Roman" w:hAnsi="Times New Roman"/>
          <w:sz w:val="26"/>
          <w:szCs w:val="26"/>
        </w:rPr>
        <w:t xml:space="preserve">that gives a general description of the proposed depreciation </w:t>
      </w:r>
      <w:r w:rsidRPr="00460B2D" w:rsidR="006D19C5">
        <w:rPr>
          <w:rFonts w:ascii="Times New Roman" w:hAnsi="Times New Roman"/>
          <w:sz w:val="26"/>
          <w:szCs w:val="26"/>
        </w:rPr>
        <w:t>rates and</w:t>
      </w:r>
      <w:r w:rsidRPr="006E1A88" w:rsidR="0030601B">
        <w:rPr>
          <w:rFonts w:ascii="Times New Roman" w:hAnsi="Times New Roman"/>
          <w:sz w:val="26"/>
          <w:szCs w:val="26"/>
        </w:rPr>
        <w:t xml:space="preserve"> certifies that the letter of transmittal has been sent to each shipper and to each subscriber. If there are no subscribers, the letter must so state.</w:t>
      </w:r>
    </w:p>
    <w:p w:rsidR="0030601B" w:rsidP="0030601B" w:rsidRDefault="0030601B" w14:paraId="4C86AECF" w14:textId="65ED16FC">
      <w:pPr>
        <w:widowControl/>
        <w:tabs>
          <w:tab w:val="left" w:pos="-1440"/>
        </w:tabs>
        <w:ind w:left="720"/>
        <w:rPr>
          <w:rFonts w:ascii="Times New Roman" w:hAnsi="Times New Roman"/>
          <w:sz w:val="26"/>
          <w:szCs w:val="26"/>
        </w:rPr>
      </w:pPr>
    </w:p>
    <w:p w:rsidR="0030601B" w:rsidP="0030601B" w:rsidRDefault="0030601B" w14:paraId="602687E9" w14:textId="3450C054">
      <w:pPr>
        <w:widowControl/>
        <w:tabs>
          <w:tab w:val="left" w:pos="-1440"/>
        </w:tabs>
        <w:ind w:left="720"/>
        <w:rPr>
          <w:rFonts w:ascii="Times New Roman" w:hAnsi="Times New Roman"/>
          <w:sz w:val="26"/>
          <w:szCs w:val="26"/>
        </w:rPr>
      </w:pPr>
      <w:r>
        <w:rPr>
          <w:rFonts w:ascii="Times New Roman" w:hAnsi="Times New Roman"/>
          <w:sz w:val="26"/>
          <w:szCs w:val="26"/>
        </w:rPr>
        <w:t xml:space="preserve">In addition, section 347.1 states </w:t>
      </w:r>
      <w:r w:rsidR="00342E96">
        <w:rPr>
          <w:rFonts w:ascii="Times New Roman" w:hAnsi="Times New Roman"/>
          <w:sz w:val="26"/>
          <w:szCs w:val="26"/>
        </w:rPr>
        <w:t xml:space="preserve">generally </w:t>
      </w:r>
      <w:r>
        <w:rPr>
          <w:rFonts w:ascii="Times New Roman" w:hAnsi="Times New Roman"/>
          <w:sz w:val="26"/>
          <w:szCs w:val="26"/>
        </w:rPr>
        <w:t xml:space="preserve">that the supporting </w:t>
      </w:r>
      <w:r w:rsidR="00342E96">
        <w:rPr>
          <w:rFonts w:ascii="Times New Roman" w:hAnsi="Times New Roman"/>
          <w:sz w:val="26"/>
          <w:szCs w:val="26"/>
        </w:rPr>
        <w:t xml:space="preserve">information must be </w:t>
      </w:r>
      <w:r w:rsidRPr="00342E96" w:rsidR="00266BA2">
        <w:rPr>
          <w:rFonts w:ascii="Times New Roman" w:hAnsi="Times New Roman"/>
          <w:sz w:val="26"/>
          <w:szCs w:val="26"/>
        </w:rPr>
        <w:t>in sufficient detail to fully explain and justify the proposed rates.</w:t>
      </w:r>
      <w:r w:rsidR="00342E96">
        <w:rPr>
          <w:rFonts w:ascii="Times New Roman" w:hAnsi="Times New Roman"/>
          <w:sz w:val="26"/>
          <w:szCs w:val="26"/>
        </w:rPr>
        <w:t xml:space="preserve">  </w:t>
      </w:r>
      <w:r>
        <w:rPr>
          <w:rFonts w:ascii="Times New Roman" w:hAnsi="Times New Roman"/>
          <w:sz w:val="26"/>
          <w:szCs w:val="26"/>
        </w:rPr>
        <w:t xml:space="preserve">The specific information that is required is </w:t>
      </w:r>
      <w:r w:rsidR="00342E96">
        <w:rPr>
          <w:rFonts w:ascii="Times New Roman" w:hAnsi="Times New Roman"/>
          <w:sz w:val="26"/>
          <w:szCs w:val="26"/>
        </w:rPr>
        <w:t>s spelled out in paragraphs (e)(1) through (e)(5) of section 347.1</w:t>
      </w:r>
      <w:r>
        <w:rPr>
          <w:rFonts w:ascii="Times New Roman" w:hAnsi="Times New Roman"/>
          <w:sz w:val="26"/>
          <w:szCs w:val="26"/>
        </w:rPr>
        <w:t>:</w:t>
      </w:r>
    </w:p>
    <w:p w:rsidR="0030601B" w:rsidP="0030601B" w:rsidRDefault="0030601B" w14:paraId="3D5CA41F" w14:textId="77777777">
      <w:pPr>
        <w:widowControl/>
        <w:tabs>
          <w:tab w:val="left" w:pos="-1440"/>
        </w:tabs>
        <w:ind w:left="720"/>
        <w:rPr>
          <w:rFonts w:ascii="Times New Roman" w:hAnsi="Times New Roman"/>
          <w:sz w:val="26"/>
          <w:szCs w:val="26"/>
        </w:rPr>
      </w:pPr>
    </w:p>
    <w:p w:rsidRPr="00342E96" w:rsidR="00342E96" w:rsidP="006E1A88" w:rsidRDefault="00342E96" w14:paraId="0B0955BB" w14:textId="072F4C4D">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A brief summary relating to the general principles on which the proposed depreciation rates are based (e.g., why the economic life of the pipeline </w:t>
      </w:r>
      <w:r w:rsidRPr="00342E96">
        <w:rPr>
          <w:rFonts w:ascii="Times New Roman" w:hAnsi="Times New Roman"/>
          <w:sz w:val="26"/>
          <w:szCs w:val="26"/>
        </w:rPr>
        <w:lastRenderedPageBreak/>
        <w:t>section is less th</w:t>
      </w:r>
      <w:r w:rsidR="009C74D3">
        <w:rPr>
          <w:rFonts w:ascii="Times New Roman" w:hAnsi="Times New Roman"/>
          <w:sz w:val="26"/>
          <w:szCs w:val="26"/>
        </w:rPr>
        <w:t>a</w:t>
      </w:r>
      <w:r w:rsidRPr="00342E96">
        <w:rPr>
          <w:rFonts w:ascii="Times New Roman" w:hAnsi="Times New Roman"/>
          <w:sz w:val="26"/>
          <w:szCs w:val="26"/>
        </w:rPr>
        <w:t xml:space="preserve">n the physical life). </w:t>
      </w:r>
    </w:p>
    <w:p w:rsidRPr="00342E96" w:rsidR="00342E96" w:rsidP="006E1A88" w:rsidRDefault="00342E96" w14:paraId="002A8FC6"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An explanation of the organization, ownership, and operation of the pipeline. </w:t>
      </w:r>
    </w:p>
    <w:p w:rsidRPr="00342E96" w:rsidR="00342E96" w:rsidP="006E1A88" w:rsidRDefault="00342E96" w14:paraId="7BDA522D"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A table of the proposed depreciation rates by account. </w:t>
      </w:r>
    </w:p>
    <w:p w:rsidRPr="00342E96" w:rsidR="00342E96" w:rsidP="006E1A88" w:rsidRDefault="00342E96" w14:paraId="018F91D9"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An explanation of the average remaining life on a physical basis and on an economic basis. </w:t>
      </w:r>
    </w:p>
    <w:p w:rsidRPr="00342E96" w:rsidR="00342E96" w:rsidP="006E1A88" w:rsidRDefault="00342E96" w14:paraId="7BDAD951"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The following specific background data must be submitted at the time of and concurrently with any request for the establishment of, or modification to, depreciation rates for carriers. If the information listed is not applicable, it may be omitted from the filing: </w:t>
      </w:r>
    </w:p>
    <w:p w:rsidRPr="00342E96" w:rsidR="00342E96" w:rsidP="006E1A88" w:rsidRDefault="00342E96" w14:paraId="15CFEE11" w14:textId="63BCF3DA">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Up-to-date engineering maps of the pipeline including the location of all gathering facilities, trunkline facilities, terminals, interconnections with other pipeline systems, and interconnections with refineries/plants. Maps must indicate the direction of flow. </w:t>
      </w:r>
    </w:p>
    <w:p w:rsidRPr="00342E96" w:rsidR="00342E96" w:rsidP="006E1A88" w:rsidRDefault="00342E96" w14:paraId="64ECC7EF"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A brief description of the carrier's operations and an estimate of any major near-term additions or retirements including the estimated costs, location, reason, and probable year of transaction. </w:t>
      </w:r>
    </w:p>
    <w:p w:rsidRPr="00342E96" w:rsidR="00342E96" w:rsidP="006E1A88" w:rsidRDefault="00342E96" w14:paraId="6ABEF9C8"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The present depreciation rates being used by account. </w:t>
      </w:r>
    </w:p>
    <w:p w:rsidRPr="00342E96" w:rsidR="00342E96" w:rsidP="006E1A88" w:rsidRDefault="00342E96" w14:paraId="3B816551"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For the most current year available and for the two prior years, a breakdown of the throughput (by type of product, if applicable) received with source (e.g. name of well, pipeline company) at each receipt point and throughput delivered at each delivery point. </w:t>
      </w:r>
    </w:p>
    <w:p w:rsidRPr="00342E96" w:rsidR="00342E96" w:rsidP="006E1A88" w:rsidRDefault="00342E96" w14:paraId="6E18B156"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The daily average capacity (in barrels per day) and the actual average capacity (in barrels per day) for the most current year, by line section. </w:t>
      </w:r>
    </w:p>
    <w:p w:rsidRPr="00342E96" w:rsidR="00342E96" w:rsidP="006E1A88" w:rsidRDefault="00342E96" w14:paraId="44581313"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A list of shipments and their associated receipt points, delivery points, and volumes (in barrels) by type of product (where applicable) for the most current year. </w:t>
      </w:r>
    </w:p>
    <w:p w:rsidRPr="00342E96" w:rsidR="00342E96" w:rsidP="006E1A88" w:rsidRDefault="00342E96" w14:paraId="01E089DC"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For each primary carrier account, the latest month's book balances for gross plant and for accumulated reserve for depreciation. </w:t>
      </w:r>
    </w:p>
    <w:p w:rsidRPr="00342E96" w:rsidR="00342E96" w:rsidP="006E1A88" w:rsidRDefault="00342E96" w14:paraId="1E157B1D"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An estimate of the remaining life of the system (both gathering and trunk lines) including the basis for the estimate. </w:t>
      </w:r>
    </w:p>
    <w:p w:rsidRPr="00342E96" w:rsidR="00342E96" w:rsidP="006E1A88" w:rsidRDefault="00342E96" w14:paraId="3920D83C" w14:textId="77777777">
      <w:pPr>
        <w:pStyle w:val="ListParagraph"/>
        <w:numPr>
          <w:ilvl w:val="0"/>
          <w:numId w:val="8"/>
        </w:numPr>
        <w:tabs>
          <w:tab w:val="left" w:pos="-1440"/>
        </w:tabs>
        <w:rPr>
          <w:rFonts w:ascii="Times New Roman" w:hAnsi="Times New Roman"/>
          <w:sz w:val="26"/>
          <w:szCs w:val="26"/>
        </w:rPr>
      </w:pPr>
      <w:r w:rsidRPr="00342E96">
        <w:rPr>
          <w:rFonts w:ascii="Times New Roman" w:hAnsi="Times New Roman"/>
          <w:sz w:val="26"/>
          <w:szCs w:val="26"/>
        </w:rPr>
        <w:t xml:space="preserve">For crude oil, a list of the fields or areas from which crude oil is obtained. </w:t>
      </w:r>
    </w:p>
    <w:p w:rsidRPr="006E1A88" w:rsidR="00266BA2" w:rsidP="006E1A88" w:rsidRDefault="00342E96" w14:paraId="381E642C" w14:textId="3C145854">
      <w:pPr>
        <w:pStyle w:val="ListParagraph"/>
        <w:widowControl/>
        <w:numPr>
          <w:ilvl w:val="0"/>
          <w:numId w:val="8"/>
        </w:numPr>
        <w:tabs>
          <w:tab w:val="left" w:pos="-1440"/>
        </w:tabs>
        <w:rPr>
          <w:rFonts w:ascii="Times New Roman" w:hAnsi="Times New Roman"/>
          <w:sz w:val="26"/>
          <w:szCs w:val="26"/>
        </w:rPr>
      </w:pPr>
      <w:r w:rsidRPr="00342E96">
        <w:rPr>
          <w:rFonts w:ascii="Times New Roman" w:hAnsi="Times New Roman"/>
          <w:sz w:val="26"/>
          <w:szCs w:val="26"/>
        </w:rPr>
        <w:t>If the proposed depreciation rate adjustment is based on the remaining physical life of the properties, a complete, or updated, if applicable, Service Life Data Form (FERC</w:t>
      </w:r>
    </w:p>
    <w:p w:rsidRPr="00F61A49" w:rsidR="0034335B" w:rsidP="006E1A88" w:rsidRDefault="00171E27" w14:paraId="27245B35" w14:textId="4FE3DE06">
      <w:pPr>
        <w:pStyle w:val="ListParagraph"/>
        <w:rPr>
          <w:rFonts w:ascii="Times New Roman" w:hAnsi="Times New Roman"/>
          <w:sz w:val="26"/>
          <w:szCs w:val="26"/>
        </w:rPr>
      </w:pPr>
      <w:r w:rsidRPr="0030601B">
        <w:rPr>
          <w:rFonts w:ascii="Times New Roman" w:hAnsi="Times New Roman"/>
          <w:sz w:val="26"/>
          <w:szCs w:val="26"/>
        </w:rPr>
        <w:t xml:space="preserve"> </w:t>
      </w:r>
    </w:p>
    <w:p w:rsidRPr="00F61A49" w:rsidR="0034335B" w:rsidP="0034335B" w:rsidRDefault="0034335B" w14:paraId="38CBBA8D" w14:textId="77777777">
      <w:pPr>
        <w:widowControl/>
        <w:tabs>
          <w:tab w:val="left" w:pos="-1440"/>
        </w:tabs>
        <w:ind w:left="720" w:hanging="720"/>
        <w:rPr>
          <w:rFonts w:ascii="Times New Roman" w:hAnsi="Times New Roman"/>
          <w:sz w:val="26"/>
          <w:szCs w:val="26"/>
        </w:rPr>
      </w:pPr>
      <w:r w:rsidRPr="00F61A49">
        <w:rPr>
          <w:rFonts w:ascii="Times New Roman" w:hAnsi="Times New Roman"/>
          <w:sz w:val="26"/>
          <w:szCs w:val="26"/>
        </w:rPr>
        <w:tab/>
      </w:r>
    </w:p>
    <w:p w:rsidRPr="00F61A49" w:rsidR="0034335B" w:rsidP="0034335B" w:rsidRDefault="0034335B" w14:paraId="7AC072D5" w14:textId="77777777">
      <w:pPr>
        <w:widowControl/>
        <w:tabs>
          <w:tab w:val="left" w:pos="-1440"/>
        </w:tabs>
        <w:ind w:left="720" w:hanging="720"/>
        <w:rPr>
          <w:rFonts w:ascii="Times New Roman" w:hAnsi="Times New Roman"/>
          <w:b/>
          <w:sz w:val="26"/>
          <w:szCs w:val="26"/>
        </w:rPr>
      </w:pPr>
      <w:r w:rsidRPr="00F61A49">
        <w:rPr>
          <w:rFonts w:ascii="Times New Roman" w:hAnsi="Times New Roman"/>
          <w:sz w:val="26"/>
          <w:szCs w:val="26"/>
        </w:rPr>
        <w:t>2.</w:t>
      </w:r>
      <w:r w:rsidRPr="00F61A49">
        <w:rPr>
          <w:rFonts w:ascii="Times New Roman" w:hAnsi="Times New Roman"/>
          <w:sz w:val="26"/>
          <w:szCs w:val="26"/>
        </w:rPr>
        <w:tab/>
      </w:r>
      <w:r w:rsidRPr="00F61A49">
        <w:rPr>
          <w:rFonts w:ascii="Times New Roman" w:hAnsi="Times New Roman"/>
          <w:b/>
          <w:sz w:val="26"/>
          <w:szCs w:val="26"/>
        </w:rPr>
        <w:t>HOW, BY WHOM AND FOR WHAT PURPOSE THE INFORMATION IS TO BE USED AND THE CONSEQUENCES OF NOT COLLECTING THE INFORMATION</w:t>
      </w:r>
    </w:p>
    <w:p w:rsidRPr="00F61A49" w:rsidR="0034335B" w:rsidP="0034335B" w:rsidRDefault="0034335B" w14:paraId="44025DC0" w14:textId="77777777">
      <w:pPr>
        <w:widowControl/>
        <w:tabs>
          <w:tab w:val="left" w:pos="-1440"/>
        </w:tabs>
        <w:rPr>
          <w:rFonts w:ascii="Times New Roman" w:hAnsi="Times New Roman"/>
          <w:b/>
          <w:sz w:val="26"/>
          <w:szCs w:val="26"/>
        </w:rPr>
      </w:pPr>
    </w:p>
    <w:p w:rsidRPr="00F61A49" w:rsidR="0034335B" w:rsidP="0034335B" w:rsidRDefault="0034335B" w14:paraId="29D358B5" w14:textId="26C8685E">
      <w:pPr>
        <w:widowControl/>
        <w:tabs>
          <w:tab w:val="left" w:pos="-1440"/>
        </w:tabs>
        <w:ind w:left="720" w:hanging="720"/>
        <w:rPr>
          <w:rFonts w:ascii="Times New Roman" w:hAnsi="Times New Roman"/>
          <w:sz w:val="26"/>
          <w:szCs w:val="26"/>
        </w:rPr>
      </w:pPr>
      <w:r w:rsidRPr="00F61A49">
        <w:rPr>
          <w:rFonts w:ascii="Times New Roman" w:hAnsi="Times New Roman"/>
          <w:sz w:val="26"/>
          <w:szCs w:val="26"/>
        </w:rPr>
        <w:lastRenderedPageBreak/>
        <w:tab/>
        <w:t xml:space="preserve">The information collected </w:t>
      </w:r>
      <w:r w:rsidRPr="00F61A49" w:rsidR="00453480">
        <w:rPr>
          <w:rFonts w:ascii="Times New Roman" w:hAnsi="Times New Roman"/>
          <w:sz w:val="26"/>
          <w:szCs w:val="26"/>
        </w:rPr>
        <w:t>from FERC</w:t>
      </w:r>
      <w:r w:rsidR="00F75538">
        <w:rPr>
          <w:rFonts w:ascii="Times New Roman" w:hAnsi="Times New Roman"/>
          <w:sz w:val="26"/>
          <w:szCs w:val="26"/>
        </w:rPr>
        <w:t xml:space="preserve"> Form No. </w:t>
      </w:r>
      <w:r w:rsidRPr="00F61A49" w:rsidR="00453480">
        <w:rPr>
          <w:rFonts w:ascii="Times New Roman" w:hAnsi="Times New Roman"/>
          <w:sz w:val="26"/>
          <w:szCs w:val="26"/>
        </w:rPr>
        <w:t xml:space="preserve">73, </w:t>
      </w:r>
      <w:r w:rsidRPr="00F61A49">
        <w:rPr>
          <w:rFonts w:ascii="Times New Roman" w:hAnsi="Times New Roman"/>
          <w:sz w:val="26"/>
          <w:szCs w:val="26"/>
        </w:rPr>
        <w:t xml:space="preserve">is used by the Commission to establish oil pipeline depreciation rates based on the physical properties of a pipeline’s equipment.  Depreciation rates are a factor in a pipeline’s transportation cost of service.  As such, companies are required to submit FERC Form No. 73 when requesting Commission approval of: (1) the establishment of depreciation rates for new pipeline equipment or (2) revision of previously approved depreciation rates, when the depreciation is based on the physical properties of the pipeline company’s assets.  The Commission may also request an oil pipeline company to submit a FERC Form No. 73 filing during a depreciation rate investigation.   </w:t>
      </w:r>
    </w:p>
    <w:p w:rsidRPr="00F61A49" w:rsidR="0034335B" w:rsidP="0034335B" w:rsidRDefault="0034335B" w14:paraId="2BFED5F2" w14:textId="77777777">
      <w:pPr>
        <w:widowControl/>
        <w:tabs>
          <w:tab w:val="left" w:pos="-1440"/>
        </w:tabs>
        <w:ind w:left="720" w:hanging="720"/>
        <w:rPr>
          <w:rFonts w:ascii="Times New Roman" w:hAnsi="Times New Roman"/>
          <w:sz w:val="26"/>
          <w:szCs w:val="26"/>
        </w:rPr>
      </w:pPr>
    </w:p>
    <w:p w:rsidRPr="00F61A49" w:rsidR="0034335B" w:rsidP="0034335B" w:rsidRDefault="0034335B" w14:paraId="6A62759C" w14:textId="77777777">
      <w:pPr>
        <w:widowControl/>
        <w:ind w:left="720"/>
        <w:rPr>
          <w:rFonts w:ascii="Times New Roman" w:hAnsi="Times New Roman"/>
          <w:sz w:val="26"/>
          <w:szCs w:val="26"/>
        </w:rPr>
      </w:pPr>
      <w:r w:rsidRPr="00F61A49">
        <w:rPr>
          <w:rFonts w:ascii="Times New Roman" w:hAnsi="Times New Roman"/>
          <w:sz w:val="26"/>
          <w:szCs w:val="26"/>
        </w:rPr>
        <w:t xml:space="preserve">If the data contained on FERC Form No. 73 were not compiled and submitted to FERC for review, there would be no basis for establishing or revising the depreciation rate factor in a pipeline’s cost-of-service calculation.  FERC would not be able to evaluate the data that pipelines provide related to the service life of facilities being used to charge a rate and the revenue effects of depreciating the costs of those facilities.  </w:t>
      </w:r>
    </w:p>
    <w:p w:rsidRPr="00F61A49" w:rsidR="0034335B" w:rsidP="0034335B" w:rsidRDefault="0034335B" w14:paraId="5E46D390" w14:textId="77777777">
      <w:pPr>
        <w:widowControl/>
        <w:ind w:left="720"/>
        <w:rPr>
          <w:rFonts w:ascii="Times New Roman" w:hAnsi="Times New Roman"/>
          <w:sz w:val="26"/>
          <w:szCs w:val="26"/>
        </w:rPr>
      </w:pPr>
    </w:p>
    <w:p w:rsidRPr="00F61A49" w:rsidR="0034335B" w:rsidP="0034335B" w:rsidRDefault="0034335B" w14:paraId="5E2F18BF" w14:textId="77777777">
      <w:pPr>
        <w:widowControl/>
        <w:ind w:left="720" w:hanging="720"/>
        <w:rPr>
          <w:rFonts w:ascii="Times New Roman" w:hAnsi="Times New Roman"/>
          <w:sz w:val="26"/>
          <w:szCs w:val="26"/>
        </w:rPr>
      </w:pPr>
      <w:r w:rsidRPr="00F61A49">
        <w:rPr>
          <w:rFonts w:ascii="Times New Roman" w:hAnsi="Times New Roman"/>
          <w:sz w:val="26"/>
          <w:szCs w:val="26"/>
        </w:rPr>
        <w:t>3.</w:t>
      </w:r>
      <w:r w:rsidRPr="00F61A49">
        <w:rPr>
          <w:rFonts w:ascii="Times New Roman" w:hAnsi="Times New Roman"/>
          <w:sz w:val="26"/>
          <w:szCs w:val="26"/>
        </w:rPr>
        <w:tab/>
      </w:r>
      <w:r w:rsidRPr="00F61A49">
        <w:rPr>
          <w:rFonts w:ascii="Times New Roman" w:hAnsi="Times New Roman"/>
          <w:b/>
          <w:sz w:val="26"/>
          <w:szCs w:val="26"/>
        </w:rPr>
        <w:t>DESCRIBE ANY CONSIDERATION OF THE USE OF IMPROVED INFORMATION TECHNOLOGY TO REDUCE BURDEN AND TECHNICAL OR LEGAL OBSTACLES TO REDUCING BURDEN</w:t>
      </w:r>
    </w:p>
    <w:p w:rsidRPr="00F61A49" w:rsidR="0034335B" w:rsidP="0034335B" w:rsidRDefault="0034335B" w14:paraId="4FD544A2" w14:textId="77777777">
      <w:pPr>
        <w:widowControl/>
        <w:ind w:left="720" w:hanging="720"/>
        <w:rPr>
          <w:rFonts w:ascii="Times New Roman" w:hAnsi="Times New Roman"/>
          <w:sz w:val="26"/>
          <w:szCs w:val="26"/>
        </w:rPr>
      </w:pPr>
    </w:p>
    <w:p w:rsidRPr="00F61A49" w:rsidR="0034335B" w:rsidP="0034335B" w:rsidRDefault="0034335B" w14:paraId="43B6CE3F" w14:textId="77777777">
      <w:pPr>
        <w:widowControl/>
        <w:ind w:left="720"/>
        <w:rPr>
          <w:rFonts w:ascii="Times New Roman" w:hAnsi="Times New Roman"/>
          <w:sz w:val="26"/>
          <w:szCs w:val="26"/>
        </w:rPr>
      </w:pPr>
      <w:r w:rsidRPr="00F61A49">
        <w:rPr>
          <w:rFonts w:ascii="Times New Roman" w:hAnsi="Times New Roman"/>
          <w:sz w:val="26"/>
          <w:szCs w:val="26"/>
        </w:rPr>
        <w:t xml:space="preserve">FERC Form No. 73 can be filed electronically via the Commission’s eFiling system.  FERC will continue to evaluate filings to identify ways to reduce the burden on filings it receives.  </w:t>
      </w:r>
    </w:p>
    <w:p w:rsidR="00F75538" w:rsidP="00453480" w:rsidRDefault="00F75538" w14:paraId="6C6C3F8B" w14:textId="77777777">
      <w:pPr>
        <w:widowControl/>
        <w:ind w:left="720"/>
        <w:rPr>
          <w:rFonts w:ascii="Times New Roman" w:hAnsi="Times New Roman"/>
          <w:sz w:val="26"/>
          <w:szCs w:val="26"/>
        </w:rPr>
      </w:pPr>
    </w:p>
    <w:p w:rsidRPr="00F61A49" w:rsidR="00453480" w:rsidP="00453480" w:rsidRDefault="00453480" w14:paraId="57132718" w14:textId="64B0C46C">
      <w:pPr>
        <w:widowControl/>
        <w:ind w:left="720"/>
        <w:rPr>
          <w:rFonts w:ascii="Times New Roman" w:hAnsi="Times New Roman"/>
          <w:sz w:val="26"/>
          <w:szCs w:val="26"/>
        </w:rPr>
      </w:pPr>
      <w:r w:rsidRPr="00F61A49">
        <w:rPr>
          <w:rFonts w:ascii="Times New Roman" w:hAnsi="Times New Roman"/>
          <w:sz w:val="26"/>
          <w:szCs w:val="26"/>
        </w:rPr>
        <w:t>In general, the Commission supports the use of information technology to reduce burden.</w:t>
      </w:r>
    </w:p>
    <w:p w:rsidRPr="00F61A49" w:rsidR="0034335B" w:rsidP="0034335B" w:rsidRDefault="0034335B" w14:paraId="14CFA641" w14:textId="77777777">
      <w:pPr>
        <w:widowControl/>
        <w:rPr>
          <w:rFonts w:ascii="Times New Roman" w:hAnsi="Times New Roman"/>
          <w:sz w:val="26"/>
          <w:szCs w:val="26"/>
        </w:rPr>
      </w:pPr>
    </w:p>
    <w:p w:rsidRPr="00F61A49" w:rsidR="0034335B" w:rsidP="0034335B" w:rsidRDefault="0034335B" w14:paraId="7D29B99E" w14:textId="77777777">
      <w:pPr>
        <w:widowControl/>
        <w:ind w:left="720" w:hanging="720"/>
        <w:rPr>
          <w:rFonts w:ascii="Times New Roman" w:hAnsi="Times New Roman"/>
          <w:b/>
          <w:sz w:val="26"/>
          <w:szCs w:val="26"/>
        </w:rPr>
      </w:pPr>
      <w:r w:rsidRPr="00F61A49">
        <w:rPr>
          <w:rFonts w:ascii="Times New Roman" w:hAnsi="Times New Roman"/>
          <w:sz w:val="26"/>
          <w:szCs w:val="26"/>
        </w:rPr>
        <w:t>4.</w:t>
      </w:r>
      <w:r w:rsidRPr="00F61A49">
        <w:rPr>
          <w:rFonts w:ascii="Times New Roman" w:hAnsi="Times New Roman"/>
          <w:sz w:val="26"/>
          <w:szCs w:val="26"/>
        </w:rPr>
        <w:tab/>
      </w:r>
      <w:r w:rsidRPr="00F61A49">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Pr="00F61A49" w:rsidR="0034335B" w:rsidP="0034335B" w:rsidRDefault="0034335B" w14:paraId="44C2D078" w14:textId="77777777">
      <w:pPr>
        <w:widowControl/>
        <w:ind w:left="720" w:hanging="720"/>
        <w:rPr>
          <w:rFonts w:ascii="Times New Roman" w:hAnsi="Times New Roman"/>
          <w:sz w:val="26"/>
          <w:szCs w:val="26"/>
        </w:rPr>
      </w:pPr>
    </w:p>
    <w:p w:rsidRPr="00F61A49" w:rsidR="0034335B" w:rsidP="0034335B" w:rsidRDefault="003B7FF4" w14:paraId="00C45EFE" w14:textId="77777777">
      <w:pPr>
        <w:widowControl/>
        <w:ind w:left="720"/>
        <w:rPr>
          <w:rFonts w:ascii="Times New Roman" w:hAnsi="Times New Roman"/>
          <w:sz w:val="26"/>
          <w:szCs w:val="26"/>
        </w:rPr>
      </w:pPr>
      <w:r w:rsidRPr="00F61A49">
        <w:rPr>
          <w:rFonts w:ascii="Times New Roman" w:hAnsi="Times New Roman"/>
          <w:sz w:val="26"/>
          <w:szCs w:val="26"/>
        </w:rPr>
        <w:t xml:space="preserve">The Commission periodically reviews filing requirements concurrent with OMB review or as the Commission deems necessary to eliminate duplicative filing and to minimize the filing burden.  </w:t>
      </w:r>
      <w:r w:rsidRPr="00F61A49" w:rsidR="00E03795">
        <w:rPr>
          <w:rFonts w:ascii="Times New Roman" w:hAnsi="Times New Roman"/>
          <w:sz w:val="26"/>
          <w:szCs w:val="26"/>
        </w:rPr>
        <w:t>T</w:t>
      </w:r>
      <w:r w:rsidRPr="00F61A49" w:rsidR="0034335B">
        <w:rPr>
          <w:rFonts w:ascii="Times New Roman" w:hAnsi="Times New Roman"/>
          <w:sz w:val="26"/>
          <w:szCs w:val="26"/>
        </w:rPr>
        <w:t xml:space="preserve">here are no similar sources of information available that can be used or modified for the purpose of oil pipeline depreciation studies. </w:t>
      </w:r>
    </w:p>
    <w:p w:rsidRPr="00F61A49" w:rsidR="0034335B" w:rsidP="0034335B" w:rsidRDefault="0034335B" w14:paraId="087CF01F" w14:textId="77777777">
      <w:pPr>
        <w:widowControl/>
        <w:rPr>
          <w:rFonts w:ascii="Times New Roman" w:hAnsi="Times New Roman"/>
          <w:sz w:val="26"/>
          <w:szCs w:val="26"/>
        </w:rPr>
      </w:pPr>
    </w:p>
    <w:p w:rsidRPr="00F61A49" w:rsidR="0034335B" w:rsidP="0034335B" w:rsidRDefault="0034335B" w14:paraId="3C14916E" w14:textId="77777777">
      <w:pPr>
        <w:widowControl/>
        <w:ind w:left="720" w:hanging="720"/>
        <w:rPr>
          <w:rFonts w:ascii="Times New Roman" w:hAnsi="Times New Roman"/>
          <w:sz w:val="26"/>
          <w:szCs w:val="26"/>
        </w:rPr>
      </w:pPr>
      <w:r w:rsidRPr="00F61A49">
        <w:rPr>
          <w:rFonts w:ascii="Times New Roman" w:hAnsi="Times New Roman"/>
          <w:sz w:val="26"/>
          <w:szCs w:val="26"/>
        </w:rPr>
        <w:t>5.</w:t>
      </w:r>
      <w:r w:rsidRPr="00F61A49">
        <w:rPr>
          <w:rFonts w:ascii="Times New Roman" w:hAnsi="Times New Roman"/>
          <w:sz w:val="26"/>
          <w:szCs w:val="26"/>
        </w:rPr>
        <w:tab/>
      </w:r>
      <w:r w:rsidRPr="00F61A49">
        <w:rPr>
          <w:rFonts w:ascii="Times New Roman" w:hAnsi="Times New Roman"/>
          <w:b/>
          <w:sz w:val="26"/>
          <w:szCs w:val="26"/>
        </w:rPr>
        <w:t>METHODS USED TO MINIMIZE THE BURDEN IN THE COLLECTION OF INFORMATION INVOLVING SMALL ENTITIES</w:t>
      </w:r>
    </w:p>
    <w:p w:rsidRPr="00F61A49" w:rsidR="0034335B" w:rsidP="0034335B" w:rsidRDefault="0034335B" w14:paraId="7C1C08D4" w14:textId="77777777">
      <w:pPr>
        <w:widowControl/>
        <w:ind w:left="720" w:hanging="720"/>
        <w:rPr>
          <w:rFonts w:ascii="Times New Roman" w:hAnsi="Times New Roman"/>
          <w:sz w:val="26"/>
          <w:szCs w:val="26"/>
        </w:rPr>
      </w:pPr>
    </w:p>
    <w:p w:rsidRPr="00F61A49" w:rsidR="00264FD9" w:rsidP="00264FD9" w:rsidRDefault="00264FD9" w14:paraId="5A8BA9B2" w14:textId="77777777">
      <w:pPr>
        <w:ind w:left="720"/>
        <w:rPr>
          <w:rFonts w:ascii="Times New Roman" w:hAnsi="Times New Roman"/>
          <w:sz w:val="26"/>
          <w:szCs w:val="26"/>
        </w:rPr>
      </w:pPr>
      <w:r w:rsidRPr="00F61A49">
        <w:rPr>
          <w:rFonts w:ascii="Times New Roman" w:hAnsi="Times New Roman"/>
          <w:sz w:val="26"/>
          <w:szCs w:val="26"/>
        </w:rPr>
        <w:t>This data collection imposes the least possible burden on small entities while collecting the information necessary for the Commission to carry out its responsibilities.</w:t>
      </w:r>
    </w:p>
    <w:p w:rsidRPr="00F61A49" w:rsidR="0034335B" w:rsidP="0034335B" w:rsidRDefault="0034335B" w14:paraId="3AF9F518" w14:textId="77777777">
      <w:pPr>
        <w:ind w:left="720"/>
        <w:rPr>
          <w:rFonts w:ascii="Times New Roman" w:hAnsi="Times New Roman"/>
          <w:sz w:val="26"/>
          <w:szCs w:val="26"/>
        </w:rPr>
      </w:pPr>
    </w:p>
    <w:p w:rsidRPr="00F61A49" w:rsidR="0034335B" w:rsidP="0034335B" w:rsidRDefault="0034335B" w14:paraId="223C74FC" w14:textId="77777777">
      <w:pPr>
        <w:widowControl/>
        <w:ind w:left="720" w:hanging="720"/>
        <w:rPr>
          <w:rFonts w:ascii="Times New Roman" w:hAnsi="Times New Roman"/>
          <w:sz w:val="26"/>
          <w:szCs w:val="26"/>
        </w:rPr>
      </w:pPr>
      <w:r w:rsidRPr="00F61A49">
        <w:rPr>
          <w:rFonts w:ascii="Times New Roman" w:hAnsi="Times New Roman"/>
          <w:sz w:val="26"/>
          <w:szCs w:val="26"/>
        </w:rPr>
        <w:t xml:space="preserve"> 6.</w:t>
      </w:r>
      <w:r w:rsidRPr="00F61A49">
        <w:rPr>
          <w:rFonts w:ascii="Times New Roman" w:hAnsi="Times New Roman"/>
          <w:sz w:val="26"/>
          <w:szCs w:val="26"/>
        </w:rPr>
        <w:tab/>
      </w:r>
      <w:r w:rsidRPr="00F61A49">
        <w:rPr>
          <w:rFonts w:ascii="Times New Roman" w:hAnsi="Times New Roman"/>
          <w:b/>
          <w:sz w:val="26"/>
          <w:szCs w:val="26"/>
        </w:rPr>
        <w:t>CONSEQUENCE TO FEDERAL PROGRAM IF COLLECTION WERE CONDUCTED LESS FREQUENTLY</w:t>
      </w:r>
    </w:p>
    <w:p w:rsidRPr="00F61A49" w:rsidR="0034335B" w:rsidP="0034335B" w:rsidRDefault="0034335B" w14:paraId="0460A42B" w14:textId="77777777">
      <w:pPr>
        <w:widowControl/>
        <w:rPr>
          <w:rFonts w:ascii="Times New Roman" w:hAnsi="Times New Roman"/>
          <w:sz w:val="26"/>
          <w:szCs w:val="26"/>
        </w:rPr>
      </w:pPr>
    </w:p>
    <w:p w:rsidRPr="00F61A49" w:rsidR="0034335B" w:rsidP="0034335B" w:rsidRDefault="001D7727" w14:paraId="0A86B714" w14:textId="77777777">
      <w:pPr>
        <w:widowControl/>
        <w:ind w:left="720"/>
        <w:rPr>
          <w:rFonts w:ascii="Times New Roman" w:hAnsi="Times New Roman"/>
          <w:sz w:val="26"/>
          <w:szCs w:val="26"/>
        </w:rPr>
      </w:pPr>
      <w:r w:rsidRPr="00F61A49">
        <w:rPr>
          <w:rFonts w:ascii="Times New Roman" w:hAnsi="Times New Roman"/>
          <w:sz w:val="26"/>
          <w:szCs w:val="26"/>
        </w:rPr>
        <w:t>Companies are required to submit FERC Form No. 73 when requesting Commission approval of depreciation rates for new pipeline equipment</w:t>
      </w:r>
      <w:r w:rsidRPr="00F61A49" w:rsidR="001C242B">
        <w:rPr>
          <w:rFonts w:ascii="Times New Roman" w:hAnsi="Times New Roman"/>
          <w:sz w:val="26"/>
          <w:szCs w:val="26"/>
        </w:rPr>
        <w:t>,</w:t>
      </w:r>
      <w:r w:rsidRPr="00F61A49">
        <w:rPr>
          <w:rFonts w:ascii="Times New Roman" w:hAnsi="Times New Roman"/>
          <w:sz w:val="26"/>
          <w:szCs w:val="26"/>
        </w:rPr>
        <w:t xml:space="preserve"> revisions to previously approved depreciation rates</w:t>
      </w:r>
      <w:r w:rsidRPr="00F61A49" w:rsidR="001C242B">
        <w:rPr>
          <w:rFonts w:ascii="Times New Roman" w:hAnsi="Times New Roman"/>
          <w:sz w:val="26"/>
          <w:szCs w:val="26"/>
        </w:rPr>
        <w:t xml:space="preserve"> or during an investigation</w:t>
      </w:r>
      <w:r w:rsidRPr="00F61A49">
        <w:rPr>
          <w:rFonts w:ascii="Times New Roman" w:hAnsi="Times New Roman"/>
          <w:sz w:val="26"/>
          <w:szCs w:val="26"/>
        </w:rPr>
        <w:t xml:space="preserve">. </w:t>
      </w:r>
      <w:r w:rsidRPr="00F61A49" w:rsidR="003B7FF4">
        <w:rPr>
          <w:rFonts w:ascii="Times New Roman" w:hAnsi="Times New Roman"/>
          <w:sz w:val="26"/>
          <w:szCs w:val="26"/>
        </w:rPr>
        <w:t xml:space="preserve">If </w:t>
      </w:r>
      <w:r w:rsidRPr="00F61A49">
        <w:rPr>
          <w:rFonts w:ascii="Times New Roman" w:hAnsi="Times New Roman"/>
          <w:sz w:val="26"/>
          <w:szCs w:val="26"/>
        </w:rPr>
        <w:t xml:space="preserve">the data contained on FERC Form No. 73 were not compiled and submitted to FERC for review, there would be no basis for evaluating, establishing or revising the depreciation rate factor in the pipeline’s cost-of-service calculation. </w:t>
      </w:r>
    </w:p>
    <w:p w:rsidRPr="00F61A49" w:rsidR="001D7727" w:rsidP="0034335B" w:rsidRDefault="001D7727" w14:paraId="6D2A293E" w14:textId="77777777">
      <w:pPr>
        <w:widowControl/>
        <w:ind w:left="720"/>
        <w:rPr>
          <w:rFonts w:ascii="Times New Roman" w:hAnsi="Times New Roman"/>
          <w:sz w:val="26"/>
          <w:szCs w:val="26"/>
        </w:rPr>
      </w:pPr>
    </w:p>
    <w:p w:rsidRPr="00F61A49" w:rsidR="0034335B" w:rsidP="0034335B" w:rsidRDefault="0034335B" w14:paraId="057D2B75" w14:textId="77777777">
      <w:pPr>
        <w:widowControl/>
        <w:ind w:left="720" w:hanging="720"/>
        <w:rPr>
          <w:rFonts w:ascii="Times New Roman" w:hAnsi="Times New Roman"/>
          <w:sz w:val="26"/>
          <w:szCs w:val="26"/>
        </w:rPr>
      </w:pPr>
      <w:r w:rsidRPr="00F61A49">
        <w:rPr>
          <w:rFonts w:ascii="Times New Roman" w:hAnsi="Times New Roman"/>
          <w:sz w:val="26"/>
          <w:szCs w:val="26"/>
        </w:rPr>
        <w:t>7.</w:t>
      </w:r>
      <w:r w:rsidRPr="00F61A49">
        <w:rPr>
          <w:rFonts w:ascii="Times New Roman" w:hAnsi="Times New Roman"/>
          <w:sz w:val="26"/>
          <w:szCs w:val="26"/>
        </w:rPr>
        <w:tab/>
      </w:r>
      <w:r w:rsidRPr="00F61A49">
        <w:rPr>
          <w:rFonts w:ascii="Times New Roman" w:hAnsi="Times New Roman"/>
          <w:b/>
          <w:sz w:val="26"/>
          <w:szCs w:val="26"/>
        </w:rPr>
        <w:t>EXPLAIN ANY SPECIAL CIRCUMSTANCES RELATING TO THE INFORMATION COLLECTION</w:t>
      </w:r>
    </w:p>
    <w:p w:rsidRPr="00F61A49" w:rsidR="0034335B" w:rsidP="0034335B" w:rsidRDefault="0034335B" w14:paraId="2DF8EBC4" w14:textId="77777777">
      <w:pPr>
        <w:widowControl/>
        <w:rPr>
          <w:rFonts w:ascii="Times New Roman" w:hAnsi="Times New Roman"/>
          <w:sz w:val="26"/>
          <w:szCs w:val="26"/>
        </w:rPr>
      </w:pPr>
    </w:p>
    <w:p w:rsidRPr="00F61A49" w:rsidR="00B45ECC" w:rsidP="00B45ECC" w:rsidRDefault="00B45ECC" w14:paraId="417983E3" w14:textId="77777777">
      <w:pPr>
        <w:widowControl/>
        <w:ind w:left="720"/>
        <w:rPr>
          <w:rFonts w:ascii="Times New Roman" w:hAnsi="Times New Roman"/>
          <w:sz w:val="26"/>
          <w:szCs w:val="26"/>
        </w:rPr>
      </w:pPr>
      <w:r w:rsidRPr="00F61A49">
        <w:rPr>
          <w:rFonts w:ascii="Times New Roman" w:hAnsi="Times New Roman"/>
          <w:sz w:val="26"/>
          <w:szCs w:val="26"/>
        </w:rPr>
        <w:t xml:space="preserve">There </w:t>
      </w:r>
      <w:r w:rsidRPr="00F61A49" w:rsidR="00065314">
        <w:rPr>
          <w:rFonts w:ascii="Times New Roman" w:hAnsi="Times New Roman"/>
          <w:sz w:val="26"/>
          <w:szCs w:val="26"/>
        </w:rPr>
        <w:t xml:space="preserve">are </w:t>
      </w:r>
      <w:r w:rsidRPr="00F61A49" w:rsidR="001D7727">
        <w:rPr>
          <w:rFonts w:ascii="Times New Roman" w:hAnsi="Times New Roman"/>
          <w:sz w:val="26"/>
          <w:szCs w:val="26"/>
        </w:rPr>
        <w:t>no</w:t>
      </w:r>
      <w:r w:rsidRPr="00F61A49">
        <w:rPr>
          <w:rFonts w:ascii="Times New Roman" w:hAnsi="Times New Roman"/>
          <w:sz w:val="26"/>
          <w:szCs w:val="26"/>
        </w:rPr>
        <w:t xml:space="preserve"> special circumstances as described in 5 C</w:t>
      </w:r>
      <w:r w:rsidRPr="00F61A49" w:rsidR="001F436B">
        <w:rPr>
          <w:rFonts w:ascii="Times New Roman" w:hAnsi="Times New Roman"/>
          <w:sz w:val="26"/>
          <w:szCs w:val="26"/>
        </w:rPr>
        <w:t>.</w:t>
      </w:r>
      <w:r w:rsidRPr="00F61A49">
        <w:rPr>
          <w:rFonts w:ascii="Times New Roman" w:hAnsi="Times New Roman"/>
          <w:sz w:val="26"/>
          <w:szCs w:val="26"/>
        </w:rPr>
        <w:t>F</w:t>
      </w:r>
      <w:r w:rsidRPr="00F61A49" w:rsidR="001F436B">
        <w:rPr>
          <w:rFonts w:ascii="Times New Roman" w:hAnsi="Times New Roman"/>
          <w:sz w:val="26"/>
          <w:szCs w:val="26"/>
        </w:rPr>
        <w:t>.</w:t>
      </w:r>
      <w:r w:rsidRPr="00F61A49">
        <w:rPr>
          <w:rFonts w:ascii="Times New Roman" w:hAnsi="Times New Roman"/>
          <w:sz w:val="26"/>
          <w:szCs w:val="26"/>
        </w:rPr>
        <w:t>R</w:t>
      </w:r>
      <w:r w:rsidRPr="00F61A49" w:rsidR="001F436B">
        <w:rPr>
          <w:rFonts w:ascii="Times New Roman" w:hAnsi="Times New Roman"/>
          <w:sz w:val="26"/>
          <w:szCs w:val="26"/>
        </w:rPr>
        <w:t>.</w:t>
      </w:r>
      <w:r w:rsidRPr="00F61A49">
        <w:rPr>
          <w:rFonts w:ascii="Times New Roman" w:hAnsi="Times New Roman"/>
          <w:sz w:val="26"/>
          <w:szCs w:val="26"/>
        </w:rPr>
        <w:t xml:space="preserve"> 1320.5(d)(2) related to this information collection.</w:t>
      </w:r>
    </w:p>
    <w:p w:rsidRPr="00F61A49" w:rsidR="0034335B" w:rsidP="0034335B" w:rsidRDefault="0034335B" w14:paraId="6DC57274" w14:textId="77777777">
      <w:pPr>
        <w:widowControl/>
        <w:ind w:firstLine="720"/>
        <w:rPr>
          <w:rFonts w:ascii="Times New Roman" w:hAnsi="Times New Roman"/>
          <w:sz w:val="26"/>
          <w:szCs w:val="26"/>
        </w:rPr>
      </w:pPr>
    </w:p>
    <w:p w:rsidRPr="00F61A49" w:rsidR="0034335B" w:rsidP="0034335B" w:rsidRDefault="0034335B" w14:paraId="4AC4C7EC" w14:textId="77777777">
      <w:pPr>
        <w:widowControl/>
        <w:ind w:left="720" w:hanging="720"/>
        <w:rPr>
          <w:rFonts w:ascii="Times New Roman" w:hAnsi="Times New Roman"/>
          <w:sz w:val="26"/>
          <w:szCs w:val="26"/>
        </w:rPr>
      </w:pPr>
      <w:r w:rsidRPr="00F61A49">
        <w:rPr>
          <w:rFonts w:ascii="Times New Roman" w:hAnsi="Times New Roman"/>
          <w:sz w:val="26"/>
          <w:szCs w:val="26"/>
        </w:rPr>
        <w:t xml:space="preserve">8. </w:t>
      </w:r>
      <w:r w:rsidRPr="00F61A49">
        <w:rPr>
          <w:rFonts w:ascii="Times New Roman" w:hAnsi="Times New Roman"/>
          <w:sz w:val="26"/>
          <w:szCs w:val="26"/>
        </w:rPr>
        <w:tab/>
      </w:r>
      <w:r w:rsidRPr="00F61A49">
        <w:rPr>
          <w:rFonts w:ascii="Times New Roman" w:hAnsi="Times New Roman"/>
          <w:b/>
          <w:sz w:val="26"/>
          <w:szCs w:val="26"/>
        </w:rPr>
        <w:t>DESCRIBE EFFORTS TO CONSULT OUTSIDE THE AGENCY:  SUMMARIZE PUBLIC COMMENTS AND THE AGENCY’S RESPONSE TO THESE COMMENTS</w:t>
      </w:r>
    </w:p>
    <w:p w:rsidRPr="00F61A49" w:rsidR="0034335B" w:rsidP="0034335B" w:rsidRDefault="0034335B" w14:paraId="7A368545" w14:textId="77777777">
      <w:pPr>
        <w:widowControl/>
        <w:rPr>
          <w:rFonts w:ascii="Times New Roman" w:hAnsi="Times New Roman"/>
          <w:sz w:val="26"/>
          <w:szCs w:val="26"/>
        </w:rPr>
      </w:pPr>
    </w:p>
    <w:p w:rsidRPr="00F61A49" w:rsidR="0034335B" w:rsidP="0034335B" w:rsidRDefault="00B45ECC" w14:paraId="18A38E6C" w14:textId="07CEF29A">
      <w:pPr>
        <w:widowControl/>
        <w:ind w:left="720"/>
        <w:rPr>
          <w:rFonts w:ascii="Times New Roman" w:hAnsi="Times New Roman"/>
          <w:sz w:val="26"/>
          <w:szCs w:val="26"/>
        </w:rPr>
      </w:pPr>
      <w:r w:rsidRPr="00F61A49">
        <w:rPr>
          <w:rFonts w:ascii="Times New Roman" w:hAnsi="Times New Roman"/>
          <w:sz w:val="26"/>
          <w:szCs w:val="26"/>
        </w:rPr>
        <w:t>T</w:t>
      </w:r>
      <w:r w:rsidRPr="00F61A49" w:rsidR="0034335B">
        <w:rPr>
          <w:rFonts w:ascii="Times New Roman" w:hAnsi="Times New Roman"/>
          <w:sz w:val="26"/>
          <w:szCs w:val="26"/>
        </w:rPr>
        <w:t>he 60-day notice</w:t>
      </w:r>
      <w:r w:rsidRPr="00F61A49" w:rsidR="0034335B">
        <w:rPr>
          <w:rFonts w:ascii="Times New Roman" w:hAnsi="Times New Roman"/>
          <w:sz w:val="26"/>
          <w:szCs w:val="26"/>
          <w:vertAlign w:val="superscript"/>
        </w:rPr>
        <w:footnoteReference w:id="5"/>
      </w:r>
      <w:r w:rsidRPr="00F61A49" w:rsidR="0034335B">
        <w:rPr>
          <w:rFonts w:ascii="Times New Roman" w:hAnsi="Times New Roman"/>
          <w:sz w:val="26"/>
          <w:szCs w:val="26"/>
        </w:rPr>
        <w:t xml:space="preserve"> </w:t>
      </w:r>
      <w:r w:rsidRPr="00F61A49" w:rsidR="0001487E">
        <w:rPr>
          <w:rFonts w:ascii="Times New Roman" w:hAnsi="Times New Roman"/>
          <w:sz w:val="26"/>
          <w:szCs w:val="26"/>
        </w:rPr>
        <w:t xml:space="preserve">was </w:t>
      </w:r>
      <w:r w:rsidRPr="00F61A49" w:rsidR="00C83215">
        <w:rPr>
          <w:rFonts w:ascii="Times New Roman" w:hAnsi="Times New Roman"/>
          <w:sz w:val="26"/>
          <w:szCs w:val="26"/>
        </w:rPr>
        <w:t xml:space="preserve">published in the Federal Register on </w:t>
      </w:r>
      <w:r w:rsidRPr="00F61A49" w:rsidR="00CD3779">
        <w:rPr>
          <w:rFonts w:ascii="Times New Roman" w:hAnsi="Times New Roman"/>
          <w:sz w:val="26"/>
          <w:szCs w:val="26"/>
        </w:rPr>
        <w:t>4</w:t>
      </w:r>
      <w:r w:rsidRPr="00F61A49" w:rsidR="00C83215">
        <w:rPr>
          <w:rFonts w:ascii="Times New Roman" w:hAnsi="Times New Roman"/>
          <w:sz w:val="26"/>
          <w:szCs w:val="26"/>
        </w:rPr>
        <w:t>/</w:t>
      </w:r>
      <w:r w:rsidRPr="00F61A49" w:rsidR="00CD3779">
        <w:rPr>
          <w:rFonts w:ascii="Times New Roman" w:hAnsi="Times New Roman"/>
          <w:sz w:val="26"/>
          <w:szCs w:val="26"/>
        </w:rPr>
        <w:t>16</w:t>
      </w:r>
      <w:r w:rsidRPr="00F61A49" w:rsidR="00C83215">
        <w:rPr>
          <w:rFonts w:ascii="Times New Roman" w:hAnsi="Times New Roman"/>
          <w:sz w:val="26"/>
          <w:szCs w:val="26"/>
        </w:rPr>
        <w:t>/20</w:t>
      </w:r>
      <w:r w:rsidRPr="00F61A49" w:rsidR="00CD3779">
        <w:rPr>
          <w:rFonts w:ascii="Times New Roman" w:hAnsi="Times New Roman"/>
          <w:sz w:val="26"/>
          <w:szCs w:val="26"/>
        </w:rPr>
        <w:t>20</w:t>
      </w:r>
      <w:r w:rsidR="00890E1B">
        <w:rPr>
          <w:rFonts w:ascii="Times New Roman" w:hAnsi="Times New Roman"/>
          <w:sz w:val="26"/>
          <w:szCs w:val="26"/>
        </w:rPr>
        <w:t xml:space="preserve"> (85FR21229)</w:t>
      </w:r>
      <w:r w:rsidRPr="00F61A49" w:rsidR="00C83215">
        <w:rPr>
          <w:rFonts w:ascii="Times New Roman" w:hAnsi="Times New Roman"/>
          <w:sz w:val="26"/>
          <w:szCs w:val="26"/>
        </w:rPr>
        <w:t xml:space="preserve">. </w:t>
      </w:r>
      <w:r w:rsidRPr="00890E1B" w:rsidR="00890E1B">
        <w:rPr>
          <w:rFonts w:ascii="Times New Roman" w:hAnsi="Times New Roman"/>
          <w:sz w:val="26"/>
          <w:szCs w:val="26"/>
        </w:rPr>
        <w:t xml:space="preserve">The 30-day Notice was published in the Federal Register on 6/25/2020 (85FR38136). </w:t>
      </w:r>
      <w:r w:rsidRPr="00F61A49" w:rsidR="0034335B">
        <w:rPr>
          <w:rFonts w:ascii="Times New Roman" w:hAnsi="Times New Roman"/>
          <w:sz w:val="26"/>
          <w:szCs w:val="26"/>
        </w:rPr>
        <w:t xml:space="preserve">Within the public notice, the Commission noted that it would be requesting a three-year extension of the information collection requirements.  </w:t>
      </w:r>
      <w:r w:rsidR="00890E1B">
        <w:rPr>
          <w:rFonts w:ascii="Times New Roman" w:hAnsi="Times New Roman"/>
          <w:sz w:val="26"/>
          <w:szCs w:val="26"/>
        </w:rPr>
        <w:t>There were no comments received.</w:t>
      </w:r>
    </w:p>
    <w:p w:rsidRPr="00F61A49" w:rsidR="001F436B" w:rsidP="00890E1B" w:rsidRDefault="001F436B" w14:paraId="04692AC7" w14:textId="77777777">
      <w:pPr>
        <w:widowControl/>
        <w:rPr>
          <w:rFonts w:ascii="Times New Roman" w:hAnsi="Times New Roman"/>
          <w:sz w:val="26"/>
          <w:szCs w:val="26"/>
        </w:rPr>
      </w:pPr>
    </w:p>
    <w:p w:rsidRPr="00F61A49" w:rsidR="0034335B" w:rsidP="0034335B" w:rsidRDefault="0034335B" w14:paraId="519AD422" w14:textId="77777777">
      <w:pPr>
        <w:widowControl/>
        <w:rPr>
          <w:rFonts w:ascii="Times New Roman" w:hAnsi="Times New Roman"/>
          <w:sz w:val="26"/>
          <w:szCs w:val="26"/>
        </w:rPr>
      </w:pPr>
      <w:r w:rsidRPr="00F61A49">
        <w:rPr>
          <w:rFonts w:ascii="Times New Roman" w:hAnsi="Times New Roman"/>
          <w:sz w:val="26"/>
          <w:szCs w:val="26"/>
        </w:rPr>
        <w:t>9.</w:t>
      </w:r>
      <w:r w:rsidRPr="00F61A49">
        <w:rPr>
          <w:rFonts w:ascii="Times New Roman" w:hAnsi="Times New Roman"/>
          <w:sz w:val="26"/>
          <w:szCs w:val="26"/>
        </w:rPr>
        <w:tab/>
      </w:r>
      <w:r w:rsidRPr="00F61A49">
        <w:rPr>
          <w:rFonts w:ascii="Times New Roman" w:hAnsi="Times New Roman"/>
          <w:b/>
          <w:sz w:val="26"/>
          <w:szCs w:val="26"/>
        </w:rPr>
        <w:t>EXPLAIN ANY PAYMENT OR GIFTS TO RESPONDENTS</w:t>
      </w:r>
    </w:p>
    <w:p w:rsidRPr="00F61A49" w:rsidR="0034335B" w:rsidP="0034335B" w:rsidRDefault="0034335B" w14:paraId="3BC8ECE6" w14:textId="77777777">
      <w:pPr>
        <w:widowControl/>
        <w:rPr>
          <w:rFonts w:ascii="Times New Roman" w:hAnsi="Times New Roman"/>
          <w:sz w:val="26"/>
          <w:szCs w:val="26"/>
        </w:rPr>
      </w:pPr>
    </w:p>
    <w:p w:rsidRPr="00F61A49" w:rsidR="00765CE2" w:rsidP="00453480" w:rsidRDefault="00453480" w14:paraId="26351783" w14:textId="7158AE2B">
      <w:pPr>
        <w:widowControl/>
        <w:ind w:left="720"/>
        <w:rPr>
          <w:rFonts w:ascii="Times New Roman" w:hAnsi="Times New Roman"/>
          <w:sz w:val="26"/>
          <w:szCs w:val="26"/>
        </w:rPr>
      </w:pPr>
      <w:r w:rsidRPr="00F61A49">
        <w:rPr>
          <w:rFonts w:ascii="Times New Roman" w:hAnsi="Times New Roman"/>
          <w:sz w:val="26"/>
          <w:szCs w:val="26"/>
        </w:rPr>
        <w:t>The Commission does not make payments or provide gifts for respondents related to FERC</w:t>
      </w:r>
      <w:r w:rsidR="00F75538">
        <w:rPr>
          <w:rFonts w:ascii="Times New Roman" w:hAnsi="Times New Roman"/>
          <w:sz w:val="26"/>
          <w:szCs w:val="26"/>
        </w:rPr>
        <w:t xml:space="preserve"> Form No. </w:t>
      </w:r>
      <w:r w:rsidRPr="00F61A49">
        <w:rPr>
          <w:rFonts w:ascii="Times New Roman" w:hAnsi="Times New Roman"/>
          <w:sz w:val="26"/>
          <w:szCs w:val="26"/>
        </w:rPr>
        <w:t>73.</w:t>
      </w:r>
    </w:p>
    <w:p w:rsidRPr="00F61A49" w:rsidR="0034335B" w:rsidP="0034335B" w:rsidRDefault="0034335B" w14:paraId="5DD3BBE7" w14:textId="77777777">
      <w:pPr>
        <w:widowControl/>
        <w:rPr>
          <w:rFonts w:ascii="Times New Roman" w:hAnsi="Times New Roman"/>
          <w:sz w:val="26"/>
          <w:szCs w:val="26"/>
        </w:rPr>
      </w:pPr>
    </w:p>
    <w:p w:rsidRPr="00F61A49" w:rsidR="0034335B" w:rsidP="0034335B" w:rsidRDefault="0034335B" w14:paraId="1EDC796B" w14:textId="77777777">
      <w:pPr>
        <w:widowControl/>
        <w:ind w:left="720" w:hanging="720"/>
        <w:rPr>
          <w:rFonts w:ascii="Times New Roman" w:hAnsi="Times New Roman"/>
          <w:sz w:val="26"/>
          <w:szCs w:val="26"/>
        </w:rPr>
      </w:pPr>
      <w:r w:rsidRPr="00F61A49">
        <w:rPr>
          <w:rFonts w:ascii="Times New Roman" w:hAnsi="Times New Roman"/>
          <w:sz w:val="26"/>
          <w:szCs w:val="26"/>
        </w:rPr>
        <w:t>10.</w:t>
      </w:r>
      <w:r w:rsidRPr="00F61A49">
        <w:rPr>
          <w:rFonts w:ascii="Times New Roman" w:hAnsi="Times New Roman"/>
          <w:sz w:val="26"/>
          <w:szCs w:val="26"/>
        </w:rPr>
        <w:tab/>
      </w:r>
      <w:r w:rsidRPr="00F61A49">
        <w:rPr>
          <w:rFonts w:ascii="Times New Roman" w:hAnsi="Times New Roman"/>
          <w:b/>
          <w:sz w:val="26"/>
          <w:szCs w:val="26"/>
        </w:rPr>
        <w:t>DESCRIBE ANY ASSURANCE OF CONFIDENTIALITY PROVIDED TO RESPONDENTS</w:t>
      </w:r>
    </w:p>
    <w:p w:rsidRPr="00F61A49" w:rsidR="0034335B" w:rsidP="0034335B" w:rsidRDefault="0034335B" w14:paraId="0B2AB1F3" w14:textId="77777777">
      <w:pPr>
        <w:widowControl/>
        <w:ind w:left="720" w:hanging="720"/>
        <w:rPr>
          <w:rFonts w:ascii="Times New Roman" w:hAnsi="Times New Roman"/>
          <w:sz w:val="26"/>
          <w:szCs w:val="26"/>
        </w:rPr>
      </w:pPr>
    </w:p>
    <w:p w:rsidRPr="00F61A49" w:rsidR="0034335B" w:rsidP="0034335B" w:rsidRDefault="0034335B" w14:paraId="7FF973F7" w14:textId="77777777">
      <w:pPr>
        <w:widowControl/>
        <w:ind w:left="720"/>
        <w:rPr>
          <w:rFonts w:ascii="Times New Roman" w:hAnsi="Times New Roman"/>
          <w:sz w:val="26"/>
          <w:szCs w:val="26"/>
        </w:rPr>
      </w:pPr>
      <w:r w:rsidRPr="00F61A49">
        <w:rPr>
          <w:rFonts w:ascii="Times New Roman" w:hAnsi="Times New Roman"/>
          <w:sz w:val="26"/>
          <w:szCs w:val="26"/>
        </w:rPr>
        <w:lastRenderedPageBreak/>
        <w:t xml:space="preserve">The information submitted to the Commission is public, therefore, </w:t>
      </w:r>
      <w:r w:rsidRPr="00F61A49" w:rsidR="0001487E">
        <w:rPr>
          <w:rFonts w:ascii="Times New Roman" w:hAnsi="Times New Roman"/>
          <w:sz w:val="26"/>
          <w:szCs w:val="26"/>
        </w:rPr>
        <w:t xml:space="preserve">the information </w:t>
      </w:r>
      <w:r w:rsidRPr="00F61A49">
        <w:rPr>
          <w:rFonts w:ascii="Times New Roman" w:hAnsi="Times New Roman"/>
          <w:sz w:val="26"/>
          <w:szCs w:val="26"/>
        </w:rPr>
        <w:t xml:space="preserve">is not considered confidential.  Specific requests for confidential treatment </w:t>
      </w:r>
      <w:r w:rsidRPr="00F61A49" w:rsidR="0001487E">
        <w:rPr>
          <w:rFonts w:ascii="Times New Roman" w:hAnsi="Times New Roman"/>
          <w:sz w:val="26"/>
          <w:szCs w:val="26"/>
        </w:rPr>
        <w:t xml:space="preserve">will be considered pursuant to </w:t>
      </w:r>
      <w:r w:rsidRPr="00F61A49">
        <w:rPr>
          <w:rFonts w:ascii="Times New Roman" w:hAnsi="Times New Roman"/>
          <w:sz w:val="26"/>
          <w:szCs w:val="26"/>
        </w:rPr>
        <w:t>18 C.F.R. Section 388.112.</w:t>
      </w:r>
    </w:p>
    <w:p w:rsidRPr="00F61A49" w:rsidR="0034335B" w:rsidP="0034335B" w:rsidRDefault="0034335B" w14:paraId="1FE2CFE1" w14:textId="77777777">
      <w:pPr>
        <w:widowControl/>
        <w:rPr>
          <w:rFonts w:ascii="Times New Roman" w:hAnsi="Times New Roman"/>
          <w:sz w:val="26"/>
          <w:szCs w:val="26"/>
        </w:rPr>
      </w:pPr>
    </w:p>
    <w:p w:rsidRPr="00F61A49" w:rsidR="0034335B" w:rsidP="00BF1DB0" w:rsidRDefault="0034335B" w14:paraId="5B4DBC09" w14:textId="77777777">
      <w:pPr>
        <w:ind w:left="720" w:hanging="720"/>
        <w:rPr>
          <w:rFonts w:ascii="Times New Roman" w:hAnsi="Times New Roman" w:eastAsia="Calibri"/>
          <w:b/>
          <w:sz w:val="26"/>
          <w:szCs w:val="26"/>
        </w:rPr>
      </w:pPr>
      <w:r w:rsidRPr="00F61A49">
        <w:rPr>
          <w:rFonts w:ascii="Times New Roman" w:hAnsi="Times New Roman"/>
          <w:sz w:val="26"/>
          <w:szCs w:val="26"/>
        </w:rPr>
        <w:t>11.</w:t>
      </w:r>
      <w:r w:rsidRPr="00F61A49">
        <w:rPr>
          <w:rFonts w:ascii="Times New Roman" w:hAnsi="Times New Roman"/>
          <w:sz w:val="26"/>
          <w:szCs w:val="26"/>
        </w:rPr>
        <w:tab/>
      </w:r>
      <w:r w:rsidRPr="00F61A49">
        <w:rPr>
          <w:rFonts w:ascii="Times New Roman" w:hAnsi="Times New Roman"/>
          <w:b/>
          <w:sz w:val="26"/>
          <w:szCs w:val="26"/>
        </w:rPr>
        <w:t>PROVIDE ADDITIONAL JUSTIFICATION FOR ANY QUESTIONS OF SENSITIVE NATURE</w:t>
      </w:r>
      <w:r w:rsidRPr="00F61A49" w:rsidR="007F7DDE">
        <w:rPr>
          <w:rFonts w:ascii="Times New Roman" w:hAnsi="Times New Roman"/>
          <w:b/>
          <w:sz w:val="26"/>
          <w:szCs w:val="26"/>
        </w:rPr>
        <w:t>, SUCH AS SEXUAL BEHAVIOR AND ATTITUDES, RELIGIOUS BELIEFS, AND OTHER MATTERS THAT ARE COMMONLY CONSIDERED PRIVATE.</w:t>
      </w:r>
      <w:r w:rsidRPr="00F61A49" w:rsidR="007F7DDE">
        <w:rPr>
          <w:rFonts w:ascii="Times New Roman" w:hAnsi="Times New Roman" w:eastAsia="Calibri"/>
          <w:b/>
          <w:sz w:val="26"/>
          <w:szCs w:val="26"/>
        </w:rPr>
        <w:t xml:space="preserve"> </w:t>
      </w:r>
    </w:p>
    <w:p w:rsidRPr="00F61A49" w:rsidR="0034335B" w:rsidP="007F7DDE" w:rsidRDefault="0034335B" w14:paraId="5033822E" w14:textId="77777777">
      <w:pPr>
        <w:widowControl/>
        <w:autoSpaceDE/>
        <w:autoSpaceDN/>
        <w:adjustRightInd/>
        <w:spacing w:line="276" w:lineRule="auto"/>
        <w:ind w:left="360" w:hanging="360"/>
        <w:contextualSpacing/>
        <w:rPr>
          <w:rFonts w:ascii="Times New Roman" w:hAnsi="Times New Roman" w:eastAsia="Calibri"/>
          <w:b/>
          <w:sz w:val="26"/>
          <w:szCs w:val="26"/>
        </w:rPr>
      </w:pPr>
    </w:p>
    <w:p w:rsidRPr="00F61A49" w:rsidR="0034335B" w:rsidP="00220C5A" w:rsidRDefault="007F7DDE" w14:paraId="6316018A" w14:textId="77777777">
      <w:pPr>
        <w:widowControl/>
        <w:autoSpaceDE/>
        <w:autoSpaceDN/>
        <w:adjustRightInd/>
        <w:spacing w:line="276" w:lineRule="auto"/>
        <w:ind w:left="720"/>
        <w:contextualSpacing/>
        <w:rPr>
          <w:rFonts w:ascii="Times New Roman" w:hAnsi="Times New Roman" w:eastAsia="Calibri"/>
          <w:sz w:val="26"/>
          <w:szCs w:val="26"/>
        </w:rPr>
      </w:pPr>
      <w:r w:rsidRPr="00F61A49">
        <w:rPr>
          <w:rFonts w:ascii="Times New Roman" w:hAnsi="Times New Roman" w:eastAsia="Calibri"/>
          <w:sz w:val="26"/>
          <w:szCs w:val="26"/>
        </w:rPr>
        <w:t xml:space="preserve">There are no questions of a sensitive nature associated with the FERC-73 reporting requirements. </w:t>
      </w:r>
      <w:r w:rsidRPr="00F61A49" w:rsidR="0034335B">
        <w:rPr>
          <w:rFonts w:ascii="Times New Roman" w:hAnsi="Times New Roman" w:eastAsia="Calibri"/>
          <w:sz w:val="26"/>
          <w:szCs w:val="26"/>
        </w:rPr>
        <w:t xml:space="preserve"> </w:t>
      </w:r>
    </w:p>
    <w:p w:rsidRPr="00F61A49" w:rsidR="00F4745F" w:rsidP="007F7DDE" w:rsidRDefault="00F4745F" w14:paraId="5E45FB60" w14:textId="77777777">
      <w:pPr>
        <w:widowControl/>
        <w:autoSpaceDE/>
        <w:autoSpaceDN/>
        <w:adjustRightInd/>
        <w:spacing w:line="276" w:lineRule="auto"/>
        <w:ind w:left="360" w:hanging="360"/>
        <w:contextualSpacing/>
        <w:rPr>
          <w:rFonts w:ascii="Times New Roman" w:hAnsi="Times New Roman" w:eastAsia="Calibri"/>
          <w:b/>
          <w:sz w:val="26"/>
          <w:szCs w:val="26"/>
        </w:rPr>
      </w:pPr>
    </w:p>
    <w:p w:rsidRPr="00F61A49" w:rsidR="0034335B" w:rsidP="007F7DDE" w:rsidRDefault="0034335B" w14:paraId="3DC96F76" w14:textId="77777777">
      <w:pPr>
        <w:widowControl/>
        <w:tabs>
          <w:tab w:val="left" w:pos="-1440"/>
        </w:tabs>
        <w:rPr>
          <w:rFonts w:ascii="Times New Roman" w:hAnsi="Times New Roman"/>
          <w:b/>
          <w:sz w:val="26"/>
          <w:szCs w:val="26"/>
        </w:rPr>
      </w:pPr>
      <w:r w:rsidRPr="00F61A49">
        <w:rPr>
          <w:rFonts w:ascii="Times New Roman" w:hAnsi="Times New Roman" w:eastAsia="Calibri"/>
          <w:b/>
          <w:sz w:val="26"/>
          <w:szCs w:val="26"/>
        </w:rPr>
        <w:t>12.</w:t>
      </w:r>
      <w:r w:rsidRPr="00F61A49">
        <w:rPr>
          <w:rFonts w:ascii="Times New Roman" w:hAnsi="Times New Roman" w:eastAsia="Calibri"/>
          <w:b/>
          <w:sz w:val="26"/>
          <w:szCs w:val="26"/>
        </w:rPr>
        <w:tab/>
        <w:t>ESTIMATED BURDEN OF THE COLLECTION O</w:t>
      </w:r>
      <w:r w:rsidRPr="00F61A49">
        <w:rPr>
          <w:rFonts w:ascii="Times New Roman" w:hAnsi="Times New Roman"/>
          <w:b/>
          <w:sz w:val="26"/>
          <w:szCs w:val="26"/>
        </w:rPr>
        <w:t>F INFORMATION</w:t>
      </w:r>
    </w:p>
    <w:p w:rsidRPr="00F61A49" w:rsidR="00D70644" w:rsidP="007F7DDE" w:rsidRDefault="00D70644" w14:paraId="73C5D6AF" w14:textId="77777777">
      <w:pPr>
        <w:widowControl/>
        <w:tabs>
          <w:tab w:val="left" w:pos="-1440"/>
        </w:tabs>
        <w:rPr>
          <w:rFonts w:ascii="Times New Roman" w:hAnsi="Times New Roman"/>
          <w:b/>
          <w:sz w:val="26"/>
          <w:szCs w:val="26"/>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1"/>
        <w:gridCol w:w="1632"/>
        <w:gridCol w:w="1531"/>
        <w:gridCol w:w="1404"/>
        <w:gridCol w:w="1342"/>
        <w:gridCol w:w="1404"/>
        <w:gridCol w:w="1531"/>
      </w:tblGrid>
      <w:tr w:rsidRPr="00D70644" w:rsidR="00D70644" w:rsidTr="009F7457" w14:paraId="67FFF863"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D70644" w:rsidR="00D70644" w:rsidP="00D70644" w:rsidRDefault="00D70644" w14:paraId="07C9E918" w14:textId="77777777">
            <w:pPr>
              <w:widowControl/>
              <w:tabs>
                <w:tab w:val="left" w:pos="-1440"/>
              </w:tabs>
              <w:rPr>
                <w:rFonts w:ascii="Times New Roman" w:hAnsi="Times New Roman"/>
                <w:b/>
                <w:sz w:val="26"/>
                <w:szCs w:val="26"/>
              </w:rPr>
            </w:pPr>
            <w:r w:rsidRPr="00D70644">
              <w:rPr>
                <w:rFonts w:ascii="Times New Roman" w:hAnsi="Times New Roman"/>
                <w:b/>
                <w:sz w:val="26"/>
                <w:szCs w:val="26"/>
              </w:rPr>
              <w:t>FERC Form No. 73, Oil Pipeline Service Life Data</w:t>
            </w:r>
          </w:p>
        </w:tc>
      </w:tr>
      <w:tr w:rsidRPr="00D70644" w:rsidR="00D70644" w:rsidTr="009F7457" w14:paraId="2CD54B47"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D70644" w:rsidR="00D70644" w:rsidP="00D70644" w:rsidRDefault="00D70644" w14:paraId="61E8D06B" w14:textId="77777777">
            <w:pPr>
              <w:widowControl/>
              <w:tabs>
                <w:tab w:val="left" w:pos="-1440"/>
              </w:tabs>
              <w:rPr>
                <w:rFonts w:ascii="Times New Roman" w:hAnsi="Times New Roman"/>
                <w:b/>
                <w:sz w:val="26"/>
                <w:szCs w:val="26"/>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70644" w:rsidR="00D70644" w:rsidP="00D70644" w:rsidRDefault="00D70644" w14:paraId="3B908CA3" w14:textId="77777777">
            <w:pPr>
              <w:widowControl/>
              <w:tabs>
                <w:tab w:val="left" w:pos="-1440"/>
              </w:tabs>
              <w:rPr>
                <w:rFonts w:ascii="Times New Roman" w:hAnsi="Times New Roman"/>
                <w:b/>
                <w:sz w:val="26"/>
                <w:szCs w:val="26"/>
              </w:rPr>
            </w:pPr>
            <w:r w:rsidRPr="00D70644">
              <w:rPr>
                <w:rFonts w:ascii="Times New Roman" w:hAnsi="Times New Roman"/>
                <w:b/>
                <w:sz w:val="26"/>
                <w:szCs w:val="26"/>
              </w:rPr>
              <w:t>Number of Respondents</w:t>
            </w:r>
            <w:r w:rsidRPr="00D70644">
              <w:rPr>
                <w:rFonts w:ascii="Times New Roman" w:hAnsi="Times New Roman"/>
                <w:b/>
                <w:sz w:val="26"/>
                <w:szCs w:val="26"/>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70644" w:rsidR="00D70644" w:rsidP="00D70644" w:rsidRDefault="00D70644" w14:paraId="3370150B" w14:textId="77777777">
            <w:pPr>
              <w:widowControl/>
              <w:tabs>
                <w:tab w:val="left" w:pos="-1440"/>
              </w:tabs>
              <w:rPr>
                <w:rFonts w:ascii="Times New Roman" w:hAnsi="Times New Roman"/>
                <w:b/>
                <w:sz w:val="26"/>
                <w:szCs w:val="26"/>
              </w:rPr>
            </w:pPr>
            <w:r w:rsidRPr="00D70644">
              <w:rPr>
                <w:rFonts w:ascii="Times New Roman" w:hAnsi="Times New Roman"/>
                <w:b/>
                <w:sz w:val="26"/>
                <w:szCs w:val="26"/>
              </w:rPr>
              <w:t>Annual Number of Responses per Respondent</w:t>
            </w:r>
          </w:p>
          <w:p w:rsidRPr="00D70644" w:rsidR="00D70644" w:rsidP="00D70644" w:rsidRDefault="00D70644" w14:paraId="6DE419F0" w14:textId="77777777">
            <w:pPr>
              <w:widowControl/>
              <w:tabs>
                <w:tab w:val="left" w:pos="-1440"/>
              </w:tabs>
              <w:rPr>
                <w:rFonts w:ascii="Times New Roman" w:hAnsi="Times New Roman"/>
                <w:b/>
                <w:sz w:val="26"/>
                <w:szCs w:val="26"/>
              </w:rPr>
            </w:pPr>
            <w:r w:rsidRPr="00D70644">
              <w:rPr>
                <w:rFonts w:ascii="Times New Roman" w:hAnsi="Times New Roman"/>
                <w:b/>
                <w:sz w:val="26"/>
                <w:szCs w:val="26"/>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70644" w:rsidR="00D70644" w:rsidP="00D70644" w:rsidRDefault="00D70644" w14:paraId="62C40F4F" w14:textId="77777777">
            <w:pPr>
              <w:widowControl/>
              <w:tabs>
                <w:tab w:val="left" w:pos="-1440"/>
              </w:tabs>
              <w:rPr>
                <w:rFonts w:ascii="Times New Roman" w:hAnsi="Times New Roman"/>
                <w:b/>
                <w:sz w:val="26"/>
                <w:szCs w:val="26"/>
              </w:rPr>
            </w:pPr>
            <w:r w:rsidRPr="00D70644">
              <w:rPr>
                <w:rFonts w:ascii="Times New Roman" w:hAnsi="Times New Roman"/>
                <w:b/>
                <w:sz w:val="26"/>
                <w:szCs w:val="26"/>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70644" w:rsidR="00D70644" w:rsidP="00D70644" w:rsidRDefault="00D70644" w14:paraId="168C451C" w14:textId="77777777">
            <w:pPr>
              <w:widowControl/>
              <w:tabs>
                <w:tab w:val="left" w:pos="-1440"/>
              </w:tabs>
              <w:rPr>
                <w:rFonts w:ascii="Times New Roman" w:hAnsi="Times New Roman"/>
                <w:b/>
                <w:sz w:val="26"/>
                <w:szCs w:val="26"/>
              </w:rPr>
            </w:pPr>
            <w:r w:rsidRPr="00D70644">
              <w:rPr>
                <w:rFonts w:ascii="Times New Roman" w:hAnsi="Times New Roman"/>
                <w:b/>
                <w:sz w:val="26"/>
                <w:szCs w:val="26"/>
              </w:rPr>
              <w:t>Average Burden &amp; Cost Per Response</w:t>
            </w:r>
            <w:r w:rsidRPr="00D70644">
              <w:rPr>
                <w:rFonts w:ascii="Times New Roman" w:hAnsi="Times New Roman"/>
                <w:b/>
                <w:sz w:val="26"/>
                <w:szCs w:val="26"/>
                <w:vertAlign w:val="superscript"/>
              </w:rPr>
              <w:footnoteReference w:id="6"/>
            </w:r>
          </w:p>
          <w:p w:rsidRPr="00D70644" w:rsidR="00D70644" w:rsidP="00D70644" w:rsidRDefault="00D70644" w14:paraId="1E43FCDE" w14:textId="77777777">
            <w:pPr>
              <w:widowControl/>
              <w:tabs>
                <w:tab w:val="left" w:pos="-1440"/>
              </w:tabs>
              <w:rPr>
                <w:rFonts w:ascii="Times New Roman" w:hAnsi="Times New Roman"/>
                <w:b/>
                <w:sz w:val="26"/>
                <w:szCs w:val="26"/>
              </w:rPr>
            </w:pPr>
            <w:r w:rsidRPr="00D70644">
              <w:rPr>
                <w:rFonts w:ascii="Times New Roman" w:hAnsi="Times New Roman"/>
                <w:b/>
                <w:sz w:val="26"/>
                <w:szCs w:val="26"/>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70644" w:rsidR="00D70644" w:rsidP="00D70644" w:rsidRDefault="00D70644" w14:paraId="3148A53E" w14:textId="77777777">
            <w:pPr>
              <w:widowControl/>
              <w:tabs>
                <w:tab w:val="left" w:pos="-1440"/>
              </w:tabs>
              <w:rPr>
                <w:rFonts w:ascii="Times New Roman" w:hAnsi="Times New Roman"/>
                <w:b/>
                <w:sz w:val="26"/>
                <w:szCs w:val="26"/>
              </w:rPr>
            </w:pPr>
            <w:r w:rsidRPr="00D70644">
              <w:rPr>
                <w:rFonts w:ascii="Times New Roman" w:hAnsi="Times New Roman"/>
                <w:b/>
                <w:sz w:val="26"/>
                <w:szCs w:val="26"/>
              </w:rPr>
              <w:t>Total Annual Burden &amp; Total Annual Cost</w:t>
            </w:r>
          </w:p>
          <w:p w:rsidRPr="00D70644" w:rsidR="00D70644" w:rsidP="00D70644" w:rsidRDefault="00D70644" w14:paraId="4AF81822" w14:textId="77777777">
            <w:pPr>
              <w:widowControl/>
              <w:tabs>
                <w:tab w:val="left" w:pos="-1440"/>
              </w:tabs>
              <w:rPr>
                <w:rFonts w:ascii="Times New Roman" w:hAnsi="Times New Roman"/>
                <w:b/>
                <w:sz w:val="26"/>
                <w:szCs w:val="26"/>
              </w:rPr>
            </w:pPr>
            <w:r w:rsidRPr="00D70644">
              <w:rPr>
                <w:rFonts w:ascii="Times New Roman" w:hAnsi="Times New Roman"/>
                <w:b/>
                <w:sz w:val="26"/>
                <w:szCs w:val="26"/>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70644" w:rsidR="00D70644" w:rsidP="00D70644" w:rsidRDefault="00D70644" w14:paraId="2AC2BDAC" w14:textId="77777777">
            <w:pPr>
              <w:widowControl/>
              <w:tabs>
                <w:tab w:val="left" w:pos="-1440"/>
              </w:tabs>
              <w:rPr>
                <w:rFonts w:ascii="Times New Roman" w:hAnsi="Times New Roman"/>
                <w:b/>
                <w:sz w:val="26"/>
                <w:szCs w:val="26"/>
              </w:rPr>
            </w:pPr>
            <w:r w:rsidRPr="00D70644">
              <w:rPr>
                <w:rFonts w:ascii="Times New Roman" w:hAnsi="Times New Roman"/>
                <w:b/>
                <w:sz w:val="26"/>
                <w:szCs w:val="26"/>
              </w:rPr>
              <w:t>Cost per Respondent</w:t>
            </w:r>
          </w:p>
          <w:p w:rsidRPr="00D70644" w:rsidR="00D70644" w:rsidP="00D70644" w:rsidRDefault="00D70644" w14:paraId="0BF349DA" w14:textId="77777777">
            <w:pPr>
              <w:widowControl/>
              <w:tabs>
                <w:tab w:val="left" w:pos="-1440"/>
              </w:tabs>
              <w:rPr>
                <w:rFonts w:ascii="Times New Roman" w:hAnsi="Times New Roman"/>
                <w:b/>
                <w:sz w:val="26"/>
                <w:szCs w:val="26"/>
              </w:rPr>
            </w:pPr>
            <w:r w:rsidRPr="00D70644">
              <w:rPr>
                <w:rFonts w:ascii="Times New Roman" w:hAnsi="Times New Roman"/>
                <w:b/>
                <w:sz w:val="26"/>
                <w:szCs w:val="26"/>
              </w:rPr>
              <w:t xml:space="preserve"> ($)</w:t>
            </w:r>
          </w:p>
          <w:p w:rsidRPr="00D70644" w:rsidR="00D70644" w:rsidP="00D70644" w:rsidRDefault="00D70644" w14:paraId="0F64E5EC" w14:textId="77777777">
            <w:pPr>
              <w:widowControl/>
              <w:tabs>
                <w:tab w:val="left" w:pos="-1440"/>
              </w:tabs>
              <w:rPr>
                <w:rFonts w:ascii="Times New Roman" w:hAnsi="Times New Roman"/>
                <w:b/>
                <w:sz w:val="26"/>
                <w:szCs w:val="26"/>
              </w:rPr>
            </w:pPr>
            <w:r w:rsidRPr="00D70644">
              <w:rPr>
                <w:rFonts w:ascii="Times New Roman" w:hAnsi="Times New Roman"/>
                <w:b/>
                <w:sz w:val="26"/>
                <w:szCs w:val="26"/>
              </w:rPr>
              <w:t>(5)÷(1)</w:t>
            </w:r>
          </w:p>
        </w:tc>
      </w:tr>
      <w:tr w:rsidRPr="00D70644" w:rsidR="00D70644" w:rsidTr="009F7457" w14:paraId="4F5DB610"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D70644" w:rsidR="00D70644" w:rsidP="00D70644" w:rsidRDefault="00D70644" w14:paraId="0DB5B3A5" w14:textId="77777777">
            <w:pPr>
              <w:widowControl/>
              <w:tabs>
                <w:tab w:val="left" w:pos="-1440"/>
              </w:tabs>
              <w:rPr>
                <w:rFonts w:ascii="Times New Roman" w:hAnsi="Times New Roman"/>
                <w:b/>
                <w:sz w:val="26"/>
                <w:szCs w:val="26"/>
              </w:rPr>
            </w:pPr>
            <w:r w:rsidRPr="00D70644">
              <w:rPr>
                <w:rFonts w:ascii="Times New Roman" w:hAnsi="Times New Roman"/>
                <w:b/>
                <w:sz w:val="26"/>
                <w:szCs w:val="26"/>
              </w:rPr>
              <w:t>Oil Pipelines Undergoing Investigation or Review</w:t>
            </w:r>
          </w:p>
        </w:tc>
        <w:tc>
          <w:tcPr>
            <w:tcW w:w="746" w:type="pct"/>
            <w:tcBorders>
              <w:top w:val="single" w:color="auto" w:sz="4" w:space="0"/>
              <w:left w:val="single" w:color="auto" w:sz="4" w:space="0"/>
              <w:bottom w:val="single" w:color="auto" w:sz="4" w:space="0"/>
              <w:right w:val="single" w:color="auto" w:sz="4" w:space="0"/>
            </w:tcBorders>
          </w:tcPr>
          <w:p w:rsidRPr="00D70644" w:rsidR="00D70644" w:rsidP="00D70644" w:rsidRDefault="00D70644" w14:paraId="0EB9740C" w14:textId="77777777">
            <w:pPr>
              <w:widowControl/>
              <w:tabs>
                <w:tab w:val="left" w:pos="-1440"/>
              </w:tabs>
              <w:rPr>
                <w:rFonts w:ascii="Times New Roman" w:hAnsi="Times New Roman"/>
                <w:b/>
                <w:sz w:val="26"/>
                <w:szCs w:val="26"/>
              </w:rPr>
            </w:pPr>
            <w:r w:rsidRPr="00D70644">
              <w:rPr>
                <w:rFonts w:ascii="Times New Roman" w:hAnsi="Times New Roman"/>
                <w:b/>
                <w:sz w:val="26"/>
                <w:szCs w:val="26"/>
              </w:rPr>
              <w:t>32</w:t>
            </w:r>
          </w:p>
          <w:p w:rsidRPr="00D70644" w:rsidR="00D70644" w:rsidP="00D70644" w:rsidRDefault="00D70644" w14:paraId="7BA59F30" w14:textId="77777777">
            <w:pPr>
              <w:widowControl/>
              <w:tabs>
                <w:tab w:val="left" w:pos="-1440"/>
              </w:tabs>
              <w:rPr>
                <w:rFonts w:ascii="Times New Roman" w:hAnsi="Times New Roman"/>
                <w:b/>
                <w:sz w:val="26"/>
                <w:szCs w:val="26"/>
              </w:rPr>
            </w:pPr>
          </w:p>
        </w:tc>
        <w:tc>
          <w:tcPr>
            <w:tcW w:w="746" w:type="pct"/>
            <w:tcBorders>
              <w:top w:val="single" w:color="auto" w:sz="4" w:space="0"/>
              <w:left w:val="single" w:color="auto" w:sz="4" w:space="0"/>
              <w:bottom w:val="single" w:color="auto" w:sz="4" w:space="0"/>
              <w:right w:val="single" w:color="auto" w:sz="4" w:space="0"/>
            </w:tcBorders>
            <w:hideMark/>
          </w:tcPr>
          <w:p w:rsidRPr="00D70644" w:rsidR="00D70644" w:rsidP="00D70644" w:rsidRDefault="00D70644" w14:paraId="1BD8E26F" w14:textId="77777777">
            <w:pPr>
              <w:widowControl/>
              <w:tabs>
                <w:tab w:val="left" w:pos="-1440"/>
              </w:tabs>
              <w:rPr>
                <w:rFonts w:ascii="Times New Roman" w:hAnsi="Times New Roman"/>
                <w:b/>
                <w:sz w:val="26"/>
                <w:szCs w:val="26"/>
              </w:rPr>
            </w:pPr>
            <w:r w:rsidRPr="00D70644">
              <w:rPr>
                <w:rFonts w:ascii="Times New Roman" w:hAnsi="Times New Roman"/>
                <w:b/>
                <w:sz w:val="26"/>
                <w:szCs w:val="26"/>
              </w:rPr>
              <w:t>1</w:t>
            </w:r>
          </w:p>
        </w:tc>
        <w:tc>
          <w:tcPr>
            <w:tcW w:w="703" w:type="pct"/>
            <w:tcBorders>
              <w:top w:val="single" w:color="auto" w:sz="4" w:space="0"/>
              <w:left w:val="single" w:color="auto" w:sz="4" w:space="0"/>
              <w:bottom w:val="single" w:color="auto" w:sz="4" w:space="0"/>
              <w:right w:val="single" w:color="auto" w:sz="4" w:space="0"/>
            </w:tcBorders>
            <w:hideMark/>
          </w:tcPr>
          <w:p w:rsidRPr="00D70644" w:rsidR="00D70644" w:rsidP="00D70644" w:rsidRDefault="00D70644" w14:paraId="6A7388AD" w14:textId="77777777">
            <w:pPr>
              <w:widowControl/>
              <w:tabs>
                <w:tab w:val="left" w:pos="-1440"/>
              </w:tabs>
              <w:rPr>
                <w:rFonts w:ascii="Times New Roman" w:hAnsi="Times New Roman"/>
                <w:b/>
                <w:sz w:val="26"/>
                <w:szCs w:val="26"/>
              </w:rPr>
            </w:pPr>
            <w:r w:rsidRPr="00D70644">
              <w:rPr>
                <w:rFonts w:ascii="Times New Roman" w:hAnsi="Times New Roman"/>
                <w:b/>
                <w:sz w:val="26"/>
                <w:szCs w:val="26"/>
              </w:rPr>
              <w:t>32</w:t>
            </w:r>
            <w:r w:rsidRPr="006E1A88">
              <w:rPr>
                <w:rFonts w:ascii="Times New Roman" w:hAnsi="Times New Roman"/>
                <w:b/>
                <w:sz w:val="20"/>
                <w:szCs w:val="20"/>
                <w:vertAlign w:val="superscript"/>
              </w:rPr>
              <w:footnoteReference w:id="7"/>
            </w:r>
          </w:p>
        </w:tc>
        <w:tc>
          <w:tcPr>
            <w:tcW w:w="654" w:type="pct"/>
            <w:tcBorders>
              <w:top w:val="single" w:color="auto" w:sz="4" w:space="0"/>
              <w:left w:val="single" w:color="auto" w:sz="4" w:space="0"/>
              <w:bottom w:val="single" w:color="auto" w:sz="4" w:space="0"/>
              <w:right w:val="single" w:color="auto" w:sz="4" w:space="0"/>
            </w:tcBorders>
            <w:hideMark/>
          </w:tcPr>
          <w:p w:rsidRPr="00D70644" w:rsidR="00D70644" w:rsidP="00D70644" w:rsidRDefault="00D70644" w14:paraId="6D4F3235" w14:textId="77777777">
            <w:pPr>
              <w:widowControl/>
              <w:tabs>
                <w:tab w:val="left" w:pos="-1440"/>
              </w:tabs>
              <w:rPr>
                <w:rFonts w:ascii="Times New Roman" w:hAnsi="Times New Roman"/>
                <w:b/>
                <w:sz w:val="26"/>
                <w:szCs w:val="26"/>
              </w:rPr>
            </w:pPr>
            <w:r w:rsidRPr="00D70644">
              <w:rPr>
                <w:rFonts w:ascii="Times New Roman" w:hAnsi="Times New Roman"/>
                <w:b/>
                <w:sz w:val="26"/>
                <w:szCs w:val="26"/>
              </w:rPr>
              <w:t>40 hrs.;</w:t>
            </w:r>
          </w:p>
          <w:p w:rsidRPr="00D70644" w:rsidR="00D70644" w:rsidP="00D70644" w:rsidRDefault="00D70644" w14:paraId="12460189" w14:textId="77777777">
            <w:pPr>
              <w:widowControl/>
              <w:tabs>
                <w:tab w:val="left" w:pos="-1440"/>
              </w:tabs>
              <w:rPr>
                <w:rFonts w:ascii="Times New Roman" w:hAnsi="Times New Roman"/>
                <w:b/>
                <w:sz w:val="26"/>
                <w:szCs w:val="26"/>
              </w:rPr>
            </w:pPr>
            <w:r w:rsidRPr="00D70644">
              <w:rPr>
                <w:rFonts w:ascii="Times New Roman" w:hAnsi="Times New Roman"/>
                <w:b/>
                <w:sz w:val="26"/>
                <w:szCs w:val="26"/>
              </w:rPr>
              <w:t>$3,200</w:t>
            </w:r>
          </w:p>
        </w:tc>
        <w:tc>
          <w:tcPr>
            <w:tcW w:w="657" w:type="pct"/>
            <w:tcBorders>
              <w:top w:val="single" w:color="auto" w:sz="4" w:space="0"/>
              <w:left w:val="single" w:color="auto" w:sz="4" w:space="0"/>
              <w:bottom w:val="single" w:color="auto" w:sz="4" w:space="0"/>
              <w:right w:val="single" w:color="auto" w:sz="4" w:space="0"/>
            </w:tcBorders>
            <w:hideMark/>
          </w:tcPr>
          <w:p w:rsidRPr="00D70644" w:rsidR="00D70644" w:rsidP="00D70644" w:rsidRDefault="00D70644" w14:paraId="22B59600" w14:textId="77777777">
            <w:pPr>
              <w:widowControl/>
              <w:tabs>
                <w:tab w:val="left" w:pos="-1440"/>
              </w:tabs>
              <w:rPr>
                <w:rFonts w:ascii="Times New Roman" w:hAnsi="Times New Roman"/>
                <w:b/>
                <w:sz w:val="26"/>
                <w:szCs w:val="26"/>
              </w:rPr>
            </w:pPr>
            <w:r w:rsidRPr="00D70644">
              <w:rPr>
                <w:rFonts w:ascii="Times New Roman" w:hAnsi="Times New Roman"/>
                <w:b/>
                <w:sz w:val="26"/>
                <w:szCs w:val="26"/>
              </w:rPr>
              <w:t xml:space="preserve"> 1,280 hrs.;</w:t>
            </w:r>
          </w:p>
          <w:p w:rsidRPr="00D70644" w:rsidR="00D70644" w:rsidP="00D70644" w:rsidRDefault="00D70644" w14:paraId="2B483E71" w14:textId="77777777">
            <w:pPr>
              <w:widowControl/>
              <w:tabs>
                <w:tab w:val="left" w:pos="-1440"/>
              </w:tabs>
              <w:rPr>
                <w:rFonts w:ascii="Times New Roman" w:hAnsi="Times New Roman"/>
                <w:b/>
                <w:sz w:val="26"/>
                <w:szCs w:val="26"/>
              </w:rPr>
            </w:pPr>
            <w:r w:rsidRPr="00D70644">
              <w:rPr>
                <w:rFonts w:ascii="Times New Roman" w:hAnsi="Times New Roman"/>
                <w:b/>
                <w:sz w:val="26"/>
                <w:szCs w:val="26"/>
              </w:rPr>
              <w:t>$102,400</w:t>
            </w:r>
          </w:p>
        </w:tc>
        <w:tc>
          <w:tcPr>
            <w:tcW w:w="616" w:type="pct"/>
            <w:tcBorders>
              <w:top w:val="single" w:color="auto" w:sz="4" w:space="0"/>
              <w:left w:val="single" w:color="auto" w:sz="4" w:space="0"/>
              <w:bottom w:val="single" w:color="auto" w:sz="4" w:space="0"/>
              <w:right w:val="single" w:color="auto" w:sz="4" w:space="0"/>
            </w:tcBorders>
          </w:tcPr>
          <w:p w:rsidRPr="00D70644" w:rsidR="00D70644" w:rsidP="00D70644" w:rsidRDefault="00D70644" w14:paraId="0D90309F" w14:textId="77777777">
            <w:pPr>
              <w:widowControl/>
              <w:tabs>
                <w:tab w:val="left" w:pos="-1440"/>
              </w:tabs>
              <w:rPr>
                <w:rFonts w:ascii="Times New Roman" w:hAnsi="Times New Roman"/>
                <w:b/>
                <w:sz w:val="26"/>
                <w:szCs w:val="26"/>
              </w:rPr>
            </w:pPr>
            <w:r w:rsidRPr="00D70644">
              <w:rPr>
                <w:rFonts w:ascii="Times New Roman" w:hAnsi="Times New Roman"/>
                <w:b/>
                <w:sz w:val="26"/>
                <w:szCs w:val="26"/>
              </w:rPr>
              <w:t>$3,200</w:t>
            </w:r>
          </w:p>
          <w:p w:rsidRPr="00D70644" w:rsidR="00D70644" w:rsidP="00D70644" w:rsidRDefault="00D70644" w14:paraId="6FA606BF" w14:textId="77777777">
            <w:pPr>
              <w:widowControl/>
              <w:tabs>
                <w:tab w:val="left" w:pos="-1440"/>
              </w:tabs>
              <w:rPr>
                <w:rFonts w:ascii="Times New Roman" w:hAnsi="Times New Roman"/>
                <w:b/>
                <w:sz w:val="26"/>
                <w:szCs w:val="26"/>
              </w:rPr>
            </w:pPr>
          </w:p>
        </w:tc>
      </w:tr>
    </w:tbl>
    <w:p w:rsidRPr="00F61A49" w:rsidR="00D70644" w:rsidP="007F7DDE" w:rsidRDefault="00D70644" w14:paraId="591E5436" w14:textId="77777777">
      <w:pPr>
        <w:widowControl/>
        <w:tabs>
          <w:tab w:val="left" w:pos="-1440"/>
        </w:tabs>
        <w:rPr>
          <w:rFonts w:ascii="Times New Roman" w:hAnsi="Times New Roman"/>
          <w:b/>
          <w:sz w:val="26"/>
          <w:szCs w:val="26"/>
        </w:rPr>
      </w:pPr>
    </w:p>
    <w:p w:rsidRPr="00F61A49" w:rsidR="0034335B" w:rsidP="0034335B" w:rsidRDefault="0034335B" w14:paraId="7B9171A2" w14:textId="77777777">
      <w:pPr>
        <w:widowControl/>
        <w:tabs>
          <w:tab w:val="left" w:pos="-1440"/>
        </w:tabs>
        <w:rPr>
          <w:rFonts w:ascii="Times New Roman" w:hAnsi="Times New Roman"/>
          <w:b/>
          <w:sz w:val="26"/>
          <w:szCs w:val="26"/>
        </w:rPr>
      </w:pPr>
    </w:p>
    <w:p w:rsidRPr="00F61A49" w:rsidR="0034335B" w:rsidP="0034335B" w:rsidRDefault="0034335B" w14:paraId="15C141C6" w14:textId="77777777">
      <w:pPr>
        <w:widowControl/>
        <w:tabs>
          <w:tab w:val="left" w:pos="-1440"/>
        </w:tabs>
        <w:rPr>
          <w:rFonts w:ascii="Times New Roman" w:hAnsi="Times New Roman"/>
          <w:sz w:val="26"/>
          <w:szCs w:val="26"/>
        </w:rPr>
      </w:pPr>
    </w:p>
    <w:p w:rsidRPr="00F61A49" w:rsidR="0034335B" w:rsidP="00220C5A" w:rsidRDefault="0034335B" w14:paraId="32050E64" w14:textId="77777777">
      <w:pPr>
        <w:widowControl/>
        <w:tabs>
          <w:tab w:val="left" w:pos="-1440"/>
        </w:tabs>
        <w:ind w:left="720"/>
        <w:rPr>
          <w:rFonts w:ascii="Times New Roman" w:hAnsi="Times New Roman"/>
          <w:sz w:val="26"/>
          <w:szCs w:val="26"/>
        </w:rPr>
      </w:pPr>
      <w:r w:rsidRPr="00F61A49">
        <w:rPr>
          <w:rFonts w:ascii="Times New Roman" w:hAnsi="Times New Roman"/>
          <w:sz w:val="26"/>
          <w:szCs w:val="26"/>
        </w:rPr>
        <w:t>The total estimated annual cost</w:t>
      </w:r>
      <w:r w:rsidRPr="00F61A49" w:rsidR="00F4745F">
        <w:rPr>
          <w:rFonts w:ascii="Times New Roman" w:hAnsi="Times New Roman"/>
          <w:sz w:val="26"/>
          <w:szCs w:val="26"/>
        </w:rPr>
        <w:t xml:space="preserve"> burden to </w:t>
      </w:r>
      <w:r w:rsidRPr="00F61A49" w:rsidR="003B2692">
        <w:rPr>
          <w:rFonts w:ascii="Times New Roman" w:hAnsi="Times New Roman"/>
          <w:sz w:val="26"/>
          <w:szCs w:val="26"/>
        </w:rPr>
        <w:t xml:space="preserve">all </w:t>
      </w:r>
      <w:r w:rsidRPr="00F61A49" w:rsidR="00F4745F">
        <w:rPr>
          <w:rFonts w:ascii="Times New Roman" w:hAnsi="Times New Roman"/>
          <w:sz w:val="26"/>
          <w:szCs w:val="26"/>
        </w:rPr>
        <w:t>respondents is $</w:t>
      </w:r>
      <w:r w:rsidRPr="00F61A49" w:rsidR="00AF6587">
        <w:rPr>
          <w:rFonts w:ascii="Times New Roman" w:hAnsi="Times New Roman"/>
          <w:sz w:val="26"/>
          <w:szCs w:val="26"/>
        </w:rPr>
        <w:t>3,200</w:t>
      </w:r>
      <w:r w:rsidRPr="00F61A49" w:rsidR="00F4745F">
        <w:rPr>
          <w:rFonts w:ascii="Times New Roman" w:hAnsi="Times New Roman"/>
          <w:sz w:val="26"/>
          <w:szCs w:val="26"/>
        </w:rPr>
        <w:t xml:space="preserve"> </w:t>
      </w:r>
      <w:r w:rsidRPr="00F61A49">
        <w:rPr>
          <w:rFonts w:ascii="Times New Roman" w:hAnsi="Times New Roman"/>
          <w:sz w:val="26"/>
          <w:szCs w:val="26"/>
        </w:rPr>
        <w:t>[</w:t>
      </w:r>
      <w:r w:rsidRPr="00F61A49" w:rsidR="00AF6587">
        <w:rPr>
          <w:rFonts w:ascii="Times New Roman" w:hAnsi="Times New Roman"/>
          <w:sz w:val="26"/>
          <w:szCs w:val="26"/>
        </w:rPr>
        <w:t>40</w:t>
      </w:r>
      <w:r w:rsidRPr="00F61A49">
        <w:rPr>
          <w:rFonts w:ascii="Times New Roman" w:hAnsi="Times New Roman"/>
          <w:sz w:val="26"/>
          <w:szCs w:val="26"/>
        </w:rPr>
        <w:t xml:space="preserve"> hours * $</w:t>
      </w:r>
      <w:r w:rsidRPr="00F61A49" w:rsidR="00AF6587">
        <w:rPr>
          <w:rFonts w:ascii="Times New Roman" w:hAnsi="Times New Roman"/>
          <w:sz w:val="26"/>
          <w:szCs w:val="26"/>
        </w:rPr>
        <w:t>80</w:t>
      </w:r>
      <w:r w:rsidRPr="00F61A49">
        <w:rPr>
          <w:rFonts w:ascii="Times New Roman" w:hAnsi="Times New Roman"/>
          <w:sz w:val="26"/>
          <w:szCs w:val="26"/>
        </w:rPr>
        <w:t>/hour=</w:t>
      </w:r>
      <w:r w:rsidRPr="00F61A49" w:rsidR="00DC3104">
        <w:rPr>
          <w:rFonts w:ascii="Times New Roman" w:hAnsi="Times New Roman"/>
          <w:sz w:val="26"/>
          <w:szCs w:val="26"/>
        </w:rPr>
        <w:t>$</w:t>
      </w:r>
      <w:r w:rsidRPr="00F61A49" w:rsidR="00AF6587">
        <w:rPr>
          <w:rFonts w:ascii="Times New Roman" w:hAnsi="Times New Roman"/>
          <w:sz w:val="26"/>
          <w:szCs w:val="26"/>
        </w:rPr>
        <w:t>3,200</w:t>
      </w:r>
      <w:r w:rsidRPr="00F61A49" w:rsidR="003B2692">
        <w:rPr>
          <w:rFonts w:ascii="Times New Roman" w:hAnsi="Times New Roman"/>
          <w:sz w:val="26"/>
          <w:szCs w:val="26"/>
        </w:rPr>
        <w:t>.</w:t>
      </w:r>
      <w:r w:rsidRPr="00F61A49">
        <w:rPr>
          <w:rFonts w:ascii="Times New Roman" w:hAnsi="Times New Roman"/>
          <w:sz w:val="26"/>
          <w:szCs w:val="26"/>
        </w:rPr>
        <w:t xml:space="preserve"> </w:t>
      </w:r>
    </w:p>
    <w:p w:rsidRPr="00F61A49" w:rsidR="0034335B" w:rsidP="0034335B" w:rsidRDefault="0034335B" w14:paraId="0705D46B" w14:textId="77777777">
      <w:pPr>
        <w:widowControl/>
        <w:tabs>
          <w:tab w:val="left" w:pos="-1440"/>
        </w:tabs>
        <w:rPr>
          <w:rFonts w:ascii="Times New Roman" w:hAnsi="Times New Roman"/>
          <w:sz w:val="26"/>
          <w:szCs w:val="26"/>
        </w:rPr>
      </w:pPr>
    </w:p>
    <w:p w:rsidRPr="00F61A49" w:rsidR="0034335B" w:rsidP="0034335B" w:rsidRDefault="0034335B" w14:paraId="05B2C84B" w14:textId="77777777">
      <w:pPr>
        <w:widowControl/>
        <w:ind w:left="720" w:hanging="720"/>
        <w:rPr>
          <w:rFonts w:ascii="Times New Roman" w:hAnsi="Times New Roman"/>
          <w:sz w:val="26"/>
          <w:szCs w:val="26"/>
        </w:rPr>
      </w:pPr>
      <w:r w:rsidRPr="00F61A49">
        <w:rPr>
          <w:rFonts w:ascii="Times New Roman" w:hAnsi="Times New Roman"/>
          <w:sz w:val="26"/>
          <w:szCs w:val="26"/>
        </w:rPr>
        <w:t xml:space="preserve">13.  </w:t>
      </w:r>
      <w:r w:rsidRPr="00F61A49">
        <w:rPr>
          <w:rFonts w:ascii="Times New Roman" w:hAnsi="Times New Roman"/>
          <w:sz w:val="26"/>
          <w:szCs w:val="26"/>
        </w:rPr>
        <w:tab/>
      </w:r>
      <w:r w:rsidRPr="00F61A49">
        <w:rPr>
          <w:rFonts w:ascii="Times New Roman" w:hAnsi="Times New Roman"/>
          <w:b/>
          <w:sz w:val="26"/>
          <w:szCs w:val="26"/>
        </w:rPr>
        <w:t>ESTIMATE OF TOTAL ANNUAL COST OF BURDEN TO RESPONDENTS</w:t>
      </w:r>
    </w:p>
    <w:p w:rsidRPr="00F61A49" w:rsidR="0034335B" w:rsidP="0034335B" w:rsidRDefault="0034335B" w14:paraId="36BA9A4C" w14:textId="77777777">
      <w:pPr>
        <w:widowControl/>
        <w:rPr>
          <w:rFonts w:ascii="Times New Roman" w:hAnsi="Times New Roman"/>
          <w:sz w:val="26"/>
          <w:szCs w:val="26"/>
        </w:rPr>
      </w:pPr>
    </w:p>
    <w:p w:rsidRPr="00F61A49" w:rsidR="00765CE2" w:rsidP="00765CE2" w:rsidRDefault="00765CE2" w14:paraId="2FBE202A" w14:textId="77777777">
      <w:pPr>
        <w:widowControl/>
        <w:ind w:left="720"/>
        <w:rPr>
          <w:rFonts w:ascii="Times New Roman" w:hAnsi="Times New Roman"/>
          <w:sz w:val="26"/>
          <w:szCs w:val="26"/>
        </w:rPr>
      </w:pPr>
      <w:r w:rsidRPr="00F61A49">
        <w:rPr>
          <w:rFonts w:ascii="Times New Roman" w:hAnsi="Times New Roman"/>
          <w:sz w:val="26"/>
          <w:szCs w:val="26"/>
        </w:rPr>
        <w:t>The</w:t>
      </w:r>
      <w:r w:rsidRPr="00F61A49" w:rsidR="0001487E">
        <w:rPr>
          <w:rFonts w:ascii="Times New Roman" w:hAnsi="Times New Roman"/>
          <w:sz w:val="26"/>
          <w:szCs w:val="26"/>
        </w:rPr>
        <w:t xml:space="preserve"> costs for this collection </w:t>
      </w:r>
      <w:r w:rsidRPr="00F61A49" w:rsidR="003B2692">
        <w:rPr>
          <w:rFonts w:ascii="Times New Roman" w:hAnsi="Times New Roman"/>
          <w:sz w:val="26"/>
          <w:szCs w:val="26"/>
        </w:rPr>
        <w:t xml:space="preserve">are </w:t>
      </w:r>
      <w:r w:rsidRPr="00F61A49" w:rsidR="0001487E">
        <w:rPr>
          <w:rFonts w:ascii="Times New Roman" w:hAnsi="Times New Roman"/>
          <w:sz w:val="26"/>
          <w:szCs w:val="26"/>
        </w:rPr>
        <w:t>entirely related to burden hours and are provided in #12 and 15.</w:t>
      </w:r>
    </w:p>
    <w:p w:rsidRPr="00F61A49" w:rsidR="0034335B" w:rsidP="0034335B" w:rsidRDefault="0034335B" w14:paraId="2BE4BAD5" w14:textId="77777777">
      <w:pPr>
        <w:widowControl/>
        <w:ind w:firstLine="720"/>
        <w:rPr>
          <w:rFonts w:ascii="Times New Roman" w:hAnsi="Times New Roman"/>
          <w:sz w:val="26"/>
          <w:szCs w:val="26"/>
        </w:rPr>
      </w:pPr>
    </w:p>
    <w:p w:rsidRPr="00F61A49" w:rsidR="0034335B" w:rsidP="0034335B" w:rsidRDefault="0034335B" w14:paraId="00E0537A" w14:textId="77777777">
      <w:pPr>
        <w:widowControl/>
        <w:rPr>
          <w:rFonts w:ascii="Times New Roman" w:hAnsi="Times New Roman"/>
          <w:sz w:val="26"/>
          <w:szCs w:val="26"/>
        </w:rPr>
      </w:pPr>
      <w:r w:rsidRPr="00F61A49">
        <w:rPr>
          <w:rFonts w:ascii="Times New Roman" w:hAnsi="Times New Roman"/>
          <w:sz w:val="26"/>
          <w:szCs w:val="26"/>
        </w:rPr>
        <w:t xml:space="preserve">14. </w:t>
      </w:r>
      <w:r w:rsidRPr="00F61A49">
        <w:rPr>
          <w:rFonts w:ascii="Times New Roman" w:hAnsi="Times New Roman"/>
          <w:sz w:val="26"/>
          <w:szCs w:val="26"/>
        </w:rPr>
        <w:tab/>
      </w:r>
      <w:r w:rsidRPr="00F61A49">
        <w:rPr>
          <w:rFonts w:ascii="Times New Roman" w:hAnsi="Times New Roman"/>
          <w:b/>
          <w:sz w:val="26"/>
          <w:szCs w:val="26"/>
        </w:rPr>
        <w:t>ESTIMATED ANNUALIZED COST TO FEDERAL GOVERNMENT</w:t>
      </w:r>
      <w:r w:rsidRPr="00F61A49">
        <w:rPr>
          <w:rFonts w:ascii="Times New Roman" w:hAnsi="Times New Roman"/>
          <w:sz w:val="26"/>
          <w:szCs w:val="26"/>
        </w:rPr>
        <w:t xml:space="preserve"> </w:t>
      </w:r>
    </w:p>
    <w:p w:rsidRPr="00F61A49" w:rsidR="0034335B" w:rsidP="0034335B" w:rsidRDefault="0034335B" w14:paraId="38EF177C" w14:textId="77777777">
      <w:pPr>
        <w:widowControl/>
        <w:rPr>
          <w:rFonts w:ascii="Times New Roman" w:hAnsi="Times New Roman"/>
          <w:sz w:val="26"/>
          <w:szCs w:val="26"/>
        </w:rPr>
      </w:pPr>
    </w:p>
    <w:p w:rsidRPr="00F61A49" w:rsidR="0034335B" w:rsidP="0034335B" w:rsidRDefault="0034335B" w14:paraId="4764B14F" w14:textId="77777777">
      <w:pPr>
        <w:widowControl/>
        <w:ind w:left="720"/>
        <w:rPr>
          <w:rFonts w:ascii="Times New Roman" w:hAnsi="Times New Roman"/>
          <w:sz w:val="26"/>
          <w:szCs w:val="26"/>
        </w:rPr>
      </w:pPr>
      <w:r w:rsidRPr="00F61A49">
        <w:rPr>
          <w:rFonts w:ascii="Times New Roman" w:hAnsi="Times New Roman"/>
          <w:sz w:val="26"/>
          <w:szCs w:val="26"/>
        </w:rPr>
        <w:t xml:space="preserve">FERC relies on four staff members devoting approximately </w:t>
      </w:r>
      <w:r w:rsidRPr="00F61A49" w:rsidR="001F436B">
        <w:rPr>
          <w:rFonts w:ascii="Times New Roman" w:hAnsi="Times New Roman"/>
          <w:sz w:val="26"/>
          <w:szCs w:val="26"/>
        </w:rPr>
        <w:t>0</w:t>
      </w:r>
      <w:r w:rsidRPr="00F61A49">
        <w:rPr>
          <w:rFonts w:ascii="Times New Roman" w:hAnsi="Times New Roman"/>
          <w:sz w:val="26"/>
          <w:szCs w:val="26"/>
        </w:rPr>
        <w:t>.25 of their annual work time to compile and use FERC Form No. 73 data into Commission oil pipeline rates work.  Two of those employees are technical advisory staff; the other two are in administrative litigation.  The combined effort totals the work hours of one FTE per year.</w:t>
      </w:r>
    </w:p>
    <w:p w:rsidRPr="00F61A49" w:rsidR="0034335B" w:rsidP="0034335B" w:rsidRDefault="0034335B" w14:paraId="7CF31104" w14:textId="77777777">
      <w:pPr>
        <w:widowControl/>
        <w:ind w:firstLine="720"/>
        <w:rPr>
          <w:rFonts w:ascii="Times New Roman" w:hAnsi="Times New Roman"/>
          <w:sz w:val="26"/>
          <w:szCs w:val="26"/>
        </w:rPr>
      </w:pPr>
    </w:p>
    <w:p w:rsidRPr="00F61A49" w:rsidR="0034335B" w:rsidP="0034335B" w:rsidRDefault="0034335B" w14:paraId="13E0C72F" w14:textId="77777777">
      <w:pPr>
        <w:widowControl/>
        <w:ind w:firstLine="720"/>
        <w:rPr>
          <w:rFonts w:ascii="Times New Roman" w:hAnsi="Times New Roman"/>
          <w:sz w:val="26"/>
          <w:szCs w:val="26"/>
        </w:rPr>
      </w:pPr>
      <w:r w:rsidRPr="00F61A49">
        <w:rPr>
          <w:rFonts w:ascii="Times New Roman" w:hAnsi="Times New Roman"/>
          <w:sz w:val="26"/>
          <w:szCs w:val="26"/>
        </w:rPr>
        <w:t>The following table summarizes the Federal Government cost:</w:t>
      </w:r>
    </w:p>
    <w:p w:rsidRPr="00F61A49" w:rsidR="0034335B" w:rsidP="0034335B" w:rsidRDefault="0034335B" w14:paraId="31460BF3" w14:textId="77777777">
      <w:pPr>
        <w:widowControl/>
        <w:ind w:firstLine="720"/>
        <w:rPr>
          <w:rFonts w:ascii="Times New Roman" w:hAnsi="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F61A49" w:rsidR="0034335B" w:rsidTr="001B5DE2" w14:paraId="41D4B58C" w14:textId="77777777">
        <w:tc>
          <w:tcPr>
            <w:tcW w:w="3182" w:type="dxa"/>
            <w:shd w:val="clear" w:color="auto" w:fill="CCCCCC"/>
          </w:tcPr>
          <w:p w:rsidRPr="00F61A49" w:rsidR="0034335B" w:rsidP="001B5DE2" w:rsidRDefault="0034335B" w14:paraId="674533C1" w14:textId="77777777">
            <w:pPr>
              <w:widowControl/>
              <w:ind w:firstLine="720"/>
              <w:rPr>
                <w:rFonts w:ascii="Times New Roman" w:hAnsi="Times New Roman"/>
                <w:sz w:val="26"/>
                <w:szCs w:val="26"/>
              </w:rPr>
            </w:pPr>
          </w:p>
        </w:tc>
        <w:tc>
          <w:tcPr>
            <w:tcW w:w="3201" w:type="dxa"/>
            <w:shd w:val="clear" w:color="auto" w:fill="CCCCCC"/>
            <w:hideMark/>
          </w:tcPr>
          <w:p w:rsidRPr="00F61A49" w:rsidR="007C1721" w:rsidP="007C1721" w:rsidRDefault="0034335B" w14:paraId="64DF6215" w14:textId="77777777">
            <w:pPr>
              <w:widowControl/>
              <w:autoSpaceDE/>
              <w:autoSpaceDN/>
              <w:adjustRightInd/>
              <w:jc w:val="center"/>
              <w:rPr>
                <w:rFonts w:ascii="Times New Roman" w:hAnsi="Times New Roman"/>
                <w:sz w:val="26"/>
                <w:szCs w:val="26"/>
              </w:rPr>
            </w:pPr>
            <w:r w:rsidRPr="00F61A49">
              <w:rPr>
                <w:rFonts w:ascii="Times New Roman" w:hAnsi="Times New Roman"/>
                <w:b/>
                <w:sz w:val="26"/>
                <w:szCs w:val="26"/>
              </w:rPr>
              <w:t xml:space="preserve">Number of Employees </w:t>
            </w:r>
            <w:r w:rsidRPr="00F61A49" w:rsidR="007C1721">
              <w:rPr>
                <w:rFonts w:ascii="Times New Roman" w:hAnsi="Times New Roman"/>
                <w:b/>
                <w:sz w:val="26"/>
                <w:szCs w:val="26"/>
              </w:rPr>
              <w:t>(FTEs)</w:t>
            </w:r>
            <w:r w:rsidRPr="00F61A49" w:rsidR="007C1721">
              <w:rPr>
                <w:rFonts w:ascii="Times New Roman" w:hAnsi="Times New Roman"/>
                <w:bCs/>
                <w:sz w:val="26"/>
                <w:szCs w:val="26"/>
                <w:vertAlign w:val="superscript"/>
              </w:rPr>
              <w:footnoteReference w:id="8"/>
            </w:r>
          </w:p>
          <w:p w:rsidRPr="00F61A49" w:rsidR="0034335B" w:rsidP="001B5DE2" w:rsidRDefault="0034335B" w14:paraId="68C299D7" w14:textId="77777777">
            <w:pPr>
              <w:widowControl/>
              <w:jc w:val="center"/>
              <w:rPr>
                <w:rFonts w:ascii="Times New Roman" w:hAnsi="Times New Roman"/>
                <w:b/>
                <w:sz w:val="26"/>
                <w:szCs w:val="26"/>
              </w:rPr>
            </w:pPr>
          </w:p>
        </w:tc>
        <w:tc>
          <w:tcPr>
            <w:tcW w:w="2995" w:type="dxa"/>
            <w:shd w:val="clear" w:color="auto" w:fill="CCCCCC"/>
            <w:hideMark/>
          </w:tcPr>
          <w:p w:rsidRPr="00F61A49" w:rsidR="0034335B" w:rsidP="001B5DE2" w:rsidRDefault="0034335B" w14:paraId="0C94C19F" w14:textId="77777777">
            <w:pPr>
              <w:widowControl/>
              <w:jc w:val="center"/>
              <w:rPr>
                <w:rFonts w:ascii="Times New Roman" w:hAnsi="Times New Roman"/>
                <w:b/>
                <w:sz w:val="26"/>
                <w:szCs w:val="26"/>
              </w:rPr>
            </w:pPr>
            <w:r w:rsidRPr="00F61A49">
              <w:rPr>
                <w:rFonts w:ascii="Times New Roman" w:hAnsi="Times New Roman"/>
                <w:b/>
                <w:sz w:val="26"/>
                <w:szCs w:val="26"/>
              </w:rPr>
              <w:t>Estimated Annual Federal Cost</w:t>
            </w:r>
          </w:p>
        </w:tc>
      </w:tr>
      <w:tr w:rsidRPr="00F61A49" w:rsidR="0034335B" w:rsidTr="001B5DE2" w14:paraId="464545BD" w14:textId="77777777">
        <w:tc>
          <w:tcPr>
            <w:tcW w:w="3182" w:type="dxa"/>
            <w:hideMark/>
          </w:tcPr>
          <w:p w:rsidRPr="00F61A49" w:rsidR="0034335B" w:rsidP="001B5DE2" w:rsidRDefault="0034335B" w14:paraId="18458BF6" w14:textId="77777777">
            <w:pPr>
              <w:widowControl/>
              <w:rPr>
                <w:rFonts w:ascii="Times New Roman" w:hAnsi="Times New Roman"/>
                <w:sz w:val="26"/>
                <w:szCs w:val="26"/>
              </w:rPr>
            </w:pPr>
            <w:r w:rsidRPr="00F61A49">
              <w:rPr>
                <w:rFonts w:ascii="Times New Roman" w:hAnsi="Times New Roman"/>
                <w:sz w:val="26"/>
                <w:szCs w:val="26"/>
              </w:rPr>
              <w:t>Analysis and Processing of filings</w:t>
            </w:r>
          </w:p>
        </w:tc>
        <w:tc>
          <w:tcPr>
            <w:tcW w:w="3201" w:type="dxa"/>
            <w:vAlign w:val="bottom"/>
            <w:hideMark/>
          </w:tcPr>
          <w:p w:rsidRPr="00F61A49" w:rsidR="0034335B" w:rsidP="001B5DE2" w:rsidRDefault="0034335B" w14:paraId="3F171683" w14:textId="77777777">
            <w:pPr>
              <w:widowControl/>
              <w:jc w:val="right"/>
              <w:rPr>
                <w:rFonts w:ascii="Times New Roman" w:hAnsi="Times New Roman"/>
                <w:sz w:val="26"/>
                <w:szCs w:val="26"/>
              </w:rPr>
            </w:pPr>
            <w:r w:rsidRPr="00F61A49">
              <w:rPr>
                <w:rFonts w:ascii="Times New Roman" w:hAnsi="Times New Roman"/>
                <w:sz w:val="26"/>
                <w:szCs w:val="26"/>
              </w:rPr>
              <w:t>1</w:t>
            </w:r>
          </w:p>
        </w:tc>
        <w:tc>
          <w:tcPr>
            <w:tcW w:w="2995" w:type="dxa"/>
            <w:vAlign w:val="bottom"/>
            <w:hideMark/>
          </w:tcPr>
          <w:p w:rsidRPr="00F61A49" w:rsidR="0034335B" w:rsidP="00FE3437" w:rsidRDefault="0034335B" w14:paraId="73C777A1" w14:textId="77777777">
            <w:pPr>
              <w:widowControl/>
              <w:jc w:val="right"/>
              <w:rPr>
                <w:rFonts w:ascii="Times New Roman" w:hAnsi="Times New Roman"/>
                <w:sz w:val="26"/>
                <w:szCs w:val="26"/>
              </w:rPr>
            </w:pPr>
            <w:r w:rsidRPr="00F61A49">
              <w:rPr>
                <w:rFonts w:ascii="Times New Roman" w:hAnsi="Times New Roman"/>
                <w:sz w:val="26"/>
                <w:szCs w:val="26"/>
              </w:rPr>
              <w:t>$1</w:t>
            </w:r>
            <w:r w:rsidRPr="00F61A49" w:rsidR="00D70644">
              <w:rPr>
                <w:rFonts w:ascii="Times New Roman" w:hAnsi="Times New Roman"/>
                <w:sz w:val="26"/>
                <w:szCs w:val="26"/>
              </w:rPr>
              <w:t>67</w:t>
            </w:r>
            <w:r w:rsidRPr="00F61A49">
              <w:rPr>
                <w:rFonts w:ascii="Times New Roman" w:hAnsi="Times New Roman"/>
                <w:sz w:val="26"/>
                <w:szCs w:val="26"/>
              </w:rPr>
              <w:t>,</w:t>
            </w:r>
            <w:r w:rsidRPr="00F61A49" w:rsidR="00E57612">
              <w:rPr>
                <w:rFonts w:ascii="Times New Roman" w:hAnsi="Times New Roman"/>
                <w:sz w:val="26"/>
                <w:szCs w:val="26"/>
              </w:rPr>
              <w:t>091</w:t>
            </w:r>
            <w:r w:rsidRPr="00F61A49" w:rsidR="00FE3437">
              <w:rPr>
                <w:rFonts w:ascii="Times New Roman" w:hAnsi="Times New Roman"/>
                <w:sz w:val="26"/>
                <w:szCs w:val="26"/>
              </w:rPr>
              <w:t>.00</w:t>
            </w:r>
          </w:p>
        </w:tc>
      </w:tr>
      <w:tr w:rsidRPr="00F61A49" w:rsidR="0034335B" w:rsidTr="001B5DE2" w14:paraId="3DFA827E" w14:textId="77777777">
        <w:tc>
          <w:tcPr>
            <w:tcW w:w="3182" w:type="dxa"/>
            <w:hideMark/>
          </w:tcPr>
          <w:p w:rsidRPr="00F61A49" w:rsidR="0034335B" w:rsidP="001B5DE2" w:rsidRDefault="0034335B" w14:paraId="6A912D03" w14:textId="77777777">
            <w:pPr>
              <w:widowControl/>
              <w:rPr>
                <w:rFonts w:ascii="Times New Roman" w:hAnsi="Times New Roman"/>
                <w:sz w:val="26"/>
                <w:szCs w:val="26"/>
              </w:rPr>
            </w:pPr>
            <w:r w:rsidRPr="00F61A49">
              <w:rPr>
                <w:rFonts w:ascii="Times New Roman" w:hAnsi="Times New Roman"/>
                <w:sz w:val="26"/>
                <w:szCs w:val="26"/>
              </w:rPr>
              <w:t>PRA</w:t>
            </w:r>
            <w:r w:rsidRPr="00F61A49">
              <w:rPr>
                <w:rFonts w:ascii="Times New Roman" w:hAnsi="Times New Roman"/>
                <w:sz w:val="26"/>
                <w:szCs w:val="26"/>
                <w:vertAlign w:val="superscript"/>
              </w:rPr>
              <w:footnoteReference w:id="9"/>
            </w:r>
            <w:r w:rsidRPr="00F61A49">
              <w:rPr>
                <w:rFonts w:ascii="Times New Roman" w:hAnsi="Times New Roman"/>
                <w:sz w:val="26"/>
                <w:szCs w:val="26"/>
              </w:rPr>
              <w:t xml:space="preserve"> Administrative Cost</w:t>
            </w:r>
            <w:r w:rsidRPr="00F61A49">
              <w:rPr>
                <w:rFonts w:ascii="Times New Roman" w:hAnsi="Times New Roman"/>
                <w:sz w:val="26"/>
                <w:szCs w:val="26"/>
                <w:vertAlign w:val="superscript"/>
              </w:rPr>
              <w:footnoteReference w:id="10"/>
            </w:r>
          </w:p>
        </w:tc>
        <w:tc>
          <w:tcPr>
            <w:tcW w:w="3201" w:type="dxa"/>
            <w:vMerge w:val="restart"/>
            <w:shd w:val="clear" w:color="auto" w:fill="D9D9D9"/>
            <w:vAlign w:val="bottom"/>
          </w:tcPr>
          <w:p w:rsidRPr="00F61A49" w:rsidR="0034335B" w:rsidP="001B5DE2" w:rsidRDefault="0034335B" w14:paraId="5E78C59F" w14:textId="77777777">
            <w:pPr>
              <w:widowControl/>
              <w:ind w:firstLine="720"/>
              <w:jc w:val="right"/>
              <w:rPr>
                <w:rFonts w:ascii="Times New Roman" w:hAnsi="Times New Roman"/>
                <w:sz w:val="26"/>
                <w:szCs w:val="26"/>
              </w:rPr>
            </w:pPr>
          </w:p>
        </w:tc>
        <w:tc>
          <w:tcPr>
            <w:tcW w:w="2995" w:type="dxa"/>
            <w:vAlign w:val="bottom"/>
            <w:hideMark/>
          </w:tcPr>
          <w:p w:rsidRPr="00F61A49" w:rsidR="0034335B" w:rsidP="001B5DE2" w:rsidRDefault="0034335B" w14:paraId="5A42566D" w14:textId="77777777">
            <w:pPr>
              <w:widowControl/>
              <w:jc w:val="right"/>
              <w:rPr>
                <w:rFonts w:ascii="Times New Roman" w:hAnsi="Times New Roman"/>
                <w:sz w:val="26"/>
                <w:szCs w:val="26"/>
              </w:rPr>
            </w:pPr>
            <w:r w:rsidRPr="00F61A49">
              <w:rPr>
                <w:rFonts w:ascii="Times New Roman" w:hAnsi="Times New Roman"/>
                <w:sz w:val="26"/>
                <w:szCs w:val="26"/>
              </w:rPr>
              <w:t>$</w:t>
            </w:r>
            <w:r w:rsidRPr="00F61A49" w:rsidR="00D70644">
              <w:rPr>
                <w:rFonts w:ascii="Times New Roman" w:hAnsi="Times New Roman"/>
                <w:sz w:val="26"/>
                <w:szCs w:val="26"/>
              </w:rPr>
              <w:t>4</w:t>
            </w:r>
            <w:r w:rsidRPr="00F61A49" w:rsidR="00FE3437">
              <w:rPr>
                <w:rFonts w:ascii="Times New Roman" w:hAnsi="Times New Roman"/>
                <w:sz w:val="26"/>
                <w:szCs w:val="26"/>
              </w:rPr>
              <w:t>,</w:t>
            </w:r>
            <w:r w:rsidRPr="00F61A49" w:rsidR="00D70644">
              <w:rPr>
                <w:rFonts w:ascii="Times New Roman" w:hAnsi="Times New Roman"/>
                <w:sz w:val="26"/>
                <w:szCs w:val="26"/>
              </w:rPr>
              <w:t>832</w:t>
            </w:r>
            <w:r w:rsidRPr="00F61A49" w:rsidR="00FE3437">
              <w:rPr>
                <w:rFonts w:ascii="Times New Roman" w:hAnsi="Times New Roman"/>
                <w:sz w:val="26"/>
                <w:szCs w:val="26"/>
              </w:rPr>
              <w:t>.00</w:t>
            </w:r>
          </w:p>
        </w:tc>
      </w:tr>
      <w:tr w:rsidRPr="00F61A49" w:rsidR="0034335B" w:rsidTr="001B5DE2" w14:paraId="285C1DD3" w14:textId="77777777">
        <w:tc>
          <w:tcPr>
            <w:tcW w:w="3182" w:type="dxa"/>
            <w:hideMark/>
          </w:tcPr>
          <w:p w:rsidRPr="00F61A49" w:rsidR="0034335B" w:rsidP="001B5DE2" w:rsidRDefault="0034335B" w14:paraId="4E6CEF05" w14:textId="77777777">
            <w:pPr>
              <w:widowControl/>
              <w:rPr>
                <w:rFonts w:ascii="Times New Roman" w:hAnsi="Times New Roman"/>
                <w:b/>
                <w:sz w:val="26"/>
                <w:szCs w:val="26"/>
              </w:rPr>
            </w:pPr>
            <w:r w:rsidRPr="00F61A49">
              <w:rPr>
                <w:rFonts w:ascii="Times New Roman" w:hAnsi="Times New Roman"/>
                <w:b/>
                <w:sz w:val="26"/>
                <w:szCs w:val="26"/>
              </w:rPr>
              <w:t>FERC Total</w:t>
            </w:r>
          </w:p>
        </w:tc>
        <w:tc>
          <w:tcPr>
            <w:tcW w:w="0" w:type="auto"/>
            <w:vMerge/>
            <w:vAlign w:val="bottom"/>
            <w:hideMark/>
          </w:tcPr>
          <w:p w:rsidRPr="00F61A49" w:rsidR="0034335B" w:rsidP="001B5DE2" w:rsidRDefault="0034335B" w14:paraId="441A6516" w14:textId="77777777">
            <w:pPr>
              <w:widowControl/>
              <w:ind w:firstLine="720"/>
              <w:jc w:val="right"/>
              <w:rPr>
                <w:rFonts w:ascii="Times New Roman" w:hAnsi="Times New Roman"/>
                <w:sz w:val="26"/>
                <w:szCs w:val="26"/>
              </w:rPr>
            </w:pPr>
          </w:p>
        </w:tc>
        <w:tc>
          <w:tcPr>
            <w:tcW w:w="2995" w:type="dxa"/>
            <w:vAlign w:val="bottom"/>
            <w:hideMark/>
          </w:tcPr>
          <w:p w:rsidRPr="00F61A49" w:rsidR="0034335B" w:rsidP="0090711A" w:rsidRDefault="0034335B" w14:paraId="43A4E7C4" w14:textId="77777777">
            <w:pPr>
              <w:widowControl/>
              <w:jc w:val="right"/>
              <w:rPr>
                <w:rFonts w:ascii="Times New Roman" w:hAnsi="Times New Roman"/>
                <w:sz w:val="26"/>
                <w:szCs w:val="26"/>
              </w:rPr>
            </w:pPr>
            <w:r w:rsidRPr="00F61A49">
              <w:rPr>
                <w:rFonts w:ascii="Times New Roman" w:hAnsi="Times New Roman"/>
                <w:sz w:val="26"/>
                <w:szCs w:val="26"/>
              </w:rPr>
              <w:t>$</w:t>
            </w:r>
            <w:r w:rsidRPr="00F61A49" w:rsidR="0090711A">
              <w:rPr>
                <w:rFonts w:ascii="Times New Roman" w:hAnsi="Times New Roman"/>
                <w:sz w:val="26"/>
                <w:szCs w:val="26"/>
              </w:rPr>
              <w:t>1</w:t>
            </w:r>
            <w:r w:rsidRPr="00F61A49" w:rsidR="00C37BAF">
              <w:rPr>
                <w:rFonts w:ascii="Times New Roman" w:hAnsi="Times New Roman"/>
                <w:sz w:val="26"/>
                <w:szCs w:val="26"/>
              </w:rPr>
              <w:t>71</w:t>
            </w:r>
            <w:r w:rsidRPr="00F61A49" w:rsidR="00FE3437">
              <w:rPr>
                <w:rFonts w:ascii="Times New Roman" w:hAnsi="Times New Roman"/>
                <w:sz w:val="26"/>
                <w:szCs w:val="26"/>
              </w:rPr>
              <w:t>,</w:t>
            </w:r>
            <w:r w:rsidRPr="00F61A49" w:rsidR="00C37BAF">
              <w:rPr>
                <w:rFonts w:ascii="Times New Roman" w:hAnsi="Times New Roman"/>
                <w:sz w:val="26"/>
                <w:szCs w:val="26"/>
              </w:rPr>
              <w:t>923</w:t>
            </w:r>
            <w:r w:rsidRPr="00F61A49" w:rsidR="00FE3437">
              <w:rPr>
                <w:rFonts w:ascii="Times New Roman" w:hAnsi="Times New Roman"/>
                <w:sz w:val="26"/>
                <w:szCs w:val="26"/>
              </w:rPr>
              <w:t>.00</w:t>
            </w:r>
          </w:p>
        </w:tc>
      </w:tr>
    </w:tbl>
    <w:p w:rsidRPr="00F61A49" w:rsidR="0034335B" w:rsidP="0034335B" w:rsidRDefault="0034335B" w14:paraId="70F0F666" w14:textId="77777777">
      <w:pPr>
        <w:widowControl/>
        <w:ind w:firstLine="720"/>
        <w:rPr>
          <w:rFonts w:ascii="Times New Roman" w:hAnsi="Times New Roman"/>
          <w:sz w:val="26"/>
          <w:szCs w:val="26"/>
        </w:rPr>
      </w:pPr>
    </w:p>
    <w:p w:rsidRPr="00F61A49" w:rsidR="0034335B" w:rsidP="0034335B" w:rsidRDefault="0034335B" w14:paraId="6729A395" w14:textId="77777777">
      <w:pPr>
        <w:widowControl/>
        <w:ind w:left="720" w:hanging="720"/>
        <w:rPr>
          <w:rFonts w:ascii="Times New Roman" w:hAnsi="Times New Roman"/>
          <w:sz w:val="26"/>
          <w:szCs w:val="26"/>
        </w:rPr>
      </w:pPr>
      <w:r w:rsidRPr="00F61A49">
        <w:rPr>
          <w:rFonts w:ascii="Times New Roman" w:hAnsi="Times New Roman"/>
          <w:sz w:val="26"/>
          <w:szCs w:val="26"/>
        </w:rPr>
        <w:t xml:space="preserve">15.  </w:t>
      </w:r>
      <w:r w:rsidRPr="00F61A49">
        <w:rPr>
          <w:rFonts w:ascii="Times New Roman" w:hAnsi="Times New Roman"/>
          <w:sz w:val="26"/>
          <w:szCs w:val="26"/>
        </w:rPr>
        <w:tab/>
      </w:r>
      <w:r w:rsidRPr="00F61A49">
        <w:rPr>
          <w:rFonts w:ascii="Times New Roman" w:hAnsi="Times New Roman"/>
          <w:b/>
          <w:sz w:val="26"/>
          <w:szCs w:val="26"/>
        </w:rPr>
        <w:t>REASONS FOR CHANGES IN BURDEN INCLUDING THE NEED FOR ANY INCREASE</w:t>
      </w:r>
    </w:p>
    <w:p w:rsidRPr="00F61A49" w:rsidR="0034335B" w:rsidP="0034335B" w:rsidRDefault="0034335B" w14:paraId="43758723" w14:textId="77777777">
      <w:pPr>
        <w:widowControl/>
        <w:rPr>
          <w:rFonts w:ascii="Times New Roman" w:hAnsi="Times New Roman"/>
          <w:sz w:val="26"/>
          <w:szCs w:val="26"/>
        </w:rPr>
      </w:pPr>
    </w:p>
    <w:p w:rsidRPr="00F61A49" w:rsidR="00C772A5" w:rsidP="0001487E" w:rsidRDefault="00070564" w14:paraId="1A01493C" w14:textId="06A6351A">
      <w:pPr>
        <w:widowControl/>
        <w:ind w:left="720"/>
        <w:rPr>
          <w:rFonts w:ascii="Times New Roman" w:hAnsi="Times New Roman"/>
          <w:sz w:val="26"/>
          <w:szCs w:val="26"/>
        </w:rPr>
      </w:pPr>
      <w:r>
        <w:rPr>
          <w:rFonts w:ascii="Times New Roman" w:hAnsi="Times New Roman"/>
          <w:sz w:val="26"/>
          <w:szCs w:val="26"/>
        </w:rPr>
        <w:t>The t</w:t>
      </w:r>
      <w:r w:rsidRPr="00F61A49">
        <w:rPr>
          <w:rFonts w:ascii="Times New Roman" w:hAnsi="Times New Roman"/>
          <w:sz w:val="26"/>
          <w:szCs w:val="26"/>
        </w:rPr>
        <w:t>otal estimated annual cost burden</w:t>
      </w:r>
      <w:r>
        <w:rPr>
          <w:rFonts w:ascii="Times New Roman" w:hAnsi="Times New Roman"/>
          <w:sz w:val="26"/>
          <w:szCs w:val="26"/>
        </w:rPr>
        <w:t xml:space="preserve"> appears to have increased significantly </w:t>
      </w:r>
      <w:r w:rsidR="0054003E">
        <w:rPr>
          <w:rFonts w:ascii="Times New Roman" w:hAnsi="Times New Roman"/>
          <w:sz w:val="26"/>
          <w:szCs w:val="26"/>
        </w:rPr>
        <w:t>since</w:t>
      </w:r>
      <w:r>
        <w:rPr>
          <w:rFonts w:ascii="Times New Roman" w:hAnsi="Times New Roman"/>
          <w:sz w:val="26"/>
          <w:szCs w:val="26"/>
        </w:rPr>
        <w:t xml:space="preserve"> the last iteration of the FERC</w:t>
      </w:r>
      <w:r w:rsidR="005C236F">
        <w:rPr>
          <w:rFonts w:ascii="Times New Roman" w:hAnsi="Times New Roman"/>
          <w:sz w:val="26"/>
          <w:szCs w:val="26"/>
        </w:rPr>
        <w:t xml:space="preserve"> Form No. </w:t>
      </w:r>
      <w:r>
        <w:rPr>
          <w:rFonts w:ascii="Times New Roman" w:hAnsi="Times New Roman"/>
          <w:sz w:val="26"/>
          <w:szCs w:val="26"/>
        </w:rPr>
        <w:t xml:space="preserve">73 form renewal process. </w:t>
      </w:r>
      <w:r w:rsidRPr="00F61A49">
        <w:rPr>
          <w:rFonts w:ascii="Times New Roman" w:hAnsi="Times New Roman"/>
          <w:sz w:val="26"/>
          <w:szCs w:val="26"/>
        </w:rPr>
        <w:t xml:space="preserve"> </w:t>
      </w:r>
      <w:r w:rsidR="00727C09">
        <w:rPr>
          <w:rFonts w:ascii="Times New Roman" w:hAnsi="Times New Roman"/>
          <w:sz w:val="26"/>
          <w:szCs w:val="26"/>
        </w:rPr>
        <w:t>In the past</w:t>
      </w:r>
      <w:r>
        <w:rPr>
          <w:rFonts w:ascii="Times New Roman" w:hAnsi="Times New Roman"/>
          <w:sz w:val="26"/>
          <w:szCs w:val="26"/>
        </w:rPr>
        <w:t>,</w:t>
      </w:r>
      <w:r w:rsidR="00727C09">
        <w:rPr>
          <w:rFonts w:ascii="Times New Roman" w:hAnsi="Times New Roman"/>
          <w:sz w:val="26"/>
          <w:szCs w:val="26"/>
        </w:rPr>
        <w:t xml:space="preserve"> </w:t>
      </w:r>
      <w:r>
        <w:rPr>
          <w:rFonts w:ascii="Times New Roman" w:hAnsi="Times New Roman"/>
          <w:sz w:val="26"/>
          <w:szCs w:val="26"/>
        </w:rPr>
        <w:t xml:space="preserve">staff had </w:t>
      </w:r>
      <w:r w:rsidR="0054003E">
        <w:rPr>
          <w:rFonts w:ascii="Times New Roman" w:hAnsi="Times New Roman"/>
          <w:sz w:val="26"/>
          <w:szCs w:val="26"/>
        </w:rPr>
        <w:t>merely</w:t>
      </w:r>
      <w:r>
        <w:rPr>
          <w:rFonts w:ascii="Times New Roman" w:hAnsi="Times New Roman"/>
          <w:sz w:val="26"/>
          <w:szCs w:val="26"/>
        </w:rPr>
        <w:t xml:space="preserve"> accounted </w:t>
      </w:r>
      <w:r w:rsidR="0054003E">
        <w:rPr>
          <w:rFonts w:ascii="Times New Roman" w:hAnsi="Times New Roman"/>
          <w:sz w:val="26"/>
          <w:szCs w:val="26"/>
        </w:rPr>
        <w:t xml:space="preserve">for </w:t>
      </w:r>
      <w:r>
        <w:rPr>
          <w:rFonts w:ascii="Times New Roman" w:hAnsi="Times New Roman"/>
          <w:sz w:val="26"/>
          <w:szCs w:val="26"/>
        </w:rPr>
        <w:t xml:space="preserve">the </w:t>
      </w:r>
      <w:r w:rsidR="00727C09">
        <w:rPr>
          <w:rFonts w:ascii="Times New Roman" w:hAnsi="Times New Roman"/>
          <w:sz w:val="26"/>
          <w:szCs w:val="26"/>
        </w:rPr>
        <w:t xml:space="preserve">number of filings </w:t>
      </w:r>
      <w:r>
        <w:rPr>
          <w:rFonts w:ascii="Times New Roman" w:hAnsi="Times New Roman"/>
          <w:sz w:val="26"/>
          <w:szCs w:val="26"/>
        </w:rPr>
        <w:t>that</w:t>
      </w:r>
      <w:r w:rsidR="00727C09">
        <w:rPr>
          <w:rFonts w:ascii="Times New Roman" w:hAnsi="Times New Roman"/>
          <w:sz w:val="26"/>
          <w:szCs w:val="26"/>
        </w:rPr>
        <w:t xml:space="preserve"> </w:t>
      </w:r>
      <w:r>
        <w:rPr>
          <w:rFonts w:ascii="Times New Roman" w:hAnsi="Times New Roman"/>
          <w:sz w:val="26"/>
          <w:szCs w:val="26"/>
        </w:rPr>
        <w:t xml:space="preserve">had titles that directly </w:t>
      </w:r>
      <w:r w:rsidR="00FD18F6">
        <w:rPr>
          <w:rFonts w:ascii="Times New Roman" w:hAnsi="Times New Roman"/>
          <w:sz w:val="26"/>
          <w:szCs w:val="26"/>
        </w:rPr>
        <w:t xml:space="preserve">reflected </w:t>
      </w:r>
      <w:r w:rsidR="00727C09">
        <w:rPr>
          <w:rFonts w:ascii="Times New Roman" w:hAnsi="Times New Roman"/>
          <w:sz w:val="26"/>
          <w:szCs w:val="26"/>
        </w:rPr>
        <w:t>depreciation rate changes</w:t>
      </w:r>
      <w:r w:rsidR="00FD18F6">
        <w:rPr>
          <w:rFonts w:ascii="Times New Roman" w:hAnsi="Times New Roman"/>
          <w:sz w:val="26"/>
          <w:szCs w:val="26"/>
        </w:rPr>
        <w:t>.</w:t>
      </w:r>
      <w:r w:rsidR="00727C09">
        <w:rPr>
          <w:rFonts w:ascii="Times New Roman" w:hAnsi="Times New Roman"/>
          <w:sz w:val="26"/>
          <w:szCs w:val="26"/>
        </w:rPr>
        <w:t xml:space="preserve"> </w:t>
      </w:r>
      <w:r w:rsidR="00FD18F6">
        <w:rPr>
          <w:rFonts w:ascii="Times New Roman" w:hAnsi="Times New Roman"/>
          <w:sz w:val="26"/>
          <w:szCs w:val="26"/>
        </w:rPr>
        <w:t>H</w:t>
      </w:r>
      <w:r w:rsidR="00727C09">
        <w:rPr>
          <w:rFonts w:ascii="Times New Roman" w:hAnsi="Times New Roman"/>
          <w:sz w:val="26"/>
          <w:szCs w:val="26"/>
        </w:rPr>
        <w:t xml:space="preserve">owever, </w:t>
      </w:r>
      <w:r w:rsidR="00FD18F6">
        <w:rPr>
          <w:rFonts w:ascii="Times New Roman" w:hAnsi="Times New Roman"/>
          <w:sz w:val="26"/>
          <w:szCs w:val="26"/>
        </w:rPr>
        <w:t xml:space="preserve">upon further review, </w:t>
      </w:r>
      <w:r>
        <w:rPr>
          <w:rFonts w:ascii="Times New Roman" w:hAnsi="Times New Roman"/>
          <w:sz w:val="26"/>
          <w:szCs w:val="26"/>
        </w:rPr>
        <w:t>members of the staff</w:t>
      </w:r>
      <w:r w:rsidR="00727C09">
        <w:rPr>
          <w:rFonts w:ascii="Times New Roman" w:hAnsi="Times New Roman"/>
          <w:sz w:val="26"/>
          <w:szCs w:val="26"/>
        </w:rPr>
        <w:t xml:space="preserve"> </w:t>
      </w:r>
      <w:r w:rsidR="0054003E">
        <w:rPr>
          <w:rFonts w:ascii="Times New Roman" w:hAnsi="Times New Roman"/>
          <w:sz w:val="26"/>
          <w:szCs w:val="26"/>
        </w:rPr>
        <w:t>believe that</w:t>
      </w:r>
      <w:r>
        <w:rPr>
          <w:rFonts w:ascii="Times New Roman" w:hAnsi="Times New Roman"/>
          <w:sz w:val="26"/>
          <w:szCs w:val="26"/>
        </w:rPr>
        <w:t xml:space="preserve"> the </w:t>
      </w:r>
      <w:r w:rsidR="0054003E">
        <w:rPr>
          <w:rFonts w:ascii="Times New Roman" w:hAnsi="Times New Roman"/>
          <w:sz w:val="26"/>
          <w:szCs w:val="26"/>
        </w:rPr>
        <w:t xml:space="preserve">number of </w:t>
      </w:r>
      <w:r>
        <w:rPr>
          <w:rFonts w:ascii="Times New Roman" w:hAnsi="Times New Roman"/>
          <w:sz w:val="26"/>
          <w:szCs w:val="26"/>
        </w:rPr>
        <w:t xml:space="preserve">filings should </w:t>
      </w:r>
      <w:r w:rsidR="0054003E">
        <w:rPr>
          <w:rFonts w:ascii="Times New Roman" w:hAnsi="Times New Roman"/>
          <w:sz w:val="26"/>
          <w:szCs w:val="26"/>
        </w:rPr>
        <w:t xml:space="preserve">also </w:t>
      </w:r>
      <w:r>
        <w:rPr>
          <w:rFonts w:ascii="Times New Roman" w:hAnsi="Times New Roman"/>
          <w:sz w:val="26"/>
          <w:szCs w:val="26"/>
        </w:rPr>
        <w:t>account for</w:t>
      </w:r>
      <w:r w:rsidR="0054003E">
        <w:rPr>
          <w:rFonts w:ascii="Times New Roman" w:hAnsi="Times New Roman"/>
          <w:sz w:val="26"/>
          <w:szCs w:val="26"/>
        </w:rPr>
        <w:t xml:space="preserve"> filings of</w:t>
      </w:r>
      <w:r>
        <w:rPr>
          <w:rFonts w:ascii="Times New Roman" w:hAnsi="Times New Roman"/>
          <w:sz w:val="26"/>
          <w:szCs w:val="26"/>
        </w:rPr>
        <w:t xml:space="preserve"> </w:t>
      </w:r>
      <w:r w:rsidR="00727C09">
        <w:rPr>
          <w:rFonts w:ascii="Times New Roman" w:hAnsi="Times New Roman"/>
          <w:sz w:val="26"/>
          <w:szCs w:val="26"/>
        </w:rPr>
        <w:t xml:space="preserve">depreciation studies </w:t>
      </w:r>
      <w:r w:rsidR="009E4301">
        <w:rPr>
          <w:rFonts w:ascii="Times New Roman" w:hAnsi="Times New Roman"/>
          <w:sz w:val="26"/>
          <w:szCs w:val="26"/>
        </w:rPr>
        <w:t xml:space="preserve">(in accordance with 18 CFR 347.1) </w:t>
      </w:r>
      <w:r w:rsidR="00727C09">
        <w:rPr>
          <w:rFonts w:ascii="Times New Roman" w:hAnsi="Times New Roman"/>
          <w:sz w:val="26"/>
          <w:szCs w:val="26"/>
        </w:rPr>
        <w:t xml:space="preserve">that also </w:t>
      </w:r>
      <w:r w:rsidR="00FD18F6">
        <w:rPr>
          <w:rFonts w:ascii="Times New Roman" w:hAnsi="Times New Roman"/>
          <w:sz w:val="26"/>
          <w:szCs w:val="26"/>
        </w:rPr>
        <w:t xml:space="preserve">contain </w:t>
      </w:r>
      <w:r w:rsidR="00727C09">
        <w:rPr>
          <w:rFonts w:ascii="Times New Roman" w:hAnsi="Times New Roman"/>
          <w:sz w:val="26"/>
          <w:szCs w:val="26"/>
        </w:rPr>
        <w:t xml:space="preserve">depreciate rate changes </w:t>
      </w:r>
      <w:r>
        <w:rPr>
          <w:rFonts w:ascii="Times New Roman" w:hAnsi="Times New Roman"/>
          <w:sz w:val="26"/>
          <w:szCs w:val="26"/>
        </w:rPr>
        <w:t>for</w:t>
      </w:r>
      <w:r w:rsidR="00FD18F6">
        <w:rPr>
          <w:rFonts w:ascii="Times New Roman" w:hAnsi="Times New Roman"/>
          <w:sz w:val="26"/>
          <w:szCs w:val="26"/>
        </w:rPr>
        <w:t xml:space="preserve"> the</w:t>
      </w:r>
      <w:r>
        <w:rPr>
          <w:rFonts w:ascii="Times New Roman" w:hAnsi="Times New Roman"/>
          <w:sz w:val="26"/>
          <w:szCs w:val="26"/>
        </w:rPr>
        <w:t xml:space="preserve"> purposes of</w:t>
      </w:r>
      <w:r w:rsidR="00727C09">
        <w:rPr>
          <w:rFonts w:ascii="Times New Roman" w:hAnsi="Times New Roman"/>
          <w:sz w:val="26"/>
          <w:szCs w:val="26"/>
        </w:rPr>
        <w:t xml:space="preserve"> this </w:t>
      </w:r>
      <w:r>
        <w:rPr>
          <w:rFonts w:ascii="Times New Roman" w:hAnsi="Times New Roman"/>
          <w:sz w:val="26"/>
          <w:szCs w:val="26"/>
        </w:rPr>
        <w:t>information</w:t>
      </w:r>
      <w:r w:rsidR="00727C09">
        <w:rPr>
          <w:rFonts w:ascii="Times New Roman" w:hAnsi="Times New Roman"/>
          <w:sz w:val="26"/>
          <w:szCs w:val="26"/>
        </w:rPr>
        <w:t xml:space="preserve"> collection</w:t>
      </w:r>
      <w:r>
        <w:rPr>
          <w:rFonts w:ascii="Times New Roman" w:hAnsi="Times New Roman"/>
          <w:sz w:val="26"/>
          <w:szCs w:val="26"/>
        </w:rPr>
        <w:t>.</w:t>
      </w:r>
      <w:r w:rsidR="00727C09">
        <w:rPr>
          <w:rFonts w:ascii="Times New Roman" w:hAnsi="Times New Roman"/>
          <w:sz w:val="26"/>
          <w:szCs w:val="26"/>
        </w:rPr>
        <w:t xml:space="preserve"> </w:t>
      </w:r>
      <w:r>
        <w:rPr>
          <w:rFonts w:ascii="Times New Roman" w:hAnsi="Times New Roman"/>
          <w:sz w:val="26"/>
          <w:szCs w:val="26"/>
        </w:rPr>
        <w:t>T</w:t>
      </w:r>
      <w:r w:rsidR="00727C09">
        <w:rPr>
          <w:rFonts w:ascii="Times New Roman" w:hAnsi="Times New Roman"/>
          <w:sz w:val="26"/>
          <w:szCs w:val="26"/>
        </w:rPr>
        <w:t>hus</w:t>
      </w:r>
      <w:r w:rsidR="008321D1">
        <w:rPr>
          <w:rFonts w:ascii="Times New Roman" w:hAnsi="Times New Roman"/>
          <w:sz w:val="26"/>
          <w:szCs w:val="26"/>
        </w:rPr>
        <w:t>,</w:t>
      </w:r>
      <w:r w:rsidR="00727C09">
        <w:rPr>
          <w:rFonts w:ascii="Times New Roman" w:hAnsi="Times New Roman"/>
          <w:sz w:val="26"/>
          <w:szCs w:val="26"/>
        </w:rPr>
        <w:t xml:space="preserve"> the</w:t>
      </w:r>
      <w:r w:rsidR="008321D1">
        <w:rPr>
          <w:rFonts w:ascii="Times New Roman" w:hAnsi="Times New Roman"/>
          <w:sz w:val="26"/>
          <w:szCs w:val="26"/>
        </w:rPr>
        <w:t xml:space="preserve"> </w:t>
      </w:r>
      <w:r w:rsidR="00727C09">
        <w:rPr>
          <w:rFonts w:ascii="Times New Roman" w:hAnsi="Times New Roman"/>
          <w:sz w:val="26"/>
          <w:szCs w:val="26"/>
        </w:rPr>
        <w:lastRenderedPageBreak/>
        <w:t>number</w:t>
      </w:r>
      <w:r w:rsidR="008321D1">
        <w:rPr>
          <w:rFonts w:ascii="Times New Roman" w:hAnsi="Times New Roman"/>
          <w:sz w:val="26"/>
          <w:szCs w:val="26"/>
        </w:rPr>
        <w:t xml:space="preserve"> has </w:t>
      </w:r>
      <w:r w:rsidR="00727C09">
        <w:rPr>
          <w:rFonts w:ascii="Times New Roman" w:hAnsi="Times New Roman"/>
          <w:sz w:val="26"/>
          <w:szCs w:val="26"/>
        </w:rPr>
        <w:t xml:space="preserve">increased </w:t>
      </w:r>
      <w:r w:rsidR="008321D1">
        <w:rPr>
          <w:rFonts w:ascii="Times New Roman" w:hAnsi="Times New Roman"/>
          <w:sz w:val="26"/>
          <w:szCs w:val="26"/>
        </w:rPr>
        <w:t xml:space="preserve">over </w:t>
      </w:r>
      <w:r w:rsidR="00727C09">
        <w:rPr>
          <w:rFonts w:ascii="Times New Roman" w:hAnsi="Times New Roman"/>
          <w:sz w:val="26"/>
          <w:szCs w:val="26"/>
        </w:rPr>
        <w:t>the last three years</w:t>
      </w:r>
      <w:r w:rsidR="008321D1">
        <w:rPr>
          <w:rFonts w:ascii="Times New Roman" w:hAnsi="Times New Roman"/>
          <w:sz w:val="26"/>
          <w:szCs w:val="26"/>
        </w:rPr>
        <w:t xml:space="preserve"> simply to reflect a more accurate estimation</w:t>
      </w:r>
      <w:r w:rsidR="005C236F">
        <w:rPr>
          <w:rFonts w:ascii="Times New Roman" w:hAnsi="Times New Roman"/>
          <w:sz w:val="26"/>
          <w:szCs w:val="26"/>
        </w:rPr>
        <w:t xml:space="preserve"> by Commission staff</w:t>
      </w:r>
      <w:r w:rsidR="008321D1">
        <w:rPr>
          <w:rFonts w:ascii="Times New Roman" w:hAnsi="Times New Roman"/>
          <w:sz w:val="26"/>
          <w:szCs w:val="26"/>
        </w:rPr>
        <w:t>.</w:t>
      </w:r>
    </w:p>
    <w:p w:rsidRPr="00F61A49" w:rsidR="00765CE2" w:rsidP="0034335B" w:rsidRDefault="00765CE2" w14:paraId="130089BD" w14:textId="77777777">
      <w:pPr>
        <w:widowControl/>
        <w:ind w:left="720"/>
        <w:rPr>
          <w:rFonts w:ascii="Times New Roman" w:hAnsi="Times New Roman"/>
          <w:sz w:val="26"/>
          <w:szCs w:val="26"/>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F61A49" w:rsidR="00765CE2" w:rsidTr="001B5DE2" w14:paraId="6FC1D833" w14:textId="77777777">
        <w:trPr>
          <w:trHeight w:val="870"/>
        </w:trPr>
        <w:tc>
          <w:tcPr>
            <w:tcW w:w="2589" w:type="dxa"/>
            <w:shd w:val="clear" w:color="auto" w:fill="D9D9D9"/>
            <w:vAlign w:val="bottom"/>
          </w:tcPr>
          <w:p w:rsidRPr="00F61A49" w:rsidR="00765CE2" w:rsidP="00765CE2" w:rsidRDefault="00765CE2" w14:paraId="16B0D0E9" w14:textId="77777777">
            <w:pPr>
              <w:rPr>
                <w:rFonts w:ascii="Times New Roman" w:hAnsi="Times New Roman"/>
                <w:b/>
                <w:sz w:val="26"/>
                <w:szCs w:val="26"/>
              </w:rPr>
            </w:pPr>
            <w:r w:rsidRPr="00F61A49">
              <w:rPr>
                <w:rFonts w:ascii="Times New Roman" w:hAnsi="Times New Roman"/>
                <w:b/>
                <w:sz w:val="26"/>
                <w:szCs w:val="26"/>
              </w:rPr>
              <w:t>FERC Form 73</w:t>
            </w:r>
          </w:p>
        </w:tc>
        <w:tc>
          <w:tcPr>
            <w:tcW w:w="1779" w:type="dxa"/>
            <w:shd w:val="clear" w:color="auto" w:fill="D9D9D9"/>
            <w:vAlign w:val="bottom"/>
          </w:tcPr>
          <w:p w:rsidRPr="00F61A49" w:rsidR="00765CE2" w:rsidP="001B5DE2" w:rsidRDefault="00765CE2" w14:paraId="184B256E" w14:textId="77777777">
            <w:pPr>
              <w:rPr>
                <w:rFonts w:ascii="Times New Roman" w:hAnsi="Times New Roman"/>
                <w:b/>
                <w:sz w:val="26"/>
                <w:szCs w:val="26"/>
              </w:rPr>
            </w:pPr>
            <w:r w:rsidRPr="00F61A49">
              <w:rPr>
                <w:rFonts w:ascii="Times New Roman" w:hAnsi="Times New Roman"/>
                <w:b/>
                <w:sz w:val="26"/>
                <w:szCs w:val="26"/>
              </w:rPr>
              <w:t>Total Request</w:t>
            </w:r>
          </w:p>
        </w:tc>
        <w:tc>
          <w:tcPr>
            <w:tcW w:w="1959" w:type="dxa"/>
            <w:shd w:val="clear" w:color="auto" w:fill="D9D9D9"/>
            <w:vAlign w:val="bottom"/>
          </w:tcPr>
          <w:p w:rsidRPr="00F61A49" w:rsidR="00765CE2" w:rsidP="001B5DE2" w:rsidRDefault="00765CE2" w14:paraId="15E7BBF0" w14:textId="77777777">
            <w:pPr>
              <w:rPr>
                <w:rFonts w:ascii="Times New Roman" w:hAnsi="Times New Roman"/>
                <w:b/>
                <w:sz w:val="26"/>
                <w:szCs w:val="26"/>
              </w:rPr>
            </w:pPr>
            <w:r w:rsidRPr="00F61A49">
              <w:rPr>
                <w:rFonts w:ascii="Times New Roman" w:hAnsi="Times New Roman"/>
                <w:b/>
                <w:sz w:val="26"/>
                <w:szCs w:val="26"/>
              </w:rPr>
              <w:t>Previously Approved</w:t>
            </w:r>
          </w:p>
        </w:tc>
        <w:tc>
          <w:tcPr>
            <w:tcW w:w="1683" w:type="dxa"/>
            <w:shd w:val="clear" w:color="auto" w:fill="D9D9D9"/>
            <w:vAlign w:val="bottom"/>
          </w:tcPr>
          <w:p w:rsidRPr="00F61A49" w:rsidR="00765CE2" w:rsidP="001B5DE2" w:rsidRDefault="00765CE2" w14:paraId="7621AAE5" w14:textId="77777777">
            <w:pPr>
              <w:rPr>
                <w:rFonts w:ascii="Times New Roman" w:hAnsi="Times New Roman"/>
                <w:b/>
                <w:sz w:val="26"/>
                <w:szCs w:val="26"/>
              </w:rPr>
            </w:pPr>
            <w:r w:rsidRPr="00F61A49">
              <w:rPr>
                <w:rFonts w:ascii="Times New Roman" w:hAnsi="Times New Roman"/>
                <w:b/>
                <w:sz w:val="26"/>
                <w:szCs w:val="26"/>
              </w:rPr>
              <w:t>Change due to Adjustment in Estimate</w:t>
            </w:r>
          </w:p>
        </w:tc>
        <w:tc>
          <w:tcPr>
            <w:tcW w:w="1357" w:type="dxa"/>
            <w:shd w:val="clear" w:color="auto" w:fill="D9D9D9"/>
            <w:vAlign w:val="bottom"/>
          </w:tcPr>
          <w:p w:rsidRPr="00F61A49" w:rsidR="00765CE2" w:rsidP="001B5DE2" w:rsidRDefault="00765CE2" w14:paraId="04A602B0" w14:textId="77777777">
            <w:pPr>
              <w:rPr>
                <w:rFonts w:ascii="Times New Roman" w:hAnsi="Times New Roman"/>
                <w:b/>
                <w:sz w:val="26"/>
                <w:szCs w:val="26"/>
              </w:rPr>
            </w:pPr>
            <w:r w:rsidRPr="00F61A49">
              <w:rPr>
                <w:rFonts w:ascii="Times New Roman" w:hAnsi="Times New Roman"/>
                <w:b/>
                <w:sz w:val="26"/>
                <w:szCs w:val="26"/>
              </w:rPr>
              <w:t>Change Due to Agency Discretion</w:t>
            </w:r>
          </w:p>
        </w:tc>
      </w:tr>
      <w:tr w:rsidRPr="00F61A49" w:rsidR="00765CE2" w:rsidTr="001B5DE2" w14:paraId="08F24CC9" w14:textId="77777777">
        <w:trPr>
          <w:trHeight w:val="591"/>
        </w:trPr>
        <w:tc>
          <w:tcPr>
            <w:tcW w:w="2589" w:type="dxa"/>
          </w:tcPr>
          <w:p w:rsidRPr="00F61A49" w:rsidR="00765CE2" w:rsidP="001B5DE2" w:rsidRDefault="00765CE2" w14:paraId="7A901A8E" w14:textId="77777777">
            <w:pPr>
              <w:rPr>
                <w:rFonts w:ascii="Times New Roman" w:hAnsi="Times New Roman"/>
                <w:sz w:val="26"/>
                <w:szCs w:val="26"/>
              </w:rPr>
            </w:pPr>
            <w:r w:rsidRPr="00F61A49">
              <w:rPr>
                <w:rFonts w:ascii="Times New Roman" w:hAnsi="Times New Roman"/>
                <w:sz w:val="26"/>
                <w:szCs w:val="26"/>
              </w:rPr>
              <w:t>Annual Number of Responses</w:t>
            </w:r>
          </w:p>
        </w:tc>
        <w:tc>
          <w:tcPr>
            <w:tcW w:w="1779" w:type="dxa"/>
            <w:vAlign w:val="center"/>
          </w:tcPr>
          <w:p w:rsidRPr="00F61A49" w:rsidR="00765CE2" w:rsidP="0014778A" w:rsidRDefault="00765CE2" w14:paraId="0557A782" w14:textId="77777777">
            <w:pPr>
              <w:rPr>
                <w:rFonts w:ascii="Times New Roman" w:hAnsi="Times New Roman"/>
                <w:sz w:val="26"/>
                <w:szCs w:val="26"/>
              </w:rPr>
            </w:pPr>
            <w:r w:rsidRPr="00F61A49">
              <w:rPr>
                <w:rFonts w:ascii="Times New Roman" w:hAnsi="Times New Roman"/>
                <w:sz w:val="26"/>
                <w:szCs w:val="26"/>
              </w:rPr>
              <w:t>3</w:t>
            </w:r>
            <w:r w:rsidRPr="00F61A49" w:rsidR="00976097">
              <w:rPr>
                <w:rFonts w:ascii="Times New Roman" w:hAnsi="Times New Roman"/>
                <w:sz w:val="26"/>
                <w:szCs w:val="26"/>
              </w:rPr>
              <w:t>2</w:t>
            </w:r>
          </w:p>
        </w:tc>
        <w:tc>
          <w:tcPr>
            <w:tcW w:w="1959" w:type="dxa"/>
            <w:vAlign w:val="center"/>
          </w:tcPr>
          <w:p w:rsidRPr="00F61A49" w:rsidR="00765CE2" w:rsidP="0014778A" w:rsidRDefault="00765CE2" w14:paraId="0EC1EBB0" w14:textId="77777777">
            <w:pPr>
              <w:rPr>
                <w:rFonts w:ascii="Times New Roman" w:hAnsi="Times New Roman"/>
                <w:sz w:val="26"/>
                <w:szCs w:val="26"/>
              </w:rPr>
            </w:pPr>
            <w:r w:rsidRPr="00F61A49">
              <w:rPr>
                <w:rFonts w:ascii="Times New Roman" w:hAnsi="Times New Roman"/>
                <w:sz w:val="26"/>
                <w:szCs w:val="26"/>
              </w:rPr>
              <w:t>3</w:t>
            </w:r>
          </w:p>
        </w:tc>
        <w:tc>
          <w:tcPr>
            <w:tcW w:w="1683" w:type="dxa"/>
            <w:vAlign w:val="center"/>
          </w:tcPr>
          <w:p w:rsidRPr="00F61A49" w:rsidR="00765CE2" w:rsidP="001B5DE2" w:rsidRDefault="00976097" w14:paraId="407B8106" w14:textId="77777777">
            <w:pPr>
              <w:rPr>
                <w:rFonts w:ascii="Times New Roman" w:hAnsi="Times New Roman"/>
                <w:sz w:val="26"/>
                <w:szCs w:val="26"/>
              </w:rPr>
            </w:pPr>
            <w:r w:rsidRPr="00F61A49">
              <w:rPr>
                <w:rFonts w:ascii="Times New Roman" w:hAnsi="Times New Roman"/>
                <w:sz w:val="26"/>
                <w:szCs w:val="26"/>
              </w:rPr>
              <w:t>29</w:t>
            </w:r>
          </w:p>
        </w:tc>
        <w:tc>
          <w:tcPr>
            <w:tcW w:w="1357" w:type="dxa"/>
            <w:vAlign w:val="center"/>
          </w:tcPr>
          <w:p w:rsidRPr="00F61A49" w:rsidR="00765CE2" w:rsidP="001B5DE2" w:rsidRDefault="00765CE2" w14:paraId="5D11A4F6" w14:textId="77777777">
            <w:pPr>
              <w:rPr>
                <w:rFonts w:ascii="Times New Roman" w:hAnsi="Times New Roman"/>
                <w:sz w:val="26"/>
                <w:szCs w:val="26"/>
              </w:rPr>
            </w:pPr>
            <w:r w:rsidRPr="00F61A49">
              <w:rPr>
                <w:rFonts w:ascii="Times New Roman" w:hAnsi="Times New Roman"/>
                <w:sz w:val="26"/>
                <w:szCs w:val="26"/>
              </w:rPr>
              <w:t>0</w:t>
            </w:r>
          </w:p>
        </w:tc>
      </w:tr>
      <w:tr w:rsidRPr="00F61A49" w:rsidR="00765CE2" w:rsidTr="001B5DE2" w14:paraId="3E1A9D8E" w14:textId="77777777">
        <w:trPr>
          <w:trHeight w:val="575"/>
        </w:trPr>
        <w:tc>
          <w:tcPr>
            <w:tcW w:w="2589" w:type="dxa"/>
          </w:tcPr>
          <w:p w:rsidRPr="00F61A49" w:rsidR="00765CE2" w:rsidP="001B5DE2" w:rsidRDefault="00765CE2" w14:paraId="52785F36" w14:textId="77777777">
            <w:pPr>
              <w:rPr>
                <w:rFonts w:ascii="Times New Roman" w:hAnsi="Times New Roman"/>
                <w:sz w:val="26"/>
                <w:szCs w:val="26"/>
              </w:rPr>
            </w:pPr>
            <w:r w:rsidRPr="00F61A49">
              <w:rPr>
                <w:rFonts w:ascii="Times New Roman" w:hAnsi="Times New Roman"/>
                <w:sz w:val="26"/>
                <w:szCs w:val="26"/>
              </w:rPr>
              <w:t>Annual Time Burden (Hr</w:t>
            </w:r>
            <w:r w:rsidRPr="00F61A49" w:rsidR="001B5DE2">
              <w:rPr>
                <w:rFonts w:ascii="Times New Roman" w:hAnsi="Times New Roman"/>
                <w:sz w:val="26"/>
                <w:szCs w:val="26"/>
              </w:rPr>
              <w:t>.</w:t>
            </w:r>
            <w:r w:rsidRPr="00F61A49">
              <w:rPr>
                <w:rFonts w:ascii="Times New Roman" w:hAnsi="Times New Roman"/>
                <w:sz w:val="26"/>
                <w:szCs w:val="26"/>
              </w:rPr>
              <w:t>)</w:t>
            </w:r>
          </w:p>
        </w:tc>
        <w:tc>
          <w:tcPr>
            <w:tcW w:w="1779" w:type="dxa"/>
            <w:vAlign w:val="center"/>
          </w:tcPr>
          <w:p w:rsidRPr="00F61A49" w:rsidR="00765CE2" w:rsidP="001B5DE2" w:rsidRDefault="0014778A" w14:paraId="6EE96A30" w14:textId="77777777">
            <w:pPr>
              <w:rPr>
                <w:rFonts w:ascii="Times New Roman" w:hAnsi="Times New Roman"/>
                <w:sz w:val="26"/>
                <w:szCs w:val="26"/>
              </w:rPr>
            </w:pPr>
            <w:r w:rsidRPr="00F61A49">
              <w:rPr>
                <w:rFonts w:ascii="Times New Roman" w:hAnsi="Times New Roman"/>
                <w:sz w:val="26"/>
                <w:szCs w:val="26"/>
              </w:rPr>
              <w:t>12</w:t>
            </w:r>
            <w:r w:rsidRPr="00F61A49" w:rsidR="00976097">
              <w:rPr>
                <w:rFonts w:ascii="Times New Roman" w:hAnsi="Times New Roman"/>
                <w:sz w:val="26"/>
                <w:szCs w:val="26"/>
              </w:rPr>
              <w:t>8</w:t>
            </w:r>
            <w:r w:rsidRPr="00F61A49">
              <w:rPr>
                <w:rFonts w:ascii="Times New Roman" w:hAnsi="Times New Roman"/>
                <w:sz w:val="26"/>
                <w:szCs w:val="26"/>
              </w:rPr>
              <w:t>0</w:t>
            </w:r>
          </w:p>
        </w:tc>
        <w:tc>
          <w:tcPr>
            <w:tcW w:w="1959" w:type="dxa"/>
            <w:vAlign w:val="center"/>
          </w:tcPr>
          <w:p w:rsidRPr="00F61A49" w:rsidR="00765CE2" w:rsidP="001B5DE2" w:rsidRDefault="0014778A" w14:paraId="0B9BAFE6" w14:textId="77777777">
            <w:pPr>
              <w:rPr>
                <w:rFonts w:ascii="Times New Roman" w:hAnsi="Times New Roman"/>
                <w:sz w:val="26"/>
                <w:szCs w:val="26"/>
              </w:rPr>
            </w:pPr>
            <w:r w:rsidRPr="00F61A49">
              <w:rPr>
                <w:rFonts w:ascii="Times New Roman" w:hAnsi="Times New Roman"/>
                <w:sz w:val="26"/>
                <w:szCs w:val="26"/>
              </w:rPr>
              <w:t>120</w:t>
            </w:r>
          </w:p>
        </w:tc>
        <w:tc>
          <w:tcPr>
            <w:tcW w:w="1683" w:type="dxa"/>
            <w:vAlign w:val="center"/>
          </w:tcPr>
          <w:p w:rsidRPr="00F61A49" w:rsidR="00765CE2" w:rsidP="001B5DE2" w:rsidRDefault="00976097" w14:paraId="6EB7B2CA" w14:textId="77777777">
            <w:pPr>
              <w:rPr>
                <w:rFonts w:ascii="Times New Roman" w:hAnsi="Times New Roman"/>
                <w:sz w:val="26"/>
                <w:szCs w:val="26"/>
              </w:rPr>
            </w:pPr>
            <w:r w:rsidRPr="00F61A49">
              <w:rPr>
                <w:rFonts w:ascii="Times New Roman" w:hAnsi="Times New Roman"/>
                <w:sz w:val="26"/>
                <w:szCs w:val="26"/>
              </w:rPr>
              <w:t>1160</w:t>
            </w:r>
          </w:p>
        </w:tc>
        <w:tc>
          <w:tcPr>
            <w:tcW w:w="1357" w:type="dxa"/>
            <w:vAlign w:val="center"/>
          </w:tcPr>
          <w:p w:rsidRPr="00F61A49" w:rsidR="00765CE2" w:rsidP="001B5DE2" w:rsidRDefault="00765CE2" w14:paraId="1852DDFB" w14:textId="77777777">
            <w:pPr>
              <w:rPr>
                <w:rFonts w:ascii="Times New Roman" w:hAnsi="Times New Roman"/>
                <w:sz w:val="26"/>
                <w:szCs w:val="26"/>
              </w:rPr>
            </w:pPr>
            <w:r w:rsidRPr="00F61A49">
              <w:rPr>
                <w:rFonts w:ascii="Times New Roman" w:hAnsi="Times New Roman"/>
                <w:sz w:val="26"/>
                <w:szCs w:val="26"/>
              </w:rPr>
              <w:t>0</w:t>
            </w:r>
          </w:p>
        </w:tc>
      </w:tr>
      <w:tr w:rsidRPr="00F61A49" w:rsidR="00765CE2" w:rsidTr="001B5DE2" w14:paraId="5A4961C8" w14:textId="77777777">
        <w:trPr>
          <w:trHeight w:val="295"/>
        </w:trPr>
        <w:tc>
          <w:tcPr>
            <w:tcW w:w="2589" w:type="dxa"/>
          </w:tcPr>
          <w:p w:rsidRPr="00F61A49" w:rsidR="00765CE2" w:rsidP="001B5DE2" w:rsidRDefault="00765CE2" w14:paraId="1E1B3358" w14:textId="77777777">
            <w:pPr>
              <w:rPr>
                <w:rFonts w:ascii="Times New Roman" w:hAnsi="Times New Roman"/>
                <w:sz w:val="26"/>
                <w:szCs w:val="26"/>
              </w:rPr>
            </w:pPr>
            <w:r w:rsidRPr="00F61A49">
              <w:rPr>
                <w:rFonts w:ascii="Times New Roman" w:hAnsi="Times New Roman"/>
                <w:sz w:val="26"/>
                <w:szCs w:val="26"/>
              </w:rPr>
              <w:t>Annual Cost Burden ($)</w:t>
            </w:r>
          </w:p>
        </w:tc>
        <w:tc>
          <w:tcPr>
            <w:tcW w:w="1779" w:type="dxa"/>
            <w:vAlign w:val="center"/>
          </w:tcPr>
          <w:p w:rsidRPr="00F61A49" w:rsidR="00765CE2" w:rsidP="001B5DE2" w:rsidRDefault="00765CE2" w14:paraId="148D79E2" w14:textId="77777777">
            <w:pPr>
              <w:rPr>
                <w:rFonts w:ascii="Times New Roman" w:hAnsi="Times New Roman"/>
                <w:sz w:val="26"/>
                <w:szCs w:val="26"/>
              </w:rPr>
            </w:pPr>
            <w:r w:rsidRPr="00F61A49">
              <w:rPr>
                <w:rFonts w:ascii="Times New Roman" w:hAnsi="Times New Roman"/>
                <w:sz w:val="26"/>
                <w:szCs w:val="26"/>
              </w:rPr>
              <w:t>0</w:t>
            </w:r>
          </w:p>
        </w:tc>
        <w:tc>
          <w:tcPr>
            <w:tcW w:w="1959" w:type="dxa"/>
            <w:vAlign w:val="center"/>
          </w:tcPr>
          <w:p w:rsidRPr="00F61A49" w:rsidR="00765CE2" w:rsidP="001B5DE2" w:rsidRDefault="00765CE2" w14:paraId="12898E73" w14:textId="77777777">
            <w:pPr>
              <w:rPr>
                <w:rFonts w:ascii="Times New Roman" w:hAnsi="Times New Roman"/>
                <w:sz w:val="26"/>
                <w:szCs w:val="26"/>
              </w:rPr>
            </w:pPr>
            <w:r w:rsidRPr="00F61A49">
              <w:rPr>
                <w:rFonts w:ascii="Times New Roman" w:hAnsi="Times New Roman"/>
                <w:sz w:val="26"/>
                <w:szCs w:val="26"/>
              </w:rPr>
              <w:t>0</w:t>
            </w:r>
          </w:p>
        </w:tc>
        <w:tc>
          <w:tcPr>
            <w:tcW w:w="1683" w:type="dxa"/>
            <w:vAlign w:val="center"/>
          </w:tcPr>
          <w:p w:rsidRPr="00F61A49" w:rsidR="00765CE2" w:rsidP="001B5DE2" w:rsidRDefault="00765CE2" w14:paraId="422A7FDC" w14:textId="77777777">
            <w:pPr>
              <w:rPr>
                <w:rFonts w:ascii="Times New Roman" w:hAnsi="Times New Roman"/>
                <w:sz w:val="26"/>
                <w:szCs w:val="26"/>
              </w:rPr>
            </w:pPr>
            <w:r w:rsidRPr="00F61A49">
              <w:rPr>
                <w:rFonts w:ascii="Times New Roman" w:hAnsi="Times New Roman"/>
                <w:sz w:val="26"/>
                <w:szCs w:val="26"/>
              </w:rPr>
              <w:t>0</w:t>
            </w:r>
          </w:p>
        </w:tc>
        <w:tc>
          <w:tcPr>
            <w:tcW w:w="1357" w:type="dxa"/>
            <w:vAlign w:val="center"/>
          </w:tcPr>
          <w:p w:rsidRPr="00F61A49" w:rsidR="00765CE2" w:rsidP="001B5DE2" w:rsidRDefault="00765CE2" w14:paraId="7377E998" w14:textId="77777777">
            <w:pPr>
              <w:rPr>
                <w:rFonts w:ascii="Times New Roman" w:hAnsi="Times New Roman"/>
                <w:sz w:val="26"/>
                <w:szCs w:val="26"/>
              </w:rPr>
            </w:pPr>
            <w:r w:rsidRPr="00F61A49">
              <w:rPr>
                <w:rFonts w:ascii="Times New Roman" w:hAnsi="Times New Roman"/>
                <w:sz w:val="26"/>
                <w:szCs w:val="26"/>
              </w:rPr>
              <w:t>0</w:t>
            </w:r>
          </w:p>
        </w:tc>
      </w:tr>
    </w:tbl>
    <w:p w:rsidRPr="00F61A49" w:rsidR="00765CE2" w:rsidP="0034335B" w:rsidRDefault="00765CE2" w14:paraId="4C390F58" w14:textId="77777777">
      <w:pPr>
        <w:widowControl/>
        <w:ind w:left="720"/>
        <w:rPr>
          <w:rFonts w:ascii="Times New Roman" w:hAnsi="Times New Roman"/>
          <w:sz w:val="26"/>
          <w:szCs w:val="26"/>
        </w:rPr>
      </w:pPr>
    </w:p>
    <w:p w:rsidRPr="00F61A49" w:rsidR="0034335B" w:rsidP="0034335B" w:rsidRDefault="0034335B" w14:paraId="440E8D11" w14:textId="77777777">
      <w:pPr>
        <w:widowControl/>
        <w:rPr>
          <w:rFonts w:ascii="Times New Roman" w:hAnsi="Times New Roman"/>
          <w:sz w:val="26"/>
          <w:szCs w:val="26"/>
        </w:rPr>
      </w:pPr>
    </w:p>
    <w:p w:rsidRPr="00F61A49" w:rsidR="0034335B" w:rsidP="0034335B" w:rsidRDefault="0034335B" w14:paraId="7D46A6CE" w14:textId="77777777">
      <w:pPr>
        <w:widowControl/>
        <w:rPr>
          <w:rFonts w:ascii="Times New Roman" w:hAnsi="Times New Roman"/>
          <w:b/>
          <w:sz w:val="26"/>
          <w:szCs w:val="26"/>
        </w:rPr>
      </w:pPr>
      <w:r w:rsidRPr="00F61A49">
        <w:rPr>
          <w:rFonts w:ascii="Times New Roman" w:hAnsi="Times New Roman"/>
          <w:sz w:val="26"/>
          <w:szCs w:val="26"/>
        </w:rPr>
        <w:t>16.</w:t>
      </w:r>
      <w:r w:rsidRPr="00F61A49">
        <w:rPr>
          <w:rFonts w:ascii="Times New Roman" w:hAnsi="Times New Roman"/>
          <w:sz w:val="26"/>
          <w:szCs w:val="26"/>
        </w:rPr>
        <w:tab/>
      </w:r>
      <w:r w:rsidRPr="00F61A49">
        <w:rPr>
          <w:rFonts w:ascii="Times New Roman" w:hAnsi="Times New Roman"/>
          <w:b/>
          <w:sz w:val="26"/>
          <w:szCs w:val="26"/>
        </w:rPr>
        <w:t xml:space="preserve">TIME SCHEDULE FOR INFORMATION COLLECTION AND </w:t>
      </w:r>
      <w:r w:rsidRPr="00F61A49">
        <w:rPr>
          <w:rFonts w:ascii="Times New Roman" w:hAnsi="Times New Roman"/>
          <w:b/>
          <w:sz w:val="26"/>
          <w:szCs w:val="26"/>
        </w:rPr>
        <w:tab/>
      </w:r>
      <w:r w:rsidRPr="00F61A49">
        <w:rPr>
          <w:rFonts w:ascii="Times New Roman" w:hAnsi="Times New Roman"/>
          <w:b/>
          <w:sz w:val="26"/>
          <w:szCs w:val="26"/>
        </w:rPr>
        <w:tab/>
      </w:r>
      <w:r w:rsidRPr="00F61A49">
        <w:rPr>
          <w:rFonts w:ascii="Times New Roman" w:hAnsi="Times New Roman"/>
          <w:b/>
          <w:sz w:val="26"/>
          <w:szCs w:val="26"/>
        </w:rPr>
        <w:tab/>
        <w:t>PUBLICATION</w:t>
      </w:r>
    </w:p>
    <w:p w:rsidRPr="00F61A49" w:rsidR="00765CE2" w:rsidP="0034335B" w:rsidRDefault="00765CE2" w14:paraId="1A7A20AD" w14:textId="77777777">
      <w:pPr>
        <w:widowControl/>
        <w:rPr>
          <w:rFonts w:ascii="Times New Roman" w:hAnsi="Times New Roman"/>
          <w:b/>
          <w:sz w:val="26"/>
          <w:szCs w:val="26"/>
        </w:rPr>
      </w:pPr>
    </w:p>
    <w:p w:rsidRPr="00F61A49" w:rsidR="0034335B" w:rsidP="00FD18F6" w:rsidRDefault="00986C70" w14:paraId="5A445FCB" w14:textId="77777777">
      <w:pPr>
        <w:widowControl/>
        <w:ind w:left="720"/>
        <w:rPr>
          <w:rFonts w:ascii="Times New Roman" w:hAnsi="Times New Roman"/>
          <w:sz w:val="26"/>
          <w:szCs w:val="26"/>
        </w:rPr>
      </w:pPr>
      <w:r w:rsidRPr="00F61A49">
        <w:rPr>
          <w:rFonts w:ascii="Times New Roman" w:hAnsi="Times New Roman"/>
          <w:sz w:val="26"/>
          <w:szCs w:val="26"/>
        </w:rPr>
        <w:t xml:space="preserve">There </w:t>
      </w:r>
      <w:r w:rsidRPr="00F61A49" w:rsidR="00D053DC">
        <w:rPr>
          <w:rFonts w:ascii="Times New Roman" w:hAnsi="Times New Roman"/>
          <w:sz w:val="26"/>
          <w:szCs w:val="26"/>
        </w:rPr>
        <w:t xml:space="preserve">are </w:t>
      </w:r>
      <w:r w:rsidRPr="00F61A49">
        <w:rPr>
          <w:rFonts w:ascii="Times New Roman" w:hAnsi="Times New Roman"/>
          <w:sz w:val="26"/>
          <w:szCs w:val="26"/>
        </w:rPr>
        <w:t>no</w:t>
      </w:r>
      <w:r w:rsidRPr="00F61A49" w:rsidR="0001487E">
        <w:rPr>
          <w:rFonts w:ascii="Times New Roman" w:hAnsi="Times New Roman"/>
          <w:sz w:val="26"/>
          <w:szCs w:val="26"/>
        </w:rPr>
        <w:t xml:space="preserve"> plans for</w:t>
      </w:r>
      <w:r w:rsidRPr="00F61A49">
        <w:rPr>
          <w:rFonts w:ascii="Times New Roman" w:hAnsi="Times New Roman"/>
          <w:sz w:val="26"/>
          <w:szCs w:val="26"/>
        </w:rPr>
        <w:t xml:space="preserve"> publication of </w:t>
      </w:r>
      <w:r w:rsidRPr="00F61A49" w:rsidR="0001487E">
        <w:rPr>
          <w:rFonts w:ascii="Times New Roman" w:hAnsi="Times New Roman"/>
          <w:sz w:val="26"/>
          <w:szCs w:val="26"/>
        </w:rPr>
        <w:t>the information collection.  The data are used for regulatory purposes.</w:t>
      </w:r>
    </w:p>
    <w:p w:rsidRPr="00F61A49" w:rsidR="0034335B" w:rsidP="0034335B" w:rsidRDefault="0034335B" w14:paraId="0C1BCB83" w14:textId="77777777">
      <w:pPr>
        <w:widowControl/>
        <w:tabs>
          <w:tab w:val="left" w:pos="-1440"/>
        </w:tabs>
        <w:ind w:left="1440" w:hanging="720"/>
        <w:rPr>
          <w:rFonts w:ascii="Times New Roman" w:hAnsi="Times New Roman"/>
          <w:sz w:val="26"/>
          <w:szCs w:val="26"/>
        </w:rPr>
      </w:pPr>
    </w:p>
    <w:p w:rsidRPr="00F61A49" w:rsidR="0034335B" w:rsidP="0034335B" w:rsidRDefault="0034335B" w14:paraId="215B0F1F" w14:textId="77777777">
      <w:pPr>
        <w:widowControl/>
        <w:rPr>
          <w:rFonts w:ascii="Times New Roman" w:hAnsi="Times New Roman"/>
          <w:sz w:val="26"/>
          <w:szCs w:val="26"/>
        </w:rPr>
      </w:pPr>
      <w:r w:rsidRPr="00F61A49">
        <w:rPr>
          <w:rFonts w:ascii="Times New Roman" w:hAnsi="Times New Roman"/>
          <w:sz w:val="26"/>
          <w:szCs w:val="26"/>
        </w:rPr>
        <w:t>17.</w:t>
      </w:r>
      <w:r w:rsidRPr="00F61A49">
        <w:rPr>
          <w:rFonts w:ascii="Times New Roman" w:hAnsi="Times New Roman"/>
          <w:sz w:val="26"/>
          <w:szCs w:val="26"/>
        </w:rPr>
        <w:tab/>
      </w:r>
      <w:r w:rsidRPr="00F61A49">
        <w:rPr>
          <w:rFonts w:ascii="Times New Roman" w:hAnsi="Times New Roman"/>
          <w:b/>
          <w:sz w:val="26"/>
          <w:szCs w:val="26"/>
        </w:rPr>
        <w:t>DISPLAY OF EXPIRATION DATE</w:t>
      </w:r>
      <w:r w:rsidRPr="00F61A49">
        <w:rPr>
          <w:rFonts w:ascii="Times New Roman" w:hAnsi="Times New Roman"/>
          <w:sz w:val="26"/>
          <w:szCs w:val="26"/>
        </w:rPr>
        <w:t xml:space="preserve"> </w:t>
      </w:r>
      <w:r w:rsidRPr="00F61A49">
        <w:rPr>
          <w:rFonts w:ascii="Times New Roman" w:hAnsi="Times New Roman"/>
          <w:sz w:val="26"/>
          <w:szCs w:val="26"/>
        </w:rPr>
        <w:tab/>
      </w:r>
    </w:p>
    <w:p w:rsidRPr="00F61A49" w:rsidR="0034335B" w:rsidP="0034335B" w:rsidRDefault="0034335B" w14:paraId="3D5FEA62" w14:textId="77777777">
      <w:pPr>
        <w:widowControl/>
        <w:rPr>
          <w:rFonts w:ascii="Times New Roman" w:hAnsi="Times New Roman"/>
          <w:sz w:val="26"/>
          <w:szCs w:val="26"/>
        </w:rPr>
      </w:pPr>
    </w:p>
    <w:p w:rsidRPr="00F61A49" w:rsidR="00A62187" w:rsidP="00A62187" w:rsidRDefault="00A62187" w14:paraId="23AF8E71" w14:textId="77777777">
      <w:pPr>
        <w:widowControl/>
        <w:autoSpaceDE/>
        <w:autoSpaceDN/>
        <w:adjustRightInd/>
        <w:ind w:left="720"/>
        <w:rPr>
          <w:rFonts w:ascii="Times New Roman" w:hAnsi="Times New Roman" w:eastAsiaTheme="minorHAnsi"/>
          <w:sz w:val="26"/>
          <w:szCs w:val="26"/>
        </w:rPr>
      </w:pPr>
      <w:r w:rsidRPr="00F61A49">
        <w:rPr>
          <w:rFonts w:ascii="Times New Roman" w:hAnsi="Times New Roman" w:eastAsiaTheme="minorHAnsi"/>
          <w:sz w:val="26"/>
          <w:szCs w:val="26"/>
        </w:rPr>
        <w:t xml:space="preserve">The </w:t>
      </w:r>
      <w:r w:rsidRPr="00F61A49" w:rsidR="0001487E">
        <w:rPr>
          <w:rFonts w:ascii="Times New Roman" w:hAnsi="Times New Roman" w:eastAsiaTheme="minorHAnsi"/>
          <w:sz w:val="26"/>
          <w:szCs w:val="26"/>
        </w:rPr>
        <w:t xml:space="preserve">PRA information (including expiration date and OMB Control No.) is available on </w:t>
      </w:r>
      <w:hyperlink w:history="1" r:id="rId13">
        <w:r w:rsidRPr="00F61A49" w:rsidR="0001487E">
          <w:rPr>
            <w:rStyle w:val="Hyperlink"/>
            <w:rFonts w:ascii="Times New Roman" w:hAnsi="Times New Roman" w:eastAsiaTheme="minorHAnsi"/>
            <w:sz w:val="26"/>
            <w:szCs w:val="26"/>
          </w:rPr>
          <w:t>www.ferc.gov</w:t>
        </w:r>
      </w:hyperlink>
      <w:r w:rsidRPr="00F61A49" w:rsidR="0001487E">
        <w:rPr>
          <w:rFonts w:ascii="Times New Roman" w:hAnsi="Times New Roman" w:eastAsiaTheme="minorHAnsi"/>
          <w:sz w:val="26"/>
          <w:szCs w:val="26"/>
        </w:rPr>
        <w:t xml:space="preserve"> at </w:t>
      </w:r>
      <w:hyperlink w:history="1" r:id="rId14">
        <w:r w:rsidRPr="00F61A49">
          <w:rPr>
            <w:rStyle w:val="Hyperlink"/>
            <w:rFonts w:ascii="Times New Roman" w:hAnsi="Times New Roman" w:eastAsiaTheme="minorHAnsi"/>
            <w:sz w:val="26"/>
            <w:szCs w:val="26"/>
          </w:rPr>
          <w:t>http://www.ferc.gov/docs-filing/info-collections.asp</w:t>
        </w:r>
      </w:hyperlink>
      <w:r w:rsidRPr="00F61A49">
        <w:rPr>
          <w:rFonts w:ascii="Times New Roman" w:hAnsi="Times New Roman" w:eastAsiaTheme="minorHAnsi"/>
          <w:sz w:val="26"/>
          <w:szCs w:val="26"/>
        </w:rPr>
        <w:t xml:space="preserve">. </w:t>
      </w:r>
    </w:p>
    <w:p w:rsidRPr="00F61A49" w:rsidR="0034335B" w:rsidP="0034335B" w:rsidRDefault="0034335B" w14:paraId="20F83A8D" w14:textId="77777777">
      <w:pPr>
        <w:widowControl/>
        <w:ind w:firstLine="720"/>
        <w:rPr>
          <w:rFonts w:ascii="Times New Roman" w:hAnsi="Times New Roman"/>
          <w:sz w:val="26"/>
          <w:szCs w:val="26"/>
        </w:rPr>
      </w:pPr>
    </w:p>
    <w:p w:rsidRPr="00F61A49" w:rsidR="0034335B" w:rsidP="0034335B" w:rsidRDefault="0034335B" w14:paraId="6DEB0138" w14:textId="77777777">
      <w:pPr>
        <w:widowControl/>
        <w:rPr>
          <w:rFonts w:ascii="Times New Roman" w:hAnsi="Times New Roman"/>
          <w:sz w:val="26"/>
          <w:szCs w:val="26"/>
        </w:rPr>
      </w:pPr>
      <w:r w:rsidRPr="00F61A49">
        <w:rPr>
          <w:rFonts w:ascii="Times New Roman" w:hAnsi="Times New Roman"/>
          <w:sz w:val="26"/>
          <w:szCs w:val="26"/>
        </w:rPr>
        <w:t>18.</w:t>
      </w:r>
      <w:r w:rsidRPr="00F61A49">
        <w:rPr>
          <w:rFonts w:ascii="Times New Roman" w:hAnsi="Times New Roman"/>
          <w:sz w:val="26"/>
          <w:szCs w:val="26"/>
        </w:rPr>
        <w:tab/>
      </w:r>
      <w:r w:rsidRPr="00F61A49">
        <w:rPr>
          <w:rFonts w:ascii="Times New Roman" w:hAnsi="Times New Roman"/>
          <w:b/>
          <w:sz w:val="26"/>
          <w:szCs w:val="26"/>
        </w:rPr>
        <w:t>EXCEPTIONS TO THE CERTIFICATION STATEMENT</w:t>
      </w:r>
      <w:r w:rsidRPr="00F61A49">
        <w:rPr>
          <w:rFonts w:ascii="Times New Roman" w:hAnsi="Times New Roman"/>
          <w:sz w:val="26"/>
          <w:szCs w:val="26"/>
        </w:rPr>
        <w:t xml:space="preserve"> </w:t>
      </w:r>
    </w:p>
    <w:p w:rsidRPr="00F61A49" w:rsidR="0034335B" w:rsidP="0034335B" w:rsidRDefault="0034335B" w14:paraId="6B9AC4EA" w14:textId="77777777">
      <w:pPr>
        <w:widowControl/>
        <w:rPr>
          <w:rFonts w:ascii="Times New Roman" w:hAnsi="Times New Roman"/>
          <w:sz w:val="26"/>
          <w:szCs w:val="26"/>
        </w:rPr>
      </w:pPr>
    </w:p>
    <w:p w:rsidRPr="00F61A49" w:rsidR="0034335B" w:rsidP="0034335B" w:rsidRDefault="00A62187" w14:paraId="2B8143B7" w14:textId="77777777">
      <w:pPr>
        <w:widowControl/>
        <w:ind w:left="720" w:hanging="720"/>
        <w:rPr>
          <w:rFonts w:ascii="Times New Roman" w:hAnsi="Times New Roman"/>
          <w:sz w:val="26"/>
          <w:szCs w:val="26"/>
        </w:rPr>
      </w:pPr>
      <w:r w:rsidRPr="00F61A49">
        <w:rPr>
          <w:rFonts w:ascii="Times New Roman" w:hAnsi="Times New Roman"/>
          <w:sz w:val="26"/>
          <w:szCs w:val="26"/>
        </w:rPr>
        <w:tab/>
        <w:t>There are no exceptions.</w:t>
      </w:r>
    </w:p>
    <w:p w:rsidRPr="00F61A49" w:rsidR="0034335B" w:rsidP="0034335B" w:rsidRDefault="0034335B" w14:paraId="190F7CF4" w14:textId="77777777">
      <w:pPr>
        <w:widowControl/>
        <w:rPr>
          <w:rFonts w:ascii="Times New Roman" w:hAnsi="Times New Roman"/>
          <w:sz w:val="26"/>
          <w:szCs w:val="26"/>
        </w:rPr>
      </w:pPr>
    </w:p>
    <w:p w:rsidRPr="00F61A49" w:rsidR="001B5DE2" w:rsidRDefault="001B5DE2" w14:paraId="02395C55" w14:textId="77777777">
      <w:pPr>
        <w:rPr>
          <w:rFonts w:ascii="Times New Roman" w:hAnsi="Times New Roman"/>
          <w:sz w:val="26"/>
          <w:szCs w:val="26"/>
        </w:rPr>
      </w:pPr>
    </w:p>
    <w:sectPr w:rsidRPr="00F61A49" w:rsidR="001B5DE2" w:rsidSect="0034335B">
      <w:headerReference w:type="default" r:id="rId15"/>
      <w:pgSz w:w="12240" w:h="15840" w:code="1"/>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E90F3" w14:textId="77777777" w:rsidR="00EF395E" w:rsidRDefault="00EF395E" w:rsidP="0034335B">
      <w:r>
        <w:separator/>
      </w:r>
    </w:p>
  </w:endnote>
  <w:endnote w:type="continuationSeparator" w:id="0">
    <w:p w14:paraId="143E868D" w14:textId="77777777" w:rsidR="00EF395E" w:rsidRDefault="00EF395E" w:rsidP="0034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43A8C" w14:textId="77777777" w:rsidR="00EF395E" w:rsidRDefault="00EF395E" w:rsidP="0034335B">
      <w:r>
        <w:separator/>
      </w:r>
    </w:p>
  </w:footnote>
  <w:footnote w:type="continuationSeparator" w:id="0">
    <w:p w14:paraId="5454485E" w14:textId="77777777" w:rsidR="00EF395E" w:rsidRDefault="00EF395E" w:rsidP="0034335B">
      <w:r>
        <w:continuationSeparator/>
      </w:r>
    </w:p>
  </w:footnote>
  <w:footnote w:id="1">
    <w:p w14:paraId="03AE38B2" w14:textId="4DAC0CA2" w:rsidR="002433D0" w:rsidRPr="00E27A27" w:rsidRDefault="002433D0" w:rsidP="002433D0">
      <w:pPr>
        <w:widowControl/>
        <w:ind w:left="720" w:firstLine="720"/>
        <w:rPr>
          <w:rFonts w:ascii="Times New Roman" w:hAnsi="Times New Roman"/>
        </w:rPr>
      </w:pPr>
      <w:r w:rsidRPr="00CD425C">
        <w:rPr>
          <w:rStyle w:val="FootnoteReference"/>
          <w:rFonts w:ascii="Times New Roman" w:hAnsi="Times New Roman"/>
          <w:sz w:val="26"/>
          <w:szCs w:val="26"/>
          <w:vertAlign w:val="superscript"/>
        </w:rPr>
        <w:footnoteRef/>
      </w:r>
      <w:r w:rsidRPr="00CD425C">
        <w:rPr>
          <w:rFonts w:ascii="Times New Roman" w:hAnsi="Times New Roman"/>
          <w:sz w:val="26"/>
          <w:szCs w:val="26"/>
        </w:rPr>
        <w:t xml:space="preserve"> </w:t>
      </w:r>
      <w:r w:rsidRPr="00CD425C">
        <w:rPr>
          <w:rFonts w:ascii="Times New Roman" w:hAnsi="Times New Roman"/>
          <w:sz w:val="26"/>
          <w:szCs w:val="26"/>
          <w:u w:val="single"/>
        </w:rPr>
        <w:t>To Revise, Codify and Enact Without Substantive Change Certain General and Permanent Laws, Related to Transportation, as Subtitles II, III, and V-X of Title 49, U.S.C., “Transportation”, and to Make Other Technical Improvements in the Code,</w:t>
      </w:r>
      <w:r w:rsidRPr="00CD425C">
        <w:rPr>
          <w:rFonts w:ascii="Times New Roman" w:hAnsi="Times New Roman"/>
          <w:sz w:val="26"/>
          <w:szCs w:val="26"/>
        </w:rPr>
        <w:t xml:space="preserve"> 49 U.S.C. Sec. 60502 (July 5, 1994). This Act repealed Department of Energy Act Sections 306 and 402 under which the Interstate Commerce Commission transferred to, and vested, in the Commission all functions and authority over rates or charges for the transportation of oil by pipeline including the establishment of valuations of any such pipeline, Pub. L. 95-91 (Aug. 4, 1977)</w:t>
      </w:r>
      <w:r w:rsidRPr="00CD425C">
        <w:rPr>
          <w:rFonts w:ascii="Times New Roman" w:hAnsi="Times New Roman"/>
          <w:sz w:val="25"/>
          <w:szCs w:val="25"/>
        </w:rPr>
        <w:t>.</w:t>
      </w:r>
    </w:p>
  </w:footnote>
  <w:footnote w:id="2">
    <w:p w14:paraId="277096F7" w14:textId="77777777" w:rsidR="009C74D3" w:rsidRPr="00E27A27" w:rsidRDefault="009C74D3" w:rsidP="009C74D3">
      <w:pPr>
        <w:pStyle w:val="FootnoteText"/>
        <w:ind w:left="720" w:firstLine="720"/>
        <w:rPr>
          <w:rFonts w:ascii="Times New Roman" w:hAnsi="Times New Roman"/>
        </w:rPr>
      </w:pPr>
    </w:p>
    <w:p w14:paraId="255C3C8D" w14:textId="77777777" w:rsidR="009C74D3" w:rsidRPr="00CD425C" w:rsidRDefault="009C74D3" w:rsidP="009C74D3">
      <w:pPr>
        <w:pStyle w:val="FootnoteText"/>
        <w:ind w:left="720" w:firstLine="720"/>
        <w:rPr>
          <w:rFonts w:ascii="Times New Roman" w:hAnsi="Times New Roman"/>
          <w:sz w:val="26"/>
        </w:rPr>
      </w:pPr>
      <w:r w:rsidRPr="00CD425C">
        <w:rPr>
          <w:rStyle w:val="FootnoteReference"/>
          <w:rFonts w:ascii="Times New Roman" w:hAnsi="Times New Roman"/>
          <w:sz w:val="26"/>
          <w:szCs w:val="26"/>
          <w:vertAlign w:val="superscript"/>
        </w:rPr>
        <w:footnoteRef/>
      </w:r>
      <w:r w:rsidRPr="00E27A27">
        <w:rPr>
          <w:rFonts w:ascii="Times New Roman" w:hAnsi="Times New Roman"/>
          <w:vertAlign w:val="superscript"/>
        </w:rPr>
        <w:t xml:space="preserve"> </w:t>
      </w:r>
      <w:r w:rsidRPr="00CD425C">
        <w:rPr>
          <w:rFonts w:ascii="Times New Roman" w:hAnsi="Times New Roman"/>
          <w:sz w:val="26"/>
          <w:u w:val="single"/>
        </w:rPr>
        <w:t>Revisions to Oil Pipeline Regulations Pursuant to the Energy Policy Act of 1992</w:t>
      </w:r>
      <w:r w:rsidRPr="00CD425C">
        <w:rPr>
          <w:rFonts w:ascii="Times New Roman" w:hAnsi="Times New Roman"/>
          <w:sz w:val="26"/>
        </w:rPr>
        <w:t xml:space="preserve">, (Oct. 22, 1993), FERC Stats &amp; Regs ¶ 30,985 (1991-1996), </w:t>
      </w:r>
      <w:r w:rsidRPr="00CD425C">
        <w:rPr>
          <w:rFonts w:ascii="Times New Roman" w:hAnsi="Times New Roman"/>
          <w:sz w:val="26"/>
          <w:u w:val="single"/>
        </w:rPr>
        <w:t>order on reh’g</w:t>
      </w:r>
      <w:r w:rsidRPr="00CD425C">
        <w:rPr>
          <w:rFonts w:ascii="Times New Roman" w:hAnsi="Times New Roman"/>
          <w:sz w:val="26"/>
        </w:rPr>
        <w:t xml:space="preserve">; Order No. 561-A, (July 28, 1994), FERC Stats &amp; Regs ¶ 31,000 (1991-1996).  </w:t>
      </w:r>
    </w:p>
  </w:footnote>
  <w:footnote w:id="3">
    <w:p w14:paraId="5E8BB740" w14:textId="77777777" w:rsidR="009C74D3" w:rsidRPr="00E27A27" w:rsidRDefault="009C74D3" w:rsidP="009C74D3">
      <w:pPr>
        <w:pStyle w:val="FootnoteText"/>
        <w:ind w:left="720" w:firstLine="720"/>
        <w:rPr>
          <w:rFonts w:ascii="Times New Roman" w:hAnsi="Times New Roman"/>
        </w:rPr>
      </w:pPr>
    </w:p>
    <w:p w14:paraId="3101FDC6" w14:textId="77777777" w:rsidR="009C74D3" w:rsidRPr="00E27A27" w:rsidRDefault="009C74D3" w:rsidP="009C74D3">
      <w:pPr>
        <w:pStyle w:val="FootnoteText"/>
        <w:ind w:left="720" w:firstLine="720"/>
        <w:rPr>
          <w:rFonts w:ascii="Times New Roman" w:hAnsi="Times New Roman"/>
        </w:rPr>
      </w:pPr>
      <w:r w:rsidRPr="00CD425C">
        <w:rPr>
          <w:rFonts w:ascii="Times New Roman" w:hAnsi="Times New Roman"/>
          <w:sz w:val="26"/>
          <w:szCs w:val="26"/>
          <w:vertAlign w:val="superscript"/>
        </w:rPr>
        <w:t>3</w:t>
      </w:r>
      <w:r w:rsidRPr="00E27A27">
        <w:rPr>
          <w:rFonts w:ascii="Times New Roman" w:hAnsi="Times New Roman"/>
        </w:rPr>
        <w:t xml:space="preserve"> </w:t>
      </w:r>
      <w:r w:rsidRPr="00CD425C">
        <w:rPr>
          <w:rFonts w:ascii="Times New Roman" w:hAnsi="Times New Roman"/>
          <w:sz w:val="26"/>
          <w:u w:val="single"/>
        </w:rPr>
        <w:t>Cost-of-Service Reporting and Filing Requirements for Oil Pipelines,</w:t>
      </w:r>
      <w:r w:rsidRPr="00CD425C">
        <w:rPr>
          <w:rFonts w:ascii="Times New Roman" w:hAnsi="Times New Roman"/>
          <w:sz w:val="26"/>
        </w:rPr>
        <w:t xml:space="preserve"> FERC Stats. &amp; Regs. ¶ 31,006 (1994); </w:t>
      </w:r>
      <w:r w:rsidRPr="00CD425C">
        <w:rPr>
          <w:rFonts w:ascii="Times New Roman" w:hAnsi="Times New Roman"/>
          <w:sz w:val="26"/>
          <w:u w:val="single"/>
        </w:rPr>
        <w:t>order on reh’g</w:t>
      </w:r>
      <w:r w:rsidRPr="002C311B">
        <w:rPr>
          <w:rFonts w:ascii="Times New Roman" w:hAnsi="Times New Roman"/>
          <w:sz w:val="26"/>
        </w:rPr>
        <w:t xml:space="preserve">, RM94-2-00; Order No. 571-A, RM94-2-001, </w:t>
      </w:r>
      <w:r w:rsidRPr="00FD18F6">
        <w:rPr>
          <w:rFonts w:ascii="Times New Roman" w:hAnsi="Times New Roman"/>
          <w:sz w:val="26"/>
          <w:u w:val="single"/>
        </w:rPr>
        <w:t>O</w:t>
      </w:r>
      <w:r w:rsidRPr="002C311B">
        <w:rPr>
          <w:rFonts w:ascii="Times New Roman" w:hAnsi="Times New Roman"/>
          <w:sz w:val="26"/>
          <w:u w:val="single"/>
        </w:rPr>
        <w:t>rder on reh’g and clarification</w:t>
      </w:r>
      <w:r w:rsidRPr="002C311B">
        <w:rPr>
          <w:rFonts w:ascii="Times New Roman" w:hAnsi="Times New Roman"/>
          <w:sz w:val="26"/>
        </w:rPr>
        <w:t>, (Dec. 28, 1994), FERC Stats. &amp; Regs. ¶ 31,012 (1994).</w:t>
      </w:r>
    </w:p>
  </w:footnote>
  <w:footnote w:id="4">
    <w:p w14:paraId="34716182" w14:textId="77777777" w:rsidR="009C74D3" w:rsidRPr="00E27A27" w:rsidRDefault="009C74D3" w:rsidP="009C74D3">
      <w:pPr>
        <w:pStyle w:val="FootnoteText"/>
        <w:ind w:left="720" w:firstLine="720"/>
        <w:rPr>
          <w:rFonts w:ascii="Times New Roman" w:hAnsi="Times New Roman"/>
        </w:rPr>
      </w:pPr>
    </w:p>
    <w:p w14:paraId="7CB68420" w14:textId="77777777" w:rsidR="009C74D3" w:rsidRPr="00E27A27" w:rsidRDefault="009C74D3" w:rsidP="009C74D3">
      <w:pPr>
        <w:pStyle w:val="FootnoteText"/>
        <w:ind w:left="720" w:firstLine="720"/>
        <w:rPr>
          <w:rFonts w:ascii="Times New Roman" w:hAnsi="Times New Roman"/>
        </w:rPr>
      </w:pPr>
      <w:r w:rsidRPr="00CD425C">
        <w:rPr>
          <w:rStyle w:val="FootnoteReference"/>
          <w:rFonts w:ascii="Times New Roman" w:hAnsi="Times New Roman"/>
          <w:sz w:val="26"/>
          <w:vertAlign w:val="superscript"/>
        </w:rPr>
        <w:footnoteRef/>
      </w:r>
      <w:r w:rsidRPr="00E27A27">
        <w:rPr>
          <w:rFonts w:ascii="Times New Roman" w:hAnsi="Times New Roman"/>
        </w:rPr>
        <w:t xml:space="preserve"> </w:t>
      </w:r>
      <w:r w:rsidRPr="00CD425C">
        <w:rPr>
          <w:rFonts w:ascii="Times New Roman" w:hAnsi="Times New Roman"/>
          <w:sz w:val="26"/>
        </w:rPr>
        <w:t>See 18 C.F.R. Part 347.</w:t>
      </w:r>
    </w:p>
  </w:footnote>
  <w:footnote w:id="5">
    <w:p w14:paraId="34D1B227" w14:textId="77777777" w:rsidR="001B5DE2" w:rsidRPr="00E27A27" w:rsidRDefault="001B5DE2" w:rsidP="006C7882">
      <w:pPr>
        <w:pStyle w:val="FootnoteText"/>
        <w:ind w:firstLine="720"/>
        <w:rPr>
          <w:rFonts w:ascii="Times New Roman" w:hAnsi="Times New Roman"/>
        </w:rPr>
      </w:pPr>
      <w:r w:rsidRPr="00E27A27">
        <w:rPr>
          <w:rStyle w:val="FootnoteReference"/>
          <w:rFonts w:ascii="Times New Roman" w:hAnsi="Times New Roman"/>
          <w:vertAlign w:val="superscript"/>
        </w:rPr>
        <w:footnoteRef/>
      </w:r>
      <w:r w:rsidRPr="00E27A27">
        <w:rPr>
          <w:rFonts w:ascii="Times New Roman" w:hAnsi="Times New Roman"/>
        </w:rPr>
        <w:t xml:space="preserve"> </w:t>
      </w:r>
      <w:r w:rsidRPr="00FE3437">
        <w:rPr>
          <w:rFonts w:ascii="Times New Roman" w:hAnsi="Times New Roman"/>
          <w:sz w:val="26"/>
          <w:szCs w:val="26"/>
        </w:rPr>
        <w:t>8</w:t>
      </w:r>
      <w:r w:rsidR="00CD3779">
        <w:rPr>
          <w:rFonts w:ascii="Times New Roman" w:hAnsi="Times New Roman"/>
          <w:sz w:val="26"/>
          <w:szCs w:val="26"/>
        </w:rPr>
        <w:t>5</w:t>
      </w:r>
      <w:r w:rsidRPr="00FE3437">
        <w:rPr>
          <w:rFonts w:ascii="Times New Roman" w:hAnsi="Times New Roman"/>
          <w:sz w:val="26"/>
          <w:szCs w:val="26"/>
        </w:rPr>
        <w:t xml:space="preserve"> FR </w:t>
      </w:r>
      <w:r w:rsidR="00CD3779">
        <w:rPr>
          <w:rFonts w:ascii="Times New Roman" w:hAnsi="Times New Roman"/>
          <w:sz w:val="26"/>
          <w:szCs w:val="26"/>
        </w:rPr>
        <w:t>21229</w:t>
      </w:r>
      <w:r>
        <w:rPr>
          <w:rFonts w:ascii="Times New Roman" w:hAnsi="Times New Roman"/>
          <w:sz w:val="26"/>
          <w:szCs w:val="26"/>
        </w:rPr>
        <w:t>.</w:t>
      </w:r>
    </w:p>
  </w:footnote>
  <w:footnote w:id="6">
    <w:p w14:paraId="6BAC631F" w14:textId="50E91327" w:rsidR="00D70644" w:rsidRPr="00F61A49" w:rsidRDefault="00D70644" w:rsidP="00D70644">
      <w:pPr>
        <w:pStyle w:val="FootnoteText"/>
        <w:rPr>
          <w:rFonts w:ascii="Times New Roman" w:hAnsi="Times New Roman"/>
          <w:sz w:val="26"/>
          <w:szCs w:val="26"/>
        </w:rPr>
      </w:pPr>
      <w:r w:rsidRPr="00F61A49">
        <w:rPr>
          <w:rStyle w:val="FootnoteReference"/>
          <w:rFonts w:ascii="Times New Roman" w:hAnsi="Times New Roman"/>
          <w:sz w:val="26"/>
          <w:szCs w:val="26"/>
          <w:vertAlign w:val="superscript"/>
        </w:rPr>
        <w:footnoteRef/>
      </w:r>
      <w:r w:rsidRPr="00F61A49">
        <w:rPr>
          <w:rFonts w:ascii="Times New Roman" w:hAnsi="Times New Roman"/>
          <w:sz w:val="26"/>
          <w:szCs w:val="26"/>
          <w:vertAlign w:val="superscript"/>
        </w:rPr>
        <w:t xml:space="preserve"> </w:t>
      </w:r>
      <w:r w:rsidRPr="00F61A49">
        <w:rPr>
          <w:rFonts w:ascii="Times New Roman" w:hAnsi="Times New Roman"/>
          <w:sz w:val="26"/>
          <w:szCs w:val="26"/>
        </w:rPr>
        <w:t>Commission staff estimates the average cost in salary and benefits for the average respondent based on the Commission’s 2019 average cost for salary plus benefits at $80/hour.</w:t>
      </w:r>
    </w:p>
    <w:p w14:paraId="4F639E1D" w14:textId="77777777" w:rsidR="00D70644" w:rsidRPr="00F61A49" w:rsidRDefault="00D70644" w:rsidP="00D70644">
      <w:pPr>
        <w:pStyle w:val="FootnoteText"/>
        <w:rPr>
          <w:rFonts w:ascii="Times New Roman" w:hAnsi="Times New Roman"/>
          <w:sz w:val="26"/>
          <w:szCs w:val="26"/>
        </w:rPr>
      </w:pPr>
    </w:p>
  </w:footnote>
  <w:footnote w:id="7">
    <w:p w14:paraId="3BB59022" w14:textId="1890A4C7" w:rsidR="00D70644" w:rsidRDefault="00D70644" w:rsidP="00D70644">
      <w:pPr>
        <w:pStyle w:val="FootnoteText"/>
      </w:pPr>
      <w:r w:rsidRPr="00F61A49">
        <w:rPr>
          <w:rStyle w:val="FootnoteReference"/>
          <w:rFonts w:ascii="Times New Roman" w:hAnsi="Times New Roman"/>
          <w:sz w:val="26"/>
          <w:szCs w:val="26"/>
          <w:vertAlign w:val="superscript"/>
        </w:rPr>
        <w:footnoteRef/>
      </w:r>
      <w:r w:rsidRPr="00F61A49">
        <w:rPr>
          <w:rFonts w:ascii="Times New Roman" w:hAnsi="Times New Roman"/>
          <w:sz w:val="26"/>
          <w:szCs w:val="26"/>
          <w:vertAlign w:val="superscript"/>
        </w:rPr>
        <w:t xml:space="preserve"> </w:t>
      </w:r>
      <w:r w:rsidRPr="00F61A49">
        <w:rPr>
          <w:rFonts w:ascii="Times New Roman" w:hAnsi="Times New Roman"/>
          <w:sz w:val="26"/>
          <w:szCs w:val="26"/>
        </w:rPr>
        <w:t>The total number of responses entailing the submittal of a depreciation study in the past three years was 96. The average response from those three years is 96</w:t>
      </w:r>
      <w:r w:rsidR="005C236F">
        <w:rPr>
          <w:rFonts w:ascii="Times New Roman" w:hAnsi="Times New Roman"/>
          <w:sz w:val="26"/>
          <w:szCs w:val="26"/>
        </w:rPr>
        <w:t xml:space="preserve"> / </w:t>
      </w:r>
      <w:r w:rsidRPr="00F61A49">
        <w:rPr>
          <w:rFonts w:ascii="Times New Roman" w:hAnsi="Times New Roman"/>
          <w:sz w:val="26"/>
          <w:szCs w:val="26"/>
        </w:rPr>
        <w:t>3</w:t>
      </w:r>
      <w:r w:rsidR="005C236F">
        <w:rPr>
          <w:rFonts w:ascii="Times New Roman" w:hAnsi="Times New Roman"/>
          <w:sz w:val="26"/>
          <w:szCs w:val="26"/>
        </w:rPr>
        <w:t xml:space="preserve"> </w:t>
      </w:r>
      <w:r w:rsidRPr="00F61A49">
        <w:rPr>
          <w:rFonts w:ascii="Times New Roman" w:hAnsi="Times New Roman"/>
          <w:sz w:val="26"/>
          <w:szCs w:val="26"/>
        </w:rPr>
        <w:t>years = 32 responses per year.</w:t>
      </w:r>
      <w:r>
        <w:t xml:space="preserve"> </w:t>
      </w:r>
    </w:p>
  </w:footnote>
  <w:footnote w:id="8">
    <w:p w14:paraId="3F673AC6" w14:textId="3FB2B82D" w:rsidR="001B5DE2" w:rsidRDefault="001B5DE2" w:rsidP="00A62187">
      <w:pPr>
        <w:ind w:right="360"/>
        <w:rPr>
          <w:sz w:val="26"/>
          <w:szCs w:val="26"/>
        </w:rPr>
      </w:pPr>
      <w:r w:rsidRPr="00F61A49">
        <w:rPr>
          <w:rStyle w:val="FootnoteReference"/>
          <w:rFonts w:ascii="Times New Roman" w:hAnsi="Times New Roman"/>
          <w:sz w:val="26"/>
          <w:szCs w:val="26"/>
          <w:vertAlign w:val="superscript"/>
        </w:rPr>
        <w:footnoteRef/>
      </w:r>
      <w:r>
        <w:rPr>
          <w:sz w:val="26"/>
          <w:szCs w:val="26"/>
        </w:rPr>
        <w:t xml:space="preserve"> </w:t>
      </w:r>
      <w:r w:rsidRPr="007C1721">
        <w:rPr>
          <w:rFonts w:ascii="Times New Roman" w:hAnsi="Times New Roman"/>
          <w:sz w:val="26"/>
          <w:szCs w:val="26"/>
        </w:rPr>
        <w:t>An "FTE" is a "Full time Equivalent" employee that works the equivalent of 2,080 hours per year.</w:t>
      </w:r>
      <w:r>
        <w:rPr>
          <w:sz w:val="26"/>
          <w:szCs w:val="26"/>
        </w:rPr>
        <w:t xml:space="preserve">  </w:t>
      </w:r>
    </w:p>
    <w:p w14:paraId="46506339" w14:textId="77777777" w:rsidR="005C236F" w:rsidRDefault="005C236F" w:rsidP="00A62187">
      <w:pPr>
        <w:ind w:right="360"/>
        <w:rPr>
          <w:sz w:val="26"/>
          <w:szCs w:val="26"/>
        </w:rPr>
      </w:pPr>
    </w:p>
  </w:footnote>
  <w:footnote w:id="9">
    <w:p w14:paraId="76469046" w14:textId="77777777" w:rsidR="001B5DE2" w:rsidRPr="00A62187" w:rsidRDefault="001B5DE2" w:rsidP="00A62187">
      <w:pPr>
        <w:pStyle w:val="FootnoteText"/>
        <w:rPr>
          <w:rFonts w:ascii="Times New Roman" w:hAnsi="Times New Roman"/>
          <w:sz w:val="26"/>
          <w:szCs w:val="26"/>
        </w:rPr>
      </w:pPr>
      <w:r w:rsidRPr="00FD18F6">
        <w:rPr>
          <w:rStyle w:val="FootnoteReference"/>
          <w:rFonts w:ascii="Times New Roman" w:hAnsi="Times New Roman"/>
          <w:bCs/>
          <w:sz w:val="26"/>
          <w:szCs w:val="26"/>
          <w:vertAlign w:val="superscript"/>
        </w:rPr>
        <w:footnoteRef/>
      </w:r>
      <w:r w:rsidRPr="00FD18F6">
        <w:rPr>
          <w:rFonts w:ascii="Times New Roman" w:hAnsi="Times New Roman"/>
          <w:bCs/>
          <w:sz w:val="26"/>
          <w:szCs w:val="26"/>
        </w:rPr>
        <w:t xml:space="preserve"> </w:t>
      </w:r>
      <w:r w:rsidRPr="007C1721">
        <w:rPr>
          <w:rFonts w:ascii="Times New Roman" w:hAnsi="Times New Roman"/>
          <w:sz w:val="26"/>
          <w:szCs w:val="26"/>
        </w:rPr>
        <w:t>Paperwork Reduction Act of 1995 (PRA)</w:t>
      </w:r>
      <w:r w:rsidRPr="00A62187">
        <w:rPr>
          <w:rFonts w:ascii="Times New Roman" w:hAnsi="Times New Roman"/>
          <w:sz w:val="26"/>
          <w:szCs w:val="26"/>
        </w:rPr>
        <w:t> </w:t>
      </w:r>
    </w:p>
    <w:p w14:paraId="0C19BF2D" w14:textId="77777777" w:rsidR="001B5DE2" w:rsidRPr="00E27A27" w:rsidRDefault="001B5DE2" w:rsidP="006C7882">
      <w:pPr>
        <w:pStyle w:val="FootnoteText"/>
        <w:ind w:firstLine="720"/>
        <w:rPr>
          <w:rFonts w:ascii="Times New Roman" w:hAnsi="Times New Roman"/>
        </w:rPr>
      </w:pPr>
    </w:p>
  </w:footnote>
  <w:footnote w:id="10">
    <w:p w14:paraId="52C7CAA2" w14:textId="77777777" w:rsidR="001B5DE2" w:rsidRPr="00E27A27" w:rsidRDefault="001B5DE2" w:rsidP="001B5DE2">
      <w:pPr>
        <w:pStyle w:val="FootnoteText"/>
        <w:rPr>
          <w:rFonts w:ascii="Times New Roman" w:hAnsi="Times New Roman"/>
        </w:rPr>
      </w:pPr>
      <w:r w:rsidRPr="00FD18F6">
        <w:rPr>
          <w:rStyle w:val="FootnoteReference"/>
          <w:rFonts w:ascii="Times New Roman" w:hAnsi="Times New Roman"/>
          <w:bCs/>
          <w:sz w:val="26"/>
          <w:szCs w:val="26"/>
          <w:vertAlign w:val="superscript"/>
        </w:rPr>
        <w:footnoteRef/>
      </w:r>
      <w:r w:rsidRPr="00FD18F6">
        <w:rPr>
          <w:rFonts w:ascii="Times New Roman" w:hAnsi="Times New Roman"/>
          <w:bCs/>
          <w:sz w:val="26"/>
          <w:szCs w:val="26"/>
        </w:rPr>
        <w:t xml:space="preserve"> </w:t>
      </w:r>
      <w:r w:rsidRPr="001B5DE2">
        <w:rPr>
          <w:rFonts w:ascii="Times New Roman" w:hAnsi="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w:t>
      </w:r>
      <w:r>
        <w:rPr>
          <w:rFonts w:ascii="Times New Roman" w:hAnsi="Times New Roman"/>
          <w:sz w:val="26"/>
          <w:szCs w:val="26"/>
        </w:rPr>
        <w:t>, and publication of related notices in the Federal Register</w:t>
      </w:r>
      <w:r w:rsidRPr="001B5DE2">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1546" w14:textId="4041ACBF" w:rsidR="001B5DE2" w:rsidRDefault="00B420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328CE81D" wp14:editId="7A26D67F">
              <wp:simplePos x="0" y="0"/>
              <wp:positionH relativeFrom="page">
                <wp:posOffset>0</wp:posOffset>
              </wp:positionH>
              <wp:positionV relativeFrom="page">
                <wp:posOffset>190500</wp:posOffset>
              </wp:positionV>
              <wp:extent cx="7772400" cy="266700"/>
              <wp:effectExtent l="0" t="0" r="0" b="0"/>
              <wp:wrapNone/>
              <wp:docPr id="1" name="MSIPCMdd284f36b220176e94ebb2a2" descr="{&quot;HashCode&quot;:-210706470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5F9F7A" w14:textId="2990158D" w:rsidR="00B42085" w:rsidRPr="00B42085" w:rsidRDefault="00B42085" w:rsidP="00B42085">
                          <w:pPr>
                            <w:jc w:val="center"/>
                            <w:rPr>
                              <w:rFonts w:ascii="Times New Roman" w:hAnsi="Times New Roman"/>
                              <w:color w:val="A80000"/>
                              <w:sz w:val="26"/>
                            </w:rPr>
                          </w:pPr>
                          <w:r w:rsidRPr="00B42085">
                            <w:rPr>
                              <w:rFonts w:ascii="Times New Roman" w:hAnsi="Times New Roman"/>
                              <w:color w:val="A80000"/>
                              <w:sz w:val="26"/>
                            </w:rPr>
                            <w:t>CUI//SSI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8CE81D" id="_x0000_t202" coordsize="21600,21600" o:spt="202" path="m,l,21600r21600,l21600,xe">
              <v:stroke joinstyle="miter"/>
              <v:path gradientshapeok="t" o:connecttype="rect"/>
            </v:shapetype>
            <v:shape id="MSIPCMdd284f36b220176e94ebb2a2" o:spid="_x0000_s1026" type="#_x0000_t202" alt="{&quot;HashCode&quot;:-2107064704,&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Awsfv2FQMAADcGAAAOAAAAAAAAAAAAAAAAAC4CAABk&#10;cnMvZTJvRG9jLnhtbFBLAQItABQABgAIAAAAIQBoO5V22wAAAAcBAAAPAAAAAAAAAAAAAAAAAG8F&#10;AABkcnMvZG93bnJldi54bWxQSwUGAAAAAAQABADzAAAAdwYAAAAA&#10;" o:allowincell="f" filled="f" stroked="f" strokeweight=".5pt">
              <v:textbox inset=",0,,0">
                <w:txbxContent>
                  <w:p w14:paraId="485F9F7A" w14:textId="2990158D" w:rsidR="00B42085" w:rsidRPr="00B42085" w:rsidRDefault="00B42085" w:rsidP="00B42085">
                    <w:pPr>
                      <w:jc w:val="center"/>
                      <w:rPr>
                        <w:rFonts w:ascii="Times New Roman" w:hAnsi="Times New Roman"/>
                        <w:color w:val="A80000"/>
                        <w:sz w:val="26"/>
                      </w:rPr>
                    </w:pPr>
                    <w:r w:rsidRPr="00B42085">
                      <w:rPr>
                        <w:rFonts w:ascii="Times New Roman" w:hAnsi="Times New Roman"/>
                        <w:color w:val="A80000"/>
                        <w:sz w:val="26"/>
                      </w:rPr>
                      <w:t>CUI//SSI</w:t>
                    </w:r>
                  </w:p>
                </w:txbxContent>
              </v:textbox>
              <w10:wrap anchorx="page" anchory="page"/>
            </v:shape>
          </w:pict>
        </mc:Fallback>
      </mc:AlternateContent>
    </w:r>
    <w:r w:rsidR="001B5DE2">
      <w:rPr>
        <w:rFonts w:ascii="Times New Roman" w:hAnsi="Times New Roman"/>
        <w:sz w:val="26"/>
        <w:szCs w:val="26"/>
      </w:rPr>
      <w:t xml:space="preserve">FERC Form No. 73 </w:t>
    </w:r>
  </w:p>
  <w:p w14:paraId="5ADBE6A9" w14:textId="77777777" w:rsidR="001B5DE2" w:rsidRDefault="001B5D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Pr>
        <w:rFonts w:ascii="Times New Roman" w:hAnsi="Times New Roman"/>
        <w:sz w:val="26"/>
        <w:szCs w:val="26"/>
      </w:rPr>
      <w:t>OMB Control No. 1902-0019</w:t>
    </w:r>
  </w:p>
  <w:p w14:paraId="412CBF21" w14:textId="77777777" w:rsidR="001B5DE2" w:rsidRDefault="001B5DE2">
    <w:pPr>
      <w:spacing w:line="240" w:lineRule="exact"/>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9CA"/>
    <w:multiLevelType w:val="hybridMultilevel"/>
    <w:tmpl w:val="B6B2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12D81"/>
    <w:multiLevelType w:val="hybridMultilevel"/>
    <w:tmpl w:val="C2E2F49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0F32CE"/>
    <w:multiLevelType w:val="hybridMultilevel"/>
    <w:tmpl w:val="69E016AC"/>
    <w:lvl w:ilvl="0" w:tplc="68B41710">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049E2"/>
    <w:multiLevelType w:val="hybridMultilevel"/>
    <w:tmpl w:val="291EF096"/>
    <w:lvl w:ilvl="0" w:tplc="3F0614F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42398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BE6D4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96559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14A17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8CC22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E349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C4BEE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889EC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7721C2A"/>
    <w:multiLevelType w:val="hybridMultilevel"/>
    <w:tmpl w:val="367A4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BA739E"/>
    <w:multiLevelType w:val="hybridMultilevel"/>
    <w:tmpl w:val="72860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6529E1"/>
    <w:multiLevelType w:val="hybridMultilevel"/>
    <w:tmpl w:val="A7781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CC6F0F"/>
    <w:multiLevelType w:val="hybridMultilevel"/>
    <w:tmpl w:val="BC0833F0"/>
    <w:lvl w:ilvl="0" w:tplc="E5D6EC1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5EB8E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16B09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9CAF0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845E4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B6FD2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EEA79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5E0EC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F8B8B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5B"/>
    <w:rsid w:val="00000AC4"/>
    <w:rsid w:val="000030A9"/>
    <w:rsid w:val="0001487E"/>
    <w:rsid w:val="00033BCE"/>
    <w:rsid w:val="00053CFE"/>
    <w:rsid w:val="0005553D"/>
    <w:rsid w:val="00056C2C"/>
    <w:rsid w:val="00065314"/>
    <w:rsid w:val="00070564"/>
    <w:rsid w:val="000851BB"/>
    <w:rsid w:val="000C67C6"/>
    <w:rsid w:val="000C7646"/>
    <w:rsid w:val="0013252F"/>
    <w:rsid w:val="00136E74"/>
    <w:rsid w:val="0014487F"/>
    <w:rsid w:val="0014778A"/>
    <w:rsid w:val="00171E27"/>
    <w:rsid w:val="00173CA3"/>
    <w:rsid w:val="00186F8B"/>
    <w:rsid w:val="001B5DE2"/>
    <w:rsid w:val="001C0166"/>
    <w:rsid w:val="001C242B"/>
    <w:rsid w:val="001D7727"/>
    <w:rsid w:val="001E65DB"/>
    <w:rsid w:val="001F1467"/>
    <w:rsid w:val="001F1B0D"/>
    <w:rsid w:val="001F436B"/>
    <w:rsid w:val="001F710B"/>
    <w:rsid w:val="002107A9"/>
    <w:rsid w:val="00220C5A"/>
    <w:rsid w:val="00221728"/>
    <w:rsid w:val="00223C27"/>
    <w:rsid w:val="00237A59"/>
    <w:rsid w:val="002433D0"/>
    <w:rsid w:val="00264FD9"/>
    <w:rsid w:val="00266BA2"/>
    <w:rsid w:val="0028623B"/>
    <w:rsid w:val="002C772B"/>
    <w:rsid w:val="0030601B"/>
    <w:rsid w:val="0031393A"/>
    <w:rsid w:val="00317722"/>
    <w:rsid w:val="003307F6"/>
    <w:rsid w:val="00333853"/>
    <w:rsid w:val="00342E96"/>
    <w:rsid w:val="0034335B"/>
    <w:rsid w:val="003439C6"/>
    <w:rsid w:val="00356683"/>
    <w:rsid w:val="0037268E"/>
    <w:rsid w:val="00385968"/>
    <w:rsid w:val="00393254"/>
    <w:rsid w:val="003A7410"/>
    <w:rsid w:val="003B2692"/>
    <w:rsid w:val="003B3768"/>
    <w:rsid w:val="003B7FF4"/>
    <w:rsid w:val="003C0D65"/>
    <w:rsid w:val="003D19E0"/>
    <w:rsid w:val="004326FA"/>
    <w:rsid w:val="00440A62"/>
    <w:rsid w:val="004473F4"/>
    <w:rsid w:val="00453480"/>
    <w:rsid w:val="00460B2D"/>
    <w:rsid w:val="00481B31"/>
    <w:rsid w:val="00501205"/>
    <w:rsid w:val="00534FBC"/>
    <w:rsid w:val="0054003E"/>
    <w:rsid w:val="00543FA5"/>
    <w:rsid w:val="00544CDA"/>
    <w:rsid w:val="00570E72"/>
    <w:rsid w:val="00585F26"/>
    <w:rsid w:val="00593F5C"/>
    <w:rsid w:val="005C236F"/>
    <w:rsid w:val="005C2E1D"/>
    <w:rsid w:val="005C35CD"/>
    <w:rsid w:val="005C3B53"/>
    <w:rsid w:val="006147E2"/>
    <w:rsid w:val="00621DD8"/>
    <w:rsid w:val="00675030"/>
    <w:rsid w:val="006C61B6"/>
    <w:rsid w:val="006C7882"/>
    <w:rsid w:val="006D19C5"/>
    <w:rsid w:val="006E1A88"/>
    <w:rsid w:val="006F6151"/>
    <w:rsid w:val="00701C51"/>
    <w:rsid w:val="007054B6"/>
    <w:rsid w:val="007279B8"/>
    <w:rsid w:val="00727C09"/>
    <w:rsid w:val="00755211"/>
    <w:rsid w:val="00765CE2"/>
    <w:rsid w:val="00774A00"/>
    <w:rsid w:val="0078039B"/>
    <w:rsid w:val="007A3197"/>
    <w:rsid w:val="007A6482"/>
    <w:rsid w:val="007C1721"/>
    <w:rsid w:val="007D18B9"/>
    <w:rsid w:val="007D42D3"/>
    <w:rsid w:val="007F7DDE"/>
    <w:rsid w:val="00821288"/>
    <w:rsid w:val="008321D1"/>
    <w:rsid w:val="00853608"/>
    <w:rsid w:val="008808AC"/>
    <w:rsid w:val="00890E1B"/>
    <w:rsid w:val="00893D7A"/>
    <w:rsid w:val="008F061A"/>
    <w:rsid w:val="0090711A"/>
    <w:rsid w:val="0097397C"/>
    <w:rsid w:val="00976097"/>
    <w:rsid w:val="00986C70"/>
    <w:rsid w:val="009A56F9"/>
    <w:rsid w:val="009C5810"/>
    <w:rsid w:val="009C74D3"/>
    <w:rsid w:val="009E4301"/>
    <w:rsid w:val="009E752C"/>
    <w:rsid w:val="00A10518"/>
    <w:rsid w:val="00A62187"/>
    <w:rsid w:val="00A762A3"/>
    <w:rsid w:val="00AA45B0"/>
    <w:rsid w:val="00AC06B1"/>
    <w:rsid w:val="00AD5C0B"/>
    <w:rsid w:val="00AE0908"/>
    <w:rsid w:val="00AE295E"/>
    <w:rsid w:val="00AF6587"/>
    <w:rsid w:val="00B42085"/>
    <w:rsid w:val="00B45ECC"/>
    <w:rsid w:val="00B511BE"/>
    <w:rsid w:val="00BF1DB0"/>
    <w:rsid w:val="00BF5F8F"/>
    <w:rsid w:val="00C30A21"/>
    <w:rsid w:val="00C37BAF"/>
    <w:rsid w:val="00C575A6"/>
    <w:rsid w:val="00C772A5"/>
    <w:rsid w:val="00C83215"/>
    <w:rsid w:val="00CC3A8B"/>
    <w:rsid w:val="00CC4A84"/>
    <w:rsid w:val="00CD3779"/>
    <w:rsid w:val="00D053DC"/>
    <w:rsid w:val="00D25C58"/>
    <w:rsid w:val="00D61B95"/>
    <w:rsid w:val="00D70644"/>
    <w:rsid w:val="00D97D5E"/>
    <w:rsid w:val="00DB0AAE"/>
    <w:rsid w:val="00DB2957"/>
    <w:rsid w:val="00DC20F3"/>
    <w:rsid w:val="00DC3104"/>
    <w:rsid w:val="00DC784A"/>
    <w:rsid w:val="00DF2BEC"/>
    <w:rsid w:val="00E03795"/>
    <w:rsid w:val="00E3243B"/>
    <w:rsid w:val="00E4382B"/>
    <w:rsid w:val="00E50BC4"/>
    <w:rsid w:val="00E57612"/>
    <w:rsid w:val="00E67C70"/>
    <w:rsid w:val="00E92D23"/>
    <w:rsid w:val="00E93391"/>
    <w:rsid w:val="00EA1810"/>
    <w:rsid w:val="00EC6047"/>
    <w:rsid w:val="00EE4257"/>
    <w:rsid w:val="00EF110E"/>
    <w:rsid w:val="00EF395E"/>
    <w:rsid w:val="00F4745F"/>
    <w:rsid w:val="00F61A49"/>
    <w:rsid w:val="00F65564"/>
    <w:rsid w:val="00F73AB9"/>
    <w:rsid w:val="00F75538"/>
    <w:rsid w:val="00F83D77"/>
    <w:rsid w:val="00F85409"/>
    <w:rsid w:val="00F8614F"/>
    <w:rsid w:val="00FC3E13"/>
    <w:rsid w:val="00FC675F"/>
    <w:rsid w:val="00FD18F6"/>
    <w:rsid w:val="00FE3437"/>
    <w:rsid w:val="00FE5D47"/>
    <w:rsid w:val="00FF0ECA"/>
    <w:rsid w:val="00FF3A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80AA2"/>
  <w15:chartTrackingRefBased/>
  <w15:docId w15:val="{DB5F049F-2B46-4C56-B381-1846B0E3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335B"/>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4335B"/>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rsid w:val="0034335B"/>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semiHidden/>
    <w:rsid w:val="0034335B"/>
    <w:rPr>
      <w:rFonts w:ascii="Courier" w:eastAsia="Times New Roman" w:hAnsi="Courier" w:cs="Times New Roman"/>
      <w:sz w:val="20"/>
      <w:szCs w:val="20"/>
    </w:rPr>
  </w:style>
  <w:style w:type="character" w:styleId="Hyperlink">
    <w:name w:val="Hyperlink"/>
    <w:basedOn w:val="DefaultParagraphFont"/>
    <w:uiPriority w:val="99"/>
    <w:rsid w:val="003B7FF4"/>
    <w:rPr>
      <w:color w:val="0000FF"/>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F4745F"/>
    <w:rPr>
      <w:sz w:val="22"/>
    </w:rPr>
  </w:style>
  <w:style w:type="character" w:styleId="FollowedHyperlink">
    <w:name w:val="FollowedHyperlink"/>
    <w:basedOn w:val="DefaultParagraphFont"/>
    <w:uiPriority w:val="99"/>
    <w:semiHidden/>
    <w:unhideWhenUsed/>
    <w:rsid w:val="00774A00"/>
    <w:rPr>
      <w:color w:val="954F72" w:themeColor="followedHyperlink"/>
      <w:u w:val="single"/>
    </w:rPr>
  </w:style>
  <w:style w:type="paragraph" w:styleId="BalloonText">
    <w:name w:val="Balloon Text"/>
    <w:basedOn w:val="Normal"/>
    <w:link w:val="BalloonTextChar"/>
    <w:uiPriority w:val="99"/>
    <w:semiHidden/>
    <w:unhideWhenUsed/>
    <w:rsid w:val="001F4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36B"/>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AE0908"/>
    <w:rPr>
      <w:sz w:val="20"/>
      <w:szCs w:val="20"/>
    </w:rPr>
  </w:style>
  <w:style w:type="character" w:customStyle="1" w:styleId="EndnoteTextChar">
    <w:name w:val="Endnote Text Char"/>
    <w:basedOn w:val="DefaultParagraphFont"/>
    <w:link w:val="EndnoteText"/>
    <w:uiPriority w:val="99"/>
    <w:semiHidden/>
    <w:rsid w:val="00AE0908"/>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AE0908"/>
    <w:rPr>
      <w:vertAlign w:val="superscript"/>
    </w:rPr>
  </w:style>
  <w:style w:type="character" w:styleId="CommentReference">
    <w:name w:val="annotation reference"/>
    <w:basedOn w:val="DefaultParagraphFont"/>
    <w:uiPriority w:val="99"/>
    <w:semiHidden/>
    <w:unhideWhenUsed/>
    <w:rsid w:val="005C35CD"/>
    <w:rPr>
      <w:sz w:val="16"/>
      <w:szCs w:val="16"/>
    </w:rPr>
  </w:style>
  <w:style w:type="paragraph" w:styleId="CommentText">
    <w:name w:val="annotation text"/>
    <w:basedOn w:val="Normal"/>
    <w:link w:val="CommentTextChar"/>
    <w:uiPriority w:val="99"/>
    <w:semiHidden/>
    <w:unhideWhenUsed/>
    <w:rsid w:val="005C35CD"/>
    <w:rPr>
      <w:sz w:val="20"/>
      <w:szCs w:val="20"/>
    </w:rPr>
  </w:style>
  <w:style w:type="character" w:customStyle="1" w:styleId="CommentTextChar">
    <w:name w:val="Comment Text Char"/>
    <w:basedOn w:val="DefaultParagraphFont"/>
    <w:link w:val="CommentText"/>
    <w:uiPriority w:val="99"/>
    <w:semiHidden/>
    <w:rsid w:val="005C35C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C35CD"/>
    <w:rPr>
      <w:b/>
      <w:bCs/>
    </w:rPr>
  </w:style>
  <w:style w:type="character" w:customStyle="1" w:styleId="CommentSubjectChar">
    <w:name w:val="Comment Subject Char"/>
    <w:basedOn w:val="CommentTextChar"/>
    <w:link w:val="CommentSubject"/>
    <w:uiPriority w:val="99"/>
    <w:semiHidden/>
    <w:rsid w:val="005C35CD"/>
    <w:rPr>
      <w:rFonts w:ascii="Courier" w:eastAsia="Times New Roman" w:hAnsi="Courier" w:cs="Times New Roman"/>
      <w:b/>
      <w:bCs/>
      <w:sz w:val="20"/>
      <w:szCs w:val="20"/>
    </w:rPr>
  </w:style>
  <w:style w:type="paragraph" w:styleId="Header">
    <w:name w:val="header"/>
    <w:basedOn w:val="Normal"/>
    <w:link w:val="HeaderChar"/>
    <w:uiPriority w:val="99"/>
    <w:unhideWhenUsed/>
    <w:rsid w:val="00F83D77"/>
    <w:pPr>
      <w:tabs>
        <w:tab w:val="center" w:pos="4680"/>
        <w:tab w:val="right" w:pos="9360"/>
      </w:tabs>
    </w:pPr>
  </w:style>
  <w:style w:type="character" w:customStyle="1" w:styleId="HeaderChar">
    <w:name w:val="Header Char"/>
    <w:basedOn w:val="DefaultParagraphFont"/>
    <w:link w:val="Header"/>
    <w:uiPriority w:val="99"/>
    <w:rsid w:val="00F83D77"/>
    <w:rPr>
      <w:rFonts w:ascii="Courier" w:eastAsia="Times New Roman" w:hAnsi="Courier" w:cs="Times New Roman"/>
      <w:sz w:val="24"/>
      <w:szCs w:val="24"/>
    </w:rPr>
  </w:style>
  <w:style w:type="paragraph" w:styleId="Footer">
    <w:name w:val="footer"/>
    <w:basedOn w:val="Normal"/>
    <w:link w:val="FooterChar"/>
    <w:uiPriority w:val="99"/>
    <w:unhideWhenUsed/>
    <w:rsid w:val="00F83D77"/>
    <w:pPr>
      <w:tabs>
        <w:tab w:val="center" w:pos="4680"/>
        <w:tab w:val="right" w:pos="9360"/>
      </w:tabs>
    </w:pPr>
  </w:style>
  <w:style w:type="character" w:customStyle="1" w:styleId="FooterChar">
    <w:name w:val="Footer Char"/>
    <w:basedOn w:val="DefaultParagraphFont"/>
    <w:link w:val="Footer"/>
    <w:uiPriority w:val="99"/>
    <w:rsid w:val="00F83D77"/>
    <w:rPr>
      <w:rFonts w:ascii="Courier" w:eastAsia="Times New Roman" w:hAnsi="Courier" w:cs="Times New Roman"/>
      <w:sz w:val="24"/>
      <w:szCs w:val="24"/>
    </w:rPr>
  </w:style>
  <w:style w:type="paragraph" w:styleId="ListParagraph">
    <w:name w:val="List Paragraph"/>
    <w:basedOn w:val="Normal"/>
    <w:uiPriority w:val="34"/>
    <w:qFormat/>
    <w:rsid w:val="00614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15259">
      <w:bodyDiv w:val="1"/>
      <w:marLeft w:val="0"/>
      <w:marRight w:val="0"/>
      <w:marTop w:val="0"/>
      <w:marBottom w:val="0"/>
      <w:divBdr>
        <w:top w:val="none" w:sz="0" w:space="0" w:color="auto"/>
        <w:left w:val="none" w:sz="0" w:space="0" w:color="auto"/>
        <w:bottom w:val="none" w:sz="0" w:space="0" w:color="auto"/>
        <w:right w:val="none" w:sz="0" w:space="0" w:color="auto"/>
      </w:divBdr>
    </w:div>
    <w:div w:id="8003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rDoDocLink('Order%20No.%20561%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CA39-3F25-42BD-8D63-AEDAF283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9263C9-8EFB-46B9-9681-D479FE27EB4C}">
  <ds:schemaRefs>
    <ds:schemaRef ds:uri="http://schemas.microsoft.com/sharepoint/v3/contenttype/forms"/>
  </ds:schemaRefs>
</ds:datastoreItem>
</file>

<file path=customXml/itemProps3.xml><?xml version="1.0" encoding="utf-8"?>
<ds:datastoreItem xmlns:ds="http://schemas.openxmlformats.org/officeDocument/2006/customXml" ds:itemID="{DA0A4017-D91B-49F1-8BEA-912D2DE13579}">
  <ds:schemaRefs>
    <ds:schemaRef ds:uri="Microsoft.SharePoint.Taxonomy.ContentTypeSync"/>
  </ds:schemaRefs>
</ds:datastoreItem>
</file>

<file path=customXml/itemProps4.xml><?xml version="1.0" encoding="utf-8"?>
<ds:datastoreItem xmlns:ds="http://schemas.openxmlformats.org/officeDocument/2006/customXml" ds:itemID="{48816774-3A2E-45EC-9BBA-205AABAAD493}">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3922734F-3EFB-4D1F-99A8-839A533D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FERC-73 Oil Pipeline</vt:lpstr>
    </vt:vector>
  </TitlesOfParts>
  <Company>FERC</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FERC-73 Oil Pipeline</dc:title>
  <dc:subject/>
  <dc:creator>Michele Chambers</dc:creator>
  <cp:keywords/>
  <dc:description/>
  <cp:lastModifiedBy>Kayla Williams</cp:lastModifiedBy>
  <cp:revision>2</cp:revision>
  <cp:lastPrinted>2017-05-18T17:06:00Z</cp:lastPrinted>
  <dcterms:created xsi:type="dcterms:W3CDTF">2020-06-26T17:41:00Z</dcterms:created>
  <dcterms:modified xsi:type="dcterms:W3CDTF">2020-06-26T17:41:00Z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0x0101006C62E1DFB6D69D4983BED8CA804A90D7</vt:lpwstr>
  </property>
  <property fmtid="{D5CDD505-2E9C-101B-9397-08002B2CF9AE}" pid="4" name="MSIP_Label_548bb00d-201a-4f09-a2c4-57d50b3e4749_Enabled">
    <vt:lpwstr>True</vt:lpwstr>
  </property>
  <property fmtid="{D5CDD505-2E9C-101B-9397-08002B2CF9AE}" pid="5" name="MSIP_Label_548bb00d-201a-4f09-a2c4-57d50b3e4749_SiteId">
    <vt:lpwstr>19caa9e9-04ff-43fa-885f-d77fac387903</vt:lpwstr>
  </property>
  <property fmtid="{D5CDD505-2E9C-101B-9397-08002B2CF9AE}" pid="6" name="MSIP_Label_548bb00d-201a-4f09-a2c4-57d50b3e4749_Owner">
    <vt:lpwstr>Jean.Sonneman@ferc.gov</vt:lpwstr>
  </property>
  <property fmtid="{D5CDD505-2E9C-101B-9397-08002B2CF9AE}" pid="7" name="MSIP_Label_548bb00d-201a-4f09-a2c4-57d50b3e4749_SetDate">
    <vt:lpwstr>2020-06-17T17:17:43.2506352Z</vt:lpwstr>
  </property>
  <property fmtid="{D5CDD505-2E9C-101B-9397-08002B2CF9AE}" pid="8" name="MSIP_Label_548bb00d-201a-4f09-a2c4-57d50b3e4749_Name">
    <vt:lpwstr>SSI</vt:lpwstr>
  </property>
  <property fmtid="{D5CDD505-2E9C-101B-9397-08002B2CF9AE}" pid="9" name="MSIP_Label_548bb00d-201a-4f09-a2c4-57d50b3e4749_Application">
    <vt:lpwstr>Microsoft Azure Information Protection</vt:lpwstr>
  </property>
  <property fmtid="{D5CDD505-2E9C-101B-9397-08002B2CF9AE}" pid="10" name="MSIP_Label_548bb00d-201a-4f09-a2c4-57d50b3e4749_ActionId">
    <vt:lpwstr>4e589eac-ad54-4e5f-893f-6666d3913d2d</vt:lpwstr>
  </property>
  <property fmtid="{D5CDD505-2E9C-101B-9397-08002B2CF9AE}" pid="11" name="MSIP_Label_548bb00d-201a-4f09-a2c4-57d50b3e4749_Extended_MSFT_Method">
    <vt:lpwstr>Manual</vt:lpwstr>
  </property>
  <property fmtid="{D5CDD505-2E9C-101B-9397-08002B2CF9AE}" pid="12" name="Sensitivity">
    <vt:lpwstr>SSI</vt:lpwstr>
  </property>
</Properties>
</file>