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BA13A2" w:rsidP="00432256" w:rsidRDefault="00386054" w14:paraId="46A72EB8" w14:textId="77777777">
      <w:pPr>
        <w:pStyle w:val="Title"/>
      </w:pPr>
      <w:r w:rsidRPr="00B578F4">
        <w:t>SUPPORTING STATEMENT</w:t>
      </w:r>
      <w:r w:rsidR="00432256">
        <w:t xml:space="preserve"> </w:t>
      </w:r>
      <w:r w:rsidRPr="00B578F4">
        <w:t>FOR PAPERWORK REDUCTION ACT SUBMISSION</w:t>
      </w:r>
    </w:p>
    <w:p w:rsidR="00386054" w:rsidP="00432256" w:rsidRDefault="00016E14" w14:paraId="46A72EB9"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46A72EBA" w14:textId="77777777">
      <w:pPr>
        <w:pStyle w:val="ListParagraph"/>
        <w:numPr>
          <w:ilvl w:val="0"/>
          <w:numId w:val="28"/>
        </w:numPr>
        <w:rPr>
          <w:b/>
        </w:rPr>
      </w:pPr>
      <w:r w:rsidRPr="00441A39">
        <w:rPr>
          <w:b/>
        </w:rPr>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w:t>
      </w:r>
      <w:proofErr w:type="gramStart"/>
      <w:r w:rsidRPr="00441A39">
        <w:rPr>
          <w:b/>
        </w:rPr>
        <w:t>sections</w:t>
      </w:r>
      <w:proofErr w:type="gramEnd"/>
      <w:r w:rsidRPr="00441A39">
        <w:rPr>
          <w:b/>
        </w:rPr>
        <w:t xml:space="preserve"> or changed sections, if applicable.</w:t>
      </w:r>
    </w:p>
    <w:p w:rsidR="009634C0" w:rsidP="00432256" w:rsidRDefault="00432256" w14:paraId="46A72EBB" w14:textId="77FF7CF7">
      <w:pPr>
        <w:ind w:left="720"/>
      </w:pPr>
      <w:r>
        <w:t xml:space="preserve">This is a request </w:t>
      </w:r>
      <w:r w:rsidR="00A63AE7">
        <w:t>for a</w:t>
      </w:r>
      <w:r>
        <w:t xml:space="preserve">pproval of </w:t>
      </w:r>
      <w:r w:rsidR="00A63AE7">
        <w:t>an i</w:t>
      </w:r>
      <w:r w:rsidRPr="009634C0" w:rsidR="009634C0">
        <w:t xml:space="preserve">nformation collection </w:t>
      </w:r>
      <w:r>
        <w:t>which s</w:t>
      </w:r>
      <w:r w:rsidRPr="009634C0" w:rsidR="009634C0">
        <w:t>olicit</w:t>
      </w:r>
      <w:r>
        <w:t>s</w:t>
      </w:r>
      <w:r w:rsidRPr="009634C0" w:rsidR="009634C0">
        <w:t xml:space="preserve"> applications for </w:t>
      </w:r>
      <w:r w:rsidRPr="00A63AE7" w:rsidR="00A63AE7">
        <w:t>Education Stabilization Fund - Reimagin</w:t>
      </w:r>
      <w:r w:rsidR="00A63AE7">
        <w:t>e</w:t>
      </w:r>
      <w:r w:rsidRPr="00A63AE7" w:rsidR="00A63AE7">
        <w:t xml:space="preserve"> Workforce Preparation Grants</w:t>
      </w:r>
      <w:r w:rsidR="00A63AE7">
        <w:t xml:space="preserve"> (ESF-RWP)</w:t>
      </w:r>
      <w:r w:rsidR="006134F5">
        <w:t xml:space="preserve">, which is authorized by </w:t>
      </w:r>
      <w:r w:rsidRPr="006134F5" w:rsidR="006134F5">
        <w:t>section 18001(a)(3) of Division B of the Coronavirus Aid, Relief, and Economic Security Act (CARES Act)</w:t>
      </w:r>
      <w:r w:rsidR="00A63AE7">
        <w:t>.</w:t>
      </w:r>
      <w:r w:rsidRPr="009634C0" w:rsidR="009634C0">
        <w:t xml:space="preserve">  </w:t>
      </w:r>
      <w:r>
        <w:t xml:space="preserve">The collection request includes a notice inviting applications and an accompanying application package.  These documents </w:t>
      </w:r>
      <w:r w:rsidRPr="009634C0" w:rsidR="009634C0">
        <w:t>set out the selection criteria used to assess the quality of applications</w:t>
      </w:r>
      <w:r w:rsidR="006134F5">
        <w:t xml:space="preserve"> and</w:t>
      </w:r>
      <w:r w:rsidRPr="009634C0" w:rsidR="009634C0">
        <w:t xml:space="preserve"> establish </w:t>
      </w:r>
      <w:r w:rsidR="006134F5">
        <w:t xml:space="preserve">application requirements and </w:t>
      </w:r>
      <w:r w:rsidRPr="009634C0" w:rsidR="009634C0">
        <w:t xml:space="preserve">the </w:t>
      </w:r>
      <w:r w:rsidR="00A63AE7">
        <w:t xml:space="preserve">performance </w:t>
      </w:r>
      <w:r w:rsidRPr="009634C0" w:rsidR="009634C0">
        <w:t xml:space="preserve">indicators </w:t>
      </w:r>
      <w:r w:rsidR="00234480">
        <w:t xml:space="preserve">on which grantees </w:t>
      </w:r>
      <w:r w:rsidRPr="009634C0" w:rsidR="009634C0">
        <w:t xml:space="preserve">must report. </w:t>
      </w:r>
    </w:p>
    <w:p w:rsidR="006134F5" w:rsidP="00E65171" w:rsidRDefault="006134F5" w14:paraId="66E6545E" w14:textId="0D458AD3">
      <w:pPr>
        <w:ind w:left="720"/>
      </w:pPr>
      <w:r>
        <w:t xml:space="preserve">ESF-RWP grants </w:t>
      </w:r>
      <w:r w:rsidRPr="006134F5">
        <w:t>provide support to help States with the highest coronavirus  burden create or expand short-term education and training opportunities and/or or career pathways programs that help citizens return to work, become entrepreneurs, or expand their small businesses (as described under Absolute Priority 1); or to enable States to create or expand small business incubators that offer education and training, mentorship, as well as shared facilities and resources that will help small businesses recover and grow and new entrepreneurs thrive (as described under Absolute Priority 2).</w:t>
      </w:r>
      <w:r w:rsidR="009E777A">
        <w:t xml:space="preserve">  Grants are awarded for a period of up to 36 months.</w:t>
      </w:r>
    </w:p>
    <w:p w:rsidRPr="00F345C4" w:rsidR="00B83FB3" w:rsidP="00432256" w:rsidRDefault="00F345C4" w14:paraId="46A72EBD" w14:textId="77777777">
      <w:pPr>
        <w:pStyle w:val="ListParagraph"/>
        <w:numPr>
          <w:ilvl w:val="0"/>
          <w:numId w:val="28"/>
        </w:numPr>
        <w:rPr>
          <w:b/>
        </w:rPr>
      </w:pPr>
      <w:r w:rsidRPr="00F345C4">
        <w:rPr>
          <w:b/>
        </w:rPr>
        <w:t>I</w:t>
      </w:r>
      <w:r w:rsidRPr="00F345C4" w:rsidR="00386054">
        <w:rPr>
          <w:b/>
        </w:rPr>
        <w:t>ndicate how, by whom, and for what purpose the information is to be used.  Except for a new collection, indicate the actual use the agency has made of the information received from the current collection.</w:t>
      </w:r>
    </w:p>
    <w:p w:rsidR="0050686A" w:rsidP="00432256" w:rsidRDefault="00F345C4" w14:paraId="46A72EBE" w14:textId="019B54C7">
      <w:pPr>
        <w:pStyle w:val="ListParagraph"/>
        <w:tabs>
          <w:tab w:val="center" w:pos="8505"/>
        </w:tabs>
        <w:contextualSpacing/>
      </w:pPr>
      <w:r>
        <w:t xml:space="preserve">This information collection is </w:t>
      </w:r>
      <w:r w:rsidR="00432256">
        <w:t xml:space="preserve">used to solicit applications for grants and to establish </w:t>
      </w:r>
      <w:r w:rsidR="006134F5">
        <w:t xml:space="preserve">annual performance </w:t>
      </w:r>
      <w:r w:rsidR="00432256">
        <w:t xml:space="preserve">reporting </w:t>
      </w:r>
      <w:r w:rsidR="006134F5">
        <w:t>requi</w:t>
      </w:r>
      <w:r w:rsidR="00432256">
        <w:t xml:space="preserve">rements for recipients of these grants.  The Department of Education </w:t>
      </w:r>
      <w:r w:rsidR="006134F5">
        <w:t xml:space="preserve">is </w:t>
      </w:r>
      <w:r w:rsidR="00432256">
        <w:t>conduct</w:t>
      </w:r>
      <w:r w:rsidR="006134F5">
        <w:t>ing a co</w:t>
      </w:r>
      <w:r w:rsidR="00432256">
        <w:t xml:space="preserve">mpetition </w:t>
      </w:r>
      <w:r w:rsidR="006134F5">
        <w:t xml:space="preserve">for ESF-RWP grants </w:t>
      </w:r>
      <w:r w:rsidR="00432256">
        <w:t>in 20</w:t>
      </w:r>
      <w:r w:rsidR="006134F5">
        <w:t xml:space="preserve">20. </w:t>
      </w:r>
    </w:p>
    <w:p w:rsidR="0050686A" w:rsidP="00432256" w:rsidRDefault="0050686A" w14:paraId="46A72EBF" w14:textId="77777777">
      <w:pPr>
        <w:pStyle w:val="ListParagraph"/>
        <w:tabs>
          <w:tab w:val="center" w:pos="8505"/>
        </w:tabs>
        <w:contextualSpacing/>
      </w:pPr>
    </w:p>
    <w:p w:rsidR="00770810" w:rsidP="00770810" w:rsidRDefault="0050686A" w14:paraId="46A72EC0" w14:textId="5BAD08C7">
      <w:pPr>
        <w:pStyle w:val="ListParagraph"/>
        <w:tabs>
          <w:tab w:val="center" w:pos="8505"/>
        </w:tabs>
        <w:contextualSpacing/>
      </w:pPr>
      <w:r>
        <w:t xml:space="preserve">Responses to this collection are used in several ways.  Applications submitted in response to the notice inviting applications are used to </w:t>
      </w:r>
      <w:r w:rsidRPr="0050686A">
        <w:t xml:space="preserve">determine the eligibility of the applicant and to determine whether the </w:t>
      </w:r>
      <w:r>
        <w:t xml:space="preserve">proposed </w:t>
      </w:r>
      <w:r w:rsidRPr="0050686A">
        <w:t xml:space="preserve">project can be funded under the provisions of the </w:t>
      </w:r>
      <w:r>
        <w:t>authorizing statute.  Peer</w:t>
      </w:r>
      <w:r w:rsidRPr="0050686A">
        <w:t xml:space="preserve"> reviewers use the information provided to </w:t>
      </w:r>
      <w:r>
        <w:t xml:space="preserve">assess the quality of </w:t>
      </w:r>
      <w:r w:rsidRPr="0050686A">
        <w:t xml:space="preserve">the applications </w:t>
      </w:r>
      <w:r>
        <w:t xml:space="preserve">using the selection criteria set out in the information collection.  The applications of applicants selected for funding are used to monitor grantee performance </w:t>
      </w:r>
      <w:r w:rsidR="00770810">
        <w:t xml:space="preserve">and adherence to the terms and conditions of the award.  Grantees report their progress in carrying out the goals and objectives described in their applications, provide budget information, </w:t>
      </w:r>
      <w:r w:rsidR="009E777A">
        <w:t xml:space="preserve">and </w:t>
      </w:r>
      <w:r w:rsidR="00770810">
        <w:t xml:space="preserve">report on the </w:t>
      </w:r>
      <w:r w:rsidR="009E777A">
        <w:t>performance</w:t>
      </w:r>
      <w:r w:rsidR="00770810">
        <w:t xml:space="preserve"> indicators established by the collection</w:t>
      </w:r>
      <w:r w:rsidR="009E777A">
        <w:t xml:space="preserve">.  </w:t>
      </w:r>
    </w:p>
    <w:p w:rsidR="00770810" w:rsidP="00432256" w:rsidRDefault="00770810" w14:paraId="46A72EC1" w14:textId="77777777">
      <w:pPr>
        <w:pStyle w:val="ListParagraph"/>
        <w:tabs>
          <w:tab w:val="center" w:pos="8505"/>
        </w:tabs>
        <w:contextualSpacing/>
      </w:pPr>
    </w:p>
    <w:p w:rsidR="00B83FB3" w:rsidP="00432256" w:rsidRDefault="00386054" w14:paraId="46A72EC2" w14:textId="77777777">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70810" w:rsidP="00432256" w:rsidRDefault="00770810" w14:paraId="46A72EC3" w14:textId="7F82A867">
      <w:pPr>
        <w:pStyle w:val="ListParagraph"/>
      </w:pPr>
      <w:r>
        <w:t xml:space="preserve">Applications may be submitted electronically via Grants.gov; we estimate that 100 percent of applicants will submit their applications in this way.  </w:t>
      </w:r>
    </w:p>
    <w:p w:rsidR="00872D56" w:rsidP="00432256" w:rsidRDefault="00872D56" w14:paraId="46A72EC4" w14:textId="77777777">
      <w:pPr>
        <w:pStyle w:val="ListParagraph"/>
        <w:numPr>
          <w:ilvl w:val="0"/>
          <w:numId w:val="28"/>
        </w:numPr>
      </w:pPr>
      <w:r w:rsidRPr="00872D56">
        <w:rPr>
          <w:b/>
        </w:rPr>
        <w:t xml:space="preserve"> Describe efforts to identify duplication. Show specifically why any similar information already available cannot be used or modified for use for the purposes described in Item 2 above</w:t>
      </w:r>
      <w:r w:rsidRPr="00431228">
        <w:t>.</w:t>
      </w:r>
    </w:p>
    <w:p w:rsidR="00872D56" w:rsidP="00432256" w:rsidRDefault="00872D56" w14:paraId="46A72EC5" w14:textId="3EA5C690">
      <w:pPr>
        <w:ind w:left="720"/>
      </w:pPr>
      <w:r>
        <w:t>The information requested does not exist elsewhere.</w:t>
      </w:r>
    </w:p>
    <w:p w:rsidR="00B83FB3" w:rsidP="00432256" w:rsidRDefault="00386054" w14:paraId="46A72EC6"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9E777A" w:rsidP="00994136" w:rsidRDefault="00872D56" w14:paraId="45CC9126" w14:textId="15420A57">
      <w:pPr>
        <w:ind w:left="720"/>
      </w:pPr>
      <w:r>
        <w:t xml:space="preserve">Small businesses </w:t>
      </w:r>
      <w:r w:rsidR="009E777A">
        <w:t>and other small entities are not among the entities eligible to apply for ESF-RWP grants, which are State workforce development boards.</w:t>
      </w:r>
    </w:p>
    <w:p w:rsidR="00B83FB3" w:rsidP="00432256" w:rsidRDefault="00386054" w14:paraId="46A72EC8" w14:textId="7777777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9E777A" w:rsidP="009E777A" w:rsidRDefault="00DE224B" w14:paraId="46B1D06B" w14:textId="3138DA06">
      <w:pPr>
        <w:ind w:left="720"/>
      </w:pPr>
      <w:r>
        <w:t xml:space="preserve">The frequency of collection is </w:t>
      </w:r>
      <w:r w:rsidR="009E777A">
        <w:t xml:space="preserve">determined by </w:t>
      </w:r>
      <w:r>
        <w:t>appropriation</w:t>
      </w:r>
      <w:r w:rsidR="009E777A">
        <w:t>s</w:t>
      </w:r>
      <w:r>
        <w:t xml:space="preserve"> </w:t>
      </w:r>
      <w:r w:rsidR="009E777A">
        <w:t>for the program</w:t>
      </w:r>
      <w:r>
        <w:t xml:space="preserve">.  </w:t>
      </w:r>
      <w:r w:rsidR="009E777A">
        <w:t xml:space="preserve">The Department is conducting a competition for ESF-RWP grants in 2020 because Congress appropriated funds for discretionary grants to States with the highest coronavirus burden on  </w:t>
      </w:r>
      <w:r w:rsidR="009C3544">
        <w:t xml:space="preserve">March 27, 2020 </w:t>
      </w:r>
      <w:r w:rsidR="009E777A">
        <w:t xml:space="preserve">and directed the Department to issue a notice inviting applications not later than 30 days of enactment of the </w:t>
      </w:r>
      <w:r w:rsidR="009C3544">
        <w:t xml:space="preserve">CARES </w:t>
      </w:r>
      <w:r w:rsidR="009E777A">
        <w:t>Act and to approve or deny applications for these grants not later than 30 days after receipt of applications.</w:t>
      </w:r>
      <w:r w:rsidR="009C3544">
        <w:t xml:space="preserve">  Should additional appropriations be made available for this program in the future, the Department will solicit applications again using this information collection. </w:t>
      </w:r>
    </w:p>
    <w:p w:rsidRPr="00D330C4" w:rsidR="00386054" w:rsidP="00432256" w:rsidRDefault="00386054" w14:paraId="46A72ECA"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46A72ECB" w14:textId="77777777">
      <w:pPr>
        <w:pStyle w:val="ListParagraph"/>
        <w:numPr>
          <w:ilvl w:val="0"/>
          <w:numId w:val="21"/>
        </w:numPr>
        <w:rPr>
          <w:b/>
        </w:rPr>
      </w:pPr>
      <w:r w:rsidRPr="00D330C4">
        <w:rPr>
          <w:b/>
        </w:rPr>
        <w:t xml:space="preserve">requiring respondents to report information to the agency more often than </w:t>
      </w:r>
      <w:proofErr w:type="gramStart"/>
      <w:r w:rsidRPr="00D330C4">
        <w:rPr>
          <w:b/>
        </w:rPr>
        <w:t>quarterly;</w:t>
      </w:r>
      <w:proofErr w:type="gramEnd"/>
    </w:p>
    <w:p w:rsidRPr="00D330C4" w:rsidR="00386054" w:rsidP="00432256" w:rsidRDefault="00386054" w14:paraId="46A72ECC" w14:textId="77777777">
      <w:pPr>
        <w:pStyle w:val="ListParagraph"/>
        <w:numPr>
          <w:ilvl w:val="0"/>
          <w:numId w:val="21"/>
        </w:numPr>
        <w:rPr>
          <w:b/>
        </w:rPr>
      </w:pPr>
      <w:r w:rsidRPr="00D330C4">
        <w:rPr>
          <w:b/>
        </w:rPr>
        <w:t xml:space="preserve">requiring respondents to prepare a written response to a collection of information in fewer than 30 days after receipt of </w:t>
      </w:r>
      <w:proofErr w:type="gramStart"/>
      <w:r w:rsidRPr="00D330C4">
        <w:rPr>
          <w:b/>
        </w:rPr>
        <w:t>it;</w:t>
      </w:r>
      <w:proofErr w:type="gramEnd"/>
    </w:p>
    <w:p w:rsidRPr="00D330C4" w:rsidR="00386054" w:rsidP="00432256" w:rsidRDefault="00386054" w14:paraId="46A72ECD" w14:textId="77777777">
      <w:pPr>
        <w:pStyle w:val="ListParagraph"/>
        <w:numPr>
          <w:ilvl w:val="0"/>
          <w:numId w:val="21"/>
        </w:numPr>
        <w:rPr>
          <w:b/>
        </w:rPr>
      </w:pPr>
      <w:r w:rsidRPr="00D330C4">
        <w:rPr>
          <w:b/>
        </w:rPr>
        <w:t xml:space="preserve">requiring respondents to submit more than an original and two copies of any </w:t>
      </w:r>
      <w:proofErr w:type="gramStart"/>
      <w:r w:rsidRPr="00D330C4">
        <w:rPr>
          <w:b/>
        </w:rPr>
        <w:t>document;</w:t>
      </w:r>
      <w:proofErr w:type="gramEnd"/>
    </w:p>
    <w:p w:rsidRPr="00D330C4" w:rsidR="00386054" w:rsidP="00432256" w:rsidRDefault="00386054" w14:paraId="46A72ECE" w14:textId="77777777">
      <w:pPr>
        <w:pStyle w:val="ListParagraph"/>
        <w:numPr>
          <w:ilvl w:val="0"/>
          <w:numId w:val="21"/>
        </w:numPr>
        <w:rPr>
          <w:b/>
        </w:rPr>
      </w:pPr>
      <w:r w:rsidRPr="00D330C4">
        <w:rPr>
          <w:b/>
        </w:rPr>
        <w:lastRenderedPageBreak/>
        <w:t xml:space="preserve">requiring respondents to retain records, other than health, medical, government contract, grant-in-aid, or tax records for more than three </w:t>
      </w:r>
      <w:proofErr w:type="gramStart"/>
      <w:r w:rsidRPr="00D330C4">
        <w:rPr>
          <w:b/>
        </w:rPr>
        <w:t>years;</w:t>
      </w:r>
      <w:proofErr w:type="gramEnd"/>
    </w:p>
    <w:p w:rsidRPr="00D330C4" w:rsidR="00386054" w:rsidP="00432256" w:rsidRDefault="00386054" w14:paraId="46A72ECF" w14:textId="77777777">
      <w:pPr>
        <w:pStyle w:val="ListParagraph"/>
        <w:numPr>
          <w:ilvl w:val="0"/>
          <w:numId w:val="21"/>
        </w:numPr>
        <w:rPr>
          <w:b/>
        </w:rPr>
      </w:pPr>
      <w:r w:rsidRPr="00D330C4">
        <w:rPr>
          <w:b/>
        </w:rPr>
        <w:t xml:space="preserve">in connection with a statistical survey, that is not designed to produce valid and reliable results than can be generalized to the universe of </w:t>
      </w:r>
      <w:proofErr w:type="gramStart"/>
      <w:r w:rsidRPr="00D330C4">
        <w:rPr>
          <w:b/>
        </w:rPr>
        <w:t>study;</w:t>
      </w:r>
      <w:proofErr w:type="gramEnd"/>
    </w:p>
    <w:p w:rsidRPr="00D330C4" w:rsidR="00386054" w:rsidP="00432256" w:rsidRDefault="00386054" w14:paraId="46A72ED0" w14:textId="77777777">
      <w:pPr>
        <w:pStyle w:val="ListParagraph"/>
        <w:numPr>
          <w:ilvl w:val="0"/>
          <w:numId w:val="21"/>
        </w:numPr>
        <w:rPr>
          <w:b/>
        </w:rPr>
      </w:pPr>
      <w:r w:rsidRPr="00D330C4">
        <w:rPr>
          <w:b/>
        </w:rPr>
        <w:t xml:space="preserve">requiring the use of a statistical data classification that has not been reviewed and approved by </w:t>
      </w:r>
      <w:proofErr w:type="gramStart"/>
      <w:r w:rsidRPr="00D330C4">
        <w:rPr>
          <w:b/>
        </w:rPr>
        <w:t>OMB;</w:t>
      </w:r>
      <w:proofErr w:type="gramEnd"/>
    </w:p>
    <w:p w:rsidRPr="00D330C4" w:rsidR="00386054" w:rsidP="00432256" w:rsidRDefault="00386054" w14:paraId="46A72ED1" w14:textId="77777777">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432256" w:rsidRDefault="00386054" w14:paraId="46A72ED2" w14:textId="77777777">
      <w:pPr>
        <w:pStyle w:val="ListParagraph"/>
        <w:numPr>
          <w:ilvl w:val="0"/>
          <w:numId w:val="21"/>
        </w:numPr>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Pr="00EF7FF5" w:rsidR="00D330C4" w:rsidP="00432256" w:rsidRDefault="00D330C4" w14:paraId="46A72ED3" w14:textId="77777777">
      <w:pPr>
        <w:ind w:left="720"/>
      </w:pPr>
      <w:r>
        <w:t>No such circumstances exist.</w:t>
      </w:r>
    </w:p>
    <w:p w:rsidRPr="004206FC" w:rsidR="00386054" w:rsidP="00432256" w:rsidRDefault="001743A5" w14:paraId="46A72ED4"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 xml:space="preserve">state that the Department has published the 60 and 30 Federal Register notices as </w:t>
      </w:r>
      <w:r w:rsidRPr="004206FC" w:rsidR="00386054">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46A72ED5" w14:textId="77777777">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432256" w:rsidRDefault="00386054" w14:paraId="46A72ED6" w14:textId="77777777">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C10D1" w:rsidR="002C10D1" w:rsidP="00432256" w:rsidRDefault="002C10D1" w14:paraId="46A72ED7" w14:textId="6AE8A466">
      <w:pPr>
        <w:ind w:left="720"/>
        <w:rPr>
          <w:rStyle w:val="a"/>
        </w:rPr>
      </w:pPr>
      <w:r w:rsidRPr="00AD3E8E">
        <w:rPr>
          <w:rStyle w:val="a"/>
        </w:rPr>
        <w:t>This is a discretionary grant program</w:t>
      </w:r>
      <w:r w:rsidRPr="00AD3E8E" w:rsidR="009C3544">
        <w:rPr>
          <w:rStyle w:val="a"/>
        </w:rPr>
        <w:t xml:space="preserve"> using the streamlined review process</w:t>
      </w:r>
      <w:r w:rsidRPr="00AD3E8E" w:rsidR="003F3C70">
        <w:rPr>
          <w:rStyle w:val="a"/>
        </w:rPr>
        <w:t xml:space="preserve"> for discretionary grants</w:t>
      </w:r>
      <w:r w:rsidRPr="00AD3E8E" w:rsidR="009C3544">
        <w:rPr>
          <w:rStyle w:val="a"/>
        </w:rPr>
        <w:t xml:space="preserve">. The </w:t>
      </w:r>
      <w:r w:rsidRPr="00AD3E8E">
        <w:rPr>
          <w:rStyle w:val="a"/>
        </w:rPr>
        <w:t xml:space="preserve">Department </w:t>
      </w:r>
      <w:r w:rsidRPr="00AD3E8E" w:rsidR="009C3544">
        <w:rPr>
          <w:rStyle w:val="a"/>
        </w:rPr>
        <w:t xml:space="preserve">will </w:t>
      </w:r>
      <w:r w:rsidRPr="00AD3E8E">
        <w:rPr>
          <w:rStyle w:val="a"/>
        </w:rPr>
        <w:t xml:space="preserve">publish </w:t>
      </w:r>
      <w:r w:rsidRPr="00AD3E8E" w:rsidR="00AD3E8E">
        <w:rPr>
          <w:rStyle w:val="a"/>
        </w:rPr>
        <w:t>a</w:t>
      </w:r>
      <w:r w:rsidRPr="00AD3E8E">
        <w:rPr>
          <w:rStyle w:val="a"/>
        </w:rPr>
        <w:t xml:space="preserve"> 30-day </w:t>
      </w:r>
      <w:r w:rsidRPr="00AD3E8E">
        <w:rPr>
          <w:rStyle w:val="a"/>
          <w:i/>
          <w:iCs/>
        </w:rPr>
        <w:t>Federal Register</w:t>
      </w:r>
      <w:r w:rsidRPr="00AD3E8E">
        <w:rPr>
          <w:rStyle w:val="a"/>
        </w:rPr>
        <w:t xml:space="preserve"> </w:t>
      </w:r>
      <w:r w:rsidRPr="00AD3E8E" w:rsidR="009C3544">
        <w:rPr>
          <w:rStyle w:val="a"/>
        </w:rPr>
        <w:t>n</w:t>
      </w:r>
      <w:r w:rsidRPr="00AD3E8E">
        <w:rPr>
          <w:rStyle w:val="a"/>
        </w:rPr>
        <w:t>otice seeking public comment</w:t>
      </w:r>
      <w:r w:rsidRPr="00AD3E8E" w:rsidR="009C3544">
        <w:rPr>
          <w:rStyle w:val="a"/>
        </w:rPr>
        <w:t xml:space="preserve"> on this collection.</w:t>
      </w:r>
      <w:r w:rsidR="009C3544">
        <w:rPr>
          <w:rStyle w:val="a"/>
        </w:rPr>
        <w:t xml:space="preserve"> </w:t>
      </w:r>
      <w:r>
        <w:rPr>
          <w:rStyle w:val="a"/>
        </w:rPr>
        <w:t xml:space="preserve"> </w:t>
      </w:r>
    </w:p>
    <w:p w:rsidR="00386054" w:rsidP="00432256" w:rsidRDefault="00386054" w14:paraId="46A72ED8" w14:textId="77777777">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46A72ED9" w14:textId="77777777">
      <w:pPr>
        <w:ind w:left="720"/>
        <w:rPr>
          <w:rStyle w:val="a"/>
        </w:rPr>
      </w:pPr>
      <w:r>
        <w:rPr>
          <w:rStyle w:val="a"/>
        </w:rPr>
        <w:t xml:space="preserve">There are no payments or gifts to respondents. </w:t>
      </w:r>
    </w:p>
    <w:p w:rsidR="00B83FB3" w:rsidP="00432256" w:rsidRDefault="00386054" w14:paraId="46A72EDA" w14:textId="77777777">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lastRenderedPageBreak/>
        <w:t xml:space="preserve">confidentiality </w:t>
      </w:r>
      <w:r w:rsidRPr="004206FC">
        <w:rPr>
          <w:b/>
        </w:rPr>
        <w:t>should be provided.</w:t>
      </w:r>
      <w:r w:rsidRPr="004206FC" w:rsidR="00CF7053">
        <w:rPr>
          <w:b/>
        </w:rPr>
        <w:t xml:space="preserve"> </w:t>
      </w:r>
      <w:r w:rsidRPr="004206FC"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4206FC" w:rsidR="00CF7053">
        <w:rPr>
          <w:b/>
        </w:rPr>
        <w:t xml:space="preserve">. </w:t>
      </w:r>
      <w:r w:rsidRPr="004206FC" w:rsidR="001743A5">
        <w:rPr>
          <w:b/>
        </w:rPr>
        <w:t>If the collection is 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46A72EDB" w14:textId="77777777">
      <w:pPr>
        <w:ind w:left="720"/>
      </w:pPr>
      <w:r>
        <w:t xml:space="preserve">There are no assurances of confidentiality. </w:t>
      </w:r>
    </w:p>
    <w:p w:rsidR="00B83FB3" w:rsidP="00432256" w:rsidRDefault="00386054" w14:paraId="46A72EDC"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46A72EDD" w14:textId="77777777">
      <w:pPr>
        <w:ind w:firstLine="720"/>
      </w:pPr>
      <w:r>
        <w:t>There are no questions of a sensitive nature.</w:t>
      </w:r>
    </w:p>
    <w:p w:rsidRPr="001C5D8A" w:rsidR="00386054" w:rsidP="00432256" w:rsidRDefault="00386054" w14:paraId="46A72EDE" w14:textId="77777777">
      <w:pPr>
        <w:pStyle w:val="ListParagraph"/>
        <w:numPr>
          <w:ilvl w:val="0"/>
          <w:numId w:val="28"/>
        </w:numPr>
        <w:rPr>
          <w:rStyle w:val="a"/>
          <w:b/>
        </w:rPr>
      </w:pPr>
      <w:r w:rsidRPr="001C5D8A">
        <w:rPr>
          <w:rStyle w:val="a"/>
          <w:b/>
        </w:rPr>
        <w:t>Provide estimates of the hour burden of the collection of information.  The statement should:</w:t>
      </w:r>
    </w:p>
    <w:p w:rsidRPr="001C5D8A" w:rsidR="00386054" w:rsidP="00432256" w:rsidRDefault="00386054" w14:paraId="46A72EDF"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46A72EE0"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w:t>
      </w:r>
      <w:proofErr w:type="gramStart"/>
      <w:r w:rsidRPr="001C5D8A">
        <w:rPr>
          <w:rStyle w:val="a"/>
          <w:b/>
        </w:rPr>
        <w:t>form</w:t>
      </w:r>
      <w:proofErr w:type="gramEnd"/>
      <w:r w:rsidRPr="001C5D8A">
        <w:rPr>
          <w:rStyle w:val="a"/>
          <w:b/>
        </w:rPr>
        <w:t xml:space="preserve">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432256" w:rsidRDefault="00386054" w14:paraId="46A72EE1" w14:textId="77777777">
      <w:pPr>
        <w:pStyle w:val="ListParagraph"/>
        <w:numPr>
          <w:ilvl w:val="0"/>
          <w:numId w:val="22"/>
        </w:numPr>
        <w:rPr>
          <w:rStyle w:val="a"/>
        </w:rPr>
      </w:pPr>
      <w:r w:rsidRPr="007F393F">
        <w:rPr>
          <w:rStyle w:val="a"/>
          <w:b/>
        </w:rPr>
        <w:t xml:space="preserve">Provide estimates of annualized cost to respondents of the hour burdens for collections of information, identifying and using appropriate wage rate categories.  The cost of contracting out or paying outside parties for information </w:t>
      </w:r>
      <w:r w:rsidRPr="007F393F">
        <w:rPr>
          <w:rStyle w:val="a"/>
          <w:b/>
        </w:rPr>
        <w:lastRenderedPageBreak/>
        <w:t>collection activities should not be included here.  Instead, this cost should be included in Item 14</w:t>
      </w:r>
      <w:r w:rsidRPr="00322E02">
        <w:rPr>
          <w:rStyle w:val="a"/>
        </w:rPr>
        <w:t>.</w:t>
      </w:r>
    </w:p>
    <w:p w:rsidR="00E45EE8" w:rsidP="00432256" w:rsidRDefault="00E45EE8" w14:paraId="46A72EE2" w14:textId="77777777">
      <w:pPr>
        <w:tabs>
          <w:tab w:val="num" w:pos="1134"/>
        </w:tabs>
        <w:ind w:left="709"/>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37"/>
        <w:gridCol w:w="1350"/>
        <w:gridCol w:w="1440"/>
        <w:gridCol w:w="1800"/>
      </w:tblGrid>
      <w:tr w:rsidR="009C3544" w:rsidTr="00CD14A4" w14:paraId="46A72EE9" w14:textId="77777777">
        <w:trPr>
          <w:jc w:val="center"/>
        </w:trPr>
        <w:tc>
          <w:tcPr>
            <w:tcW w:w="1437" w:type="dxa"/>
          </w:tcPr>
          <w:p w:rsidRPr="001F60E6" w:rsidR="009C3544" w:rsidP="00CD14A4" w:rsidRDefault="009C3544" w14:paraId="46A72EE3" w14:textId="77777777">
            <w:pPr>
              <w:tabs>
                <w:tab w:val="num" w:pos="993"/>
              </w:tabs>
              <w:jc w:val="center"/>
              <w:rPr>
                <w:bCs/>
              </w:rPr>
            </w:pPr>
            <w:r w:rsidRPr="001F60E6">
              <w:rPr>
                <w:bCs/>
              </w:rPr>
              <w:t>Fiscal Year</w:t>
            </w:r>
          </w:p>
        </w:tc>
        <w:tc>
          <w:tcPr>
            <w:tcW w:w="1350" w:type="dxa"/>
          </w:tcPr>
          <w:p w:rsidRPr="001F60E6" w:rsidR="009C3544" w:rsidP="00CD14A4" w:rsidRDefault="009C3544" w14:paraId="46A72EE4" w14:textId="77777777">
            <w:pPr>
              <w:tabs>
                <w:tab w:val="num" w:pos="993"/>
              </w:tabs>
              <w:jc w:val="center"/>
              <w:rPr>
                <w:bCs/>
              </w:rPr>
            </w:pPr>
            <w:r w:rsidRPr="001F60E6">
              <w:rPr>
                <w:bCs/>
              </w:rPr>
              <w:t>Estimated Number of Responses</w:t>
            </w:r>
          </w:p>
        </w:tc>
        <w:tc>
          <w:tcPr>
            <w:tcW w:w="1440" w:type="dxa"/>
          </w:tcPr>
          <w:p w:rsidRPr="001F60E6" w:rsidR="009C3544" w:rsidP="00CD14A4" w:rsidRDefault="009C3544" w14:paraId="46A72EE6" w14:textId="77777777">
            <w:pPr>
              <w:tabs>
                <w:tab w:val="num" w:pos="993"/>
              </w:tabs>
              <w:jc w:val="center"/>
              <w:rPr>
                <w:bCs/>
              </w:rPr>
            </w:pPr>
            <w:r w:rsidRPr="001F60E6">
              <w:rPr>
                <w:bCs/>
              </w:rPr>
              <w:t>Estimated Number of Burden Hours Per Response</w:t>
            </w:r>
          </w:p>
          <w:p w:rsidRPr="001F60E6" w:rsidR="009C3544" w:rsidP="00CD14A4" w:rsidRDefault="009C3544" w14:paraId="46A72EE7" w14:textId="77777777">
            <w:pPr>
              <w:tabs>
                <w:tab w:val="num" w:pos="993"/>
              </w:tabs>
              <w:jc w:val="center"/>
              <w:rPr>
                <w:bCs/>
              </w:rPr>
            </w:pPr>
          </w:p>
        </w:tc>
        <w:tc>
          <w:tcPr>
            <w:tcW w:w="1800" w:type="dxa"/>
          </w:tcPr>
          <w:p w:rsidRPr="001F60E6" w:rsidR="009C3544" w:rsidP="00CD14A4" w:rsidRDefault="009C3544" w14:paraId="46A72EE8" w14:textId="77777777">
            <w:pPr>
              <w:tabs>
                <w:tab w:val="num" w:pos="993"/>
              </w:tabs>
              <w:jc w:val="center"/>
              <w:rPr>
                <w:bCs/>
              </w:rPr>
            </w:pPr>
            <w:r w:rsidRPr="001F60E6">
              <w:rPr>
                <w:bCs/>
              </w:rPr>
              <w:t>Total Estimated Number of Burden Hours</w:t>
            </w:r>
          </w:p>
        </w:tc>
      </w:tr>
      <w:tr w:rsidR="009C3544" w:rsidTr="00CD14A4" w14:paraId="46A72EF5" w14:textId="77777777">
        <w:trPr>
          <w:jc w:val="center"/>
        </w:trPr>
        <w:tc>
          <w:tcPr>
            <w:tcW w:w="1437" w:type="dxa"/>
          </w:tcPr>
          <w:p w:rsidR="009C3544" w:rsidP="00FB6848" w:rsidRDefault="009C3544" w14:paraId="46A72EEA" w14:textId="5ED774B3">
            <w:pPr>
              <w:tabs>
                <w:tab w:val="num" w:pos="993"/>
              </w:tabs>
            </w:pPr>
            <w:r>
              <w:t>2020</w:t>
            </w:r>
          </w:p>
        </w:tc>
        <w:tc>
          <w:tcPr>
            <w:tcW w:w="1350" w:type="dxa"/>
          </w:tcPr>
          <w:p w:rsidR="009C3544" w:rsidP="00CD14A4" w:rsidRDefault="009C3544" w14:paraId="46A72EEB" w14:textId="5711E446">
            <w:pPr>
              <w:tabs>
                <w:tab w:val="num" w:pos="993"/>
              </w:tabs>
              <w:jc w:val="right"/>
            </w:pPr>
            <w:r>
              <w:t>40</w:t>
            </w:r>
          </w:p>
        </w:tc>
        <w:tc>
          <w:tcPr>
            <w:tcW w:w="1440" w:type="dxa"/>
          </w:tcPr>
          <w:p w:rsidR="009C3544" w:rsidP="00CD14A4" w:rsidRDefault="009C3544" w14:paraId="46A72EF1" w14:textId="6970485D">
            <w:pPr>
              <w:tabs>
                <w:tab w:val="num" w:pos="993"/>
              </w:tabs>
              <w:jc w:val="right"/>
            </w:pPr>
            <w:r>
              <w:t>40</w:t>
            </w:r>
          </w:p>
        </w:tc>
        <w:tc>
          <w:tcPr>
            <w:tcW w:w="1800" w:type="dxa"/>
          </w:tcPr>
          <w:p w:rsidR="009C3544" w:rsidP="00CD14A4" w:rsidRDefault="009C3544" w14:paraId="46A72EF4" w14:textId="53072747">
            <w:pPr>
              <w:tabs>
                <w:tab w:val="num" w:pos="993"/>
              </w:tabs>
              <w:jc w:val="right"/>
            </w:pPr>
            <w:r>
              <w:t>1,600</w:t>
            </w:r>
          </w:p>
        </w:tc>
      </w:tr>
      <w:tr w:rsidR="009C3544" w:rsidTr="00CD14A4" w14:paraId="46A72F01" w14:textId="77777777">
        <w:trPr>
          <w:jc w:val="center"/>
        </w:trPr>
        <w:tc>
          <w:tcPr>
            <w:tcW w:w="1437" w:type="dxa"/>
          </w:tcPr>
          <w:p w:rsidR="009C3544" w:rsidP="00FB6848" w:rsidRDefault="009C3544" w14:paraId="46A72EF6" w14:textId="58254955">
            <w:pPr>
              <w:tabs>
                <w:tab w:val="num" w:pos="993"/>
              </w:tabs>
            </w:pPr>
            <w:r>
              <w:t>2021</w:t>
            </w:r>
          </w:p>
        </w:tc>
        <w:tc>
          <w:tcPr>
            <w:tcW w:w="1350" w:type="dxa"/>
          </w:tcPr>
          <w:p w:rsidR="009C3544" w:rsidP="00CD14A4" w:rsidRDefault="009C3544" w14:paraId="46A72EF7" w14:textId="53BE1A17">
            <w:pPr>
              <w:tabs>
                <w:tab w:val="num" w:pos="993"/>
              </w:tabs>
              <w:jc w:val="right"/>
            </w:pPr>
            <w:r>
              <w:t>40</w:t>
            </w:r>
          </w:p>
        </w:tc>
        <w:tc>
          <w:tcPr>
            <w:tcW w:w="1440" w:type="dxa"/>
          </w:tcPr>
          <w:p w:rsidR="009C3544" w:rsidP="00CD14A4" w:rsidRDefault="009C3544" w14:paraId="46A72EFD" w14:textId="0945207D">
            <w:pPr>
              <w:tabs>
                <w:tab w:val="num" w:pos="993"/>
              </w:tabs>
              <w:jc w:val="right"/>
            </w:pPr>
            <w:r>
              <w:t>40</w:t>
            </w:r>
          </w:p>
        </w:tc>
        <w:tc>
          <w:tcPr>
            <w:tcW w:w="1800" w:type="dxa"/>
          </w:tcPr>
          <w:p w:rsidR="009C3544" w:rsidP="00CD14A4" w:rsidRDefault="009C3544" w14:paraId="46A72F00" w14:textId="175252FA">
            <w:pPr>
              <w:tabs>
                <w:tab w:val="num" w:pos="993"/>
              </w:tabs>
              <w:jc w:val="right"/>
            </w:pPr>
            <w:r>
              <w:t>1,600</w:t>
            </w:r>
          </w:p>
        </w:tc>
      </w:tr>
      <w:tr w:rsidR="009C3544" w:rsidTr="00CD14A4" w14:paraId="46A72F0D" w14:textId="77777777">
        <w:trPr>
          <w:jc w:val="center"/>
        </w:trPr>
        <w:tc>
          <w:tcPr>
            <w:tcW w:w="1437" w:type="dxa"/>
          </w:tcPr>
          <w:p w:rsidR="009C3544" w:rsidP="00FB6848" w:rsidRDefault="009C3544" w14:paraId="46A72F02" w14:textId="7621EE23">
            <w:pPr>
              <w:tabs>
                <w:tab w:val="num" w:pos="993"/>
              </w:tabs>
              <w:rPr>
                <w:bCs/>
              </w:rPr>
            </w:pPr>
            <w:r>
              <w:rPr>
                <w:bCs/>
              </w:rPr>
              <w:t>2022</w:t>
            </w:r>
          </w:p>
        </w:tc>
        <w:tc>
          <w:tcPr>
            <w:tcW w:w="1350" w:type="dxa"/>
          </w:tcPr>
          <w:p w:rsidR="009C3544" w:rsidP="00CD14A4" w:rsidRDefault="009C3544" w14:paraId="46A72F03" w14:textId="6BE37338">
            <w:pPr>
              <w:tabs>
                <w:tab w:val="num" w:pos="993"/>
              </w:tabs>
              <w:jc w:val="right"/>
              <w:rPr>
                <w:bCs/>
              </w:rPr>
            </w:pPr>
            <w:r>
              <w:rPr>
                <w:bCs/>
              </w:rPr>
              <w:t>40</w:t>
            </w:r>
          </w:p>
        </w:tc>
        <w:tc>
          <w:tcPr>
            <w:tcW w:w="1440" w:type="dxa"/>
          </w:tcPr>
          <w:p w:rsidRPr="003F3C70" w:rsidR="009C3544" w:rsidP="00CD14A4" w:rsidRDefault="009C3544" w14:paraId="46A72F09" w14:textId="31C86425">
            <w:pPr>
              <w:tabs>
                <w:tab w:val="num" w:pos="993"/>
              </w:tabs>
              <w:jc w:val="right"/>
              <w:rPr>
                <w:bCs/>
              </w:rPr>
            </w:pPr>
            <w:r w:rsidRPr="003F3C70">
              <w:rPr>
                <w:bCs/>
              </w:rPr>
              <w:t>40</w:t>
            </w:r>
          </w:p>
        </w:tc>
        <w:tc>
          <w:tcPr>
            <w:tcW w:w="1800" w:type="dxa"/>
          </w:tcPr>
          <w:p w:rsidR="009C3544" w:rsidP="00CD14A4" w:rsidRDefault="009C3544" w14:paraId="46A72F0C" w14:textId="43BF0FBE">
            <w:pPr>
              <w:tabs>
                <w:tab w:val="num" w:pos="993"/>
              </w:tabs>
              <w:jc w:val="right"/>
              <w:rPr>
                <w:bCs/>
              </w:rPr>
            </w:pPr>
            <w:r>
              <w:rPr>
                <w:bCs/>
              </w:rPr>
              <w:t>1,600</w:t>
            </w:r>
          </w:p>
        </w:tc>
      </w:tr>
      <w:tr w:rsidR="009C3544" w:rsidTr="00CD14A4" w14:paraId="46A72F13" w14:textId="77777777">
        <w:trPr>
          <w:jc w:val="center"/>
        </w:trPr>
        <w:tc>
          <w:tcPr>
            <w:tcW w:w="1437" w:type="dxa"/>
          </w:tcPr>
          <w:p w:rsidR="009C3544" w:rsidP="00FB6848" w:rsidRDefault="009C3544" w14:paraId="46A72F0E" w14:textId="77777777">
            <w:pPr>
              <w:tabs>
                <w:tab w:val="num" w:pos="993"/>
              </w:tabs>
              <w:rPr>
                <w:b/>
              </w:rPr>
            </w:pPr>
            <w:r>
              <w:rPr>
                <w:b/>
              </w:rPr>
              <w:t>TOTAL</w:t>
            </w:r>
          </w:p>
        </w:tc>
        <w:tc>
          <w:tcPr>
            <w:tcW w:w="1350" w:type="dxa"/>
          </w:tcPr>
          <w:p w:rsidRPr="00CD14A4" w:rsidR="009C3544" w:rsidP="00CD14A4" w:rsidRDefault="009C3544" w14:paraId="46A72F0F" w14:textId="2D1D2BED">
            <w:pPr>
              <w:tabs>
                <w:tab w:val="num" w:pos="993"/>
              </w:tabs>
              <w:jc w:val="right"/>
              <w:rPr>
                <w:b/>
              </w:rPr>
            </w:pPr>
            <w:r w:rsidRPr="00CD14A4">
              <w:rPr>
                <w:b/>
              </w:rPr>
              <w:t xml:space="preserve"> </w:t>
            </w:r>
            <w:r w:rsidRPr="00CD14A4" w:rsidR="00CD14A4">
              <w:rPr>
                <w:b/>
              </w:rPr>
              <w:t>120</w:t>
            </w:r>
          </w:p>
        </w:tc>
        <w:tc>
          <w:tcPr>
            <w:tcW w:w="1440" w:type="dxa"/>
          </w:tcPr>
          <w:p w:rsidRPr="00CD14A4" w:rsidR="009C3544" w:rsidP="00CD14A4" w:rsidRDefault="00CD14A4" w14:paraId="46A72F11" w14:textId="6C77143C">
            <w:pPr>
              <w:tabs>
                <w:tab w:val="num" w:pos="993"/>
              </w:tabs>
              <w:jc w:val="right"/>
              <w:rPr>
                <w:b/>
              </w:rPr>
            </w:pPr>
            <w:r w:rsidRPr="00CD14A4">
              <w:rPr>
                <w:b/>
              </w:rPr>
              <w:t>120</w:t>
            </w:r>
          </w:p>
        </w:tc>
        <w:tc>
          <w:tcPr>
            <w:tcW w:w="1800" w:type="dxa"/>
          </w:tcPr>
          <w:p w:rsidRPr="00CD14A4" w:rsidR="009C3544" w:rsidP="00CD14A4" w:rsidRDefault="009C3544" w14:paraId="46A72F12" w14:textId="79C660ED">
            <w:pPr>
              <w:tabs>
                <w:tab w:val="num" w:pos="993"/>
              </w:tabs>
              <w:jc w:val="right"/>
              <w:rPr>
                <w:b/>
              </w:rPr>
            </w:pPr>
            <w:r w:rsidRPr="00CD14A4">
              <w:rPr>
                <w:b/>
              </w:rPr>
              <w:t xml:space="preserve"> </w:t>
            </w:r>
            <w:r w:rsidRPr="00CD14A4" w:rsidR="00CD14A4">
              <w:rPr>
                <w:b/>
              </w:rPr>
              <w:t>4,800</w:t>
            </w:r>
          </w:p>
        </w:tc>
      </w:tr>
      <w:tr w:rsidR="009C3544" w:rsidTr="00CD14A4" w14:paraId="46A72F1E" w14:textId="77777777">
        <w:trPr>
          <w:jc w:val="center"/>
        </w:trPr>
        <w:tc>
          <w:tcPr>
            <w:tcW w:w="1437" w:type="dxa"/>
          </w:tcPr>
          <w:p w:rsidR="009C3544" w:rsidP="00FB6848" w:rsidRDefault="009C3544" w14:paraId="46A72F14" w14:textId="77777777">
            <w:pPr>
              <w:tabs>
                <w:tab w:val="num" w:pos="993"/>
              </w:tabs>
              <w:rPr>
                <w:b/>
              </w:rPr>
            </w:pPr>
            <w:r>
              <w:rPr>
                <w:b/>
              </w:rPr>
              <w:t>ANNUAL</w:t>
            </w:r>
          </w:p>
          <w:p w:rsidR="009C3544" w:rsidP="00FB6848" w:rsidRDefault="009C3544" w14:paraId="46A72F15" w14:textId="77777777">
            <w:pPr>
              <w:tabs>
                <w:tab w:val="num" w:pos="993"/>
              </w:tabs>
              <w:rPr>
                <w:b/>
              </w:rPr>
            </w:pPr>
            <w:r>
              <w:rPr>
                <w:b/>
              </w:rPr>
              <w:t>AVERAGE</w:t>
            </w:r>
          </w:p>
        </w:tc>
        <w:tc>
          <w:tcPr>
            <w:tcW w:w="1350" w:type="dxa"/>
          </w:tcPr>
          <w:p w:rsidRPr="00CD14A4" w:rsidR="009C3544" w:rsidP="00CD14A4" w:rsidRDefault="009C3544" w14:paraId="46A72F16" w14:textId="77777777">
            <w:pPr>
              <w:tabs>
                <w:tab w:val="num" w:pos="993"/>
              </w:tabs>
              <w:jc w:val="right"/>
              <w:rPr>
                <w:b/>
              </w:rPr>
            </w:pPr>
          </w:p>
          <w:p w:rsidRPr="00CD14A4" w:rsidR="009C3544" w:rsidP="00CD14A4" w:rsidRDefault="009C3544" w14:paraId="46A72F17" w14:textId="76B88477">
            <w:pPr>
              <w:tabs>
                <w:tab w:val="num" w:pos="993"/>
              </w:tabs>
              <w:jc w:val="right"/>
              <w:rPr>
                <w:b/>
              </w:rPr>
            </w:pPr>
            <w:r w:rsidRPr="00CD14A4">
              <w:rPr>
                <w:b/>
              </w:rPr>
              <w:t xml:space="preserve">   </w:t>
            </w:r>
            <w:r w:rsidRPr="00CD14A4" w:rsidR="00CD14A4">
              <w:rPr>
                <w:b/>
              </w:rPr>
              <w:t>40</w:t>
            </w:r>
          </w:p>
        </w:tc>
        <w:tc>
          <w:tcPr>
            <w:tcW w:w="1440" w:type="dxa"/>
          </w:tcPr>
          <w:p w:rsidRPr="00CD14A4" w:rsidR="00CD14A4" w:rsidP="00CD14A4" w:rsidRDefault="00CD14A4" w14:paraId="74F1FCB0" w14:textId="77777777">
            <w:pPr>
              <w:tabs>
                <w:tab w:val="num" w:pos="993"/>
              </w:tabs>
              <w:jc w:val="right"/>
              <w:rPr>
                <w:b/>
              </w:rPr>
            </w:pPr>
          </w:p>
          <w:p w:rsidRPr="00CD14A4" w:rsidR="009C3544" w:rsidP="00CD14A4" w:rsidRDefault="00CD14A4" w14:paraId="46A72F1B" w14:textId="4EB08721">
            <w:pPr>
              <w:tabs>
                <w:tab w:val="num" w:pos="993"/>
              </w:tabs>
              <w:jc w:val="right"/>
              <w:rPr>
                <w:b/>
              </w:rPr>
            </w:pPr>
            <w:r w:rsidRPr="00CD14A4">
              <w:rPr>
                <w:b/>
              </w:rPr>
              <w:t>40</w:t>
            </w:r>
            <w:r w:rsidRPr="00CD14A4" w:rsidR="009C3544">
              <w:rPr>
                <w:b/>
              </w:rPr>
              <w:t xml:space="preserve"> </w:t>
            </w:r>
          </w:p>
        </w:tc>
        <w:tc>
          <w:tcPr>
            <w:tcW w:w="1800" w:type="dxa"/>
          </w:tcPr>
          <w:p w:rsidRPr="00CD14A4" w:rsidR="00CD14A4" w:rsidP="00CD14A4" w:rsidRDefault="00CD14A4" w14:paraId="6BCFA3D8" w14:textId="77777777">
            <w:pPr>
              <w:tabs>
                <w:tab w:val="num" w:pos="993"/>
              </w:tabs>
              <w:jc w:val="right"/>
              <w:rPr>
                <w:b/>
              </w:rPr>
            </w:pPr>
          </w:p>
          <w:p w:rsidRPr="00CD14A4" w:rsidR="009C3544" w:rsidP="00CD14A4" w:rsidRDefault="00CD14A4" w14:paraId="46A72F1D" w14:textId="344C3D12">
            <w:pPr>
              <w:tabs>
                <w:tab w:val="num" w:pos="993"/>
              </w:tabs>
              <w:jc w:val="right"/>
              <w:rPr>
                <w:b/>
              </w:rPr>
            </w:pPr>
            <w:r w:rsidRPr="00CD14A4">
              <w:rPr>
                <w:b/>
              </w:rPr>
              <w:t>1,600</w:t>
            </w:r>
          </w:p>
        </w:tc>
      </w:tr>
    </w:tbl>
    <w:p w:rsidR="00E45EE8" w:rsidP="00432256" w:rsidRDefault="00E45EE8" w14:paraId="46A72F1F" w14:textId="77777777">
      <w:pPr>
        <w:tabs>
          <w:tab w:val="num" w:pos="1134"/>
        </w:tabs>
        <w:ind w:left="709"/>
      </w:pPr>
    </w:p>
    <w:p w:rsidR="004F21F5" w:rsidP="00432256" w:rsidRDefault="00070139" w14:paraId="46A72F20" w14:textId="242F0131">
      <w:pPr>
        <w:tabs>
          <w:tab w:val="num" w:pos="1134"/>
        </w:tabs>
        <w:ind w:left="709"/>
      </w:pPr>
      <w:r>
        <w:t>W</w:t>
      </w:r>
      <w:r w:rsidR="004F21F5">
        <w:t xml:space="preserve">e expect that the Department will </w:t>
      </w:r>
      <w:r w:rsidR="00CD14A4">
        <w:t>receive 40 responses to the information collection in each of Fiscal Years 2020, 2021, and 2022.</w:t>
      </w:r>
      <w:r w:rsidR="00432256">
        <w:t xml:space="preserve"> </w:t>
      </w:r>
      <w:r w:rsidR="004F21F5">
        <w:t xml:space="preserve">We estimate that preparing and </w:t>
      </w:r>
      <w:proofErr w:type="gramStart"/>
      <w:r w:rsidR="004F21F5">
        <w:t xml:space="preserve">submitting </w:t>
      </w:r>
      <w:r w:rsidR="00CD14A4">
        <w:t>an application</w:t>
      </w:r>
      <w:proofErr w:type="gramEnd"/>
      <w:r w:rsidR="00CD14A4">
        <w:t xml:space="preserve"> </w:t>
      </w:r>
      <w:r w:rsidR="004F21F5">
        <w:t xml:space="preserve">to the Department </w:t>
      </w:r>
      <w:r w:rsidR="00CD14A4">
        <w:t xml:space="preserve">in response to this information collection </w:t>
      </w:r>
      <w:r w:rsidR="004F21F5">
        <w:t>will require 40 hours per response.</w:t>
      </w:r>
      <w:r w:rsidR="00432256">
        <w:t xml:space="preserve"> </w:t>
      </w:r>
      <w:r w:rsidR="00887242">
        <w:t>The total estimated number of burden hours i</w:t>
      </w:r>
      <w:r w:rsidR="00CD14A4">
        <w:t>n each year is 1,600.  The annual average number of burden hours is 1,600</w:t>
      </w:r>
      <w:r w:rsidR="00887242">
        <w:t>.</w:t>
      </w:r>
    </w:p>
    <w:p w:rsidR="001C5D8A" w:rsidP="00432256" w:rsidRDefault="001C5D8A" w14:paraId="46A72F23" w14:textId="77777777">
      <w:pPr>
        <w:numPr>
          <w:ilvl w:val="0"/>
          <w:numId w:val="30"/>
        </w:numPr>
        <w:tabs>
          <w:tab w:val="clear" w:pos="360"/>
          <w:tab w:val="num" w:pos="1080"/>
        </w:tabs>
        <w:spacing w:after="0"/>
        <w:ind w:left="1080"/>
        <w:rPr>
          <w:b/>
        </w:rPr>
      </w:pPr>
      <w:r>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45EE8" w:rsidP="00E45EE8" w:rsidRDefault="00E45EE8" w14:paraId="46A72F24" w14:textId="77777777">
      <w:pPr>
        <w:spacing w:after="0"/>
        <w:ind w:left="1080"/>
        <w:rPr>
          <w:b/>
        </w:rPr>
      </w:pPr>
    </w:p>
    <w:tbl>
      <w:tblPr>
        <w:tblW w:w="5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37"/>
        <w:gridCol w:w="1260"/>
        <w:gridCol w:w="1260"/>
        <w:gridCol w:w="1260"/>
      </w:tblGrid>
      <w:tr w:rsidR="00CD14A4" w:rsidTr="00CD14A4" w14:paraId="46A72F2A" w14:textId="77777777">
        <w:trPr>
          <w:jc w:val="center"/>
        </w:trPr>
        <w:tc>
          <w:tcPr>
            <w:tcW w:w="1437" w:type="dxa"/>
          </w:tcPr>
          <w:p w:rsidRPr="001F60E6" w:rsidR="00CD14A4" w:rsidP="00FB6848" w:rsidRDefault="00CD14A4" w14:paraId="46A72F25" w14:textId="77777777">
            <w:pPr>
              <w:tabs>
                <w:tab w:val="num" w:pos="993"/>
              </w:tabs>
              <w:rPr>
                <w:bCs/>
              </w:rPr>
            </w:pPr>
            <w:r w:rsidRPr="001F60E6">
              <w:rPr>
                <w:bCs/>
              </w:rPr>
              <w:t>Fiscal Year</w:t>
            </w:r>
          </w:p>
        </w:tc>
        <w:tc>
          <w:tcPr>
            <w:tcW w:w="1260" w:type="dxa"/>
          </w:tcPr>
          <w:p w:rsidRPr="001F60E6" w:rsidR="00CD14A4" w:rsidP="00FB6848" w:rsidRDefault="003E377D" w14:paraId="46A72F27" w14:textId="6CF1DB17">
            <w:pPr>
              <w:tabs>
                <w:tab w:val="num" w:pos="993"/>
              </w:tabs>
              <w:rPr>
                <w:bCs/>
              </w:rPr>
            </w:pPr>
            <w:r w:rsidRPr="001F60E6">
              <w:rPr>
                <w:bCs/>
              </w:rPr>
              <w:t>Estimated</w:t>
            </w:r>
            <w:r w:rsidRPr="001F60E6" w:rsidR="00CD14A4">
              <w:rPr>
                <w:bCs/>
              </w:rPr>
              <w:t xml:space="preserve"> Hourly Wage</w:t>
            </w:r>
          </w:p>
        </w:tc>
        <w:tc>
          <w:tcPr>
            <w:tcW w:w="1260" w:type="dxa"/>
          </w:tcPr>
          <w:p w:rsidRPr="001F60E6" w:rsidR="00CD14A4" w:rsidP="00FB6848" w:rsidRDefault="00CD14A4" w14:paraId="46A72F28" w14:textId="77777777">
            <w:pPr>
              <w:tabs>
                <w:tab w:val="num" w:pos="993"/>
              </w:tabs>
              <w:rPr>
                <w:bCs/>
              </w:rPr>
            </w:pPr>
            <w:r w:rsidRPr="001F60E6">
              <w:rPr>
                <w:bCs/>
              </w:rPr>
              <w:t>Total Estimated Number of Burden Hours</w:t>
            </w:r>
          </w:p>
        </w:tc>
        <w:tc>
          <w:tcPr>
            <w:tcW w:w="1260" w:type="dxa"/>
          </w:tcPr>
          <w:p w:rsidRPr="001F60E6" w:rsidR="00CD14A4" w:rsidP="00FB6848" w:rsidRDefault="00CD14A4" w14:paraId="46A72F29" w14:textId="77777777">
            <w:pPr>
              <w:tabs>
                <w:tab w:val="num" w:pos="993"/>
              </w:tabs>
              <w:rPr>
                <w:bCs/>
              </w:rPr>
            </w:pPr>
            <w:r w:rsidRPr="001F60E6">
              <w:rPr>
                <w:bCs/>
              </w:rPr>
              <w:t>Total Annual Cost</w:t>
            </w:r>
          </w:p>
        </w:tc>
      </w:tr>
      <w:tr w:rsidR="003E377D" w:rsidTr="003F3C70" w14:paraId="46A72F34" w14:textId="77777777">
        <w:trPr>
          <w:trHeight w:val="467"/>
          <w:jc w:val="center"/>
        </w:trPr>
        <w:tc>
          <w:tcPr>
            <w:tcW w:w="1437" w:type="dxa"/>
          </w:tcPr>
          <w:p w:rsidR="003E377D" w:rsidP="003F3C70" w:rsidRDefault="003E377D" w14:paraId="46A72F2B" w14:textId="64D69634">
            <w:pPr>
              <w:tabs>
                <w:tab w:val="num" w:pos="993"/>
              </w:tabs>
              <w:spacing w:after="0"/>
            </w:pPr>
            <w:r>
              <w:t>2020</w:t>
            </w:r>
          </w:p>
        </w:tc>
        <w:tc>
          <w:tcPr>
            <w:tcW w:w="1260" w:type="dxa"/>
          </w:tcPr>
          <w:p w:rsidR="003E377D" w:rsidP="003F3C70" w:rsidRDefault="003E377D" w14:paraId="46A72F2F" w14:textId="2177AF3B">
            <w:pPr>
              <w:tabs>
                <w:tab w:val="num" w:pos="993"/>
              </w:tabs>
              <w:spacing w:after="0"/>
              <w:jc w:val="right"/>
            </w:pPr>
            <w:r>
              <w:t>$45.40</w:t>
            </w:r>
          </w:p>
        </w:tc>
        <w:tc>
          <w:tcPr>
            <w:tcW w:w="1260" w:type="dxa"/>
          </w:tcPr>
          <w:p w:rsidR="003E377D" w:rsidP="003F3C70" w:rsidRDefault="003E377D" w14:paraId="46A72F31" w14:textId="2678AE04">
            <w:pPr>
              <w:tabs>
                <w:tab w:val="num" w:pos="993"/>
              </w:tabs>
              <w:spacing w:after="0"/>
              <w:jc w:val="right"/>
            </w:pPr>
            <w:r>
              <w:t>1,600</w:t>
            </w:r>
          </w:p>
        </w:tc>
        <w:tc>
          <w:tcPr>
            <w:tcW w:w="1260" w:type="dxa"/>
          </w:tcPr>
          <w:p w:rsidR="003E377D" w:rsidP="003F3C70" w:rsidRDefault="003E377D" w14:paraId="46A72F33" w14:textId="08485220">
            <w:pPr>
              <w:tabs>
                <w:tab w:val="num" w:pos="993"/>
              </w:tabs>
              <w:spacing w:after="0"/>
              <w:jc w:val="right"/>
            </w:pPr>
            <w:r>
              <w:t>$72,640</w:t>
            </w:r>
          </w:p>
        </w:tc>
      </w:tr>
      <w:tr w:rsidR="003E377D" w:rsidTr="003F3C70" w14:paraId="46A72F44" w14:textId="77777777">
        <w:trPr>
          <w:trHeight w:val="467"/>
          <w:jc w:val="center"/>
        </w:trPr>
        <w:tc>
          <w:tcPr>
            <w:tcW w:w="1437" w:type="dxa"/>
          </w:tcPr>
          <w:p w:rsidR="003E377D" w:rsidP="003F3C70" w:rsidRDefault="003E377D" w14:paraId="46A72F3B" w14:textId="1544A5D8">
            <w:pPr>
              <w:tabs>
                <w:tab w:val="num" w:pos="993"/>
              </w:tabs>
              <w:spacing w:after="0"/>
            </w:pPr>
            <w:r>
              <w:t>2021</w:t>
            </w:r>
          </w:p>
        </w:tc>
        <w:tc>
          <w:tcPr>
            <w:tcW w:w="1260" w:type="dxa"/>
          </w:tcPr>
          <w:p w:rsidR="003E377D" w:rsidP="003F3C70" w:rsidRDefault="003E377D" w14:paraId="46A72F3F" w14:textId="26639F20">
            <w:pPr>
              <w:tabs>
                <w:tab w:val="num" w:pos="993"/>
              </w:tabs>
              <w:spacing w:after="0"/>
              <w:jc w:val="right"/>
            </w:pPr>
            <w:r>
              <w:t>$45.40</w:t>
            </w:r>
          </w:p>
        </w:tc>
        <w:tc>
          <w:tcPr>
            <w:tcW w:w="1260" w:type="dxa"/>
          </w:tcPr>
          <w:p w:rsidR="003E377D" w:rsidP="003F3C70" w:rsidRDefault="003E377D" w14:paraId="46A72F41" w14:textId="56DC5608">
            <w:pPr>
              <w:tabs>
                <w:tab w:val="num" w:pos="993"/>
              </w:tabs>
              <w:spacing w:after="0"/>
              <w:jc w:val="right"/>
            </w:pPr>
            <w:r>
              <w:t>1,600</w:t>
            </w:r>
          </w:p>
        </w:tc>
        <w:tc>
          <w:tcPr>
            <w:tcW w:w="1260" w:type="dxa"/>
          </w:tcPr>
          <w:p w:rsidR="003E377D" w:rsidP="003F3C70" w:rsidRDefault="003E377D" w14:paraId="46A72F43" w14:textId="5DDD5A37">
            <w:pPr>
              <w:tabs>
                <w:tab w:val="num" w:pos="993"/>
              </w:tabs>
              <w:spacing w:after="0"/>
              <w:jc w:val="right"/>
            </w:pPr>
            <w:r>
              <w:t>$72,640</w:t>
            </w:r>
          </w:p>
        </w:tc>
      </w:tr>
      <w:tr w:rsidR="003F3C70" w:rsidTr="00D94AB2" w14:paraId="46A72F54" w14:textId="77777777">
        <w:trPr>
          <w:trHeight w:val="562"/>
          <w:jc w:val="center"/>
        </w:trPr>
        <w:tc>
          <w:tcPr>
            <w:tcW w:w="1437" w:type="dxa"/>
          </w:tcPr>
          <w:p w:rsidR="003F3C70" w:rsidP="003F3C70" w:rsidRDefault="003F3C70" w14:paraId="46A72F4B" w14:textId="2A6A65F2">
            <w:pPr>
              <w:tabs>
                <w:tab w:val="num" w:pos="993"/>
              </w:tabs>
              <w:spacing w:after="0"/>
              <w:rPr>
                <w:bCs/>
              </w:rPr>
            </w:pPr>
            <w:r>
              <w:rPr>
                <w:bCs/>
              </w:rPr>
              <w:t>2022</w:t>
            </w:r>
          </w:p>
        </w:tc>
        <w:tc>
          <w:tcPr>
            <w:tcW w:w="1260" w:type="dxa"/>
          </w:tcPr>
          <w:p w:rsidR="003F3C70" w:rsidP="003F3C70" w:rsidRDefault="003F3C70" w14:paraId="46A72F4F" w14:textId="400AE42A">
            <w:pPr>
              <w:tabs>
                <w:tab w:val="num" w:pos="993"/>
              </w:tabs>
              <w:spacing w:after="0"/>
              <w:jc w:val="right"/>
            </w:pPr>
            <w:r>
              <w:t>$45.40</w:t>
            </w:r>
          </w:p>
        </w:tc>
        <w:tc>
          <w:tcPr>
            <w:tcW w:w="1260" w:type="dxa"/>
          </w:tcPr>
          <w:p w:rsidR="003F3C70" w:rsidP="003F3C70" w:rsidRDefault="003F3C70" w14:paraId="46A72F51" w14:textId="09EEAE10">
            <w:pPr>
              <w:tabs>
                <w:tab w:val="num" w:pos="993"/>
              </w:tabs>
              <w:spacing w:after="0"/>
              <w:jc w:val="right"/>
              <w:rPr>
                <w:bCs/>
              </w:rPr>
            </w:pPr>
            <w:r>
              <w:rPr>
                <w:bCs/>
              </w:rPr>
              <w:t>1,600</w:t>
            </w:r>
          </w:p>
        </w:tc>
        <w:tc>
          <w:tcPr>
            <w:tcW w:w="1260" w:type="dxa"/>
          </w:tcPr>
          <w:p w:rsidR="003F3C70" w:rsidP="003F3C70" w:rsidRDefault="003F3C70" w14:paraId="46A72F53" w14:textId="17D7EECC">
            <w:pPr>
              <w:tabs>
                <w:tab w:val="num" w:pos="993"/>
              </w:tabs>
              <w:spacing w:after="0"/>
              <w:jc w:val="right"/>
              <w:rPr>
                <w:bCs/>
              </w:rPr>
            </w:pPr>
            <w:r>
              <w:rPr>
                <w:bCs/>
              </w:rPr>
              <w:t>$72,640</w:t>
            </w:r>
          </w:p>
        </w:tc>
      </w:tr>
      <w:tr w:rsidR="00CD14A4" w:rsidTr="00CD14A4" w14:paraId="46A72F62" w14:textId="77777777">
        <w:trPr>
          <w:jc w:val="center"/>
        </w:trPr>
        <w:tc>
          <w:tcPr>
            <w:tcW w:w="1437" w:type="dxa"/>
          </w:tcPr>
          <w:p w:rsidR="00CD14A4" w:rsidP="003F3C70" w:rsidRDefault="00CD14A4" w14:paraId="46A72F5B" w14:textId="77777777">
            <w:pPr>
              <w:tabs>
                <w:tab w:val="num" w:pos="993"/>
              </w:tabs>
              <w:spacing w:after="0"/>
              <w:rPr>
                <w:b/>
              </w:rPr>
            </w:pPr>
            <w:r>
              <w:rPr>
                <w:b/>
              </w:rPr>
              <w:t>ANNUAL</w:t>
            </w:r>
          </w:p>
          <w:p w:rsidR="00CD14A4" w:rsidP="003F3C70" w:rsidRDefault="00CD14A4" w14:paraId="46A72F5C" w14:textId="77777777">
            <w:pPr>
              <w:tabs>
                <w:tab w:val="num" w:pos="993"/>
              </w:tabs>
              <w:spacing w:after="0"/>
              <w:rPr>
                <w:b/>
              </w:rPr>
            </w:pPr>
            <w:r>
              <w:rPr>
                <w:b/>
              </w:rPr>
              <w:t>AVERAGE</w:t>
            </w:r>
          </w:p>
        </w:tc>
        <w:tc>
          <w:tcPr>
            <w:tcW w:w="1260" w:type="dxa"/>
          </w:tcPr>
          <w:p w:rsidR="001F60E6" w:rsidP="003F3C70" w:rsidRDefault="001F60E6" w14:paraId="279E1CAB" w14:textId="77777777">
            <w:pPr>
              <w:tabs>
                <w:tab w:val="num" w:pos="993"/>
              </w:tabs>
              <w:spacing w:after="0"/>
              <w:jc w:val="right"/>
              <w:rPr>
                <w:b/>
                <w:bCs/>
              </w:rPr>
            </w:pPr>
          </w:p>
          <w:p w:rsidRPr="003E377D" w:rsidR="00CD14A4" w:rsidP="003F3C70" w:rsidRDefault="003E377D" w14:paraId="46A72F5E" w14:textId="00E33613">
            <w:pPr>
              <w:tabs>
                <w:tab w:val="num" w:pos="993"/>
              </w:tabs>
              <w:spacing w:after="0"/>
              <w:jc w:val="right"/>
              <w:rPr>
                <w:b/>
                <w:bCs/>
              </w:rPr>
            </w:pPr>
            <w:r w:rsidRPr="003E377D">
              <w:rPr>
                <w:b/>
                <w:bCs/>
              </w:rPr>
              <w:t>$45.40</w:t>
            </w:r>
          </w:p>
        </w:tc>
        <w:tc>
          <w:tcPr>
            <w:tcW w:w="1260" w:type="dxa"/>
          </w:tcPr>
          <w:p w:rsidR="001F60E6" w:rsidP="003F3C70" w:rsidRDefault="001F60E6" w14:paraId="6556C98B" w14:textId="77777777">
            <w:pPr>
              <w:tabs>
                <w:tab w:val="num" w:pos="993"/>
              </w:tabs>
              <w:spacing w:after="0"/>
              <w:jc w:val="right"/>
              <w:rPr>
                <w:b/>
              </w:rPr>
            </w:pPr>
          </w:p>
          <w:p w:rsidRPr="00E8397C" w:rsidR="00CD14A4" w:rsidP="003F3C70" w:rsidRDefault="003E377D" w14:paraId="46A72F60" w14:textId="77BE9493">
            <w:pPr>
              <w:tabs>
                <w:tab w:val="num" w:pos="993"/>
              </w:tabs>
              <w:spacing w:after="0"/>
              <w:jc w:val="right"/>
              <w:rPr>
                <w:b/>
                <w:bCs/>
              </w:rPr>
            </w:pPr>
            <w:r>
              <w:rPr>
                <w:b/>
              </w:rPr>
              <w:t>1,600</w:t>
            </w:r>
          </w:p>
        </w:tc>
        <w:tc>
          <w:tcPr>
            <w:tcW w:w="1260" w:type="dxa"/>
          </w:tcPr>
          <w:p w:rsidR="001F60E6" w:rsidP="003F3C70" w:rsidRDefault="001F60E6" w14:paraId="1261E885" w14:textId="77777777">
            <w:pPr>
              <w:tabs>
                <w:tab w:val="num" w:pos="993"/>
              </w:tabs>
              <w:spacing w:after="0"/>
              <w:jc w:val="right"/>
              <w:rPr>
                <w:b/>
              </w:rPr>
            </w:pPr>
          </w:p>
          <w:p w:rsidRPr="00F67F2F" w:rsidR="00CD14A4" w:rsidP="003F3C70" w:rsidRDefault="003E377D" w14:paraId="46A72F61" w14:textId="4D7EBE93">
            <w:pPr>
              <w:tabs>
                <w:tab w:val="num" w:pos="993"/>
              </w:tabs>
              <w:spacing w:after="0"/>
              <w:jc w:val="right"/>
              <w:rPr>
                <w:b/>
              </w:rPr>
            </w:pPr>
            <w:r>
              <w:rPr>
                <w:b/>
              </w:rPr>
              <w:t>$72,640</w:t>
            </w:r>
          </w:p>
        </w:tc>
      </w:tr>
    </w:tbl>
    <w:p w:rsidR="001C5D8A" w:rsidP="00432256" w:rsidRDefault="001C5D8A" w14:paraId="46A72F63" w14:textId="77777777">
      <w:pPr>
        <w:tabs>
          <w:tab w:val="num" w:pos="993"/>
        </w:tabs>
        <w:rPr>
          <w:b/>
        </w:rPr>
      </w:pPr>
    </w:p>
    <w:p w:rsidR="003E377D" w:rsidP="00D93FAF" w:rsidRDefault="003E377D" w14:paraId="622FF5B1" w14:textId="3FD91857">
      <w:pPr>
        <w:tabs>
          <w:tab w:val="num" w:pos="993"/>
        </w:tabs>
      </w:pPr>
      <w:r>
        <w:lastRenderedPageBreak/>
        <w:t xml:space="preserve">In 2019, the mean hourly wage of general and operations managers employed by state government was $45.40, </w:t>
      </w:r>
      <w:r w:rsidRPr="003E377D">
        <w:t xml:space="preserve">as reported </w:t>
      </w:r>
      <w:r>
        <w:t>b</w:t>
      </w:r>
      <w:r w:rsidRPr="003E377D">
        <w:t xml:space="preserve">y the U.S. Department of Labor, Bureau of Labor and Statistics (BLS) at </w:t>
      </w:r>
      <w:hyperlink w:history="1" r:id="rId11">
        <w:r w:rsidRPr="001353CA">
          <w:rPr>
            <w:rStyle w:val="Hyperlink"/>
          </w:rPr>
          <w:t>https://www.bls.gov/oes/2018/may/naics4_999200.htm</w:t>
        </w:r>
      </w:hyperlink>
      <w:r>
        <w:t xml:space="preserve">.  We estimate that the annual cost to respondents will be $72,640 (16,000 hours x $45.40) in each of Fiscal Years 2020, 2021, and 2022.  </w:t>
      </w:r>
    </w:p>
    <w:p w:rsidRPr="00DA46CF" w:rsidR="00386054" w:rsidP="00432256" w:rsidRDefault="00386054" w14:paraId="46A72F66"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46A72F67" w14:textId="77777777">
      <w:pPr>
        <w:pStyle w:val="ListParagraph"/>
        <w:numPr>
          <w:ilvl w:val="0"/>
          <w:numId w:val="23"/>
        </w:numPr>
        <w:ind w:left="1080"/>
        <w:rPr>
          <w:b/>
        </w:rPr>
      </w:pPr>
      <w:r w:rsidRPr="00DA46CF">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A46CF">
        <w:rPr>
          <w:b/>
        </w:rPr>
        <w:t>take into account</w:t>
      </w:r>
      <w:proofErr w:type="gramEnd"/>
      <w:r w:rsidRPr="00DA46CF">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A46CF">
        <w:rPr>
          <w:b/>
        </w:rPr>
        <w:t>time period</w:t>
      </w:r>
      <w:proofErr w:type="gramEnd"/>
      <w:r w:rsidRPr="00DA46CF">
        <w:rPr>
          <w:b/>
        </w:rPr>
        <w:t xml:space="preserve"> over which costs will be incurred.  Capital and start-up costs include, among other items, preparations for collecting information such as purchasing computers and software; monitoring, sampling, </w:t>
      </w:r>
      <w:proofErr w:type="gramStart"/>
      <w:r w:rsidRPr="00DA46CF">
        <w:rPr>
          <w:b/>
        </w:rPr>
        <w:t>drilling</w:t>
      </w:r>
      <w:proofErr w:type="gramEnd"/>
      <w:r w:rsidRPr="00DA46CF">
        <w:rPr>
          <w:b/>
        </w:rPr>
        <w:t xml:space="preserve"> and testing equipment; and acquiring and maintaining record storage facilities.</w:t>
      </w:r>
    </w:p>
    <w:p w:rsidRPr="00DA46CF" w:rsidR="00386054" w:rsidP="00432256" w:rsidRDefault="00386054" w14:paraId="46A72F68" w14:textId="77777777">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597" w:rsidR="00386054" w:rsidP="00432256" w:rsidRDefault="00386054" w14:paraId="46A72F69"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46A72F6A" w14:textId="77777777">
      <w:pPr>
        <w:pStyle w:val="ListParagraph"/>
        <w:ind w:left="1080"/>
        <w:rPr>
          <w:b/>
        </w:rPr>
      </w:pPr>
      <w:r w:rsidRPr="002E5597">
        <w:rPr>
          <w:b/>
        </w:rPr>
        <w:t>Total Annualized Capital/Startup Cost:</w:t>
      </w:r>
    </w:p>
    <w:p w:rsidRPr="002E5597" w:rsidR="00386054" w:rsidP="00432256" w:rsidRDefault="00386054" w14:paraId="46A72F6B" w14:textId="77777777">
      <w:pPr>
        <w:tabs>
          <w:tab w:val="left" w:pos="-720"/>
        </w:tabs>
        <w:suppressAutoHyphens/>
        <w:ind w:left="1080"/>
        <w:rPr>
          <w:b/>
        </w:rPr>
      </w:pPr>
      <w:r w:rsidRPr="002E5597">
        <w:rPr>
          <w:b/>
        </w:rPr>
        <w:t xml:space="preserve">Total Annual Costs (O&amp;M): </w:t>
      </w:r>
    </w:p>
    <w:p w:rsidRPr="002E5597" w:rsidR="00386054" w:rsidP="00432256" w:rsidRDefault="00386054" w14:paraId="46A72F6C" w14:textId="77777777">
      <w:pPr>
        <w:tabs>
          <w:tab w:val="left" w:pos="-720"/>
        </w:tabs>
        <w:suppressAutoHyphens/>
        <w:ind w:left="1080"/>
        <w:rPr>
          <w:b/>
        </w:rPr>
      </w:pPr>
      <w:r w:rsidRPr="002E5597">
        <w:rPr>
          <w:b/>
        </w:rPr>
        <w:t>Total Annualized Costs Requested:</w:t>
      </w:r>
    </w:p>
    <w:p w:rsidR="000C4863" w:rsidP="00432256" w:rsidRDefault="000C4863" w14:paraId="46A72F6D" w14:textId="77777777">
      <w:pPr>
        <w:tabs>
          <w:tab w:val="left" w:pos="-720"/>
        </w:tabs>
        <w:suppressAutoHyphens/>
        <w:contextualSpacing/>
      </w:pPr>
      <w:r>
        <w:tab/>
        <w:t xml:space="preserve">The total for the capital and start-up cost components for this information collection is </w:t>
      </w:r>
    </w:p>
    <w:p w:rsidRPr="00EF7FF5" w:rsidR="000C4863" w:rsidP="00432256" w:rsidRDefault="000C4863" w14:paraId="46A72F6E" w14:textId="77777777">
      <w:pPr>
        <w:tabs>
          <w:tab w:val="left" w:pos="-720"/>
        </w:tabs>
        <w:suppressAutoHyphens/>
        <w:ind w:left="720"/>
        <w:contextualSpacing/>
      </w:pPr>
      <w:r>
        <w:t>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w:t>
      </w:r>
      <w:r>
        <w:lastRenderedPageBreak/>
        <w:t xml:space="preserve">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46A72F6F"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171C4" w:rsidP="00432256" w:rsidRDefault="00341998" w14:paraId="515BA977" w14:textId="3ADBBFED">
      <w:pPr>
        <w:pStyle w:val="ListParagraph"/>
        <w:rPr>
          <w:rStyle w:val="a"/>
        </w:rPr>
      </w:pPr>
      <w:r w:rsidRPr="00341998">
        <w:rPr>
          <w:rStyle w:val="a"/>
        </w:rPr>
        <w:t>T</w:t>
      </w:r>
      <w:r>
        <w:rPr>
          <w:rStyle w:val="a"/>
        </w:rPr>
        <w:t>he Federal costs are estimated to be</w:t>
      </w:r>
      <w:r w:rsidR="001171C4">
        <w:rPr>
          <w:rStyle w:val="a"/>
        </w:rPr>
        <w:t xml:space="preserve"> </w:t>
      </w:r>
      <w:r w:rsidRPr="001171C4" w:rsidR="001171C4">
        <w:rPr>
          <w:rStyle w:val="a"/>
        </w:rPr>
        <w:t>$106,839</w:t>
      </w:r>
      <w:r w:rsidR="001171C4">
        <w:rPr>
          <w:rStyle w:val="a"/>
        </w:rPr>
        <w:t xml:space="preserve"> annually in each of Fiscal Years 2020, 2021, and 2022. This includes </w:t>
      </w:r>
      <w:r w:rsidRPr="001171C4" w:rsidR="001171C4">
        <w:rPr>
          <w:rStyle w:val="a"/>
        </w:rPr>
        <w:t>$44,310</w:t>
      </w:r>
      <w:r w:rsidR="001171C4">
        <w:rPr>
          <w:rStyle w:val="a"/>
        </w:rPr>
        <w:t xml:space="preserve"> for the salaries of federal employees</w:t>
      </w:r>
      <w:r w:rsidR="00F56347">
        <w:rPr>
          <w:rStyle w:val="a"/>
        </w:rPr>
        <w:t xml:space="preserve"> who will perform various duties associated with the solicitation and review of applications as itemized in the table below.  The estimated Federal cost also includes an additional </w:t>
      </w:r>
      <w:r w:rsidRPr="00F56347" w:rsidR="00F56347">
        <w:rPr>
          <w:rStyle w:val="a"/>
        </w:rPr>
        <w:t>$62,529</w:t>
      </w:r>
      <w:r w:rsidR="00F56347">
        <w:rPr>
          <w:rStyle w:val="a"/>
        </w:rPr>
        <w:t xml:space="preserve"> for the costs of the logistics </w:t>
      </w:r>
      <w:r w:rsidR="001F60E6">
        <w:rPr>
          <w:rStyle w:val="a"/>
        </w:rPr>
        <w:t>for</w:t>
      </w:r>
      <w:r w:rsidR="00F56347">
        <w:rPr>
          <w:rStyle w:val="a"/>
        </w:rPr>
        <w:t xml:space="preserve"> the peer review of applications, including honoraria paid to the non-Federal reviewer</w:t>
      </w:r>
      <w:r w:rsidR="001F60E6">
        <w:rPr>
          <w:rStyle w:val="a"/>
        </w:rPr>
        <w:t>s</w:t>
      </w:r>
      <w:r w:rsidR="00F56347">
        <w:rPr>
          <w:rStyle w:val="a"/>
        </w:rPr>
        <w:t xml:space="preserve"> who will assess and score the applications.  </w:t>
      </w:r>
    </w:p>
    <w:p w:rsidR="00F56347" w:rsidP="00432256" w:rsidRDefault="00F56347" w14:paraId="3A4126F5" w14:textId="77777777">
      <w:pPr>
        <w:pStyle w:val="ListParagraph"/>
        <w:rPr>
          <w:rStyle w:val="a"/>
        </w:rPr>
      </w:pPr>
    </w:p>
    <w:tbl>
      <w:tblPr>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3"/>
        <w:gridCol w:w="2160"/>
        <w:gridCol w:w="1500"/>
        <w:gridCol w:w="1620"/>
        <w:gridCol w:w="1720"/>
      </w:tblGrid>
      <w:tr w:rsidRPr="001171C4" w:rsidR="001171C4" w:rsidTr="00F56347" w14:paraId="0B98DF8A" w14:textId="77777777">
        <w:trPr>
          <w:trHeight w:val="330"/>
          <w:jc w:val="center"/>
        </w:trPr>
        <w:tc>
          <w:tcPr>
            <w:tcW w:w="1283" w:type="dxa"/>
            <w:shd w:val="clear" w:color="auto" w:fill="auto"/>
            <w:noWrap/>
            <w:vAlign w:val="bottom"/>
          </w:tcPr>
          <w:p w:rsidR="00F56347" w:rsidP="00F56347" w:rsidRDefault="00F56347" w14:paraId="77A09363" w14:textId="77777777">
            <w:pPr>
              <w:spacing w:after="0"/>
              <w:jc w:val="center"/>
              <w:rPr>
                <w:color w:val="000000"/>
              </w:rPr>
            </w:pPr>
          </w:p>
          <w:p w:rsidRPr="001171C4" w:rsidR="001171C4" w:rsidP="00F56347" w:rsidRDefault="001171C4" w14:paraId="43D8B1C5" w14:textId="3CC1F353">
            <w:pPr>
              <w:spacing w:after="0"/>
              <w:jc w:val="center"/>
              <w:rPr>
                <w:color w:val="000000"/>
              </w:rPr>
            </w:pPr>
            <w:r>
              <w:rPr>
                <w:color w:val="000000"/>
              </w:rPr>
              <w:t>Number of Employees</w:t>
            </w:r>
          </w:p>
        </w:tc>
        <w:tc>
          <w:tcPr>
            <w:tcW w:w="2160" w:type="dxa"/>
            <w:shd w:val="clear" w:color="auto" w:fill="auto"/>
            <w:noWrap/>
            <w:vAlign w:val="bottom"/>
          </w:tcPr>
          <w:p w:rsidRPr="001171C4" w:rsidR="001171C4" w:rsidP="00F56347" w:rsidRDefault="001171C4" w14:paraId="6B28A450" w14:textId="41C57BF2">
            <w:pPr>
              <w:spacing w:after="0"/>
              <w:jc w:val="center"/>
              <w:rPr>
                <w:color w:val="000000"/>
              </w:rPr>
            </w:pPr>
            <w:r>
              <w:rPr>
                <w:color w:val="000000"/>
              </w:rPr>
              <w:t>Grade Level</w:t>
            </w:r>
          </w:p>
        </w:tc>
        <w:tc>
          <w:tcPr>
            <w:tcW w:w="1500" w:type="dxa"/>
            <w:shd w:val="clear" w:color="auto" w:fill="auto"/>
            <w:noWrap/>
            <w:vAlign w:val="bottom"/>
          </w:tcPr>
          <w:p w:rsidRPr="001171C4" w:rsidR="001171C4" w:rsidP="00F56347" w:rsidRDefault="001171C4" w14:paraId="1134716C" w14:textId="16013AF0">
            <w:pPr>
              <w:spacing w:after="0"/>
              <w:jc w:val="center"/>
              <w:rPr>
                <w:color w:val="000000"/>
              </w:rPr>
            </w:pPr>
            <w:r>
              <w:rPr>
                <w:color w:val="000000"/>
              </w:rPr>
              <w:t>Hourly Wage</w:t>
            </w:r>
          </w:p>
        </w:tc>
        <w:tc>
          <w:tcPr>
            <w:tcW w:w="1620" w:type="dxa"/>
            <w:shd w:val="clear" w:color="auto" w:fill="auto"/>
            <w:noWrap/>
            <w:vAlign w:val="bottom"/>
          </w:tcPr>
          <w:p w:rsidRPr="001171C4" w:rsidR="001171C4" w:rsidP="00F56347" w:rsidRDefault="001171C4" w14:paraId="23F0067E" w14:textId="576096A1">
            <w:pPr>
              <w:spacing w:after="0"/>
              <w:jc w:val="center"/>
              <w:rPr>
                <w:color w:val="000000"/>
              </w:rPr>
            </w:pPr>
            <w:r>
              <w:rPr>
                <w:color w:val="000000"/>
              </w:rPr>
              <w:t>Number of Hours</w:t>
            </w:r>
          </w:p>
        </w:tc>
        <w:tc>
          <w:tcPr>
            <w:tcW w:w="1720" w:type="dxa"/>
            <w:shd w:val="clear" w:color="auto" w:fill="auto"/>
            <w:noWrap/>
            <w:vAlign w:val="bottom"/>
          </w:tcPr>
          <w:p w:rsidRPr="001171C4" w:rsidR="001171C4" w:rsidP="00F56347" w:rsidRDefault="001171C4" w14:paraId="4A35C379" w14:textId="7D47AD04">
            <w:pPr>
              <w:spacing w:after="0"/>
              <w:jc w:val="center"/>
              <w:rPr>
                <w:color w:val="000000"/>
              </w:rPr>
            </w:pPr>
            <w:r>
              <w:rPr>
                <w:color w:val="000000"/>
              </w:rPr>
              <w:t>Total</w:t>
            </w:r>
          </w:p>
        </w:tc>
      </w:tr>
      <w:tr w:rsidRPr="001171C4" w:rsidR="001171C4" w:rsidTr="00F56347" w14:paraId="663A68A1" w14:textId="77777777">
        <w:trPr>
          <w:trHeight w:val="330"/>
          <w:jc w:val="center"/>
        </w:trPr>
        <w:tc>
          <w:tcPr>
            <w:tcW w:w="1283" w:type="dxa"/>
            <w:shd w:val="clear" w:color="auto" w:fill="auto"/>
            <w:noWrap/>
            <w:vAlign w:val="bottom"/>
            <w:hideMark/>
          </w:tcPr>
          <w:p w:rsidRPr="001171C4" w:rsidR="001171C4" w:rsidP="001171C4" w:rsidRDefault="001171C4" w14:paraId="4C35432B" w14:textId="77777777">
            <w:pPr>
              <w:spacing w:after="0"/>
              <w:jc w:val="center"/>
              <w:rPr>
                <w:color w:val="000000"/>
              </w:rPr>
            </w:pPr>
            <w:r w:rsidRPr="001171C4">
              <w:rPr>
                <w:color w:val="000000"/>
              </w:rPr>
              <w:t>2</w:t>
            </w:r>
          </w:p>
        </w:tc>
        <w:tc>
          <w:tcPr>
            <w:tcW w:w="2160" w:type="dxa"/>
            <w:shd w:val="clear" w:color="auto" w:fill="auto"/>
            <w:noWrap/>
            <w:vAlign w:val="bottom"/>
            <w:hideMark/>
          </w:tcPr>
          <w:p w:rsidRPr="001171C4" w:rsidR="001171C4" w:rsidP="00F56347" w:rsidRDefault="001171C4" w14:paraId="325EB98A" w14:textId="77777777">
            <w:pPr>
              <w:spacing w:after="0"/>
              <w:jc w:val="center"/>
              <w:rPr>
                <w:color w:val="000000"/>
              </w:rPr>
            </w:pPr>
            <w:r w:rsidRPr="001171C4">
              <w:rPr>
                <w:color w:val="000000"/>
              </w:rPr>
              <w:t>GS-15</w:t>
            </w:r>
          </w:p>
        </w:tc>
        <w:tc>
          <w:tcPr>
            <w:tcW w:w="1500" w:type="dxa"/>
            <w:shd w:val="clear" w:color="auto" w:fill="auto"/>
            <w:noWrap/>
            <w:vAlign w:val="bottom"/>
            <w:hideMark/>
          </w:tcPr>
          <w:p w:rsidRPr="001171C4" w:rsidR="001171C4" w:rsidP="001171C4" w:rsidRDefault="001171C4" w14:paraId="7700B2B4" w14:textId="77777777">
            <w:pPr>
              <w:spacing w:after="0"/>
              <w:jc w:val="right"/>
              <w:rPr>
                <w:color w:val="000000"/>
              </w:rPr>
            </w:pPr>
            <w:r w:rsidRPr="001171C4">
              <w:rPr>
                <w:color w:val="000000"/>
              </w:rPr>
              <w:t>$77.49</w:t>
            </w:r>
          </w:p>
        </w:tc>
        <w:tc>
          <w:tcPr>
            <w:tcW w:w="1620" w:type="dxa"/>
            <w:shd w:val="clear" w:color="auto" w:fill="auto"/>
            <w:noWrap/>
            <w:vAlign w:val="bottom"/>
            <w:hideMark/>
          </w:tcPr>
          <w:p w:rsidRPr="001171C4" w:rsidR="001171C4" w:rsidP="001171C4" w:rsidRDefault="001171C4" w14:paraId="70D49FD8" w14:textId="77777777">
            <w:pPr>
              <w:spacing w:after="0"/>
              <w:jc w:val="right"/>
              <w:rPr>
                <w:color w:val="000000"/>
              </w:rPr>
            </w:pPr>
            <w:r w:rsidRPr="001171C4">
              <w:rPr>
                <w:color w:val="000000"/>
              </w:rPr>
              <w:t>40</w:t>
            </w:r>
          </w:p>
        </w:tc>
        <w:tc>
          <w:tcPr>
            <w:tcW w:w="1720" w:type="dxa"/>
            <w:shd w:val="clear" w:color="auto" w:fill="auto"/>
            <w:noWrap/>
            <w:vAlign w:val="bottom"/>
            <w:hideMark/>
          </w:tcPr>
          <w:p w:rsidRPr="001171C4" w:rsidR="001171C4" w:rsidP="001171C4" w:rsidRDefault="001171C4" w14:paraId="2805166F" w14:textId="77777777">
            <w:pPr>
              <w:spacing w:after="0"/>
              <w:jc w:val="right"/>
              <w:rPr>
                <w:color w:val="000000"/>
              </w:rPr>
            </w:pPr>
            <w:r w:rsidRPr="001171C4">
              <w:rPr>
                <w:color w:val="000000"/>
              </w:rPr>
              <w:t>$6,199.20</w:t>
            </w:r>
          </w:p>
        </w:tc>
      </w:tr>
      <w:tr w:rsidRPr="001171C4" w:rsidR="001171C4" w:rsidTr="00F56347" w14:paraId="763245FC" w14:textId="77777777">
        <w:trPr>
          <w:trHeight w:val="330"/>
          <w:jc w:val="center"/>
        </w:trPr>
        <w:tc>
          <w:tcPr>
            <w:tcW w:w="1283" w:type="dxa"/>
            <w:shd w:val="clear" w:color="auto" w:fill="auto"/>
            <w:noWrap/>
            <w:vAlign w:val="bottom"/>
            <w:hideMark/>
          </w:tcPr>
          <w:p w:rsidRPr="001171C4" w:rsidR="001171C4" w:rsidP="001171C4" w:rsidRDefault="001171C4" w14:paraId="69CCCD31" w14:textId="77777777">
            <w:pPr>
              <w:spacing w:after="0"/>
              <w:jc w:val="center"/>
              <w:rPr>
                <w:color w:val="000000"/>
              </w:rPr>
            </w:pPr>
            <w:r w:rsidRPr="001171C4">
              <w:rPr>
                <w:color w:val="000000"/>
              </w:rPr>
              <w:t>2</w:t>
            </w:r>
          </w:p>
        </w:tc>
        <w:tc>
          <w:tcPr>
            <w:tcW w:w="2160" w:type="dxa"/>
            <w:shd w:val="clear" w:color="auto" w:fill="auto"/>
            <w:noWrap/>
            <w:vAlign w:val="bottom"/>
            <w:hideMark/>
          </w:tcPr>
          <w:p w:rsidRPr="001171C4" w:rsidR="001171C4" w:rsidP="00F56347" w:rsidRDefault="001171C4" w14:paraId="70E8AF6F" w14:textId="77777777">
            <w:pPr>
              <w:spacing w:after="0"/>
              <w:jc w:val="center"/>
              <w:rPr>
                <w:color w:val="000000"/>
              </w:rPr>
            </w:pPr>
            <w:r w:rsidRPr="001171C4">
              <w:rPr>
                <w:color w:val="000000"/>
              </w:rPr>
              <w:t>GS-14</w:t>
            </w:r>
          </w:p>
        </w:tc>
        <w:tc>
          <w:tcPr>
            <w:tcW w:w="1500" w:type="dxa"/>
            <w:shd w:val="clear" w:color="000000" w:fill="FFFFFF"/>
            <w:hideMark/>
          </w:tcPr>
          <w:p w:rsidRPr="001171C4" w:rsidR="001171C4" w:rsidP="001171C4" w:rsidRDefault="001171C4" w14:paraId="299F1EFA" w14:textId="77777777">
            <w:pPr>
              <w:spacing w:after="0"/>
              <w:jc w:val="right"/>
              <w:rPr>
                <w:color w:val="363636"/>
              </w:rPr>
            </w:pPr>
            <w:r w:rsidRPr="001171C4">
              <w:rPr>
                <w:color w:val="363636"/>
              </w:rPr>
              <w:t>$65.88</w:t>
            </w:r>
          </w:p>
        </w:tc>
        <w:tc>
          <w:tcPr>
            <w:tcW w:w="1620" w:type="dxa"/>
            <w:shd w:val="clear" w:color="auto" w:fill="auto"/>
            <w:noWrap/>
            <w:vAlign w:val="bottom"/>
            <w:hideMark/>
          </w:tcPr>
          <w:p w:rsidRPr="001171C4" w:rsidR="001171C4" w:rsidP="001171C4" w:rsidRDefault="001171C4" w14:paraId="587414CA" w14:textId="77777777">
            <w:pPr>
              <w:spacing w:after="0"/>
              <w:jc w:val="right"/>
              <w:rPr>
                <w:color w:val="000000"/>
              </w:rPr>
            </w:pPr>
            <w:r w:rsidRPr="001171C4">
              <w:rPr>
                <w:color w:val="000000"/>
              </w:rPr>
              <w:t>120</w:t>
            </w:r>
          </w:p>
        </w:tc>
        <w:tc>
          <w:tcPr>
            <w:tcW w:w="1720" w:type="dxa"/>
            <w:shd w:val="clear" w:color="auto" w:fill="auto"/>
            <w:noWrap/>
            <w:vAlign w:val="bottom"/>
            <w:hideMark/>
          </w:tcPr>
          <w:p w:rsidRPr="001171C4" w:rsidR="001171C4" w:rsidP="001171C4" w:rsidRDefault="001171C4" w14:paraId="784E7D85" w14:textId="77777777">
            <w:pPr>
              <w:spacing w:after="0"/>
              <w:jc w:val="right"/>
              <w:rPr>
                <w:color w:val="000000"/>
              </w:rPr>
            </w:pPr>
            <w:r w:rsidRPr="001171C4">
              <w:rPr>
                <w:color w:val="000000"/>
              </w:rPr>
              <w:t>$15,811.20</w:t>
            </w:r>
          </w:p>
        </w:tc>
      </w:tr>
      <w:tr w:rsidRPr="001171C4" w:rsidR="001171C4" w:rsidTr="00F56347" w14:paraId="1E7316E1" w14:textId="77777777">
        <w:trPr>
          <w:trHeight w:val="315"/>
          <w:jc w:val="center"/>
        </w:trPr>
        <w:tc>
          <w:tcPr>
            <w:tcW w:w="1283" w:type="dxa"/>
            <w:shd w:val="clear" w:color="auto" w:fill="auto"/>
            <w:noWrap/>
            <w:vAlign w:val="bottom"/>
            <w:hideMark/>
          </w:tcPr>
          <w:p w:rsidRPr="001171C4" w:rsidR="001171C4" w:rsidP="001171C4" w:rsidRDefault="001171C4" w14:paraId="01B3B954" w14:textId="77777777">
            <w:pPr>
              <w:spacing w:after="0"/>
              <w:jc w:val="center"/>
              <w:rPr>
                <w:color w:val="000000"/>
              </w:rPr>
            </w:pPr>
            <w:r w:rsidRPr="001171C4">
              <w:rPr>
                <w:color w:val="000000"/>
              </w:rPr>
              <w:t>1</w:t>
            </w:r>
          </w:p>
        </w:tc>
        <w:tc>
          <w:tcPr>
            <w:tcW w:w="2160" w:type="dxa"/>
            <w:shd w:val="clear" w:color="auto" w:fill="auto"/>
            <w:noWrap/>
            <w:vAlign w:val="bottom"/>
            <w:hideMark/>
          </w:tcPr>
          <w:p w:rsidRPr="001171C4" w:rsidR="001171C4" w:rsidP="00F56347" w:rsidRDefault="001171C4" w14:paraId="66D98AD4" w14:textId="3C6088E1">
            <w:pPr>
              <w:spacing w:after="0"/>
              <w:jc w:val="center"/>
              <w:rPr>
                <w:color w:val="000000"/>
              </w:rPr>
            </w:pPr>
            <w:r w:rsidRPr="001171C4">
              <w:rPr>
                <w:color w:val="000000"/>
              </w:rPr>
              <w:t>GS-13</w:t>
            </w:r>
          </w:p>
        </w:tc>
        <w:tc>
          <w:tcPr>
            <w:tcW w:w="1500" w:type="dxa"/>
            <w:shd w:val="clear" w:color="auto" w:fill="auto"/>
            <w:noWrap/>
            <w:vAlign w:val="bottom"/>
            <w:hideMark/>
          </w:tcPr>
          <w:p w:rsidRPr="001171C4" w:rsidR="001171C4" w:rsidP="001171C4" w:rsidRDefault="001171C4" w14:paraId="42AFD384" w14:textId="77777777">
            <w:pPr>
              <w:spacing w:after="0"/>
              <w:jc w:val="right"/>
              <w:rPr>
                <w:color w:val="000000"/>
              </w:rPr>
            </w:pPr>
            <w:r w:rsidRPr="001171C4">
              <w:rPr>
                <w:color w:val="000000"/>
              </w:rPr>
              <w:t>$55.75</w:t>
            </w:r>
          </w:p>
        </w:tc>
        <w:tc>
          <w:tcPr>
            <w:tcW w:w="1620" w:type="dxa"/>
            <w:shd w:val="clear" w:color="auto" w:fill="auto"/>
            <w:noWrap/>
            <w:vAlign w:val="bottom"/>
            <w:hideMark/>
          </w:tcPr>
          <w:p w:rsidRPr="001171C4" w:rsidR="001171C4" w:rsidP="001171C4" w:rsidRDefault="001171C4" w14:paraId="6E523A07" w14:textId="77777777">
            <w:pPr>
              <w:spacing w:after="0"/>
              <w:jc w:val="right"/>
              <w:rPr>
                <w:color w:val="000000"/>
              </w:rPr>
            </w:pPr>
            <w:r w:rsidRPr="001171C4">
              <w:rPr>
                <w:color w:val="000000"/>
              </w:rPr>
              <w:t>160</w:t>
            </w:r>
          </w:p>
        </w:tc>
        <w:tc>
          <w:tcPr>
            <w:tcW w:w="1720" w:type="dxa"/>
            <w:shd w:val="clear" w:color="auto" w:fill="auto"/>
            <w:noWrap/>
            <w:vAlign w:val="bottom"/>
            <w:hideMark/>
          </w:tcPr>
          <w:p w:rsidRPr="001171C4" w:rsidR="001171C4" w:rsidP="001171C4" w:rsidRDefault="001171C4" w14:paraId="63891EE5" w14:textId="77777777">
            <w:pPr>
              <w:spacing w:after="0"/>
              <w:jc w:val="right"/>
              <w:rPr>
                <w:color w:val="000000"/>
              </w:rPr>
            </w:pPr>
            <w:r w:rsidRPr="001171C4">
              <w:rPr>
                <w:color w:val="000000"/>
              </w:rPr>
              <w:t>$8,920.00</w:t>
            </w:r>
          </w:p>
        </w:tc>
      </w:tr>
      <w:tr w:rsidRPr="001171C4" w:rsidR="001171C4" w:rsidTr="00F56347" w14:paraId="5C60BE13" w14:textId="77777777">
        <w:trPr>
          <w:trHeight w:val="315"/>
          <w:jc w:val="center"/>
        </w:trPr>
        <w:tc>
          <w:tcPr>
            <w:tcW w:w="1283" w:type="dxa"/>
            <w:shd w:val="clear" w:color="auto" w:fill="auto"/>
            <w:noWrap/>
            <w:vAlign w:val="bottom"/>
            <w:hideMark/>
          </w:tcPr>
          <w:p w:rsidRPr="001171C4" w:rsidR="001171C4" w:rsidP="001171C4" w:rsidRDefault="001171C4" w14:paraId="4041677E" w14:textId="77777777">
            <w:pPr>
              <w:spacing w:after="0"/>
              <w:jc w:val="center"/>
              <w:rPr>
                <w:color w:val="000000"/>
              </w:rPr>
            </w:pPr>
            <w:r w:rsidRPr="001171C4">
              <w:rPr>
                <w:color w:val="000000"/>
              </w:rPr>
              <w:t>6</w:t>
            </w:r>
          </w:p>
        </w:tc>
        <w:tc>
          <w:tcPr>
            <w:tcW w:w="2160" w:type="dxa"/>
            <w:shd w:val="clear" w:color="auto" w:fill="auto"/>
            <w:noWrap/>
            <w:vAlign w:val="bottom"/>
            <w:hideMark/>
          </w:tcPr>
          <w:p w:rsidRPr="001171C4" w:rsidR="001171C4" w:rsidP="00F56347" w:rsidRDefault="001171C4" w14:paraId="282C17A1" w14:textId="5E6FE4D2">
            <w:pPr>
              <w:spacing w:after="0"/>
              <w:jc w:val="center"/>
              <w:rPr>
                <w:color w:val="000000"/>
              </w:rPr>
            </w:pPr>
            <w:r w:rsidRPr="001171C4">
              <w:rPr>
                <w:color w:val="000000"/>
              </w:rPr>
              <w:t>GS-13</w:t>
            </w:r>
          </w:p>
        </w:tc>
        <w:tc>
          <w:tcPr>
            <w:tcW w:w="1500" w:type="dxa"/>
            <w:shd w:val="clear" w:color="auto" w:fill="auto"/>
            <w:noWrap/>
            <w:vAlign w:val="bottom"/>
            <w:hideMark/>
          </w:tcPr>
          <w:p w:rsidRPr="001171C4" w:rsidR="001171C4" w:rsidP="001171C4" w:rsidRDefault="001171C4" w14:paraId="3E934093" w14:textId="77777777">
            <w:pPr>
              <w:spacing w:after="0"/>
              <w:jc w:val="right"/>
              <w:rPr>
                <w:color w:val="363636"/>
              </w:rPr>
            </w:pPr>
            <w:r w:rsidRPr="001171C4">
              <w:rPr>
                <w:color w:val="363636"/>
              </w:rPr>
              <w:t>$55.75</w:t>
            </w:r>
          </w:p>
        </w:tc>
        <w:tc>
          <w:tcPr>
            <w:tcW w:w="1620" w:type="dxa"/>
            <w:shd w:val="clear" w:color="auto" w:fill="auto"/>
            <w:noWrap/>
            <w:vAlign w:val="bottom"/>
            <w:hideMark/>
          </w:tcPr>
          <w:p w:rsidRPr="001171C4" w:rsidR="001171C4" w:rsidP="001171C4" w:rsidRDefault="001171C4" w14:paraId="32210D03" w14:textId="77777777">
            <w:pPr>
              <w:spacing w:after="0"/>
              <w:jc w:val="right"/>
              <w:rPr>
                <w:color w:val="000000"/>
              </w:rPr>
            </w:pPr>
            <w:r w:rsidRPr="001171C4">
              <w:rPr>
                <w:color w:val="000000"/>
              </w:rPr>
              <w:t>40</w:t>
            </w:r>
          </w:p>
        </w:tc>
        <w:tc>
          <w:tcPr>
            <w:tcW w:w="1720" w:type="dxa"/>
            <w:shd w:val="clear" w:color="auto" w:fill="auto"/>
            <w:noWrap/>
            <w:vAlign w:val="bottom"/>
            <w:hideMark/>
          </w:tcPr>
          <w:p w:rsidRPr="001171C4" w:rsidR="001171C4" w:rsidP="001171C4" w:rsidRDefault="001171C4" w14:paraId="38FCFC1D" w14:textId="77777777">
            <w:pPr>
              <w:spacing w:after="0"/>
              <w:jc w:val="right"/>
              <w:rPr>
                <w:color w:val="000000"/>
              </w:rPr>
            </w:pPr>
            <w:r w:rsidRPr="001171C4">
              <w:rPr>
                <w:color w:val="000000"/>
              </w:rPr>
              <w:t>$13,380.00</w:t>
            </w:r>
          </w:p>
        </w:tc>
      </w:tr>
      <w:tr w:rsidRPr="001171C4" w:rsidR="001171C4" w:rsidTr="00F56347" w14:paraId="47809F01" w14:textId="77777777">
        <w:trPr>
          <w:trHeight w:val="315"/>
          <w:jc w:val="center"/>
        </w:trPr>
        <w:tc>
          <w:tcPr>
            <w:tcW w:w="1283" w:type="dxa"/>
            <w:shd w:val="clear" w:color="auto" w:fill="auto"/>
            <w:noWrap/>
            <w:vAlign w:val="bottom"/>
            <w:hideMark/>
          </w:tcPr>
          <w:p w:rsidRPr="001171C4" w:rsidR="001171C4" w:rsidP="001171C4" w:rsidRDefault="001171C4" w14:paraId="0668BB11" w14:textId="77777777">
            <w:pPr>
              <w:spacing w:after="0"/>
              <w:jc w:val="center"/>
              <w:rPr>
                <w:color w:val="000000"/>
              </w:rPr>
            </w:pPr>
          </w:p>
        </w:tc>
        <w:tc>
          <w:tcPr>
            <w:tcW w:w="2160" w:type="dxa"/>
            <w:shd w:val="clear" w:color="auto" w:fill="auto"/>
            <w:noWrap/>
            <w:vAlign w:val="bottom"/>
            <w:hideMark/>
          </w:tcPr>
          <w:p w:rsidRPr="001171C4" w:rsidR="001171C4" w:rsidP="001171C4" w:rsidRDefault="001171C4" w14:paraId="7ADD3EAF" w14:textId="762191AC">
            <w:pPr>
              <w:spacing w:after="0"/>
              <w:rPr>
                <w:color w:val="000000"/>
              </w:rPr>
            </w:pPr>
            <w:r w:rsidRPr="001171C4">
              <w:rPr>
                <w:color w:val="000000"/>
              </w:rPr>
              <w:t>T</w:t>
            </w:r>
            <w:r>
              <w:rPr>
                <w:color w:val="000000"/>
              </w:rPr>
              <w:t xml:space="preserve">otal Federal Salaries </w:t>
            </w:r>
          </w:p>
        </w:tc>
        <w:tc>
          <w:tcPr>
            <w:tcW w:w="1500" w:type="dxa"/>
            <w:shd w:val="clear" w:color="auto" w:fill="auto"/>
            <w:noWrap/>
            <w:vAlign w:val="bottom"/>
            <w:hideMark/>
          </w:tcPr>
          <w:p w:rsidRPr="001171C4" w:rsidR="001171C4" w:rsidP="001171C4" w:rsidRDefault="001171C4" w14:paraId="14BAB2AB" w14:textId="77777777">
            <w:pPr>
              <w:spacing w:after="0"/>
              <w:rPr>
                <w:color w:val="000000"/>
              </w:rPr>
            </w:pPr>
          </w:p>
        </w:tc>
        <w:tc>
          <w:tcPr>
            <w:tcW w:w="1620" w:type="dxa"/>
            <w:shd w:val="clear" w:color="auto" w:fill="auto"/>
            <w:noWrap/>
            <w:vAlign w:val="bottom"/>
            <w:hideMark/>
          </w:tcPr>
          <w:p w:rsidRPr="001171C4" w:rsidR="001171C4" w:rsidP="001171C4" w:rsidRDefault="001171C4" w14:paraId="5964FD98" w14:textId="77777777">
            <w:pPr>
              <w:spacing w:after="0"/>
              <w:rPr>
                <w:sz w:val="20"/>
                <w:szCs w:val="20"/>
              </w:rPr>
            </w:pPr>
          </w:p>
        </w:tc>
        <w:tc>
          <w:tcPr>
            <w:tcW w:w="1720" w:type="dxa"/>
            <w:shd w:val="clear" w:color="auto" w:fill="auto"/>
            <w:noWrap/>
            <w:vAlign w:val="bottom"/>
            <w:hideMark/>
          </w:tcPr>
          <w:p w:rsidRPr="001171C4" w:rsidR="001171C4" w:rsidP="001171C4" w:rsidRDefault="001171C4" w14:paraId="1261A842" w14:textId="77777777">
            <w:pPr>
              <w:spacing w:after="0"/>
              <w:jc w:val="right"/>
              <w:rPr>
                <w:color w:val="000000"/>
              </w:rPr>
            </w:pPr>
            <w:r w:rsidRPr="001171C4">
              <w:rPr>
                <w:color w:val="000000"/>
              </w:rPr>
              <w:t>$44,310</w:t>
            </w:r>
          </w:p>
        </w:tc>
      </w:tr>
    </w:tbl>
    <w:p w:rsidR="001171C4" w:rsidP="00432256" w:rsidRDefault="001171C4" w14:paraId="543CBBAC" w14:textId="77777777">
      <w:pPr>
        <w:pStyle w:val="ListParagraph"/>
        <w:rPr>
          <w:rStyle w:val="a"/>
        </w:rPr>
      </w:pPr>
    </w:p>
    <w:p w:rsidR="00B83FB3" w:rsidP="00432256" w:rsidRDefault="00386054" w14:paraId="46A72F71" w14:textId="77777777">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E65171" w:rsidP="00432256" w:rsidRDefault="00F56347" w14:paraId="46A72F72" w14:textId="10284E3C">
      <w:pPr>
        <w:ind w:left="720"/>
      </w:pPr>
      <w:r>
        <w:t>This is a new collection</w:t>
      </w:r>
      <w:r w:rsidR="00E65171">
        <w:t xml:space="preserve">. </w:t>
      </w:r>
    </w:p>
    <w:p w:rsidR="00B83FB3" w:rsidP="00432256" w:rsidRDefault="00386054" w14:paraId="46A72F73" w14:textId="77777777">
      <w:pPr>
        <w:pStyle w:val="ListParagraph"/>
        <w:numPr>
          <w:ilvl w:val="0"/>
          <w:numId w:val="28"/>
        </w:numPr>
        <w:rPr>
          <w:rStyle w:val="a"/>
        </w:rPr>
      </w:pPr>
      <w:r w:rsidRPr="00687030">
        <w:rPr>
          <w:rStyle w:val="a"/>
          <w:b/>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687030">
        <w:rPr>
          <w:rStyle w:val="a"/>
          <w:b/>
        </w:rPr>
        <w:lastRenderedPageBreak/>
        <w:t>ending dates of the collection of information, completion of report, publication dates, and other actions</w:t>
      </w:r>
      <w:r w:rsidRPr="00322E02">
        <w:rPr>
          <w:rStyle w:val="a"/>
        </w:rPr>
        <w:t>.</w:t>
      </w:r>
    </w:p>
    <w:p w:rsidR="009F5F47" w:rsidP="00432256" w:rsidRDefault="009331B3" w14:paraId="46A72F74" w14:textId="77777777">
      <w:pPr>
        <w:ind w:left="720"/>
        <w:rPr>
          <w:rStyle w:val="a"/>
        </w:rPr>
      </w:pPr>
      <w:r>
        <w:rPr>
          <w:rStyle w:val="a"/>
        </w:rPr>
        <w:t>There are no plans for publication of data from this collection.</w:t>
      </w:r>
    </w:p>
    <w:p w:rsidR="00B83FB3" w:rsidP="00432256" w:rsidRDefault="00386054" w14:paraId="46A72F75" w14:textId="77777777">
      <w:pPr>
        <w:pStyle w:val="ListParagraph"/>
        <w:numPr>
          <w:ilvl w:val="0"/>
          <w:numId w:val="28"/>
        </w:numPr>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9F5F47" w:rsidP="00432256" w:rsidRDefault="009331B3" w14:paraId="46A72F76" w14:textId="77777777">
      <w:pPr>
        <w:ind w:left="720"/>
        <w:rPr>
          <w:rStyle w:val="a"/>
        </w:rPr>
      </w:pPr>
      <w:r>
        <w:rPr>
          <w:rStyle w:val="a"/>
        </w:rPr>
        <w:t>We are not seeking this approval.</w:t>
      </w:r>
    </w:p>
    <w:p w:rsidR="00386054" w:rsidP="00432256" w:rsidRDefault="00386054" w14:paraId="46A72F77" w14:textId="77777777">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Pr="00567824" w:rsidR="00567824" w:rsidP="00432256" w:rsidRDefault="00DA46CF" w14:paraId="46A72F78" w14:textId="77777777">
      <w:pPr>
        <w:pStyle w:val="ListParagraph"/>
      </w:pPr>
      <w:r>
        <w:rPr>
          <w:rStyle w:val="a"/>
        </w:rPr>
        <w:t xml:space="preserve">There are no exceptions to the certification statement identified in the Certification of Paperwork Reduction Act. </w:t>
      </w:r>
    </w:p>
    <w:sectPr w:rsidRPr="00567824" w:rsidR="00567824"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BCE9B" w14:textId="77777777" w:rsidR="00B97BD6" w:rsidRDefault="00B97BD6">
      <w:pPr>
        <w:spacing w:line="20" w:lineRule="exact"/>
      </w:pPr>
    </w:p>
  </w:endnote>
  <w:endnote w:type="continuationSeparator" w:id="0">
    <w:p w14:paraId="552B318F" w14:textId="77777777" w:rsidR="00B97BD6" w:rsidRDefault="00B97BD6">
      <w:r>
        <w:t xml:space="preserve"> </w:t>
      </w:r>
    </w:p>
  </w:endnote>
  <w:endnote w:type="continuationNotice" w:id="1">
    <w:p w14:paraId="60CEBD91" w14:textId="77777777" w:rsidR="00B97BD6" w:rsidRDefault="00B97B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2F81"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46A72F82" wp14:editId="46A72F8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A72F86" w14:textId="77777777" w:rsidR="006A0E21" w:rsidRDefault="006A0E21" w:rsidP="00431228">
                          <w:pPr>
                            <w:tabs>
                              <w:tab w:val="center" w:pos="4650"/>
                            </w:tabs>
                            <w:suppressAutoHyphens/>
                            <w:jc w:val="center"/>
                          </w:pPr>
                          <w:r>
                            <w:fldChar w:fldCharType="begin"/>
                          </w:r>
                          <w:r>
                            <w:instrText>page \* arabic</w:instrText>
                          </w:r>
                          <w:r>
                            <w:fldChar w:fldCharType="separate"/>
                          </w:r>
                          <w:r w:rsidR="00F77AFF">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72F82"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46A72F86" w14:textId="77777777" w:rsidR="006A0E21" w:rsidRDefault="006A0E21" w:rsidP="00431228">
                    <w:pPr>
                      <w:tabs>
                        <w:tab w:val="center" w:pos="4650"/>
                      </w:tabs>
                      <w:suppressAutoHyphens/>
                      <w:jc w:val="center"/>
                    </w:pPr>
                    <w:r>
                      <w:fldChar w:fldCharType="begin"/>
                    </w:r>
                    <w:r>
                      <w:instrText>page \* arabic</w:instrText>
                    </w:r>
                    <w:r>
                      <w:fldChar w:fldCharType="separate"/>
                    </w:r>
                    <w:r w:rsidR="00F77AFF">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B95AA" w14:textId="77777777" w:rsidR="00B97BD6" w:rsidRDefault="00B97BD6">
      <w:r>
        <w:separator/>
      </w:r>
    </w:p>
  </w:footnote>
  <w:footnote w:type="continuationSeparator" w:id="0">
    <w:p w14:paraId="2ACE351A" w14:textId="77777777" w:rsidR="00B97BD6" w:rsidRDefault="00B9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2F7E" w14:textId="0BB2D533" w:rsidR="00E65171" w:rsidRDefault="00E65171" w:rsidP="00E65171">
    <w:pPr>
      <w:spacing w:after="0"/>
    </w:pPr>
    <w:r>
      <w:t>Tracking and OMB Number: 1830-</w:t>
    </w:r>
    <w:r w:rsidR="00A63AE7">
      <w:t xml:space="preserve">NEW </w:t>
    </w:r>
  </w:p>
  <w:p w14:paraId="46A72F7F" w14:textId="25873DF4" w:rsidR="00E65171" w:rsidRDefault="00A63AE7" w:rsidP="00E65171">
    <w:pPr>
      <w:spacing w:after="0"/>
    </w:pPr>
    <w:r>
      <w:t>Education Stabilization Fund - Reimagine Workforce Preparation Grants</w:t>
    </w:r>
  </w:p>
  <w:p w14:paraId="46A72F80" w14:textId="77777777" w:rsidR="00E65171" w:rsidRPr="00F71727" w:rsidRDefault="00E65171" w:rsidP="00E6517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17B1"/>
    <w:rsid w:val="00016E14"/>
    <w:rsid w:val="00050CBE"/>
    <w:rsid w:val="00061E51"/>
    <w:rsid w:val="00064BFC"/>
    <w:rsid w:val="00070139"/>
    <w:rsid w:val="000909E0"/>
    <w:rsid w:val="000929BC"/>
    <w:rsid w:val="00097881"/>
    <w:rsid w:val="000A2965"/>
    <w:rsid w:val="000B14D8"/>
    <w:rsid w:val="000C4863"/>
    <w:rsid w:val="000E2D4B"/>
    <w:rsid w:val="000E592D"/>
    <w:rsid w:val="000F175B"/>
    <w:rsid w:val="001171C4"/>
    <w:rsid w:val="0014500F"/>
    <w:rsid w:val="00153F20"/>
    <w:rsid w:val="001743A5"/>
    <w:rsid w:val="001775B5"/>
    <w:rsid w:val="0018279C"/>
    <w:rsid w:val="001C5D8A"/>
    <w:rsid w:val="001F60E6"/>
    <w:rsid w:val="00213A2C"/>
    <w:rsid w:val="00227B2E"/>
    <w:rsid w:val="00234480"/>
    <w:rsid w:val="0023737D"/>
    <w:rsid w:val="002446B3"/>
    <w:rsid w:val="002473CE"/>
    <w:rsid w:val="00282500"/>
    <w:rsid w:val="002B0412"/>
    <w:rsid w:val="002B0A95"/>
    <w:rsid w:val="002C10D1"/>
    <w:rsid w:val="002C3588"/>
    <w:rsid w:val="002E5597"/>
    <w:rsid w:val="002F2F4A"/>
    <w:rsid w:val="00322E02"/>
    <w:rsid w:val="00341998"/>
    <w:rsid w:val="003702B1"/>
    <w:rsid w:val="0037056C"/>
    <w:rsid w:val="00386054"/>
    <w:rsid w:val="003C29C2"/>
    <w:rsid w:val="003C7F70"/>
    <w:rsid w:val="003E285A"/>
    <w:rsid w:val="003E377D"/>
    <w:rsid w:val="003E4FC7"/>
    <w:rsid w:val="003E539A"/>
    <w:rsid w:val="003E618B"/>
    <w:rsid w:val="003F3C70"/>
    <w:rsid w:val="0040207C"/>
    <w:rsid w:val="004206FC"/>
    <w:rsid w:val="00431228"/>
    <w:rsid w:val="00432256"/>
    <w:rsid w:val="00441A39"/>
    <w:rsid w:val="004A2DBB"/>
    <w:rsid w:val="004B54D2"/>
    <w:rsid w:val="004D6005"/>
    <w:rsid w:val="004E23D9"/>
    <w:rsid w:val="004F166C"/>
    <w:rsid w:val="004F21F5"/>
    <w:rsid w:val="004F692A"/>
    <w:rsid w:val="0050686A"/>
    <w:rsid w:val="00512598"/>
    <w:rsid w:val="005275D6"/>
    <w:rsid w:val="0053551D"/>
    <w:rsid w:val="005513C7"/>
    <w:rsid w:val="00563CCF"/>
    <w:rsid w:val="00567824"/>
    <w:rsid w:val="005768B8"/>
    <w:rsid w:val="005A1566"/>
    <w:rsid w:val="005A1DFC"/>
    <w:rsid w:val="005A4185"/>
    <w:rsid w:val="005A6B2A"/>
    <w:rsid w:val="005A6D09"/>
    <w:rsid w:val="005B3DFD"/>
    <w:rsid w:val="005C1581"/>
    <w:rsid w:val="005C16AF"/>
    <w:rsid w:val="005D07EB"/>
    <w:rsid w:val="005D2E7B"/>
    <w:rsid w:val="005F565D"/>
    <w:rsid w:val="006134F5"/>
    <w:rsid w:val="00617A98"/>
    <w:rsid w:val="0063484C"/>
    <w:rsid w:val="00654305"/>
    <w:rsid w:val="006737C0"/>
    <w:rsid w:val="00677BC2"/>
    <w:rsid w:val="00687030"/>
    <w:rsid w:val="00694667"/>
    <w:rsid w:val="006A0E21"/>
    <w:rsid w:val="006A3B5C"/>
    <w:rsid w:val="006C01D0"/>
    <w:rsid w:val="006D14A7"/>
    <w:rsid w:val="00746E45"/>
    <w:rsid w:val="007661D9"/>
    <w:rsid w:val="00770810"/>
    <w:rsid w:val="00787B58"/>
    <w:rsid w:val="007A30E5"/>
    <w:rsid w:val="007B14E8"/>
    <w:rsid w:val="007C12B5"/>
    <w:rsid w:val="007E77FA"/>
    <w:rsid w:val="007F393F"/>
    <w:rsid w:val="008011B6"/>
    <w:rsid w:val="00872D56"/>
    <w:rsid w:val="00887242"/>
    <w:rsid w:val="008E3AF8"/>
    <w:rsid w:val="008F3062"/>
    <w:rsid w:val="00914617"/>
    <w:rsid w:val="00921CB1"/>
    <w:rsid w:val="009331B3"/>
    <w:rsid w:val="009544A3"/>
    <w:rsid w:val="009634C0"/>
    <w:rsid w:val="009664A0"/>
    <w:rsid w:val="00994136"/>
    <w:rsid w:val="009949A8"/>
    <w:rsid w:val="009C3544"/>
    <w:rsid w:val="009E777A"/>
    <w:rsid w:val="009F5F47"/>
    <w:rsid w:val="00A01331"/>
    <w:rsid w:val="00A11F20"/>
    <w:rsid w:val="00A41F2C"/>
    <w:rsid w:val="00A63AE7"/>
    <w:rsid w:val="00A87940"/>
    <w:rsid w:val="00A94CCB"/>
    <w:rsid w:val="00AB0D7D"/>
    <w:rsid w:val="00AC3646"/>
    <w:rsid w:val="00AD3E8E"/>
    <w:rsid w:val="00AF7313"/>
    <w:rsid w:val="00B23EC0"/>
    <w:rsid w:val="00B32A74"/>
    <w:rsid w:val="00B578F4"/>
    <w:rsid w:val="00B64288"/>
    <w:rsid w:val="00B83FB3"/>
    <w:rsid w:val="00B97BD6"/>
    <w:rsid w:val="00BA13A2"/>
    <w:rsid w:val="00BB0B79"/>
    <w:rsid w:val="00BC244F"/>
    <w:rsid w:val="00BD1325"/>
    <w:rsid w:val="00C47A80"/>
    <w:rsid w:val="00C579CA"/>
    <w:rsid w:val="00C641E9"/>
    <w:rsid w:val="00C71525"/>
    <w:rsid w:val="00C723C2"/>
    <w:rsid w:val="00C74D95"/>
    <w:rsid w:val="00C9556E"/>
    <w:rsid w:val="00CA38F1"/>
    <w:rsid w:val="00CD14A4"/>
    <w:rsid w:val="00CE72AF"/>
    <w:rsid w:val="00CF7053"/>
    <w:rsid w:val="00D004BE"/>
    <w:rsid w:val="00D115BF"/>
    <w:rsid w:val="00D13CFA"/>
    <w:rsid w:val="00D269C3"/>
    <w:rsid w:val="00D330C4"/>
    <w:rsid w:val="00D56260"/>
    <w:rsid w:val="00D8188A"/>
    <w:rsid w:val="00D93FAF"/>
    <w:rsid w:val="00DA46CF"/>
    <w:rsid w:val="00DE224B"/>
    <w:rsid w:val="00DF110C"/>
    <w:rsid w:val="00E0199C"/>
    <w:rsid w:val="00E023B7"/>
    <w:rsid w:val="00E07290"/>
    <w:rsid w:val="00E2721C"/>
    <w:rsid w:val="00E27D64"/>
    <w:rsid w:val="00E45EE8"/>
    <w:rsid w:val="00E52F91"/>
    <w:rsid w:val="00E65171"/>
    <w:rsid w:val="00E732B0"/>
    <w:rsid w:val="00EA3C1F"/>
    <w:rsid w:val="00EC2CC4"/>
    <w:rsid w:val="00EC5977"/>
    <w:rsid w:val="00EE67FF"/>
    <w:rsid w:val="00EF7FF5"/>
    <w:rsid w:val="00F1668C"/>
    <w:rsid w:val="00F313DF"/>
    <w:rsid w:val="00F345C4"/>
    <w:rsid w:val="00F56347"/>
    <w:rsid w:val="00F651D1"/>
    <w:rsid w:val="00F67F2F"/>
    <w:rsid w:val="00F71727"/>
    <w:rsid w:val="00F77AFF"/>
    <w:rsid w:val="00FE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72EB8"/>
  <w15:docId w15:val="{83ED2ECC-18AC-4AAC-8B32-2066EB8D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AF7313"/>
    <w:rPr>
      <w:color w:val="0000FF" w:themeColor="hyperlink"/>
      <w:u w:val="single"/>
    </w:rPr>
  </w:style>
  <w:style w:type="character" w:styleId="FollowedHyperlink">
    <w:name w:val="FollowedHyperlink"/>
    <w:basedOn w:val="DefaultParagraphFont"/>
    <w:uiPriority w:val="99"/>
    <w:semiHidden/>
    <w:unhideWhenUsed/>
    <w:rsid w:val="002C3588"/>
    <w:rPr>
      <w:color w:val="800080" w:themeColor="followedHyperlink"/>
      <w:u w:val="single"/>
    </w:rPr>
  </w:style>
  <w:style w:type="character" w:styleId="UnresolvedMention">
    <w:name w:val="Unresolved Mention"/>
    <w:basedOn w:val="DefaultParagraphFont"/>
    <w:uiPriority w:val="99"/>
    <w:semiHidden/>
    <w:unhideWhenUsed/>
    <w:rsid w:val="003E3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6657">
      <w:bodyDiv w:val="1"/>
      <w:marLeft w:val="0"/>
      <w:marRight w:val="0"/>
      <w:marTop w:val="0"/>
      <w:marBottom w:val="0"/>
      <w:divBdr>
        <w:top w:val="none" w:sz="0" w:space="0" w:color="auto"/>
        <w:left w:val="none" w:sz="0" w:space="0" w:color="auto"/>
        <w:bottom w:val="none" w:sz="0" w:space="0" w:color="auto"/>
        <w:right w:val="none" w:sz="0" w:space="0" w:color="auto"/>
      </w:divBdr>
    </w:div>
    <w:div w:id="15682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8/may/naics4_999200.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b0f09d9fd3ea9c9be95455ec7ecc5fd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88a5baa779dc4cbdf0062d9bacaff2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7405-D198-4446-9431-D2DA89DCE1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3719B-4599-4BFD-8DC2-1496C30577BC}">
  <ds:schemaRefs>
    <ds:schemaRef ds:uri="http://schemas.microsoft.com/sharepoint/v3/contenttype/forms"/>
  </ds:schemaRefs>
</ds:datastoreItem>
</file>

<file path=customXml/itemProps3.xml><?xml version="1.0" encoding="utf-8"?>
<ds:datastoreItem xmlns:ds="http://schemas.openxmlformats.org/officeDocument/2006/customXml" ds:itemID="{9DDE62D6-8EFD-4EE5-9D6C-937329EBE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8E857-1554-4284-A63F-1876BC78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4</cp:revision>
  <cp:lastPrinted>2019-03-26T10:33:00Z</cp:lastPrinted>
  <dcterms:created xsi:type="dcterms:W3CDTF">2020-06-29T11:42:00Z</dcterms:created>
  <dcterms:modified xsi:type="dcterms:W3CDTF">2020-06-29T11:53:00Z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