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7B4F" w:rsidR="00FE5EB2" w:rsidP="00597B4F" w:rsidRDefault="00FE5EB2" w14:paraId="5DF28CDC" w14:textId="77777777">
      <w:pPr>
        <w:jc w:val="center"/>
        <w:rPr>
          <w:rFonts w:ascii="Times New Roman" w:hAnsi="Times New Roman" w:cs="Times New Roman"/>
          <w:b/>
          <w:bCs/>
          <w:sz w:val="24"/>
          <w:szCs w:val="24"/>
        </w:rPr>
      </w:pPr>
      <w:r w:rsidRPr="00597B4F">
        <w:rPr>
          <w:rFonts w:ascii="Times New Roman" w:hAnsi="Times New Roman" w:cs="Times New Roman"/>
          <w:sz w:val="24"/>
          <w:szCs w:val="24"/>
          <w:lang w:val="en-CA"/>
        </w:rPr>
        <w:fldChar w:fldCharType="begin"/>
      </w:r>
      <w:r w:rsidRPr="00597B4F">
        <w:rPr>
          <w:rFonts w:ascii="Times New Roman" w:hAnsi="Times New Roman" w:cs="Times New Roman"/>
          <w:sz w:val="24"/>
          <w:szCs w:val="24"/>
          <w:lang w:val="en-CA"/>
        </w:rPr>
        <w:instrText xml:space="preserve"> SEQ CHAPTER \h \r 1</w:instrText>
      </w:r>
      <w:r w:rsidRPr="00597B4F">
        <w:rPr>
          <w:rFonts w:ascii="Times New Roman" w:hAnsi="Times New Roman" w:cs="Times New Roman"/>
          <w:sz w:val="24"/>
          <w:szCs w:val="24"/>
          <w:lang w:val="en-CA"/>
        </w:rPr>
        <w:fldChar w:fldCharType="end"/>
      </w:r>
      <w:r w:rsidRPr="00597B4F">
        <w:rPr>
          <w:rFonts w:ascii="Times New Roman" w:hAnsi="Times New Roman" w:cs="Times New Roman"/>
          <w:b/>
          <w:bCs/>
          <w:sz w:val="24"/>
          <w:szCs w:val="24"/>
        </w:rPr>
        <w:t>SUPPORTING STATEMENT</w:t>
      </w:r>
    </w:p>
    <w:p w:rsidRPr="00597B4F" w:rsidR="00BB0347" w:rsidP="00597B4F" w:rsidRDefault="00BB0347" w14:paraId="3D12C43D" w14:textId="77777777">
      <w:pPr>
        <w:jc w:val="center"/>
        <w:rPr>
          <w:rFonts w:ascii="Times New Roman" w:hAnsi="Times New Roman" w:cs="Times New Roman"/>
          <w:sz w:val="24"/>
          <w:szCs w:val="24"/>
        </w:rPr>
      </w:pPr>
      <w:r w:rsidRPr="00597B4F">
        <w:rPr>
          <w:rFonts w:ascii="Times New Roman" w:hAnsi="Times New Roman" w:cs="Times New Roman"/>
          <w:sz w:val="24"/>
          <w:szCs w:val="24"/>
        </w:rPr>
        <w:t>Internal Revenue Service</w:t>
      </w:r>
    </w:p>
    <w:p w:rsidRPr="00597B4F" w:rsidR="00365E67" w:rsidP="00597B4F" w:rsidRDefault="000D21C9" w14:paraId="13FF3CB8" w14:textId="77777777">
      <w:pPr>
        <w:jc w:val="center"/>
        <w:rPr>
          <w:rFonts w:ascii="Times New Roman" w:hAnsi="Times New Roman" w:cs="Times New Roman"/>
          <w:sz w:val="24"/>
          <w:szCs w:val="24"/>
        </w:rPr>
      </w:pPr>
      <w:r w:rsidRPr="00597B4F">
        <w:rPr>
          <w:rFonts w:ascii="Times New Roman" w:hAnsi="Times New Roman" w:cs="Times New Roman"/>
          <w:sz w:val="24"/>
          <w:szCs w:val="24"/>
        </w:rPr>
        <w:t xml:space="preserve">Guidance on Cost Recovery </w:t>
      </w:r>
      <w:r w:rsidRPr="00597B4F" w:rsidR="00BB0347">
        <w:rPr>
          <w:rFonts w:ascii="Times New Roman" w:hAnsi="Times New Roman" w:cs="Times New Roman"/>
          <w:sz w:val="24"/>
          <w:szCs w:val="24"/>
        </w:rPr>
        <w:t>Under the Income Forecast Method</w:t>
      </w:r>
    </w:p>
    <w:p w:rsidRPr="00597B4F" w:rsidR="00BB0347" w:rsidP="00597B4F" w:rsidRDefault="00365E67" w14:paraId="41C9092E" w14:textId="77777777">
      <w:pPr>
        <w:jc w:val="center"/>
        <w:rPr>
          <w:rFonts w:ascii="Times New Roman" w:hAnsi="Times New Roman" w:cs="Times New Roman"/>
          <w:sz w:val="24"/>
          <w:szCs w:val="24"/>
        </w:rPr>
      </w:pPr>
      <w:r w:rsidRPr="00597B4F">
        <w:rPr>
          <w:rFonts w:ascii="Times New Roman" w:hAnsi="Times New Roman" w:cs="Times New Roman"/>
          <w:sz w:val="24"/>
          <w:szCs w:val="24"/>
        </w:rPr>
        <w:t xml:space="preserve">OMB# </w:t>
      </w:r>
      <w:r w:rsidRPr="00597B4F">
        <w:rPr>
          <w:rFonts w:ascii="Times New Roman" w:hAnsi="Times New Roman" w:cs="Times New Roman"/>
          <w:b/>
          <w:bCs/>
          <w:sz w:val="24"/>
          <w:szCs w:val="24"/>
        </w:rPr>
        <w:t>1545-1622</w:t>
      </w:r>
    </w:p>
    <w:p w:rsidRPr="00597B4F" w:rsidR="00FE5EB2" w:rsidRDefault="00FE5EB2" w14:paraId="5871F53D" w14:textId="77777777">
      <w:pPr>
        <w:rPr>
          <w:rFonts w:ascii="Times New Roman" w:hAnsi="Times New Roman" w:cs="Times New Roman"/>
          <w:sz w:val="24"/>
          <w:szCs w:val="24"/>
        </w:rPr>
      </w:pPr>
    </w:p>
    <w:p w:rsidRPr="00597B4F" w:rsidR="00FE5EB2" w:rsidRDefault="00FE5EB2" w14:paraId="26DA0299"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CIRCUMSTANCES NECESSITATING COLLECTION OF INFORMATION</w:t>
      </w:r>
    </w:p>
    <w:p w:rsidRPr="00597B4F" w:rsidR="00FE5EB2" w:rsidRDefault="00FE5EB2" w14:paraId="14A26E78" w14:textId="77777777">
      <w:pPr>
        <w:rPr>
          <w:rFonts w:ascii="Times New Roman" w:hAnsi="Times New Roman" w:cs="Times New Roman"/>
          <w:sz w:val="24"/>
          <w:szCs w:val="24"/>
        </w:rPr>
      </w:pPr>
    </w:p>
    <w:p w:rsidRPr="00597B4F" w:rsidR="004054E3" w:rsidP="004054E3" w:rsidRDefault="004054E3" w14:paraId="36749EA0" w14:textId="77777777">
      <w:pPr>
        <w:ind w:left="720"/>
        <w:rPr>
          <w:rFonts w:ascii="Times New Roman" w:hAnsi="Times New Roman" w:cs="Times New Roman"/>
          <w:sz w:val="24"/>
          <w:szCs w:val="24"/>
        </w:rPr>
      </w:pPr>
      <w:r w:rsidRPr="00597B4F">
        <w:rPr>
          <w:rFonts w:ascii="Times New Roman" w:hAnsi="Times New Roman" w:cs="Times New Roman"/>
          <w:sz w:val="24"/>
          <w:szCs w:val="24"/>
        </w:rPr>
        <w:t>This collection covers proposed amendments to 26 CFR part 1 to provide regulations under section 167(g) of the Internal Revenue Code of 1986 (Code).  Section 167(g) was added to the Code by the Small Business Job Protection Act of 1996, Public Law 104-188, 1604 (110 Stat. 1755, 1836) (Aug. 20, 1996), and significant amendments were made to the</w:t>
      </w:r>
    </w:p>
    <w:p w:rsidRPr="00597B4F" w:rsidR="00FE5EB2" w:rsidP="004054E3" w:rsidRDefault="004054E3" w14:paraId="32F64056" w14:textId="77777777">
      <w:pPr>
        <w:ind w:left="720"/>
        <w:rPr>
          <w:rFonts w:ascii="Times New Roman" w:hAnsi="Times New Roman" w:cs="Times New Roman"/>
          <w:sz w:val="24"/>
          <w:szCs w:val="24"/>
        </w:rPr>
      </w:pPr>
      <w:r w:rsidRPr="00597B4F">
        <w:rPr>
          <w:rFonts w:ascii="Times New Roman" w:hAnsi="Times New Roman" w:cs="Times New Roman"/>
          <w:sz w:val="24"/>
          <w:szCs w:val="24"/>
        </w:rPr>
        <w:t>provision by the Taxpayer Relief Act of 1997, Public Law 105-34, 1086 (111 Stat. 788, 957) (Aug. 5, 1997).</w:t>
      </w:r>
    </w:p>
    <w:p w:rsidRPr="00597B4F" w:rsidR="004054E3" w:rsidP="004054E3" w:rsidRDefault="004054E3" w14:paraId="2C0EDF69" w14:textId="77777777">
      <w:pPr>
        <w:ind w:left="720"/>
        <w:rPr>
          <w:rFonts w:ascii="Times New Roman" w:hAnsi="Times New Roman" w:cs="Times New Roman"/>
          <w:sz w:val="24"/>
          <w:szCs w:val="24"/>
        </w:rPr>
      </w:pPr>
    </w:p>
    <w:p w:rsidRPr="00597B4F" w:rsidR="004054E3" w:rsidP="004054E3" w:rsidRDefault="004054E3" w14:paraId="519D9383"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REG-103823-99 (67 FR 38025), published May 31, 2002, contained proposed regulations relating to deductions available to taxpayers using the income forecast method of depreciation under section 167(g). These proposed regulations reflect changes to the law made by the Small Business Job Protection Act of 1996 and the Taxpayer Relief Act of 1997 and affect taxpayers that produce, own, or license films, videos, sound recordings, books, copyrights, patents, and certain other similar properties. </w:t>
      </w:r>
    </w:p>
    <w:p w:rsidRPr="00597B4F" w:rsidR="004054E3" w:rsidP="004054E3" w:rsidRDefault="004054E3" w14:paraId="2530F6A9" w14:textId="77777777">
      <w:pPr>
        <w:ind w:left="720"/>
        <w:rPr>
          <w:rFonts w:ascii="Times New Roman" w:hAnsi="Times New Roman" w:cs="Times New Roman"/>
          <w:sz w:val="24"/>
          <w:szCs w:val="24"/>
        </w:rPr>
      </w:pPr>
    </w:p>
    <w:p w:rsidRPr="00597B4F" w:rsidR="000D21C9" w:rsidP="000D21C9" w:rsidRDefault="000D21C9" w14:paraId="627384B7"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Form 8866, </w:t>
      </w:r>
      <w:r w:rsidRPr="00597B4F">
        <w:rPr>
          <w:rFonts w:ascii="Times New Roman" w:hAnsi="Times New Roman" w:cs="Times New Roman"/>
          <w:i/>
          <w:iCs/>
          <w:sz w:val="24"/>
          <w:szCs w:val="24"/>
        </w:rPr>
        <w:t>Interest Computation Under the Look-Back Method for Property Depreciated Under the Income Forecast Method</w:t>
      </w:r>
      <w:r w:rsidRPr="00597B4F">
        <w:rPr>
          <w:rFonts w:ascii="Times New Roman" w:hAnsi="Times New Roman" w:cs="Times New Roman"/>
          <w:sz w:val="24"/>
          <w:szCs w:val="24"/>
        </w:rPr>
        <w:t>, is used to figure the interest due or to be refunded under the look-back method of IRC Section 167(g)(2) for property placed in service after September 13, 1995, that is depreciated under the income forecast method as described in IRC Section 167(g).</w:t>
      </w:r>
    </w:p>
    <w:p w:rsidRPr="00597B4F" w:rsidR="00FE5EB2" w:rsidP="000D21C9" w:rsidRDefault="000D21C9" w14:paraId="04B739B9" w14:textId="77777777">
      <w:pPr>
        <w:ind w:left="720" w:firstLine="720"/>
        <w:rPr>
          <w:rFonts w:ascii="Times New Roman" w:hAnsi="Times New Roman" w:cs="Times New Roman"/>
          <w:sz w:val="24"/>
          <w:szCs w:val="24"/>
        </w:rPr>
      </w:pPr>
      <w:r w:rsidRPr="00597B4F">
        <w:rPr>
          <w:rFonts w:ascii="Times New Roman" w:hAnsi="Times New Roman" w:cs="Times New Roman"/>
          <w:sz w:val="24"/>
          <w:szCs w:val="24"/>
        </w:rPr>
        <w:t>EXCEPTION: The look-back method does not apply for any property with a cost basis of $100,000 or less.</w:t>
      </w:r>
    </w:p>
    <w:p w:rsidRPr="00597B4F" w:rsidR="00FE5EB2" w:rsidP="004054E3" w:rsidRDefault="00FE5EB2" w14:paraId="042E2E80"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 </w:t>
      </w:r>
      <w:r w:rsidRPr="00597B4F">
        <w:rPr>
          <w:rFonts w:ascii="Times New Roman" w:hAnsi="Times New Roman" w:cs="Times New Roman"/>
          <w:sz w:val="24"/>
          <w:szCs w:val="24"/>
        </w:rPr>
        <w:tab/>
      </w:r>
      <w:r w:rsidRPr="00597B4F" w:rsidR="006F64EB">
        <w:rPr>
          <w:rFonts w:ascii="Times New Roman" w:hAnsi="Times New Roman" w:cs="Times New Roman"/>
          <w:sz w:val="24"/>
          <w:szCs w:val="24"/>
        </w:rPr>
        <w:t xml:space="preserve"> </w:t>
      </w:r>
    </w:p>
    <w:p w:rsidRPr="00597B4F" w:rsidR="00FE5EB2" w:rsidRDefault="00FE5EB2" w14:paraId="7ABA9221"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2.</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USE OF DATA</w:t>
      </w:r>
    </w:p>
    <w:p w:rsidRPr="00597B4F" w:rsidR="00FE5EB2" w:rsidRDefault="00FE5EB2" w14:paraId="6284ED94" w14:textId="77777777">
      <w:pPr>
        <w:rPr>
          <w:rFonts w:ascii="Times New Roman" w:hAnsi="Times New Roman" w:cs="Times New Roman"/>
          <w:sz w:val="24"/>
          <w:szCs w:val="24"/>
        </w:rPr>
      </w:pPr>
    </w:p>
    <w:p w:rsidRPr="00597B4F" w:rsidR="00FE5EB2" w:rsidP="006F64EB" w:rsidRDefault="006F64EB" w14:paraId="209B2EB2"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The information collected </w:t>
      </w:r>
      <w:r w:rsidRPr="005E3AFD" w:rsidR="005E3AFD">
        <w:rPr>
          <w:rFonts w:ascii="Times New Roman" w:hAnsi="Times New Roman" w:cs="Times New Roman"/>
          <w:sz w:val="24"/>
          <w:szCs w:val="24"/>
        </w:rPr>
        <w:t>is used to figure the interest due or to be refunded under the look-back method of IRC Section 167(g)(2) for property placed in service after September 13, 1995, that is depreciated under the income forecast method as described in IRC Section 167(g)</w:t>
      </w:r>
      <w:r w:rsidRPr="00597B4F" w:rsidR="00FE5EB2">
        <w:rPr>
          <w:rFonts w:ascii="Times New Roman" w:hAnsi="Times New Roman" w:cs="Times New Roman"/>
          <w:sz w:val="24"/>
          <w:szCs w:val="24"/>
        </w:rPr>
        <w:t>.</w:t>
      </w:r>
    </w:p>
    <w:p w:rsidRPr="00597B4F" w:rsidR="00FE5EB2" w:rsidRDefault="00FE5EB2" w14:paraId="7C5B13AA" w14:textId="77777777">
      <w:pPr>
        <w:rPr>
          <w:rFonts w:ascii="Times New Roman" w:hAnsi="Times New Roman" w:cs="Times New Roman"/>
          <w:sz w:val="24"/>
          <w:szCs w:val="24"/>
        </w:rPr>
      </w:pPr>
    </w:p>
    <w:p w:rsidRPr="00597B4F" w:rsidR="00FE5EB2" w:rsidRDefault="00FE5EB2" w14:paraId="4D0E5904"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3.</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USE OF IMPROVED INFORMATION TECHNOLOGY TO REDUCE BURDEN</w:t>
      </w:r>
    </w:p>
    <w:p w:rsidRPr="00597B4F" w:rsidR="00FE5EB2" w:rsidRDefault="00FE5EB2" w14:paraId="3A79DCD3" w14:textId="77777777">
      <w:pPr>
        <w:rPr>
          <w:rFonts w:ascii="Times New Roman" w:hAnsi="Times New Roman" w:cs="Times New Roman"/>
          <w:sz w:val="24"/>
          <w:szCs w:val="24"/>
        </w:rPr>
      </w:pPr>
    </w:p>
    <w:p w:rsidRPr="00597B4F" w:rsidR="00FE5EB2" w:rsidRDefault="00365E67" w14:paraId="7019537B"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IRS Publications, Regulations, Notices and Letters are to be electronically enabled on an as practicable basis in accordance with the IRS Reform and Restructuring Act of 1998. </w:t>
      </w:r>
      <w:r w:rsidRPr="00597B4F" w:rsidR="006F64EB">
        <w:rPr>
          <w:rFonts w:ascii="Times New Roman" w:hAnsi="Times New Roman" w:cs="Times New Roman"/>
          <w:sz w:val="24"/>
          <w:szCs w:val="24"/>
        </w:rPr>
        <w:t>Electronic filing of Form 8866 is currently available.</w:t>
      </w:r>
      <w:r w:rsidRPr="00597B4F" w:rsidR="00FE5EB2">
        <w:rPr>
          <w:rFonts w:ascii="Times New Roman" w:hAnsi="Times New Roman" w:cs="Times New Roman"/>
          <w:sz w:val="24"/>
          <w:szCs w:val="24"/>
        </w:rPr>
        <w:t xml:space="preserve">         </w:t>
      </w:r>
      <w:r w:rsidRPr="00597B4F">
        <w:rPr>
          <w:rFonts w:ascii="Times New Roman" w:hAnsi="Times New Roman" w:cs="Times New Roman"/>
          <w:sz w:val="24"/>
          <w:szCs w:val="24"/>
        </w:rPr>
        <w:t xml:space="preserve"> </w:t>
      </w:r>
    </w:p>
    <w:p w:rsidRPr="00597B4F" w:rsidR="00FE5EB2" w:rsidRDefault="00FE5EB2" w14:paraId="16A484CE" w14:textId="77777777">
      <w:pPr>
        <w:rPr>
          <w:rFonts w:ascii="Times New Roman" w:hAnsi="Times New Roman" w:cs="Times New Roman"/>
          <w:sz w:val="24"/>
          <w:szCs w:val="24"/>
        </w:rPr>
      </w:pPr>
    </w:p>
    <w:p w:rsidRPr="00597B4F" w:rsidR="00FE5EB2" w:rsidRDefault="00FE5EB2" w14:paraId="408794B3"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lastRenderedPageBreak/>
        <w:t>4.</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EFFORTS TO IDENTIFY DUPLICATION</w:t>
      </w:r>
    </w:p>
    <w:p w:rsidRPr="00597B4F" w:rsidR="00FE5EB2" w:rsidRDefault="00FE5EB2" w14:paraId="2C6063E8" w14:textId="77777777">
      <w:pPr>
        <w:rPr>
          <w:rFonts w:ascii="Times New Roman" w:hAnsi="Times New Roman" w:cs="Times New Roman"/>
          <w:sz w:val="24"/>
          <w:szCs w:val="24"/>
        </w:rPr>
      </w:pPr>
    </w:p>
    <w:p w:rsidRPr="00597B4F" w:rsidR="00FE5EB2" w:rsidP="006F64EB" w:rsidRDefault="00365E67" w14:paraId="08E57CB3" w14:textId="2325119F">
      <w:pPr>
        <w:ind w:left="720"/>
        <w:rPr>
          <w:rFonts w:ascii="Times New Roman" w:hAnsi="Times New Roman" w:cs="Times New Roman"/>
          <w:sz w:val="24"/>
          <w:szCs w:val="24"/>
        </w:rPr>
      </w:pPr>
      <w:r w:rsidRPr="00597B4F">
        <w:rPr>
          <w:rFonts w:ascii="Times New Roman" w:hAnsi="Times New Roman" w:cs="Times New Roman"/>
          <w:iCs/>
          <w:sz w:val="24"/>
          <w:szCs w:val="24"/>
        </w:rPr>
        <w:t xml:space="preserve">The information obtained through this collection is unique and is not already available for use or adaptation from another source.    </w:t>
      </w:r>
      <w:r w:rsidRPr="00597B4F" w:rsidR="00FE5EB2">
        <w:rPr>
          <w:rFonts w:ascii="Times New Roman" w:hAnsi="Times New Roman" w:cs="Times New Roman"/>
          <w:sz w:val="24"/>
          <w:szCs w:val="24"/>
        </w:rPr>
        <w:t xml:space="preserve">  </w:t>
      </w:r>
    </w:p>
    <w:p w:rsidRPr="00597B4F" w:rsidR="00FE5EB2" w:rsidRDefault="00FE5EB2" w14:paraId="66ED8217" w14:textId="77777777">
      <w:pPr>
        <w:rPr>
          <w:rFonts w:ascii="Times New Roman" w:hAnsi="Times New Roman" w:cs="Times New Roman"/>
          <w:sz w:val="24"/>
          <w:szCs w:val="24"/>
        </w:rPr>
      </w:pPr>
    </w:p>
    <w:p w:rsidRPr="00597B4F" w:rsidR="00FE5EB2" w:rsidRDefault="00FE5EB2" w14:paraId="40A4ACDC"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5.</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METHODS TO MINIMIZE BURDEN ON SMALL BUSINESSES OR OTHER</w:t>
      </w:r>
      <w:r w:rsidRPr="00597B4F" w:rsidR="006F64EB">
        <w:rPr>
          <w:rFonts w:ascii="Times New Roman" w:hAnsi="Times New Roman" w:cs="Times New Roman"/>
          <w:sz w:val="24"/>
          <w:szCs w:val="24"/>
          <w:u w:val="single"/>
        </w:rPr>
        <w:t xml:space="preserve"> </w:t>
      </w:r>
      <w:r w:rsidRPr="00597B4F">
        <w:rPr>
          <w:rFonts w:ascii="Times New Roman" w:hAnsi="Times New Roman" w:cs="Times New Roman"/>
          <w:sz w:val="24"/>
          <w:szCs w:val="24"/>
          <w:u w:val="single"/>
        </w:rPr>
        <w:t>SMALL ENTITIES</w:t>
      </w:r>
    </w:p>
    <w:p w:rsidRPr="00597B4F" w:rsidR="00FE5EB2" w:rsidRDefault="00FE5EB2" w14:paraId="08883B1C" w14:textId="77777777">
      <w:pPr>
        <w:rPr>
          <w:rFonts w:ascii="Times New Roman" w:hAnsi="Times New Roman" w:cs="Times New Roman"/>
          <w:sz w:val="24"/>
          <w:szCs w:val="24"/>
        </w:rPr>
      </w:pPr>
    </w:p>
    <w:p w:rsidRPr="005E3AFD" w:rsidR="005E3AFD" w:rsidP="005E3AFD" w:rsidRDefault="005E3AFD" w14:paraId="6D5043B6" w14:textId="77777777">
      <w:pPr>
        <w:ind w:left="720"/>
        <w:rPr>
          <w:rFonts w:ascii="Times New Roman" w:hAnsi="Times New Roman" w:cs="Times New Roman"/>
          <w:sz w:val="24"/>
          <w:szCs w:val="24"/>
        </w:rPr>
      </w:pPr>
      <w:r>
        <w:rPr>
          <w:rFonts w:ascii="Times New Roman" w:hAnsi="Times New Roman" w:cs="Times New Roman"/>
          <w:sz w:val="24"/>
          <w:szCs w:val="24"/>
        </w:rPr>
        <w:t>I</w:t>
      </w:r>
      <w:r w:rsidRPr="005E3AFD">
        <w:rPr>
          <w:rFonts w:ascii="Times New Roman" w:hAnsi="Times New Roman" w:cs="Times New Roman"/>
          <w:sz w:val="24"/>
          <w:szCs w:val="24"/>
        </w:rPr>
        <w:t>t has been determined that this Treasury</w:t>
      </w:r>
      <w:r>
        <w:rPr>
          <w:rFonts w:ascii="Times New Roman" w:hAnsi="Times New Roman" w:cs="Times New Roman"/>
          <w:sz w:val="24"/>
          <w:szCs w:val="24"/>
        </w:rPr>
        <w:t xml:space="preserve"> </w:t>
      </w:r>
      <w:r w:rsidRPr="005E3AFD">
        <w:rPr>
          <w:rFonts w:ascii="Times New Roman" w:hAnsi="Times New Roman" w:cs="Times New Roman"/>
          <w:sz w:val="24"/>
          <w:szCs w:val="24"/>
        </w:rPr>
        <w:t>decision is not a significant regulatory</w:t>
      </w:r>
      <w:r>
        <w:rPr>
          <w:rFonts w:ascii="Times New Roman" w:hAnsi="Times New Roman" w:cs="Times New Roman"/>
          <w:sz w:val="24"/>
          <w:szCs w:val="24"/>
        </w:rPr>
        <w:t xml:space="preserve"> </w:t>
      </w:r>
      <w:r w:rsidRPr="005E3AFD">
        <w:rPr>
          <w:rFonts w:ascii="Times New Roman" w:hAnsi="Times New Roman" w:cs="Times New Roman"/>
          <w:sz w:val="24"/>
          <w:szCs w:val="24"/>
        </w:rPr>
        <w:t>action as defined in Executive Order</w:t>
      </w:r>
      <w:r>
        <w:rPr>
          <w:rFonts w:ascii="Times New Roman" w:hAnsi="Times New Roman" w:cs="Times New Roman"/>
          <w:sz w:val="24"/>
          <w:szCs w:val="24"/>
        </w:rPr>
        <w:t xml:space="preserve"> </w:t>
      </w:r>
      <w:r w:rsidRPr="005E3AFD">
        <w:rPr>
          <w:rFonts w:ascii="Times New Roman" w:hAnsi="Times New Roman" w:cs="Times New Roman"/>
          <w:sz w:val="24"/>
          <w:szCs w:val="24"/>
        </w:rPr>
        <w:t>12866. Therefore, a regulatory assessment</w:t>
      </w:r>
      <w:r>
        <w:rPr>
          <w:rFonts w:ascii="Times New Roman" w:hAnsi="Times New Roman" w:cs="Times New Roman"/>
          <w:sz w:val="24"/>
          <w:szCs w:val="24"/>
        </w:rPr>
        <w:t xml:space="preserve"> </w:t>
      </w:r>
      <w:r w:rsidRPr="005E3AFD">
        <w:rPr>
          <w:rFonts w:ascii="Times New Roman" w:hAnsi="Times New Roman" w:cs="Times New Roman"/>
          <w:sz w:val="24"/>
          <w:szCs w:val="24"/>
        </w:rPr>
        <w:t>is not required. It also has been</w:t>
      </w:r>
      <w:r>
        <w:rPr>
          <w:rFonts w:ascii="Times New Roman" w:hAnsi="Times New Roman" w:cs="Times New Roman"/>
          <w:sz w:val="24"/>
          <w:szCs w:val="24"/>
        </w:rPr>
        <w:t xml:space="preserve"> </w:t>
      </w:r>
      <w:r w:rsidRPr="005E3AFD">
        <w:rPr>
          <w:rFonts w:ascii="Times New Roman" w:hAnsi="Times New Roman" w:cs="Times New Roman"/>
          <w:sz w:val="24"/>
          <w:szCs w:val="24"/>
        </w:rPr>
        <w:t>determined that section 553(b) of the</w:t>
      </w:r>
      <w:r>
        <w:rPr>
          <w:rFonts w:ascii="Times New Roman" w:hAnsi="Times New Roman" w:cs="Times New Roman"/>
          <w:sz w:val="24"/>
          <w:szCs w:val="24"/>
        </w:rPr>
        <w:t xml:space="preserve"> </w:t>
      </w:r>
      <w:r w:rsidRPr="005E3AFD">
        <w:rPr>
          <w:rFonts w:ascii="Times New Roman" w:hAnsi="Times New Roman" w:cs="Times New Roman"/>
          <w:sz w:val="24"/>
          <w:szCs w:val="24"/>
        </w:rPr>
        <w:t>Administrative Procedure Act (5 U.S.C.</w:t>
      </w:r>
    </w:p>
    <w:p w:rsidR="00885805" w:rsidP="005E3AFD" w:rsidRDefault="005E3AFD" w14:paraId="3B429334" w14:textId="77777777">
      <w:pPr>
        <w:ind w:left="720"/>
        <w:rPr>
          <w:rFonts w:ascii="Times New Roman" w:hAnsi="Times New Roman" w:cs="Times New Roman"/>
          <w:sz w:val="24"/>
          <w:szCs w:val="24"/>
        </w:rPr>
      </w:pPr>
      <w:r w:rsidRPr="005E3AFD">
        <w:rPr>
          <w:rFonts w:ascii="Times New Roman" w:hAnsi="Times New Roman" w:cs="Times New Roman"/>
          <w:sz w:val="24"/>
          <w:szCs w:val="24"/>
        </w:rPr>
        <w:t>chapter 5) does not apply to these regulations</w:t>
      </w:r>
      <w:r>
        <w:rPr>
          <w:rFonts w:ascii="Times New Roman" w:hAnsi="Times New Roman" w:cs="Times New Roman"/>
          <w:sz w:val="24"/>
          <w:szCs w:val="24"/>
        </w:rPr>
        <w:t xml:space="preserve"> </w:t>
      </w:r>
      <w:r w:rsidRPr="005E3AFD">
        <w:rPr>
          <w:rFonts w:ascii="Times New Roman" w:hAnsi="Times New Roman" w:cs="Times New Roman"/>
          <w:sz w:val="24"/>
          <w:szCs w:val="24"/>
        </w:rPr>
        <w:t>and, because these regulations do</w:t>
      </w:r>
      <w:r>
        <w:rPr>
          <w:rFonts w:ascii="Times New Roman" w:hAnsi="Times New Roman" w:cs="Times New Roman"/>
          <w:sz w:val="24"/>
          <w:szCs w:val="24"/>
        </w:rPr>
        <w:t xml:space="preserve"> </w:t>
      </w:r>
      <w:r w:rsidRPr="005E3AFD">
        <w:rPr>
          <w:rFonts w:ascii="Times New Roman" w:hAnsi="Times New Roman" w:cs="Times New Roman"/>
          <w:sz w:val="24"/>
          <w:szCs w:val="24"/>
        </w:rPr>
        <w:t>not impose on small entities a collection</w:t>
      </w:r>
      <w:r>
        <w:rPr>
          <w:rFonts w:ascii="Times New Roman" w:hAnsi="Times New Roman" w:cs="Times New Roman"/>
          <w:sz w:val="24"/>
          <w:szCs w:val="24"/>
        </w:rPr>
        <w:t xml:space="preserve"> </w:t>
      </w:r>
      <w:r w:rsidRPr="005E3AFD">
        <w:rPr>
          <w:rFonts w:ascii="Times New Roman" w:hAnsi="Times New Roman" w:cs="Times New Roman"/>
          <w:sz w:val="24"/>
          <w:szCs w:val="24"/>
        </w:rPr>
        <w:t>of information requirement, the Regulatory</w:t>
      </w:r>
      <w:r>
        <w:rPr>
          <w:rFonts w:ascii="Times New Roman" w:hAnsi="Times New Roman" w:cs="Times New Roman"/>
          <w:sz w:val="24"/>
          <w:szCs w:val="24"/>
        </w:rPr>
        <w:t xml:space="preserve"> </w:t>
      </w:r>
      <w:r w:rsidRPr="005E3AFD">
        <w:rPr>
          <w:rFonts w:ascii="Times New Roman" w:hAnsi="Times New Roman" w:cs="Times New Roman"/>
          <w:sz w:val="24"/>
          <w:szCs w:val="24"/>
        </w:rPr>
        <w:t>Flexibility Act (5 U.S.C. chapter 6)</w:t>
      </w:r>
      <w:r>
        <w:rPr>
          <w:rFonts w:ascii="Times New Roman" w:hAnsi="Times New Roman" w:cs="Times New Roman"/>
          <w:sz w:val="24"/>
          <w:szCs w:val="24"/>
        </w:rPr>
        <w:t xml:space="preserve"> </w:t>
      </w:r>
      <w:r w:rsidRPr="005E3AFD">
        <w:rPr>
          <w:rFonts w:ascii="Times New Roman" w:hAnsi="Times New Roman" w:cs="Times New Roman"/>
          <w:sz w:val="24"/>
          <w:szCs w:val="24"/>
        </w:rPr>
        <w:t>does not apply.</w:t>
      </w:r>
      <w:r w:rsidR="00885805">
        <w:rPr>
          <w:rFonts w:ascii="Times New Roman" w:hAnsi="Times New Roman" w:cs="Times New Roman"/>
          <w:sz w:val="24"/>
          <w:szCs w:val="24"/>
        </w:rPr>
        <w:t xml:space="preserve">  </w:t>
      </w:r>
      <w:r w:rsidRPr="005E3AFD">
        <w:rPr>
          <w:rFonts w:ascii="Times New Roman" w:hAnsi="Times New Roman" w:cs="Times New Roman"/>
          <w:sz w:val="24"/>
          <w:szCs w:val="24"/>
        </w:rPr>
        <w:t>Therefore, a Regulatory</w:t>
      </w:r>
      <w:r>
        <w:rPr>
          <w:rFonts w:ascii="Times New Roman" w:hAnsi="Times New Roman" w:cs="Times New Roman"/>
          <w:sz w:val="24"/>
          <w:szCs w:val="24"/>
        </w:rPr>
        <w:t xml:space="preserve"> </w:t>
      </w:r>
      <w:r w:rsidRPr="005E3AFD">
        <w:rPr>
          <w:rFonts w:ascii="Times New Roman" w:hAnsi="Times New Roman" w:cs="Times New Roman"/>
          <w:sz w:val="24"/>
          <w:szCs w:val="24"/>
        </w:rPr>
        <w:t xml:space="preserve">Flexibility Analysis is not required. </w:t>
      </w:r>
    </w:p>
    <w:p w:rsidR="00885805" w:rsidP="005E3AFD" w:rsidRDefault="00885805" w14:paraId="041615ED" w14:textId="77777777">
      <w:pPr>
        <w:ind w:left="720"/>
        <w:rPr>
          <w:rFonts w:ascii="Times New Roman" w:hAnsi="Times New Roman" w:cs="Times New Roman"/>
          <w:sz w:val="24"/>
          <w:szCs w:val="24"/>
        </w:rPr>
      </w:pPr>
    </w:p>
    <w:p w:rsidRPr="005E3AFD" w:rsidR="005E3AFD" w:rsidP="005E3AFD" w:rsidRDefault="005E3AFD" w14:paraId="5E53C504" w14:textId="77777777">
      <w:pPr>
        <w:ind w:left="720"/>
        <w:rPr>
          <w:rFonts w:ascii="Times New Roman" w:hAnsi="Times New Roman" w:cs="Times New Roman"/>
          <w:sz w:val="24"/>
          <w:szCs w:val="24"/>
        </w:rPr>
      </w:pPr>
      <w:r w:rsidRPr="005E3AFD">
        <w:rPr>
          <w:rFonts w:ascii="Times New Roman" w:hAnsi="Times New Roman" w:cs="Times New Roman"/>
          <w:sz w:val="24"/>
          <w:szCs w:val="24"/>
        </w:rPr>
        <w:t>Pursuant</w:t>
      </w:r>
      <w:r>
        <w:rPr>
          <w:rFonts w:ascii="Times New Roman" w:hAnsi="Times New Roman" w:cs="Times New Roman"/>
          <w:sz w:val="24"/>
          <w:szCs w:val="24"/>
        </w:rPr>
        <w:t xml:space="preserve"> </w:t>
      </w:r>
      <w:r w:rsidRPr="005E3AFD">
        <w:rPr>
          <w:rFonts w:ascii="Times New Roman" w:hAnsi="Times New Roman" w:cs="Times New Roman"/>
          <w:sz w:val="24"/>
          <w:szCs w:val="24"/>
        </w:rPr>
        <w:t>to section 7805(t) of the Code, this</w:t>
      </w:r>
      <w:r w:rsidR="00885805">
        <w:rPr>
          <w:rFonts w:ascii="Times New Roman" w:hAnsi="Times New Roman" w:cs="Times New Roman"/>
          <w:sz w:val="24"/>
          <w:szCs w:val="24"/>
        </w:rPr>
        <w:t xml:space="preserve"> </w:t>
      </w:r>
      <w:r w:rsidRPr="005E3AFD">
        <w:rPr>
          <w:rFonts w:ascii="Times New Roman" w:hAnsi="Times New Roman" w:cs="Times New Roman"/>
          <w:sz w:val="24"/>
          <w:szCs w:val="24"/>
        </w:rPr>
        <w:t>July 8, 2002</w:t>
      </w:r>
      <w:r w:rsidR="00885805">
        <w:rPr>
          <w:rFonts w:ascii="Times New Roman" w:hAnsi="Times New Roman" w:cs="Times New Roman"/>
          <w:sz w:val="24"/>
          <w:szCs w:val="24"/>
        </w:rPr>
        <w:t xml:space="preserve"> </w:t>
      </w:r>
      <w:r w:rsidRPr="005E3AFD">
        <w:rPr>
          <w:rFonts w:ascii="Times New Roman" w:hAnsi="Times New Roman" w:cs="Times New Roman"/>
          <w:sz w:val="24"/>
          <w:szCs w:val="24"/>
        </w:rPr>
        <w:t>notice of proposed rulemaking will be</w:t>
      </w:r>
      <w:r w:rsidR="00885805">
        <w:rPr>
          <w:rFonts w:ascii="Times New Roman" w:hAnsi="Times New Roman" w:cs="Times New Roman"/>
          <w:sz w:val="24"/>
          <w:szCs w:val="24"/>
        </w:rPr>
        <w:t xml:space="preserve"> </w:t>
      </w:r>
      <w:r w:rsidRPr="005E3AFD">
        <w:rPr>
          <w:rFonts w:ascii="Times New Roman" w:hAnsi="Times New Roman" w:cs="Times New Roman"/>
          <w:sz w:val="24"/>
          <w:szCs w:val="24"/>
        </w:rPr>
        <w:t>submitted to the Chief Counsel for Advocacy</w:t>
      </w:r>
      <w:r w:rsidR="00885805">
        <w:rPr>
          <w:rFonts w:ascii="Times New Roman" w:hAnsi="Times New Roman" w:cs="Times New Roman"/>
          <w:sz w:val="24"/>
          <w:szCs w:val="24"/>
        </w:rPr>
        <w:t xml:space="preserve"> </w:t>
      </w:r>
      <w:r w:rsidRPr="005E3AFD">
        <w:rPr>
          <w:rFonts w:ascii="Times New Roman" w:hAnsi="Times New Roman" w:cs="Times New Roman"/>
          <w:sz w:val="24"/>
          <w:szCs w:val="24"/>
        </w:rPr>
        <w:t>of the Small Business Administration</w:t>
      </w:r>
    </w:p>
    <w:p w:rsidRPr="00597B4F" w:rsidR="00FE5EB2" w:rsidP="005E3AFD" w:rsidRDefault="005E3AFD" w14:paraId="4EBA12D4" w14:textId="77777777">
      <w:pPr>
        <w:ind w:left="720"/>
        <w:rPr>
          <w:rFonts w:ascii="Times New Roman" w:hAnsi="Times New Roman" w:cs="Times New Roman"/>
          <w:sz w:val="24"/>
          <w:szCs w:val="24"/>
        </w:rPr>
      </w:pPr>
      <w:r w:rsidRPr="005E3AFD">
        <w:rPr>
          <w:rFonts w:ascii="Times New Roman" w:hAnsi="Times New Roman" w:cs="Times New Roman"/>
          <w:sz w:val="24"/>
          <w:szCs w:val="24"/>
        </w:rPr>
        <w:t>for comment on its impact on small</w:t>
      </w:r>
      <w:r w:rsidR="00885805">
        <w:rPr>
          <w:rFonts w:ascii="Times New Roman" w:hAnsi="Times New Roman" w:cs="Times New Roman"/>
          <w:sz w:val="24"/>
          <w:szCs w:val="24"/>
        </w:rPr>
        <w:t xml:space="preserve"> </w:t>
      </w:r>
      <w:r w:rsidRPr="005E3AFD">
        <w:rPr>
          <w:rFonts w:ascii="Times New Roman" w:hAnsi="Times New Roman" w:cs="Times New Roman"/>
          <w:sz w:val="24"/>
          <w:szCs w:val="24"/>
        </w:rPr>
        <w:t>business</w:t>
      </w:r>
      <w:r w:rsidRPr="00597B4F" w:rsidR="004B6714">
        <w:rPr>
          <w:rFonts w:ascii="Times New Roman" w:hAnsi="Times New Roman" w:cs="Times New Roman"/>
          <w:sz w:val="24"/>
          <w:szCs w:val="24"/>
        </w:rPr>
        <w:t xml:space="preserve"> </w:t>
      </w:r>
    </w:p>
    <w:p w:rsidRPr="00597B4F" w:rsidR="00FE5EB2" w:rsidRDefault="00FE5EB2" w14:paraId="537129D4" w14:textId="77777777">
      <w:pPr>
        <w:ind w:left="720"/>
        <w:rPr>
          <w:rFonts w:ascii="Times New Roman" w:hAnsi="Times New Roman" w:cs="Times New Roman"/>
          <w:sz w:val="24"/>
          <w:szCs w:val="24"/>
        </w:rPr>
      </w:pPr>
    </w:p>
    <w:p w:rsidRPr="00597B4F" w:rsidR="00FE5EB2" w:rsidP="002D29DA" w:rsidRDefault="00FE5EB2" w14:paraId="375E898D" w14:textId="77777777">
      <w:pPr>
        <w:ind w:left="720" w:hanging="720"/>
        <w:rPr>
          <w:rFonts w:ascii="Times New Roman" w:hAnsi="Times New Roman" w:cs="Times New Roman"/>
          <w:sz w:val="24"/>
          <w:szCs w:val="24"/>
        </w:rPr>
      </w:pPr>
      <w:r w:rsidRPr="00597B4F">
        <w:rPr>
          <w:rFonts w:ascii="Times New Roman" w:hAnsi="Times New Roman" w:cs="Times New Roman"/>
          <w:sz w:val="24"/>
          <w:szCs w:val="24"/>
        </w:rPr>
        <w:t>6.</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CONSEQUENCES OF LESS FREQUENT COLLECTION ON FEDERAL PROGRAMS OR POLICY ACTIVITIES</w:t>
      </w:r>
    </w:p>
    <w:p w:rsidRPr="00597B4F" w:rsidR="00FE5EB2" w:rsidRDefault="00FE5EB2" w14:paraId="40CFB067" w14:textId="77777777">
      <w:pPr>
        <w:rPr>
          <w:rFonts w:ascii="Times New Roman" w:hAnsi="Times New Roman" w:cs="Times New Roman"/>
          <w:sz w:val="24"/>
          <w:szCs w:val="24"/>
        </w:rPr>
      </w:pPr>
    </w:p>
    <w:p w:rsidRPr="00597B4F" w:rsidR="00FE5EB2" w:rsidRDefault="002D29DA" w14:paraId="7AAF3283" w14:textId="77777777">
      <w:pPr>
        <w:ind w:left="720"/>
        <w:rPr>
          <w:rFonts w:ascii="Times New Roman" w:hAnsi="Times New Roman" w:cs="Times New Roman"/>
          <w:sz w:val="24"/>
          <w:szCs w:val="24"/>
        </w:rPr>
      </w:pPr>
      <w:r w:rsidRPr="00597B4F">
        <w:rPr>
          <w:rFonts w:ascii="Times New Roman" w:hAnsi="Times New Roman" w:cs="Times New Roman"/>
          <w:sz w:val="24"/>
          <w:szCs w:val="24"/>
        </w:rPr>
        <w:t>A less frequent collection on federal programs would result in the IRS unable to determine the correct amount of depreciation computation that should be allowed thereby engendering the inability of IRS to meet its mission.</w:t>
      </w:r>
    </w:p>
    <w:p w:rsidRPr="00597B4F" w:rsidR="00FE5EB2" w:rsidRDefault="00FE5EB2" w14:paraId="2E31B64A" w14:textId="77777777">
      <w:pPr>
        <w:rPr>
          <w:rFonts w:ascii="Times New Roman" w:hAnsi="Times New Roman" w:cs="Times New Roman"/>
          <w:sz w:val="24"/>
          <w:szCs w:val="24"/>
        </w:rPr>
      </w:pPr>
    </w:p>
    <w:p w:rsidRPr="00597B4F" w:rsidR="00FE5EB2" w:rsidRDefault="00FE5EB2" w14:paraId="442B0189"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7.</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SPECIAL CIRCUMSTANCES REQUIRING DATA COLLECTION TO BE</w:t>
      </w:r>
      <w:r w:rsidRPr="00597B4F" w:rsidR="002D29DA">
        <w:rPr>
          <w:rFonts w:ascii="Times New Roman" w:hAnsi="Times New Roman" w:cs="Times New Roman"/>
          <w:sz w:val="24"/>
          <w:szCs w:val="24"/>
          <w:u w:val="single"/>
        </w:rPr>
        <w:t xml:space="preserve"> </w:t>
      </w:r>
      <w:r w:rsidRPr="00597B4F">
        <w:rPr>
          <w:rFonts w:ascii="Times New Roman" w:hAnsi="Times New Roman" w:cs="Times New Roman"/>
          <w:sz w:val="24"/>
          <w:szCs w:val="24"/>
          <w:u w:val="single"/>
        </w:rPr>
        <w:t>INCONSISTENT WITH GUIDELINES IN 5 CFR 1320.5(d)(2)</w:t>
      </w:r>
    </w:p>
    <w:p w:rsidRPr="00597B4F" w:rsidR="00FE5EB2" w:rsidRDefault="00FE5EB2" w14:paraId="40E6B7A4" w14:textId="77777777">
      <w:pPr>
        <w:rPr>
          <w:rFonts w:ascii="Times New Roman" w:hAnsi="Times New Roman" w:cs="Times New Roman"/>
          <w:sz w:val="24"/>
          <w:szCs w:val="24"/>
        </w:rPr>
      </w:pP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p>
    <w:p w:rsidRPr="00597B4F" w:rsidR="00FE5EB2" w:rsidRDefault="0022263C" w14:paraId="6E1FE45E" w14:textId="77777777">
      <w:pPr>
        <w:ind w:left="720"/>
        <w:rPr>
          <w:rFonts w:ascii="Times New Roman" w:hAnsi="Times New Roman" w:cs="Times New Roman"/>
          <w:sz w:val="24"/>
          <w:szCs w:val="24"/>
        </w:rPr>
      </w:pPr>
      <w:r w:rsidRPr="00597B4F">
        <w:rPr>
          <w:rFonts w:ascii="Times New Roman" w:hAnsi="Times New Roman" w:cs="Times New Roman"/>
          <w:sz w:val="24"/>
          <w:szCs w:val="24"/>
        </w:rPr>
        <w:t>There are no special circumstances requiring data collection to be inconsistent with Guidelines in 5 CFR 1320.5(d)(2)</w:t>
      </w:r>
      <w:r w:rsidRPr="00597B4F" w:rsidR="00FE5EB2">
        <w:rPr>
          <w:rFonts w:ascii="Times New Roman" w:hAnsi="Times New Roman" w:cs="Times New Roman"/>
          <w:sz w:val="24"/>
          <w:szCs w:val="24"/>
        </w:rPr>
        <w:t>.</w:t>
      </w:r>
    </w:p>
    <w:p w:rsidRPr="00597B4F" w:rsidR="00FE5EB2" w:rsidRDefault="00FE5EB2" w14:paraId="5888E986" w14:textId="77777777">
      <w:pPr>
        <w:rPr>
          <w:rFonts w:ascii="Times New Roman" w:hAnsi="Times New Roman" w:cs="Times New Roman"/>
          <w:sz w:val="24"/>
          <w:szCs w:val="24"/>
        </w:rPr>
      </w:pP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r w:rsidRPr="00597B4F">
        <w:rPr>
          <w:rFonts w:ascii="Times New Roman" w:hAnsi="Times New Roman" w:cs="Times New Roman"/>
          <w:sz w:val="24"/>
          <w:szCs w:val="24"/>
        </w:rPr>
        <w:tab/>
      </w:r>
    </w:p>
    <w:p w:rsidRPr="00597B4F" w:rsidR="00FE5EB2" w:rsidRDefault="00FE5EB2" w14:paraId="1773B1CB"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8.</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CONSULTATION WITH INDIVIDUALS OUTSIDE OF THE AGENCY ON</w:t>
      </w:r>
      <w:r w:rsidRPr="00597B4F">
        <w:rPr>
          <w:rFonts w:ascii="Times New Roman" w:hAnsi="Times New Roman" w:cs="Times New Roman"/>
          <w:sz w:val="24"/>
          <w:szCs w:val="24"/>
        </w:rPr>
        <w:t xml:space="preserve">     </w:t>
      </w:r>
      <w:r w:rsidRPr="00597B4F">
        <w:rPr>
          <w:rFonts w:ascii="Times New Roman" w:hAnsi="Times New Roman" w:cs="Times New Roman"/>
          <w:sz w:val="24"/>
          <w:szCs w:val="24"/>
          <w:u w:val="single"/>
        </w:rPr>
        <w:t>AVAILABILITY OF DATA, FREQUENCY OF COLLECTION, CLARITY OF INSTRUCTIONS AND FORMS, AND DATA ELEMENTS</w:t>
      </w:r>
    </w:p>
    <w:p w:rsidRPr="00597B4F" w:rsidR="00FE5EB2" w:rsidRDefault="00FE5EB2" w14:paraId="4C7872BD" w14:textId="77777777">
      <w:pPr>
        <w:rPr>
          <w:rFonts w:ascii="Times New Roman" w:hAnsi="Times New Roman" w:cs="Times New Roman"/>
          <w:sz w:val="24"/>
          <w:szCs w:val="24"/>
        </w:rPr>
      </w:pPr>
    </w:p>
    <w:p w:rsidRPr="00597B4F" w:rsidR="00FE5EB2" w:rsidRDefault="00FE5EB2" w14:paraId="3E78C956" w14:textId="77777777">
      <w:pPr>
        <w:rPr>
          <w:rFonts w:ascii="Times New Roman" w:hAnsi="Times New Roman" w:cs="Times New Roman"/>
          <w:sz w:val="24"/>
          <w:szCs w:val="24"/>
        </w:rPr>
      </w:pPr>
    </w:p>
    <w:p w:rsidRPr="00597B4F" w:rsidR="00FE5EB2" w:rsidRDefault="00FE5EB2" w14:paraId="3AD0BEA3"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In response to the </w:t>
      </w:r>
      <w:r w:rsidRPr="00597B4F">
        <w:rPr>
          <w:rFonts w:ascii="Times New Roman" w:hAnsi="Times New Roman" w:cs="Times New Roman"/>
          <w:i/>
          <w:sz w:val="24"/>
          <w:szCs w:val="24"/>
        </w:rPr>
        <w:t>Federal Register</w:t>
      </w:r>
      <w:r w:rsidRPr="00597B4F">
        <w:rPr>
          <w:rFonts w:ascii="Times New Roman" w:hAnsi="Times New Roman" w:cs="Times New Roman"/>
          <w:sz w:val="24"/>
          <w:szCs w:val="24"/>
        </w:rPr>
        <w:t xml:space="preserve"> </w:t>
      </w:r>
      <w:r w:rsidRPr="00597B4F" w:rsidR="004D4283">
        <w:rPr>
          <w:rFonts w:ascii="Times New Roman" w:hAnsi="Times New Roman" w:cs="Times New Roman"/>
          <w:sz w:val="24"/>
          <w:szCs w:val="24"/>
        </w:rPr>
        <w:t>Notice (</w:t>
      </w:r>
      <w:r w:rsidR="00A37559">
        <w:rPr>
          <w:rFonts w:ascii="Times New Roman" w:hAnsi="Times New Roman" w:cs="Times New Roman"/>
          <w:sz w:val="24"/>
          <w:szCs w:val="24"/>
        </w:rPr>
        <w:t>85</w:t>
      </w:r>
      <w:r w:rsidRPr="00597B4F" w:rsidR="0022263C">
        <w:rPr>
          <w:rFonts w:ascii="Times New Roman" w:hAnsi="Times New Roman" w:cs="Times New Roman"/>
          <w:sz w:val="24"/>
          <w:szCs w:val="24"/>
        </w:rPr>
        <w:t xml:space="preserve"> </w:t>
      </w:r>
      <w:r w:rsidRPr="00597B4F">
        <w:rPr>
          <w:rFonts w:ascii="Times New Roman" w:hAnsi="Times New Roman" w:cs="Times New Roman"/>
          <w:sz w:val="24"/>
          <w:szCs w:val="24"/>
        </w:rPr>
        <w:t>FR</w:t>
      </w:r>
      <w:r w:rsidRPr="00597B4F" w:rsidR="0022263C">
        <w:rPr>
          <w:rFonts w:ascii="Times New Roman" w:hAnsi="Times New Roman" w:cs="Times New Roman"/>
          <w:sz w:val="24"/>
          <w:szCs w:val="24"/>
        </w:rPr>
        <w:t xml:space="preserve"> </w:t>
      </w:r>
      <w:r w:rsidR="00A37559">
        <w:rPr>
          <w:rFonts w:ascii="Times New Roman" w:hAnsi="Times New Roman" w:cs="Times New Roman"/>
          <w:sz w:val="24"/>
          <w:szCs w:val="24"/>
        </w:rPr>
        <w:t>22246</w:t>
      </w:r>
      <w:r w:rsidRPr="00597B4F" w:rsidR="008D7060">
        <w:rPr>
          <w:rFonts w:ascii="Times New Roman" w:hAnsi="Times New Roman" w:cs="Times New Roman"/>
          <w:sz w:val="24"/>
          <w:szCs w:val="24"/>
        </w:rPr>
        <w:t xml:space="preserve">), </w:t>
      </w:r>
      <w:r w:rsidRPr="00597B4F">
        <w:rPr>
          <w:rFonts w:ascii="Times New Roman" w:hAnsi="Times New Roman" w:cs="Times New Roman"/>
          <w:sz w:val="24"/>
          <w:szCs w:val="24"/>
        </w:rPr>
        <w:t xml:space="preserve">dated </w:t>
      </w:r>
      <w:r w:rsidR="00885805">
        <w:rPr>
          <w:rFonts w:ascii="Times New Roman" w:hAnsi="Times New Roman" w:cs="Times New Roman"/>
          <w:sz w:val="24"/>
          <w:szCs w:val="24"/>
        </w:rPr>
        <w:t xml:space="preserve">April </w:t>
      </w:r>
      <w:r w:rsidR="00A37559">
        <w:rPr>
          <w:rFonts w:ascii="Times New Roman" w:hAnsi="Times New Roman" w:cs="Times New Roman"/>
          <w:sz w:val="24"/>
          <w:szCs w:val="24"/>
        </w:rPr>
        <w:t>21</w:t>
      </w:r>
      <w:r w:rsidRPr="00597B4F" w:rsidR="0022263C">
        <w:rPr>
          <w:rFonts w:ascii="Times New Roman" w:hAnsi="Times New Roman" w:cs="Times New Roman"/>
          <w:sz w:val="24"/>
          <w:szCs w:val="24"/>
        </w:rPr>
        <w:t>, 20</w:t>
      </w:r>
      <w:r w:rsidR="00885805">
        <w:rPr>
          <w:rFonts w:ascii="Times New Roman" w:hAnsi="Times New Roman" w:cs="Times New Roman"/>
          <w:sz w:val="24"/>
          <w:szCs w:val="24"/>
        </w:rPr>
        <w:t>20</w:t>
      </w:r>
      <w:r w:rsidRPr="00597B4F">
        <w:rPr>
          <w:rFonts w:ascii="Times New Roman" w:hAnsi="Times New Roman" w:cs="Times New Roman"/>
          <w:sz w:val="24"/>
          <w:szCs w:val="24"/>
        </w:rPr>
        <w:t xml:space="preserve">, </w:t>
      </w:r>
      <w:r w:rsidRPr="00597B4F" w:rsidR="00435556">
        <w:rPr>
          <w:rFonts w:ascii="Times New Roman" w:hAnsi="Times New Roman" w:cs="Times New Roman"/>
          <w:sz w:val="24"/>
          <w:szCs w:val="24"/>
        </w:rPr>
        <w:t xml:space="preserve">we </w:t>
      </w:r>
      <w:r w:rsidRPr="00597B4F" w:rsidR="008A036D">
        <w:rPr>
          <w:rFonts w:ascii="Times New Roman" w:hAnsi="Times New Roman" w:cs="Times New Roman"/>
          <w:sz w:val="24"/>
          <w:szCs w:val="24"/>
        </w:rPr>
        <w:t xml:space="preserve">did not receive any comments.  </w:t>
      </w:r>
      <w:r w:rsidRPr="00597B4F">
        <w:rPr>
          <w:rFonts w:ascii="Times New Roman" w:hAnsi="Times New Roman" w:cs="Times New Roman"/>
          <w:sz w:val="24"/>
          <w:szCs w:val="24"/>
        </w:rPr>
        <w:t xml:space="preserve"> </w:t>
      </w:r>
    </w:p>
    <w:p w:rsidRPr="00597B4F" w:rsidR="00FE5EB2" w:rsidRDefault="00FE5EB2" w14:paraId="752E373F" w14:textId="77777777">
      <w:pPr>
        <w:rPr>
          <w:rFonts w:ascii="Times New Roman" w:hAnsi="Times New Roman" w:cs="Times New Roman"/>
          <w:sz w:val="24"/>
          <w:szCs w:val="24"/>
        </w:rPr>
      </w:pPr>
    </w:p>
    <w:p w:rsidRPr="00597B4F" w:rsidR="00FE5EB2" w:rsidRDefault="00FE5EB2" w14:paraId="090A6965"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9.</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EXPLANATION OF DECISION TO PROVIDE ANY PAYMENT OR GIFT TO</w:t>
      </w:r>
      <w:r w:rsidRPr="00597B4F">
        <w:rPr>
          <w:rFonts w:ascii="Times New Roman" w:hAnsi="Times New Roman" w:cs="Times New Roman"/>
          <w:sz w:val="24"/>
          <w:szCs w:val="24"/>
        </w:rPr>
        <w:t xml:space="preserve">     </w:t>
      </w:r>
      <w:r w:rsidRPr="00597B4F">
        <w:rPr>
          <w:rFonts w:ascii="Times New Roman" w:hAnsi="Times New Roman" w:cs="Times New Roman"/>
          <w:sz w:val="24"/>
          <w:szCs w:val="24"/>
          <w:u w:val="single"/>
        </w:rPr>
        <w:lastRenderedPageBreak/>
        <w:t>RESPONDENTS</w:t>
      </w:r>
    </w:p>
    <w:p w:rsidRPr="00597B4F" w:rsidR="00FE5EB2" w:rsidRDefault="00FE5EB2" w14:paraId="6F7A04C1" w14:textId="77777777">
      <w:pPr>
        <w:rPr>
          <w:rFonts w:ascii="Times New Roman" w:hAnsi="Times New Roman" w:cs="Times New Roman"/>
          <w:sz w:val="24"/>
          <w:szCs w:val="24"/>
        </w:rPr>
      </w:pPr>
    </w:p>
    <w:p w:rsidRPr="00597B4F" w:rsidR="00FE5EB2" w:rsidRDefault="0022263C" w14:paraId="371561BD" w14:textId="77777777">
      <w:pPr>
        <w:ind w:left="720"/>
        <w:rPr>
          <w:rFonts w:ascii="Times New Roman" w:hAnsi="Times New Roman" w:cs="Times New Roman"/>
          <w:sz w:val="24"/>
          <w:szCs w:val="24"/>
        </w:rPr>
      </w:pPr>
      <w:r w:rsidRPr="00597B4F">
        <w:rPr>
          <w:rFonts w:ascii="Times New Roman" w:hAnsi="Times New Roman" w:cs="Times New Roman"/>
          <w:sz w:val="24"/>
          <w:szCs w:val="24"/>
        </w:rPr>
        <w:t>No payment or gift has been provided to any respondents</w:t>
      </w:r>
      <w:r w:rsidRPr="00597B4F" w:rsidR="00FE5EB2">
        <w:rPr>
          <w:rFonts w:ascii="Times New Roman" w:hAnsi="Times New Roman" w:cs="Times New Roman"/>
          <w:sz w:val="24"/>
          <w:szCs w:val="24"/>
        </w:rPr>
        <w:t>.</w:t>
      </w:r>
    </w:p>
    <w:p w:rsidRPr="00597B4F" w:rsidR="00FE5EB2" w:rsidRDefault="00FE5EB2" w14:paraId="4A5372CA" w14:textId="77777777">
      <w:pPr>
        <w:rPr>
          <w:rFonts w:ascii="Times New Roman" w:hAnsi="Times New Roman" w:cs="Times New Roman"/>
          <w:sz w:val="24"/>
          <w:szCs w:val="24"/>
        </w:rPr>
      </w:pPr>
    </w:p>
    <w:p w:rsidRPr="00597B4F" w:rsidR="00FE5EB2" w:rsidRDefault="00FE5EB2" w14:paraId="7E679522"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10.</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ASSURANCE OF CONFIDENTIALITY OF RESPONSES</w:t>
      </w:r>
    </w:p>
    <w:p w:rsidRPr="00597B4F" w:rsidR="00FE5EB2" w:rsidRDefault="00FE5EB2" w14:paraId="66D12CD0" w14:textId="77777777">
      <w:pPr>
        <w:rPr>
          <w:rFonts w:ascii="Times New Roman" w:hAnsi="Times New Roman" w:cs="Times New Roman"/>
          <w:sz w:val="24"/>
          <w:szCs w:val="24"/>
        </w:rPr>
      </w:pPr>
    </w:p>
    <w:p w:rsidRPr="00597B4F" w:rsidR="00FE5EB2" w:rsidRDefault="00FE5EB2" w14:paraId="01B12452" w14:textId="77777777">
      <w:pPr>
        <w:ind w:left="720"/>
        <w:rPr>
          <w:rFonts w:ascii="Times New Roman" w:hAnsi="Times New Roman" w:cs="Times New Roman"/>
          <w:sz w:val="24"/>
          <w:szCs w:val="24"/>
        </w:rPr>
      </w:pPr>
      <w:r w:rsidRPr="00597B4F">
        <w:rPr>
          <w:rFonts w:ascii="Times New Roman" w:hAnsi="Times New Roman" w:cs="Times New Roman"/>
          <w:sz w:val="24"/>
          <w:szCs w:val="24"/>
        </w:rPr>
        <w:t>Generally, tax returns and tax return information are confidential as required by 26 USC 6103.</w:t>
      </w:r>
    </w:p>
    <w:p w:rsidRPr="00597B4F" w:rsidR="00FE4FC0" w:rsidRDefault="00FE4FC0" w14:paraId="03CB21D4" w14:textId="77777777">
      <w:pPr>
        <w:tabs>
          <w:tab w:val="left" w:pos="720"/>
        </w:tabs>
        <w:ind w:left="720" w:hanging="720"/>
        <w:rPr>
          <w:rFonts w:ascii="Times New Roman" w:hAnsi="Times New Roman" w:cs="Times New Roman"/>
          <w:sz w:val="24"/>
          <w:szCs w:val="24"/>
        </w:rPr>
      </w:pPr>
    </w:p>
    <w:p w:rsidRPr="00597B4F" w:rsidR="00FE5EB2" w:rsidRDefault="00FE5EB2" w14:paraId="22DD72CC" w14:textId="77777777">
      <w:pPr>
        <w:tabs>
          <w:tab w:val="left" w:pos="720"/>
        </w:tabs>
        <w:ind w:left="720" w:hanging="720"/>
        <w:rPr>
          <w:rFonts w:ascii="Times New Roman" w:hAnsi="Times New Roman" w:cs="Times New Roman"/>
          <w:sz w:val="24"/>
          <w:szCs w:val="24"/>
          <w:u w:val="single"/>
        </w:rPr>
      </w:pPr>
      <w:r w:rsidRPr="00597B4F">
        <w:rPr>
          <w:rFonts w:ascii="Times New Roman" w:hAnsi="Times New Roman" w:cs="Times New Roman"/>
          <w:sz w:val="24"/>
          <w:szCs w:val="24"/>
        </w:rPr>
        <w:t>11.</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JUSTIFICATION OF SENSITIVE QUESTIONS</w:t>
      </w:r>
    </w:p>
    <w:p w:rsidRPr="00597B4F" w:rsidR="00FE5EB2" w:rsidRDefault="00FE5EB2" w14:paraId="2489D019" w14:textId="77777777">
      <w:pPr>
        <w:rPr>
          <w:rFonts w:ascii="Times New Roman" w:hAnsi="Times New Roman" w:cs="Times New Roman"/>
          <w:sz w:val="24"/>
          <w:szCs w:val="24"/>
          <w:u w:val="single"/>
        </w:rPr>
      </w:pPr>
    </w:p>
    <w:p w:rsidR="00175133" w:rsidP="00597B4F" w:rsidRDefault="00175133" w14:paraId="56010B10" w14:textId="77777777">
      <w:pPr>
        <w:pStyle w:val="Default"/>
        <w:ind w:left="720" w:hanging="720"/>
        <w:rPr>
          <w:rFonts w:ascii="Times New Roman" w:hAnsi="Times New Roman" w:eastAsia="Calibri" w:cs="Times New Roman"/>
          <w:color w:val="auto"/>
        </w:rPr>
      </w:pPr>
      <w:r w:rsidRPr="00597B4F">
        <w:rPr>
          <w:rFonts w:ascii="Times New Roman" w:hAnsi="Times New Roman" w:cs="Times New Roman"/>
          <w:color w:val="auto"/>
        </w:rPr>
        <w:t xml:space="preserve">            A privacy impact assessment (PIA) has been conducted for information collected under this request as part of the “Individual Master File” and “Customer Account Data Engine” system and Privacy Act System of Records notices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w:t>
      </w:r>
      <w:r w:rsidRPr="00597B4F">
        <w:rPr>
          <w:rFonts w:ascii="Times New Roman" w:hAnsi="Times New Roman" w:eastAsia="Calibri" w:cs="Times New Roman"/>
          <w:color w:val="auto"/>
        </w:rPr>
        <w:t xml:space="preserve">.  </w:t>
      </w:r>
      <w:r w:rsidRPr="00597B4F" w:rsidR="00597B4F">
        <w:rPr>
          <w:rFonts w:ascii="Times New Roman" w:hAnsi="Times New Roman" w:eastAsia="Calibri" w:cs="Times New Roman"/>
          <w:color w:val="auto"/>
        </w:rPr>
        <w:t xml:space="preserve">The Internal Revenue Service PIAs can be found at </w:t>
      </w:r>
      <w:hyperlink w:history="1" r:id="rId6">
        <w:r w:rsidRPr="000E5004" w:rsidR="00597B4F">
          <w:rPr>
            <w:rStyle w:val="Hyperlink"/>
            <w:rFonts w:ascii="Times New Roman" w:hAnsi="Times New Roman" w:eastAsia="Calibri" w:cs="Times New Roman"/>
          </w:rPr>
          <w:t>http://www.irs.gov/uac/Privacy-Impact-Assessments-PIA</w:t>
        </w:r>
      </w:hyperlink>
      <w:r w:rsidR="00597B4F">
        <w:rPr>
          <w:rFonts w:ascii="Times New Roman" w:hAnsi="Times New Roman" w:eastAsia="Calibri" w:cs="Times New Roman"/>
          <w:color w:val="auto"/>
        </w:rPr>
        <w:t xml:space="preserve">. </w:t>
      </w:r>
    </w:p>
    <w:p w:rsidRPr="00597B4F" w:rsidR="00597B4F" w:rsidP="00597B4F" w:rsidRDefault="00597B4F" w14:paraId="01123AF2" w14:textId="77777777">
      <w:pPr>
        <w:pStyle w:val="Default"/>
        <w:ind w:left="720" w:hanging="720"/>
        <w:rPr>
          <w:rFonts w:ascii="Times New Roman" w:hAnsi="Times New Roman" w:eastAsia="Calibri" w:cs="Times New Roman"/>
        </w:rPr>
      </w:pPr>
    </w:p>
    <w:p w:rsidRPr="00597B4F" w:rsidR="00175133" w:rsidP="00175133" w:rsidRDefault="00175133" w14:paraId="336C14B4" w14:textId="77777777">
      <w:pPr>
        <w:widowControl/>
        <w:ind w:left="720"/>
        <w:rPr>
          <w:rFonts w:ascii="Times New Roman" w:hAnsi="Times New Roman" w:cs="Times New Roman"/>
          <w:color w:val="000000"/>
          <w:sz w:val="24"/>
          <w:szCs w:val="24"/>
        </w:rPr>
      </w:pPr>
      <w:r w:rsidRPr="00597B4F">
        <w:rPr>
          <w:rFonts w:ascii="Times New Roman" w:hAnsi="Times New Roman" w:cs="Times New Roman"/>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597B4F">
        <w:rPr>
          <w:rFonts w:ascii="Times New Roman" w:hAnsi="Times New Roman" w:cs="Times New Roman"/>
          <w:color w:val="000000"/>
          <w:sz w:val="24"/>
          <w:szCs w:val="24"/>
        </w:rPr>
        <w:t xml:space="preserve">  </w:t>
      </w:r>
    </w:p>
    <w:p w:rsidRPr="00597B4F" w:rsidR="00FE5EB2" w:rsidRDefault="00FE5EB2" w14:paraId="54631F79" w14:textId="77777777">
      <w:pPr>
        <w:rPr>
          <w:rFonts w:ascii="Times New Roman" w:hAnsi="Times New Roman" w:cs="Times New Roman"/>
          <w:sz w:val="24"/>
          <w:szCs w:val="24"/>
        </w:rPr>
      </w:pPr>
    </w:p>
    <w:p w:rsidRPr="00597B4F" w:rsidR="00FE5EB2" w:rsidRDefault="00FE5EB2" w14:paraId="79BB4161" w14:textId="77777777">
      <w:pPr>
        <w:tabs>
          <w:tab w:val="left" w:pos="720"/>
        </w:tabs>
        <w:ind w:left="720" w:hanging="720"/>
        <w:rPr>
          <w:rFonts w:ascii="Times New Roman" w:hAnsi="Times New Roman" w:cs="Times New Roman"/>
          <w:sz w:val="24"/>
          <w:szCs w:val="24"/>
          <w:u w:val="single"/>
        </w:rPr>
      </w:pPr>
      <w:r w:rsidRPr="00597B4F">
        <w:rPr>
          <w:rFonts w:ascii="Times New Roman" w:hAnsi="Times New Roman" w:cs="Times New Roman"/>
          <w:sz w:val="24"/>
          <w:szCs w:val="24"/>
        </w:rPr>
        <w:t>12.</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ESTIMATED BURDEN OF INFORMATION COLLECTION</w:t>
      </w:r>
    </w:p>
    <w:p w:rsidR="00FE5EB2" w:rsidRDefault="00FE5EB2" w14:paraId="1FC81549" w14:textId="77777777">
      <w:pPr>
        <w:rPr>
          <w:rFonts w:ascii="Times New Roman" w:hAnsi="Times New Roman" w:cs="Times New Roman"/>
          <w:sz w:val="24"/>
          <w:szCs w:val="24"/>
          <w:u w:val="single"/>
        </w:rPr>
      </w:pPr>
    </w:p>
    <w:p w:rsidR="00FE5EB2" w:rsidP="00885805" w:rsidRDefault="00885805" w14:paraId="59E54C7D" w14:textId="77777777">
      <w:pPr>
        <w:ind w:left="720"/>
        <w:rPr>
          <w:rFonts w:ascii="Times New Roman" w:hAnsi="Times New Roman" w:cs="Times New Roman"/>
          <w:sz w:val="24"/>
          <w:szCs w:val="24"/>
        </w:rPr>
      </w:pPr>
      <w:r w:rsidRPr="00885805">
        <w:rPr>
          <w:rFonts w:ascii="Times New Roman" w:hAnsi="Times New Roman" w:cs="Times New Roman"/>
          <w:sz w:val="24"/>
          <w:szCs w:val="24"/>
        </w:rPr>
        <w:t>Taxpayers who depreciated certain property using the income forecast method (generally limited to motion picture films, video tapes, sound recordings, copyrights, books and patents) use Form 8866 to figure the interest due or to be refunded under the look-back method.</w:t>
      </w:r>
    </w:p>
    <w:p w:rsidRPr="00597B4F" w:rsidR="00885805" w:rsidP="00885805" w:rsidRDefault="00885805" w14:paraId="4CB42F60" w14:textId="77777777">
      <w:pPr>
        <w:ind w:left="720"/>
        <w:rPr>
          <w:rFonts w:ascii="Times New Roman" w:hAnsi="Times New Roman" w:cs="Times New Roman"/>
          <w:sz w:val="24"/>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1"/>
        <w:gridCol w:w="1555"/>
        <w:gridCol w:w="1443"/>
        <w:gridCol w:w="1350"/>
        <w:gridCol w:w="1230"/>
        <w:gridCol w:w="1149"/>
        <w:gridCol w:w="1016"/>
      </w:tblGrid>
      <w:tr w:rsidRPr="00597B4F" w:rsidR="002D29DA" w:rsidTr="00816B18" w14:paraId="33194CBB" w14:textId="77777777">
        <w:tc>
          <w:tcPr>
            <w:tcW w:w="1258" w:type="dxa"/>
            <w:shd w:val="clear" w:color="auto" w:fill="auto"/>
            <w:vAlign w:val="bottom"/>
          </w:tcPr>
          <w:p w:rsidRPr="00597B4F" w:rsidR="002D29DA" w:rsidP="00816B18" w:rsidRDefault="002D29DA" w14:paraId="378A5928"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Authority</w:t>
            </w:r>
          </w:p>
        </w:tc>
        <w:tc>
          <w:tcPr>
            <w:tcW w:w="1916" w:type="dxa"/>
            <w:vAlign w:val="bottom"/>
          </w:tcPr>
          <w:p w:rsidRPr="00597B4F" w:rsidR="002D29DA" w:rsidP="00816B18" w:rsidRDefault="002D29DA" w14:paraId="518B20DB"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Description</w:t>
            </w:r>
          </w:p>
        </w:tc>
        <w:tc>
          <w:tcPr>
            <w:tcW w:w="1170" w:type="dxa"/>
            <w:vAlign w:val="bottom"/>
          </w:tcPr>
          <w:p w:rsidRPr="00597B4F" w:rsidR="002D29DA" w:rsidP="00816B18" w:rsidRDefault="002D29DA" w14:paraId="61785CC7"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 of Respondents</w:t>
            </w:r>
          </w:p>
        </w:tc>
        <w:tc>
          <w:tcPr>
            <w:tcW w:w="1170" w:type="dxa"/>
            <w:vAlign w:val="bottom"/>
          </w:tcPr>
          <w:p w:rsidRPr="00597B4F" w:rsidR="002D29DA" w:rsidP="00816B18" w:rsidRDefault="002D29DA" w14:paraId="618C3BB9"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 Responses per Respondent</w:t>
            </w:r>
          </w:p>
        </w:tc>
        <w:tc>
          <w:tcPr>
            <w:tcW w:w="1080" w:type="dxa"/>
            <w:shd w:val="clear" w:color="auto" w:fill="auto"/>
            <w:vAlign w:val="bottom"/>
          </w:tcPr>
          <w:p w:rsidRPr="00597B4F" w:rsidR="002D29DA" w:rsidP="00816B18" w:rsidRDefault="002D29DA" w14:paraId="5BDC0498"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Annual Responses</w:t>
            </w:r>
          </w:p>
        </w:tc>
        <w:tc>
          <w:tcPr>
            <w:tcW w:w="1170" w:type="dxa"/>
            <w:vAlign w:val="bottom"/>
          </w:tcPr>
          <w:p w:rsidRPr="00597B4F" w:rsidR="002D29DA" w:rsidP="00816B18" w:rsidRDefault="002D29DA" w14:paraId="22A913A3" w14:textId="77777777">
            <w:pPr>
              <w:keepNext/>
              <w:keepLines/>
              <w:numPr>
                <w:ilvl w:val="12"/>
                <w:numId w:val="0"/>
              </w:numPr>
              <w:jc w:val="center"/>
              <w:rPr>
                <w:rFonts w:ascii="Times New Roman" w:hAnsi="Times New Roman" w:cs="Times New Roman"/>
                <w:sz w:val="24"/>
                <w:szCs w:val="24"/>
              </w:rPr>
            </w:pPr>
            <w:bookmarkStart w:name="_GoBack" w:id="0"/>
            <w:r w:rsidRPr="00597B4F">
              <w:rPr>
                <w:rFonts w:ascii="Times New Roman" w:hAnsi="Times New Roman" w:cs="Times New Roman"/>
                <w:sz w:val="24"/>
                <w:szCs w:val="24"/>
              </w:rPr>
              <w:t>Hours per Response</w:t>
            </w:r>
            <w:bookmarkEnd w:id="0"/>
          </w:p>
        </w:tc>
        <w:tc>
          <w:tcPr>
            <w:tcW w:w="1170" w:type="dxa"/>
            <w:shd w:val="clear" w:color="auto" w:fill="auto"/>
            <w:vAlign w:val="bottom"/>
          </w:tcPr>
          <w:p w:rsidRPr="00597B4F" w:rsidR="002D29DA" w:rsidP="00816B18" w:rsidRDefault="002D29DA" w14:paraId="4B631494"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Total Burden</w:t>
            </w:r>
          </w:p>
        </w:tc>
      </w:tr>
      <w:tr w:rsidRPr="00597B4F" w:rsidR="002D29DA" w:rsidTr="00816B18" w14:paraId="64128FDF" w14:textId="77777777">
        <w:tc>
          <w:tcPr>
            <w:tcW w:w="1258" w:type="dxa"/>
            <w:shd w:val="clear" w:color="auto" w:fill="auto"/>
            <w:vAlign w:val="bottom"/>
          </w:tcPr>
          <w:p w:rsidRPr="00597B4F" w:rsidR="002D29DA" w:rsidP="00816B18" w:rsidRDefault="002D29DA" w14:paraId="6CA1690A"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IRC § 167</w:t>
            </w:r>
          </w:p>
        </w:tc>
        <w:tc>
          <w:tcPr>
            <w:tcW w:w="1916" w:type="dxa"/>
            <w:vAlign w:val="bottom"/>
          </w:tcPr>
          <w:p w:rsidRPr="00597B4F" w:rsidR="002D29DA" w:rsidP="00816B18" w:rsidRDefault="002D29DA" w14:paraId="07478CF0"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Form 8866</w:t>
            </w:r>
          </w:p>
        </w:tc>
        <w:tc>
          <w:tcPr>
            <w:tcW w:w="1170" w:type="dxa"/>
            <w:vAlign w:val="bottom"/>
          </w:tcPr>
          <w:p w:rsidRPr="00597B4F" w:rsidR="002D29DA" w:rsidP="00816B18" w:rsidRDefault="002D29DA" w14:paraId="5EF680AB"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3300</w:t>
            </w:r>
          </w:p>
        </w:tc>
        <w:tc>
          <w:tcPr>
            <w:tcW w:w="1170" w:type="dxa"/>
            <w:vAlign w:val="bottom"/>
          </w:tcPr>
          <w:p w:rsidRPr="00597B4F" w:rsidR="002D29DA" w:rsidP="00816B18" w:rsidRDefault="002D29DA" w14:paraId="31B303C7"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1</w:t>
            </w:r>
          </w:p>
        </w:tc>
        <w:tc>
          <w:tcPr>
            <w:tcW w:w="1080" w:type="dxa"/>
            <w:shd w:val="clear" w:color="auto" w:fill="auto"/>
            <w:vAlign w:val="bottom"/>
          </w:tcPr>
          <w:p w:rsidRPr="00597B4F" w:rsidR="002D29DA" w:rsidP="00816B18" w:rsidRDefault="002D29DA" w14:paraId="3BA4B319"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3300</w:t>
            </w:r>
          </w:p>
        </w:tc>
        <w:tc>
          <w:tcPr>
            <w:tcW w:w="1170" w:type="dxa"/>
            <w:vAlign w:val="bottom"/>
          </w:tcPr>
          <w:p w:rsidRPr="00597B4F" w:rsidR="002D29DA" w:rsidP="00816B18" w:rsidRDefault="002D29DA" w14:paraId="38779CB3"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13.86</w:t>
            </w:r>
          </w:p>
        </w:tc>
        <w:tc>
          <w:tcPr>
            <w:tcW w:w="1170" w:type="dxa"/>
            <w:shd w:val="clear" w:color="auto" w:fill="auto"/>
            <w:vAlign w:val="bottom"/>
          </w:tcPr>
          <w:p w:rsidRPr="00597B4F" w:rsidR="002D29DA" w:rsidP="00816B18" w:rsidRDefault="002D29DA" w14:paraId="5FC357F7"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45,738</w:t>
            </w:r>
          </w:p>
        </w:tc>
      </w:tr>
      <w:tr w:rsidRPr="00597B4F" w:rsidR="002D29DA" w:rsidTr="00816B18" w14:paraId="2B9993DA" w14:textId="77777777">
        <w:tc>
          <w:tcPr>
            <w:tcW w:w="1258" w:type="dxa"/>
            <w:shd w:val="clear" w:color="auto" w:fill="auto"/>
            <w:vAlign w:val="bottom"/>
          </w:tcPr>
          <w:p w:rsidRPr="00597B4F" w:rsidR="002D29DA" w:rsidP="00816B18" w:rsidRDefault="002D29DA" w14:paraId="3726427E"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Totals</w:t>
            </w:r>
          </w:p>
        </w:tc>
        <w:tc>
          <w:tcPr>
            <w:tcW w:w="1916" w:type="dxa"/>
            <w:vAlign w:val="bottom"/>
          </w:tcPr>
          <w:p w:rsidRPr="00597B4F" w:rsidR="002D29DA" w:rsidP="00816B18" w:rsidRDefault="002D29DA" w14:paraId="51D1A581" w14:textId="77777777">
            <w:pPr>
              <w:keepNext/>
              <w:keepLines/>
              <w:numPr>
                <w:ilvl w:val="12"/>
                <w:numId w:val="0"/>
              </w:numPr>
              <w:jc w:val="center"/>
              <w:rPr>
                <w:rFonts w:ascii="Times New Roman" w:hAnsi="Times New Roman" w:cs="Times New Roman"/>
                <w:sz w:val="24"/>
                <w:szCs w:val="24"/>
              </w:rPr>
            </w:pPr>
          </w:p>
        </w:tc>
        <w:tc>
          <w:tcPr>
            <w:tcW w:w="1170" w:type="dxa"/>
            <w:vAlign w:val="bottom"/>
          </w:tcPr>
          <w:p w:rsidRPr="00597B4F" w:rsidR="002D29DA" w:rsidP="00816B18" w:rsidRDefault="002D29DA" w14:paraId="72C71582"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3300</w:t>
            </w:r>
          </w:p>
        </w:tc>
        <w:tc>
          <w:tcPr>
            <w:tcW w:w="1170" w:type="dxa"/>
            <w:vAlign w:val="bottom"/>
          </w:tcPr>
          <w:p w:rsidRPr="00597B4F" w:rsidR="002D29DA" w:rsidP="00816B18" w:rsidRDefault="002D29DA" w14:paraId="5A911FA6" w14:textId="77777777">
            <w:pPr>
              <w:keepNext/>
              <w:keepLines/>
              <w:numPr>
                <w:ilvl w:val="12"/>
                <w:numId w:val="0"/>
              </w:numPr>
              <w:jc w:val="center"/>
              <w:rPr>
                <w:rFonts w:ascii="Times New Roman" w:hAnsi="Times New Roman" w:cs="Times New Roman"/>
                <w:sz w:val="24"/>
                <w:szCs w:val="24"/>
              </w:rPr>
            </w:pPr>
          </w:p>
        </w:tc>
        <w:tc>
          <w:tcPr>
            <w:tcW w:w="1080" w:type="dxa"/>
            <w:shd w:val="clear" w:color="auto" w:fill="auto"/>
            <w:vAlign w:val="bottom"/>
          </w:tcPr>
          <w:p w:rsidRPr="00597B4F" w:rsidR="002D29DA" w:rsidP="00816B18" w:rsidRDefault="002D29DA" w14:paraId="0C78143A" w14:textId="77777777">
            <w:pPr>
              <w:keepNext/>
              <w:keepLines/>
              <w:numPr>
                <w:ilvl w:val="12"/>
                <w:numId w:val="0"/>
              </w:numPr>
              <w:jc w:val="center"/>
              <w:rPr>
                <w:rFonts w:ascii="Times New Roman" w:hAnsi="Times New Roman" w:cs="Times New Roman"/>
                <w:sz w:val="24"/>
                <w:szCs w:val="24"/>
              </w:rPr>
            </w:pPr>
          </w:p>
        </w:tc>
        <w:tc>
          <w:tcPr>
            <w:tcW w:w="1170" w:type="dxa"/>
            <w:vAlign w:val="bottom"/>
          </w:tcPr>
          <w:p w:rsidRPr="00597B4F" w:rsidR="002D29DA" w:rsidP="00816B18" w:rsidRDefault="002D29DA" w14:paraId="75AC9E47" w14:textId="77777777">
            <w:pPr>
              <w:keepNext/>
              <w:keepLines/>
              <w:numPr>
                <w:ilvl w:val="12"/>
                <w:numId w:val="0"/>
              </w:numPr>
              <w:jc w:val="center"/>
              <w:rPr>
                <w:rFonts w:ascii="Times New Roman" w:hAnsi="Times New Roman" w:cs="Times New Roman"/>
                <w:sz w:val="24"/>
                <w:szCs w:val="24"/>
              </w:rPr>
            </w:pPr>
          </w:p>
        </w:tc>
        <w:tc>
          <w:tcPr>
            <w:tcW w:w="1170" w:type="dxa"/>
            <w:shd w:val="clear" w:color="auto" w:fill="auto"/>
            <w:vAlign w:val="bottom"/>
          </w:tcPr>
          <w:p w:rsidRPr="00597B4F" w:rsidR="002D29DA" w:rsidP="00816B18" w:rsidRDefault="002D29DA" w14:paraId="7A41063F" w14:textId="77777777">
            <w:pPr>
              <w:keepNext/>
              <w:keepLines/>
              <w:numPr>
                <w:ilvl w:val="12"/>
                <w:numId w:val="0"/>
              </w:numPr>
              <w:jc w:val="center"/>
              <w:rPr>
                <w:rFonts w:ascii="Times New Roman" w:hAnsi="Times New Roman" w:cs="Times New Roman"/>
                <w:sz w:val="24"/>
                <w:szCs w:val="24"/>
              </w:rPr>
            </w:pPr>
            <w:r w:rsidRPr="00597B4F">
              <w:rPr>
                <w:rFonts w:ascii="Times New Roman" w:hAnsi="Times New Roman" w:cs="Times New Roman"/>
                <w:sz w:val="24"/>
                <w:szCs w:val="24"/>
              </w:rPr>
              <w:t>45,738</w:t>
            </w:r>
          </w:p>
        </w:tc>
      </w:tr>
    </w:tbl>
    <w:p w:rsidRPr="00597B4F" w:rsidR="00FE5EB2" w:rsidRDefault="00FE5EB2" w14:paraId="3DC9DA80" w14:textId="77777777">
      <w:pPr>
        <w:rPr>
          <w:rFonts w:ascii="Times New Roman" w:hAnsi="Times New Roman" w:cs="Times New Roman"/>
          <w:sz w:val="24"/>
          <w:szCs w:val="24"/>
        </w:rPr>
      </w:pPr>
    </w:p>
    <w:p w:rsidR="00FE5EB2" w:rsidRDefault="00FE5EB2" w14:paraId="03D04535"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Estimates of the annualized cost to respondents for the hour burdens shown above are not </w:t>
      </w:r>
      <w:r w:rsidRPr="00597B4F">
        <w:rPr>
          <w:rFonts w:ascii="Times New Roman" w:hAnsi="Times New Roman" w:cs="Times New Roman"/>
          <w:sz w:val="24"/>
          <w:szCs w:val="24"/>
        </w:rPr>
        <w:lastRenderedPageBreak/>
        <w:t xml:space="preserve">available at this time. </w:t>
      </w:r>
    </w:p>
    <w:p w:rsidR="00165A2D" w:rsidRDefault="00165A2D" w14:paraId="67FBBA86" w14:textId="77777777">
      <w:pPr>
        <w:ind w:left="720"/>
        <w:rPr>
          <w:rFonts w:ascii="Times New Roman" w:hAnsi="Times New Roman" w:cs="Times New Roman"/>
          <w:sz w:val="24"/>
          <w:szCs w:val="24"/>
        </w:rPr>
      </w:pPr>
    </w:p>
    <w:p w:rsidRPr="00597B4F" w:rsidR="00FE5EB2" w:rsidRDefault="00FE5EB2" w14:paraId="3F2F9054"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13.</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ESTIMATED TOTAL ANNUAL COST BURDEN TO RESPONDENTS</w:t>
      </w:r>
    </w:p>
    <w:p w:rsidRPr="00597B4F" w:rsidR="00FE5EB2" w:rsidRDefault="00FE5EB2" w14:paraId="1EC0C4B4" w14:textId="77777777">
      <w:pPr>
        <w:rPr>
          <w:rFonts w:ascii="Times New Roman" w:hAnsi="Times New Roman" w:cs="Times New Roman"/>
          <w:sz w:val="24"/>
          <w:szCs w:val="24"/>
        </w:rPr>
      </w:pPr>
    </w:p>
    <w:p w:rsidRPr="00165A2D" w:rsidR="00165A2D" w:rsidP="00165A2D" w:rsidRDefault="00FE5EB2" w14:paraId="6446ED3A"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 xml:space="preserve"> </w:t>
      </w:r>
      <w:r w:rsidRPr="00597B4F">
        <w:rPr>
          <w:rFonts w:ascii="Times New Roman" w:hAnsi="Times New Roman" w:cs="Times New Roman"/>
          <w:sz w:val="24"/>
          <w:szCs w:val="24"/>
        </w:rPr>
        <w:tab/>
      </w:r>
      <w:r w:rsidRPr="00165A2D" w:rsidR="00165A2D">
        <w:rPr>
          <w:rFonts w:ascii="Times New Roman" w:hAnsi="Times New Roman" w:cs="Times New Roman"/>
          <w:sz w:val="24"/>
          <w:szCs w:val="24"/>
        </w:rPr>
        <w:t xml:space="preserve">As suggested by OMB, our Federal Register notice dated April </w:t>
      </w:r>
      <w:r w:rsidR="00A37559">
        <w:rPr>
          <w:rFonts w:ascii="Times New Roman" w:hAnsi="Times New Roman" w:cs="Times New Roman"/>
          <w:sz w:val="24"/>
          <w:szCs w:val="24"/>
        </w:rPr>
        <w:t>21</w:t>
      </w:r>
      <w:r w:rsidRPr="00165A2D" w:rsidR="00165A2D">
        <w:rPr>
          <w:rFonts w:ascii="Times New Roman" w:hAnsi="Times New Roman" w:cs="Times New Roman"/>
          <w:sz w:val="24"/>
          <w:szCs w:val="24"/>
        </w:rPr>
        <w:t xml:space="preserve">, 2020,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165A2D" w:rsidR="00165A2D" w:rsidP="00165A2D" w:rsidRDefault="00165A2D" w14:paraId="1007C0FC" w14:textId="77777777">
      <w:pPr>
        <w:tabs>
          <w:tab w:val="left" w:pos="720"/>
        </w:tabs>
        <w:ind w:left="720" w:hanging="720"/>
        <w:rPr>
          <w:rFonts w:ascii="Times New Roman" w:hAnsi="Times New Roman" w:cs="Times New Roman"/>
          <w:sz w:val="24"/>
          <w:szCs w:val="24"/>
        </w:rPr>
      </w:pPr>
    </w:p>
    <w:p w:rsidRPr="00597B4F" w:rsidR="00FE5EB2" w:rsidP="00165A2D" w:rsidRDefault="00165A2D" w14:paraId="14834124" w14:textId="77777777">
      <w:pPr>
        <w:ind w:left="720"/>
        <w:rPr>
          <w:rFonts w:ascii="Times New Roman" w:hAnsi="Times New Roman" w:cs="Times New Roman"/>
          <w:sz w:val="24"/>
          <w:szCs w:val="24"/>
        </w:rPr>
      </w:pPr>
      <w:r w:rsidRPr="00165A2D">
        <w:rPr>
          <w:rFonts w:ascii="Times New Roman" w:hAnsi="Times New Roman" w:cs="Times New Roman"/>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597B4F" w:rsidR="00FE5EB2">
        <w:rPr>
          <w:rFonts w:ascii="Times New Roman" w:hAnsi="Times New Roman" w:cs="Times New Roman"/>
          <w:sz w:val="24"/>
          <w:szCs w:val="24"/>
        </w:rPr>
        <w:t>.</w:t>
      </w:r>
    </w:p>
    <w:p w:rsidRPr="00597B4F" w:rsidR="00FE5EB2" w:rsidRDefault="00FE5EB2" w14:paraId="0A66C165" w14:textId="77777777">
      <w:pPr>
        <w:rPr>
          <w:rFonts w:ascii="Times New Roman" w:hAnsi="Times New Roman" w:cs="Times New Roman"/>
          <w:sz w:val="24"/>
          <w:szCs w:val="24"/>
        </w:rPr>
      </w:pPr>
    </w:p>
    <w:p w:rsidRPr="00597B4F" w:rsidR="00FE5EB2" w:rsidRDefault="00FE5EB2" w14:paraId="231605D4"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14.</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ESTIMATED ANNUALIZED COST TO THE FEDERAL GOVERNMENT</w:t>
      </w:r>
    </w:p>
    <w:p w:rsidRPr="00597B4F" w:rsidR="00FE5EB2" w:rsidRDefault="00FE5EB2" w14:paraId="1EEA4A18" w14:textId="77777777">
      <w:pPr>
        <w:rPr>
          <w:rFonts w:ascii="Times New Roman" w:hAnsi="Times New Roman" w:cs="Times New Roman"/>
          <w:sz w:val="24"/>
          <w:szCs w:val="24"/>
        </w:rPr>
      </w:pPr>
    </w:p>
    <w:p w:rsidRPr="00165A2D" w:rsidR="00165A2D" w:rsidP="00165A2D" w:rsidRDefault="00165A2D" w14:paraId="1D29376A" w14:textId="77777777">
      <w:pPr>
        <w:ind w:left="720"/>
        <w:rPr>
          <w:rFonts w:ascii="Times New Roman" w:hAnsi="Times New Roman"/>
          <w:sz w:val="24"/>
          <w:szCs w:val="24"/>
        </w:rPr>
      </w:pPr>
      <w:bookmarkStart w:name="_Hlk523834409" w:id="1"/>
      <w:r w:rsidRPr="00165A2D">
        <w:rPr>
          <w:rFonts w:ascii="Times New Roman" w:hAnsi="Times New Roman"/>
          <w:sz w:val="24"/>
          <w:szCs w:val="24"/>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165A2D" w:rsidR="00165A2D" w:rsidP="00165A2D" w:rsidRDefault="00165A2D" w14:paraId="513F95EE" w14:textId="77777777">
      <w:pPr>
        <w:ind w:left="720"/>
        <w:rPr>
          <w:rFonts w:ascii="Times New Roman" w:hAnsi="Times New Roman"/>
          <w:sz w:val="24"/>
          <w:szCs w:val="24"/>
        </w:rPr>
      </w:pPr>
    </w:p>
    <w:p w:rsidRPr="00165A2D" w:rsidR="00165A2D" w:rsidP="00165A2D" w:rsidRDefault="00165A2D" w14:paraId="0F679CB0" w14:textId="77777777">
      <w:pPr>
        <w:ind w:left="720"/>
        <w:rPr>
          <w:rFonts w:ascii="Times New Roman" w:hAnsi="Times New Roman"/>
          <w:sz w:val="24"/>
          <w:szCs w:val="24"/>
        </w:rPr>
      </w:pPr>
      <w:r w:rsidRPr="00165A2D">
        <w:rPr>
          <w:rFonts w:ascii="Times New Roman" w:hAnsi="Times New Roman"/>
          <w:sz w:val="24"/>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165A2D" w:rsidR="00165A2D" w:rsidP="00165A2D" w:rsidRDefault="00165A2D" w14:paraId="14F2BB85" w14:textId="77777777">
      <w:pPr>
        <w:ind w:left="720"/>
        <w:rPr>
          <w:rFonts w:ascii="Times New Roman" w:hAnsi="Times New Roman"/>
          <w:sz w:val="24"/>
          <w:szCs w:val="24"/>
        </w:rPr>
      </w:pPr>
    </w:p>
    <w:p w:rsidRPr="00165A2D" w:rsidR="00165A2D" w:rsidP="00165A2D" w:rsidRDefault="00165A2D" w14:paraId="3F109DE8" w14:textId="77777777">
      <w:pPr>
        <w:ind w:left="720"/>
        <w:rPr>
          <w:rFonts w:ascii="Times New Roman" w:hAnsi="Times New Roman"/>
          <w:sz w:val="24"/>
          <w:szCs w:val="24"/>
        </w:rPr>
      </w:pPr>
      <w:r w:rsidRPr="00165A2D">
        <w:rPr>
          <w:rFonts w:ascii="Times New Roman" w:hAnsi="Times New Roman"/>
          <w:sz w:val="24"/>
          <w:szCs w:val="24"/>
        </w:rPr>
        <w:t>The government cost estimate for this collection is summarized in the table below.</w:t>
      </w:r>
    </w:p>
    <w:p w:rsidRPr="00063FBD" w:rsidR="00165A2D" w:rsidP="00165A2D" w:rsidRDefault="00165A2D" w14:paraId="7B8696C8" w14:textId="77777777">
      <w:pPr>
        <w:ind w:left="720"/>
        <w:rPr>
          <w:rFonts w:ascii="Times New Roman" w:hAnsi="Times New Roman"/>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941"/>
        <w:gridCol w:w="293"/>
        <w:gridCol w:w="1763"/>
        <w:gridCol w:w="367"/>
        <w:gridCol w:w="1804"/>
      </w:tblGrid>
      <w:tr w:rsidRPr="00063FBD" w:rsidR="00165A2D" w:rsidTr="00A66D48" w14:paraId="2B560A15"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165A2D" w14:paraId="75537E20" w14:textId="77777777">
            <w:pPr>
              <w:rPr>
                <w:rFonts w:ascii="Times New Roman" w:hAnsi="Times New Roman"/>
                <w:b/>
                <w:sz w:val="18"/>
                <w:szCs w:val="18"/>
                <w:u w:val="single"/>
              </w:rPr>
            </w:pPr>
            <w:r w:rsidRPr="00063FBD">
              <w:rPr>
                <w:rFonts w:ascii="Times New Roman" w:hAnsi="Times New Roman"/>
                <w:b/>
                <w:sz w:val="18"/>
                <w:szCs w:val="18"/>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165A2D" w14:paraId="1F1A7B0D" w14:textId="77777777">
            <w:pPr>
              <w:rPr>
                <w:rFonts w:ascii="Times New Roman" w:hAnsi="Times New Roman"/>
                <w:b/>
                <w:sz w:val="18"/>
                <w:szCs w:val="18"/>
                <w:u w:val="single"/>
              </w:rPr>
            </w:pPr>
            <w:r w:rsidRPr="00063FBD">
              <w:rPr>
                <w:rFonts w:ascii="Times New Roman" w:hAnsi="Times New Roman"/>
                <w:b/>
                <w:sz w:val="18"/>
                <w:szCs w:val="18"/>
                <w:u w:val="single"/>
              </w:rPr>
              <w:t>Aggregate Cost per Product (factor applied)</w:t>
            </w:r>
          </w:p>
        </w:tc>
        <w:tc>
          <w:tcPr>
            <w:tcW w:w="293"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55EF6B14" w14:textId="77777777">
            <w:pPr>
              <w:ind w:left="720"/>
              <w:rPr>
                <w:rFonts w:ascii="Times New Roman" w:hAnsi="Times New Roman"/>
                <w:b/>
                <w:sz w:val="18"/>
                <w:szCs w:val="18"/>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165A2D" w14:paraId="5CEBB16F" w14:textId="77777777">
            <w:pPr>
              <w:ind w:left="-6"/>
              <w:rPr>
                <w:rFonts w:ascii="Times New Roman" w:hAnsi="Times New Roman"/>
                <w:b/>
                <w:sz w:val="18"/>
                <w:szCs w:val="18"/>
                <w:u w:val="single"/>
              </w:rPr>
            </w:pPr>
            <w:r w:rsidRPr="00063FBD">
              <w:rPr>
                <w:rFonts w:ascii="Times New Roman" w:hAnsi="Times New Roman"/>
                <w:b/>
                <w:sz w:val="18"/>
                <w:szCs w:val="18"/>
                <w:u w:val="single"/>
              </w:rPr>
              <w:t>Printing and Distribution</w:t>
            </w:r>
          </w:p>
        </w:tc>
        <w:tc>
          <w:tcPr>
            <w:tcW w:w="367"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5902E0FD" w14:textId="77777777">
            <w:pPr>
              <w:ind w:left="720"/>
              <w:rPr>
                <w:rFonts w:ascii="Times New Roman" w:hAnsi="Times New Roman"/>
                <w:b/>
                <w:sz w:val="18"/>
                <w:szCs w:val="18"/>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165A2D" w14:paraId="5E7E38CD" w14:textId="77777777">
            <w:pPr>
              <w:rPr>
                <w:rFonts w:ascii="Times New Roman" w:hAnsi="Times New Roman"/>
                <w:b/>
                <w:sz w:val="18"/>
                <w:szCs w:val="18"/>
                <w:u w:val="single"/>
              </w:rPr>
            </w:pPr>
            <w:r w:rsidRPr="00063FBD">
              <w:rPr>
                <w:rFonts w:ascii="Times New Roman" w:hAnsi="Times New Roman"/>
                <w:b/>
                <w:sz w:val="18"/>
                <w:szCs w:val="18"/>
                <w:u w:val="single"/>
              </w:rPr>
              <w:t>Government Cost Estimate per Product</w:t>
            </w:r>
          </w:p>
        </w:tc>
      </w:tr>
      <w:tr w:rsidRPr="00063FBD" w:rsidR="00165A2D" w:rsidTr="00A66D48" w14:paraId="35473D1B"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38401D" w14:paraId="1ECD99E7" w14:textId="77777777">
            <w:pPr>
              <w:rPr>
                <w:rFonts w:ascii="Times New Roman" w:hAnsi="Times New Roman"/>
                <w:sz w:val="18"/>
                <w:szCs w:val="18"/>
              </w:rPr>
            </w:pPr>
            <w:r>
              <w:rPr>
                <w:rFonts w:ascii="Times New Roman" w:hAnsi="Times New Roman"/>
                <w:sz w:val="18"/>
                <w:szCs w:val="18"/>
              </w:rPr>
              <w:t>8866</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165A2D" w14:paraId="5095F754" w14:textId="77777777">
            <w:pPr>
              <w:jc w:val="center"/>
              <w:rPr>
                <w:rFonts w:ascii="Times New Roman" w:hAnsi="Times New Roman"/>
                <w:sz w:val="18"/>
                <w:szCs w:val="18"/>
              </w:rPr>
            </w:pPr>
            <w:r w:rsidRPr="00063FBD">
              <w:rPr>
                <w:rFonts w:ascii="Times New Roman" w:hAnsi="Times New Roman"/>
                <w:sz w:val="18"/>
                <w:szCs w:val="18"/>
              </w:rPr>
              <w:t xml:space="preserve">$      </w:t>
            </w:r>
            <w:r>
              <w:rPr>
                <w:rFonts w:ascii="Times New Roman" w:hAnsi="Times New Roman"/>
                <w:sz w:val="18"/>
                <w:szCs w:val="18"/>
              </w:rPr>
              <w:t>1</w:t>
            </w:r>
            <w:r w:rsidR="007C33F6">
              <w:rPr>
                <w:rFonts w:ascii="Times New Roman" w:hAnsi="Times New Roman"/>
                <w:sz w:val="18"/>
                <w:szCs w:val="18"/>
              </w:rPr>
              <w:t>0</w:t>
            </w:r>
            <w:r>
              <w:rPr>
                <w:rFonts w:ascii="Times New Roman" w:hAnsi="Times New Roman"/>
                <w:sz w:val="18"/>
                <w:szCs w:val="18"/>
              </w:rPr>
              <w:t>,</w:t>
            </w:r>
            <w:r w:rsidR="007C33F6">
              <w:rPr>
                <w:rFonts w:ascii="Times New Roman" w:hAnsi="Times New Roman"/>
                <w:sz w:val="18"/>
                <w:szCs w:val="18"/>
              </w:rPr>
              <w:t>024</w:t>
            </w:r>
          </w:p>
        </w:tc>
        <w:tc>
          <w:tcPr>
            <w:tcW w:w="293"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243E2523" w14:textId="77777777">
            <w:pPr>
              <w:ind w:left="720"/>
              <w:rPr>
                <w:rFonts w:ascii="Times New Roman" w:hAnsi="Times New Roman"/>
                <w:sz w:val="18"/>
                <w:szCs w:val="18"/>
              </w:rPr>
            </w:pPr>
          </w:p>
        </w:tc>
        <w:tc>
          <w:tcPr>
            <w:tcW w:w="1763" w:type="dxa"/>
            <w:tcBorders>
              <w:top w:val="single" w:color="auto" w:sz="4" w:space="0"/>
              <w:left w:val="single" w:color="auto" w:sz="4" w:space="0"/>
              <w:bottom w:val="single" w:color="auto" w:sz="4" w:space="0"/>
              <w:right w:val="single" w:color="auto" w:sz="4" w:space="0"/>
            </w:tcBorders>
            <w:hideMark/>
          </w:tcPr>
          <w:p w:rsidRPr="00063FBD" w:rsidR="00165A2D" w:rsidP="00A66D48" w:rsidRDefault="00165A2D" w14:paraId="7F237E76" w14:textId="77777777">
            <w:pPr>
              <w:ind w:left="-6"/>
              <w:jc w:val="center"/>
              <w:rPr>
                <w:rFonts w:ascii="Times New Roman" w:hAnsi="Times New Roman"/>
                <w:sz w:val="18"/>
                <w:szCs w:val="18"/>
              </w:rPr>
            </w:pPr>
            <w:r w:rsidRPr="00063FBD">
              <w:rPr>
                <w:rFonts w:ascii="Times New Roman" w:hAnsi="Times New Roman"/>
                <w:sz w:val="18"/>
                <w:szCs w:val="18"/>
              </w:rPr>
              <w:t xml:space="preserve">$ </w:t>
            </w:r>
            <w:r>
              <w:rPr>
                <w:rFonts w:ascii="Times New Roman" w:hAnsi="Times New Roman"/>
                <w:sz w:val="18"/>
                <w:szCs w:val="18"/>
              </w:rPr>
              <w:t>0</w:t>
            </w:r>
          </w:p>
        </w:tc>
        <w:tc>
          <w:tcPr>
            <w:tcW w:w="367"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0FB77167" w14:textId="77777777">
            <w:pPr>
              <w:ind w:left="720"/>
              <w:rPr>
                <w:rFonts w:ascii="Times New Roman" w:hAnsi="Times New Roman"/>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63FBD" w:rsidR="00165A2D" w:rsidP="00A66D48" w:rsidRDefault="00165A2D" w14:paraId="0B862BB4" w14:textId="77777777">
            <w:pPr>
              <w:rPr>
                <w:rFonts w:ascii="Times New Roman" w:hAnsi="Times New Roman"/>
                <w:sz w:val="18"/>
                <w:szCs w:val="18"/>
              </w:rPr>
            </w:pPr>
            <w:r w:rsidRPr="00063FBD">
              <w:rPr>
                <w:rFonts w:ascii="Times New Roman" w:hAnsi="Times New Roman"/>
                <w:sz w:val="18"/>
                <w:szCs w:val="18"/>
              </w:rPr>
              <w:t xml:space="preserve">$       </w:t>
            </w:r>
            <w:r>
              <w:rPr>
                <w:rFonts w:ascii="Times New Roman" w:hAnsi="Times New Roman"/>
                <w:sz w:val="18"/>
                <w:szCs w:val="18"/>
              </w:rPr>
              <w:t>1</w:t>
            </w:r>
            <w:r w:rsidR="007C33F6">
              <w:rPr>
                <w:rFonts w:ascii="Times New Roman" w:hAnsi="Times New Roman"/>
                <w:sz w:val="18"/>
                <w:szCs w:val="18"/>
              </w:rPr>
              <w:t>0</w:t>
            </w:r>
            <w:r>
              <w:rPr>
                <w:rFonts w:ascii="Times New Roman" w:hAnsi="Times New Roman"/>
                <w:sz w:val="18"/>
                <w:szCs w:val="18"/>
              </w:rPr>
              <w:t>,</w:t>
            </w:r>
            <w:r w:rsidR="007C33F6">
              <w:rPr>
                <w:rFonts w:ascii="Times New Roman" w:hAnsi="Times New Roman"/>
                <w:sz w:val="18"/>
                <w:szCs w:val="18"/>
              </w:rPr>
              <w:t>024</w:t>
            </w:r>
          </w:p>
        </w:tc>
      </w:tr>
      <w:bookmarkEnd w:id="1"/>
      <w:tr w:rsidRPr="00063FBD" w:rsidR="00165A2D" w:rsidTr="00A66D48" w14:paraId="4FB28A6B" w14:textId="77777777">
        <w:tc>
          <w:tcPr>
            <w:tcW w:w="2187" w:type="dxa"/>
            <w:tcBorders>
              <w:top w:val="single" w:color="auto" w:sz="4" w:space="0"/>
              <w:left w:val="single" w:color="auto" w:sz="4" w:space="0"/>
              <w:bottom w:val="single" w:color="auto" w:sz="4" w:space="0"/>
              <w:right w:val="single" w:color="auto" w:sz="4" w:space="0"/>
            </w:tcBorders>
            <w:vAlign w:val="bottom"/>
          </w:tcPr>
          <w:p w:rsidRPr="00063FBD" w:rsidR="00165A2D" w:rsidP="00A66D48" w:rsidRDefault="00165A2D" w14:paraId="09000ECD" w14:textId="77777777">
            <w:pPr>
              <w:rPr>
                <w:rFonts w:ascii="Times New Roman" w:hAnsi="Times New Roman"/>
                <w:sz w:val="18"/>
                <w:szCs w:val="18"/>
              </w:rPr>
            </w:pPr>
            <w:r>
              <w:rPr>
                <w:rFonts w:ascii="Times New Roman" w:hAnsi="Times New Roman"/>
                <w:sz w:val="18"/>
                <w:szCs w:val="18"/>
              </w:rPr>
              <w:t xml:space="preserve">Instr. for </w:t>
            </w:r>
            <w:r w:rsidR="0038401D">
              <w:rPr>
                <w:rFonts w:ascii="Times New Roman" w:hAnsi="Times New Roman"/>
                <w:sz w:val="18"/>
                <w:szCs w:val="18"/>
              </w:rPr>
              <w:t>8866</w:t>
            </w:r>
          </w:p>
        </w:tc>
        <w:tc>
          <w:tcPr>
            <w:tcW w:w="1941" w:type="dxa"/>
            <w:tcBorders>
              <w:top w:val="single" w:color="auto" w:sz="4" w:space="0"/>
              <w:left w:val="single" w:color="auto" w:sz="4" w:space="0"/>
              <w:bottom w:val="single" w:color="auto" w:sz="4" w:space="0"/>
              <w:right w:val="single" w:color="auto" w:sz="4" w:space="0"/>
            </w:tcBorders>
            <w:vAlign w:val="bottom"/>
          </w:tcPr>
          <w:p w:rsidRPr="00063FBD" w:rsidR="00165A2D" w:rsidP="00A66D48" w:rsidRDefault="00165A2D" w14:paraId="624487B7" w14:textId="77777777">
            <w:pPr>
              <w:jc w:val="center"/>
              <w:rPr>
                <w:rFonts w:ascii="Times New Roman" w:hAnsi="Times New Roman"/>
                <w:sz w:val="18"/>
                <w:szCs w:val="18"/>
              </w:rPr>
            </w:pPr>
            <w:r w:rsidRPr="00063FBD">
              <w:rPr>
                <w:rFonts w:ascii="Times New Roman" w:hAnsi="Times New Roman"/>
                <w:sz w:val="18"/>
                <w:szCs w:val="18"/>
              </w:rPr>
              <w:t xml:space="preserve">$      </w:t>
            </w:r>
            <w:r w:rsidR="007C33F6">
              <w:rPr>
                <w:rFonts w:ascii="Times New Roman" w:hAnsi="Times New Roman"/>
                <w:sz w:val="18"/>
                <w:szCs w:val="18"/>
              </w:rPr>
              <w:t>2</w:t>
            </w:r>
            <w:r>
              <w:rPr>
                <w:rFonts w:ascii="Times New Roman" w:hAnsi="Times New Roman"/>
                <w:sz w:val="18"/>
                <w:szCs w:val="18"/>
              </w:rPr>
              <w:t>,</w:t>
            </w:r>
            <w:r w:rsidR="007C33F6">
              <w:rPr>
                <w:rFonts w:ascii="Times New Roman" w:hAnsi="Times New Roman"/>
                <w:sz w:val="18"/>
                <w:szCs w:val="18"/>
              </w:rPr>
              <w:t>734</w:t>
            </w:r>
          </w:p>
        </w:tc>
        <w:tc>
          <w:tcPr>
            <w:tcW w:w="293"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7A176EFD" w14:textId="77777777">
            <w:pPr>
              <w:ind w:left="720"/>
              <w:rPr>
                <w:rFonts w:ascii="Times New Roman" w:hAnsi="Times New Roman"/>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7009D53F" w14:textId="77777777">
            <w:pPr>
              <w:ind w:left="-6"/>
              <w:jc w:val="center"/>
              <w:rPr>
                <w:rFonts w:ascii="Times New Roman" w:hAnsi="Times New Roman"/>
                <w:sz w:val="18"/>
                <w:szCs w:val="18"/>
              </w:rPr>
            </w:pPr>
            <w:r w:rsidRPr="00063FBD">
              <w:rPr>
                <w:rFonts w:ascii="Times New Roman" w:hAnsi="Times New Roman"/>
                <w:sz w:val="18"/>
                <w:szCs w:val="18"/>
              </w:rPr>
              <w:t>$ 0</w:t>
            </w:r>
          </w:p>
        </w:tc>
        <w:tc>
          <w:tcPr>
            <w:tcW w:w="367"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4446BD1C" w14:textId="77777777">
            <w:pPr>
              <w:ind w:left="720"/>
              <w:rPr>
                <w:rFonts w:ascii="Times New Roman" w:hAnsi="Times New Roman"/>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tcPr>
          <w:p w:rsidRPr="00063FBD" w:rsidR="00165A2D" w:rsidP="00A66D48" w:rsidRDefault="00165A2D" w14:paraId="68D1B250" w14:textId="77777777">
            <w:pPr>
              <w:rPr>
                <w:rFonts w:ascii="Times New Roman" w:hAnsi="Times New Roman"/>
                <w:sz w:val="18"/>
                <w:szCs w:val="18"/>
              </w:rPr>
            </w:pPr>
            <w:r w:rsidRPr="00063FBD">
              <w:rPr>
                <w:rFonts w:ascii="Times New Roman" w:hAnsi="Times New Roman"/>
                <w:sz w:val="18"/>
                <w:szCs w:val="18"/>
              </w:rPr>
              <w:t xml:space="preserve">$      </w:t>
            </w:r>
            <w:r>
              <w:rPr>
                <w:rFonts w:ascii="Times New Roman" w:hAnsi="Times New Roman"/>
                <w:sz w:val="18"/>
                <w:szCs w:val="18"/>
              </w:rPr>
              <w:t xml:space="preserve">  </w:t>
            </w:r>
            <w:r w:rsidRPr="00063FBD">
              <w:rPr>
                <w:rFonts w:ascii="Times New Roman" w:hAnsi="Times New Roman"/>
                <w:sz w:val="18"/>
                <w:szCs w:val="18"/>
              </w:rPr>
              <w:t xml:space="preserve"> </w:t>
            </w:r>
            <w:r w:rsidR="007C33F6">
              <w:rPr>
                <w:rFonts w:ascii="Times New Roman" w:hAnsi="Times New Roman"/>
                <w:sz w:val="18"/>
                <w:szCs w:val="18"/>
              </w:rPr>
              <w:t>2</w:t>
            </w:r>
            <w:r>
              <w:rPr>
                <w:rFonts w:ascii="Times New Roman" w:hAnsi="Times New Roman"/>
                <w:sz w:val="18"/>
                <w:szCs w:val="18"/>
              </w:rPr>
              <w:t>,</w:t>
            </w:r>
            <w:r w:rsidR="007C33F6">
              <w:rPr>
                <w:rFonts w:ascii="Times New Roman" w:hAnsi="Times New Roman"/>
                <w:sz w:val="18"/>
                <w:szCs w:val="18"/>
              </w:rPr>
              <w:t>734</w:t>
            </w:r>
          </w:p>
        </w:tc>
      </w:tr>
      <w:tr w:rsidRPr="00063FBD" w:rsidR="00165A2D" w:rsidTr="00A66D48" w14:paraId="28A2D297" w14:textId="77777777">
        <w:tc>
          <w:tcPr>
            <w:tcW w:w="2187" w:type="dxa"/>
            <w:tcBorders>
              <w:top w:val="single" w:color="auto" w:sz="4" w:space="0"/>
              <w:left w:val="single" w:color="auto" w:sz="4" w:space="0"/>
              <w:bottom w:val="single" w:color="auto" w:sz="4" w:space="0"/>
              <w:right w:val="single" w:color="auto" w:sz="4" w:space="0"/>
            </w:tcBorders>
            <w:hideMark/>
          </w:tcPr>
          <w:p w:rsidRPr="00063FBD" w:rsidR="00165A2D" w:rsidP="00A66D48" w:rsidRDefault="00165A2D" w14:paraId="0F74FF2B" w14:textId="77777777">
            <w:pPr>
              <w:rPr>
                <w:rFonts w:ascii="Times New Roman" w:hAnsi="Times New Roman"/>
                <w:b/>
                <w:sz w:val="18"/>
                <w:szCs w:val="18"/>
              </w:rPr>
            </w:pPr>
            <w:r w:rsidRPr="00063FBD">
              <w:rPr>
                <w:rFonts w:ascii="Times New Roman" w:hAnsi="Times New Roman"/>
                <w:b/>
                <w:sz w:val="18"/>
                <w:szCs w:val="18"/>
              </w:rPr>
              <w:t>Grand Total</w:t>
            </w:r>
          </w:p>
        </w:tc>
        <w:tc>
          <w:tcPr>
            <w:tcW w:w="1941" w:type="dxa"/>
            <w:tcBorders>
              <w:top w:val="single" w:color="auto" w:sz="4" w:space="0"/>
              <w:left w:val="single" w:color="auto" w:sz="4" w:space="0"/>
              <w:bottom w:val="single" w:color="auto" w:sz="4" w:space="0"/>
              <w:right w:val="single" w:color="auto" w:sz="4" w:space="0"/>
            </w:tcBorders>
            <w:hideMark/>
          </w:tcPr>
          <w:p w:rsidRPr="00063FBD" w:rsidR="00165A2D" w:rsidP="00A66D48" w:rsidRDefault="00165A2D" w14:paraId="166DD55D" w14:textId="77777777">
            <w:pPr>
              <w:ind w:left="-24"/>
              <w:jc w:val="center"/>
              <w:rPr>
                <w:rFonts w:ascii="Times New Roman" w:hAnsi="Times New Roman"/>
                <w:b/>
                <w:sz w:val="18"/>
                <w:szCs w:val="18"/>
              </w:rPr>
            </w:pPr>
            <w:r w:rsidRPr="00063FBD">
              <w:rPr>
                <w:rFonts w:ascii="Times New Roman" w:hAnsi="Times New Roman"/>
              </w:rPr>
              <w:fldChar w:fldCharType="begin"/>
            </w:r>
            <w:r w:rsidRPr="00063FBD">
              <w:rPr>
                <w:rFonts w:ascii="Times New Roman" w:hAnsi="Times New Roman"/>
                <w:b/>
                <w:sz w:val="18"/>
                <w:szCs w:val="18"/>
              </w:rPr>
              <w:instrText xml:space="preserve"> =SUM(ABOVE) </w:instrText>
            </w:r>
            <w:r w:rsidRPr="00063FBD">
              <w:rPr>
                <w:rFonts w:ascii="Times New Roman" w:hAnsi="Times New Roman"/>
              </w:rPr>
              <w:fldChar w:fldCharType="separate"/>
            </w:r>
            <w:r w:rsidRPr="00063FBD">
              <w:rPr>
                <w:rFonts w:ascii="Times New Roman" w:hAnsi="Times New Roman"/>
                <w:b/>
                <w:noProof/>
                <w:sz w:val="18"/>
                <w:szCs w:val="18"/>
              </w:rPr>
              <w:t xml:space="preserve">$       </w:t>
            </w:r>
            <w:r w:rsidRPr="00063FBD">
              <w:rPr>
                <w:rFonts w:ascii="Times New Roman" w:hAnsi="Times New Roman"/>
              </w:rPr>
              <w:fldChar w:fldCharType="end"/>
            </w:r>
            <w:r>
              <w:rPr>
                <w:rFonts w:ascii="Times New Roman" w:hAnsi="Times New Roman"/>
                <w:b/>
                <w:sz w:val="18"/>
                <w:szCs w:val="18"/>
              </w:rPr>
              <w:t>1</w:t>
            </w:r>
            <w:r w:rsidR="007C33F6">
              <w:rPr>
                <w:rFonts w:ascii="Times New Roman" w:hAnsi="Times New Roman"/>
                <w:b/>
                <w:sz w:val="18"/>
                <w:szCs w:val="18"/>
              </w:rPr>
              <w:t>2,758</w:t>
            </w:r>
          </w:p>
        </w:tc>
        <w:tc>
          <w:tcPr>
            <w:tcW w:w="293"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0E9F01DE" w14:textId="77777777">
            <w:pPr>
              <w:ind w:left="720"/>
              <w:rPr>
                <w:rFonts w:ascii="Times New Roman" w:hAnsi="Times New Roman"/>
                <w:b/>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05175427" w14:textId="77777777">
            <w:pPr>
              <w:ind w:left="-6"/>
              <w:jc w:val="center"/>
              <w:rPr>
                <w:rFonts w:ascii="Times New Roman" w:hAnsi="Times New Roman"/>
                <w:b/>
                <w:sz w:val="18"/>
                <w:szCs w:val="18"/>
              </w:rPr>
            </w:pPr>
            <w:r w:rsidRPr="00063FBD">
              <w:rPr>
                <w:rFonts w:ascii="Times New Roman" w:hAnsi="Times New Roman"/>
                <w:b/>
                <w:sz w:val="18"/>
                <w:szCs w:val="18"/>
              </w:rPr>
              <w:t xml:space="preserve">$ </w:t>
            </w:r>
            <w:r>
              <w:rPr>
                <w:rFonts w:ascii="Times New Roman" w:hAnsi="Times New Roman"/>
                <w:b/>
                <w:sz w:val="18"/>
                <w:szCs w:val="18"/>
              </w:rPr>
              <w:t>0</w:t>
            </w:r>
          </w:p>
        </w:tc>
        <w:tc>
          <w:tcPr>
            <w:tcW w:w="367" w:type="dxa"/>
            <w:tcBorders>
              <w:top w:val="single" w:color="auto" w:sz="4" w:space="0"/>
              <w:left w:val="single" w:color="auto" w:sz="4" w:space="0"/>
              <w:bottom w:val="single" w:color="auto" w:sz="4" w:space="0"/>
              <w:right w:val="single" w:color="auto" w:sz="4" w:space="0"/>
            </w:tcBorders>
          </w:tcPr>
          <w:p w:rsidRPr="00063FBD" w:rsidR="00165A2D" w:rsidP="00A66D48" w:rsidRDefault="00165A2D" w14:paraId="6B041FFA" w14:textId="77777777">
            <w:pPr>
              <w:ind w:left="720"/>
              <w:rPr>
                <w:rFonts w:ascii="Times New Roman" w:hAnsi="Times New Roman"/>
                <w:b/>
                <w:sz w:val="18"/>
                <w:szCs w:val="18"/>
              </w:rPr>
            </w:pPr>
          </w:p>
        </w:tc>
        <w:tc>
          <w:tcPr>
            <w:tcW w:w="1804" w:type="dxa"/>
            <w:tcBorders>
              <w:top w:val="single" w:color="auto" w:sz="4" w:space="0"/>
              <w:left w:val="single" w:color="auto" w:sz="4" w:space="0"/>
              <w:bottom w:val="single" w:color="auto" w:sz="4" w:space="0"/>
              <w:right w:val="single" w:color="auto" w:sz="4" w:space="0"/>
            </w:tcBorders>
            <w:hideMark/>
          </w:tcPr>
          <w:p w:rsidRPr="00063FBD" w:rsidR="00165A2D" w:rsidP="00A66D48" w:rsidRDefault="00165A2D" w14:paraId="184BA26C" w14:textId="77777777">
            <w:pPr>
              <w:rPr>
                <w:rFonts w:ascii="Times New Roman" w:hAnsi="Times New Roman"/>
                <w:b/>
                <w:sz w:val="18"/>
                <w:szCs w:val="18"/>
              </w:rPr>
            </w:pPr>
            <w:r w:rsidRPr="00063FBD">
              <w:rPr>
                <w:rFonts w:ascii="Times New Roman" w:hAnsi="Times New Roman"/>
                <w:b/>
              </w:rPr>
              <w:fldChar w:fldCharType="begin"/>
            </w:r>
            <w:r w:rsidRPr="00063FBD">
              <w:rPr>
                <w:rFonts w:ascii="Times New Roman" w:hAnsi="Times New Roman"/>
                <w:b/>
                <w:sz w:val="18"/>
                <w:szCs w:val="18"/>
              </w:rPr>
              <w:instrText xml:space="preserve"> =SUM(ABOVE) </w:instrText>
            </w:r>
            <w:r w:rsidRPr="00063FBD">
              <w:rPr>
                <w:rFonts w:ascii="Times New Roman" w:hAnsi="Times New Roman"/>
                <w:b/>
              </w:rPr>
              <w:fldChar w:fldCharType="separate"/>
            </w:r>
            <w:r w:rsidRPr="00063FBD">
              <w:rPr>
                <w:rFonts w:ascii="Times New Roman" w:hAnsi="Times New Roman"/>
                <w:b/>
                <w:noProof/>
                <w:sz w:val="18"/>
                <w:szCs w:val="18"/>
              </w:rPr>
              <w:t>$</w:t>
            </w:r>
            <w:r w:rsidRPr="00063FBD">
              <w:rPr>
                <w:rFonts w:ascii="Times New Roman" w:hAnsi="Times New Roman"/>
                <w:b/>
              </w:rPr>
              <w:fldChar w:fldCharType="end"/>
            </w:r>
            <w:r w:rsidRPr="00063FBD">
              <w:rPr>
                <w:rFonts w:ascii="Times New Roman" w:hAnsi="Times New Roman"/>
                <w:b/>
              </w:rPr>
              <w:t xml:space="preserve">  </w:t>
            </w:r>
            <w:r>
              <w:rPr>
                <w:rFonts w:ascii="Times New Roman" w:hAnsi="Times New Roman"/>
                <w:b/>
              </w:rPr>
              <w:t xml:space="preserve">   </w:t>
            </w:r>
            <w:r w:rsidR="007C33F6">
              <w:rPr>
                <w:rFonts w:ascii="Times New Roman" w:hAnsi="Times New Roman"/>
                <w:b/>
              </w:rPr>
              <w:t xml:space="preserve"> </w:t>
            </w:r>
            <w:r>
              <w:rPr>
                <w:rFonts w:ascii="Times New Roman" w:hAnsi="Times New Roman"/>
                <w:b/>
                <w:sz w:val="18"/>
                <w:szCs w:val="18"/>
              </w:rPr>
              <w:t>1</w:t>
            </w:r>
            <w:r w:rsidR="007C33F6">
              <w:rPr>
                <w:rFonts w:ascii="Times New Roman" w:hAnsi="Times New Roman"/>
                <w:b/>
                <w:sz w:val="18"/>
                <w:szCs w:val="18"/>
              </w:rPr>
              <w:t>2,758</w:t>
            </w:r>
          </w:p>
        </w:tc>
      </w:tr>
      <w:tr w:rsidRPr="00063FBD" w:rsidR="00165A2D" w:rsidTr="00A66D48" w14:paraId="0507DDDA"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063FBD" w:rsidR="00165A2D" w:rsidP="00A66D48" w:rsidRDefault="00165A2D" w14:paraId="0975BE08" w14:textId="77777777">
            <w:pPr>
              <w:ind w:left="720"/>
              <w:rPr>
                <w:rFonts w:ascii="Times New Roman" w:hAnsi="Times New Roman"/>
                <w:sz w:val="18"/>
                <w:szCs w:val="18"/>
              </w:rPr>
            </w:pPr>
            <w:r w:rsidRPr="00063FBD">
              <w:rPr>
                <w:rFonts w:ascii="Times New Roman" w:hAnsi="Times New Roman"/>
                <w:sz w:val="18"/>
                <w:szCs w:val="18"/>
              </w:rPr>
              <w:t xml:space="preserve">Table costs are based on 2018 actuals obtained from IRS Chief Financial </w:t>
            </w:r>
            <w:proofErr w:type="spellStart"/>
            <w:r w:rsidRPr="00063FBD">
              <w:rPr>
                <w:rFonts w:ascii="Times New Roman" w:hAnsi="Times New Roman"/>
                <w:sz w:val="18"/>
                <w:szCs w:val="18"/>
              </w:rPr>
              <w:t>Office</w:t>
            </w:r>
            <w:proofErr w:type="spellEnd"/>
            <w:r w:rsidRPr="00063FBD">
              <w:rPr>
                <w:rFonts w:ascii="Times New Roman" w:hAnsi="Times New Roman"/>
                <w:sz w:val="18"/>
                <w:szCs w:val="18"/>
              </w:rPr>
              <w:t xml:space="preserve"> and Media and Publications</w:t>
            </w:r>
          </w:p>
        </w:tc>
      </w:tr>
      <w:tr w:rsidRPr="00063FBD" w:rsidR="00165A2D" w:rsidTr="00A66D48" w14:paraId="58534108"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063FBD" w:rsidR="00165A2D" w:rsidP="00A66D48" w:rsidRDefault="00165A2D" w14:paraId="19D6965E" w14:textId="77777777">
            <w:pPr>
              <w:ind w:left="720"/>
              <w:rPr>
                <w:rFonts w:ascii="Times New Roman" w:hAnsi="Times New Roman"/>
                <w:sz w:val="18"/>
                <w:szCs w:val="18"/>
              </w:rPr>
            </w:pPr>
            <w:r w:rsidRPr="00063FBD">
              <w:rPr>
                <w:rFonts w:ascii="Times New Roman" w:hAnsi="Times New Roman"/>
                <w:sz w:val="18"/>
                <w:szCs w:val="18"/>
              </w:rPr>
              <w:lastRenderedPageBreak/>
              <w:t xml:space="preserve">* New product costs will be included in the next collection update. </w:t>
            </w:r>
          </w:p>
        </w:tc>
      </w:tr>
    </w:tbl>
    <w:p w:rsidRPr="00597B4F" w:rsidR="00FE5EB2" w:rsidRDefault="00FE5EB2" w14:paraId="0CF2A22E" w14:textId="77777777">
      <w:pPr>
        <w:rPr>
          <w:rFonts w:ascii="Times New Roman" w:hAnsi="Times New Roman" w:cs="Times New Roman"/>
          <w:sz w:val="24"/>
          <w:szCs w:val="24"/>
        </w:rPr>
      </w:pPr>
    </w:p>
    <w:p w:rsidRPr="00597B4F" w:rsidR="00FE5EB2" w:rsidRDefault="00FE5EB2" w14:paraId="5344831F"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15.</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REASONS FOR CHANGE IN BURDEN</w:t>
      </w:r>
    </w:p>
    <w:p w:rsidRPr="00597B4F" w:rsidR="00FE5EB2" w:rsidRDefault="00FE5EB2" w14:paraId="06670FE3" w14:textId="77777777">
      <w:pPr>
        <w:ind w:left="720" w:hanging="720"/>
        <w:rPr>
          <w:rFonts w:ascii="Times New Roman" w:hAnsi="Times New Roman" w:cs="Times New Roman"/>
          <w:sz w:val="24"/>
          <w:szCs w:val="24"/>
        </w:rPr>
      </w:pPr>
      <w:r w:rsidRPr="00597B4F">
        <w:rPr>
          <w:rFonts w:ascii="Times New Roman" w:hAnsi="Times New Roman" w:cs="Times New Roman"/>
          <w:sz w:val="24"/>
          <w:szCs w:val="24"/>
        </w:rPr>
        <w:t xml:space="preserve">    </w:t>
      </w:r>
    </w:p>
    <w:p w:rsidRPr="00597B4F" w:rsidR="0022263C" w:rsidP="0022263C" w:rsidRDefault="00165A2D" w14:paraId="3AD91FDA" w14:textId="77777777">
      <w:pPr>
        <w:ind w:left="720"/>
        <w:rPr>
          <w:rFonts w:ascii="Times New Roman" w:hAnsi="Times New Roman" w:cs="Times New Roman"/>
          <w:sz w:val="24"/>
          <w:szCs w:val="24"/>
        </w:rPr>
      </w:pPr>
      <w:r w:rsidRPr="00165A2D">
        <w:rPr>
          <w:rFonts w:ascii="Times New Roman" w:hAnsi="Times New Roman" w:cs="Times New Roman"/>
          <w:sz w:val="24"/>
          <w:szCs w:val="24"/>
        </w:rPr>
        <w:t>There is no change in the paperwork burden previously approved by OMB.  We are making this submission to renew the OMB approval</w:t>
      </w:r>
      <w:r w:rsidRPr="00597B4F" w:rsidR="0022263C">
        <w:rPr>
          <w:rFonts w:ascii="Times New Roman" w:hAnsi="Times New Roman" w:cs="Times New Roman"/>
          <w:sz w:val="24"/>
          <w:szCs w:val="24"/>
        </w:rPr>
        <w:t xml:space="preserve">. </w:t>
      </w:r>
    </w:p>
    <w:p w:rsidRPr="00597B4F" w:rsidR="00FE5EB2" w:rsidP="0022263C" w:rsidRDefault="00FE5EB2" w14:paraId="36A7C45D"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         </w:t>
      </w:r>
    </w:p>
    <w:p w:rsidRPr="00597B4F" w:rsidR="00FE5EB2" w:rsidRDefault="00FE5EB2" w14:paraId="5D24F947"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16.</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PLANS FOR TABULATION, STATISTICAL ANALYSIS AND PUBLICATION</w:t>
      </w:r>
    </w:p>
    <w:p w:rsidRPr="00597B4F" w:rsidR="00FE5EB2" w:rsidRDefault="00FE5EB2" w14:paraId="6E7BFC4C" w14:textId="77777777">
      <w:pPr>
        <w:rPr>
          <w:rFonts w:ascii="Times New Roman" w:hAnsi="Times New Roman" w:cs="Times New Roman"/>
          <w:sz w:val="24"/>
          <w:szCs w:val="24"/>
        </w:rPr>
      </w:pPr>
    </w:p>
    <w:p w:rsidRPr="00597B4F" w:rsidR="00FE5EB2" w:rsidP="00054A70" w:rsidRDefault="00054A70" w14:paraId="258AD1D8" w14:textId="77777777">
      <w:pPr>
        <w:ind w:firstLine="720"/>
        <w:rPr>
          <w:rFonts w:ascii="Times New Roman" w:hAnsi="Times New Roman" w:cs="Times New Roman"/>
          <w:sz w:val="24"/>
          <w:szCs w:val="24"/>
        </w:rPr>
      </w:pPr>
      <w:r w:rsidRPr="00597B4F">
        <w:rPr>
          <w:rFonts w:ascii="Times New Roman" w:hAnsi="Times New Roman" w:cs="Times New Roman"/>
          <w:sz w:val="24"/>
          <w:szCs w:val="24"/>
        </w:rPr>
        <w:t>There are no plans for tabulation, statistical analysis, and publication.</w:t>
      </w:r>
    </w:p>
    <w:p w:rsidRPr="00597B4F" w:rsidR="00054A70" w:rsidP="00054A70" w:rsidRDefault="00054A70" w14:paraId="59A1040A" w14:textId="77777777">
      <w:pPr>
        <w:ind w:firstLine="720"/>
        <w:rPr>
          <w:rFonts w:ascii="Times New Roman" w:hAnsi="Times New Roman" w:cs="Times New Roman"/>
          <w:sz w:val="24"/>
          <w:szCs w:val="24"/>
        </w:rPr>
      </w:pPr>
    </w:p>
    <w:p w:rsidRPr="00597B4F" w:rsidR="00FE5EB2" w:rsidRDefault="00FE5EB2" w14:paraId="1124D2CC" w14:textId="77777777">
      <w:pPr>
        <w:tabs>
          <w:tab w:val="left" w:pos="720"/>
        </w:tabs>
        <w:ind w:left="720" w:hanging="720"/>
        <w:rPr>
          <w:rFonts w:ascii="Times New Roman" w:hAnsi="Times New Roman" w:cs="Times New Roman"/>
          <w:sz w:val="24"/>
          <w:szCs w:val="24"/>
        </w:rPr>
      </w:pPr>
      <w:r w:rsidRPr="00597B4F">
        <w:rPr>
          <w:rFonts w:ascii="Times New Roman" w:hAnsi="Times New Roman" w:cs="Times New Roman"/>
          <w:sz w:val="24"/>
          <w:szCs w:val="24"/>
        </w:rPr>
        <w:t>17.</w:t>
      </w:r>
      <w:r w:rsidRPr="00597B4F">
        <w:rPr>
          <w:rFonts w:ascii="Times New Roman" w:hAnsi="Times New Roman" w:cs="Times New Roman"/>
          <w:sz w:val="24"/>
          <w:szCs w:val="24"/>
        </w:rPr>
        <w:tab/>
      </w:r>
      <w:r w:rsidRPr="00597B4F">
        <w:rPr>
          <w:rFonts w:ascii="Times New Roman" w:hAnsi="Times New Roman" w:cs="Times New Roman"/>
          <w:sz w:val="24"/>
          <w:szCs w:val="24"/>
          <w:u w:val="single"/>
        </w:rPr>
        <w:t>REASONS WHY DISPLAYING THE OMB EXPIRATION DATE IS</w:t>
      </w:r>
      <w:r w:rsidRPr="00597B4F">
        <w:rPr>
          <w:rFonts w:ascii="Times New Roman" w:hAnsi="Times New Roman" w:cs="Times New Roman"/>
          <w:sz w:val="24"/>
          <w:szCs w:val="24"/>
        </w:rPr>
        <w:t xml:space="preserve">      </w:t>
      </w:r>
      <w:r w:rsidRPr="00597B4F">
        <w:rPr>
          <w:rFonts w:ascii="Times New Roman" w:hAnsi="Times New Roman" w:cs="Times New Roman"/>
          <w:sz w:val="24"/>
          <w:szCs w:val="24"/>
          <w:u w:val="single"/>
        </w:rPr>
        <w:t>INAPPROPRIATE</w:t>
      </w:r>
    </w:p>
    <w:p w:rsidRPr="00597B4F" w:rsidR="00FE5EB2" w:rsidRDefault="00FE5EB2" w14:paraId="4CB78372" w14:textId="77777777">
      <w:pPr>
        <w:rPr>
          <w:rFonts w:ascii="Times New Roman" w:hAnsi="Times New Roman" w:cs="Times New Roman"/>
          <w:sz w:val="24"/>
          <w:szCs w:val="24"/>
        </w:rPr>
      </w:pPr>
    </w:p>
    <w:p w:rsidRPr="00597B4F" w:rsidR="00FE5EB2" w:rsidP="00054A70" w:rsidRDefault="00054A70" w14:paraId="373A941E" w14:textId="77777777">
      <w:pPr>
        <w:ind w:left="720"/>
        <w:rPr>
          <w:rFonts w:ascii="Times New Roman" w:hAnsi="Times New Roman" w:cs="Times New Roman"/>
          <w:sz w:val="24"/>
          <w:szCs w:val="24"/>
        </w:rPr>
      </w:pPr>
      <w:r w:rsidRPr="00597B4F">
        <w:rPr>
          <w:rFonts w:ascii="Times New Roman" w:hAnsi="Times New Roman" w:cs="Times New Roman"/>
          <w:sz w:val="24"/>
          <w:szCs w:val="24"/>
        </w:rPr>
        <w:t xml:space="preserve">We believe that displaying the OMB expiration date is inappropriate because it could cause confusion by leading taxpayers to believe that the </w:t>
      </w:r>
      <w:r w:rsidRPr="00597B4F" w:rsidR="002D29DA">
        <w:rPr>
          <w:rFonts w:ascii="Times New Roman" w:hAnsi="Times New Roman" w:cs="Times New Roman"/>
          <w:sz w:val="24"/>
          <w:szCs w:val="24"/>
        </w:rPr>
        <w:t>form</w:t>
      </w:r>
      <w:r w:rsidRPr="00597B4F">
        <w:rPr>
          <w:rFonts w:ascii="Times New Roman" w:hAnsi="Times New Roman" w:cs="Times New Roman"/>
          <w:sz w:val="24"/>
          <w:szCs w:val="24"/>
        </w:rPr>
        <w:t xml:space="preserve"> sunset</w:t>
      </w:r>
      <w:r w:rsidRPr="00597B4F" w:rsidR="002D29DA">
        <w:rPr>
          <w:rFonts w:ascii="Times New Roman" w:hAnsi="Times New Roman" w:cs="Times New Roman"/>
          <w:sz w:val="24"/>
          <w:szCs w:val="24"/>
        </w:rPr>
        <w:t>s</w:t>
      </w:r>
      <w:r w:rsidRPr="00597B4F">
        <w:rPr>
          <w:rFonts w:ascii="Times New Roman" w:hAnsi="Times New Roman" w:cs="Times New Roman"/>
          <w:sz w:val="24"/>
          <w:szCs w:val="24"/>
        </w:rPr>
        <w:t xml:space="preserve"> as of the expiration date.  Taxpayers are not likely to be aware that the Service intends to request renewal of the OMB approval and obtain a new expiration date before the old one expires.</w:t>
      </w:r>
    </w:p>
    <w:p w:rsidRPr="00597B4F" w:rsidR="00FE5EB2" w:rsidRDefault="00FE5EB2" w14:paraId="5D51055C" w14:textId="77777777">
      <w:pPr>
        <w:rPr>
          <w:rFonts w:ascii="Times New Roman" w:hAnsi="Times New Roman" w:cs="Times New Roman"/>
          <w:sz w:val="24"/>
          <w:szCs w:val="24"/>
        </w:rPr>
      </w:pPr>
    </w:p>
    <w:p w:rsidRPr="00597B4F" w:rsidR="00FE5EB2" w:rsidRDefault="00FE5EB2" w14:paraId="084778AF" w14:textId="77777777">
      <w:pPr>
        <w:rPr>
          <w:rFonts w:ascii="Times New Roman" w:hAnsi="Times New Roman" w:cs="Times New Roman"/>
          <w:sz w:val="24"/>
          <w:szCs w:val="24"/>
        </w:rPr>
      </w:pPr>
      <w:r w:rsidRPr="00597B4F">
        <w:rPr>
          <w:rFonts w:ascii="Times New Roman" w:hAnsi="Times New Roman" w:cs="Times New Roman"/>
          <w:sz w:val="24"/>
          <w:szCs w:val="24"/>
        </w:rPr>
        <w:t>18.</w:t>
      </w:r>
      <w:r w:rsidRPr="00597B4F">
        <w:rPr>
          <w:rFonts w:ascii="Times New Roman" w:hAnsi="Times New Roman" w:cs="Times New Roman"/>
          <w:sz w:val="24"/>
          <w:szCs w:val="24"/>
        </w:rPr>
        <w:tab/>
        <w:t xml:space="preserve"> </w:t>
      </w:r>
      <w:r w:rsidRPr="00597B4F">
        <w:rPr>
          <w:rFonts w:ascii="Times New Roman" w:hAnsi="Times New Roman" w:cs="Times New Roman"/>
          <w:sz w:val="24"/>
          <w:szCs w:val="24"/>
          <w:u w:val="single"/>
        </w:rPr>
        <w:t>EXCEPTIONS TO THE CERTIFICATION STATEMENT ON OMB FORM 83-I</w:t>
      </w:r>
    </w:p>
    <w:p w:rsidRPr="00597B4F" w:rsidR="00FE5EB2" w:rsidRDefault="00FE5EB2" w14:paraId="38ED9862" w14:textId="77777777">
      <w:pPr>
        <w:rPr>
          <w:rFonts w:ascii="Times New Roman" w:hAnsi="Times New Roman" w:cs="Times New Roman"/>
          <w:sz w:val="24"/>
          <w:szCs w:val="24"/>
        </w:rPr>
      </w:pPr>
    </w:p>
    <w:p w:rsidRPr="00597B4F" w:rsidR="00FE5EB2" w:rsidRDefault="00FE5EB2" w14:paraId="0DFBB408" w14:textId="77777777">
      <w:pPr>
        <w:rPr>
          <w:rFonts w:ascii="Times New Roman" w:hAnsi="Times New Roman" w:cs="Times New Roman"/>
          <w:sz w:val="24"/>
          <w:szCs w:val="24"/>
        </w:rPr>
      </w:pPr>
      <w:r w:rsidRPr="00597B4F">
        <w:rPr>
          <w:rFonts w:ascii="Times New Roman" w:hAnsi="Times New Roman" w:cs="Times New Roman"/>
          <w:sz w:val="24"/>
          <w:szCs w:val="24"/>
        </w:rPr>
        <w:t xml:space="preserve">    </w:t>
      </w:r>
      <w:r w:rsidRPr="00597B4F">
        <w:rPr>
          <w:rFonts w:ascii="Times New Roman" w:hAnsi="Times New Roman" w:cs="Times New Roman"/>
          <w:sz w:val="24"/>
          <w:szCs w:val="24"/>
        </w:rPr>
        <w:tab/>
        <w:t xml:space="preserve"> </w:t>
      </w:r>
      <w:r w:rsidRPr="00597B4F" w:rsidR="00054A70">
        <w:rPr>
          <w:rFonts w:ascii="Times New Roman" w:hAnsi="Times New Roman" w:cs="Times New Roman"/>
          <w:sz w:val="24"/>
          <w:szCs w:val="24"/>
        </w:rPr>
        <w:t>There are no exceptions to the certification statement</w:t>
      </w:r>
      <w:r w:rsidRPr="00597B4F">
        <w:rPr>
          <w:rFonts w:ascii="Times New Roman" w:hAnsi="Times New Roman" w:cs="Times New Roman"/>
          <w:sz w:val="24"/>
          <w:szCs w:val="24"/>
        </w:rPr>
        <w:t xml:space="preserve">. </w:t>
      </w:r>
    </w:p>
    <w:p w:rsidRPr="00597B4F" w:rsidR="00FE5EB2" w:rsidRDefault="00FE5EB2" w14:paraId="0C3654E0" w14:textId="77777777">
      <w:pPr>
        <w:rPr>
          <w:rFonts w:ascii="Times New Roman" w:hAnsi="Times New Roman" w:cs="Times New Roman"/>
          <w:sz w:val="24"/>
          <w:szCs w:val="24"/>
        </w:rPr>
      </w:pPr>
    </w:p>
    <w:p w:rsidRPr="00597B4F" w:rsidR="00FE5EB2" w:rsidRDefault="00FE5EB2" w14:paraId="1B62D12C" w14:textId="77777777">
      <w:pPr>
        <w:rPr>
          <w:rFonts w:ascii="Times New Roman" w:hAnsi="Times New Roman" w:cs="Times New Roman"/>
          <w:sz w:val="24"/>
          <w:szCs w:val="24"/>
        </w:rPr>
      </w:pPr>
      <w:r w:rsidRPr="00597B4F">
        <w:rPr>
          <w:rFonts w:ascii="Times New Roman" w:hAnsi="Times New Roman" w:cs="Times New Roman"/>
          <w:sz w:val="24"/>
          <w:szCs w:val="24"/>
          <w:u w:val="single"/>
        </w:rPr>
        <w:t>Note:</w:t>
      </w:r>
      <w:r w:rsidRPr="00597B4F">
        <w:rPr>
          <w:rFonts w:ascii="Times New Roman" w:hAnsi="Times New Roman" w:cs="Times New Roman"/>
          <w:sz w:val="24"/>
          <w:szCs w:val="24"/>
        </w:rPr>
        <w:t xml:space="preserve">  The following paragraph applies to all of the collections of information in this submission:</w:t>
      </w:r>
    </w:p>
    <w:p w:rsidRPr="00597B4F" w:rsidR="00FE5EB2" w:rsidRDefault="00FE5EB2" w14:paraId="38FF3683" w14:textId="77777777">
      <w:pPr>
        <w:rPr>
          <w:rFonts w:ascii="Times New Roman" w:hAnsi="Times New Roman" w:cs="Times New Roman"/>
          <w:sz w:val="24"/>
          <w:szCs w:val="24"/>
        </w:rPr>
      </w:pPr>
    </w:p>
    <w:p w:rsidRPr="00597B4F" w:rsidR="00FE5EB2" w:rsidRDefault="00FE5EB2" w14:paraId="31DB1BE7" w14:textId="77777777">
      <w:pPr>
        <w:rPr>
          <w:rFonts w:ascii="Times New Roman" w:hAnsi="Times New Roman" w:cs="Times New Roman"/>
          <w:sz w:val="24"/>
          <w:szCs w:val="24"/>
        </w:rPr>
      </w:pPr>
      <w:r w:rsidRPr="00597B4F">
        <w:rPr>
          <w:rFonts w:ascii="Times New Roman" w:hAnsi="Times New Roman" w:cs="Times New Roman"/>
          <w:sz w:val="24"/>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597B4F">
        <w:rPr>
          <w:rFonts w:ascii="Times New Roman" w:hAnsi="Times New Roman" w:cs="Times New Roman"/>
          <w:sz w:val="24"/>
          <w:szCs w:val="24"/>
        </w:rPr>
        <w:tab/>
        <w:t xml:space="preserve">  </w:t>
      </w:r>
    </w:p>
    <w:sectPr w:rsidRPr="00597B4F" w:rsidR="00FE5EB2" w:rsidSect="00597B4F">
      <w:headerReference w:type="even" r:id="rId7"/>
      <w:headerReference w:type="default" r:id="rId8"/>
      <w:footerReference w:type="even" r:id="rId9"/>
      <w:footerReference w:type="default" r:id="rId10"/>
      <w:headerReference w:type="first" r:id="rId11"/>
      <w:footerReference w:type="first" r:id="rId12"/>
      <w:type w:val="continuous"/>
      <w:pgSz w:w="12240" w:h="15840"/>
      <w:pgMar w:top="1368" w:right="1368" w:bottom="2520" w:left="135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E391A" w14:textId="77777777" w:rsidR="006D0264" w:rsidRDefault="006D0264">
      <w:r>
        <w:separator/>
      </w:r>
    </w:p>
  </w:endnote>
  <w:endnote w:type="continuationSeparator" w:id="0">
    <w:p w14:paraId="6013A939" w14:textId="77777777" w:rsidR="006D0264" w:rsidRDefault="006D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AC980" w14:textId="77777777" w:rsidR="005B4393" w:rsidRDefault="005B4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11B1" w14:textId="77777777" w:rsidR="005B4393" w:rsidRDefault="005B4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6CAD" w14:textId="77777777" w:rsidR="005B4393" w:rsidRDefault="005B4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47D0" w14:textId="77777777" w:rsidR="006D0264" w:rsidRDefault="006D0264">
      <w:r>
        <w:separator/>
      </w:r>
    </w:p>
  </w:footnote>
  <w:footnote w:type="continuationSeparator" w:id="0">
    <w:p w14:paraId="0BBF5801" w14:textId="77777777" w:rsidR="006D0264" w:rsidRDefault="006D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323F" w14:textId="77777777" w:rsidR="005B4393" w:rsidRDefault="005B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DB73" w14:textId="77777777" w:rsidR="00440AEB" w:rsidRDefault="00440A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BA5A" w14:textId="77777777" w:rsidR="005B4393" w:rsidRDefault="005B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B2"/>
    <w:rsid w:val="0004355F"/>
    <w:rsid w:val="00054A70"/>
    <w:rsid w:val="00072623"/>
    <w:rsid w:val="000D21C9"/>
    <w:rsid w:val="000D2B47"/>
    <w:rsid w:val="00135E57"/>
    <w:rsid w:val="00165A2D"/>
    <w:rsid w:val="001739BA"/>
    <w:rsid w:val="00174353"/>
    <w:rsid w:val="00175133"/>
    <w:rsid w:val="001761C2"/>
    <w:rsid w:val="001F6AB3"/>
    <w:rsid w:val="00202408"/>
    <w:rsid w:val="00204259"/>
    <w:rsid w:val="00204E2B"/>
    <w:rsid w:val="0022263C"/>
    <w:rsid w:val="00230113"/>
    <w:rsid w:val="002B2DF0"/>
    <w:rsid w:val="002B4910"/>
    <w:rsid w:val="002D29DA"/>
    <w:rsid w:val="00317C5A"/>
    <w:rsid w:val="00323319"/>
    <w:rsid w:val="00334EDA"/>
    <w:rsid w:val="00365E67"/>
    <w:rsid w:val="0038401D"/>
    <w:rsid w:val="00390862"/>
    <w:rsid w:val="003B4187"/>
    <w:rsid w:val="00404BD2"/>
    <w:rsid w:val="004054E3"/>
    <w:rsid w:val="00435556"/>
    <w:rsid w:val="00440AEB"/>
    <w:rsid w:val="004B6714"/>
    <w:rsid w:val="004D4283"/>
    <w:rsid w:val="0050714F"/>
    <w:rsid w:val="00510CD2"/>
    <w:rsid w:val="00597B4F"/>
    <w:rsid w:val="005B4393"/>
    <w:rsid w:val="005D40A7"/>
    <w:rsid w:val="005E3AFD"/>
    <w:rsid w:val="00694562"/>
    <w:rsid w:val="006A1B95"/>
    <w:rsid w:val="006B0D63"/>
    <w:rsid w:val="006C5922"/>
    <w:rsid w:val="006D0264"/>
    <w:rsid w:val="006F64EB"/>
    <w:rsid w:val="00715BF8"/>
    <w:rsid w:val="007326B7"/>
    <w:rsid w:val="0073432B"/>
    <w:rsid w:val="00741F3F"/>
    <w:rsid w:val="00764887"/>
    <w:rsid w:val="007C33F6"/>
    <w:rsid w:val="00816B18"/>
    <w:rsid w:val="008200CF"/>
    <w:rsid w:val="00885805"/>
    <w:rsid w:val="008A036D"/>
    <w:rsid w:val="008C6E10"/>
    <w:rsid w:val="008D7060"/>
    <w:rsid w:val="00907022"/>
    <w:rsid w:val="009112EF"/>
    <w:rsid w:val="009A3A31"/>
    <w:rsid w:val="009A5C60"/>
    <w:rsid w:val="009D325D"/>
    <w:rsid w:val="009F2C37"/>
    <w:rsid w:val="00A37559"/>
    <w:rsid w:val="00A6034F"/>
    <w:rsid w:val="00A66D48"/>
    <w:rsid w:val="00A94A35"/>
    <w:rsid w:val="00AD19E8"/>
    <w:rsid w:val="00B275C5"/>
    <w:rsid w:val="00B54740"/>
    <w:rsid w:val="00B813FC"/>
    <w:rsid w:val="00BB0347"/>
    <w:rsid w:val="00BB416D"/>
    <w:rsid w:val="00BC5136"/>
    <w:rsid w:val="00C86BBC"/>
    <w:rsid w:val="00CF14CB"/>
    <w:rsid w:val="00D13E7D"/>
    <w:rsid w:val="00D80120"/>
    <w:rsid w:val="00D83C2B"/>
    <w:rsid w:val="00DC35A9"/>
    <w:rsid w:val="00E55850"/>
    <w:rsid w:val="00F4198A"/>
    <w:rsid w:val="00F675CC"/>
    <w:rsid w:val="00F766E8"/>
    <w:rsid w:val="00F85B7A"/>
    <w:rsid w:val="00FA12F3"/>
    <w:rsid w:val="00FC5EEF"/>
    <w:rsid w:val="00FE4FC0"/>
    <w:rsid w:val="00FE5EB2"/>
    <w:rsid w:val="00FE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679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Roman 10cpi" w:hAnsi="Roman 10cpi" w:cs="Roman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link w:val="HeaderChar"/>
    <w:rsid w:val="00440AEB"/>
    <w:pPr>
      <w:tabs>
        <w:tab w:val="center" w:pos="4680"/>
        <w:tab w:val="right" w:pos="9360"/>
      </w:tabs>
    </w:pPr>
  </w:style>
  <w:style w:type="character" w:customStyle="1" w:styleId="HeaderChar">
    <w:name w:val="Header Char"/>
    <w:link w:val="Header"/>
    <w:rsid w:val="00440AEB"/>
    <w:rPr>
      <w:rFonts w:ascii="Roman 10cpi" w:hAnsi="Roman 10cpi" w:cs="Roman 10cpi"/>
    </w:rPr>
  </w:style>
  <w:style w:type="paragraph" w:styleId="BalloonText">
    <w:name w:val="Balloon Text"/>
    <w:basedOn w:val="Normal"/>
    <w:link w:val="BalloonTextChar"/>
    <w:rsid w:val="00440AEB"/>
    <w:rPr>
      <w:rFonts w:ascii="Tahoma" w:hAnsi="Tahoma" w:cs="Tahoma"/>
      <w:sz w:val="16"/>
      <w:szCs w:val="16"/>
    </w:rPr>
  </w:style>
  <w:style w:type="character" w:customStyle="1" w:styleId="BalloonTextChar">
    <w:name w:val="Balloon Text Char"/>
    <w:link w:val="BalloonText"/>
    <w:rsid w:val="00440AEB"/>
    <w:rPr>
      <w:rFonts w:ascii="Tahoma" w:hAnsi="Tahoma" w:cs="Tahoma"/>
      <w:sz w:val="16"/>
      <w:szCs w:val="16"/>
    </w:rPr>
  </w:style>
  <w:style w:type="character" w:styleId="Hyperlink">
    <w:name w:val="Hyperlink"/>
    <w:uiPriority w:val="99"/>
    <w:unhideWhenUsed/>
    <w:rsid w:val="00175133"/>
    <w:rPr>
      <w:color w:val="0000FF"/>
      <w:u w:val="single"/>
    </w:rPr>
  </w:style>
  <w:style w:type="paragraph" w:customStyle="1" w:styleId="Default">
    <w:name w:val="Default"/>
    <w:rsid w:val="00175133"/>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597B4F"/>
    <w:rPr>
      <w:color w:val="605E5C"/>
      <w:shd w:val="clear" w:color="auto" w:fill="E1DFDD"/>
    </w:rPr>
  </w:style>
  <w:style w:type="character" w:styleId="CommentReference">
    <w:name w:val="annotation reference"/>
    <w:basedOn w:val="DefaultParagraphFont"/>
    <w:rsid w:val="00DC35A9"/>
    <w:rPr>
      <w:sz w:val="16"/>
      <w:szCs w:val="16"/>
    </w:rPr>
  </w:style>
  <w:style w:type="paragraph" w:styleId="CommentText">
    <w:name w:val="annotation text"/>
    <w:basedOn w:val="Normal"/>
    <w:link w:val="CommentTextChar"/>
    <w:rsid w:val="00DC35A9"/>
  </w:style>
  <w:style w:type="character" w:customStyle="1" w:styleId="CommentTextChar">
    <w:name w:val="Comment Text Char"/>
    <w:basedOn w:val="DefaultParagraphFont"/>
    <w:link w:val="CommentText"/>
    <w:rsid w:val="00DC35A9"/>
    <w:rPr>
      <w:rFonts w:ascii="Roman 10cpi" w:hAnsi="Roman 10cpi" w:cs="Roman 10cpi"/>
    </w:rPr>
  </w:style>
  <w:style w:type="paragraph" w:styleId="CommentSubject">
    <w:name w:val="annotation subject"/>
    <w:basedOn w:val="CommentText"/>
    <w:next w:val="CommentText"/>
    <w:link w:val="CommentSubjectChar"/>
    <w:rsid w:val="00DC35A9"/>
    <w:rPr>
      <w:b/>
      <w:bCs/>
    </w:rPr>
  </w:style>
  <w:style w:type="character" w:customStyle="1" w:styleId="CommentSubjectChar">
    <w:name w:val="Comment Subject Char"/>
    <w:basedOn w:val="CommentTextChar"/>
    <w:link w:val="CommentSubject"/>
    <w:rsid w:val="00DC35A9"/>
    <w:rPr>
      <w:rFonts w:ascii="Roman 10cpi" w:hAnsi="Roman 10cpi" w:cs="Roman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7315">
      <w:bodyDiv w:val="1"/>
      <w:marLeft w:val="0"/>
      <w:marRight w:val="0"/>
      <w:marTop w:val="0"/>
      <w:marBottom w:val="0"/>
      <w:divBdr>
        <w:top w:val="none" w:sz="0" w:space="0" w:color="auto"/>
        <w:left w:val="none" w:sz="0" w:space="0" w:color="auto"/>
        <w:bottom w:val="none" w:sz="0" w:space="0" w:color="auto"/>
        <w:right w:val="none" w:sz="0" w:space="0" w:color="auto"/>
      </w:divBdr>
    </w:div>
    <w:div w:id="1841193078">
      <w:bodyDiv w:val="1"/>
      <w:marLeft w:val="0"/>
      <w:marRight w:val="0"/>
      <w:marTop w:val="0"/>
      <w:marBottom w:val="0"/>
      <w:divBdr>
        <w:top w:val="none" w:sz="0" w:space="0" w:color="auto"/>
        <w:left w:val="none" w:sz="0" w:space="0" w:color="auto"/>
        <w:bottom w:val="none" w:sz="0" w:space="0" w:color="auto"/>
        <w:right w:val="none" w:sz="0" w:space="0" w:color="auto"/>
      </w:divBdr>
    </w:div>
    <w:div w:id="18840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s.gov/uac/Privacy-Impact-Assessments-PI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2020-10-29T00:22:00Z</dcterms:created>
  <dcterms:modified xsi:type="dcterms:W3CDTF">2020-10-29T18:37:00Z</dcterms:modified>
</cp:coreProperties>
</file>