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D57" w:rsidP="003D1DC9" w:rsidRDefault="00B76D57">
      <w:pPr>
        <w:rPr>
          <w:rFonts w:eastAsia="Calibri"/>
          <w:spacing w:val="-1"/>
        </w:rPr>
      </w:pPr>
    </w:p>
    <w:p w:rsidRPr="00625B80" w:rsidR="00A840B4" w:rsidP="00A840B4" w:rsidRDefault="00A840B4">
      <w:pPr>
        <w:rPr>
          <w:rFonts w:ascii="Calibri" w:hAnsi="Calibri" w:cs="Calibri"/>
          <w:color w:val="000000"/>
        </w:rPr>
      </w:pPr>
      <w:r w:rsidRPr="00625B80">
        <w:rPr>
          <w:rFonts w:ascii="Calibri" w:hAnsi="Calibri" w:cs="Calibri"/>
          <w:color w:val="000000"/>
        </w:rPr>
        <w:t xml:space="preserve">To: </w:t>
      </w:r>
      <w:r w:rsidRPr="00625B80">
        <w:rPr>
          <w:rFonts w:ascii="Calibri" w:hAnsi="Calibri" w:cs="Calibri"/>
          <w:color w:val="000000"/>
        </w:rPr>
        <w:tab/>
      </w:r>
      <w:r>
        <w:rPr>
          <w:rFonts w:ascii="Calibri" w:hAnsi="Calibri" w:cs="Calibri"/>
          <w:color w:val="000000"/>
        </w:rPr>
        <w:tab/>
        <w:t>Julie Wise</w:t>
      </w:r>
    </w:p>
    <w:p w:rsidR="00A840B4" w:rsidP="00A840B4" w:rsidRDefault="00A840B4">
      <w:pPr>
        <w:rPr>
          <w:rFonts w:ascii="Calibri" w:hAnsi="Calibri" w:cs="Calibri"/>
          <w:color w:val="000000"/>
        </w:rPr>
      </w:pPr>
      <w:r>
        <w:rPr>
          <w:rFonts w:ascii="Calibri" w:hAnsi="Calibri" w:cs="Calibri"/>
          <w:color w:val="000000"/>
        </w:rPr>
        <w:tab/>
      </w:r>
      <w:r>
        <w:rPr>
          <w:rFonts w:ascii="Calibri" w:hAnsi="Calibri" w:cs="Calibri"/>
          <w:color w:val="000000"/>
        </w:rPr>
        <w:tab/>
      </w:r>
      <w:r w:rsidRPr="00A840B4">
        <w:rPr>
          <w:rFonts w:ascii="Calibri" w:hAnsi="Calibri" w:cs="Calibri"/>
          <w:color w:val="000000"/>
        </w:rPr>
        <w:t>Office of Information and Regulatory Affairs</w:t>
      </w:r>
    </w:p>
    <w:p w:rsidR="00A840B4" w:rsidP="00A840B4" w:rsidRDefault="00A840B4">
      <w:pPr>
        <w:rPr>
          <w:rFonts w:ascii="Calibri" w:hAnsi="Calibri" w:cs="Calibri"/>
          <w:color w:val="000000"/>
        </w:rPr>
      </w:pPr>
    </w:p>
    <w:p w:rsidR="00A840B4" w:rsidP="00A840B4" w:rsidRDefault="00A840B4">
      <w:pPr>
        <w:rPr>
          <w:rFonts w:ascii="Calibri" w:hAnsi="Calibri" w:cs="Calibri"/>
          <w:color w:val="000000"/>
        </w:rPr>
      </w:pPr>
      <w:r w:rsidRPr="00625B80">
        <w:rPr>
          <w:rFonts w:ascii="Calibri" w:hAnsi="Calibri" w:cs="Calibri"/>
          <w:color w:val="000000"/>
        </w:rPr>
        <w:t>Through:</w:t>
      </w:r>
      <w:r w:rsidRPr="00625B80">
        <w:rPr>
          <w:rFonts w:ascii="Calibri" w:hAnsi="Calibri" w:cs="Calibri"/>
          <w:color w:val="000000"/>
        </w:rPr>
        <w:tab/>
      </w:r>
      <w:r>
        <w:rPr>
          <w:rFonts w:ascii="Calibri" w:hAnsi="Calibri" w:cs="Calibri"/>
          <w:color w:val="000000"/>
        </w:rPr>
        <w:t>Tomakie Washington</w:t>
      </w:r>
      <w:r w:rsidRPr="00625B80">
        <w:rPr>
          <w:rFonts w:ascii="Calibri" w:hAnsi="Calibri" w:cs="Calibri"/>
          <w:color w:val="000000"/>
        </w:rPr>
        <w:t xml:space="preserve"> </w:t>
      </w:r>
    </w:p>
    <w:p w:rsidRPr="00625B80" w:rsidR="00A840B4" w:rsidP="00A840B4" w:rsidRDefault="00A840B4">
      <w:pPr>
        <w:ind w:left="720" w:firstLine="720"/>
        <w:rPr>
          <w:rFonts w:ascii="Calibri" w:hAnsi="Calibri" w:cs="Calibri"/>
          <w:color w:val="000000"/>
        </w:rPr>
      </w:pPr>
      <w:r w:rsidRPr="00625B80">
        <w:rPr>
          <w:rFonts w:ascii="Calibri" w:hAnsi="Calibri" w:cs="Calibri"/>
          <w:color w:val="000000"/>
        </w:rPr>
        <w:t>ACL</w:t>
      </w:r>
      <w:r>
        <w:rPr>
          <w:rFonts w:ascii="Calibri" w:hAnsi="Calibri" w:cs="Calibri"/>
          <w:color w:val="000000"/>
        </w:rPr>
        <w:t xml:space="preserve"> PRA Portfolio Manager</w:t>
      </w:r>
    </w:p>
    <w:p w:rsidR="00A840B4" w:rsidP="00A840B4" w:rsidRDefault="00A840B4">
      <w:pPr>
        <w:rPr>
          <w:rFonts w:ascii="Calibri" w:hAnsi="Calibri" w:cs="Calibri"/>
          <w:color w:val="000000"/>
        </w:rPr>
      </w:pPr>
    </w:p>
    <w:p w:rsidRPr="00625B80" w:rsidR="00A840B4" w:rsidP="00A840B4" w:rsidRDefault="00A840B4">
      <w:pPr>
        <w:rPr>
          <w:rFonts w:ascii="Calibri" w:hAnsi="Calibri" w:cs="Calibri"/>
          <w:bCs/>
          <w:color w:val="000000"/>
        </w:rPr>
      </w:pPr>
      <w:r w:rsidRPr="00625B80">
        <w:rPr>
          <w:rFonts w:ascii="Calibri" w:hAnsi="Calibri" w:cs="Calibri"/>
          <w:color w:val="000000"/>
        </w:rPr>
        <w:t xml:space="preserve">From: </w:t>
      </w:r>
      <w:r w:rsidRPr="00625B80">
        <w:rPr>
          <w:rFonts w:ascii="Calibri" w:hAnsi="Calibri" w:cs="Calibri"/>
          <w:color w:val="000000"/>
        </w:rPr>
        <w:tab/>
      </w:r>
      <w:r w:rsidRPr="00625B80">
        <w:rPr>
          <w:rFonts w:ascii="Calibri" w:hAnsi="Calibri" w:cs="Calibri"/>
          <w:color w:val="000000"/>
        </w:rPr>
        <w:tab/>
      </w:r>
      <w:r w:rsidRPr="00625B80">
        <w:rPr>
          <w:rFonts w:ascii="Calibri" w:hAnsi="Calibri" w:cs="Calibri"/>
          <w:bCs/>
          <w:color w:val="000000"/>
        </w:rPr>
        <w:t xml:space="preserve">Corinna H. Stiles, PhD, JD </w:t>
      </w:r>
    </w:p>
    <w:p w:rsidRPr="00625B80" w:rsidR="00A840B4" w:rsidP="00A840B4" w:rsidRDefault="00A840B4">
      <w:pPr>
        <w:ind w:left="1440"/>
        <w:rPr>
          <w:rFonts w:ascii="Calibri" w:hAnsi="Calibri" w:cs="Calibri"/>
          <w:color w:val="000000"/>
        </w:rPr>
      </w:pPr>
      <w:r w:rsidRPr="00625B80">
        <w:rPr>
          <w:rFonts w:ascii="Calibri" w:hAnsi="Calibri" w:cs="Calibri"/>
          <w:bCs/>
          <w:color w:val="000000"/>
        </w:rPr>
        <w:t>Director</w:t>
      </w:r>
      <w:r>
        <w:rPr>
          <w:rFonts w:ascii="Calibri" w:hAnsi="Calibri" w:cs="Calibri"/>
          <w:i/>
          <w:iCs/>
          <w:color w:val="000000"/>
        </w:rPr>
        <w:t xml:space="preserve">, </w:t>
      </w:r>
      <w:r w:rsidRPr="00625B80">
        <w:rPr>
          <w:rFonts w:ascii="Calibri" w:hAnsi="Calibri" w:cs="Calibri"/>
          <w:color w:val="000000"/>
        </w:rPr>
        <w:t>Office of Independent Living Programs</w:t>
      </w:r>
      <w:r>
        <w:rPr>
          <w:rFonts w:ascii="Calibri" w:hAnsi="Calibri" w:cs="Calibri"/>
          <w:color w:val="000000"/>
        </w:rPr>
        <w:t xml:space="preserve"> </w:t>
      </w:r>
      <w:r w:rsidRPr="00625B80">
        <w:rPr>
          <w:rFonts w:ascii="Calibri" w:hAnsi="Calibri" w:cs="Calibri"/>
          <w:color w:val="000000"/>
        </w:rPr>
        <w:t xml:space="preserve">  </w:t>
      </w:r>
    </w:p>
    <w:p w:rsidR="00A840B4" w:rsidP="00A840B4" w:rsidRDefault="00A840B4">
      <w:pPr>
        <w:rPr>
          <w:rFonts w:ascii="Calibri" w:hAnsi="Calibri" w:cs="Calibri"/>
          <w:color w:val="000000"/>
        </w:rPr>
      </w:pPr>
    </w:p>
    <w:p w:rsidR="00A840B4" w:rsidP="00A840B4" w:rsidRDefault="00A840B4">
      <w:pPr>
        <w:ind w:left="1440" w:hanging="1440"/>
        <w:rPr>
          <w:rFonts w:ascii="Calibri" w:hAnsi="Calibri" w:cs="Calibri"/>
          <w:color w:val="000000"/>
        </w:rPr>
      </w:pPr>
      <w:r w:rsidRPr="00625B80">
        <w:rPr>
          <w:rFonts w:ascii="Calibri" w:hAnsi="Calibri" w:cs="Calibri"/>
          <w:color w:val="000000"/>
        </w:rPr>
        <w:t>Re:</w:t>
      </w:r>
      <w:r w:rsidRPr="00625B80">
        <w:rPr>
          <w:rFonts w:ascii="Calibri" w:hAnsi="Calibri" w:cs="Calibri"/>
          <w:color w:val="000000"/>
        </w:rPr>
        <w:tab/>
        <w:t xml:space="preserve">Non-Substantive Modifications to the </w:t>
      </w:r>
      <w:r w:rsidRPr="003415FA">
        <w:rPr>
          <w:rFonts w:ascii="Calibri" w:hAnsi="Calibri" w:cs="Calibri"/>
          <w:color w:val="000000"/>
        </w:rPr>
        <w:t>Centers for Independent Living (CIL) Program Performance Report (PPR)</w:t>
      </w:r>
      <w:r>
        <w:rPr>
          <w:rFonts w:ascii="Calibri" w:hAnsi="Calibri" w:cs="Calibri"/>
          <w:color w:val="000000"/>
        </w:rPr>
        <w:t xml:space="preserve"> 0985-0061 </w:t>
      </w:r>
    </w:p>
    <w:p w:rsidR="00A840B4" w:rsidP="00A840B4" w:rsidRDefault="00A840B4">
      <w:pPr>
        <w:rPr>
          <w:rFonts w:ascii="Calibri" w:hAnsi="Calibri" w:cs="Calibri"/>
          <w:color w:val="000000"/>
        </w:rPr>
      </w:pPr>
    </w:p>
    <w:p w:rsidRPr="00625B80" w:rsidR="00A840B4" w:rsidP="00A840B4" w:rsidRDefault="00A840B4">
      <w:pPr>
        <w:rPr>
          <w:rFonts w:ascii="Calibri" w:hAnsi="Calibri" w:cs="Calibri"/>
          <w:color w:val="000000"/>
        </w:rPr>
      </w:pPr>
      <w:r w:rsidRPr="00625B80">
        <w:rPr>
          <w:rFonts w:ascii="Calibri" w:hAnsi="Calibri" w:cs="Calibri"/>
          <w:color w:val="000000"/>
        </w:rPr>
        <w:t xml:space="preserve">Date: </w:t>
      </w:r>
      <w:r w:rsidRPr="00625B80">
        <w:rPr>
          <w:rFonts w:ascii="Calibri" w:hAnsi="Calibri" w:cs="Calibri"/>
          <w:color w:val="000000"/>
        </w:rPr>
        <w:tab/>
      </w:r>
      <w:r w:rsidRPr="00625B80">
        <w:rPr>
          <w:rFonts w:ascii="Calibri" w:hAnsi="Calibri" w:cs="Calibri"/>
          <w:color w:val="000000"/>
        </w:rPr>
        <w:tab/>
      </w:r>
      <w:r>
        <w:rPr>
          <w:rFonts w:ascii="Calibri" w:hAnsi="Calibri" w:cs="Calibri"/>
          <w:color w:val="000000"/>
        </w:rPr>
        <w:t>May 11, 2020</w:t>
      </w:r>
    </w:p>
    <w:p w:rsidR="00A840B4" w:rsidP="00A840B4" w:rsidRDefault="00A840B4">
      <w:pPr>
        <w:rPr>
          <w:rFonts w:ascii="Calibri" w:hAnsi="Calibri" w:cs="Calibri"/>
          <w:color w:val="000000"/>
        </w:rPr>
      </w:pPr>
    </w:p>
    <w:p w:rsidR="00A840B4" w:rsidP="00A840B4" w:rsidRDefault="00A840B4">
      <w:pPr>
        <w:rPr>
          <w:rFonts w:ascii="Calibri" w:hAnsi="Calibri" w:cs="Calibri"/>
          <w:color w:val="000000"/>
        </w:rPr>
      </w:pPr>
    </w:p>
    <w:p w:rsidR="00A840B4" w:rsidP="00A840B4" w:rsidRDefault="00A840B4">
      <w:pPr>
        <w:rPr>
          <w:rFonts w:ascii="Calibri" w:hAnsi="Calibri" w:cs="Calibri"/>
          <w:color w:val="000000"/>
        </w:rPr>
      </w:pPr>
      <w:r>
        <w:rPr>
          <w:rFonts w:ascii="Calibri" w:hAnsi="Calibri" w:cs="Calibri"/>
          <w:color w:val="000000"/>
        </w:rPr>
        <w:t xml:space="preserve">The Office of Independent Living Programs (OILP) must update the currently approved </w:t>
      </w:r>
      <w:r w:rsidRPr="003415FA">
        <w:rPr>
          <w:rFonts w:ascii="Calibri" w:hAnsi="Calibri" w:cs="Calibri"/>
          <w:color w:val="000000"/>
        </w:rPr>
        <w:t>Centers for Independent Living (CIL) Program Performance Report (PPR)</w:t>
      </w:r>
      <w:r>
        <w:rPr>
          <w:rFonts w:ascii="Calibri" w:hAnsi="Calibri" w:cs="Calibri"/>
          <w:color w:val="000000"/>
        </w:rPr>
        <w:t xml:space="preserve"> 0985-0061 to highlight any CARES Act reporting requirements. OILP is finalizing an updated Excel spreadsheet and guidance document for the CIL, ACL would like to request a non-substantive change to the currently approved CIL.  </w:t>
      </w:r>
    </w:p>
    <w:p w:rsidR="00A840B4" w:rsidP="00A840B4" w:rsidRDefault="00A840B4">
      <w:pPr>
        <w:rPr>
          <w:rFonts w:ascii="Calibri" w:hAnsi="Calibri" w:cs="Calibri"/>
          <w:color w:val="000000"/>
        </w:rPr>
      </w:pPr>
    </w:p>
    <w:p w:rsidR="00A840B4" w:rsidP="00A840B4" w:rsidRDefault="00A840B4">
      <w:pPr>
        <w:rPr>
          <w:rFonts w:ascii="Calibri" w:hAnsi="Calibri" w:cs="Calibri"/>
          <w:color w:val="000000"/>
        </w:rPr>
      </w:pPr>
      <w:r>
        <w:rPr>
          <w:rFonts w:ascii="Calibri" w:hAnsi="Calibri" w:cs="Calibri"/>
          <w:color w:val="000000"/>
        </w:rPr>
        <w:t xml:space="preserve">Quick background on the currently approved </w:t>
      </w:r>
      <w:r w:rsidRPr="003415FA">
        <w:rPr>
          <w:rFonts w:ascii="Calibri" w:hAnsi="Calibri" w:cs="Calibri"/>
          <w:color w:val="000000"/>
        </w:rPr>
        <w:t>CIL PPR</w:t>
      </w:r>
      <w:r>
        <w:rPr>
          <w:rFonts w:ascii="Calibri" w:hAnsi="Calibri" w:cs="Calibri"/>
          <w:color w:val="000000"/>
        </w:rPr>
        <w:t xml:space="preserve"> 0985-0061. </w:t>
      </w:r>
      <w:r w:rsidRPr="003415FA">
        <w:rPr>
          <w:rFonts w:ascii="Calibri" w:hAnsi="Calibri" w:cs="Calibri"/>
          <w:color w:val="000000"/>
        </w:rPr>
        <w:t xml:space="preserve">The CIL PPRs </w:t>
      </w:r>
      <w:proofErr w:type="gramStart"/>
      <w:r w:rsidRPr="003415FA">
        <w:rPr>
          <w:rFonts w:ascii="Calibri" w:hAnsi="Calibri" w:cs="Calibri"/>
          <w:color w:val="000000"/>
        </w:rPr>
        <w:t>are used</w:t>
      </w:r>
      <w:proofErr w:type="gramEnd"/>
      <w:r w:rsidRPr="003415FA">
        <w:rPr>
          <w:rFonts w:ascii="Calibri" w:hAnsi="Calibri" w:cs="Calibri"/>
          <w:color w:val="000000"/>
        </w:rPr>
        <w:t xml:space="preserve"> by ACL to assess grantees’ compli</w:t>
      </w:r>
      <w:r>
        <w:rPr>
          <w:rFonts w:ascii="Calibri" w:hAnsi="Calibri" w:cs="Calibri"/>
          <w:color w:val="000000"/>
        </w:rPr>
        <w:t xml:space="preserve">ance with Title VII, </w:t>
      </w:r>
      <w:r w:rsidRPr="003415FA">
        <w:rPr>
          <w:rFonts w:ascii="Calibri" w:hAnsi="Calibri" w:cs="Calibri"/>
          <w:color w:val="000000"/>
        </w:rPr>
        <w:t xml:space="preserve">and applicable provisions of the HHS Regulations at 45 CFR part 75. The Rehabilitation Act requires three IL program reports: (1) State Plan for Independent Living, (2) ILS Program Performance Report, and (3) Centers for Independent Living PPR. Based on ACL’s assessments of PPRs, it provides technical assistance when necessary, further assesses compliance when appropriate, grants and denies continuations as appropriate, and terminates grants when necessary. The PPR </w:t>
      </w:r>
      <w:proofErr w:type="gramStart"/>
      <w:r w:rsidRPr="003415FA">
        <w:rPr>
          <w:rFonts w:ascii="Calibri" w:hAnsi="Calibri" w:cs="Calibri"/>
          <w:color w:val="000000"/>
        </w:rPr>
        <w:t>is also used</w:t>
      </w:r>
      <w:proofErr w:type="gramEnd"/>
      <w:r w:rsidRPr="003415FA">
        <w:rPr>
          <w:rFonts w:ascii="Calibri" w:hAnsi="Calibri" w:cs="Calibri"/>
          <w:color w:val="000000"/>
        </w:rPr>
        <w:t xml:space="preserve"> by ACL to design CIL and SILC training and technical assistance programs authori</w:t>
      </w:r>
      <w:r>
        <w:rPr>
          <w:rFonts w:ascii="Calibri" w:hAnsi="Calibri" w:cs="Calibri"/>
          <w:color w:val="000000"/>
        </w:rPr>
        <w:t xml:space="preserve">zed by section 721 of the Act. </w:t>
      </w:r>
      <w:r w:rsidRPr="003415FA">
        <w:rPr>
          <w:rFonts w:ascii="Calibri" w:hAnsi="Calibri" w:cs="Calibri"/>
          <w:color w:val="000000"/>
        </w:rPr>
        <w:t>CIL PPRs, because they are all in the same easy-to-understand and easy-to-compare format, conspicuously display trends and patterns that inform ACL's training and technical assi</w:t>
      </w:r>
      <w:r>
        <w:rPr>
          <w:rFonts w:ascii="Calibri" w:hAnsi="Calibri" w:cs="Calibri"/>
          <w:color w:val="000000"/>
        </w:rPr>
        <w:t>stance programs.</w:t>
      </w:r>
    </w:p>
    <w:p w:rsidR="00A840B4" w:rsidP="00A840B4" w:rsidRDefault="00A840B4">
      <w:pPr>
        <w:rPr>
          <w:rFonts w:ascii="Calibri" w:hAnsi="Calibri" w:cs="Calibri"/>
          <w:color w:val="000000"/>
        </w:rPr>
      </w:pPr>
    </w:p>
    <w:p w:rsidR="00A840B4" w:rsidP="00A840B4" w:rsidRDefault="00A840B4">
      <w:pPr>
        <w:rPr>
          <w:rFonts w:ascii="Calibri" w:hAnsi="Calibri" w:cs="Calibri"/>
          <w:color w:val="000000"/>
        </w:rPr>
      </w:pPr>
      <w:r>
        <w:rPr>
          <w:rFonts w:ascii="Calibri" w:hAnsi="Calibri" w:cs="Calibri"/>
          <w:color w:val="000000"/>
        </w:rPr>
        <w:t>ACL needs to update the CIL to include guidance and an updated instrument, which highlights data elements required by different CIL grantees to report CARES Act related data. Some of this data is</w:t>
      </w:r>
      <w:r w:rsidRPr="0090638A">
        <w:rPr>
          <w:rFonts w:ascii="Calibri" w:hAnsi="Calibri" w:cs="Calibri"/>
          <w:color w:val="000000"/>
        </w:rPr>
        <w:t xml:space="preserve"> already collected</w:t>
      </w:r>
      <w:r>
        <w:rPr>
          <w:rFonts w:ascii="Calibri" w:hAnsi="Calibri" w:cs="Calibri"/>
          <w:color w:val="000000"/>
        </w:rPr>
        <w:t xml:space="preserve"> (see attached)</w:t>
      </w:r>
      <w:r w:rsidRPr="0090638A">
        <w:rPr>
          <w:rFonts w:ascii="Calibri" w:hAnsi="Calibri" w:cs="Calibri"/>
          <w:color w:val="000000"/>
        </w:rPr>
        <w:t xml:space="preserve"> as part of </w:t>
      </w:r>
      <w:r>
        <w:rPr>
          <w:rFonts w:ascii="Calibri" w:hAnsi="Calibri" w:cs="Calibri"/>
          <w:color w:val="000000"/>
        </w:rPr>
        <w:t xml:space="preserve">the </w:t>
      </w:r>
      <w:r w:rsidRPr="0090638A">
        <w:rPr>
          <w:rFonts w:ascii="Calibri" w:hAnsi="Calibri" w:cs="Calibri"/>
          <w:color w:val="000000"/>
        </w:rPr>
        <w:t>regular reporting requirements</w:t>
      </w:r>
      <w:r>
        <w:rPr>
          <w:rFonts w:ascii="Calibri" w:hAnsi="Calibri" w:cs="Calibri"/>
          <w:color w:val="000000"/>
        </w:rPr>
        <w:t xml:space="preserve">; ACL would like OMB approval to submit these updates and guidance document as a supplemental mini PPR that pulls out the CARES Act specific work and is included with 0985-0061. </w:t>
      </w:r>
      <w:r w:rsidRPr="0090638A">
        <w:rPr>
          <w:rFonts w:ascii="Calibri" w:hAnsi="Calibri" w:cs="Calibri"/>
          <w:color w:val="000000"/>
        </w:rPr>
        <w:t xml:space="preserve">Without clearly identifying CIL CARES Act activities from Part C funded activities, </w:t>
      </w:r>
      <w:r>
        <w:rPr>
          <w:rFonts w:ascii="Calibri" w:hAnsi="Calibri" w:cs="Calibri"/>
          <w:color w:val="000000"/>
        </w:rPr>
        <w:t>ACL</w:t>
      </w:r>
      <w:r w:rsidRPr="0090638A">
        <w:rPr>
          <w:rFonts w:ascii="Calibri" w:hAnsi="Calibri" w:cs="Calibri"/>
          <w:color w:val="000000"/>
        </w:rPr>
        <w:t xml:space="preserve"> will not know what services </w:t>
      </w:r>
      <w:proofErr w:type="gramStart"/>
      <w:r w:rsidRPr="0090638A">
        <w:rPr>
          <w:rFonts w:ascii="Calibri" w:hAnsi="Calibri" w:cs="Calibri"/>
          <w:color w:val="000000"/>
        </w:rPr>
        <w:t>w</w:t>
      </w:r>
      <w:r>
        <w:rPr>
          <w:rFonts w:ascii="Calibri" w:hAnsi="Calibri" w:cs="Calibri"/>
          <w:color w:val="000000"/>
        </w:rPr>
        <w:t>ere provided</w:t>
      </w:r>
      <w:proofErr w:type="gramEnd"/>
      <w:r>
        <w:rPr>
          <w:rFonts w:ascii="Calibri" w:hAnsi="Calibri" w:cs="Calibri"/>
          <w:color w:val="000000"/>
        </w:rPr>
        <w:t xml:space="preserve"> with the funding. </w:t>
      </w:r>
    </w:p>
    <w:p w:rsidR="00A840B4" w:rsidP="00A840B4" w:rsidRDefault="00A840B4">
      <w:pPr>
        <w:rPr>
          <w:rFonts w:ascii="Calibri" w:hAnsi="Calibri" w:cs="Calibri"/>
          <w:color w:val="000000"/>
        </w:rPr>
      </w:pPr>
      <w:bookmarkStart w:name="_GoBack" w:id="0"/>
      <w:bookmarkEnd w:id="0"/>
      <w:r>
        <w:rPr>
          <w:rFonts w:ascii="Calibri" w:hAnsi="Calibri" w:cs="Calibri"/>
          <w:color w:val="000000"/>
        </w:rPr>
        <w:lastRenderedPageBreak/>
        <w:t xml:space="preserve">The data fields </w:t>
      </w:r>
      <w:proofErr w:type="gramStart"/>
      <w:r>
        <w:rPr>
          <w:rFonts w:ascii="Calibri" w:hAnsi="Calibri" w:cs="Calibri"/>
          <w:color w:val="000000"/>
        </w:rPr>
        <w:t>were selected</w:t>
      </w:r>
      <w:proofErr w:type="gramEnd"/>
      <w:r>
        <w:rPr>
          <w:rFonts w:ascii="Calibri" w:hAnsi="Calibri" w:cs="Calibri"/>
          <w:color w:val="000000"/>
        </w:rPr>
        <w:t xml:space="preserve"> from the current CIL PPR under OMB 0985-0061; no data is new data the instrument will be a separate instrument highlighting requirements to report CARES Act funding services and activities.</w:t>
      </w:r>
    </w:p>
    <w:p w:rsidR="00A840B4" w:rsidP="00A840B4" w:rsidRDefault="00A840B4">
      <w:pPr>
        <w:rPr>
          <w:rFonts w:ascii="Calibri" w:hAnsi="Calibri" w:cs="Calibri"/>
          <w:color w:val="000000"/>
        </w:rPr>
      </w:pPr>
    </w:p>
    <w:p w:rsidRPr="0090638A" w:rsidR="00A840B4" w:rsidP="00A840B4" w:rsidRDefault="00A840B4">
      <w:pPr>
        <w:rPr>
          <w:rFonts w:ascii="Calibri" w:hAnsi="Calibri" w:cs="Calibri"/>
          <w:color w:val="000000"/>
        </w:rPr>
      </w:pPr>
      <w:r>
        <w:rPr>
          <w:rFonts w:ascii="Calibri" w:hAnsi="Calibri" w:cs="Calibri"/>
          <w:color w:val="000000"/>
        </w:rPr>
        <w:t>OILP has concerns that if these activities are lumped i</w:t>
      </w:r>
      <w:r w:rsidRPr="0090638A">
        <w:rPr>
          <w:rFonts w:ascii="Calibri" w:hAnsi="Calibri" w:cs="Calibri"/>
          <w:color w:val="000000"/>
        </w:rPr>
        <w:t xml:space="preserve">nto the regular Part C PPR the info will be lost </w:t>
      </w:r>
      <w:r>
        <w:rPr>
          <w:rFonts w:ascii="Calibri" w:hAnsi="Calibri" w:cs="Calibri"/>
          <w:color w:val="000000"/>
        </w:rPr>
        <w:t xml:space="preserve">or increase the possibility for </w:t>
      </w:r>
      <w:r w:rsidRPr="0090638A">
        <w:rPr>
          <w:rFonts w:ascii="Calibri" w:hAnsi="Calibri" w:cs="Calibri"/>
          <w:color w:val="000000"/>
        </w:rPr>
        <w:t>fraud and</w:t>
      </w:r>
      <w:r>
        <w:rPr>
          <w:rFonts w:ascii="Calibri" w:hAnsi="Calibri" w:cs="Calibri"/>
          <w:color w:val="000000"/>
        </w:rPr>
        <w:t>/or</w:t>
      </w:r>
      <w:r w:rsidRPr="0090638A">
        <w:rPr>
          <w:rFonts w:ascii="Calibri" w:hAnsi="Calibri" w:cs="Calibri"/>
          <w:color w:val="000000"/>
        </w:rPr>
        <w:t xml:space="preserve"> abuse of funds.  </w:t>
      </w:r>
      <w:r>
        <w:rPr>
          <w:rFonts w:ascii="Calibri" w:hAnsi="Calibri" w:cs="Calibri"/>
          <w:color w:val="000000"/>
        </w:rPr>
        <w:t xml:space="preserve">By highlighting the CARES Act data elements as a supplemental instrument and providing a guidance document in the currently approved CIL IC, ACL can more quickly identify </w:t>
      </w:r>
      <w:r w:rsidRPr="0090638A">
        <w:rPr>
          <w:rFonts w:ascii="Calibri" w:hAnsi="Calibri" w:cs="Calibri"/>
          <w:color w:val="000000"/>
        </w:rPr>
        <w:t>CIL CARES Act activiti</w:t>
      </w:r>
      <w:r>
        <w:rPr>
          <w:rFonts w:ascii="Calibri" w:hAnsi="Calibri" w:cs="Calibri"/>
          <w:color w:val="000000"/>
        </w:rPr>
        <w:t>es from Part C funded activities.  T</w:t>
      </w:r>
      <w:r w:rsidRPr="0030732D">
        <w:rPr>
          <w:rFonts w:ascii="Calibri" w:hAnsi="Calibri" w:cs="Calibri"/>
          <w:color w:val="000000"/>
        </w:rPr>
        <w:t xml:space="preserve">he CARES Act </w:t>
      </w:r>
      <w:r>
        <w:rPr>
          <w:rFonts w:ascii="Calibri" w:hAnsi="Calibri" w:cs="Calibri"/>
          <w:color w:val="000000"/>
        </w:rPr>
        <w:t xml:space="preserve">reporting is due 90 days after September 30, ACL would collect data between September 30 and December 31 2020. </w:t>
      </w:r>
    </w:p>
    <w:p w:rsidR="00A840B4" w:rsidP="00A840B4" w:rsidRDefault="00A840B4">
      <w:pPr>
        <w:rPr>
          <w:rFonts w:ascii="Calibri" w:hAnsi="Calibri" w:cs="Calibri"/>
          <w:color w:val="000000"/>
        </w:rPr>
      </w:pPr>
    </w:p>
    <w:p w:rsidR="00A840B4" w:rsidP="00A840B4" w:rsidRDefault="00A840B4">
      <w:pPr>
        <w:rPr>
          <w:rFonts w:ascii="Calibri" w:hAnsi="Calibri" w:cs="Calibri"/>
          <w:color w:val="000000"/>
        </w:rPr>
      </w:pPr>
      <w:r>
        <w:rPr>
          <w:rFonts w:ascii="Calibri" w:hAnsi="Calibri" w:cs="Calibri"/>
          <w:color w:val="000000"/>
        </w:rPr>
        <w:t>Any possible burden increase or decrease is very minimal as there are CARES Act reporting data element fields that d</w:t>
      </w:r>
      <w:r w:rsidRPr="003415FA">
        <w:rPr>
          <w:rFonts w:ascii="Calibri" w:hAnsi="Calibri" w:cs="Calibri"/>
          <w:color w:val="000000"/>
        </w:rPr>
        <w:t xml:space="preserve">ifferent CILs will take different lengths of time to complete </w:t>
      </w:r>
      <w:r>
        <w:rPr>
          <w:rFonts w:ascii="Calibri" w:hAnsi="Calibri" w:cs="Calibri"/>
          <w:color w:val="000000"/>
        </w:rPr>
        <w:t xml:space="preserve">in this supplemental </w:t>
      </w:r>
      <w:r w:rsidRPr="003415FA">
        <w:rPr>
          <w:rFonts w:ascii="Calibri" w:hAnsi="Calibri" w:cs="Calibri"/>
          <w:color w:val="000000"/>
        </w:rPr>
        <w:t xml:space="preserve">report (CILs </w:t>
      </w:r>
      <w:r>
        <w:rPr>
          <w:rFonts w:ascii="Calibri" w:hAnsi="Calibri" w:cs="Calibri"/>
          <w:color w:val="000000"/>
        </w:rPr>
        <w:t xml:space="preserve">will likely have varying </w:t>
      </w:r>
      <w:r w:rsidRPr="003415FA">
        <w:rPr>
          <w:rFonts w:ascii="Calibri" w:hAnsi="Calibri" w:cs="Calibri"/>
          <w:color w:val="000000"/>
        </w:rPr>
        <w:t xml:space="preserve">amounts </w:t>
      </w:r>
      <w:r>
        <w:rPr>
          <w:rFonts w:ascii="Calibri" w:hAnsi="Calibri" w:cs="Calibri"/>
          <w:color w:val="000000"/>
        </w:rPr>
        <w:t xml:space="preserve">for various </w:t>
      </w:r>
      <w:r w:rsidRPr="003415FA">
        <w:rPr>
          <w:rFonts w:ascii="Calibri" w:hAnsi="Calibri" w:cs="Calibri"/>
          <w:color w:val="000000"/>
        </w:rPr>
        <w:t>CARES Act  funding).</w:t>
      </w:r>
      <w:r>
        <w:rPr>
          <w:rFonts w:ascii="Calibri" w:hAnsi="Calibri" w:cs="Calibri"/>
          <w:color w:val="000000"/>
        </w:rPr>
        <w:t xml:space="preserve">  </w:t>
      </w:r>
      <w:r w:rsidRPr="006A192E">
        <w:rPr>
          <w:rFonts w:ascii="Calibri" w:hAnsi="Calibri" w:cs="Calibri"/>
          <w:color w:val="000000"/>
        </w:rPr>
        <w:t xml:space="preserve">Additional time throughout the year is </w:t>
      </w:r>
      <w:r>
        <w:rPr>
          <w:rFonts w:ascii="Calibri" w:hAnsi="Calibri" w:cs="Calibri"/>
          <w:color w:val="000000"/>
        </w:rPr>
        <w:t>minimal</w:t>
      </w:r>
      <w:r w:rsidRPr="006A192E">
        <w:rPr>
          <w:rFonts w:ascii="Calibri" w:hAnsi="Calibri" w:cs="Calibri"/>
          <w:color w:val="000000"/>
        </w:rPr>
        <w:t xml:space="preserve"> given all the info</w:t>
      </w:r>
      <w:r>
        <w:rPr>
          <w:rFonts w:ascii="Calibri" w:hAnsi="Calibri" w:cs="Calibri"/>
          <w:color w:val="000000"/>
        </w:rPr>
        <w:t>rmation</w:t>
      </w:r>
      <w:r w:rsidRPr="006A192E">
        <w:rPr>
          <w:rFonts w:ascii="Calibri" w:hAnsi="Calibri" w:cs="Calibri"/>
          <w:color w:val="000000"/>
        </w:rPr>
        <w:t xml:space="preserve"> is already </w:t>
      </w:r>
      <w:r>
        <w:rPr>
          <w:rFonts w:ascii="Calibri" w:hAnsi="Calibri" w:cs="Calibri"/>
          <w:color w:val="000000"/>
        </w:rPr>
        <w:t xml:space="preserve">collected. </w:t>
      </w:r>
    </w:p>
    <w:p w:rsidR="00A840B4" w:rsidP="00A840B4" w:rsidRDefault="00A840B4">
      <w:pPr>
        <w:rPr>
          <w:rFonts w:ascii="Calibri" w:hAnsi="Calibri" w:cs="Calibri"/>
          <w:color w:val="000000"/>
        </w:rPr>
      </w:pPr>
    </w:p>
    <w:p w:rsidR="00A840B4" w:rsidP="00A840B4" w:rsidRDefault="00A840B4">
      <w:pPr>
        <w:rPr>
          <w:rFonts w:ascii="Calibri" w:hAnsi="Calibri" w:cs="Calibri"/>
          <w:color w:val="000000"/>
        </w:rPr>
      </w:pPr>
      <w:r>
        <w:rPr>
          <w:rFonts w:ascii="Calibri" w:hAnsi="Calibri" w:cs="Calibri"/>
          <w:color w:val="000000"/>
        </w:rPr>
        <w:t xml:space="preserve">For these reasons, ACL thinks these updates fit the terms of clearance for a non-substantive/no material change request under the PRA. </w:t>
      </w:r>
    </w:p>
    <w:p w:rsidR="00A840B4" w:rsidP="00A840B4" w:rsidRDefault="00A840B4">
      <w:pPr>
        <w:rPr>
          <w:rFonts w:ascii="Calibri" w:hAnsi="Calibri" w:cs="Calibri"/>
          <w:color w:val="000000"/>
        </w:rPr>
      </w:pPr>
    </w:p>
    <w:p w:rsidR="00A840B4" w:rsidP="003D1DC9" w:rsidRDefault="00A840B4">
      <w:pPr>
        <w:rPr>
          <w:rFonts w:eastAsia="Calibri"/>
          <w:spacing w:val="-1"/>
        </w:rPr>
      </w:pPr>
    </w:p>
    <w:sectPr w:rsidR="00A840B4" w:rsidSect="00D80063">
      <w:headerReference w:type="default" r:id="rId7"/>
      <w:footerReference w:type="even"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E89" w:rsidRDefault="00901E89" w:rsidP="00F453D7">
      <w:r>
        <w:separator/>
      </w:r>
    </w:p>
  </w:endnote>
  <w:endnote w:type="continuationSeparator" w:id="0">
    <w:p w:rsidR="00901E89" w:rsidRDefault="00901E89" w:rsidP="00F4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EDC" w:rsidRDefault="00C64EDC" w:rsidP="00932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4EDC" w:rsidRDefault="00C64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EDC" w:rsidRDefault="00C64EDC" w:rsidP="00932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40B4">
      <w:rPr>
        <w:rStyle w:val="PageNumber"/>
        <w:noProof/>
      </w:rPr>
      <w:t>2</w:t>
    </w:r>
    <w:r>
      <w:rPr>
        <w:rStyle w:val="PageNumber"/>
      </w:rPr>
      <w:fldChar w:fldCharType="end"/>
    </w:r>
  </w:p>
  <w:p w:rsidR="00C64EDC" w:rsidRDefault="00C64EDC" w:rsidP="00932C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E89" w:rsidRDefault="00901E89" w:rsidP="00F453D7">
      <w:r>
        <w:separator/>
      </w:r>
    </w:p>
  </w:footnote>
  <w:footnote w:type="continuationSeparator" w:id="0">
    <w:p w:rsidR="00901E89" w:rsidRDefault="00901E89" w:rsidP="00F4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EDC" w:rsidRDefault="00C64EDC" w:rsidP="00542BB9">
    <w:pPr>
      <w:pStyle w:val="Header"/>
      <w:tabs>
        <w:tab w:val="right" w:pos="4320"/>
      </w:tabs>
    </w:pPr>
    <w:r>
      <w:tab/>
    </w:r>
    <w:r>
      <w:tab/>
    </w:r>
  </w:p>
  <w:p w:rsidR="00C64EDC" w:rsidRDefault="00C64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612" w:type="dxa"/>
      <w:tblLook w:val="00A0" w:firstRow="1" w:lastRow="0" w:firstColumn="1" w:lastColumn="0" w:noHBand="0" w:noVBand="0"/>
    </w:tblPr>
    <w:tblGrid>
      <w:gridCol w:w="1620"/>
      <w:gridCol w:w="9360"/>
    </w:tblGrid>
    <w:tr w:rsidR="00C64EDC" w:rsidTr="00C60BE0">
      <w:trPr>
        <w:trHeight w:val="710"/>
      </w:trPr>
      <w:tc>
        <w:tcPr>
          <w:tcW w:w="1620" w:type="dxa"/>
        </w:tcPr>
        <w:p w:rsidR="00C64EDC" w:rsidRPr="00C60BE0" w:rsidRDefault="00C64EDC" w:rsidP="00932C16">
          <w:pPr>
            <w:pStyle w:val="Header"/>
            <w:rPr>
              <w:sz w:val="20"/>
            </w:rPr>
          </w:pPr>
          <w:r>
            <w:rPr>
              <w:noProof/>
              <w:sz w:val="20"/>
            </w:rPr>
            <w:drawing>
              <wp:inline distT="0" distB="0" distL="0" distR="0">
                <wp:extent cx="800100" cy="638175"/>
                <wp:effectExtent l="0" t="0" r="0" b="0"/>
                <wp:docPr id="1" name="Picture 1" descr="HHS_BLU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_BLUE_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38175"/>
                        </a:xfrm>
                        <a:prstGeom prst="rect">
                          <a:avLst/>
                        </a:prstGeom>
                        <a:noFill/>
                        <a:ln>
                          <a:noFill/>
                        </a:ln>
                      </pic:spPr>
                    </pic:pic>
                  </a:graphicData>
                </a:graphic>
              </wp:inline>
            </w:drawing>
          </w:r>
        </w:p>
      </w:tc>
      <w:tc>
        <w:tcPr>
          <w:tcW w:w="9360" w:type="dxa"/>
        </w:tcPr>
        <w:p w:rsidR="00C64EDC" w:rsidRPr="00C60BE0" w:rsidRDefault="00C64EDC" w:rsidP="00932C16">
          <w:pPr>
            <w:pStyle w:val="Header"/>
            <w:rPr>
              <w:color w:val="333399"/>
              <w:sz w:val="20"/>
            </w:rPr>
          </w:pPr>
        </w:p>
        <w:p w:rsidR="00C64EDC" w:rsidRPr="00C60BE0" w:rsidRDefault="00C64EDC" w:rsidP="00C60BE0">
          <w:pPr>
            <w:pStyle w:val="Header"/>
            <w:pBdr>
              <w:bottom w:val="single" w:sz="12" w:space="1" w:color="auto"/>
            </w:pBdr>
            <w:rPr>
              <w:color w:val="000080"/>
              <w:sz w:val="20"/>
            </w:rPr>
          </w:pPr>
          <w:r w:rsidRPr="00C60BE0">
            <w:rPr>
              <w:b/>
              <w:color w:val="000080"/>
              <w:sz w:val="20"/>
            </w:rPr>
            <w:t>DEPARTMENT OF HEALTH &amp; HUMAN SERVICES</w:t>
          </w:r>
          <w:r w:rsidRPr="00C60BE0">
            <w:rPr>
              <w:color w:val="000080"/>
              <w:sz w:val="20"/>
            </w:rPr>
            <w:t xml:space="preserve">                      </w:t>
          </w:r>
          <w:r>
            <w:rPr>
              <w:color w:val="000080"/>
              <w:sz w:val="20"/>
            </w:rPr>
            <w:t xml:space="preserve">  </w:t>
          </w:r>
          <w:r>
            <w:rPr>
              <w:color w:val="000080"/>
              <w:sz w:val="20"/>
              <w:szCs w:val="20"/>
            </w:rPr>
            <w:t>Administration for Community Living</w:t>
          </w:r>
        </w:p>
        <w:p w:rsidR="00C64EDC" w:rsidRPr="00C60BE0" w:rsidRDefault="00C64EDC" w:rsidP="00932C16">
          <w:pPr>
            <w:pStyle w:val="Header"/>
            <w:rPr>
              <w:sz w:val="20"/>
              <w:szCs w:val="20"/>
            </w:rPr>
          </w:pPr>
          <w:r w:rsidRPr="00C60BE0">
            <w:rPr>
              <w:color w:val="000080"/>
              <w:sz w:val="22"/>
              <w:szCs w:val="22"/>
            </w:rPr>
            <w:t xml:space="preserve">                                                                                                                               </w:t>
          </w:r>
          <w:r>
            <w:rPr>
              <w:color w:val="000080"/>
              <w:sz w:val="22"/>
              <w:szCs w:val="22"/>
            </w:rPr>
            <w:t xml:space="preserve"> </w:t>
          </w:r>
          <w:r w:rsidRPr="00C60BE0">
            <w:rPr>
              <w:color w:val="000080"/>
              <w:sz w:val="20"/>
              <w:szCs w:val="20"/>
            </w:rPr>
            <w:t>Washington, D.C. 20201</w:t>
          </w:r>
        </w:p>
      </w:tc>
    </w:tr>
  </w:tbl>
  <w:p w:rsidR="00C64EDC" w:rsidRDefault="00C64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526"/>
    <w:multiLevelType w:val="hybridMultilevel"/>
    <w:tmpl w:val="68B450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5852D2"/>
    <w:multiLevelType w:val="hybridMultilevel"/>
    <w:tmpl w:val="29B8BC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F0DF8"/>
    <w:multiLevelType w:val="hybridMultilevel"/>
    <w:tmpl w:val="2868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3665C"/>
    <w:multiLevelType w:val="hybridMultilevel"/>
    <w:tmpl w:val="2D1A9262"/>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37E578A6"/>
    <w:multiLevelType w:val="hybridMultilevel"/>
    <w:tmpl w:val="027C9C72"/>
    <w:lvl w:ilvl="0" w:tplc="30FCB86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8739C"/>
    <w:multiLevelType w:val="hybridMultilevel"/>
    <w:tmpl w:val="E2E2AC46"/>
    <w:lvl w:ilvl="0" w:tplc="4A04E154">
      <w:start w:val="1"/>
      <w:numFmt w:val="lowerLetter"/>
      <w:lvlText w:val="(%1)"/>
      <w:lvlJc w:val="left"/>
      <w:pPr>
        <w:ind w:left="420" w:hanging="360"/>
      </w:pPr>
      <w:rPr>
        <w:rFonts w:eastAsiaTheme="minorHAnsi" w:hint="default"/>
        <w:color w:val="0070C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2A64B20"/>
    <w:multiLevelType w:val="hybridMultilevel"/>
    <w:tmpl w:val="BF76C8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543D2C"/>
    <w:multiLevelType w:val="hybridMultilevel"/>
    <w:tmpl w:val="E51E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45457"/>
    <w:multiLevelType w:val="hybridMultilevel"/>
    <w:tmpl w:val="CD9C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A7789"/>
    <w:multiLevelType w:val="hybridMultilevel"/>
    <w:tmpl w:val="0F429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8"/>
  </w:num>
  <w:num w:numId="6">
    <w:abstractNumId w:val="9"/>
  </w:num>
  <w:num w:numId="7">
    <w:abstractNumId w:val="7"/>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D7"/>
    <w:rsid w:val="00005235"/>
    <w:rsid w:val="00021DB6"/>
    <w:rsid w:val="000904FD"/>
    <w:rsid w:val="000F22D5"/>
    <w:rsid w:val="000F24E4"/>
    <w:rsid w:val="00113BA5"/>
    <w:rsid w:val="00115B03"/>
    <w:rsid w:val="0013379F"/>
    <w:rsid w:val="00134AFF"/>
    <w:rsid w:val="0016180A"/>
    <w:rsid w:val="00167B49"/>
    <w:rsid w:val="00177F03"/>
    <w:rsid w:val="00186584"/>
    <w:rsid w:val="00187426"/>
    <w:rsid w:val="00187955"/>
    <w:rsid w:val="00192294"/>
    <w:rsid w:val="001946D6"/>
    <w:rsid w:val="001A6304"/>
    <w:rsid w:val="001A7DBE"/>
    <w:rsid w:val="001B1C13"/>
    <w:rsid w:val="001B3B09"/>
    <w:rsid w:val="001F16A0"/>
    <w:rsid w:val="001F6495"/>
    <w:rsid w:val="00207CF0"/>
    <w:rsid w:val="00217805"/>
    <w:rsid w:val="002B659A"/>
    <w:rsid w:val="002C50B7"/>
    <w:rsid w:val="002C7832"/>
    <w:rsid w:val="002D12D8"/>
    <w:rsid w:val="002E0468"/>
    <w:rsid w:val="002E793B"/>
    <w:rsid w:val="002F72D0"/>
    <w:rsid w:val="00331876"/>
    <w:rsid w:val="00333E49"/>
    <w:rsid w:val="003601D4"/>
    <w:rsid w:val="003B07E2"/>
    <w:rsid w:val="003B2A4C"/>
    <w:rsid w:val="003C2361"/>
    <w:rsid w:val="003D1DC9"/>
    <w:rsid w:val="003E1F88"/>
    <w:rsid w:val="003E2EA4"/>
    <w:rsid w:val="00411634"/>
    <w:rsid w:val="00421A6B"/>
    <w:rsid w:val="00424B88"/>
    <w:rsid w:val="00431003"/>
    <w:rsid w:val="0043437B"/>
    <w:rsid w:val="00440302"/>
    <w:rsid w:val="00473A05"/>
    <w:rsid w:val="00487ACE"/>
    <w:rsid w:val="00491ECA"/>
    <w:rsid w:val="00525A29"/>
    <w:rsid w:val="00542BB9"/>
    <w:rsid w:val="00552C8E"/>
    <w:rsid w:val="00565B2C"/>
    <w:rsid w:val="00573DC7"/>
    <w:rsid w:val="00574FBB"/>
    <w:rsid w:val="00582C14"/>
    <w:rsid w:val="005879B8"/>
    <w:rsid w:val="0059342B"/>
    <w:rsid w:val="00596155"/>
    <w:rsid w:val="005A095B"/>
    <w:rsid w:val="005A2D04"/>
    <w:rsid w:val="005A3D35"/>
    <w:rsid w:val="005B690E"/>
    <w:rsid w:val="005F1002"/>
    <w:rsid w:val="00610C96"/>
    <w:rsid w:val="00626C86"/>
    <w:rsid w:val="006A5B6F"/>
    <w:rsid w:val="006C75CB"/>
    <w:rsid w:val="007046DC"/>
    <w:rsid w:val="00711BDC"/>
    <w:rsid w:val="00714126"/>
    <w:rsid w:val="00722ACB"/>
    <w:rsid w:val="00741B02"/>
    <w:rsid w:val="00755869"/>
    <w:rsid w:val="00787665"/>
    <w:rsid w:val="00790A7A"/>
    <w:rsid w:val="007B0E84"/>
    <w:rsid w:val="007D107E"/>
    <w:rsid w:val="007E6725"/>
    <w:rsid w:val="007F7E20"/>
    <w:rsid w:val="00822B63"/>
    <w:rsid w:val="00825D33"/>
    <w:rsid w:val="00844E6C"/>
    <w:rsid w:val="00853221"/>
    <w:rsid w:val="0089332F"/>
    <w:rsid w:val="008B1904"/>
    <w:rsid w:val="008D3667"/>
    <w:rsid w:val="008F2732"/>
    <w:rsid w:val="008F7045"/>
    <w:rsid w:val="00901E89"/>
    <w:rsid w:val="0091590E"/>
    <w:rsid w:val="00923CBA"/>
    <w:rsid w:val="0093149F"/>
    <w:rsid w:val="00932C16"/>
    <w:rsid w:val="009425D5"/>
    <w:rsid w:val="00942FE7"/>
    <w:rsid w:val="0094416B"/>
    <w:rsid w:val="00962A34"/>
    <w:rsid w:val="00993D0F"/>
    <w:rsid w:val="009A7539"/>
    <w:rsid w:val="009E14FF"/>
    <w:rsid w:val="009E31E5"/>
    <w:rsid w:val="00A21AEF"/>
    <w:rsid w:val="00A449F8"/>
    <w:rsid w:val="00A66E5E"/>
    <w:rsid w:val="00A81FDF"/>
    <w:rsid w:val="00A840B4"/>
    <w:rsid w:val="00A95ACC"/>
    <w:rsid w:val="00AA0322"/>
    <w:rsid w:val="00AE06D9"/>
    <w:rsid w:val="00AF63F7"/>
    <w:rsid w:val="00B01A45"/>
    <w:rsid w:val="00B1750F"/>
    <w:rsid w:val="00B330FE"/>
    <w:rsid w:val="00B5175B"/>
    <w:rsid w:val="00B6071C"/>
    <w:rsid w:val="00B76D57"/>
    <w:rsid w:val="00B94436"/>
    <w:rsid w:val="00BA734E"/>
    <w:rsid w:val="00BD60FE"/>
    <w:rsid w:val="00C02571"/>
    <w:rsid w:val="00C06782"/>
    <w:rsid w:val="00C14855"/>
    <w:rsid w:val="00C156A5"/>
    <w:rsid w:val="00C251F9"/>
    <w:rsid w:val="00C37A61"/>
    <w:rsid w:val="00C41532"/>
    <w:rsid w:val="00C60BE0"/>
    <w:rsid w:val="00C64EDC"/>
    <w:rsid w:val="00C7727B"/>
    <w:rsid w:val="00CA0A99"/>
    <w:rsid w:val="00CA2074"/>
    <w:rsid w:val="00CC08FD"/>
    <w:rsid w:val="00CE065B"/>
    <w:rsid w:val="00CF0A7C"/>
    <w:rsid w:val="00CF210E"/>
    <w:rsid w:val="00D213CC"/>
    <w:rsid w:val="00D22E19"/>
    <w:rsid w:val="00D503C2"/>
    <w:rsid w:val="00D517A5"/>
    <w:rsid w:val="00D640AA"/>
    <w:rsid w:val="00D80063"/>
    <w:rsid w:val="00D905FA"/>
    <w:rsid w:val="00D960A6"/>
    <w:rsid w:val="00DA19AB"/>
    <w:rsid w:val="00DA1A49"/>
    <w:rsid w:val="00DE3D67"/>
    <w:rsid w:val="00DF44DB"/>
    <w:rsid w:val="00E065C1"/>
    <w:rsid w:val="00E22E14"/>
    <w:rsid w:val="00E23374"/>
    <w:rsid w:val="00E25673"/>
    <w:rsid w:val="00E26F2E"/>
    <w:rsid w:val="00E34832"/>
    <w:rsid w:val="00E455E8"/>
    <w:rsid w:val="00E803D9"/>
    <w:rsid w:val="00E90402"/>
    <w:rsid w:val="00EB633F"/>
    <w:rsid w:val="00EB6F14"/>
    <w:rsid w:val="00EF1F8B"/>
    <w:rsid w:val="00EF5D23"/>
    <w:rsid w:val="00F12464"/>
    <w:rsid w:val="00F416D8"/>
    <w:rsid w:val="00F453D7"/>
    <w:rsid w:val="00F653C9"/>
    <w:rsid w:val="00FA121C"/>
    <w:rsid w:val="00FE0F9F"/>
    <w:rsid w:val="00FF62DA"/>
    <w:rsid w:val="00FF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85D7"/>
  <w15:docId w15:val="{A2CCFD5B-0487-4A7E-91C0-20C1B913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3D7"/>
    <w:rPr>
      <w:rFonts w:eastAsia="Times New Roman"/>
      <w:sz w:val="24"/>
      <w:szCs w:val="24"/>
    </w:rPr>
  </w:style>
  <w:style w:type="paragraph" w:styleId="Heading1">
    <w:name w:val="heading 1"/>
    <w:basedOn w:val="Normal"/>
    <w:link w:val="Heading1Char"/>
    <w:qFormat/>
    <w:rsid w:val="00F453D7"/>
    <w:pPr>
      <w:keepNext/>
      <w:ind w:left="-360"/>
      <w:outlineLvl w:val="0"/>
    </w:pPr>
    <w:rPr>
      <w:b/>
      <w:bCs/>
      <w:kern w:val="3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53D7"/>
    <w:rPr>
      <w:rFonts w:eastAsia="Times New Roman"/>
      <w:b/>
      <w:bCs/>
      <w:kern w:val="36"/>
      <w:szCs w:val="24"/>
      <w:u w:val="single"/>
    </w:rPr>
  </w:style>
  <w:style w:type="paragraph" w:styleId="Header">
    <w:name w:val="header"/>
    <w:basedOn w:val="Normal"/>
    <w:link w:val="HeaderChar"/>
    <w:uiPriority w:val="99"/>
    <w:rsid w:val="00F453D7"/>
    <w:pPr>
      <w:tabs>
        <w:tab w:val="center" w:pos="4320"/>
        <w:tab w:val="right" w:pos="8640"/>
      </w:tabs>
    </w:pPr>
  </w:style>
  <w:style w:type="character" w:customStyle="1" w:styleId="HeaderChar">
    <w:name w:val="Header Char"/>
    <w:link w:val="Header"/>
    <w:uiPriority w:val="99"/>
    <w:rsid w:val="00F453D7"/>
    <w:rPr>
      <w:rFonts w:eastAsia="Times New Roman"/>
      <w:szCs w:val="24"/>
    </w:rPr>
  </w:style>
  <w:style w:type="paragraph" w:styleId="Footer">
    <w:name w:val="footer"/>
    <w:basedOn w:val="Normal"/>
    <w:link w:val="FooterChar"/>
    <w:rsid w:val="00F453D7"/>
    <w:pPr>
      <w:tabs>
        <w:tab w:val="center" w:pos="4320"/>
        <w:tab w:val="right" w:pos="8640"/>
      </w:tabs>
    </w:pPr>
  </w:style>
  <w:style w:type="character" w:customStyle="1" w:styleId="FooterChar">
    <w:name w:val="Footer Char"/>
    <w:link w:val="Footer"/>
    <w:rsid w:val="00F453D7"/>
    <w:rPr>
      <w:rFonts w:eastAsia="Times New Roman"/>
      <w:szCs w:val="24"/>
    </w:rPr>
  </w:style>
  <w:style w:type="table" w:styleId="TableGrid">
    <w:name w:val="Table Grid"/>
    <w:basedOn w:val="TableNormal"/>
    <w:rsid w:val="00F453D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53D7"/>
  </w:style>
  <w:style w:type="paragraph" w:styleId="ListParagraph">
    <w:name w:val="List Paragraph"/>
    <w:basedOn w:val="Normal"/>
    <w:uiPriority w:val="34"/>
    <w:qFormat/>
    <w:rsid w:val="00F453D7"/>
    <w:pPr>
      <w:ind w:left="720"/>
      <w:contextualSpacing/>
    </w:pPr>
  </w:style>
  <w:style w:type="paragraph" w:styleId="BalloonText">
    <w:name w:val="Balloon Text"/>
    <w:basedOn w:val="Normal"/>
    <w:link w:val="BalloonTextChar"/>
    <w:uiPriority w:val="99"/>
    <w:semiHidden/>
    <w:unhideWhenUsed/>
    <w:rsid w:val="00711BDC"/>
    <w:rPr>
      <w:rFonts w:ascii="Tahoma" w:hAnsi="Tahoma" w:cs="Tahoma"/>
      <w:sz w:val="16"/>
      <w:szCs w:val="16"/>
    </w:rPr>
  </w:style>
  <w:style w:type="character" w:customStyle="1" w:styleId="BalloonTextChar">
    <w:name w:val="Balloon Text Char"/>
    <w:basedOn w:val="DefaultParagraphFont"/>
    <w:link w:val="BalloonText"/>
    <w:uiPriority w:val="99"/>
    <w:semiHidden/>
    <w:rsid w:val="00711BDC"/>
    <w:rPr>
      <w:rFonts w:ascii="Tahoma" w:eastAsia="Times New Roman" w:hAnsi="Tahoma" w:cs="Tahoma"/>
      <w:sz w:val="16"/>
      <w:szCs w:val="16"/>
    </w:rPr>
  </w:style>
  <w:style w:type="paragraph" w:customStyle="1" w:styleId="Default">
    <w:name w:val="Default"/>
    <w:rsid w:val="003B07E2"/>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5A3D35"/>
    <w:rPr>
      <w:sz w:val="16"/>
      <w:szCs w:val="16"/>
    </w:rPr>
  </w:style>
  <w:style w:type="paragraph" w:styleId="CommentText">
    <w:name w:val="annotation text"/>
    <w:basedOn w:val="Normal"/>
    <w:link w:val="CommentTextChar"/>
    <w:semiHidden/>
    <w:unhideWhenUsed/>
    <w:rsid w:val="005A3D35"/>
    <w:rPr>
      <w:sz w:val="20"/>
      <w:szCs w:val="20"/>
    </w:rPr>
  </w:style>
  <w:style w:type="character" w:customStyle="1" w:styleId="CommentTextChar">
    <w:name w:val="Comment Text Char"/>
    <w:basedOn w:val="DefaultParagraphFont"/>
    <w:link w:val="CommentText"/>
    <w:semiHidden/>
    <w:rsid w:val="005A3D3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29167">
      <w:bodyDiv w:val="1"/>
      <w:marLeft w:val="0"/>
      <w:marRight w:val="0"/>
      <w:marTop w:val="0"/>
      <w:marBottom w:val="0"/>
      <w:divBdr>
        <w:top w:val="none" w:sz="0" w:space="0" w:color="auto"/>
        <w:left w:val="none" w:sz="0" w:space="0" w:color="auto"/>
        <w:bottom w:val="none" w:sz="0" w:space="0" w:color="auto"/>
        <w:right w:val="none" w:sz="0" w:space="0" w:color="auto"/>
      </w:divBdr>
    </w:div>
    <w:div w:id="4811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Health and Human Services</dc:creator>
  <cp:lastModifiedBy>Washington, Tomakie (ACL)</cp:lastModifiedBy>
  <cp:revision>2</cp:revision>
  <cp:lastPrinted>2019-09-05T20:13:00Z</cp:lastPrinted>
  <dcterms:created xsi:type="dcterms:W3CDTF">2020-05-12T19:53:00Z</dcterms:created>
  <dcterms:modified xsi:type="dcterms:W3CDTF">2020-05-12T19:53:00Z</dcterms:modified>
</cp:coreProperties>
</file>