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C495D" w:rsidR="008C495D" w:rsidP="008C495D" w:rsidRDefault="008C495D" w14:paraId="799F14B3" w14:textId="3AB9EAB6">
      <w:pPr>
        <w:jc w:val="center"/>
        <w:rPr>
          <w:b/>
          <w:bCs/>
          <w:sz w:val="28"/>
          <w:szCs w:val="28"/>
        </w:rPr>
      </w:pPr>
      <w:bookmarkStart w:name="_Toc449706603" w:id="0"/>
      <w:proofErr w:type="spellStart"/>
      <w:r w:rsidRPr="008C495D">
        <w:rPr>
          <w:b/>
          <w:bCs/>
          <w:sz w:val="28"/>
          <w:szCs w:val="28"/>
        </w:rPr>
        <w:t>NSCAW</w:t>
      </w:r>
      <w:proofErr w:type="spellEnd"/>
      <w:r w:rsidRPr="008C495D">
        <w:rPr>
          <w:b/>
          <w:bCs/>
          <w:sz w:val="28"/>
          <w:szCs w:val="28"/>
        </w:rPr>
        <w:t xml:space="preserve"> III Phase I</w:t>
      </w:r>
      <w:r w:rsidR="000B4B58">
        <w:rPr>
          <w:b/>
          <w:bCs/>
          <w:sz w:val="28"/>
          <w:szCs w:val="28"/>
        </w:rPr>
        <w:t xml:space="preserve"> and </w:t>
      </w:r>
      <w:r w:rsidRPr="008C495D">
        <w:rPr>
          <w:b/>
          <w:bCs/>
          <w:sz w:val="28"/>
          <w:szCs w:val="28"/>
        </w:rPr>
        <w:t>II Site Selection and Sampling</w:t>
      </w:r>
    </w:p>
    <w:p w:rsidR="008C495D" w:rsidP="008C495D" w:rsidRDefault="008C495D" w14:paraId="446C0E72" w14:textId="3AC681A8">
      <w:pPr>
        <w:pStyle w:val="Heading1"/>
        <w:ind w:left="0" w:firstLine="0"/>
      </w:pPr>
    </w:p>
    <w:p w:rsidR="005E6DF6" w:rsidP="005A6816" w:rsidRDefault="005E6DF6" w14:paraId="6C68D7BB" w14:textId="75D6D224">
      <w:r>
        <w:t xml:space="preserve">This document provides </w:t>
      </w:r>
      <w:r w:rsidR="00AA0D01">
        <w:t>the</w:t>
      </w:r>
      <w:bookmarkStart w:name="_GoBack" w:id="1"/>
      <w:bookmarkEnd w:id="1"/>
      <w:r w:rsidR="00AA0D01">
        <w:t xml:space="preserve"> </w:t>
      </w:r>
      <w:r>
        <w:t xml:space="preserve">overview of the Phase I and II of </w:t>
      </w:r>
      <w:proofErr w:type="spellStart"/>
      <w:r>
        <w:t>NSCAW</w:t>
      </w:r>
      <w:proofErr w:type="spellEnd"/>
      <w:r>
        <w:t xml:space="preserve"> III (OMB# 0970-0202) that guided site selection of child welfare agencies and sampling of the target population. </w:t>
      </w:r>
    </w:p>
    <w:p w:rsidRPr="005E6DF6" w:rsidR="005E6DF6" w:rsidP="005A6816" w:rsidRDefault="005E6DF6" w14:paraId="2713FF5C" w14:textId="77777777"/>
    <w:p w:rsidRPr="00C831B1" w:rsidR="00E115B2" w:rsidP="00E115B2" w:rsidRDefault="00E115B2" w14:paraId="6D382D41" w14:textId="71BC39C2">
      <w:pPr>
        <w:pStyle w:val="Heading1"/>
      </w:pPr>
      <w:r w:rsidRPr="00C831B1">
        <w:t>1.</w:t>
      </w:r>
      <w:r w:rsidRPr="00C831B1">
        <w:tab/>
      </w:r>
      <w:r w:rsidRPr="000B7347">
        <w:rPr>
          <w:rFonts w:ascii="Times New Roman Bold" w:hAnsi="Times New Roman Bold"/>
          <w:caps w:val="0"/>
        </w:rPr>
        <w:t>Respondent Universe and Sampling Methods</w:t>
      </w:r>
      <w:bookmarkEnd w:id="0"/>
    </w:p>
    <w:p w:rsidR="00E115B2" w:rsidP="00E115B2" w:rsidRDefault="00E115B2" w14:paraId="1F2D0223" w14:textId="77777777">
      <w:pPr>
        <w:pStyle w:val="BodyText"/>
      </w:pPr>
      <w:r>
        <w:t>For the sake of comparability across cohorts, the National Survey for Child and Adolescent Well-being (</w:t>
      </w:r>
      <w:proofErr w:type="spellStart"/>
      <w:r>
        <w:t>NSCAW</w:t>
      </w:r>
      <w:proofErr w:type="spellEnd"/>
      <w:r>
        <w:t xml:space="preserve"> III) sample design will mirror the original design used in </w:t>
      </w:r>
      <w:proofErr w:type="spellStart"/>
      <w:r>
        <w:t>NSCAW</w:t>
      </w:r>
      <w:proofErr w:type="spellEnd"/>
      <w:r>
        <w:t xml:space="preserve"> I and replicated in </w:t>
      </w:r>
      <w:proofErr w:type="spellStart"/>
      <w:r>
        <w:t>NSCAW</w:t>
      </w:r>
      <w:proofErr w:type="spellEnd"/>
      <w:r>
        <w:t xml:space="preserve"> II.</w:t>
      </w:r>
      <w:r>
        <w:rPr>
          <w:rStyle w:val="FootnoteReference"/>
        </w:rPr>
        <w:footnoteReference w:id="1"/>
      </w:r>
      <w:r>
        <w:t xml:space="preserve"> However, unlike </w:t>
      </w:r>
      <w:proofErr w:type="spellStart"/>
      <w:r>
        <w:t>NSCAW</w:t>
      </w:r>
      <w:proofErr w:type="spellEnd"/>
      <w:r>
        <w:t xml:space="preserve"> II which reused the </w:t>
      </w:r>
      <w:proofErr w:type="spellStart"/>
      <w:r>
        <w:t>NSCAW</w:t>
      </w:r>
      <w:proofErr w:type="spellEnd"/>
      <w:r>
        <w:t xml:space="preserve"> I primary sampling units (PSUs), </w:t>
      </w:r>
      <w:proofErr w:type="spellStart"/>
      <w:r>
        <w:t>NSCAW</w:t>
      </w:r>
      <w:proofErr w:type="spellEnd"/>
      <w:r>
        <w:t xml:space="preserve"> III will select a new sample of PSUs using a procedure that maximizes the overlap of the PSU sample. The sample design chosen for </w:t>
      </w:r>
      <w:proofErr w:type="spellStart"/>
      <w:r>
        <w:t>NSCAW</w:t>
      </w:r>
      <w:proofErr w:type="spellEnd"/>
      <w:r>
        <w:t xml:space="preserve"> III is based on the lessons learned from </w:t>
      </w:r>
      <w:proofErr w:type="spellStart"/>
      <w:r>
        <w:t>NSCAW</w:t>
      </w:r>
      <w:proofErr w:type="spellEnd"/>
      <w:r>
        <w:t xml:space="preserve"> </w:t>
      </w:r>
      <w:proofErr w:type="gramStart"/>
      <w:r>
        <w:t xml:space="preserve">I and </w:t>
      </w:r>
      <w:proofErr w:type="spellStart"/>
      <w:r>
        <w:t>NSCAW</w:t>
      </w:r>
      <w:proofErr w:type="spellEnd"/>
      <w:r>
        <w:t xml:space="preserve"> II</w:t>
      </w:r>
      <w:proofErr w:type="gramEnd"/>
      <w:r>
        <w:t xml:space="preserve"> and incorporates enhancements to improve the sampling precision.</w:t>
      </w:r>
    </w:p>
    <w:p w:rsidR="00E115B2" w:rsidP="00E115B2" w:rsidRDefault="00E115B2" w14:paraId="1CB7C55E" w14:textId="77777777">
      <w:pPr>
        <w:pStyle w:val="BodyText"/>
      </w:pPr>
      <w:r w:rsidRPr="00913EFC">
        <w:t xml:space="preserve">Key features of </w:t>
      </w:r>
      <w:r>
        <w:t xml:space="preserve">the </w:t>
      </w:r>
      <w:proofErr w:type="spellStart"/>
      <w:r w:rsidRPr="00913EFC">
        <w:t>NSCAW</w:t>
      </w:r>
      <w:proofErr w:type="spellEnd"/>
      <w:r w:rsidRPr="00913EFC">
        <w:t xml:space="preserve"> III</w:t>
      </w:r>
      <w:r>
        <w:t xml:space="preserve"> sampling design</w:t>
      </w:r>
      <w:r w:rsidRPr="00913EFC">
        <w:t xml:space="preserve"> are as follows:</w:t>
      </w:r>
    </w:p>
    <w:p w:rsidR="00E115B2" w:rsidP="00E115B2" w:rsidRDefault="00E115B2" w14:paraId="511B7A05" w14:textId="77777777">
      <w:pPr>
        <w:pStyle w:val="ListBullet"/>
      </w:pPr>
      <w:r w:rsidRPr="005F63FE">
        <w:t>Rather than carry over all former PSUs</w:t>
      </w:r>
      <w:r>
        <w:t xml:space="preserve"> from prior cohorts of </w:t>
      </w:r>
      <w:proofErr w:type="spellStart"/>
      <w:r>
        <w:t>NSCAW</w:t>
      </w:r>
      <w:proofErr w:type="spellEnd"/>
      <w:r w:rsidRPr="005F63FE">
        <w:t>,</w:t>
      </w:r>
      <w:r>
        <w:t xml:space="preserve"> a </w:t>
      </w:r>
      <w:r w:rsidRPr="005F63FE">
        <w:t>new</w:t>
      </w:r>
      <w:r>
        <w:t xml:space="preserve"> sample of 83 PSUs</w:t>
      </w:r>
      <w:r w:rsidRPr="005F63FE">
        <w:t xml:space="preserve"> </w:t>
      </w:r>
      <w:proofErr w:type="gramStart"/>
      <w:r>
        <w:t>will be selected</w:t>
      </w:r>
      <w:proofErr w:type="gramEnd"/>
      <w:r>
        <w:t xml:space="preserve"> in order to update the </w:t>
      </w:r>
      <w:r w:rsidRPr="005F63FE">
        <w:t xml:space="preserve">probability proportional to size (PPS) selection probabilities </w:t>
      </w:r>
      <w:r>
        <w:t xml:space="preserve">for the </w:t>
      </w:r>
      <w:r w:rsidRPr="005F63FE">
        <w:t>current distribution of the child welfare population.</w:t>
      </w:r>
    </w:p>
    <w:p w:rsidR="00E115B2" w:rsidP="00E115B2" w:rsidRDefault="00E115B2" w14:paraId="2624E79C" w14:textId="77777777">
      <w:pPr>
        <w:pStyle w:val="ListBullet"/>
      </w:pPr>
      <w:r>
        <w:t xml:space="preserve">A “maximal PSU sampling coordination” </w:t>
      </w:r>
      <w:r w:rsidRPr="001F4EC6">
        <w:t xml:space="preserve">approach </w:t>
      </w:r>
      <w:proofErr w:type="gramStart"/>
      <w:r>
        <w:t>will be used</w:t>
      </w:r>
      <w:proofErr w:type="gramEnd"/>
      <w:r>
        <w:t xml:space="preserve"> </w:t>
      </w:r>
      <w:r w:rsidRPr="001F4EC6">
        <w:t xml:space="preserve">that </w:t>
      </w:r>
      <w:r>
        <w:t xml:space="preserve">maximizes the probability of sampling </w:t>
      </w:r>
      <w:r w:rsidRPr="001F4EC6">
        <w:t xml:space="preserve">PSUs </w:t>
      </w:r>
      <w:r>
        <w:t xml:space="preserve">(or agencies) in the </w:t>
      </w:r>
      <w:proofErr w:type="spellStart"/>
      <w:r w:rsidRPr="001F4EC6">
        <w:t>NSCAW</w:t>
      </w:r>
      <w:proofErr w:type="spellEnd"/>
      <w:r w:rsidRPr="001F4EC6">
        <w:t xml:space="preserve"> II</w:t>
      </w:r>
      <w:r>
        <w:t xml:space="preserve"> sample.</w:t>
      </w:r>
    </w:p>
    <w:p w:rsidR="00E115B2" w:rsidP="00E115B2" w:rsidRDefault="005E6DF6" w14:paraId="70D624AF" w14:textId="7965359B">
      <w:pPr>
        <w:pStyle w:val="ListBullet"/>
      </w:pPr>
      <w:r>
        <w:t>Agency first contact (</w:t>
      </w:r>
      <w:r w:rsidR="00E115B2">
        <w:t>AFC</w:t>
      </w:r>
      <w:r>
        <w:t>)</w:t>
      </w:r>
      <w:r w:rsidR="00E115B2">
        <w:t xml:space="preserve"> </w:t>
      </w:r>
      <w:r w:rsidRPr="00C67220" w:rsidR="00E115B2">
        <w:t>states—</w:t>
      </w:r>
      <w:r w:rsidR="00E115B2">
        <w:t xml:space="preserve">i.e., states having </w:t>
      </w:r>
      <w:r w:rsidRPr="00C67220" w:rsidR="00E115B2">
        <w:t xml:space="preserve">legal statutes requiring </w:t>
      </w:r>
      <w:r w:rsidR="00E115B2">
        <w:t xml:space="preserve">the </w:t>
      </w:r>
      <w:r w:rsidRPr="00C67220" w:rsidR="00E115B2">
        <w:t>agencies to contact families and obtain written permission to allow their informat</w:t>
      </w:r>
      <w:r w:rsidRPr="00F21456" w:rsidR="00E115B2">
        <w:t>ion to be released</w:t>
      </w:r>
      <w:r w:rsidR="00E115B2">
        <w:t xml:space="preserve">—will be removed from the sample once they have been identified through the recruitment process. </w:t>
      </w:r>
    </w:p>
    <w:p w:rsidR="00E115B2" w:rsidP="00E115B2" w:rsidRDefault="00E115B2" w14:paraId="624A45AF" w14:textId="0338749D">
      <w:pPr>
        <w:pStyle w:val="BodyText"/>
      </w:pPr>
      <w:r>
        <w:t xml:space="preserve">The plan for sampling PSUs </w:t>
      </w:r>
      <w:proofErr w:type="gramStart"/>
      <w:r>
        <w:t>was outlined</w:t>
      </w:r>
      <w:proofErr w:type="gramEnd"/>
      <w:r>
        <w:t xml:space="preserve"> in detail in </w:t>
      </w:r>
      <w:r>
        <w:rPr>
          <w:szCs w:val="24"/>
        </w:rPr>
        <w:t>Phase I of the study</w:t>
      </w:r>
      <w:r>
        <w:rPr>
          <w:b/>
          <w:szCs w:val="24"/>
        </w:rPr>
        <w:t xml:space="preserve"> </w:t>
      </w:r>
      <w:r w:rsidRPr="00116F93">
        <w:rPr>
          <w:szCs w:val="24"/>
        </w:rPr>
        <w:t xml:space="preserve">approved by OMB in </w:t>
      </w:r>
      <w:r>
        <w:rPr>
          <w:szCs w:val="24"/>
        </w:rPr>
        <w:t xml:space="preserve">November 2016 </w:t>
      </w:r>
      <w:r>
        <w:t>(OMB # 0970-0202)</w:t>
      </w:r>
      <w:r>
        <w:rPr>
          <w:szCs w:val="24"/>
        </w:rPr>
        <w:t xml:space="preserve">. </w:t>
      </w:r>
      <w:r>
        <w:t xml:space="preserve"> Phase I activities began in November, are ongoing, and include the recruitment of the </w:t>
      </w:r>
      <w:r w:rsidRPr="005517B3">
        <w:t>child welfare agenc</w:t>
      </w:r>
      <w:r>
        <w:t>ies and the c</w:t>
      </w:r>
      <w:r w:rsidRPr="00D056EB">
        <w:t xml:space="preserve">ollection of </w:t>
      </w:r>
      <w:r>
        <w:t xml:space="preserve">sample frame </w:t>
      </w:r>
      <w:r w:rsidRPr="00D056EB">
        <w:t xml:space="preserve">files </w:t>
      </w:r>
      <w:r>
        <w:t>that will be used to select the sample of children involved with the child welfare system (</w:t>
      </w:r>
      <w:proofErr w:type="spellStart"/>
      <w:r>
        <w:t>CWS</w:t>
      </w:r>
      <w:proofErr w:type="spellEnd"/>
      <w:r>
        <w:t xml:space="preserve">). </w:t>
      </w:r>
    </w:p>
    <w:p w:rsidRPr="00B7434A" w:rsidR="00E115B2" w:rsidP="00E115B2" w:rsidRDefault="00E115B2" w14:paraId="56602B02" w14:textId="5D00A9C8">
      <w:pPr>
        <w:pStyle w:val="Heading2"/>
      </w:pPr>
      <w:bookmarkStart w:name="_Toc449706604" w:id="2"/>
      <w:r w:rsidRPr="00B7434A">
        <w:t>1.1</w:t>
      </w:r>
      <w:r w:rsidRPr="00B7434A">
        <w:tab/>
        <w:t>Target Population</w:t>
      </w:r>
      <w:bookmarkEnd w:id="2"/>
    </w:p>
    <w:p w:rsidRPr="00051B89" w:rsidR="00E115B2" w:rsidP="00E115B2" w:rsidRDefault="00E115B2" w14:paraId="425EBCCD" w14:textId="7D7E437B">
      <w:pPr>
        <w:pStyle w:val="BodyText"/>
      </w:pPr>
      <w:r>
        <w:t>For the baseline and 18-month follow-up data collection, the</w:t>
      </w:r>
      <w:r w:rsidRPr="00421FF9">
        <w:t xml:space="preserve"> target population for </w:t>
      </w:r>
      <w:proofErr w:type="spellStart"/>
      <w:r w:rsidRPr="00421FF9">
        <w:t>NSCAW</w:t>
      </w:r>
      <w:proofErr w:type="spellEnd"/>
      <w:r w:rsidRPr="00421FF9">
        <w:t xml:space="preserve"> III includes all children ages 0-17½ who</w:t>
      </w:r>
      <w:r w:rsidRPr="00945F06">
        <w:t xml:space="preserve"> </w:t>
      </w:r>
      <w:proofErr w:type="gramStart"/>
      <w:r w:rsidRPr="00985335">
        <w:t xml:space="preserve">come </w:t>
      </w:r>
      <w:r>
        <w:t>into contact with</w:t>
      </w:r>
      <w:proofErr w:type="gramEnd"/>
      <w:r w:rsidRPr="00985335">
        <w:t xml:space="preserve"> the </w:t>
      </w:r>
      <w:proofErr w:type="spellStart"/>
      <w:r w:rsidRPr="00985335">
        <w:t>CWS</w:t>
      </w:r>
      <w:proofErr w:type="spellEnd"/>
      <w:r w:rsidRPr="00421FF9">
        <w:t xml:space="preserve"> during the 12-month sampling period</w:t>
      </w:r>
      <w:r>
        <w:t xml:space="preserve">. Specifically, the target population includes children who were </w:t>
      </w:r>
      <w:r w:rsidRPr="00421FF9">
        <w:t>(1) were investigated or assessed for child abuse or neglect and (2) entered state legal custody through other pathways (e.g., juvenile justice). These children</w:t>
      </w:r>
      <w:r>
        <w:t xml:space="preserve">, who </w:t>
      </w:r>
      <w:proofErr w:type="gramStart"/>
      <w:r>
        <w:t>are placed</w:t>
      </w:r>
      <w:proofErr w:type="gramEnd"/>
      <w:r>
        <w:t xml:space="preserve"> into legal guardianship, may comprise as much as 20 percent</w:t>
      </w:r>
      <w:r w:rsidRPr="00421FF9">
        <w:t xml:space="preserve"> of children in out-of-home placement.</w:t>
      </w:r>
      <w:r>
        <w:t xml:space="preserve"> This</w:t>
      </w:r>
      <w:r w:rsidRPr="00421FF9">
        <w:t xml:space="preserve"> target population for </w:t>
      </w:r>
      <w:r>
        <w:t xml:space="preserve">Phase II of </w:t>
      </w:r>
      <w:proofErr w:type="spellStart"/>
      <w:r>
        <w:t>NSCAW</w:t>
      </w:r>
      <w:proofErr w:type="spellEnd"/>
      <w:r>
        <w:t xml:space="preserve"> III </w:t>
      </w:r>
      <w:proofErr w:type="gramStart"/>
      <w:r>
        <w:t>is shown</w:t>
      </w:r>
      <w:proofErr w:type="gramEnd"/>
      <w:r>
        <w:t xml:space="preserve"> in </w:t>
      </w:r>
      <w:r w:rsidRPr="00C21788">
        <w:rPr>
          <w:b/>
          <w:i/>
        </w:rPr>
        <w:t>Exhibit 1.1</w:t>
      </w:r>
      <w:r w:rsidRPr="00421FF9">
        <w:t>.</w:t>
      </w:r>
    </w:p>
    <w:tbl>
      <w:tblPr>
        <w:tblW w:w="6838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38"/>
      </w:tblGrid>
      <w:tr w:rsidRPr="00421FF9" w:rsidR="00E115B2" w:rsidTr="00083163" w14:paraId="401A5384" w14:textId="77777777">
        <w:trPr>
          <w:trHeight w:val="228"/>
        </w:trPr>
        <w:tc>
          <w:tcPr>
            <w:tcW w:w="6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Pr="00421FF9" w:rsidR="00E115B2" w:rsidP="00083163" w:rsidRDefault="00E115B2" w14:paraId="477DCC7B" w14:textId="6FEFC01D">
            <w:pPr>
              <w:pStyle w:val="FigureTitle"/>
            </w:pPr>
            <w:bookmarkStart w:name="_Toc458078226" w:id="3"/>
            <w:r>
              <w:lastRenderedPageBreak/>
              <w:t xml:space="preserve">Exhibit 1.1. Phase II of </w:t>
            </w:r>
            <w:proofErr w:type="spellStart"/>
            <w:r>
              <w:t>NSCAW</w:t>
            </w:r>
            <w:proofErr w:type="spellEnd"/>
            <w:r>
              <w:t xml:space="preserve"> III</w:t>
            </w:r>
            <w:r w:rsidRPr="00421FF9">
              <w:t xml:space="preserve"> Target Population</w:t>
            </w:r>
            <w:bookmarkEnd w:id="3"/>
          </w:p>
        </w:tc>
      </w:tr>
      <w:tr w:rsidRPr="00421FF9" w:rsidR="00E115B2" w:rsidTr="00083163" w14:paraId="7C4E82E7" w14:textId="77777777">
        <w:trPr>
          <w:trHeight w:val="3207"/>
        </w:trPr>
        <w:tc>
          <w:tcPr>
            <w:tcW w:w="6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21FF9" w:rsidR="00E115B2" w:rsidP="00083163" w:rsidRDefault="00E115B2" w14:paraId="4D02B7B5" w14:textId="77777777">
            <w:pPr>
              <w:pStyle w:val="agraph"/>
              <w:spacing w:before="0" w:after="0" w:line="360" w:lineRule="auto"/>
            </w:pPr>
            <w:r w:rsidRPr="00421FF9">
              <w:rPr>
                <w:rFonts w:eastAsia="Arial"/>
                <w:noProof/>
              </w:rPr>
              <w:drawing>
                <wp:inline distT="0" distB="0" distL="0" distR="0" wp14:anchorId="38BD1A7B" wp14:editId="49ADB0B5">
                  <wp:extent cx="4297680" cy="2030773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0000" r="2933" b="8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680" cy="20307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15B2" w:rsidP="00E115B2" w:rsidRDefault="00E115B2" w14:paraId="6B00C430" w14:textId="77777777">
      <w:pPr>
        <w:pStyle w:val="Source1"/>
      </w:pPr>
    </w:p>
    <w:p w:rsidRPr="005E6255" w:rsidR="00E115B2" w:rsidP="00E115B2" w:rsidRDefault="00E115B2" w14:paraId="17735169" w14:textId="77777777">
      <w:pPr>
        <w:pStyle w:val="BodyText"/>
      </w:pPr>
      <w:r w:rsidRPr="005E6255">
        <w:t>According to 2014 data from the National Child Abuse and Neglect Data System (</w:t>
      </w:r>
      <w:proofErr w:type="spellStart"/>
      <w:r w:rsidRPr="005E6255">
        <w:t>NCANDS</w:t>
      </w:r>
      <w:proofErr w:type="spellEnd"/>
      <w:r w:rsidRPr="005E6255">
        <w:t xml:space="preserve">), an estimated 3.6 million referrals of abuse or neglect, concerning approximately 6.6 million children, </w:t>
      </w:r>
      <w:proofErr w:type="gramStart"/>
      <w:r w:rsidRPr="005E6255">
        <w:t>were received</w:t>
      </w:r>
      <w:proofErr w:type="gramEnd"/>
      <w:r w:rsidRPr="005E6255">
        <w:t xml:space="preserve"> by child protective services (CPS).</w:t>
      </w:r>
      <w:r>
        <w:rPr>
          <w:vertAlign w:val="superscript"/>
        </w:rPr>
        <w:t xml:space="preserve"> </w:t>
      </w:r>
      <w:r w:rsidRPr="005E6255">
        <w:t xml:space="preserve">Almost 61 percent of those referrals </w:t>
      </w:r>
      <w:proofErr w:type="gramStart"/>
      <w:r w:rsidRPr="005E6255">
        <w:t>were accepted</w:t>
      </w:r>
      <w:proofErr w:type="gramEnd"/>
      <w:r w:rsidRPr="005E6255">
        <w:t xml:space="preserve"> for investigation or assessment.</w:t>
      </w:r>
    </w:p>
    <w:p w:rsidRPr="009D7473" w:rsidR="00E115B2" w:rsidP="00E115B2" w:rsidRDefault="00E115B2" w14:paraId="3E06F93E" w14:textId="00BEBB62">
      <w:pPr>
        <w:pStyle w:val="Heading2"/>
      </w:pPr>
      <w:bookmarkStart w:name="_Toc449706605" w:id="4"/>
      <w:r w:rsidRPr="009D7473">
        <w:t>1.2</w:t>
      </w:r>
      <w:r>
        <w:tab/>
      </w:r>
      <w:r w:rsidRPr="009D7473">
        <w:t>Sampling Frame Used and Its Coverage of the Target Population</w:t>
      </w:r>
      <w:bookmarkEnd w:id="4"/>
    </w:p>
    <w:p w:rsidR="00E115B2" w:rsidP="00E115B2" w:rsidRDefault="00E115B2" w14:paraId="2C94A008" w14:textId="77777777">
      <w:pPr>
        <w:pStyle w:val="BodyText"/>
      </w:pPr>
      <w:proofErr w:type="spellStart"/>
      <w:r>
        <w:t>NSCAW</w:t>
      </w:r>
      <w:proofErr w:type="spellEnd"/>
      <w:r>
        <w:t xml:space="preserve"> III will </w:t>
      </w:r>
      <w:r w:rsidRPr="00421FF9">
        <w:t>construct a sampling frame consisting of all counties in the U</w:t>
      </w:r>
      <w:r>
        <w:t>.</w:t>
      </w:r>
      <w:r w:rsidRPr="00421FF9">
        <w:t>S</w:t>
      </w:r>
      <w:r>
        <w:t>.</w:t>
      </w:r>
      <w:r w:rsidRPr="00421FF9">
        <w:t xml:space="preserve"> except for (1) very small ones, namely those </w:t>
      </w:r>
      <w:r>
        <w:t xml:space="preserve">who are expected to produce fewer than 55 completed </w:t>
      </w:r>
      <w:proofErr w:type="spellStart"/>
      <w:r>
        <w:t>NSCAW</w:t>
      </w:r>
      <w:proofErr w:type="spellEnd"/>
      <w:r>
        <w:t xml:space="preserve"> III interviews</w:t>
      </w:r>
      <w:r w:rsidRPr="00421FF9">
        <w:t xml:space="preserve"> (2) counties whose state law </w:t>
      </w:r>
      <w:r>
        <w:t xml:space="preserve">(AFC states) </w:t>
      </w:r>
      <w:r w:rsidRPr="00421FF9">
        <w:t xml:space="preserve">prohibits the release of information. The first exclusion </w:t>
      </w:r>
      <w:proofErr w:type="gramStart"/>
      <w:r w:rsidRPr="00421FF9">
        <w:t xml:space="preserve">was </w:t>
      </w:r>
      <w:r>
        <w:t xml:space="preserve">similarly </w:t>
      </w:r>
      <w:r w:rsidRPr="00421FF9">
        <w:t>used</w:t>
      </w:r>
      <w:proofErr w:type="gramEnd"/>
      <w:r w:rsidRPr="00421FF9">
        <w:t xml:space="preserve"> for previous </w:t>
      </w:r>
      <w:proofErr w:type="spellStart"/>
      <w:r w:rsidRPr="00421FF9">
        <w:t>NSCAW</w:t>
      </w:r>
      <w:proofErr w:type="spellEnd"/>
      <w:r w:rsidRPr="00421FF9">
        <w:t xml:space="preserve"> samples and fo</w:t>
      </w:r>
      <w:r>
        <w:t>r cost efficiency. Only about 1-2 percent</w:t>
      </w:r>
      <w:r w:rsidRPr="00421FF9">
        <w:t xml:space="preserve"> of the </w:t>
      </w:r>
      <w:proofErr w:type="gramStart"/>
      <w:r w:rsidRPr="00421FF9">
        <w:t>child</w:t>
      </w:r>
      <w:proofErr w:type="gramEnd"/>
      <w:r w:rsidRPr="00421FF9">
        <w:t xml:space="preserve"> welfare population resides in these small counties so their exclusion has a negligible effect on population coverage and estimation bias. </w:t>
      </w:r>
      <w:r w:rsidRPr="00A4335B">
        <w:t xml:space="preserve">The second exclusion (AFC states) is necessary because </w:t>
      </w:r>
      <w:proofErr w:type="gramStart"/>
      <w:r>
        <w:t xml:space="preserve">child welfare </w:t>
      </w:r>
      <w:r w:rsidRPr="00A4335B">
        <w:t xml:space="preserve">agencies in these states are prevented by </w:t>
      </w:r>
      <w:r>
        <w:t xml:space="preserve">state </w:t>
      </w:r>
      <w:r w:rsidRPr="00A4335B">
        <w:t xml:space="preserve">law from participating in the </w:t>
      </w:r>
      <w:proofErr w:type="spellStart"/>
      <w:r w:rsidRPr="00A4335B">
        <w:t>NSCAW</w:t>
      </w:r>
      <w:proofErr w:type="spellEnd"/>
      <w:proofErr w:type="gramEnd"/>
      <w:r>
        <w:t>.</w:t>
      </w:r>
    </w:p>
    <w:p w:rsidR="00E115B2" w:rsidP="00E115B2" w:rsidRDefault="00E115B2" w14:paraId="5CCC2AF2" w14:textId="5BAA113E">
      <w:pPr>
        <w:pStyle w:val="BodyText"/>
      </w:pPr>
      <w:r>
        <w:t xml:space="preserve">The </w:t>
      </w:r>
      <w:proofErr w:type="spellStart"/>
      <w:r>
        <w:t>NSCAW</w:t>
      </w:r>
      <w:proofErr w:type="spellEnd"/>
      <w:r>
        <w:t xml:space="preserve"> I target population represented approximately 94.6 percent of the U.S. population of children investigated or assessed for child abuse or neglect during the sampling period. In </w:t>
      </w:r>
      <w:proofErr w:type="spellStart"/>
      <w:r>
        <w:t>NSCAW</w:t>
      </w:r>
      <w:proofErr w:type="spellEnd"/>
      <w:r>
        <w:t xml:space="preserve"> II, it was approximately 88 percent </w:t>
      </w:r>
      <w:proofErr w:type="gramStart"/>
      <w:r>
        <w:t>as a result</w:t>
      </w:r>
      <w:proofErr w:type="gramEnd"/>
      <w:r>
        <w:t xml:space="preserve"> of the additional AFC states that were dropped from the study. In </w:t>
      </w:r>
      <w:proofErr w:type="spellStart"/>
      <w:r>
        <w:t>NSCAW</w:t>
      </w:r>
      <w:proofErr w:type="spellEnd"/>
      <w:r>
        <w:t xml:space="preserve"> III, population coverage for this same group is likely to be approximately at the </w:t>
      </w:r>
      <w:proofErr w:type="spellStart"/>
      <w:r>
        <w:t>NSCAW</w:t>
      </w:r>
      <w:proofErr w:type="spellEnd"/>
      <w:r>
        <w:t xml:space="preserve"> II levels or perhaps slightly lower if more states have passed AFC legislation necessitating their removal from the target population. Neither </w:t>
      </w:r>
      <w:proofErr w:type="spellStart"/>
      <w:r>
        <w:t>NSCAW</w:t>
      </w:r>
      <w:proofErr w:type="spellEnd"/>
      <w:r>
        <w:t xml:space="preserve"> I or II included children who enter and </w:t>
      </w:r>
      <w:proofErr w:type="gramStart"/>
      <w:r>
        <w:t>are served</w:t>
      </w:r>
      <w:proofErr w:type="gramEnd"/>
      <w:r>
        <w:t xml:space="preserve"> by the </w:t>
      </w:r>
      <w:proofErr w:type="spellStart"/>
      <w:r>
        <w:t>CWS</w:t>
      </w:r>
      <w:proofErr w:type="spellEnd"/>
      <w:r>
        <w:t xml:space="preserve"> without a maltreatment investigation. These children will be included in the </w:t>
      </w:r>
      <w:proofErr w:type="spellStart"/>
      <w:r>
        <w:t>NSCAW</w:t>
      </w:r>
      <w:proofErr w:type="spellEnd"/>
      <w:r>
        <w:t xml:space="preserve"> III target population (see Figure 1.1) so the coverage of this more broadly defined population could be greater than </w:t>
      </w:r>
      <w:proofErr w:type="spellStart"/>
      <w:r>
        <w:t>NSCAW</w:t>
      </w:r>
      <w:proofErr w:type="spellEnd"/>
      <w:r>
        <w:t xml:space="preserve"> I.</w:t>
      </w:r>
    </w:p>
    <w:p w:rsidRPr="009D7473" w:rsidR="00E115B2" w:rsidP="00E115B2" w:rsidRDefault="00E115B2" w14:paraId="1F98702A" w14:textId="30273C93">
      <w:pPr>
        <w:pStyle w:val="Heading2"/>
      </w:pPr>
      <w:bookmarkStart w:name="_Toc449706606" w:id="5"/>
      <w:r w:rsidRPr="009D7473">
        <w:t>1.3</w:t>
      </w:r>
      <w:r>
        <w:tab/>
      </w:r>
      <w:r w:rsidRPr="009D7473">
        <w:t>Design of the Sample (Including Any Stratification or Clustering)</w:t>
      </w:r>
      <w:bookmarkEnd w:id="5"/>
    </w:p>
    <w:p w:rsidR="00E115B2" w:rsidP="00E115B2" w:rsidRDefault="00E115B2" w14:paraId="3613C477" w14:textId="77777777">
      <w:pPr>
        <w:pStyle w:val="BodyText"/>
      </w:pPr>
      <w:proofErr w:type="spellStart"/>
      <w:r>
        <w:t>NSCAW</w:t>
      </w:r>
      <w:proofErr w:type="spellEnd"/>
      <w:r>
        <w:t xml:space="preserve"> III proposes to use a stratified, cluster sample design, similar to prior cohorts of </w:t>
      </w:r>
      <w:proofErr w:type="spellStart"/>
      <w:r>
        <w:t>NSCAW</w:t>
      </w:r>
      <w:proofErr w:type="spellEnd"/>
      <w:r>
        <w:t>.</w:t>
      </w:r>
    </w:p>
    <w:p w:rsidR="00E115B2" w:rsidP="00E115B2" w:rsidRDefault="00E115B2" w14:paraId="2F64CE77" w14:textId="77777777">
      <w:pPr>
        <w:pStyle w:val="BodyText"/>
        <w:rPr>
          <w:b/>
        </w:rPr>
      </w:pPr>
      <w:r w:rsidRPr="00A65AD6">
        <w:rPr>
          <w:b/>
        </w:rPr>
        <w:lastRenderedPageBreak/>
        <w:t>Phase I: Sampling of Child Welfare Agencies</w:t>
      </w:r>
      <w:r>
        <w:rPr>
          <w:b/>
        </w:rPr>
        <w:t xml:space="preserve"> (</w:t>
      </w:r>
      <w:r w:rsidRPr="009A7235">
        <w:rPr>
          <w:b/>
          <w:i/>
        </w:rPr>
        <w:t>Previously Approved; 0970-0202</w:t>
      </w:r>
      <w:r>
        <w:rPr>
          <w:b/>
          <w:i/>
        </w:rPr>
        <w:t>, Nov 2016</w:t>
      </w:r>
      <w:r>
        <w:rPr>
          <w:b/>
        </w:rPr>
        <w:t>)</w:t>
      </w:r>
    </w:p>
    <w:p w:rsidR="00EF4361" w:rsidP="00E115B2" w:rsidRDefault="00E115B2" w14:paraId="39F0333A" w14:textId="3A458E4A">
      <w:pPr>
        <w:pStyle w:val="BodyText"/>
      </w:pPr>
      <w:r>
        <w:t>The first stage of sampling involve</w:t>
      </w:r>
      <w:r w:rsidR="00EF4361">
        <w:t>d</w:t>
      </w:r>
      <w:r>
        <w:t xml:space="preserve"> the selection of primary sampling units (PSU), which for this study are U.S. counties. </w:t>
      </w:r>
      <w:r w:rsidR="00EF4361">
        <w:t>The following text includes the plan for sampling PSUs as submitted in t</w:t>
      </w:r>
      <w:r>
        <w:t>he Phase I OMB submission approved in November 2016 (OMB # 0970-0202)</w:t>
      </w:r>
      <w:r>
        <w:rPr>
          <w:szCs w:val="24"/>
        </w:rPr>
        <w:t xml:space="preserve">. </w:t>
      </w:r>
      <w:r>
        <w:t xml:space="preserve"> </w:t>
      </w:r>
    </w:p>
    <w:p w:rsidR="00E115B2" w:rsidP="00E115B2" w:rsidRDefault="00E115B2" w14:paraId="49517EC6" w14:textId="1783E4E0">
      <w:pPr>
        <w:pStyle w:val="BodyText"/>
      </w:pPr>
      <w:r w:rsidRPr="005E6255">
        <w:t xml:space="preserve">The frame PSUs </w:t>
      </w:r>
      <w:proofErr w:type="gramStart"/>
      <w:r w:rsidRPr="005E6255">
        <w:t>will be ordered</w:t>
      </w:r>
      <w:proofErr w:type="gramEnd"/>
      <w:r w:rsidRPr="005E6255">
        <w:t xml:space="preserve"> by Census region</w:t>
      </w:r>
      <w:r>
        <w:t xml:space="preserve">, </w:t>
      </w:r>
      <w:r w:rsidRPr="005E6255">
        <w:t xml:space="preserve">by state within Census region </w:t>
      </w:r>
      <w:r>
        <w:t xml:space="preserve">and then by urban/rural status </w:t>
      </w:r>
      <w:r w:rsidRPr="005E6255">
        <w:t>to ensure that regions and states</w:t>
      </w:r>
      <w:r>
        <w:t xml:space="preserve"> in both urban and rural areas</w:t>
      </w:r>
      <w:r w:rsidRPr="005E6255">
        <w:t xml:space="preserve"> will be sampled in proportion to their child welfare populations.</w:t>
      </w:r>
      <w:r>
        <w:t xml:space="preserve"> In a few very large counties such as Los Angeles County, </w:t>
      </w:r>
      <w:proofErr w:type="spellStart"/>
      <w:r>
        <w:t>CW</w:t>
      </w:r>
      <w:proofErr w:type="spellEnd"/>
      <w:r>
        <w:t xml:space="preserve"> agencies </w:t>
      </w:r>
      <w:proofErr w:type="gramStart"/>
      <w:r>
        <w:t>will be sampled</w:t>
      </w:r>
      <w:proofErr w:type="gramEnd"/>
      <w:r>
        <w:t xml:space="preserve"> proportionately. </w:t>
      </w:r>
      <w:r w:rsidRPr="009F6D15">
        <w:t xml:space="preserve">A frame of all children in the target population </w:t>
      </w:r>
      <w:proofErr w:type="gramStart"/>
      <w:r w:rsidRPr="009F6D15">
        <w:t>w</w:t>
      </w:r>
      <w:r>
        <w:t>ill be</w:t>
      </w:r>
      <w:r w:rsidRPr="009F6D15">
        <w:t xml:space="preserve"> developed</w:t>
      </w:r>
      <w:proofErr w:type="gramEnd"/>
      <w:r w:rsidRPr="009F6D15">
        <w:t xml:space="preserve"> for each sample </w:t>
      </w:r>
      <w:r>
        <w:t>agency</w:t>
      </w:r>
      <w:r w:rsidRPr="009F6D15">
        <w:t xml:space="preserve"> using lists obtained from the agencies</w:t>
      </w:r>
      <w:r>
        <w:t xml:space="preserve"> </w:t>
      </w:r>
      <w:r w:rsidRPr="009F6D15">
        <w:t xml:space="preserve">during each month of the sampling period. Then children </w:t>
      </w:r>
      <w:proofErr w:type="gramStart"/>
      <w:r w:rsidRPr="009F6D15">
        <w:t>w</w:t>
      </w:r>
      <w:r>
        <w:t>ill be</w:t>
      </w:r>
      <w:r w:rsidRPr="009F6D15">
        <w:t xml:space="preserve"> selected</w:t>
      </w:r>
      <w:proofErr w:type="gramEnd"/>
      <w:r w:rsidRPr="009F6D15">
        <w:t xml:space="preserve"> disproportionately in each PSU according to their sampling domain to achieve the desired sample size in each domain</w:t>
      </w:r>
      <w:r>
        <w:t xml:space="preserve">. </w:t>
      </w:r>
    </w:p>
    <w:p w:rsidR="00E115B2" w:rsidP="00E115B2" w:rsidRDefault="00E115B2" w14:paraId="56796013" w14:textId="77777777">
      <w:pPr>
        <w:pStyle w:val="BodyText"/>
      </w:pPr>
      <w:proofErr w:type="spellStart"/>
      <w:r w:rsidRPr="00421FF9">
        <w:t>Biemer</w:t>
      </w:r>
      <w:proofErr w:type="spellEnd"/>
      <w:r w:rsidRPr="00421FF9">
        <w:t xml:space="preserve"> (2007) determined </w:t>
      </w:r>
      <w:r>
        <w:t xml:space="preserve">that </w:t>
      </w:r>
      <w:r w:rsidRPr="00421FF9">
        <w:t xml:space="preserve">a sample size of 55 to 60 completed cases per PSU, per year, is ideal for </w:t>
      </w:r>
      <w:r>
        <w:t xml:space="preserve">the general </w:t>
      </w:r>
      <w:proofErr w:type="spellStart"/>
      <w:r w:rsidRPr="00421FF9">
        <w:t>NSCAW</w:t>
      </w:r>
      <w:proofErr w:type="spellEnd"/>
      <w:r w:rsidRPr="00421FF9">
        <w:t xml:space="preserve"> </w:t>
      </w:r>
      <w:r>
        <w:t xml:space="preserve">design </w:t>
      </w:r>
      <w:r w:rsidRPr="00421FF9">
        <w:t>in</w:t>
      </w:r>
      <w:r>
        <w:t xml:space="preserve"> terms of cost versus</w:t>
      </w:r>
      <w:r w:rsidRPr="00421FF9">
        <w:t xml:space="preserve"> error optimization.</w:t>
      </w:r>
      <w:r>
        <w:t xml:space="preserve"> Thus, for an overall sample size of 4,565 cases, 83 PSUs/cooperating child welfare agencies is optimal. </w:t>
      </w:r>
    </w:p>
    <w:p w:rsidR="00E115B2" w:rsidP="00E115B2" w:rsidRDefault="00E115B2" w14:paraId="09679332" w14:textId="77777777">
      <w:pPr>
        <w:pStyle w:val="BodyText"/>
      </w:pPr>
      <w:r>
        <w:t>Using a</w:t>
      </w:r>
      <w:r w:rsidRPr="005E6255">
        <w:t xml:space="preserve"> maximum sampling coordination approach</w:t>
      </w:r>
      <w:r>
        <w:t xml:space="preserve">, a sample of 83 </w:t>
      </w:r>
      <w:r w:rsidRPr="005E6255">
        <w:t>PSUs</w:t>
      </w:r>
      <w:r>
        <w:t>/cooperating child welfare agencies</w:t>
      </w:r>
      <w:r w:rsidRPr="005E6255">
        <w:t xml:space="preserve"> via PPS sampling using composite size measures that incorporate the population sizes of the selected domains in each PSU. Data from the most recent </w:t>
      </w:r>
      <w:proofErr w:type="spellStart"/>
      <w:r w:rsidRPr="005E6255">
        <w:t>NCANDS</w:t>
      </w:r>
      <w:proofErr w:type="spellEnd"/>
      <w:r w:rsidRPr="005E6255">
        <w:t xml:space="preserve"> file will supply these population counts. The composite size measure method (Folsom, Potter and Williams, 1987) provides a means to control domain sample sizes that maximizes the efficiency of the design by minimizing weight variation for units within sampling domains. PSUs will be defined </w:t>
      </w:r>
      <w:proofErr w:type="gramStart"/>
      <w:r w:rsidRPr="005E6255">
        <w:t>essentially</w:t>
      </w:r>
      <w:proofErr w:type="gramEnd"/>
      <w:r w:rsidRPr="005E6255">
        <w:t xml:space="preserve"> as they were in </w:t>
      </w:r>
      <w:proofErr w:type="spellStart"/>
      <w:r w:rsidRPr="005E6255">
        <w:t>NSCAW</w:t>
      </w:r>
      <w:proofErr w:type="spellEnd"/>
      <w:r w:rsidRPr="005E6255">
        <w:t xml:space="preserve"> II</w:t>
      </w:r>
      <w:r>
        <w:t xml:space="preserve"> (</w:t>
      </w:r>
      <w:r w:rsidRPr="005E6255">
        <w:t xml:space="preserve">i.e., geographic areas that encompass the population served by a single child </w:t>
      </w:r>
      <w:r>
        <w:t>welfare</w:t>
      </w:r>
      <w:r w:rsidRPr="005E6255">
        <w:t xml:space="preserve"> agency</w:t>
      </w:r>
      <w:r>
        <w:t>)</w:t>
      </w:r>
      <w:r w:rsidRPr="005E6255">
        <w:t xml:space="preserve">. In most cases, these areas correspond to counties or contiguous areas of two or more counties. In larger metropolitan areas with branch offices, the county </w:t>
      </w:r>
      <w:proofErr w:type="gramStart"/>
      <w:r w:rsidRPr="005E6255">
        <w:t>will be subdivided</w:t>
      </w:r>
      <w:proofErr w:type="gramEnd"/>
      <w:r w:rsidRPr="005E6255">
        <w:t xml:space="preserve"> into areas served by a single agency/office.</w:t>
      </w:r>
    </w:p>
    <w:p w:rsidR="00E115B2" w:rsidP="00E115B2" w:rsidRDefault="00E115B2" w14:paraId="658693EB" w14:textId="77777777">
      <w:pPr>
        <w:pStyle w:val="BodyText"/>
      </w:pPr>
      <w:r w:rsidRPr="00955ABD">
        <w:t xml:space="preserve">As in </w:t>
      </w:r>
      <w:proofErr w:type="spellStart"/>
      <w:r w:rsidRPr="00955ABD">
        <w:t>NSCAW</w:t>
      </w:r>
      <w:proofErr w:type="spellEnd"/>
      <w:r w:rsidRPr="00955ABD">
        <w:t xml:space="preserve"> I, the selection of primary sampling units (PSUs) will involve the following four steps:</w:t>
      </w:r>
    </w:p>
    <w:p w:rsidR="00E115B2" w:rsidP="00E115B2" w:rsidRDefault="00E115B2" w14:paraId="76E58565" w14:textId="77777777">
      <w:pPr>
        <w:pStyle w:val="ListContinue"/>
      </w:pPr>
      <w:r>
        <w:t>1.</w:t>
      </w:r>
      <w:r>
        <w:tab/>
        <w:t>Partition the target population into PSUs (i.e., counties)</w:t>
      </w:r>
    </w:p>
    <w:p w:rsidR="00E115B2" w:rsidP="00E115B2" w:rsidRDefault="00E115B2" w14:paraId="5E3B6A87" w14:textId="77777777">
      <w:pPr>
        <w:pStyle w:val="ListContinue"/>
      </w:pPr>
      <w:r>
        <w:t>2.</w:t>
      </w:r>
      <w:r>
        <w:tab/>
        <w:t>Compute a size measure for each PSU</w:t>
      </w:r>
    </w:p>
    <w:p w:rsidR="00E115B2" w:rsidP="00E115B2" w:rsidRDefault="00E115B2" w14:paraId="28729A2E" w14:textId="77777777">
      <w:pPr>
        <w:pStyle w:val="ListContinue"/>
      </w:pPr>
      <w:r>
        <w:t>3.</w:t>
      </w:r>
      <w:r>
        <w:tab/>
        <w:t>Stratify the PSU sampling frame</w:t>
      </w:r>
    </w:p>
    <w:p w:rsidRPr="00955ABD" w:rsidR="00E115B2" w:rsidP="00E115B2" w:rsidRDefault="00E115B2" w14:paraId="4F91A815" w14:textId="77777777">
      <w:pPr>
        <w:pStyle w:val="ListContinue"/>
      </w:pPr>
      <w:r>
        <w:t>4.</w:t>
      </w:r>
      <w:r>
        <w:tab/>
        <w:t>Select the sample of PSUs</w:t>
      </w:r>
    </w:p>
    <w:p w:rsidRPr="003A60BF" w:rsidR="00E115B2" w:rsidP="00E115B2" w:rsidRDefault="00E115B2" w14:paraId="21EA1183" w14:textId="77777777">
      <w:pPr>
        <w:pStyle w:val="BodyText"/>
      </w:pPr>
      <w:r>
        <w:t>T</w:t>
      </w:r>
      <w:r w:rsidRPr="003A60BF">
        <w:t xml:space="preserve">he activities for carrying out each </w:t>
      </w:r>
      <w:r>
        <w:t xml:space="preserve">of these four steps </w:t>
      </w:r>
      <w:proofErr w:type="gramStart"/>
      <w:r>
        <w:t>are outlined</w:t>
      </w:r>
      <w:proofErr w:type="gramEnd"/>
      <w:r>
        <w:t xml:space="preserve"> below:</w:t>
      </w:r>
    </w:p>
    <w:p w:rsidR="00E115B2" w:rsidP="00E115B2" w:rsidRDefault="00E115B2" w14:paraId="2BAE86F0" w14:textId="77777777">
      <w:pPr>
        <w:pStyle w:val="BodyText"/>
      </w:pPr>
      <w:r w:rsidRPr="003A60BF">
        <w:rPr>
          <w:u w:val="single"/>
        </w:rPr>
        <w:t>Step 1:</w:t>
      </w:r>
      <w:r>
        <w:rPr>
          <w:u w:val="single"/>
        </w:rPr>
        <w:t xml:space="preserve"> </w:t>
      </w:r>
      <w:r w:rsidRPr="003A60BF">
        <w:rPr>
          <w:u w:val="single"/>
        </w:rPr>
        <w:t>Partitioning the Target Population into PSUs</w:t>
      </w:r>
      <w:r w:rsidRPr="003A60BF">
        <w:t>.</w:t>
      </w:r>
      <w:r>
        <w:t xml:space="preserve"> </w:t>
      </w:r>
      <w:r w:rsidRPr="003A60BF">
        <w:t>The administrative structure of the child welfare system varies considerably across the states and even within states.</w:t>
      </w:r>
      <w:r>
        <w:t xml:space="preserve"> </w:t>
      </w:r>
      <w:r w:rsidRPr="003A60BF">
        <w:t xml:space="preserve">Therefore, </w:t>
      </w:r>
      <w:r>
        <w:t>a single definition of a PSU is</w:t>
      </w:r>
      <w:r w:rsidRPr="003A60BF">
        <w:t xml:space="preserve"> not feasible since it depended on the administrative structure of the state system, as well as the jurisdictions of child welfare agencies within the state.</w:t>
      </w:r>
      <w:r>
        <w:t xml:space="preserve"> </w:t>
      </w:r>
      <w:r w:rsidRPr="003A60BF">
        <w:t xml:space="preserve">For most areas of the country, the best definition of a PSU </w:t>
      </w:r>
      <w:r>
        <w:t>is</w:t>
      </w:r>
      <w:r w:rsidRPr="003A60BF">
        <w:t xml:space="preserve"> the county since it corresponds to a clearly defined political entity and geographic area of manageable size.</w:t>
      </w:r>
      <w:r>
        <w:t xml:space="preserve"> </w:t>
      </w:r>
      <w:r w:rsidRPr="003A60BF">
        <w:t xml:space="preserve">In other areas, the definition of a PSU </w:t>
      </w:r>
      <w:r>
        <w:t>is</w:t>
      </w:r>
      <w:r w:rsidRPr="003A60BF">
        <w:t xml:space="preserve"> not as straightforward, as in a single child welfare agency that had jurisdiction over several </w:t>
      </w:r>
      <w:r w:rsidRPr="003A60BF">
        <w:lastRenderedPageBreak/>
        <w:t>counties</w:t>
      </w:r>
      <w:r>
        <w:t>. In such instances,</w:t>
      </w:r>
      <w:r w:rsidRPr="003A60BF">
        <w:t xml:space="preserve"> the PSU </w:t>
      </w:r>
      <w:proofErr w:type="gramStart"/>
      <w:r>
        <w:t>will be</w:t>
      </w:r>
      <w:r w:rsidRPr="003A60BF">
        <w:t xml:space="preserve"> defined</w:t>
      </w:r>
      <w:proofErr w:type="gramEnd"/>
      <w:r w:rsidRPr="003A60BF">
        <w:t xml:space="preserve"> as a part of or the entire area over which the child welfare agency had jurisdiction. Extremely large counties or </w:t>
      </w:r>
      <w:proofErr w:type="spellStart"/>
      <w:r w:rsidRPr="003A60BF">
        <w:t>MSAs</w:t>
      </w:r>
      <w:proofErr w:type="spellEnd"/>
      <w:r w:rsidRPr="003A60BF">
        <w:t xml:space="preserve"> have child welfare agencies with many branch offices, each with its </w:t>
      </w:r>
      <w:r>
        <w:t xml:space="preserve">own data system. Such PSUs </w:t>
      </w:r>
      <w:proofErr w:type="gramStart"/>
      <w:r>
        <w:t>will be</w:t>
      </w:r>
      <w:r w:rsidRPr="003A60BF">
        <w:t xml:space="preserve"> divided</w:t>
      </w:r>
      <w:proofErr w:type="gramEnd"/>
      <w:r w:rsidRPr="003A60BF">
        <w:t xml:space="preserve"> into smaller units, such as areas delineated by branch office jurisdictions, to create manageable PSUs. For the purpose of the first-stage sampling discussion, counties</w:t>
      </w:r>
      <w:r>
        <w:t xml:space="preserve"> </w:t>
      </w:r>
      <w:proofErr w:type="gramStart"/>
      <w:r>
        <w:t>are referred</w:t>
      </w:r>
      <w:proofErr w:type="gramEnd"/>
      <w:r>
        <w:t xml:space="preserve"> to</w:t>
      </w:r>
      <w:r w:rsidRPr="003A60BF">
        <w:t xml:space="preserve"> as PSUs, for simplicity’s sake.</w:t>
      </w:r>
    </w:p>
    <w:p w:rsidR="006F3064" w:rsidP="00E115B2" w:rsidRDefault="00E115B2" w14:paraId="37A72E6A" w14:textId="5C8A11E3">
      <w:pPr>
        <w:pStyle w:val="BodyText"/>
        <w:rPr>
          <w:u w:val="single"/>
        </w:rPr>
      </w:pPr>
      <w:r w:rsidRPr="003A60BF">
        <w:t xml:space="preserve"> </w:t>
      </w:r>
      <w:r w:rsidRPr="00A65AD6">
        <w:rPr>
          <w:b/>
        </w:rPr>
        <w:t xml:space="preserve">Phase </w:t>
      </w:r>
      <w:r>
        <w:rPr>
          <w:b/>
        </w:rPr>
        <w:t>I</w:t>
      </w:r>
      <w:r w:rsidRPr="00A65AD6">
        <w:rPr>
          <w:b/>
        </w:rPr>
        <w:t xml:space="preserve">I: Sampling of </w:t>
      </w:r>
      <w:r>
        <w:rPr>
          <w:b/>
        </w:rPr>
        <w:t xml:space="preserve">Children </w:t>
      </w:r>
      <w:r w:rsidR="006E03D3">
        <w:rPr>
          <w:b/>
        </w:rPr>
        <w:t>(</w:t>
      </w:r>
      <w:r w:rsidRPr="009A7235" w:rsidR="006E03D3">
        <w:rPr>
          <w:b/>
          <w:i/>
        </w:rPr>
        <w:t>Previously Approved; 0970-0202</w:t>
      </w:r>
      <w:r w:rsidR="006E03D3">
        <w:rPr>
          <w:b/>
          <w:i/>
        </w:rPr>
        <w:t>, July 2017</w:t>
      </w:r>
      <w:proofErr w:type="gramStart"/>
      <w:r w:rsidR="006E03D3">
        <w:rPr>
          <w:b/>
        </w:rPr>
        <w:t>)</w:t>
      </w:r>
      <w:r w:rsidR="006F3064">
        <w:rPr>
          <w:u w:val="single"/>
        </w:rPr>
        <w:t>The</w:t>
      </w:r>
      <w:proofErr w:type="gramEnd"/>
      <w:r w:rsidR="006F3064">
        <w:rPr>
          <w:u w:val="single"/>
        </w:rPr>
        <w:t xml:space="preserve"> second stage of sampling involved selecting children from each PSU.  </w:t>
      </w:r>
      <w:r w:rsidR="006F3064">
        <w:t>The following text includes the plan for sampling children as submitted in the Phase II OMB submission approved in July 2017 (OMB # 0970-0202).</w:t>
      </w:r>
    </w:p>
    <w:p w:rsidRPr="00724F3E" w:rsidR="00E115B2" w:rsidP="00E115B2" w:rsidRDefault="00E115B2" w14:paraId="576F1C1D" w14:textId="5A45A6FB">
      <w:pPr>
        <w:pStyle w:val="BodyText"/>
        <w:rPr>
          <w:iCs/>
        </w:rPr>
      </w:pPr>
      <w:r w:rsidRPr="003A60BF">
        <w:rPr>
          <w:u w:val="single"/>
        </w:rPr>
        <w:t>Step 2:</w:t>
      </w:r>
      <w:r>
        <w:rPr>
          <w:u w:val="single"/>
        </w:rPr>
        <w:t xml:space="preserve"> Compute a </w:t>
      </w:r>
      <w:r w:rsidRPr="003A60BF">
        <w:rPr>
          <w:u w:val="single"/>
        </w:rPr>
        <w:t>Size Measure for Each PSU</w:t>
      </w:r>
      <w:r w:rsidRPr="003A60BF">
        <w:t>.</w:t>
      </w:r>
      <w:r>
        <w:t xml:space="preserve"> </w:t>
      </w:r>
      <w:r w:rsidRPr="003A60BF">
        <w:t xml:space="preserve">The </w:t>
      </w:r>
      <w:r>
        <w:t xml:space="preserve">second-stage sampling units </w:t>
      </w:r>
      <w:proofErr w:type="gramStart"/>
      <w:r>
        <w:t>will be stratified</w:t>
      </w:r>
      <w:proofErr w:type="gramEnd"/>
      <w:r>
        <w:t xml:space="preserve"> into nine</w:t>
      </w:r>
      <w:r w:rsidRPr="003A60BF">
        <w:t xml:space="preserve"> domains of interest to control the second-stage sample allocation </w:t>
      </w:r>
      <w:r>
        <w:t xml:space="preserve">so that </w:t>
      </w:r>
      <w:r w:rsidRPr="003A60BF">
        <w:t>domain</w:t>
      </w:r>
      <w:r>
        <w:t>s</w:t>
      </w:r>
      <w:r w:rsidRPr="003A60BF">
        <w:t xml:space="preserve"> of interest </w:t>
      </w:r>
      <w:r>
        <w:t xml:space="preserve">have </w:t>
      </w:r>
      <w:r w:rsidRPr="003A60BF">
        <w:t>sufficient sample sizes.</w:t>
      </w:r>
      <w:r>
        <w:t xml:space="preserve"> </w:t>
      </w:r>
      <w:r w:rsidRPr="003A60BF">
        <w:t xml:space="preserve">The second-stage </w:t>
      </w:r>
      <w:proofErr w:type="spellStart"/>
      <w:r w:rsidRPr="003A60BF">
        <w:t>NSCAW</w:t>
      </w:r>
      <w:proofErr w:type="spellEnd"/>
      <w:r w:rsidRPr="003A60BF">
        <w:t xml:space="preserve"> I</w:t>
      </w:r>
      <w:r>
        <w:t>II</w:t>
      </w:r>
      <w:r w:rsidRPr="003A60BF">
        <w:t xml:space="preserve"> domains and the allocation of achieved sample sizes </w:t>
      </w:r>
      <w:proofErr w:type="gramStart"/>
      <w:r w:rsidRPr="003A60BF">
        <w:t>are shown</w:t>
      </w:r>
      <w:proofErr w:type="gramEnd"/>
      <w:r w:rsidRPr="003A60BF">
        <w:t xml:space="preserve"> in </w:t>
      </w:r>
      <w:r>
        <w:rPr>
          <w:b/>
          <w:bCs/>
          <w:i/>
          <w:iCs/>
        </w:rPr>
        <w:t xml:space="preserve">Exhibit </w:t>
      </w:r>
      <w:r w:rsidRPr="003A60BF">
        <w:rPr>
          <w:b/>
          <w:bCs/>
          <w:i/>
          <w:iCs/>
        </w:rPr>
        <w:t>1</w:t>
      </w:r>
      <w:r>
        <w:rPr>
          <w:b/>
          <w:bCs/>
          <w:i/>
          <w:iCs/>
        </w:rPr>
        <w:t>.</w:t>
      </w:r>
      <w:r w:rsidRPr="003A60BF">
        <w:rPr>
          <w:b/>
          <w:bCs/>
          <w:i/>
          <w:iCs/>
        </w:rPr>
        <w:t>2.</w:t>
      </w:r>
      <w:r>
        <w:rPr>
          <w:i/>
          <w:iCs/>
        </w:rPr>
        <w:t xml:space="preserve"> </w:t>
      </w:r>
      <w:r>
        <w:rPr>
          <w:iCs/>
        </w:rPr>
        <w:t xml:space="preserve">Note that there are </w:t>
      </w:r>
      <w:proofErr w:type="gramStart"/>
      <w:r>
        <w:rPr>
          <w:iCs/>
        </w:rPr>
        <w:t>a total of nine</w:t>
      </w:r>
      <w:proofErr w:type="gramEnd"/>
      <w:r>
        <w:rPr>
          <w:iCs/>
        </w:rPr>
        <w:t xml:space="preserve"> sampling domains defined by columns 1 and 2 of the table. Column 3 is the expected sample size under proportionate sampling. Because some of these sample sizes are inadequate for research purposes, they </w:t>
      </w:r>
      <w:proofErr w:type="gramStart"/>
      <w:r>
        <w:rPr>
          <w:iCs/>
        </w:rPr>
        <w:t>will be increased</w:t>
      </w:r>
      <w:proofErr w:type="gramEnd"/>
      <w:r>
        <w:rPr>
          <w:iCs/>
        </w:rPr>
        <w:t xml:space="preserve"> to the levels shown in Column 4 (Target sample size). </w:t>
      </w:r>
      <w:proofErr w:type="gramStart"/>
      <w:r>
        <w:rPr>
          <w:iCs/>
        </w:rPr>
        <w:t xml:space="preserve">Also shown in this table is the unequal weighting effect (UWE), clustering effect (based upon the expected </w:t>
      </w:r>
      <w:proofErr w:type="spellStart"/>
      <w:r>
        <w:rPr>
          <w:iCs/>
        </w:rPr>
        <w:t>intercluster</w:t>
      </w:r>
      <w:proofErr w:type="spellEnd"/>
      <w:r>
        <w:rPr>
          <w:iCs/>
        </w:rPr>
        <w:t xml:space="preserve"> correlation), the effective sample size (which is the target sample size divided by the UWE and the clustering effect) and the minimum detectable effect size (</w:t>
      </w:r>
      <w:proofErr w:type="spellStart"/>
      <w:r>
        <w:rPr>
          <w:iCs/>
        </w:rPr>
        <w:t>MDES</w:t>
      </w:r>
      <w:proofErr w:type="spellEnd"/>
      <w:r>
        <w:rPr>
          <w:iCs/>
        </w:rPr>
        <w:t>) which is the smallest effect size that can be detected with 80 percent power and a type I error of 5 percent.</w:t>
      </w:r>
      <w:proofErr w:type="gramEnd"/>
    </w:p>
    <w:p w:rsidR="00E115B2" w:rsidP="00E115B2" w:rsidRDefault="00E115B2" w14:paraId="5C966B1C" w14:textId="752A0512">
      <w:pPr>
        <w:pStyle w:val="FigureTitle"/>
      </w:pPr>
      <w:bookmarkStart w:name="_Toc458078227" w:id="6"/>
      <w:r>
        <w:t>Exhibit 1.2. Second-Stage Sampling Domains</w:t>
      </w:r>
      <w:bookmarkEnd w:id="6"/>
    </w:p>
    <w:tbl>
      <w:tblPr>
        <w:tblW w:w="95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2160"/>
        <w:gridCol w:w="1440"/>
        <w:gridCol w:w="990"/>
        <w:gridCol w:w="811"/>
        <w:gridCol w:w="1103"/>
        <w:gridCol w:w="952"/>
        <w:gridCol w:w="705"/>
      </w:tblGrid>
      <w:tr w:rsidR="00E115B2" w:rsidTr="00083163" w14:paraId="31A9325F" w14:textId="77777777">
        <w:trPr>
          <w:cantSplit/>
          <w:tblHeader/>
          <w:jc w:val="center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CCCCCC" w:sz="4" w:space="0"/>
              <w:right w:val="nil"/>
            </w:tcBorders>
            <w:shd w:val="clear" w:color="auto" w:fill="6495ED"/>
            <w:tcMar>
              <w:left w:w="67" w:type="dxa"/>
              <w:right w:w="67" w:type="dxa"/>
            </w:tcMar>
            <w:vAlign w:val="bottom"/>
          </w:tcPr>
          <w:p w:rsidR="00E115B2" w:rsidP="00083163" w:rsidRDefault="00E115B2" w14:paraId="11980491" w14:textId="77777777">
            <w:pPr>
              <w:adjustRightInd w:val="0"/>
              <w:spacing w:before="50" w:after="50"/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bookmarkStart w:name="IDX" w:id="7"/>
            <w:bookmarkEnd w:id="7"/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Age group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6495ED"/>
            <w:tcMar>
              <w:left w:w="67" w:type="dxa"/>
              <w:right w:w="67" w:type="dxa"/>
            </w:tcMar>
            <w:vAlign w:val="bottom"/>
          </w:tcPr>
          <w:p w:rsidR="00E115B2" w:rsidP="00083163" w:rsidRDefault="00E115B2" w14:paraId="0FF3D7AA" w14:textId="77777777">
            <w:pPr>
              <w:adjustRightInd w:val="0"/>
              <w:spacing w:before="50" w:after="50"/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Services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6495ED"/>
            <w:tcMar>
              <w:left w:w="67" w:type="dxa"/>
              <w:right w:w="67" w:type="dxa"/>
            </w:tcMar>
            <w:vAlign w:val="bottom"/>
          </w:tcPr>
          <w:p w:rsidR="00E115B2" w:rsidP="00083163" w:rsidRDefault="00E115B2" w14:paraId="18A555F3" w14:textId="77777777">
            <w:pPr>
              <w:adjustRightInd w:val="0"/>
              <w:spacing w:before="50" w:after="50"/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Proportionate</w:t>
            </w: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br/>
              <w:t>sample size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6495ED"/>
            <w:tcMar>
              <w:left w:w="67" w:type="dxa"/>
              <w:right w:w="67" w:type="dxa"/>
            </w:tcMar>
            <w:vAlign w:val="bottom"/>
          </w:tcPr>
          <w:p w:rsidR="00E115B2" w:rsidP="00083163" w:rsidRDefault="00E115B2" w14:paraId="19DEFFCE" w14:textId="77777777">
            <w:pPr>
              <w:adjustRightInd w:val="0"/>
              <w:spacing w:before="50" w:after="50"/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Target</w:t>
            </w: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br/>
              <w:t>sample size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6495ED"/>
            <w:tcMar>
              <w:left w:w="67" w:type="dxa"/>
              <w:right w:w="67" w:type="dxa"/>
            </w:tcMar>
            <w:vAlign w:val="bottom"/>
          </w:tcPr>
          <w:p w:rsidR="00E115B2" w:rsidP="00083163" w:rsidRDefault="00E115B2" w14:paraId="1B0841FA" w14:textId="77777777">
            <w:pPr>
              <w:adjustRightInd w:val="0"/>
              <w:spacing w:before="50" w:after="50"/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UWE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6495ED"/>
            <w:tcMar>
              <w:left w:w="67" w:type="dxa"/>
              <w:right w:w="67" w:type="dxa"/>
            </w:tcMar>
            <w:vAlign w:val="bottom"/>
          </w:tcPr>
          <w:p w:rsidR="00E115B2" w:rsidP="00083163" w:rsidRDefault="00E115B2" w14:paraId="26D7D9E1" w14:textId="77777777">
            <w:pPr>
              <w:adjustRightInd w:val="0"/>
              <w:spacing w:before="50" w:after="50"/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Clustering</w:t>
            </w: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br/>
              <w:t>effect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6495ED"/>
            <w:tcMar>
              <w:left w:w="67" w:type="dxa"/>
              <w:right w:w="67" w:type="dxa"/>
            </w:tcMar>
            <w:vAlign w:val="bottom"/>
          </w:tcPr>
          <w:p w:rsidR="00E115B2" w:rsidP="00083163" w:rsidRDefault="00E115B2" w14:paraId="41CE6035" w14:textId="77777777">
            <w:pPr>
              <w:adjustRightInd w:val="0"/>
              <w:spacing w:before="50" w:after="50"/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Effective</w:t>
            </w:r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br/>
              <w:t>sample size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CCCCCC" w:sz="4" w:space="0"/>
              <w:bottom w:val="single" w:color="CCCCCC" w:sz="4" w:space="0"/>
              <w:right w:val="single" w:color="000000" w:sz="4" w:space="0"/>
            </w:tcBorders>
            <w:shd w:val="clear" w:color="auto" w:fill="6495ED"/>
            <w:tcMar>
              <w:left w:w="67" w:type="dxa"/>
              <w:right w:w="67" w:type="dxa"/>
            </w:tcMar>
            <w:vAlign w:val="bottom"/>
          </w:tcPr>
          <w:p w:rsidR="00E115B2" w:rsidP="00083163" w:rsidRDefault="00E115B2" w14:paraId="254DB86F" w14:textId="77777777">
            <w:pPr>
              <w:adjustRightInd w:val="0"/>
              <w:spacing w:before="50" w:after="50"/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9"/>
                <w:szCs w:val="19"/>
              </w:rPr>
              <w:t>MDES</w:t>
            </w:r>
            <w:proofErr w:type="spellEnd"/>
          </w:p>
        </w:tc>
      </w:tr>
      <w:tr w:rsidR="00E115B2" w:rsidTr="00083163" w14:paraId="664C9B12" w14:textId="77777777">
        <w:trPr>
          <w:cantSplit/>
          <w:jc w:val="center"/>
        </w:trPr>
        <w:tc>
          <w:tcPr>
            <w:tcW w:w="1435" w:type="dxa"/>
            <w:vMerge w:val="restart"/>
            <w:tcBorders>
              <w:top w:val="nil"/>
              <w:left w:val="single" w:color="000000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2FE3B41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Infant (under 1 year)</w:t>
            </w:r>
          </w:p>
        </w:tc>
        <w:tc>
          <w:tcPr>
            <w:tcW w:w="216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2E34172A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Services in home</w:t>
            </w:r>
          </w:p>
        </w:tc>
        <w:tc>
          <w:tcPr>
            <w:tcW w:w="144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1F6964FA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109</w:t>
            </w:r>
          </w:p>
        </w:tc>
        <w:tc>
          <w:tcPr>
            <w:tcW w:w="99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29537F92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533</w:t>
            </w:r>
          </w:p>
        </w:tc>
        <w:tc>
          <w:tcPr>
            <w:tcW w:w="811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0351D916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1.000</w:t>
            </w:r>
          </w:p>
        </w:tc>
        <w:tc>
          <w:tcPr>
            <w:tcW w:w="1103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7601DAAF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1.358</w:t>
            </w:r>
          </w:p>
        </w:tc>
        <w:tc>
          <w:tcPr>
            <w:tcW w:w="952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02F6689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392</w:t>
            </w:r>
          </w:p>
        </w:tc>
        <w:tc>
          <w:tcPr>
            <w:tcW w:w="705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000000" w:sz="4" w:space="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757D6305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0.200</w:t>
            </w:r>
          </w:p>
        </w:tc>
      </w:tr>
      <w:tr w:rsidR="00E115B2" w:rsidTr="00083163" w14:paraId="5DAE8862" w14:textId="77777777">
        <w:trPr>
          <w:cantSplit/>
          <w:jc w:val="center"/>
        </w:trPr>
        <w:tc>
          <w:tcPr>
            <w:tcW w:w="1435" w:type="dxa"/>
            <w:vMerge/>
            <w:tcBorders>
              <w:left w:val="single" w:color="000000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23E5DCE1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4576753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Services out of home</w:t>
            </w:r>
          </w:p>
        </w:tc>
        <w:tc>
          <w:tcPr>
            <w:tcW w:w="144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6823AED8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73</w:t>
            </w:r>
          </w:p>
        </w:tc>
        <w:tc>
          <w:tcPr>
            <w:tcW w:w="99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3BF7908D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533</w:t>
            </w:r>
          </w:p>
        </w:tc>
        <w:tc>
          <w:tcPr>
            <w:tcW w:w="811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23714345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1.000</w:t>
            </w:r>
          </w:p>
        </w:tc>
        <w:tc>
          <w:tcPr>
            <w:tcW w:w="1103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B2E83EF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1.358</w:t>
            </w:r>
          </w:p>
        </w:tc>
        <w:tc>
          <w:tcPr>
            <w:tcW w:w="952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528847CE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392</w:t>
            </w:r>
          </w:p>
        </w:tc>
        <w:tc>
          <w:tcPr>
            <w:tcW w:w="705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000000" w:sz="4" w:space="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51379DD3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0.200</w:t>
            </w:r>
          </w:p>
        </w:tc>
      </w:tr>
      <w:tr w:rsidR="00E115B2" w:rsidTr="00083163" w14:paraId="2FB67B58" w14:textId="77777777">
        <w:trPr>
          <w:cantSplit/>
          <w:jc w:val="center"/>
        </w:trPr>
        <w:tc>
          <w:tcPr>
            <w:tcW w:w="1435" w:type="dxa"/>
            <w:vMerge/>
            <w:tcBorders>
              <w:left w:val="single" w:color="000000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0BB3048D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6DC24CBE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 services</w:t>
            </w:r>
          </w:p>
        </w:tc>
        <w:tc>
          <w:tcPr>
            <w:tcW w:w="144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520705B7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182</w:t>
            </w:r>
          </w:p>
        </w:tc>
        <w:tc>
          <w:tcPr>
            <w:tcW w:w="99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72731E83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533</w:t>
            </w:r>
          </w:p>
        </w:tc>
        <w:tc>
          <w:tcPr>
            <w:tcW w:w="811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5666A0C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1.000</w:t>
            </w:r>
          </w:p>
        </w:tc>
        <w:tc>
          <w:tcPr>
            <w:tcW w:w="1103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04FF1BEA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1.358</w:t>
            </w:r>
          </w:p>
        </w:tc>
        <w:tc>
          <w:tcPr>
            <w:tcW w:w="952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9DE9369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392</w:t>
            </w:r>
          </w:p>
        </w:tc>
        <w:tc>
          <w:tcPr>
            <w:tcW w:w="705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000000" w:sz="4" w:space="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7AC9EDD8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0.200</w:t>
            </w:r>
          </w:p>
        </w:tc>
      </w:tr>
      <w:tr w:rsidR="00E115B2" w:rsidTr="00083163" w14:paraId="5FBB06F4" w14:textId="77777777">
        <w:trPr>
          <w:cantSplit/>
          <w:jc w:val="center"/>
        </w:trPr>
        <w:tc>
          <w:tcPr>
            <w:tcW w:w="1435" w:type="dxa"/>
            <w:vMerge w:val="restart"/>
            <w:tcBorders>
              <w:top w:val="nil"/>
              <w:left w:val="single" w:color="000000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06A6ACD3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Ages 1 to 11</w:t>
            </w:r>
          </w:p>
        </w:tc>
        <w:tc>
          <w:tcPr>
            <w:tcW w:w="216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340C390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Services in home</w:t>
            </w:r>
          </w:p>
        </w:tc>
        <w:tc>
          <w:tcPr>
            <w:tcW w:w="144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269B4BE6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914</w:t>
            </w:r>
          </w:p>
        </w:tc>
        <w:tc>
          <w:tcPr>
            <w:tcW w:w="99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2EBB6F34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397</w:t>
            </w:r>
          </w:p>
        </w:tc>
        <w:tc>
          <w:tcPr>
            <w:tcW w:w="811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67A5DDA7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1.000</w:t>
            </w:r>
          </w:p>
        </w:tc>
        <w:tc>
          <w:tcPr>
            <w:tcW w:w="1103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61353F9C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1.250</w:t>
            </w:r>
          </w:p>
        </w:tc>
        <w:tc>
          <w:tcPr>
            <w:tcW w:w="952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52D62BBF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318</w:t>
            </w:r>
          </w:p>
        </w:tc>
        <w:tc>
          <w:tcPr>
            <w:tcW w:w="705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000000" w:sz="4" w:space="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7D5923B0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0.222</w:t>
            </w:r>
          </w:p>
        </w:tc>
      </w:tr>
      <w:tr w:rsidR="00E115B2" w:rsidTr="00083163" w14:paraId="36AA605D" w14:textId="77777777">
        <w:trPr>
          <w:cantSplit/>
          <w:jc w:val="center"/>
        </w:trPr>
        <w:tc>
          <w:tcPr>
            <w:tcW w:w="1435" w:type="dxa"/>
            <w:vMerge/>
            <w:tcBorders>
              <w:left w:val="single" w:color="000000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2506ADC3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0C44D3A1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Services out of home</w:t>
            </w:r>
          </w:p>
        </w:tc>
        <w:tc>
          <w:tcPr>
            <w:tcW w:w="144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7778D65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291</w:t>
            </w:r>
          </w:p>
        </w:tc>
        <w:tc>
          <w:tcPr>
            <w:tcW w:w="99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50784796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189</w:t>
            </w:r>
          </w:p>
        </w:tc>
        <w:tc>
          <w:tcPr>
            <w:tcW w:w="811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315F34E9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1.000</w:t>
            </w:r>
          </w:p>
        </w:tc>
        <w:tc>
          <w:tcPr>
            <w:tcW w:w="1103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2C7DAC4E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1.084</w:t>
            </w:r>
          </w:p>
        </w:tc>
        <w:tc>
          <w:tcPr>
            <w:tcW w:w="952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6C48081F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174</w:t>
            </w:r>
          </w:p>
        </w:tc>
        <w:tc>
          <w:tcPr>
            <w:tcW w:w="705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000000" w:sz="4" w:space="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226C7AA9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0.300</w:t>
            </w:r>
          </w:p>
        </w:tc>
      </w:tr>
      <w:tr w:rsidR="00E115B2" w:rsidTr="00083163" w14:paraId="2C61D879" w14:textId="77777777">
        <w:trPr>
          <w:cantSplit/>
          <w:jc w:val="center"/>
        </w:trPr>
        <w:tc>
          <w:tcPr>
            <w:tcW w:w="1435" w:type="dxa"/>
            <w:vMerge/>
            <w:tcBorders>
              <w:left w:val="single" w:color="000000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13FA7C0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2135408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 services</w:t>
            </w:r>
          </w:p>
        </w:tc>
        <w:tc>
          <w:tcPr>
            <w:tcW w:w="144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7A8B843B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1,799</w:t>
            </w:r>
          </w:p>
        </w:tc>
        <w:tc>
          <w:tcPr>
            <w:tcW w:w="99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555CB6A8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782</w:t>
            </w:r>
          </w:p>
        </w:tc>
        <w:tc>
          <w:tcPr>
            <w:tcW w:w="811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60D8222C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1.000</w:t>
            </w:r>
          </w:p>
        </w:tc>
        <w:tc>
          <w:tcPr>
            <w:tcW w:w="1103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5EA3D556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1.556</w:t>
            </w:r>
          </w:p>
        </w:tc>
        <w:tc>
          <w:tcPr>
            <w:tcW w:w="952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E3C3EE6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503</w:t>
            </w:r>
          </w:p>
        </w:tc>
        <w:tc>
          <w:tcPr>
            <w:tcW w:w="705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000000" w:sz="4" w:space="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7845E4A7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0.177</w:t>
            </w:r>
          </w:p>
        </w:tc>
      </w:tr>
      <w:tr w:rsidR="00E115B2" w:rsidTr="00083163" w14:paraId="4692F226" w14:textId="77777777">
        <w:trPr>
          <w:cantSplit/>
          <w:jc w:val="center"/>
        </w:trPr>
        <w:tc>
          <w:tcPr>
            <w:tcW w:w="1435" w:type="dxa"/>
            <w:vMerge w:val="restart"/>
            <w:tcBorders>
              <w:top w:val="nil"/>
              <w:left w:val="single" w:color="000000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0BA72E6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Ages 12 to 17</w:t>
            </w:r>
          </w:p>
        </w:tc>
        <w:tc>
          <w:tcPr>
            <w:tcW w:w="216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BD6AC55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Services in home</w:t>
            </w:r>
          </w:p>
        </w:tc>
        <w:tc>
          <w:tcPr>
            <w:tcW w:w="144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059E1D5D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366</w:t>
            </w:r>
          </w:p>
        </w:tc>
        <w:tc>
          <w:tcPr>
            <w:tcW w:w="99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1DD91C27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533</w:t>
            </w:r>
          </w:p>
        </w:tc>
        <w:tc>
          <w:tcPr>
            <w:tcW w:w="811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2D19D3D1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1.000</w:t>
            </w:r>
          </w:p>
        </w:tc>
        <w:tc>
          <w:tcPr>
            <w:tcW w:w="1103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52DFD5FC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1.358</w:t>
            </w:r>
          </w:p>
        </w:tc>
        <w:tc>
          <w:tcPr>
            <w:tcW w:w="952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70211550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392</w:t>
            </w:r>
          </w:p>
        </w:tc>
        <w:tc>
          <w:tcPr>
            <w:tcW w:w="705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000000" w:sz="4" w:space="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03B8610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0.200</w:t>
            </w:r>
          </w:p>
        </w:tc>
      </w:tr>
      <w:tr w:rsidR="00E115B2" w:rsidTr="00083163" w14:paraId="73B13247" w14:textId="77777777">
        <w:trPr>
          <w:cantSplit/>
          <w:jc w:val="center"/>
        </w:trPr>
        <w:tc>
          <w:tcPr>
            <w:tcW w:w="1435" w:type="dxa"/>
            <w:vMerge/>
            <w:tcBorders>
              <w:left w:val="single" w:color="000000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0E606995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23BF4170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Services out of home</w:t>
            </w:r>
          </w:p>
        </w:tc>
        <w:tc>
          <w:tcPr>
            <w:tcW w:w="144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7B3E2406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123</w:t>
            </w:r>
          </w:p>
        </w:tc>
        <w:tc>
          <w:tcPr>
            <w:tcW w:w="99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19F8FF2E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533</w:t>
            </w:r>
          </w:p>
        </w:tc>
        <w:tc>
          <w:tcPr>
            <w:tcW w:w="811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00624B13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1.000</w:t>
            </w:r>
          </w:p>
        </w:tc>
        <w:tc>
          <w:tcPr>
            <w:tcW w:w="1103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55E6D6B1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1.358</w:t>
            </w:r>
          </w:p>
        </w:tc>
        <w:tc>
          <w:tcPr>
            <w:tcW w:w="952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13C72663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392</w:t>
            </w:r>
          </w:p>
        </w:tc>
        <w:tc>
          <w:tcPr>
            <w:tcW w:w="705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000000" w:sz="4" w:space="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5A185CE9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0.200</w:t>
            </w:r>
          </w:p>
        </w:tc>
      </w:tr>
      <w:tr w:rsidR="00E115B2" w:rsidTr="00083163" w14:paraId="24F6298B" w14:textId="77777777">
        <w:trPr>
          <w:cantSplit/>
          <w:jc w:val="center"/>
        </w:trPr>
        <w:tc>
          <w:tcPr>
            <w:tcW w:w="1435" w:type="dxa"/>
            <w:vMerge/>
            <w:tcBorders>
              <w:left w:val="single" w:color="000000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6FE2D39D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6BDD17C2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 services</w:t>
            </w:r>
          </w:p>
        </w:tc>
        <w:tc>
          <w:tcPr>
            <w:tcW w:w="144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1BE552B5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708</w:t>
            </w:r>
          </w:p>
        </w:tc>
        <w:tc>
          <w:tcPr>
            <w:tcW w:w="990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7A2AC84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533</w:t>
            </w:r>
          </w:p>
        </w:tc>
        <w:tc>
          <w:tcPr>
            <w:tcW w:w="811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6C117B9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1.000</w:t>
            </w:r>
          </w:p>
        </w:tc>
        <w:tc>
          <w:tcPr>
            <w:tcW w:w="1103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78B7F0E4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1.358</w:t>
            </w:r>
          </w:p>
        </w:tc>
        <w:tc>
          <w:tcPr>
            <w:tcW w:w="952" w:type="dxa"/>
            <w:tcBorders>
              <w:top w:val="nil"/>
              <w:left w:val="single" w:color="CCCCCC" w:sz="4" w:space="0"/>
              <w:bottom w:val="single" w:color="CCCCCC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3A14F1E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392</w:t>
            </w:r>
          </w:p>
        </w:tc>
        <w:tc>
          <w:tcPr>
            <w:tcW w:w="705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000000" w:sz="4" w:space="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1E650825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0.200</w:t>
            </w:r>
          </w:p>
        </w:tc>
      </w:tr>
      <w:tr w:rsidR="00E115B2" w:rsidTr="00083163" w14:paraId="77D0D20F" w14:textId="77777777">
        <w:trPr>
          <w:cantSplit/>
          <w:jc w:val="center"/>
        </w:trPr>
        <w:tc>
          <w:tcPr>
            <w:tcW w:w="143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12A47285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Total</w:t>
            </w:r>
          </w:p>
        </w:tc>
        <w:tc>
          <w:tcPr>
            <w:tcW w:w="2160" w:type="dxa"/>
            <w:tcBorders>
              <w:top w:val="nil"/>
              <w:left w:val="single" w:color="CCCCCC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49CA148F" w14:textId="77777777">
            <w:pPr>
              <w:adjustRightInd w:val="0"/>
              <w:spacing w:before="50" w:after="5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single" w:color="CCCCCC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68838D49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4,565</w:t>
            </w:r>
          </w:p>
        </w:tc>
        <w:tc>
          <w:tcPr>
            <w:tcW w:w="990" w:type="dxa"/>
            <w:tcBorders>
              <w:top w:val="nil"/>
              <w:left w:val="single" w:color="CCCCCC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19D01379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4,565</w:t>
            </w:r>
          </w:p>
        </w:tc>
        <w:tc>
          <w:tcPr>
            <w:tcW w:w="811" w:type="dxa"/>
            <w:tcBorders>
              <w:top w:val="nil"/>
              <w:left w:val="single" w:color="CCCCCC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5E87B64A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1.754</w:t>
            </w:r>
          </w:p>
        </w:tc>
        <w:tc>
          <w:tcPr>
            <w:tcW w:w="1103" w:type="dxa"/>
            <w:tcBorders>
              <w:top w:val="nil"/>
              <w:left w:val="single" w:color="CCCCCC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17690A9B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4.564</w:t>
            </w:r>
          </w:p>
        </w:tc>
        <w:tc>
          <w:tcPr>
            <w:tcW w:w="952" w:type="dxa"/>
            <w:tcBorders>
              <w:top w:val="nil"/>
              <w:left w:val="single" w:color="CCCCCC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33C887FE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570</w:t>
            </w:r>
          </w:p>
        </w:tc>
        <w:tc>
          <w:tcPr>
            <w:tcW w:w="705" w:type="dxa"/>
            <w:tcBorders>
              <w:top w:val="nil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7" w:type="dxa"/>
              <w:right w:w="67" w:type="dxa"/>
            </w:tcMar>
          </w:tcPr>
          <w:p w:rsidR="00E115B2" w:rsidP="00083163" w:rsidRDefault="00E115B2" w14:paraId="2F15F125" w14:textId="77777777">
            <w:pPr>
              <w:adjustRightInd w:val="0"/>
              <w:spacing w:before="50" w:after="5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0.166</w:t>
            </w:r>
          </w:p>
        </w:tc>
      </w:tr>
    </w:tbl>
    <w:p w:rsidR="00E115B2" w:rsidP="00E115B2" w:rsidRDefault="00E115B2" w14:paraId="21177D71" w14:textId="77777777">
      <w:pPr>
        <w:pStyle w:val="BodyText"/>
        <w:rPr>
          <w:rFonts w:eastAsia="MS Mincho"/>
          <w:sz w:val="20"/>
        </w:rPr>
      </w:pPr>
    </w:p>
    <w:p w:rsidRPr="003A60BF" w:rsidR="00E115B2" w:rsidP="00E115B2" w:rsidRDefault="00E115B2" w14:paraId="1D34126C" w14:textId="77777777">
      <w:pPr>
        <w:pStyle w:val="BodyText"/>
      </w:pPr>
      <w:r w:rsidRPr="003A60BF">
        <w:t xml:space="preserve">The composite size measure method, described in Folsom, Potter, and Williams (1987), </w:t>
      </w:r>
      <w:r>
        <w:t>will provide</w:t>
      </w:r>
      <w:r w:rsidRPr="003A60BF">
        <w:t xml:space="preserve"> a method for controlling domain sample sizes while maximizing the efficiency of the design. The composite size measure reflects the size of the sample that would fall into the PSU if a national random sample of children </w:t>
      </w:r>
      <w:proofErr w:type="gramStart"/>
      <w:r w:rsidRPr="003A60BF">
        <w:t>were selected</w:t>
      </w:r>
      <w:proofErr w:type="gramEnd"/>
      <w:r w:rsidRPr="003A60BF">
        <w:t xml:space="preserve"> with the desired sampling rates for all domains but without PSU clustering.</w:t>
      </w:r>
    </w:p>
    <w:p w:rsidRPr="003A60BF" w:rsidR="00E115B2" w:rsidP="00E115B2" w:rsidRDefault="00E115B2" w14:paraId="71B37FD0" w14:textId="37DD19D7">
      <w:pPr>
        <w:pStyle w:val="BodyText"/>
      </w:pPr>
      <w:r w:rsidRPr="003A60BF">
        <w:t xml:space="preserve">After the composite size measures </w:t>
      </w:r>
      <w:proofErr w:type="gramStart"/>
      <w:r>
        <w:t>ar</w:t>
      </w:r>
      <w:r w:rsidRPr="003A60BF">
        <w:t>e computed</w:t>
      </w:r>
      <w:proofErr w:type="gramEnd"/>
      <w:r w:rsidRPr="003A60BF">
        <w:t xml:space="preserve">, each of the </w:t>
      </w:r>
      <w:r>
        <w:t xml:space="preserve">approximately </w:t>
      </w:r>
      <w:r w:rsidRPr="003A60BF">
        <w:t>3,14</w:t>
      </w:r>
      <w:r>
        <w:t>0</w:t>
      </w:r>
      <w:r w:rsidRPr="003A60BF">
        <w:t xml:space="preserve"> counties</w:t>
      </w:r>
      <w:r>
        <w:t xml:space="preserve"> on the initial PSU frame</w:t>
      </w:r>
      <w:r w:rsidRPr="003A60BF">
        <w:t xml:space="preserve"> </w:t>
      </w:r>
      <w:r>
        <w:t xml:space="preserve">will be checked </w:t>
      </w:r>
      <w:r w:rsidRPr="003A60BF">
        <w:t>to determine whether it was large enough to sup</w:t>
      </w:r>
      <w:r>
        <w:t>port the planned completion of at least 55</w:t>
      </w:r>
      <w:r w:rsidRPr="003A60BF">
        <w:t xml:space="preserve"> </w:t>
      </w:r>
      <w:r>
        <w:t>valid interviews</w:t>
      </w:r>
      <w:r w:rsidRPr="003A60BF">
        <w:t xml:space="preserve"> per PSU during the twelve-month data collection period.</w:t>
      </w:r>
      <w:r>
        <w:t xml:space="preserve"> In </w:t>
      </w:r>
      <w:proofErr w:type="spellStart"/>
      <w:r>
        <w:t>NSCAW</w:t>
      </w:r>
      <w:proofErr w:type="spellEnd"/>
      <w:r>
        <w:t xml:space="preserve"> I, approximately 700 counties with an expected number of 55 or fewer</w:t>
      </w:r>
      <w:r w:rsidRPr="003A60BF">
        <w:t xml:space="preserve"> </w:t>
      </w:r>
      <w:r>
        <w:t xml:space="preserve">eligible </w:t>
      </w:r>
      <w:r w:rsidRPr="003A60BF">
        <w:t xml:space="preserve">children </w:t>
      </w:r>
      <w:proofErr w:type="gramStart"/>
      <w:r>
        <w:t xml:space="preserve">were </w:t>
      </w:r>
      <w:r w:rsidRPr="003A60BF">
        <w:t>deleted</w:t>
      </w:r>
      <w:proofErr w:type="gramEnd"/>
      <w:r w:rsidRPr="003A60BF">
        <w:t xml:space="preserve"> from the </w:t>
      </w:r>
      <w:r>
        <w:t>frame; this accounted for approximately 1</w:t>
      </w:r>
      <w:r w:rsidRPr="003A60BF">
        <w:t xml:space="preserve"> percent of the target population.</w:t>
      </w:r>
      <w:r>
        <w:t xml:space="preserve"> We expect a similar final coverage rate for </w:t>
      </w:r>
      <w:proofErr w:type="spellStart"/>
      <w:r>
        <w:t>NSCAW</w:t>
      </w:r>
      <w:proofErr w:type="spellEnd"/>
      <w:r>
        <w:t xml:space="preserve"> III. </w:t>
      </w:r>
    </w:p>
    <w:p w:rsidR="00E115B2" w:rsidP="00E115B2" w:rsidRDefault="00E115B2" w14:paraId="0E3B52D0" w14:textId="77777777">
      <w:pPr>
        <w:pStyle w:val="BodyText"/>
      </w:pPr>
      <w:r>
        <w:rPr>
          <w:u w:val="single"/>
        </w:rPr>
        <w:t>Step 3</w:t>
      </w:r>
      <w:r w:rsidRPr="003A60BF">
        <w:rPr>
          <w:u w:val="single"/>
        </w:rPr>
        <w:t>:</w:t>
      </w:r>
      <w:r>
        <w:rPr>
          <w:u w:val="single"/>
        </w:rPr>
        <w:t xml:space="preserve"> </w:t>
      </w:r>
      <w:r w:rsidRPr="003A60BF">
        <w:rPr>
          <w:u w:val="single"/>
        </w:rPr>
        <w:t>Stratifying the First-Stage Frame</w:t>
      </w:r>
      <w:r w:rsidRPr="003A60BF">
        <w:t xml:space="preserve">. </w:t>
      </w:r>
      <w:proofErr w:type="gramStart"/>
      <w:r>
        <w:t>T</w:t>
      </w:r>
      <w:r w:rsidRPr="003A60BF">
        <w:t xml:space="preserve">he PSU frame </w:t>
      </w:r>
      <w:r>
        <w:t xml:space="preserve">will be implicitly stratified by nine census regions and </w:t>
      </w:r>
      <w:proofErr w:type="spellStart"/>
      <w:r>
        <w:t>urbanicity</w:t>
      </w:r>
      <w:proofErr w:type="spellEnd"/>
      <w:r>
        <w:t xml:space="preserve"> within region</w:t>
      </w:r>
      <w:proofErr w:type="gramEnd"/>
      <w:r>
        <w:t xml:space="preserve"> prior to sampling. </w:t>
      </w:r>
      <w:r w:rsidRPr="003A60BF">
        <w:t xml:space="preserve">The </w:t>
      </w:r>
      <w:proofErr w:type="spellStart"/>
      <w:r w:rsidRPr="003A60BF">
        <w:t>urbanicity</w:t>
      </w:r>
      <w:proofErr w:type="spellEnd"/>
      <w:r w:rsidRPr="003A60BF">
        <w:t xml:space="preserve"> of a PSU </w:t>
      </w:r>
      <w:proofErr w:type="gramStart"/>
      <w:r>
        <w:t xml:space="preserve">will be </w:t>
      </w:r>
      <w:r w:rsidRPr="003A60BF">
        <w:t>defined</w:t>
      </w:r>
      <w:proofErr w:type="gramEnd"/>
      <w:r w:rsidRPr="003A60BF">
        <w:t xml:space="preserve"> by whether the county was part of an </w:t>
      </w:r>
      <w:proofErr w:type="spellStart"/>
      <w:r w:rsidRPr="003A60BF">
        <w:t>MSA</w:t>
      </w:r>
      <w:proofErr w:type="spellEnd"/>
      <w:r>
        <w:t xml:space="preserve"> (extremely large county)</w:t>
      </w:r>
      <w:r w:rsidRPr="003A60BF">
        <w:t>.</w:t>
      </w:r>
      <w:r>
        <w:t xml:space="preserve"> </w:t>
      </w:r>
      <w:r w:rsidRPr="003A60BF">
        <w:t>Stratifying PSUs by region</w:t>
      </w:r>
      <w:r>
        <w:t xml:space="preserve"> and </w:t>
      </w:r>
      <w:proofErr w:type="spellStart"/>
      <w:r>
        <w:t>urbanicity</w:t>
      </w:r>
      <w:proofErr w:type="spellEnd"/>
      <w:r>
        <w:t xml:space="preserve"> allows</w:t>
      </w:r>
      <w:r w:rsidRPr="003A60BF">
        <w:t xml:space="preserve"> for controlled allocation of sample PSUs in these </w:t>
      </w:r>
      <w:r>
        <w:t xml:space="preserve">implicit </w:t>
      </w:r>
      <w:r w:rsidRPr="003A60BF">
        <w:t>strata.</w:t>
      </w:r>
    </w:p>
    <w:p w:rsidR="00E115B2" w:rsidP="00E115B2" w:rsidRDefault="00E115B2" w14:paraId="14E4BFF8" w14:textId="77777777">
      <w:pPr>
        <w:pStyle w:val="BodyText"/>
      </w:pPr>
      <w:r>
        <w:rPr>
          <w:u w:val="single"/>
        </w:rPr>
        <w:t>Step 4</w:t>
      </w:r>
      <w:r w:rsidRPr="003A60BF">
        <w:rPr>
          <w:u w:val="single"/>
        </w:rPr>
        <w:t>:</w:t>
      </w:r>
      <w:r>
        <w:rPr>
          <w:u w:val="single"/>
        </w:rPr>
        <w:t xml:space="preserve"> </w:t>
      </w:r>
      <w:r w:rsidRPr="003A60BF">
        <w:rPr>
          <w:u w:val="single"/>
        </w:rPr>
        <w:t>Selecting the PSUs</w:t>
      </w:r>
      <w:r w:rsidRPr="003A60BF">
        <w:t>.</w:t>
      </w:r>
      <w:r>
        <w:t xml:space="preserve"> </w:t>
      </w:r>
      <w:r w:rsidRPr="003A60BF">
        <w:t xml:space="preserve">Given the first-stage stratification and the size </w:t>
      </w:r>
      <w:proofErr w:type="gramStart"/>
      <w:r w:rsidRPr="003A60BF">
        <w:t xml:space="preserve">measure </w:t>
      </w:r>
      <w:proofErr w:type="gramEnd"/>
      <w:r w:rsidRPr="003A60BF">
        <w:rPr>
          <w:position w:val="-10"/>
        </w:rPr>
        <w:object w:dxaOrig="380" w:dyaOrig="300" w14:anchorId="34130F38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8pt;height:16.5pt" o:ole="" type="#_x0000_t75">
            <v:imagedata o:title="" r:id="rId8"/>
          </v:shape>
          <o:OLEObject Type="Embed" ProgID="Equation.3" ShapeID="_x0000_i1025" DrawAspect="Content" ObjectID="_1653991330" r:id="rId9"/>
        </w:object>
      </w:r>
      <w:r w:rsidRPr="003A60BF">
        <w:t xml:space="preserve">, the selection frequency of the </w:t>
      </w:r>
      <w:r w:rsidRPr="003A60BF">
        <w:rPr>
          <w:i/>
          <w:iCs/>
        </w:rPr>
        <w:t>k</w:t>
      </w:r>
      <w:r w:rsidRPr="003A60BF">
        <w:t xml:space="preserve">th PSU in the </w:t>
      </w:r>
      <w:proofErr w:type="spellStart"/>
      <w:r w:rsidRPr="003A60BF">
        <w:rPr>
          <w:i/>
          <w:iCs/>
        </w:rPr>
        <w:t>h</w:t>
      </w:r>
      <w:r>
        <w:t>th</w:t>
      </w:r>
      <w:proofErr w:type="spellEnd"/>
      <w:r>
        <w:t xml:space="preserve"> first-stage stratum is</w:t>
      </w:r>
      <w:r w:rsidRPr="003A60BF">
        <w:t xml:space="preserve"> calculated as</w:t>
      </w:r>
    </w:p>
    <w:p w:rsidRPr="003A60BF" w:rsidR="00E115B2" w:rsidP="00E115B2" w:rsidRDefault="00E115B2" w14:paraId="26A54EBC" w14:textId="77777777">
      <w:pPr>
        <w:pStyle w:val="equation"/>
      </w:pPr>
      <w:r>
        <w:tab/>
      </w:r>
      <w:r w:rsidRPr="003A60BF">
        <w:object w:dxaOrig="4800" w:dyaOrig="660" w14:anchorId="5A3BAD49">
          <v:shape id="_x0000_i1026" style="width:240.75pt;height:34.5pt" o:ole="" type="#_x0000_t75">
            <v:imagedata o:title="" r:id="rId10"/>
          </v:shape>
          <o:OLEObject Type="Embed" ProgID="Equation.3" ShapeID="_x0000_i1026" DrawAspect="Content" ObjectID="_1653991331" r:id="rId11"/>
        </w:object>
      </w:r>
      <w:r w:rsidRPr="003A60BF">
        <w:tab/>
        <w:t>(2)</w:t>
      </w:r>
    </w:p>
    <w:p w:rsidRPr="003A60BF" w:rsidR="00E115B2" w:rsidP="00E115B2" w:rsidRDefault="00E115B2" w14:paraId="2ECA3A45" w14:textId="77777777">
      <w:pPr>
        <w:pStyle w:val="BodyText"/>
      </w:pPr>
      <w:proofErr w:type="gramStart"/>
      <w:r w:rsidRPr="003A60BF">
        <w:t>where</w:t>
      </w:r>
      <w:proofErr w:type="gramEnd"/>
      <w:r w:rsidRPr="003A60BF">
        <w:t xml:space="preserve"> </w:t>
      </w:r>
      <w:r w:rsidRPr="003A60BF">
        <w:rPr>
          <w:position w:val="-10"/>
        </w:rPr>
        <w:object w:dxaOrig="320" w:dyaOrig="300" w14:anchorId="3E73BBF9">
          <v:shape id="_x0000_i1027" style="width:16.5pt;height:16.5pt" o:ole="" type="#_x0000_t75">
            <v:imagedata o:title="" r:id="rId12"/>
          </v:shape>
          <o:OLEObject Type="Embed" ProgID="Equation.3" ShapeID="_x0000_i1027" DrawAspect="Content" ObjectID="_1653991332" r:id="rId13"/>
        </w:object>
      </w:r>
      <w:r w:rsidRPr="003A60BF">
        <w:t xml:space="preserve"> is the number of PSUs selected from the </w:t>
      </w:r>
      <w:proofErr w:type="spellStart"/>
      <w:r w:rsidRPr="003A60BF">
        <w:rPr>
          <w:i/>
          <w:iCs/>
        </w:rPr>
        <w:t>h</w:t>
      </w:r>
      <w:r w:rsidRPr="003A60BF">
        <w:t>th</w:t>
      </w:r>
      <w:proofErr w:type="spellEnd"/>
      <w:r w:rsidRPr="003A60BF">
        <w:t xml:space="preserve"> first-stage stratum and, </w:t>
      </w:r>
      <w:r w:rsidRPr="003A60BF">
        <w:rPr>
          <w:position w:val="-10"/>
        </w:rPr>
        <w:object w:dxaOrig="1219" w:dyaOrig="320" w14:anchorId="78FF1792">
          <v:shape id="_x0000_i1028" style="width:61.5pt;height:16.5pt" o:ole="" type="#_x0000_t75">
            <v:imagedata o:title="" r:id="rId14"/>
          </v:shape>
          <o:OLEObject Type="Embed" ProgID="Equation.3" ShapeID="_x0000_i1028" DrawAspect="Content" ObjectID="_1653991333" r:id="rId15"/>
        </w:object>
      </w:r>
      <w:r w:rsidRPr="003A60BF">
        <w:t xml:space="preserve"> is the total size measure of all PSUs in the </w:t>
      </w:r>
      <w:proofErr w:type="spellStart"/>
      <w:r w:rsidRPr="003A60BF">
        <w:rPr>
          <w:i/>
          <w:iCs/>
        </w:rPr>
        <w:t>h</w:t>
      </w:r>
      <w:r w:rsidRPr="003A60BF">
        <w:t>th</w:t>
      </w:r>
      <w:proofErr w:type="spellEnd"/>
      <w:r w:rsidRPr="003A60BF">
        <w:t xml:space="preserve"> first-stage stratum.</w:t>
      </w:r>
    </w:p>
    <w:p w:rsidR="00E115B2" w:rsidP="00E115B2" w:rsidRDefault="00E115B2" w14:paraId="1F2A36D8" w14:textId="77777777">
      <w:pPr>
        <w:pStyle w:val="BodyText"/>
      </w:pPr>
      <w:r>
        <w:t xml:space="preserve">PSUs will be selected using an algorithm that maximizes the expected number of PSUs that will overlap </w:t>
      </w:r>
      <w:proofErr w:type="spellStart"/>
      <w:r>
        <w:t>NSCAW</w:t>
      </w:r>
      <w:proofErr w:type="spellEnd"/>
      <w:r>
        <w:t xml:space="preserve"> </w:t>
      </w:r>
      <w:proofErr w:type="gramStart"/>
      <w:r>
        <w:t xml:space="preserve">I and </w:t>
      </w:r>
      <w:proofErr w:type="spellStart"/>
      <w:r>
        <w:t>NSCAW</w:t>
      </w:r>
      <w:proofErr w:type="spellEnd"/>
      <w:r>
        <w:t xml:space="preserve"> III</w:t>
      </w:r>
      <w:proofErr w:type="gramEnd"/>
      <w:r>
        <w:t xml:space="preserve"> while assuring unconditional selection probability is as in (2). Given the sample of </w:t>
      </w:r>
      <w:proofErr w:type="spellStart"/>
      <w:r>
        <w:t>NSCAW</w:t>
      </w:r>
      <w:proofErr w:type="spellEnd"/>
      <w:r>
        <w:t xml:space="preserve"> I PSUs in stratum </w:t>
      </w:r>
      <w:r>
        <w:rPr>
          <w:i/>
        </w:rPr>
        <w:t>h</w:t>
      </w:r>
      <w:r>
        <w:t xml:space="preserve">, </w:t>
      </w:r>
      <w:proofErr w:type="gramStart"/>
      <w:r>
        <w:t xml:space="preserve">denoted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>
        <w:t xml:space="preserve">, the algorithm produces a set of conditional probabilities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hk|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sub>
        </m:sSub>
      </m:oMath>
      <w:r>
        <w:t xml:space="preserve"> while preserving the unconditional probabilities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hk</m:t>
            </m:r>
          </m:sub>
        </m:sSub>
      </m:oMath>
      <w:r>
        <w:t xml:space="preserve"> specified in (2). PSUs </w:t>
      </w:r>
      <w:proofErr w:type="gramStart"/>
      <w:r>
        <w:t>will then be sampled</w:t>
      </w:r>
      <w:proofErr w:type="gramEnd"/>
      <w:r>
        <w:t xml:space="preserve"> from each stratum using the conditional probabilities produced by the algorithm in Ernst (1995).</w:t>
      </w:r>
    </w:p>
    <w:p w:rsidRPr="00B17618" w:rsidR="00E115B2" w:rsidP="00E115B2" w:rsidRDefault="00E115B2" w14:paraId="3186C4C7" w14:textId="77777777">
      <w:pPr>
        <w:pStyle w:val="Heading3"/>
      </w:pPr>
      <w:r w:rsidRPr="00B17618">
        <w:t>Design of Second Stage Unit Sample and Overview of the Process</w:t>
      </w:r>
    </w:p>
    <w:p w:rsidR="00E115B2" w:rsidP="00E115B2" w:rsidRDefault="00E115B2" w14:paraId="1A37C4A3" w14:textId="738CC216">
      <w:pPr>
        <w:pStyle w:val="BodyText"/>
      </w:pPr>
      <w:r>
        <w:t xml:space="preserve">After selecting the </w:t>
      </w:r>
      <w:r w:rsidRPr="009A60A4">
        <w:t xml:space="preserve">PSUs for the study, the process of recruiting the child welfare agencies associated with the PSUs will begin. As these agencies </w:t>
      </w:r>
      <w:proofErr w:type="gramStart"/>
      <w:r w:rsidRPr="009A60A4">
        <w:t>are recruited</w:t>
      </w:r>
      <w:proofErr w:type="gramEnd"/>
      <w:r w:rsidRPr="009A60A4">
        <w:t>, we will work with them individually to refine our projections of the expected sizes of the domains of analysis for sampling.</w:t>
      </w:r>
      <w:r>
        <w:t xml:space="preserve"> The nine domains for the study </w:t>
      </w:r>
      <w:proofErr w:type="gramStart"/>
      <w:r>
        <w:t>are shown</w:t>
      </w:r>
      <w:proofErr w:type="gramEnd"/>
      <w:r>
        <w:t xml:space="preserve"> in </w:t>
      </w:r>
      <w:r w:rsidRPr="00CC7187">
        <w:rPr>
          <w:b/>
          <w:bCs/>
          <w:i/>
          <w:iCs/>
        </w:rPr>
        <w:t>Exhibit 1.2</w:t>
      </w:r>
      <w:r>
        <w:t xml:space="preserve">. As shown in this exhibit, the number of children that </w:t>
      </w:r>
      <w:proofErr w:type="gramStart"/>
      <w:r>
        <w:t>will be selected</w:t>
      </w:r>
      <w:proofErr w:type="gramEnd"/>
      <w:r>
        <w:t xml:space="preserve"> in each domain will be sufficient to achieve a minimum detectable effect size (</w:t>
      </w:r>
      <w:proofErr w:type="spellStart"/>
      <w:r>
        <w:t>MDES</w:t>
      </w:r>
      <w:proofErr w:type="spellEnd"/>
      <w:r>
        <w:t xml:space="preserve">) of 0.2 in all nine strata. When calculating the necessary sample sizes, we assumed an </w:t>
      </w:r>
      <w:proofErr w:type="spellStart"/>
      <w:r>
        <w:t>intercluster</w:t>
      </w:r>
      <w:proofErr w:type="spellEnd"/>
      <w:r>
        <w:t xml:space="preserve"> correlation of 0.066 based upon an analysis of the </w:t>
      </w:r>
      <w:proofErr w:type="spellStart"/>
      <w:r>
        <w:t>NSCAW</w:t>
      </w:r>
      <w:proofErr w:type="spellEnd"/>
      <w:r>
        <w:t xml:space="preserve"> II key characteristics.</w:t>
      </w:r>
    </w:p>
    <w:p w:rsidRPr="00421FF9" w:rsidR="00E115B2" w:rsidP="00E115B2" w:rsidRDefault="00E115B2" w14:paraId="687F597C" w14:textId="77777777">
      <w:pPr>
        <w:pStyle w:val="BodyText"/>
      </w:pPr>
      <w:r>
        <w:t xml:space="preserve">As previously noted, </w:t>
      </w:r>
      <w:r w:rsidRPr="00421FF9">
        <w:t xml:space="preserve">a sample size of </w:t>
      </w:r>
      <w:r>
        <w:t xml:space="preserve">about </w:t>
      </w:r>
      <w:r w:rsidRPr="00421FF9">
        <w:t xml:space="preserve">55 completed </w:t>
      </w:r>
      <w:r>
        <w:t>interviews</w:t>
      </w:r>
      <w:r w:rsidRPr="00421FF9">
        <w:t xml:space="preserve"> per PSU</w:t>
      </w:r>
      <w:r>
        <w:t xml:space="preserve"> </w:t>
      </w:r>
      <w:r w:rsidRPr="00421FF9">
        <w:t xml:space="preserve">is ideal for </w:t>
      </w:r>
      <w:proofErr w:type="spellStart"/>
      <w:r w:rsidRPr="00421FF9">
        <w:t>NSCAW</w:t>
      </w:r>
      <w:proofErr w:type="spellEnd"/>
      <w:r w:rsidRPr="00421FF9">
        <w:t xml:space="preserve"> </w:t>
      </w:r>
      <w:r>
        <w:t>for</w:t>
      </w:r>
      <w:r w:rsidRPr="00421FF9">
        <w:t xml:space="preserve"> cost and error optimization. </w:t>
      </w:r>
      <w:r>
        <w:t>W</w:t>
      </w:r>
      <w:r w:rsidRPr="00421FF9">
        <w:t xml:space="preserve">e will use the </w:t>
      </w:r>
      <w:r>
        <w:t xml:space="preserve">data available from both </w:t>
      </w:r>
      <w:proofErr w:type="spellStart"/>
      <w:r>
        <w:t>NSCAW</w:t>
      </w:r>
      <w:proofErr w:type="spellEnd"/>
      <w:r>
        <w:t xml:space="preserve"> </w:t>
      </w:r>
      <w:proofErr w:type="gramStart"/>
      <w:r>
        <w:t>I and II</w:t>
      </w:r>
      <w:r w:rsidRPr="00421FF9">
        <w:t xml:space="preserve"> to establish initial sample allocations for each domain</w:t>
      </w:r>
      <w:r>
        <w:t xml:space="preserve"> within</w:t>
      </w:r>
      <w:r w:rsidRPr="00421FF9">
        <w:t xml:space="preserve"> PSU</w:t>
      </w:r>
      <w:proofErr w:type="gramEnd"/>
      <w:r w:rsidRPr="00421FF9">
        <w:t xml:space="preserve">. </w:t>
      </w:r>
      <w:r>
        <w:t xml:space="preserve">Then </w:t>
      </w:r>
      <w:r w:rsidRPr="00421FF9">
        <w:t>we will adjust those sample allocations throughout the data collection process by following steps:</w:t>
      </w:r>
    </w:p>
    <w:p w:rsidR="00E115B2" w:rsidP="00E115B2" w:rsidRDefault="00E115B2" w14:paraId="7898D3B1" w14:textId="77777777">
      <w:pPr>
        <w:pStyle w:val="ListContinue"/>
      </w:pPr>
      <w:r>
        <w:t>1.</w:t>
      </w:r>
      <w:r>
        <w:tab/>
      </w:r>
      <w:r w:rsidRPr="00421FF9">
        <w:t xml:space="preserve">Each month, </w:t>
      </w:r>
      <w:r>
        <w:t>the contractor (</w:t>
      </w:r>
      <w:proofErr w:type="spellStart"/>
      <w:r>
        <w:t>RTI</w:t>
      </w:r>
      <w:proofErr w:type="spellEnd"/>
      <w:r>
        <w:t xml:space="preserve"> International) </w:t>
      </w:r>
      <w:r w:rsidRPr="00421FF9">
        <w:t xml:space="preserve">will receive files from each </w:t>
      </w:r>
      <w:r>
        <w:t xml:space="preserve">child welfare </w:t>
      </w:r>
      <w:r w:rsidRPr="00421FF9">
        <w:t>agency cont</w:t>
      </w:r>
      <w:r>
        <w:t xml:space="preserve">aining all children with completed </w:t>
      </w:r>
      <w:r w:rsidRPr="00421FF9">
        <w:t>investigations</w:t>
      </w:r>
      <w:r>
        <w:t>/</w:t>
      </w:r>
      <w:r w:rsidRPr="00421FF9">
        <w:t>assessments</w:t>
      </w:r>
      <w:r>
        <w:t xml:space="preserve"> as well as </w:t>
      </w:r>
      <w:r w:rsidRPr="004D6919">
        <w:t xml:space="preserve">children entering </w:t>
      </w:r>
      <w:r>
        <w:t xml:space="preserve">legal custody </w:t>
      </w:r>
      <w:r w:rsidRPr="004D6919">
        <w:t>through alternative pathways such as the juvenile justice system.</w:t>
      </w:r>
    </w:p>
    <w:p w:rsidR="00E115B2" w:rsidP="00E115B2" w:rsidRDefault="00E115B2" w14:paraId="19FE31DA" w14:textId="77777777">
      <w:pPr>
        <w:pStyle w:val="ListContinue"/>
      </w:pPr>
      <w:r>
        <w:t>2.</w:t>
      </w:r>
      <w:r>
        <w:tab/>
      </w:r>
      <w:r w:rsidRPr="002A5C7B">
        <w:t xml:space="preserve">These files </w:t>
      </w:r>
      <w:proofErr w:type="gramStart"/>
      <w:r w:rsidRPr="002A5C7B">
        <w:t>will be processed</w:t>
      </w:r>
      <w:proofErr w:type="gramEnd"/>
      <w:r w:rsidRPr="002A5C7B">
        <w:t xml:space="preserve"> and any duplications will be removed.</w:t>
      </w:r>
    </w:p>
    <w:p w:rsidRPr="002A5C7B" w:rsidR="00E115B2" w:rsidP="00E115B2" w:rsidRDefault="00E115B2" w14:paraId="47CB381C" w14:textId="77777777">
      <w:pPr>
        <w:pStyle w:val="ListContinue"/>
      </w:pPr>
      <w:r>
        <w:t>3.</w:t>
      </w:r>
      <w:r>
        <w:tab/>
        <w:t xml:space="preserve">The contractor </w:t>
      </w:r>
      <w:r w:rsidRPr="002A5C7B">
        <w:t xml:space="preserve">will compute the number of cases to select in each domain, in each PSU, in any given month using an algorithm we developed in </w:t>
      </w:r>
      <w:proofErr w:type="spellStart"/>
      <w:r w:rsidRPr="002A5C7B">
        <w:t>NSCAW</w:t>
      </w:r>
      <w:proofErr w:type="spellEnd"/>
      <w:r w:rsidRPr="002A5C7B">
        <w:t xml:space="preserve"> II. The algorithm determines the number of cases to select so that target sample sizes </w:t>
      </w:r>
      <w:proofErr w:type="gramStart"/>
      <w:r w:rsidRPr="002A5C7B">
        <w:t>are achieved</w:t>
      </w:r>
      <w:proofErr w:type="gramEnd"/>
      <w:r w:rsidRPr="002A5C7B">
        <w:t xml:space="preserve"> by the end of data collection, then the algorithm optimizes the allocation of sample across PSUs so that </w:t>
      </w:r>
      <w:proofErr w:type="spellStart"/>
      <w:r w:rsidRPr="002A5C7B">
        <w:t>UWEs</w:t>
      </w:r>
      <w:proofErr w:type="spellEnd"/>
      <w:r w:rsidRPr="002A5C7B">
        <w:t xml:space="preserve"> are minimized while equalizing interviewer assignments.</w:t>
      </w:r>
    </w:p>
    <w:p w:rsidR="00E115B2" w:rsidP="00E115B2" w:rsidRDefault="00E115B2" w14:paraId="5A3461B0" w14:textId="3C7C6FB4">
      <w:pPr>
        <w:pStyle w:val="ListContinue"/>
      </w:pPr>
      <w:r>
        <w:t>4.</w:t>
      </w:r>
      <w:r>
        <w:tab/>
      </w:r>
      <w:r w:rsidRPr="00421FF9">
        <w:t xml:space="preserve">The sample for each domain in each PSU </w:t>
      </w:r>
      <w:proofErr w:type="gramStart"/>
      <w:r w:rsidRPr="00421FF9">
        <w:t>is selected, reviewed for accuracy, and transmitted to the field</w:t>
      </w:r>
      <w:proofErr w:type="gramEnd"/>
      <w:r w:rsidRPr="00421FF9">
        <w:t xml:space="preserve">. These steps </w:t>
      </w:r>
      <w:proofErr w:type="gramStart"/>
      <w:r w:rsidRPr="00421FF9">
        <w:t>are depicted</w:t>
      </w:r>
      <w:proofErr w:type="gramEnd"/>
      <w:r w:rsidRPr="00421FF9">
        <w:t xml:space="preserve"> in </w:t>
      </w:r>
      <w:r w:rsidRPr="00B17618">
        <w:rPr>
          <w:b/>
          <w:bCs/>
          <w:i/>
          <w:iCs/>
        </w:rPr>
        <w:t>Exhibit 1.3</w:t>
      </w:r>
      <w:r w:rsidRPr="00421FF9">
        <w:t>.</w:t>
      </w:r>
    </w:p>
    <w:p w:rsidR="00E115B2" w:rsidP="00E115B2" w:rsidRDefault="00E115B2" w14:paraId="065EEE49" w14:textId="383527EB">
      <w:pPr>
        <w:pStyle w:val="BodyText"/>
      </w:pPr>
      <w:r>
        <w:t xml:space="preserve">In prior </w:t>
      </w:r>
      <w:proofErr w:type="spellStart"/>
      <w:r>
        <w:t>NSCAW</w:t>
      </w:r>
      <w:proofErr w:type="spellEnd"/>
      <w:r>
        <w:t xml:space="preserve"> studies, some child welfare agencies can be slow to enter cases and their outcomes into their agency data systems. In fact, there could be a lag of up to three months before an investigated case </w:t>
      </w:r>
      <w:proofErr w:type="gramStart"/>
      <w:r>
        <w:t>is finally entered</w:t>
      </w:r>
      <w:proofErr w:type="gramEnd"/>
      <w:r>
        <w:t xml:space="preserve"> into the system. In these agenc</w:t>
      </w:r>
      <w:r w:rsidR="006F3064">
        <w:t>ies</w:t>
      </w:r>
      <w:r>
        <w:t xml:space="preserve">, a sampling process that only obtained cases completed in month </w:t>
      </w:r>
      <w:r w:rsidRPr="004D6919">
        <w:rPr>
          <w:i/>
        </w:rPr>
        <w:t>t</w:t>
      </w:r>
      <w:r>
        <w:t xml:space="preserve">, say, would missing cases that were not entered into the system until month </w:t>
      </w:r>
      <w:r w:rsidRPr="00F54916">
        <w:rPr>
          <w:i/>
        </w:rPr>
        <w:t>t</w:t>
      </w:r>
      <w:r>
        <w:t xml:space="preserve">+1, say. For that reason, we will obtain four files from the agency for each month of sampling: the month </w:t>
      </w:r>
      <w:proofErr w:type="spellStart"/>
      <w:r w:rsidRPr="00991758">
        <w:rPr>
          <w:i/>
        </w:rPr>
        <w:t>t</w:t>
      </w:r>
      <w:proofErr w:type="spellEnd"/>
      <w:r>
        <w:t xml:space="preserve"> file as of month </w:t>
      </w:r>
      <w:r w:rsidRPr="00991758">
        <w:rPr>
          <w:i/>
        </w:rPr>
        <w:t>t</w:t>
      </w:r>
      <w:r>
        <w:t xml:space="preserve"> as well as the month </w:t>
      </w:r>
      <w:proofErr w:type="spellStart"/>
      <w:r w:rsidRPr="00991758">
        <w:rPr>
          <w:i/>
        </w:rPr>
        <w:t>t</w:t>
      </w:r>
      <w:proofErr w:type="spellEnd"/>
      <w:r>
        <w:t xml:space="preserve"> file after it has been updated in months </w:t>
      </w:r>
      <w:r w:rsidRPr="00F54916">
        <w:rPr>
          <w:i/>
        </w:rPr>
        <w:t>t</w:t>
      </w:r>
      <w:r>
        <w:t xml:space="preserve">+1, </w:t>
      </w:r>
      <w:r w:rsidRPr="00F54916">
        <w:rPr>
          <w:i/>
        </w:rPr>
        <w:t>t</w:t>
      </w:r>
      <w:r>
        <w:t xml:space="preserve">+2, and </w:t>
      </w:r>
      <w:r w:rsidRPr="00F54916">
        <w:rPr>
          <w:i/>
        </w:rPr>
        <w:t>t</w:t>
      </w:r>
      <w:r>
        <w:t xml:space="preserve">+3. This will ensure there will be no loss of coverage </w:t>
      </w:r>
      <w:proofErr w:type="gramStart"/>
      <w:r>
        <w:t>as a result</w:t>
      </w:r>
      <w:proofErr w:type="gramEnd"/>
      <w:r>
        <w:t xml:space="preserve"> of delayed data entry.</w:t>
      </w:r>
    </w:p>
    <w:p w:rsidRPr="00ED3830" w:rsidR="00E115B2" w:rsidP="00E115B2" w:rsidRDefault="00E115B2" w14:paraId="2983779F" w14:textId="6C4BA00E">
      <w:pPr>
        <w:pStyle w:val="FigureTitle"/>
      </w:pPr>
      <w:bookmarkStart w:name="_Toc458078228" w:id="8"/>
      <w:r w:rsidRPr="00ED3830">
        <w:t>Exhibit 1.</w:t>
      </w:r>
      <w:r>
        <w:t>3. Flow Diagram of the Sampling Process</w:t>
      </w:r>
      <w:bookmarkEnd w:id="8"/>
    </w:p>
    <w:p w:rsidR="00E115B2" w:rsidP="00E115B2" w:rsidRDefault="00E115B2" w14:paraId="3390D160" w14:textId="77777777">
      <w:pPr>
        <w:widowControl w:val="0"/>
        <w:spacing w:line="360" w:lineRule="auto"/>
      </w:pPr>
      <w:r w:rsidRPr="00D8608B">
        <w:rPr>
          <w:noProof/>
        </w:rPr>
        <w:drawing>
          <wp:inline distT="0" distB="0" distL="0" distR="0" wp14:anchorId="2760E94C" wp14:editId="4BE2BE68">
            <wp:extent cx="6029325" cy="4038600"/>
            <wp:effectExtent l="0" t="0" r="9525" b="0"/>
            <wp:docPr id="2" name="Picture 2" descr="C:\Users\kesmith\Documents\NSCAW III\OMB\Exhibit B-1-3  - Sampling Flow 1_REVI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smith\Documents\NSCAW III\OMB\Exhibit B-1-3  - Sampling Flow 1_REVIS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30"/>
                    <a:stretch/>
                  </pic:blipFill>
                  <pic:spPr bwMode="auto">
                    <a:xfrm>
                      <a:off x="0" y="0"/>
                      <a:ext cx="60293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9D7473" w:rsidR="00E115B2" w:rsidP="00E115B2" w:rsidRDefault="00E115B2" w14:paraId="55BD15B5" w14:textId="2C481776">
      <w:pPr>
        <w:pStyle w:val="Heading2"/>
      </w:pPr>
      <w:bookmarkStart w:name="_Toc449706607" w:id="9"/>
      <w:r w:rsidRPr="009D7473">
        <w:t>1.4</w:t>
      </w:r>
      <w:r>
        <w:tab/>
      </w:r>
      <w:r w:rsidRPr="009D7473">
        <w:t>Size of the Sample and Precision Needed for Key Estimates</w:t>
      </w:r>
      <w:bookmarkEnd w:id="9"/>
    </w:p>
    <w:p w:rsidR="00E115B2" w:rsidP="00E115B2" w:rsidRDefault="00E115B2" w14:paraId="51F6A5AE" w14:textId="681174E7">
      <w:pPr>
        <w:pStyle w:val="BodyText"/>
      </w:pPr>
      <w:r>
        <w:t xml:space="preserve">The sampling of agencies (or PSUs) during the agency recruitment phase will result in the selection of 83 participating agencies. From the 83 participating agencies, approximately 4,565 </w:t>
      </w:r>
      <w:proofErr w:type="spellStart"/>
      <w:r>
        <w:t>CWS</w:t>
      </w:r>
      <w:proofErr w:type="spellEnd"/>
      <w:r>
        <w:t xml:space="preserve">-involved children, their caregivers, and their caseworkers </w:t>
      </w:r>
      <w:proofErr w:type="gramStart"/>
      <w:r>
        <w:t>will be interviewed</w:t>
      </w:r>
      <w:proofErr w:type="gramEnd"/>
      <w:r>
        <w:t xml:space="preserve">. It is not particularly meaningful to specify the statistical power of </w:t>
      </w:r>
      <w:proofErr w:type="spellStart"/>
      <w:r>
        <w:t>NSCAW</w:t>
      </w:r>
      <w:proofErr w:type="spellEnd"/>
      <w:r>
        <w:t xml:space="preserve"> child-level analysis overall because it will include so many different research questions, variables and subpopulations. However, in </w:t>
      </w:r>
      <w:r w:rsidRPr="00B17618">
        <w:rPr>
          <w:b/>
          <w:bCs/>
          <w:i/>
          <w:iCs/>
        </w:rPr>
        <w:t>Exhibit 1.2</w:t>
      </w:r>
      <w:r>
        <w:t xml:space="preserve"> we show the </w:t>
      </w:r>
      <w:proofErr w:type="spellStart"/>
      <w:r>
        <w:t>MDES</w:t>
      </w:r>
      <w:proofErr w:type="spellEnd"/>
      <w:r>
        <w:t xml:space="preserve"> for estimates within the primary domains of analysis. </w:t>
      </w:r>
      <w:r>
        <w:rPr>
          <w:bCs/>
        </w:rPr>
        <w:t xml:space="preserve">The target sample size for </w:t>
      </w:r>
      <w:proofErr w:type="spellStart"/>
      <w:r>
        <w:rPr>
          <w:bCs/>
        </w:rPr>
        <w:t>NSCAW</w:t>
      </w:r>
      <w:proofErr w:type="spellEnd"/>
      <w:r>
        <w:rPr>
          <w:bCs/>
        </w:rPr>
        <w:t xml:space="preserve"> III is 4,565 completed cases where a completed case </w:t>
      </w:r>
      <w:proofErr w:type="gramStart"/>
      <w:r>
        <w:rPr>
          <w:bCs/>
        </w:rPr>
        <w:t>is defined</w:t>
      </w:r>
      <w:proofErr w:type="gramEnd"/>
      <w:r>
        <w:rPr>
          <w:bCs/>
        </w:rPr>
        <w:t xml:space="preserve"> as a completed interview for the key respondent (</w:t>
      </w:r>
      <w:r>
        <w:t>defined as the caregiver if the child is under the age of 11, and as the child if the child is 11 or older)</w:t>
      </w:r>
      <w:r>
        <w:rPr>
          <w:bCs/>
        </w:rPr>
        <w:t xml:space="preserve">. </w:t>
      </w:r>
      <w:r>
        <w:t xml:space="preserve">Based on experience with the </w:t>
      </w:r>
      <w:proofErr w:type="spellStart"/>
      <w:r>
        <w:t>NSCAW</w:t>
      </w:r>
      <w:proofErr w:type="spellEnd"/>
      <w:r>
        <w:t xml:space="preserve"> II analysis, this sample was adequate for many types of analysis that </w:t>
      </w:r>
      <w:proofErr w:type="gramStart"/>
      <w:r>
        <w:t>were conducted</w:t>
      </w:r>
      <w:proofErr w:type="gramEnd"/>
      <w:r>
        <w:t>, both for cross-sectional and longitudinal analysis.</w:t>
      </w:r>
    </w:p>
    <w:p w:rsidR="00E115B2" w:rsidP="00E115B2" w:rsidRDefault="00E115B2" w14:paraId="7E3EF7BF" w14:textId="64B8C7FB">
      <w:pPr>
        <w:pStyle w:val="BodyText"/>
      </w:pPr>
      <w:r w:rsidRPr="001668D5">
        <w:t>To determine the number of cases to draw</w:t>
      </w:r>
      <w:r>
        <w:t xml:space="preserve"> from each PSU</w:t>
      </w:r>
      <w:r w:rsidRPr="001668D5">
        <w:t xml:space="preserve">, the initial sample needs </w:t>
      </w:r>
      <w:proofErr w:type="gramStart"/>
      <w:r>
        <w:t>was estimated</w:t>
      </w:r>
      <w:proofErr w:type="gramEnd"/>
      <w:r>
        <w:t xml:space="preserve"> as 8,695</w:t>
      </w:r>
      <w:r w:rsidRPr="001668D5">
        <w:t xml:space="preserve"> sampled children to re</w:t>
      </w:r>
      <w:r>
        <w:t>ach a completed sample size of 4,565</w:t>
      </w:r>
      <w:r w:rsidRPr="001668D5">
        <w:t xml:space="preserve">. The rationale </w:t>
      </w:r>
      <w:proofErr w:type="gramStart"/>
      <w:r w:rsidRPr="001668D5">
        <w:t>is presented</w:t>
      </w:r>
      <w:proofErr w:type="gramEnd"/>
      <w:r w:rsidRPr="001668D5">
        <w:t xml:space="preserve"> in</w:t>
      </w:r>
      <w:r>
        <w:t xml:space="preserve"> </w:t>
      </w:r>
      <w:r w:rsidRPr="00C21194">
        <w:rPr>
          <w:b/>
          <w:bCs/>
          <w:i/>
          <w:iCs/>
        </w:rPr>
        <w:t>Exhibit 1.4</w:t>
      </w:r>
      <w:r>
        <w:t>.</w:t>
      </w:r>
    </w:p>
    <w:p w:rsidRPr="001668D5" w:rsidR="00E115B2" w:rsidP="00E115B2" w:rsidRDefault="00E115B2" w14:paraId="50B35E09" w14:textId="1FDCD847">
      <w:pPr>
        <w:pStyle w:val="FigureTitle"/>
      </w:pPr>
      <w:bookmarkStart w:name="_Toc422490658" w:id="10"/>
      <w:bookmarkStart w:name="_Toc422823906" w:id="11"/>
      <w:bookmarkStart w:name="_Toc458078229" w:id="12"/>
      <w:r w:rsidRPr="001668D5">
        <w:t xml:space="preserve">Exhibit </w:t>
      </w:r>
      <w:r>
        <w:t>1.4</w:t>
      </w:r>
      <w:r w:rsidRPr="001668D5">
        <w:t>. Calculations for Child-Level Sample</w:t>
      </w:r>
      <w:bookmarkEnd w:id="10"/>
      <w:bookmarkEnd w:id="11"/>
      <w:r>
        <w:t xml:space="preserve"> for Phase II of </w:t>
      </w:r>
      <w:proofErr w:type="spellStart"/>
      <w:r>
        <w:t>NSCAW</w:t>
      </w:r>
      <w:proofErr w:type="spellEnd"/>
      <w:r>
        <w:t xml:space="preserve"> III</w:t>
      </w:r>
      <w:bookmarkEnd w:id="12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single" w:color="8CA2CB" w:sz="4" w:space="0"/>
          <w:right w:val="none" w:color="auto" w:sz="0" w:space="0"/>
          <w:insideH w:val="single" w:color="8CA2CB" w:sz="4" w:space="0"/>
          <w:insideV w:val="single" w:color="FFFFFF" w:themeColor="background1" w:sz="18" w:space="0"/>
        </w:tblBorders>
        <w:tblLook w:val="04A0" w:firstRow="1" w:lastRow="0" w:firstColumn="1" w:lastColumn="0" w:noHBand="0" w:noVBand="1"/>
      </w:tblPr>
      <w:tblGrid>
        <w:gridCol w:w="7015"/>
        <w:gridCol w:w="2335"/>
      </w:tblGrid>
      <w:tr w:rsidRPr="001668D5" w:rsidR="00E115B2" w:rsidTr="00083163" w14:paraId="4CE5CBC4" w14:textId="77777777">
        <w:tc>
          <w:tcPr>
            <w:tcW w:w="7015" w:type="dxa"/>
            <w:shd w:val="clear" w:color="auto" w:fill="455560"/>
          </w:tcPr>
          <w:p w:rsidRPr="001668D5" w:rsidR="00E115B2" w:rsidP="00083163" w:rsidRDefault="00E115B2" w14:paraId="0C2B5EA8" w14:textId="77777777">
            <w:pPr>
              <w:pStyle w:val="TableHeaders"/>
              <w:spacing w:before="0" w:after="0" w:line="360" w:lineRule="auto"/>
            </w:pPr>
            <w:r w:rsidRPr="001668D5">
              <w:t>Steps</w:t>
            </w:r>
          </w:p>
        </w:tc>
        <w:tc>
          <w:tcPr>
            <w:tcW w:w="2335" w:type="dxa"/>
            <w:shd w:val="clear" w:color="auto" w:fill="2F68A4"/>
          </w:tcPr>
          <w:p w:rsidRPr="001668D5" w:rsidR="00E115B2" w:rsidP="00083163" w:rsidRDefault="00E115B2" w14:paraId="76DB0F45" w14:textId="77777777">
            <w:pPr>
              <w:pStyle w:val="TableHeaders"/>
              <w:spacing w:before="0" w:after="0" w:line="360" w:lineRule="auto"/>
            </w:pPr>
            <w:r w:rsidRPr="001668D5">
              <w:t>Number</w:t>
            </w:r>
          </w:p>
        </w:tc>
      </w:tr>
      <w:tr w:rsidRPr="0068588B" w:rsidR="00E115B2" w:rsidTr="00083163" w14:paraId="7FCBC4E4" w14:textId="77777777">
        <w:trPr>
          <w:cantSplit/>
        </w:trPr>
        <w:tc>
          <w:tcPr>
            <w:tcW w:w="7015" w:type="dxa"/>
            <w:shd w:val="clear" w:color="auto" w:fill="E3E8EC"/>
          </w:tcPr>
          <w:p w:rsidRPr="0068588B" w:rsidR="00E115B2" w:rsidP="00083163" w:rsidRDefault="00E115B2" w14:paraId="26C7083B" w14:textId="77777777">
            <w:pPr>
              <w:pStyle w:val="TableText"/>
              <w:spacing w:before="0" w:after="0" w:line="360" w:lineRule="auto"/>
              <w:ind w:left="216" w:hanging="216"/>
              <w:rPr>
                <w:rFonts w:ascii="Arial Narrow" w:hAnsi="Arial Narrow"/>
              </w:rPr>
            </w:pPr>
            <w:r w:rsidRPr="0068588B">
              <w:rPr>
                <w:rFonts w:ascii="Arial Narrow" w:hAnsi="Arial Narrow"/>
              </w:rPr>
              <w:t>1.</w:t>
            </w:r>
            <w:r w:rsidRPr="0068588B">
              <w:rPr>
                <w:rFonts w:ascii="Arial Narrow" w:hAnsi="Arial Narrow"/>
              </w:rPr>
              <w:tab/>
              <w:t>initial sample</w:t>
            </w:r>
          </w:p>
        </w:tc>
        <w:tc>
          <w:tcPr>
            <w:tcW w:w="2335" w:type="dxa"/>
            <w:shd w:val="clear" w:color="auto" w:fill="DBE0EE"/>
          </w:tcPr>
          <w:p w:rsidRPr="0068588B" w:rsidR="00E115B2" w:rsidP="00083163" w:rsidRDefault="00E115B2" w14:paraId="3C9373BC" w14:textId="77777777">
            <w:pPr>
              <w:keepNext/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 w:rsidRPr="0068588B">
              <w:rPr>
                <w:rFonts w:ascii="Arial Narrow" w:hAnsi="Arial Narrow"/>
                <w:sz w:val="20"/>
              </w:rPr>
              <w:t>8,695</w:t>
            </w:r>
          </w:p>
        </w:tc>
      </w:tr>
      <w:tr w:rsidRPr="0068588B" w:rsidR="00E115B2" w:rsidTr="00083163" w14:paraId="65CE4069" w14:textId="77777777">
        <w:trPr>
          <w:cantSplit/>
        </w:trPr>
        <w:tc>
          <w:tcPr>
            <w:tcW w:w="7015" w:type="dxa"/>
            <w:shd w:val="clear" w:color="auto" w:fill="E3E8EC"/>
          </w:tcPr>
          <w:p w:rsidRPr="0068588B" w:rsidR="00E115B2" w:rsidP="00083163" w:rsidRDefault="00E115B2" w14:paraId="474D579D" w14:textId="77777777">
            <w:pPr>
              <w:pStyle w:val="TableText"/>
              <w:spacing w:before="0" w:after="0" w:line="360" w:lineRule="auto"/>
              <w:ind w:left="216" w:hanging="216"/>
              <w:rPr>
                <w:rFonts w:ascii="Arial Narrow" w:hAnsi="Arial Narrow"/>
              </w:rPr>
            </w:pPr>
            <w:r w:rsidRPr="0068588B">
              <w:rPr>
                <w:rFonts w:ascii="Arial Narrow" w:hAnsi="Arial Narrow"/>
              </w:rPr>
              <w:t>2.</w:t>
            </w:r>
            <w:r w:rsidRPr="0068588B">
              <w:rPr>
                <w:rFonts w:ascii="Arial Narrow" w:hAnsi="Arial Narrow"/>
              </w:rPr>
              <w:tab/>
              <w:t>assume 25% of the initial cases will be ineligible due to factors including the following:</w:t>
            </w:r>
          </w:p>
          <w:p w:rsidRPr="0068588B" w:rsidR="00E115B2" w:rsidP="00E115B2" w:rsidRDefault="00E115B2" w14:paraId="7D26F461" w14:textId="77777777">
            <w:pPr>
              <w:pStyle w:val="Tablebullet"/>
              <w:keepNext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before="0" w:after="0" w:line="360" w:lineRule="auto"/>
              <w:ind w:left="432" w:hanging="216"/>
            </w:pPr>
            <w:r w:rsidRPr="0068588B">
              <w:t>the sampled child is the sibling of another child already in the study</w:t>
            </w:r>
          </w:p>
          <w:p w:rsidR="00E115B2" w:rsidP="00E115B2" w:rsidRDefault="00E115B2" w14:paraId="5A7A1EFA" w14:textId="77777777">
            <w:pPr>
              <w:pStyle w:val="Tablebullet"/>
              <w:keepNext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before="0" w:after="0" w:line="360" w:lineRule="auto"/>
              <w:ind w:left="432" w:hanging="216"/>
            </w:pPr>
            <w:r w:rsidRPr="0068588B">
              <w:t>the sampled child was not the target of the investigation into abuse or neglect</w:t>
            </w:r>
          </w:p>
          <w:p w:rsidRPr="0068588B" w:rsidR="00E115B2" w:rsidP="00E115B2" w:rsidRDefault="00E115B2" w14:paraId="1A0352D6" w14:textId="77777777">
            <w:pPr>
              <w:pStyle w:val="Tablebullet"/>
              <w:keepNext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before="0" w:after="0" w:line="360" w:lineRule="auto"/>
              <w:ind w:left="432" w:hanging="216"/>
            </w:pPr>
            <w:r w:rsidRPr="0068588B">
              <w:t>the investigation date for the sampled child occurred outside the sampling period</w:t>
            </w:r>
          </w:p>
          <w:p w:rsidR="00E115B2" w:rsidP="00E115B2" w:rsidRDefault="00E115B2" w14:paraId="0C8D9271" w14:textId="77777777">
            <w:pPr>
              <w:pStyle w:val="Tablebullet"/>
              <w:keepNext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before="0" w:after="0" w:line="360" w:lineRule="auto"/>
              <w:ind w:left="432" w:hanging="216"/>
            </w:pPr>
            <w:r w:rsidRPr="0068588B">
              <w:t>the sampled child/family moved out of the sampled agency’s service area</w:t>
            </w:r>
          </w:p>
          <w:p w:rsidRPr="0068588B" w:rsidR="00E115B2" w:rsidP="00E115B2" w:rsidRDefault="00E115B2" w14:paraId="2E37C375" w14:textId="77777777">
            <w:pPr>
              <w:pStyle w:val="Tablebullet"/>
              <w:keepNext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before="0" w:after="0" w:line="360" w:lineRule="auto"/>
              <w:ind w:left="432" w:hanging="216"/>
            </w:pPr>
            <w:r w:rsidRPr="0068588B">
              <w:t>the sampled child was determined to be deceased</w:t>
            </w:r>
          </w:p>
        </w:tc>
        <w:tc>
          <w:tcPr>
            <w:tcW w:w="2335" w:type="dxa"/>
            <w:shd w:val="clear" w:color="auto" w:fill="DBE0EE"/>
          </w:tcPr>
          <w:p w:rsidRPr="0068588B" w:rsidR="00E115B2" w:rsidP="00083163" w:rsidRDefault="00E115B2" w14:paraId="2C522125" w14:textId="77777777">
            <w:pPr>
              <w:keepNext/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 w:rsidRPr="0068588B">
              <w:rPr>
                <w:rFonts w:ascii="Arial Narrow" w:hAnsi="Arial Narrow"/>
                <w:sz w:val="20"/>
              </w:rPr>
              <w:t>.75 x 8,695 = 6,521</w:t>
            </w:r>
          </w:p>
        </w:tc>
      </w:tr>
      <w:tr w:rsidRPr="0068588B" w:rsidR="00E115B2" w:rsidTr="00083163" w14:paraId="1E97CB5C" w14:textId="77777777">
        <w:tc>
          <w:tcPr>
            <w:tcW w:w="7015" w:type="dxa"/>
            <w:shd w:val="clear" w:color="auto" w:fill="E3E8EC"/>
          </w:tcPr>
          <w:p w:rsidRPr="0068588B" w:rsidR="00E115B2" w:rsidP="00083163" w:rsidRDefault="00E115B2" w14:paraId="3489F049" w14:textId="77777777">
            <w:pPr>
              <w:pStyle w:val="TableText"/>
              <w:spacing w:before="0" w:after="0" w:line="360" w:lineRule="auto"/>
              <w:ind w:left="216" w:hanging="216"/>
              <w:rPr>
                <w:rFonts w:ascii="Arial Narrow" w:hAnsi="Arial Narrow"/>
              </w:rPr>
            </w:pPr>
            <w:r w:rsidRPr="0068588B">
              <w:rPr>
                <w:rFonts w:ascii="Arial Narrow" w:hAnsi="Arial Narrow"/>
              </w:rPr>
              <w:t>3.</w:t>
            </w:r>
            <w:r w:rsidRPr="0068588B">
              <w:rPr>
                <w:rFonts w:ascii="Arial Narrow" w:hAnsi="Arial Narrow"/>
              </w:rPr>
              <w:tab/>
              <w:t>assume 60% of the cases will cooperate with the initial data collection efforts</w:t>
            </w:r>
          </w:p>
        </w:tc>
        <w:tc>
          <w:tcPr>
            <w:tcW w:w="2335" w:type="dxa"/>
            <w:shd w:val="clear" w:color="auto" w:fill="DBE0EE"/>
          </w:tcPr>
          <w:p w:rsidRPr="0068588B" w:rsidR="00E115B2" w:rsidP="00083163" w:rsidRDefault="00E115B2" w14:paraId="2AD3E8D4" w14:textId="77777777">
            <w:pPr>
              <w:keepNext/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 w:rsidRPr="0068588B">
              <w:rPr>
                <w:rFonts w:ascii="Arial Narrow" w:hAnsi="Arial Narrow"/>
                <w:sz w:val="20"/>
              </w:rPr>
              <w:t>.60 x 6,521 = 3,913</w:t>
            </w:r>
          </w:p>
        </w:tc>
      </w:tr>
      <w:tr w:rsidRPr="0068588B" w:rsidR="00E115B2" w:rsidTr="00083163" w14:paraId="6B99DB76" w14:textId="77777777">
        <w:tc>
          <w:tcPr>
            <w:tcW w:w="7015" w:type="dxa"/>
            <w:shd w:val="clear" w:color="auto" w:fill="E3E8EC"/>
          </w:tcPr>
          <w:p w:rsidRPr="0068588B" w:rsidR="00E115B2" w:rsidP="00083163" w:rsidRDefault="00E115B2" w14:paraId="406140B1" w14:textId="77777777">
            <w:pPr>
              <w:pStyle w:val="TableText"/>
              <w:spacing w:before="0" w:after="0" w:line="360" w:lineRule="auto"/>
              <w:ind w:left="216" w:hanging="216"/>
              <w:rPr>
                <w:rFonts w:ascii="Arial Narrow" w:hAnsi="Arial Narrow"/>
              </w:rPr>
            </w:pPr>
            <w:r w:rsidRPr="0068588B">
              <w:rPr>
                <w:rFonts w:ascii="Arial Narrow" w:hAnsi="Arial Narrow"/>
              </w:rPr>
              <w:t xml:space="preserve">4. </w:t>
            </w:r>
            <w:r w:rsidRPr="0068588B">
              <w:rPr>
                <w:rFonts w:ascii="Arial Narrow" w:hAnsi="Arial Narrow"/>
              </w:rPr>
              <w:tab/>
              <w:t xml:space="preserve">subject 50% of the remaining </w:t>
            </w:r>
            <w:proofErr w:type="spellStart"/>
            <w:r w:rsidRPr="0068588B">
              <w:rPr>
                <w:rFonts w:ascii="Arial Narrow" w:hAnsi="Arial Narrow"/>
              </w:rPr>
              <w:t>nonresponders</w:t>
            </w:r>
            <w:proofErr w:type="spellEnd"/>
            <w:r w:rsidRPr="0068588B">
              <w:rPr>
                <w:rFonts w:ascii="Arial Narrow" w:hAnsi="Arial Narrow"/>
              </w:rPr>
              <w:t xml:space="preserve"> (n = 3,143) to intensive data collection efforts</w:t>
            </w:r>
          </w:p>
        </w:tc>
        <w:tc>
          <w:tcPr>
            <w:tcW w:w="2335" w:type="dxa"/>
            <w:shd w:val="clear" w:color="auto" w:fill="DBE0EE"/>
          </w:tcPr>
          <w:p w:rsidRPr="0068588B" w:rsidR="00E115B2" w:rsidP="00083163" w:rsidRDefault="00E115B2" w14:paraId="6DFBAFF2" w14:textId="77777777">
            <w:pPr>
              <w:keepNext/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 w:rsidRPr="0068588B">
              <w:rPr>
                <w:rFonts w:ascii="Arial Narrow" w:hAnsi="Arial Narrow"/>
                <w:sz w:val="20"/>
              </w:rPr>
              <w:t>.50 x 2,609= 1,304</w:t>
            </w:r>
          </w:p>
        </w:tc>
      </w:tr>
      <w:tr w:rsidRPr="0068588B" w:rsidR="00E115B2" w:rsidTr="00083163" w14:paraId="038B54B6" w14:textId="77777777">
        <w:tc>
          <w:tcPr>
            <w:tcW w:w="7015" w:type="dxa"/>
            <w:shd w:val="clear" w:color="auto" w:fill="E3E8EC"/>
          </w:tcPr>
          <w:p w:rsidRPr="0068588B" w:rsidR="00E115B2" w:rsidP="00083163" w:rsidRDefault="00E115B2" w14:paraId="08852426" w14:textId="77777777">
            <w:pPr>
              <w:pStyle w:val="TableText"/>
              <w:spacing w:before="0" w:after="0" w:line="360" w:lineRule="auto"/>
              <w:ind w:left="216" w:hanging="216"/>
              <w:rPr>
                <w:rFonts w:ascii="Arial Narrow" w:hAnsi="Arial Narrow"/>
              </w:rPr>
            </w:pPr>
            <w:r w:rsidRPr="0068588B">
              <w:rPr>
                <w:rFonts w:ascii="Arial Narrow" w:hAnsi="Arial Narrow"/>
              </w:rPr>
              <w:t xml:space="preserve">5. </w:t>
            </w:r>
            <w:r w:rsidRPr="0068588B">
              <w:rPr>
                <w:rFonts w:ascii="Arial Narrow" w:hAnsi="Arial Narrow"/>
              </w:rPr>
              <w:tab/>
              <w:t xml:space="preserve">assume 50% of the </w:t>
            </w:r>
            <w:proofErr w:type="spellStart"/>
            <w:r w:rsidRPr="0068588B">
              <w:rPr>
                <w:rFonts w:ascii="Arial Narrow" w:hAnsi="Arial Narrow"/>
              </w:rPr>
              <w:t>nonresponders</w:t>
            </w:r>
            <w:proofErr w:type="spellEnd"/>
            <w:r w:rsidRPr="0068588B">
              <w:rPr>
                <w:rFonts w:ascii="Arial Narrow" w:hAnsi="Arial Narrow"/>
              </w:rPr>
              <w:t xml:space="preserve"> ultimately participate</w:t>
            </w:r>
          </w:p>
        </w:tc>
        <w:tc>
          <w:tcPr>
            <w:tcW w:w="2335" w:type="dxa"/>
            <w:shd w:val="clear" w:color="auto" w:fill="DBE0EE"/>
          </w:tcPr>
          <w:p w:rsidRPr="0068588B" w:rsidR="00E115B2" w:rsidP="00083163" w:rsidRDefault="00E115B2" w14:paraId="76C87708" w14:textId="77777777">
            <w:pPr>
              <w:keepNext/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 w:rsidRPr="0068588B">
              <w:rPr>
                <w:rFonts w:ascii="Arial Narrow" w:hAnsi="Arial Narrow"/>
                <w:sz w:val="20"/>
              </w:rPr>
              <w:t>.50 x 1,304 = 652</w:t>
            </w:r>
          </w:p>
        </w:tc>
      </w:tr>
      <w:tr w:rsidRPr="0068588B" w:rsidR="00E115B2" w:rsidTr="00083163" w14:paraId="08F20D6A" w14:textId="77777777">
        <w:tc>
          <w:tcPr>
            <w:tcW w:w="7015" w:type="dxa"/>
            <w:shd w:val="clear" w:color="auto" w:fill="E3E8EC"/>
          </w:tcPr>
          <w:p w:rsidRPr="0068588B" w:rsidR="00E115B2" w:rsidP="00083163" w:rsidRDefault="00E115B2" w14:paraId="133D85B0" w14:textId="77777777">
            <w:pPr>
              <w:pStyle w:val="TableText"/>
              <w:spacing w:before="0" w:after="0" w:line="360" w:lineRule="auto"/>
              <w:rPr>
                <w:rFonts w:ascii="Arial Narrow" w:hAnsi="Arial Narrow"/>
              </w:rPr>
            </w:pPr>
            <w:r w:rsidRPr="0068588B">
              <w:rPr>
                <w:rFonts w:ascii="Arial Narrow" w:hAnsi="Arial Narrow"/>
              </w:rPr>
              <w:t>Total number of completed cases</w:t>
            </w:r>
          </w:p>
        </w:tc>
        <w:tc>
          <w:tcPr>
            <w:tcW w:w="2335" w:type="dxa"/>
            <w:shd w:val="clear" w:color="auto" w:fill="DBE0EE"/>
          </w:tcPr>
          <w:p w:rsidRPr="0068588B" w:rsidR="00E115B2" w:rsidP="00083163" w:rsidRDefault="00E115B2" w14:paraId="3A3E73ED" w14:textId="77777777">
            <w:pPr>
              <w:pStyle w:val="TableText"/>
              <w:spacing w:before="0" w:after="0" w:line="360" w:lineRule="auto"/>
              <w:jc w:val="center"/>
              <w:rPr>
                <w:rFonts w:ascii="Arial Narrow" w:hAnsi="Arial Narrow"/>
              </w:rPr>
            </w:pPr>
            <w:r w:rsidRPr="0068588B">
              <w:rPr>
                <w:rFonts w:ascii="Arial Narrow" w:hAnsi="Arial Narrow"/>
              </w:rPr>
              <w:t>3,913 + 652 = 4,565</w:t>
            </w:r>
          </w:p>
        </w:tc>
      </w:tr>
    </w:tbl>
    <w:p w:rsidR="00E115B2" w:rsidP="00E115B2" w:rsidRDefault="00E115B2" w14:paraId="48F94578" w14:textId="77777777">
      <w:pPr>
        <w:pStyle w:val="Source1"/>
      </w:pPr>
    </w:p>
    <w:p w:rsidR="00E115B2" w:rsidP="00E115B2" w:rsidRDefault="00E115B2" w14:paraId="1DEADBA5" w14:textId="77777777">
      <w:pPr>
        <w:pStyle w:val="BodyText"/>
      </w:pPr>
      <w:r w:rsidRPr="00421FF9">
        <w:t xml:space="preserve">With the number of completed cases, the average number of completes per PSU, and the oversampled domains, the extensive data available </w:t>
      </w:r>
      <w:r>
        <w:t xml:space="preserve">from </w:t>
      </w:r>
      <w:proofErr w:type="spellStart"/>
      <w:r w:rsidRPr="00421FF9">
        <w:t>NSCAW</w:t>
      </w:r>
      <w:proofErr w:type="spellEnd"/>
      <w:r w:rsidRPr="00421FF9">
        <w:t xml:space="preserve"> I</w:t>
      </w:r>
      <w:r>
        <w:t xml:space="preserve"> and </w:t>
      </w:r>
      <w:r w:rsidRPr="00421FF9">
        <w:t xml:space="preserve">II </w:t>
      </w:r>
      <w:r>
        <w:t xml:space="preserve">will be used </w:t>
      </w:r>
      <w:r w:rsidRPr="00421FF9">
        <w:t xml:space="preserve">to </w:t>
      </w:r>
      <w:r>
        <w:t xml:space="preserve">update response rates by domain and by PSU in order to </w:t>
      </w:r>
      <w:r w:rsidRPr="00421FF9">
        <w:t>establish initial sample allocations for each domain.</w:t>
      </w:r>
    </w:p>
    <w:p w:rsidRPr="009D7473" w:rsidR="00E115B2" w:rsidP="00E115B2" w:rsidRDefault="00E115B2" w14:paraId="55F9149E" w14:textId="7661EB70">
      <w:pPr>
        <w:pStyle w:val="Heading2"/>
      </w:pPr>
      <w:bookmarkStart w:name="_Toc449706608" w:id="13"/>
      <w:r w:rsidRPr="009D7473">
        <w:t>1.5</w:t>
      </w:r>
      <w:r>
        <w:tab/>
      </w:r>
      <w:r w:rsidRPr="009D7473">
        <w:t>Expected Response Rate</w:t>
      </w:r>
      <w:bookmarkEnd w:id="13"/>
    </w:p>
    <w:p w:rsidR="00E115B2" w:rsidP="00E115B2" w:rsidRDefault="00E115B2" w14:paraId="4F98DCC5" w14:textId="77777777">
      <w:pPr>
        <w:ind w:left="-14" w:right="15"/>
      </w:pPr>
      <w:r>
        <w:t xml:space="preserve">An important requirement of the </w:t>
      </w:r>
      <w:proofErr w:type="spellStart"/>
      <w:r>
        <w:t>NSCAW</w:t>
      </w:r>
      <w:proofErr w:type="spellEnd"/>
      <w:r>
        <w:t xml:space="preserve"> III design is to maximize both agency and child-level response rates. Obtaining a response rate of 80 percent for the key respondent at baseline is a high priority. The contractor will use a number of </w:t>
      </w:r>
      <w:proofErr w:type="gramStart"/>
      <w:r>
        <w:t>response rate enhancement features</w:t>
      </w:r>
      <w:proofErr w:type="gramEnd"/>
      <w:r>
        <w:t xml:space="preserve"> that will maximize response rates without appreciably increasing data collection costs. Central among these features are the following:</w:t>
      </w:r>
    </w:p>
    <w:p w:rsidR="00E115B2" w:rsidP="00E115B2" w:rsidRDefault="00E115B2" w14:paraId="365A5692" w14:textId="77777777">
      <w:pPr>
        <w:pStyle w:val="ListParagraph"/>
        <w:tabs>
          <w:tab w:val="left" w:pos="360"/>
        </w:tabs>
        <w:spacing w:after="0" w:line="240" w:lineRule="auto"/>
        <w:ind w:left="780"/>
      </w:pPr>
    </w:p>
    <w:p w:rsidR="00E115B2" w:rsidP="00E115B2" w:rsidRDefault="00E115B2" w14:paraId="42B7F32F" w14:textId="77777777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</w:pPr>
      <w:r>
        <w:t>Incorporating both contact and response propensity models in the field work to identify sample members who are either difficult to contact, have a low probability of cooperating when contacted or both,</w:t>
      </w:r>
    </w:p>
    <w:p w:rsidR="00E115B2" w:rsidP="00E115B2" w:rsidRDefault="00E115B2" w14:paraId="25F92B3E" w14:textId="77777777">
      <w:pPr>
        <w:pStyle w:val="ListParagraph"/>
        <w:tabs>
          <w:tab w:val="left" w:pos="360"/>
        </w:tabs>
        <w:spacing w:after="0" w:line="240" w:lineRule="auto"/>
        <w:ind w:left="780"/>
      </w:pPr>
    </w:p>
    <w:p w:rsidR="00E115B2" w:rsidP="00E115B2" w:rsidRDefault="00E115B2" w14:paraId="62FCA2D7" w14:textId="77777777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</w:pPr>
      <w:r>
        <w:t xml:space="preserve">Using two-phase sampling to select a 50 percent sample of </w:t>
      </w:r>
      <w:proofErr w:type="spellStart"/>
      <w:r>
        <w:t>nonrespondents</w:t>
      </w:r>
      <w:proofErr w:type="spellEnd"/>
      <w:r>
        <w:t xml:space="preserve"> to pursue during the nonresponse </w:t>
      </w:r>
      <w:proofErr w:type="spellStart"/>
      <w:r>
        <w:t>followup</w:t>
      </w:r>
      <w:proofErr w:type="spellEnd"/>
      <w:r>
        <w:t xml:space="preserve"> phase of data collection, and </w:t>
      </w:r>
    </w:p>
    <w:p w:rsidR="00E115B2" w:rsidP="00E115B2" w:rsidRDefault="00E115B2" w14:paraId="11001096" w14:textId="77777777">
      <w:pPr>
        <w:pStyle w:val="ListParagraph"/>
        <w:tabs>
          <w:tab w:val="left" w:pos="360"/>
        </w:tabs>
        <w:spacing w:after="0" w:line="240" w:lineRule="auto"/>
        <w:ind w:left="780"/>
      </w:pPr>
    </w:p>
    <w:p w:rsidR="00E115B2" w:rsidP="00E115B2" w:rsidRDefault="00E115B2" w14:paraId="4A891558" w14:textId="77777777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</w:pPr>
      <w:r>
        <w:t xml:space="preserve">Using matched substitution for select groups of </w:t>
      </w:r>
      <w:proofErr w:type="spellStart"/>
      <w:r>
        <w:t>nonrespondents</w:t>
      </w:r>
      <w:proofErr w:type="spellEnd"/>
      <w:r>
        <w:t xml:space="preserve"> in order to further reduce nonresponse bias and boost response rates.</w:t>
      </w:r>
    </w:p>
    <w:p w:rsidR="00E115B2" w:rsidP="00E115B2" w:rsidRDefault="00E115B2" w14:paraId="0CD9E22E" w14:textId="77777777">
      <w:pPr>
        <w:pStyle w:val="BodyText"/>
      </w:pPr>
    </w:p>
    <w:p w:rsidRPr="00963842" w:rsidR="00E115B2" w:rsidP="00E115B2" w:rsidRDefault="00E115B2" w14:paraId="1DC6C512" w14:textId="77777777">
      <w:pPr>
        <w:pStyle w:val="Heading1"/>
      </w:pPr>
      <w:bookmarkStart w:name="_Toc449706617" w:id="14"/>
      <w:r w:rsidRPr="00963842">
        <w:t>References</w:t>
      </w:r>
      <w:bookmarkEnd w:id="14"/>
    </w:p>
    <w:p w:rsidRPr="005C3994" w:rsidR="00E115B2" w:rsidP="00E115B2" w:rsidRDefault="00E115B2" w14:paraId="6D830C84" w14:textId="77777777">
      <w:pPr>
        <w:pStyle w:val="Biblio"/>
        <w:rPr>
          <w:sz w:val="22"/>
          <w:szCs w:val="22"/>
        </w:rPr>
      </w:pPr>
      <w:proofErr w:type="spellStart"/>
      <w:r w:rsidRPr="005C3994">
        <w:t>Biemer</w:t>
      </w:r>
      <w:proofErr w:type="spellEnd"/>
      <w:r w:rsidRPr="005C3994">
        <w:t>, P. P. (2007). “</w:t>
      </w:r>
      <w:proofErr w:type="spellStart"/>
      <w:r w:rsidRPr="005C3994">
        <w:t>NSCAW</w:t>
      </w:r>
      <w:proofErr w:type="spellEnd"/>
      <w:r w:rsidRPr="005C3994">
        <w:t xml:space="preserve"> II Design Methodology and Recommendations,” internal </w:t>
      </w:r>
      <w:proofErr w:type="spellStart"/>
      <w:r w:rsidRPr="005C3994">
        <w:t>RTI</w:t>
      </w:r>
      <w:proofErr w:type="spellEnd"/>
      <w:r w:rsidRPr="005C3994">
        <w:t xml:space="preserve"> </w:t>
      </w:r>
      <w:r>
        <w:t xml:space="preserve">International </w:t>
      </w:r>
      <w:r w:rsidRPr="005C3994">
        <w:t>design report, May 4, 2007</w:t>
      </w:r>
      <w:r>
        <w:t>.</w:t>
      </w:r>
    </w:p>
    <w:p w:rsidRPr="005C3994" w:rsidR="00E115B2" w:rsidP="00E115B2" w:rsidRDefault="00E115B2" w14:paraId="58BA71C2" w14:textId="77777777">
      <w:pPr>
        <w:pStyle w:val="Biblio"/>
      </w:pPr>
      <w:r w:rsidRPr="005C3994">
        <w:t xml:space="preserve">Ernst, </w:t>
      </w:r>
      <w:proofErr w:type="spellStart"/>
      <w:r w:rsidRPr="005C3994">
        <w:t>L.R</w:t>
      </w:r>
      <w:proofErr w:type="spellEnd"/>
      <w:r w:rsidRPr="005C3994">
        <w:t xml:space="preserve">. (1995). Maximizing and minimizing overlap of ultimate sampling units. In </w:t>
      </w:r>
      <w:proofErr w:type="spellStart"/>
      <w:r w:rsidRPr="005C3994">
        <w:rPr>
          <w:i/>
        </w:rPr>
        <w:t>JSM</w:t>
      </w:r>
      <w:proofErr w:type="spellEnd"/>
      <w:r w:rsidRPr="005C3994">
        <w:rPr>
          <w:i/>
        </w:rPr>
        <w:t xml:space="preserve"> Proceedings</w:t>
      </w:r>
      <w:r w:rsidRPr="005C3994">
        <w:t>, Survey Research Methods Section. Alexandria, VA: American Statistical Association. 706-711.</w:t>
      </w:r>
    </w:p>
    <w:p w:rsidRPr="005C3994" w:rsidR="00E115B2" w:rsidP="00E115B2" w:rsidRDefault="00E115B2" w14:paraId="03AAFD11" w14:textId="77777777">
      <w:pPr>
        <w:pStyle w:val="Biblio"/>
      </w:pPr>
      <w:r w:rsidRPr="005C3994">
        <w:t xml:space="preserve">Folsom, </w:t>
      </w:r>
      <w:proofErr w:type="spellStart"/>
      <w:r w:rsidRPr="005C3994">
        <w:t>R.E</w:t>
      </w:r>
      <w:proofErr w:type="spellEnd"/>
      <w:r w:rsidRPr="005C3994">
        <w:t xml:space="preserve">., Potter, </w:t>
      </w:r>
      <w:proofErr w:type="spellStart"/>
      <w:r w:rsidRPr="005C3994">
        <w:t>F.J</w:t>
      </w:r>
      <w:proofErr w:type="spellEnd"/>
      <w:r w:rsidRPr="005C3994">
        <w:t>., and Williams, S.R. (1987).</w:t>
      </w:r>
      <w:r>
        <w:t xml:space="preserve"> </w:t>
      </w:r>
      <w:r w:rsidRPr="005C3994">
        <w:t>Notes on a composite size measure for self-weighting samples in multiple domains.</w:t>
      </w:r>
      <w:r>
        <w:t xml:space="preserve"> </w:t>
      </w:r>
      <w:r w:rsidRPr="005C3994">
        <w:t>In Proceedings of the American Statistical Association, Section on Survey Research Methods, 792-796.</w:t>
      </w:r>
    </w:p>
    <w:p w:rsidR="00E115B2" w:rsidP="00E115B2" w:rsidRDefault="00E115B2" w14:paraId="1F438147" w14:textId="77777777">
      <w:pPr>
        <w:pStyle w:val="Biblio"/>
      </w:pPr>
      <w:r>
        <w:t xml:space="preserve">U.S. </w:t>
      </w:r>
      <w:r w:rsidRPr="00585FB3">
        <w:t>Office of Management and Budget (1999). National Survey of Child and Adolescent Well-Being</w:t>
      </w:r>
      <w:r>
        <w:t xml:space="preserve"> (</w:t>
      </w:r>
      <w:proofErr w:type="spellStart"/>
      <w:r>
        <w:t>NSCAW</w:t>
      </w:r>
      <w:proofErr w:type="spellEnd"/>
      <w:r>
        <w:t>)</w:t>
      </w:r>
      <w:r w:rsidRPr="00585FB3">
        <w:t xml:space="preserve">. </w:t>
      </w:r>
      <w:r>
        <w:t xml:space="preserve">OMB Information Collection Request.  </w:t>
      </w:r>
      <w:r w:rsidRPr="000908F1">
        <w:t xml:space="preserve">OMB Control No: 0970-0202, </w:t>
      </w:r>
      <w:proofErr w:type="spellStart"/>
      <w:r w:rsidRPr="000908F1">
        <w:t>ICR</w:t>
      </w:r>
      <w:proofErr w:type="spellEnd"/>
      <w:r w:rsidRPr="000908F1">
        <w:t xml:space="preserve"> Reference </w:t>
      </w:r>
      <w:proofErr w:type="gramStart"/>
      <w:r w:rsidRPr="000908F1">
        <w:t>No:</w:t>
      </w:r>
      <w:proofErr w:type="gramEnd"/>
      <w:r w:rsidRPr="000908F1">
        <w:t xml:space="preserve"> 199906-0970-002, Conclusion Date: 8/18/1999</w:t>
      </w:r>
      <w:r>
        <w:t>.</w:t>
      </w:r>
    </w:p>
    <w:p w:rsidR="00E115B2" w:rsidP="00E115B2" w:rsidRDefault="00E115B2" w14:paraId="7BC35250" w14:textId="77777777">
      <w:pPr>
        <w:pStyle w:val="Biblio"/>
      </w:pPr>
      <w:r>
        <w:t xml:space="preserve">U.S. </w:t>
      </w:r>
      <w:r w:rsidRPr="00585FB3">
        <w:t>Offic</w:t>
      </w:r>
      <w:r>
        <w:t>e of Management and Budget (2008</w:t>
      </w:r>
      <w:r w:rsidRPr="00585FB3">
        <w:t xml:space="preserve">). National Survey of Child and Adolescent Well-Being. OMB </w:t>
      </w:r>
      <w:r>
        <w:t xml:space="preserve">Information Collection Request. </w:t>
      </w:r>
      <w:r w:rsidRPr="00585FB3">
        <w:t xml:space="preserve">OMB Control No: 0970-0202, </w:t>
      </w:r>
      <w:proofErr w:type="spellStart"/>
      <w:r w:rsidRPr="00585FB3">
        <w:t>ICR</w:t>
      </w:r>
      <w:proofErr w:type="spellEnd"/>
      <w:r w:rsidRPr="00585FB3">
        <w:t xml:space="preserve"> Reference </w:t>
      </w:r>
      <w:proofErr w:type="gramStart"/>
      <w:r w:rsidRPr="00585FB3">
        <w:t>No:</w:t>
      </w:r>
      <w:proofErr w:type="gramEnd"/>
      <w:r w:rsidRPr="00585FB3">
        <w:t xml:space="preserve"> 200803-0970-002, Conclusion Date: 3/4/2008.</w:t>
      </w:r>
    </w:p>
    <w:p w:rsidR="0048650E" w:rsidP="00E115B2" w:rsidRDefault="00AA0D01" w14:paraId="367862E8" w14:textId="5AA90517"/>
    <w:p w:rsidR="00E115B2" w:rsidRDefault="00E115B2" w14:paraId="0C893313" w14:textId="77777777"/>
    <w:sectPr w:rsidR="00E11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37BF9" w16cex:dateUtc="2020-06-16T2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8D4303" w16cid:durableId="22935E82"/>
  <w16cid:commentId w16cid:paraId="03289B8E" w16cid:durableId="22935E83"/>
  <w16cid:commentId w16cid:paraId="4E182E87" w16cid:durableId="22937B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2AB73" w14:textId="77777777" w:rsidR="00D82C6F" w:rsidRDefault="00D82C6F" w:rsidP="00E115B2">
      <w:r>
        <w:separator/>
      </w:r>
    </w:p>
  </w:endnote>
  <w:endnote w:type="continuationSeparator" w:id="0">
    <w:p w14:paraId="5E5BF877" w14:textId="77777777" w:rsidR="00D82C6F" w:rsidRDefault="00D82C6F" w:rsidP="00E1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CD541" w14:textId="77777777" w:rsidR="00D82C6F" w:rsidRDefault="00D82C6F" w:rsidP="00E115B2">
      <w:r>
        <w:separator/>
      </w:r>
    </w:p>
  </w:footnote>
  <w:footnote w:type="continuationSeparator" w:id="0">
    <w:p w14:paraId="45416B05" w14:textId="77777777" w:rsidR="00D82C6F" w:rsidRDefault="00D82C6F" w:rsidP="00E115B2">
      <w:r>
        <w:continuationSeparator/>
      </w:r>
    </w:p>
  </w:footnote>
  <w:footnote w:id="1">
    <w:p w14:paraId="54AF85A7" w14:textId="77777777" w:rsidR="00E115B2" w:rsidRDefault="00E115B2" w:rsidP="00E115B2">
      <w:r w:rsidRPr="00E9198D">
        <w:rPr>
          <w:rStyle w:val="FootnoteReference"/>
        </w:rPr>
        <w:footnoteRef/>
      </w:r>
      <w:r w:rsidRPr="00E9198D">
        <w:rPr>
          <w:sz w:val="20"/>
        </w:rPr>
        <w:t xml:space="preserve"> </w:t>
      </w:r>
      <w:r>
        <w:rPr>
          <w:sz w:val="20"/>
        </w:rPr>
        <w:t xml:space="preserve">The </w:t>
      </w:r>
      <w:proofErr w:type="spellStart"/>
      <w:r>
        <w:rPr>
          <w:sz w:val="20"/>
        </w:rPr>
        <w:t>NSCAW</w:t>
      </w:r>
      <w:proofErr w:type="spellEnd"/>
      <w:r>
        <w:rPr>
          <w:sz w:val="20"/>
        </w:rPr>
        <w:t xml:space="preserve"> II OMB package contains additional detail about the previous sample</w:t>
      </w:r>
      <w:r w:rsidRPr="00E9198D">
        <w:rPr>
          <w:sz w:val="20"/>
        </w:rPr>
        <w:t xml:space="preserve"> design</w:t>
      </w:r>
      <w:r>
        <w:rPr>
          <w:sz w:val="20"/>
        </w:rPr>
        <w:t>s</w:t>
      </w:r>
      <w:r w:rsidRPr="00E9198D">
        <w:rPr>
          <w:sz w:val="20"/>
        </w:rPr>
        <w:t xml:space="preserve"> </w:t>
      </w:r>
      <w:r>
        <w:rPr>
          <w:sz w:val="20"/>
        </w:rPr>
        <w:t xml:space="preserve">and can be </w:t>
      </w:r>
      <w:r w:rsidRPr="00E9198D">
        <w:rPr>
          <w:sz w:val="20"/>
        </w:rPr>
        <w:t xml:space="preserve">found </w:t>
      </w:r>
      <w:r>
        <w:rPr>
          <w:sz w:val="20"/>
        </w:rPr>
        <w:t>here:</w:t>
      </w:r>
      <w:r w:rsidRPr="00E9198D">
        <w:rPr>
          <w:sz w:val="20"/>
        </w:rPr>
        <w:t xml:space="preserve"> </w:t>
      </w:r>
      <w:hyperlink r:id="rId1" w:history="1">
        <w:r w:rsidRPr="00E9198D">
          <w:rPr>
            <w:rStyle w:val="Hyperlink"/>
            <w:sz w:val="20"/>
          </w:rPr>
          <w:t>http://www.reginfo.gov/public/do/PRAViewDocument?ref_nbr=200803-0970-002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2ACA378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Arial" w:hAnsi="Arial" w:hint="default"/>
        <w:sz w:val="24"/>
        <w:szCs w:val="20"/>
      </w:rPr>
    </w:lvl>
  </w:abstractNum>
  <w:abstractNum w:abstractNumId="1" w15:restartNumberingAfterBreak="0">
    <w:nsid w:val="20593111"/>
    <w:multiLevelType w:val="hybridMultilevel"/>
    <w:tmpl w:val="52785636"/>
    <w:lvl w:ilvl="0" w:tplc="0409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DC0D90"/>
    <w:multiLevelType w:val="hybridMultilevel"/>
    <w:tmpl w:val="D8A4A2D0"/>
    <w:lvl w:ilvl="0" w:tplc="80746F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position w:val="-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B2"/>
    <w:rsid w:val="000657D0"/>
    <w:rsid w:val="0009292B"/>
    <w:rsid w:val="000B4B58"/>
    <w:rsid w:val="003E4430"/>
    <w:rsid w:val="004048C5"/>
    <w:rsid w:val="004627D6"/>
    <w:rsid w:val="004D3FC9"/>
    <w:rsid w:val="004E308E"/>
    <w:rsid w:val="005A6816"/>
    <w:rsid w:val="005E6DF6"/>
    <w:rsid w:val="005F1CA5"/>
    <w:rsid w:val="006E03D3"/>
    <w:rsid w:val="006F3064"/>
    <w:rsid w:val="00747BCE"/>
    <w:rsid w:val="008C495D"/>
    <w:rsid w:val="00955DB3"/>
    <w:rsid w:val="00A769E8"/>
    <w:rsid w:val="00AA0D01"/>
    <w:rsid w:val="00C944C2"/>
    <w:rsid w:val="00CA726B"/>
    <w:rsid w:val="00CF1577"/>
    <w:rsid w:val="00D82C6F"/>
    <w:rsid w:val="00E115B2"/>
    <w:rsid w:val="00E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E777D08"/>
  <w15:chartTrackingRefBased/>
  <w15:docId w15:val="{CD35598A-7785-463B-B5E5-8A7A5864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5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115B2"/>
    <w:pPr>
      <w:spacing w:after="240" w:line="360" w:lineRule="atLeast"/>
      <w:ind w:left="720" w:hanging="72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E115B2"/>
    <w:pPr>
      <w:keepNext/>
      <w:spacing w:before="240" w:after="120"/>
      <w:ind w:left="720" w:hanging="7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E115B2"/>
    <w:pPr>
      <w:keepNext/>
      <w:spacing w:before="240" w:after="12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15B2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E115B2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115B2"/>
    <w:rPr>
      <w:rFonts w:ascii="Times New Roman" w:eastAsia="Times New Roman" w:hAnsi="Times New Roman" w:cs="Times New Roman"/>
      <w:i/>
      <w:sz w:val="24"/>
      <w:szCs w:val="20"/>
    </w:rPr>
  </w:style>
  <w:style w:type="character" w:styleId="Hyperlink">
    <w:name w:val="Hyperlink"/>
    <w:uiPriority w:val="99"/>
    <w:unhideWhenUsed/>
    <w:rsid w:val="00E115B2"/>
    <w:rPr>
      <w:color w:val="0000FF"/>
      <w:u w:val="single"/>
    </w:rPr>
  </w:style>
  <w:style w:type="paragraph" w:styleId="BodyText">
    <w:name w:val="Body Text"/>
    <w:basedOn w:val="Normal"/>
    <w:link w:val="BodyTextChar"/>
    <w:rsid w:val="00E115B2"/>
    <w:pPr>
      <w:spacing w:after="240" w:line="280" w:lineRule="atLeast"/>
    </w:pPr>
  </w:style>
  <w:style w:type="character" w:customStyle="1" w:styleId="BodyTextChar">
    <w:name w:val="Body Text Char"/>
    <w:basedOn w:val="DefaultParagraphFont"/>
    <w:link w:val="BodyText"/>
    <w:rsid w:val="00E115B2"/>
    <w:rPr>
      <w:rFonts w:ascii="Times New Roman" w:eastAsia="Times New Roman" w:hAnsi="Times New Roman" w:cs="Times New Roman"/>
      <w:sz w:val="24"/>
      <w:szCs w:val="20"/>
    </w:rPr>
  </w:style>
  <w:style w:type="paragraph" w:customStyle="1" w:styleId="agraph">
    <w:name w:val="agraph"/>
    <w:rsid w:val="00E115B2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TableHeaders">
    <w:name w:val="Table Headers"/>
    <w:qFormat/>
    <w:rsid w:val="00E115B2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center"/>
    </w:pPr>
    <w:rPr>
      <w:rFonts w:ascii="Arial Narrow" w:eastAsia="Arial Unicode MS" w:hAnsi="Arial Narrow" w:cs="Arial Unicode MS"/>
      <w:b/>
      <w:bCs/>
      <w:color w:val="FFFFFF"/>
      <w:sz w:val="20"/>
      <w:szCs w:val="20"/>
      <w:u w:color="FFFFFF"/>
      <w:bdr w:val="nil"/>
    </w:rPr>
  </w:style>
  <w:style w:type="paragraph" w:customStyle="1" w:styleId="TableText">
    <w:name w:val="Table Text"/>
    <w:basedOn w:val="Normal"/>
    <w:qFormat/>
    <w:rsid w:val="00E115B2"/>
    <w:pPr>
      <w:keepNext/>
      <w:spacing w:before="60" w:after="60"/>
    </w:pPr>
    <w:rPr>
      <w:snapToGrid w:val="0"/>
      <w:sz w:val="20"/>
    </w:rPr>
  </w:style>
  <w:style w:type="paragraph" w:customStyle="1" w:styleId="Tablebullet">
    <w:name w:val="Table bullet"/>
    <w:qFormat/>
    <w:rsid w:val="00E115B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60" w:after="60" w:line="276" w:lineRule="auto"/>
    </w:pPr>
    <w:rPr>
      <w:rFonts w:ascii="Arial Narrow" w:eastAsia="Arial Unicode MS" w:hAnsi="Arial Narrow" w:cs="Arial Unicode MS"/>
      <w:color w:val="000000"/>
      <w:sz w:val="20"/>
      <w:szCs w:val="2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E115B2"/>
    <w:pPr>
      <w:spacing w:after="160" w:line="259" w:lineRule="auto"/>
      <w:ind w:left="720"/>
      <w:contextualSpacing/>
    </w:pPr>
    <w:rPr>
      <w:rFonts w:eastAsiaTheme="minorHAnsi"/>
      <w:szCs w:val="22"/>
    </w:rPr>
  </w:style>
  <w:style w:type="table" w:styleId="TableGrid">
    <w:name w:val="Table Grid"/>
    <w:basedOn w:val="TableNormal"/>
    <w:rsid w:val="00E115B2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E115B2"/>
    <w:rPr>
      <w:rFonts w:ascii="Times New Roman" w:hAnsi="Times New Roman"/>
      <w:position w:val="0"/>
      <w:sz w:val="20"/>
      <w:szCs w:val="20"/>
      <w:vertAlign w:val="superscript"/>
    </w:rPr>
  </w:style>
  <w:style w:type="paragraph" w:customStyle="1" w:styleId="equation">
    <w:name w:val="equation"/>
    <w:rsid w:val="00E115B2"/>
    <w:pPr>
      <w:tabs>
        <w:tab w:val="center" w:pos="4680"/>
        <w:tab w:val="right" w:pos="9360"/>
      </w:tabs>
      <w:spacing w:after="240" w:line="4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gureTitle">
    <w:name w:val="Figure Title"/>
    <w:basedOn w:val="Caption"/>
    <w:rsid w:val="00E115B2"/>
    <w:pPr>
      <w:keepNext/>
      <w:keepLines/>
      <w:spacing w:before="240" w:after="0"/>
    </w:pPr>
    <w:rPr>
      <w:b/>
      <w:bCs/>
      <w:i w:val="0"/>
      <w:iCs w:val="0"/>
      <w:color w:val="auto"/>
      <w:sz w:val="24"/>
      <w:szCs w:val="20"/>
    </w:rPr>
  </w:style>
  <w:style w:type="paragraph" w:styleId="ListContinue">
    <w:name w:val="List Continue"/>
    <w:basedOn w:val="Normal"/>
    <w:rsid w:val="00E115B2"/>
    <w:pPr>
      <w:spacing w:after="120"/>
      <w:ind w:left="720" w:hanging="360"/>
    </w:pPr>
  </w:style>
  <w:style w:type="paragraph" w:customStyle="1" w:styleId="Source1">
    <w:name w:val="Source1"/>
    <w:basedOn w:val="Normal"/>
    <w:rsid w:val="00E115B2"/>
    <w:pPr>
      <w:keepLines/>
      <w:spacing w:before="120" w:after="240"/>
      <w:ind w:left="720" w:hanging="720"/>
    </w:pPr>
    <w:rPr>
      <w:rFonts w:eastAsia="MS Mincho"/>
      <w:sz w:val="20"/>
    </w:rPr>
  </w:style>
  <w:style w:type="paragraph" w:styleId="ListBullet">
    <w:name w:val="List Bullet"/>
    <w:basedOn w:val="Normal"/>
    <w:rsid w:val="00E115B2"/>
    <w:pPr>
      <w:numPr>
        <w:numId w:val="3"/>
      </w:numPr>
      <w:spacing w:after="12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115B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E115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customStyle="1" w:styleId="Biblio">
    <w:name w:val="Biblio"/>
    <w:basedOn w:val="BodyText"/>
    <w:qFormat/>
    <w:rsid w:val="00E115B2"/>
    <w:pPr>
      <w:keepLines/>
      <w:ind w:left="36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CA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B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B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B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microsoft.com/office/2016/09/relationships/commentsIds" Target="commentsId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nfo.gov/public/do/PRAViewDocument?ref_nbr=200803-0970-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2974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Smith</dc:creator>
  <cp:keywords/>
  <dc:description/>
  <cp:lastModifiedBy>Jones, Molly (ACF)</cp:lastModifiedBy>
  <cp:revision>4</cp:revision>
  <dcterms:created xsi:type="dcterms:W3CDTF">2020-06-18T12:36:00Z</dcterms:created>
  <dcterms:modified xsi:type="dcterms:W3CDTF">2020-06-18T17:15:00Z</dcterms:modified>
</cp:coreProperties>
</file>