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D" w:rsidP="009B633D" w:rsidRDefault="009B633D" w14:paraId="75AD5D69" w14:textId="77777777">
      <w:pPr>
        <w:jc w:val="center"/>
        <w:rPr>
          <w:sz w:val="28"/>
          <w:szCs w:val="28"/>
        </w:rPr>
      </w:pPr>
    </w:p>
    <w:p w:rsidR="009B633D" w:rsidP="009B633D" w:rsidRDefault="009B633D" w14:paraId="16E580B4" w14:textId="77777777">
      <w:pPr>
        <w:jc w:val="center"/>
        <w:rPr>
          <w:sz w:val="28"/>
          <w:szCs w:val="28"/>
        </w:rPr>
      </w:pPr>
    </w:p>
    <w:p w:rsidR="009B633D" w:rsidP="009B633D" w:rsidRDefault="00456179" w14:paraId="7D874118" w14:textId="77777777">
      <w:pPr>
        <w:jc w:val="center"/>
        <w:rPr>
          <w:b/>
          <w:sz w:val="28"/>
          <w:szCs w:val="28"/>
        </w:rPr>
      </w:pPr>
      <w:r w:rsidRPr="00456179">
        <w:rPr>
          <w:b/>
          <w:sz w:val="28"/>
          <w:szCs w:val="28"/>
        </w:rPr>
        <w:t>SUPPORTING STATEMENT</w:t>
      </w:r>
    </w:p>
    <w:p w:rsidR="00635119" w:rsidP="009B633D" w:rsidRDefault="00635119" w14:paraId="48D92F67" w14:textId="77777777">
      <w:pPr>
        <w:jc w:val="center"/>
        <w:rPr>
          <w:b/>
          <w:sz w:val="28"/>
          <w:szCs w:val="28"/>
        </w:rPr>
      </w:pPr>
    </w:p>
    <w:p w:rsidR="009B633D" w:rsidP="009B633D" w:rsidRDefault="00456179" w14:paraId="4EFC5BA8" w14:textId="77777777">
      <w:pPr>
        <w:jc w:val="center"/>
        <w:rPr>
          <w:sz w:val="28"/>
          <w:szCs w:val="28"/>
        </w:rPr>
      </w:pPr>
      <w:r>
        <w:rPr>
          <w:b/>
          <w:sz w:val="28"/>
          <w:szCs w:val="28"/>
        </w:rPr>
        <w:t>Part A</w:t>
      </w:r>
    </w:p>
    <w:p w:rsidR="009B633D" w:rsidP="009B633D" w:rsidRDefault="009B633D" w14:paraId="425522AF" w14:textId="77777777">
      <w:pPr>
        <w:jc w:val="center"/>
        <w:rPr>
          <w:sz w:val="28"/>
          <w:szCs w:val="28"/>
        </w:rPr>
      </w:pPr>
    </w:p>
    <w:p w:rsidR="009B633D" w:rsidP="009B633D" w:rsidRDefault="009B633D" w14:paraId="57206791" w14:textId="77777777">
      <w:pPr>
        <w:jc w:val="center"/>
        <w:rPr>
          <w:sz w:val="28"/>
          <w:szCs w:val="28"/>
        </w:rPr>
      </w:pPr>
    </w:p>
    <w:p w:rsidR="009B633D" w:rsidP="009B633D" w:rsidRDefault="009B633D" w14:paraId="11321745" w14:textId="77777777">
      <w:pPr>
        <w:jc w:val="center"/>
        <w:rPr>
          <w:sz w:val="28"/>
          <w:szCs w:val="28"/>
        </w:rPr>
      </w:pPr>
    </w:p>
    <w:p w:rsidR="009B633D" w:rsidP="009B633D" w:rsidRDefault="009B633D" w14:paraId="49B373A1" w14:textId="77777777">
      <w:pPr>
        <w:jc w:val="center"/>
        <w:rPr>
          <w:sz w:val="28"/>
          <w:szCs w:val="28"/>
        </w:rPr>
      </w:pPr>
    </w:p>
    <w:p w:rsidR="009B633D" w:rsidP="009B633D" w:rsidRDefault="009B633D" w14:paraId="0467BEDC" w14:textId="77777777">
      <w:pPr>
        <w:jc w:val="center"/>
        <w:rPr>
          <w:sz w:val="28"/>
          <w:szCs w:val="28"/>
        </w:rPr>
      </w:pPr>
    </w:p>
    <w:p w:rsidR="009B633D" w:rsidP="009B633D" w:rsidRDefault="009B633D" w14:paraId="1B11A975" w14:textId="77777777">
      <w:pPr>
        <w:jc w:val="center"/>
        <w:rPr>
          <w:sz w:val="28"/>
          <w:szCs w:val="28"/>
        </w:rPr>
      </w:pPr>
    </w:p>
    <w:p w:rsidRPr="00C00123" w:rsidR="00C00123" w:rsidP="00C00123" w:rsidRDefault="00C00123" w14:paraId="0F9EB570" w14:textId="77777777">
      <w:pPr>
        <w:jc w:val="center"/>
        <w:rPr>
          <w:sz w:val="32"/>
          <w:szCs w:val="32"/>
        </w:rPr>
      </w:pPr>
      <w:r w:rsidRPr="00C00123">
        <w:rPr>
          <w:sz w:val="32"/>
          <w:szCs w:val="32"/>
        </w:rPr>
        <w:t>Patient-Centered Outcomes Research Clinical Decision Support: Current State and Future Directions</w:t>
      </w:r>
    </w:p>
    <w:p w:rsidRPr="00546A04" w:rsidR="00FD5674" w:rsidP="00FD5674" w:rsidRDefault="00FD5674" w14:paraId="31A2748D" w14:textId="4A8C88E0">
      <w:pPr>
        <w:autoSpaceDE w:val="0"/>
        <w:autoSpaceDN w:val="0"/>
        <w:jc w:val="center"/>
        <w:rPr>
          <w:sz w:val="28"/>
          <w:szCs w:val="28"/>
        </w:rPr>
      </w:pPr>
      <w:r w:rsidRPr="00546A04">
        <w:rPr>
          <w:sz w:val="28"/>
          <w:szCs w:val="28"/>
        </w:rPr>
        <w:t>AHRQ Project No.: HHSP233201500023I</w:t>
      </w:r>
    </w:p>
    <w:p w:rsidRPr="00C03446" w:rsidR="00C00123" w:rsidP="00C00123" w:rsidRDefault="00C00123" w14:paraId="51962D19" w14:textId="7564A889">
      <w:pPr>
        <w:jc w:val="center"/>
        <w:rPr>
          <w:sz w:val="28"/>
          <w:szCs w:val="28"/>
          <w:highlight w:val="yellow"/>
        </w:rPr>
      </w:pPr>
    </w:p>
    <w:p w:rsidR="009B633D" w:rsidP="009B633D" w:rsidRDefault="009B633D" w14:paraId="094CFFDD" w14:textId="77777777">
      <w:pPr>
        <w:jc w:val="center"/>
        <w:rPr>
          <w:sz w:val="28"/>
          <w:szCs w:val="28"/>
        </w:rPr>
      </w:pPr>
    </w:p>
    <w:p w:rsidR="009B633D" w:rsidP="009B633D" w:rsidRDefault="009B633D" w14:paraId="6A006459" w14:textId="77777777">
      <w:pPr>
        <w:jc w:val="center"/>
        <w:rPr>
          <w:sz w:val="28"/>
          <w:szCs w:val="28"/>
        </w:rPr>
      </w:pPr>
    </w:p>
    <w:p w:rsidR="009B633D" w:rsidP="009B633D" w:rsidRDefault="009B633D" w14:paraId="2C16AAD6" w14:textId="77777777">
      <w:pPr>
        <w:jc w:val="center"/>
        <w:rPr>
          <w:sz w:val="28"/>
          <w:szCs w:val="28"/>
        </w:rPr>
      </w:pPr>
    </w:p>
    <w:p w:rsidRPr="00C4006D" w:rsidR="009B633D" w:rsidP="009B633D" w:rsidRDefault="00BB1C2F" w14:paraId="7CA49AEC" w14:textId="11C8E92D">
      <w:pPr>
        <w:jc w:val="center"/>
        <w:rPr>
          <w:i/>
          <w:sz w:val="28"/>
          <w:szCs w:val="28"/>
        </w:rPr>
      </w:pPr>
      <w:r>
        <w:rPr>
          <w:b/>
          <w:sz w:val="28"/>
          <w:szCs w:val="28"/>
        </w:rPr>
        <w:t>Version</w:t>
      </w:r>
      <w:r w:rsidR="00FF42BD">
        <w:rPr>
          <w:b/>
          <w:sz w:val="28"/>
          <w:szCs w:val="28"/>
        </w:rPr>
        <w:t>:</w:t>
      </w:r>
      <w:r>
        <w:rPr>
          <w:b/>
          <w:sz w:val="28"/>
          <w:szCs w:val="28"/>
        </w:rPr>
        <w:t xml:space="preserve"> </w:t>
      </w:r>
      <w:r w:rsidR="00307322">
        <w:rPr>
          <w:b/>
          <w:sz w:val="28"/>
          <w:szCs w:val="28"/>
        </w:rPr>
        <w:t xml:space="preserve">February </w:t>
      </w:r>
      <w:r w:rsidR="004F0874">
        <w:rPr>
          <w:b/>
          <w:sz w:val="28"/>
          <w:szCs w:val="28"/>
        </w:rPr>
        <w:t>25</w:t>
      </w:r>
      <w:r w:rsidR="00C00123">
        <w:rPr>
          <w:b/>
          <w:sz w:val="28"/>
          <w:szCs w:val="28"/>
        </w:rPr>
        <w:t>, 2020</w:t>
      </w:r>
    </w:p>
    <w:p w:rsidR="009B633D" w:rsidP="009B633D" w:rsidRDefault="009B633D" w14:paraId="51D83F01" w14:textId="77777777">
      <w:pPr>
        <w:jc w:val="center"/>
        <w:rPr>
          <w:i/>
          <w:sz w:val="28"/>
          <w:szCs w:val="28"/>
        </w:rPr>
      </w:pPr>
    </w:p>
    <w:p w:rsidR="009B633D" w:rsidP="009B633D" w:rsidRDefault="009B633D" w14:paraId="6FF5D929" w14:textId="77777777">
      <w:pPr>
        <w:jc w:val="center"/>
        <w:rPr>
          <w:sz w:val="28"/>
          <w:szCs w:val="28"/>
        </w:rPr>
      </w:pPr>
    </w:p>
    <w:p w:rsidR="009B633D" w:rsidP="009B633D" w:rsidRDefault="009B633D" w14:paraId="4598E4E4" w14:textId="77777777">
      <w:pPr>
        <w:jc w:val="center"/>
        <w:rPr>
          <w:sz w:val="28"/>
          <w:szCs w:val="28"/>
        </w:rPr>
      </w:pPr>
    </w:p>
    <w:p w:rsidR="009B633D" w:rsidP="009B633D" w:rsidRDefault="009B633D" w14:paraId="1591E75B" w14:textId="77777777">
      <w:pPr>
        <w:jc w:val="center"/>
        <w:rPr>
          <w:sz w:val="28"/>
          <w:szCs w:val="28"/>
        </w:rPr>
      </w:pPr>
    </w:p>
    <w:p w:rsidR="009B633D" w:rsidP="009B633D" w:rsidRDefault="009B633D" w14:paraId="19655073" w14:textId="77777777">
      <w:pPr>
        <w:jc w:val="center"/>
        <w:rPr>
          <w:sz w:val="28"/>
          <w:szCs w:val="28"/>
        </w:rPr>
      </w:pPr>
    </w:p>
    <w:p w:rsidR="009B633D" w:rsidP="009B633D" w:rsidRDefault="009B633D" w14:paraId="5ECBFCB4" w14:textId="77777777">
      <w:pPr>
        <w:jc w:val="center"/>
        <w:rPr>
          <w:sz w:val="28"/>
          <w:szCs w:val="28"/>
        </w:rPr>
      </w:pPr>
    </w:p>
    <w:p w:rsidR="009B633D" w:rsidP="009B633D" w:rsidRDefault="009B633D" w14:paraId="52AA76AE" w14:textId="77777777">
      <w:pPr>
        <w:jc w:val="center"/>
        <w:rPr>
          <w:sz w:val="28"/>
          <w:szCs w:val="28"/>
        </w:rPr>
      </w:pPr>
      <w:r w:rsidRPr="00677A0B">
        <w:rPr>
          <w:sz w:val="28"/>
          <w:szCs w:val="28"/>
        </w:rPr>
        <w:t>Agency of Healthcare Research and Quality (AHRQ)</w:t>
      </w:r>
    </w:p>
    <w:p w:rsidR="009B633D" w:rsidRDefault="009B633D" w14:paraId="7097E3A0" w14:textId="77777777">
      <w:pPr>
        <w:rPr>
          <w:sz w:val="28"/>
          <w:szCs w:val="28"/>
        </w:rPr>
      </w:pPr>
    </w:p>
    <w:p w:rsidRPr="00556066" w:rsidR="00556066" w:rsidP="00CE3206" w:rsidRDefault="009B633D" w14:paraId="24A16CBC" w14:textId="4FD2267A">
      <w:r>
        <w:br w:type="page"/>
      </w:r>
    </w:p>
    <w:p w:rsidRPr="00556066" w:rsidR="00556066" w:rsidP="007B3A8E" w:rsidRDefault="00556066" w14:paraId="5FD53B3E" w14:textId="77777777">
      <w:pPr>
        <w:tabs>
          <w:tab w:val="left" w:pos="360"/>
          <w:tab w:val="left" w:leader="dot" w:pos="8280"/>
        </w:tabs>
      </w:pPr>
      <w:r>
        <w:lastRenderedPageBreak/>
        <w:tab/>
      </w:r>
    </w:p>
    <w:p w:rsidR="009B633D" w:rsidP="009B633D" w:rsidRDefault="009B633D" w14:paraId="124E964A" w14:textId="77777777">
      <w:pPr>
        <w:jc w:val="center"/>
        <w:rPr>
          <w:b/>
        </w:rPr>
      </w:pPr>
    </w:p>
    <w:sdt>
      <w:sdtPr>
        <w:rPr>
          <w:rFonts w:ascii="Times New Roman" w:hAnsi="Times New Roman" w:eastAsia="Times New Roman" w:cs="Times New Roman"/>
          <w:color w:val="auto"/>
          <w:sz w:val="24"/>
          <w:szCs w:val="24"/>
        </w:rPr>
        <w:id w:val="-1745405797"/>
        <w:docPartObj>
          <w:docPartGallery w:val="Table of Contents"/>
          <w:docPartUnique/>
        </w:docPartObj>
      </w:sdtPr>
      <w:sdtEndPr>
        <w:rPr>
          <w:b/>
          <w:bCs/>
          <w:noProof/>
        </w:rPr>
      </w:sdtEndPr>
      <w:sdtContent>
        <w:p w:rsidR="00CE3206" w:rsidRDefault="00CE3206" w14:paraId="606FF50D" w14:textId="1B55F746">
          <w:pPr>
            <w:pStyle w:val="TOCHeading"/>
          </w:pPr>
          <w:r w:rsidRPr="00CE3206">
            <w:rPr>
              <w:rFonts w:ascii="Times New Roman" w:hAnsi="Times New Roman" w:cs="Times New Roman"/>
              <w:b/>
              <w:i/>
              <w:color w:val="000000" w:themeColor="text1"/>
              <w:sz w:val="24"/>
              <w:szCs w:val="24"/>
            </w:rPr>
            <w:t>Table of Contents</w:t>
          </w:r>
        </w:p>
        <w:p w:rsidR="00FB184F" w:rsidRDefault="00CE3206" w14:paraId="5E8A55AA" w14:textId="77777777">
          <w:pPr>
            <w:pStyle w:val="TOC1"/>
            <w:tabs>
              <w:tab w:val="right" w:leader="dot" w:pos="8630"/>
            </w:tabs>
            <w:rPr>
              <w:rFonts w:asciiTheme="minorHAnsi" w:hAnsiTheme="minorHAnsi" w:eastAsiaTheme="minorEastAsia"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history="1" w:anchor="_Toc42869933">
            <w:r w:rsidRPr="00726441" w:rsidR="00FB184F">
              <w:rPr>
                <w:rStyle w:val="Hyperlink"/>
                <w:noProof/>
              </w:rPr>
              <w:t>A. Justification</w:t>
            </w:r>
            <w:r w:rsidR="00FB184F">
              <w:rPr>
                <w:noProof/>
                <w:webHidden/>
              </w:rPr>
              <w:tab/>
            </w:r>
            <w:r w:rsidR="00FB184F">
              <w:rPr>
                <w:noProof/>
                <w:webHidden/>
              </w:rPr>
              <w:fldChar w:fldCharType="begin"/>
            </w:r>
            <w:r w:rsidR="00FB184F">
              <w:rPr>
                <w:noProof/>
                <w:webHidden/>
              </w:rPr>
              <w:instrText xml:space="preserve"> PAGEREF _Toc42869933 \h </w:instrText>
            </w:r>
            <w:r w:rsidR="00FB184F">
              <w:rPr>
                <w:noProof/>
                <w:webHidden/>
              </w:rPr>
            </w:r>
            <w:r w:rsidR="00FB184F">
              <w:rPr>
                <w:noProof/>
                <w:webHidden/>
              </w:rPr>
              <w:fldChar w:fldCharType="separate"/>
            </w:r>
            <w:r w:rsidR="00FB184F">
              <w:rPr>
                <w:noProof/>
                <w:webHidden/>
              </w:rPr>
              <w:t>- 3 -</w:t>
            </w:r>
            <w:r w:rsidR="00FB184F">
              <w:rPr>
                <w:noProof/>
                <w:webHidden/>
              </w:rPr>
              <w:fldChar w:fldCharType="end"/>
            </w:r>
          </w:hyperlink>
        </w:p>
        <w:p w:rsidR="00FB184F" w:rsidRDefault="000C55C6" w14:paraId="7C053B1D" w14:textId="77777777">
          <w:pPr>
            <w:pStyle w:val="TOC2"/>
            <w:tabs>
              <w:tab w:val="right" w:leader="dot" w:pos="8630"/>
            </w:tabs>
            <w:rPr>
              <w:rFonts w:asciiTheme="minorHAnsi" w:hAnsiTheme="minorHAnsi" w:eastAsiaTheme="minorEastAsia" w:cstheme="minorBidi"/>
              <w:noProof/>
              <w:sz w:val="22"/>
              <w:szCs w:val="22"/>
            </w:rPr>
          </w:pPr>
          <w:hyperlink w:history="1" w:anchor="_Toc42869934">
            <w:r w:rsidRPr="00726441" w:rsidR="00FB184F">
              <w:rPr>
                <w:rStyle w:val="Hyperlink"/>
                <w:noProof/>
              </w:rPr>
              <w:t>1. Circumstances that make the collection of information necessary</w:t>
            </w:r>
            <w:r w:rsidR="00FB184F">
              <w:rPr>
                <w:noProof/>
                <w:webHidden/>
              </w:rPr>
              <w:tab/>
            </w:r>
            <w:r w:rsidR="00FB184F">
              <w:rPr>
                <w:noProof/>
                <w:webHidden/>
              </w:rPr>
              <w:fldChar w:fldCharType="begin"/>
            </w:r>
            <w:r w:rsidR="00FB184F">
              <w:rPr>
                <w:noProof/>
                <w:webHidden/>
              </w:rPr>
              <w:instrText xml:space="preserve"> PAGEREF _Toc42869934 \h </w:instrText>
            </w:r>
            <w:r w:rsidR="00FB184F">
              <w:rPr>
                <w:noProof/>
                <w:webHidden/>
              </w:rPr>
            </w:r>
            <w:r w:rsidR="00FB184F">
              <w:rPr>
                <w:noProof/>
                <w:webHidden/>
              </w:rPr>
              <w:fldChar w:fldCharType="separate"/>
            </w:r>
            <w:r w:rsidR="00FB184F">
              <w:rPr>
                <w:noProof/>
                <w:webHidden/>
              </w:rPr>
              <w:t>- 3 -</w:t>
            </w:r>
            <w:r w:rsidR="00FB184F">
              <w:rPr>
                <w:noProof/>
                <w:webHidden/>
              </w:rPr>
              <w:fldChar w:fldCharType="end"/>
            </w:r>
          </w:hyperlink>
        </w:p>
        <w:p w:rsidR="00FB184F" w:rsidRDefault="000C55C6" w14:paraId="6FB9B800" w14:textId="77777777">
          <w:pPr>
            <w:pStyle w:val="TOC2"/>
            <w:tabs>
              <w:tab w:val="right" w:leader="dot" w:pos="8630"/>
            </w:tabs>
            <w:rPr>
              <w:rFonts w:asciiTheme="minorHAnsi" w:hAnsiTheme="minorHAnsi" w:eastAsiaTheme="minorEastAsia" w:cstheme="minorBidi"/>
              <w:noProof/>
              <w:sz w:val="22"/>
              <w:szCs w:val="22"/>
            </w:rPr>
          </w:pPr>
          <w:hyperlink w:history="1" w:anchor="_Toc42869935">
            <w:r w:rsidRPr="00726441" w:rsidR="00FB184F">
              <w:rPr>
                <w:rStyle w:val="Hyperlink"/>
                <w:noProof/>
              </w:rPr>
              <w:t>2. Purpose and Use of Information</w:t>
            </w:r>
            <w:r w:rsidR="00FB184F">
              <w:rPr>
                <w:noProof/>
                <w:webHidden/>
              </w:rPr>
              <w:tab/>
            </w:r>
            <w:r w:rsidR="00FB184F">
              <w:rPr>
                <w:noProof/>
                <w:webHidden/>
              </w:rPr>
              <w:fldChar w:fldCharType="begin"/>
            </w:r>
            <w:r w:rsidR="00FB184F">
              <w:rPr>
                <w:noProof/>
                <w:webHidden/>
              </w:rPr>
              <w:instrText xml:space="preserve"> PAGEREF _Toc42869935 \h </w:instrText>
            </w:r>
            <w:r w:rsidR="00FB184F">
              <w:rPr>
                <w:noProof/>
                <w:webHidden/>
              </w:rPr>
            </w:r>
            <w:r w:rsidR="00FB184F">
              <w:rPr>
                <w:noProof/>
                <w:webHidden/>
              </w:rPr>
              <w:fldChar w:fldCharType="separate"/>
            </w:r>
            <w:r w:rsidR="00FB184F">
              <w:rPr>
                <w:noProof/>
                <w:webHidden/>
              </w:rPr>
              <w:t>- 5 -</w:t>
            </w:r>
            <w:r w:rsidR="00FB184F">
              <w:rPr>
                <w:noProof/>
                <w:webHidden/>
              </w:rPr>
              <w:fldChar w:fldCharType="end"/>
            </w:r>
          </w:hyperlink>
        </w:p>
        <w:p w:rsidR="00FB184F" w:rsidRDefault="000C55C6" w14:paraId="42D4CA91" w14:textId="77777777">
          <w:pPr>
            <w:pStyle w:val="TOC2"/>
            <w:tabs>
              <w:tab w:val="right" w:leader="dot" w:pos="8630"/>
            </w:tabs>
            <w:rPr>
              <w:rFonts w:asciiTheme="minorHAnsi" w:hAnsiTheme="minorHAnsi" w:eastAsiaTheme="minorEastAsia" w:cstheme="minorBidi"/>
              <w:noProof/>
              <w:sz w:val="22"/>
              <w:szCs w:val="22"/>
            </w:rPr>
          </w:pPr>
          <w:hyperlink w:history="1" w:anchor="_Toc42869936">
            <w:r w:rsidRPr="00726441" w:rsidR="00FB184F">
              <w:rPr>
                <w:rStyle w:val="Hyperlink"/>
                <w:noProof/>
              </w:rPr>
              <w:t>3. Use of Improved Information Technology</w:t>
            </w:r>
            <w:r w:rsidR="00FB184F">
              <w:rPr>
                <w:noProof/>
                <w:webHidden/>
              </w:rPr>
              <w:tab/>
            </w:r>
            <w:r w:rsidR="00FB184F">
              <w:rPr>
                <w:noProof/>
                <w:webHidden/>
              </w:rPr>
              <w:fldChar w:fldCharType="begin"/>
            </w:r>
            <w:r w:rsidR="00FB184F">
              <w:rPr>
                <w:noProof/>
                <w:webHidden/>
              </w:rPr>
              <w:instrText xml:space="preserve"> PAGEREF _Toc42869936 \h </w:instrText>
            </w:r>
            <w:r w:rsidR="00FB184F">
              <w:rPr>
                <w:noProof/>
                <w:webHidden/>
              </w:rPr>
            </w:r>
            <w:r w:rsidR="00FB184F">
              <w:rPr>
                <w:noProof/>
                <w:webHidden/>
              </w:rPr>
              <w:fldChar w:fldCharType="separate"/>
            </w:r>
            <w:r w:rsidR="00FB184F">
              <w:rPr>
                <w:noProof/>
                <w:webHidden/>
              </w:rPr>
              <w:t>- 8 -</w:t>
            </w:r>
            <w:r w:rsidR="00FB184F">
              <w:rPr>
                <w:noProof/>
                <w:webHidden/>
              </w:rPr>
              <w:fldChar w:fldCharType="end"/>
            </w:r>
          </w:hyperlink>
        </w:p>
        <w:p w:rsidR="00FB184F" w:rsidRDefault="000C55C6" w14:paraId="786BEC2C" w14:textId="77777777">
          <w:pPr>
            <w:pStyle w:val="TOC2"/>
            <w:tabs>
              <w:tab w:val="right" w:leader="dot" w:pos="8630"/>
            </w:tabs>
            <w:rPr>
              <w:rFonts w:asciiTheme="minorHAnsi" w:hAnsiTheme="minorHAnsi" w:eastAsiaTheme="minorEastAsia" w:cstheme="minorBidi"/>
              <w:noProof/>
              <w:sz w:val="22"/>
              <w:szCs w:val="22"/>
            </w:rPr>
          </w:pPr>
          <w:hyperlink w:history="1" w:anchor="_Toc42869937">
            <w:r w:rsidRPr="00726441" w:rsidR="00FB184F">
              <w:rPr>
                <w:rStyle w:val="Hyperlink"/>
                <w:noProof/>
              </w:rPr>
              <w:t>4. Efforts to Identify Duplication</w:t>
            </w:r>
            <w:r w:rsidR="00FB184F">
              <w:rPr>
                <w:noProof/>
                <w:webHidden/>
              </w:rPr>
              <w:tab/>
            </w:r>
            <w:r w:rsidR="00FB184F">
              <w:rPr>
                <w:noProof/>
                <w:webHidden/>
              </w:rPr>
              <w:fldChar w:fldCharType="begin"/>
            </w:r>
            <w:r w:rsidR="00FB184F">
              <w:rPr>
                <w:noProof/>
                <w:webHidden/>
              </w:rPr>
              <w:instrText xml:space="preserve"> PAGEREF _Toc42869937 \h </w:instrText>
            </w:r>
            <w:r w:rsidR="00FB184F">
              <w:rPr>
                <w:noProof/>
                <w:webHidden/>
              </w:rPr>
            </w:r>
            <w:r w:rsidR="00FB184F">
              <w:rPr>
                <w:noProof/>
                <w:webHidden/>
              </w:rPr>
              <w:fldChar w:fldCharType="separate"/>
            </w:r>
            <w:r w:rsidR="00FB184F">
              <w:rPr>
                <w:noProof/>
                <w:webHidden/>
              </w:rPr>
              <w:t>- 9 -</w:t>
            </w:r>
            <w:r w:rsidR="00FB184F">
              <w:rPr>
                <w:noProof/>
                <w:webHidden/>
              </w:rPr>
              <w:fldChar w:fldCharType="end"/>
            </w:r>
          </w:hyperlink>
        </w:p>
        <w:p w:rsidR="00FB184F" w:rsidRDefault="000C55C6" w14:paraId="5F504978" w14:textId="77777777">
          <w:pPr>
            <w:pStyle w:val="TOC2"/>
            <w:tabs>
              <w:tab w:val="right" w:leader="dot" w:pos="8630"/>
            </w:tabs>
            <w:rPr>
              <w:rFonts w:asciiTheme="minorHAnsi" w:hAnsiTheme="minorHAnsi" w:eastAsiaTheme="minorEastAsia" w:cstheme="minorBidi"/>
              <w:noProof/>
              <w:sz w:val="22"/>
              <w:szCs w:val="22"/>
            </w:rPr>
          </w:pPr>
          <w:hyperlink w:history="1" w:anchor="_Toc42869938">
            <w:r w:rsidRPr="00726441" w:rsidR="00FB184F">
              <w:rPr>
                <w:rStyle w:val="Hyperlink"/>
                <w:noProof/>
              </w:rPr>
              <w:t>5. Involvement of Small Entities</w:t>
            </w:r>
            <w:r w:rsidR="00FB184F">
              <w:rPr>
                <w:noProof/>
                <w:webHidden/>
              </w:rPr>
              <w:tab/>
            </w:r>
            <w:r w:rsidR="00FB184F">
              <w:rPr>
                <w:noProof/>
                <w:webHidden/>
              </w:rPr>
              <w:fldChar w:fldCharType="begin"/>
            </w:r>
            <w:r w:rsidR="00FB184F">
              <w:rPr>
                <w:noProof/>
                <w:webHidden/>
              </w:rPr>
              <w:instrText xml:space="preserve"> PAGEREF _Toc42869938 \h </w:instrText>
            </w:r>
            <w:r w:rsidR="00FB184F">
              <w:rPr>
                <w:noProof/>
                <w:webHidden/>
              </w:rPr>
            </w:r>
            <w:r w:rsidR="00FB184F">
              <w:rPr>
                <w:noProof/>
                <w:webHidden/>
              </w:rPr>
              <w:fldChar w:fldCharType="separate"/>
            </w:r>
            <w:r w:rsidR="00FB184F">
              <w:rPr>
                <w:noProof/>
                <w:webHidden/>
              </w:rPr>
              <w:t>- 9 -</w:t>
            </w:r>
            <w:r w:rsidR="00FB184F">
              <w:rPr>
                <w:noProof/>
                <w:webHidden/>
              </w:rPr>
              <w:fldChar w:fldCharType="end"/>
            </w:r>
          </w:hyperlink>
        </w:p>
        <w:p w:rsidR="00FB184F" w:rsidRDefault="000C55C6" w14:paraId="261F799B" w14:textId="77777777">
          <w:pPr>
            <w:pStyle w:val="TOC2"/>
            <w:tabs>
              <w:tab w:val="right" w:leader="dot" w:pos="8630"/>
            </w:tabs>
            <w:rPr>
              <w:rFonts w:asciiTheme="minorHAnsi" w:hAnsiTheme="minorHAnsi" w:eastAsiaTheme="minorEastAsia" w:cstheme="minorBidi"/>
              <w:noProof/>
              <w:sz w:val="22"/>
              <w:szCs w:val="22"/>
            </w:rPr>
          </w:pPr>
          <w:hyperlink w:history="1" w:anchor="_Toc42869939">
            <w:r w:rsidRPr="00726441" w:rsidR="00FB184F">
              <w:rPr>
                <w:rStyle w:val="Hyperlink"/>
                <w:noProof/>
              </w:rPr>
              <w:t>6. Consequences if Information Collected Less Frequently</w:t>
            </w:r>
            <w:r w:rsidR="00FB184F">
              <w:rPr>
                <w:noProof/>
                <w:webHidden/>
              </w:rPr>
              <w:tab/>
            </w:r>
            <w:r w:rsidR="00FB184F">
              <w:rPr>
                <w:noProof/>
                <w:webHidden/>
              </w:rPr>
              <w:fldChar w:fldCharType="begin"/>
            </w:r>
            <w:r w:rsidR="00FB184F">
              <w:rPr>
                <w:noProof/>
                <w:webHidden/>
              </w:rPr>
              <w:instrText xml:space="preserve"> PAGEREF _Toc42869939 \h </w:instrText>
            </w:r>
            <w:r w:rsidR="00FB184F">
              <w:rPr>
                <w:noProof/>
                <w:webHidden/>
              </w:rPr>
            </w:r>
            <w:r w:rsidR="00FB184F">
              <w:rPr>
                <w:noProof/>
                <w:webHidden/>
              </w:rPr>
              <w:fldChar w:fldCharType="separate"/>
            </w:r>
            <w:r w:rsidR="00FB184F">
              <w:rPr>
                <w:noProof/>
                <w:webHidden/>
              </w:rPr>
              <w:t>- 9 -</w:t>
            </w:r>
            <w:r w:rsidR="00FB184F">
              <w:rPr>
                <w:noProof/>
                <w:webHidden/>
              </w:rPr>
              <w:fldChar w:fldCharType="end"/>
            </w:r>
          </w:hyperlink>
        </w:p>
        <w:p w:rsidR="00FB184F" w:rsidRDefault="000C55C6" w14:paraId="2088F033" w14:textId="77777777">
          <w:pPr>
            <w:pStyle w:val="TOC2"/>
            <w:tabs>
              <w:tab w:val="right" w:leader="dot" w:pos="8630"/>
            </w:tabs>
            <w:rPr>
              <w:rFonts w:asciiTheme="minorHAnsi" w:hAnsiTheme="minorHAnsi" w:eastAsiaTheme="minorEastAsia" w:cstheme="minorBidi"/>
              <w:noProof/>
              <w:sz w:val="22"/>
              <w:szCs w:val="22"/>
            </w:rPr>
          </w:pPr>
          <w:hyperlink w:history="1" w:anchor="_Toc42869940">
            <w:r w:rsidRPr="00726441" w:rsidR="00FB184F">
              <w:rPr>
                <w:rStyle w:val="Hyperlink"/>
                <w:noProof/>
              </w:rPr>
              <w:t>7. Special Circumstances</w:t>
            </w:r>
            <w:r w:rsidR="00FB184F">
              <w:rPr>
                <w:noProof/>
                <w:webHidden/>
              </w:rPr>
              <w:tab/>
            </w:r>
            <w:r w:rsidR="00FB184F">
              <w:rPr>
                <w:noProof/>
                <w:webHidden/>
              </w:rPr>
              <w:fldChar w:fldCharType="begin"/>
            </w:r>
            <w:r w:rsidR="00FB184F">
              <w:rPr>
                <w:noProof/>
                <w:webHidden/>
              </w:rPr>
              <w:instrText xml:space="preserve"> PAGEREF _Toc42869940 \h </w:instrText>
            </w:r>
            <w:r w:rsidR="00FB184F">
              <w:rPr>
                <w:noProof/>
                <w:webHidden/>
              </w:rPr>
            </w:r>
            <w:r w:rsidR="00FB184F">
              <w:rPr>
                <w:noProof/>
                <w:webHidden/>
              </w:rPr>
              <w:fldChar w:fldCharType="separate"/>
            </w:r>
            <w:r w:rsidR="00FB184F">
              <w:rPr>
                <w:noProof/>
                <w:webHidden/>
              </w:rPr>
              <w:t>- 9 -</w:t>
            </w:r>
            <w:r w:rsidR="00FB184F">
              <w:rPr>
                <w:noProof/>
                <w:webHidden/>
              </w:rPr>
              <w:fldChar w:fldCharType="end"/>
            </w:r>
          </w:hyperlink>
        </w:p>
        <w:p w:rsidR="00FB184F" w:rsidRDefault="000C55C6" w14:paraId="4073938B" w14:textId="77777777">
          <w:pPr>
            <w:pStyle w:val="TOC2"/>
            <w:tabs>
              <w:tab w:val="right" w:leader="dot" w:pos="8630"/>
            </w:tabs>
            <w:rPr>
              <w:rFonts w:asciiTheme="minorHAnsi" w:hAnsiTheme="minorHAnsi" w:eastAsiaTheme="minorEastAsia" w:cstheme="minorBidi"/>
              <w:noProof/>
              <w:sz w:val="22"/>
              <w:szCs w:val="22"/>
            </w:rPr>
          </w:pPr>
          <w:hyperlink w:history="1" w:anchor="_Toc42869941">
            <w:r w:rsidRPr="00726441" w:rsidR="00FB184F">
              <w:rPr>
                <w:rStyle w:val="Hyperlink"/>
                <w:noProof/>
              </w:rPr>
              <w:t>8. Federal Register Notice and Outside Consultations</w:t>
            </w:r>
            <w:r w:rsidR="00FB184F">
              <w:rPr>
                <w:noProof/>
                <w:webHidden/>
              </w:rPr>
              <w:tab/>
            </w:r>
            <w:r w:rsidR="00FB184F">
              <w:rPr>
                <w:noProof/>
                <w:webHidden/>
              </w:rPr>
              <w:fldChar w:fldCharType="begin"/>
            </w:r>
            <w:r w:rsidR="00FB184F">
              <w:rPr>
                <w:noProof/>
                <w:webHidden/>
              </w:rPr>
              <w:instrText xml:space="preserve"> PAGEREF _Toc42869941 \h </w:instrText>
            </w:r>
            <w:r w:rsidR="00FB184F">
              <w:rPr>
                <w:noProof/>
                <w:webHidden/>
              </w:rPr>
            </w:r>
            <w:r w:rsidR="00FB184F">
              <w:rPr>
                <w:noProof/>
                <w:webHidden/>
              </w:rPr>
              <w:fldChar w:fldCharType="separate"/>
            </w:r>
            <w:r w:rsidR="00FB184F">
              <w:rPr>
                <w:noProof/>
                <w:webHidden/>
              </w:rPr>
              <w:t>- 9 -</w:t>
            </w:r>
            <w:r w:rsidR="00FB184F">
              <w:rPr>
                <w:noProof/>
                <w:webHidden/>
              </w:rPr>
              <w:fldChar w:fldCharType="end"/>
            </w:r>
          </w:hyperlink>
        </w:p>
        <w:p w:rsidR="00FB184F" w:rsidRDefault="000C55C6" w14:paraId="2CF00C1F" w14:textId="77777777">
          <w:pPr>
            <w:pStyle w:val="TOC2"/>
            <w:tabs>
              <w:tab w:val="right" w:leader="dot" w:pos="8630"/>
            </w:tabs>
            <w:rPr>
              <w:rFonts w:asciiTheme="minorHAnsi" w:hAnsiTheme="minorHAnsi" w:eastAsiaTheme="minorEastAsia" w:cstheme="minorBidi"/>
              <w:noProof/>
              <w:sz w:val="22"/>
              <w:szCs w:val="22"/>
            </w:rPr>
          </w:pPr>
          <w:hyperlink w:history="1" w:anchor="_Toc42869942">
            <w:r w:rsidRPr="00726441" w:rsidR="00FB184F">
              <w:rPr>
                <w:rStyle w:val="Hyperlink"/>
                <w:noProof/>
              </w:rPr>
              <w:t>8.b. Outside Consultations</w:t>
            </w:r>
            <w:r w:rsidR="00FB184F">
              <w:rPr>
                <w:noProof/>
                <w:webHidden/>
              </w:rPr>
              <w:tab/>
            </w:r>
            <w:r w:rsidR="00FB184F">
              <w:rPr>
                <w:noProof/>
                <w:webHidden/>
              </w:rPr>
              <w:fldChar w:fldCharType="begin"/>
            </w:r>
            <w:r w:rsidR="00FB184F">
              <w:rPr>
                <w:noProof/>
                <w:webHidden/>
              </w:rPr>
              <w:instrText xml:space="preserve"> PAGEREF _Toc42869942 \h </w:instrText>
            </w:r>
            <w:r w:rsidR="00FB184F">
              <w:rPr>
                <w:noProof/>
                <w:webHidden/>
              </w:rPr>
            </w:r>
            <w:r w:rsidR="00FB184F">
              <w:rPr>
                <w:noProof/>
                <w:webHidden/>
              </w:rPr>
              <w:fldChar w:fldCharType="separate"/>
            </w:r>
            <w:r w:rsidR="00FB184F">
              <w:rPr>
                <w:noProof/>
                <w:webHidden/>
              </w:rPr>
              <w:t>- 9 -</w:t>
            </w:r>
            <w:r w:rsidR="00FB184F">
              <w:rPr>
                <w:noProof/>
                <w:webHidden/>
              </w:rPr>
              <w:fldChar w:fldCharType="end"/>
            </w:r>
          </w:hyperlink>
        </w:p>
        <w:p w:rsidR="00FB184F" w:rsidRDefault="000C55C6" w14:paraId="100DC5D3" w14:textId="77777777">
          <w:pPr>
            <w:pStyle w:val="TOC2"/>
            <w:tabs>
              <w:tab w:val="right" w:leader="dot" w:pos="8630"/>
            </w:tabs>
            <w:rPr>
              <w:rFonts w:asciiTheme="minorHAnsi" w:hAnsiTheme="minorHAnsi" w:eastAsiaTheme="minorEastAsia" w:cstheme="minorBidi"/>
              <w:noProof/>
              <w:sz w:val="22"/>
              <w:szCs w:val="22"/>
            </w:rPr>
          </w:pPr>
          <w:hyperlink w:history="1" w:anchor="_Toc42869943">
            <w:r w:rsidRPr="00726441" w:rsidR="00FB184F">
              <w:rPr>
                <w:rStyle w:val="Hyperlink"/>
                <w:noProof/>
              </w:rPr>
              <w:t>9. Payments/Gifts to Respondents</w:t>
            </w:r>
            <w:r w:rsidR="00FB184F">
              <w:rPr>
                <w:noProof/>
                <w:webHidden/>
              </w:rPr>
              <w:tab/>
            </w:r>
            <w:r w:rsidR="00FB184F">
              <w:rPr>
                <w:noProof/>
                <w:webHidden/>
              </w:rPr>
              <w:fldChar w:fldCharType="begin"/>
            </w:r>
            <w:r w:rsidR="00FB184F">
              <w:rPr>
                <w:noProof/>
                <w:webHidden/>
              </w:rPr>
              <w:instrText xml:space="preserve"> PAGEREF _Toc42869943 \h </w:instrText>
            </w:r>
            <w:r w:rsidR="00FB184F">
              <w:rPr>
                <w:noProof/>
                <w:webHidden/>
              </w:rPr>
            </w:r>
            <w:r w:rsidR="00FB184F">
              <w:rPr>
                <w:noProof/>
                <w:webHidden/>
              </w:rPr>
              <w:fldChar w:fldCharType="separate"/>
            </w:r>
            <w:r w:rsidR="00FB184F">
              <w:rPr>
                <w:noProof/>
                <w:webHidden/>
              </w:rPr>
              <w:t>- 10 -</w:t>
            </w:r>
            <w:r w:rsidR="00FB184F">
              <w:rPr>
                <w:noProof/>
                <w:webHidden/>
              </w:rPr>
              <w:fldChar w:fldCharType="end"/>
            </w:r>
          </w:hyperlink>
        </w:p>
        <w:p w:rsidR="00FB184F" w:rsidRDefault="000C55C6" w14:paraId="7B6AEAD8" w14:textId="77777777">
          <w:pPr>
            <w:pStyle w:val="TOC2"/>
            <w:tabs>
              <w:tab w:val="right" w:leader="dot" w:pos="8630"/>
            </w:tabs>
            <w:rPr>
              <w:rFonts w:asciiTheme="minorHAnsi" w:hAnsiTheme="minorHAnsi" w:eastAsiaTheme="minorEastAsia" w:cstheme="minorBidi"/>
              <w:noProof/>
              <w:sz w:val="22"/>
              <w:szCs w:val="22"/>
            </w:rPr>
          </w:pPr>
          <w:hyperlink w:history="1" w:anchor="_Toc42869944">
            <w:r w:rsidRPr="00726441" w:rsidR="00FB184F">
              <w:rPr>
                <w:rStyle w:val="Hyperlink"/>
                <w:noProof/>
              </w:rPr>
              <w:t>10. Assurance of Confidentiality</w:t>
            </w:r>
            <w:r w:rsidR="00FB184F">
              <w:rPr>
                <w:noProof/>
                <w:webHidden/>
              </w:rPr>
              <w:tab/>
            </w:r>
            <w:r w:rsidR="00FB184F">
              <w:rPr>
                <w:noProof/>
                <w:webHidden/>
              </w:rPr>
              <w:fldChar w:fldCharType="begin"/>
            </w:r>
            <w:r w:rsidR="00FB184F">
              <w:rPr>
                <w:noProof/>
                <w:webHidden/>
              </w:rPr>
              <w:instrText xml:space="preserve"> PAGEREF _Toc42869944 \h </w:instrText>
            </w:r>
            <w:r w:rsidR="00FB184F">
              <w:rPr>
                <w:noProof/>
                <w:webHidden/>
              </w:rPr>
            </w:r>
            <w:r w:rsidR="00FB184F">
              <w:rPr>
                <w:noProof/>
                <w:webHidden/>
              </w:rPr>
              <w:fldChar w:fldCharType="separate"/>
            </w:r>
            <w:r w:rsidR="00FB184F">
              <w:rPr>
                <w:noProof/>
                <w:webHidden/>
              </w:rPr>
              <w:t>- 10 -</w:t>
            </w:r>
            <w:r w:rsidR="00FB184F">
              <w:rPr>
                <w:noProof/>
                <w:webHidden/>
              </w:rPr>
              <w:fldChar w:fldCharType="end"/>
            </w:r>
          </w:hyperlink>
        </w:p>
        <w:p w:rsidR="00FB184F" w:rsidRDefault="000C55C6" w14:paraId="4FC04D57" w14:textId="77777777">
          <w:pPr>
            <w:pStyle w:val="TOC2"/>
            <w:tabs>
              <w:tab w:val="right" w:leader="dot" w:pos="8630"/>
            </w:tabs>
            <w:rPr>
              <w:rFonts w:asciiTheme="minorHAnsi" w:hAnsiTheme="minorHAnsi" w:eastAsiaTheme="minorEastAsia" w:cstheme="minorBidi"/>
              <w:noProof/>
              <w:sz w:val="22"/>
              <w:szCs w:val="22"/>
            </w:rPr>
          </w:pPr>
          <w:hyperlink w:history="1" w:anchor="_Toc42869945">
            <w:r w:rsidRPr="00726441" w:rsidR="00FB184F">
              <w:rPr>
                <w:rStyle w:val="Hyperlink"/>
                <w:noProof/>
              </w:rPr>
              <w:t>11. Questions of a Sensitive Nature</w:t>
            </w:r>
            <w:r w:rsidR="00FB184F">
              <w:rPr>
                <w:noProof/>
                <w:webHidden/>
              </w:rPr>
              <w:tab/>
            </w:r>
            <w:r w:rsidR="00FB184F">
              <w:rPr>
                <w:noProof/>
                <w:webHidden/>
              </w:rPr>
              <w:fldChar w:fldCharType="begin"/>
            </w:r>
            <w:r w:rsidR="00FB184F">
              <w:rPr>
                <w:noProof/>
                <w:webHidden/>
              </w:rPr>
              <w:instrText xml:space="preserve"> PAGEREF _Toc42869945 \h </w:instrText>
            </w:r>
            <w:r w:rsidR="00FB184F">
              <w:rPr>
                <w:noProof/>
                <w:webHidden/>
              </w:rPr>
            </w:r>
            <w:r w:rsidR="00FB184F">
              <w:rPr>
                <w:noProof/>
                <w:webHidden/>
              </w:rPr>
              <w:fldChar w:fldCharType="separate"/>
            </w:r>
            <w:r w:rsidR="00FB184F">
              <w:rPr>
                <w:noProof/>
                <w:webHidden/>
              </w:rPr>
              <w:t>- 11 -</w:t>
            </w:r>
            <w:r w:rsidR="00FB184F">
              <w:rPr>
                <w:noProof/>
                <w:webHidden/>
              </w:rPr>
              <w:fldChar w:fldCharType="end"/>
            </w:r>
          </w:hyperlink>
        </w:p>
        <w:p w:rsidR="00FB184F" w:rsidRDefault="000C55C6" w14:paraId="1F63D999" w14:textId="77777777">
          <w:pPr>
            <w:pStyle w:val="TOC2"/>
            <w:tabs>
              <w:tab w:val="right" w:leader="dot" w:pos="8630"/>
            </w:tabs>
            <w:rPr>
              <w:rFonts w:asciiTheme="minorHAnsi" w:hAnsiTheme="minorHAnsi" w:eastAsiaTheme="minorEastAsia" w:cstheme="minorBidi"/>
              <w:noProof/>
              <w:sz w:val="22"/>
              <w:szCs w:val="22"/>
            </w:rPr>
          </w:pPr>
          <w:hyperlink w:history="1" w:anchor="_Toc42869946">
            <w:r w:rsidRPr="00726441" w:rsidR="00FB184F">
              <w:rPr>
                <w:rStyle w:val="Hyperlink"/>
                <w:noProof/>
              </w:rPr>
              <w:t>12. Estimates of Annualized Burden Hours and Costs</w:t>
            </w:r>
            <w:r w:rsidR="00FB184F">
              <w:rPr>
                <w:noProof/>
                <w:webHidden/>
              </w:rPr>
              <w:tab/>
            </w:r>
            <w:r w:rsidR="00FB184F">
              <w:rPr>
                <w:noProof/>
                <w:webHidden/>
              </w:rPr>
              <w:fldChar w:fldCharType="begin"/>
            </w:r>
            <w:r w:rsidR="00FB184F">
              <w:rPr>
                <w:noProof/>
                <w:webHidden/>
              </w:rPr>
              <w:instrText xml:space="preserve"> PAGEREF _Toc42869946 \h </w:instrText>
            </w:r>
            <w:r w:rsidR="00FB184F">
              <w:rPr>
                <w:noProof/>
                <w:webHidden/>
              </w:rPr>
            </w:r>
            <w:r w:rsidR="00FB184F">
              <w:rPr>
                <w:noProof/>
                <w:webHidden/>
              </w:rPr>
              <w:fldChar w:fldCharType="separate"/>
            </w:r>
            <w:r w:rsidR="00FB184F">
              <w:rPr>
                <w:noProof/>
                <w:webHidden/>
              </w:rPr>
              <w:t>- 11 -</w:t>
            </w:r>
            <w:r w:rsidR="00FB184F">
              <w:rPr>
                <w:noProof/>
                <w:webHidden/>
              </w:rPr>
              <w:fldChar w:fldCharType="end"/>
            </w:r>
          </w:hyperlink>
        </w:p>
        <w:p w:rsidR="00FB184F" w:rsidRDefault="000C55C6" w14:paraId="549F9800" w14:textId="77777777">
          <w:pPr>
            <w:pStyle w:val="TOC2"/>
            <w:tabs>
              <w:tab w:val="right" w:leader="dot" w:pos="8630"/>
            </w:tabs>
            <w:rPr>
              <w:rFonts w:asciiTheme="minorHAnsi" w:hAnsiTheme="minorHAnsi" w:eastAsiaTheme="minorEastAsia" w:cstheme="minorBidi"/>
              <w:noProof/>
              <w:sz w:val="22"/>
              <w:szCs w:val="22"/>
            </w:rPr>
          </w:pPr>
          <w:hyperlink w:history="1" w:anchor="_Toc42869947">
            <w:r w:rsidRPr="00726441" w:rsidR="00FB184F">
              <w:rPr>
                <w:rStyle w:val="Hyperlink"/>
                <w:noProof/>
              </w:rPr>
              <w:t>13. Estimates of Annualized Respondent Capital and Maintenance Costs</w:t>
            </w:r>
            <w:r w:rsidR="00FB184F">
              <w:rPr>
                <w:noProof/>
                <w:webHidden/>
              </w:rPr>
              <w:tab/>
            </w:r>
            <w:r w:rsidR="00FB184F">
              <w:rPr>
                <w:noProof/>
                <w:webHidden/>
              </w:rPr>
              <w:fldChar w:fldCharType="begin"/>
            </w:r>
            <w:r w:rsidR="00FB184F">
              <w:rPr>
                <w:noProof/>
                <w:webHidden/>
              </w:rPr>
              <w:instrText xml:space="preserve"> PAGEREF _Toc42869947 \h </w:instrText>
            </w:r>
            <w:r w:rsidR="00FB184F">
              <w:rPr>
                <w:noProof/>
                <w:webHidden/>
              </w:rPr>
            </w:r>
            <w:r w:rsidR="00FB184F">
              <w:rPr>
                <w:noProof/>
                <w:webHidden/>
              </w:rPr>
              <w:fldChar w:fldCharType="separate"/>
            </w:r>
            <w:r w:rsidR="00FB184F">
              <w:rPr>
                <w:noProof/>
                <w:webHidden/>
              </w:rPr>
              <w:t>- 13 -</w:t>
            </w:r>
            <w:r w:rsidR="00FB184F">
              <w:rPr>
                <w:noProof/>
                <w:webHidden/>
              </w:rPr>
              <w:fldChar w:fldCharType="end"/>
            </w:r>
          </w:hyperlink>
        </w:p>
        <w:p w:rsidR="00FB184F" w:rsidRDefault="000C55C6" w14:paraId="0997148A" w14:textId="77777777">
          <w:pPr>
            <w:pStyle w:val="TOC2"/>
            <w:tabs>
              <w:tab w:val="right" w:leader="dot" w:pos="8630"/>
            </w:tabs>
            <w:rPr>
              <w:rFonts w:asciiTheme="minorHAnsi" w:hAnsiTheme="minorHAnsi" w:eastAsiaTheme="minorEastAsia" w:cstheme="minorBidi"/>
              <w:noProof/>
              <w:sz w:val="22"/>
              <w:szCs w:val="22"/>
            </w:rPr>
          </w:pPr>
          <w:hyperlink w:history="1" w:anchor="_Toc42869948">
            <w:r w:rsidRPr="00726441" w:rsidR="00FB184F">
              <w:rPr>
                <w:rStyle w:val="Hyperlink"/>
                <w:noProof/>
              </w:rPr>
              <w:t>14. Estimates of Total and Annualized Cost to the Government</w:t>
            </w:r>
            <w:r w:rsidR="00FB184F">
              <w:rPr>
                <w:noProof/>
                <w:webHidden/>
              </w:rPr>
              <w:tab/>
            </w:r>
            <w:r w:rsidR="00FB184F">
              <w:rPr>
                <w:noProof/>
                <w:webHidden/>
              </w:rPr>
              <w:fldChar w:fldCharType="begin"/>
            </w:r>
            <w:r w:rsidR="00FB184F">
              <w:rPr>
                <w:noProof/>
                <w:webHidden/>
              </w:rPr>
              <w:instrText xml:space="preserve"> PAGEREF _Toc42869948 \h </w:instrText>
            </w:r>
            <w:r w:rsidR="00FB184F">
              <w:rPr>
                <w:noProof/>
                <w:webHidden/>
              </w:rPr>
            </w:r>
            <w:r w:rsidR="00FB184F">
              <w:rPr>
                <w:noProof/>
                <w:webHidden/>
              </w:rPr>
              <w:fldChar w:fldCharType="separate"/>
            </w:r>
            <w:r w:rsidR="00FB184F">
              <w:rPr>
                <w:noProof/>
                <w:webHidden/>
              </w:rPr>
              <w:t>- 13 -</w:t>
            </w:r>
            <w:r w:rsidR="00FB184F">
              <w:rPr>
                <w:noProof/>
                <w:webHidden/>
              </w:rPr>
              <w:fldChar w:fldCharType="end"/>
            </w:r>
          </w:hyperlink>
        </w:p>
        <w:p w:rsidR="00FB184F" w:rsidRDefault="000C55C6" w14:paraId="03FBB220" w14:textId="77777777">
          <w:pPr>
            <w:pStyle w:val="TOC2"/>
            <w:tabs>
              <w:tab w:val="right" w:leader="dot" w:pos="8630"/>
            </w:tabs>
            <w:rPr>
              <w:rFonts w:asciiTheme="minorHAnsi" w:hAnsiTheme="minorHAnsi" w:eastAsiaTheme="minorEastAsia" w:cstheme="minorBidi"/>
              <w:noProof/>
              <w:sz w:val="22"/>
              <w:szCs w:val="22"/>
            </w:rPr>
          </w:pPr>
          <w:hyperlink w:history="1" w:anchor="_Toc42869949">
            <w:r w:rsidRPr="00726441" w:rsidR="00FB184F">
              <w:rPr>
                <w:rStyle w:val="Hyperlink"/>
                <w:noProof/>
              </w:rPr>
              <w:t>15. Changes in Hour Burden</w:t>
            </w:r>
            <w:r w:rsidR="00FB184F">
              <w:rPr>
                <w:noProof/>
                <w:webHidden/>
              </w:rPr>
              <w:tab/>
            </w:r>
            <w:r w:rsidR="00FB184F">
              <w:rPr>
                <w:noProof/>
                <w:webHidden/>
              </w:rPr>
              <w:fldChar w:fldCharType="begin"/>
            </w:r>
            <w:r w:rsidR="00FB184F">
              <w:rPr>
                <w:noProof/>
                <w:webHidden/>
              </w:rPr>
              <w:instrText xml:space="preserve"> PAGEREF _Toc42869949 \h </w:instrText>
            </w:r>
            <w:r w:rsidR="00FB184F">
              <w:rPr>
                <w:noProof/>
                <w:webHidden/>
              </w:rPr>
            </w:r>
            <w:r w:rsidR="00FB184F">
              <w:rPr>
                <w:noProof/>
                <w:webHidden/>
              </w:rPr>
              <w:fldChar w:fldCharType="separate"/>
            </w:r>
            <w:r w:rsidR="00FB184F">
              <w:rPr>
                <w:noProof/>
                <w:webHidden/>
              </w:rPr>
              <w:t>- 14 -</w:t>
            </w:r>
            <w:r w:rsidR="00FB184F">
              <w:rPr>
                <w:noProof/>
                <w:webHidden/>
              </w:rPr>
              <w:fldChar w:fldCharType="end"/>
            </w:r>
          </w:hyperlink>
        </w:p>
        <w:p w:rsidR="00FB184F" w:rsidRDefault="000C55C6" w14:paraId="69ED2DBE" w14:textId="77777777">
          <w:pPr>
            <w:pStyle w:val="TOC2"/>
            <w:tabs>
              <w:tab w:val="right" w:leader="dot" w:pos="8630"/>
            </w:tabs>
            <w:rPr>
              <w:rFonts w:asciiTheme="minorHAnsi" w:hAnsiTheme="minorHAnsi" w:eastAsiaTheme="minorEastAsia" w:cstheme="minorBidi"/>
              <w:noProof/>
              <w:sz w:val="22"/>
              <w:szCs w:val="22"/>
            </w:rPr>
          </w:pPr>
          <w:hyperlink w:history="1" w:anchor="_Toc42869950">
            <w:r w:rsidRPr="00726441" w:rsidR="00FB184F">
              <w:rPr>
                <w:rStyle w:val="Hyperlink"/>
                <w:noProof/>
              </w:rPr>
              <w:t>16. Time Schedule, Publication and Analysis Plans</w:t>
            </w:r>
            <w:r w:rsidR="00FB184F">
              <w:rPr>
                <w:noProof/>
                <w:webHidden/>
              </w:rPr>
              <w:tab/>
            </w:r>
            <w:r w:rsidR="00FB184F">
              <w:rPr>
                <w:noProof/>
                <w:webHidden/>
              </w:rPr>
              <w:fldChar w:fldCharType="begin"/>
            </w:r>
            <w:r w:rsidR="00FB184F">
              <w:rPr>
                <w:noProof/>
                <w:webHidden/>
              </w:rPr>
              <w:instrText xml:space="preserve"> PAGEREF _Toc42869950 \h </w:instrText>
            </w:r>
            <w:r w:rsidR="00FB184F">
              <w:rPr>
                <w:noProof/>
                <w:webHidden/>
              </w:rPr>
            </w:r>
            <w:r w:rsidR="00FB184F">
              <w:rPr>
                <w:noProof/>
                <w:webHidden/>
              </w:rPr>
              <w:fldChar w:fldCharType="separate"/>
            </w:r>
            <w:r w:rsidR="00FB184F">
              <w:rPr>
                <w:noProof/>
                <w:webHidden/>
              </w:rPr>
              <w:t>- 14 -</w:t>
            </w:r>
            <w:r w:rsidR="00FB184F">
              <w:rPr>
                <w:noProof/>
                <w:webHidden/>
              </w:rPr>
              <w:fldChar w:fldCharType="end"/>
            </w:r>
          </w:hyperlink>
        </w:p>
        <w:p w:rsidR="00FB184F" w:rsidRDefault="000C55C6" w14:paraId="4B00D419" w14:textId="77777777">
          <w:pPr>
            <w:pStyle w:val="TOC2"/>
            <w:tabs>
              <w:tab w:val="right" w:leader="dot" w:pos="8630"/>
            </w:tabs>
            <w:rPr>
              <w:rFonts w:asciiTheme="minorHAnsi" w:hAnsiTheme="minorHAnsi" w:eastAsiaTheme="minorEastAsia" w:cstheme="minorBidi"/>
              <w:noProof/>
              <w:sz w:val="22"/>
              <w:szCs w:val="22"/>
            </w:rPr>
          </w:pPr>
          <w:hyperlink w:history="1" w:anchor="_Toc42869951">
            <w:r w:rsidRPr="00726441" w:rsidR="00FB184F">
              <w:rPr>
                <w:rStyle w:val="Hyperlink"/>
                <w:noProof/>
              </w:rPr>
              <w:t>17. Exemption for Display of Expiration Date</w:t>
            </w:r>
            <w:r w:rsidR="00FB184F">
              <w:rPr>
                <w:noProof/>
                <w:webHidden/>
              </w:rPr>
              <w:tab/>
            </w:r>
            <w:r w:rsidR="00FB184F">
              <w:rPr>
                <w:noProof/>
                <w:webHidden/>
              </w:rPr>
              <w:fldChar w:fldCharType="begin"/>
            </w:r>
            <w:r w:rsidR="00FB184F">
              <w:rPr>
                <w:noProof/>
                <w:webHidden/>
              </w:rPr>
              <w:instrText xml:space="preserve"> PAGEREF _Toc42869951 \h </w:instrText>
            </w:r>
            <w:r w:rsidR="00FB184F">
              <w:rPr>
                <w:noProof/>
                <w:webHidden/>
              </w:rPr>
            </w:r>
            <w:r w:rsidR="00FB184F">
              <w:rPr>
                <w:noProof/>
                <w:webHidden/>
              </w:rPr>
              <w:fldChar w:fldCharType="separate"/>
            </w:r>
            <w:r w:rsidR="00FB184F">
              <w:rPr>
                <w:noProof/>
                <w:webHidden/>
              </w:rPr>
              <w:t>- 16 -</w:t>
            </w:r>
            <w:r w:rsidR="00FB184F">
              <w:rPr>
                <w:noProof/>
                <w:webHidden/>
              </w:rPr>
              <w:fldChar w:fldCharType="end"/>
            </w:r>
          </w:hyperlink>
        </w:p>
        <w:p w:rsidR="00FB184F" w:rsidRDefault="000C55C6" w14:paraId="79D5A981" w14:textId="77777777">
          <w:pPr>
            <w:pStyle w:val="TOC2"/>
            <w:tabs>
              <w:tab w:val="right" w:leader="dot" w:pos="8630"/>
            </w:tabs>
            <w:rPr>
              <w:rFonts w:asciiTheme="minorHAnsi" w:hAnsiTheme="minorHAnsi" w:eastAsiaTheme="minorEastAsia" w:cstheme="minorBidi"/>
              <w:noProof/>
              <w:sz w:val="22"/>
              <w:szCs w:val="22"/>
            </w:rPr>
          </w:pPr>
          <w:hyperlink w:history="1" w:anchor="_Toc42869952">
            <w:r w:rsidRPr="00726441" w:rsidR="00FB184F">
              <w:rPr>
                <w:rStyle w:val="Hyperlink"/>
                <w:noProof/>
              </w:rPr>
              <w:t>List of Attachments:</w:t>
            </w:r>
            <w:r w:rsidR="00FB184F">
              <w:rPr>
                <w:noProof/>
                <w:webHidden/>
              </w:rPr>
              <w:tab/>
            </w:r>
            <w:r w:rsidR="00FB184F">
              <w:rPr>
                <w:noProof/>
                <w:webHidden/>
              </w:rPr>
              <w:fldChar w:fldCharType="begin"/>
            </w:r>
            <w:r w:rsidR="00FB184F">
              <w:rPr>
                <w:noProof/>
                <w:webHidden/>
              </w:rPr>
              <w:instrText xml:space="preserve"> PAGEREF _Toc42869952 \h </w:instrText>
            </w:r>
            <w:r w:rsidR="00FB184F">
              <w:rPr>
                <w:noProof/>
                <w:webHidden/>
              </w:rPr>
            </w:r>
            <w:r w:rsidR="00FB184F">
              <w:rPr>
                <w:noProof/>
                <w:webHidden/>
              </w:rPr>
              <w:fldChar w:fldCharType="separate"/>
            </w:r>
            <w:r w:rsidR="00FB184F">
              <w:rPr>
                <w:noProof/>
                <w:webHidden/>
              </w:rPr>
              <w:t>- 17 -</w:t>
            </w:r>
            <w:r w:rsidR="00FB184F">
              <w:rPr>
                <w:noProof/>
                <w:webHidden/>
              </w:rPr>
              <w:fldChar w:fldCharType="end"/>
            </w:r>
          </w:hyperlink>
        </w:p>
        <w:p w:rsidR="00FB184F" w:rsidRDefault="000C55C6" w14:paraId="14D4C5AF" w14:textId="77777777">
          <w:pPr>
            <w:pStyle w:val="TOC2"/>
            <w:tabs>
              <w:tab w:val="right" w:leader="dot" w:pos="8630"/>
            </w:tabs>
            <w:rPr>
              <w:rFonts w:asciiTheme="minorHAnsi" w:hAnsiTheme="minorHAnsi" w:eastAsiaTheme="minorEastAsia" w:cstheme="minorBidi"/>
              <w:noProof/>
              <w:sz w:val="22"/>
              <w:szCs w:val="22"/>
            </w:rPr>
          </w:pPr>
          <w:hyperlink w:history="1" w:anchor="_Toc42869953">
            <w:r w:rsidRPr="00726441" w:rsidR="00FB184F">
              <w:rPr>
                <w:rStyle w:val="Hyperlink"/>
                <w:noProof/>
              </w:rPr>
              <w:t>References</w:t>
            </w:r>
            <w:r w:rsidR="00FB184F">
              <w:rPr>
                <w:noProof/>
                <w:webHidden/>
              </w:rPr>
              <w:tab/>
            </w:r>
            <w:r w:rsidR="00FB184F">
              <w:rPr>
                <w:noProof/>
                <w:webHidden/>
              </w:rPr>
              <w:fldChar w:fldCharType="begin"/>
            </w:r>
            <w:r w:rsidR="00FB184F">
              <w:rPr>
                <w:noProof/>
                <w:webHidden/>
              </w:rPr>
              <w:instrText xml:space="preserve"> PAGEREF _Toc42869953 \h </w:instrText>
            </w:r>
            <w:r w:rsidR="00FB184F">
              <w:rPr>
                <w:noProof/>
                <w:webHidden/>
              </w:rPr>
            </w:r>
            <w:r w:rsidR="00FB184F">
              <w:rPr>
                <w:noProof/>
                <w:webHidden/>
              </w:rPr>
              <w:fldChar w:fldCharType="separate"/>
            </w:r>
            <w:r w:rsidR="00FB184F">
              <w:rPr>
                <w:noProof/>
                <w:webHidden/>
              </w:rPr>
              <w:t>- 18 -</w:t>
            </w:r>
            <w:r w:rsidR="00FB184F">
              <w:rPr>
                <w:noProof/>
                <w:webHidden/>
              </w:rPr>
              <w:fldChar w:fldCharType="end"/>
            </w:r>
          </w:hyperlink>
        </w:p>
        <w:p w:rsidR="00CE3206" w:rsidRDefault="00CE3206" w14:paraId="4218DC66" w14:textId="68FBB4DA">
          <w:r>
            <w:rPr>
              <w:b/>
              <w:bCs/>
              <w:noProof/>
            </w:rPr>
            <w:fldChar w:fldCharType="end"/>
          </w:r>
        </w:p>
      </w:sdtContent>
    </w:sdt>
    <w:p w:rsidR="009B633D" w:rsidRDefault="009B633D" w14:paraId="6BE84369"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Pr="001D0454" w:rsidR="009B633D" w:rsidP="009B633D" w:rsidRDefault="009B633D" w14:paraId="486F0BA1" w14:textId="77777777">
      <w:pPr>
        <w:jc w:val="center"/>
        <w:rPr>
          <w:b/>
        </w:rPr>
      </w:pPr>
      <w:r>
        <w:rPr>
          <w:b/>
        </w:rPr>
        <w:fldChar w:fldCharType="end"/>
      </w:r>
    </w:p>
    <w:p w:rsidRPr="006014DB" w:rsidR="009B633D" w:rsidP="009B633D" w:rsidRDefault="009B633D" w14:paraId="671DFC53" w14:textId="77777777">
      <w:pPr>
        <w:pStyle w:val="Heading1"/>
        <w:rPr>
          <w:sz w:val="24"/>
          <w:szCs w:val="24"/>
        </w:rPr>
      </w:pPr>
      <w:r>
        <w:br w:type="page"/>
      </w:r>
      <w:bookmarkStart w:name="_Toc151782175" w:id="0"/>
      <w:bookmarkStart w:name="_Toc158526215" w:id="1"/>
      <w:bookmarkStart w:name="_Toc42869933" w:id="2"/>
      <w:r w:rsidRPr="006014DB">
        <w:rPr>
          <w:sz w:val="24"/>
          <w:szCs w:val="24"/>
        </w:rPr>
        <w:lastRenderedPageBreak/>
        <w:t>A. Justification</w:t>
      </w:r>
      <w:bookmarkEnd w:id="0"/>
      <w:bookmarkEnd w:id="1"/>
      <w:bookmarkEnd w:id="2"/>
    </w:p>
    <w:p w:rsidRPr="006014DB" w:rsidR="009B633D" w:rsidP="009B633D" w:rsidRDefault="009B633D" w14:paraId="0465D805" w14:textId="77777777"/>
    <w:p w:rsidR="009B633D" w:rsidP="006014DB" w:rsidRDefault="009B633D" w14:paraId="521CDF74" w14:textId="77777777">
      <w:pPr>
        <w:pStyle w:val="Heading2"/>
        <w:spacing w:before="0" w:after="0"/>
        <w:rPr>
          <w:sz w:val="24"/>
          <w:szCs w:val="24"/>
        </w:rPr>
      </w:pPr>
      <w:bookmarkStart w:name="_Toc151782176" w:id="3"/>
      <w:bookmarkStart w:name="_Toc158526216" w:id="4"/>
      <w:bookmarkStart w:name="_Toc42869934" w:id="5"/>
      <w:r w:rsidRPr="006014DB">
        <w:rPr>
          <w:sz w:val="24"/>
          <w:szCs w:val="24"/>
        </w:rPr>
        <w:t xml:space="preserve">1. </w:t>
      </w:r>
      <w:bookmarkEnd w:id="3"/>
      <w:bookmarkEnd w:id="4"/>
      <w:r w:rsidRPr="006014DB" w:rsidR="006014DB">
        <w:rPr>
          <w:sz w:val="24"/>
          <w:szCs w:val="24"/>
        </w:rPr>
        <w:t>Circumstances that make the collection of information necessary</w:t>
      </w:r>
      <w:bookmarkEnd w:id="5"/>
    </w:p>
    <w:p w:rsidR="006014DB" w:rsidP="0041780A" w:rsidRDefault="006014DB" w14:paraId="38B5425A" w14:textId="77777777"/>
    <w:p w:rsidRPr="00B5671D" w:rsidR="003C7692" w:rsidP="003C7692" w:rsidRDefault="003C7692" w14:paraId="271C7419" w14:textId="77777777">
      <w:r w:rsidRPr="00B5671D">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B5671D" w:rsidR="003C7692" w:rsidP="003C7692" w:rsidRDefault="003C7692" w14:paraId="2475B873" w14:textId="12F6B27C">
      <w:pPr>
        <w:tabs>
          <w:tab w:val="left" w:pos="360"/>
        </w:tabs>
      </w:pPr>
    </w:p>
    <w:p w:rsidRPr="00B5671D" w:rsidR="003C7692" w:rsidP="003C7692" w:rsidRDefault="003C7692" w14:paraId="5331E1C7" w14:textId="77777777">
      <w:pPr>
        <w:tabs>
          <w:tab w:val="left" w:pos="360"/>
        </w:tabs>
        <w:ind w:left="360"/>
      </w:pPr>
      <w:r w:rsidRPr="00B5671D">
        <w:t>1.</w:t>
      </w:r>
      <w:r w:rsidRPr="00B5671D">
        <w:tab/>
      </w:r>
      <w:proofErr w:type="gramStart"/>
      <w:r w:rsidRPr="00B5671D">
        <w:t>research</w:t>
      </w:r>
      <w:proofErr w:type="gramEnd"/>
      <w:r w:rsidRPr="00B5671D">
        <w:t xml:space="preserve"> that develops and presents scientific evidence regarding all aspects of </w:t>
      </w:r>
      <w:r w:rsidRPr="00B5671D">
        <w:tab/>
      </w:r>
      <w:r w:rsidRPr="00B5671D">
        <w:tab/>
        <w:t>health care; and</w:t>
      </w:r>
    </w:p>
    <w:p w:rsidRPr="00B5671D" w:rsidR="003C7692" w:rsidP="003C7692" w:rsidRDefault="003C7692" w14:paraId="3BAF6C81" w14:textId="77777777">
      <w:pPr>
        <w:tabs>
          <w:tab w:val="left" w:pos="360"/>
        </w:tabs>
        <w:ind w:left="360"/>
      </w:pPr>
    </w:p>
    <w:p w:rsidRPr="00B5671D" w:rsidR="003C7692" w:rsidP="003C7692" w:rsidRDefault="003C7692" w14:paraId="53E26934" w14:textId="77777777">
      <w:pPr>
        <w:tabs>
          <w:tab w:val="left" w:pos="360"/>
        </w:tabs>
        <w:ind w:left="360"/>
      </w:pPr>
      <w:r w:rsidRPr="00B5671D">
        <w:t>2.</w:t>
      </w:r>
      <w:r w:rsidRPr="00B5671D">
        <w:tab/>
      </w:r>
      <w:proofErr w:type="gramStart"/>
      <w:r w:rsidRPr="00B5671D">
        <w:t>the</w:t>
      </w:r>
      <w:proofErr w:type="gramEnd"/>
      <w:r w:rsidRPr="00B5671D">
        <w:t xml:space="preserve"> synthesis and dissemination of available scientific evidence for use by </w:t>
      </w:r>
      <w:r w:rsidRPr="00B5671D">
        <w:tab/>
        <w:t xml:space="preserve">patients, consumers, practitioners, providers, purchasers, policy makers, and </w:t>
      </w:r>
      <w:r w:rsidRPr="00B5671D">
        <w:tab/>
        <w:t>educators; and</w:t>
      </w:r>
    </w:p>
    <w:p w:rsidRPr="00B5671D" w:rsidR="003C7692" w:rsidP="003C7692" w:rsidRDefault="003C7692" w14:paraId="2FEACFA6" w14:textId="77777777">
      <w:pPr>
        <w:tabs>
          <w:tab w:val="left" w:pos="360"/>
        </w:tabs>
        <w:ind w:left="360"/>
      </w:pPr>
    </w:p>
    <w:p w:rsidRPr="00B5671D" w:rsidR="003C7692" w:rsidP="003C7692" w:rsidRDefault="003C7692" w14:paraId="5E2CF263" w14:textId="77777777">
      <w:pPr>
        <w:tabs>
          <w:tab w:val="left" w:pos="360"/>
        </w:tabs>
        <w:ind w:left="360"/>
      </w:pPr>
      <w:r w:rsidRPr="00B5671D">
        <w:t>3.</w:t>
      </w:r>
      <w:r w:rsidRPr="00B5671D">
        <w:tab/>
      </w:r>
      <w:proofErr w:type="gramStart"/>
      <w:r w:rsidRPr="00B5671D">
        <w:t>initiatives</w:t>
      </w:r>
      <w:proofErr w:type="gramEnd"/>
      <w:r w:rsidRPr="00B5671D">
        <w:t xml:space="preserve"> to advance private and public efforts to improve health care quality.</w:t>
      </w:r>
    </w:p>
    <w:p w:rsidRPr="00B5671D" w:rsidR="003C7692" w:rsidP="003C7692" w:rsidRDefault="003C7692" w14:paraId="7D5BAD0F" w14:textId="77777777">
      <w:pPr>
        <w:tabs>
          <w:tab w:val="left" w:pos="360"/>
        </w:tabs>
      </w:pPr>
    </w:p>
    <w:p w:rsidRPr="00B5671D" w:rsidR="003C7692" w:rsidP="003C7692" w:rsidRDefault="003C7692" w14:paraId="410B0445" w14:textId="77777777">
      <w:pPr>
        <w:tabs>
          <w:tab w:val="left" w:pos="360"/>
        </w:tabs>
      </w:pPr>
      <w:r w:rsidRPr="00B5671D">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Pr="00B5671D" w:rsidR="003C7692" w:rsidP="003C7692" w:rsidRDefault="003C7692" w14:paraId="5EAFB397" w14:textId="77777777">
      <w:pPr>
        <w:tabs>
          <w:tab w:val="left" w:pos="360"/>
        </w:tabs>
      </w:pPr>
    </w:p>
    <w:p w:rsidRPr="00B5671D" w:rsidR="003C7692" w:rsidP="003C7692" w:rsidRDefault="003C7692" w14:paraId="63FD8CD3" w14:textId="77777777">
      <w:pPr>
        <w:pStyle w:val="BodyText"/>
      </w:pPr>
      <w:r w:rsidRPr="00B5671D">
        <w:t>Research has shown that health care quality in the U.S. varies significantly and only half of adults receive evidence-based, recommended care.</w:t>
      </w:r>
      <w:r w:rsidRPr="00B5671D">
        <w:rPr>
          <w:rStyle w:val="EndnoteReference"/>
        </w:rPr>
        <w:endnoteReference w:id="1"/>
      </w:r>
      <w:r w:rsidRPr="00B5671D">
        <w:t xml:space="preserve"> Individuals with multiple chronic conditions (42% of adults) and older adults are at particular risk for negative health outcomes. </w:t>
      </w:r>
      <w:r w:rsidRPr="00B5671D">
        <w:rPr>
          <w:rStyle w:val="EndnoteReference"/>
        </w:rPr>
        <w:endnoteReference w:id="2"/>
      </w:r>
      <w:r w:rsidRPr="00B5671D">
        <w:rPr>
          <w:vertAlign w:val="superscript"/>
        </w:rPr>
        <w:t>,</w:t>
      </w:r>
      <w:r w:rsidRPr="00B5671D">
        <w:rPr>
          <w:rStyle w:val="EndnoteReference"/>
        </w:rPr>
        <w:endnoteReference w:id="3"/>
      </w:r>
      <w:r w:rsidRPr="00B5671D">
        <w:t xml:space="preserve"> Current evidence shows that CDS systems improve adherence to evidence-based practices by analyzing patient data and making appropriate information available to the physician at the time they need it. CDS systems are usually electronic health record (EHR)-based, encompassing tools like alerts, clinical guidelines, patient reports and dashboards, diagnostic support, and workflow tools.</w:t>
      </w:r>
      <w:r w:rsidRPr="00B5671D">
        <w:rPr>
          <w:rStyle w:val="EndnoteReference"/>
        </w:rPr>
        <w:endnoteReference w:id="4"/>
      </w:r>
      <w:r w:rsidRPr="00B5671D">
        <w:rPr>
          <w:vertAlign w:val="superscript"/>
        </w:rPr>
        <w:t xml:space="preserve"> </w:t>
      </w:r>
      <w:r w:rsidRPr="00B5671D">
        <w:t>These tools help reduce clinical errors and allow for customization to patient needs, improving quality of care and patient outcomes</w:t>
      </w:r>
      <w:r w:rsidRPr="00B5671D">
        <w:rPr>
          <w:vertAlign w:val="superscript"/>
        </w:rPr>
        <w:t>.</w:t>
      </w:r>
      <w:r w:rsidRPr="00B5671D">
        <w:rPr>
          <w:rStyle w:val="EndnoteReference"/>
        </w:rPr>
        <w:endnoteReference w:id="5"/>
      </w:r>
      <w:proofErr w:type="gramStart"/>
      <w:r w:rsidRPr="00B5671D">
        <w:rPr>
          <w:vertAlign w:val="superscript"/>
        </w:rPr>
        <w:t xml:space="preserve">, </w:t>
      </w:r>
      <w:proofErr w:type="gramEnd"/>
      <w:r w:rsidRPr="00B5671D">
        <w:rPr>
          <w:rStyle w:val="EndnoteReference"/>
        </w:rPr>
        <w:endnoteReference w:id="6"/>
      </w:r>
      <w:r w:rsidRPr="00B5671D">
        <w:rPr>
          <w:vertAlign w:val="superscript"/>
        </w:rPr>
        <w:t xml:space="preserve">, </w:t>
      </w:r>
      <w:r w:rsidRPr="00B5671D">
        <w:rPr>
          <w:rStyle w:val="EndnoteReference"/>
        </w:rPr>
        <w:endnoteReference w:id="7"/>
      </w:r>
    </w:p>
    <w:p w:rsidRPr="00B5671D" w:rsidR="003C7692" w:rsidP="003C7692" w:rsidRDefault="003C7692" w14:paraId="11106282" w14:textId="77777777">
      <w:pPr>
        <w:autoSpaceDE w:val="0"/>
        <w:autoSpaceDN w:val="0"/>
        <w:adjustRightInd w:val="0"/>
        <w:spacing w:after="120"/>
        <w:rPr>
          <w:color w:val="000000"/>
        </w:rPr>
      </w:pPr>
      <w:r w:rsidRPr="00B5671D">
        <w:t xml:space="preserve">The AHRQ PC CDS Learning Network (PC CDS LN) defines PC CDS as: </w:t>
      </w:r>
      <w:r w:rsidRPr="00B5671D">
        <w:rPr>
          <w:color w:val="000000"/>
        </w:rPr>
        <w:t>“CDS that supports </w:t>
      </w:r>
      <w:r w:rsidRPr="00B5671D">
        <w:rPr>
          <w:i/>
          <w:iCs/>
          <w:color w:val="000000"/>
        </w:rPr>
        <w:t>individual</w:t>
      </w:r>
      <w:r w:rsidRPr="00B5671D">
        <w:rPr>
          <w:color w:val="000000"/>
        </w:rPr>
        <w:t> patients and their approved care givers and/or care teams in health-related decisions and actions by leveraging information from PCOR findings and/or patient-specific information (e.g. patient-generated health data).”</w:t>
      </w:r>
      <w:r w:rsidRPr="00B5671D">
        <w:rPr>
          <w:rStyle w:val="EndnoteReference"/>
          <w:color w:val="000000"/>
        </w:rPr>
        <w:endnoteReference w:id="8"/>
      </w:r>
      <w:r w:rsidRPr="00B5671D">
        <w:rPr>
          <w:color w:val="000000"/>
        </w:rPr>
        <w:t xml:space="preserve"> </w:t>
      </w:r>
      <w:r w:rsidRPr="00B5671D">
        <w:t>Through PC CDS,</w:t>
      </w:r>
      <w:r w:rsidRPr="00B5671D">
        <w:rPr>
          <w:rStyle w:val="EndnoteReference"/>
        </w:rPr>
        <w:endnoteReference w:id="9"/>
      </w:r>
      <w:proofErr w:type="gramStart"/>
      <w:r w:rsidRPr="00B5671D">
        <w:rPr>
          <w:vertAlign w:val="superscript"/>
        </w:rPr>
        <w:t>,</w:t>
      </w:r>
      <w:proofErr w:type="gramEnd"/>
      <w:r w:rsidRPr="00B5671D">
        <w:rPr>
          <w:rStyle w:val="EndnoteReference"/>
        </w:rPr>
        <w:endnoteReference w:id="10"/>
      </w:r>
      <w:r w:rsidRPr="00B5671D">
        <w:t xml:space="preserve"> AHRQ seeks to accelerate the movement of PCOR evidence into practice and to make CDS more shareable, standards-based, and publicly available.</w:t>
      </w:r>
      <w:r w:rsidRPr="00B5671D">
        <w:rPr>
          <w:shd w:val="clear" w:color="auto" w:fill="FFFFFF"/>
        </w:rPr>
        <w:t xml:space="preserve"> </w:t>
      </w:r>
      <w:r w:rsidRPr="00B5671D">
        <w:t xml:space="preserve">Traditionally, CDS initiatives have focused on provider-directed guidelines and increasing the </w:t>
      </w:r>
      <w:proofErr w:type="spellStart"/>
      <w:r w:rsidRPr="00B5671D">
        <w:t>shareability</w:t>
      </w:r>
      <w:proofErr w:type="spellEnd"/>
      <w:r w:rsidRPr="00B5671D">
        <w:t xml:space="preserve"> of </w:t>
      </w:r>
      <w:r w:rsidRPr="00B5671D">
        <w:lastRenderedPageBreak/>
        <w:t>CDS artifacts; however, PC CDS targets both patients (and/or caregivers) and providers.</w:t>
      </w:r>
      <w:r w:rsidRPr="00B5671D">
        <w:rPr>
          <w:rStyle w:val="EndnoteReference"/>
          <w:shd w:val="clear" w:color="auto" w:fill="FFFFFF"/>
        </w:rPr>
        <w:endnoteReference w:id="11"/>
      </w:r>
      <w:r w:rsidRPr="00B5671D">
        <w:t xml:space="preserve"> </w:t>
      </w:r>
    </w:p>
    <w:p w:rsidRPr="00B5671D" w:rsidR="003C7692" w:rsidP="003C7692" w:rsidRDefault="003C7692" w14:paraId="5779435B" w14:textId="7E27D981">
      <w:pPr>
        <w:pStyle w:val="BodyText"/>
      </w:pPr>
      <w:r w:rsidRPr="00B5671D">
        <w:t xml:space="preserve">AHRQ’s effort to support patient-centered CDS (PC CDS) has included efforts such as the Patient-Centered (PC) CDS Learning Network, CDS Connect, and other related grants and contracts. In this project, AHRQ seeks to conduct a comprehensive evaluation to assess the impact of PCOR CDS Initiative to understand the current state of PC CDS and to identify gaps to guide AHRQ’s future research. </w:t>
      </w:r>
    </w:p>
    <w:p w:rsidRPr="00B5671D" w:rsidR="003C7692" w:rsidP="003C7692" w:rsidRDefault="003C7692" w14:paraId="597D6199" w14:textId="77777777"/>
    <w:p w:rsidRPr="00B5671D" w:rsidR="003C7692" w:rsidP="003C7692" w:rsidRDefault="003C7692" w14:paraId="3A161BE0" w14:textId="3401CF4F">
      <w:r w:rsidRPr="00B5671D">
        <w:t>This research has the following goal</w:t>
      </w:r>
      <w:r w:rsidR="00B5671D">
        <w:t>:</w:t>
      </w:r>
    </w:p>
    <w:p w:rsidRPr="00B5671D" w:rsidR="003C7692" w:rsidP="003C7692" w:rsidRDefault="003C7692" w14:paraId="7D382C6C" w14:textId="17C45FF5">
      <w:pPr>
        <w:tabs>
          <w:tab w:val="left" w:pos="360"/>
        </w:tabs>
        <w:ind w:left="360" w:hanging="360"/>
      </w:pPr>
      <w:r w:rsidRPr="00B5671D">
        <w:tab/>
        <w:t>1)</w:t>
      </w:r>
      <w:r w:rsidRPr="00B5671D">
        <w:tab/>
      </w:r>
      <w:proofErr w:type="gramStart"/>
      <w:r w:rsidRPr="00B5671D">
        <w:t>to</w:t>
      </w:r>
      <w:proofErr w:type="gramEnd"/>
      <w:r w:rsidRPr="00B5671D">
        <w:t xml:space="preserve"> assess the accomplishments and opportunities for the PCOR CDS Initiative as a whole</w:t>
      </w:r>
      <w:r w:rsidRPr="00B5671D">
        <w:rPr>
          <w:rStyle w:val="EndnoteReference"/>
        </w:rPr>
        <w:endnoteReference w:id="12"/>
      </w:r>
      <w:r w:rsidRPr="00B5671D">
        <w:t>, and each of its four individual components: the PC CDS Learning Network</w:t>
      </w:r>
      <w:r w:rsidRPr="00B5671D">
        <w:rPr>
          <w:rStyle w:val="EndnoteReference"/>
        </w:rPr>
        <w:endnoteReference w:id="13"/>
      </w:r>
      <w:r w:rsidRPr="00B5671D">
        <w:t>, CDS Connect</w:t>
      </w:r>
      <w:r w:rsidRPr="00B5671D">
        <w:rPr>
          <w:rStyle w:val="EndnoteReference"/>
        </w:rPr>
        <w:endnoteReference w:id="14"/>
      </w:r>
      <w:r w:rsidRPr="00B5671D">
        <w:t>, Quantifying Efficiencies</w:t>
      </w:r>
      <w:r w:rsidRPr="00B5671D">
        <w:rPr>
          <w:rStyle w:val="EndnoteReference"/>
        </w:rPr>
        <w:endnoteReference w:id="15"/>
      </w:r>
      <w:r w:rsidRPr="00B5671D">
        <w:t>, and the U18 CDS Resource Grants.</w:t>
      </w:r>
    </w:p>
    <w:p w:rsidRPr="00B5671D" w:rsidR="003C7692" w:rsidP="003C7692" w:rsidRDefault="003C7692" w14:paraId="6F0D3972" w14:textId="40F6C2FE">
      <w:pPr>
        <w:tabs>
          <w:tab w:val="left" w:pos="360"/>
        </w:tabs>
        <w:ind w:left="360" w:hanging="360"/>
      </w:pPr>
      <w:r w:rsidRPr="00B5671D">
        <w:tab/>
      </w:r>
    </w:p>
    <w:p w:rsidRPr="00B5671D" w:rsidR="003C7692" w:rsidP="003C7692" w:rsidRDefault="003C7692" w14:paraId="6642712E" w14:textId="77777777"/>
    <w:p w:rsidRPr="00B5671D" w:rsidR="003C7692" w:rsidP="003C7692" w:rsidRDefault="003C7692" w14:paraId="1DFCDE5C" w14:textId="77777777">
      <w:r w:rsidRPr="00B5671D">
        <w:t>To achieve the goals of this project the following data collections will be implemented:</w:t>
      </w:r>
    </w:p>
    <w:p w:rsidRPr="00B5671D" w:rsidR="005A3B16" w:rsidP="005A3B16" w:rsidRDefault="003C7692" w14:paraId="126D7597" w14:textId="4B7DB0A4">
      <w:pPr>
        <w:pStyle w:val="BodyText"/>
        <w:numPr>
          <w:ilvl w:val="0"/>
          <w:numId w:val="9"/>
        </w:numPr>
        <w:jc w:val="both"/>
      </w:pPr>
      <w:r w:rsidRPr="00B5671D">
        <w:t xml:space="preserve">Key informant interviews with up to 147 individuals across all Initiative domains, conducted either by phone or in-person during site visits. </w:t>
      </w:r>
      <w:r w:rsidRPr="00B5671D" w:rsidR="005A3B16">
        <w:t xml:space="preserve"> The informants will be assigned to one of 14 interview protocols</w:t>
      </w:r>
      <w:r w:rsidR="00882AAA">
        <w:t xml:space="preserve"> (see </w:t>
      </w:r>
      <w:proofErr w:type="gramStart"/>
      <w:r w:rsidR="00882AAA">
        <w:t>A</w:t>
      </w:r>
      <w:r w:rsidR="0077568C">
        <w:t>ttachment</w:t>
      </w:r>
      <w:r w:rsidR="00B748B8">
        <w:t xml:space="preserve">s </w:t>
      </w:r>
      <w:r w:rsidR="0077568C">
        <w:t xml:space="preserve"> D</w:t>
      </w:r>
      <w:proofErr w:type="gramEnd"/>
      <w:r w:rsidR="00B748B8">
        <w:t>-Q</w:t>
      </w:r>
      <w:r w:rsidR="0077568C">
        <w:t>)</w:t>
      </w:r>
      <w:r w:rsidRPr="00B5671D" w:rsidR="005A3B16">
        <w:t xml:space="preserve"> based on which PCOR CDS Initiative component they worked on and their role on the project. The 14 protocols </w:t>
      </w:r>
      <w:r w:rsidR="00B748B8">
        <w:t>can be found</w:t>
      </w:r>
      <w:r w:rsidR="001F0CCD">
        <w:t xml:space="preserve"> in </w:t>
      </w:r>
      <w:r w:rsidR="00B133D2">
        <w:t>the following A</w:t>
      </w:r>
      <w:r w:rsidR="0004286E">
        <w:t>ttachments</w:t>
      </w:r>
      <w:r w:rsidR="00B133D2">
        <w:t xml:space="preserve">. </w:t>
      </w:r>
      <w:r w:rsidRPr="00B5671D" w:rsidR="00C731DB">
        <w:t>:</w:t>
      </w:r>
    </w:p>
    <w:p w:rsidRPr="00B5671D" w:rsidR="005A3B16" w:rsidP="00A03220" w:rsidRDefault="005A3B16" w14:paraId="00BD3DB7" w14:textId="2D02A901">
      <w:pPr>
        <w:pStyle w:val="BodyText"/>
        <w:numPr>
          <w:ilvl w:val="1"/>
          <w:numId w:val="10"/>
        </w:numPr>
        <w:spacing w:after="0"/>
        <w:jc w:val="both"/>
      </w:pPr>
      <w:r w:rsidRPr="00B5671D">
        <w:t>PCS CDS Learning Network  - Leader</w:t>
      </w:r>
    </w:p>
    <w:p w:rsidRPr="00B5671D" w:rsidR="005A3B16" w:rsidP="00A03220" w:rsidRDefault="005A3B16" w14:paraId="0D50B82C" w14:textId="6CB62B7A">
      <w:pPr>
        <w:pStyle w:val="BodyText"/>
        <w:numPr>
          <w:ilvl w:val="1"/>
          <w:numId w:val="10"/>
        </w:numPr>
        <w:spacing w:after="0"/>
        <w:jc w:val="both"/>
      </w:pPr>
      <w:r w:rsidRPr="00B5671D">
        <w:rPr>
          <w:sz w:val="22"/>
          <w:szCs w:val="22"/>
        </w:rPr>
        <w:t>PC CDS Learning Network – Governance/Non-Executive Steering Committee</w:t>
      </w:r>
    </w:p>
    <w:p w:rsidRPr="00B5671D" w:rsidR="005A3B16" w:rsidP="00A03220" w:rsidRDefault="005A3B16" w14:paraId="168C2A69" w14:textId="78BBDED3">
      <w:pPr>
        <w:pStyle w:val="BodyText"/>
        <w:numPr>
          <w:ilvl w:val="1"/>
          <w:numId w:val="10"/>
        </w:numPr>
        <w:spacing w:after="0"/>
        <w:jc w:val="both"/>
      </w:pPr>
      <w:r w:rsidRPr="00B5671D">
        <w:rPr>
          <w:sz w:val="22"/>
          <w:szCs w:val="22"/>
        </w:rPr>
        <w:t>PC CDS Learning Network – Contributor</w:t>
      </w:r>
    </w:p>
    <w:p w:rsidRPr="00B5671D" w:rsidR="005A3B16" w:rsidP="00A03220" w:rsidRDefault="005A3B16" w14:paraId="149BD917" w14:textId="5A604873">
      <w:pPr>
        <w:pStyle w:val="BodyText"/>
        <w:numPr>
          <w:ilvl w:val="1"/>
          <w:numId w:val="10"/>
        </w:numPr>
        <w:spacing w:after="0"/>
        <w:jc w:val="both"/>
      </w:pPr>
      <w:r w:rsidRPr="00B5671D">
        <w:rPr>
          <w:sz w:val="22"/>
          <w:szCs w:val="22"/>
        </w:rPr>
        <w:t>CDS Connect – Leader</w:t>
      </w:r>
    </w:p>
    <w:p w:rsidRPr="00B5671D" w:rsidR="00C731DB" w:rsidP="00A03220" w:rsidRDefault="00C731DB" w14:paraId="3B547655" w14:textId="04FFF05F">
      <w:pPr>
        <w:pStyle w:val="BodyText"/>
        <w:numPr>
          <w:ilvl w:val="1"/>
          <w:numId w:val="10"/>
        </w:numPr>
        <w:spacing w:after="0"/>
        <w:jc w:val="both"/>
      </w:pPr>
      <w:r w:rsidRPr="00B5671D">
        <w:rPr>
          <w:sz w:val="22"/>
          <w:szCs w:val="22"/>
        </w:rPr>
        <w:t>CDS Connect – Contributor</w:t>
      </w:r>
    </w:p>
    <w:p w:rsidRPr="00B5671D" w:rsidR="00C731DB" w:rsidP="00A03220" w:rsidRDefault="00C731DB" w14:paraId="0DADDDB5" w14:textId="12B4C319">
      <w:pPr>
        <w:pStyle w:val="BodyText"/>
        <w:numPr>
          <w:ilvl w:val="1"/>
          <w:numId w:val="10"/>
        </w:numPr>
        <w:spacing w:after="0"/>
        <w:jc w:val="both"/>
      </w:pPr>
      <w:r w:rsidRPr="00B5671D">
        <w:t>CDS Connect – Consumer/Patient</w:t>
      </w:r>
    </w:p>
    <w:p w:rsidRPr="00B5671D" w:rsidR="00C731DB" w:rsidP="00A03220" w:rsidRDefault="00C731DB" w14:paraId="3BAD5120" w14:textId="040007E1">
      <w:pPr>
        <w:pStyle w:val="BodyText"/>
        <w:numPr>
          <w:ilvl w:val="1"/>
          <w:numId w:val="10"/>
        </w:numPr>
        <w:spacing w:after="0"/>
        <w:jc w:val="both"/>
      </w:pPr>
      <w:r w:rsidRPr="00B5671D">
        <w:rPr>
          <w:sz w:val="22"/>
          <w:szCs w:val="22"/>
        </w:rPr>
        <w:t>CDS Connect – Participant</w:t>
      </w:r>
    </w:p>
    <w:p w:rsidRPr="00B5671D" w:rsidR="00C731DB" w:rsidP="00A03220" w:rsidRDefault="00C731DB" w14:paraId="790DBE9E" w14:textId="4A012C30">
      <w:pPr>
        <w:pStyle w:val="BodyText"/>
        <w:numPr>
          <w:ilvl w:val="1"/>
          <w:numId w:val="10"/>
        </w:numPr>
        <w:spacing w:after="0"/>
        <w:jc w:val="both"/>
      </w:pPr>
      <w:r w:rsidRPr="00B5671D">
        <w:rPr>
          <w:sz w:val="22"/>
          <w:szCs w:val="22"/>
        </w:rPr>
        <w:t>Quantifying Efficiencies – Leader</w:t>
      </w:r>
    </w:p>
    <w:p w:rsidRPr="00B5671D" w:rsidR="00C731DB" w:rsidP="00A03220" w:rsidRDefault="00C731DB" w14:paraId="136D777F" w14:textId="3482791E">
      <w:pPr>
        <w:pStyle w:val="ListParagraph"/>
        <w:numPr>
          <w:ilvl w:val="1"/>
          <w:numId w:val="10"/>
        </w:numPr>
        <w:jc w:val="both"/>
      </w:pPr>
      <w:r w:rsidRPr="00B5671D">
        <w:t xml:space="preserve">Quantifying Efficiencies – </w:t>
      </w:r>
      <w:proofErr w:type="spellStart"/>
      <w:r w:rsidRPr="00B5671D">
        <w:t>Informaticist</w:t>
      </w:r>
      <w:proofErr w:type="spellEnd"/>
    </w:p>
    <w:p w:rsidRPr="00B5671D" w:rsidR="00C731DB" w:rsidP="00A03220" w:rsidRDefault="00C731DB" w14:paraId="54B76A32" w14:textId="4D033490">
      <w:pPr>
        <w:pStyle w:val="ListParagraph"/>
        <w:numPr>
          <w:ilvl w:val="1"/>
          <w:numId w:val="10"/>
        </w:numPr>
        <w:jc w:val="both"/>
      </w:pPr>
      <w:r w:rsidRPr="00B5671D">
        <w:t>Quantifying Efficiencies – Clinician</w:t>
      </w:r>
    </w:p>
    <w:p w:rsidRPr="00B5671D" w:rsidR="00C731DB" w:rsidP="00A03220" w:rsidRDefault="00C731DB" w14:paraId="698E0A64" w14:textId="549A6BE8">
      <w:pPr>
        <w:pStyle w:val="ListParagraph"/>
        <w:numPr>
          <w:ilvl w:val="1"/>
          <w:numId w:val="10"/>
        </w:numPr>
        <w:jc w:val="both"/>
      </w:pPr>
      <w:r w:rsidRPr="00B5671D">
        <w:t>PC CDS Projects – Site Leader</w:t>
      </w:r>
    </w:p>
    <w:p w:rsidRPr="00B5671D" w:rsidR="00C731DB" w:rsidP="00A03220" w:rsidRDefault="00C731DB" w14:paraId="49EAED32" w14:textId="10F0A373">
      <w:pPr>
        <w:pStyle w:val="ListParagraph"/>
        <w:numPr>
          <w:ilvl w:val="1"/>
          <w:numId w:val="10"/>
        </w:numPr>
        <w:jc w:val="both"/>
      </w:pPr>
      <w:r w:rsidRPr="00B5671D">
        <w:t xml:space="preserve">PC CDS Projects – </w:t>
      </w:r>
      <w:proofErr w:type="spellStart"/>
      <w:r w:rsidRPr="00B5671D">
        <w:t>Informaticist</w:t>
      </w:r>
      <w:proofErr w:type="spellEnd"/>
      <w:r w:rsidRPr="00B5671D">
        <w:t xml:space="preserve"> </w:t>
      </w:r>
    </w:p>
    <w:p w:rsidRPr="00B5671D" w:rsidR="00C731DB" w:rsidP="00A03220" w:rsidRDefault="00C731DB" w14:paraId="010EC9B6" w14:textId="6CCBC8EA">
      <w:pPr>
        <w:pStyle w:val="ListParagraph"/>
        <w:numPr>
          <w:ilvl w:val="1"/>
          <w:numId w:val="10"/>
        </w:numPr>
        <w:jc w:val="both"/>
      </w:pPr>
      <w:r w:rsidRPr="00B5671D">
        <w:t>PC CDS Projects – Clinician</w:t>
      </w:r>
    </w:p>
    <w:p w:rsidRPr="00B5671D" w:rsidR="00C731DB" w:rsidP="00A03220" w:rsidRDefault="00C731DB" w14:paraId="217DA912" w14:textId="54BC4CBE">
      <w:pPr>
        <w:pStyle w:val="ListParagraph"/>
        <w:numPr>
          <w:ilvl w:val="1"/>
          <w:numId w:val="10"/>
        </w:numPr>
        <w:jc w:val="both"/>
      </w:pPr>
      <w:r w:rsidRPr="00B5671D">
        <w:t>PC CDS Projects – Patient</w:t>
      </w:r>
    </w:p>
    <w:p w:rsidRPr="00B5671D" w:rsidR="00C731DB" w:rsidP="00C731DB" w:rsidRDefault="00C731DB" w14:paraId="0F0450A8" w14:textId="77777777">
      <w:pPr>
        <w:pStyle w:val="BodyText"/>
        <w:ind w:left="1080"/>
        <w:jc w:val="both"/>
      </w:pPr>
    </w:p>
    <w:p w:rsidRPr="00B5671D" w:rsidR="003C7692" w:rsidP="003C7692" w:rsidRDefault="003C7692" w14:paraId="6BD3CDD9" w14:textId="691AA5AB">
      <w:pPr>
        <w:pStyle w:val="BodyText"/>
        <w:numPr>
          <w:ilvl w:val="0"/>
          <w:numId w:val="9"/>
        </w:numPr>
        <w:jc w:val="both"/>
      </w:pPr>
      <w:r w:rsidRPr="00B5671D">
        <w:t xml:space="preserve">A web-based survey </w:t>
      </w:r>
      <w:r w:rsidR="00882AAA">
        <w:t>(see A</w:t>
      </w:r>
      <w:r w:rsidR="004C21F8">
        <w:t xml:space="preserve">ttachment </w:t>
      </w:r>
      <w:r w:rsidR="00B748B8">
        <w:t>R</w:t>
      </w:r>
      <w:r w:rsidR="004C21F8">
        <w:t xml:space="preserve">) </w:t>
      </w:r>
      <w:r w:rsidRPr="00B5671D">
        <w:t>of approximately 453 “contributors” to and “consumers” of CDS Connect resources.</w:t>
      </w:r>
    </w:p>
    <w:p w:rsidRPr="00B5671D" w:rsidR="003C7692" w:rsidP="003C7692" w:rsidRDefault="003C7692" w14:paraId="416F616E" w14:textId="77777777"/>
    <w:p w:rsidR="003C7692" w:rsidP="003C7692" w:rsidRDefault="003C7692" w14:paraId="68F98C0E" w14:textId="51ECD9E6">
      <w:r w:rsidRPr="00B5671D">
        <w:t>This study is being conducted b</w:t>
      </w:r>
      <w:r w:rsidRPr="00B5671D" w:rsidR="0049708A">
        <w:t xml:space="preserve">y AHRQ through its contractor, </w:t>
      </w:r>
      <w:r w:rsidRPr="00B5671D">
        <w:t xml:space="preserve">NORC at the University of Chicago,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B5671D">
        <w:t>299a(</w:t>
      </w:r>
      <w:proofErr w:type="gramEnd"/>
      <w:r w:rsidRPr="00B5671D">
        <w:t>a)(1) and (2).</w:t>
      </w:r>
    </w:p>
    <w:p w:rsidR="003C7692" w:rsidP="0041780A" w:rsidRDefault="003C7692" w14:paraId="2E15A979" w14:textId="77777777"/>
    <w:p w:rsidRPr="00983636" w:rsidR="009B633D" w:rsidP="009B633D" w:rsidRDefault="009B633D" w14:paraId="08894071" w14:textId="27605502">
      <w:pPr>
        <w:pStyle w:val="Heading2"/>
        <w:rPr>
          <w:sz w:val="24"/>
        </w:rPr>
      </w:pPr>
      <w:bookmarkStart w:name="_Toc151782177" w:id="6"/>
      <w:bookmarkStart w:name="_Toc158526217" w:id="7"/>
      <w:bookmarkStart w:name="_Toc42869935" w:id="8"/>
      <w:r w:rsidRPr="00983636">
        <w:rPr>
          <w:sz w:val="24"/>
        </w:rPr>
        <w:lastRenderedPageBreak/>
        <w:t>2. Purpose and Use of Information</w:t>
      </w:r>
      <w:bookmarkEnd w:id="6"/>
      <w:bookmarkEnd w:id="7"/>
      <w:bookmarkEnd w:id="8"/>
    </w:p>
    <w:p w:rsidR="003C7692" w:rsidP="00C00123" w:rsidRDefault="003C7692" w14:paraId="757F5002" w14:textId="77777777">
      <w:bookmarkStart w:name="_Toc151782178" w:id="9"/>
      <w:bookmarkStart w:name="_Toc158526218" w:id="10"/>
    </w:p>
    <w:p w:rsidRPr="00C00123" w:rsidR="003C7692" w:rsidP="003C7692" w:rsidRDefault="003C7692" w14:paraId="44ABD632" w14:textId="77777777">
      <w:pPr>
        <w:pStyle w:val="paragraph"/>
        <w:spacing w:before="0" w:beforeAutospacing="0" w:after="120" w:afterAutospacing="0"/>
        <w:textAlignment w:val="baseline"/>
      </w:pPr>
      <w:r w:rsidRPr="00C00123">
        <w:rPr>
          <w:rStyle w:val="normaltextrun"/>
        </w:rPr>
        <w:t>This mixed methods evaluation seeks to answer the following research questions about the PCOR CDS Initiative (the Initiative) as a whole:</w:t>
      </w:r>
      <w:r>
        <w:rPr>
          <w:rStyle w:val="normaltextrun"/>
        </w:rPr>
        <w:t xml:space="preserve"> </w:t>
      </w:r>
    </w:p>
    <w:p w:rsidRPr="00C00123" w:rsidR="003C7692" w:rsidP="00E961D4" w:rsidRDefault="003C7692" w14:paraId="0F4509B8" w14:textId="56F9365D">
      <w:pPr>
        <w:pStyle w:val="paragraph"/>
        <w:numPr>
          <w:ilvl w:val="0"/>
          <w:numId w:val="4"/>
        </w:numPr>
        <w:spacing w:before="0" w:beforeAutospacing="0" w:after="120" w:afterAutospacing="0"/>
        <w:textAlignment w:val="baseline"/>
      </w:pPr>
      <w:r w:rsidRPr="00C00123">
        <w:rPr>
          <w:rStyle w:val="normaltextrun"/>
        </w:rPr>
        <w:t>To what extent has the PCOR CDS Initiative promoted the dissemination and implementation of PCOR findings through sharable, standards-based, and</w:t>
      </w:r>
      <w:r w:rsidR="00E961D4">
        <w:rPr>
          <w:rStyle w:val="normaltextrun"/>
        </w:rPr>
        <w:t xml:space="preserve"> </w:t>
      </w:r>
      <w:r w:rsidRPr="00C00123">
        <w:rPr>
          <w:rStyle w:val="normaltextrun"/>
        </w:rPr>
        <w:t>publicly</w:t>
      </w:r>
      <w:r w:rsidR="00E961D4">
        <w:rPr>
          <w:rStyle w:val="normaltextrun"/>
        </w:rPr>
        <w:t xml:space="preserve"> </w:t>
      </w:r>
      <w:r w:rsidRPr="00C00123">
        <w:rPr>
          <w:rStyle w:val="normaltextrun"/>
        </w:rPr>
        <w:t>available CDS and how?</w:t>
      </w:r>
      <w:r>
        <w:rPr>
          <w:rStyle w:val="normaltextrun"/>
        </w:rPr>
        <w:t xml:space="preserve"> </w:t>
      </w:r>
      <w:r w:rsidRPr="00E961D4" w:rsidR="00E961D4">
        <w:rPr>
          <w:rStyle w:val="normaltextrun"/>
        </w:rPr>
        <w:t>How does the Initiative fit into the broad, nationwide, multiplayer process of development and use of CDS to improve health?</w:t>
      </w:r>
    </w:p>
    <w:p w:rsidRPr="00FB184F" w:rsidR="00E961D4" w:rsidP="00FB184F" w:rsidRDefault="00E961D4" w14:paraId="5288C5EA" w14:textId="228ECC28">
      <w:pPr>
        <w:pStyle w:val="ListParagraph"/>
        <w:numPr>
          <w:ilvl w:val="0"/>
          <w:numId w:val="4"/>
        </w:numPr>
        <w:spacing w:after="120"/>
        <w:contextualSpacing w:val="0"/>
        <w:rPr>
          <w:rStyle w:val="normaltextrun"/>
          <w:sz w:val="24"/>
          <w:szCs w:val="24"/>
        </w:rPr>
      </w:pPr>
      <w:r w:rsidRPr="00FB184F">
        <w:rPr>
          <w:rStyle w:val="normaltextrun"/>
          <w:sz w:val="24"/>
          <w:szCs w:val="24"/>
        </w:rPr>
        <w:t xml:space="preserve">How did the activities and products carried out by each component (e.g., webinars, workgroups, in-person meetings, repositories, CDS artifacts and development tools, final reports or plans) contribute to the Initiative's operations and goals, and what factors facilitated or impeded the success of these products/activities? </w:t>
      </w:r>
    </w:p>
    <w:p w:rsidRPr="00C00123" w:rsidR="003C7692" w:rsidP="003C7692" w:rsidRDefault="003C7692" w14:paraId="1EF4BA98" w14:textId="77777777">
      <w:pPr>
        <w:pStyle w:val="ListParagraph"/>
        <w:numPr>
          <w:ilvl w:val="0"/>
          <w:numId w:val="4"/>
        </w:numPr>
        <w:spacing w:after="120"/>
        <w:contextualSpacing w:val="0"/>
        <w:rPr>
          <w:sz w:val="24"/>
          <w:szCs w:val="24"/>
        </w:rPr>
      </w:pPr>
      <w:r w:rsidRPr="0049708A">
        <w:rPr>
          <w:sz w:val="24"/>
          <w:szCs w:val="24"/>
        </w:rPr>
        <w:t xml:space="preserve">What do stakeholders perceive to be the impacts of the Initiative to date, including reflection on their own involvement in it, and current or potential </w:t>
      </w:r>
      <w:r w:rsidRPr="0049708A" w:rsidDel="0068563C">
        <w:rPr>
          <w:sz w:val="24"/>
          <w:szCs w:val="24"/>
        </w:rPr>
        <w:t>achievements</w:t>
      </w:r>
      <w:r w:rsidRPr="0049708A">
        <w:rPr>
          <w:sz w:val="24"/>
          <w:szCs w:val="24"/>
        </w:rPr>
        <w:t>, such as the development</w:t>
      </w:r>
      <w:r w:rsidRPr="00C00123">
        <w:rPr>
          <w:sz w:val="24"/>
          <w:szCs w:val="24"/>
        </w:rPr>
        <w:t xml:space="preserve"> of a common definition of PC CDS and growth of interest in and capacity for developing these types of CDS among stakeholders? </w:t>
      </w:r>
    </w:p>
    <w:p w:rsidRPr="00C00123" w:rsidR="003C7692" w:rsidP="003C7692" w:rsidRDefault="003C7692" w14:paraId="2DA7105E" w14:textId="77777777">
      <w:pPr>
        <w:pStyle w:val="paragraph"/>
        <w:numPr>
          <w:ilvl w:val="0"/>
          <w:numId w:val="4"/>
        </w:numPr>
        <w:spacing w:before="0" w:beforeAutospacing="0" w:after="120" w:afterAutospacing="0"/>
        <w:textAlignment w:val="baseline"/>
      </w:pPr>
      <w:r w:rsidRPr="00C00123">
        <w:rPr>
          <w:rStyle w:val="normaltextrun"/>
        </w:rPr>
        <w:t>How does the Initiative address federal policies for the dissemination and implementation of evidenced-based research funded by the PCOR Trust Fund, and how do they interact with other federal policy initiatives designed to promote widespread use, interoperability and patient access to information from EHRs with advanced CDS.</w:t>
      </w:r>
      <w:r w:rsidRPr="00C00123">
        <w:rPr>
          <w:rStyle w:val="eop"/>
        </w:rPr>
        <w:t> </w:t>
      </w:r>
    </w:p>
    <w:p w:rsidR="003C7692" w:rsidP="003C7692" w:rsidRDefault="003C7692" w14:paraId="7D2BB3FF" w14:textId="77777777">
      <w:pPr>
        <w:pStyle w:val="paragraph"/>
        <w:numPr>
          <w:ilvl w:val="0"/>
          <w:numId w:val="4"/>
        </w:numPr>
        <w:spacing w:before="0" w:beforeAutospacing="0" w:after="120" w:afterAutospacing="0"/>
        <w:textAlignment w:val="baseline"/>
        <w:rPr>
          <w:rStyle w:val="normaltextrun"/>
        </w:rPr>
      </w:pPr>
      <w:r w:rsidRPr="00C00123">
        <w:rPr>
          <w:rStyle w:val="normaltextrun"/>
        </w:rPr>
        <w:t>What can AHRQ learn from the CDS Initiative that is relevant to other initiatives aimed at disseminating and implementing clinical evidence and evidence-based practices? How can the lessons learned here inform future research, implementation, and dissemination initiatives?</w:t>
      </w:r>
    </w:p>
    <w:p w:rsidR="00D41ACB" w:rsidP="00C00123" w:rsidRDefault="00C00123" w14:paraId="6D34AE5D" w14:textId="1F688EB8">
      <w:r>
        <w:t xml:space="preserve">Information collected by the study will inform strategies to promote the adoption of </w:t>
      </w:r>
      <w:r w:rsidRPr="00AF2001">
        <w:t>PCOR evidence into practice through CDS</w:t>
      </w:r>
      <w:r>
        <w:t xml:space="preserve"> developed by AHRQ and other Department of Health and Human Services agencies, including </w:t>
      </w:r>
      <w:r w:rsidR="00BE5AFA">
        <w:t>the Centers for Medicaid and Medicare Services (</w:t>
      </w:r>
      <w:r>
        <w:t>CMS</w:t>
      </w:r>
      <w:r w:rsidR="00BE5AFA">
        <w:t>)</w:t>
      </w:r>
      <w:r>
        <w:t xml:space="preserve"> and the Office of the National Coordinator for Health IT, as well as state and local governments and private health care organizations.</w:t>
      </w:r>
      <w:r w:rsidR="0041780A">
        <w:t xml:space="preserve"> </w:t>
      </w:r>
      <w:r>
        <w:t>Findings from the evaluation can help identify and shape strategies to promote more effective implementation of PCOR CDS in order to accelerate the movement of evidence into clinical practice and support patient-centered decision making by clinicians with their patients.</w:t>
      </w:r>
      <w:r w:rsidR="0041780A">
        <w:t xml:space="preserve"> </w:t>
      </w:r>
    </w:p>
    <w:p w:rsidR="005A3B16" w:rsidP="00C00123" w:rsidRDefault="005A3B16" w14:paraId="681CA7F9" w14:textId="2E64F4C4">
      <w:r>
        <w:t xml:space="preserve"> </w:t>
      </w:r>
    </w:p>
    <w:p w:rsidR="00D41ACB" w:rsidP="00C00123" w:rsidRDefault="00D41ACB" w14:paraId="46B6A524" w14:textId="0F2D0D82">
      <w:r>
        <w:t>To achieve these goals, the evaluation team will use key informant interviews and a web-based survey to gather information about the programs from stakeholders, contributors, and users of the CDS Initiative programs.</w:t>
      </w:r>
    </w:p>
    <w:p w:rsidR="00D41ACB" w:rsidP="00C00123" w:rsidRDefault="00D41ACB" w14:paraId="433624C2" w14:textId="77777777"/>
    <w:p w:rsidRPr="00841856" w:rsidR="00BD6F50" w:rsidP="00BD6F50" w:rsidRDefault="00D41ACB" w14:paraId="011B7A90" w14:textId="2A9A783C">
      <w:pPr>
        <w:rPr>
          <w:color w:val="000000"/>
        </w:rPr>
      </w:pPr>
      <w:r w:rsidRPr="00841856">
        <w:rPr>
          <w:b/>
          <w:i/>
        </w:rPr>
        <w:t>Key Informant Interviews</w:t>
      </w:r>
      <w:r w:rsidRPr="00841856" w:rsidR="00BE5AFA">
        <w:rPr>
          <w:b/>
          <w:i/>
        </w:rPr>
        <w:t xml:space="preserve">: </w:t>
      </w:r>
      <w:r w:rsidRPr="00306F0F" w:rsidR="0006792F">
        <w:t xml:space="preserve">The evaluation team will conduct semi-structured interviews with people involved in Initiative’s components, including representatives from </w:t>
      </w:r>
      <w:r w:rsidRPr="00306F0F" w:rsidR="0006792F">
        <w:lastRenderedPageBreak/>
        <w:t xml:space="preserve">academia, industry, health systems, and government. </w:t>
      </w:r>
      <w:r w:rsidR="00882AAA">
        <w:rPr>
          <w:color w:val="000000"/>
        </w:rPr>
        <w:t xml:space="preserve">Key informants represent the </w:t>
      </w:r>
      <w:r w:rsidRPr="00841856" w:rsidR="00BD6F50">
        <w:rPr>
          <w:color w:val="000000"/>
        </w:rPr>
        <w:t>following</w:t>
      </w:r>
      <w:r w:rsidR="00882AAA">
        <w:rPr>
          <w:color w:val="000000"/>
        </w:rPr>
        <w:t xml:space="preserve"> general</w:t>
      </w:r>
      <w:r w:rsidRPr="00841856" w:rsidR="00BD6F50">
        <w:rPr>
          <w:color w:val="000000"/>
        </w:rPr>
        <w:t xml:space="preserve"> groups:</w:t>
      </w:r>
    </w:p>
    <w:p w:rsidRPr="00021052" w:rsidR="00BD6F50" w:rsidP="00306F0F" w:rsidRDefault="00BD6F50" w14:paraId="16398F9A" w14:textId="2FEF67C1">
      <w:pPr>
        <w:pStyle w:val="ListParagraph"/>
        <w:numPr>
          <w:ilvl w:val="0"/>
          <w:numId w:val="6"/>
        </w:numPr>
        <w:spacing w:before="100" w:beforeAutospacing="1" w:after="100" w:afterAutospacing="1"/>
        <w:rPr>
          <w:sz w:val="24"/>
          <w:szCs w:val="24"/>
        </w:rPr>
      </w:pPr>
      <w:r w:rsidRPr="00021052">
        <w:rPr>
          <w:sz w:val="24"/>
          <w:szCs w:val="24"/>
        </w:rPr>
        <w:t>Leader</w:t>
      </w:r>
      <w:r w:rsidR="001E06E6">
        <w:rPr>
          <w:sz w:val="24"/>
          <w:szCs w:val="24"/>
        </w:rPr>
        <w:t>s</w:t>
      </w:r>
      <w:r w:rsidRPr="00021052">
        <w:rPr>
          <w:sz w:val="24"/>
          <w:szCs w:val="24"/>
        </w:rPr>
        <w:t xml:space="preserve">: Includes AHRQ Project Officers, Contractor’s senior staff, and Senior Consultants to </w:t>
      </w:r>
      <w:r w:rsidR="001E06E6">
        <w:rPr>
          <w:sz w:val="24"/>
          <w:szCs w:val="24"/>
        </w:rPr>
        <w:t>Initiative</w:t>
      </w:r>
      <w:r w:rsidRPr="00021052">
        <w:rPr>
          <w:sz w:val="24"/>
          <w:szCs w:val="24"/>
        </w:rPr>
        <w:t xml:space="preserve"> components. Leaders are expected to have set the direction of the components or activities and to be familiar with the activities, the processes of implementation, and their outputs in their entirety.</w:t>
      </w:r>
    </w:p>
    <w:p w:rsidRPr="00021052" w:rsidR="00BD6F50" w:rsidP="00306F0F" w:rsidRDefault="00BD6F50" w14:paraId="3946C925" w14:textId="53C18875">
      <w:pPr>
        <w:pStyle w:val="ListParagraph"/>
        <w:numPr>
          <w:ilvl w:val="0"/>
          <w:numId w:val="6"/>
        </w:numPr>
        <w:spacing w:before="100" w:beforeAutospacing="1" w:after="100" w:afterAutospacing="1"/>
        <w:rPr>
          <w:sz w:val="24"/>
          <w:szCs w:val="24"/>
        </w:rPr>
      </w:pPr>
      <w:r w:rsidRPr="00021052">
        <w:rPr>
          <w:sz w:val="24"/>
          <w:szCs w:val="24"/>
        </w:rPr>
        <w:t>Contributors: Includes lead authors or content developers for a product or output of a component, may overlap with leaders. Example</w:t>
      </w:r>
      <w:r w:rsidR="001E06E6">
        <w:rPr>
          <w:sz w:val="24"/>
          <w:szCs w:val="24"/>
        </w:rPr>
        <w:t xml:space="preserve"> contributors</w:t>
      </w:r>
      <w:r w:rsidR="00E43FF4">
        <w:rPr>
          <w:sz w:val="24"/>
          <w:szCs w:val="24"/>
        </w:rPr>
        <w:t xml:space="preserve"> </w:t>
      </w:r>
      <w:r w:rsidRPr="00021052">
        <w:rPr>
          <w:sz w:val="24"/>
          <w:szCs w:val="24"/>
        </w:rPr>
        <w:t>from the PC CDS LN include lead authors of the Trust Framework, Opioid Action Plan, or Patient Blogs; examples from the CDS Connect include individuals who contributed CDS Artifacts to the repository.</w:t>
      </w:r>
    </w:p>
    <w:p w:rsidRPr="00021052" w:rsidR="00BD6F50" w:rsidP="00306F0F" w:rsidRDefault="00BD6F50" w14:paraId="6B9F527D" w14:textId="77777777">
      <w:pPr>
        <w:pStyle w:val="ListParagraph"/>
        <w:numPr>
          <w:ilvl w:val="0"/>
          <w:numId w:val="6"/>
        </w:numPr>
        <w:spacing w:before="100" w:beforeAutospacing="1" w:after="100" w:afterAutospacing="1"/>
        <w:rPr>
          <w:sz w:val="24"/>
          <w:szCs w:val="24"/>
        </w:rPr>
      </w:pPr>
      <w:r w:rsidRPr="00021052">
        <w:rPr>
          <w:sz w:val="24"/>
          <w:szCs w:val="24"/>
        </w:rPr>
        <w:t>Participants: Includes individuals who participated in workgroups of either the PC CDS LN or CDS Connect, or participated in the development of one of the products in the form of an advisory committee.</w:t>
      </w:r>
    </w:p>
    <w:p w:rsidR="00653C0E" w:rsidP="00306F0F" w:rsidRDefault="00BD6F50" w14:paraId="6591F049" w14:textId="62D64967">
      <w:pPr>
        <w:pStyle w:val="ListParagraph"/>
        <w:numPr>
          <w:ilvl w:val="0"/>
          <w:numId w:val="6"/>
        </w:numPr>
        <w:spacing w:before="100" w:beforeAutospacing="1" w:after="100" w:afterAutospacing="1"/>
        <w:rPr>
          <w:sz w:val="24"/>
          <w:szCs w:val="24"/>
        </w:rPr>
      </w:pPr>
      <w:r w:rsidRPr="00021052">
        <w:rPr>
          <w:sz w:val="24"/>
          <w:szCs w:val="24"/>
        </w:rPr>
        <w:t>Consumers: Includes individuals who have used a product developed by the Initiative, including artifacts found on the CDS Connect repository</w:t>
      </w:r>
      <w:r w:rsidR="001E06E6">
        <w:rPr>
          <w:sz w:val="24"/>
          <w:szCs w:val="24"/>
        </w:rPr>
        <w:t xml:space="preserve"> and the CDS Connect Authoring Tool</w:t>
      </w:r>
      <w:r w:rsidRPr="00021052">
        <w:rPr>
          <w:sz w:val="24"/>
          <w:szCs w:val="24"/>
        </w:rPr>
        <w:t xml:space="preserve"> in particular. </w:t>
      </w:r>
      <w:r w:rsidR="001E06E6">
        <w:rPr>
          <w:sz w:val="24"/>
          <w:szCs w:val="24"/>
        </w:rPr>
        <w:t>Individuals w</w:t>
      </w:r>
      <w:r w:rsidRPr="00021052">
        <w:rPr>
          <w:sz w:val="24"/>
          <w:szCs w:val="24"/>
        </w:rPr>
        <w:t>ill be identified from interviews with leaders, contributors, and participants, and through literature review for authors making references to PCOR CDS Initiative products (i.e., reports or artifacts).</w:t>
      </w:r>
    </w:p>
    <w:p w:rsidR="00841856" w:rsidP="001700D8" w:rsidRDefault="00841856" w14:paraId="7D2055C9" w14:textId="3FB2DBA0">
      <w:pPr>
        <w:spacing w:before="100" w:beforeAutospacing="1" w:after="100" w:afterAutospacing="1"/>
      </w:pPr>
      <w:r>
        <w:t xml:space="preserve">AHRQ and the evaluation contractor will </w:t>
      </w:r>
      <w:r w:rsidR="00F1022F">
        <w:t xml:space="preserve">create a list of eligible key informants </w:t>
      </w:r>
      <w:r w:rsidR="000754C1">
        <w:t xml:space="preserve">that </w:t>
      </w:r>
      <w:r w:rsidRPr="00E77307" w:rsidR="000754C1">
        <w:t>reflect</w:t>
      </w:r>
      <w:r w:rsidRPr="00E77307">
        <w:t xml:space="preserve"> the appropriate mix of roles and depth of experience to ensure comprehensive evaluation. </w:t>
      </w:r>
      <w:r w:rsidR="005A3B16">
        <w:t xml:space="preserve"> </w:t>
      </w:r>
      <w:r>
        <w:t xml:space="preserve">Key informants will receive </w:t>
      </w:r>
      <w:r w:rsidRPr="00E77307">
        <w:t>invitational emails t</w:t>
      </w:r>
      <w:r>
        <w:t>hat explain the</w:t>
      </w:r>
      <w:r w:rsidRPr="00E77307">
        <w:t xml:space="preserve"> scope and allow candidates to ask questions before declining or accepting the invitation</w:t>
      </w:r>
      <w:r w:rsidRPr="00E77307">
        <w:rPr>
          <w:b/>
        </w:rPr>
        <w:t xml:space="preserve">. </w:t>
      </w:r>
      <w:r w:rsidRPr="00E77307">
        <w:t>We will include clinical staff in our sample of participants in the Quantifying</w:t>
      </w:r>
      <w:r>
        <w:t xml:space="preserve"> Efficiencies grant program, </w:t>
      </w:r>
      <w:r w:rsidRPr="00E77307">
        <w:t>the U18 grants</w:t>
      </w:r>
      <w:r>
        <w:t xml:space="preserve"> and the two opioid-related CDS projects.</w:t>
      </w:r>
      <w:r w:rsidRPr="00E77307">
        <w:t xml:space="preserve"> Involving staff at clinical sites will also be critical to understanding the value of PC CDS in the context of provider workflows and burdens</w:t>
      </w:r>
    </w:p>
    <w:p w:rsidR="00AD4663" w:rsidP="001700D8" w:rsidRDefault="00653C0E" w14:paraId="596BBCBB" w14:textId="0B81B84E">
      <w:pPr>
        <w:spacing w:before="100" w:beforeAutospacing="1" w:after="100" w:afterAutospacing="1"/>
      </w:pPr>
      <w:r>
        <w:t>The primary research questions and topics covered in the interviews for each c</w:t>
      </w:r>
      <w:r w:rsidR="002B30EE">
        <w:t xml:space="preserve">omponent are shown in Exhibit 1. </w:t>
      </w:r>
    </w:p>
    <w:p w:rsidRPr="00AA5479" w:rsidR="002B30EE" w:rsidP="00AA5479" w:rsidRDefault="002B30EE" w14:paraId="05DDD734" w14:textId="51CAEB07">
      <w:pPr>
        <w:pStyle w:val="NORCCaption-Exhibit"/>
        <w:spacing w:before="100" w:beforeAutospacing="1" w:line="276" w:lineRule="auto"/>
        <w:rPr>
          <w:rStyle w:val="NORCCaption-Color"/>
          <w:color w:val="000000" w:themeColor="text1"/>
        </w:rPr>
      </w:pPr>
      <w:r w:rsidRPr="00AA5479">
        <w:rPr>
          <w:rStyle w:val="NORCCaption-Color"/>
          <w:color w:val="000000" w:themeColor="text1"/>
        </w:rPr>
        <w:t xml:space="preserve">Exhibit 1. </w:t>
      </w:r>
      <w:r w:rsidRPr="00AA5479">
        <w:rPr>
          <w:rStyle w:val="NORCCaption-Color"/>
          <w:color w:val="000000" w:themeColor="text1"/>
        </w:rPr>
        <w:tab/>
      </w:r>
      <w:r w:rsidRPr="00AA5479" w:rsidR="00FF0DF9">
        <w:rPr>
          <w:rStyle w:val="NORCCaption-Color"/>
          <w:color w:val="000000" w:themeColor="text1"/>
        </w:rPr>
        <w:t>Primary Research Questions and Interview Topics by Component</w:t>
      </w:r>
    </w:p>
    <w:tbl>
      <w:tblPr>
        <w:tblStyle w:val="TableGridLight1"/>
        <w:tblW w:w="0" w:type="auto"/>
        <w:jc w:val="center"/>
        <w:tblInd w:w="0" w:type="dxa"/>
        <w:tblLook w:val="04A0" w:firstRow="1" w:lastRow="0" w:firstColumn="1" w:lastColumn="0" w:noHBand="0" w:noVBand="1"/>
      </w:tblPr>
      <w:tblGrid>
        <w:gridCol w:w="2515"/>
        <w:gridCol w:w="2970"/>
        <w:gridCol w:w="3145"/>
      </w:tblGrid>
      <w:tr w:rsidR="00156791" w:rsidTr="005A3B16" w14:paraId="507B0E8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633FDF" w:rsidR="00653C0E" w:rsidRDefault="00653C0E" w14:paraId="36C15DA6" w14:textId="77777777">
            <w:pPr>
              <w:rPr>
                <w:rFonts w:cs="Arial"/>
                <w:b/>
                <w:sz w:val="20"/>
                <w:szCs w:val="20"/>
              </w:rPr>
            </w:pPr>
            <w:r w:rsidRPr="00633FDF">
              <w:rPr>
                <w:rFonts w:cs="Arial"/>
                <w:b/>
                <w:sz w:val="20"/>
                <w:szCs w:val="20"/>
              </w:rPr>
              <w:t xml:space="preserve">Component </w:t>
            </w:r>
          </w:p>
          <w:p w:rsidRPr="00633FDF" w:rsidR="00653C0E" w:rsidRDefault="00653C0E" w14:paraId="33328C36" w14:textId="018520CB">
            <w:pPr>
              <w:rPr>
                <w:rFonts w:cs="Arial"/>
                <w:b/>
                <w:sz w:val="20"/>
                <w:szCs w:val="20"/>
              </w:rPr>
            </w:pPr>
          </w:p>
        </w:tc>
        <w:tc>
          <w:tcPr>
            <w:tcW w:w="2970"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633FDF" w:rsidR="00653C0E" w:rsidRDefault="00653C0E" w14:paraId="0432E2B3" w14:textId="77777777">
            <w:pPr>
              <w:cnfStyle w:val="100000000000" w:firstRow="1" w:lastRow="0" w:firstColumn="0" w:lastColumn="0" w:oddVBand="0" w:evenVBand="0" w:oddHBand="0" w:evenHBand="0" w:firstRowFirstColumn="0" w:firstRowLastColumn="0" w:lastRowFirstColumn="0" w:lastRowLastColumn="0"/>
              <w:rPr>
                <w:rFonts w:cs="Arial"/>
                <w:b/>
                <w:sz w:val="20"/>
                <w:szCs w:val="20"/>
              </w:rPr>
            </w:pPr>
            <w:r w:rsidRPr="00633FDF">
              <w:rPr>
                <w:rFonts w:cs="Arial"/>
                <w:b/>
                <w:sz w:val="20"/>
                <w:szCs w:val="20"/>
              </w:rPr>
              <w:t>Primary Research Questions</w:t>
            </w:r>
          </w:p>
        </w:tc>
        <w:tc>
          <w:tcPr>
            <w:tcW w:w="3145"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633FDF" w:rsidR="00653C0E" w:rsidRDefault="00653C0E" w14:paraId="2F2F9BDC" w14:textId="77777777">
            <w:pPr>
              <w:cnfStyle w:val="100000000000" w:firstRow="1" w:lastRow="0" w:firstColumn="0" w:lastColumn="0" w:oddVBand="0" w:evenVBand="0" w:oddHBand="0" w:evenHBand="0" w:firstRowFirstColumn="0" w:firstRowLastColumn="0" w:lastRowFirstColumn="0" w:lastRowLastColumn="0"/>
              <w:rPr>
                <w:rFonts w:cs="Arial"/>
                <w:b/>
                <w:sz w:val="20"/>
                <w:szCs w:val="20"/>
              </w:rPr>
            </w:pPr>
            <w:r w:rsidRPr="00633FDF">
              <w:rPr>
                <w:rFonts w:cs="Arial"/>
                <w:b/>
                <w:sz w:val="20"/>
                <w:szCs w:val="20"/>
              </w:rPr>
              <w:t>Interview Topics</w:t>
            </w:r>
          </w:p>
        </w:tc>
      </w:tr>
      <w:tr w:rsidR="00156791" w:rsidTr="005A3B16" w14:paraId="6EFED43D" w14:textId="77777777">
        <w:trPr>
          <w:cantSplit/>
          <w:trHeight w:val="1072"/>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color="auto" w:sz="4" w:space="0"/>
              <w:left w:val="single" w:color="auto" w:sz="4" w:space="0"/>
              <w:bottom w:val="single" w:color="auto" w:sz="4" w:space="0"/>
              <w:right w:val="single" w:color="auto" w:sz="4" w:space="0"/>
            </w:tcBorders>
            <w:hideMark/>
          </w:tcPr>
          <w:p w:rsidRPr="00633FDF" w:rsidR="00653C0E" w:rsidP="00653C0E" w:rsidRDefault="00653C0E" w14:paraId="1BEA29F1" w14:textId="0337C431">
            <w:pPr>
              <w:rPr>
                <w:rFonts w:cs="Arial"/>
                <w:sz w:val="20"/>
                <w:szCs w:val="20"/>
              </w:rPr>
            </w:pPr>
            <w:r w:rsidRPr="00633FDF">
              <w:rPr>
                <w:rFonts w:cs="Arial"/>
                <w:sz w:val="20"/>
                <w:szCs w:val="20"/>
              </w:rPr>
              <w:t>PC CDS LN</w:t>
            </w:r>
            <w:r w:rsidR="0041780A">
              <w:rPr>
                <w:rFonts w:cs="Arial"/>
                <w:sz w:val="20"/>
                <w:szCs w:val="20"/>
              </w:rPr>
              <w:t xml:space="preserve"> </w:t>
            </w:r>
          </w:p>
        </w:tc>
        <w:tc>
          <w:tcPr>
            <w:tcW w:w="2970" w:type="dxa"/>
            <w:tcBorders>
              <w:top w:val="single" w:color="auto" w:sz="4" w:space="0"/>
              <w:left w:val="single" w:color="auto" w:sz="4" w:space="0"/>
              <w:bottom w:val="single" w:color="auto" w:sz="4" w:space="0"/>
              <w:right w:val="single" w:color="auto" w:sz="4" w:space="0"/>
            </w:tcBorders>
            <w:hideMark/>
          </w:tcPr>
          <w:p w:rsidRPr="00633FDF" w:rsidR="00653C0E" w:rsidP="00E43FF4" w:rsidRDefault="00653C0E" w14:paraId="59E106C4" w14:textId="716DA4A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633FDF">
              <w:rPr>
                <w:rFonts w:cs="Arial"/>
                <w:sz w:val="20"/>
                <w:szCs w:val="20"/>
              </w:rPr>
              <w:t>How has the L</w:t>
            </w:r>
            <w:r w:rsidR="00E43FF4">
              <w:rPr>
                <w:rFonts w:cs="Arial"/>
                <w:sz w:val="20"/>
                <w:szCs w:val="20"/>
              </w:rPr>
              <w:t>earning Network</w:t>
            </w:r>
            <w:r w:rsidRPr="00633FDF">
              <w:rPr>
                <w:rFonts w:cs="Arial"/>
                <w:sz w:val="20"/>
                <w:szCs w:val="20"/>
              </w:rPr>
              <w:t xml:space="preserve"> generated interest in the development, implementation, and dissemination of aspects of PC CDS, and what aspects?</w:t>
            </w:r>
          </w:p>
        </w:tc>
        <w:tc>
          <w:tcPr>
            <w:tcW w:w="3145" w:type="dxa"/>
            <w:tcBorders>
              <w:top w:val="single" w:color="auto" w:sz="4" w:space="0"/>
              <w:left w:val="single" w:color="auto" w:sz="4" w:space="0"/>
              <w:bottom w:val="single" w:color="auto" w:sz="4" w:space="0"/>
              <w:right w:val="single" w:color="auto" w:sz="4" w:space="0"/>
            </w:tcBorders>
            <w:hideMark/>
          </w:tcPr>
          <w:p w:rsidRPr="00633FDF" w:rsidR="00653C0E" w:rsidRDefault="00653C0E" w14:paraId="28CD81F1" w14:textId="747E24D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633FDF">
              <w:rPr>
                <w:rFonts w:cs="Arial"/>
                <w:sz w:val="20"/>
                <w:szCs w:val="20"/>
              </w:rPr>
              <w:t xml:space="preserve">Engaging stakeholders, </w:t>
            </w:r>
            <w:r w:rsidR="00E43FF4">
              <w:rPr>
                <w:rFonts w:cs="Arial"/>
                <w:sz w:val="20"/>
                <w:szCs w:val="20"/>
              </w:rPr>
              <w:t xml:space="preserve">discussions of </w:t>
            </w:r>
            <w:r w:rsidRPr="00633FDF">
              <w:rPr>
                <w:rFonts w:cs="Arial"/>
                <w:sz w:val="20"/>
                <w:szCs w:val="20"/>
              </w:rPr>
              <w:t>activities to date and proposed strategic plans, dissemination, sustainability.</w:t>
            </w:r>
          </w:p>
        </w:tc>
      </w:tr>
      <w:tr w:rsidR="00156791" w:rsidTr="005A3B16" w14:paraId="04823A73" w14:textId="77777777">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color="auto" w:sz="4" w:space="0"/>
              <w:left w:val="single" w:color="auto" w:sz="4" w:space="0"/>
              <w:bottom w:val="single" w:color="auto" w:sz="4" w:space="0"/>
              <w:right w:val="single" w:color="auto" w:sz="4" w:space="0"/>
            </w:tcBorders>
            <w:hideMark/>
          </w:tcPr>
          <w:p w:rsidRPr="00633FDF" w:rsidR="00653C0E" w:rsidRDefault="00653C0E" w14:paraId="41211242" w14:textId="77777777">
            <w:pPr>
              <w:rPr>
                <w:rFonts w:cs="Arial"/>
                <w:sz w:val="20"/>
                <w:szCs w:val="20"/>
              </w:rPr>
            </w:pPr>
            <w:r w:rsidRPr="00633FDF">
              <w:rPr>
                <w:rFonts w:cs="Arial"/>
                <w:sz w:val="20"/>
                <w:szCs w:val="20"/>
              </w:rPr>
              <w:t>CDS Connect</w:t>
            </w:r>
          </w:p>
          <w:p w:rsidRPr="00633FDF" w:rsidR="00653C0E" w:rsidRDefault="00653C0E" w14:paraId="2CC64F9C" w14:textId="73618CF4">
            <w:pPr>
              <w:rPr>
                <w:rFonts w:cs="Arial"/>
                <w:sz w:val="20"/>
                <w:szCs w:val="20"/>
              </w:rPr>
            </w:pPr>
          </w:p>
        </w:tc>
        <w:tc>
          <w:tcPr>
            <w:tcW w:w="2970" w:type="dxa"/>
            <w:tcBorders>
              <w:top w:val="single" w:color="auto" w:sz="4" w:space="0"/>
              <w:left w:val="single" w:color="auto" w:sz="4" w:space="0"/>
              <w:bottom w:val="single" w:color="auto" w:sz="4" w:space="0"/>
              <w:right w:val="single" w:color="auto" w:sz="4" w:space="0"/>
            </w:tcBorders>
            <w:hideMark/>
          </w:tcPr>
          <w:p w:rsidRPr="00633FDF" w:rsidR="00653C0E" w:rsidRDefault="00653C0E" w14:paraId="38431BD7" w14:textId="77777777">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633FDF">
              <w:rPr>
                <w:rFonts w:cs="Arial"/>
                <w:sz w:val="20"/>
                <w:szCs w:val="20"/>
              </w:rPr>
              <w:t>What has CDS Connect done to help CDS artifacts become more shareable, interoperable, standards-based and more widely disseminated?</w:t>
            </w:r>
          </w:p>
        </w:tc>
        <w:tc>
          <w:tcPr>
            <w:tcW w:w="3145" w:type="dxa"/>
            <w:tcBorders>
              <w:top w:val="single" w:color="auto" w:sz="4" w:space="0"/>
              <w:left w:val="single" w:color="auto" w:sz="4" w:space="0"/>
              <w:bottom w:val="single" w:color="auto" w:sz="4" w:space="0"/>
              <w:right w:val="single" w:color="auto" w:sz="4" w:space="0"/>
            </w:tcBorders>
            <w:hideMark/>
          </w:tcPr>
          <w:p w:rsidRPr="00633FDF" w:rsidR="00653C0E" w:rsidRDefault="00653C0E" w14:paraId="018FCB98" w14:textId="359B241D">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633FDF">
              <w:rPr>
                <w:rFonts w:cs="Arial"/>
                <w:sz w:val="20"/>
                <w:szCs w:val="20"/>
              </w:rPr>
              <w:t xml:space="preserve">Infrastructure development, promotion, usability, accomplishments, </w:t>
            </w:r>
            <w:r w:rsidR="00A020D9">
              <w:rPr>
                <w:rFonts w:cs="Arial"/>
                <w:sz w:val="20"/>
                <w:szCs w:val="20"/>
              </w:rPr>
              <w:t xml:space="preserve">challenges with use and </w:t>
            </w:r>
            <w:r w:rsidRPr="00633FDF">
              <w:rPr>
                <w:rFonts w:cs="Arial"/>
                <w:sz w:val="20"/>
                <w:szCs w:val="20"/>
              </w:rPr>
              <w:t>areas for improvement, sustainability, lifecycle of CDS, standards</w:t>
            </w:r>
          </w:p>
        </w:tc>
      </w:tr>
      <w:tr w:rsidR="00156791" w:rsidTr="005A3B16" w14:paraId="7090BD12" w14:textId="77777777">
        <w:trPr>
          <w:cantSplit/>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color="auto" w:sz="4" w:space="0"/>
              <w:left w:val="single" w:color="auto" w:sz="4" w:space="0"/>
              <w:bottom w:val="single" w:color="auto" w:sz="4" w:space="0"/>
              <w:right w:val="single" w:color="auto" w:sz="4" w:space="0"/>
            </w:tcBorders>
            <w:hideMark/>
          </w:tcPr>
          <w:p w:rsidRPr="00633FDF" w:rsidR="00653C0E" w:rsidP="00653C0E" w:rsidRDefault="00653C0E" w14:paraId="593A7209" w14:textId="4E50DDD2">
            <w:pPr>
              <w:rPr>
                <w:rFonts w:cs="Arial"/>
                <w:sz w:val="20"/>
                <w:szCs w:val="20"/>
              </w:rPr>
            </w:pPr>
            <w:r w:rsidRPr="00633FDF">
              <w:rPr>
                <w:rFonts w:cs="Arial"/>
                <w:sz w:val="20"/>
                <w:szCs w:val="20"/>
              </w:rPr>
              <w:lastRenderedPageBreak/>
              <w:t xml:space="preserve">Quantifying Efficiencies Gained through Sharable CDS Support Resources </w:t>
            </w:r>
          </w:p>
        </w:tc>
        <w:tc>
          <w:tcPr>
            <w:tcW w:w="2970" w:type="dxa"/>
            <w:tcBorders>
              <w:top w:val="single" w:color="auto" w:sz="4" w:space="0"/>
              <w:left w:val="single" w:color="auto" w:sz="4" w:space="0"/>
              <w:bottom w:val="single" w:color="auto" w:sz="4" w:space="0"/>
              <w:right w:val="single" w:color="auto" w:sz="4" w:space="0"/>
            </w:tcBorders>
            <w:hideMark/>
          </w:tcPr>
          <w:p w:rsidRPr="00633FDF" w:rsidR="00653C0E" w:rsidRDefault="00653C0E" w14:paraId="58824156"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633FDF">
              <w:rPr>
                <w:rFonts w:cs="Arial"/>
                <w:sz w:val="20"/>
                <w:szCs w:val="20"/>
              </w:rPr>
              <w:t>How have CDS Connect products addressed known barriers and facilitators to CDS incorporation and routine use in care delivery? How easy or hard is it to use CDS available on CDS Connect?</w:t>
            </w:r>
          </w:p>
        </w:tc>
        <w:tc>
          <w:tcPr>
            <w:tcW w:w="3145" w:type="dxa"/>
            <w:tcBorders>
              <w:top w:val="single" w:color="auto" w:sz="4" w:space="0"/>
              <w:left w:val="single" w:color="auto" w:sz="4" w:space="0"/>
              <w:bottom w:val="single" w:color="auto" w:sz="4" w:space="0"/>
              <w:right w:val="single" w:color="auto" w:sz="4" w:space="0"/>
            </w:tcBorders>
            <w:hideMark/>
          </w:tcPr>
          <w:p w:rsidRPr="00633FDF" w:rsidR="00653C0E" w:rsidRDefault="00653C0E" w14:paraId="181173B6"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633FDF">
              <w:rPr>
                <w:rFonts w:cs="Arial"/>
                <w:sz w:val="20"/>
                <w:szCs w:val="20"/>
              </w:rPr>
              <w:t>Perceived clinical needs and value of CDS, implementation experience, measuring impacts, perceived outcomes and impacts</w:t>
            </w:r>
          </w:p>
        </w:tc>
      </w:tr>
      <w:tr w:rsidR="00156791" w:rsidTr="005A3B16" w14:paraId="2E2E9697" w14:textId="77777777">
        <w:trPr>
          <w:cnfStyle w:val="000000010000" w:firstRow="0" w:lastRow="0" w:firstColumn="0" w:lastColumn="0" w:oddVBand="0" w:evenVBand="0" w:oddHBand="0" w:evenHBand="1" w:firstRowFirstColumn="0" w:firstRowLastColumn="0" w:lastRowFirstColumn="0" w:lastRowLastColumn="0"/>
          <w:cantSplit/>
          <w:trHeight w:val="2609"/>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color="auto" w:sz="4" w:space="0"/>
              <w:left w:val="single" w:color="auto" w:sz="4" w:space="0"/>
              <w:bottom w:val="single" w:color="auto" w:sz="4" w:space="0"/>
              <w:right w:val="single" w:color="auto" w:sz="4" w:space="0"/>
            </w:tcBorders>
            <w:hideMark/>
          </w:tcPr>
          <w:p w:rsidRPr="00633FDF" w:rsidR="00653C0E" w:rsidRDefault="00306F0F" w14:paraId="0F5A97E9" w14:textId="20F32075">
            <w:pPr>
              <w:rPr>
                <w:rFonts w:cs="Arial"/>
                <w:sz w:val="20"/>
                <w:szCs w:val="20"/>
              </w:rPr>
            </w:pPr>
            <w:r>
              <w:rPr>
                <w:rFonts w:cs="Arial"/>
                <w:sz w:val="20"/>
                <w:szCs w:val="20"/>
              </w:rPr>
              <w:t>CDS Development Projects (Up to 10)</w:t>
            </w:r>
          </w:p>
          <w:p w:rsidRPr="00306F0F" w:rsidR="00306F0F" w:rsidP="00306F0F" w:rsidRDefault="00306F0F" w14:paraId="5F5CF530" w14:textId="03CDBDA8">
            <w:pPr>
              <w:pStyle w:val="ListParagraph"/>
              <w:numPr>
                <w:ilvl w:val="0"/>
                <w:numId w:val="7"/>
              </w:numPr>
              <w:ind w:left="236" w:hanging="270"/>
              <w:rPr>
                <w:rFonts w:cs="Arial" w:eastAsiaTheme="minorHAnsi"/>
                <w:sz w:val="20"/>
                <w:szCs w:val="20"/>
              </w:rPr>
            </w:pPr>
            <w:r>
              <w:rPr>
                <w:rFonts w:cs="Arial" w:eastAsiaTheme="minorHAnsi"/>
                <w:sz w:val="20"/>
                <w:szCs w:val="20"/>
              </w:rPr>
              <w:t xml:space="preserve">5 </w:t>
            </w:r>
            <w:r w:rsidRPr="00306F0F" w:rsidR="00156791">
              <w:rPr>
                <w:rFonts w:cs="Arial" w:eastAsiaTheme="minorHAnsi"/>
                <w:sz w:val="20"/>
                <w:szCs w:val="20"/>
              </w:rPr>
              <w:t>projects funded as of Sept. 30, 2019</w:t>
            </w:r>
            <w:r w:rsidRPr="00306F0F">
              <w:rPr>
                <w:rFonts w:cs="Arial" w:eastAsiaTheme="minorHAnsi"/>
                <w:sz w:val="20"/>
                <w:szCs w:val="20"/>
              </w:rPr>
              <w:t>:</w:t>
            </w:r>
          </w:p>
          <w:p w:rsidRPr="00306F0F" w:rsidR="00306F0F" w:rsidP="00306F0F" w:rsidRDefault="00653C0E" w14:paraId="3B232052" w14:textId="62E440B5">
            <w:pPr>
              <w:pStyle w:val="ListParagraph"/>
              <w:numPr>
                <w:ilvl w:val="0"/>
                <w:numId w:val="7"/>
              </w:numPr>
              <w:rPr>
                <w:rFonts w:cs="Arial" w:eastAsiaTheme="minorHAnsi"/>
                <w:sz w:val="20"/>
                <w:szCs w:val="20"/>
              </w:rPr>
            </w:pPr>
            <w:r w:rsidRPr="00306F0F">
              <w:rPr>
                <w:rFonts w:cs="Arial" w:eastAsiaTheme="minorHAnsi"/>
                <w:sz w:val="20"/>
                <w:szCs w:val="20"/>
              </w:rPr>
              <w:t>2 U18 Grantees</w:t>
            </w:r>
            <w:r w:rsidRPr="00306F0F" w:rsidR="00156791">
              <w:rPr>
                <w:rFonts w:cs="Arial" w:eastAsiaTheme="minorHAnsi"/>
                <w:sz w:val="20"/>
                <w:szCs w:val="20"/>
              </w:rPr>
              <w:t>;</w:t>
            </w:r>
            <w:r w:rsidRPr="00306F0F">
              <w:rPr>
                <w:rFonts w:cs="Arial" w:eastAsiaTheme="minorHAnsi"/>
                <w:sz w:val="20"/>
                <w:szCs w:val="20"/>
              </w:rPr>
              <w:t xml:space="preserve"> </w:t>
            </w:r>
          </w:p>
          <w:p w:rsidRPr="00306F0F" w:rsidR="00306F0F" w:rsidP="00306F0F" w:rsidRDefault="00653C0E" w14:paraId="6CA3FE09" w14:textId="22FF3C09">
            <w:pPr>
              <w:pStyle w:val="ListParagraph"/>
              <w:numPr>
                <w:ilvl w:val="0"/>
                <w:numId w:val="7"/>
              </w:numPr>
              <w:rPr>
                <w:rFonts w:cs="Arial" w:eastAsiaTheme="minorHAnsi"/>
                <w:sz w:val="20"/>
                <w:szCs w:val="20"/>
              </w:rPr>
            </w:pPr>
            <w:r w:rsidRPr="00306F0F">
              <w:rPr>
                <w:rFonts w:cs="Arial" w:eastAsiaTheme="minorHAnsi"/>
                <w:sz w:val="20"/>
                <w:szCs w:val="20"/>
              </w:rPr>
              <w:t xml:space="preserve">2 Opioid-Related CDS; </w:t>
            </w:r>
          </w:p>
          <w:p w:rsidRPr="00306F0F" w:rsidR="00306F0F" w:rsidP="00306F0F" w:rsidRDefault="00653C0E" w14:paraId="77303402" w14:textId="12EECB13">
            <w:pPr>
              <w:pStyle w:val="ListParagraph"/>
              <w:numPr>
                <w:ilvl w:val="0"/>
                <w:numId w:val="7"/>
              </w:numPr>
              <w:rPr>
                <w:rFonts w:cs="Arial" w:eastAsiaTheme="minorHAnsi"/>
                <w:sz w:val="20"/>
                <w:szCs w:val="20"/>
              </w:rPr>
            </w:pPr>
            <w:r w:rsidRPr="00306F0F">
              <w:rPr>
                <w:rFonts w:cs="Arial" w:eastAsiaTheme="minorHAnsi"/>
                <w:sz w:val="20"/>
                <w:szCs w:val="20"/>
              </w:rPr>
              <w:t xml:space="preserve">1 NORC Pilot </w:t>
            </w:r>
          </w:p>
          <w:p w:rsidRPr="00306F0F" w:rsidR="00653C0E" w:rsidP="00306F0F" w:rsidRDefault="00306F0F" w14:paraId="00268B70" w14:textId="73A0A9FF">
            <w:pPr>
              <w:pStyle w:val="ListParagraph"/>
              <w:numPr>
                <w:ilvl w:val="0"/>
                <w:numId w:val="7"/>
              </w:numPr>
              <w:ind w:left="236" w:hanging="236"/>
              <w:rPr>
                <w:rFonts w:cs="Arial" w:eastAsiaTheme="minorHAnsi"/>
                <w:sz w:val="20"/>
                <w:szCs w:val="20"/>
              </w:rPr>
            </w:pPr>
            <w:r>
              <w:rPr>
                <w:rFonts w:cs="Arial" w:eastAsiaTheme="minorHAnsi"/>
                <w:sz w:val="20"/>
                <w:szCs w:val="20"/>
              </w:rPr>
              <w:t>5</w:t>
            </w:r>
            <w:r w:rsidRPr="00306F0F" w:rsidR="00156791">
              <w:rPr>
                <w:rFonts w:cs="Arial" w:eastAsiaTheme="minorHAnsi"/>
                <w:sz w:val="20"/>
                <w:szCs w:val="20"/>
              </w:rPr>
              <w:t xml:space="preserve"> more potential U18s projects may be awarded </w:t>
            </w:r>
            <w:proofErr w:type="gramStart"/>
            <w:r w:rsidRPr="00306F0F" w:rsidR="00156791">
              <w:rPr>
                <w:rFonts w:cs="Arial" w:eastAsiaTheme="minorHAnsi"/>
                <w:sz w:val="20"/>
                <w:szCs w:val="20"/>
              </w:rPr>
              <w:t>between 2020-2022</w:t>
            </w:r>
            <w:proofErr w:type="gramEnd"/>
            <w:r w:rsidRPr="00306F0F" w:rsidR="00156791">
              <w:rPr>
                <w:rFonts w:cs="Arial" w:eastAsiaTheme="minorHAnsi"/>
                <w:sz w:val="20"/>
                <w:szCs w:val="20"/>
              </w:rPr>
              <w:t xml:space="preserve">. </w:t>
            </w:r>
          </w:p>
        </w:tc>
        <w:tc>
          <w:tcPr>
            <w:tcW w:w="2970" w:type="dxa"/>
            <w:tcBorders>
              <w:top w:val="single" w:color="auto" w:sz="4" w:space="0"/>
              <w:left w:val="single" w:color="auto" w:sz="4" w:space="0"/>
              <w:bottom w:val="single" w:color="auto" w:sz="4" w:space="0"/>
              <w:right w:val="single" w:color="auto" w:sz="4" w:space="0"/>
            </w:tcBorders>
            <w:hideMark/>
          </w:tcPr>
          <w:p w:rsidRPr="00633FDF" w:rsidR="00653C0E" w:rsidRDefault="00653C0E" w14:paraId="7C151D82" w14:textId="77777777">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633FDF">
              <w:rPr>
                <w:rFonts w:cs="Arial"/>
                <w:sz w:val="20"/>
                <w:szCs w:val="20"/>
              </w:rPr>
              <w:t>How do CDS Connect resources and tools support implementation of shareable CDS resources?</w:t>
            </w:r>
          </w:p>
          <w:p w:rsidRPr="00633FDF" w:rsidR="00653C0E" w:rsidRDefault="00653C0E" w14:paraId="511A0879" w14:textId="77777777">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633FDF">
              <w:rPr>
                <w:rFonts w:cs="Arial"/>
                <w:sz w:val="20"/>
                <w:szCs w:val="20"/>
              </w:rPr>
              <w:t xml:space="preserve">How do new CDS projects meet Federal requirements such as the Medicare and Medicaid Promoting Interoperability Program and interoperability? </w:t>
            </w:r>
          </w:p>
        </w:tc>
        <w:tc>
          <w:tcPr>
            <w:tcW w:w="3145" w:type="dxa"/>
            <w:tcBorders>
              <w:top w:val="single" w:color="auto" w:sz="4" w:space="0"/>
              <w:left w:val="single" w:color="auto" w:sz="4" w:space="0"/>
              <w:bottom w:val="single" w:color="auto" w:sz="4" w:space="0"/>
              <w:right w:val="single" w:color="auto" w:sz="4" w:space="0"/>
            </w:tcBorders>
            <w:hideMark/>
          </w:tcPr>
          <w:p w:rsidRPr="00633FDF" w:rsidR="00653C0E" w:rsidP="001E06E6" w:rsidRDefault="00653C0E" w14:paraId="6F767334" w14:textId="41ED14A2">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633FDF">
              <w:rPr>
                <w:rFonts w:cs="Arial"/>
                <w:sz w:val="20"/>
                <w:szCs w:val="20"/>
              </w:rPr>
              <w:t xml:space="preserve">Types of CDS developed and purpose, stages of development, successes </w:t>
            </w:r>
            <w:r w:rsidR="00156791">
              <w:rPr>
                <w:rFonts w:cs="Arial"/>
                <w:sz w:val="20"/>
                <w:szCs w:val="20"/>
              </w:rPr>
              <w:t xml:space="preserve">and </w:t>
            </w:r>
            <w:r w:rsidRPr="00633FDF">
              <w:rPr>
                <w:rFonts w:cs="Arial"/>
                <w:sz w:val="20"/>
                <w:szCs w:val="20"/>
              </w:rPr>
              <w:t>challenges with development and implementation</w:t>
            </w:r>
          </w:p>
        </w:tc>
      </w:tr>
    </w:tbl>
    <w:p w:rsidR="00282876" w:rsidP="00D41ACB" w:rsidRDefault="00282876" w14:paraId="65F57969" w14:textId="010A3EE5">
      <w:pPr>
        <w:rPr>
          <w:sz w:val="22"/>
          <w:szCs w:val="22"/>
        </w:rPr>
      </w:pPr>
    </w:p>
    <w:p w:rsidRPr="00AA5479" w:rsidR="002B30EE" w:rsidP="00AA5479" w:rsidRDefault="00633FDF" w14:paraId="2C5F4790" w14:textId="40E6521F">
      <w:pPr>
        <w:spacing w:before="100" w:beforeAutospacing="1"/>
        <w:rPr>
          <w:b/>
          <w:i/>
        </w:rPr>
      </w:pPr>
      <w:r w:rsidRPr="00AA5479">
        <w:rPr>
          <w:b/>
          <w:i/>
        </w:rPr>
        <w:t>Web Survey</w:t>
      </w:r>
      <w:r w:rsidRPr="00AA5479" w:rsidR="002B30EE">
        <w:rPr>
          <w:b/>
          <w:i/>
        </w:rPr>
        <w:t>.</w:t>
      </w:r>
      <w:r w:rsidR="0041780A">
        <w:t xml:space="preserve"> </w:t>
      </w:r>
      <w:r w:rsidRPr="00AA5479" w:rsidR="002B30EE">
        <w:t>The purpose of the web survey</w:t>
      </w:r>
      <w:r w:rsidRPr="00AA5479" w:rsidR="001E06E6">
        <w:t xml:space="preserve"> is</w:t>
      </w:r>
      <w:r w:rsidRPr="00AA5479" w:rsidR="002B30EE">
        <w:t xml:space="preserve"> to understand more about who the users of CDS Connect resources are, their reasons for using the resources, how they use these resources, and their perceptions about their value.</w:t>
      </w:r>
      <w:r w:rsidR="0041780A">
        <w:t xml:space="preserve"> </w:t>
      </w:r>
      <w:r w:rsidRPr="00AA5479" w:rsidR="001E06E6">
        <w:t xml:space="preserve">The CDS Connect resources of interest include the CDS Authoring Tool, artifacts in the CDS Connect Repository and open-source CDS Connect resources available on </w:t>
      </w:r>
      <w:proofErr w:type="spellStart"/>
      <w:r w:rsidRPr="00AA5479" w:rsidR="001E06E6">
        <w:t>Github</w:t>
      </w:r>
      <w:proofErr w:type="spellEnd"/>
      <w:r w:rsidRPr="00AA5479" w:rsidR="004C434B">
        <w:t>, a platform for developing and sharing software.</w:t>
      </w:r>
      <w:r w:rsidRPr="00AA5479" w:rsidR="001E06E6">
        <w:t xml:space="preserve"> </w:t>
      </w:r>
      <w:r w:rsidRPr="00AA5479" w:rsidR="002B30EE">
        <w:t>Respondents will be identified through a chain-referral methodology</w:t>
      </w:r>
      <w:r w:rsidRPr="00AA5479" w:rsidR="00E43FF4">
        <w:t>.</w:t>
      </w:r>
      <w:r w:rsidR="0041780A">
        <w:t xml:space="preserve"> </w:t>
      </w:r>
      <w:r w:rsidRPr="00AA5479" w:rsidR="004C434B">
        <w:t>The first set of survey invitations will be sent to a list of e</w:t>
      </w:r>
      <w:r w:rsidRPr="00AA5479" w:rsidR="00E43FF4">
        <w:t>mail addresses</w:t>
      </w:r>
      <w:r w:rsidRPr="00AA5479" w:rsidR="002B30EE">
        <w:t xml:space="preserve"> of known contributors or users of CDS Connect as well as a group of potential users of CDS Connect</w:t>
      </w:r>
      <w:r w:rsidRPr="00AA5479" w:rsidR="004C434B">
        <w:t xml:space="preserve">. At the end of the survey, each respondent </w:t>
      </w:r>
      <w:r w:rsidRPr="00AA5479" w:rsidR="002B30EE">
        <w:t xml:space="preserve">will be asked to </w:t>
      </w:r>
      <w:r w:rsidRPr="00AA5479" w:rsidR="004C434B">
        <w:t xml:space="preserve">provide names and email addresses for up to four other </w:t>
      </w:r>
      <w:r w:rsidRPr="00AA5479" w:rsidR="002B30EE">
        <w:t>users of CDS Connect resources</w:t>
      </w:r>
      <w:r w:rsidRPr="00AA5479" w:rsidR="001E06E6">
        <w:t>.</w:t>
      </w:r>
      <w:r w:rsidR="0041780A">
        <w:t xml:space="preserve"> </w:t>
      </w:r>
      <w:r w:rsidRPr="00AA5479" w:rsidR="004C434B">
        <w:t xml:space="preserve">After the list of names </w:t>
      </w:r>
      <w:r w:rsidRPr="00AA5479" w:rsidR="00156791">
        <w:t xml:space="preserve">from all referrals </w:t>
      </w:r>
      <w:r w:rsidRPr="00AA5479" w:rsidR="004C434B">
        <w:t xml:space="preserve">is </w:t>
      </w:r>
      <w:proofErr w:type="spellStart"/>
      <w:r w:rsidRPr="00AA5479" w:rsidR="004C434B">
        <w:t>deduplicated</w:t>
      </w:r>
      <w:proofErr w:type="spellEnd"/>
      <w:r w:rsidRPr="00AA5479" w:rsidR="004C434B">
        <w:t>, a survey invitation will be sent to these referrals.</w:t>
      </w:r>
    </w:p>
    <w:p w:rsidRPr="00AA5479" w:rsidR="002B30EE" w:rsidP="00AA5479" w:rsidRDefault="002B30EE" w14:paraId="18F13DD2" w14:textId="0A8834EC">
      <w:pPr>
        <w:spacing w:before="100" w:beforeAutospacing="1"/>
      </w:pPr>
      <w:r w:rsidRPr="00AA5479">
        <w:t>The survey instrument includes multiple choice questions that capture important data points about use of CDS Connect resources, specifically the CDS Authoring tool, GitHub resources, and artifacts from the CDS Repository. Respondents will only be presented with more detailed questions about CDS Connect resource usage based on their responses to initial screening questions. The survey will take ten</w:t>
      </w:r>
      <w:r w:rsidRPr="00AA5479" w:rsidR="001E06E6">
        <w:t xml:space="preserve"> </w:t>
      </w:r>
      <w:r w:rsidRPr="00AA5479">
        <w:t>minutes</w:t>
      </w:r>
      <w:r w:rsidRPr="00AA5479" w:rsidR="001E06E6">
        <w:t xml:space="preserve"> on average </w:t>
      </w:r>
      <w:r w:rsidRPr="00AA5479">
        <w:t>to complete</w:t>
      </w:r>
      <w:r w:rsidRPr="00AA5479" w:rsidR="0085659E">
        <w:t xml:space="preserve"> based on in-house testing</w:t>
      </w:r>
      <w:r w:rsidRPr="00AA5479">
        <w:t>. Question domains for the survey instrument are shown in the Exhibit 2 below.</w:t>
      </w:r>
      <w:r w:rsidR="0041780A">
        <w:t xml:space="preserve"> </w:t>
      </w:r>
      <w:r w:rsidRPr="00AA5479">
        <w:t xml:space="preserve">The draft survey can be found in Attachment </w:t>
      </w:r>
      <w:r w:rsidR="00B748B8">
        <w:t>R</w:t>
      </w:r>
      <w:r w:rsidRPr="00AA5479">
        <w:t>.</w:t>
      </w:r>
    </w:p>
    <w:p w:rsidRPr="00AA5479" w:rsidR="002B30EE" w:rsidP="002B30EE" w:rsidRDefault="002B30EE" w14:paraId="3D3FFB66" w14:textId="3816C039">
      <w:pPr>
        <w:pStyle w:val="NORCCaption-Exhibit"/>
        <w:spacing w:before="100" w:beforeAutospacing="1" w:line="276" w:lineRule="auto"/>
        <w:rPr>
          <w:rStyle w:val="NORCCaption-Color"/>
          <w:color w:val="000000" w:themeColor="text1"/>
        </w:rPr>
      </w:pPr>
      <w:bookmarkStart w:name="_Toc31037219" w:id="11"/>
      <w:r w:rsidRPr="00AA5479">
        <w:rPr>
          <w:rStyle w:val="NORCCaption-Color"/>
          <w:color w:val="000000" w:themeColor="text1"/>
        </w:rPr>
        <w:t xml:space="preserve">Exhibit 2. </w:t>
      </w:r>
      <w:r w:rsidRPr="00AA5479">
        <w:rPr>
          <w:rStyle w:val="NORCCaption-Color"/>
          <w:color w:val="000000" w:themeColor="text1"/>
        </w:rPr>
        <w:tab/>
        <w:t>CDS Connect Resources User Survey Question Domains</w:t>
      </w:r>
      <w:bookmarkEnd w:id="11"/>
    </w:p>
    <w:tbl>
      <w:tblPr>
        <w:tblStyle w:val="GridTable4-Accent3"/>
        <w:tblW w:w="8725" w:type="dxa"/>
        <w:tblLook w:val="04A0" w:firstRow="1" w:lastRow="0" w:firstColumn="1" w:lastColumn="0" w:noHBand="0" w:noVBand="1"/>
      </w:tblPr>
      <w:tblGrid>
        <w:gridCol w:w="3045"/>
        <w:gridCol w:w="5680"/>
      </w:tblGrid>
      <w:tr w:rsidR="00A03220" w:rsidTr="00FB184F" w14:paraId="77E2553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hideMark/>
          </w:tcPr>
          <w:p w:rsidR="00A03220" w:rsidP="009869E4" w:rsidRDefault="00A03220" w14:paraId="3C1E7E82" w14:textId="77777777">
            <w:pPr>
              <w:spacing w:before="100" w:beforeAutospacing="1" w:after="100" w:afterAutospacing="1" w:line="276" w:lineRule="auto"/>
              <w:jc w:val="center"/>
              <w:rPr>
                <w:rFonts w:ascii="Times New Roman" w:hAnsi="Times New Roman" w:cs="Times New Roman"/>
              </w:rPr>
            </w:pPr>
            <w:r>
              <w:rPr>
                <w:rFonts w:ascii="Calibri Light" w:hAnsi="Calibri Light" w:cs="Calibri Light"/>
                <w:color w:val="000000"/>
                <w:sz w:val="18"/>
                <w:szCs w:val="18"/>
              </w:rPr>
              <w:t>Domain</w:t>
            </w:r>
          </w:p>
        </w:tc>
        <w:tc>
          <w:tcPr>
            <w:tcW w:w="5680" w:type="dxa"/>
            <w:hideMark/>
          </w:tcPr>
          <w:p w:rsidR="00A03220" w:rsidP="009869E4" w:rsidRDefault="00A03220" w14:paraId="78E803AF" w14:textId="77777777">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pPr>
            <w:r>
              <w:rPr>
                <w:rFonts w:ascii="Calibri Light" w:hAnsi="Calibri Light" w:cs="Calibri Light"/>
                <w:color w:val="000000"/>
                <w:sz w:val="18"/>
                <w:szCs w:val="18"/>
              </w:rPr>
              <w:t>Description</w:t>
            </w:r>
          </w:p>
        </w:tc>
      </w:tr>
      <w:tr w:rsidR="00A03220" w:rsidTr="00FB184F" w14:paraId="2EE8FF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hideMark/>
          </w:tcPr>
          <w:p w:rsidRPr="00302900" w:rsidR="00A03220" w:rsidP="009869E4" w:rsidRDefault="00A03220" w14:paraId="1DE20B7D" w14:textId="77777777">
            <w:pPr>
              <w:spacing w:before="100" w:beforeAutospacing="1" w:after="100" w:afterAutospacing="1" w:line="276" w:lineRule="auto"/>
              <w:rPr>
                <w:rFonts w:cstheme="minorHAnsi"/>
                <w:sz w:val="20"/>
                <w:szCs w:val="20"/>
              </w:rPr>
            </w:pPr>
            <w:r w:rsidRPr="00302900">
              <w:rPr>
                <w:rFonts w:cstheme="minorHAnsi"/>
                <w:sz w:val="20"/>
                <w:szCs w:val="20"/>
              </w:rPr>
              <w:t xml:space="preserve">Respondent Background </w:t>
            </w:r>
          </w:p>
        </w:tc>
        <w:tc>
          <w:tcPr>
            <w:tcW w:w="5680" w:type="dxa"/>
            <w:hideMark/>
          </w:tcPr>
          <w:p w:rsidRPr="00302900" w:rsidR="00A03220" w:rsidP="009869E4" w:rsidRDefault="00E047C1" w14:paraId="03DF771B" w14:textId="5FD2258D">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02900">
              <w:rPr>
                <w:rFonts w:cstheme="minorHAnsi"/>
                <w:sz w:val="20"/>
                <w:szCs w:val="20"/>
              </w:rPr>
              <w:t>Questions about the respondent including their professional role</w:t>
            </w:r>
            <w:r>
              <w:rPr>
                <w:rFonts w:cstheme="minorHAnsi"/>
                <w:sz w:val="20"/>
                <w:szCs w:val="20"/>
              </w:rPr>
              <w:t>, years of experience, organizational affiliation (optional)</w:t>
            </w:r>
            <w:r w:rsidRPr="00302900">
              <w:rPr>
                <w:rFonts w:cstheme="minorHAnsi"/>
                <w:sz w:val="20"/>
                <w:szCs w:val="20"/>
              </w:rPr>
              <w:t xml:space="preserve"> and participation in other</w:t>
            </w:r>
            <w:r>
              <w:rPr>
                <w:rFonts w:cstheme="minorHAnsi"/>
                <w:sz w:val="20"/>
                <w:szCs w:val="20"/>
              </w:rPr>
              <w:t xml:space="preserve"> collaborative CDS initiatives.</w:t>
            </w:r>
          </w:p>
        </w:tc>
      </w:tr>
      <w:tr w:rsidR="00A03220" w:rsidTr="00FB184F" w14:paraId="245389A7" w14:textId="77777777">
        <w:tc>
          <w:tcPr>
            <w:cnfStyle w:val="001000000000" w:firstRow="0" w:lastRow="0" w:firstColumn="1" w:lastColumn="0" w:oddVBand="0" w:evenVBand="0" w:oddHBand="0" w:evenHBand="0" w:firstRowFirstColumn="0" w:firstRowLastColumn="0" w:lastRowFirstColumn="0" w:lastRowLastColumn="0"/>
            <w:tcW w:w="3045" w:type="dxa"/>
          </w:tcPr>
          <w:p w:rsidRPr="00302900" w:rsidR="00A03220" w:rsidP="009869E4" w:rsidRDefault="00A03220" w14:paraId="432741F9" w14:textId="77777777">
            <w:pPr>
              <w:spacing w:before="100" w:beforeAutospacing="1" w:after="100" w:afterAutospacing="1" w:line="276" w:lineRule="auto"/>
              <w:rPr>
                <w:rFonts w:cstheme="minorHAnsi"/>
                <w:sz w:val="20"/>
                <w:szCs w:val="20"/>
              </w:rPr>
            </w:pPr>
            <w:r w:rsidRPr="00302900">
              <w:rPr>
                <w:rFonts w:cstheme="minorHAnsi"/>
                <w:sz w:val="20"/>
                <w:szCs w:val="20"/>
              </w:rPr>
              <w:lastRenderedPageBreak/>
              <w:t xml:space="preserve">Awareness of </w:t>
            </w:r>
            <w:r>
              <w:rPr>
                <w:rFonts w:cstheme="minorHAnsi"/>
                <w:sz w:val="20"/>
                <w:szCs w:val="20"/>
              </w:rPr>
              <w:t xml:space="preserve">CDS Connect Resources and </w:t>
            </w:r>
            <w:r w:rsidRPr="00302900">
              <w:rPr>
                <w:rFonts w:cstheme="minorHAnsi"/>
                <w:sz w:val="20"/>
                <w:szCs w:val="20"/>
              </w:rPr>
              <w:t>PCOR CDS Initiative</w:t>
            </w:r>
          </w:p>
        </w:tc>
        <w:tc>
          <w:tcPr>
            <w:tcW w:w="5680" w:type="dxa"/>
          </w:tcPr>
          <w:p w:rsidRPr="00302900" w:rsidR="00A03220" w:rsidP="009869E4" w:rsidRDefault="00A03220" w14:paraId="541AD468" w14:textId="77777777">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Questions on whether non-users heard about the Repository and Authoring Tool prior to taking the survey, and whether all </w:t>
            </w:r>
            <w:r w:rsidRPr="00302900">
              <w:rPr>
                <w:rFonts w:cstheme="minorHAnsi"/>
                <w:sz w:val="20"/>
                <w:szCs w:val="20"/>
              </w:rPr>
              <w:t>respondent</w:t>
            </w:r>
            <w:r>
              <w:rPr>
                <w:rFonts w:cstheme="minorHAnsi"/>
                <w:sz w:val="20"/>
                <w:szCs w:val="20"/>
              </w:rPr>
              <w:t>s had</w:t>
            </w:r>
            <w:r w:rsidRPr="00302900">
              <w:rPr>
                <w:rFonts w:cstheme="minorHAnsi"/>
                <w:sz w:val="20"/>
                <w:szCs w:val="20"/>
              </w:rPr>
              <w:t xml:space="preserve"> heard about the PCOR CDS Initiative and ho</w:t>
            </w:r>
            <w:r>
              <w:rPr>
                <w:rFonts w:cstheme="minorHAnsi"/>
                <w:sz w:val="20"/>
                <w:szCs w:val="20"/>
              </w:rPr>
              <w:t xml:space="preserve">w (if they had heard about it). May also be used as a proxy for how they heard about CDS Connect.  </w:t>
            </w:r>
          </w:p>
        </w:tc>
      </w:tr>
      <w:tr w:rsidR="00A03220" w:rsidTr="00FB184F" w14:paraId="241203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hideMark/>
          </w:tcPr>
          <w:p w:rsidRPr="00302900" w:rsidR="00A03220" w:rsidP="009869E4" w:rsidRDefault="00A03220" w14:paraId="7B355391" w14:textId="77777777">
            <w:pPr>
              <w:spacing w:before="100" w:beforeAutospacing="1" w:after="100" w:afterAutospacing="1" w:line="276" w:lineRule="auto"/>
              <w:rPr>
                <w:rFonts w:cstheme="minorHAnsi"/>
                <w:sz w:val="20"/>
                <w:szCs w:val="20"/>
              </w:rPr>
            </w:pPr>
            <w:r w:rsidRPr="00302900">
              <w:rPr>
                <w:rFonts w:cstheme="minorHAnsi"/>
                <w:sz w:val="20"/>
                <w:szCs w:val="20"/>
              </w:rPr>
              <w:t>Frequency of Use of CDS Connect Resources</w:t>
            </w:r>
          </w:p>
        </w:tc>
        <w:tc>
          <w:tcPr>
            <w:tcW w:w="5680" w:type="dxa"/>
            <w:hideMark/>
          </w:tcPr>
          <w:p w:rsidRPr="00302900" w:rsidR="00A03220" w:rsidP="009869E4" w:rsidRDefault="00A03220" w14:paraId="47D3D152" w14:textId="77777777">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02900">
              <w:rPr>
                <w:rFonts w:cstheme="minorHAnsi"/>
                <w:sz w:val="20"/>
                <w:szCs w:val="20"/>
              </w:rPr>
              <w:t xml:space="preserve">Questions to assess </w:t>
            </w:r>
            <w:r>
              <w:rPr>
                <w:rFonts w:cstheme="minorHAnsi"/>
                <w:sz w:val="20"/>
                <w:szCs w:val="20"/>
              </w:rPr>
              <w:t xml:space="preserve">frequency with </w:t>
            </w:r>
            <w:r w:rsidRPr="006A76BE">
              <w:rPr>
                <w:rFonts w:cstheme="minorHAnsi"/>
                <w:sz w:val="20"/>
                <w:szCs w:val="20"/>
              </w:rPr>
              <w:t>which users</w:t>
            </w:r>
            <w:r w:rsidRPr="000D345D">
              <w:rPr>
                <w:rFonts w:cstheme="minorHAnsi"/>
                <w:sz w:val="20"/>
                <w:szCs w:val="20"/>
              </w:rPr>
              <w:t xml:space="preserve"> </w:t>
            </w:r>
            <w:r w:rsidRPr="006A76BE">
              <w:rPr>
                <w:rFonts w:cstheme="minorHAnsi"/>
                <w:sz w:val="20"/>
                <w:szCs w:val="20"/>
              </w:rPr>
              <w:t>visited</w:t>
            </w:r>
            <w:r>
              <w:rPr>
                <w:rFonts w:cstheme="minorHAnsi"/>
                <w:sz w:val="20"/>
                <w:szCs w:val="20"/>
              </w:rPr>
              <w:t xml:space="preserve"> the Repository or used the Authoring Tool to develop CQL logic. </w:t>
            </w:r>
            <w:r w:rsidRPr="00302900">
              <w:rPr>
                <w:rFonts w:cstheme="minorHAnsi"/>
                <w:sz w:val="20"/>
                <w:szCs w:val="20"/>
              </w:rPr>
              <w:t xml:space="preserve"> </w:t>
            </w:r>
          </w:p>
        </w:tc>
      </w:tr>
      <w:tr w:rsidR="00A03220" w:rsidTr="00FB184F" w14:paraId="2B4D3AB9" w14:textId="77777777">
        <w:tc>
          <w:tcPr>
            <w:cnfStyle w:val="001000000000" w:firstRow="0" w:lastRow="0" w:firstColumn="1" w:lastColumn="0" w:oddVBand="0" w:evenVBand="0" w:oddHBand="0" w:evenHBand="0" w:firstRowFirstColumn="0" w:firstRowLastColumn="0" w:lastRowFirstColumn="0" w:lastRowLastColumn="0"/>
            <w:tcW w:w="3045" w:type="dxa"/>
          </w:tcPr>
          <w:p w:rsidRPr="00302900" w:rsidR="00A03220" w:rsidP="00FB184F" w:rsidRDefault="00A03220" w14:paraId="01E703F8" w14:textId="5A351887">
            <w:pPr>
              <w:spacing w:before="100" w:beforeAutospacing="1" w:after="100" w:afterAutospacing="1" w:line="276" w:lineRule="auto"/>
              <w:rPr>
                <w:rFonts w:cstheme="minorHAnsi"/>
                <w:sz w:val="20"/>
                <w:szCs w:val="20"/>
              </w:rPr>
            </w:pPr>
            <w:r w:rsidRPr="00302900">
              <w:rPr>
                <w:rFonts w:cstheme="minorHAnsi"/>
                <w:sz w:val="20"/>
                <w:szCs w:val="20"/>
              </w:rPr>
              <w:t>Reasons for Using</w:t>
            </w:r>
          </w:p>
        </w:tc>
        <w:tc>
          <w:tcPr>
            <w:tcW w:w="5680" w:type="dxa"/>
          </w:tcPr>
          <w:p w:rsidRPr="00302900" w:rsidR="00A03220" w:rsidP="009869E4" w:rsidRDefault="00A03220" w14:paraId="168FF240" w14:textId="77777777">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Questions that assess w</w:t>
            </w:r>
            <w:r w:rsidRPr="00302900">
              <w:rPr>
                <w:rFonts w:cstheme="minorHAnsi"/>
                <w:sz w:val="20"/>
                <w:szCs w:val="20"/>
              </w:rPr>
              <w:t xml:space="preserve">hy and how </w:t>
            </w:r>
            <w:r>
              <w:rPr>
                <w:rFonts w:cstheme="minorHAnsi"/>
                <w:sz w:val="20"/>
                <w:szCs w:val="20"/>
              </w:rPr>
              <w:t>respondents</w:t>
            </w:r>
            <w:r w:rsidRPr="00302900">
              <w:rPr>
                <w:rFonts w:cstheme="minorHAnsi"/>
                <w:sz w:val="20"/>
                <w:szCs w:val="20"/>
              </w:rPr>
              <w:t xml:space="preserve"> used the resources, </w:t>
            </w:r>
            <w:r>
              <w:rPr>
                <w:rFonts w:cstheme="minorHAnsi"/>
                <w:sz w:val="20"/>
                <w:szCs w:val="20"/>
              </w:rPr>
              <w:t xml:space="preserve">including whether they contributed, browsed, inspected or adapted artifacts and their purpose for using the Authoring Tool. </w:t>
            </w:r>
          </w:p>
        </w:tc>
      </w:tr>
      <w:tr w:rsidR="00A03220" w:rsidTr="00FB184F" w14:paraId="759AAC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rsidRPr="00302900" w:rsidR="00A03220" w:rsidP="009869E4" w:rsidRDefault="00A03220" w14:paraId="4799D476" w14:textId="03036440">
            <w:pPr>
              <w:spacing w:before="100" w:beforeAutospacing="1" w:after="100" w:afterAutospacing="1" w:line="276" w:lineRule="auto"/>
              <w:rPr>
                <w:rFonts w:cstheme="minorHAnsi"/>
                <w:sz w:val="20"/>
                <w:szCs w:val="20"/>
              </w:rPr>
            </w:pPr>
            <w:r w:rsidRPr="00302900">
              <w:rPr>
                <w:rFonts w:cstheme="minorHAnsi"/>
                <w:sz w:val="20"/>
                <w:szCs w:val="20"/>
              </w:rPr>
              <w:t>Reasons For Not Using CDS Connect Resources</w:t>
            </w:r>
          </w:p>
        </w:tc>
        <w:tc>
          <w:tcPr>
            <w:tcW w:w="5680" w:type="dxa"/>
          </w:tcPr>
          <w:p w:rsidRPr="00302900" w:rsidR="00A03220" w:rsidP="009869E4" w:rsidRDefault="00A03220" w14:paraId="73789FE3" w14:textId="77777777">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02900">
              <w:rPr>
                <w:rFonts w:cstheme="minorHAnsi"/>
                <w:sz w:val="20"/>
                <w:szCs w:val="20"/>
              </w:rPr>
              <w:t xml:space="preserve">Questions that assess awareness of CDS Connect </w:t>
            </w:r>
            <w:r>
              <w:rPr>
                <w:rFonts w:cstheme="minorHAnsi"/>
                <w:sz w:val="20"/>
                <w:szCs w:val="20"/>
              </w:rPr>
              <w:t>R</w:t>
            </w:r>
            <w:r w:rsidRPr="00302900">
              <w:rPr>
                <w:rFonts w:cstheme="minorHAnsi"/>
                <w:sz w:val="20"/>
                <w:szCs w:val="20"/>
              </w:rPr>
              <w:t>esources among non-users and reasons for not using the resources.</w:t>
            </w:r>
          </w:p>
        </w:tc>
      </w:tr>
      <w:tr w:rsidR="00A03220" w:rsidTr="00FB184F" w14:paraId="3E7316EB" w14:textId="77777777">
        <w:tc>
          <w:tcPr>
            <w:cnfStyle w:val="001000000000" w:firstRow="0" w:lastRow="0" w:firstColumn="1" w:lastColumn="0" w:oddVBand="0" w:evenVBand="0" w:oddHBand="0" w:evenHBand="0" w:firstRowFirstColumn="0" w:firstRowLastColumn="0" w:lastRowFirstColumn="0" w:lastRowLastColumn="0"/>
            <w:tcW w:w="3045" w:type="dxa"/>
            <w:hideMark/>
          </w:tcPr>
          <w:p w:rsidRPr="00302900" w:rsidR="00A03220" w:rsidP="009869E4" w:rsidRDefault="00A03220" w14:paraId="06FA56DD" w14:textId="77777777">
            <w:pPr>
              <w:spacing w:before="100" w:beforeAutospacing="1" w:after="100" w:afterAutospacing="1" w:line="276" w:lineRule="auto"/>
              <w:rPr>
                <w:rFonts w:cstheme="minorHAnsi"/>
                <w:sz w:val="20"/>
                <w:szCs w:val="20"/>
              </w:rPr>
            </w:pPr>
            <w:r w:rsidRPr="00302900">
              <w:rPr>
                <w:rFonts w:cstheme="minorHAnsi"/>
                <w:sz w:val="20"/>
                <w:szCs w:val="20"/>
              </w:rPr>
              <w:t xml:space="preserve">Issues with </w:t>
            </w:r>
            <w:r>
              <w:rPr>
                <w:rFonts w:cstheme="minorHAnsi"/>
                <w:sz w:val="20"/>
                <w:szCs w:val="20"/>
              </w:rPr>
              <w:t>U</w:t>
            </w:r>
            <w:r w:rsidRPr="00302900">
              <w:rPr>
                <w:rFonts w:cstheme="minorHAnsi"/>
                <w:sz w:val="20"/>
                <w:szCs w:val="20"/>
              </w:rPr>
              <w:t>sing CDS Connect Resources and Technical Assistance</w:t>
            </w:r>
          </w:p>
        </w:tc>
        <w:tc>
          <w:tcPr>
            <w:tcW w:w="5680" w:type="dxa"/>
            <w:hideMark/>
          </w:tcPr>
          <w:p w:rsidRPr="00302900" w:rsidR="00A03220" w:rsidP="009869E4" w:rsidRDefault="00A03220" w14:paraId="4CE31395" w14:textId="77777777">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02900">
              <w:rPr>
                <w:rFonts w:cstheme="minorHAnsi"/>
                <w:sz w:val="20"/>
                <w:szCs w:val="20"/>
              </w:rPr>
              <w:t xml:space="preserve">Questions about issues encountered when using CDS Connect </w:t>
            </w:r>
            <w:r>
              <w:rPr>
                <w:rFonts w:cstheme="minorHAnsi"/>
                <w:sz w:val="20"/>
                <w:szCs w:val="20"/>
              </w:rPr>
              <w:t>R</w:t>
            </w:r>
            <w:r w:rsidRPr="00302900">
              <w:rPr>
                <w:rFonts w:cstheme="minorHAnsi"/>
                <w:sz w:val="20"/>
                <w:szCs w:val="20"/>
              </w:rPr>
              <w:t xml:space="preserve">esources, and use of technical assistance. </w:t>
            </w:r>
          </w:p>
        </w:tc>
      </w:tr>
      <w:tr w:rsidR="00A03220" w:rsidTr="00FB184F" w14:paraId="710E14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5" w:type="dxa"/>
          </w:tcPr>
          <w:p w:rsidRPr="00302900" w:rsidR="00A03220" w:rsidP="009869E4" w:rsidRDefault="00A03220" w14:paraId="04D9DCC1" w14:textId="77777777">
            <w:pPr>
              <w:spacing w:before="100" w:beforeAutospacing="1" w:after="100" w:afterAutospacing="1" w:line="276" w:lineRule="auto"/>
              <w:rPr>
                <w:rFonts w:cstheme="minorHAnsi"/>
                <w:sz w:val="20"/>
                <w:szCs w:val="20"/>
              </w:rPr>
            </w:pPr>
            <w:r w:rsidRPr="00302900">
              <w:rPr>
                <w:rFonts w:cstheme="minorHAnsi"/>
                <w:sz w:val="20"/>
                <w:szCs w:val="20"/>
              </w:rPr>
              <w:t>Satisfaction with  CDS Connect Resources</w:t>
            </w:r>
          </w:p>
        </w:tc>
        <w:tc>
          <w:tcPr>
            <w:tcW w:w="5680" w:type="dxa"/>
          </w:tcPr>
          <w:p w:rsidRPr="00302900" w:rsidR="00A03220" w:rsidP="009869E4" w:rsidRDefault="00A03220" w14:paraId="34F689B8" w14:textId="77777777">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02900">
              <w:rPr>
                <w:rFonts w:cstheme="minorHAnsi"/>
                <w:sz w:val="20"/>
                <w:szCs w:val="20"/>
              </w:rPr>
              <w:t xml:space="preserve">Questions </w:t>
            </w:r>
            <w:r>
              <w:rPr>
                <w:rFonts w:cstheme="minorHAnsi"/>
                <w:sz w:val="20"/>
                <w:szCs w:val="20"/>
              </w:rPr>
              <w:t>that</w:t>
            </w:r>
            <w:r w:rsidRPr="00302900">
              <w:rPr>
                <w:rFonts w:cstheme="minorHAnsi"/>
                <w:sz w:val="20"/>
                <w:szCs w:val="20"/>
              </w:rPr>
              <w:t xml:space="preserve"> explore users’ satisfaction with CDS Connect </w:t>
            </w:r>
            <w:r>
              <w:rPr>
                <w:rFonts w:cstheme="minorHAnsi"/>
                <w:sz w:val="20"/>
                <w:szCs w:val="20"/>
              </w:rPr>
              <w:t>R</w:t>
            </w:r>
            <w:r w:rsidRPr="00302900">
              <w:rPr>
                <w:rFonts w:cstheme="minorHAnsi"/>
                <w:sz w:val="20"/>
                <w:szCs w:val="20"/>
              </w:rPr>
              <w:t>esources, their impressions of the value of the resources, and whether they</w:t>
            </w:r>
            <w:r>
              <w:rPr>
                <w:rFonts w:cstheme="minorHAnsi"/>
                <w:sz w:val="20"/>
                <w:szCs w:val="20"/>
              </w:rPr>
              <w:t xml:space="preserve"> would recommend it to others. </w:t>
            </w:r>
          </w:p>
        </w:tc>
      </w:tr>
      <w:tr w:rsidR="00A03220" w:rsidTr="00FB184F" w14:paraId="19C38B24" w14:textId="77777777">
        <w:tc>
          <w:tcPr>
            <w:cnfStyle w:val="001000000000" w:firstRow="0" w:lastRow="0" w:firstColumn="1" w:lastColumn="0" w:oddVBand="0" w:evenVBand="0" w:oddHBand="0" w:evenHBand="0" w:firstRowFirstColumn="0" w:firstRowLastColumn="0" w:lastRowFirstColumn="0" w:lastRowLastColumn="0"/>
            <w:tcW w:w="3045" w:type="dxa"/>
            <w:hideMark/>
          </w:tcPr>
          <w:p w:rsidRPr="00302900" w:rsidR="00A03220" w:rsidP="009869E4" w:rsidRDefault="00A03220" w14:paraId="4B0D187B" w14:textId="77777777">
            <w:pPr>
              <w:spacing w:before="100" w:beforeAutospacing="1" w:after="100" w:afterAutospacing="1" w:line="276" w:lineRule="auto"/>
              <w:rPr>
                <w:rFonts w:cstheme="minorHAnsi"/>
                <w:sz w:val="20"/>
                <w:szCs w:val="20"/>
              </w:rPr>
            </w:pPr>
            <w:r>
              <w:rPr>
                <w:rFonts w:cstheme="minorHAnsi"/>
                <w:sz w:val="20"/>
                <w:szCs w:val="20"/>
              </w:rPr>
              <w:t xml:space="preserve">Intended or Actual </w:t>
            </w:r>
            <w:r w:rsidRPr="00302900">
              <w:rPr>
                <w:rFonts w:cstheme="minorHAnsi"/>
                <w:sz w:val="20"/>
                <w:szCs w:val="20"/>
              </w:rPr>
              <w:t>Outcomes of Using CDS Connect Resources</w:t>
            </w:r>
          </w:p>
        </w:tc>
        <w:tc>
          <w:tcPr>
            <w:tcW w:w="5680" w:type="dxa"/>
            <w:hideMark/>
          </w:tcPr>
          <w:p w:rsidRPr="00302900" w:rsidR="00A03220" w:rsidP="009869E4" w:rsidRDefault="00A03220" w14:paraId="5070FDC0" w14:textId="77777777">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02900">
              <w:rPr>
                <w:rFonts w:cstheme="minorHAnsi"/>
                <w:sz w:val="20"/>
                <w:szCs w:val="20"/>
              </w:rPr>
              <w:t>Questions that assess if CDS</w:t>
            </w:r>
            <w:r>
              <w:rPr>
                <w:rFonts w:cstheme="minorHAnsi"/>
                <w:sz w:val="20"/>
                <w:szCs w:val="20"/>
              </w:rPr>
              <w:t xml:space="preserve"> knowledge</w:t>
            </w:r>
            <w:r w:rsidRPr="00302900">
              <w:rPr>
                <w:rFonts w:cstheme="minorHAnsi"/>
                <w:sz w:val="20"/>
                <w:szCs w:val="20"/>
              </w:rPr>
              <w:t xml:space="preserve"> developed through the use of CDS Connect resources (i.e., </w:t>
            </w:r>
            <w:r>
              <w:rPr>
                <w:rFonts w:cstheme="minorHAnsi"/>
                <w:sz w:val="20"/>
                <w:szCs w:val="20"/>
              </w:rPr>
              <w:t xml:space="preserve">artifacts </w:t>
            </w:r>
            <w:r w:rsidRPr="00302900">
              <w:rPr>
                <w:rFonts w:cstheme="minorHAnsi"/>
                <w:sz w:val="20"/>
                <w:szCs w:val="20"/>
              </w:rPr>
              <w:t>downloaded from Repository or</w:t>
            </w:r>
            <w:r>
              <w:rPr>
                <w:rFonts w:cstheme="minorHAnsi"/>
                <w:sz w:val="20"/>
                <w:szCs w:val="20"/>
              </w:rPr>
              <w:t xml:space="preserve"> CQL logic</w:t>
            </w:r>
            <w:r w:rsidRPr="00302900">
              <w:rPr>
                <w:rFonts w:cstheme="minorHAnsi"/>
                <w:sz w:val="20"/>
                <w:szCs w:val="20"/>
              </w:rPr>
              <w:t xml:space="preserve"> created in the Authoring </w:t>
            </w:r>
            <w:r>
              <w:rPr>
                <w:rFonts w:cstheme="minorHAnsi"/>
                <w:sz w:val="20"/>
                <w:szCs w:val="20"/>
              </w:rPr>
              <w:t>T</w:t>
            </w:r>
            <w:r w:rsidRPr="00302900">
              <w:rPr>
                <w:rFonts w:cstheme="minorHAnsi"/>
                <w:sz w:val="20"/>
                <w:szCs w:val="20"/>
              </w:rPr>
              <w:t xml:space="preserve">ool) were ultimately adapted </w:t>
            </w:r>
            <w:r>
              <w:rPr>
                <w:rFonts w:cstheme="minorHAnsi"/>
                <w:sz w:val="20"/>
                <w:szCs w:val="20"/>
              </w:rPr>
              <w:t xml:space="preserve">as CDS tools </w:t>
            </w:r>
            <w:r w:rsidRPr="00302900">
              <w:rPr>
                <w:rFonts w:cstheme="minorHAnsi"/>
                <w:sz w:val="20"/>
                <w:szCs w:val="20"/>
              </w:rPr>
              <w:t xml:space="preserve">for use in a local environment or planned to be used in a local environment.  </w:t>
            </w:r>
            <w:r>
              <w:rPr>
                <w:rFonts w:cstheme="minorHAnsi"/>
                <w:sz w:val="20"/>
                <w:szCs w:val="20"/>
              </w:rPr>
              <w:t xml:space="preserve">There are also questions about challenges encountered in adapting CDS artifacts from the Repository for local use. </w:t>
            </w:r>
            <w:r w:rsidRPr="00302900">
              <w:rPr>
                <w:rFonts w:cstheme="minorHAnsi"/>
                <w:sz w:val="20"/>
                <w:szCs w:val="20"/>
              </w:rPr>
              <w:t xml:space="preserve">Further, there are questions about whether CDS is intended to be used as a patient-facing tool, clinician-facing, or both. </w:t>
            </w:r>
          </w:p>
        </w:tc>
      </w:tr>
    </w:tbl>
    <w:p w:rsidRPr="001700D8" w:rsidR="00282876" w:rsidP="00D41ACB" w:rsidRDefault="00282876" w14:paraId="66DF8B57" w14:textId="6747C348">
      <w:pPr>
        <w:rPr>
          <w:b/>
          <w:i/>
          <w:sz w:val="22"/>
          <w:szCs w:val="22"/>
        </w:rPr>
      </w:pPr>
    </w:p>
    <w:p w:rsidR="00D41ACB" w:rsidP="00D41ACB" w:rsidRDefault="00D41ACB" w14:paraId="087AE1CA" w14:textId="77777777"/>
    <w:p w:rsidR="00D41ACB" w:rsidP="00D41ACB" w:rsidRDefault="00C00123" w14:paraId="05977CEE" w14:textId="17D27541">
      <w:r w:rsidRPr="007C376C">
        <w:t xml:space="preserve">The findings </w:t>
      </w:r>
      <w:r w:rsidR="002B30EE">
        <w:t xml:space="preserve">from all components of the evaluation </w:t>
      </w:r>
      <w:r w:rsidRPr="007C376C">
        <w:t xml:space="preserve">will be widely disseminated to federal, state and local policy makers, as well as private sector health care decision makers, via AHRQ’s National Resource Center for Health IT Website, </w:t>
      </w:r>
      <w:r w:rsidR="00D305CA">
        <w:t xml:space="preserve">the Office of the National Coordinator for Health IT Website, professional societies, </w:t>
      </w:r>
      <w:r>
        <w:t xml:space="preserve">peer-reviewed publications, </w:t>
      </w:r>
      <w:r w:rsidRPr="007C376C">
        <w:t xml:space="preserve">e-mail alerts, </w:t>
      </w:r>
      <w:r>
        <w:t xml:space="preserve">and </w:t>
      </w:r>
      <w:r w:rsidRPr="007C376C">
        <w:t>conference presentations</w:t>
      </w:r>
      <w:r w:rsidR="00D41ACB">
        <w:t>.</w:t>
      </w:r>
      <w:r w:rsidR="00AA5479">
        <w:t xml:space="preserve"> </w:t>
      </w:r>
    </w:p>
    <w:p w:rsidR="00333779" w:rsidP="00333779" w:rsidRDefault="009B633D" w14:paraId="69C44DF9" w14:textId="2489795B">
      <w:pPr>
        <w:pStyle w:val="Heading2"/>
        <w:rPr>
          <w:sz w:val="24"/>
        </w:rPr>
      </w:pPr>
      <w:bookmarkStart w:name="_Toc42869936" w:id="12"/>
      <w:r w:rsidRPr="00983636">
        <w:rPr>
          <w:sz w:val="24"/>
        </w:rPr>
        <w:t>3. Use of Improved Information Technology</w:t>
      </w:r>
      <w:bookmarkStart w:name="_Toc151782179" w:id="13"/>
      <w:bookmarkStart w:name="_Toc158526219" w:id="14"/>
      <w:bookmarkEnd w:id="9"/>
      <w:bookmarkEnd w:id="10"/>
      <w:bookmarkEnd w:id="12"/>
    </w:p>
    <w:p w:rsidR="00333779" w:rsidP="00333779" w:rsidRDefault="00333779" w14:paraId="2AF03562" w14:textId="255D96F0">
      <w:r w:rsidRPr="00333779">
        <w:rPr>
          <w:b/>
          <w:i/>
        </w:rPr>
        <w:t>Key Informant Interviews</w:t>
      </w:r>
      <w:r>
        <w:t xml:space="preserve"> The key informant interviews will be semi-structured interviews conducted in-person or by telephone with study respondents. Because most interview questions are open-ended to allow for in-depth exploration of issues, electronic submission of responses is not a viable option.</w:t>
      </w:r>
      <w:r w:rsidR="0041780A">
        <w:t xml:space="preserve"> </w:t>
      </w:r>
    </w:p>
    <w:p w:rsidR="00C00123" w:rsidP="00C00123" w:rsidRDefault="00333779" w14:paraId="3AEDF161" w14:textId="4081B82A">
      <w:pPr>
        <w:pStyle w:val="BodyText"/>
        <w:spacing w:before="240"/>
      </w:pPr>
      <w:r w:rsidRPr="00333779">
        <w:rPr>
          <w:b/>
          <w:i/>
        </w:rPr>
        <w:t>Web Surveys</w:t>
      </w:r>
      <w:r>
        <w:t xml:space="preserve"> </w:t>
      </w:r>
      <w:r w:rsidR="00C00123">
        <w:t xml:space="preserve">In order to minimize respondent burden and to permit the electronic submission of survey responses, the Survey of CDS Connect users will </w:t>
      </w:r>
      <w:r w:rsidRPr="00FE58E6" w:rsidR="00C00123">
        <w:t>be web-based and deployed using a well-designed, low burden, and respondent-friendly survey administration process and instrument</w:t>
      </w:r>
      <w:r w:rsidR="00C00123">
        <w:t>s</w:t>
      </w:r>
      <w:r w:rsidRPr="00FE58E6" w:rsidR="00C00123">
        <w:t xml:space="preserve">. </w:t>
      </w:r>
      <w:r w:rsidR="00D62325">
        <w:t xml:space="preserve">The survey will include programmed logic to </w:t>
      </w:r>
      <w:r w:rsidR="00D62325">
        <w:lastRenderedPageBreak/>
        <w:t xml:space="preserve">allow for the presentation of only relevant questions based on </w:t>
      </w:r>
      <w:r w:rsidR="0085659E">
        <w:t>respondent’s</w:t>
      </w:r>
      <w:r w:rsidR="00D62325">
        <w:t xml:space="preserve"> answers to initial survey questions.</w:t>
      </w:r>
    </w:p>
    <w:p w:rsidR="009B633D" w:rsidP="009B633D" w:rsidRDefault="009B633D" w14:paraId="216C49A3" w14:textId="77777777">
      <w:pPr>
        <w:pStyle w:val="Heading2"/>
        <w:rPr>
          <w:sz w:val="24"/>
        </w:rPr>
      </w:pPr>
      <w:bookmarkStart w:name="_Toc42869937" w:id="15"/>
      <w:r w:rsidRPr="00983636">
        <w:rPr>
          <w:sz w:val="24"/>
        </w:rPr>
        <w:t>4. Efforts to Identify Duplication</w:t>
      </w:r>
      <w:bookmarkEnd w:id="13"/>
      <w:bookmarkEnd w:id="14"/>
      <w:bookmarkEnd w:id="15"/>
    </w:p>
    <w:p w:rsidR="007E4359" w:rsidP="007E4359" w:rsidRDefault="00C00123" w14:paraId="224E1D77" w14:textId="113B96BE">
      <w:r>
        <w:t>This is the first evaluation of the projects in the PCOR CDS Initiative.</w:t>
      </w:r>
      <w:r w:rsidR="0041780A">
        <w:t xml:space="preserve"> </w:t>
      </w:r>
      <w:r>
        <w:t>The individual projects may have generated reports summarizing results and lessons learned, which will be used as a source of material for this evaluation. However, there has not been a previous effort to examine the results across all of the separate projects.</w:t>
      </w:r>
      <w:r w:rsidR="00AA5479">
        <w:t xml:space="preserve"> </w:t>
      </w:r>
    </w:p>
    <w:p w:rsidRPr="00983636" w:rsidR="009B633D" w:rsidP="009B633D" w:rsidRDefault="009B633D" w14:paraId="29CD221E" w14:textId="77777777">
      <w:pPr>
        <w:pStyle w:val="Heading2"/>
        <w:rPr>
          <w:sz w:val="24"/>
        </w:rPr>
      </w:pPr>
      <w:bookmarkStart w:name="_Toc151782180" w:id="16"/>
      <w:bookmarkStart w:name="_Toc158526220" w:id="17"/>
      <w:bookmarkStart w:name="_Toc42869938" w:id="18"/>
      <w:r w:rsidRPr="00983636">
        <w:rPr>
          <w:sz w:val="24"/>
        </w:rPr>
        <w:t>5. Involvement of Small Entities</w:t>
      </w:r>
      <w:bookmarkEnd w:id="16"/>
      <w:bookmarkEnd w:id="17"/>
      <w:bookmarkEnd w:id="18"/>
    </w:p>
    <w:p w:rsidRPr="00F60488" w:rsidR="00F60488" w:rsidP="00C00123" w:rsidRDefault="00C00123" w14:paraId="2331AB0B" w14:textId="0CC667DA">
      <w:pPr>
        <w:spacing w:before="100" w:beforeAutospacing="1" w:after="100" w:afterAutospacing="1"/>
        <w:rPr>
          <w:i/>
        </w:rPr>
      </w:pPr>
      <w:r>
        <w:t>The information collected may involve small entities, as some of the participating health care systems may involve smaller units. For this project, only items that provide critical information for conducting the evaluation will be included, and the information being requested has been held to the absolute minimum required for the intended use.</w:t>
      </w:r>
      <w:r w:rsidRPr="00F60488" w:rsidR="00F60488">
        <w:rPr>
          <w:i/>
        </w:rPr>
        <w:t xml:space="preserve"> </w:t>
      </w:r>
    </w:p>
    <w:p w:rsidRPr="00983636" w:rsidR="009B633D" w:rsidP="009B633D" w:rsidRDefault="009B633D" w14:paraId="437B988B" w14:textId="529DEF12">
      <w:pPr>
        <w:pStyle w:val="Heading2"/>
        <w:rPr>
          <w:sz w:val="24"/>
        </w:rPr>
      </w:pPr>
      <w:bookmarkStart w:name="_Toc151782181" w:id="19"/>
      <w:bookmarkStart w:name="_Toc158526221" w:id="20"/>
      <w:bookmarkStart w:name="_Toc42869939" w:id="21"/>
      <w:r w:rsidRPr="00983636">
        <w:rPr>
          <w:sz w:val="24"/>
        </w:rPr>
        <w:t>6. Consequences if Information Collected Less Frequently</w:t>
      </w:r>
      <w:bookmarkEnd w:id="19"/>
      <w:bookmarkEnd w:id="20"/>
      <w:bookmarkEnd w:id="21"/>
    </w:p>
    <w:p w:rsidR="00C00123" w:rsidP="00C00123" w:rsidRDefault="00C00123" w14:paraId="7797D446" w14:textId="77777777">
      <w:bookmarkStart w:name="_Toc151782182" w:id="22"/>
      <w:bookmarkStart w:name="_Toc158526222" w:id="23"/>
      <w:r>
        <w:t>This is a one-time collection.</w:t>
      </w:r>
    </w:p>
    <w:p w:rsidR="009B633D" w:rsidP="009B633D" w:rsidRDefault="009B633D" w14:paraId="16B78216" w14:textId="77777777">
      <w:pPr>
        <w:pStyle w:val="Heading2"/>
        <w:rPr>
          <w:sz w:val="24"/>
        </w:rPr>
      </w:pPr>
      <w:bookmarkStart w:name="_Toc42869940" w:id="24"/>
      <w:r w:rsidRPr="00412C6F">
        <w:rPr>
          <w:sz w:val="24"/>
        </w:rPr>
        <w:t>7. Special Circumstances</w:t>
      </w:r>
      <w:bookmarkEnd w:id="22"/>
      <w:bookmarkEnd w:id="23"/>
      <w:bookmarkEnd w:id="24"/>
    </w:p>
    <w:p w:rsidR="009B633D" w:rsidP="009B633D" w:rsidRDefault="009B633D" w14:paraId="190634D3" w14:textId="05857DC7">
      <w:pPr>
        <w:spacing w:before="120"/>
      </w:pPr>
      <w:r w:rsidRPr="004F03D2">
        <w:t>This request is consistent with the general information collection guid</w:t>
      </w:r>
      <w:r>
        <w:t>elines of 5 CFR 1320.5(d</w:t>
      </w:r>
      <w:proofErr w:type="gramStart"/>
      <w:r>
        <w:t>)(</w:t>
      </w:r>
      <w:proofErr w:type="gramEnd"/>
      <w:r>
        <w:t>2).</w:t>
      </w:r>
      <w:r w:rsidR="0041780A">
        <w:t xml:space="preserve"> </w:t>
      </w:r>
      <w:r>
        <w:t>No special circumstances apply.</w:t>
      </w:r>
    </w:p>
    <w:p w:rsidR="004E3A1B" w:rsidP="004E3A1B" w:rsidRDefault="009B633D" w14:paraId="1E254A49" w14:textId="77777777">
      <w:pPr>
        <w:pStyle w:val="Heading2"/>
        <w:rPr>
          <w:sz w:val="24"/>
          <w:szCs w:val="24"/>
        </w:rPr>
      </w:pPr>
      <w:bookmarkStart w:name="_Toc151782183" w:id="25"/>
      <w:bookmarkStart w:name="_Toc158526223" w:id="26"/>
      <w:bookmarkStart w:name="_Toc42869941" w:id="27"/>
      <w:r w:rsidRPr="00412C6F">
        <w:rPr>
          <w:sz w:val="24"/>
        </w:rPr>
        <w:t>8.</w:t>
      </w:r>
      <w:r w:rsidRPr="004E3A1B">
        <w:rPr>
          <w:sz w:val="24"/>
          <w:szCs w:val="24"/>
        </w:rPr>
        <w:t xml:space="preserve"> </w:t>
      </w:r>
      <w:bookmarkEnd w:id="25"/>
      <w:bookmarkEnd w:id="26"/>
      <w:r w:rsidRPr="004E3A1B" w:rsidR="004E3A1B">
        <w:rPr>
          <w:sz w:val="24"/>
          <w:szCs w:val="24"/>
        </w:rPr>
        <w:t>Federal Register Notice and Outside Consultations</w:t>
      </w:r>
      <w:bookmarkEnd w:id="27"/>
    </w:p>
    <w:p w:rsidR="004E3A1B" w:rsidP="004E3A1B" w:rsidRDefault="004E3A1B" w14:paraId="179F9EE0" w14:textId="77777777"/>
    <w:p w:rsidR="00131443" w:rsidP="004E3A1B" w:rsidRDefault="004E3A1B" w14:paraId="619EAE5F" w14:textId="77777777">
      <w:pPr>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rsidR="000C55C6" w:rsidP="009B633D" w:rsidRDefault="000C55C6" w14:paraId="20311E51" w14:textId="596DF689">
      <w:pPr>
        <w:pStyle w:val="Heading2"/>
        <w:rPr>
          <w:rFonts w:ascii="Times New Roman" w:hAnsi="Times New Roman" w:cs="Times New Roman"/>
          <w:b w:val="0"/>
          <w:bCs w:val="0"/>
          <w:i w:val="0"/>
          <w:iCs w:val="0"/>
          <w:sz w:val="24"/>
          <w:szCs w:val="24"/>
        </w:rPr>
      </w:pPr>
      <w:bookmarkStart w:name="_Toc42869942" w:id="28"/>
      <w:r w:rsidRPr="000C55C6">
        <w:rPr>
          <w:rFonts w:ascii="Times New Roman" w:hAnsi="Times New Roman" w:cs="Times New Roman"/>
          <w:b w:val="0"/>
          <w:bCs w:val="0"/>
          <w:i w:val="0"/>
          <w:iCs w:val="0"/>
          <w:sz w:val="24"/>
          <w:szCs w:val="24"/>
        </w:rPr>
        <w:t>In accordance with the Paperwork Reduction Act of 1995 (Pub. L. 104-13) and Office of Management and Budget (OMB) regulations at 5 CFR Part 1320 (60 FR 44978, August 29, 1995), A</w:t>
      </w:r>
      <w:r>
        <w:rPr>
          <w:rFonts w:ascii="Times New Roman" w:hAnsi="Times New Roman" w:cs="Times New Roman"/>
          <w:b w:val="0"/>
          <w:bCs w:val="0"/>
          <w:i w:val="0"/>
          <w:iCs w:val="0"/>
          <w:sz w:val="24"/>
          <w:szCs w:val="24"/>
        </w:rPr>
        <w:t>HRQ</w:t>
      </w:r>
      <w:r w:rsidRPr="000C55C6">
        <w:rPr>
          <w:rFonts w:ascii="Times New Roman" w:hAnsi="Times New Roman" w:cs="Times New Roman"/>
          <w:b w:val="0"/>
          <w:bCs w:val="0"/>
          <w:i w:val="0"/>
          <w:iCs w:val="0"/>
          <w:sz w:val="24"/>
          <w:szCs w:val="24"/>
        </w:rPr>
        <w:t xml:space="preserve"> published a notice in the Federal Register announcing the agency’s intention to request an OMB review of this information collection activity. This notice was published on </w:t>
      </w:r>
      <w:r>
        <w:rPr>
          <w:rFonts w:ascii="Times New Roman" w:hAnsi="Times New Roman" w:cs="Times New Roman"/>
          <w:b w:val="0"/>
          <w:bCs w:val="0"/>
          <w:i w:val="0"/>
          <w:iCs w:val="0"/>
          <w:sz w:val="24"/>
          <w:szCs w:val="24"/>
        </w:rPr>
        <w:t>March 25</w:t>
      </w:r>
      <w:r w:rsidRPr="000C55C6">
        <w:rPr>
          <w:rFonts w:ascii="Times New Roman" w:hAnsi="Times New Roman" w:cs="Times New Roman"/>
          <w:b w:val="0"/>
          <w:bCs w:val="0"/>
          <w:i w:val="0"/>
          <w:iCs w:val="0"/>
          <w:sz w:val="24"/>
          <w:szCs w:val="24"/>
        </w:rPr>
        <w:t>, 20</w:t>
      </w:r>
      <w:r>
        <w:rPr>
          <w:rFonts w:ascii="Times New Roman" w:hAnsi="Times New Roman" w:cs="Times New Roman"/>
          <w:b w:val="0"/>
          <w:bCs w:val="0"/>
          <w:i w:val="0"/>
          <w:iCs w:val="0"/>
          <w:sz w:val="24"/>
          <w:szCs w:val="24"/>
        </w:rPr>
        <w:t>20</w:t>
      </w:r>
      <w:r w:rsidRPr="000C55C6">
        <w:rPr>
          <w:rFonts w:ascii="Times New Roman" w:hAnsi="Times New Roman" w:cs="Times New Roman"/>
          <w:b w:val="0"/>
          <w:bCs w:val="0"/>
          <w:i w:val="0"/>
          <w:iCs w:val="0"/>
          <w:sz w:val="24"/>
          <w:szCs w:val="24"/>
        </w:rPr>
        <w:t>, Volume 8</w:t>
      </w:r>
      <w:r>
        <w:rPr>
          <w:rFonts w:ascii="Times New Roman" w:hAnsi="Times New Roman" w:cs="Times New Roman"/>
          <w:b w:val="0"/>
          <w:bCs w:val="0"/>
          <w:i w:val="0"/>
          <w:iCs w:val="0"/>
          <w:sz w:val="24"/>
          <w:szCs w:val="24"/>
        </w:rPr>
        <w:t>5</w:t>
      </w:r>
      <w:r w:rsidRPr="000C55C6">
        <w:rPr>
          <w:rFonts w:ascii="Times New Roman" w:hAnsi="Times New Roman" w:cs="Times New Roman"/>
          <w:b w:val="0"/>
          <w:bCs w:val="0"/>
          <w:i w:val="0"/>
          <w:iCs w:val="0"/>
          <w:sz w:val="24"/>
          <w:szCs w:val="24"/>
        </w:rPr>
        <w:t xml:space="preserve">, Number </w:t>
      </w:r>
      <w:r>
        <w:rPr>
          <w:rFonts w:ascii="Times New Roman" w:hAnsi="Times New Roman" w:cs="Times New Roman"/>
          <w:b w:val="0"/>
          <w:bCs w:val="0"/>
          <w:i w:val="0"/>
          <w:iCs w:val="0"/>
          <w:sz w:val="24"/>
          <w:szCs w:val="24"/>
        </w:rPr>
        <w:t>58</w:t>
      </w:r>
      <w:r w:rsidRPr="000C55C6">
        <w:rPr>
          <w:rFonts w:ascii="Times New Roman" w:hAnsi="Times New Roman" w:cs="Times New Roman"/>
          <w:b w:val="0"/>
          <w:bCs w:val="0"/>
          <w:i w:val="0"/>
          <w:iCs w:val="0"/>
          <w:sz w:val="24"/>
          <w:szCs w:val="24"/>
        </w:rPr>
        <w:t xml:space="preserve">, page </w:t>
      </w:r>
      <w:r>
        <w:rPr>
          <w:rFonts w:ascii="Times New Roman" w:hAnsi="Times New Roman" w:cs="Times New Roman"/>
          <w:b w:val="0"/>
          <w:bCs w:val="0"/>
          <w:i w:val="0"/>
          <w:iCs w:val="0"/>
          <w:sz w:val="24"/>
          <w:szCs w:val="24"/>
        </w:rPr>
        <w:t>16943</w:t>
      </w:r>
      <w:r w:rsidRPr="000C55C6">
        <w:rPr>
          <w:rFonts w:ascii="Times New Roman" w:hAnsi="Times New Roman" w:cs="Times New Roman"/>
          <w:b w:val="0"/>
          <w:bCs w:val="0"/>
          <w:i w:val="0"/>
          <w:iCs w:val="0"/>
          <w:sz w:val="24"/>
          <w:szCs w:val="24"/>
        </w:rPr>
        <w:t xml:space="preserve">, and provided a sixty-day period for public comment. A copy of this notice is attached as Attachment </w:t>
      </w:r>
      <w:r>
        <w:rPr>
          <w:rFonts w:ascii="Times New Roman" w:hAnsi="Times New Roman" w:cs="Times New Roman"/>
          <w:b w:val="0"/>
          <w:bCs w:val="0"/>
          <w:i w:val="0"/>
          <w:iCs w:val="0"/>
          <w:sz w:val="24"/>
          <w:szCs w:val="24"/>
        </w:rPr>
        <w:t>T</w:t>
      </w:r>
      <w:r w:rsidRPr="000C55C6">
        <w:rPr>
          <w:rFonts w:ascii="Times New Roman" w:hAnsi="Times New Roman" w:cs="Times New Roman"/>
          <w:b w:val="0"/>
          <w:bCs w:val="0"/>
          <w:i w:val="0"/>
          <w:iCs w:val="0"/>
          <w:sz w:val="24"/>
          <w:szCs w:val="24"/>
        </w:rPr>
        <w:t>. During the notice and comment period, the government received no requests for information or substantive comments</w:t>
      </w:r>
      <w:r>
        <w:rPr>
          <w:rFonts w:ascii="Times New Roman" w:hAnsi="Times New Roman" w:cs="Times New Roman"/>
          <w:b w:val="0"/>
          <w:bCs w:val="0"/>
          <w:i w:val="0"/>
          <w:iCs w:val="0"/>
          <w:sz w:val="24"/>
          <w:szCs w:val="24"/>
        </w:rPr>
        <w:t>.</w:t>
      </w:r>
      <w:bookmarkStart w:name="_GoBack" w:id="29"/>
      <w:bookmarkEnd w:id="29"/>
    </w:p>
    <w:p w:rsidRPr="00412C6F" w:rsidR="009B633D" w:rsidP="009B633D" w:rsidRDefault="004E3A1B" w14:paraId="19630B05" w14:textId="1F76809F">
      <w:pPr>
        <w:pStyle w:val="Heading2"/>
        <w:rPr>
          <w:sz w:val="24"/>
        </w:rPr>
      </w:pPr>
      <w:proofErr w:type="gramStart"/>
      <w:r>
        <w:rPr>
          <w:sz w:val="24"/>
        </w:rPr>
        <w:t>8.b</w:t>
      </w:r>
      <w:proofErr w:type="gramEnd"/>
      <w:r>
        <w:rPr>
          <w:sz w:val="24"/>
        </w:rPr>
        <w:t>.</w:t>
      </w:r>
      <w:r w:rsidR="0041780A">
        <w:rPr>
          <w:sz w:val="24"/>
        </w:rPr>
        <w:t xml:space="preserve"> </w:t>
      </w:r>
      <w:r w:rsidRPr="004E3A1B">
        <w:rPr>
          <w:sz w:val="24"/>
          <w:szCs w:val="24"/>
        </w:rPr>
        <w:t>Outside Consultations</w:t>
      </w:r>
      <w:bookmarkEnd w:id="28"/>
    </w:p>
    <w:p w:rsidR="00C00123" w:rsidP="00C00123" w:rsidRDefault="00C00123" w14:paraId="07AA816E" w14:textId="696C2271">
      <w:pPr>
        <w:autoSpaceDE w:val="0"/>
        <w:autoSpaceDN w:val="0"/>
        <w:adjustRightInd w:val="0"/>
      </w:pPr>
      <w:bookmarkStart w:name="_Toc457285506" w:id="30"/>
      <w:bookmarkStart w:name="_Toc58725294" w:id="31"/>
      <w:bookmarkStart w:name="_Toc151782184" w:id="32"/>
      <w:bookmarkStart w:name="_Toc158526224" w:id="33"/>
      <w:r>
        <w:t xml:space="preserve">AHRQ and its evaluation contractor, NORC at the </w:t>
      </w:r>
      <w:r w:rsidR="008B47A7">
        <w:t>University</w:t>
      </w:r>
      <w:r>
        <w:t xml:space="preserve"> of Chicago, </w:t>
      </w:r>
      <w:r w:rsidR="0085659E">
        <w:t xml:space="preserve">is </w:t>
      </w:r>
      <w:r>
        <w:t>consult</w:t>
      </w:r>
      <w:r w:rsidR="0085659E">
        <w:t>ing</w:t>
      </w:r>
      <w:r w:rsidRPr="00E64791">
        <w:t xml:space="preserve"> with</w:t>
      </w:r>
      <w:r>
        <w:t xml:space="preserve"> a technical </w:t>
      </w:r>
      <w:r w:rsidRPr="0083713C">
        <w:t xml:space="preserve">expert panel (TEP) for guidance on the plan and design for this project. The TEP will be made up of </w:t>
      </w:r>
      <w:r w:rsidRPr="0083713C">
        <w:rPr>
          <w:bCs/>
        </w:rPr>
        <w:t xml:space="preserve">CDS experts who are best able to articulate the optimum approach to conducting the evaluation, Horizon Scan, pilot project, and dissemination of project findings. </w:t>
      </w:r>
      <w:r w:rsidRPr="0083713C">
        <w:t>(</w:t>
      </w:r>
      <w:r>
        <w:t>S</w:t>
      </w:r>
      <w:r w:rsidRPr="003840E6">
        <w:t xml:space="preserve">ee Attachment </w:t>
      </w:r>
      <w:r w:rsidR="00907A6D">
        <w:t>A</w:t>
      </w:r>
      <w:r w:rsidR="008B47A7">
        <w:t xml:space="preserve"> for </w:t>
      </w:r>
      <w:r w:rsidRPr="003840E6">
        <w:t>list of TEP</w:t>
      </w:r>
      <w:r w:rsidRPr="0083713C">
        <w:t xml:space="preserve"> members.</w:t>
      </w:r>
      <w:r>
        <w:t>)</w:t>
      </w:r>
      <w:r w:rsidRPr="0083713C">
        <w:t xml:space="preserve"> The first TEP </w:t>
      </w:r>
      <w:r w:rsidR="000754C1">
        <w:t>was</w:t>
      </w:r>
      <w:r w:rsidRPr="0083713C" w:rsidR="000754C1">
        <w:t xml:space="preserve"> held</w:t>
      </w:r>
      <w:r w:rsidRPr="0083713C">
        <w:t xml:space="preserve"> </w:t>
      </w:r>
      <w:r w:rsidRPr="00C00123">
        <w:t xml:space="preserve">in person in February 3, 2020. During this meeting, </w:t>
      </w:r>
      <w:r w:rsidRPr="00C00123" w:rsidR="000754C1">
        <w:t>NORC gathered</w:t>
      </w:r>
      <w:r w:rsidRPr="00C00123">
        <w:t xml:space="preserve"> feedback on the overall approach t</w:t>
      </w:r>
      <w:r w:rsidR="00FE757B">
        <w:t xml:space="preserve">o data collection and analysis. </w:t>
      </w:r>
      <w:r w:rsidRPr="00C00123">
        <w:t>The second in-person TEP meeting is tentatively scheduled for September 2020.</w:t>
      </w:r>
    </w:p>
    <w:p w:rsidR="00C00123" w:rsidP="00C00123" w:rsidRDefault="00C00123" w14:paraId="33341ECC" w14:textId="77777777">
      <w:pPr>
        <w:autoSpaceDE w:val="0"/>
        <w:autoSpaceDN w:val="0"/>
        <w:adjustRightInd w:val="0"/>
      </w:pPr>
    </w:p>
    <w:p w:rsidR="00C00123" w:rsidP="00C00123" w:rsidRDefault="00C00123" w14:paraId="718E36AC" w14:textId="77777777">
      <w:pPr>
        <w:autoSpaceDE w:val="0"/>
        <w:autoSpaceDN w:val="0"/>
        <w:adjustRightInd w:val="0"/>
      </w:pPr>
      <w:r>
        <w:lastRenderedPageBreak/>
        <w:t>In addition, NORC is consulting with the following experts in CDS implementation to design the evaluation:</w:t>
      </w:r>
    </w:p>
    <w:p w:rsidR="00C00123" w:rsidP="00306F0F" w:rsidRDefault="00C00123" w14:paraId="77D45805" w14:textId="77777777">
      <w:pPr>
        <w:numPr>
          <w:ilvl w:val="0"/>
          <w:numId w:val="5"/>
        </w:numPr>
        <w:autoSpaceDE w:val="0"/>
        <w:autoSpaceDN w:val="0"/>
        <w:adjustRightInd w:val="0"/>
      </w:pPr>
      <w:r>
        <w:t xml:space="preserve">Dr. Dean </w:t>
      </w:r>
      <w:proofErr w:type="spellStart"/>
      <w:r>
        <w:t>Sittig</w:t>
      </w:r>
      <w:proofErr w:type="spellEnd"/>
      <w:r>
        <w:t>, Professor of Biomedical Informatics and Bioengineering; University of Texas Health Science Center at Houston</w:t>
      </w:r>
    </w:p>
    <w:p w:rsidR="00C00123" w:rsidP="00306F0F" w:rsidRDefault="00C00123" w14:paraId="2841BB9E" w14:textId="77777777">
      <w:pPr>
        <w:numPr>
          <w:ilvl w:val="0"/>
          <w:numId w:val="5"/>
        </w:numPr>
        <w:autoSpaceDE w:val="0"/>
        <w:autoSpaceDN w:val="0"/>
        <w:adjustRightInd w:val="0"/>
      </w:pPr>
      <w:r>
        <w:t xml:space="preserve">Dr. Aziz </w:t>
      </w:r>
      <w:proofErr w:type="spellStart"/>
      <w:r>
        <w:t>Boxwala</w:t>
      </w:r>
      <w:proofErr w:type="spellEnd"/>
      <w:r>
        <w:t xml:space="preserve">, </w:t>
      </w:r>
      <w:r w:rsidRPr="002547DD">
        <w:t xml:space="preserve">Co-Founder and President of </w:t>
      </w:r>
      <w:proofErr w:type="spellStart"/>
      <w:r w:rsidRPr="002547DD">
        <w:t>Elimu</w:t>
      </w:r>
      <w:proofErr w:type="spellEnd"/>
      <w:r w:rsidRPr="002547DD">
        <w:t xml:space="preserve"> Informatics</w:t>
      </w:r>
      <w:r>
        <w:t>.</w:t>
      </w:r>
    </w:p>
    <w:p w:rsidRPr="00AD4663" w:rsidR="0038217D" w:rsidP="0038217D" w:rsidRDefault="009B633D" w14:paraId="7CC7635A" w14:textId="77777777">
      <w:pPr>
        <w:pStyle w:val="Heading2"/>
        <w:rPr>
          <w:sz w:val="24"/>
          <w:szCs w:val="24"/>
        </w:rPr>
      </w:pPr>
      <w:bookmarkStart w:name="_Toc42869943" w:id="34"/>
      <w:r w:rsidRPr="00AD4663">
        <w:rPr>
          <w:sz w:val="24"/>
          <w:szCs w:val="24"/>
        </w:rPr>
        <w:t>9. Payments/Gifts to Respondents</w:t>
      </w:r>
      <w:bookmarkEnd w:id="30"/>
      <w:bookmarkEnd w:id="31"/>
      <w:bookmarkEnd w:id="32"/>
      <w:bookmarkEnd w:id="33"/>
      <w:bookmarkEnd w:id="34"/>
    </w:p>
    <w:p w:rsidRPr="00AD4663" w:rsidR="00B915F1" w:rsidP="009B633D" w:rsidRDefault="00C00123" w14:paraId="6BEE2F78" w14:textId="6DC05553">
      <w:pPr>
        <w:jc w:val="both"/>
      </w:pPr>
      <w:r>
        <w:t>There will be no remuneration to respondents.</w:t>
      </w:r>
    </w:p>
    <w:p w:rsidRPr="00412C6F" w:rsidR="009B633D" w:rsidP="009B633D" w:rsidRDefault="009B633D" w14:paraId="2B9FFF70" w14:textId="77777777">
      <w:pPr>
        <w:pStyle w:val="Heading2"/>
        <w:rPr>
          <w:sz w:val="24"/>
        </w:rPr>
      </w:pPr>
      <w:bookmarkStart w:name="_Toc151782185" w:id="35"/>
      <w:bookmarkStart w:name="_Toc158526225" w:id="36"/>
      <w:bookmarkStart w:name="_Toc42869944" w:id="37"/>
      <w:r w:rsidRPr="00412C6F">
        <w:rPr>
          <w:sz w:val="24"/>
        </w:rPr>
        <w:t>10. Assurance of Confidentiality</w:t>
      </w:r>
      <w:bookmarkEnd w:id="35"/>
      <w:bookmarkEnd w:id="36"/>
      <w:bookmarkEnd w:id="37"/>
    </w:p>
    <w:p w:rsidR="0033653E" w:rsidP="0033653E" w:rsidRDefault="0033653E" w14:paraId="34173472" w14:textId="1FB8A25B">
      <w:pPr>
        <w:autoSpaceDE w:val="0"/>
        <w:autoSpaceDN w:val="0"/>
        <w:adjustRightInd w:val="0"/>
      </w:pPr>
      <w:bookmarkStart w:name="_Toc151782186" w:id="38"/>
      <w:bookmarkStart w:name="_Toc158526226" w:id="39"/>
      <w:r>
        <w:t>For both the key informant interviews and the web survey, i</w:t>
      </w:r>
      <w:r w:rsidRPr="00521449">
        <w:t>ndividuals and organizations will be assured of the confidentiality of their replies under Section 934(c) of the Public Health Service Act, 42 USC 299c-3(c).</w:t>
      </w:r>
      <w:r w:rsidR="0041780A">
        <w:t xml:space="preserve"> </w:t>
      </w:r>
      <w:r w:rsidRPr="00521449">
        <w:t>They will be told the purposes for which the information is collected and that, in accordance with this statute, any identifiable information about them will not be used or disclosed for any other purpose</w:t>
      </w:r>
      <w:r>
        <w:t xml:space="preserve"> without their prior consent</w:t>
      </w:r>
      <w:r w:rsidRPr="00521449">
        <w:t xml:space="preserve">. </w:t>
      </w:r>
    </w:p>
    <w:p w:rsidR="0033653E" w:rsidP="0033653E" w:rsidRDefault="0033653E" w14:paraId="7943BB33" w14:textId="77777777">
      <w:pPr>
        <w:autoSpaceDE w:val="0"/>
        <w:autoSpaceDN w:val="0"/>
        <w:adjustRightInd w:val="0"/>
      </w:pPr>
    </w:p>
    <w:p w:rsidR="0033653E" w:rsidP="0033653E" w:rsidRDefault="0033653E" w14:paraId="29EB4A35" w14:textId="77777777">
      <w:pPr>
        <w:autoSpaceDE w:val="0"/>
        <w:autoSpaceDN w:val="0"/>
        <w:adjustRightInd w:val="0"/>
      </w:pPr>
      <w:r w:rsidRPr="00333779">
        <w:rPr>
          <w:b/>
          <w:i/>
        </w:rPr>
        <w:t>Key informant interviews</w:t>
      </w:r>
      <w:r>
        <w:t xml:space="preserve">. During the key informant interviews and site visits, NORC will </w:t>
      </w:r>
      <w:r w:rsidRPr="00917699">
        <w:t>collect the respondent’s name, phone number, organ</w:t>
      </w:r>
      <w:r>
        <w:t xml:space="preserve">izational affiliation, and title </w:t>
      </w:r>
      <w:r w:rsidRPr="00917699">
        <w:t>for case tracking purposes or for clarification call backs. The</w:t>
      </w:r>
      <w:r>
        <w:t>y will not collect a</w:t>
      </w:r>
      <w:r w:rsidRPr="00917699">
        <w:t xml:space="preserve">ny </w:t>
      </w:r>
      <w:r>
        <w:t xml:space="preserve">other </w:t>
      </w:r>
      <w:r w:rsidRPr="00917699">
        <w:t>information about either the respondent or any in</w:t>
      </w:r>
      <w:r>
        <w:t xml:space="preserve">dividual in the establishment, outside of their role on the project. </w:t>
      </w:r>
      <w:r w:rsidRPr="00917699">
        <w:t>All electronic files will be password protected and accessible only from a secured network. When not in use by project staff, all printed information or materials that could potentially identify participants in the study will be stored in locked cabinets that are accessible only to project team members.</w:t>
      </w:r>
      <w:r>
        <w:t xml:space="preserve"> </w:t>
      </w:r>
    </w:p>
    <w:p w:rsidR="0033653E" w:rsidP="0033653E" w:rsidRDefault="0033653E" w14:paraId="428AAF6A" w14:textId="77777777">
      <w:pPr>
        <w:autoSpaceDE w:val="0"/>
        <w:autoSpaceDN w:val="0"/>
        <w:adjustRightInd w:val="0"/>
      </w:pPr>
    </w:p>
    <w:p w:rsidR="0033653E" w:rsidP="0033653E" w:rsidRDefault="0033653E" w14:paraId="5D785F61" w14:textId="3AEC5ADE">
      <w:pPr>
        <w:autoSpaceDE w:val="0"/>
        <w:autoSpaceDN w:val="0"/>
        <w:adjustRightInd w:val="0"/>
      </w:pPr>
      <w:r>
        <w:t xml:space="preserve">All respondent involvement will be voluntary. Oral consent for participation will be obtained from respondents. Respondents will be informed that: (1) copies of the interview notes </w:t>
      </w:r>
      <w:r w:rsidR="00FC6596">
        <w:t xml:space="preserve">will not be shared with </w:t>
      </w:r>
      <w:r>
        <w:t>anyone outside of the team; (2) respondent comments may be included in reports and publications but will not be attributed to specific individuals or organizations; and (3) the interviewers have a system to mark specific comments in interview notes as off-limits for reports and publications when notified to do so by the respondent.</w:t>
      </w:r>
    </w:p>
    <w:p w:rsidR="00333779" w:rsidP="0033653E" w:rsidRDefault="00333779" w14:paraId="6AC2C70F" w14:textId="77777777">
      <w:pPr>
        <w:autoSpaceDE w:val="0"/>
        <w:autoSpaceDN w:val="0"/>
        <w:adjustRightInd w:val="0"/>
      </w:pPr>
    </w:p>
    <w:p w:rsidR="00333779" w:rsidP="00333779" w:rsidRDefault="00333779" w14:paraId="0F91ED89" w14:textId="5D76DC7B">
      <w:pPr>
        <w:autoSpaceDE w:val="0"/>
        <w:autoSpaceDN w:val="0"/>
        <w:adjustRightInd w:val="0"/>
      </w:pPr>
      <w:r w:rsidRPr="00333779">
        <w:rPr>
          <w:b/>
          <w:i/>
        </w:rPr>
        <w:t>Web survey</w:t>
      </w:r>
      <w:r w:rsidRPr="00A0170C">
        <w:rPr>
          <w:b/>
        </w:rPr>
        <w:t>.</w:t>
      </w:r>
      <w:r w:rsidR="0041780A">
        <w:t xml:space="preserve"> </w:t>
      </w:r>
      <w:r>
        <w:t>Web survey respondents will be informed that their participation is voluntary. The survey will include a statement of confidentiality containing the following statement:</w:t>
      </w:r>
    </w:p>
    <w:p w:rsidRPr="005A44CD" w:rsidR="00333779" w:rsidP="00333779" w:rsidRDefault="00333779" w14:paraId="6C525CB6" w14:textId="77777777">
      <w:pPr>
        <w:autoSpaceDE w:val="0"/>
        <w:autoSpaceDN w:val="0"/>
        <w:adjustRightInd w:val="0"/>
        <w:ind w:left="720"/>
      </w:pPr>
      <w:r w:rsidRPr="005A44CD">
        <w:t>The confidentiality of your responses are protected by Sections 9</w:t>
      </w:r>
      <w:r>
        <w:t>3</w:t>
      </w:r>
      <w:r w:rsidRPr="005A44CD">
        <w:t xml:space="preserve">4(c) and 308(d) of the Public Health Service Act [42 U.S.C. 299c-3(c) and 42 U.S.C. </w:t>
      </w:r>
      <w:proofErr w:type="gramStart"/>
      <w:r w:rsidRPr="005A44CD">
        <w:t>242m(</w:t>
      </w:r>
      <w:proofErr w:type="gramEnd"/>
      <w:r w:rsidRPr="005A44CD">
        <w:t>d)]. Information that could identify you will not be disclosed unless you have consented to that disclosure.</w:t>
      </w:r>
    </w:p>
    <w:p w:rsidRPr="004B0B18" w:rsidR="0001000B" w:rsidP="002C0104" w:rsidRDefault="00333779" w14:paraId="0F461021" w14:textId="643FA412">
      <w:pPr>
        <w:spacing w:before="100" w:beforeAutospacing="1" w:after="100" w:afterAutospacing="1"/>
        <w:rPr>
          <w:color w:val="000000" w:themeColor="text1"/>
        </w:rPr>
      </w:pPr>
      <w:r>
        <w:t xml:space="preserve">The survey will collect the respondent’s name, title and organizational affiliation for </w:t>
      </w:r>
      <w:r w:rsidRPr="004B0B18">
        <w:rPr>
          <w:color w:val="000000" w:themeColor="text1"/>
        </w:rPr>
        <w:t>purposes of understanding their role in using CDS.</w:t>
      </w:r>
      <w:r w:rsidR="0041780A">
        <w:rPr>
          <w:color w:val="000000" w:themeColor="text1"/>
        </w:rPr>
        <w:t xml:space="preserve"> </w:t>
      </w:r>
      <w:r w:rsidRPr="004B0B18" w:rsidR="00B85C07">
        <w:rPr>
          <w:color w:val="000000" w:themeColor="text1"/>
        </w:rPr>
        <w:t>It will also collect the name and email of other users of CDS re</w:t>
      </w:r>
      <w:r w:rsidRPr="004B0B18" w:rsidR="00DA069A">
        <w:rPr>
          <w:color w:val="000000" w:themeColor="text1"/>
        </w:rPr>
        <w:t>sources known to the respondent (referrals.)</w:t>
      </w:r>
      <w:r w:rsidR="0041780A">
        <w:rPr>
          <w:color w:val="000000" w:themeColor="text1"/>
        </w:rPr>
        <w:t xml:space="preserve"> </w:t>
      </w:r>
      <w:r w:rsidRPr="004B0B18" w:rsidR="00DA069A">
        <w:rPr>
          <w:color w:val="000000" w:themeColor="text1"/>
        </w:rPr>
        <w:t>Initial respondents will be asked for permission to share their name in the survey invitations</w:t>
      </w:r>
      <w:r w:rsidR="004B0B18">
        <w:rPr>
          <w:color w:val="000000" w:themeColor="text1"/>
        </w:rPr>
        <w:t xml:space="preserve"> sent to the individuals they refer.</w:t>
      </w:r>
      <w:r w:rsidR="0041780A">
        <w:rPr>
          <w:color w:val="000000" w:themeColor="text1"/>
        </w:rPr>
        <w:t xml:space="preserve"> </w:t>
      </w:r>
      <w:r w:rsidRPr="004B0B18" w:rsidR="00DA069A">
        <w:rPr>
          <w:color w:val="000000" w:themeColor="text1"/>
        </w:rPr>
        <w:t>Their name will not be linked to the data for any other purpose</w:t>
      </w:r>
      <w:r w:rsidRPr="004B0B18" w:rsidR="00260694">
        <w:rPr>
          <w:color w:val="000000" w:themeColor="text1"/>
        </w:rPr>
        <w:t>.</w:t>
      </w:r>
    </w:p>
    <w:p w:rsidR="00333779" w:rsidP="002C0104" w:rsidRDefault="00333779" w14:paraId="154B94A3" w14:textId="747248BA">
      <w:pPr>
        <w:spacing w:before="100" w:beforeAutospacing="1" w:after="100" w:afterAutospacing="1"/>
      </w:pPr>
      <w:r>
        <w:lastRenderedPageBreak/>
        <w:t xml:space="preserve">All data will be collected by AHRQ’s contractor, NORC. All facility and respondent-level data, as well as survey response data, will be stored on NORC’s secure servers. </w:t>
      </w:r>
    </w:p>
    <w:p w:rsidRPr="00412C6F" w:rsidR="009B633D" w:rsidP="009B633D" w:rsidRDefault="009B633D" w14:paraId="6DEFFF53" w14:textId="77777777">
      <w:pPr>
        <w:pStyle w:val="Heading2"/>
        <w:rPr>
          <w:sz w:val="24"/>
        </w:rPr>
      </w:pPr>
      <w:bookmarkStart w:name="_Toc42869945" w:id="40"/>
      <w:r w:rsidRPr="00412C6F">
        <w:rPr>
          <w:sz w:val="24"/>
        </w:rPr>
        <w:t>11. Questions of a Sensitive Nature</w:t>
      </w:r>
      <w:bookmarkEnd w:id="38"/>
      <w:bookmarkEnd w:id="39"/>
      <w:bookmarkEnd w:id="40"/>
    </w:p>
    <w:p w:rsidR="0033653E" w:rsidP="0033653E" w:rsidRDefault="0033653E" w14:paraId="2B23135B" w14:textId="279470BA">
      <w:r w:rsidRPr="00816005">
        <w:t xml:space="preserve">No </w:t>
      </w:r>
      <w:r>
        <w:t>questions of a sensitive nature will be asked. Further, during the introduction to the interview, respondents will be informed that their participation is voluntary and that they can refuse to answer any question.</w:t>
      </w:r>
      <w:r w:rsidR="0041780A">
        <w:t xml:space="preserve"> </w:t>
      </w:r>
      <w:r w:rsidR="004C434B">
        <w:t>The web survey will be programmed so that any question can be skipped</w:t>
      </w:r>
      <w:r w:rsidR="0001000B">
        <w:t xml:space="preserve"> if they do not apply to the respondent</w:t>
      </w:r>
      <w:r w:rsidR="004C434B">
        <w:t>.</w:t>
      </w:r>
    </w:p>
    <w:p w:rsidR="00BB7136" w:rsidP="00ED0EBB" w:rsidRDefault="00BB7136" w14:paraId="7BAA5BCD" w14:textId="77777777">
      <w:pPr>
        <w:rPr>
          <w:i/>
        </w:rPr>
      </w:pPr>
    </w:p>
    <w:p w:rsidRPr="00412C6F" w:rsidR="009B633D" w:rsidP="009B633D" w:rsidRDefault="009B633D" w14:paraId="5190CE31" w14:textId="77777777">
      <w:pPr>
        <w:pStyle w:val="Heading2"/>
        <w:rPr>
          <w:sz w:val="24"/>
        </w:rPr>
      </w:pPr>
      <w:bookmarkStart w:name="_Toc151782187" w:id="41"/>
      <w:bookmarkStart w:name="_Toc158526227" w:id="42"/>
      <w:bookmarkStart w:name="_Toc42869946" w:id="43"/>
      <w:r w:rsidRPr="00412C6F">
        <w:rPr>
          <w:sz w:val="24"/>
        </w:rPr>
        <w:t>12. Estimates of Annualized Burden Hours and Costs</w:t>
      </w:r>
      <w:bookmarkEnd w:id="41"/>
      <w:bookmarkEnd w:id="42"/>
      <w:bookmarkEnd w:id="43"/>
    </w:p>
    <w:p w:rsidR="00FC5BE9" w:rsidP="0033653E" w:rsidRDefault="00FC5BE9" w14:paraId="44700005" w14:textId="77777777">
      <w:pPr>
        <w:rPr>
          <w:color w:val="000000"/>
        </w:rPr>
      </w:pPr>
    </w:p>
    <w:p w:rsidR="0033653E" w:rsidP="0033653E" w:rsidRDefault="00FC5BE9" w14:paraId="2C20B62B" w14:textId="7A7304B6">
      <w:pPr>
        <w:rPr>
          <w:color w:val="000000"/>
        </w:rPr>
      </w:pPr>
      <w:r w:rsidRPr="00333779">
        <w:rPr>
          <w:b/>
          <w:i/>
          <w:color w:val="000000"/>
        </w:rPr>
        <w:t xml:space="preserve">Key Informant </w:t>
      </w:r>
      <w:r w:rsidRPr="00333779" w:rsidR="0033653E">
        <w:rPr>
          <w:b/>
          <w:i/>
          <w:color w:val="000000"/>
        </w:rPr>
        <w:t>Interviews</w:t>
      </w:r>
      <w:r>
        <w:rPr>
          <w:color w:val="000000"/>
        </w:rPr>
        <w:t>. Key informant interviews</w:t>
      </w:r>
      <w:r w:rsidR="00333779">
        <w:rPr>
          <w:color w:val="000000"/>
        </w:rPr>
        <w:t xml:space="preserve"> </w:t>
      </w:r>
      <w:r w:rsidR="0033653E">
        <w:rPr>
          <w:color w:val="000000"/>
        </w:rPr>
        <w:t>will be conducted with up to 147 key informants acr</w:t>
      </w:r>
      <w:r w:rsidR="00021052">
        <w:rPr>
          <w:color w:val="000000"/>
        </w:rPr>
        <w:t>oss a variety of organization</w:t>
      </w:r>
      <w:r w:rsidR="00BD6F50">
        <w:rPr>
          <w:color w:val="000000"/>
        </w:rPr>
        <w:t>s involved in each component of the Initiative</w:t>
      </w:r>
      <w:r w:rsidR="005A3B16">
        <w:rPr>
          <w:color w:val="000000"/>
        </w:rPr>
        <w:t xml:space="preserve">.  </w:t>
      </w:r>
      <w:r w:rsidR="00B6592B">
        <w:rPr>
          <w:color w:val="000000"/>
        </w:rPr>
        <w:t xml:space="preserve">NORC will use </w:t>
      </w:r>
      <w:r w:rsidR="005A3B16">
        <w:rPr>
          <w:color w:val="000000"/>
        </w:rPr>
        <w:t>one of 14</w:t>
      </w:r>
      <w:r w:rsidR="0033653E">
        <w:rPr>
          <w:color w:val="000000"/>
        </w:rPr>
        <w:t xml:space="preserve"> interview protocol</w:t>
      </w:r>
      <w:r w:rsidR="005A3B16">
        <w:rPr>
          <w:color w:val="000000"/>
        </w:rPr>
        <w:t>s</w:t>
      </w:r>
      <w:r w:rsidR="0033653E">
        <w:rPr>
          <w:color w:val="000000"/>
        </w:rPr>
        <w:t xml:space="preserve"> based on </w:t>
      </w:r>
      <w:r w:rsidR="00B6592B">
        <w:rPr>
          <w:color w:val="000000"/>
        </w:rPr>
        <w:t xml:space="preserve">the component the key informant is </w:t>
      </w:r>
      <w:r w:rsidR="005A3B16">
        <w:rPr>
          <w:color w:val="000000"/>
        </w:rPr>
        <w:t>involved in and their role in th</w:t>
      </w:r>
      <w:r w:rsidR="00B6592B">
        <w:rPr>
          <w:color w:val="000000"/>
        </w:rPr>
        <w:t xml:space="preserve">at component. </w:t>
      </w:r>
      <w:r w:rsidR="005A3B16">
        <w:rPr>
          <w:color w:val="000000"/>
        </w:rPr>
        <w:t xml:space="preserve"> </w:t>
      </w:r>
      <w:r w:rsidR="00B6592B">
        <w:rPr>
          <w:color w:val="000000"/>
        </w:rPr>
        <w:t xml:space="preserve">As shown in Exhibit 3, the interview forms names include the type of role of the key informant in the project. </w:t>
      </w:r>
      <w:r w:rsidR="00F25A65">
        <w:rPr>
          <w:color w:val="000000"/>
        </w:rPr>
        <w:t>Attachment B includes the interview recruitment material</w:t>
      </w:r>
      <w:r w:rsidR="00882AAA">
        <w:rPr>
          <w:color w:val="000000"/>
        </w:rPr>
        <w:t>s and thank you e-mail template,</w:t>
      </w:r>
      <w:r w:rsidR="00F25A65">
        <w:rPr>
          <w:color w:val="000000"/>
        </w:rPr>
        <w:t xml:space="preserve"> and Attachment C includes the information sheets for all informan</w:t>
      </w:r>
      <w:r w:rsidR="005251B5">
        <w:rPr>
          <w:color w:val="000000"/>
        </w:rPr>
        <w:t>t types. Attachments D through Q</w:t>
      </w:r>
      <w:r w:rsidR="00F25A65">
        <w:rPr>
          <w:color w:val="000000"/>
        </w:rPr>
        <w:t xml:space="preserve"> include the </w:t>
      </w:r>
      <w:r w:rsidR="007D13FE">
        <w:rPr>
          <w:color w:val="000000"/>
        </w:rPr>
        <w:t>interview</w:t>
      </w:r>
      <w:r w:rsidR="00F25A65">
        <w:rPr>
          <w:color w:val="000000"/>
        </w:rPr>
        <w:t xml:space="preserve"> protocols for each informant type as noted in Exhibit 3. </w:t>
      </w:r>
      <w:r w:rsidR="0033653E">
        <w:rPr>
          <w:color w:val="000000"/>
        </w:rPr>
        <w:t>All interviews are expected to last one hour. Some key informants may serve multiple roles or work on multiple projects. In these cases, the relevant protocols will be combined and streamlined so that the informant only completes one interview.</w:t>
      </w:r>
      <w:r w:rsidR="0041780A">
        <w:rPr>
          <w:color w:val="000000"/>
        </w:rPr>
        <w:t xml:space="preserve"> </w:t>
      </w:r>
      <w:r w:rsidR="0033653E">
        <w:rPr>
          <w:color w:val="000000"/>
        </w:rPr>
        <w:t xml:space="preserve">Some of the key informant interviews for the sites or Opioid-related grants may be conducted during the course of site visits at the implementation sites, either with individuals or small groups of respondents. </w:t>
      </w:r>
    </w:p>
    <w:p w:rsidR="0033653E" w:rsidP="0033653E" w:rsidRDefault="0033653E" w14:paraId="7DF95454" w14:textId="77777777">
      <w:pPr>
        <w:rPr>
          <w:color w:val="000000"/>
        </w:rPr>
      </w:pPr>
    </w:p>
    <w:p w:rsidR="0033653E" w:rsidP="0033653E" w:rsidRDefault="00FC5BE9" w14:paraId="61250A02" w14:textId="51EE1998">
      <w:pPr>
        <w:keepNext/>
        <w:rPr>
          <w:color w:val="000000"/>
        </w:rPr>
      </w:pPr>
      <w:r w:rsidRPr="002C0104">
        <w:rPr>
          <w:b/>
          <w:color w:val="000000"/>
        </w:rPr>
        <w:t>Web Survey.</w:t>
      </w:r>
      <w:r>
        <w:rPr>
          <w:color w:val="000000"/>
        </w:rPr>
        <w:t xml:space="preserve"> </w:t>
      </w:r>
      <w:r w:rsidR="00612E29">
        <w:rPr>
          <w:color w:val="000000"/>
        </w:rPr>
        <w:t>For the web survey, it is estimated</w:t>
      </w:r>
      <w:r w:rsidR="00A41E26">
        <w:rPr>
          <w:color w:val="000000"/>
        </w:rPr>
        <w:t xml:space="preserve"> that </w:t>
      </w:r>
      <w:r w:rsidR="00FC6596">
        <w:rPr>
          <w:color w:val="000000"/>
        </w:rPr>
        <w:t>453</w:t>
      </w:r>
      <w:r w:rsidRPr="00BC6E2D" w:rsidR="00FC6596">
        <w:rPr>
          <w:color w:val="000000"/>
        </w:rPr>
        <w:t xml:space="preserve"> </w:t>
      </w:r>
      <w:r w:rsidRPr="00BC6E2D" w:rsidR="0033653E">
        <w:rPr>
          <w:color w:val="000000"/>
        </w:rPr>
        <w:t>CDS Connect users will respond to the 10-minute survey.</w:t>
      </w:r>
      <w:r w:rsidR="0041780A">
        <w:rPr>
          <w:color w:val="000000"/>
        </w:rPr>
        <w:t xml:space="preserve"> </w:t>
      </w:r>
      <w:r w:rsidR="00DE6B26">
        <w:rPr>
          <w:color w:val="000000"/>
        </w:rPr>
        <w:t xml:space="preserve">(See Attachment </w:t>
      </w:r>
      <w:r w:rsidR="007D13FE">
        <w:rPr>
          <w:color w:val="000000"/>
        </w:rPr>
        <w:t xml:space="preserve">R for the survey </w:t>
      </w:r>
      <w:r w:rsidR="00A61FA3">
        <w:rPr>
          <w:color w:val="000000"/>
        </w:rPr>
        <w:t xml:space="preserve">instrument </w:t>
      </w:r>
      <w:r w:rsidR="007D13FE">
        <w:rPr>
          <w:color w:val="000000"/>
        </w:rPr>
        <w:t xml:space="preserve">and </w:t>
      </w:r>
      <w:r w:rsidR="00FB184F">
        <w:rPr>
          <w:color w:val="000000"/>
        </w:rPr>
        <w:t xml:space="preserve">Attachment </w:t>
      </w:r>
      <w:r w:rsidR="007D13FE">
        <w:rPr>
          <w:color w:val="000000"/>
        </w:rPr>
        <w:t>S</w:t>
      </w:r>
      <w:r w:rsidR="00DE6B26">
        <w:rPr>
          <w:color w:val="000000"/>
        </w:rPr>
        <w:t xml:space="preserve"> for the survey invitations.)</w:t>
      </w:r>
    </w:p>
    <w:p w:rsidR="00744949" w:rsidP="0033653E" w:rsidRDefault="00744949" w14:paraId="64FDD35A" w14:textId="77777777">
      <w:pPr>
        <w:keepNext/>
        <w:rPr>
          <w:color w:val="000000"/>
        </w:rPr>
      </w:pPr>
    </w:p>
    <w:p w:rsidR="001749A1" w:rsidP="001749A1" w:rsidRDefault="001749A1" w14:paraId="717054E9" w14:textId="40C5A8B3">
      <w:pPr>
        <w:tabs>
          <w:tab w:val="left" w:pos="0"/>
        </w:tabs>
        <w:rPr>
          <w:bCs/>
        </w:rPr>
      </w:pPr>
      <w:r>
        <w:rPr>
          <w:bCs/>
        </w:rPr>
        <w:t xml:space="preserve">The total annual burden hours for the key informant interviews and surveys </w:t>
      </w:r>
      <w:r w:rsidR="00736A72">
        <w:rPr>
          <w:bCs/>
        </w:rPr>
        <w:t>is estimated</w:t>
      </w:r>
      <w:r>
        <w:rPr>
          <w:bCs/>
        </w:rPr>
        <w:t xml:space="preserve"> to be </w:t>
      </w:r>
      <w:r w:rsidR="00307322">
        <w:rPr>
          <w:bCs/>
        </w:rPr>
        <w:t>224</w:t>
      </w:r>
      <w:r>
        <w:rPr>
          <w:bCs/>
        </w:rPr>
        <w:t xml:space="preserve"> hours, as shown in Exhibit </w:t>
      </w:r>
      <w:r w:rsidR="00F25A65">
        <w:rPr>
          <w:bCs/>
        </w:rPr>
        <w:t>3</w:t>
      </w:r>
      <w:r>
        <w:rPr>
          <w:bCs/>
        </w:rPr>
        <w:t>.</w:t>
      </w:r>
    </w:p>
    <w:p w:rsidRPr="004B0B18" w:rsidR="00744949" w:rsidP="001700D8" w:rsidRDefault="00744949" w14:paraId="0A438BB6" w14:textId="11622F1D">
      <w:pPr>
        <w:pStyle w:val="NORCCaption-Exhibit"/>
        <w:pBdr>
          <w:top w:val="single" w:color="BFB6AC" w:sz="4" w:space="0"/>
        </w:pBdr>
        <w:spacing w:before="100" w:beforeAutospacing="1" w:line="276" w:lineRule="auto"/>
        <w:rPr>
          <w:rStyle w:val="NORCCaption-Color"/>
          <w:color w:val="000000" w:themeColor="text1"/>
        </w:rPr>
      </w:pPr>
      <w:bookmarkStart w:name="OLE_LINK1" w:id="44"/>
      <w:bookmarkStart w:name="OLE_LINK2" w:id="45"/>
      <w:r w:rsidRPr="004B0B18">
        <w:rPr>
          <w:rStyle w:val="NORCCaption-Color"/>
          <w:color w:val="000000" w:themeColor="text1"/>
        </w:rPr>
        <w:t xml:space="preserve">Exhibit </w:t>
      </w:r>
      <w:r w:rsidR="005A3B16">
        <w:rPr>
          <w:rStyle w:val="NORCCaption-Color"/>
          <w:color w:val="000000" w:themeColor="text1"/>
        </w:rPr>
        <w:t>3</w:t>
      </w:r>
      <w:r w:rsidRPr="004B0B18">
        <w:rPr>
          <w:rStyle w:val="NORCCaption-Color"/>
          <w:color w:val="000000" w:themeColor="text1"/>
        </w:rPr>
        <w:t>. Estimated Annualized Burden Hours</w:t>
      </w:r>
    </w:p>
    <w:tbl>
      <w:tblPr>
        <w:tblW w:w="8478" w:type="dxa"/>
        <w:tblLayout w:type="fixed"/>
        <w:tblCellMar>
          <w:left w:w="0" w:type="dxa"/>
          <w:right w:w="0" w:type="dxa"/>
        </w:tblCellMar>
        <w:tblLook w:val="0000" w:firstRow="0" w:lastRow="0" w:firstColumn="0" w:lastColumn="0" w:noHBand="0" w:noVBand="0"/>
      </w:tblPr>
      <w:tblGrid>
        <w:gridCol w:w="4338"/>
        <w:gridCol w:w="1980"/>
        <w:gridCol w:w="1080"/>
        <w:gridCol w:w="1080"/>
      </w:tblGrid>
      <w:tr w:rsidRPr="001369DB" w:rsidR="00744949" w:rsidTr="00A377B8" w14:paraId="5F919CC7" w14:textId="77777777">
        <w:trPr>
          <w:cantSplit/>
          <w:tblHeader/>
        </w:trPr>
        <w:tc>
          <w:tcPr>
            <w:tcW w:w="433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369DB" w:rsidR="00744949" w:rsidP="00A377B8" w:rsidRDefault="00744949" w14:paraId="5C536928" w14:textId="79E5B636">
            <w:pPr>
              <w:keepNext/>
              <w:jc w:val="center"/>
              <w:rPr>
                <w:b/>
                <w:sz w:val="22"/>
                <w:szCs w:val="22"/>
              </w:rPr>
            </w:pPr>
            <w:bookmarkStart w:name="OLE_LINK5" w:id="46"/>
            <w:r w:rsidRPr="001369DB">
              <w:rPr>
                <w:b/>
                <w:color w:val="000000"/>
                <w:sz w:val="22"/>
                <w:szCs w:val="22"/>
              </w:rPr>
              <w:t xml:space="preserve">Form </w:t>
            </w:r>
            <w:r w:rsidR="007D13FE">
              <w:rPr>
                <w:b/>
                <w:color w:val="000000"/>
                <w:sz w:val="22"/>
                <w:szCs w:val="22"/>
              </w:rPr>
              <w:t>N</w:t>
            </w:r>
            <w:r w:rsidRPr="001369DB">
              <w:rPr>
                <w:b/>
                <w:color w:val="000000"/>
                <w:sz w:val="22"/>
                <w:szCs w:val="22"/>
              </w:rPr>
              <w:t>ame</w:t>
            </w:r>
          </w:p>
        </w:tc>
        <w:tc>
          <w:tcPr>
            <w:tcW w:w="1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369DB" w:rsidR="00744949" w:rsidP="00A377B8" w:rsidRDefault="00744949" w14:paraId="06F60B89" w14:textId="77777777">
            <w:pPr>
              <w:keepNext/>
              <w:jc w:val="center"/>
              <w:rPr>
                <w:b/>
                <w:sz w:val="22"/>
                <w:szCs w:val="22"/>
              </w:rPr>
            </w:pPr>
            <w:r w:rsidRPr="001369DB">
              <w:rPr>
                <w:b/>
                <w:color w:val="000000"/>
                <w:sz w:val="22"/>
                <w:szCs w:val="22"/>
              </w:rPr>
              <w:t xml:space="preserve">Number of </w:t>
            </w:r>
            <w:r>
              <w:rPr>
                <w:b/>
                <w:color w:val="000000"/>
                <w:sz w:val="22"/>
                <w:szCs w:val="22"/>
              </w:rPr>
              <w:t>respondents</w:t>
            </w:r>
          </w:p>
        </w:tc>
        <w:tc>
          <w:tcPr>
            <w:tcW w:w="1080" w:type="dxa"/>
            <w:tcBorders>
              <w:top w:val="single" w:color="auto" w:sz="8" w:space="0"/>
              <w:left w:val="single" w:color="auto" w:sz="8" w:space="0"/>
              <w:bottom w:val="single" w:color="auto" w:sz="8" w:space="0"/>
              <w:right w:val="single" w:color="auto" w:sz="8" w:space="0"/>
            </w:tcBorders>
          </w:tcPr>
          <w:p w:rsidRPr="001369DB" w:rsidR="00744949" w:rsidP="00A377B8" w:rsidRDefault="00744949" w14:paraId="28253EBE" w14:textId="77777777">
            <w:pPr>
              <w:keepNext/>
              <w:jc w:val="center"/>
              <w:rPr>
                <w:b/>
                <w:color w:val="000000"/>
                <w:sz w:val="22"/>
                <w:szCs w:val="22"/>
              </w:rPr>
            </w:pPr>
            <w:r>
              <w:rPr>
                <w:b/>
                <w:color w:val="000000"/>
                <w:sz w:val="22"/>
                <w:szCs w:val="22"/>
              </w:rPr>
              <w:t>Hours per response</w:t>
            </w:r>
            <w:r w:rsidRPr="001369DB">
              <w:rPr>
                <w:b/>
                <w:color w:val="000000"/>
                <w:sz w:val="22"/>
                <w:szCs w:val="22"/>
              </w:rPr>
              <w:t xml:space="preserve"> </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369DB" w:rsidR="00744949" w:rsidP="00A377B8" w:rsidRDefault="00744949" w14:paraId="37E4CCCD" w14:textId="77777777">
            <w:pPr>
              <w:keepNext/>
              <w:jc w:val="center"/>
              <w:rPr>
                <w:b/>
                <w:sz w:val="22"/>
                <w:szCs w:val="22"/>
              </w:rPr>
            </w:pPr>
            <w:r w:rsidRPr="001369DB">
              <w:rPr>
                <w:b/>
                <w:color w:val="000000"/>
                <w:sz w:val="22"/>
                <w:szCs w:val="22"/>
              </w:rPr>
              <w:t>Total burden hours</w:t>
            </w:r>
          </w:p>
        </w:tc>
      </w:tr>
      <w:tr w:rsidRPr="001369DB" w:rsidR="00744949" w:rsidTr="00A41E26" w14:paraId="5E6A5700" w14:textId="77777777">
        <w:trPr>
          <w:cantSplit/>
          <w:trHeight w:val="358"/>
        </w:trPr>
        <w:tc>
          <w:tcPr>
            <w:tcW w:w="43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377B8" w:rsidRDefault="00F25A65" w14:paraId="703862FE" w14:textId="7DE0889A">
            <w:pPr>
              <w:rPr>
                <w:sz w:val="22"/>
                <w:szCs w:val="22"/>
              </w:rPr>
            </w:pPr>
            <w:r>
              <w:rPr>
                <w:sz w:val="22"/>
                <w:szCs w:val="22"/>
              </w:rPr>
              <w:t xml:space="preserve">Attachment D: </w:t>
            </w:r>
            <w:r w:rsidRPr="002C0104" w:rsidR="00744949">
              <w:rPr>
                <w:sz w:val="22"/>
                <w:szCs w:val="22"/>
              </w:rPr>
              <w:t>PC CDS Learning Network - Leader</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3E3AAF46" w14:textId="77777777">
            <w:pPr>
              <w:jc w:val="right"/>
              <w:rPr>
                <w:sz w:val="22"/>
                <w:szCs w:val="22"/>
              </w:rPr>
            </w:pPr>
            <w:r w:rsidRPr="002C0104">
              <w:rPr>
                <w:sz w:val="22"/>
                <w:szCs w:val="22"/>
              </w:rPr>
              <w:t>7</w:t>
            </w:r>
          </w:p>
        </w:tc>
        <w:tc>
          <w:tcPr>
            <w:tcW w:w="1080" w:type="dxa"/>
            <w:tcBorders>
              <w:top w:val="single" w:color="auto" w:sz="8" w:space="0"/>
              <w:left w:val="single" w:color="auto" w:sz="8" w:space="0"/>
              <w:bottom w:val="single" w:color="auto" w:sz="8" w:space="0"/>
              <w:right w:val="single" w:color="auto" w:sz="8" w:space="0"/>
            </w:tcBorders>
            <w:vAlign w:val="center"/>
          </w:tcPr>
          <w:p w:rsidRPr="002C0104" w:rsidR="00744949" w:rsidP="00A41E26" w:rsidRDefault="00744949" w14:paraId="6C62D3CA" w14:textId="77777777">
            <w:pPr>
              <w:jc w:val="right"/>
              <w:rPr>
                <w:sz w:val="22"/>
                <w:szCs w:val="22"/>
              </w:rPr>
            </w:pPr>
            <w:r w:rsidRPr="002C0104">
              <w:rPr>
                <w:sz w:val="22"/>
                <w:szCs w:val="22"/>
              </w:rPr>
              <w:t xml:space="preserve">1 </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2663D18A" w14:textId="77777777">
            <w:pPr>
              <w:jc w:val="right"/>
              <w:rPr>
                <w:sz w:val="22"/>
                <w:szCs w:val="22"/>
              </w:rPr>
            </w:pPr>
            <w:r w:rsidRPr="002C0104">
              <w:rPr>
                <w:sz w:val="22"/>
                <w:szCs w:val="22"/>
              </w:rPr>
              <w:t>7</w:t>
            </w:r>
          </w:p>
        </w:tc>
      </w:tr>
      <w:tr w:rsidRPr="001369DB" w:rsidR="00744949" w:rsidTr="00A41E26" w14:paraId="0E4690F4" w14:textId="77777777">
        <w:trPr>
          <w:cantSplit/>
          <w:trHeight w:val="322"/>
        </w:trPr>
        <w:tc>
          <w:tcPr>
            <w:tcW w:w="43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FB184F" w:rsidRDefault="00F25A65" w14:paraId="309879DC" w14:textId="7C8C37FD">
            <w:pPr>
              <w:rPr>
                <w:sz w:val="22"/>
                <w:szCs w:val="22"/>
              </w:rPr>
            </w:pPr>
            <w:r>
              <w:rPr>
                <w:sz w:val="22"/>
                <w:szCs w:val="22"/>
              </w:rPr>
              <w:t xml:space="preserve">Attachment E: </w:t>
            </w:r>
            <w:r w:rsidRPr="002C0104" w:rsidR="00744949">
              <w:rPr>
                <w:sz w:val="22"/>
                <w:szCs w:val="22"/>
              </w:rPr>
              <w:t>PC CDS Learning Network –Steering Committee</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6487C51C" w14:textId="77777777">
            <w:pPr>
              <w:jc w:val="right"/>
              <w:rPr>
                <w:sz w:val="22"/>
                <w:szCs w:val="22"/>
              </w:rPr>
            </w:pPr>
            <w:r w:rsidRPr="002C0104">
              <w:rPr>
                <w:sz w:val="22"/>
                <w:szCs w:val="22"/>
              </w:rPr>
              <w:t>3</w:t>
            </w:r>
          </w:p>
        </w:tc>
        <w:tc>
          <w:tcPr>
            <w:tcW w:w="1080" w:type="dxa"/>
            <w:tcBorders>
              <w:top w:val="single" w:color="auto" w:sz="8" w:space="0"/>
              <w:left w:val="single" w:color="auto" w:sz="8" w:space="0"/>
              <w:bottom w:val="single" w:color="auto" w:sz="8" w:space="0"/>
              <w:right w:val="single" w:color="auto" w:sz="8" w:space="0"/>
            </w:tcBorders>
            <w:vAlign w:val="center"/>
          </w:tcPr>
          <w:p w:rsidRPr="002C0104" w:rsidR="00744949" w:rsidP="00A41E26" w:rsidRDefault="00744949" w14:paraId="47A1BB5B" w14:textId="77777777">
            <w:pPr>
              <w:jc w:val="right"/>
              <w:rPr>
                <w:sz w:val="22"/>
                <w:szCs w:val="22"/>
              </w:rPr>
            </w:pPr>
            <w:r w:rsidRPr="002C0104">
              <w:rPr>
                <w:sz w:val="22"/>
                <w:szCs w:val="22"/>
              </w:rPr>
              <w:t>1</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229D7963" w14:textId="77777777">
            <w:pPr>
              <w:jc w:val="right"/>
              <w:rPr>
                <w:sz w:val="22"/>
                <w:szCs w:val="22"/>
              </w:rPr>
            </w:pPr>
            <w:r w:rsidRPr="002C0104">
              <w:rPr>
                <w:sz w:val="22"/>
                <w:szCs w:val="22"/>
              </w:rPr>
              <w:t>3</w:t>
            </w:r>
          </w:p>
        </w:tc>
      </w:tr>
      <w:tr w:rsidRPr="001369DB" w:rsidR="00744949" w:rsidTr="00A41E26" w14:paraId="55F28D82" w14:textId="77777777">
        <w:trPr>
          <w:cantSplit/>
        </w:trPr>
        <w:tc>
          <w:tcPr>
            <w:tcW w:w="43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377B8" w:rsidRDefault="00F25A65" w14:paraId="443386C7" w14:textId="6542BF41">
            <w:pPr>
              <w:rPr>
                <w:sz w:val="22"/>
                <w:szCs w:val="22"/>
              </w:rPr>
            </w:pPr>
            <w:r>
              <w:rPr>
                <w:sz w:val="22"/>
                <w:szCs w:val="22"/>
              </w:rPr>
              <w:t xml:space="preserve">Attachment F: </w:t>
            </w:r>
            <w:r w:rsidRPr="002C0104" w:rsidR="00744949">
              <w:rPr>
                <w:sz w:val="22"/>
                <w:szCs w:val="22"/>
              </w:rPr>
              <w:t>PC CDS Learning Network - Contributor</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07C66B98" w14:textId="77777777">
            <w:pPr>
              <w:jc w:val="right"/>
              <w:rPr>
                <w:sz w:val="22"/>
                <w:szCs w:val="22"/>
              </w:rPr>
            </w:pPr>
            <w:r w:rsidRPr="002C0104">
              <w:rPr>
                <w:sz w:val="22"/>
                <w:szCs w:val="22"/>
              </w:rPr>
              <w:t>8</w:t>
            </w:r>
          </w:p>
        </w:tc>
        <w:tc>
          <w:tcPr>
            <w:tcW w:w="1080" w:type="dxa"/>
            <w:tcBorders>
              <w:top w:val="single" w:color="auto" w:sz="8" w:space="0"/>
              <w:left w:val="single" w:color="auto" w:sz="8" w:space="0"/>
              <w:bottom w:val="single" w:color="auto" w:sz="8" w:space="0"/>
              <w:right w:val="single" w:color="auto" w:sz="8" w:space="0"/>
            </w:tcBorders>
            <w:vAlign w:val="center"/>
          </w:tcPr>
          <w:p w:rsidRPr="002C0104" w:rsidR="00744949" w:rsidP="00A41E26" w:rsidRDefault="00744949" w14:paraId="621A5DE4" w14:textId="77777777">
            <w:pPr>
              <w:jc w:val="right"/>
              <w:rPr>
                <w:sz w:val="22"/>
                <w:szCs w:val="22"/>
              </w:rPr>
            </w:pPr>
            <w:r w:rsidRPr="002C0104">
              <w:rPr>
                <w:sz w:val="22"/>
                <w:szCs w:val="22"/>
              </w:rPr>
              <w:t>1</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2890CC18" w14:textId="77777777">
            <w:pPr>
              <w:jc w:val="right"/>
              <w:rPr>
                <w:sz w:val="22"/>
                <w:szCs w:val="22"/>
              </w:rPr>
            </w:pPr>
            <w:r w:rsidRPr="002C0104">
              <w:rPr>
                <w:sz w:val="22"/>
                <w:szCs w:val="22"/>
              </w:rPr>
              <w:t>8</w:t>
            </w:r>
          </w:p>
        </w:tc>
      </w:tr>
      <w:tr w:rsidRPr="001369DB" w:rsidR="00744949" w:rsidTr="00A41E26" w14:paraId="4E354AB3" w14:textId="77777777">
        <w:trPr>
          <w:cantSplit/>
        </w:trPr>
        <w:tc>
          <w:tcPr>
            <w:tcW w:w="4338"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rsidRPr="002C0104" w:rsidR="00744949" w:rsidP="00A377B8" w:rsidRDefault="00F25A65" w14:paraId="552B976E" w14:textId="4CB012CE">
            <w:pPr>
              <w:rPr>
                <w:sz w:val="22"/>
                <w:szCs w:val="22"/>
              </w:rPr>
            </w:pPr>
            <w:r>
              <w:rPr>
                <w:sz w:val="22"/>
                <w:szCs w:val="22"/>
              </w:rPr>
              <w:t xml:space="preserve">Attachment G: </w:t>
            </w:r>
            <w:r w:rsidRPr="002C0104" w:rsidR="00744949">
              <w:rPr>
                <w:sz w:val="22"/>
                <w:szCs w:val="22"/>
              </w:rPr>
              <w:t>CDS Connect – Leader</w:t>
            </w:r>
          </w:p>
        </w:tc>
        <w:tc>
          <w:tcPr>
            <w:tcW w:w="198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045D43B0" w14:textId="77777777">
            <w:pPr>
              <w:jc w:val="right"/>
              <w:rPr>
                <w:sz w:val="22"/>
                <w:szCs w:val="22"/>
              </w:rPr>
            </w:pPr>
            <w:r w:rsidRPr="002C0104">
              <w:rPr>
                <w:sz w:val="22"/>
                <w:szCs w:val="22"/>
              </w:rPr>
              <w:t>5</w:t>
            </w:r>
          </w:p>
        </w:tc>
        <w:tc>
          <w:tcPr>
            <w:tcW w:w="1080" w:type="dxa"/>
            <w:tcBorders>
              <w:top w:val="single" w:color="auto" w:sz="8" w:space="0"/>
              <w:left w:val="single" w:color="auto" w:sz="8" w:space="0"/>
              <w:bottom w:val="single" w:color="auto" w:sz="4" w:space="0"/>
              <w:right w:val="single" w:color="auto" w:sz="8" w:space="0"/>
            </w:tcBorders>
            <w:vAlign w:val="center"/>
          </w:tcPr>
          <w:p w:rsidRPr="002C0104" w:rsidR="00744949" w:rsidP="00A41E26" w:rsidRDefault="00744949" w14:paraId="08FA598F" w14:textId="77777777">
            <w:pPr>
              <w:jc w:val="right"/>
              <w:rPr>
                <w:sz w:val="22"/>
                <w:szCs w:val="22"/>
              </w:rPr>
            </w:pPr>
            <w:r w:rsidRPr="002C0104">
              <w:rPr>
                <w:sz w:val="22"/>
                <w:szCs w:val="22"/>
              </w:rPr>
              <w:t>1</w:t>
            </w:r>
          </w:p>
        </w:tc>
        <w:tc>
          <w:tcPr>
            <w:tcW w:w="1080"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074A7348" w14:textId="77777777">
            <w:pPr>
              <w:jc w:val="right"/>
              <w:rPr>
                <w:sz w:val="22"/>
                <w:szCs w:val="22"/>
              </w:rPr>
            </w:pPr>
            <w:r w:rsidRPr="002C0104">
              <w:rPr>
                <w:sz w:val="22"/>
                <w:szCs w:val="22"/>
              </w:rPr>
              <w:t>5</w:t>
            </w:r>
          </w:p>
        </w:tc>
      </w:tr>
      <w:tr w:rsidRPr="001369DB" w:rsidR="00744949" w:rsidTr="00A41E26" w14:paraId="7017762E" w14:textId="77777777">
        <w:trPr>
          <w:cantSplit/>
        </w:trPr>
        <w:tc>
          <w:tcPr>
            <w:tcW w:w="4338"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rsidRPr="002C0104" w:rsidR="00744949" w:rsidP="00A377B8" w:rsidRDefault="00F25A65" w14:paraId="6D7FA20C" w14:textId="19CE3BC9">
            <w:pPr>
              <w:rPr>
                <w:sz w:val="22"/>
                <w:szCs w:val="22"/>
              </w:rPr>
            </w:pPr>
            <w:r>
              <w:rPr>
                <w:sz w:val="22"/>
                <w:szCs w:val="22"/>
              </w:rPr>
              <w:t xml:space="preserve">Attachment H: </w:t>
            </w:r>
            <w:r w:rsidRPr="002C0104" w:rsidR="00744949">
              <w:rPr>
                <w:sz w:val="22"/>
                <w:szCs w:val="22"/>
              </w:rPr>
              <w:t>CDS Connect – Contributor</w:t>
            </w:r>
          </w:p>
        </w:tc>
        <w:tc>
          <w:tcPr>
            <w:tcW w:w="198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54788B36" w14:textId="77777777">
            <w:pPr>
              <w:jc w:val="right"/>
              <w:rPr>
                <w:sz w:val="22"/>
                <w:szCs w:val="22"/>
              </w:rPr>
            </w:pPr>
            <w:r w:rsidRPr="002C0104">
              <w:rPr>
                <w:sz w:val="22"/>
                <w:szCs w:val="22"/>
              </w:rPr>
              <w:t>20</w:t>
            </w:r>
          </w:p>
        </w:tc>
        <w:tc>
          <w:tcPr>
            <w:tcW w:w="1080" w:type="dxa"/>
            <w:tcBorders>
              <w:top w:val="single" w:color="auto" w:sz="8" w:space="0"/>
              <w:left w:val="single" w:color="auto" w:sz="8" w:space="0"/>
              <w:bottom w:val="single" w:color="auto" w:sz="4" w:space="0"/>
              <w:right w:val="single" w:color="auto" w:sz="8" w:space="0"/>
            </w:tcBorders>
            <w:vAlign w:val="center"/>
          </w:tcPr>
          <w:p w:rsidRPr="002C0104" w:rsidR="00744949" w:rsidP="00A41E26" w:rsidRDefault="00744949" w14:paraId="2F818357" w14:textId="77777777">
            <w:pPr>
              <w:jc w:val="right"/>
              <w:rPr>
                <w:sz w:val="22"/>
                <w:szCs w:val="22"/>
              </w:rPr>
            </w:pPr>
            <w:r w:rsidRPr="002C0104">
              <w:rPr>
                <w:sz w:val="22"/>
                <w:szCs w:val="22"/>
              </w:rPr>
              <w:t>1</w:t>
            </w:r>
          </w:p>
        </w:tc>
        <w:tc>
          <w:tcPr>
            <w:tcW w:w="1080"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16986997" w14:textId="77777777">
            <w:pPr>
              <w:jc w:val="right"/>
              <w:rPr>
                <w:sz w:val="22"/>
                <w:szCs w:val="22"/>
              </w:rPr>
            </w:pPr>
            <w:r w:rsidRPr="002C0104">
              <w:rPr>
                <w:sz w:val="22"/>
                <w:szCs w:val="22"/>
              </w:rPr>
              <w:t>20</w:t>
            </w:r>
          </w:p>
        </w:tc>
      </w:tr>
      <w:tr w:rsidRPr="001369DB" w:rsidR="00744949" w:rsidTr="00A41E26" w14:paraId="0C30BAA1" w14:textId="77777777">
        <w:trPr>
          <w:cantSplit/>
        </w:trPr>
        <w:tc>
          <w:tcPr>
            <w:tcW w:w="4338"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rsidRPr="002C0104" w:rsidR="00744949" w:rsidP="00A377B8" w:rsidRDefault="00F25A65" w14:paraId="4F1DC8FB" w14:textId="2A4CE736">
            <w:pPr>
              <w:rPr>
                <w:sz w:val="22"/>
                <w:szCs w:val="22"/>
              </w:rPr>
            </w:pPr>
            <w:r>
              <w:rPr>
                <w:sz w:val="22"/>
                <w:szCs w:val="22"/>
              </w:rPr>
              <w:t xml:space="preserve">Attachment I: </w:t>
            </w:r>
            <w:r w:rsidRPr="002C0104" w:rsidR="00744949">
              <w:rPr>
                <w:sz w:val="22"/>
                <w:szCs w:val="22"/>
              </w:rPr>
              <w:t>CDS Connect – Consumer</w:t>
            </w:r>
          </w:p>
        </w:tc>
        <w:tc>
          <w:tcPr>
            <w:tcW w:w="198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44B43234" w14:textId="77777777">
            <w:pPr>
              <w:jc w:val="right"/>
              <w:rPr>
                <w:sz w:val="22"/>
                <w:szCs w:val="22"/>
              </w:rPr>
            </w:pPr>
            <w:r w:rsidRPr="002C0104">
              <w:rPr>
                <w:sz w:val="22"/>
                <w:szCs w:val="22"/>
              </w:rPr>
              <w:t>25</w:t>
            </w:r>
          </w:p>
        </w:tc>
        <w:tc>
          <w:tcPr>
            <w:tcW w:w="1080" w:type="dxa"/>
            <w:tcBorders>
              <w:top w:val="single" w:color="auto" w:sz="8" w:space="0"/>
              <w:left w:val="single" w:color="auto" w:sz="8" w:space="0"/>
              <w:bottom w:val="single" w:color="auto" w:sz="4" w:space="0"/>
              <w:right w:val="single" w:color="auto" w:sz="8" w:space="0"/>
            </w:tcBorders>
            <w:vAlign w:val="center"/>
          </w:tcPr>
          <w:p w:rsidRPr="002C0104" w:rsidR="00744949" w:rsidP="00A41E26" w:rsidRDefault="0041780A" w14:paraId="4FF6D9BE" w14:textId="635E36D7">
            <w:pPr>
              <w:jc w:val="right"/>
              <w:rPr>
                <w:sz w:val="22"/>
                <w:szCs w:val="22"/>
              </w:rPr>
            </w:pPr>
            <w:r>
              <w:rPr>
                <w:sz w:val="22"/>
                <w:szCs w:val="22"/>
              </w:rPr>
              <w:t xml:space="preserve"> </w:t>
            </w:r>
            <w:r w:rsidR="00A41E26">
              <w:rPr>
                <w:sz w:val="22"/>
                <w:szCs w:val="22"/>
              </w:rPr>
              <w:t>1</w:t>
            </w:r>
          </w:p>
        </w:tc>
        <w:tc>
          <w:tcPr>
            <w:tcW w:w="1080"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4C0C3A98" w14:textId="77777777">
            <w:pPr>
              <w:jc w:val="right"/>
              <w:rPr>
                <w:sz w:val="22"/>
                <w:szCs w:val="22"/>
              </w:rPr>
            </w:pPr>
            <w:r w:rsidRPr="002C0104">
              <w:rPr>
                <w:sz w:val="22"/>
                <w:szCs w:val="22"/>
              </w:rPr>
              <w:t>25</w:t>
            </w:r>
          </w:p>
        </w:tc>
      </w:tr>
      <w:tr w:rsidRPr="001369DB" w:rsidR="00744949" w:rsidTr="00A41E26" w14:paraId="7D7B2370" w14:textId="77777777">
        <w:trPr>
          <w:cantSplit/>
        </w:trPr>
        <w:tc>
          <w:tcPr>
            <w:tcW w:w="4338"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377B8" w:rsidRDefault="00F25A65" w14:paraId="44746B0F" w14:textId="5EC591C3">
            <w:pPr>
              <w:rPr>
                <w:sz w:val="22"/>
                <w:szCs w:val="22"/>
              </w:rPr>
            </w:pPr>
            <w:r>
              <w:rPr>
                <w:sz w:val="22"/>
                <w:szCs w:val="22"/>
              </w:rPr>
              <w:lastRenderedPageBreak/>
              <w:t xml:space="preserve">Attachment J: </w:t>
            </w:r>
            <w:r w:rsidRPr="002C0104" w:rsidR="00744949">
              <w:rPr>
                <w:sz w:val="22"/>
                <w:szCs w:val="22"/>
              </w:rPr>
              <w:t>CDS Connect – Participant</w:t>
            </w:r>
          </w:p>
        </w:tc>
        <w:tc>
          <w:tcPr>
            <w:tcW w:w="198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413BFD9C" w14:textId="77777777">
            <w:pPr>
              <w:jc w:val="right"/>
              <w:rPr>
                <w:sz w:val="22"/>
                <w:szCs w:val="22"/>
              </w:rPr>
            </w:pPr>
            <w:r w:rsidRPr="002C0104">
              <w:rPr>
                <w:sz w:val="22"/>
                <w:szCs w:val="22"/>
              </w:rPr>
              <w:t>10</w:t>
            </w:r>
          </w:p>
        </w:tc>
        <w:tc>
          <w:tcPr>
            <w:tcW w:w="1080" w:type="dxa"/>
            <w:tcBorders>
              <w:top w:val="single" w:color="auto" w:sz="4" w:space="0"/>
              <w:left w:val="single" w:color="auto" w:sz="8" w:space="0"/>
              <w:bottom w:val="single" w:color="auto" w:sz="8" w:space="0"/>
              <w:right w:val="single" w:color="auto" w:sz="8" w:space="0"/>
            </w:tcBorders>
            <w:vAlign w:val="center"/>
          </w:tcPr>
          <w:p w:rsidRPr="002C0104" w:rsidR="00744949" w:rsidP="00A41E26" w:rsidRDefault="00744949" w14:paraId="357D1760" w14:textId="77777777">
            <w:pPr>
              <w:jc w:val="right"/>
              <w:rPr>
                <w:sz w:val="22"/>
                <w:szCs w:val="22"/>
              </w:rPr>
            </w:pPr>
            <w:r w:rsidRPr="002C0104">
              <w:rPr>
                <w:sz w:val="22"/>
                <w:szCs w:val="22"/>
              </w:rPr>
              <w:t>1</w:t>
            </w:r>
          </w:p>
        </w:tc>
        <w:tc>
          <w:tcPr>
            <w:tcW w:w="1080"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1AF67F37" w14:textId="77777777">
            <w:pPr>
              <w:jc w:val="right"/>
              <w:rPr>
                <w:sz w:val="22"/>
                <w:szCs w:val="22"/>
              </w:rPr>
            </w:pPr>
            <w:r w:rsidRPr="002C0104">
              <w:rPr>
                <w:sz w:val="22"/>
                <w:szCs w:val="22"/>
              </w:rPr>
              <w:t>10</w:t>
            </w:r>
          </w:p>
        </w:tc>
      </w:tr>
      <w:tr w:rsidRPr="001369DB" w:rsidR="00744949" w:rsidTr="00A41E26" w14:paraId="0CA000C8" w14:textId="77777777">
        <w:trPr>
          <w:cantSplit/>
        </w:trPr>
        <w:tc>
          <w:tcPr>
            <w:tcW w:w="43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377B8" w:rsidRDefault="007530DE" w14:paraId="780B844F" w14:textId="0B900CEF">
            <w:pPr>
              <w:rPr>
                <w:sz w:val="22"/>
                <w:szCs w:val="22"/>
              </w:rPr>
            </w:pPr>
            <w:r>
              <w:rPr>
                <w:sz w:val="22"/>
                <w:szCs w:val="22"/>
              </w:rPr>
              <w:t xml:space="preserve">Attachment K: </w:t>
            </w:r>
            <w:r w:rsidRPr="002C0104" w:rsidR="00744949">
              <w:rPr>
                <w:sz w:val="22"/>
                <w:szCs w:val="22"/>
              </w:rPr>
              <w:t xml:space="preserve">Quantifying Efficiencies - Leader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6CDFB804" w14:textId="77777777">
            <w:pPr>
              <w:jc w:val="right"/>
              <w:rPr>
                <w:sz w:val="22"/>
                <w:szCs w:val="22"/>
              </w:rPr>
            </w:pPr>
            <w:r w:rsidRPr="002C0104">
              <w:rPr>
                <w:sz w:val="22"/>
                <w:szCs w:val="22"/>
              </w:rPr>
              <w:t>5</w:t>
            </w:r>
          </w:p>
        </w:tc>
        <w:tc>
          <w:tcPr>
            <w:tcW w:w="1080" w:type="dxa"/>
            <w:tcBorders>
              <w:top w:val="single" w:color="auto" w:sz="8" w:space="0"/>
              <w:left w:val="single" w:color="auto" w:sz="8" w:space="0"/>
              <w:bottom w:val="single" w:color="auto" w:sz="8" w:space="0"/>
              <w:right w:val="single" w:color="auto" w:sz="8" w:space="0"/>
            </w:tcBorders>
            <w:vAlign w:val="center"/>
          </w:tcPr>
          <w:p w:rsidRPr="002C0104" w:rsidR="00744949" w:rsidP="00A41E26" w:rsidRDefault="00744949" w14:paraId="5DA37241" w14:textId="77777777">
            <w:pPr>
              <w:jc w:val="right"/>
              <w:rPr>
                <w:sz w:val="22"/>
                <w:szCs w:val="22"/>
              </w:rPr>
            </w:pPr>
            <w:r w:rsidRPr="002C0104">
              <w:rPr>
                <w:sz w:val="22"/>
                <w:szCs w:val="22"/>
              </w:rPr>
              <w:t>1</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62630ABE" w14:textId="77777777">
            <w:pPr>
              <w:jc w:val="right"/>
              <w:rPr>
                <w:sz w:val="22"/>
                <w:szCs w:val="22"/>
              </w:rPr>
            </w:pPr>
            <w:r w:rsidRPr="002C0104">
              <w:rPr>
                <w:sz w:val="22"/>
                <w:szCs w:val="22"/>
              </w:rPr>
              <w:t>5</w:t>
            </w:r>
          </w:p>
        </w:tc>
      </w:tr>
      <w:tr w:rsidRPr="001369DB" w:rsidR="00744949" w:rsidTr="00A41E26" w14:paraId="07FD7FBB" w14:textId="77777777">
        <w:trPr>
          <w:cantSplit/>
        </w:trPr>
        <w:tc>
          <w:tcPr>
            <w:tcW w:w="43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377B8" w:rsidRDefault="007530DE" w14:paraId="714A9F64" w14:textId="304CE3BF">
            <w:pPr>
              <w:rPr>
                <w:sz w:val="22"/>
                <w:szCs w:val="22"/>
              </w:rPr>
            </w:pPr>
            <w:r>
              <w:rPr>
                <w:sz w:val="22"/>
                <w:szCs w:val="22"/>
              </w:rPr>
              <w:t xml:space="preserve">Attachment L: </w:t>
            </w:r>
            <w:r w:rsidRPr="002C0104" w:rsidR="00744949">
              <w:rPr>
                <w:sz w:val="22"/>
                <w:szCs w:val="22"/>
              </w:rPr>
              <w:t xml:space="preserve">Quantifying Efficiencies – </w:t>
            </w:r>
            <w:proofErr w:type="spellStart"/>
            <w:r w:rsidRPr="002C0104" w:rsidR="00744949">
              <w:rPr>
                <w:sz w:val="22"/>
                <w:szCs w:val="22"/>
              </w:rPr>
              <w:t>Informaticist</w:t>
            </w:r>
            <w:proofErr w:type="spellEnd"/>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56D1BC02" w14:textId="77777777">
            <w:pPr>
              <w:jc w:val="right"/>
              <w:rPr>
                <w:sz w:val="22"/>
                <w:szCs w:val="22"/>
              </w:rPr>
            </w:pPr>
            <w:r w:rsidRPr="002C0104">
              <w:rPr>
                <w:sz w:val="22"/>
                <w:szCs w:val="22"/>
              </w:rPr>
              <w:t>4</w:t>
            </w:r>
          </w:p>
        </w:tc>
        <w:tc>
          <w:tcPr>
            <w:tcW w:w="1080" w:type="dxa"/>
            <w:tcBorders>
              <w:top w:val="single" w:color="auto" w:sz="8" w:space="0"/>
              <w:left w:val="single" w:color="auto" w:sz="8" w:space="0"/>
              <w:bottom w:val="single" w:color="auto" w:sz="8" w:space="0"/>
              <w:right w:val="single" w:color="auto" w:sz="8" w:space="0"/>
            </w:tcBorders>
            <w:vAlign w:val="center"/>
          </w:tcPr>
          <w:p w:rsidRPr="002C0104" w:rsidR="00744949" w:rsidP="00A41E26" w:rsidRDefault="00744949" w14:paraId="47267C28" w14:textId="77777777">
            <w:pPr>
              <w:jc w:val="right"/>
              <w:rPr>
                <w:sz w:val="22"/>
                <w:szCs w:val="22"/>
              </w:rPr>
            </w:pPr>
            <w:r w:rsidRPr="002C0104">
              <w:rPr>
                <w:sz w:val="22"/>
                <w:szCs w:val="22"/>
              </w:rPr>
              <w:t>1</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2A75E5CC" w14:textId="77777777">
            <w:pPr>
              <w:jc w:val="right"/>
              <w:rPr>
                <w:sz w:val="22"/>
                <w:szCs w:val="22"/>
              </w:rPr>
            </w:pPr>
            <w:r w:rsidRPr="002C0104">
              <w:rPr>
                <w:sz w:val="22"/>
                <w:szCs w:val="22"/>
              </w:rPr>
              <w:t>4</w:t>
            </w:r>
          </w:p>
        </w:tc>
      </w:tr>
      <w:tr w:rsidRPr="001369DB" w:rsidR="00744949" w:rsidTr="00A41E26" w14:paraId="16C8C876" w14:textId="77777777">
        <w:trPr>
          <w:cantSplit/>
        </w:trPr>
        <w:tc>
          <w:tcPr>
            <w:tcW w:w="43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377B8" w:rsidRDefault="007530DE" w14:paraId="2319DA63" w14:textId="10C9F5B3">
            <w:pPr>
              <w:rPr>
                <w:sz w:val="22"/>
                <w:szCs w:val="22"/>
              </w:rPr>
            </w:pPr>
            <w:r>
              <w:rPr>
                <w:sz w:val="22"/>
                <w:szCs w:val="22"/>
              </w:rPr>
              <w:t xml:space="preserve">Attachment M: </w:t>
            </w:r>
            <w:r w:rsidRPr="002C0104" w:rsidR="00744949">
              <w:rPr>
                <w:sz w:val="22"/>
                <w:szCs w:val="22"/>
              </w:rPr>
              <w:t xml:space="preserve">Quantifying Efficiencies - </w:t>
            </w:r>
            <w:r w:rsidRPr="002C0104" w:rsidR="00550174">
              <w:rPr>
                <w:sz w:val="22"/>
                <w:szCs w:val="22"/>
              </w:rPr>
              <w:t>Clinician</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31DBDD4F" w14:textId="77777777">
            <w:pPr>
              <w:jc w:val="right"/>
              <w:rPr>
                <w:sz w:val="22"/>
                <w:szCs w:val="22"/>
              </w:rPr>
            </w:pPr>
            <w:r w:rsidRPr="002C0104">
              <w:rPr>
                <w:sz w:val="22"/>
                <w:szCs w:val="22"/>
              </w:rPr>
              <w:t>8</w:t>
            </w:r>
          </w:p>
        </w:tc>
        <w:tc>
          <w:tcPr>
            <w:tcW w:w="1080" w:type="dxa"/>
            <w:tcBorders>
              <w:top w:val="single" w:color="auto" w:sz="8" w:space="0"/>
              <w:left w:val="single" w:color="auto" w:sz="8" w:space="0"/>
              <w:bottom w:val="single" w:color="auto" w:sz="8" w:space="0"/>
              <w:right w:val="single" w:color="auto" w:sz="8" w:space="0"/>
            </w:tcBorders>
            <w:vAlign w:val="center"/>
          </w:tcPr>
          <w:p w:rsidRPr="002C0104" w:rsidR="00744949" w:rsidP="00A41E26" w:rsidRDefault="00744949" w14:paraId="5AC5F544" w14:textId="77777777">
            <w:pPr>
              <w:jc w:val="right"/>
              <w:rPr>
                <w:sz w:val="22"/>
                <w:szCs w:val="22"/>
              </w:rPr>
            </w:pPr>
            <w:r w:rsidRPr="002C0104">
              <w:rPr>
                <w:sz w:val="22"/>
                <w:szCs w:val="22"/>
              </w:rPr>
              <w:t>1</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775F1C2C" w14:textId="77777777">
            <w:pPr>
              <w:jc w:val="right"/>
              <w:rPr>
                <w:sz w:val="22"/>
                <w:szCs w:val="22"/>
              </w:rPr>
            </w:pPr>
            <w:r w:rsidRPr="002C0104">
              <w:rPr>
                <w:sz w:val="22"/>
                <w:szCs w:val="22"/>
              </w:rPr>
              <w:t>8</w:t>
            </w:r>
          </w:p>
        </w:tc>
      </w:tr>
      <w:tr w:rsidRPr="001369DB" w:rsidR="00744949" w:rsidTr="00A41E26" w14:paraId="0CB1BB1D" w14:textId="77777777">
        <w:trPr>
          <w:cantSplit/>
        </w:trPr>
        <w:tc>
          <w:tcPr>
            <w:tcW w:w="43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377B8" w:rsidRDefault="007530DE" w14:paraId="2FBF0FBD" w14:textId="2EE3894D">
            <w:pPr>
              <w:rPr>
                <w:sz w:val="22"/>
                <w:szCs w:val="22"/>
              </w:rPr>
            </w:pPr>
            <w:r>
              <w:rPr>
                <w:sz w:val="22"/>
                <w:szCs w:val="22"/>
              </w:rPr>
              <w:t xml:space="preserve">Attachment N: </w:t>
            </w:r>
            <w:r w:rsidRPr="002C0104" w:rsidR="00D45AD1">
              <w:rPr>
                <w:sz w:val="22"/>
                <w:szCs w:val="22"/>
              </w:rPr>
              <w:t>PC CDS Projects</w:t>
            </w:r>
            <w:r w:rsidRPr="002C0104" w:rsidR="00744949">
              <w:rPr>
                <w:sz w:val="22"/>
                <w:szCs w:val="22"/>
              </w:rPr>
              <w:t xml:space="preserve"> –Site Leader</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4FCB9A54" w14:textId="77777777">
            <w:pPr>
              <w:jc w:val="right"/>
              <w:rPr>
                <w:sz w:val="22"/>
                <w:szCs w:val="22"/>
              </w:rPr>
            </w:pPr>
            <w:r w:rsidRPr="002C0104">
              <w:rPr>
                <w:sz w:val="22"/>
                <w:szCs w:val="22"/>
              </w:rPr>
              <w:t>18</w:t>
            </w:r>
          </w:p>
        </w:tc>
        <w:tc>
          <w:tcPr>
            <w:tcW w:w="1080" w:type="dxa"/>
            <w:tcBorders>
              <w:top w:val="single" w:color="auto" w:sz="8" w:space="0"/>
              <w:left w:val="single" w:color="auto" w:sz="8" w:space="0"/>
              <w:bottom w:val="single" w:color="auto" w:sz="8" w:space="0"/>
              <w:right w:val="single" w:color="auto" w:sz="8" w:space="0"/>
            </w:tcBorders>
            <w:vAlign w:val="center"/>
          </w:tcPr>
          <w:p w:rsidRPr="002C0104" w:rsidR="00744949" w:rsidP="00A41E26" w:rsidRDefault="00A41E26" w14:paraId="50EC6C18" w14:textId="1BC985D4">
            <w:pPr>
              <w:jc w:val="right"/>
              <w:rPr>
                <w:sz w:val="22"/>
                <w:szCs w:val="22"/>
              </w:rPr>
            </w:pPr>
            <w:r>
              <w:rPr>
                <w:sz w:val="22"/>
                <w:szCs w:val="22"/>
              </w:rPr>
              <w:t>1</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18FBBDEC" w14:textId="77777777">
            <w:pPr>
              <w:jc w:val="right"/>
              <w:rPr>
                <w:sz w:val="22"/>
                <w:szCs w:val="22"/>
              </w:rPr>
            </w:pPr>
            <w:r w:rsidRPr="002C0104">
              <w:rPr>
                <w:sz w:val="22"/>
                <w:szCs w:val="22"/>
              </w:rPr>
              <w:t>18</w:t>
            </w:r>
          </w:p>
        </w:tc>
      </w:tr>
      <w:tr w:rsidRPr="001369DB" w:rsidR="00744949" w:rsidTr="00A41E26" w14:paraId="4E2423E0" w14:textId="77777777">
        <w:trPr>
          <w:cantSplit/>
        </w:trPr>
        <w:tc>
          <w:tcPr>
            <w:tcW w:w="43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377B8" w:rsidRDefault="007530DE" w14:paraId="1963F9BD" w14:textId="6A172E6E">
            <w:pPr>
              <w:rPr>
                <w:sz w:val="22"/>
                <w:szCs w:val="22"/>
              </w:rPr>
            </w:pPr>
            <w:r>
              <w:rPr>
                <w:sz w:val="22"/>
                <w:szCs w:val="22"/>
              </w:rPr>
              <w:t xml:space="preserve">Attachment O: </w:t>
            </w:r>
            <w:r w:rsidRPr="002C0104" w:rsidR="00D45AD1">
              <w:rPr>
                <w:sz w:val="22"/>
                <w:szCs w:val="22"/>
              </w:rPr>
              <w:t>PC CDS Projects</w:t>
            </w:r>
            <w:r w:rsidRPr="002C0104" w:rsidR="00744949">
              <w:rPr>
                <w:sz w:val="22"/>
                <w:szCs w:val="22"/>
              </w:rPr>
              <w:t xml:space="preserve"> – </w:t>
            </w:r>
            <w:proofErr w:type="spellStart"/>
            <w:r w:rsidRPr="002C0104" w:rsidR="00744949">
              <w:rPr>
                <w:sz w:val="22"/>
                <w:szCs w:val="22"/>
              </w:rPr>
              <w:t>Informaticist</w:t>
            </w:r>
            <w:proofErr w:type="spellEnd"/>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2B7095F6" w14:textId="77777777">
            <w:pPr>
              <w:jc w:val="right"/>
              <w:rPr>
                <w:sz w:val="22"/>
                <w:szCs w:val="22"/>
              </w:rPr>
            </w:pPr>
            <w:r w:rsidRPr="002C0104">
              <w:rPr>
                <w:sz w:val="22"/>
                <w:szCs w:val="22"/>
              </w:rPr>
              <w:t>10</w:t>
            </w:r>
          </w:p>
        </w:tc>
        <w:tc>
          <w:tcPr>
            <w:tcW w:w="1080" w:type="dxa"/>
            <w:tcBorders>
              <w:top w:val="single" w:color="auto" w:sz="8" w:space="0"/>
              <w:left w:val="single" w:color="auto" w:sz="8" w:space="0"/>
              <w:bottom w:val="single" w:color="auto" w:sz="8" w:space="0"/>
              <w:right w:val="single" w:color="auto" w:sz="8" w:space="0"/>
            </w:tcBorders>
            <w:vAlign w:val="center"/>
          </w:tcPr>
          <w:p w:rsidRPr="002C0104" w:rsidR="00744949" w:rsidP="00A41E26" w:rsidRDefault="00744949" w14:paraId="1935D117" w14:textId="77777777">
            <w:pPr>
              <w:jc w:val="right"/>
              <w:rPr>
                <w:sz w:val="22"/>
                <w:szCs w:val="22"/>
              </w:rPr>
            </w:pPr>
            <w:r w:rsidRPr="002C0104">
              <w:rPr>
                <w:sz w:val="22"/>
                <w:szCs w:val="22"/>
              </w:rPr>
              <w:t>1</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744949" w:rsidP="00A41E26" w:rsidRDefault="00744949" w14:paraId="40A32736" w14:textId="77777777">
            <w:pPr>
              <w:jc w:val="right"/>
              <w:rPr>
                <w:sz w:val="22"/>
                <w:szCs w:val="22"/>
              </w:rPr>
            </w:pPr>
            <w:r w:rsidRPr="002C0104">
              <w:rPr>
                <w:sz w:val="22"/>
                <w:szCs w:val="22"/>
              </w:rPr>
              <w:t>10</w:t>
            </w:r>
          </w:p>
        </w:tc>
      </w:tr>
      <w:tr w:rsidRPr="00AD4663" w:rsidR="00744949" w:rsidTr="00A41E26" w14:paraId="45C23010" w14:textId="77777777">
        <w:trPr>
          <w:cantSplit/>
        </w:trPr>
        <w:tc>
          <w:tcPr>
            <w:tcW w:w="43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744949" w:rsidP="00A377B8" w:rsidRDefault="007530DE" w14:paraId="5B81195F" w14:textId="165D1B8A">
            <w:pPr>
              <w:rPr>
                <w:sz w:val="22"/>
                <w:szCs w:val="22"/>
              </w:rPr>
            </w:pPr>
            <w:r>
              <w:rPr>
                <w:sz w:val="22"/>
                <w:szCs w:val="22"/>
              </w:rPr>
              <w:t xml:space="preserve">Attachment P: </w:t>
            </w:r>
            <w:r w:rsidRPr="00AD4663" w:rsidR="00D45AD1">
              <w:rPr>
                <w:sz w:val="22"/>
                <w:szCs w:val="22"/>
              </w:rPr>
              <w:t>PC CDS Projects</w:t>
            </w:r>
            <w:r w:rsidRPr="00AD4663" w:rsidR="00744949">
              <w:rPr>
                <w:sz w:val="22"/>
                <w:szCs w:val="22"/>
              </w:rPr>
              <w:t xml:space="preserve"> - Clinician</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744949" w:rsidP="00A41E26" w:rsidRDefault="00744949" w14:paraId="02B738EB" w14:textId="77777777">
            <w:pPr>
              <w:jc w:val="right"/>
              <w:rPr>
                <w:sz w:val="22"/>
                <w:szCs w:val="22"/>
              </w:rPr>
            </w:pPr>
            <w:r w:rsidRPr="00AD4663">
              <w:rPr>
                <w:sz w:val="22"/>
                <w:szCs w:val="22"/>
              </w:rPr>
              <w:t>20</w:t>
            </w:r>
          </w:p>
        </w:tc>
        <w:tc>
          <w:tcPr>
            <w:tcW w:w="1080" w:type="dxa"/>
            <w:tcBorders>
              <w:top w:val="single" w:color="auto" w:sz="8" w:space="0"/>
              <w:left w:val="single" w:color="auto" w:sz="8" w:space="0"/>
              <w:bottom w:val="single" w:color="auto" w:sz="8" w:space="0"/>
              <w:right w:val="single" w:color="auto" w:sz="8" w:space="0"/>
            </w:tcBorders>
            <w:vAlign w:val="center"/>
          </w:tcPr>
          <w:p w:rsidRPr="00AD4663" w:rsidR="00744949" w:rsidP="00A41E26" w:rsidRDefault="00744949" w14:paraId="4A0F35F5" w14:textId="77777777">
            <w:pPr>
              <w:jc w:val="right"/>
              <w:rPr>
                <w:sz w:val="22"/>
                <w:szCs w:val="22"/>
              </w:rPr>
            </w:pPr>
            <w:r w:rsidRPr="00AD4663">
              <w:rPr>
                <w:sz w:val="22"/>
                <w:szCs w:val="22"/>
              </w:rPr>
              <w:t>1</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744949" w:rsidP="00A41E26" w:rsidRDefault="00744949" w14:paraId="4495E6C0" w14:textId="77777777">
            <w:pPr>
              <w:jc w:val="right"/>
              <w:rPr>
                <w:sz w:val="22"/>
                <w:szCs w:val="22"/>
              </w:rPr>
            </w:pPr>
            <w:r w:rsidRPr="00AD4663">
              <w:rPr>
                <w:sz w:val="22"/>
                <w:szCs w:val="22"/>
              </w:rPr>
              <w:t>20</w:t>
            </w:r>
          </w:p>
        </w:tc>
      </w:tr>
      <w:tr w:rsidRPr="00AD4663" w:rsidR="00744949" w:rsidTr="00A41E26" w14:paraId="346BADB6" w14:textId="77777777">
        <w:trPr>
          <w:cantSplit/>
        </w:trPr>
        <w:tc>
          <w:tcPr>
            <w:tcW w:w="43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744949" w:rsidP="00A377B8" w:rsidRDefault="007530DE" w14:paraId="45BAA742" w14:textId="0CF62DFD">
            <w:pPr>
              <w:rPr>
                <w:sz w:val="22"/>
                <w:szCs w:val="22"/>
              </w:rPr>
            </w:pPr>
            <w:r>
              <w:rPr>
                <w:sz w:val="22"/>
                <w:szCs w:val="22"/>
              </w:rPr>
              <w:t xml:space="preserve">Attachment Q: </w:t>
            </w:r>
            <w:r w:rsidRPr="00AD4663" w:rsidR="00D45AD1">
              <w:rPr>
                <w:sz w:val="22"/>
                <w:szCs w:val="22"/>
              </w:rPr>
              <w:t>PC CDS Projects</w:t>
            </w:r>
            <w:r w:rsidRPr="00AD4663" w:rsidR="00744949">
              <w:rPr>
                <w:sz w:val="22"/>
                <w:szCs w:val="22"/>
              </w:rPr>
              <w:t xml:space="preserve"> - Patient</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744949" w:rsidP="00A41E26" w:rsidRDefault="00744949" w14:paraId="24AF79D4" w14:textId="77777777">
            <w:pPr>
              <w:jc w:val="right"/>
              <w:rPr>
                <w:sz w:val="22"/>
                <w:szCs w:val="22"/>
              </w:rPr>
            </w:pPr>
            <w:r w:rsidRPr="00AD4663">
              <w:rPr>
                <w:sz w:val="22"/>
                <w:szCs w:val="22"/>
              </w:rPr>
              <w:t>4</w:t>
            </w:r>
          </w:p>
        </w:tc>
        <w:tc>
          <w:tcPr>
            <w:tcW w:w="1080" w:type="dxa"/>
            <w:tcBorders>
              <w:top w:val="single" w:color="auto" w:sz="8" w:space="0"/>
              <w:left w:val="single" w:color="auto" w:sz="8" w:space="0"/>
              <w:bottom w:val="single" w:color="auto" w:sz="8" w:space="0"/>
              <w:right w:val="single" w:color="auto" w:sz="8" w:space="0"/>
            </w:tcBorders>
            <w:vAlign w:val="center"/>
          </w:tcPr>
          <w:p w:rsidRPr="00AD4663" w:rsidR="00744949" w:rsidP="00A41E26" w:rsidRDefault="00744949" w14:paraId="7AE16E3D" w14:textId="77777777">
            <w:pPr>
              <w:jc w:val="right"/>
              <w:rPr>
                <w:sz w:val="22"/>
                <w:szCs w:val="22"/>
              </w:rPr>
            </w:pPr>
            <w:r w:rsidRPr="00AD4663">
              <w:rPr>
                <w:sz w:val="22"/>
                <w:szCs w:val="22"/>
              </w:rPr>
              <w:t>1</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744949" w:rsidP="00A41E26" w:rsidRDefault="00744949" w14:paraId="354F0B27" w14:textId="77777777">
            <w:pPr>
              <w:jc w:val="right"/>
              <w:rPr>
                <w:sz w:val="22"/>
                <w:szCs w:val="22"/>
              </w:rPr>
            </w:pPr>
            <w:r w:rsidRPr="00AD4663">
              <w:rPr>
                <w:sz w:val="22"/>
                <w:szCs w:val="22"/>
              </w:rPr>
              <w:t>4</w:t>
            </w:r>
          </w:p>
        </w:tc>
      </w:tr>
      <w:tr w:rsidRPr="00AD4663" w:rsidR="00744949" w:rsidTr="00A41E26" w14:paraId="5AD4CBF9" w14:textId="77777777">
        <w:trPr>
          <w:cantSplit/>
        </w:trPr>
        <w:tc>
          <w:tcPr>
            <w:tcW w:w="43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744949" w:rsidP="00A377B8" w:rsidRDefault="007530DE" w14:paraId="21F3F117" w14:textId="5A1B178D">
            <w:pPr>
              <w:rPr>
                <w:sz w:val="22"/>
                <w:szCs w:val="22"/>
              </w:rPr>
            </w:pPr>
            <w:r>
              <w:rPr>
                <w:sz w:val="22"/>
                <w:szCs w:val="22"/>
              </w:rPr>
              <w:t xml:space="preserve">Attachment R: </w:t>
            </w:r>
            <w:r w:rsidRPr="00AD4663" w:rsidR="00744949">
              <w:rPr>
                <w:sz w:val="22"/>
                <w:szCs w:val="22"/>
              </w:rPr>
              <w:t>Web Survey of CDS Connect Users</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744949" w:rsidP="00A41E26" w:rsidRDefault="00307322" w14:paraId="2674CE42" w14:textId="505375FF">
            <w:pPr>
              <w:jc w:val="right"/>
              <w:rPr>
                <w:sz w:val="22"/>
                <w:szCs w:val="22"/>
              </w:rPr>
            </w:pPr>
            <w:r w:rsidRPr="00AD4663">
              <w:rPr>
                <w:sz w:val="22"/>
                <w:szCs w:val="22"/>
              </w:rPr>
              <w:t>453</w:t>
            </w:r>
          </w:p>
        </w:tc>
        <w:tc>
          <w:tcPr>
            <w:tcW w:w="1080" w:type="dxa"/>
            <w:tcBorders>
              <w:top w:val="single" w:color="auto" w:sz="8" w:space="0"/>
              <w:left w:val="single" w:color="auto" w:sz="8" w:space="0"/>
              <w:bottom w:val="single" w:color="auto" w:sz="8" w:space="0"/>
              <w:right w:val="single" w:color="auto" w:sz="8" w:space="0"/>
            </w:tcBorders>
            <w:vAlign w:val="center"/>
          </w:tcPr>
          <w:p w:rsidRPr="00AD4663" w:rsidR="00744949" w:rsidP="00A41E26" w:rsidRDefault="0041780A" w14:paraId="6A1977B7" w14:textId="0C64B51E">
            <w:pPr>
              <w:jc w:val="right"/>
              <w:rPr>
                <w:sz w:val="22"/>
                <w:szCs w:val="22"/>
              </w:rPr>
            </w:pPr>
            <w:r>
              <w:rPr>
                <w:sz w:val="22"/>
                <w:szCs w:val="22"/>
              </w:rPr>
              <w:t xml:space="preserve"> </w:t>
            </w:r>
            <w:r w:rsidRPr="00AD4663" w:rsidR="00744949">
              <w:rPr>
                <w:sz w:val="22"/>
                <w:szCs w:val="22"/>
              </w:rPr>
              <w:t>.17</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744949" w:rsidP="00A41E26" w:rsidRDefault="00307322" w14:paraId="6E129B18" w14:textId="2CE29659">
            <w:pPr>
              <w:jc w:val="right"/>
              <w:rPr>
                <w:sz w:val="22"/>
                <w:szCs w:val="22"/>
              </w:rPr>
            </w:pPr>
            <w:r w:rsidRPr="00AD4663">
              <w:rPr>
                <w:sz w:val="22"/>
                <w:szCs w:val="22"/>
              </w:rPr>
              <w:t>77</w:t>
            </w:r>
          </w:p>
        </w:tc>
      </w:tr>
      <w:tr w:rsidRPr="00AD4663" w:rsidR="00A41E26" w:rsidTr="00A41E26" w14:paraId="6D722D1F" w14:textId="77777777">
        <w:trPr>
          <w:cantSplit/>
          <w:trHeight w:val="115"/>
        </w:trPr>
        <w:tc>
          <w:tcPr>
            <w:tcW w:w="43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A41E26" w:rsidP="00A41E26" w:rsidRDefault="00A41E26" w14:paraId="30A1EACC" w14:textId="77777777">
            <w:pPr>
              <w:rPr>
                <w:b/>
                <w:sz w:val="22"/>
                <w:szCs w:val="22"/>
              </w:rPr>
            </w:pPr>
            <w:r w:rsidRPr="00AD4663">
              <w:rPr>
                <w:b/>
                <w:sz w:val="22"/>
                <w:szCs w:val="22"/>
              </w:rPr>
              <w:t>Total</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A41E26" w:rsidP="00A41E26" w:rsidRDefault="00307322" w14:paraId="4EB957B2" w14:textId="0BAE9E97">
            <w:pPr>
              <w:jc w:val="right"/>
              <w:rPr>
                <w:sz w:val="22"/>
                <w:szCs w:val="22"/>
              </w:rPr>
            </w:pPr>
            <w:r w:rsidRPr="00AD4663">
              <w:rPr>
                <w:color w:val="000000"/>
                <w:sz w:val="22"/>
                <w:szCs w:val="22"/>
              </w:rPr>
              <w:t>600</w:t>
            </w:r>
          </w:p>
        </w:tc>
        <w:tc>
          <w:tcPr>
            <w:tcW w:w="1080" w:type="dxa"/>
            <w:tcBorders>
              <w:top w:val="single" w:color="auto" w:sz="8" w:space="0"/>
              <w:left w:val="single" w:color="auto" w:sz="8" w:space="0"/>
              <w:bottom w:val="single" w:color="auto" w:sz="8" w:space="0"/>
              <w:right w:val="single" w:color="auto" w:sz="8" w:space="0"/>
            </w:tcBorders>
            <w:vAlign w:val="center"/>
          </w:tcPr>
          <w:p w:rsidRPr="00AD4663" w:rsidR="00A41E26" w:rsidP="00A41E26" w:rsidRDefault="00A41E26" w14:paraId="37661B5C" w14:textId="0AC3445E">
            <w:pPr>
              <w:jc w:val="right"/>
              <w:rPr>
                <w:sz w:val="22"/>
                <w:szCs w:val="22"/>
              </w:rPr>
            </w:pPr>
            <w:r w:rsidRPr="00AD4663">
              <w:rPr>
                <w:color w:val="000000"/>
                <w:sz w:val="22"/>
                <w:szCs w:val="22"/>
              </w:rPr>
              <w:t> </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A41E26" w:rsidP="00A41E26" w:rsidRDefault="00307322" w14:paraId="63346E23" w14:textId="4506BA8E">
            <w:pPr>
              <w:jc w:val="right"/>
              <w:rPr>
                <w:sz w:val="22"/>
                <w:szCs w:val="22"/>
              </w:rPr>
            </w:pPr>
            <w:r w:rsidRPr="00AD4663">
              <w:rPr>
                <w:color w:val="000000"/>
                <w:sz w:val="22"/>
                <w:szCs w:val="22"/>
              </w:rPr>
              <w:t>224</w:t>
            </w:r>
          </w:p>
        </w:tc>
      </w:tr>
      <w:bookmarkEnd w:id="44"/>
      <w:bookmarkEnd w:id="45"/>
      <w:bookmarkEnd w:id="46"/>
    </w:tbl>
    <w:p w:rsidRPr="00AD4663" w:rsidR="00037998" w:rsidP="00414C80" w:rsidRDefault="00037998" w14:paraId="5039FA7E" w14:textId="77777777"/>
    <w:p w:rsidR="00473D56" w:rsidP="00A61FA3" w:rsidRDefault="001749A1" w14:paraId="5A58737F" w14:textId="77777777">
      <w:pPr>
        <w:keepNext/>
        <w:rPr>
          <w:sz w:val="22"/>
          <w:szCs w:val="22"/>
        </w:rPr>
      </w:pPr>
      <w:bookmarkStart w:name="_Toc151782188" w:id="47"/>
      <w:bookmarkStart w:name="_Toc158526228" w:id="48"/>
      <w:r w:rsidRPr="00AD4663">
        <w:rPr>
          <w:bCs/>
        </w:rPr>
        <w:t xml:space="preserve">Exhibit </w:t>
      </w:r>
      <w:r w:rsidR="005A3B16">
        <w:rPr>
          <w:bCs/>
        </w:rPr>
        <w:t>4</w:t>
      </w:r>
      <w:r w:rsidRPr="00AD4663">
        <w:rPr>
          <w:bCs/>
        </w:rPr>
        <w:t xml:space="preserve"> shows the estimated annual cost burden associated with the respondents' time to participate in this information collection, which comes to </w:t>
      </w:r>
      <w:r w:rsidRPr="00AD4663" w:rsidR="001700D8">
        <w:rPr>
          <w:bCs/>
        </w:rPr>
        <w:t>$</w:t>
      </w:r>
      <w:r w:rsidRPr="00AD4663" w:rsidR="00A61FA3">
        <w:rPr>
          <w:sz w:val="22"/>
          <w:szCs w:val="22"/>
        </w:rPr>
        <w:t>14,37</w:t>
      </w:r>
      <w:r w:rsidR="00A61FA3">
        <w:rPr>
          <w:sz w:val="22"/>
          <w:szCs w:val="22"/>
        </w:rPr>
        <w:t>1</w:t>
      </w:r>
      <w:r w:rsidRPr="00AD4663" w:rsidR="00A61FA3">
        <w:rPr>
          <w:sz w:val="22"/>
          <w:szCs w:val="22"/>
        </w:rPr>
        <w:t>.</w:t>
      </w:r>
      <w:r w:rsidR="00A61FA3">
        <w:rPr>
          <w:sz w:val="22"/>
          <w:szCs w:val="22"/>
        </w:rPr>
        <w:t xml:space="preserve">86. </w:t>
      </w:r>
    </w:p>
    <w:p w:rsidR="00473D56" w:rsidP="00A61FA3" w:rsidRDefault="00473D56" w14:paraId="3AF66B73" w14:textId="77777777">
      <w:pPr>
        <w:keepNext/>
        <w:rPr>
          <w:sz w:val="22"/>
          <w:szCs w:val="22"/>
        </w:rPr>
      </w:pPr>
    </w:p>
    <w:p w:rsidRPr="004B0B18" w:rsidR="00744949" w:rsidP="00A61FA3" w:rsidRDefault="00744949" w14:paraId="5B4B93E8" w14:textId="2312DB87">
      <w:pPr>
        <w:keepNext/>
        <w:rPr>
          <w:rStyle w:val="NORCCaption-Color"/>
          <w:color w:val="000000" w:themeColor="text1"/>
        </w:rPr>
      </w:pPr>
      <w:r w:rsidRPr="004B0B18">
        <w:rPr>
          <w:rStyle w:val="NORCCaption-Color"/>
          <w:color w:val="000000" w:themeColor="text1"/>
        </w:rPr>
        <w:t xml:space="preserve">Exhibit </w:t>
      </w:r>
      <w:r w:rsidR="005A3B16">
        <w:rPr>
          <w:rStyle w:val="NORCCaption-Color"/>
          <w:color w:val="000000" w:themeColor="text1"/>
        </w:rPr>
        <w:t>4</w:t>
      </w:r>
      <w:r w:rsidRPr="004B0B18">
        <w:rPr>
          <w:rStyle w:val="NORCCaption-Color"/>
          <w:color w:val="000000" w:themeColor="text1"/>
        </w:rPr>
        <w:t>. Estimated Annualized Cost Burden</w:t>
      </w:r>
    </w:p>
    <w:tbl>
      <w:tblPr>
        <w:tblW w:w="5000" w:type="pct"/>
        <w:tblInd w:w="-75" w:type="dxa"/>
        <w:tblLayout w:type="fixed"/>
        <w:tblCellMar>
          <w:left w:w="0" w:type="dxa"/>
          <w:right w:w="0" w:type="dxa"/>
        </w:tblCellMar>
        <w:tblLook w:val="04A0" w:firstRow="1" w:lastRow="0" w:firstColumn="1" w:lastColumn="0" w:noHBand="0" w:noVBand="1"/>
      </w:tblPr>
      <w:tblGrid>
        <w:gridCol w:w="3757"/>
        <w:gridCol w:w="1345"/>
        <w:gridCol w:w="1074"/>
        <w:gridCol w:w="1341"/>
        <w:gridCol w:w="1103"/>
      </w:tblGrid>
      <w:tr w:rsidRPr="00744949" w:rsidR="00744949" w:rsidTr="003E204A" w14:paraId="0BC85FFB" w14:textId="77777777">
        <w:trPr>
          <w:cantSplit/>
          <w:trHeight w:val="838"/>
        </w:trPr>
        <w:tc>
          <w:tcPr>
            <w:tcW w:w="2179"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744949" w:rsidR="00744949" w:rsidP="00A377B8" w:rsidRDefault="00744949" w14:paraId="7D7606D7" w14:textId="53223D01">
            <w:pPr>
              <w:keepNext/>
              <w:jc w:val="center"/>
              <w:rPr>
                <w:b/>
                <w:color w:val="000000"/>
                <w:sz w:val="20"/>
                <w:szCs w:val="20"/>
              </w:rPr>
            </w:pPr>
            <w:r w:rsidRPr="00744949">
              <w:rPr>
                <w:b/>
                <w:color w:val="000000"/>
                <w:sz w:val="20"/>
                <w:szCs w:val="20"/>
              </w:rPr>
              <w:t>Form name</w:t>
            </w:r>
          </w:p>
        </w:tc>
        <w:tc>
          <w:tcPr>
            <w:tcW w:w="780" w:type="pct"/>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744949" w:rsidR="00744949" w:rsidP="00A61FA3" w:rsidRDefault="00744949" w14:paraId="33F164F6" w14:textId="0D85D691">
            <w:pPr>
              <w:keepNext/>
              <w:jc w:val="center"/>
              <w:rPr>
                <w:b/>
                <w:color w:val="000000"/>
                <w:sz w:val="20"/>
                <w:szCs w:val="20"/>
              </w:rPr>
            </w:pPr>
            <w:r w:rsidRPr="00744949">
              <w:rPr>
                <w:b/>
                <w:color w:val="000000"/>
                <w:sz w:val="20"/>
                <w:szCs w:val="20"/>
              </w:rPr>
              <w:t>Number of interviews</w:t>
            </w:r>
          </w:p>
        </w:tc>
        <w:tc>
          <w:tcPr>
            <w:tcW w:w="623" w:type="pct"/>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744949" w:rsidR="00744949" w:rsidP="00A377B8" w:rsidRDefault="00744949" w14:paraId="4EBAF8C6" w14:textId="77777777">
            <w:pPr>
              <w:keepNext/>
              <w:jc w:val="center"/>
              <w:rPr>
                <w:b/>
                <w:color w:val="000000"/>
                <w:sz w:val="20"/>
                <w:szCs w:val="20"/>
              </w:rPr>
            </w:pPr>
            <w:r w:rsidRPr="00744949">
              <w:rPr>
                <w:b/>
                <w:color w:val="000000"/>
                <w:sz w:val="20"/>
                <w:szCs w:val="20"/>
              </w:rPr>
              <w:t>Total</w:t>
            </w:r>
          </w:p>
          <w:p w:rsidRPr="00744949" w:rsidR="00744949" w:rsidP="00A377B8" w:rsidRDefault="00744949" w14:paraId="75E6A1BD" w14:textId="77777777">
            <w:pPr>
              <w:keepNext/>
              <w:jc w:val="center"/>
              <w:rPr>
                <w:b/>
                <w:color w:val="000000"/>
                <w:sz w:val="20"/>
                <w:szCs w:val="20"/>
              </w:rPr>
            </w:pPr>
            <w:r w:rsidRPr="00744949">
              <w:rPr>
                <w:b/>
                <w:color w:val="000000"/>
                <w:sz w:val="20"/>
                <w:szCs w:val="20"/>
              </w:rPr>
              <w:t>burden hours</w:t>
            </w:r>
          </w:p>
        </w:tc>
        <w:tc>
          <w:tcPr>
            <w:tcW w:w="778" w:type="pct"/>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744949" w:rsidR="00744949" w:rsidP="00A377B8" w:rsidRDefault="00744949" w14:paraId="2BD7B963" w14:textId="77777777">
            <w:pPr>
              <w:keepNext/>
              <w:jc w:val="center"/>
              <w:rPr>
                <w:b/>
                <w:color w:val="000000"/>
                <w:sz w:val="20"/>
                <w:szCs w:val="20"/>
              </w:rPr>
            </w:pPr>
            <w:r w:rsidRPr="00744949">
              <w:rPr>
                <w:b/>
                <w:color w:val="000000"/>
                <w:sz w:val="20"/>
                <w:szCs w:val="20"/>
              </w:rPr>
              <w:t>Average hourly wage rate**</w:t>
            </w:r>
          </w:p>
        </w:tc>
        <w:tc>
          <w:tcPr>
            <w:tcW w:w="640" w:type="pct"/>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744949" w:rsidR="00744949" w:rsidP="00A377B8" w:rsidRDefault="00744949" w14:paraId="0DEFC9D5" w14:textId="77777777">
            <w:pPr>
              <w:keepNext/>
              <w:jc w:val="center"/>
              <w:rPr>
                <w:b/>
                <w:color w:val="000000"/>
                <w:sz w:val="20"/>
                <w:szCs w:val="20"/>
              </w:rPr>
            </w:pPr>
            <w:r w:rsidRPr="00744949">
              <w:rPr>
                <w:b/>
                <w:color w:val="000000"/>
                <w:sz w:val="20"/>
                <w:szCs w:val="20"/>
              </w:rPr>
              <w:t>Total</w:t>
            </w:r>
          </w:p>
          <w:p w:rsidRPr="00744949" w:rsidR="00744949" w:rsidP="00A377B8" w:rsidRDefault="00744949" w14:paraId="431EB311" w14:textId="77777777">
            <w:pPr>
              <w:keepNext/>
              <w:jc w:val="center"/>
              <w:rPr>
                <w:b/>
                <w:color w:val="000000"/>
                <w:sz w:val="20"/>
                <w:szCs w:val="20"/>
              </w:rPr>
            </w:pPr>
            <w:r w:rsidRPr="00744949">
              <w:rPr>
                <w:b/>
                <w:color w:val="000000"/>
                <w:sz w:val="20"/>
                <w:szCs w:val="20"/>
              </w:rPr>
              <w:t>cost burden</w:t>
            </w:r>
          </w:p>
        </w:tc>
      </w:tr>
      <w:tr w:rsidRPr="00744949" w:rsidR="00161348" w:rsidTr="00A41E26" w14:paraId="55F532A1"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2116DAA1" w14:textId="628531FF">
            <w:pPr>
              <w:rPr>
                <w:sz w:val="22"/>
                <w:szCs w:val="22"/>
                <w:highlight w:val="yellow"/>
              </w:rPr>
            </w:pPr>
            <w:r>
              <w:rPr>
                <w:sz w:val="22"/>
                <w:szCs w:val="22"/>
              </w:rPr>
              <w:t xml:space="preserve">Attachment D: </w:t>
            </w:r>
            <w:r w:rsidRPr="002C0104">
              <w:rPr>
                <w:sz w:val="22"/>
                <w:szCs w:val="22"/>
              </w:rPr>
              <w:t>PC CDS Learning Network - Leader</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04CE200B" w14:textId="77777777">
            <w:pPr>
              <w:keepNext/>
              <w:jc w:val="center"/>
              <w:rPr>
                <w:color w:val="000000"/>
                <w:sz w:val="22"/>
                <w:szCs w:val="22"/>
                <w:highlight w:val="yellow"/>
              </w:rPr>
            </w:pPr>
            <w:r w:rsidRPr="002C0104">
              <w:rPr>
                <w:sz w:val="22"/>
                <w:szCs w:val="22"/>
              </w:rPr>
              <w:t>7</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72AFF965" w14:textId="77777777">
            <w:pPr>
              <w:keepNext/>
              <w:jc w:val="center"/>
              <w:rPr>
                <w:color w:val="000000"/>
                <w:sz w:val="22"/>
                <w:szCs w:val="22"/>
                <w:highlight w:val="yellow"/>
              </w:rPr>
            </w:pPr>
            <w:r w:rsidRPr="002C0104">
              <w:rPr>
                <w:sz w:val="22"/>
                <w:szCs w:val="22"/>
              </w:rPr>
              <w:t>7</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63FF88C2" w14:textId="77777777">
            <w:pPr>
              <w:keepNext/>
              <w:jc w:val="center"/>
              <w:rPr>
                <w:color w:val="000000"/>
                <w:sz w:val="22"/>
                <w:szCs w:val="22"/>
                <w:highlight w:val="yellow"/>
              </w:rPr>
            </w:pPr>
            <w:r w:rsidRPr="002C0104">
              <w:rPr>
                <w:color w:val="000000"/>
                <w:sz w:val="22"/>
                <w:szCs w:val="22"/>
              </w:rPr>
              <w:t>$59.54</w:t>
            </w:r>
            <w:r w:rsidRPr="002C0104">
              <w:rPr>
                <w:color w:val="000000"/>
                <w:sz w:val="22"/>
                <w:szCs w:val="22"/>
                <w:vertAlign w:val="superscript"/>
              </w:rPr>
              <w:t>1</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5D2E580F" w14:textId="77777777">
            <w:pPr>
              <w:jc w:val="right"/>
              <w:rPr>
                <w:color w:val="000000"/>
                <w:sz w:val="22"/>
                <w:szCs w:val="22"/>
              </w:rPr>
            </w:pPr>
            <w:r w:rsidRPr="002C0104">
              <w:rPr>
                <w:color w:val="000000"/>
                <w:sz w:val="22"/>
                <w:szCs w:val="22"/>
              </w:rPr>
              <w:t>$416.78</w:t>
            </w:r>
          </w:p>
        </w:tc>
      </w:tr>
      <w:tr w:rsidRPr="00744949" w:rsidR="00161348" w:rsidTr="00A41E26" w14:paraId="1551DD35" w14:textId="77777777">
        <w:trPr>
          <w:cantSplit/>
          <w:trHeight w:val="430"/>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FB184F" w:rsidRDefault="00161348" w14:paraId="3AA43C01" w14:textId="4F8A45F7">
            <w:pPr>
              <w:rPr>
                <w:sz w:val="22"/>
                <w:szCs w:val="22"/>
                <w:highlight w:val="yellow"/>
              </w:rPr>
            </w:pPr>
            <w:r>
              <w:rPr>
                <w:sz w:val="22"/>
                <w:szCs w:val="22"/>
              </w:rPr>
              <w:t xml:space="preserve">Attachment E: </w:t>
            </w:r>
            <w:r w:rsidRPr="002C0104">
              <w:rPr>
                <w:sz w:val="22"/>
                <w:szCs w:val="22"/>
              </w:rPr>
              <w:t>PC CDS Learning Network –Steering Committee</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499ED352" w14:textId="77777777">
            <w:pPr>
              <w:keepNext/>
              <w:jc w:val="center"/>
              <w:rPr>
                <w:color w:val="000000"/>
                <w:sz w:val="22"/>
                <w:szCs w:val="22"/>
                <w:highlight w:val="yellow"/>
              </w:rPr>
            </w:pPr>
            <w:r w:rsidRPr="002C0104">
              <w:rPr>
                <w:sz w:val="22"/>
                <w:szCs w:val="22"/>
              </w:rPr>
              <w:t>3</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6D1DCC46" w14:textId="77777777">
            <w:pPr>
              <w:keepNext/>
              <w:jc w:val="center"/>
              <w:rPr>
                <w:color w:val="000000"/>
                <w:sz w:val="22"/>
                <w:szCs w:val="22"/>
                <w:highlight w:val="yellow"/>
              </w:rPr>
            </w:pPr>
            <w:r w:rsidRPr="002C0104">
              <w:rPr>
                <w:sz w:val="22"/>
                <w:szCs w:val="22"/>
              </w:rPr>
              <w:t>3</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2B329151" w14:textId="77777777">
            <w:pPr>
              <w:keepNext/>
              <w:jc w:val="center"/>
              <w:rPr>
                <w:color w:val="000000"/>
                <w:sz w:val="22"/>
                <w:szCs w:val="22"/>
                <w:highlight w:val="yellow"/>
              </w:rPr>
            </w:pPr>
            <w:r w:rsidRPr="002C0104">
              <w:rPr>
                <w:color w:val="000000"/>
                <w:sz w:val="22"/>
                <w:szCs w:val="22"/>
              </w:rPr>
              <w:t>$59.54</w:t>
            </w:r>
            <w:r w:rsidRPr="002C0104">
              <w:rPr>
                <w:color w:val="000000"/>
                <w:sz w:val="22"/>
                <w:szCs w:val="22"/>
                <w:vertAlign w:val="superscript"/>
              </w:rPr>
              <w:t>1</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4DFD9BE1" w14:textId="77777777">
            <w:pPr>
              <w:jc w:val="right"/>
              <w:rPr>
                <w:color w:val="000000"/>
                <w:sz w:val="22"/>
                <w:szCs w:val="22"/>
              </w:rPr>
            </w:pPr>
            <w:r w:rsidRPr="002C0104">
              <w:rPr>
                <w:color w:val="000000"/>
                <w:sz w:val="22"/>
                <w:szCs w:val="22"/>
              </w:rPr>
              <w:t>$178.62</w:t>
            </w:r>
          </w:p>
        </w:tc>
      </w:tr>
      <w:tr w:rsidRPr="00744949" w:rsidR="00161348" w:rsidTr="00A41E26" w14:paraId="60C0EDF7"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00A00543" w14:textId="06AB002E">
            <w:pPr>
              <w:rPr>
                <w:sz w:val="22"/>
                <w:szCs w:val="22"/>
                <w:highlight w:val="yellow"/>
              </w:rPr>
            </w:pPr>
            <w:r>
              <w:rPr>
                <w:sz w:val="22"/>
                <w:szCs w:val="22"/>
              </w:rPr>
              <w:t xml:space="preserve">Attachment F: </w:t>
            </w:r>
            <w:r w:rsidRPr="002C0104">
              <w:rPr>
                <w:sz w:val="22"/>
                <w:szCs w:val="22"/>
              </w:rPr>
              <w:t>PC CDS Learning Network - Contributor</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15F68800" w14:textId="77777777">
            <w:pPr>
              <w:keepNext/>
              <w:jc w:val="center"/>
              <w:rPr>
                <w:color w:val="000000"/>
                <w:sz w:val="22"/>
                <w:szCs w:val="22"/>
                <w:highlight w:val="yellow"/>
              </w:rPr>
            </w:pPr>
            <w:r w:rsidRPr="002C0104">
              <w:rPr>
                <w:sz w:val="22"/>
                <w:szCs w:val="22"/>
              </w:rPr>
              <w:t>8</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2DCC255E" w14:textId="77777777">
            <w:pPr>
              <w:keepNext/>
              <w:jc w:val="center"/>
              <w:rPr>
                <w:color w:val="000000"/>
                <w:sz w:val="22"/>
                <w:szCs w:val="22"/>
                <w:highlight w:val="yellow"/>
              </w:rPr>
            </w:pPr>
            <w:r w:rsidRPr="002C0104">
              <w:rPr>
                <w:sz w:val="22"/>
                <w:szCs w:val="22"/>
              </w:rPr>
              <w:t>8</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0BC2636D" w14:textId="77777777">
            <w:pPr>
              <w:keepNext/>
              <w:jc w:val="center"/>
              <w:rPr>
                <w:color w:val="000000"/>
                <w:sz w:val="22"/>
                <w:szCs w:val="22"/>
                <w:highlight w:val="yellow"/>
              </w:rPr>
            </w:pPr>
            <w:r w:rsidRPr="002C0104">
              <w:rPr>
                <w:color w:val="000000"/>
                <w:sz w:val="22"/>
                <w:szCs w:val="22"/>
              </w:rPr>
              <w:t>$59.54</w:t>
            </w:r>
            <w:r w:rsidRPr="002C0104">
              <w:rPr>
                <w:color w:val="000000"/>
                <w:sz w:val="22"/>
                <w:szCs w:val="22"/>
                <w:vertAlign w:val="superscript"/>
              </w:rPr>
              <w:t>1</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3B6D0761" w14:textId="77777777">
            <w:pPr>
              <w:jc w:val="right"/>
              <w:rPr>
                <w:color w:val="000000"/>
                <w:sz w:val="22"/>
                <w:szCs w:val="22"/>
              </w:rPr>
            </w:pPr>
            <w:r w:rsidRPr="002C0104">
              <w:rPr>
                <w:color w:val="000000"/>
                <w:sz w:val="22"/>
                <w:szCs w:val="22"/>
              </w:rPr>
              <w:t>$476.33</w:t>
            </w:r>
          </w:p>
        </w:tc>
      </w:tr>
      <w:tr w:rsidRPr="00744949" w:rsidR="00161348" w:rsidTr="00A41E26" w14:paraId="23AC4684"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6475F718" w14:textId="6932AA51">
            <w:pPr>
              <w:rPr>
                <w:sz w:val="22"/>
                <w:szCs w:val="22"/>
                <w:highlight w:val="yellow"/>
              </w:rPr>
            </w:pPr>
            <w:r>
              <w:rPr>
                <w:sz w:val="22"/>
                <w:szCs w:val="22"/>
              </w:rPr>
              <w:t xml:space="preserve">Attachment G: </w:t>
            </w:r>
            <w:r w:rsidRPr="002C0104">
              <w:rPr>
                <w:sz w:val="22"/>
                <w:szCs w:val="22"/>
              </w:rPr>
              <w:t>CDS Connect – Leader</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1C952FCF" w14:textId="77777777">
            <w:pPr>
              <w:keepNext/>
              <w:jc w:val="center"/>
              <w:rPr>
                <w:color w:val="000000"/>
                <w:sz w:val="22"/>
                <w:szCs w:val="22"/>
                <w:highlight w:val="yellow"/>
              </w:rPr>
            </w:pPr>
            <w:r w:rsidRPr="002C0104">
              <w:rPr>
                <w:sz w:val="22"/>
                <w:szCs w:val="22"/>
              </w:rPr>
              <w:t>5</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2257D4BE" w14:textId="77777777">
            <w:pPr>
              <w:keepNext/>
              <w:jc w:val="center"/>
              <w:rPr>
                <w:color w:val="000000"/>
                <w:sz w:val="22"/>
                <w:szCs w:val="22"/>
                <w:highlight w:val="yellow"/>
              </w:rPr>
            </w:pPr>
            <w:r w:rsidRPr="002C0104">
              <w:rPr>
                <w:sz w:val="22"/>
                <w:szCs w:val="22"/>
              </w:rPr>
              <w:t>5</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1E894DE0" w14:textId="77777777">
            <w:pPr>
              <w:keepNext/>
              <w:jc w:val="center"/>
              <w:rPr>
                <w:color w:val="000000"/>
                <w:sz w:val="22"/>
                <w:szCs w:val="22"/>
                <w:highlight w:val="yellow"/>
              </w:rPr>
            </w:pPr>
            <w:r w:rsidRPr="002C0104">
              <w:rPr>
                <w:color w:val="000000"/>
                <w:sz w:val="22"/>
                <w:szCs w:val="22"/>
              </w:rPr>
              <w:t>$59.54</w:t>
            </w:r>
            <w:r w:rsidRPr="002C0104">
              <w:rPr>
                <w:color w:val="000000"/>
                <w:sz w:val="22"/>
                <w:szCs w:val="22"/>
                <w:vertAlign w:val="superscript"/>
              </w:rPr>
              <w:t>1</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147D3D7B" w14:textId="77777777">
            <w:pPr>
              <w:jc w:val="right"/>
              <w:rPr>
                <w:color w:val="000000"/>
                <w:sz w:val="22"/>
                <w:szCs w:val="22"/>
              </w:rPr>
            </w:pPr>
            <w:r w:rsidRPr="002C0104">
              <w:rPr>
                <w:color w:val="000000"/>
                <w:sz w:val="22"/>
                <w:szCs w:val="22"/>
              </w:rPr>
              <w:t>$297.71</w:t>
            </w:r>
          </w:p>
        </w:tc>
      </w:tr>
      <w:tr w:rsidRPr="00744949" w:rsidR="00161348" w:rsidTr="00A41E26" w14:paraId="0DFE25AD"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2319FD96" w14:textId="57BCDBD0">
            <w:pPr>
              <w:rPr>
                <w:sz w:val="22"/>
                <w:szCs w:val="22"/>
                <w:highlight w:val="yellow"/>
              </w:rPr>
            </w:pPr>
            <w:r>
              <w:rPr>
                <w:sz w:val="22"/>
                <w:szCs w:val="22"/>
              </w:rPr>
              <w:t xml:space="preserve">Attachment H: </w:t>
            </w:r>
            <w:r w:rsidRPr="002C0104">
              <w:rPr>
                <w:sz w:val="22"/>
                <w:szCs w:val="22"/>
              </w:rPr>
              <w:t>CDS Connect – Contributor</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37222FD8" w14:textId="77777777">
            <w:pPr>
              <w:keepNext/>
              <w:jc w:val="center"/>
              <w:rPr>
                <w:color w:val="000000"/>
                <w:sz w:val="22"/>
                <w:szCs w:val="22"/>
                <w:highlight w:val="yellow"/>
              </w:rPr>
            </w:pPr>
            <w:r w:rsidRPr="002C0104">
              <w:rPr>
                <w:sz w:val="22"/>
                <w:szCs w:val="22"/>
              </w:rPr>
              <w:t>20</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35924ED5" w14:textId="77777777">
            <w:pPr>
              <w:keepNext/>
              <w:jc w:val="center"/>
              <w:rPr>
                <w:color w:val="000000"/>
                <w:sz w:val="22"/>
                <w:szCs w:val="22"/>
                <w:highlight w:val="yellow"/>
              </w:rPr>
            </w:pPr>
            <w:r w:rsidRPr="002C0104">
              <w:rPr>
                <w:sz w:val="22"/>
                <w:szCs w:val="22"/>
              </w:rPr>
              <w:t>20</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48E7014B" w14:textId="77777777">
            <w:pPr>
              <w:keepNext/>
              <w:jc w:val="center"/>
              <w:rPr>
                <w:color w:val="000000"/>
                <w:sz w:val="22"/>
                <w:szCs w:val="22"/>
                <w:highlight w:val="yellow"/>
              </w:rPr>
            </w:pPr>
            <w:r w:rsidRPr="002C0104">
              <w:rPr>
                <w:color w:val="000000"/>
                <w:sz w:val="22"/>
                <w:szCs w:val="22"/>
              </w:rPr>
              <w:t>$59.54</w:t>
            </w:r>
            <w:r w:rsidRPr="002C0104">
              <w:rPr>
                <w:color w:val="000000"/>
                <w:sz w:val="22"/>
                <w:szCs w:val="22"/>
                <w:vertAlign w:val="superscript"/>
              </w:rPr>
              <w:t>1</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612971C3" w14:textId="77777777">
            <w:pPr>
              <w:jc w:val="right"/>
              <w:rPr>
                <w:color w:val="000000"/>
                <w:sz w:val="22"/>
                <w:szCs w:val="22"/>
              </w:rPr>
            </w:pPr>
            <w:r w:rsidRPr="002C0104">
              <w:rPr>
                <w:color w:val="000000"/>
                <w:sz w:val="22"/>
                <w:szCs w:val="22"/>
              </w:rPr>
              <w:t>$1,190.82</w:t>
            </w:r>
          </w:p>
        </w:tc>
      </w:tr>
      <w:tr w:rsidRPr="00744949" w:rsidR="00161348" w:rsidTr="00A41E26" w14:paraId="17466C8B"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69F81D89" w14:textId="0349941B">
            <w:pPr>
              <w:rPr>
                <w:sz w:val="22"/>
                <w:szCs w:val="22"/>
                <w:highlight w:val="yellow"/>
              </w:rPr>
            </w:pPr>
            <w:r>
              <w:rPr>
                <w:sz w:val="22"/>
                <w:szCs w:val="22"/>
              </w:rPr>
              <w:t xml:space="preserve">Attachment I: </w:t>
            </w:r>
            <w:r w:rsidRPr="002C0104">
              <w:rPr>
                <w:sz w:val="22"/>
                <w:szCs w:val="22"/>
              </w:rPr>
              <w:t>CDS Connect – Consumer</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6E91F9BE" w14:textId="77777777">
            <w:pPr>
              <w:keepNext/>
              <w:jc w:val="center"/>
              <w:rPr>
                <w:color w:val="000000"/>
                <w:sz w:val="22"/>
                <w:szCs w:val="22"/>
                <w:highlight w:val="yellow"/>
              </w:rPr>
            </w:pPr>
            <w:r w:rsidRPr="002C0104">
              <w:rPr>
                <w:sz w:val="22"/>
                <w:szCs w:val="22"/>
              </w:rPr>
              <w:t>25</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7126DA38" w14:textId="77777777">
            <w:pPr>
              <w:keepNext/>
              <w:jc w:val="center"/>
              <w:rPr>
                <w:color w:val="000000"/>
                <w:sz w:val="22"/>
                <w:szCs w:val="22"/>
                <w:highlight w:val="yellow"/>
              </w:rPr>
            </w:pPr>
            <w:r w:rsidRPr="002C0104">
              <w:rPr>
                <w:sz w:val="22"/>
                <w:szCs w:val="22"/>
              </w:rPr>
              <w:t>25</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7A8E7B45" w14:textId="77777777">
            <w:pPr>
              <w:keepNext/>
              <w:jc w:val="center"/>
              <w:rPr>
                <w:color w:val="000000"/>
                <w:sz w:val="22"/>
                <w:szCs w:val="22"/>
                <w:highlight w:val="yellow"/>
              </w:rPr>
            </w:pPr>
            <w:r w:rsidRPr="002C0104">
              <w:rPr>
                <w:color w:val="000000"/>
                <w:sz w:val="22"/>
                <w:szCs w:val="22"/>
              </w:rPr>
              <w:t>$59.54</w:t>
            </w:r>
            <w:r w:rsidRPr="002C0104">
              <w:rPr>
                <w:color w:val="000000"/>
                <w:sz w:val="22"/>
                <w:szCs w:val="22"/>
                <w:vertAlign w:val="superscript"/>
              </w:rPr>
              <w:t>1</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471BF9AE" w14:textId="77777777">
            <w:pPr>
              <w:jc w:val="right"/>
              <w:rPr>
                <w:color w:val="000000"/>
                <w:sz w:val="22"/>
                <w:szCs w:val="22"/>
              </w:rPr>
            </w:pPr>
            <w:r w:rsidRPr="002C0104">
              <w:rPr>
                <w:color w:val="000000"/>
                <w:sz w:val="22"/>
                <w:szCs w:val="22"/>
              </w:rPr>
              <w:t>$1,488.53</w:t>
            </w:r>
          </w:p>
        </w:tc>
      </w:tr>
      <w:tr w:rsidRPr="00744949" w:rsidR="00161348" w:rsidTr="00A41E26" w14:paraId="3D774CA4"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03BECC4B" w14:textId="3FE9752F">
            <w:pPr>
              <w:rPr>
                <w:sz w:val="22"/>
                <w:szCs w:val="22"/>
                <w:highlight w:val="yellow"/>
              </w:rPr>
            </w:pPr>
            <w:r>
              <w:rPr>
                <w:sz w:val="22"/>
                <w:szCs w:val="22"/>
              </w:rPr>
              <w:t xml:space="preserve">Attachment J: </w:t>
            </w:r>
            <w:r w:rsidRPr="002C0104">
              <w:rPr>
                <w:sz w:val="22"/>
                <w:szCs w:val="22"/>
              </w:rPr>
              <w:t>CDS Connect – Participant</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49B00AC6" w14:textId="77777777">
            <w:pPr>
              <w:keepNext/>
              <w:jc w:val="center"/>
              <w:rPr>
                <w:color w:val="000000"/>
                <w:sz w:val="22"/>
                <w:szCs w:val="22"/>
                <w:highlight w:val="yellow"/>
              </w:rPr>
            </w:pPr>
            <w:r w:rsidRPr="002C0104">
              <w:rPr>
                <w:sz w:val="22"/>
                <w:szCs w:val="22"/>
              </w:rPr>
              <w:t>10</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019A2A3F" w14:textId="77777777">
            <w:pPr>
              <w:keepNext/>
              <w:jc w:val="center"/>
              <w:rPr>
                <w:color w:val="000000"/>
                <w:sz w:val="22"/>
                <w:szCs w:val="22"/>
                <w:highlight w:val="yellow"/>
              </w:rPr>
            </w:pPr>
            <w:r w:rsidRPr="002C0104">
              <w:rPr>
                <w:sz w:val="22"/>
                <w:szCs w:val="22"/>
              </w:rPr>
              <w:t>10</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12535DF9" w14:textId="77777777">
            <w:pPr>
              <w:keepNext/>
              <w:jc w:val="center"/>
              <w:rPr>
                <w:color w:val="000000"/>
                <w:sz w:val="22"/>
                <w:szCs w:val="22"/>
                <w:highlight w:val="yellow"/>
              </w:rPr>
            </w:pPr>
            <w:r w:rsidRPr="002C0104">
              <w:rPr>
                <w:color w:val="000000"/>
                <w:sz w:val="22"/>
                <w:szCs w:val="22"/>
              </w:rPr>
              <w:t>$59.54</w:t>
            </w:r>
            <w:r w:rsidRPr="002C0104">
              <w:rPr>
                <w:color w:val="000000"/>
                <w:sz w:val="22"/>
                <w:szCs w:val="22"/>
                <w:vertAlign w:val="superscript"/>
              </w:rPr>
              <w:t>1</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2348DDF2" w14:textId="77777777">
            <w:pPr>
              <w:jc w:val="right"/>
              <w:rPr>
                <w:color w:val="000000"/>
                <w:sz w:val="22"/>
                <w:szCs w:val="22"/>
              </w:rPr>
            </w:pPr>
            <w:r w:rsidRPr="002C0104">
              <w:rPr>
                <w:color w:val="000000"/>
                <w:sz w:val="22"/>
                <w:szCs w:val="22"/>
              </w:rPr>
              <w:t>$595.41</w:t>
            </w:r>
          </w:p>
        </w:tc>
      </w:tr>
      <w:tr w:rsidRPr="00744949" w:rsidR="00161348" w:rsidTr="00A41E26" w14:paraId="4D2DDFA8"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24C408DB" w14:textId="7A416FCD">
            <w:pPr>
              <w:rPr>
                <w:sz w:val="22"/>
                <w:szCs w:val="22"/>
                <w:highlight w:val="yellow"/>
              </w:rPr>
            </w:pPr>
            <w:r>
              <w:rPr>
                <w:sz w:val="22"/>
                <w:szCs w:val="22"/>
              </w:rPr>
              <w:t xml:space="preserve">Attachment K: </w:t>
            </w:r>
            <w:r w:rsidRPr="002C0104">
              <w:rPr>
                <w:sz w:val="22"/>
                <w:szCs w:val="22"/>
              </w:rPr>
              <w:t xml:space="preserve">Quantifying Efficiencies - Leader </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0F94907B" w14:textId="77777777">
            <w:pPr>
              <w:keepNext/>
              <w:jc w:val="center"/>
              <w:rPr>
                <w:color w:val="000000"/>
                <w:sz w:val="22"/>
                <w:szCs w:val="22"/>
                <w:highlight w:val="yellow"/>
              </w:rPr>
            </w:pPr>
            <w:r w:rsidRPr="002C0104">
              <w:rPr>
                <w:sz w:val="22"/>
                <w:szCs w:val="22"/>
              </w:rPr>
              <w:t>5</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517766C5" w14:textId="77777777">
            <w:pPr>
              <w:keepNext/>
              <w:jc w:val="center"/>
              <w:rPr>
                <w:color w:val="000000"/>
                <w:sz w:val="22"/>
                <w:szCs w:val="22"/>
                <w:highlight w:val="yellow"/>
              </w:rPr>
            </w:pPr>
            <w:r w:rsidRPr="002C0104">
              <w:rPr>
                <w:sz w:val="22"/>
                <w:szCs w:val="22"/>
              </w:rPr>
              <w:t>5</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6CAE7439" w14:textId="77777777">
            <w:pPr>
              <w:keepNext/>
              <w:jc w:val="center"/>
              <w:rPr>
                <w:color w:val="000000"/>
                <w:sz w:val="22"/>
                <w:szCs w:val="22"/>
                <w:highlight w:val="yellow"/>
              </w:rPr>
            </w:pPr>
            <w:r w:rsidRPr="002C0104">
              <w:rPr>
                <w:color w:val="000000"/>
                <w:sz w:val="22"/>
                <w:szCs w:val="22"/>
              </w:rPr>
              <w:t>$59.54</w:t>
            </w:r>
            <w:r w:rsidRPr="002C0104">
              <w:rPr>
                <w:color w:val="000000"/>
                <w:sz w:val="22"/>
                <w:szCs w:val="22"/>
                <w:vertAlign w:val="superscript"/>
              </w:rPr>
              <w:t>1</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7BAD94AE" w14:textId="77777777">
            <w:pPr>
              <w:jc w:val="right"/>
              <w:rPr>
                <w:color w:val="000000"/>
                <w:sz w:val="22"/>
                <w:szCs w:val="22"/>
              </w:rPr>
            </w:pPr>
            <w:r w:rsidRPr="002C0104">
              <w:rPr>
                <w:color w:val="000000"/>
                <w:sz w:val="22"/>
                <w:szCs w:val="22"/>
              </w:rPr>
              <w:t>$297.71</w:t>
            </w:r>
          </w:p>
        </w:tc>
      </w:tr>
      <w:tr w:rsidRPr="00744949" w:rsidR="00161348" w:rsidTr="00A41E26" w14:paraId="6FFC6F62"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73EA0107" w14:textId="3B6B029C">
            <w:pPr>
              <w:rPr>
                <w:sz w:val="22"/>
                <w:szCs w:val="22"/>
                <w:highlight w:val="yellow"/>
              </w:rPr>
            </w:pPr>
            <w:r>
              <w:rPr>
                <w:sz w:val="22"/>
                <w:szCs w:val="22"/>
              </w:rPr>
              <w:t xml:space="preserve">Attachment L: </w:t>
            </w:r>
            <w:r w:rsidRPr="002C0104">
              <w:rPr>
                <w:sz w:val="22"/>
                <w:szCs w:val="22"/>
              </w:rPr>
              <w:t xml:space="preserve">Quantifying Efficiencies – </w:t>
            </w:r>
            <w:proofErr w:type="spellStart"/>
            <w:r w:rsidRPr="002C0104">
              <w:rPr>
                <w:sz w:val="22"/>
                <w:szCs w:val="22"/>
              </w:rPr>
              <w:t>Informaticist</w:t>
            </w:r>
            <w:proofErr w:type="spellEnd"/>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733650F1" w14:textId="77777777">
            <w:pPr>
              <w:keepNext/>
              <w:jc w:val="center"/>
              <w:rPr>
                <w:color w:val="000000"/>
                <w:sz w:val="22"/>
                <w:szCs w:val="22"/>
                <w:highlight w:val="yellow"/>
              </w:rPr>
            </w:pPr>
            <w:r w:rsidRPr="002C0104">
              <w:rPr>
                <w:sz w:val="22"/>
                <w:szCs w:val="22"/>
              </w:rPr>
              <w:t>4</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05CC20DF" w14:textId="77777777">
            <w:pPr>
              <w:keepNext/>
              <w:jc w:val="center"/>
              <w:rPr>
                <w:color w:val="000000"/>
                <w:sz w:val="22"/>
                <w:szCs w:val="22"/>
                <w:highlight w:val="yellow"/>
              </w:rPr>
            </w:pPr>
            <w:r w:rsidRPr="002C0104">
              <w:rPr>
                <w:sz w:val="22"/>
                <w:szCs w:val="22"/>
              </w:rPr>
              <w:t>4</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0315AD1C" w14:textId="77777777">
            <w:pPr>
              <w:keepNext/>
              <w:jc w:val="center"/>
              <w:rPr>
                <w:color w:val="000000"/>
                <w:sz w:val="22"/>
                <w:szCs w:val="22"/>
              </w:rPr>
            </w:pPr>
            <w:r w:rsidRPr="002C0104">
              <w:rPr>
                <w:color w:val="000000"/>
                <w:sz w:val="22"/>
                <w:szCs w:val="22"/>
              </w:rPr>
              <w:t>$59.54</w:t>
            </w:r>
            <w:r w:rsidRPr="002C0104">
              <w:rPr>
                <w:color w:val="000000"/>
                <w:sz w:val="22"/>
                <w:szCs w:val="22"/>
                <w:vertAlign w:val="superscript"/>
              </w:rPr>
              <w:t>1</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719EB115" w14:textId="77777777">
            <w:pPr>
              <w:jc w:val="right"/>
              <w:rPr>
                <w:color w:val="000000"/>
                <w:sz w:val="22"/>
                <w:szCs w:val="22"/>
              </w:rPr>
            </w:pPr>
            <w:r w:rsidRPr="002C0104">
              <w:rPr>
                <w:color w:val="000000"/>
                <w:sz w:val="22"/>
                <w:szCs w:val="22"/>
              </w:rPr>
              <w:t>$238.16</w:t>
            </w:r>
          </w:p>
        </w:tc>
      </w:tr>
      <w:tr w:rsidRPr="00744949" w:rsidR="00161348" w:rsidTr="00A41E26" w14:paraId="58F8DB96"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424A0401" w14:textId="134FED52">
            <w:pPr>
              <w:rPr>
                <w:sz w:val="22"/>
                <w:szCs w:val="22"/>
                <w:highlight w:val="yellow"/>
              </w:rPr>
            </w:pPr>
            <w:r>
              <w:rPr>
                <w:sz w:val="22"/>
                <w:szCs w:val="22"/>
              </w:rPr>
              <w:t xml:space="preserve">Attachment M: </w:t>
            </w:r>
            <w:r w:rsidRPr="002C0104">
              <w:rPr>
                <w:sz w:val="22"/>
                <w:szCs w:val="22"/>
              </w:rPr>
              <w:t>Quantifying Efficiencies - Clinician</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2C886884" w14:textId="77777777">
            <w:pPr>
              <w:keepNext/>
              <w:jc w:val="center"/>
              <w:rPr>
                <w:color w:val="000000"/>
                <w:sz w:val="22"/>
                <w:szCs w:val="22"/>
                <w:highlight w:val="yellow"/>
              </w:rPr>
            </w:pPr>
            <w:r w:rsidRPr="002C0104">
              <w:rPr>
                <w:sz w:val="22"/>
                <w:szCs w:val="22"/>
              </w:rPr>
              <w:t>8</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081E54BE" w14:textId="77777777">
            <w:pPr>
              <w:keepNext/>
              <w:jc w:val="center"/>
              <w:rPr>
                <w:color w:val="000000"/>
                <w:sz w:val="22"/>
                <w:szCs w:val="22"/>
                <w:highlight w:val="yellow"/>
              </w:rPr>
            </w:pPr>
            <w:r w:rsidRPr="002C0104">
              <w:rPr>
                <w:sz w:val="22"/>
                <w:szCs w:val="22"/>
              </w:rPr>
              <w:t>8</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0EA5A6C3" w14:textId="77777777">
            <w:pPr>
              <w:keepNext/>
              <w:jc w:val="center"/>
              <w:rPr>
                <w:color w:val="000000"/>
                <w:sz w:val="22"/>
                <w:szCs w:val="22"/>
              </w:rPr>
            </w:pPr>
            <w:r w:rsidRPr="002C0104">
              <w:rPr>
                <w:color w:val="000000"/>
                <w:sz w:val="22"/>
                <w:szCs w:val="22"/>
              </w:rPr>
              <w:t>$101.43</w:t>
            </w:r>
            <w:r w:rsidRPr="002C0104">
              <w:rPr>
                <w:color w:val="000000"/>
                <w:sz w:val="22"/>
                <w:szCs w:val="22"/>
                <w:vertAlign w:val="superscript"/>
              </w:rPr>
              <w:t>2</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03FB40FD" w14:textId="77777777">
            <w:pPr>
              <w:jc w:val="right"/>
              <w:rPr>
                <w:color w:val="000000"/>
                <w:sz w:val="22"/>
                <w:szCs w:val="22"/>
              </w:rPr>
            </w:pPr>
            <w:r w:rsidRPr="002C0104">
              <w:rPr>
                <w:color w:val="000000"/>
                <w:sz w:val="22"/>
                <w:szCs w:val="22"/>
              </w:rPr>
              <w:t>$811.46</w:t>
            </w:r>
          </w:p>
        </w:tc>
      </w:tr>
      <w:tr w:rsidRPr="00744949" w:rsidR="00161348" w:rsidTr="00A41E26" w14:paraId="6E7E135B"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5E0CF3BD" w14:textId="2975893A">
            <w:pPr>
              <w:rPr>
                <w:sz w:val="22"/>
                <w:szCs w:val="22"/>
                <w:highlight w:val="yellow"/>
              </w:rPr>
            </w:pPr>
            <w:r>
              <w:rPr>
                <w:sz w:val="22"/>
                <w:szCs w:val="22"/>
              </w:rPr>
              <w:t xml:space="preserve">Attachment N: </w:t>
            </w:r>
            <w:r w:rsidRPr="002C0104">
              <w:rPr>
                <w:sz w:val="22"/>
                <w:szCs w:val="22"/>
              </w:rPr>
              <w:t>PC CDS Projects –Site Leader</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31EF893B" w14:textId="77777777">
            <w:pPr>
              <w:keepNext/>
              <w:jc w:val="center"/>
              <w:rPr>
                <w:color w:val="000000"/>
                <w:sz w:val="22"/>
                <w:szCs w:val="22"/>
                <w:highlight w:val="yellow"/>
              </w:rPr>
            </w:pPr>
            <w:r w:rsidRPr="002C0104">
              <w:rPr>
                <w:sz w:val="22"/>
                <w:szCs w:val="22"/>
              </w:rPr>
              <w:t>18</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4D7061AB" w14:textId="77777777">
            <w:pPr>
              <w:keepNext/>
              <w:jc w:val="center"/>
              <w:rPr>
                <w:color w:val="000000"/>
                <w:sz w:val="22"/>
                <w:szCs w:val="22"/>
                <w:highlight w:val="yellow"/>
              </w:rPr>
            </w:pPr>
            <w:r w:rsidRPr="002C0104">
              <w:rPr>
                <w:sz w:val="22"/>
                <w:szCs w:val="22"/>
              </w:rPr>
              <w:t>18</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6B5FB0AA" w14:textId="77777777">
            <w:pPr>
              <w:keepNext/>
              <w:jc w:val="center"/>
              <w:rPr>
                <w:color w:val="000000"/>
                <w:sz w:val="22"/>
                <w:szCs w:val="22"/>
              </w:rPr>
            </w:pPr>
            <w:r w:rsidRPr="002C0104">
              <w:rPr>
                <w:color w:val="000000"/>
                <w:sz w:val="22"/>
                <w:szCs w:val="22"/>
              </w:rPr>
              <w:t>$59.54</w:t>
            </w:r>
            <w:r w:rsidRPr="002C0104">
              <w:rPr>
                <w:color w:val="000000"/>
                <w:sz w:val="22"/>
                <w:szCs w:val="22"/>
                <w:vertAlign w:val="superscript"/>
              </w:rPr>
              <w:t>1</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510957E7" w14:textId="77777777">
            <w:pPr>
              <w:jc w:val="right"/>
              <w:rPr>
                <w:color w:val="000000"/>
                <w:sz w:val="22"/>
                <w:szCs w:val="22"/>
              </w:rPr>
            </w:pPr>
            <w:r w:rsidRPr="002C0104">
              <w:rPr>
                <w:color w:val="000000"/>
                <w:sz w:val="22"/>
                <w:szCs w:val="22"/>
              </w:rPr>
              <w:t>$1,071.74</w:t>
            </w:r>
          </w:p>
        </w:tc>
      </w:tr>
      <w:tr w:rsidRPr="00744949" w:rsidR="00161348" w:rsidTr="00A41E26" w14:paraId="255E7D5F"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75B96D1C" w14:textId="2D8DBF18">
            <w:pPr>
              <w:rPr>
                <w:sz w:val="22"/>
                <w:szCs w:val="22"/>
                <w:highlight w:val="yellow"/>
              </w:rPr>
            </w:pPr>
            <w:r>
              <w:rPr>
                <w:sz w:val="22"/>
                <w:szCs w:val="22"/>
              </w:rPr>
              <w:t xml:space="preserve">Attachment O: </w:t>
            </w:r>
            <w:r w:rsidRPr="002C0104">
              <w:rPr>
                <w:sz w:val="22"/>
                <w:szCs w:val="22"/>
              </w:rPr>
              <w:t xml:space="preserve">PC CDS Projects – </w:t>
            </w:r>
            <w:proofErr w:type="spellStart"/>
            <w:r w:rsidRPr="002C0104">
              <w:rPr>
                <w:sz w:val="22"/>
                <w:szCs w:val="22"/>
              </w:rPr>
              <w:t>Informaticist</w:t>
            </w:r>
            <w:proofErr w:type="spellEnd"/>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659BD078" w14:textId="77777777">
            <w:pPr>
              <w:keepNext/>
              <w:jc w:val="center"/>
              <w:rPr>
                <w:color w:val="000000"/>
                <w:sz w:val="22"/>
                <w:szCs w:val="22"/>
                <w:highlight w:val="yellow"/>
              </w:rPr>
            </w:pPr>
            <w:r w:rsidRPr="002C0104">
              <w:rPr>
                <w:sz w:val="22"/>
                <w:szCs w:val="22"/>
              </w:rPr>
              <w:t>10</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25996AD4" w14:textId="77777777">
            <w:pPr>
              <w:keepNext/>
              <w:jc w:val="center"/>
              <w:rPr>
                <w:color w:val="000000"/>
                <w:sz w:val="22"/>
                <w:szCs w:val="22"/>
                <w:highlight w:val="yellow"/>
              </w:rPr>
            </w:pPr>
            <w:r w:rsidRPr="002C0104">
              <w:rPr>
                <w:sz w:val="22"/>
                <w:szCs w:val="22"/>
              </w:rPr>
              <w:t>10</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09A41BB0" w14:textId="77777777">
            <w:pPr>
              <w:keepNext/>
              <w:jc w:val="center"/>
              <w:rPr>
                <w:color w:val="000000"/>
                <w:sz w:val="22"/>
                <w:szCs w:val="22"/>
              </w:rPr>
            </w:pPr>
            <w:r w:rsidRPr="002C0104">
              <w:rPr>
                <w:color w:val="000000"/>
                <w:sz w:val="22"/>
                <w:szCs w:val="22"/>
              </w:rPr>
              <w:t>$59.54</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2C0104" w:rsidR="00161348" w:rsidP="00161348" w:rsidRDefault="00161348" w14:paraId="77C6EC27" w14:textId="77777777">
            <w:pPr>
              <w:jc w:val="right"/>
              <w:rPr>
                <w:color w:val="000000"/>
                <w:sz w:val="22"/>
                <w:szCs w:val="22"/>
              </w:rPr>
            </w:pPr>
            <w:r w:rsidRPr="002C0104">
              <w:rPr>
                <w:color w:val="000000"/>
                <w:sz w:val="22"/>
                <w:szCs w:val="22"/>
              </w:rPr>
              <w:t>$595.40</w:t>
            </w:r>
          </w:p>
        </w:tc>
      </w:tr>
      <w:tr w:rsidRPr="00AD4663" w:rsidR="00161348" w:rsidTr="00A41E26" w14:paraId="5A15461A"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34FC59E3" w14:textId="4CDF9A6A">
            <w:pPr>
              <w:rPr>
                <w:sz w:val="22"/>
                <w:szCs w:val="22"/>
              </w:rPr>
            </w:pPr>
            <w:r>
              <w:rPr>
                <w:sz w:val="22"/>
                <w:szCs w:val="22"/>
              </w:rPr>
              <w:lastRenderedPageBreak/>
              <w:t xml:space="preserve">Attachment P: </w:t>
            </w:r>
            <w:r w:rsidRPr="00AD4663">
              <w:rPr>
                <w:sz w:val="22"/>
                <w:szCs w:val="22"/>
              </w:rPr>
              <w:t>PC CDS Projects - Clinician</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50113208" w14:textId="77777777">
            <w:pPr>
              <w:keepNext/>
              <w:jc w:val="center"/>
              <w:rPr>
                <w:color w:val="000000"/>
                <w:sz w:val="22"/>
                <w:szCs w:val="22"/>
              </w:rPr>
            </w:pPr>
            <w:r w:rsidRPr="00AD4663">
              <w:rPr>
                <w:sz w:val="22"/>
                <w:szCs w:val="22"/>
              </w:rPr>
              <w:t>20</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3EB92B35" w14:textId="77777777">
            <w:pPr>
              <w:keepNext/>
              <w:jc w:val="center"/>
              <w:rPr>
                <w:color w:val="000000"/>
                <w:sz w:val="22"/>
                <w:szCs w:val="22"/>
              </w:rPr>
            </w:pPr>
            <w:r w:rsidRPr="00AD4663">
              <w:rPr>
                <w:sz w:val="22"/>
                <w:szCs w:val="22"/>
              </w:rPr>
              <w:t>20</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60BB62F9" w14:textId="77777777">
            <w:pPr>
              <w:keepNext/>
              <w:jc w:val="center"/>
              <w:rPr>
                <w:color w:val="000000"/>
                <w:sz w:val="22"/>
                <w:szCs w:val="22"/>
              </w:rPr>
            </w:pPr>
            <w:r w:rsidRPr="00AD4663">
              <w:rPr>
                <w:color w:val="000000"/>
                <w:sz w:val="22"/>
                <w:szCs w:val="22"/>
              </w:rPr>
              <w:t>$101.43</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0FD0D8AE" w14:textId="77777777">
            <w:pPr>
              <w:jc w:val="right"/>
              <w:rPr>
                <w:color w:val="000000"/>
                <w:sz w:val="22"/>
                <w:szCs w:val="22"/>
              </w:rPr>
            </w:pPr>
            <w:r w:rsidRPr="00AD4663">
              <w:rPr>
                <w:color w:val="000000"/>
                <w:sz w:val="22"/>
                <w:szCs w:val="22"/>
              </w:rPr>
              <w:t>$2,028.60</w:t>
            </w:r>
          </w:p>
        </w:tc>
      </w:tr>
      <w:tr w:rsidRPr="00AD4663" w:rsidR="00161348" w:rsidTr="00A41E26" w14:paraId="254B76CD"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7D2F4ACD" w14:textId="0DBD2921">
            <w:pPr>
              <w:rPr>
                <w:sz w:val="22"/>
                <w:szCs w:val="22"/>
              </w:rPr>
            </w:pPr>
            <w:r>
              <w:rPr>
                <w:sz w:val="22"/>
                <w:szCs w:val="22"/>
              </w:rPr>
              <w:t xml:space="preserve">Attachment Q: </w:t>
            </w:r>
            <w:r w:rsidRPr="00AD4663">
              <w:rPr>
                <w:sz w:val="22"/>
                <w:szCs w:val="22"/>
              </w:rPr>
              <w:t>PC CDS Projects - Patient</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1A55A83D" w14:textId="77777777">
            <w:pPr>
              <w:keepNext/>
              <w:jc w:val="center"/>
              <w:rPr>
                <w:color w:val="000000"/>
                <w:sz w:val="22"/>
                <w:szCs w:val="22"/>
              </w:rPr>
            </w:pPr>
            <w:r w:rsidRPr="00AD4663">
              <w:rPr>
                <w:sz w:val="22"/>
                <w:szCs w:val="22"/>
              </w:rPr>
              <w:t>4</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6323F91C" w14:textId="77777777">
            <w:pPr>
              <w:keepNext/>
              <w:jc w:val="center"/>
              <w:rPr>
                <w:color w:val="000000"/>
                <w:sz w:val="22"/>
                <w:szCs w:val="22"/>
              </w:rPr>
            </w:pPr>
            <w:r w:rsidRPr="00AD4663">
              <w:rPr>
                <w:sz w:val="22"/>
                <w:szCs w:val="22"/>
              </w:rPr>
              <w:t>4</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761895EA" w14:textId="77777777">
            <w:pPr>
              <w:keepNext/>
              <w:jc w:val="center"/>
              <w:rPr>
                <w:color w:val="000000"/>
                <w:sz w:val="22"/>
                <w:szCs w:val="22"/>
              </w:rPr>
            </w:pPr>
            <w:r w:rsidRPr="00AD4663">
              <w:rPr>
                <w:color w:val="000000"/>
                <w:sz w:val="22"/>
                <w:szCs w:val="22"/>
              </w:rPr>
              <w:t>$24.98</w:t>
            </w:r>
            <w:r w:rsidRPr="00AD4663">
              <w:rPr>
                <w:color w:val="000000"/>
                <w:sz w:val="22"/>
                <w:szCs w:val="22"/>
                <w:vertAlign w:val="superscript"/>
              </w:rPr>
              <w:t>3</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283C1DAE" w14:textId="77777777">
            <w:pPr>
              <w:jc w:val="right"/>
              <w:rPr>
                <w:color w:val="000000"/>
                <w:sz w:val="22"/>
                <w:szCs w:val="22"/>
              </w:rPr>
            </w:pPr>
            <w:r w:rsidRPr="00AD4663">
              <w:rPr>
                <w:color w:val="000000"/>
                <w:sz w:val="22"/>
                <w:szCs w:val="22"/>
              </w:rPr>
              <w:t>$99.93</w:t>
            </w:r>
          </w:p>
        </w:tc>
      </w:tr>
      <w:tr w:rsidRPr="00AD4663" w:rsidR="00161348" w:rsidTr="00FB184F" w14:paraId="7C3974D6" w14:textId="77777777">
        <w:trPr>
          <w:cantSplit/>
          <w:trHeight w:val="288"/>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5B19611A" w14:textId="2CDF9328">
            <w:pPr>
              <w:keepNext/>
              <w:rPr>
                <w:sz w:val="22"/>
                <w:szCs w:val="22"/>
              </w:rPr>
            </w:pPr>
            <w:r>
              <w:rPr>
                <w:sz w:val="22"/>
                <w:szCs w:val="22"/>
              </w:rPr>
              <w:t xml:space="preserve">Attachment R: </w:t>
            </w:r>
            <w:r w:rsidRPr="00AD4663">
              <w:rPr>
                <w:sz w:val="22"/>
                <w:szCs w:val="22"/>
              </w:rPr>
              <w:t>Web Survey of CDS Connect Users</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77AEF8FC" w14:textId="4A8DF4E6">
            <w:pPr>
              <w:keepNext/>
              <w:jc w:val="center"/>
              <w:rPr>
                <w:sz w:val="22"/>
                <w:szCs w:val="22"/>
              </w:rPr>
            </w:pPr>
            <w:r w:rsidRPr="00AD4663">
              <w:rPr>
                <w:sz w:val="22"/>
                <w:szCs w:val="22"/>
              </w:rPr>
              <w:t>453</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0E92D3E3" w14:textId="42F9085A">
            <w:pPr>
              <w:keepNext/>
              <w:jc w:val="center"/>
              <w:rPr>
                <w:sz w:val="22"/>
                <w:szCs w:val="22"/>
              </w:rPr>
            </w:pPr>
            <w:r w:rsidRPr="00AD4663">
              <w:rPr>
                <w:sz w:val="22"/>
                <w:szCs w:val="22"/>
              </w:rPr>
              <w:t>77</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31D75427" w14:textId="77777777">
            <w:pPr>
              <w:keepNext/>
              <w:jc w:val="center"/>
              <w:rPr>
                <w:color w:val="000000"/>
                <w:sz w:val="22"/>
                <w:szCs w:val="22"/>
              </w:rPr>
            </w:pPr>
            <w:r w:rsidRPr="00AD4663">
              <w:rPr>
                <w:color w:val="000000"/>
                <w:sz w:val="22"/>
                <w:szCs w:val="22"/>
              </w:rPr>
              <w:t>$59.54</w:t>
            </w:r>
            <w:r w:rsidRPr="00AD4663">
              <w:rPr>
                <w:color w:val="000000"/>
                <w:sz w:val="22"/>
                <w:szCs w:val="22"/>
                <w:vertAlign w:val="superscript"/>
              </w:rPr>
              <w:t>1</w:t>
            </w: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161348" w:rsidP="00161348" w:rsidRDefault="00161348" w14:paraId="2CC427D9" w14:textId="0D613F73">
            <w:pPr>
              <w:jc w:val="right"/>
              <w:rPr>
                <w:color w:val="000000"/>
                <w:sz w:val="22"/>
                <w:szCs w:val="22"/>
              </w:rPr>
            </w:pPr>
            <w:r>
              <w:rPr>
                <w:color w:val="000000"/>
                <w:sz w:val="22"/>
                <w:szCs w:val="22"/>
              </w:rPr>
              <w:t xml:space="preserve">$4,584.66 </w:t>
            </w:r>
          </w:p>
        </w:tc>
      </w:tr>
      <w:tr w:rsidRPr="00AD4663" w:rsidR="00A41E26" w:rsidTr="00A41E26" w14:paraId="7B208F1A" w14:textId="77777777">
        <w:trPr>
          <w:cantSplit/>
          <w:trHeight w:val="330"/>
        </w:trPr>
        <w:tc>
          <w:tcPr>
            <w:tcW w:w="2179"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bottom"/>
          </w:tcPr>
          <w:p w:rsidRPr="00AD4663" w:rsidR="00A41E26" w:rsidP="00A41E26" w:rsidRDefault="00A41E26" w14:paraId="4344411C" w14:textId="77777777">
            <w:pPr>
              <w:keepNext/>
              <w:rPr>
                <w:b/>
                <w:bCs/>
                <w:color w:val="000000"/>
                <w:sz w:val="22"/>
                <w:szCs w:val="22"/>
              </w:rPr>
            </w:pPr>
            <w:r w:rsidRPr="00AD4663">
              <w:rPr>
                <w:b/>
                <w:sz w:val="22"/>
                <w:szCs w:val="22"/>
              </w:rPr>
              <w:t>Total</w:t>
            </w:r>
          </w:p>
        </w:tc>
        <w:tc>
          <w:tcPr>
            <w:tcW w:w="78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AD4663" w:rsidR="00A41E26" w:rsidP="00A41E26" w:rsidRDefault="00307322" w14:paraId="2C82A351" w14:textId="436A7083">
            <w:pPr>
              <w:keepNext/>
              <w:jc w:val="center"/>
              <w:rPr>
                <w:sz w:val="22"/>
                <w:szCs w:val="22"/>
              </w:rPr>
            </w:pPr>
            <w:r w:rsidRPr="00AD4663">
              <w:rPr>
                <w:sz w:val="22"/>
                <w:szCs w:val="22"/>
              </w:rPr>
              <w:t>600</w:t>
            </w:r>
          </w:p>
        </w:tc>
        <w:tc>
          <w:tcPr>
            <w:tcW w:w="623"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AD4663" w:rsidR="00A41E26" w:rsidP="00A41E26" w:rsidRDefault="00307322" w14:paraId="2AC03398" w14:textId="656B31DF">
            <w:pPr>
              <w:keepNext/>
              <w:jc w:val="center"/>
              <w:rPr>
                <w:sz w:val="22"/>
                <w:szCs w:val="22"/>
              </w:rPr>
            </w:pPr>
            <w:r w:rsidRPr="00AD4663">
              <w:rPr>
                <w:sz w:val="22"/>
                <w:szCs w:val="22"/>
              </w:rPr>
              <w:t>224</w:t>
            </w:r>
          </w:p>
        </w:tc>
        <w:tc>
          <w:tcPr>
            <w:tcW w:w="778"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AD4663" w:rsidR="00A41E26" w:rsidP="00A41E26" w:rsidRDefault="00A41E26" w14:paraId="2A88078A" w14:textId="77777777">
            <w:pPr>
              <w:keepNext/>
              <w:jc w:val="center"/>
              <w:rPr>
                <w:sz w:val="22"/>
                <w:szCs w:val="22"/>
              </w:rPr>
            </w:pPr>
          </w:p>
        </w:tc>
        <w:tc>
          <w:tcPr>
            <w:tcW w:w="640" w:type="pct"/>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AD4663" w:rsidR="00A41E26" w:rsidP="00A41E26" w:rsidRDefault="00307322" w14:paraId="3F961140" w14:textId="37624FC9">
            <w:pPr>
              <w:jc w:val="right"/>
              <w:rPr>
                <w:sz w:val="22"/>
                <w:szCs w:val="22"/>
              </w:rPr>
            </w:pPr>
            <w:r w:rsidRPr="00AD4663">
              <w:rPr>
                <w:sz w:val="22"/>
                <w:szCs w:val="22"/>
              </w:rPr>
              <w:t xml:space="preserve"> $14,37</w:t>
            </w:r>
            <w:r w:rsidR="009B03F2">
              <w:rPr>
                <w:sz w:val="22"/>
                <w:szCs w:val="22"/>
              </w:rPr>
              <w:t>1</w:t>
            </w:r>
            <w:r w:rsidRPr="00AD4663">
              <w:rPr>
                <w:sz w:val="22"/>
                <w:szCs w:val="22"/>
              </w:rPr>
              <w:t>.</w:t>
            </w:r>
            <w:r w:rsidR="009B03F2">
              <w:rPr>
                <w:sz w:val="22"/>
                <w:szCs w:val="22"/>
              </w:rPr>
              <w:t>8</w:t>
            </w:r>
            <w:r w:rsidR="00A61FA3">
              <w:rPr>
                <w:sz w:val="22"/>
                <w:szCs w:val="22"/>
              </w:rPr>
              <w:t>6</w:t>
            </w:r>
          </w:p>
        </w:tc>
      </w:tr>
    </w:tbl>
    <w:p w:rsidRPr="00AD4663" w:rsidR="00744949" w:rsidP="00744949" w:rsidRDefault="00744949" w14:paraId="2B1EC3E5" w14:textId="77777777">
      <w:pPr>
        <w:rPr>
          <w:color w:val="000000"/>
          <w:sz w:val="20"/>
          <w:szCs w:val="20"/>
        </w:rPr>
      </w:pPr>
    </w:p>
    <w:p w:rsidRPr="00744949" w:rsidR="00744949" w:rsidP="00744949" w:rsidRDefault="00744949" w14:paraId="564DEDF3" w14:textId="77777777">
      <w:pPr>
        <w:rPr>
          <w:sz w:val="20"/>
          <w:szCs w:val="20"/>
        </w:rPr>
      </w:pPr>
      <w:r w:rsidRPr="00AD4663">
        <w:rPr>
          <w:color w:val="000000"/>
          <w:sz w:val="20"/>
          <w:szCs w:val="20"/>
        </w:rPr>
        <w:t>**Wage rates were calculated using the mean hourly wage from the U.S. Department of Labor, Bureau</w:t>
      </w:r>
      <w:r w:rsidRPr="00744949">
        <w:rPr>
          <w:color w:val="000000"/>
          <w:sz w:val="20"/>
          <w:szCs w:val="20"/>
        </w:rPr>
        <w:t xml:space="preserve"> of Labor Statistics, May 2018 National Occupational Employment and Wage Estimates for the United States, </w:t>
      </w:r>
      <w:hyperlink w:history="1" r:id="rId8">
        <w:r w:rsidRPr="00744949">
          <w:rPr>
            <w:rStyle w:val="Hyperlink"/>
            <w:sz w:val="20"/>
            <w:szCs w:val="20"/>
          </w:rPr>
          <w:t>https://www.bls.gov/oes/current/oes_nat.htm</w:t>
        </w:r>
      </w:hyperlink>
    </w:p>
    <w:p w:rsidRPr="00744949" w:rsidR="00744949" w:rsidP="00744949" w:rsidRDefault="00744949" w14:paraId="06AE613E" w14:textId="77777777">
      <w:pPr>
        <w:rPr>
          <w:sz w:val="20"/>
          <w:szCs w:val="20"/>
        </w:rPr>
      </w:pPr>
      <w:r w:rsidRPr="00744949">
        <w:rPr>
          <w:sz w:val="20"/>
          <w:szCs w:val="20"/>
          <w:vertAlign w:val="superscript"/>
        </w:rPr>
        <w:t xml:space="preserve">1 </w:t>
      </w:r>
      <w:r w:rsidRPr="00744949">
        <w:rPr>
          <w:sz w:val="20"/>
          <w:szCs w:val="20"/>
        </w:rPr>
        <w:t>Average rate for Computer Information and Research Scientists</w:t>
      </w:r>
    </w:p>
    <w:p w:rsidRPr="00744949" w:rsidR="00744949" w:rsidP="00744949" w:rsidRDefault="00744949" w14:paraId="6AD53274" w14:textId="77777777">
      <w:pPr>
        <w:rPr>
          <w:sz w:val="20"/>
          <w:szCs w:val="20"/>
        </w:rPr>
      </w:pPr>
      <w:r w:rsidRPr="00744949">
        <w:rPr>
          <w:sz w:val="20"/>
          <w:szCs w:val="20"/>
          <w:vertAlign w:val="superscript"/>
        </w:rPr>
        <w:t>2</w:t>
      </w:r>
      <w:r w:rsidRPr="00744949">
        <w:rPr>
          <w:sz w:val="20"/>
          <w:szCs w:val="20"/>
        </w:rPr>
        <w:t xml:space="preserve"> Average rate for Physicians and Surgeons</w:t>
      </w:r>
    </w:p>
    <w:p w:rsidRPr="00744949" w:rsidR="00744949" w:rsidP="00744949" w:rsidRDefault="00744949" w14:paraId="0FFD8F6B" w14:textId="77777777">
      <w:pPr>
        <w:rPr>
          <w:sz w:val="20"/>
          <w:szCs w:val="20"/>
        </w:rPr>
      </w:pPr>
      <w:r w:rsidRPr="00744949">
        <w:rPr>
          <w:sz w:val="20"/>
          <w:szCs w:val="20"/>
          <w:vertAlign w:val="superscript"/>
        </w:rPr>
        <w:t>3</w:t>
      </w:r>
      <w:r w:rsidRPr="00744949">
        <w:rPr>
          <w:sz w:val="20"/>
          <w:szCs w:val="20"/>
        </w:rPr>
        <w:t xml:space="preserve"> Average rate for All Occupations</w:t>
      </w:r>
    </w:p>
    <w:p w:rsidR="00744949" w:rsidP="00744949" w:rsidRDefault="00744949" w14:paraId="0D73B857" w14:textId="77777777"/>
    <w:p w:rsidRPr="00412C6F" w:rsidR="009B633D" w:rsidP="009B633D" w:rsidRDefault="009B633D" w14:paraId="2B73AB7D" w14:textId="77777777">
      <w:pPr>
        <w:pStyle w:val="Heading2"/>
        <w:rPr>
          <w:sz w:val="24"/>
        </w:rPr>
      </w:pPr>
      <w:bookmarkStart w:name="_Toc42869947" w:id="49"/>
      <w:r w:rsidRPr="00412C6F">
        <w:rPr>
          <w:sz w:val="24"/>
        </w:rPr>
        <w:t>13. Estimates of Annualized Respondent Capital and Maintenance Costs</w:t>
      </w:r>
      <w:bookmarkEnd w:id="47"/>
      <w:bookmarkEnd w:id="48"/>
      <w:bookmarkEnd w:id="49"/>
    </w:p>
    <w:p w:rsidR="009C4881" w:rsidP="00AD4663" w:rsidRDefault="00C205C8" w14:paraId="388DC8AC" w14:textId="1E09779E">
      <w:pPr>
        <w:spacing w:before="120"/>
      </w:pPr>
      <w:r>
        <w:t>T</w:t>
      </w:r>
      <w:r w:rsidR="0080612B">
        <w:t>here are no direct costs to respondents other than their time to participate in the study.</w:t>
      </w:r>
    </w:p>
    <w:p w:rsidR="009B633D" w:rsidP="009B633D" w:rsidRDefault="009B633D" w14:paraId="325839A3" w14:textId="77777777">
      <w:pPr>
        <w:pStyle w:val="Heading2"/>
        <w:rPr>
          <w:sz w:val="24"/>
        </w:rPr>
      </w:pPr>
      <w:bookmarkStart w:name="_Toc58725299" w:id="50"/>
      <w:bookmarkStart w:name="_Toc151782189" w:id="51"/>
      <w:bookmarkStart w:name="_Toc158526229" w:id="52"/>
      <w:bookmarkStart w:name="_Toc42869948" w:id="53"/>
      <w:r w:rsidRPr="00412C6F">
        <w:rPr>
          <w:sz w:val="24"/>
        </w:rPr>
        <w:t xml:space="preserve">14. Estimates of </w:t>
      </w:r>
      <w:r w:rsidR="00DA79B5">
        <w:rPr>
          <w:sz w:val="24"/>
        </w:rPr>
        <w:t xml:space="preserve">Total and </w:t>
      </w:r>
      <w:r w:rsidRPr="00412C6F">
        <w:rPr>
          <w:sz w:val="24"/>
        </w:rPr>
        <w:t>Annualized Cost to the Government</w:t>
      </w:r>
      <w:bookmarkEnd w:id="50"/>
      <w:bookmarkEnd w:id="51"/>
      <w:bookmarkEnd w:id="52"/>
      <w:bookmarkEnd w:id="53"/>
    </w:p>
    <w:p w:rsidR="00063E36" w:rsidP="00063E36" w:rsidRDefault="00063E36" w14:paraId="7DA8032B" w14:textId="77777777"/>
    <w:p w:rsidRPr="00063E36" w:rsidR="00063E36" w:rsidP="00063E36" w:rsidRDefault="00063E36" w14:paraId="36EF9E03" w14:textId="02DBDC0B">
      <w:r w:rsidRPr="001210CF">
        <w:rPr>
          <w:bCs/>
        </w:rPr>
        <w:t xml:space="preserve">The estimated total cost to the Federal Government for this project is </w:t>
      </w:r>
      <w:r w:rsidRPr="001210CF">
        <w:t>$</w:t>
      </w:r>
      <w:r w:rsidRPr="001210CF" w:rsidR="001210CF">
        <w:t>1,278,193</w:t>
      </w:r>
      <w:r w:rsidRPr="001210CF">
        <w:t xml:space="preserve"> </w:t>
      </w:r>
      <w:r w:rsidRPr="001210CF">
        <w:rPr>
          <w:bCs/>
        </w:rPr>
        <w:t>over a t</w:t>
      </w:r>
      <w:r w:rsidR="00AD121B">
        <w:rPr>
          <w:bCs/>
        </w:rPr>
        <w:t>hree</w:t>
      </w:r>
      <w:r w:rsidRPr="001210CF">
        <w:rPr>
          <w:bCs/>
        </w:rPr>
        <w:t xml:space="preserve">-year period from </w:t>
      </w:r>
      <w:r w:rsidRPr="001210CF" w:rsidR="001210CF">
        <w:rPr>
          <w:bCs/>
        </w:rPr>
        <w:t xml:space="preserve">September 30, </w:t>
      </w:r>
      <w:r w:rsidRPr="001210CF">
        <w:rPr>
          <w:bCs/>
        </w:rPr>
        <w:t>20</w:t>
      </w:r>
      <w:r w:rsidRPr="001210CF" w:rsidR="001210CF">
        <w:rPr>
          <w:bCs/>
        </w:rPr>
        <w:t>1</w:t>
      </w:r>
      <w:r w:rsidRPr="001210CF">
        <w:rPr>
          <w:bCs/>
        </w:rPr>
        <w:t xml:space="preserve">9 to </w:t>
      </w:r>
      <w:r w:rsidRPr="001210CF" w:rsidR="001210CF">
        <w:rPr>
          <w:bCs/>
        </w:rPr>
        <w:t>September 29, 2022</w:t>
      </w:r>
      <w:r w:rsidRPr="001210CF" w:rsidR="00550174">
        <w:rPr>
          <w:bCs/>
        </w:rPr>
        <w:t>.</w:t>
      </w:r>
      <w:r w:rsidRPr="001210CF">
        <w:rPr>
          <w:bCs/>
        </w:rPr>
        <w:t xml:space="preserve"> The estimated average annual cost is $</w:t>
      </w:r>
      <w:r w:rsidR="00AD121B">
        <w:rPr>
          <w:bCs/>
        </w:rPr>
        <w:t>426,604</w:t>
      </w:r>
      <w:r w:rsidRPr="001210CF">
        <w:rPr>
          <w:bCs/>
        </w:rPr>
        <w:t>.</w:t>
      </w:r>
      <w:r w:rsidRPr="001210CF">
        <w:t xml:space="preserve"> </w:t>
      </w:r>
      <w:r w:rsidRPr="001210CF">
        <w:rPr>
          <w:bCs/>
        </w:rPr>
        <w:t xml:space="preserve">Exhibit </w:t>
      </w:r>
      <w:r w:rsidR="005A3B16">
        <w:rPr>
          <w:bCs/>
        </w:rPr>
        <w:t>5</w:t>
      </w:r>
      <w:r w:rsidR="00AD121B">
        <w:rPr>
          <w:bCs/>
        </w:rPr>
        <w:t>a</w:t>
      </w:r>
      <w:r w:rsidRPr="001210CF">
        <w:rPr>
          <w:bCs/>
        </w:rPr>
        <w:t xml:space="preserve"> provides a breakdown of the estimated total and average annual costs by category.</w:t>
      </w:r>
      <w:r w:rsidRPr="00063E36" w:rsidDel="00CB1733">
        <w:t xml:space="preserve"> </w:t>
      </w:r>
    </w:p>
    <w:p w:rsidRPr="00AA5479" w:rsidR="00012FB9" w:rsidP="001700D8" w:rsidRDefault="00012FB9" w14:paraId="09990E14" w14:textId="36328E9B">
      <w:pPr>
        <w:pStyle w:val="NORCCaption-Exhibit"/>
        <w:pBdr>
          <w:top w:val="single" w:color="BFB6AC" w:sz="4" w:space="0"/>
        </w:pBdr>
        <w:spacing w:before="100" w:beforeAutospacing="1" w:line="276" w:lineRule="auto"/>
        <w:rPr>
          <w:rStyle w:val="NORCCaption-Color"/>
          <w:color w:val="000000" w:themeColor="text1"/>
        </w:rPr>
      </w:pPr>
      <w:bookmarkStart w:name="_Toc151782190" w:id="54"/>
      <w:bookmarkStart w:name="_Toc158526230" w:id="55"/>
      <w:r w:rsidRPr="00AA5479">
        <w:rPr>
          <w:rStyle w:val="NORCCaption-Color"/>
          <w:color w:val="000000" w:themeColor="text1"/>
        </w:rPr>
        <w:t xml:space="preserve">Exhibit </w:t>
      </w:r>
      <w:r w:rsidR="005A3B16">
        <w:rPr>
          <w:rStyle w:val="NORCCaption-Color"/>
          <w:color w:val="000000" w:themeColor="text1"/>
        </w:rPr>
        <w:t>5</w:t>
      </w:r>
      <w:r w:rsidRPr="00AA5479" w:rsidR="00DA79B5">
        <w:rPr>
          <w:rStyle w:val="NORCCaption-Color"/>
          <w:color w:val="000000" w:themeColor="text1"/>
        </w:rPr>
        <w:t>a</w:t>
      </w:r>
      <w:r w:rsidRPr="00AA5479">
        <w:rPr>
          <w:rStyle w:val="NORCCaption-Color"/>
          <w:color w:val="000000" w:themeColor="text1"/>
        </w:rPr>
        <w:t>.</w:t>
      </w:r>
      <w:r w:rsidR="0041780A">
        <w:rPr>
          <w:rStyle w:val="NORCCaption-Color"/>
          <w:color w:val="000000" w:themeColor="text1"/>
        </w:rPr>
        <w:t xml:space="preserve"> </w:t>
      </w:r>
      <w:r w:rsidRPr="00AA5479">
        <w:rPr>
          <w:rStyle w:val="NORCCaption-Color"/>
          <w:color w:val="000000" w:themeColor="text1"/>
        </w:rPr>
        <w:t>Estimated</w:t>
      </w:r>
      <w:r w:rsidRPr="00AA5479" w:rsidR="00FD1D9C">
        <w:rPr>
          <w:rStyle w:val="NORCCaption-Color"/>
          <w:color w:val="000000" w:themeColor="text1"/>
        </w:rPr>
        <w:t xml:space="preserve"> Total and Annualized</w:t>
      </w:r>
      <w:r w:rsidRPr="00AA5479">
        <w:rPr>
          <w:rStyle w:val="NORCCaption-Color"/>
          <w:color w:val="000000" w:themeColor="text1"/>
        </w:rPr>
        <w:t xml:space="preserve"> Cost</w:t>
      </w:r>
    </w:p>
    <w:tbl>
      <w:tblPr>
        <w:tblW w:w="0" w:type="auto"/>
        <w:tblInd w:w="108" w:type="dxa"/>
        <w:tblCellMar>
          <w:left w:w="0" w:type="dxa"/>
          <w:right w:w="0" w:type="dxa"/>
        </w:tblCellMar>
        <w:tblLook w:val="0000" w:firstRow="0" w:lastRow="0" w:firstColumn="0" w:lastColumn="0" w:noHBand="0" w:noVBand="0"/>
      </w:tblPr>
      <w:tblGrid>
        <w:gridCol w:w="3600"/>
        <w:gridCol w:w="1440"/>
        <w:gridCol w:w="1980"/>
      </w:tblGrid>
      <w:tr w:rsidR="00012FB9" w:rsidTr="00350E4E" w14:paraId="09C8202E" w14:textId="77777777">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012FB9" w:rsidR="00012FB9" w:rsidP="00012FB9" w:rsidRDefault="00012FB9" w14:paraId="4FBDBA48" w14:textId="77777777">
            <w:pPr>
              <w:rPr>
                <w:b/>
              </w:rPr>
            </w:pPr>
            <w:r w:rsidRPr="00012FB9">
              <w:rPr>
                <w:b/>
                <w:color w:val="000000"/>
              </w:rPr>
              <w:t xml:space="preserve">Cost Component </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12FB9" w:rsidR="00012FB9" w:rsidP="001A28C0" w:rsidRDefault="00012FB9" w14:paraId="3CA02BA8" w14:textId="77777777">
            <w:pPr>
              <w:jc w:val="center"/>
              <w:rPr>
                <w:b/>
              </w:rPr>
            </w:pPr>
            <w:r w:rsidRPr="00012FB9">
              <w:rPr>
                <w:b/>
              </w:rPr>
              <w:t>Total Cost</w:t>
            </w:r>
          </w:p>
        </w:tc>
        <w:tc>
          <w:tcPr>
            <w:tcW w:w="1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12FB9" w:rsidR="00012FB9" w:rsidP="001A28C0" w:rsidRDefault="00012FB9" w14:paraId="67B79B27" w14:textId="77777777">
            <w:pPr>
              <w:jc w:val="center"/>
              <w:rPr>
                <w:b/>
              </w:rPr>
            </w:pPr>
            <w:r w:rsidRPr="00012FB9">
              <w:rPr>
                <w:b/>
              </w:rPr>
              <w:t>Annualized Cost</w:t>
            </w:r>
          </w:p>
        </w:tc>
      </w:tr>
      <w:tr w:rsidR="001210CF" w:rsidTr="00350E4E" w14:paraId="2BA2E8D6"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1210CF" w:rsidP="001210CF" w:rsidRDefault="001210CF" w14:paraId="5D874599" w14:textId="77777777">
            <w:r>
              <w:t>Project Development</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210CF" w:rsidR="001210CF" w:rsidP="001210CF" w:rsidRDefault="001210CF" w14:paraId="2985E3F6" w14:textId="77777777">
            <w:pPr>
              <w:jc w:val="center"/>
              <w:rPr>
                <w:bCs/>
                <w:color w:val="000000"/>
                <w:sz w:val="22"/>
                <w:szCs w:val="22"/>
              </w:rPr>
            </w:pPr>
            <w:r w:rsidRPr="001210CF">
              <w:rPr>
                <w:bCs/>
                <w:color w:val="000000"/>
                <w:sz w:val="22"/>
                <w:szCs w:val="22"/>
              </w:rPr>
              <w:t xml:space="preserve">$424,715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210CF" w:rsidR="001210CF" w:rsidP="001210CF" w:rsidRDefault="001210CF" w14:paraId="108724FE" w14:textId="77777777">
            <w:pPr>
              <w:jc w:val="center"/>
              <w:rPr>
                <w:bCs/>
                <w:color w:val="000000"/>
                <w:sz w:val="22"/>
                <w:szCs w:val="22"/>
              </w:rPr>
            </w:pPr>
            <w:r w:rsidRPr="001210CF">
              <w:rPr>
                <w:bCs/>
                <w:color w:val="000000"/>
                <w:sz w:val="22"/>
                <w:szCs w:val="22"/>
              </w:rPr>
              <w:t xml:space="preserve">$141,572 </w:t>
            </w:r>
          </w:p>
        </w:tc>
      </w:tr>
      <w:tr w:rsidR="001210CF" w:rsidTr="00350E4E" w14:paraId="04548295"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1210CF" w:rsidP="001210CF" w:rsidRDefault="001210CF" w14:paraId="23CB14F0" w14:textId="77777777">
            <w:r>
              <w:t>Data Collection Activities</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210CF" w:rsidR="001210CF" w:rsidP="001210CF" w:rsidRDefault="001210CF" w14:paraId="40EF01B2" w14:textId="77777777">
            <w:pPr>
              <w:jc w:val="center"/>
              <w:rPr>
                <w:bCs/>
                <w:color w:val="000000"/>
                <w:sz w:val="22"/>
                <w:szCs w:val="22"/>
              </w:rPr>
            </w:pPr>
            <w:r w:rsidRPr="001210CF">
              <w:rPr>
                <w:bCs/>
                <w:color w:val="000000"/>
                <w:sz w:val="22"/>
                <w:szCs w:val="22"/>
              </w:rPr>
              <w:t xml:space="preserve">$510,340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210CF" w:rsidR="001210CF" w:rsidP="001210CF" w:rsidRDefault="001210CF" w14:paraId="2C20E095" w14:textId="77777777">
            <w:pPr>
              <w:jc w:val="center"/>
              <w:rPr>
                <w:bCs/>
                <w:color w:val="000000"/>
                <w:sz w:val="22"/>
                <w:szCs w:val="22"/>
              </w:rPr>
            </w:pPr>
            <w:r w:rsidRPr="001210CF">
              <w:rPr>
                <w:bCs/>
                <w:color w:val="000000"/>
                <w:sz w:val="22"/>
                <w:szCs w:val="22"/>
              </w:rPr>
              <w:t xml:space="preserve">$170,113 </w:t>
            </w:r>
          </w:p>
        </w:tc>
      </w:tr>
      <w:tr w:rsidR="001210CF" w:rsidTr="00350E4E" w14:paraId="39FB1E14"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1210CF" w:rsidP="001210CF" w:rsidRDefault="001210CF" w14:paraId="3922486D" w14:textId="77777777">
            <w:r>
              <w:t>Data Processing and Analysis</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210CF" w:rsidR="001210CF" w:rsidP="001210CF" w:rsidRDefault="001210CF" w14:paraId="73413D35" w14:textId="77777777">
            <w:pPr>
              <w:jc w:val="center"/>
              <w:rPr>
                <w:bCs/>
                <w:color w:val="000000"/>
                <w:sz w:val="22"/>
                <w:szCs w:val="22"/>
              </w:rPr>
            </w:pPr>
            <w:r w:rsidRPr="001210CF">
              <w:rPr>
                <w:bCs/>
                <w:color w:val="000000"/>
                <w:sz w:val="22"/>
                <w:szCs w:val="22"/>
              </w:rPr>
              <w:t xml:space="preserve">$238,698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210CF" w:rsidR="001210CF" w:rsidP="001210CF" w:rsidRDefault="001210CF" w14:paraId="28D622A0" w14:textId="77777777">
            <w:pPr>
              <w:jc w:val="center"/>
              <w:rPr>
                <w:bCs/>
                <w:color w:val="000000"/>
                <w:sz w:val="22"/>
                <w:szCs w:val="22"/>
              </w:rPr>
            </w:pPr>
            <w:r w:rsidRPr="001210CF">
              <w:rPr>
                <w:bCs/>
                <w:color w:val="000000"/>
                <w:sz w:val="22"/>
                <w:szCs w:val="22"/>
              </w:rPr>
              <w:t xml:space="preserve">$79,566 </w:t>
            </w:r>
          </w:p>
        </w:tc>
      </w:tr>
      <w:tr w:rsidR="001210CF" w:rsidTr="00350E4E" w14:paraId="6B13BBFE"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1210CF" w:rsidP="001210CF" w:rsidRDefault="001210CF" w14:paraId="71BDC9D1" w14:textId="77777777">
            <w:r>
              <w:t>Project Management</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210CF" w:rsidR="001210CF" w:rsidP="001210CF" w:rsidRDefault="001210CF" w14:paraId="18F44DFD" w14:textId="77777777">
            <w:pPr>
              <w:jc w:val="center"/>
              <w:rPr>
                <w:bCs/>
                <w:color w:val="000000"/>
                <w:sz w:val="22"/>
                <w:szCs w:val="22"/>
              </w:rPr>
            </w:pPr>
            <w:r w:rsidRPr="001210CF">
              <w:rPr>
                <w:bCs/>
                <w:color w:val="000000"/>
                <w:sz w:val="22"/>
                <w:szCs w:val="22"/>
              </w:rPr>
              <w:t xml:space="preserve">$104,440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210CF" w:rsidR="001210CF" w:rsidP="001210CF" w:rsidRDefault="001210CF" w14:paraId="6F60AE83" w14:textId="77777777">
            <w:pPr>
              <w:jc w:val="center"/>
              <w:rPr>
                <w:bCs/>
                <w:color w:val="000000"/>
                <w:sz w:val="22"/>
                <w:szCs w:val="22"/>
              </w:rPr>
            </w:pPr>
            <w:r w:rsidRPr="001210CF">
              <w:rPr>
                <w:bCs/>
                <w:color w:val="000000"/>
                <w:sz w:val="22"/>
                <w:szCs w:val="22"/>
              </w:rPr>
              <w:t xml:space="preserve">$34,813 </w:t>
            </w:r>
          </w:p>
        </w:tc>
      </w:tr>
      <w:tr w:rsidR="001210CF" w:rsidTr="00B67320" w14:paraId="416B544B"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D1C5E" w:rsidR="001210CF" w:rsidP="001210CF" w:rsidRDefault="001210CF" w14:paraId="6F1FE865" w14:textId="77777777">
            <w:r w:rsidRPr="006D1C5E">
              <w:rPr>
                <w:b/>
                <w:bCs/>
                <w:color w:val="000000"/>
              </w:rPr>
              <w:t>Total</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rsidRPr="001210CF" w:rsidR="001210CF" w:rsidP="001210CF" w:rsidRDefault="001210CF" w14:paraId="362364E6" w14:textId="77777777">
            <w:pPr>
              <w:jc w:val="right"/>
              <w:rPr>
                <w:color w:val="000000"/>
                <w:sz w:val="22"/>
                <w:szCs w:val="22"/>
              </w:rPr>
            </w:pPr>
            <w:r w:rsidRPr="001210CF">
              <w:rPr>
                <w:color w:val="000000"/>
                <w:sz w:val="22"/>
                <w:szCs w:val="22"/>
              </w:rPr>
              <w:t xml:space="preserve">$1,278,193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210CF" w:rsidR="001210CF" w:rsidP="001210CF" w:rsidRDefault="001210CF" w14:paraId="06E2AF4A" w14:textId="77777777">
            <w:pPr>
              <w:jc w:val="center"/>
              <w:rPr>
                <w:bCs/>
                <w:color w:val="000000"/>
                <w:sz w:val="22"/>
                <w:szCs w:val="22"/>
              </w:rPr>
            </w:pPr>
            <w:r w:rsidRPr="001210CF">
              <w:rPr>
                <w:bCs/>
                <w:color w:val="000000"/>
                <w:sz w:val="22"/>
                <w:szCs w:val="22"/>
              </w:rPr>
              <w:t xml:space="preserve">$426,064 </w:t>
            </w:r>
          </w:p>
        </w:tc>
      </w:tr>
    </w:tbl>
    <w:p w:rsidR="00D20C47" w:rsidP="00D20C47" w:rsidRDefault="00D20C47" w14:paraId="4D8D93BE" w14:textId="77777777">
      <w:pPr>
        <w:ind w:firstLine="90"/>
        <w:rPr>
          <w:b/>
        </w:rPr>
      </w:pPr>
    </w:p>
    <w:p w:rsidR="00A61FA3" w:rsidRDefault="00A61FA3" w14:paraId="23B1B2AB" w14:textId="77777777">
      <w:r>
        <w:br w:type="page"/>
      </w:r>
    </w:p>
    <w:p w:rsidRPr="00AD4663" w:rsidR="00AD121B" w:rsidP="00AD4663" w:rsidRDefault="00AD121B" w14:paraId="69A2411E" w14:textId="2B3B7985">
      <w:pPr>
        <w:ind w:firstLine="90"/>
      </w:pPr>
      <w:r w:rsidRPr="001700D8">
        <w:lastRenderedPageBreak/>
        <w:t xml:space="preserve">The estimated annual cost for AHRQ oversight of the </w:t>
      </w:r>
      <w:r w:rsidR="005A3B16">
        <w:t>evaluation is shown in Exhibit 5</w:t>
      </w:r>
      <w:r w:rsidRPr="001700D8">
        <w:t>b.</w:t>
      </w:r>
    </w:p>
    <w:p w:rsidRPr="004B0B18" w:rsidR="00AD121B" w:rsidP="001700D8" w:rsidRDefault="00AD121B" w14:paraId="60696395" w14:textId="251A8090">
      <w:pPr>
        <w:pStyle w:val="NORCCaption-Exhibit"/>
        <w:pBdr>
          <w:top w:val="single" w:color="BFB6AC" w:sz="4" w:space="0"/>
        </w:pBdr>
        <w:spacing w:before="100" w:beforeAutospacing="1" w:line="276" w:lineRule="auto"/>
        <w:rPr>
          <w:rStyle w:val="NORCCaption-Color"/>
          <w:color w:val="000000" w:themeColor="text1"/>
        </w:rPr>
      </w:pPr>
      <w:r w:rsidRPr="004B0B18">
        <w:rPr>
          <w:rStyle w:val="NORCCaption-Color"/>
          <w:color w:val="000000" w:themeColor="text1"/>
        </w:rPr>
        <w:t xml:space="preserve">Exhibit </w:t>
      </w:r>
      <w:r w:rsidR="005A3B16">
        <w:rPr>
          <w:rStyle w:val="NORCCaption-Color"/>
          <w:color w:val="000000" w:themeColor="text1"/>
        </w:rPr>
        <w:t>5</w:t>
      </w:r>
      <w:r w:rsidRPr="004B0B18">
        <w:rPr>
          <w:rStyle w:val="NORCCaption-Color"/>
          <w:color w:val="000000" w:themeColor="text1"/>
        </w:rPr>
        <w:t>b. Federal Government Personnel Cost</w:t>
      </w:r>
    </w:p>
    <w:tbl>
      <w:tblPr>
        <w:tblW w:w="9180" w:type="dxa"/>
        <w:jc w:val="center"/>
        <w:tblLayout w:type="fixed"/>
        <w:tblCellMar>
          <w:left w:w="100" w:type="dxa"/>
          <w:right w:w="100" w:type="dxa"/>
        </w:tblCellMar>
        <w:tblLook w:val="04A0" w:firstRow="1" w:lastRow="0" w:firstColumn="1" w:lastColumn="0" w:noHBand="0" w:noVBand="1"/>
      </w:tblPr>
      <w:tblGrid>
        <w:gridCol w:w="2970"/>
        <w:gridCol w:w="2077"/>
        <w:gridCol w:w="1523"/>
        <w:gridCol w:w="1357"/>
        <w:gridCol w:w="1253"/>
      </w:tblGrid>
      <w:tr w:rsidR="00AD121B" w:rsidTr="001700D8" w14:paraId="7AF1FCFB" w14:textId="77777777">
        <w:trPr>
          <w:cantSplit/>
          <w:trHeight w:val="403"/>
          <w:jc w:val="center"/>
        </w:trPr>
        <w:tc>
          <w:tcPr>
            <w:tcW w:w="2970" w:type="dxa"/>
            <w:tcBorders>
              <w:top w:val="single" w:color="auto" w:sz="6" w:space="0"/>
              <w:left w:val="single" w:color="auto" w:sz="6" w:space="0"/>
              <w:bottom w:val="nil"/>
              <w:right w:val="nil"/>
            </w:tcBorders>
            <w:vAlign w:val="bottom"/>
            <w:hideMark/>
          </w:tcPr>
          <w:p w:rsidR="00AD121B" w:rsidRDefault="00AD121B" w14:paraId="461E2977" w14:textId="77777777">
            <w:pPr>
              <w:jc w:val="center"/>
              <w:rPr>
                <w:b/>
                <w:bCs/>
              </w:rPr>
            </w:pPr>
            <w:r>
              <w:rPr>
                <w:b/>
                <w:bCs/>
              </w:rPr>
              <w:t>Activity</w:t>
            </w:r>
          </w:p>
        </w:tc>
        <w:tc>
          <w:tcPr>
            <w:tcW w:w="2077" w:type="dxa"/>
            <w:tcBorders>
              <w:top w:val="single" w:color="auto" w:sz="6" w:space="0"/>
              <w:left w:val="single" w:color="auto" w:sz="6" w:space="0"/>
              <w:bottom w:val="single" w:color="auto" w:sz="6" w:space="0"/>
              <w:right w:val="nil"/>
            </w:tcBorders>
            <w:vAlign w:val="bottom"/>
            <w:hideMark/>
          </w:tcPr>
          <w:p w:rsidR="00AD121B" w:rsidRDefault="00AD121B" w14:paraId="0E298802" w14:textId="77777777">
            <w:pPr>
              <w:jc w:val="center"/>
              <w:rPr>
                <w:b/>
                <w:bCs/>
              </w:rPr>
            </w:pPr>
            <w:r>
              <w:rPr>
                <w:b/>
                <w:bCs/>
              </w:rPr>
              <w:t>Federal Personnel</w:t>
            </w:r>
          </w:p>
        </w:tc>
        <w:tc>
          <w:tcPr>
            <w:tcW w:w="1523" w:type="dxa"/>
            <w:tcBorders>
              <w:top w:val="single" w:color="auto" w:sz="6" w:space="0"/>
              <w:left w:val="single" w:color="auto" w:sz="6" w:space="0"/>
              <w:bottom w:val="single" w:color="auto" w:sz="6" w:space="0"/>
              <w:right w:val="single" w:color="auto" w:sz="6" w:space="0"/>
            </w:tcBorders>
            <w:vAlign w:val="bottom"/>
            <w:hideMark/>
          </w:tcPr>
          <w:p w:rsidR="00AD121B" w:rsidRDefault="00AD121B" w14:paraId="6A537D08" w14:textId="77777777">
            <w:pPr>
              <w:jc w:val="center"/>
              <w:rPr>
                <w:b/>
                <w:bCs/>
              </w:rPr>
            </w:pPr>
            <w:r>
              <w:rPr>
                <w:b/>
                <w:bCs/>
              </w:rPr>
              <w:t>Annual Salary</w:t>
            </w:r>
          </w:p>
        </w:tc>
        <w:tc>
          <w:tcPr>
            <w:tcW w:w="1357" w:type="dxa"/>
            <w:tcBorders>
              <w:top w:val="single" w:color="auto" w:sz="6" w:space="0"/>
              <w:left w:val="single" w:color="auto" w:sz="6" w:space="0"/>
              <w:bottom w:val="single" w:color="auto" w:sz="6" w:space="0"/>
              <w:right w:val="nil"/>
            </w:tcBorders>
            <w:vAlign w:val="bottom"/>
            <w:hideMark/>
          </w:tcPr>
          <w:p w:rsidR="00AD121B" w:rsidRDefault="00AD121B" w14:paraId="1FF0809D" w14:textId="77777777">
            <w:pPr>
              <w:jc w:val="center"/>
              <w:rPr>
                <w:b/>
                <w:bCs/>
              </w:rPr>
            </w:pPr>
            <w:r>
              <w:rPr>
                <w:b/>
                <w:bCs/>
              </w:rPr>
              <w:t>% of Time</w:t>
            </w:r>
          </w:p>
        </w:tc>
        <w:tc>
          <w:tcPr>
            <w:tcW w:w="1253" w:type="dxa"/>
            <w:tcBorders>
              <w:top w:val="single" w:color="auto" w:sz="6" w:space="0"/>
              <w:left w:val="single" w:color="auto" w:sz="6" w:space="0"/>
              <w:bottom w:val="single" w:color="auto" w:sz="6" w:space="0"/>
              <w:right w:val="single" w:color="auto" w:sz="6" w:space="0"/>
            </w:tcBorders>
            <w:vAlign w:val="bottom"/>
            <w:hideMark/>
          </w:tcPr>
          <w:p w:rsidR="00AD121B" w:rsidRDefault="00AD121B" w14:paraId="6882BF4E" w14:textId="77777777">
            <w:pPr>
              <w:jc w:val="center"/>
              <w:rPr>
                <w:b/>
                <w:bCs/>
              </w:rPr>
            </w:pPr>
            <w:r>
              <w:rPr>
                <w:b/>
                <w:bCs/>
              </w:rPr>
              <w:t>Cost</w:t>
            </w:r>
          </w:p>
        </w:tc>
      </w:tr>
      <w:tr w:rsidR="00AD121B" w:rsidTr="001700D8" w14:paraId="4B43F999" w14:textId="77777777">
        <w:trPr>
          <w:cantSplit/>
          <w:trHeight w:val="403"/>
          <w:jc w:val="center"/>
        </w:trPr>
        <w:tc>
          <w:tcPr>
            <w:tcW w:w="2970" w:type="dxa"/>
            <w:tcBorders>
              <w:top w:val="single" w:color="auto" w:sz="6" w:space="0"/>
              <w:left w:val="single" w:color="auto" w:sz="6" w:space="0"/>
              <w:bottom w:val="nil"/>
              <w:right w:val="nil"/>
            </w:tcBorders>
            <w:vAlign w:val="center"/>
            <w:hideMark/>
          </w:tcPr>
          <w:p w:rsidR="00AD121B" w:rsidRDefault="00AD121B" w14:paraId="30832DBC" w14:textId="77777777">
            <w:pPr>
              <w:jc w:val="center"/>
            </w:pPr>
            <w:r>
              <w:t>Management Support: GS 12, Step 2 average</w:t>
            </w:r>
          </w:p>
        </w:tc>
        <w:tc>
          <w:tcPr>
            <w:tcW w:w="2077" w:type="dxa"/>
            <w:tcBorders>
              <w:top w:val="single" w:color="auto" w:sz="6" w:space="0"/>
              <w:left w:val="single" w:color="auto" w:sz="6" w:space="0"/>
              <w:bottom w:val="single" w:color="auto" w:sz="6" w:space="0"/>
              <w:right w:val="nil"/>
            </w:tcBorders>
            <w:vAlign w:val="center"/>
            <w:hideMark/>
          </w:tcPr>
          <w:p w:rsidR="00AD121B" w:rsidRDefault="00AD121B" w14:paraId="337E4536" w14:textId="77777777">
            <w:pPr>
              <w:jc w:val="center"/>
            </w:pPr>
            <w:r>
              <w:t>1</w:t>
            </w:r>
          </w:p>
        </w:tc>
        <w:tc>
          <w:tcPr>
            <w:tcW w:w="1523" w:type="dxa"/>
            <w:tcBorders>
              <w:top w:val="single" w:color="auto" w:sz="6" w:space="0"/>
              <w:left w:val="single" w:color="auto" w:sz="6" w:space="0"/>
              <w:bottom w:val="single" w:color="auto" w:sz="6" w:space="0"/>
              <w:right w:val="single" w:color="auto" w:sz="6" w:space="0"/>
            </w:tcBorders>
            <w:vAlign w:val="center"/>
            <w:hideMark/>
          </w:tcPr>
          <w:p w:rsidR="00AD121B" w:rsidRDefault="00AD121B" w14:paraId="0E320023" w14:textId="77777777">
            <w:pPr>
              <w:jc w:val="center"/>
            </w:pPr>
            <w:r>
              <w:t>$89,213</w:t>
            </w:r>
          </w:p>
        </w:tc>
        <w:tc>
          <w:tcPr>
            <w:tcW w:w="1357" w:type="dxa"/>
            <w:tcBorders>
              <w:top w:val="single" w:color="auto" w:sz="6" w:space="0"/>
              <w:left w:val="single" w:color="auto" w:sz="6" w:space="0"/>
              <w:bottom w:val="single" w:color="auto" w:sz="6" w:space="0"/>
              <w:right w:val="nil"/>
            </w:tcBorders>
            <w:vAlign w:val="center"/>
            <w:hideMark/>
          </w:tcPr>
          <w:p w:rsidR="00AD121B" w:rsidRDefault="00AD121B" w14:paraId="2F3BF830" w14:textId="77777777">
            <w:pPr>
              <w:jc w:val="center"/>
            </w:pPr>
            <w:r>
              <w:t>10%</w:t>
            </w:r>
          </w:p>
        </w:tc>
        <w:tc>
          <w:tcPr>
            <w:tcW w:w="1253" w:type="dxa"/>
            <w:tcBorders>
              <w:top w:val="single" w:color="auto" w:sz="6" w:space="0"/>
              <w:left w:val="single" w:color="auto" w:sz="6" w:space="0"/>
              <w:bottom w:val="single" w:color="auto" w:sz="6" w:space="0"/>
              <w:right w:val="single" w:color="auto" w:sz="6" w:space="0"/>
            </w:tcBorders>
            <w:vAlign w:val="center"/>
            <w:hideMark/>
          </w:tcPr>
          <w:p w:rsidR="00AD121B" w:rsidRDefault="00AD121B" w14:paraId="2AAD0921" w14:textId="77777777">
            <w:pPr>
              <w:jc w:val="center"/>
            </w:pPr>
            <w:r>
              <w:t>$8,921.8</w:t>
            </w:r>
          </w:p>
        </w:tc>
      </w:tr>
      <w:tr w:rsidR="00AD121B" w:rsidTr="001700D8" w14:paraId="76283D10" w14:textId="77777777">
        <w:trPr>
          <w:cantSplit/>
          <w:trHeight w:val="403"/>
          <w:jc w:val="center"/>
        </w:trPr>
        <w:tc>
          <w:tcPr>
            <w:tcW w:w="2970" w:type="dxa"/>
            <w:tcBorders>
              <w:top w:val="single" w:color="auto" w:sz="6" w:space="0"/>
              <w:left w:val="single" w:color="auto" w:sz="6" w:space="0"/>
              <w:bottom w:val="nil"/>
              <w:right w:val="nil"/>
            </w:tcBorders>
            <w:vAlign w:val="center"/>
            <w:hideMark/>
          </w:tcPr>
          <w:p w:rsidR="00AD121B" w:rsidRDefault="00AD121B" w14:paraId="09CB4EC8" w14:textId="77777777">
            <w:pPr>
              <w:jc w:val="center"/>
            </w:pPr>
            <w:r>
              <w:t>Subject Matter Expert support: GS-15, Step X average</w:t>
            </w:r>
          </w:p>
        </w:tc>
        <w:tc>
          <w:tcPr>
            <w:tcW w:w="2077" w:type="dxa"/>
            <w:tcBorders>
              <w:top w:val="single" w:color="auto" w:sz="6" w:space="0"/>
              <w:left w:val="single" w:color="auto" w:sz="6" w:space="0"/>
              <w:bottom w:val="single" w:color="auto" w:sz="6" w:space="0"/>
              <w:right w:val="nil"/>
            </w:tcBorders>
            <w:vAlign w:val="center"/>
            <w:hideMark/>
          </w:tcPr>
          <w:p w:rsidR="00AD121B" w:rsidRDefault="00AD121B" w14:paraId="579A0D38" w14:textId="77777777">
            <w:pPr>
              <w:jc w:val="center"/>
            </w:pPr>
            <w:r>
              <w:t>3</w:t>
            </w:r>
          </w:p>
        </w:tc>
        <w:tc>
          <w:tcPr>
            <w:tcW w:w="1523" w:type="dxa"/>
            <w:tcBorders>
              <w:top w:val="single" w:color="auto" w:sz="6" w:space="0"/>
              <w:left w:val="single" w:color="auto" w:sz="6" w:space="0"/>
              <w:bottom w:val="single" w:color="auto" w:sz="6" w:space="0"/>
              <w:right w:val="single" w:color="auto" w:sz="6" w:space="0"/>
            </w:tcBorders>
            <w:vAlign w:val="center"/>
            <w:hideMark/>
          </w:tcPr>
          <w:p w:rsidR="00AD121B" w:rsidRDefault="00AD121B" w14:paraId="4BFA10E2" w14:textId="77777777">
            <w:pPr>
              <w:pStyle w:val="Default"/>
              <w:jc w:val="center"/>
            </w:pPr>
            <w:r>
              <w:t>$161,730</w:t>
            </w:r>
          </w:p>
        </w:tc>
        <w:tc>
          <w:tcPr>
            <w:tcW w:w="1357" w:type="dxa"/>
            <w:tcBorders>
              <w:top w:val="single" w:color="auto" w:sz="6" w:space="0"/>
              <w:left w:val="single" w:color="auto" w:sz="6" w:space="0"/>
              <w:bottom w:val="single" w:color="auto" w:sz="6" w:space="0"/>
              <w:right w:val="nil"/>
            </w:tcBorders>
            <w:vAlign w:val="center"/>
            <w:hideMark/>
          </w:tcPr>
          <w:p w:rsidR="00AD121B" w:rsidRDefault="00AD121B" w14:paraId="53668B63" w14:textId="77777777">
            <w:pPr>
              <w:jc w:val="center"/>
            </w:pPr>
            <w:r>
              <w:t>2.0%</w:t>
            </w:r>
          </w:p>
        </w:tc>
        <w:tc>
          <w:tcPr>
            <w:tcW w:w="1253" w:type="dxa"/>
            <w:tcBorders>
              <w:top w:val="single" w:color="auto" w:sz="6" w:space="0"/>
              <w:left w:val="single" w:color="auto" w:sz="6" w:space="0"/>
              <w:bottom w:val="single" w:color="auto" w:sz="6" w:space="0"/>
              <w:right w:val="single" w:color="auto" w:sz="6" w:space="0"/>
            </w:tcBorders>
            <w:vAlign w:val="center"/>
            <w:hideMark/>
          </w:tcPr>
          <w:p w:rsidR="00AD121B" w:rsidRDefault="00AD121B" w14:paraId="1FFE3447" w14:textId="77777777">
            <w:pPr>
              <w:jc w:val="center"/>
            </w:pPr>
            <w:r>
              <w:t>$9,703.8</w:t>
            </w:r>
          </w:p>
        </w:tc>
      </w:tr>
      <w:tr w:rsidR="00AD121B" w:rsidTr="001700D8" w14:paraId="7850908E" w14:textId="77777777">
        <w:trPr>
          <w:cantSplit/>
          <w:trHeight w:val="403"/>
          <w:jc w:val="center"/>
        </w:trPr>
        <w:tc>
          <w:tcPr>
            <w:tcW w:w="7927" w:type="dxa"/>
            <w:gridSpan w:val="4"/>
            <w:tcBorders>
              <w:top w:val="single" w:color="auto" w:sz="6" w:space="0"/>
              <w:left w:val="single" w:color="auto" w:sz="6" w:space="0"/>
              <w:bottom w:val="single" w:color="auto" w:sz="6" w:space="0"/>
              <w:right w:val="nil"/>
            </w:tcBorders>
            <w:vAlign w:val="bottom"/>
            <w:hideMark/>
          </w:tcPr>
          <w:p w:rsidR="00AD121B" w:rsidRDefault="00AD121B" w14:paraId="00BB94A3" w14:textId="77777777">
            <w:pPr>
              <w:rPr>
                <w:b/>
                <w:bCs/>
              </w:rPr>
            </w:pPr>
            <w:r>
              <w:rPr>
                <w:b/>
                <w:bCs/>
              </w:rPr>
              <w:t>Total</w:t>
            </w:r>
          </w:p>
        </w:tc>
        <w:tc>
          <w:tcPr>
            <w:tcW w:w="1253" w:type="dxa"/>
            <w:tcBorders>
              <w:top w:val="single" w:color="auto" w:sz="6" w:space="0"/>
              <w:left w:val="single" w:color="auto" w:sz="6" w:space="0"/>
              <w:bottom w:val="single" w:color="auto" w:sz="6" w:space="0"/>
              <w:right w:val="single" w:color="auto" w:sz="6" w:space="0"/>
            </w:tcBorders>
            <w:vAlign w:val="bottom"/>
            <w:hideMark/>
          </w:tcPr>
          <w:p w:rsidR="00AD121B" w:rsidRDefault="00AD121B" w14:paraId="3741F494" w14:textId="77777777">
            <w:pPr>
              <w:jc w:val="center"/>
              <w:rPr>
                <w:b/>
                <w:bCs/>
              </w:rPr>
            </w:pPr>
            <w:r>
              <w:rPr>
                <w:b/>
                <w:bCs/>
              </w:rPr>
              <w:t xml:space="preserve">$18,625.6 </w:t>
            </w:r>
          </w:p>
        </w:tc>
      </w:tr>
    </w:tbl>
    <w:p w:rsidRPr="00AD121B" w:rsidR="00AD121B" w:rsidP="00AD121B" w:rsidRDefault="00AD121B" w14:paraId="45C68522" w14:textId="77777777">
      <w:pPr>
        <w:rPr>
          <w:sz w:val="20"/>
          <w:szCs w:val="20"/>
        </w:rPr>
      </w:pPr>
      <w:r w:rsidRPr="00AD121B">
        <w:rPr>
          <w:color w:val="000000"/>
          <w:sz w:val="20"/>
          <w:szCs w:val="20"/>
        </w:rPr>
        <w:t>Annual salaries based on 2020 OPM Pay Schedule for Washington/DC area:</w:t>
      </w:r>
      <w:r w:rsidRPr="00AD121B">
        <w:rPr>
          <w:sz w:val="20"/>
          <w:szCs w:val="20"/>
        </w:rPr>
        <w:t xml:space="preserve"> https://www.opm.gov/policy-data-oversight/pay-leave/salaries-wages/salary-tables/pdf/2020/DCB.pdf</w:t>
      </w:r>
    </w:p>
    <w:p w:rsidRPr="00412C6F" w:rsidR="009B633D" w:rsidP="009B633D" w:rsidRDefault="009B633D" w14:paraId="53358F50" w14:textId="77777777">
      <w:pPr>
        <w:pStyle w:val="Heading2"/>
        <w:rPr>
          <w:sz w:val="24"/>
        </w:rPr>
      </w:pPr>
      <w:bookmarkStart w:name="_Toc42869949" w:id="56"/>
      <w:r w:rsidRPr="00412C6F">
        <w:rPr>
          <w:sz w:val="24"/>
        </w:rPr>
        <w:t>15. Changes in Hour Burden</w:t>
      </w:r>
      <w:bookmarkEnd w:id="54"/>
      <w:bookmarkEnd w:id="55"/>
      <w:bookmarkEnd w:id="56"/>
    </w:p>
    <w:p w:rsidRPr="00345B21" w:rsidR="00063E36" w:rsidP="00063E36" w:rsidRDefault="00063E36" w14:paraId="48C7DC09" w14:textId="77777777">
      <w:bookmarkStart w:name="_Toc151782191" w:id="57"/>
      <w:bookmarkStart w:name="_Toc158526231" w:id="58"/>
      <w:r w:rsidRPr="00345B21">
        <w:t>T</w:t>
      </w:r>
      <w:r>
        <w:t>his is a new collection of information.</w:t>
      </w:r>
    </w:p>
    <w:p w:rsidRPr="00412C6F" w:rsidR="009B633D" w:rsidP="009B633D" w:rsidRDefault="009B633D" w14:paraId="3651154B" w14:textId="77777777">
      <w:pPr>
        <w:pStyle w:val="Heading2"/>
        <w:rPr>
          <w:sz w:val="24"/>
        </w:rPr>
      </w:pPr>
      <w:bookmarkStart w:name="_Toc42869950" w:id="59"/>
      <w:r w:rsidRPr="00412C6F">
        <w:rPr>
          <w:sz w:val="24"/>
        </w:rPr>
        <w:t>16. Time Schedule, Publication and Analysis Plans</w:t>
      </w:r>
      <w:bookmarkEnd w:id="57"/>
      <w:bookmarkEnd w:id="58"/>
      <w:bookmarkEnd w:id="59"/>
    </w:p>
    <w:p w:rsidRPr="00C30C86" w:rsidR="00063E36" w:rsidP="00063E36" w:rsidRDefault="00063E36" w14:paraId="5FAAB7C9" w14:textId="0071D592">
      <w:bookmarkStart w:name="_Toc151782196" w:id="60"/>
      <w:bookmarkStart w:name="_Toc158526232" w:id="61"/>
      <w:r w:rsidRPr="00C30C86">
        <w:rPr>
          <w:b/>
        </w:rPr>
        <w:t>Time schedule and publication plans.</w:t>
      </w:r>
      <w:r w:rsidRPr="00C30C86">
        <w:t xml:space="preserve"> The anticipated schedule for this project is shown in Exhibit </w:t>
      </w:r>
      <w:r w:rsidR="001700D8">
        <w:t>7</w:t>
      </w:r>
      <w:r w:rsidRPr="00C30C86">
        <w:t>. Once clearance from the Office of Management and Budget is obtained, AHRQ will begin identifying appropriate respondents and scheduling and conducting interviews.</w:t>
      </w:r>
      <w:r w:rsidR="0041780A">
        <w:t xml:space="preserve"> </w:t>
      </w:r>
    </w:p>
    <w:p w:rsidR="00AD4663" w:rsidRDefault="00AD4663" w14:paraId="3359762F" w14:textId="54042CE6">
      <w:pPr>
        <w:rPr>
          <w:b/>
          <w:highlight w:val="yellow"/>
        </w:rPr>
      </w:pPr>
      <w:r>
        <w:rPr>
          <w:b/>
          <w:highlight w:val="yellow"/>
        </w:rPr>
        <w:br w:type="page"/>
      </w:r>
    </w:p>
    <w:p w:rsidRPr="004B0B18" w:rsidR="00063E36" w:rsidP="001700D8" w:rsidRDefault="00063E36" w14:paraId="0A17AC97" w14:textId="44AD260C">
      <w:pPr>
        <w:pStyle w:val="NORCCaption-Exhibit"/>
        <w:pBdr>
          <w:top w:val="single" w:color="BFB6AC" w:sz="4" w:space="0"/>
        </w:pBdr>
        <w:spacing w:before="100" w:beforeAutospacing="1" w:line="276" w:lineRule="auto"/>
        <w:rPr>
          <w:rStyle w:val="NORCCaption-Color"/>
          <w:color w:val="000000" w:themeColor="text1"/>
        </w:rPr>
      </w:pPr>
      <w:r w:rsidRPr="004B0B18">
        <w:rPr>
          <w:rStyle w:val="NORCCaption-Color"/>
          <w:color w:val="000000" w:themeColor="text1"/>
        </w:rPr>
        <w:lastRenderedPageBreak/>
        <w:t xml:space="preserve">Exhibit </w:t>
      </w:r>
      <w:r w:rsidR="005A3B16">
        <w:rPr>
          <w:rStyle w:val="NORCCaption-Color"/>
          <w:color w:val="000000" w:themeColor="text1"/>
        </w:rPr>
        <w:t>6</w:t>
      </w:r>
      <w:r w:rsidRPr="004B0B18">
        <w:rPr>
          <w:rStyle w:val="NORCCaption-Color"/>
          <w:color w:val="000000" w:themeColor="text1"/>
        </w:rPr>
        <w:t xml:space="preserve">. Anticipated Schedule </w:t>
      </w:r>
    </w:p>
    <w:p w:rsidR="00063E36" w:rsidP="00063E36" w:rsidRDefault="00063E36" w14:paraId="4944C338" w14:textId="77777777">
      <w:pPr>
        <w:rPr>
          <w:highlight w:val="yellow"/>
        </w:rPr>
      </w:pPr>
    </w:p>
    <w:tbl>
      <w:tblPr>
        <w:tblW w:w="4733" w:type="pct"/>
        <w:tblBorders>
          <w:top w:val="single" w:color="717074" w:sz="4" w:space="0"/>
          <w:left w:val="single" w:color="717074" w:sz="4" w:space="0"/>
          <w:bottom w:val="single" w:color="717074" w:sz="4" w:space="0"/>
          <w:right w:val="single" w:color="717074" w:sz="4" w:space="0"/>
          <w:insideH w:val="single" w:color="717074" w:sz="4" w:space="0"/>
          <w:insideV w:val="single" w:color="717074" w:sz="4" w:space="0"/>
        </w:tblBorders>
        <w:tblLook w:val="04A0" w:firstRow="1" w:lastRow="0" w:firstColumn="1" w:lastColumn="0" w:noHBand="0" w:noVBand="1"/>
      </w:tblPr>
      <w:tblGrid>
        <w:gridCol w:w="5129"/>
        <w:gridCol w:w="1163"/>
        <w:gridCol w:w="1877"/>
      </w:tblGrid>
      <w:tr w:rsidR="001210CF" w:rsidTr="00B67320" w14:paraId="46871D42"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B67320" w:rsidRDefault="001210CF" w14:paraId="6E02152E" w14:textId="77777777">
            <w:pPr>
              <w:tabs>
                <w:tab w:val="left" w:pos="1080"/>
              </w:tabs>
              <w:spacing w:before="30" w:after="30"/>
              <w:rPr>
                <w:b/>
                <w:color w:val="000000"/>
                <w:sz w:val="22"/>
                <w:szCs w:val="22"/>
              </w:rPr>
            </w:pPr>
            <w:r>
              <w:rPr>
                <w:b/>
                <w:color w:val="000000"/>
                <w:sz w:val="22"/>
                <w:szCs w:val="22"/>
              </w:rPr>
              <w:t>Activity</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60F37DBF" w14:textId="77777777">
            <w:pPr>
              <w:tabs>
                <w:tab w:val="left" w:pos="1080"/>
              </w:tabs>
              <w:spacing w:before="30" w:after="30"/>
              <w:jc w:val="center"/>
              <w:rPr>
                <w:b/>
                <w:color w:val="000000"/>
                <w:sz w:val="22"/>
                <w:szCs w:val="22"/>
              </w:rPr>
            </w:pPr>
            <w:r>
              <w:rPr>
                <w:b/>
                <w:color w:val="000000"/>
                <w:sz w:val="22"/>
                <w:szCs w:val="22"/>
              </w:rPr>
              <w:t>Length</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782BE1EC" w14:textId="77777777">
            <w:pPr>
              <w:tabs>
                <w:tab w:val="left" w:pos="1080"/>
              </w:tabs>
              <w:spacing w:before="30" w:after="30"/>
              <w:jc w:val="center"/>
              <w:rPr>
                <w:b/>
                <w:color w:val="000000"/>
                <w:sz w:val="22"/>
                <w:szCs w:val="22"/>
              </w:rPr>
            </w:pPr>
            <w:r>
              <w:rPr>
                <w:b/>
                <w:color w:val="000000"/>
                <w:sz w:val="22"/>
                <w:szCs w:val="22"/>
              </w:rPr>
              <w:t>Estimated timeline following OMB clearance</w:t>
            </w:r>
          </w:p>
        </w:tc>
      </w:tr>
      <w:tr w:rsidR="001210CF" w:rsidTr="00B67320" w14:paraId="186875AA" w14:textId="77777777">
        <w:tc>
          <w:tcPr>
            <w:tcW w:w="8248" w:type="dxa"/>
            <w:gridSpan w:val="3"/>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hideMark/>
          </w:tcPr>
          <w:p w:rsidR="001210CF" w:rsidP="00B67320" w:rsidRDefault="001210CF" w14:paraId="487A5700" w14:textId="77777777">
            <w:pPr>
              <w:tabs>
                <w:tab w:val="left" w:pos="1080"/>
              </w:tabs>
              <w:spacing w:before="30" w:after="30"/>
              <w:rPr>
                <w:color w:val="000000"/>
                <w:sz w:val="22"/>
                <w:szCs w:val="22"/>
              </w:rPr>
            </w:pPr>
            <w:r>
              <w:rPr>
                <w:b/>
                <w:color w:val="000000"/>
                <w:sz w:val="22"/>
                <w:szCs w:val="22"/>
              </w:rPr>
              <w:t>Conduct and Analyze Key Informant Interviews</w:t>
            </w:r>
          </w:p>
        </w:tc>
      </w:tr>
      <w:tr w:rsidR="001210CF" w:rsidTr="00B67320" w14:paraId="0BE7744A"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B67320" w:rsidRDefault="0041780A" w14:paraId="7A76CC5A" w14:textId="6083F6D5">
            <w:pPr>
              <w:tabs>
                <w:tab w:val="left" w:pos="1080"/>
              </w:tabs>
              <w:spacing w:before="30" w:after="30"/>
              <w:rPr>
                <w:sz w:val="22"/>
                <w:szCs w:val="22"/>
              </w:rPr>
            </w:pPr>
            <w:r>
              <w:rPr>
                <w:color w:val="000000"/>
                <w:sz w:val="22"/>
                <w:szCs w:val="22"/>
              </w:rPr>
              <w:t xml:space="preserve"> </w:t>
            </w:r>
            <w:r w:rsidR="001210CF">
              <w:rPr>
                <w:color w:val="000000"/>
                <w:sz w:val="22"/>
                <w:szCs w:val="22"/>
              </w:rPr>
              <w:t xml:space="preserve">CDS Learning Network: </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3A8A917B" w14:textId="77777777">
            <w:pPr>
              <w:tabs>
                <w:tab w:val="left" w:pos="1080"/>
              </w:tabs>
              <w:spacing w:before="30" w:after="30"/>
              <w:jc w:val="center"/>
              <w:rPr>
                <w:color w:val="000000"/>
                <w:sz w:val="22"/>
                <w:szCs w:val="22"/>
              </w:rPr>
            </w:pPr>
            <w:r>
              <w:rPr>
                <w:color w:val="000000"/>
                <w:sz w:val="22"/>
                <w:szCs w:val="22"/>
              </w:rPr>
              <w:t>6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70FBEE07" w14:textId="77777777">
            <w:pPr>
              <w:tabs>
                <w:tab w:val="left" w:pos="1080"/>
              </w:tabs>
              <w:spacing w:before="30" w:after="30"/>
              <w:jc w:val="center"/>
              <w:rPr>
                <w:color w:val="000000"/>
                <w:sz w:val="22"/>
                <w:szCs w:val="22"/>
              </w:rPr>
            </w:pPr>
            <w:r>
              <w:rPr>
                <w:color w:val="000000"/>
                <w:sz w:val="22"/>
                <w:szCs w:val="22"/>
              </w:rPr>
              <w:t>Month 1-2</w:t>
            </w:r>
          </w:p>
        </w:tc>
      </w:tr>
      <w:tr w:rsidR="001210CF" w:rsidTr="00B67320" w14:paraId="24A727D3"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B67320" w:rsidRDefault="0041780A" w14:paraId="4964E42B" w14:textId="6137E5D4">
            <w:pPr>
              <w:autoSpaceDE w:val="0"/>
              <w:autoSpaceDN w:val="0"/>
              <w:adjustRightInd w:val="0"/>
              <w:rPr>
                <w:sz w:val="22"/>
                <w:szCs w:val="22"/>
              </w:rPr>
            </w:pPr>
            <w:r>
              <w:rPr>
                <w:color w:val="000000"/>
                <w:sz w:val="22"/>
                <w:szCs w:val="22"/>
              </w:rPr>
              <w:t xml:space="preserve"> </w:t>
            </w:r>
            <w:r w:rsidR="001210CF">
              <w:rPr>
                <w:color w:val="000000"/>
                <w:sz w:val="22"/>
                <w:szCs w:val="22"/>
              </w:rPr>
              <w:t xml:space="preserve">CDS Connect: </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3E9222AF" w14:textId="77777777">
            <w:pPr>
              <w:tabs>
                <w:tab w:val="left" w:pos="1080"/>
              </w:tabs>
              <w:spacing w:before="30" w:after="30"/>
              <w:jc w:val="center"/>
              <w:rPr>
                <w:color w:val="000000"/>
                <w:sz w:val="22"/>
                <w:szCs w:val="22"/>
              </w:rPr>
            </w:pPr>
            <w:r>
              <w:rPr>
                <w:color w:val="000000"/>
                <w:sz w:val="22"/>
                <w:szCs w:val="22"/>
              </w:rPr>
              <w:t>9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07495DFB" w14:textId="77777777">
            <w:pPr>
              <w:tabs>
                <w:tab w:val="left" w:pos="1080"/>
              </w:tabs>
              <w:spacing w:before="30" w:after="30"/>
              <w:jc w:val="center"/>
              <w:rPr>
                <w:color w:val="000000"/>
                <w:sz w:val="22"/>
                <w:szCs w:val="22"/>
              </w:rPr>
            </w:pPr>
            <w:r>
              <w:rPr>
                <w:color w:val="000000"/>
                <w:sz w:val="22"/>
                <w:szCs w:val="22"/>
              </w:rPr>
              <w:t>Month 2-3</w:t>
            </w:r>
          </w:p>
        </w:tc>
      </w:tr>
      <w:tr w:rsidR="001210CF" w:rsidTr="00B67320" w14:paraId="0E72416A"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B67320" w:rsidRDefault="0041780A" w14:paraId="3BAF81A0" w14:textId="10519923">
            <w:pPr>
              <w:tabs>
                <w:tab w:val="left" w:pos="1080"/>
              </w:tabs>
              <w:spacing w:before="30" w:after="30"/>
              <w:rPr>
                <w:sz w:val="22"/>
                <w:szCs w:val="22"/>
              </w:rPr>
            </w:pPr>
            <w:r>
              <w:rPr>
                <w:color w:val="000000"/>
                <w:sz w:val="22"/>
                <w:szCs w:val="22"/>
              </w:rPr>
              <w:t xml:space="preserve"> </w:t>
            </w:r>
            <w:r w:rsidR="001210CF">
              <w:rPr>
                <w:color w:val="000000"/>
                <w:sz w:val="22"/>
                <w:szCs w:val="22"/>
              </w:rPr>
              <w:t xml:space="preserve">Quantifying Efficiencies Gained: </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570CA4E6" w14:textId="77777777">
            <w:pPr>
              <w:tabs>
                <w:tab w:val="left" w:pos="1080"/>
              </w:tabs>
              <w:spacing w:before="30" w:after="30"/>
              <w:jc w:val="center"/>
              <w:rPr>
                <w:color w:val="000000"/>
                <w:sz w:val="22"/>
                <w:szCs w:val="22"/>
              </w:rPr>
            </w:pPr>
            <w:r>
              <w:rPr>
                <w:color w:val="000000"/>
                <w:sz w:val="22"/>
                <w:szCs w:val="22"/>
              </w:rPr>
              <w:t>5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1B1EFA3A" w14:textId="77777777">
            <w:pPr>
              <w:tabs>
                <w:tab w:val="left" w:pos="1080"/>
              </w:tabs>
              <w:spacing w:before="30" w:after="30"/>
              <w:jc w:val="center"/>
              <w:rPr>
                <w:color w:val="000000"/>
                <w:sz w:val="22"/>
                <w:szCs w:val="22"/>
              </w:rPr>
            </w:pPr>
            <w:r>
              <w:rPr>
                <w:color w:val="000000"/>
                <w:sz w:val="22"/>
                <w:szCs w:val="22"/>
              </w:rPr>
              <w:t>Month 3-4</w:t>
            </w:r>
          </w:p>
        </w:tc>
      </w:tr>
      <w:tr w:rsidR="001210CF" w:rsidTr="00B67320" w14:paraId="581F277F"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B67320" w:rsidRDefault="0041780A" w14:paraId="504437C7" w14:textId="4E7FE080">
            <w:pPr>
              <w:autoSpaceDE w:val="0"/>
              <w:autoSpaceDN w:val="0"/>
              <w:adjustRightInd w:val="0"/>
              <w:rPr>
                <w:color w:val="000000"/>
                <w:sz w:val="22"/>
                <w:szCs w:val="22"/>
              </w:rPr>
            </w:pPr>
            <w:r>
              <w:rPr>
                <w:color w:val="000000"/>
                <w:sz w:val="22"/>
                <w:szCs w:val="22"/>
              </w:rPr>
              <w:t xml:space="preserve"> </w:t>
            </w:r>
            <w:r w:rsidR="001210CF">
              <w:rPr>
                <w:color w:val="000000"/>
                <w:sz w:val="22"/>
                <w:szCs w:val="22"/>
              </w:rPr>
              <w:t>U18 Grants (up to 7)</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641CB6F1" w14:textId="77777777">
            <w:pPr>
              <w:tabs>
                <w:tab w:val="left" w:pos="1080"/>
              </w:tabs>
              <w:spacing w:before="30" w:after="30"/>
              <w:jc w:val="center"/>
              <w:rPr>
                <w:color w:val="000000"/>
                <w:sz w:val="22"/>
                <w:szCs w:val="22"/>
              </w:rPr>
            </w:pPr>
            <w:r>
              <w:rPr>
                <w:color w:val="000000"/>
                <w:sz w:val="22"/>
                <w:szCs w:val="22"/>
              </w:rPr>
              <w:t>9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3CA319BC" w14:textId="77777777">
            <w:pPr>
              <w:tabs>
                <w:tab w:val="left" w:pos="1080"/>
              </w:tabs>
              <w:spacing w:before="30" w:after="30"/>
              <w:jc w:val="center"/>
              <w:rPr>
                <w:color w:val="000000"/>
                <w:sz w:val="22"/>
                <w:szCs w:val="22"/>
              </w:rPr>
            </w:pPr>
            <w:r>
              <w:rPr>
                <w:color w:val="000000"/>
                <w:sz w:val="22"/>
                <w:szCs w:val="22"/>
              </w:rPr>
              <w:t>Months 3-4</w:t>
            </w:r>
          </w:p>
        </w:tc>
      </w:tr>
      <w:tr w:rsidR="001210CF" w:rsidTr="00B67320" w14:paraId="192F5B3C"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Pr="00E25AFC" w:rsidR="001210CF" w:rsidP="00B67320" w:rsidRDefault="0041780A" w14:paraId="3E3B2A0C" w14:textId="619404B3">
            <w:pPr>
              <w:autoSpaceDE w:val="0"/>
              <w:autoSpaceDN w:val="0"/>
              <w:adjustRightInd w:val="0"/>
              <w:rPr>
                <w:color w:val="000000"/>
                <w:sz w:val="22"/>
                <w:szCs w:val="22"/>
              </w:rPr>
            </w:pPr>
            <w:r>
              <w:rPr>
                <w:color w:val="000000"/>
                <w:sz w:val="22"/>
                <w:szCs w:val="22"/>
              </w:rPr>
              <w:t xml:space="preserve"> </w:t>
            </w:r>
            <w:r w:rsidRPr="00E25AFC" w:rsidR="001210CF">
              <w:rPr>
                <w:color w:val="000000"/>
                <w:sz w:val="22"/>
                <w:szCs w:val="22"/>
              </w:rPr>
              <w:t xml:space="preserve">Qualitative data analysis of key informant interviews </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7EC8F24F" w14:textId="77777777">
            <w:pPr>
              <w:tabs>
                <w:tab w:val="left" w:pos="1080"/>
              </w:tabs>
              <w:spacing w:before="30" w:after="30"/>
              <w:jc w:val="center"/>
              <w:rPr>
                <w:color w:val="000000"/>
                <w:sz w:val="22"/>
                <w:szCs w:val="22"/>
              </w:rPr>
            </w:pPr>
            <w:r>
              <w:rPr>
                <w:color w:val="000000"/>
                <w:sz w:val="22"/>
                <w:szCs w:val="22"/>
              </w:rPr>
              <w:t>15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7E04CCBD" w14:textId="77777777">
            <w:pPr>
              <w:tabs>
                <w:tab w:val="left" w:pos="1080"/>
              </w:tabs>
              <w:spacing w:before="30" w:after="30"/>
              <w:jc w:val="center"/>
              <w:rPr>
                <w:color w:val="000000"/>
                <w:sz w:val="22"/>
                <w:szCs w:val="22"/>
              </w:rPr>
            </w:pPr>
            <w:r>
              <w:rPr>
                <w:color w:val="000000"/>
                <w:sz w:val="22"/>
                <w:szCs w:val="22"/>
              </w:rPr>
              <w:t>Months 2-5</w:t>
            </w:r>
          </w:p>
        </w:tc>
      </w:tr>
      <w:tr w:rsidR="001210CF" w:rsidTr="00B67320" w14:paraId="4CC141E9" w14:textId="77777777">
        <w:tc>
          <w:tcPr>
            <w:tcW w:w="8248" w:type="dxa"/>
            <w:gridSpan w:val="3"/>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hideMark/>
          </w:tcPr>
          <w:p w:rsidR="001210CF" w:rsidP="00B67320" w:rsidRDefault="001210CF" w14:paraId="48CBC7EA" w14:textId="77777777">
            <w:pPr>
              <w:tabs>
                <w:tab w:val="left" w:pos="1080"/>
              </w:tabs>
              <w:spacing w:before="30" w:after="30"/>
              <w:rPr>
                <w:color w:val="000000"/>
                <w:sz w:val="22"/>
                <w:szCs w:val="22"/>
              </w:rPr>
            </w:pPr>
            <w:r>
              <w:rPr>
                <w:b/>
                <w:color w:val="000000"/>
                <w:sz w:val="22"/>
                <w:szCs w:val="22"/>
              </w:rPr>
              <w:t>Conduct and Analyze Site Visits</w:t>
            </w:r>
          </w:p>
        </w:tc>
      </w:tr>
      <w:tr w:rsidR="001210CF" w:rsidTr="00B67320" w14:paraId="31830645"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B67320" w:rsidRDefault="0041780A" w14:paraId="2D0A62AF" w14:textId="3D44CB12">
            <w:pPr>
              <w:autoSpaceDE w:val="0"/>
              <w:autoSpaceDN w:val="0"/>
              <w:adjustRightInd w:val="0"/>
              <w:rPr>
                <w:color w:val="000000"/>
                <w:sz w:val="22"/>
                <w:szCs w:val="22"/>
              </w:rPr>
            </w:pPr>
            <w:r>
              <w:rPr>
                <w:color w:val="000000"/>
                <w:sz w:val="22"/>
                <w:szCs w:val="22"/>
              </w:rPr>
              <w:t xml:space="preserve"> </w:t>
            </w:r>
            <w:r w:rsidR="001210CF">
              <w:rPr>
                <w:color w:val="000000"/>
                <w:sz w:val="22"/>
                <w:szCs w:val="22"/>
              </w:rPr>
              <w:t xml:space="preserve">Conduct site visits for </w:t>
            </w:r>
            <w:proofErr w:type="spellStart"/>
            <w:r w:rsidR="001210CF">
              <w:rPr>
                <w:color w:val="000000"/>
                <w:sz w:val="22"/>
                <w:szCs w:val="22"/>
              </w:rPr>
              <w:t>Medstar</w:t>
            </w:r>
            <w:proofErr w:type="spellEnd"/>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0278A1A7" w14:textId="77777777">
            <w:pPr>
              <w:tabs>
                <w:tab w:val="left" w:pos="1080"/>
              </w:tabs>
              <w:spacing w:before="30" w:after="30"/>
              <w:jc w:val="center"/>
              <w:rPr>
                <w:color w:val="000000"/>
                <w:sz w:val="22"/>
                <w:szCs w:val="22"/>
              </w:rPr>
            </w:pPr>
            <w:r>
              <w:rPr>
                <w:color w:val="000000"/>
                <w:sz w:val="22"/>
                <w:szCs w:val="22"/>
              </w:rPr>
              <w:t>1 week</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68DE417B" w14:textId="77777777">
            <w:pPr>
              <w:tabs>
                <w:tab w:val="left" w:pos="1080"/>
              </w:tabs>
              <w:spacing w:before="30" w:after="30"/>
              <w:jc w:val="center"/>
              <w:rPr>
                <w:color w:val="000000"/>
                <w:sz w:val="22"/>
                <w:szCs w:val="22"/>
              </w:rPr>
            </w:pPr>
            <w:r>
              <w:rPr>
                <w:color w:val="000000"/>
                <w:sz w:val="22"/>
                <w:szCs w:val="22"/>
              </w:rPr>
              <w:t>Month 2</w:t>
            </w:r>
          </w:p>
        </w:tc>
      </w:tr>
      <w:tr w:rsidR="001210CF" w:rsidTr="00B67320" w14:paraId="7F5E6D98"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B67320" w:rsidRDefault="0041780A" w14:paraId="0A9455D8" w14:textId="165D9194">
            <w:pPr>
              <w:autoSpaceDE w:val="0"/>
              <w:autoSpaceDN w:val="0"/>
              <w:adjustRightInd w:val="0"/>
              <w:rPr>
                <w:color w:val="000000"/>
                <w:sz w:val="22"/>
                <w:szCs w:val="22"/>
              </w:rPr>
            </w:pPr>
            <w:r>
              <w:rPr>
                <w:color w:val="000000"/>
                <w:sz w:val="22"/>
                <w:szCs w:val="22"/>
              </w:rPr>
              <w:t xml:space="preserve"> </w:t>
            </w:r>
            <w:r w:rsidR="001210CF">
              <w:rPr>
                <w:color w:val="000000"/>
                <w:sz w:val="22"/>
                <w:szCs w:val="22"/>
              </w:rPr>
              <w:t>Conduct up to seven site visits for U18 projects</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77ADEB99" w14:textId="77777777">
            <w:pPr>
              <w:tabs>
                <w:tab w:val="left" w:pos="1080"/>
              </w:tabs>
              <w:spacing w:before="30" w:after="30"/>
              <w:jc w:val="center"/>
              <w:rPr>
                <w:color w:val="000000"/>
                <w:sz w:val="22"/>
                <w:szCs w:val="22"/>
              </w:rPr>
            </w:pPr>
            <w:r>
              <w:rPr>
                <w:color w:val="000000"/>
                <w:sz w:val="22"/>
                <w:szCs w:val="22"/>
              </w:rPr>
              <w:t>12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66344C42" w14:textId="77777777">
            <w:pPr>
              <w:tabs>
                <w:tab w:val="left" w:pos="1080"/>
              </w:tabs>
              <w:spacing w:before="30" w:after="30"/>
              <w:jc w:val="center"/>
              <w:rPr>
                <w:color w:val="000000"/>
                <w:sz w:val="22"/>
                <w:szCs w:val="22"/>
              </w:rPr>
            </w:pPr>
            <w:r>
              <w:rPr>
                <w:color w:val="000000"/>
                <w:sz w:val="22"/>
                <w:szCs w:val="22"/>
              </w:rPr>
              <w:t>Months 10-12</w:t>
            </w:r>
          </w:p>
        </w:tc>
      </w:tr>
      <w:tr w:rsidR="001210CF" w:rsidTr="00B67320" w14:paraId="7F89A685"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Pr="00E25AFC" w:rsidR="001210CF" w:rsidP="00B67320" w:rsidRDefault="0041780A" w14:paraId="649F5674" w14:textId="7A632763">
            <w:pPr>
              <w:autoSpaceDE w:val="0"/>
              <w:autoSpaceDN w:val="0"/>
              <w:adjustRightInd w:val="0"/>
              <w:rPr>
                <w:color w:val="000000"/>
                <w:sz w:val="22"/>
                <w:szCs w:val="22"/>
              </w:rPr>
            </w:pPr>
            <w:r>
              <w:rPr>
                <w:color w:val="000000"/>
                <w:sz w:val="22"/>
                <w:szCs w:val="22"/>
              </w:rPr>
              <w:t xml:space="preserve"> </w:t>
            </w:r>
            <w:r w:rsidRPr="00E25AFC" w:rsidR="001210CF">
              <w:rPr>
                <w:color w:val="000000"/>
                <w:sz w:val="22"/>
                <w:szCs w:val="22"/>
              </w:rPr>
              <w:t>Qualitative analysis of site visit data</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4FC49241" w14:textId="77777777">
            <w:pPr>
              <w:tabs>
                <w:tab w:val="left" w:pos="1080"/>
              </w:tabs>
              <w:spacing w:before="30" w:after="30"/>
              <w:jc w:val="center"/>
              <w:rPr>
                <w:color w:val="000000"/>
                <w:sz w:val="22"/>
                <w:szCs w:val="22"/>
              </w:rPr>
            </w:pPr>
            <w:r>
              <w:rPr>
                <w:color w:val="000000"/>
                <w:sz w:val="22"/>
                <w:szCs w:val="22"/>
              </w:rPr>
              <w:t>4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432BB9F4" w14:textId="77777777">
            <w:pPr>
              <w:tabs>
                <w:tab w:val="left" w:pos="1080"/>
              </w:tabs>
              <w:spacing w:before="30" w:after="30"/>
              <w:jc w:val="center"/>
              <w:rPr>
                <w:color w:val="000000"/>
                <w:sz w:val="22"/>
                <w:szCs w:val="22"/>
              </w:rPr>
            </w:pPr>
            <w:r>
              <w:rPr>
                <w:color w:val="000000"/>
                <w:sz w:val="22"/>
                <w:szCs w:val="22"/>
              </w:rPr>
              <w:t>Month 13</w:t>
            </w:r>
          </w:p>
        </w:tc>
      </w:tr>
      <w:tr w:rsidR="001210CF" w:rsidTr="00B67320" w14:paraId="42C913F4"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tcPr>
          <w:p w:rsidR="001210CF" w:rsidP="00B67320" w:rsidRDefault="001210CF" w14:paraId="5EC63732" w14:textId="77777777">
            <w:pPr>
              <w:autoSpaceDE w:val="0"/>
              <w:autoSpaceDN w:val="0"/>
              <w:adjustRightInd w:val="0"/>
              <w:rPr>
                <w:b/>
                <w:color w:val="000000"/>
                <w:sz w:val="22"/>
                <w:szCs w:val="22"/>
              </w:rPr>
            </w:pPr>
            <w:r>
              <w:rPr>
                <w:b/>
                <w:color w:val="000000"/>
                <w:sz w:val="22"/>
                <w:szCs w:val="22"/>
              </w:rPr>
              <w:t>Conduct and Analyze CDS Connect Web Survey</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tcPr>
          <w:p w:rsidR="001210CF" w:rsidP="00B67320" w:rsidRDefault="001210CF" w14:paraId="7540752B" w14:textId="77777777">
            <w:pPr>
              <w:tabs>
                <w:tab w:val="left" w:pos="1080"/>
              </w:tabs>
              <w:spacing w:before="30" w:after="30"/>
              <w:jc w:val="center"/>
              <w:rPr>
                <w:color w:val="000000"/>
                <w:sz w:val="22"/>
                <w:szCs w:val="22"/>
              </w:rPr>
            </w:pP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tcPr>
          <w:p w:rsidR="001210CF" w:rsidP="00B67320" w:rsidRDefault="001210CF" w14:paraId="44DBE410" w14:textId="77777777">
            <w:pPr>
              <w:tabs>
                <w:tab w:val="left" w:pos="1080"/>
              </w:tabs>
              <w:spacing w:before="30" w:after="30"/>
              <w:jc w:val="center"/>
              <w:rPr>
                <w:color w:val="000000"/>
                <w:sz w:val="22"/>
                <w:szCs w:val="22"/>
              </w:rPr>
            </w:pPr>
          </w:p>
        </w:tc>
      </w:tr>
      <w:tr w:rsidR="001210CF" w:rsidTr="00B67320" w14:paraId="1848E884"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tcPr>
          <w:p w:rsidRPr="00E25AFC" w:rsidR="001210CF" w:rsidP="00B67320" w:rsidRDefault="0041780A" w14:paraId="370F3ED3" w14:textId="775425EC">
            <w:pPr>
              <w:autoSpaceDE w:val="0"/>
              <w:autoSpaceDN w:val="0"/>
              <w:adjustRightInd w:val="0"/>
              <w:rPr>
                <w:color w:val="000000"/>
                <w:sz w:val="22"/>
                <w:szCs w:val="22"/>
              </w:rPr>
            </w:pPr>
            <w:r>
              <w:rPr>
                <w:b/>
                <w:color w:val="000000"/>
                <w:sz w:val="22"/>
                <w:szCs w:val="22"/>
              </w:rPr>
              <w:t xml:space="preserve"> </w:t>
            </w:r>
            <w:r w:rsidR="001210CF">
              <w:rPr>
                <w:color w:val="000000"/>
                <w:sz w:val="22"/>
                <w:szCs w:val="22"/>
              </w:rPr>
              <w:t>Preparation for data collection</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tcPr>
          <w:p w:rsidR="001210CF" w:rsidP="00B67320" w:rsidRDefault="001210CF" w14:paraId="5EE9ED8E" w14:textId="77777777">
            <w:pPr>
              <w:tabs>
                <w:tab w:val="left" w:pos="1080"/>
              </w:tabs>
              <w:spacing w:before="30" w:after="30"/>
              <w:jc w:val="center"/>
              <w:rPr>
                <w:color w:val="000000"/>
                <w:sz w:val="22"/>
                <w:szCs w:val="22"/>
              </w:rPr>
            </w:pPr>
            <w:r>
              <w:rPr>
                <w:color w:val="000000"/>
                <w:sz w:val="22"/>
                <w:szCs w:val="22"/>
              </w:rPr>
              <w:t>15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tcPr>
          <w:p w:rsidR="001210CF" w:rsidP="00B67320" w:rsidRDefault="001210CF" w14:paraId="4F4B56AC" w14:textId="77777777">
            <w:pPr>
              <w:tabs>
                <w:tab w:val="left" w:pos="1080"/>
              </w:tabs>
              <w:spacing w:before="30" w:after="30"/>
              <w:jc w:val="center"/>
              <w:rPr>
                <w:color w:val="000000"/>
                <w:sz w:val="22"/>
                <w:szCs w:val="22"/>
              </w:rPr>
            </w:pPr>
            <w:r>
              <w:rPr>
                <w:color w:val="000000"/>
                <w:sz w:val="22"/>
                <w:szCs w:val="22"/>
              </w:rPr>
              <w:t>Months 1-4</w:t>
            </w:r>
          </w:p>
        </w:tc>
      </w:tr>
      <w:tr w:rsidR="001210CF" w:rsidTr="00B67320" w14:paraId="06979FA6"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tcPr>
          <w:p w:rsidRPr="00E25AFC" w:rsidR="001210CF" w:rsidP="00B67320" w:rsidRDefault="0041780A" w14:paraId="400CD63C" w14:textId="165FAE96">
            <w:pPr>
              <w:autoSpaceDE w:val="0"/>
              <w:autoSpaceDN w:val="0"/>
              <w:adjustRightInd w:val="0"/>
              <w:rPr>
                <w:color w:val="000000"/>
                <w:sz w:val="22"/>
                <w:szCs w:val="22"/>
              </w:rPr>
            </w:pPr>
            <w:r>
              <w:rPr>
                <w:b/>
                <w:color w:val="000000"/>
                <w:sz w:val="22"/>
                <w:szCs w:val="22"/>
              </w:rPr>
              <w:t xml:space="preserve"> </w:t>
            </w:r>
            <w:r w:rsidR="001210CF">
              <w:rPr>
                <w:color w:val="000000"/>
                <w:sz w:val="22"/>
                <w:szCs w:val="22"/>
              </w:rPr>
              <w:t>Data Collection</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tcPr>
          <w:p w:rsidR="001210CF" w:rsidP="00B67320" w:rsidRDefault="001210CF" w14:paraId="4783A42C" w14:textId="77777777">
            <w:pPr>
              <w:tabs>
                <w:tab w:val="left" w:pos="1080"/>
              </w:tabs>
              <w:spacing w:before="30" w:after="30"/>
              <w:jc w:val="center"/>
              <w:rPr>
                <w:color w:val="000000"/>
                <w:sz w:val="22"/>
                <w:szCs w:val="22"/>
              </w:rPr>
            </w:pPr>
            <w:r>
              <w:rPr>
                <w:color w:val="000000"/>
                <w:sz w:val="22"/>
                <w:szCs w:val="22"/>
              </w:rPr>
              <w:t>12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tcPr>
          <w:p w:rsidR="001210CF" w:rsidP="00B67320" w:rsidRDefault="001210CF" w14:paraId="203E06CD" w14:textId="77777777">
            <w:pPr>
              <w:tabs>
                <w:tab w:val="left" w:pos="1080"/>
              </w:tabs>
              <w:spacing w:before="30" w:after="30"/>
              <w:jc w:val="center"/>
              <w:rPr>
                <w:color w:val="000000"/>
                <w:sz w:val="22"/>
                <w:szCs w:val="22"/>
              </w:rPr>
            </w:pPr>
            <w:r>
              <w:rPr>
                <w:color w:val="000000"/>
                <w:sz w:val="22"/>
                <w:szCs w:val="22"/>
              </w:rPr>
              <w:t>Months 5-7</w:t>
            </w:r>
          </w:p>
        </w:tc>
      </w:tr>
      <w:tr w:rsidR="001210CF" w:rsidTr="00B67320" w14:paraId="78A9CA21"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tcPr>
          <w:p w:rsidRPr="00E25AFC" w:rsidR="001210CF" w:rsidP="00B67320" w:rsidRDefault="0041780A" w14:paraId="01D44720" w14:textId="3A5343B1">
            <w:pPr>
              <w:autoSpaceDE w:val="0"/>
              <w:autoSpaceDN w:val="0"/>
              <w:adjustRightInd w:val="0"/>
              <w:rPr>
                <w:color w:val="000000"/>
                <w:sz w:val="22"/>
                <w:szCs w:val="22"/>
              </w:rPr>
            </w:pPr>
            <w:r>
              <w:rPr>
                <w:b/>
                <w:color w:val="000000"/>
                <w:sz w:val="22"/>
                <w:szCs w:val="22"/>
              </w:rPr>
              <w:t xml:space="preserve"> </w:t>
            </w:r>
            <w:r w:rsidR="001210CF">
              <w:rPr>
                <w:color w:val="000000"/>
                <w:sz w:val="22"/>
                <w:szCs w:val="22"/>
              </w:rPr>
              <w:t>Quantitative analysis of survey data</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tcPr>
          <w:p w:rsidR="001210CF" w:rsidP="00B67320" w:rsidRDefault="001210CF" w14:paraId="47B9435B" w14:textId="77777777">
            <w:pPr>
              <w:tabs>
                <w:tab w:val="left" w:pos="1080"/>
              </w:tabs>
              <w:spacing w:before="30" w:after="30"/>
              <w:jc w:val="center"/>
              <w:rPr>
                <w:color w:val="000000"/>
                <w:sz w:val="22"/>
                <w:szCs w:val="22"/>
              </w:rPr>
            </w:pPr>
            <w:r>
              <w:rPr>
                <w:color w:val="000000"/>
                <w:sz w:val="22"/>
                <w:szCs w:val="22"/>
              </w:rPr>
              <w:t>10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tcPr>
          <w:p w:rsidR="001210CF" w:rsidP="00B67320" w:rsidRDefault="001210CF" w14:paraId="2959E4C3" w14:textId="77777777">
            <w:pPr>
              <w:tabs>
                <w:tab w:val="left" w:pos="1080"/>
              </w:tabs>
              <w:spacing w:before="30" w:after="30"/>
              <w:jc w:val="center"/>
              <w:rPr>
                <w:color w:val="000000"/>
                <w:sz w:val="22"/>
                <w:szCs w:val="22"/>
              </w:rPr>
            </w:pPr>
            <w:r>
              <w:rPr>
                <w:color w:val="000000"/>
                <w:sz w:val="22"/>
                <w:szCs w:val="22"/>
              </w:rPr>
              <w:t>Months 8-10</w:t>
            </w:r>
          </w:p>
        </w:tc>
      </w:tr>
      <w:tr w:rsidR="001210CF" w:rsidTr="00B67320" w14:paraId="0C7F870F"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B67320" w:rsidRDefault="001210CF" w14:paraId="24BC4428" w14:textId="77777777">
            <w:pPr>
              <w:autoSpaceDE w:val="0"/>
              <w:autoSpaceDN w:val="0"/>
              <w:adjustRightInd w:val="0"/>
              <w:rPr>
                <w:b/>
                <w:color w:val="000000"/>
                <w:sz w:val="22"/>
                <w:szCs w:val="22"/>
              </w:rPr>
            </w:pPr>
            <w:r>
              <w:rPr>
                <w:b/>
                <w:color w:val="000000"/>
                <w:sz w:val="22"/>
                <w:szCs w:val="22"/>
              </w:rPr>
              <w:t xml:space="preserve">Year 1 Evaluation Report </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658F8939" w14:textId="77777777">
            <w:pPr>
              <w:tabs>
                <w:tab w:val="left" w:pos="1080"/>
              </w:tabs>
              <w:spacing w:before="30" w:after="30"/>
              <w:jc w:val="center"/>
              <w:rPr>
                <w:color w:val="000000"/>
                <w:sz w:val="22"/>
                <w:szCs w:val="22"/>
              </w:rPr>
            </w:pPr>
            <w:r>
              <w:rPr>
                <w:color w:val="000000"/>
                <w:sz w:val="22"/>
                <w:szCs w:val="22"/>
              </w:rPr>
              <w:t>20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4E902F9D" w14:textId="77777777">
            <w:pPr>
              <w:tabs>
                <w:tab w:val="left" w:pos="1080"/>
              </w:tabs>
              <w:spacing w:before="30" w:after="30"/>
              <w:jc w:val="center"/>
              <w:rPr>
                <w:color w:val="000000"/>
                <w:sz w:val="22"/>
                <w:szCs w:val="22"/>
              </w:rPr>
            </w:pPr>
            <w:r>
              <w:rPr>
                <w:color w:val="000000"/>
                <w:sz w:val="22"/>
                <w:szCs w:val="22"/>
              </w:rPr>
              <w:t>Months 10-14</w:t>
            </w:r>
          </w:p>
        </w:tc>
      </w:tr>
      <w:tr w:rsidR="001210CF" w:rsidTr="00B67320" w14:paraId="28D8670A"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B67320" w:rsidRDefault="001210CF" w14:paraId="136D08F1" w14:textId="77777777">
            <w:pPr>
              <w:autoSpaceDE w:val="0"/>
              <w:autoSpaceDN w:val="0"/>
              <w:adjustRightInd w:val="0"/>
              <w:rPr>
                <w:b/>
                <w:color w:val="000000"/>
                <w:sz w:val="22"/>
                <w:szCs w:val="22"/>
              </w:rPr>
            </w:pPr>
            <w:r>
              <w:rPr>
                <w:b/>
                <w:color w:val="000000"/>
                <w:sz w:val="22"/>
                <w:szCs w:val="22"/>
              </w:rPr>
              <w:t>Year 2 Evaluation Report</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58FCCBC2" w14:textId="77777777">
            <w:pPr>
              <w:tabs>
                <w:tab w:val="left" w:pos="1080"/>
              </w:tabs>
              <w:spacing w:before="30" w:after="30"/>
              <w:jc w:val="center"/>
              <w:rPr>
                <w:color w:val="000000"/>
                <w:sz w:val="22"/>
                <w:szCs w:val="22"/>
              </w:rPr>
            </w:pPr>
            <w:r>
              <w:rPr>
                <w:color w:val="000000"/>
                <w:sz w:val="22"/>
                <w:szCs w:val="22"/>
              </w:rPr>
              <w:t>20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7521B2E1" w14:textId="77777777">
            <w:pPr>
              <w:tabs>
                <w:tab w:val="left" w:pos="1080"/>
              </w:tabs>
              <w:spacing w:before="30" w:after="30"/>
              <w:jc w:val="center"/>
              <w:rPr>
                <w:color w:val="000000"/>
                <w:sz w:val="22"/>
                <w:szCs w:val="22"/>
              </w:rPr>
            </w:pPr>
            <w:r>
              <w:rPr>
                <w:color w:val="000000"/>
                <w:sz w:val="22"/>
                <w:szCs w:val="22"/>
              </w:rPr>
              <w:t>Months 23-27</w:t>
            </w:r>
          </w:p>
        </w:tc>
      </w:tr>
      <w:tr w:rsidR="001210CF" w:rsidTr="00B67320" w14:paraId="1D09C0C0" w14:textId="77777777">
        <w:tc>
          <w:tcPr>
            <w:tcW w:w="5188"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B67320" w:rsidRDefault="001210CF" w14:paraId="10F5A382" w14:textId="77777777">
            <w:pPr>
              <w:autoSpaceDE w:val="0"/>
              <w:autoSpaceDN w:val="0"/>
              <w:adjustRightInd w:val="0"/>
              <w:rPr>
                <w:b/>
                <w:color w:val="000000"/>
                <w:sz w:val="22"/>
                <w:szCs w:val="22"/>
              </w:rPr>
            </w:pPr>
            <w:r>
              <w:rPr>
                <w:b/>
                <w:color w:val="000000"/>
                <w:sz w:val="22"/>
                <w:szCs w:val="22"/>
              </w:rPr>
              <w:t>Final Evaluation Report</w:t>
            </w:r>
          </w:p>
        </w:tc>
        <w:tc>
          <w:tcPr>
            <w:tcW w:w="117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3A8E6088" w14:textId="77777777">
            <w:pPr>
              <w:tabs>
                <w:tab w:val="left" w:pos="1080"/>
              </w:tabs>
              <w:spacing w:before="30" w:after="30"/>
              <w:jc w:val="center"/>
              <w:rPr>
                <w:color w:val="000000"/>
                <w:sz w:val="22"/>
                <w:szCs w:val="22"/>
              </w:rPr>
            </w:pPr>
            <w:r>
              <w:rPr>
                <w:color w:val="000000"/>
                <w:sz w:val="22"/>
                <w:szCs w:val="22"/>
              </w:rPr>
              <w:t>24 weeks</w:t>
            </w:r>
          </w:p>
        </w:tc>
        <w:tc>
          <w:tcPr>
            <w:tcW w:w="1890"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031A24FD" w14:textId="77777777">
            <w:pPr>
              <w:tabs>
                <w:tab w:val="left" w:pos="1080"/>
              </w:tabs>
              <w:spacing w:before="30" w:after="30"/>
              <w:jc w:val="center"/>
              <w:rPr>
                <w:color w:val="000000"/>
                <w:sz w:val="22"/>
                <w:szCs w:val="22"/>
              </w:rPr>
            </w:pPr>
            <w:r>
              <w:rPr>
                <w:color w:val="000000"/>
                <w:sz w:val="22"/>
                <w:szCs w:val="22"/>
              </w:rPr>
              <w:t>Months 31-35</w:t>
            </w:r>
          </w:p>
        </w:tc>
      </w:tr>
    </w:tbl>
    <w:p w:rsidR="00063E36" w:rsidP="00063E36" w:rsidRDefault="00063E36" w14:paraId="1A343A21" w14:textId="77777777">
      <w:pPr>
        <w:rPr>
          <w:highlight w:val="yellow"/>
        </w:rPr>
      </w:pPr>
    </w:p>
    <w:p w:rsidRPr="00917699" w:rsidR="00063E36" w:rsidP="00063E36" w:rsidRDefault="00063E36" w14:paraId="60A6CD31" w14:textId="77777777">
      <w:pPr>
        <w:rPr>
          <w:highlight w:val="yellow"/>
        </w:rPr>
      </w:pPr>
    </w:p>
    <w:p w:rsidR="00063E36" w:rsidP="00063E36" w:rsidRDefault="00063E36" w14:paraId="7A1ABC65" w14:textId="10D5B8FF">
      <w:r w:rsidRPr="00D92F93">
        <w:rPr>
          <w:b/>
        </w:rPr>
        <w:t>Analysis plans.</w:t>
      </w:r>
      <w:r w:rsidR="0041780A">
        <w:t xml:space="preserve"> </w:t>
      </w:r>
    </w:p>
    <w:p w:rsidR="00063E36" w:rsidP="00063E36" w:rsidRDefault="00063E36" w14:paraId="6EBA6899" w14:textId="77777777">
      <w:pPr>
        <w:tabs>
          <w:tab w:val="left" w:pos="1760"/>
        </w:tabs>
      </w:pPr>
      <w:r>
        <w:tab/>
      </w:r>
    </w:p>
    <w:p w:rsidR="00063E36" w:rsidP="00063E36" w:rsidRDefault="00063E36" w14:paraId="227246CE" w14:textId="77777777">
      <w:r w:rsidRPr="004438E2">
        <w:rPr>
          <w:b/>
          <w:i/>
        </w:rPr>
        <w:t xml:space="preserve">Key informant interviews </w:t>
      </w:r>
      <w:proofErr w:type="gramStart"/>
      <w:r>
        <w:t>The</w:t>
      </w:r>
      <w:proofErr w:type="gramEnd"/>
      <w:r>
        <w:t xml:space="preserve"> evaluation team will systematically code transcripts of interviews t</w:t>
      </w:r>
      <w:r w:rsidRPr="008F4548">
        <w:t>o iden</w:t>
      </w:r>
      <w:r>
        <w:t xml:space="preserve">tify factors that contribute to </w:t>
      </w:r>
      <w:r w:rsidRPr="008F4548">
        <w:t>successes or challenges</w:t>
      </w:r>
      <w:r>
        <w:t xml:space="preserve"> of the PCOR CDS Initiative as a whole and along with those of its components</w:t>
      </w:r>
      <w:r w:rsidRPr="008F4548">
        <w:t xml:space="preserve">. </w:t>
      </w:r>
    </w:p>
    <w:p w:rsidR="00063E36" w:rsidP="00063E36" w:rsidRDefault="00063E36" w14:paraId="15131824" w14:textId="77777777"/>
    <w:p w:rsidRPr="008F4548" w:rsidR="00063E36" w:rsidP="00063E36" w:rsidRDefault="00063E36" w14:paraId="1891E59D" w14:textId="7C8C12E1">
      <w:r>
        <w:t xml:space="preserve">The team </w:t>
      </w:r>
      <w:r w:rsidRPr="008F4548">
        <w:t>will develop a codebook of existing (from the interview guide) and emergent (from responses) themes, and code interview notes and tr</w:t>
      </w:r>
      <w:r>
        <w:t xml:space="preserve">anscripts within </w:t>
      </w:r>
      <w:proofErr w:type="spellStart"/>
      <w:r>
        <w:t>NVivo</w:t>
      </w:r>
      <w:proofErr w:type="spellEnd"/>
      <w:r>
        <w:t xml:space="preserve"> software. Codes will also correspond to concepts identified from the peer review and grey literature, including domains from the </w:t>
      </w:r>
      <w:r w:rsidRPr="008F4548">
        <w:t>A</w:t>
      </w:r>
      <w:r w:rsidR="0001000B">
        <w:t xml:space="preserve">nalytic </w:t>
      </w:r>
      <w:r w:rsidRPr="008F4548">
        <w:t>F</w:t>
      </w:r>
      <w:r w:rsidR="0001000B">
        <w:t xml:space="preserve">ramework </w:t>
      </w:r>
      <w:r w:rsidRPr="008F4548">
        <w:t>A</w:t>
      </w:r>
      <w:r w:rsidR="0001000B">
        <w:t xml:space="preserve">ction developed by the PC </w:t>
      </w:r>
      <w:r w:rsidR="004A2D94">
        <w:t xml:space="preserve">CDS </w:t>
      </w:r>
      <w:r w:rsidR="0001000B">
        <w:t>LN</w:t>
      </w:r>
      <w:r w:rsidRPr="008F4548">
        <w:t xml:space="preserve">. To ensure high-quality analysis, team members will flag coding ambiguities and develop new codes as needed. </w:t>
      </w:r>
    </w:p>
    <w:p w:rsidR="00063E36" w:rsidP="00063E36" w:rsidRDefault="00063E36" w14:paraId="302264EB" w14:textId="77777777"/>
    <w:p w:rsidR="00063E36" w:rsidP="00063E36" w:rsidRDefault="00063E36" w14:paraId="32865DA5" w14:textId="77777777">
      <w:r>
        <w:t xml:space="preserve">Coded data will be used to develop narratives that answer the research questions for particular components and the Initiative as a whole. Analysis of findings within codes will reveal similarities and differences in the perspectives of key informants, as well as the range of opinions and experiences on a given topic. Analysis of the relationship between codes or among a combination of codes will examine the interrelationship </w:t>
      </w:r>
      <w:r>
        <w:lastRenderedPageBreak/>
        <w:t xml:space="preserve">between themes or concepts. The </w:t>
      </w:r>
      <w:r w:rsidRPr="008F4548">
        <w:t xml:space="preserve">quantitative analysis will include descriptive statistics for the program measures. </w:t>
      </w:r>
    </w:p>
    <w:p w:rsidR="00063E36" w:rsidP="00063E36" w:rsidRDefault="00063E36" w14:paraId="67C34759" w14:textId="77777777"/>
    <w:p w:rsidRPr="007D0C08" w:rsidR="0001000B" w:rsidP="0001000B" w:rsidRDefault="0001000B" w14:paraId="5533135A" w14:textId="67DC3407">
      <w:pPr>
        <w:pStyle w:val="BodyText"/>
        <w:rPr>
          <w:color w:val="000000"/>
          <w:sz w:val="22"/>
          <w:szCs w:val="22"/>
        </w:rPr>
      </w:pPr>
      <w:r w:rsidRPr="004438E2">
        <w:rPr>
          <w:b/>
          <w:i/>
        </w:rPr>
        <w:t>Web survey</w:t>
      </w:r>
      <w:r>
        <w:rPr>
          <w:b/>
          <w:i/>
        </w:rPr>
        <w:t>.</w:t>
      </w:r>
      <w:r w:rsidR="0041780A">
        <w:rPr>
          <w:b/>
          <w:i/>
        </w:rPr>
        <w:t xml:space="preserve"> </w:t>
      </w:r>
      <w:r>
        <w:rPr>
          <w:color w:val="000000"/>
        </w:rPr>
        <w:t xml:space="preserve">The evaluation team will use univariate descriptive statistics to analyze the CDS Connect user survey results. For example, we will calculate the percentage of respondents who used each resource (e.g., authoring tool, artifact repository, and </w:t>
      </w:r>
      <w:proofErr w:type="spellStart"/>
      <w:r>
        <w:rPr>
          <w:color w:val="000000"/>
        </w:rPr>
        <w:t>Github</w:t>
      </w:r>
      <w:proofErr w:type="spellEnd"/>
      <w:r>
        <w:rPr>
          <w:color w:val="000000"/>
        </w:rPr>
        <w:t xml:space="preserve"> resources), extent of their usage of these resources, their perceptions about how valuable they find the resources and the barriers to using the resources. We will calculate top-box responses for questions asking about satisfaction, likelihood to recommend services, etc. We will compare characteristics of seed respondents versus referral respondents to better understand the composition and diversity of the sample.</w:t>
      </w:r>
      <w:r w:rsidR="0041780A">
        <w:rPr>
          <w:color w:val="000000"/>
        </w:rPr>
        <w:t xml:space="preserve"> </w:t>
      </w:r>
      <w:r>
        <w:rPr>
          <w:color w:val="000000"/>
        </w:rPr>
        <w:t>We will also assess differences in responses to CDS Connect user survey questions between seed and referral respondents. In addition, the evaluation will include cross-tabulations and bivariate analysis to compare respondent characteristics and extent of reported use of each of the CDS Connect resources including respondent’s organizational type, role, years of experience in CDS development, and participation in CDS Connect initiative activities.</w:t>
      </w:r>
      <w:r w:rsidR="0041780A">
        <w:rPr>
          <w:color w:val="000000"/>
        </w:rPr>
        <w:t xml:space="preserve"> </w:t>
      </w:r>
    </w:p>
    <w:p w:rsidR="0001000B" w:rsidP="0001000B" w:rsidRDefault="0001000B" w14:paraId="237A3CB6" w14:textId="77777777">
      <w:pPr>
        <w:tabs>
          <w:tab w:val="left" w:pos="2760"/>
        </w:tabs>
      </w:pPr>
      <w:r>
        <w:tab/>
      </w:r>
    </w:p>
    <w:p w:rsidR="0001000B" w:rsidP="00063E36" w:rsidRDefault="0001000B" w14:paraId="4F299B8E" w14:textId="77777777"/>
    <w:p w:rsidRPr="00424E6E" w:rsidR="009B633D" w:rsidP="009B633D" w:rsidRDefault="009B633D" w14:paraId="49951B51" w14:textId="77777777">
      <w:pPr>
        <w:pStyle w:val="Heading2"/>
        <w:rPr>
          <w:sz w:val="24"/>
        </w:rPr>
      </w:pPr>
      <w:bookmarkStart w:name="_Toc42869951" w:id="62"/>
      <w:r w:rsidRPr="00424E6E">
        <w:rPr>
          <w:sz w:val="24"/>
        </w:rPr>
        <w:t>17. Exemption for Display of Expiration Date</w:t>
      </w:r>
      <w:bookmarkEnd w:id="60"/>
      <w:bookmarkEnd w:id="61"/>
      <w:bookmarkEnd w:id="62"/>
    </w:p>
    <w:p w:rsidR="009B633D" w:rsidP="009B633D" w:rsidRDefault="009B633D" w14:paraId="7845C12C" w14:textId="77777777">
      <w:r w:rsidRPr="004F03D2">
        <w:t>AHRQ does not seek this exemption</w:t>
      </w:r>
      <w:r>
        <w:t>.</w:t>
      </w:r>
    </w:p>
    <w:p w:rsidRPr="00016560" w:rsidR="00016560" w:rsidP="00CE3206" w:rsidRDefault="00063E36" w14:paraId="2710B184" w14:textId="77777777">
      <w:pPr>
        <w:pStyle w:val="Heading2"/>
      </w:pPr>
      <w:r>
        <w:br w:type="page"/>
      </w:r>
      <w:bookmarkStart w:name="_Toc42869952" w:id="63"/>
      <w:r w:rsidR="00904CC3">
        <w:lastRenderedPageBreak/>
        <w:t xml:space="preserve">List of </w:t>
      </w:r>
      <w:r w:rsidRPr="00016560" w:rsidR="00016560">
        <w:t>Attachments:</w:t>
      </w:r>
      <w:bookmarkEnd w:id="63"/>
    </w:p>
    <w:p w:rsidR="008573ED" w:rsidP="008573ED" w:rsidRDefault="008573ED" w14:paraId="4676EA99" w14:textId="77777777">
      <w:r>
        <w:t xml:space="preserve">Attachment </w:t>
      </w:r>
      <w:r w:rsidR="00356697">
        <w:t>A</w:t>
      </w:r>
      <w:r w:rsidR="00EE6E50">
        <w:rPr>
          <w:i/>
        </w:rPr>
        <w:t xml:space="preserve"> </w:t>
      </w:r>
      <w:r w:rsidR="00EE6E50">
        <w:t>- Technical Expert Panel Members</w:t>
      </w:r>
    </w:p>
    <w:p w:rsidR="00EE6E50" w:rsidP="008573ED" w:rsidRDefault="00EE6E50" w14:paraId="5B12BAA9" w14:textId="77777777">
      <w:r>
        <w:t>Attachment B - Key Informant Interview Recruitment Materials</w:t>
      </w:r>
    </w:p>
    <w:p w:rsidR="0094702E" w:rsidP="008573ED" w:rsidRDefault="00EE6E50" w14:paraId="307FF0F6" w14:textId="77777777">
      <w:r>
        <w:t xml:space="preserve">Attachment C - Key Informant Interview Information Sheet </w:t>
      </w:r>
    </w:p>
    <w:p w:rsidR="00161348" w:rsidP="00161348" w:rsidRDefault="00161348" w14:paraId="341EB3C3" w14:textId="77777777">
      <w:r>
        <w:t>Attachment D: PC CDS Learning Network - Leader</w:t>
      </w:r>
    </w:p>
    <w:p w:rsidR="00161348" w:rsidP="00161348" w:rsidRDefault="00161348" w14:paraId="18E30753" w14:textId="2FE75FF1">
      <w:r>
        <w:t>Attachment E: PC CDS Learning Network –Steering Committee</w:t>
      </w:r>
    </w:p>
    <w:p w:rsidR="00161348" w:rsidP="00161348" w:rsidRDefault="00161348" w14:paraId="589CB991" w14:textId="77777777">
      <w:r>
        <w:t>Attachment F: PC CDS Learning Network - Contributor</w:t>
      </w:r>
    </w:p>
    <w:p w:rsidR="00161348" w:rsidP="00161348" w:rsidRDefault="00161348" w14:paraId="0F87D548" w14:textId="77777777">
      <w:r>
        <w:t>Attachment G: CDS Connect – Leader</w:t>
      </w:r>
    </w:p>
    <w:p w:rsidR="00161348" w:rsidP="00161348" w:rsidRDefault="00161348" w14:paraId="690DEA52" w14:textId="77777777">
      <w:r>
        <w:t>Attachment H: CDS Connect – Contributor</w:t>
      </w:r>
    </w:p>
    <w:p w:rsidR="00161348" w:rsidP="00161348" w:rsidRDefault="00161348" w14:paraId="55E32A59" w14:textId="77777777">
      <w:r>
        <w:t>Attachment I: CDS Connect – Consumer</w:t>
      </w:r>
    </w:p>
    <w:p w:rsidR="00161348" w:rsidP="00161348" w:rsidRDefault="00161348" w14:paraId="06DC7B04" w14:textId="77777777">
      <w:r>
        <w:t>Attachment J: CDS Connect – Participant</w:t>
      </w:r>
    </w:p>
    <w:p w:rsidR="00161348" w:rsidP="00161348" w:rsidRDefault="00161348" w14:paraId="53680465" w14:textId="77777777">
      <w:r>
        <w:t xml:space="preserve">Attachment K: Quantifying Efficiencies - Leader </w:t>
      </w:r>
    </w:p>
    <w:p w:rsidR="00161348" w:rsidP="00161348" w:rsidRDefault="00161348" w14:paraId="587D7C85" w14:textId="77777777">
      <w:r>
        <w:t xml:space="preserve">Attachment L: Quantifying Efficiencies – </w:t>
      </w:r>
      <w:proofErr w:type="spellStart"/>
      <w:r>
        <w:t>Informaticist</w:t>
      </w:r>
      <w:proofErr w:type="spellEnd"/>
    </w:p>
    <w:p w:rsidR="00161348" w:rsidP="00161348" w:rsidRDefault="00161348" w14:paraId="611ECE62" w14:textId="77777777">
      <w:r>
        <w:t>Attachment M: Quantifying Efficiencies - Clinician</w:t>
      </w:r>
    </w:p>
    <w:p w:rsidR="00161348" w:rsidP="00161348" w:rsidRDefault="00161348" w14:paraId="75E07E29" w14:textId="77777777">
      <w:r>
        <w:t>Attachment N: PC CDS Projects –Site Leader</w:t>
      </w:r>
    </w:p>
    <w:p w:rsidR="00161348" w:rsidP="00161348" w:rsidRDefault="00161348" w14:paraId="4054CEB3" w14:textId="77777777">
      <w:r>
        <w:t xml:space="preserve">Attachment O: PC CDS Projects – </w:t>
      </w:r>
      <w:proofErr w:type="spellStart"/>
      <w:r>
        <w:t>Informaticist</w:t>
      </w:r>
      <w:proofErr w:type="spellEnd"/>
    </w:p>
    <w:p w:rsidR="00161348" w:rsidP="00161348" w:rsidRDefault="00161348" w14:paraId="108A80C6" w14:textId="77777777">
      <w:r>
        <w:t>Attachment P: PC CDS Projects - Clinician</w:t>
      </w:r>
    </w:p>
    <w:p w:rsidR="00161348" w:rsidP="00161348" w:rsidRDefault="00161348" w14:paraId="2C7AD3F1" w14:textId="77777777">
      <w:r>
        <w:t>Attachment Q: PC CDS Projects - Patient</w:t>
      </w:r>
    </w:p>
    <w:p w:rsidR="00161348" w:rsidP="00161348" w:rsidRDefault="00161348" w14:paraId="12FF4B39" w14:textId="7F219E3D">
      <w:r>
        <w:t>Attachment R: Web Survey of CDS Connect Users</w:t>
      </w:r>
    </w:p>
    <w:p w:rsidR="00EE6E50" w:rsidP="008573ED" w:rsidRDefault="00EE6E50" w14:paraId="5531D2C3" w14:textId="31578DF1">
      <w:r>
        <w:t xml:space="preserve">Attachment </w:t>
      </w:r>
      <w:r w:rsidR="00161348">
        <w:t>S</w:t>
      </w:r>
      <w:r>
        <w:t xml:space="preserve"> - CDS Connect Web Survey Recruitment Invitations and Follow-up</w:t>
      </w:r>
    </w:p>
    <w:p w:rsidR="00A15D49" w:rsidP="007208E0" w:rsidRDefault="00A15D49" w14:paraId="1662416C" w14:textId="71655F63">
      <w:r>
        <w:t xml:space="preserve">Attachment </w:t>
      </w:r>
      <w:r w:rsidR="00161348">
        <w:t>T</w:t>
      </w:r>
      <w:r w:rsidR="00EE6E50">
        <w:t xml:space="preserve"> -</w:t>
      </w:r>
      <w:r w:rsidR="008573ED">
        <w:t xml:space="preserve"> </w:t>
      </w:r>
      <w:r>
        <w:t>Federal Register Notice</w:t>
      </w:r>
    </w:p>
    <w:p w:rsidR="007252D0" w:rsidRDefault="007252D0" w14:paraId="52749570" w14:textId="30B6E4A6">
      <w:pPr>
        <w:rPr>
          <w:i/>
        </w:rPr>
      </w:pPr>
      <w:r>
        <w:rPr>
          <w:i/>
        </w:rPr>
        <w:br w:type="page"/>
      </w:r>
    </w:p>
    <w:p w:rsidR="007252D0" w:rsidP="000311E8" w:rsidRDefault="000311E8" w14:paraId="736E847A" w14:textId="16BD86E7">
      <w:pPr>
        <w:pStyle w:val="Heading2"/>
      </w:pPr>
      <w:bookmarkStart w:name="_Toc42869953" w:id="64"/>
      <w:r>
        <w:lastRenderedPageBreak/>
        <w:t>References</w:t>
      </w:r>
      <w:bookmarkEnd w:id="64"/>
    </w:p>
    <w:sectPr w:rsidR="007252D0" w:rsidSect="009B633D">
      <w:footerReference w:type="even" r:id="rId9"/>
      <w:footerReference w:type="default" r:id="rId10"/>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E6B79" w14:textId="77777777" w:rsidR="005C393E" w:rsidRDefault="005C393E">
      <w:r>
        <w:separator/>
      </w:r>
    </w:p>
  </w:endnote>
  <w:endnote w:type="continuationSeparator" w:id="0">
    <w:p w14:paraId="7CFFFD5A" w14:textId="77777777" w:rsidR="005C393E" w:rsidRDefault="005C393E">
      <w:r>
        <w:continuationSeparator/>
      </w:r>
    </w:p>
  </w:endnote>
  <w:endnote w:id="1">
    <w:p w14:paraId="6219E7FA" w14:textId="77777777" w:rsidR="009869E4" w:rsidRDefault="009869E4" w:rsidP="003C7692">
      <w:pPr>
        <w:pStyle w:val="EndnoteText"/>
      </w:pPr>
      <w:r>
        <w:rPr>
          <w:rStyle w:val="EndnoteReference"/>
        </w:rPr>
        <w:endnoteRef/>
      </w:r>
      <w:r>
        <w:t xml:space="preserve"> </w:t>
      </w:r>
      <w:proofErr w:type="spellStart"/>
      <w:r w:rsidRPr="00CC6C98">
        <w:t>McGlynn</w:t>
      </w:r>
      <w:proofErr w:type="spellEnd"/>
      <w:r w:rsidRPr="00CC6C98">
        <w:t xml:space="preserve">, E. A., Asch, S. M., Adams, J., </w:t>
      </w:r>
      <w:proofErr w:type="spellStart"/>
      <w:r w:rsidRPr="00CC6C98">
        <w:t>Keesey</w:t>
      </w:r>
      <w:proofErr w:type="spellEnd"/>
      <w:r w:rsidRPr="00CC6C98">
        <w:t xml:space="preserve">, J., Hicks, J., </w:t>
      </w:r>
      <w:proofErr w:type="spellStart"/>
      <w:r w:rsidRPr="00CC6C98">
        <w:t>DeCristofaro</w:t>
      </w:r>
      <w:proofErr w:type="spellEnd"/>
      <w:r w:rsidRPr="00CC6C98">
        <w:t>, A., &amp; Kerr, E. A. (2003). The quality of health care delivered to adults in the United States. New England journal of medicine, 348(26), 2635-2645.</w:t>
      </w:r>
      <w:r>
        <w:t xml:space="preserve"> </w:t>
      </w:r>
    </w:p>
    <w:p w14:paraId="16E54D92" w14:textId="77777777" w:rsidR="009869E4" w:rsidRDefault="009869E4" w:rsidP="003C7692">
      <w:pPr>
        <w:pStyle w:val="EndnoteText"/>
      </w:pPr>
    </w:p>
  </w:endnote>
  <w:endnote w:id="2">
    <w:p w14:paraId="75DD9528" w14:textId="77777777" w:rsidR="009869E4" w:rsidRDefault="009869E4" w:rsidP="003C7692">
      <w:pPr>
        <w:pStyle w:val="EndnoteText"/>
      </w:pPr>
      <w:r>
        <w:rPr>
          <w:rStyle w:val="EndnoteReference"/>
        </w:rPr>
        <w:endnoteRef/>
      </w:r>
      <w:r>
        <w:t xml:space="preserve"> </w:t>
      </w:r>
      <w:proofErr w:type="spellStart"/>
      <w:r w:rsidRPr="00CC6C98">
        <w:t>Buttorff</w:t>
      </w:r>
      <w:proofErr w:type="spellEnd"/>
      <w:r w:rsidRPr="00CC6C98">
        <w:t>, C., Ruder, T., &amp; Bauman, M. (2017). Multiple chronic conditions in the United States. Santa Monica (CA): Rand Corporation.</w:t>
      </w:r>
    </w:p>
    <w:p w14:paraId="50B0056F" w14:textId="77777777" w:rsidR="009869E4" w:rsidRDefault="009869E4" w:rsidP="003C7692">
      <w:pPr>
        <w:pStyle w:val="EndnoteText"/>
      </w:pPr>
    </w:p>
  </w:endnote>
  <w:endnote w:id="3">
    <w:p w14:paraId="0BCD4E5E" w14:textId="77777777" w:rsidR="009869E4" w:rsidRDefault="009869E4" w:rsidP="003C7692">
      <w:pPr>
        <w:pStyle w:val="EndnoteText"/>
      </w:pPr>
      <w:r>
        <w:rPr>
          <w:rStyle w:val="EndnoteReference"/>
        </w:rPr>
        <w:endnoteRef/>
      </w:r>
      <w:r>
        <w:t xml:space="preserve"> </w:t>
      </w:r>
      <w:proofErr w:type="spellStart"/>
      <w:r w:rsidRPr="00CC6C98">
        <w:t>Melnyk</w:t>
      </w:r>
      <w:proofErr w:type="spellEnd"/>
      <w:r w:rsidRPr="00CC6C98">
        <w:t>, B. (2016). Widespread adoption of evidence-based practices is essential for a growing Medicare population. The American journal of managed care, 22(7 Spec No.), SP262-SP263</w:t>
      </w:r>
    </w:p>
    <w:p w14:paraId="5E4413DC" w14:textId="77777777" w:rsidR="009869E4" w:rsidRDefault="009869E4" w:rsidP="003C7692">
      <w:pPr>
        <w:pStyle w:val="EndnoteText"/>
      </w:pPr>
    </w:p>
  </w:endnote>
  <w:endnote w:id="4">
    <w:p w14:paraId="74BAC319" w14:textId="77777777" w:rsidR="009869E4" w:rsidRDefault="009869E4" w:rsidP="003C7692">
      <w:pPr>
        <w:pStyle w:val="EndnoteText"/>
      </w:pPr>
      <w:r>
        <w:rPr>
          <w:rStyle w:val="EndnoteReference"/>
        </w:rPr>
        <w:endnoteRef/>
      </w:r>
      <w:r>
        <w:t xml:space="preserve"> </w:t>
      </w:r>
      <w:proofErr w:type="spellStart"/>
      <w:r w:rsidRPr="00CC6C98">
        <w:t>Osheroff</w:t>
      </w:r>
      <w:proofErr w:type="spellEnd"/>
      <w:r w:rsidRPr="00CC6C98">
        <w:t xml:space="preserve">, J. A., </w:t>
      </w:r>
      <w:proofErr w:type="spellStart"/>
      <w:r w:rsidRPr="00CC6C98">
        <w:t>Teich</w:t>
      </w:r>
      <w:proofErr w:type="spellEnd"/>
      <w:r w:rsidRPr="00CC6C98">
        <w:t xml:space="preserve">, J. M., Middleton, B., Steen, E. B., Wright, A., &amp; </w:t>
      </w:r>
      <w:proofErr w:type="spellStart"/>
      <w:r w:rsidRPr="00CC6C98">
        <w:t>Detmer</w:t>
      </w:r>
      <w:proofErr w:type="spellEnd"/>
      <w:r w:rsidRPr="00CC6C98">
        <w:t xml:space="preserve">, D. E. (2007). A roadmap for national action on clinical decision support. Journal of the American medical informatics association, 14(2), 141-145. </w:t>
      </w:r>
    </w:p>
    <w:p w14:paraId="3BDB90AA" w14:textId="77777777" w:rsidR="009869E4" w:rsidRDefault="009869E4" w:rsidP="003C7692">
      <w:pPr>
        <w:pStyle w:val="EndnoteText"/>
      </w:pPr>
      <w:r w:rsidRPr="00CC6C98">
        <w:t xml:space="preserve"> </w:t>
      </w:r>
    </w:p>
  </w:endnote>
  <w:endnote w:id="5">
    <w:p w14:paraId="7149A9E3" w14:textId="77777777" w:rsidR="009869E4" w:rsidRDefault="009869E4" w:rsidP="003C7692">
      <w:pPr>
        <w:pStyle w:val="EndnoteText"/>
      </w:pPr>
      <w:r>
        <w:rPr>
          <w:rStyle w:val="EndnoteReference"/>
        </w:rPr>
        <w:endnoteRef/>
      </w:r>
      <w:r>
        <w:t xml:space="preserve"> </w:t>
      </w:r>
      <w:r w:rsidRPr="00CC6C98">
        <w:t xml:space="preserve">Garg, A. X., </w:t>
      </w:r>
      <w:proofErr w:type="spellStart"/>
      <w:r w:rsidRPr="00CC6C98">
        <w:t>Adhikari</w:t>
      </w:r>
      <w:proofErr w:type="spellEnd"/>
      <w:r w:rsidRPr="00CC6C98">
        <w:t xml:space="preserve">, N. K., McDonald, H., Rosas-Arellano, M. P., </w:t>
      </w:r>
      <w:proofErr w:type="spellStart"/>
      <w:r w:rsidRPr="00CC6C98">
        <w:t>Devereaux</w:t>
      </w:r>
      <w:proofErr w:type="spellEnd"/>
      <w:r w:rsidRPr="00CC6C98">
        <w:t xml:space="preserve">, P. J., </w:t>
      </w:r>
      <w:proofErr w:type="spellStart"/>
      <w:r w:rsidRPr="00CC6C98">
        <w:t>Beyene</w:t>
      </w:r>
      <w:proofErr w:type="spellEnd"/>
      <w:r w:rsidRPr="00CC6C98">
        <w:t xml:space="preserve">, J., ... &amp; Haynes, R. B. (2005). Effects of computerized clinical decision support systems on practitioner performance and patient outcomes: a systematic review. </w:t>
      </w:r>
      <w:proofErr w:type="spellStart"/>
      <w:r w:rsidRPr="00CC6C98">
        <w:t>Jama</w:t>
      </w:r>
      <w:proofErr w:type="spellEnd"/>
      <w:r w:rsidRPr="00CC6C98">
        <w:t>, 293(10), 1223-1238.</w:t>
      </w:r>
    </w:p>
    <w:p w14:paraId="32076B64" w14:textId="77777777" w:rsidR="009869E4" w:rsidRDefault="009869E4" w:rsidP="003C7692">
      <w:pPr>
        <w:pStyle w:val="EndnoteText"/>
      </w:pPr>
    </w:p>
  </w:endnote>
  <w:endnote w:id="6">
    <w:p w14:paraId="61AFB3F7" w14:textId="77777777" w:rsidR="009869E4" w:rsidRDefault="009869E4" w:rsidP="003C7692">
      <w:pPr>
        <w:pStyle w:val="EndnoteText"/>
      </w:pPr>
      <w:r>
        <w:rPr>
          <w:rStyle w:val="EndnoteReference"/>
        </w:rPr>
        <w:endnoteRef/>
      </w:r>
      <w:r>
        <w:rPr>
          <w:rStyle w:val="EndnoteReference"/>
        </w:rPr>
        <w:t xml:space="preserve"> </w:t>
      </w:r>
      <w:proofErr w:type="spellStart"/>
      <w:r w:rsidRPr="00CC6C98">
        <w:t>Wolfstadt</w:t>
      </w:r>
      <w:proofErr w:type="spellEnd"/>
      <w:r w:rsidRPr="00CC6C98">
        <w:t xml:space="preserve">, J. I., </w:t>
      </w:r>
      <w:proofErr w:type="spellStart"/>
      <w:r w:rsidRPr="00CC6C98">
        <w:t>Gurwitz</w:t>
      </w:r>
      <w:proofErr w:type="spellEnd"/>
      <w:r w:rsidRPr="00CC6C98">
        <w:t xml:space="preserve">, J. H., Field, T. S., Lee, M., </w:t>
      </w:r>
      <w:proofErr w:type="spellStart"/>
      <w:r w:rsidRPr="00CC6C98">
        <w:t>Kalkar</w:t>
      </w:r>
      <w:proofErr w:type="spellEnd"/>
      <w:r w:rsidRPr="00CC6C98">
        <w:t xml:space="preserve">, S., Wu, W., &amp; </w:t>
      </w:r>
      <w:proofErr w:type="spellStart"/>
      <w:r w:rsidRPr="00CC6C98">
        <w:t>Rochon</w:t>
      </w:r>
      <w:proofErr w:type="spellEnd"/>
      <w:r w:rsidRPr="00CC6C98">
        <w:t>, P. A. (2008). The effect of computerized physician order entry with clinical decision support on the rates of adverse drug events: a systematic review. Journal of general internal medicine, 23(4), 451-458.</w:t>
      </w:r>
    </w:p>
    <w:p w14:paraId="2C98065D" w14:textId="77777777" w:rsidR="009869E4" w:rsidRDefault="009869E4" w:rsidP="003C7692">
      <w:pPr>
        <w:pStyle w:val="EndnoteText"/>
      </w:pPr>
    </w:p>
  </w:endnote>
  <w:endnote w:id="7">
    <w:p w14:paraId="5F38EC62" w14:textId="77777777" w:rsidR="009869E4" w:rsidRDefault="009869E4" w:rsidP="003C7692">
      <w:pPr>
        <w:pStyle w:val="EndnoteText"/>
      </w:pPr>
      <w:r>
        <w:rPr>
          <w:rStyle w:val="EndnoteReference"/>
        </w:rPr>
        <w:endnoteRef/>
      </w:r>
      <w:r>
        <w:t xml:space="preserve"> </w:t>
      </w:r>
      <w:proofErr w:type="spellStart"/>
      <w:r w:rsidRPr="00CC6C98">
        <w:t>Musen</w:t>
      </w:r>
      <w:proofErr w:type="spellEnd"/>
      <w:r w:rsidRPr="00CC6C98">
        <w:t xml:space="preserve">, M. A., Middleton, B., &amp; </w:t>
      </w:r>
      <w:proofErr w:type="spellStart"/>
      <w:r w:rsidRPr="00CC6C98">
        <w:t>Greenes</w:t>
      </w:r>
      <w:proofErr w:type="spellEnd"/>
      <w:r w:rsidRPr="00CC6C98">
        <w:t>, R. A. (2014). Clinical decision-support systems. Biomedical informatics (pp. 643-674). Springer, London.</w:t>
      </w:r>
    </w:p>
    <w:p w14:paraId="25D15A33" w14:textId="77777777" w:rsidR="009869E4" w:rsidRDefault="009869E4" w:rsidP="003C7692">
      <w:pPr>
        <w:pStyle w:val="EndnoteText"/>
      </w:pPr>
    </w:p>
  </w:endnote>
  <w:endnote w:id="8">
    <w:p w14:paraId="6B7E0DE6" w14:textId="77777777" w:rsidR="009869E4" w:rsidRPr="009D5A36" w:rsidRDefault="009869E4" w:rsidP="003C7692">
      <w:pPr>
        <w:pStyle w:val="EndnoteText"/>
        <w:rPr>
          <w:szCs w:val="22"/>
        </w:rPr>
      </w:pPr>
      <w:r w:rsidRPr="00FD74CA">
        <w:rPr>
          <w:vertAlign w:val="superscript"/>
        </w:rPr>
        <w:endnoteRef/>
      </w:r>
      <w:r w:rsidRPr="009D5A36">
        <w:rPr>
          <w:szCs w:val="22"/>
        </w:rPr>
        <w:t xml:space="preserve"> </w:t>
      </w:r>
      <w:r w:rsidRPr="00934DF4">
        <w:rPr>
          <w:szCs w:val="22"/>
        </w:rPr>
        <w:t>Patient-Centered Clinical Decision Support Learning Network. Retrieved from</w:t>
      </w:r>
      <w:r>
        <w:rPr>
          <w:szCs w:val="22"/>
        </w:rPr>
        <w:t>:</w:t>
      </w:r>
      <w:r w:rsidRPr="00934DF4">
        <w:rPr>
          <w:szCs w:val="22"/>
        </w:rPr>
        <w:t xml:space="preserve"> </w:t>
      </w:r>
      <w:hyperlink r:id="rId1" w:history="1">
        <w:r w:rsidRPr="00934DF4">
          <w:rPr>
            <w:rStyle w:val="Hyperlink"/>
            <w:szCs w:val="22"/>
          </w:rPr>
          <w:t>https://pccds-ln.org/</w:t>
        </w:r>
      </w:hyperlink>
      <w:r>
        <w:rPr>
          <w:rStyle w:val="Hyperlink"/>
          <w:szCs w:val="22"/>
        </w:rPr>
        <w:t xml:space="preserve"> </w:t>
      </w:r>
    </w:p>
  </w:endnote>
  <w:endnote w:id="9">
    <w:p w14:paraId="5DE8134F" w14:textId="77777777" w:rsidR="009869E4" w:rsidRDefault="009869E4" w:rsidP="003C7692">
      <w:pPr>
        <w:pStyle w:val="EndnoteText"/>
        <w:rPr>
          <w:szCs w:val="22"/>
        </w:rPr>
      </w:pPr>
    </w:p>
    <w:p w14:paraId="2B39A720" w14:textId="77777777" w:rsidR="009869E4" w:rsidRDefault="009869E4" w:rsidP="003C7692">
      <w:pPr>
        <w:pStyle w:val="EndnoteText"/>
        <w:rPr>
          <w:szCs w:val="22"/>
        </w:rPr>
      </w:pPr>
      <w:r w:rsidRPr="00FD74CA">
        <w:rPr>
          <w:vertAlign w:val="superscript"/>
        </w:rPr>
        <w:endnoteRef/>
      </w:r>
      <w:r w:rsidRPr="00FD74CA">
        <w:rPr>
          <w:szCs w:val="22"/>
          <w:vertAlign w:val="superscript"/>
        </w:rPr>
        <w:t xml:space="preserve"> </w:t>
      </w:r>
      <w:r w:rsidRPr="00934DF4">
        <w:rPr>
          <w:szCs w:val="22"/>
        </w:rPr>
        <w:t>Clinical Decision Support (CDS). (</w:t>
      </w:r>
      <w:proofErr w:type="spellStart"/>
      <w:r w:rsidRPr="00934DF4">
        <w:rPr>
          <w:szCs w:val="22"/>
        </w:rPr>
        <w:t>n.d.</w:t>
      </w:r>
      <w:proofErr w:type="spellEnd"/>
      <w:r w:rsidRPr="00934DF4">
        <w:rPr>
          <w:szCs w:val="22"/>
        </w:rPr>
        <w:t>) Retrieved from</w:t>
      </w:r>
      <w:r>
        <w:rPr>
          <w:szCs w:val="22"/>
        </w:rPr>
        <w:t>:</w:t>
      </w:r>
      <w:r w:rsidRPr="00934DF4">
        <w:rPr>
          <w:szCs w:val="22"/>
        </w:rPr>
        <w:t xml:space="preserve"> </w:t>
      </w:r>
      <w:hyperlink r:id="rId2" w:history="1">
        <w:r w:rsidRPr="00D75566">
          <w:rPr>
            <w:rStyle w:val="Hyperlink"/>
            <w:szCs w:val="22"/>
          </w:rPr>
          <w:t>https://healthit.ahrq.gov/ahrq-funded-projects/current-health-it-priorities/clinical-decision-support-cds</w:t>
        </w:r>
      </w:hyperlink>
    </w:p>
    <w:p w14:paraId="5DCD3FE7" w14:textId="77777777" w:rsidR="009869E4" w:rsidRPr="00934DF4" w:rsidRDefault="009869E4" w:rsidP="003C7692">
      <w:pPr>
        <w:pStyle w:val="EndnoteText"/>
        <w:rPr>
          <w:szCs w:val="22"/>
        </w:rPr>
      </w:pPr>
    </w:p>
  </w:endnote>
  <w:endnote w:id="10">
    <w:p w14:paraId="2619737C" w14:textId="77777777" w:rsidR="009869E4" w:rsidRDefault="009869E4" w:rsidP="003C7692">
      <w:pPr>
        <w:pStyle w:val="EndnoteText"/>
        <w:rPr>
          <w:szCs w:val="22"/>
        </w:rPr>
      </w:pPr>
      <w:r w:rsidRPr="00FD74CA">
        <w:rPr>
          <w:vertAlign w:val="superscript"/>
        </w:rPr>
        <w:endnoteRef/>
      </w:r>
      <w:r w:rsidRPr="00934DF4">
        <w:rPr>
          <w:szCs w:val="22"/>
        </w:rPr>
        <w:t xml:space="preserve"> Implementation and Evaluation of New Health Information Technology (IT) Strategies for Collecting and Using Patient-Reported Outcome (PRO) Measures (U18). (2017). Retrieved from </w:t>
      </w:r>
      <w:hyperlink r:id="rId3" w:history="1">
        <w:r w:rsidRPr="00D75566">
          <w:rPr>
            <w:rStyle w:val="Hyperlink"/>
            <w:szCs w:val="22"/>
          </w:rPr>
          <w:t>https://grants.nih.gov/grants/guide/pa-files/PA-17-247.html</w:t>
        </w:r>
      </w:hyperlink>
    </w:p>
    <w:p w14:paraId="39702B79" w14:textId="77777777" w:rsidR="009869E4" w:rsidRPr="00934DF4" w:rsidRDefault="009869E4" w:rsidP="003C7692">
      <w:pPr>
        <w:pStyle w:val="EndnoteText"/>
        <w:rPr>
          <w:szCs w:val="22"/>
        </w:rPr>
      </w:pPr>
    </w:p>
  </w:endnote>
  <w:endnote w:id="11">
    <w:p w14:paraId="1F40891E" w14:textId="77777777" w:rsidR="009869E4" w:rsidRDefault="009869E4" w:rsidP="003C7692">
      <w:pPr>
        <w:pStyle w:val="EndnoteText"/>
        <w:rPr>
          <w:szCs w:val="22"/>
        </w:rPr>
      </w:pPr>
      <w:r w:rsidRPr="00FD74CA">
        <w:rPr>
          <w:vertAlign w:val="superscript"/>
        </w:rPr>
        <w:endnoteRef/>
      </w:r>
      <w:r w:rsidRPr="00624AB2">
        <w:rPr>
          <w:szCs w:val="22"/>
        </w:rPr>
        <w:t xml:space="preserve"> </w:t>
      </w:r>
      <w:proofErr w:type="spellStart"/>
      <w:r w:rsidRPr="00624AB2">
        <w:rPr>
          <w:szCs w:val="22"/>
        </w:rPr>
        <w:t>Marcial</w:t>
      </w:r>
      <w:proofErr w:type="spellEnd"/>
      <w:r w:rsidRPr="00624AB2">
        <w:rPr>
          <w:szCs w:val="22"/>
        </w:rPr>
        <w:t xml:space="preserve">, L. H., Richardson, J. E., </w:t>
      </w:r>
      <w:proofErr w:type="spellStart"/>
      <w:r w:rsidRPr="00624AB2">
        <w:rPr>
          <w:szCs w:val="22"/>
        </w:rPr>
        <w:t>Lasater</w:t>
      </w:r>
      <w:proofErr w:type="spellEnd"/>
      <w:r w:rsidRPr="00624AB2">
        <w:rPr>
          <w:szCs w:val="22"/>
        </w:rPr>
        <w:t xml:space="preserve">, B., Middleton, B., </w:t>
      </w:r>
      <w:proofErr w:type="spellStart"/>
      <w:r w:rsidRPr="00624AB2">
        <w:rPr>
          <w:szCs w:val="22"/>
        </w:rPr>
        <w:t>Os</w:t>
      </w:r>
      <w:r>
        <w:rPr>
          <w:szCs w:val="22"/>
        </w:rPr>
        <w:t>heroff</w:t>
      </w:r>
      <w:proofErr w:type="spellEnd"/>
      <w:r>
        <w:rPr>
          <w:szCs w:val="22"/>
        </w:rPr>
        <w:t xml:space="preserve">, J. A., Kawamoto, K., </w:t>
      </w:r>
      <w:r w:rsidRPr="00624AB2">
        <w:rPr>
          <w:szCs w:val="22"/>
        </w:rPr>
        <w:t xml:space="preserve">&amp; </w:t>
      </w:r>
      <w:proofErr w:type="spellStart"/>
      <w:r w:rsidRPr="00624AB2">
        <w:rPr>
          <w:szCs w:val="22"/>
        </w:rPr>
        <w:t>Blumenfeld</w:t>
      </w:r>
      <w:proofErr w:type="spellEnd"/>
      <w:r w:rsidRPr="00624AB2">
        <w:rPr>
          <w:szCs w:val="22"/>
        </w:rPr>
        <w:t xml:space="preserve">, B. H. (2018). The Imperative for Patient-Centered Clinical Decision Support. </w:t>
      </w:r>
      <w:proofErr w:type="spellStart"/>
      <w:proofErr w:type="gramStart"/>
      <w:r w:rsidRPr="00624AB2">
        <w:rPr>
          <w:szCs w:val="22"/>
        </w:rPr>
        <w:t>eGEMs</w:t>
      </w:r>
      <w:proofErr w:type="spellEnd"/>
      <w:proofErr w:type="gramEnd"/>
      <w:r w:rsidRPr="00624AB2">
        <w:rPr>
          <w:szCs w:val="22"/>
        </w:rPr>
        <w:t xml:space="preserve">, 6(1). </w:t>
      </w:r>
    </w:p>
    <w:p w14:paraId="09D8F44E" w14:textId="77777777" w:rsidR="009869E4" w:rsidRPr="00624AB2" w:rsidRDefault="009869E4" w:rsidP="003C7692">
      <w:pPr>
        <w:pStyle w:val="EndnoteText"/>
        <w:rPr>
          <w:szCs w:val="22"/>
        </w:rPr>
      </w:pPr>
    </w:p>
  </w:endnote>
  <w:endnote w:id="12">
    <w:p w14:paraId="36381D45" w14:textId="77777777" w:rsidR="009869E4" w:rsidRDefault="009869E4" w:rsidP="003C7692">
      <w:pPr>
        <w:pStyle w:val="EndnoteText"/>
      </w:pPr>
      <w:r>
        <w:rPr>
          <w:rStyle w:val="EndnoteReference"/>
        </w:rPr>
        <w:endnoteRef/>
      </w:r>
      <w:r>
        <w:t xml:space="preserve"> </w:t>
      </w:r>
      <w:hyperlink r:id="rId4" w:history="1">
        <w:r>
          <w:rPr>
            <w:rStyle w:val="Hyperlink"/>
          </w:rPr>
          <w:t>https://digital.ahrq.gov/ahrq-funded-projects/current-priorities/clinical-decision-support-cds</w:t>
        </w:r>
      </w:hyperlink>
    </w:p>
    <w:p w14:paraId="21C7AF0B" w14:textId="77777777" w:rsidR="009869E4" w:rsidRDefault="009869E4" w:rsidP="003C7692">
      <w:pPr>
        <w:pStyle w:val="EndnoteText"/>
      </w:pPr>
    </w:p>
  </w:endnote>
  <w:endnote w:id="13">
    <w:p w14:paraId="0492FDB6" w14:textId="77777777" w:rsidR="009869E4" w:rsidRDefault="009869E4" w:rsidP="003C7692">
      <w:pPr>
        <w:pStyle w:val="EndnoteText"/>
      </w:pPr>
      <w:r>
        <w:rPr>
          <w:rStyle w:val="EndnoteReference"/>
        </w:rPr>
        <w:endnoteRef/>
      </w:r>
      <w:r>
        <w:t xml:space="preserve"> </w:t>
      </w:r>
      <w:hyperlink r:id="rId5" w:history="1">
        <w:r>
          <w:rPr>
            <w:rStyle w:val="Hyperlink"/>
          </w:rPr>
          <w:t>https://pccds-ln.org/</w:t>
        </w:r>
      </w:hyperlink>
    </w:p>
    <w:p w14:paraId="161BD1E3" w14:textId="77777777" w:rsidR="009869E4" w:rsidRDefault="009869E4" w:rsidP="003C7692">
      <w:pPr>
        <w:pStyle w:val="EndnoteText"/>
      </w:pPr>
    </w:p>
  </w:endnote>
  <w:endnote w:id="14">
    <w:p w14:paraId="444FAFBB" w14:textId="77777777" w:rsidR="009869E4" w:rsidRDefault="009869E4" w:rsidP="003C7692">
      <w:pPr>
        <w:pStyle w:val="EndnoteText"/>
      </w:pPr>
      <w:r>
        <w:rPr>
          <w:rStyle w:val="EndnoteReference"/>
        </w:rPr>
        <w:endnoteRef/>
      </w:r>
      <w:r>
        <w:t xml:space="preserve"> </w:t>
      </w:r>
      <w:hyperlink r:id="rId6" w:history="1">
        <w:r>
          <w:rPr>
            <w:rStyle w:val="Hyperlink"/>
          </w:rPr>
          <w:t>https://cds.ahrq.gov/cdsconnect</w:t>
        </w:r>
      </w:hyperlink>
    </w:p>
    <w:p w14:paraId="4015709A" w14:textId="77777777" w:rsidR="009869E4" w:rsidRDefault="009869E4" w:rsidP="003C7692">
      <w:pPr>
        <w:pStyle w:val="EndnoteText"/>
      </w:pPr>
    </w:p>
  </w:endnote>
  <w:endnote w:id="15">
    <w:p w14:paraId="118D8B5B" w14:textId="77777777" w:rsidR="009869E4" w:rsidRDefault="009869E4" w:rsidP="003C7692">
      <w:pPr>
        <w:pStyle w:val="EndnoteText"/>
      </w:pPr>
      <w:r>
        <w:rPr>
          <w:rStyle w:val="EndnoteReference"/>
        </w:rPr>
        <w:endnoteRef/>
      </w:r>
      <w:r>
        <w:t xml:space="preserve"> </w:t>
      </w:r>
      <w:hyperlink r:id="rId7" w:history="1">
        <w:r>
          <w:rPr>
            <w:rStyle w:val="Hyperlink"/>
          </w:rPr>
          <w:t>https://digital.ahrq.gov/ahrq-funded-projects/quantifying-efficiencies-gained-through-shareable-clinical-decision-support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52EDC" w14:textId="77777777" w:rsidR="009869E4" w:rsidRDefault="009869E4"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38B36" w14:textId="77777777" w:rsidR="009869E4" w:rsidRDefault="00986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922F3" w14:textId="35C494A5" w:rsidR="009869E4" w:rsidRDefault="009869E4"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55C6">
      <w:rPr>
        <w:rStyle w:val="PageNumber"/>
        <w:noProof/>
      </w:rPr>
      <w:t>- 10 -</w:t>
    </w:r>
    <w:r>
      <w:rPr>
        <w:rStyle w:val="PageNumber"/>
      </w:rPr>
      <w:fldChar w:fldCharType="end"/>
    </w:r>
  </w:p>
  <w:p w14:paraId="1B5EA3BD" w14:textId="77777777" w:rsidR="009869E4" w:rsidRDefault="00986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03CAB" w14:textId="77777777" w:rsidR="005C393E" w:rsidRDefault="005C393E">
      <w:r>
        <w:separator/>
      </w:r>
    </w:p>
  </w:footnote>
  <w:footnote w:type="continuationSeparator" w:id="0">
    <w:p w14:paraId="6C43532D" w14:textId="77777777" w:rsidR="005C393E" w:rsidRDefault="005C3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891"/>
    <w:multiLevelType w:val="hybridMultilevel"/>
    <w:tmpl w:val="5E2E89F4"/>
    <w:lvl w:ilvl="0" w:tplc="48A43EEE">
      <w:start w:val="1"/>
      <w:numFmt w:val="decimal"/>
      <w:lvlText w:val="%1)"/>
      <w:lvlJc w:val="left"/>
      <w:pPr>
        <w:ind w:left="1080" w:hanging="720"/>
      </w:pPr>
      <w:rPr>
        <w:rFonts w:hint="default"/>
      </w:rPr>
    </w:lvl>
    <w:lvl w:ilvl="1" w:tplc="CE9EF9F4">
      <w:start w:val="4"/>
      <w:numFmt w:val="lowerLetter"/>
      <w:lvlText w:val="%2."/>
      <w:lvlJc w:val="left"/>
      <w:pPr>
        <w:ind w:left="1440" w:hanging="360"/>
      </w:pPr>
      <w:rPr>
        <w:rFonts w:hint="default"/>
        <w:small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2321F"/>
    <w:multiLevelType w:val="hybridMultilevel"/>
    <w:tmpl w:val="229A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B7B58"/>
    <w:multiLevelType w:val="hybridMultilevel"/>
    <w:tmpl w:val="8ADCA79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135A1"/>
    <w:multiLevelType w:val="hybridMultilevel"/>
    <w:tmpl w:val="4A7CC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56083"/>
    <w:multiLevelType w:val="hybridMultilevel"/>
    <w:tmpl w:val="8716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D0FA8"/>
    <w:multiLevelType w:val="hybridMultilevel"/>
    <w:tmpl w:val="989AB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A3748"/>
    <w:multiLevelType w:val="hybridMultilevel"/>
    <w:tmpl w:val="7D545C0A"/>
    <w:lvl w:ilvl="0" w:tplc="48A43EEE">
      <w:start w:val="1"/>
      <w:numFmt w:val="decimal"/>
      <w:lvlText w:val="%1)"/>
      <w:lvlJc w:val="left"/>
      <w:pPr>
        <w:ind w:left="1080" w:hanging="720"/>
      </w:pPr>
      <w:rPr>
        <w:rFonts w:hint="default"/>
      </w:rPr>
    </w:lvl>
    <w:lvl w:ilvl="1" w:tplc="DC706148">
      <w:start w:val="4"/>
      <w:numFmt w:val="upperLetter"/>
      <w:lvlText w:val="%2."/>
      <w:lvlJc w:val="left"/>
      <w:pPr>
        <w:ind w:left="1440" w:hanging="360"/>
      </w:pPr>
      <w:rPr>
        <w:rFonts w:hint="default"/>
        <w:small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8" w15:restartNumberingAfterBreak="0">
    <w:nsid w:val="793C4D51"/>
    <w:multiLevelType w:val="hybridMultilevel"/>
    <w:tmpl w:val="B40CD6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9"/>
  </w:num>
  <w:num w:numId="2">
    <w:abstractNumId w:val="7"/>
  </w:num>
  <w:num w:numId="3">
    <w:abstractNumId w:val="5"/>
  </w:num>
  <w:num w:numId="4">
    <w:abstractNumId w:val="3"/>
  </w:num>
  <w:num w:numId="5">
    <w:abstractNumId w:val="1"/>
  </w:num>
  <w:num w:numId="6">
    <w:abstractNumId w:val="8"/>
  </w:num>
  <w:num w:numId="7">
    <w:abstractNumId w:val="4"/>
  </w:num>
  <w:num w:numId="8">
    <w:abstractNumId w:val="2"/>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ewNDQzMTQ1NjEzNzVR0lEKTi0uzszPAykwqgUAVpnOKCwAAAA="/>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000B"/>
    <w:rsid w:val="00011E85"/>
    <w:rsid w:val="00012921"/>
    <w:rsid w:val="00012FB9"/>
    <w:rsid w:val="00015AAF"/>
    <w:rsid w:val="00016560"/>
    <w:rsid w:val="00021052"/>
    <w:rsid w:val="00024FEE"/>
    <w:rsid w:val="000311E8"/>
    <w:rsid w:val="00033301"/>
    <w:rsid w:val="00037998"/>
    <w:rsid w:val="0004286E"/>
    <w:rsid w:val="00043473"/>
    <w:rsid w:val="00045959"/>
    <w:rsid w:val="00046359"/>
    <w:rsid w:val="0006207D"/>
    <w:rsid w:val="00063E36"/>
    <w:rsid w:val="0006792F"/>
    <w:rsid w:val="000754C1"/>
    <w:rsid w:val="000769F7"/>
    <w:rsid w:val="000779A9"/>
    <w:rsid w:val="00082047"/>
    <w:rsid w:val="00094648"/>
    <w:rsid w:val="000A016A"/>
    <w:rsid w:val="000A140E"/>
    <w:rsid w:val="000A3475"/>
    <w:rsid w:val="000B78CB"/>
    <w:rsid w:val="000C55C6"/>
    <w:rsid w:val="000D429E"/>
    <w:rsid w:val="000E01D1"/>
    <w:rsid w:val="000E4300"/>
    <w:rsid w:val="000F1134"/>
    <w:rsid w:val="000F1328"/>
    <w:rsid w:val="000F1BB9"/>
    <w:rsid w:val="000F2B59"/>
    <w:rsid w:val="000F7B90"/>
    <w:rsid w:val="00112475"/>
    <w:rsid w:val="00112DF2"/>
    <w:rsid w:val="00120A0C"/>
    <w:rsid w:val="001210CF"/>
    <w:rsid w:val="00124917"/>
    <w:rsid w:val="001301AA"/>
    <w:rsid w:val="00131443"/>
    <w:rsid w:val="00145A20"/>
    <w:rsid w:val="00150AF4"/>
    <w:rsid w:val="00156791"/>
    <w:rsid w:val="00161348"/>
    <w:rsid w:val="00162694"/>
    <w:rsid w:val="00166A69"/>
    <w:rsid w:val="001700D8"/>
    <w:rsid w:val="001749A1"/>
    <w:rsid w:val="001868E0"/>
    <w:rsid w:val="00187A50"/>
    <w:rsid w:val="001968BD"/>
    <w:rsid w:val="001A28C0"/>
    <w:rsid w:val="001B1C61"/>
    <w:rsid w:val="001C59E4"/>
    <w:rsid w:val="001E06E6"/>
    <w:rsid w:val="001E56A3"/>
    <w:rsid w:val="001E63C6"/>
    <w:rsid w:val="001F0CCD"/>
    <w:rsid w:val="00211E70"/>
    <w:rsid w:val="0022366A"/>
    <w:rsid w:val="002605D6"/>
    <w:rsid w:val="00260694"/>
    <w:rsid w:val="0026424E"/>
    <w:rsid w:val="00272E29"/>
    <w:rsid w:val="00275478"/>
    <w:rsid w:val="00282876"/>
    <w:rsid w:val="00285552"/>
    <w:rsid w:val="00291B73"/>
    <w:rsid w:val="0029734C"/>
    <w:rsid w:val="002B30EE"/>
    <w:rsid w:val="002B382B"/>
    <w:rsid w:val="002B7635"/>
    <w:rsid w:val="002C0104"/>
    <w:rsid w:val="002C2640"/>
    <w:rsid w:val="002D48D1"/>
    <w:rsid w:val="002E54EF"/>
    <w:rsid w:val="002F4DE8"/>
    <w:rsid w:val="00306F0F"/>
    <w:rsid w:val="00307322"/>
    <w:rsid w:val="00325B9C"/>
    <w:rsid w:val="003270FA"/>
    <w:rsid w:val="00327FA2"/>
    <w:rsid w:val="00333779"/>
    <w:rsid w:val="0033653E"/>
    <w:rsid w:val="00340D97"/>
    <w:rsid w:val="0034325D"/>
    <w:rsid w:val="00347CE4"/>
    <w:rsid w:val="00350E4E"/>
    <w:rsid w:val="00354FC8"/>
    <w:rsid w:val="00356697"/>
    <w:rsid w:val="00361F52"/>
    <w:rsid w:val="00365B7B"/>
    <w:rsid w:val="0037254D"/>
    <w:rsid w:val="0037427A"/>
    <w:rsid w:val="00377301"/>
    <w:rsid w:val="003774A0"/>
    <w:rsid w:val="0037771B"/>
    <w:rsid w:val="00377D80"/>
    <w:rsid w:val="0038217D"/>
    <w:rsid w:val="00387BD0"/>
    <w:rsid w:val="00387E7F"/>
    <w:rsid w:val="003A0672"/>
    <w:rsid w:val="003B2951"/>
    <w:rsid w:val="003B5859"/>
    <w:rsid w:val="003B6B41"/>
    <w:rsid w:val="003C60BD"/>
    <w:rsid w:val="003C7692"/>
    <w:rsid w:val="003D21A7"/>
    <w:rsid w:val="003D3937"/>
    <w:rsid w:val="003D73D8"/>
    <w:rsid w:val="003E204A"/>
    <w:rsid w:val="003E2801"/>
    <w:rsid w:val="003E70B1"/>
    <w:rsid w:val="003F5921"/>
    <w:rsid w:val="004131BC"/>
    <w:rsid w:val="00414C80"/>
    <w:rsid w:val="004155E1"/>
    <w:rsid w:val="0041780A"/>
    <w:rsid w:val="00423E8F"/>
    <w:rsid w:val="00425974"/>
    <w:rsid w:val="0043596B"/>
    <w:rsid w:val="00435BE4"/>
    <w:rsid w:val="00443B2B"/>
    <w:rsid w:val="0044769A"/>
    <w:rsid w:val="00450538"/>
    <w:rsid w:val="00452268"/>
    <w:rsid w:val="00456179"/>
    <w:rsid w:val="004670C2"/>
    <w:rsid w:val="00467163"/>
    <w:rsid w:val="00473D56"/>
    <w:rsid w:val="0047504D"/>
    <w:rsid w:val="00480523"/>
    <w:rsid w:val="004811AD"/>
    <w:rsid w:val="00492F5F"/>
    <w:rsid w:val="0049708A"/>
    <w:rsid w:val="004A2D94"/>
    <w:rsid w:val="004A624D"/>
    <w:rsid w:val="004B0B18"/>
    <w:rsid w:val="004C21F8"/>
    <w:rsid w:val="004C3BA7"/>
    <w:rsid w:val="004C434B"/>
    <w:rsid w:val="004C4A74"/>
    <w:rsid w:val="004D67A3"/>
    <w:rsid w:val="004E16F6"/>
    <w:rsid w:val="004E3A1B"/>
    <w:rsid w:val="004F0874"/>
    <w:rsid w:val="00501308"/>
    <w:rsid w:val="00510909"/>
    <w:rsid w:val="00520CE0"/>
    <w:rsid w:val="005251B5"/>
    <w:rsid w:val="00527BBD"/>
    <w:rsid w:val="00531857"/>
    <w:rsid w:val="00535B56"/>
    <w:rsid w:val="00550174"/>
    <w:rsid w:val="00556066"/>
    <w:rsid w:val="0056238F"/>
    <w:rsid w:val="00581FD2"/>
    <w:rsid w:val="00593E67"/>
    <w:rsid w:val="005A3B16"/>
    <w:rsid w:val="005B2955"/>
    <w:rsid w:val="005B3C01"/>
    <w:rsid w:val="005B62CF"/>
    <w:rsid w:val="005B6FAA"/>
    <w:rsid w:val="005B715B"/>
    <w:rsid w:val="005C393E"/>
    <w:rsid w:val="005C6AE3"/>
    <w:rsid w:val="005E49B8"/>
    <w:rsid w:val="005E6C66"/>
    <w:rsid w:val="005F4B12"/>
    <w:rsid w:val="0060047D"/>
    <w:rsid w:val="006014DB"/>
    <w:rsid w:val="00604437"/>
    <w:rsid w:val="00606400"/>
    <w:rsid w:val="006124E9"/>
    <w:rsid w:val="00612E29"/>
    <w:rsid w:val="00613C05"/>
    <w:rsid w:val="00620B93"/>
    <w:rsid w:val="00624AB2"/>
    <w:rsid w:val="00625C1B"/>
    <w:rsid w:val="00626D1D"/>
    <w:rsid w:val="00631C81"/>
    <w:rsid w:val="00633FDF"/>
    <w:rsid w:val="00635119"/>
    <w:rsid w:val="00636A0C"/>
    <w:rsid w:val="00637D34"/>
    <w:rsid w:val="00653C0E"/>
    <w:rsid w:val="00655A17"/>
    <w:rsid w:val="00673146"/>
    <w:rsid w:val="00673643"/>
    <w:rsid w:val="006856F8"/>
    <w:rsid w:val="006957B5"/>
    <w:rsid w:val="00696643"/>
    <w:rsid w:val="006979BA"/>
    <w:rsid w:val="006A28E1"/>
    <w:rsid w:val="006A4D4E"/>
    <w:rsid w:val="006C45D0"/>
    <w:rsid w:val="006D1C5E"/>
    <w:rsid w:val="006E2DEE"/>
    <w:rsid w:val="0070072D"/>
    <w:rsid w:val="00703573"/>
    <w:rsid w:val="007109B1"/>
    <w:rsid w:val="00710C91"/>
    <w:rsid w:val="007208E0"/>
    <w:rsid w:val="00723075"/>
    <w:rsid w:val="007252D0"/>
    <w:rsid w:val="00733323"/>
    <w:rsid w:val="00736A72"/>
    <w:rsid w:val="0074180F"/>
    <w:rsid w:val="00744949"/>
    <w:rsid w:val="00744D19"/>
    <w:rsid w:val="00747A7E"/>
    <w:rsid w:val="00747D2F"/>
    <w:rsid w:val="00752EA8"/>
    <w:rsid w:val="007530DE"/>
    <w:rsid w:val="00765D1A"/>
    <w:rsid w:val="007700A7"/>
    <w:rsid w:val="007721F3"/>
    <w:rsid w:val="0077568C"/>
    <w:rsid w:val="00776654"/>
    <w:rsid w:val="007A265C"/>
    <w:rsid w:val="007B0CF3"/>
    <w:rsid w:val="007B3A8E"/>
    <w:rsid w:val="007C1ECB"/>
    <w:rsid w:val="007D0C08"/>
    <w:rsid w:val="007D13FE"/>
    <w:rsid w:val="007D307F"/>
    <w:rsid w:val="007D4F9F"/>
    <w:rsid w:val="007D74F2"/>
    <w:rsid w:val="007E4359"/>
    <w:rsid w:val="0080612B"/>
    <w:rsid w:val="00811735"/>
    <w:rsid w:val="008147C4"/>
    <w:rsid w:val="00817DA0"/>
    <w:rsid w:val="00825DA9"/>
    <w:rsid w:val="0083145C"/>
    <w:rsid w:val="00841047"/>
    <w:rsid w:val="00841856"/>
    <w:rsid w:val="008450C0"/>
    <w:rsid w:val="0085659E"/>
    <w:rsid w:val="008573ED"/>
    <w:rsid w:val="00861E61"/>
    <w:rsid w:val="008728E0"/>
    <w:rsid w:val="00873F74"/>
    <w:rsid w:val="00877CF4"/>
    <w:rsid w:val="00880DFE"/>
    <w:rsid w:val="00882AAA"/>
    <w:rsid w:val="00887F65"/>
    <w:rsid w:val="00892655"/>
    <w:rsid w:val="008943CE"/>
    <w:rsid w:val="008A30B9"/>
    <w:rsid w:val="008A79AB"/>
    <w:rsid w:val="008B47A7"/>
    <w:rsid w:val="008B593F"/>
    <w:rsid w:val="008C4FDA"/>
    <w:rsid w:val="008C580E"/>
    <w:rsid w:val="008D028E"/>
    <w:rsid w:val="008E4FC9"/>
    <w:rsid w:val="008E567E"/>
    <w:rsid w:val="008F0B8B"/>
    <w:rsid w:val="00904CC3"/>
    <w:rsid w:val="00905B0B"/>
    <w:rsid w:val="00907A6D"/>
    <w:rsid w:val="009374DF"/>
    <w:rsid w:val="0094064F"/>
    <w:rsid w:val="0094702E"/>
    <w:rsid w:val="00955553"/>
    <w:rsid w:val="009746A1"/>
    <w:rsid w:val="00982496"/>
    <w:rsid w:val="009869E4"/>
    <w:rsid w:val="009943E2"/>
    <w:rsid w:val="009943E4"/>
    <w:rsid w:val="00994C16"/>
    <w:rsid w:val="0099646C"/>
    <w:rsid w:val="009A237A"/>
    <w:rsid w:val="009A3191"/>
    <w:rsid w:val="009A49A7"/>
    <w:rsid w:val="009B03F2"/>
    <w:rsid w:val="009B2007"/>
    <w:rsid w:val="009B3622"/>
    <w:rsid w:val="009B633D"/>
    <w:rsid w:val="009C0BD2"/>
    <w:rsid w:val="009C4881"/>
    <w:rsid w:val="009D3DBB"/>
    <w:rsid w:val="009D609A"/>
    <w:rsid w:val="009D6B4B"/>
    <w:rsid w:val="009F299E"/>
    <w:rsid w:val="009F43EA"/>
    <w:rsid w:val="009F597D"/>
    <w:rsid w:val="00A0132A"/>
    <w:rsid w:val="00A020D9"/>
    <w:rsid w:val="00A03220"/>
    <w:rsid w:val="00A12E9A"/>
    <w:rsid w:val="00A13D8D"/>
    <w:rsid w:val="00A15D49"/>
    <w:rsid w:val="00A30D9A"/>
    <w:rsid w:val="00A377B8"/>
    <w:rsid w:val="00A41E26"/>
    <w:rsid w:val="00A44855"/>
    <w:rsid w:val="00A4694A"/>
    <w:rsid w:val="00A5438F"/>
    <w:rsid w:val="00A574AE"/>
    <w:rsid w:val="00A61FA3"/>
    <w:rsid w:val="00A64E80"/>
    <w:rsid w:val="00A65884"/>
    <w:rsid w:val="00A74E0A"/>
    <w:rsid w:val="00A777E1"/>
    <w:rsid w:val="00A81A7B"/>
    <w:rsid w:val="00A835E4"/>
    <w:rsid w:val="00A905D8"/>
    <w:rsid w:val="00A94219"/>
    <w:rsid w:val="00AA0B6B"/>
    <w:rsid w:val="00AA1DDC"/>
    <w:rsid w:val="00AA3F0B"/>
    <w:rsid w:val="00AA5479"/>
    <w:rsid w:val="00AA788A"/>
    <w:rsid w:val="00AB1EB8"/>
    <w:rsid w:val="00AD121B"/>
    <w:rsid w:val="00AD4663"/>
    <w:rsid w:val="00AD6516"/>
    <w:rsid w:val="00AE4702"/>
    <w:rsid w:val="00B133D2"/>
    <w:rsid w:val="00B238AD"/>
    <w:rsid w:val="00B257FE"/>
    <w:rsid w:val="00B52533"/>
    <w:rsid w:val="00B5671D"/>
    <w:rsid w:val="00B61FEB"/>
    <w:rsid w:val="00B645ED"/>
    <w:rsid w:val="00B656E1"/>
    <w:rsid w:val="00B6592B"/>
    <w:rsid w:val="00B67320"/>
    <w:rsid w:val="00B720EC"/>
    <w:rsid w:val="00B748B8"/>
    <w:rsid w:val="00B762E0"/>
    <w:rsid w:val="00B81A32"/>
    <w:rsid w:val="00B825D0"/>
    <w:rsid w:val="00B83929"/>
    <w:rsid w:val="00B85C07"/>
    <w:rsid w:val="00B915F1"/>
    <w:rsid w:val="00BA7DEC"/>
    <w:rsid w:val="00BB0448"/>
    <w:rsid w:val="00BB1C2F"/>
    <w:rsid w:val="00BB2479"/>
    <w:rsid w:val="00BB7136"/>
    <w:rsid w:val="00BC2E2E"/>
    <w:rsid w:val="00BD357C"/>
    <w:rsid w:val="00BD6F50"/>
    <w:rsid w:val="00BE0430"/>
    <w:rsid w:val="00BE5AFA"/>
    <w:rsid w:val="00BF1A20"/>
    <w:rsid w:val="00BF735E"/>
    <w:rsid w:val="00C00123"/>
    <w:rsid w:val="00C0644C"/>
    <w:rsid w:val="00C163C6"/>
    <w:rsid w:val="00C205C8"/>
    <w:rsid w:val="00C33BF3"/>
    <w:rsid w:val="00C4006D"/>
    <w:rsid w:val="00C42CC9"/>
    <w:rsid w:val="00C46919"/>
    <w:rsid w:val="00C65B05"/>
    <w:rsid w:val="00C6705A"/>
    <w:rsid w:val="00C731DB"/>
    <w:rsid w:val="00C73F08"/>
    <w:rsid w:val="00C77433"/>
    <w:rsid w:val="00C80450"/>
    <w:rsid w:val="00C84911"/>
    <w:rsid w:val="00C929D4"/>
    <w:rsid w:val="00C933ED"/>
    <w:rsid w:val="00CA136B"/>
    <w:rsid w:val="00CA7470"/>
    <w:rsid w:val="00CC2FEA"/>
    <w:rsid w:val="00CC6C98"/>
    <w:rsid w:val="00CD655B"/>
    <w:rsid w:val="00CE3206"/>
    <w:rsid w:val="00CF3861"/>
    <w:rsid w:val="00D0117F"/>
    <w:rsid w:val="00D0660C"/>
    <w:rsid w:val="00D11271"/>
    <w:rsid w:val="00D11EE0"/>
    <w:rsid w:val="00D150A9"/>
    <w:rsid w:val="00D20C47"/>
    <w:rsid w:val="00D2521F"/>
    <w:rsid w:val="00D27D52"/>
    <w:rsid w:val="00D305CA"/>
    <w:rsid w:val="00D3540B"/>
    <w:rsid w:val="00D41ACB"/>
    <w:rsid w:val="00D43456"/>
    <w:rsid w:val="00D44D4E"/>
    <w:rsid w:val="00D45AD1"/>
    <w:rsid w:val="00D474B5"/>
    <w:rsid w:val="00D543D5"/>
    <w:rsid w:val="00D62325"/>
    <w:rsid w:val="00D66E74"/>
    <w:rsid w:val="00D71264"/>
    <w:rsid w:val="00D77B5F"/>
    <w:rsid w:val="00D810D5"/>
    <w:rsid w:val="00DA069A"/>
    <w:rsid w:val="00DA097F"/>
    <w:rsid w:val="00DA3E7C"/>
    <w:rsid w:val="00DA73A3"/>
    <w:rsid w:val="00DA79B5"/>
    <w:rsid w:val="00DB3948"/>
    <w:rsid w:val="00DB49A0"/>
    <w:rsid w:val="00DB6448"/>
    <w:rsid w:val="00DD0A49"/>
    <w:rsid w:val="00DD3E6E"/>
    <w:rsid w:val="00DE2E04"/>
    <w:rsid w:val="00DE6B26"/>
    <w:rsid w:val="00DF4F3C"/>
    <w:rsid w:val="00DF4F6F"/>
    <w:rsid w:val="00E047C1"/>
    <w:rsid w:val="00E04E24"/>
    <w:rsid w:val="00E076A3"/>
    <w:rsid w:val="00E14FC3"/>
    <w:rsid w:val="00E2592B"/>
    <w:rsid w:val="00E329EE"/>
    <w:rsid w:val="00E43EBB"/>
    <w:rsid w:val="00E43FF4"/>
    <w:rsid w:val="00E47851"/>
    <w:rsid w:val="00E52235"/>
    <w:rsid w:val="00E56716"/>
    <w:rsid w:val="00E706B3"/>
    <w:rsid w:val="00E7422B"/>
    <w:rsid w:val="00E771C3"/>
    <w:rsid w:val="00E80EB7"/>
    <w:rsid w:val="00E9083A"/>
    <w:rsid w:val="00E961D4"/>
    <w:rsid w:val="00E97584"/>
    <w:rsid w:val="00EA608F"/>
    <w:rsid w:val="00EB58F3"/>
    <w:rsid w:val="00EC7CFE"/>
    <w:rsid w:val="00ED0EBB"/>
    <w:rsid w:val="00EE2EE2"/>
    <w:rsid w:val="00EE4455"/>
    <w:rsid w:val="00EE6E50"/>
    <w:rsid w:val="00F00EF3"/>
    <w:rsid w:val="00F04055"/>
    <w:rsid w:val="00F1022F"/>
    <w:rsid w:val="00F122B9"/>
    <w:rsid w:val="00F21CD9"/>
    <w:rsid w:val="00F22750"/>
    <w:rsid w:val="00F25A65"/>
    <w:rsid w:val="00F3207F"/>
    <w:rsid w:val="00F3541A"/>
    <w:rsid w:val="00F45032"/>
    <w:rsid w:val="00F46275"/>
    <w:rsid w:val="00F5665F"/>
    <w:rsid w:val="00F5680D"/>
    <w:rsid w:val="00F60488"/>
    <w:rsid w:val="00F631B6"/>
    <w:rsid w:val="00F63BC0"/>
    <w:rsid w:val="00F640FB"/>
    <w:rsid w:val="00F70715"/>
    <w:rsid w:val="00F719B8"/>
    <w:rsid w:val="00F81A13"/>
    <w:rsid w:val="00F94B00"/>
    <w:rsid w:val="00FA03AD"/>
    <w:rsid w:val="00FA2E89"/>
    <w:rsid w:val="00FB0826"/>
    <w:rsid w:val="00FB184F"/>
    <w:rsid w:val="00FB4BFF"/>
    <w:rsid w:val="00FB6500"/>
    <w:rsid w:val="00FC430C"/>
    <w:rsid w:val="00FC55D0"/>
    <w:rsid w:val="00FC5BE9"/>
    <w:rsid w:val="00FC6596"/>
    <w:rsid w:val="00FC7332"/>
    <w:rsid w:val="00FD1D9C"/>
    <w:rsid w:val="00FD23C5"/>
    <w:rsid w:val="00FD5674"/>
    <w:rsid w:val="00FD74CA"/>
    <w:rsid w:val="00FE0D9B"/>
    <w:rsid w:val="00FE757B"/>
    <w:rsid w:val="00FF0DF9"/>
    <w:rsid w:val="00FF42BD"/>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7D9F7"/>
  <w15:chartTrackingRefBased/>
  <w15:docId w15:val="{91E32E90-7972-4AE9-BD44-266488D5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9A"/>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uiPriority w:val="99"/>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BodyText">
    <w:name w:val="Body Text"/>
    <w:basedOn w:val="Normal"/>
    <w:link w:val="BodyTextChar"/>
    <w:rsid w:val="00C00123"/>
    <w:pPr>
      <w:spacing w:after="120"/>
    </w:pPr>
  </w:style>
  <w:style w:type="character" w:customStyle="1" w:styleId="BodyTextChar">
    <w:name w:val="Body Text Char"/>
    <w:link w:val="BodyText"/>
    <w:rsid w:val="00C00123"/>
    <w:rPr>
      <w:sz w:val="24"/>
      <w:szCs w:val="24"/>
    </w:rPr>
  </w:style>
  <w:style w:type="character" w:customStyle="1" w:styleId="EndnoteTextChar">
    <w:name w:val="Endnote Text Char"/>
    <w:link w:val="EndnoteText"/>
    <w:uiPriority w:val="99"/>
    <w:locked/>
    <w:rsid w:val="00C00123"/>
  </w:style>
  <w:style w:type="paragraph" w:customStyle="1" w:styleId="NormalDoubleSpaced">
    <w:name w:val="Normal Double Spaced"/>
    <w:basedOn w:val="Normal"/>
    <w:qFormat/>
    <w:rsid w:val="00C00123"/>
    <w:pPr>
      <w:suppressLineNumbers/>
      <w:suppressAutoHyphens/>
      <w:autoSpaceDE w:val="0"/>
      <w:autoSpaceDN w:val="0"/>
      <w:adjustRightInd w:val="0"/>
      <w:spacing w:line="480" w:lineRule="auto"/>
      <w:ind w:firstLine="216"/>
      <w:textboxTightWrap w:val="allLines"/>
    </w:pPr>
    <w:rPr>
      <w:rFonts w:ascii="Arial Narrow" w:hAnsi="Arial Narrow"/>
      <w:color w:val="000000"/>
      <w:sz w:val="22"/>
      <w:szCs w:val="22"/>
    </w:rPr>
  </w:style>
  <w:style w:type="paragraph" w:styleId="ListParagraph">
    <w:name w:val="List Paragraph"/>
    <w:basedOn w:val="Normal"/>
    <w:link w:val="ListParagraphChar"/>
    <w:uiPriority w:val="34"/>
    <w:qFormat/>
    <w:rsid w:val="00C00123"/>
    <w:pPr>
      <w:ind w:left="720"/>
      <w:contextualSpacing/>
    </w:pPr>
    <w:rPr>
      <w:rFonts w:eastAsia="Calibri"/>
      <w:sz w:val="22"/>
      <w:szCs w:val="22"/>
    </w:rPr>
  </w:style>
  <w:style w:type="character" w:customStyle="1" w:styleId="ListParagraphChar">
    <w:name w:val="List Paragraph Char"/>
    <w:link w:val="ListParagraph"/>
    <w:uiPriority w:val="34"/>
    <w:locked/>
    <w:rsid w:val="00C00123"/>
    <w:rPr>
      <w:rFonts w:eastAsia="Calibri"/>
      <w:sz w:val="22"/>
      <w:szCs w:val="22"/>
    </w:rPr>
  </w:style>
  <w:style w:type="paragraph" w:customStyle="1" w:styleId="paragraph">
    <w:name w:val="paragraph"/>
    <w:basedOn w:val="Normal"/>
    <w:rsid w:val="00C00123"/>
    <w:pPr>
      <w:spacing w:before="100" w:beforeAutospacing="1" w:after="100" w:afterAutospacing="1"/>
    </w:pPr>
  </w:style>
  <w:style w:type="character" w:customStyle="1" w:styleId="normaltextrun">
    <w:name w:val="normaltextrun"/>
    <w:rsid w:val="00C00123"/>
  </w:style>
  <w:style w:type="character" w:customStyle="1" w:styleId="eop">
    <w:name w:val="eop"/>
    <w:rsid w:val="00C00123"/>
  </w:style>
  <w:style w:type="character" w:customStyle="1" w:styleId="spellingerror">
    <w:name w:val="spellingerror"/>
    <w:rsid w:val="0033653E"/>
  </w:style>
  <w:style w:type="table" w:styleId="TableGridLight">
    <w:name w:val="Grid Table Light"/>
    <w:basedOn w:val="TableNormal"/>
    <w:uiPriority w:val="40"/>
    <w:rsid w:val="0033653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
    <w:name w:val="Heading 1 Char"/>
    <w:link w:val="Heading1"/>
    <w:rsid w:val="00C42CC9"/>
    <w:rPr>
      <w:rFonts w:ascii="Arial" w:hAnsi="Arial" w:cs="Arial"/>
      <w:b/>
      <w:bCs/>
      <w:kern w:val="32"/>
      <w:sz w:val="32"/>
      <w:szCs w:val="32"/>
    </w:rPr>
  </w:style>
  <w:style w:type="paragraph" w:styleId="TOCHeading">
    <w:name w:val="TOC Heading"/>
    <w:basedOn w:val="Heading1"/>
    <w:next w:val="Normal"/>
    <w:uiPriority w:val="39"/>
    <w:unhideWhenUsed/>
    <w:qFormat/>
    <w:rsid w:val="00CE32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FootnoteTextChar">
    <w:name w:val="Footnote Text Char"/>
    <w:basedOn w:val="DefaultParagraphFont"/>
    <w:link w:val="FootnoteText"/>
    <w:uiPriority w:val="99"/>
    <w:semiHidden/>
    <w:rsid w:val="00D41ACB"/>
    <w:rPr>
      <w:lang w:bidi="ar-QA"/>
    </w:rPr>
  </w:style>
  <w:style w:type="table" w:customStyle="1" w:styleId="TableGridLight1">
    <w:name w:val="Table Grid Light1"/>
    <w:basedOn w:val="TableNormal"/>
    <w:uiPriority w:val="40"/>
    <w:rsid w:val="00653C0E"/>
    <w:rPr>
      <w:rFonts w:ascii="Arial" w:eastAsiaTheme="minorHAnsi" w:hAnsi="Arial" w:cstheme="minorBidi"/>
      <w:color w:val="000000" w:themeColor="text1"/>
      <w:sz w:val="18"/>
      <w:szCs w:val="22"/>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29" w:type="dxa"/>
        <w:bottom w:w="7" w:type="dxa"/>
        <w:right w:w="29" w:type="dxa"/>
      </w:tblCellMar>
    </w:tblPr>
    <w:tblStylePr w:type="firstRow">
      <w:pPr>
        <w:jc w:val="center"/>
      </w:pPr>
      <w:tblPr/>
      <w:tcPr>
        <w:shd w:val="clear" w:color="auto" w:fill="BFB6AD"/>
        <w:vAlign w:val="bottom"/>
      </w:tcPr>
    </w:tblStylePr>
    <w:tblStylePr w:type="firstCol">
      <w:pPr>
        <w:jc w:val="left"/>
      </w:pPr>
    </w:tblStylePr>
    <w:tblStylePr w:type="band2Horz">
      <w:tblPr/>
      <w:tcPr>
        <w:shd w:val="clear" w:color="auto" w:fill="E9E6E3"/>
      </w:tcPr>
    </w:tblStylePr>
  </w:style>
  <w:style w:type="paragraph" w:customStyle="1" w:styleId="NORCCaption-Exhibit">
    <w:name w:val="NORC Caption - Exhibit"/>
    <w:basedOn w:val="Normal"/>
    <w:qFormat/>
    <w:rsid w:val="002B30EE"/>
    <w:pPr>
      <w:keepNext/>
      <w:keepLines/>
      <w:pBdr>
        <w:top w:val="single" w:sz="4" w:space="5" w:color="BFB6AC"/>
        <w:bottom w:val="single" w:sz="4" w:space="3" w:color="BFB6AC"/>
      </w:pBdr>
      <w:tabs>
        <w:tab w:val="left" w:pos="1224"/>
      </w:tabs>
      <w:spacing w:before="320" w:after="120"/>
    </w:pPr>
    <w:rPr>
      <w:rFonts w:ascii="Arial" w:hAnsi="Arial" w:cs="Arial"/>
      <w:color w:val="000000" w:themeColor="text1"/>
      <w:sz w:val="20"/>
    </w:rPr>
  </w:style>
  <w:style w:type="character" w:customStyle="1" w:styleId="NORCCaption-Color">
    <w:name w:val="NORC Caption - Color"/>
    <w:qFormat/>
    <w:rsid w:val="002B30EE"/>
    <w:rPr>
      <w:rFonts w:ascii="Arial" w:hAnsi="Arial" w:cs="Arial" w:hint="default"/>
      <w:b/>
      <w:bCs w:val="0"/>
      <w:color w:val="53565A"/>
      <w:sz w:val="20"/>
    </w:rPr>
  </w:style>
  <w:style w:type="paragraph" w:customStyle="1" w:styleId="Default">
    <w:name w:val="Default"/>
    <w:rsid w:val="00AD121B"/>
    <w:pPr>
      <w:autoSpaceDE w:val="0"/>
      <w:autoSpaceDN w:val="0"/>
      <w:adjustRightInd w:val="0"/>
    </w:pPr>
    <w:rPr>
      <w:color w:val="000000"/>
      <w:sz w:val="24"/>
      <w:szCs w:val="24"/>
    </w:rPr>
  </w:style>
  <w:style w:type="paragraph" w:styleId="Revision">
    <w:name w:val="Revision"/>
    <w:hidden/>
    <w:uiPriority w:val="99"/>
    <w:semiHidden/>
    <w:rsid w:val="007D74F2"/>
    <w:rPr>
      <w:sz w:val="24"/>
      <w:szCs w:val="24"/>
    </w:rPr>
  </w:style>
  <w:style w:type="table" w:styleId="GridTable4-Accent3">
    <w:name w:val="Grid Table 4 Accent 3"/>
    <w:basedOn w:val="TableNormal"/>
    <w:uiPriority w:val="49"/>
    <w:rsid w:val="00A03220"/>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9737">
      <w:bodyDiv w:val="1"/>
      <w:marLeft w:val="0"/>
      <w:marRight w:val="0"/>
      <w:marTop w:val="0"/>
      <w:marBottom w:val="0"/>
      <w:divBdr>
        <w:top w:val="none" w:sz="0" w:space="0" w:color="auto"/>
        <w:left w:val="none" w:sz="0" w:space="0" w:color="auto"/>
        <w:bottom w:val="none" w:sz="0" w:space="0" w:color="auto"/>
        <w:right w:val="none" w:sz="0" w:space="0" w:color="auto"/>
      </w:divBdr>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67596061">
      <w:bodyDiv w:val="1"/>
      <w:marLeft w:val="0"/>
      <w:marRight w:val="0"/>
      <w:marTop w:val="0"/>
      <w:marBottom w:val="0"/>
      <w:divBdr>
        <w:top w:val="none" w:sz="0" w:space="0" w:color="auto"/>
        <w:left w:val="none" w:sz="0" w:space="0" w:color="auto"/>
        <w:bottom w:val="none" w:sz="0" w:space="0" w:color="auto"/>
        <w:right w:val="none" w:sz="0" w:space="0" w:color="auto"/>
      </w:divBdr>
    </w:div>
    <w:div w:id="196504747">
      <w:bodyDiv w:val="1"/>
      <w:marLeft w:val="0"/>
      <w:marRight w:val="0"/>
      <w:marTop w:val="0"/>
      <w:marBottom w:val="0"/>
      <w:divBdr>
        <w:top w:val="none" w:sz="0" w:space="0" w:color="auto"/>
        <w:left w:val="none" w:sz="0" w:space="0" w:color="auto"/>
        <w:bottom w:val="none" w:sz="0" w:space="0" w:color="auto"/>
        <w:right w:val="none" w:sz="0" w:space="0" w:color="auto"/>
      </w:divBdr>
    </w:div>
    <w:div w:id="303435207">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090532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74140355">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094665979">
      <w:bodyDiv w:val="1"/>
      <w:marLeft w:val="0"/>
      <w:marRight w:val="0"/>
      <w:marTop w:val="0"/>
      <w:marBottom w:val="0"/>
      <w:divBdr>
        <w:top w:val="none" w:sz="0" w:space="0" w:color="auto"/>
        <w:left w:val="none" w:sz="0" w:space="0" w:color="auto"/>
        <w:bottom w:val="none" w:sz="0" w:space="0" w:color="auto"/>
        <w:right w:val="none" w:sz="0" w:space="0" w:color="auto"/>
      </w:divBdr>
    </w:div>
    <w:div w:id="114080214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303727724">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45025248">
      <w:bodyDiv w:val="1"/>
      <w:marLeft w:val="0"/>
      <w:marRight w:val="0"/>
      <w:marTop w:val="0"/>
      <w:marBottom w:val="0"/>
      <w:divBdr>
        <w:top w:val="none" w:sz="0" w:space="0" w:color="auto"/>
        <w:left w:val="none" w:sz="0" w:space="0" w:color="auto"/>
        <w:bottom w:val="none" w:sz="0" w:space="0" w:color="auto"/>
        <w:right w:val="none" w:sz="0" w:space="0" w:color="auto"/>
      </w:divBdr>
    </w:div>
    <w:div w:id="1581519585">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62489009">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795321276">
      <w:bodyDiv w:val="1"/>
      <w:marLeft w:val="0"/>
      <w:marRight w:val="0"/>
      <w:marTop w:val="0"/>
      <w:marBottom w:val="0"/>
      <w:divBdr>
        <w:top w:val="none" w:sz="0" w:space="0" w:color="auto"/>
        <w:left w:val="none" w:sz="0" w:space="0" w:color="auto"/>
        <w:bottom w:val="none" w:sz="0" w:space="0" w:color="auto"/>
        <w:right w:val="none" w:sz="0" w:space="0" w:color="auto"/>
      </w:divBdr>
    </w:div>
    <w:div w:id="2008945015">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09709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grants.nih.gov/grants/guide/pa-files/PA-17-247.html" TargetMode="External"/><Relationship Id="rId7" Type="http://schemas.openxmlformats.org/officeDocument/2006/relationships/hyperlink" Target="https://digital.ahrq.gov/ahrq-funded-projects/quantifying-efficiencies-gained-through-shareable-clinical-decision-support" TargetMode="External"/><Relationship Id="rId2" Type="http://schemas.openxmlformats.org/officeDocument/2006/relationships/hyperlink" Target="https://healthit.ahrq.gov/ahrq-funded-projects/current-health-it-priorities/clinical-decision-support-cds" TargetMode="External"/><Relationship Id="rId1" Type="http://schemas.openxmlformats.org/officeDocument/2006/relationships/hyperlink" Target="https://pccds-ln.org/" TargetMode="External"/><Relationship Id="rId6" Type="http://schemas.openxmlformats.org/officeDocument/2006/relationships/hyperlink" Target="https://cds.ahrq.gov/cdsconnect" TargetMode="External"/><Relationship Id="rId5" Type="http://schemas.openxmlformats.org/officeDocument/2006/relationships/hyperlink" Target="https://pccds-ln.org/" TargetMode="External"/><Relationship Id="rId4" Type="http://schemas.openxmlformats.org/officeDocument/2006/relationships/hyperlink" Target="https://digital.ahrq.gov/ahrq-funded-projects/current-priorities/clinical-decision-support-c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919BD-1D0E-45F1-82DD-5592C162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18</Pages>
  <Words>5137</Words>
  <Characters>30400</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35467</CharactersWithSpaces>
  <SharedDoc>false</SharedDoc>
  <HLinks>
    <vt:vector size="18" baseType="variant">
      <vt:variant>
        <vt:i4>1310722</vt:i4>
      </vt:variant>
      <vt:variant>
        <vt:i4>6</vt:i4>
      </vt:variant>
      <vt:variant>
        <vt:i4>0</vt:i4>
      </vt:variant>
      <vt:variant>
        <vt:i4>5</vt:i4>
      </vt:variant>
      <vt:variant>
        <vt:lpwstr>http://www.opm.gov/policy-data-oversight/pay-leave/salaries-wages/salary-tables/pdf/2015/DCB.pdf</vt:lpwstr>
      </vt:variant>
      <vt:variant>
        <vt:lpwstr/>
      </vt:variant>
      <vt:variant>
        <vt:i4>4653106</vt:i4>
      </vt:variant>
      <vt:variant>
        <vt:i4>3</vt:i4>
      </vt:variant>
      <vt:variant>
        <vt:i4>0</vt:i4>
      </vt:variant>
      <vt:variant>
        <vt:i4>5</vt:i4>
      </vt:variant>
      <vt:variant>
        <vt:lpwstr>https://www.bls.gov/oes/current/oes_nat.htm</vt:lpwstr>
      </vt:variant>
      <vt:variant>
        <vt:lpwstr/>
      </vt:variant>
      <vt:variant>
        <vt:i4>6094864</vt:i4>
      </vt:variant>
      <vt:variant>
        <vt:i4>0</vt:i4>
      </vt:variant>
      <vt:variant>
        <vt:i4>0</vt:i4>
      </vt:variant>
      <vt:variant>
        <vt:i4>5</vt:i4>
      </vt:variant>
      <vt:variant>
        <vt:lpwstr>https://pccds-ln.org/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Brown, Erwin (AHRQ/CFACT)</cp:lastModifiedBy>
  <cp:revision>3</cp:revision>
  <cp:lastPrinted>2011-07-06T20:06:00Z</cp:lastPrinted>
  <dcterms:created xsi:type="dcterms:W3CDTF">2020-06-18T02:41:00Z</dcterms:created>
  <dcterms:modified xsi:type="dcterms:W3CDTF">2020-06-22T22:00:00Z</dcterms:modified>
</cp:coreProperties>
</file>