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55B3F" w:rsidP="00FD15B2" w:rsidRDefault="00555B3F" w14:paraId="6D112821" w14:textId="463D6702">
      <w:pPr>
        <w:spacing w:line="276" w:lineRule="auto"/>
        <w:rPr>
          <w:b/>
          <w:caps/>
          <w:sz w:val="36"/>
          <w:szCs w:val="36"/>
        </w:rPr>
      </w:pPr>
      <w:bookmarkStart w:name="_Toc339621302" w:id="0"/>
      <w:bookmarkStart w:name="_Toc282506041" w:id="1"/>
      <w:bookmarkStart w:name="_Toc5007129" w:id="2"/>
    </w:p>
    <w:p w:rsidR="00555B3F" w:rsidP="00C76139" w:rsidRDefault="00555B3F" w14:paraId="3CA59CA8" w14:textId="77634390">
      <w:pPr>
        <w:spacing w:line="276" w:lineRule="auto"/>
        <w:jc w:val="center"/>
        <w:rPr>
          <w:b/>
          <w:caps/>
          <w:sz w:val="36"/>
          <w:szCs w:val="36"/>
        </w:rPr>
      </w:pPr>
    </w:p>
    <w:p w:rsidRPr="00AC4A22" w:rsidR="00922CC0" w:rsidP="00C76139" w:rsidRDefault="00922CC0" w14:paraId="3623E885" w14:textId="77777777">
      <w:pPr>
        <w:spacing w:line="276" w:lineRule="auto"/>
        <w:jc w:val="center"/>
        <w:rPr>
          <w:b/>
          <w:caps/>
          <w:sz w:val="36"/>
          <w:szCs w:val="36"/>
        </w:rPr>
      </w:pPr>
    </w:p>
    <w:p w:rsidRPr="00AC4A22" w:rsidR="00AC4A22" w:rsidP="00C76139" w:rsidRDefault="00AC4A22" w14:paraId="25ABF6E7" w14:textId="77777777">
      <w:pPr>
        <w:spacing w:line="276" w:lineRule="auto"/>
        <w:jc w:val="center"/>
        <w:rPr>
          <w:b/>
          <w:sz w:val="28"/>
          <w:szCs w:val="28"/>
        </w:rPr>
      </w:pPr>
      <w:r w:rsidRPr="00AC4A22">
        <w:rPr>
          <w:b/>
          <w:sz w:val="28"/>
          <w:szCs w:val="28"/>
        </w:rPr>
        <w:t>SUPPORTING STATEMENT</w:t>
      </w:r>
    </w:p>
    <w:p w:rsidRPr="00AC4A22" w:rsidR="00AC4A22" w:rsidP="00C76139" w:rsidRDefault="00AC4A22" w14:paraId="512BD1DC" w14:textId="763FC7B1">
      <w:pPr>
        <w:spacing w:line="276" w:lineRule="auto"/>
        <w:jc w:val="center"/>
        <w:rPr>
          <w:sz w:val="28"/>
          <w:szCs w:val="28"/>
        </w:rPr>
      </w:pPr>
      <w:r w:rsidRPr="00AC4A22">
        <w:rPr>
          <w:b/>
          <w:sz w:val="28"/>
          <w:szCs w:val="28"/>
        </w:rPr>
        <w:t xml:space="preserve">Part </w:t>
      </w:r>
      <w:r>
        <w:rPr>
          <w:b/>
          <w:sz w:val="28"/>
          <w:szCs w:val="28"/>
        </w:rPr>
        <w:t>B</w:t>
      </w:r>
    </w:p>
    <w:p w:rsidRPr="00AC4A22" w:rsidR="00AC4A22" w:rsidP="00C76139" w:rsidRDefault="00AC4A22" w14:paraId="191ECBE0" w14:textId="77777777">
      <w:pPr>
        <w:spacing w:line="276" w:lineRule="auto"/>
        <w:jc w:val="center"/>
        <w:rPr>
          <w:sz w:val="28"/>
          <w:szCs w:val="28"/>
        </w:rPr>
      </w:pPr>
    </w:p>
    <w:p w:rsidR="00AC4A22" w:rsidP="00C76139" w:rsidRDefault="00AC4A22" w14:paraId="4D8019E1" w14:textId="1A9BFDE0">
      <w:pPr>
        <w:spacing w:line="276" w:lineRule="auto"/>
        <w:jc w:val="center"/>
        <w:rPr>
          <w:sz w:val="28"/>
          <w:szCs w:val="28"/>
        </w:rPr>
      </w:pPr>
    </w:p>
    <w:p w:rsidR="00922CC0" w:rsidP="00C76139" w:rsidRDefault="00922CC0" w14:paraId="6D673FC2" w14:textId="2D05D6F6">
      <w:pPr>
        <w:spacing w:line="276" w:lineRule="auto"/>
        <w:jc w:val="center"/>
        <w:rPr>
          <w:sz w:val="28"/>
          <w:szCs w:val="28"/>
        </w:rPr>
      </w:pPr>
    </w:p>
    <w:p w:rsidR="00922CC0" w:rsidP="00C76139" w:rsidRDefault="00922CC0" w14:paraId="54145AFB" w14:textId="2BF33131">
      <w:pPr>
        <w:spacing w:line="276" w:lineRule="auto"/>
        <w:jc w:val="center"/>
        <w:rPr>
          <w:sz w:val="28"/>
          <w:szCs w:val="28"/>
        </w:rPr>
      </w:pPr>
    </w:p>
    <w:p w:rsidRPr="00AC4A22" w:rsidR="00922CC0" w:rsidP="00C76139" w:rsidRDefault="00922CC0" w14:paraId="2BB2EEC2" w14:textId="77777777">
      <w:pPr>
        <w:spacing w:line="276" w:lineRule="auto"/>
        <w:jc w:val="center"/>
        <w:rPr>
          <w:sz w:val="28"/>
          <w:szCs w:val="28"/>
        </w:rPr>
      </w:pPr>
    </w:p>
    <w:p w:rsidRPr="00C76139" w:rsidR="00A348E6" w:rsidP="00C76139" w:rsidRDefault="00C94F1D" w14:paraId="626C616A" w14:textId="02B48B1E">
      <w:pPr>
        <w:spacing w:line="276" w:lineRule="auto"/>
        <w:jc w:val="center"/>
        <w:rPr>
          <w:b/>
          <w:bCs/>
          <w:sz w:val="28"/>
          <w:szCs w:val="28"/>
        </w:rPr>
      </w:pPr>
      <w:r w:rsidRPr="00C76139">
        <w:rPr>
          <w:b/>
          <w:bCs/>
          <w:sz w:val="28"/>
          <w:szCs w:val="28"/>
        </w:rPr>
        <w:t xml:space="preserve">Evaluation of </w:t>
      </w:r>
      <w:r w:rsidRPr="00C76139" w:rsidR="00A348E6">
        <w:rPr>
          <w:b/>
          <w:bCs/>
          <w:sz w:val="28"/>
          <w:szCs w:val="28"/>
        </w:rPr>
        <w:t>Learning Health Systems K12 Training Program</w:t>
      </w:r>
    </w:p>
    <w:p w:rsidR="00A348E6" w:rsidP="00C76139" w:rsidRDefault="00A348E6" w14:paraId="72E205EF" w14:textId="77777777">
      <w:pPr>
        <w:spacing w:line="276" w:lineRule="auto"/>
        <w:jc w:val="center"/>
        <w:rPr>
          <w:sz w:val="28"/>
          <w:szCs w:val="28"/>
        </w:rPr>
      </w:pPr>
    </w:p>
    <w:p w:rsidR="00A348E6" w:rsidP="00C76139" w:rsidRDefault="00A348E6" w14:paraId="640A8746" w14:textId="77777777">
      <w:pPr>
        <w:spacing w:line="276" w:lineRule="auto"/>
        <w:jc w:val="center"/>
        <w:rPr>
          <w:sz w:val="28"/>
          <w:szCs w:val="28"/>
        </w:rPr>
      </w:pPr>
    </w:p>
    <w:p w:rsidR="00A348E6" w:rsidP="00C76139" w:rsidRDefault="00A348E6" w14:paraId="02F4868A" w14:textId="77777777">
      <w:pPr>
        <w:spacing w:line="276" w:lineRule="auto"/>
        <w:jc w:val="center"/>
        <w:rPr>
          <w:sz w:val="28"/>
          <w:szCs w:val="28"/>
        </w:rPr>
      </w:pPr>
    </w:p>
    <w:p w:rsidRPr="009F07AF" w:rsidR="005C760D" w:rsidP="005C760D" w:rsidRDefault="005C760D" w14:paraId="02C41C3B" w14:textId="1BE50ED6">
      <w:pPr>
        <w:spacing w:line="276" w:lineRule="auto"/>
        <w:jc w:val="center"/>
        <w:rPr>
          <w:i/>
          <w:sz w:val="28"/>
          <w:szCs w:val="28"/>
        </w:rPr>
      </w:pPr>
      <w:r>
        <w:rPr>
          <w:b/>
          <w:sz w:val="28"/>
          <w:szCs w:val="28"/>
        </w:rPr>
        <w:t>Version</w:t>
      </w:r>
      <w:r w:rsidRPr="009F07AF">
        <w:rPr>
          <w:b/>
          <w:sz w:val="28"/>
          <w:szCs w:val="28"/>
        </w:rPr>
        <w:t xml:space="preserve">: </w:t>
      </w:r>
      <w:r w:rsidRPr="009F07AF" w:rsidR="002F4351">
        <w:rPr>
          <w:b/>
          <w:sz w:val="28"/>
          <w:szCs w:val="28"/>
        </w:rPr>
        <w:t xml:space="preserve">May </w:t>
      </w:r>
      <w:r w:rsidRPr="009F07AF" w:rsidR="009F07AF">
        <w:rPr>
          <w:b/>
          <w:sz w:val="28"/>
          <w:szCs w:val="28"/>
        </w:rPr>
        <w:t>18</w:t>
      </w:r>
      <w:r w:rsidRPr="009F07AF" w:rsidR="007819A8">
        <w:rPr>
          <w:b/>
          <w:sz w:val="28"/>
          <w:szCs w:val="28"/>
        </w:rPr>
        <w:t>,</w:t>
      </w:r>
      <w:r w:rsidRPr="009F07AF">
        <w:rPr>
          <w:b/>
          <w:sz w:val="28"/>
          <w:szCs w:val="28"/>
        </w:rPr>
        <w:t xml:space="preserve"> 2020</w:t>
      </w:r>
    </w:p>
    <w:p w:rsidRPr="009F07AF" w:rsidR="00A348E6" w:rsidP="00C76139" w:rsidRDefault="009D3F8F" w14:paraId="79DA0424" w14:textId="5BD93C9A">
      <w:pPr>
        <w:spacing w:line="276" w:lineRule="auto"/>
        <w:jc w:val="center"/>
        <w:rPr>
          <w:i/>
          <w:sz w:val="28"/>
          <w:szCs w:val="28"/>
        </w:rPr>
      </w:pPr>
      <w:r w:rsidRPr="009F07AF">
        <w:rPr>
          <w:i/>
          <w:sz w:val="28"/>
          <w:szCs w:val="28"/>
        </w:rPr>
        <w:br/>
      </w:r>
    </w:p>
    <w:p w:rsidRPr="00954B45" w:rsidR="009D3F8F" w:rsidP="00C76139" w:rsidRDefault="009D3F8F" w14:paraId="5D6A41ED" w14:textId="2496AD4F">
      <w:pPr>
        <w:spacing w:line="276" w:lineRule="auto"/>
        <w:jc w:val="center"/>
        <w:rPr>
          <w:iCs/>
          <w:sz w:val="28"/>
          <w:szCs w:val="28"/>
        </w:rPr>
      </w:pPr>
    </w:p>
    <w:p w:rsidR="00AC4A22" w:rsidP="00C76139" w:rsidRDefault="00AC4A22" w14:paraId="4839FC16" w14:textId="728AB63F">
      <w:pPr>
        <w:spacing w:line="276" w:lineRule="auto"/>
        <w:jc w:val="center"/>
        <w:rPr>
          <w:i/>
          <w:sz w:val="28"/>
          <w:szCs w:val="28"/>
        </w:rPr>
      </w:pPr>
    </w:p>
    <w:p w:rsidR="00537504" w:rsidP="00C76139" w:rsidRDefault="00537504" w14:paraId="4E7E752A" w14:textId="4CE8D0AE">
      <w:pPr>
        <w:spacing w:line="276" w:lineRule="auto"/>
        <w:jc w:val="center"/>
        <w:rPr>
          <w:i/>
          <w:sz w:val="28"/>
          <w:szCs w:val="28"/>
        </w:rPr>
      </w:pPr>
    </w:p>
    <w:p w:rsidRPr="00AC4A22" w:rsidR="00555B3F" w:rsidP="00C76139" w:rsidRDefault="00555B3F" w14:paraId="1A9A861E" w14:textId="77777777">
      <w:pPr>
        <w:spacing w:line="276" w:lineRule="auto"/>
        <w:jc w:val="center"/>
        <w:rPr>
          <w:i/>
          <w:sz w:val="28"/>
          <w:szCs w:val="28"/>
        </w:rPr>
      </w:pPr>
    </w:p>
    <w:p w:rsidRPr="00AC4A22" w:rsidR="00AC4A22" w:rsidP="00C76139" w:rsidRDefault="00AC4A22" w14:paraId="7388B7D3" w14:textId="77777777">
      <w:pPr>
        <w:spacing w:line="276" w:lineRule="auto"/>
        <w:jc w:val="center"/>
        <w:rPr>
          <w:sz w:val="28"/>
          <w:szCs w:val="28"/>
        </w:rPr>
      </w:pPr>
    </w:p>
    <w:p w:rsidR="00C76139" w:rsidP="00C76139" w:rsidRDefault="00C76139" w14:paraId="0981A812" w14:textId="03995066">
      <w:pPr>
        <w:spacing w:line="276" w:lineRule="auto"/>
        <w:jc w:val="center"/>
        <w:rPr>
          <w:sz w:val="28"/>
          <w:szCs w:val="28"/>
        </w:rPr>
      </w:pPr>
      <w:r>
        <w:rPr>
          <w:sz w:val="28"/>
          <w:szCs w:val="28"/>
        </w:rPr>
        <w:t xml:space="preserve">Agency </w:t>
      </w:r>
      <w:r w:rsidR="00FF1341">
        <w:rPr>
          <w:sz w:val="28"/>
          <w:szCs w:val="28"/>
        </w:rPr>
        <w:t xml:space="preserve">for </w:t>
      </w:r>
      <w:r>
        <w:rPr>
          <w:sz w:val="28"/>
          <w:szCs w:val="28"/>
        </w:rPr>
        <w:t>Healthcare Research and Quality (AHRQ)</w:t>
      </w:r>
    </w:p>
    <w:p w:rsidRPr="00AC4A22" w:rsidR="00AC4A22" w:rsidP="00C76139" w:rsidRDefault="00AC4A22" w14:paraId="5F00FFB4" w14:textId="77777777">
      <w:pPr>
        <w:spacing w:line="276" w:lineRule="auto"/>
        <w:jc w:val="center"/>
        <w:rPr>
          <w:sz w:val="28"/>
          <w:szCs w:val="28"/>
        </w:rPr>
      </w:pPr>
    </w:p>
    <w:p w:rsidRPr="00AC4A22" w:rsidR="00AC4A22" w:rsidP="00C76139" w:rsidRDefault="00AC4A22" w14:paraId="445E8584" w14:textId="77777777">
      <w:pPr>
        <w:spacing w:line="276" w:lineRule="auto"/>
        <w:jc w:val="center"/>
        <w:rPr>
          <w:sz w:val="28"/>
          <w:szCs w:val="28"/>
        </w:rPr>
      </w:pPr>
    </w:p>
    <w:p w:rsidRPr="00AC4A22" w:rsidR="00AC4A22" w:rsidP="00C76139" w:rsidRDefault="00AC4A22" w14:paraId="7934ECB8" w14:textId="77777777">
      <w:pPr>
        <w:spacing w:line="276" w:lineRule="auto"/>
        <w:jc w:val="center"/>
        <w:rPr>
          <w:sz w:val="28"/>
          <w:szCs w:val="28"/>
        </w:rPr>
      </w:pPr>
    </w:p>
    <w:p w:rsidRPr="00AC4A22" w:rsidR="00AC4A22" w:rsidP="00C76139" w:rsidRDefault="00AC4A22" w14:paraId="7E6A51E4" w14:textId="77777777">
      <w:pPr>
        <w:spacing w:line="276" w:lineRule="auto"/>
        <w:jc w:val="center"/>
        <w:rPr>
          <w:b/>
          <w:sz w:val="36"/>
          <w:szCs w:val="36"/>
          <w:highlight w:val="yellow"/>
        </w:rPr>
      </w:pPr>
    </w:p>
    <w:p w:rsidRPr="00AC4A22" w:rsidR="00AC4A22" w:rsidP="00C76139" w:rsidRDefault="00AC4A22" w14:paraId="4FD48C31" w14:textId="77777777">
      <w:pPr>
        <w:spacing w:line="276" w:lineRule="auto"/>
        <w:jc w:val="center"/>
        <w:rPr>
          <w:szCs w:val="24"/>
          <w:highlight w:val="yellow"/>
        </w:rPr>
      </w:pPr>
    </w:p>
    <w:p w:rsidRPr="00AC4A22" w:rsidR="00AC4A22" w:rsidP="00C76139" w:rsidRDefault="00AC4A22" w14:paraId="28131117" w14:textId="77777777">
      <w:pPr>
        <w:spacing w:line="276" w:lineRule="auto"/>
        <w:jc w:val="center"/>
        <w:rPr>
          <w:szCs w:val="24"/>
          <w:highlight w:val="yellow"/>
        </w:rPr>
      </w:pPr>
    </w:p>
    <w:p w:rsidRPr="00AC4A22" w:rsidR="00AC4A22" w:rsidP="00C76139" w:rsidRDefault="00AC4A22" w14:paraId="7E83584C" w14:textId="77777777">
      <w:pPr>
        <w:spacing w:line="276" w:lineRule="auto"/>
        <w:jc w:val="center"/>
        <w:rPr>
          <w:sz w:val="32"/>
          <w:szCs w:val="36"/>
          <w:highlight w:val="yellow"/>
        </w:rPr>
        <w:sectPr w:rsidRPr="00AC4A22" w:rsidR="00AC4A22" w:rsidSect="00B27829">
          <w:headerReference w:type="default" r:id="rId11"/>
          <w:footerReference w:type="default" r:id="rId12"/>
          <w:footerReference w:type="first" r:id="rId13"/>
          <w:pgSz w:w="12240" w:h="15840"/>
          <w:pgMar w:top="1440" w:right="1440" w:bottom="1440" w:left="1440" w:header="720" w:footer="720" w:gutter="0"/>
          <w:pgNumType w:fmt="lowerRoman" w:start="1"/>
          <w:cols w:space="720"/>
          <w:titlePg/>
          <w:docGrid w:linePitch="360"/>
        </w:sectPr>
      </w:pPr>
      <w:r w:rsidRPr="00AC4A22" w:rsidDel="00331424">
        <w:rPr>
          <w:sz w:val="32"/>
          <w:szCs w:val="36"/>
        </w:rPr>
        <w:t xml:space="preserve"> </w:t>
      </w:r>
    </w:p>
    <w:p w:rsidRPr="00750D33" w:rsidR="00BD7AAB" w:rsidP="00BD7AAB" w:rsidRDefault="00BD7AAB" w14:paraId="7306FC6D" w14:textId="77777777">
      <w:pPr>
        <w:spacing w:line="240" w:lineRule="auto"/>
        <w:rPr>
          <w:b/>
          <w:szCs w:val="24"/>
        </w:rPr>
      </w:pPr>
      <w:bookmarkStart w:name="_Toc454266198" w:id="3"/>
      <w:bookmarkStart w:name="_Toc5007106" w:id="4"/>
      <w:bookmarkStart w:name="_Toc339621277" w:id="5"/>
      <w:bookmarkStart w:name="_Toc339617093" w:id="6"/>
      <w:bookmarkStart w:name="_Toc339616922" w:id="7"/>
      <w:bookmarkEnd w:id="3"/>
      <w:r w:rsidRPr="00750D33">
        <w:rPr>
          <w:b/>
          <w:szCs w:val="24"/>
        </w:rPr>
        <w:lastRenderedPageBreak/>
        <w:t xml:space="preserve">Table of </w:t>
      </w:r>
      <w:r>
        <w:rPr>
          <w:b/>
          <w:szCs w:val="24"/>
        </w:rPr>
        <w:t>C</w:t>
      </w:r>
      <w:r w:rsidRPr="00750D33">
        <w:rPr>
          <w:b/>
          <w:szCs w:val="24"/>
        </w:rPr>
        <w:t>ontents</w:t>
      </w:r>
    </w:p>
    <w:p w:rsidR="00BD7AAB" w:rsidP="00D6138C" w:rsidRDefault="00BD7AAB" w14:paraId="5F0C3981" w14:textId="77777777">
      <w:pPr>
        <w:tabs>
          <w:tab w:val="left" w:pos="1440"/>
          <w:tab w:val="right" w:leader="dot" w:pos="8208"/>
          <w:tab w:val="left" w:pos="8640"/>
        </w:tabs>
        <w:spacing w:line="276" w:lineRule="auto"/>
        <w:ind w:left="1152" w:right="1800" w:hanging="1152"/>
        <w:rPr>
          <w:rFonts w:eastAsiaTheme="minorEastAsia"/>
          <w:b/>
          <w:noProof/>
          <w:szCs w:val="24"/>
        </w:rPr>
      </w:pPr>
    </w:p>
    <w:p w:rsidRPr="000B1594" w:rsidR="000B1594" w:rsidP="000B1594" w:rsidRDefault="000B1594" w14:paraId="5618E5C2" w14:textId="1D0A2985">
      <w:pPr>
        <w:tabs>
          <w:tab w:val="left" w:leader="dot" w:pos="8280"/>
        </w:tabs>
        <w:spacing w:line="240" w:lineRule="auto"/>
        <w:rPr>
          <w:szCs w:val="24"/>
        </w:rPr>
      </w:pPr>
      <w:r>
        <w:rPr>
          <w:szCs w:val="24"/>
        </w:rPr>
        <w:t>B</w:t>
      </w:r>
      <w:r w:rsidRPr="000B1594">
        <w:rPr>
          <w:szCs w:val="24"/>
        </w:rPr>
        <w:t xml:space="preserve">. </w:t>
      </w:r>
      <w:r w:rsidR="00E82B4D">
        <w:rPr>
          <w:szCs w:val="24"/>
        </w:rPr>
        <w:t>Collections of Information Employing Statistical Methods</w:t>
      </w:r>
      <w:r w:rsidRPr="000B1594">
        <w:rPr>
          <w:szCs w:val="24"/>
        </w:rPr>
        <w:tab/>
        <w:t>1</w:t>
      </w:r>
    </w:p>
    <w:p w:rsidRPr="000B1594" w:rsidR="000B1594" w:rsidP="000B1594" w:rsidRDefault="000B1594" w14:paraId="14333299" w14:textId="4702CD82">
      <w:pPr>
        <w:tabs>
          <w:tab w:val="left" w:pos="360"/>
          <w:tab w:val="left" w:leader="dot" w:pos="8280"/>
        </w:tabs>
        <w:spacing w:line="240" w:lineRule="auto"/>
        <w:rPr>
          <w:szCs w:val="24"/>
        </w:rPr>
      </w:pPr>
      <w:r w:rsidRPr="000B1594">
        <w:rPr>
          <w:szCs w:val="24"/>
        </w:rPr>
        <w:tab/>
        <w:t xml:space="preserve">1. </w:t>
      </w:r>
      <w:r w:rsidRPr="00430831" w:rsidR="00430831">
        <w:rPr>
          <w:szCs w:val="24"/>
        </w:rPr>
        <w:t>Respondent Universe and Sampling Methods</w:t>
      </w:r>
      <w:r w:rsidRPr="000B1594">
        <w:rPr>
          <w:szCs w:val="24"/>
        </w:rPr>
        <w:tab/>
        <w:t>1</w:t>
      </w:r>
    </w:p>
    <w:p w:rsidRPr="000B1594" w:rsidR="000B1594" w:rsidP="000B1594" w:rsidRDefault="000B1594" w14:paraId="0B28D95F" w14:textId="35800AB4">
      <w:pPr>
        <w:tabs>
          <w:tab w:val="left" w:pos="360"/>
          <w:tab w:val="left" w:leader="dot" w:pos="8280"/>
        </w:tabs>
        <w:spacing w:line="240" w:lineRule="auto"/>
        <w:rPr>
          <w:szCs w:val="24"/>
        </w:rPr>
      </w:pPr>
      <w:r w:rsidRPr="000B1594">
        <w:rPr>
          <w:szCs w:val="24"/>
        </w:rPr>
        <w:tab/>
        <w:t xml:space="preserve">2. </w:t>
      </w:r>
      <w:r w:rsidR="00EF0D80">
        <w:rPr>
          <w:szCs w:val="24"/>
        </w:rPr>
        <w:t>Information</w:t>
      </w:r>
      <w:r w:rsidRPr="00450378" w:rsidR="00450378">
        <w:rPr>
          <w:szCs w:val="24"/>
        </w:rPr>
        <w:t xml:space="preserve"> Collection </w:t>
      </w:r>
      <w:r w:rsidR="00EF0D80">
        <w:rPr>
          <w:szCs w:val="24"/>
        </w:rPr>
        <w:t>Procedures</w:t>
      </w:r>
      <w:r w:rsidRPr="000B1594">
        <w:rPr>
          <w:szCs w:val="24"/>
        </w:rPr>
        <w:tab/>
        <w:t>2</w:t>
      </w:r>
    </w:p>
    <w:p w:rsidRPr="000B1594" w:rsidR="000B1594" w:rsidP="000B1594" w:rsidRDefault="000B1594" w14:paraId="3927D76C" w14:textId="67454CC1">
      <w:pPr>
        <w:tabs>
          <w:tab w:val="left" w:pos="360"/>
          <w:tab w:val="left" w:leader="dot" w:pos="8280"/>
        </w:tabs>
        <w:spacing w:line="240" w:lineRule="auto"/>
        <w:rPr>
          <w:szCs w:val="24"/>
        </w:rPr>
      </w:pPr>
      <w:r w:rsidRPr="000B1594">
        <w:rPr>
          <w:szCs w:val="24"/>
        </w:rPr>
        <w:tab/>
        <w:t xml:space="preserve">3. </w:t>
      </w:r>
      <w:r w:rsidRPr="00450378" w:rsidR="00450378">
        <w:rPr>
          <w:szCs w:val="24"/>
        </w:rPr>
        <w:t>Methods to Maximize Response Rates</w:t>
      </w:r>
      <w:r w:rsidRPr="000B1594">
        <w:rPr>
          <w:szCs w:val="24"/>
        </w:rPr>
        <w:tab/>
      </w:r>
      <w:r w:rsidR="00EC4DC2">
        <w:rPr>
          <w:szCs w:val="24"/>
        </w:rPr>
        <w:t>2</w:t>
      </w:r>
    </w:p>
    <w:p w:rsidRPr="000B1594" w:rsidR="000B1594" w:rsidP="000B1594" w:rsidRDefault="000B1594" w14:paraId="48800FC5" w14:textId="5B4D44B6">
      <w:pPr>
        <w:tabs>
          <w:tab w:val="left" w:pos="360"/>
          <w:tab w:val="left" w:leader="dot" w:pos="8280"/>
        </w:tabs>
        <w:spacing w:line="240" w:lineRule="auto"/>
        <w:rPr>
          <w:szCs w:val="24"/>
        </w:rPr>
      </w:pPr>
      <w:r w:rsidRPr="000B1594">
        <w:rPr>
          <w:szCs w:val="24"/>
        </w:rPr>
        <w:tab/>
        <w:t xml:space="preserve">4. </w:t>
      </w:r>
      <w:bookmarkStart w:name="_Hlk31841285" w:id="8"/>
      <w:r w:rsidRPr="00450378" w:rsidR="00450378">
        <w:rPr>
          <w:szCs w:val="24"/>
        </w:rPr>
        <w:t>Test of Procedures</w:t>
      </w:r>
      <w:bookmarkEnd w:id="8"/>
      <w:r w:rsidRPr="000B1594">
        <w:rPr>
          <w:szCs w:val="24"/>
        </w:rPr>
        <w:tab/>
      </w:r>
      <w:r w:rsidR="00EC4DC2">
        <w:rPr>
          <w:szCs w:val="24"/>
        </w:rPr>
        <w:t>4</w:t>
      </w:r>
    </w:p>
    <w:p w:rsidR="000B1594" w:rsidP="000D5CD6" w:rsidRDefault="000B1594" w14:paraId="73E9C19E" w14:textId="47088637">
      <w:pPr>
        <w:tabs>
          <w:tab w:val="left" w:pos="360"/>
          <w:tab w:val="left" w:leader="dot" w:pos="8280"/>
        </w:tabs>
        <w:spacing w:line="240" w:lineRule="auto"/>
        <w:rPr>
          <w:szCs w:val="24"/>
        </w:rPr>
      </w:pPr>
      <w:r w:rsidRPr="000B1594">
        <w:rPr>
          <w:szCs w:val="24"/>
        </w:rPr>
        <w:tab/>
        <w:t xml:space="preserve">5. </w:t>
      </w:r>
      <w:bookmarkStart w:name="_Hlk31841319" w:id="9"/>
      <w:r w:rsidRPr="00CD6BAD" w:rsidR="00CD6BAD">
        <w:rPr>
          <w:szCs w:val="24"/>
        </w:rPr>
        <w:t xml:space="preserve">Statistical </w:t>
      </w:r>
      <w:r w:rsidR="00EF0D80">
        <w:rPr>
          <w:szCs w:val="24"/>
        </w:rPr>
        <w:t>Consultants</w:t>
      </w:r>
      <w:bookmarkEnd w:id="9"/>
      <w:r w:rsidRPr="000B1594">
        <w:rPr>
          <w:szCs w:val="24"/>
        </w:rPr>
        <w:tab/>
      </w:r>
      <w:r w:rsidR="00CD6BAD">
        <w:rPr>
          <w:szCs w:val="24"/>
        </w:rPr>
        <w:t>5</w:t>
      </w:r>
    </w:p>
    <w:p w:rsidRPr="000B1594" w:rsidR="00EC79C5" w:rsidP="00EC79C5" w:rsidRDefault="00EC79C5" w14:paraId="06C6309A" w14:textId="24C95E22">
      <w:pPr>
        <w:tabs>
          <w:tab w:val="left" w:pos="360"/>
          <w:tab w:val="left" w:leader="dot" w:pos="8280"/>
        </w:tabs>
        <w:spacing w:line="240" w:lineRule="auto"/>
        <w:rPr>
          <w:szCs w:val="24"/>
        </w:rPr>
      </w:pPr>
      <w:r>
        <w:rPr>
          <w:szCs w:val="24"/>
        </w:rPr>
        <w:tab/>
        <w:t>List of Appendices</w:t>
      </w:r>
      <w:r w:rsidRPr="000B1594">
        <w:rPr>
          <w:szCs w:val="24"/>
        </w:rPr>
        <w:tab/>
      </w:r>
      <w:r w:rsidR="00EC4DC2">
        <w:rPr>
          <w:szCs w:val="24"/>
        </w:rPr>
        <w:t>6</w:t>
      </w:r>
    </w:p>
    <w:p w:rsidRPr="000B1594" w:rsidR="00EC79C5" w:rsidRDefault="00EC79C5" w14:paraId="1772AEC4" w14:textId="77777777">
      <w:pPr>
        <w:tabs>
          <w:tab w:val="left" w:pos="360"/>
          <w:tab w:val="left" w:leader="dot" w:pos="8280"/>
        </w:tabs>
        <w:spacing w:line="240" w:lineRule="auto"/>
        <w:rPr>
          <w:szCs w:val="24"/>
        </w:rPr>
      </w:pPr>
    </w:p>
    <w:p w:rsidR="000B1594" w:rsidP="00D6138C" w:rsidRDefault="000B1594" w14:paraId="0A075512" w14:textId="77777777">
      <w:pPr>
        <w:tabs>
          <w:tab w:val="left" w:pos="1440"/>
          <w:tab w:val="right" w:leader="dot" w:pos="8208"/>
          <w:tab w:val="left" w:pos="8640"/>
        </w:tabs>
        <w:spacing w:line="276" w:lineRule="auto"/>
        <w:ind w:left="1152" w:right="1800" w:hanging="1152"/>
        <w:rPr>
          <w:rFonts w:eastAsiaTheme="minorEastAsia"/>
          <w:b/>
          <w:noProof/>
          <w:szCs w:val="24"/>
        </w:rPr>
      </w:pPr>
    </w:p>
    <w:p w:rsidR="000B1594" w:rsidP="00D6138C" w:rsidRDefault="000B1594" w14:paraId="6EEFE33E" w14:textId="77777777">
      <w:pPr>
        <w:tabs>
          <w:tab w:val="left" w:pos="1440"/>
          <w:tab w:val="right" w:leader="dot" w:pos="8208"/>
          <w:tab w:val="left" w:pos="8640"/>
        </w:tabs>
        <w:spacing w:line="276" w:lineRule="auto"/>
        <w:ind w:left="1152" w:right="1800" w:hanging="1152"/>
        <w:rPr>
          <w:rFonts w:eastAsiaTheme="minorEastAsia"/>
          <w:b/>
          <w:noProof/>
          <w:szCs w:val="24"/>
        </w:rPr>
      </w:pPr>
    </w:p>
    <w:bookmarkEnd w:id="4"/>
    <w:p w:rsidR="00AC4A22" w:rsidP="00C76139" w:rsidRDefault="00AC4A22" w14:paraId="52399BC9" w14:textId="491F8F6A">
      <w:pPr>
        <w:tabs>
          <w:tab w:val="right" w:leader="dot" w:pos="9360"/>
        </w:tabs>
        <w:spacing w:line="276" w:lineRule="auto"/>
        <w:jc w:val="center"/>
        <w:rPr>
          <w:b/>
          <w:highlight w:val="yellow"/>
        </w:rPr>
      </w:pPr>
    </w:p>
    <w:p w:rsidRPr="00AC4A22" w:rsidR="00C038E1" w:rsidP="00C76139" w:rsidRDefault="00C038E1" w14:paraId="5ACDAADA" w14:textId="77777777">
      <w:pPr>
        <w:tabs>
          <w:tab w:val="right" w:leader="dot" w:pos="9360"/>
        </w:tabs>
        <w:spacing w:line="276" w:lineRule="auto"/>
        <w:jc w:val="center"/>
        <w:rPr>
          <w:b/>
          <w:highlight w:val="yellow"/>
        </w:rPr>
      </w:pPr>
    </w:p>
    <w:bookmarkEnd w:id="5"/>
    <w:bookmarkEnd w:id="6"/>
    <w:bookmarkEnd w:id="7"/>
    <w:p w:rsidRPr="00AC4A22" w:rsidR="00AC4A22" w:rsidP="00C76139" w:rsidRDefault="00AC4A22" w14:paraId="11AED6C8" w14:textId="77777777">
      <w:pPr>
        <w:tabs>
          <w:tab w:val="left" w:pos="8280"/>
        </w:tabs>
        <w:spacing w:line="276" w:lineRule="auto"/>
        <w:rPr>
          <w:rFonts w:eastAsiaTheme="minorEastAsia"/>
          <w:sz w:val="22"/>
          <w:szCs w:val="22"/>
          <w:highlight w:val="yellow"/>
        </w:rPr>
      </w:pPr>
    </w:p>
    <w:p w:rsidRPr="00AC4A22" w:rsidR="00AC4A22" w:rsidP="00C76139" w:rsidRDefault="00AC4A22" w14:paraId="7B726BED" w14:textId="77777777">
      <w:pPr>
        <w:spacing w:line="276" w:lineRule="auto"/>
        <w:rPr>
          <w:highlight w:val="yellow"/>
        </w:rPr>
      </w:pPr>
    </w:p>
    <w:p w:rsidR="009E064D" w:rsidP="00C76139" w:rsidRDefault="009E064D" w14:paraId="6B6C2D9E" w14:textId="7FDDDBF8">
      <w:pPr>
        <w:tabs>
          <w:tab w:val="left" w:pos="720"/>
        </w:tabs>
        <w:spacing w:line="276" w:lineRule="auto"/>
        <w:ind w:left="720" w:hanging="720"/>
        <w:sectPr w:rsidR="009E064D" w:rsidSect="006C548C">
          <w:headerReference w:type="default" r:id="rId14"/>
          <w:headerReference w:type="first" r:id="rId15"/>
          <w:footerReference w:type="first" r:id="rId16"/>
          <w:pgSz w:w="12240" w:h="15840"/>
          <w:pgMar w:top="1440" w:right="1440" w:bottom="1440" w:left="1440" w:header="720" w:footer="720" w:gutter="0"/>
          <w:pgNumType w:fmt="lowerRoman" w:start="1"/>
          <w:cols w:space="720"/>
          <w:titlePg/>
          <w:docGrid w:linePitch="360"/>
        </w:sectPr>
      </w:pPr>
    </w:p>
    <w:p w:rsidRPr="00DF765B" w:rsidR="00C26695" w:rsidP="00C76139" w:rsidRDefault="00C26695" w14:paraId="4A4D2851" w14:textId="5152112A">
      <w:pPr>
        <w:pStyle w:val="Heading1"/>
        <w:numPr>
          <w:ilvl w:val="0"/>
          <w:numId w:val="2"/>
        </w:numPr>
        <w:tabs>
          <w:tab w:val="left" w:pos="720"/>
        </w:tabs>
        <w:spacing w:line="276" w:lineRule="auto"/>
        <w:ind w:left="720" w:hanging="720"/>
        <w:rPr>
          <w:rFonts w:ascii="Times New Roman" w:hAnsi="Times New Roman"/>
          <w:bCs/>
          <w:color w:val="auto"/>
          <w:sz w:val="24"/>
        </w:rPr>
      </w:pPr>
      <w:r w:rsidRPr="00DF765B">
        <w:rPr>
          <w:rFonts w:ascii="Times New Roman" w:hAnsi="Times New Roman"/>
          <w:bCs/>
          <w:color w:val="auto"/>
          <w:sz w:val="24"/>
        </w:rPr>
        <w:lastRenderedPageBreak/>
        <w:t>COLLECTIONS OF INFORMATION EMPLOYING STATISTICAL METHODS</w:t>
      </w:r>
      <w:bookmarkEnd w:id="0"/>
      <w:bookmarkEnd w:id="1"/>
      <w:bookmarkEnd w:id="2"/>
    </w:p>
    <w:p w:rsidR="00527E18" w:rsidP="009A28D2" w:rsidRDefault="006738E9" w14:paraId="5DC6BD39" w14:textId="77777777">
      <w:pPr>
        <w:pStyle w:val="P1-StandPara"/>
        <w:spacing w:line="276" w:lineRule="auto"/>
        <w:ind w:firstLine="720"/>
        <w:jc w:val="both"/>
      </w:pPr>
      <w:r w:rsidRPr="006738E9">
        <w:t>The purpose of this evaluation is to assess the overall achievement of the LHS K12 training program</w:t>
      </w:r>
      <w:r w:rsidR="00366E06">
        <w:t>’</w:t>
      </w:r>
      <w:r w:rsidRPr="006738E9">
        <w:t>s objectives, outcomes, and impact, as well as the program</w:t>
      </w:r>
      <w:r w:rsidR="00366E06">
        <w:t>’</w:t>
      </w:r>
      <w:r w:rsidRPr="006738E9">
        <w:t xml:space="preserve">s value to its stakeholders. The information collected through this data collection will allow AHRQ to improve the LHS K12 program and identify whether results correspond to intentional changes in program strategy and implementation. </w:t>
      </w:r>
    </w:p>
    <w:p w:rsidRPr="00360B52" w:rsidR="00527E18" w:rsidP="00FE5A55" w:rsidRDefault="00C878CA" w14:paraId="6AF19869" w14:textId="6405311B">
      <w:pPr>
        <w:pStyle w:val="P1-StandPara"/>
        <w:spacing w:line="276" w:lineRule="auto"/>
        <w:ind w:firstLine="720"/>
        <w:jc w:val="both"/>
      </w:pPr>
      <w:r>
        <w:t>Respondents</w:t>
      </w:r>
      <w:r w:rsidR="00BD591A">
        <w:t xml:space="preserve"> include scholars, </w:t>
      </w:r>
      <w:r w:rsidR="0008716A">
        <w:t xml:space="preserve">their health system </w:t>
      </w:r>
      <w:r>
        <w:t>advisors</w:t>
      </w:r>
      <w:r w:rsidR="00BD591A">
        <w:t xml:space="preserve">, and </w:t>
      </w:r>
      <w:r>
        <w:t>p</w:t>
      </w:r>
      <w:r w:rsidR="00BD591A">
        <w:t xml:space="preserve">rogram </w:t>
      </w:r>
      <w:r>
        <w:t>d</w:t>
      </w:r>
      <w:r w:rsidR="00BD591A">
        <w:t xml:space="preserve">irectors who receive and participate in the grant awards. </w:t>
      </w:r>
      <w:r w:rsidRPr="00AA769C" w:rsidR="00077E64">
        <w:t xml:space="preserve">Therefore, this study does not </w:t>
      </w:r>
      <w:r w:rsidR="00824101">
        <w:t>require a nationally representative sample o</w:t>
      </w:r>
      <w:r w:rsidR="0024041A">
        <w:t>r implement any sampling strategy</w:t>
      </w:r>
      <w:r w:rsidR="00527E18">
        <w:t xml:space="preserve">. </w:t>
      </w:r>
      <w:r w:rsidRPr="00576930" w:rsidR="00576930">
        <w:t xml:space="preserve">The evaluation will include two types of data collection: </w:t>
      </w:r>
      <w:r w:rsidR="001208F1">
        <w:t>s</w:t>
      </w:r>
      <w:r w:rsidRPr="00576930" w:rsidR="00576930">
        <w:t xml:space="preserve">emi-structured interviews with scholars who are close to completing the LHS K12 training program, their health system advisors, and program directors of each of the 11 institutions; and surveys </w:t>
      </w:r>
      <w:r w:rsidR="00366E06">
        <w:t>of</w:t>
      </w:r>
      <w:r w:rsidRPr="00576930" w:rsidR="00366E06">
        <w:t xml:space="preserve"> </w:t>
      </w:r>
      <w:r w:rsidRPr="00576930" w:rsidR="00576930">
        <w:t>health system advisors.</w:t>
      </w:r>
      <w:r w:rsidR="00576930">
        <w:t xml:space="preserve"> </w:t>
      </w:r>
    </w:p>
    <w:p w:rsidR="001E5976" w:rsidP="00FE5A55" w:rsidRDefault="001E5976" w14:paraId="01EC612A" w14:textId="0BBCECE5">
      <w:pPr>
        <w:pStyle w:val="L1-FlLSp12"/>
        <w:tabs>
          <w:tab w:val="clear" w:pos="1152"/>
          <w:tab w:val="left" w:pos="720"/>
        </w:tabs>
        <w:spacing w:line="276" w:lineRule="auto"/>
        <w:jc w:val="both"/>
        <w:rPr>
          <w:iCs/>
          <w:szCs w:val="24"/>
        </w:rPr>
      </w:pPr>
    </w:p>
    <w:p w:rsidR="00527E18" w:rsidP="00527E18" w:rsidRDefault="00527E18" w14:paraId="60363200" w14:textId="5170E0CA">
      <w:pPr>
        <w:pStyle w:val="Heading2"/>
        <w:tabs>
          <w:tab w:val="left" w:pos="720"/>
        </w:tabs>
        <w:spacing w:line="276" w:lineRule="auto"/>
        <w:ind w:left="720" w:hanging="720"/>
        <w:rPr>
          <w:szCs w:val="24"/>
        </w:rPr>
      </w:pPr>
      <w:r>
        <w:rPr>
          <w:szCs w:val="24"/>
        </w:rPr>
        <w:t xml:space="preserve">1. </w:t>
      </w:r>
      <w:r w:rsidRPr="00516084">
        <w:rPr>
          <w:szCs w:val="24"/>
        </w:rPr>
        <w:t>Respondent Universe and Sampling Methods</w:t>
      </w:r>
      <w:r w:rsidRPr="00516084" w:rsidDel="00516084">
        <w:rPr>
          <w:szCs w:val="24"/>
        </w:rPr>
        <w:t xml:space="preserve"> </w:t>
      </w:r>
    </w:p>
    <w:p w:rsidR="00B1434A" w:rsidP="001E4703" w:rsidRDefault="004578AD" w14:paraId="52B91B15" w14:textId="3BB9163D">
      <w:pPr>
        <w:pStyle w:val="L1-FlLSp12"/>
        <w:tabs>
          <w:tab w:val="clear" w:pos="1152"/>
          <w:tab w:val="left" w:pos="720"/>
        </w:tabs>
        <w:spacing w:line="276" w:lineRule="auto"/>
        <w:jc w:val="both"/>
      </w:pPr>
      <w:r>
        <w:rPr>
          <w:b/>
          <w:szCs w:val="24"/>
        </w:rPr>
        <w:tab/>
      </w:r>
      <w:r w:rsidR="00090657">
        <w:rPr>
          <w:szCs w:val="24"/>
        </w:rPr>
        <w:t xml:space="preserve">Table 1 </w:t>
      </w:r>
      <w:r w:rsidR="0087330C">
        <w:rPr>
          <w:szCs w:val="24"/>
        </w:rPr>
        <w:t xml:space="preserve">provides </w:t>
      </w:r>
      <w:r w:rsidRPr="0087330C" w:rsidR="0087330C">
        <w:rPr>
          <w:szCs w:val="24"/>
        </w:rPr>
        <w:t>the</w:t>
      </w:r>
      <w:r w:rsidR="003365C0">
        <w:rPr>
          <w:szCs w:val="24"/>
        </w:rPr>
        <w:t xml:space="preserve"> respondent</w:t>
      </w:r>
      <w:r w:rsidR="00296044">
        <w:rPr>
          <w:szCs w:val="24"/>
        </w:rPr>
        <w:t xml:space="preserve"> </w:t>
      </w:r>
      <w:r w:rsidR="00FA591D">
        <w:rPr>
          <w:szCs w:val="24"/>
        </w:rPr>
        <w:t>universe</w:t>
      </w:r>
      <w:r w:rsidR="00296044">
        <w:rPr>
          <w:szCs w:val="24"/>
        </w:rPr>
        <w:t xml:space="preserve"> size,</w:t>
      </w:r>
      <w:r w:rsidRPr="0087330C" w:rsidR="0020240E">
        <w:rPr>
          <w:szCs w:val="24"/>
        </w:rPr>
        <w:t xml:space="preserve"> </w:t>
      </w:r>
      <w:r w:rsidRPr="0087330C" w:rsidR="008E69C8">
        <w:rPr>
          <w:szCs w:val="24"/>
        </w:rPr>
        <w:t>anticipate</w:t>
      </w:r>
      <w:r w:rsidRPr="0087330C" w:rsidR="0087330C">
        <w:rPr>
          <w:szCs w:val="24"/>
        </w:rPr>
        <w:t>d</w:t>
      </w:r>
      <w:r w:rsidRPr="0087330C" w:rsidR="008E69C8">
        <w:rPr>
          <w:szCs w:val="24"/>
        </w:rPr>
        <w:t xml:space="preserve"> response rate</w:t>
      </w:r>
      <w:r w:rsidRPr="0087330C" w:rsidR="0087330C">
        <w:rPr>
          <w:szCs w:val="24"/>
        </w:rPr>
        <w:t>s</w:t>
      </w:r>
      <w:r w:rsidR="0054271C">
        <w:rPr>
          <w:szCs w:val="24"/>
        </w:rPr>
        <w:t>, and estimated number of respondents (total and annually)</w:t>
      </w:r>
      <w:r w:rsidRPr="0087330C" w:rsidR="008E69C8">
        <w:rPr>
          <w:szCs w:val="24"/>
        </w:rPr>
        <w:t xml:space="preserve"> for each data collection activit</w:t>
      </w:r>
      <w:r w:rsidR="00B3211D">
        <w:rPr>
          <w:szCs w:val="24"/>
        </w:rPr>
        <w:t>y</w:t>
      </w:r>
      <w:r w:rsidRPr="0087330C" w:rsidR="0087330C">
        <w:rPr>
          <w:szCs w:val="24"/>
        </w:rPr>
        <w:t>.</w:t>
      </w:r>
      <w:r w:rsidRPr="0087330C" w:rsidR="00B76E22">
        <w:rPr>
          <w:szCs w:val="24"/>
        </w:rPr>
        <w:t xml:space="preserve"> </w:t>
      </w:r>
      <w:r w:rsidR="00912A87">
        <w:rPr>
          <w:szCs w:val="24"/>
        </w:rPr>
        <w:t>T</w:t>
      </w:r>
      <w:r w:rsidRPr="00FE3A74" w:rsidR="00C555A6">
        <w:t>he total estimated number of respondents</w:t>
      </w:r>
      <w:r w:rsidR="00C555A6">
        <w:rPr>
          <w:rStyle w:val="FootnoteReference"/>
          <w:szCs w:val="24"/>
        </w:rPr>
        <w:footnoteReference w:id="2"/>
      </w:r>
      <w:r w:rsidR="00C555A6">
        <w:rPr>
          <w:szCs w:val="24"/>
        </w:rPr>
        <w:t xml:space="preserve"> is 439 individuals. This total</w:t>
      </w:r>
      <w:r w:rsidRPr="00682090" w:rsidR="00C555A6">
        <w:rPr>
          <w:szCs w:val="24"/>
        </w:rPr>
        <w:t xml:space="preserve"> </w:t>
      </w:r>
      <w:r w:rsidR="00C555A6">
        <w:rPr>
          <w:szCs w:val="24"/>
        </w:rPr>
        <w:t>i</w:t>
      </w:r>
      <w:r w:rsidRPr="0020240E" w:rsidR="00C555A6">
        <w:rPr>
          <w:szCs w:val="24"/>
        </w:rPr>
        <w:t xml:space="preserve">ncludes </w:t>
      </w:r>
      <w:r w:rsidR="00C555A6">
        <w:rPr>
          <w:szCs w:val="24"/>
        </w:rPr>
        <w:t>123</w:t>
      </w:r>
      <w:r w:rsidRPr="0020240E" w:rsidR="00C555A6">
        <w:rPr>
          <w:szCs w:val="24"/>
        </w:rPr>
        <w:t xml:space="preserve"> scholars interviewed (</w:t>
      </w:r>
      <w:r w:rsidR="00C555A6">
        <w:rPr>
          <w:szCs w:val="24"/>
        </w:rPr>
        <w:t>approximately 41 scholars each year</w:t>
      </w:r>
      <w:r w:rsidRPr="0020240E" w:rsidR="00C555A6">
        <w:rPr>
          <w:szCs w:val="24"/>
        </w:rPr>
        <w:t xml:space="preserve">), </w:t>
      </w:r>
      <w:r w:rsidRPr="00682090" w:rsidR="00C555A6">
        <w:rPr>
          <w:szCs w:val="24"/>
        </w:rPr>
        <w:t>1</w:t>
      </w:r>
      <w:r w:rsidR="00C555A6">
        <w:rPr>
          <w:szCs w:val="24"/>
        </w:rPr>
        <w:t>16</w:t>
      </w:r>
      <w:r w:rsidRPr="0020240E" w:rsidR="00C555A6">
        <w:rPr>
          <w:szCs w:val="24"/>
        </w:rPr>
        <w:t xml:space="preserve"> health system </w:t>
      </w:r>
      <w:r w:rsidR="00C555A6">
        <w:rPr>
          <w:szCs w:val="24"/>
        </w:rPr>
        <w:t>advisor</w:t>
      </w:r>
      <w:r w:rsidRPr="0020240E" w:rsidR="00C555A6">
        <w:rPr>
          <w:szCs w:val="24"/>
        </w:rPr>
        <w:t>s interviewed (</w:t>
      </w:r>
      <w:r w:rsidR="00C555A6">
        <w:rPr>
          <w:szCs w:val="24"/>
        </w:rPr>
        <w:t>approximately 39 health system advisors each year</w:t>
      </w:r>
      <w:r w:rsidRPr="0020240E" w:rsidR="00C555A6">
        <w:rPr>
          <w:szCs w:val="24"/>
        </w:rPr>
        <w:t xml:space="preserve">), </w:t>
      </w:r>
      <w:r w:rsidR="00C555A6">
        <w:rPr>
          <w:szCs w:val="24"/>
        </w:rPr>
        <w:t>10</w:t>
      </w:r>
      <w:r w:rsidRPr="0020240E" w:rsidR="00C555A6">
        <w:rPr>
          <w:szCs w:val="24"/>
        </w:rPr>
        <w:t xml:space="preserve"> program directors </w:t>
      </w:r>
      <w:r w:rsidR="00C555A6">
        <w:rPr>
          <w:szCs w:val="24"/>
        </w:rPr>
        <w:t xml:space="preserve">(approximately 4 program directors each year), and 190 </w:t>
      </w:r>
      <w:r w:rsidRPr="0020240E" w:rsidR="00C555A6">
        <w:rPr>
          <w:szCs w:val="24"/>
        </w:rPr>
        <w:t xml:space="preserve">health system </w:t>
      </w:r>
      <w:r w:rsidR="00C555A6">
        <w:rPr>
          <w:szCs w:val="24"/>
        </w:rPr>
        <w:t>advisor</w:t>
      </w:r>
      <w:r w:rsidRPr="0020240E" w:rsidR="00C555A6">
        <w:rPr>
          <w:szCs w:val="24"/>
        </w:rPr>
        <w:t>s surveyed (</w:t>
      </w:r>
      <w:r w:rsidR="00C555A6">
        <w:rPr>
          <w:szCs w:val="24"/>
        </w:rPr>
        <w:t>approximately 63 health system advisors each year</w:t>
      </w:r>
      <w:r w:rsidRPr="0020240E" w:rsidR="00C555A6">
        <w:rPr>
          <w:szCs w:val="24"/>
        </w:rPr>
        <w:t>).</w:t>
      </w:r>
      <w:r w:rsidR="00C555A6">
        <w:rPr>
          <w:szCs w:val="24"/>
        </w:rPr>
        <w:t xml:space="preserve"> </w:t>
      </w:r>
      <w:r w:rsidR="00912A87">
        <w:t xml:space="preserve">As indicated in the table, the expected response rate varies by data collection activity, with a higher response rate estimated for respondents who are more engaged with the program </w:t>
      </w:r>
      <w:r w:rsidR="0011729D">
        <w:t xml:space="preserve">(scholars and program directors) </w:t>
      </w:r>
      <w:r w:rsidR="00912A87">
        <w:t>and a slightly lower response rate estimated for respondents</w:t>
      </w:r>
      <w:r w:rsidR="00B1434A">
        <w:t xml:space="preserve"> </w:t>
      </w:r>
      <w:r w:rsidR="00912A87">
        <w:t>who are less directly involved with the program</w:t>
      </w:r>
      <w:r w:rsidR="0011729D">
        <w:t xml:space="preserve"> (health system advisors)</w:t>
      </w:r>
      <w:r w:rsidR="00912A87">
        <w:t xml:space="preserve">.  </w:t>
      </w:r>
    </w:p>
    <w:p w:rsidRPr="00912A87" w:rsidR="00C555A6" w:rsidP="001E4703" w:rsidRDefault="00912A87" w14:paraId="47C7DE8C" w14:textId="6D362F15">
      <w:pPr>
        <w:pStyle w:val="L1-FlLSp12"/>
        <w:tabs>
          <w:tab w:val="left" w:pos="720"/>
          <w:tab w:val="left" w:pos="810"/>
          <w:tab w:val="left" w:pos="900"/>
          <w:tab w:val="left" w:pos="990"/>
          <w:tab w:val="left" w:pos="1080"/>
        </w:tabs>
        <w:spacing w:line="276" w:lineRule="auto"/>
        <w:jc w:val="both"/>
        <w:rPr>
          <w:szCs w:val="24"/>
        </w:rPr>
      </w:pPr>
      <w:r w:rsidRPr="00912A87" w:rsidDel="00912A87">
        <w:rPr>
          <w:szCs w:val="24"/>
        </w:rPr>
        <w:t xml:space="preserve"> </w:t>
      </w:r>
    </w:p>
    <w:p w:rsidR="00FB6F8B" w:rsidP="00912A87" w:rsidRDefault="00FB6F8B" w14:paraId="58231B24" w14:textId="2183BD17">
      <w:pPr>
        <w:pStyle w:val="L1-FlLSp12"/>
        <w:rPr>
          <w:szCs w:val="24"/>
        </w:rPr>
      </w:pPr>
      <w:r w:rsidRPr="00912A87">
        <w:rPr>
          <w:szCs w:val="24"/>
        </w:rPr>
        <w:t xml:space="preserve">Table </w:t>
      </w:r>
      <w:r w:rsidRPr="00912A87" w:rsidR="00C4140F">
        <w:rPr>
          <w:szCs w:val="24"/>
        </w:rPr>
        <w:t>1</w:t>
      </w:r>
      <w:r w:rsidRPr="00912A87">
        <w:rPr>
          <w:szCs w:val="24"/>
        </w:rPr>
        <w:t xml:space="preserve">. </w:t>
      </w:r>
      <w:r w:rsidRPr="00912A87" w:rsidR="00D27374">
        <w:rPr>
          <w:szCs w:val="24"/>
        </w:rPr>
        <w:t>AHRQ’s Expected</w:t>
      </w:r>
      <w:r w:rsidRPr="00912A87" w:rsidR="00C4140F">
        <w:rPr>
          <w:szCs w:val="24"/>
        </w:rPr>
        <w:t xml:space="preserve"> Response Rates</w:t>
      </w:r>
    </w:p>
    <w:tbl>
      <w:tblPr>
        <w:tblW w:w="93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75"/>
        <w:gridCol w:w="1440"/>
        <w:gridCol w:w="1440"/>
        <w:gridCol w:w="1719"/>
        <w:gridCol w:w="1876"/>
      </w:tblGrid>
      <w:tr w:rsidRPr="006C500C" w:rsidR="001D174E" w:rsidTr="00B66282" w14:paraId="5EB78B99" w14:textId="2AD20167">
        <w:tc>
          <w:tcPr>
            <w:tcW w:w="2875"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hideMark/>
          </w:tcPr>
          <w:p w:rsidRPr="00855EEB" w:rsidR="002452CC" w:rsidP="00D561F8" w:rsidRDefault="00136719" w14:paraId="3B967D73" w14:textId="5A177B8F">
            <w:pPr>
              <w:pStyle w:val="L1-FlLSp12"/>
              <w:spacing w:line="240" w:lineRule="auto"/>
              <w:jc w:val="center"/>
              <w:rPr>
                <w:rFonts w:ascii="Arial Narrow" w:hAnsi="Arial Narrow"/>
              </w:rPr>
            </w:pPr>
            <w:r w:rsidRPr="00855EEB">
              <w:rPr>
                <w:rFonts w:ascii="Arial Narrow" w:hAnsi="Arial Narrow"/>
                <w:b/>
                <w:sz w:val="20"/>
              </w:rPr>
              <w:t>Information</w:t>
            </w:r>
            <w:r w:rsidRPr="00855EEB" w:rsidR="002452CC">
              <w:rPr>
                <w:rFonts w:ascii="Arial Narrow" w:hAnsi="Arial Narrow"/>
                <w:b/>
                <w:sz w:val="20"/>
              </w:rPr>
              <w:t xml:space="preserve"> Collection</w:t>
            </w:r>
            <w:r w:rsidRPr="00855EEB">
              <w:rPr>
                <w:rFonts w:ascii="Arial Narrow" w:hAnsi="Arial Narrow"/>
                <w:b/>
                <w:sz w:val="20"/>
              </w:rPr>
              <w:t xml:space="preserve"> Activity</w:t>
            </w:r>
          </w:p>
        </w:tc>
        <w:tc>
          <w:tcPr>
            <w:tcW w:w="1440"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hideMark/>
          </w:tcPr>
          <w:p w:rsidRPr="00855EEB" w:rsidR="002452CC" w:rsidP="00B66282" w:rsidRDefault="001D174E" w14:paraId="17578716" w14:textId="0D558377">
            <w:pPr>
              <w:pStyle w:val="L1-FlLSp12"/>
              <w:spacing w:line="276" w:lineRule="auto"/>
              <w:jc w:val="center"/>
              <w:rPr>
                <w:rFonts w:ascii="Arial Narrow" w:hAnsi="Arial Narrow"/>
              </w:rPr>
            </w:pPr>
            <w:r>
              <w:rPr>
                <w:rFonts w:ascii="Arial Narrow" w:hAnsi="Arial Narrow"/>
                <w:b/>
                <w:bCs/>
                <w:sz w:val="20"/>
              </w:rPr>
              <w:t xml:space="preserve">Respondent </w:t>
            </w:r>
            <w:r w:rsidRPr="00AF7DA2" w:rsidR="00855EEB">
              <w:rPr>
                <w:rFonts w:ascii="Arial Narrow" w:hAnsi="Arial Narrow"/>
                <w:b/>
                <w:bCs/>
                <w:sz w:val="20"/>
              </w:rPr>
              <w:t>Universe</w:t>
            </w:r>
            <w:r w:rsidRPr="00855EEB" w:rsidR="002452CC">
              <w:rPr>
                <w:rFonts w:ascii="Arial Narrow" w:hAnsi="Arial Narrow"/>
                <w:b/>
                <w:sz w:val="20"/>
              </w:rPr>
              <w:t xml:space="preserve"> Size</w:t>
            </w:r>
          </w:p>
        </w:tc>
        <w:tc>
          <w:tcPr>
            <w:tcW w:w="1440"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hideMark/>
          </w:tcPr>
          <w:p w:rsidRPr="001D174E" w:rsidR="002452CC" w:rsidP="008742B0" w:rsidRDefault="002452CC" w14:paraId="13E61676" w14:textId="225F4DF6">
            <w:pPr>
              <w:pStyle w:val="TH-TableHeading"/>
              <w:spacing w:line="276" w:lineRule="auto"/>
              <w:rPr>
                <w:rFonts w:ascii="Arial Narrow" w:hAnsi="Arial Narrow"/>
              </w:rPr>
            </w:pPr>
            <w:r w:rsidRPr="007D75EE">
              <w:rPr>
                <w:rFonts w:ascii="Arial Narrow" w:hAnsi="Arial Narrow"/>
              </w:rPr>
              <w:t>Expected Response Rate</w:t>
            </w:r>
          </w:p>
        </w:tc>
        <w:tc>
          <w:tcPr>
            <w:tcW w:w="1719"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hideMark/>
          </w:tcPr>
          <w:p w:rsidRPr="005B2E8A" w:rsidR="002452CC" w:rsidP="008742B0" w:rsidRDefault="002452CC" w14:paraId="7CF85A92" w14:textId="46C0F262">
            <w:pPr>
              <w:pStyle w:val="TH-TableHeading"/>
              <w:spacing w:line="276" w:lineRule="auto"/>
              <w:rPr>
                <w:rFonts w:ascii="Arial Narrow" w:hAnsi="Arial Narrow"/>
              </w:rPr>
            </w:pPr>
            <w:r w:rsidRPr="001D174E">
              <w:rPr>
                <w:rFonts w:ascii="Arial Narrow" w:hAnsi="Arial Narrow"/>
              </w:rPr>
              <w:t>Total Estimated Number of Respondents</w:t>
            </w:r>
          </w:p>
        </w:tc>
        <w:tc>
          <w:tcPr>
            <w:tcW w:w="1876"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rsidRPr="00855EEB" w:rsidR="002452CC" w:rsidP="008742B0" w:rsidRDefault="002452CC" w14:paraId="558C8A15" w14:textId="5D3C75CB">
            <w:pPr>
              <w:pStyle w:val="TH-TableHeading"/>
              <w:spacing w:line="276" w:lineRule="auto"/>
              <w:rPr>
                <w:rFonts w:ascii="Arial Narrow" w:hAnsi="Arial Narrow"/>
              </w:rPr>
            </w:pPr>
            <w:r w:rsidRPr="00326F75">
              <w:rPr>
                <w:rFonts w:ascii="Arial Narrow" w:hAnsi="Arial Narrow"/>
              </w:rPr>
              <w:t xml:space="preserve">Annual </w:t>
            </w:r>
            <w:r w:rsidRPr="00D442DD">
              <w:rPr>
                <w:rFonts w:ascii="Arial Narrow" w:hAnsi="Arial Narrow"/>
              </w:rPr>
              <w:t xml:space="preserve">Estimated </w:t>
            </w:r>
            <w:r w:rsidRPr="00855EEB">
              <w:rPr>
                <w:rFonts w:ascii="Arial Narrow" w:hAnsi="Arial Narrow"/>
              </w:rPr>
              <w:t>Number of Respondents</w:t>
            </w:r>
          </w:p>
        </w:tc>
      </w:tr>
      <w:tr w:rsidRPr="006C500C" w:rsidR="002452CC" w:rsidTr="00B66282" w14:paraId="5D76FC77" w14:textId="2C203EA7">
        <w:trPr>
          <w:trHeight w:val="50"/>
        </w:trPr>
        <w:tc>
          <w:tcPr>
            <w:tcW w:w="2875" w:type="dxa"/>
            <w:tcBorders>
              <w:top w:val="single" w:color="auto" w:sz="4" w:space="0"/>
              <w:left w:val="single" w:color="auto" w:sz="4" w:space="0"/>
              <w:bottom w:val="single" w:color="auto" w:sz="4" w:space="0"/>
              <w:right w:val="single" w:color="auto" w:sz="4" w:space="0"/>
            </w:tcBorders>
          </w:tcPr>
          <w:p w:rsidRPr="006C500C" w:rsidR="002452CC" w:rsidP="00426949" w:rsidRDefault="009F2B8F" w14:paraId="42735076" w14:textId="46CB6A0E">
            <w:pPr>
              <w:pStyle w:val="TX-TableText"/>
              <w:spacing w:before="60" w:after="60" w:line="276" w:lineRule="auto"/>
              <w:rPr>
                <w:rFonts w:ascii="Arial Narrow" w:hAnsi="Arial Narrow"/>
              </w:rPr>
            </w:pPr>
            <w:r>
              <w:rPr>
                <w:rFonts w:ascii="Arial Narrow" w:hAnsi="Arial Narrow"/>
              </w:rPr>
              <w:t xml:space="preserve">1. </w:t>
            </w:r>
            <w:r w:rsidRPr="00426949" w:rsidR="002452CC">
              <w:rPr>
                <w:rFonts w:ascii="Arial Narrow" w:hAnsi="Arial Narrow"/>
              </w:rPr>
              <w:t>Scholar Interviews</w:t>
            </w:r>
          </w:p>
        </w:tc>
        <w:tc>
          <w:tcPr>
            <w:tcW w:w="1440" w:type="dxa"/>
            <w:tcBorders>
              <w:top w:val="single" w:color="auto" w:sz="4" w:space="0"/>
              <w:left w:val="single" w:color="auto" w:sz="4" w:space="0"/>
              <w:bottom w:val="single" w:color="auto" w:sz="4" w:space="0"/>
              <w:right w:val="single" w:color="auto" w:sz="4" w:space="0"/>
            </w:tcBorders>
            <w:vAlign w:val="center"/>
          </w:tcPr>
          <w:p w:rsidRPr="006C500C" w:rsidR="002452CC" w:rsidP="008742B0" w:rsidRDefault="002452CC" w14:paraId="5CE29D93" w14:textId="35CCBF3F">
            <w:pPr>
              <w:pStyle w:val="TX-TableText"/>
              <w:spacing w:before="60" w:after="60" w:line="276" w:lineRule="auto"/>
              <w:jc w:val="center"/>
              <w:rPr>
                <w:rFonts w:ascii="Arial Narrow" w:hAnsi="Arial Narrow"/>
              </w:rPr>
            </w:pPr>
            <w:r>
              <w:rPr>
                <w:rFonts w:ascii="Arial Narrow" w:hAnsi="Arial Narrow"/>
              </w:rPr>
              <w:t>137</w:t>
            </w:r>
          </w:p>
        </w:tc>
        <w:tc>
          <w:tcPr>
            <w:tcW w:w="1440" w:type="dxa"/>
            <w:tcBorders>
              <w:top w:val="single" w:color="auto" w:sz="4" w:space="0"/>
              <w:left w:val="single" w:color="auto" w:sz="4" w:space="0"/>
              <w:bottom w:val="single" w:color="auto" w:sz="4" w:space="0"/>
              <w:right w:val="single" w:color="auto" w:sz="4" w:space="0"/>
            </w:tcBorders>
            <w:vAlign w:val="center"/>
          </w:tcPr>
          <w:p w:rsidRPr="006C500C" w:rsidR="002452CC" w:rsidP="008742B0" w:rsidRDefault="002452CC" w14:paraId="7CC40104" w14:textId="0D4D4C30">
            <w:pPr>
              <w:pStyle w:val="TX-TableText"/>
              <w:spacing w:before="60" w:after="60" w:line="276" w:lineRule="auto"/>
              <w:jc w:val="center"/>
              <w:rPr>
                <w:rFonts w:ascii="Arial Narrow" w:hAnsi="Arial Narrow"/>
              </w:rPr>
            </w:pPr>
            <w:r>
              <w:rPr>
                <w:rFonts w:ascii="Arial Narrow" w:hAnsi="Arial Narrow"/>
              </w:rPr>
              <w:t>90%</w:t>
            </w:r>
          </w:p>
        </w:tc>
        <w:tc>
          <w:tcPr>
            <w:tcW w:w="1719" w:type="dxa"/>
            <w:tcBorders>
              <w:top w:val="single" w:color="auto" w:sz="4" w:space="0"/>
              <w:left w:val="single" w:color="auto" w:sz="4" w:space="0"/>
              <w:bottom w:val="single" w:color="auto" w:sz="4" w:space="0"/>
              <w:right w:val="single" w:color="auto" w:sz="4" w:space="0"/>
            </w:tcBorders>
            <w:vAlign w:val="center"/>
          </w:tcPr>
          <w:p w:rsidRPr="006C500C" w:rsidR="002452CC" w:rsidP="008742B0" w:rsidRDefault="002452CC" w14:paraId="0667F6E2" w14:textId="1635F723">
            <w:pPr>
              <w:pStyle w:val="TX-TableText"/>
              <w:spacing w:before="60" w:after="60" w:line="276" w:lineRule="auto"/>
              <w:jc w:val="center"/>
              <w:rPr>
                <w:rFonts w:ascii="Arial Narrow" w:hAnsi="Arial Narrow"/>
              </w:rPr>
            </w:pPr>
            <w:r>
              <w:rPr>
                <w:rFonts w:ascii="Arial Narrow" w:hAnsi="Arial Narrow"/>
              </w:rPr>
              <w:t>123</w:t>
            </w:r>
          </w:p>
        </w:tc>
        <w:tc>
          <w:tcPr>
            <w:tcW w:w="1876" w:type="dxa"/>
            <w:tcBorders>
              <w:top w:val="single" w:color="auto" w:sz="4" w:space="0"/>
              <w:left w:val="single" w:color="auto" w:sz="4" w:space="0"/>
              <w:bottom w:val="single" w:color="auto" w:sz="4" w:space="0"/>
              <w:right w:val="single" w:color="auto" w:sz="4" w:space="0"/>
            </w:tcBorders>
            <w:vAlign w:val="center"/>
          </w:tcPr>
          <w:p w:rsidR="002452CC" w:rsidP="007517E2" w:rsidRDefault="007517E2" w14:paraId="6C1045D6" w14:textId="604FDF4F">
            <w:pPr>
              <w:pStyle w:val="TX-TableText"/>
              <w:spacing w:before="60" w:after="60" w:line="276" w:lineRule="auto"/>
              <w:jc w:val="center"/>
              <w:rPr>
                <w:rFonts w:ascii="Arial Narrow" w:hAnsi="Arial Narrow"/>
              </w:rPr>
            </w:pPr>
            <w:r>
              <w:rPr>
                <w:rFonts w:ascii="Arial Narrow" w:hAnsi="Arial Narrow"/>
              </w:rPr>
              <w:t>41</w:t>
            </w:r>
          </w:p>
        </w:tc>
      </w:tr>
      <w:tr w:rsidRPr="006C500C" w:rsidR="002452CC" w:rsidTr="00B66282" w14:paraId="4BB564ED" w14:textId="39C7F37A">
        <w:tc>
          <w:tcPr>
            <w:tcW w:w="2875" w:type="dxa"/>
            <w:tcBorders>
              <w:top w:val="single" w:color="auto" w:sz="4" w:space="0"/>
              <w:left w:val="single" w:color="auto" w:sz="4" w:space="0"/>
              <w:bottom w:val="single" w:color="auto" w:sz="4" w:space="0"/>
              <w:right w:val="single" w:color="auto" w:sz="4" w:space="0"/>
            </w:tcBorders>
          </w:tcPr>
          <w:p w:rsidRPr="006C500C" w:rsidR="002452CC" w:rsidP="00426949" w:rsidRDefault="009F2B8F" w14:paraId="38C03C32" w14:textId="6263E01C">
            <w:pPr>
              <w:pStyle w:val="TX-TableText"/>
              <w:spacing w:before="60" w:after="60" w:line="276" w:lineRule="auto"/>
              <w:rPr>
                <w:rFonts w:ascii="Arial Narrow" w:hAnsi="Arial Narrow"/>
              </w:rPr>
            </w:pPr>
            <w:r>
              <w:rPr>
                <w:rFonts w:ascii="Arial Narrow" w:hAnsi="Arial Narrow"/>
              </w:rPr>
              <w:t xml:space="preserve">2. </w:t>
            </w:r>
            <w:r w:rsidRPr="00426949" w:rsidR="002452CC">
              <w:rPr>
                <w:rFonts w:ascii="Arial Narrow" w:hAnsi="Arial Narrow"/>
              </w:rPr>
              <w:t>Health System Advisor Interviews</w:t>
            </w:r>
          </w:p>
        </w:tc>
        <w:tc>
          <w:tcPr>
            <w:tcW w:w="1440" w:type="dxa"/>
            <w:tcBorders>
              <w:top w:val="single" w:color="auto" w:sz="4" w:space="0"/>
              <w:left w:val="single" w:color="auto" w:sz="4" w:space="0"/>
              <w:bottom w:val="single" w:color="auto" w:sz="4" w:space="0"/>
              <w:right w:val="single" w:color="auto" w:sz="4" w:space="0"/>
            </w:tcBorders>
            <w:vAlign w:val="center"/>
          </w:tcPr>
          <w:p w:rsidRPr="006C500C" w:rsidR="002452CC" w:rsidP="008005CC" w:rsidRDefault="002452CC" w14:paraId="41D21145" w14:textId="4B9BA8A7">
            <w:pPr>
              <w:pStyle w:val="TX-TableText"/>
              <w:spacing w:before="60" w:after="60" w:line="276" w:lineRule="auto"/>
              <w:jc w:val="center"/>
              <w:rPr>
                <w:rFonts w:ascii="Arial Narrow" w:hAnsi="Arial Narrow"/>
              </w:rPr>
            </w:pPr>
            <w:r>
              <w:rPr>
                <w:rFonts w:ascii="Arial Narrow" w:hAnsi="Arial Narrow"/>
              </w:rPr>
              <w:t>137</w:t>
            </w:r>
          </w:p>
        </w:tc>
        <w:tc>
          <w:tcPr>
            <w:tcW w:w="1440" w:type="dxa"/>
            <w:tcBorders>
              <w:top w:val="single" w:color="auto" w:sz="4" w:space="0"/>
              <w:left w:val="single" w:color="auto" w:sz="4" w:space="0"/>
              <w:bottom w:val="single" w:color="auto" w:sz="4" w:space="0"/>
              <w:right w:val="single" w:color="auto" w:sz="4" w:space="0"/>
            </w:tcBorders>
            <w:vAlign w:val="center"/>
          </w:tcPr>
          <w:p w:rsidRPr="006C500C" w:rsidR="002452CC" w:rsidP="008742B0" w:rsidRDefault="002452CC" w14:paraId="32ED6C5E" w14:textId="1E266286">
            <w:pPr>
              <w:pStyle w:val="TX-TableText"/>
              <w:spacing w:before="60" w:after="60" w:line="276" w:lineRule="auto"/>
              <w:jc w:val="center"/>
              <w:rPr>
                <w:rFonts w:ascii="Arial Narrow" w:hAnsi="Arial Narrow"/>
              </w:rPr>
            </w:pPr>
            <w:r>
              <w:rPr>
                <w:rFonts w:ascii="Arial Narrow" w:hAnsi="Arial Narrow"/>
              </w:rPr>
              <w:t>85%</w:t>
            </w:r>
          </w:p>
        </w:tc>
        <w:tc>
          <w:tcPr>
            <w:tcW w:w="1719" w:type="dxa"/>
            <w:tcBorders>
              <w:top w:val="single" w:color="auto" w:sz="4" w:space="0"/>
              <w:left w:val="single" w:color="auto" w:sz="4" w:space="0"/>
              <w:bottom w:val="single" w:color="auto" w:sz="4" w:space="0"/>
              <w:right w:val="single" w:color="auto" w:sz="4" w:space="0"/>
            </w:tcBorders>
            <w:vAlign w:val="center"/>
          </w:tcPr>
          <w:p w:rsidRPr="006C500C" w:rsidR="002452CC" w:rsidP="008742B0" w:rsidRDefault="002452CC" w14:paraId="596325FE" w14:textId="1B337A0A">
            <w:pPr>
              <w:pStyle w:val="TX-TableText"/>
              <w:spacing w:before="60" w:after="60" w:line="276" w:lineRule="auto"/>
              <w:jc w:val="center"/>
              <w:rPr>
                <w:rFonts w:ascii="Arial Narrow" w:hAnsi="Arial Narrow"/>
              </w:rPr>
            </w:pPr>
            <w:r>
              <w:rPr>
                <w:rFonts w:ascii="Arial Narrow" w:hAnsi="Arial Narrow"/>
              </w:rPr>
              <w:t>116</w:t>
            </w:r>
          </w:p>
        </w:tc>
        <w:tc>
          <w:tcPr>
            <w:tcW w:w="1876" w:type="dxa"/>
            <w:tcBorders>
              <w:top w:val="single" w:color="auto" w:sz="4" w:space="0"/>
              <w:left w:val="single" w:color="auto" w:sz="4" w:space="0"/>
              <w:bottom w:val="single" w:color="auto" w:sz="4" w:space="0"/>
              <w:right w:val="single" w:color="auto" w:sz="4" w:space="0"/>
            </w:tcBorders>
            <w:vAlign w:val="center"/>
          </w:tcPr>
          <w:p w:rsidR="002452CC" w:rsidP="007517E2" w:rsidRDefault="007517E2" w14:paraId="46D453E1" w14:textId="15F13708">
            <w:pPr>
              <w:pStyle w:val="TX-TableText"/>
              <w:spacing w:before="60" w:after="60" w:line="276" w:lineRule="auto"/>
              <w:jc w:val="center"/>
              <w:rPr>
                <w:rFonts w:ascii="Arial Narrow" w:hAnsi="Arial Narrow"/>
              </w:rPr>
            </w:pPr>
            <w:r>
              <w:rPr>
                <w:rFonts w:ascii="Arial Narrow" w:hAnsi="Arial Narrow"/>
              </w:rPr>
              <w:t>39</w:t>
            </w:r>
          </w:p>
        </w:tc>
      </w:tr>
      <w:tr w:rsidRPr="006C500C" w:rsidR="002452CC" w:rsidTr="00B66282" w14:paraId="7A34D798" w14:textId="1A9D57D1">
        <w:tc>
          <w:tcPr>
            <w:tcW w:w="2875" w:type="dxa"/>
            <w:tcBorders>
              <w:top w:val="single" w:color="auto" w:sz="4" w:space="0"/>
              <w:left w:val="single" w:color="auto" w:sz="4" w:space="0"/>
              <w:bottom w:val="single" w:color="auto" w:sz="4" w:space="0"/>
              <w:right w:val="single" w:color="auto" w:sz="4" w:space="0"/>
            </w:tcBorders>
          </w:tcPr>
          <w:p w:rsidRPr="006C500C" w:rsidR="002452CC" w:rsidP="00426949" w:rsidRDefault="009F2B8F" w14:paraId="08EDC845" w14:textId="572B5DC3">
            <w:pPr>
              <w:pStyle w:val="TX-TableText"/>
              <w:spacing w:before="60" w:after="60" w:line="276" w:lineRule="auto"/>
              <w:rPr>
                <w:rFonts w:ascii="Arial Narrow" w:hAnsi="Arial Narrow"/>
              </w:rPr>
            </w:pPr>
            <w:r>
              <w:rPr>
                <w:rFonts w:ascii="Arial Narrow" w:hAnsi="Arial Narrow"/>
              </w:rPr>
              <w:t xml:space="preserve">3. </w:t>
            </w:r>
            <w:r w:rsidRPr="00426949" w:rsidR="002452CC">
              <w:rPr>
                <w:rFonts w:ascii="Arial Narrow" w:hAnsi="Arial Narrow"/>
              </w:rPr>
              <w:t>Program Director Interviews</w:t>
            </w:r>
          </w:p>
        </w:tc>
        <w:tc>
          <w:tcPr>
            <w:tcW w:w="1440" w:type="dxa"/>
            <w:tcBorders>
              <w:top w:val="single" w:color="auto" w:sz="4" w:space="0"/>
              <w:left w:val="single" w:color="auto" w:sz="4" w:space="0"/>
              <w:bottom w:val="single" w:color="auto" w:sz="4" w:space="0"/>
              <w:right w:val="single" w:color="auto" w:sz="4" w:space="0"/>
            </w:tcBorders>
            <w:vAlign w:val="center"/>
          </w:tcPr>
          <w:p w:rsidRPr="006C500C" w:rsidR="002452CC" w:rsidP="008742B0" w:rsidRDefault="002452CC" w14:paraId="2528AF52" w14:textId="0414E667">
            <w:pPr>
              <w:pStyle w:val="TX-TableText"/>
              <w:spacing w:before="60" w:after="60" w:line="276" w:lineRule="auto"/>
              <w:jc w:val="center"/>
              <w:rPr>
                <w:rFonts w:ascii="Arial Narrow" w:hAnsi="Arial Narrow"/>
              </w:rPr>
            </w:pPr>
            <w:r>
              <w:rPr>
                <w:rFonts w:ascii="Arial Narrow" w:hAnsi="Arial Narrow"/>
              </w:rPr>
              <w:t>11</w:t>
            </w:r>
          </w:p>
        </w:tc>
        <w:tc>
          <w:tcPr>
            <w:tcW w:w="1440" w:type="dxa"/>
            <w:tcBorders>
              <w:top w:val="single" w:color="auto" w:sz="4" w:space="0"/>
              <w:left w:val="single" w:color="auto" w:sz="4" w:space="0"/>
              <w:bottom w:val="single" w:color="auto" w:sz="4" w:space="0"/>
              <w:right w:val="single" w:color="auto" w:sz="4" w:space="0"/>
            </w:tcBorders>
            <w:vAlign w:val="center"/>
          </w:tcPr>
          <w:p w:rsidRPr="006C500C" w:rsidR="002452CC" w:rsidP="008742B0" w:rsidRDefault="002452CC" w14:paraId="24DAB5BB" w14:textId="09E046A0">
            <w:pPr>
              <w:pStyle w:val="TX-TableText"/>
              <w:spacing w:before="60" w:after="60" w:line="276" w:lineRule="auto"/>
              <w:jc w:val="center"/>
              <w:rPr>
                <w:rFonts w:ascii="Arial Narrow" w:hAnsi="Arial Narrow"/>
              </w:rPr>
            </w:pPr>
            <w:r>
              <w:rPr>
                <w:rFonts w:ascii="Arial Narrow" w:hAnsi="Arial Narrow"/>
              </w:rPr>
              <w:t>90%</w:t>
            </w:r>
          </w:p>
        </w:tc>
        <w:tc>
          <w:tcPr>
            <w:tcW w:w="1719" w:type="dxa"/>
            <w:tcBorders>
              <w:top w:val="single" w:color="auto" w:sz="4" w:space="0"/>
              <w:left w:val="single" w:color="auto" w:sz="4" w:space="0"/>
              <w:bottom w:val="single" w:color="auto" w:sz="4" w:space="0"/>
              <w:right w:val="single" w:color="auto" w:sz="4" w:space="0"/>
            </w:tcBorders>
            <w:vAlign w:val="center"/>
          </w:tcPr>
          <w:p w:rsidRPr="006C500C" w:rsidR="002452CC" w:rsidP="008742B0" w:rsidRDefault="002452CC" w14:paraId="757A91B6" w14:textId="2DCE64FD">
            <w:pPr>
              <w:pStyle w:val="TX-TableText"/>
              <w:spacing w:before="60" w:after="60" w:line="276" w:lineRule="auto"/>
              <w:jc w:val="center"/>
              <w:rPr>
                <w:rFonts w:ascii="Arial Narrow" w:hAnsi="Arial Narrow"/>
              </w:rPr>
            </w:pPr>
            <w:r>
              <w:rPr>
                <w:rFonts w:ascii="Arial Narrow" w:hAnsi="Arial Narrow"/>
              </w:rPr>
              <w:t>10</w:t>
            </w:r>
          </w:p>
        </w:tc>
        <w:tc>
          <w:tcPr>
            <w:tcW w:w="1876" w:type="dxa"/>
            <w:tcBorders>
              <w:top w:val="single" w:color="auto" w:sz="4" w:space="0"/>
              <w:left w:val="single" w:color="auto" w:sz="4" w:space="0"/>
              <w:bottom w:val="single" w:color="auto" w:sz="4" w:space="0"/>
              <w:right w:val="single" w:color="auto" w:sz="4" w:space="0"/>
            </w:tcBorders>
            <w:vAlign w:val="center"/>
          </w:tcPr>
          <w:p w:rsidR="002452CC" w:rsidP="007517E2" w:rsidRDefault="007517E2" w14:paraId="213EBB61" w14:textId="61D8DCE2">
            <w:pPr>
              <w:pStyle w:val="TX-TableText"/>
              <w:spacing w:before="60" w:after="60" w:line="276" w:lineRule="auto"/>
              <w:jc w:val="center"/>
              <w:rPr>
                <w:rFonts w:ascii="Arial Narrow" w:hAnsi="Arial Narrow"/>
              </w:rPr>
            </w:pPr>
            <w:r>
              <w:rPr>
                <w:rFonts w:ascii="Arial Narrow" w:hAnsi="Arial Narrow"/>
              </w:rPr>
              <w:t>4</w:t>
            </w:r>
          </w:p>
        </w:tc>
      </w:tr>
      <w:tr w:rsidRPr="006C500C" w:rsidR="002452CC" w:rsidTr="00B66282" w14:paraId="7CEDE41B" w14:textId="15EC9EB0">
        <w:tc>
          <w:tcPr>
            <w:tcW w:w="2875" w:type="dxa"/>
            <w:tcBorders>
              <w:top w:val="single" w:color="auto" w:sz="4" w:space="0"/>
              <w:left w:val="single" w:color="auto" w:sz="4" w:space="0"/>
              <w:bottom w:val="single" w:color="auto" w:sz="4" w:space="0"/>
              <w:right w:val="single" w:color="auto" w:sz="4" w:space="0"/>
            </w:tcBorders>
          </w:tcPr>
          <w:p w:rsidRPr="006C500C" w:rsidR="002452CC" w:rsidP="001E0971" w:rsidRDefault="009F2B8F" w14:paraId="583FD263" w14:textId="31863B05">
            <w:pPr>
              <w:pStyle w:val="TX-TableText"/>
              <w:spacing w:before="60" w:after="60" w:line="276" w:lineRule="auto"/>
              <w:rPr>
                <w:rFonts w:ascii="Arial Narrow" w:hAnsi="Arial Narrow"/>
              </w:rPr>
            </w:pPr>
            <w:r>
              <w:rPr>
                <w:rFonts w:ascii="Arial Narrow" w:hAnsi="Arial Narrow"/>
              </w:rPr>
              <w:t xml:space="preserve">4. </w:t>
            </w:r>
            <w:r w:rsidRPr="00426949" w:rsidR="002452CC">
              <w:rPr>
                <w:rFonts w:ascii="Arial Narrow" w:hAnsi="Arial Narrow"/>
              </w:rPr>
              <w:t>Health System Advisor Surveys</w:t>
            </w:r>
          </w:p>
        </w:tc>
        <w:tc>
          <w:tcPr>
            <w:tcW w:w="1440" w:type="dxa"/>
            <w:tcBorders>
              <w:top w:val="single" w:color="auto" w:sz="4" w:space="0"/>
              <w:left w:val="single" w:color="auto" w:sz="4" w:space="0"/>
              <w:bottom w:val="single" w:color="auto" w:sz="4" w:space="0"/>
              <w:right w:val="single" w:color="auto" w:sz="4" w:space="0"/>
            </w:tcBorders>
            <w:vAlign w:val="center"/>
          </w:tcPr>
          <w:p w:rsidRPr="006C500C" w:rsidR="002452CC" w:rsidP="008005CC" w:rsidRDefault="002452CC" w14:paraId="2376F6A9" w14:textId="3FADE50B">
            <w:pPr>
              <w:pStyle w:val="TX-TableText"/>
              <w:spacing w:before="60" w:after="60" w:line="276" w:lineRule="auto"/>
              <w:jc w:val="center"/>
              <w:rPr>
                <w:rFonts w:ascii="Arial Narrow" w:hAnsi="Arial Narrow"/>
              </w:rPr>
            </w:pPr>
            <w:r>
              <w:rPr>
                <w:rFonts w:ascii="Arial Narrow" w:hAnsi="Arial Narrow"/>
              </w:rPr>
              <w:t>237</w:t>
            </w:r>
          </w:p>
        </w:tc>
        <w:tc>
          <w:tcPr>
            <w:tcW w:w="1440" w:type="dxa"/>
            <w:tcBorders>
              <w:top w:val="single" w:color="auto" w:sz="4" w:space="0"/>
              <w:left w:val="single" w:color="auto" w:sz="4" w:space="0"/>
              <w:bottom w:val="single" w:color="auto" w:sz="4" w:space="0"/>
              <w:right w:val="single" w:color="auto" w:sz="4" w:space="0"/>
            </w:tcBorders>
            <w:vAlign w:val="center"/>
          </w:tcPr>
          <w:p w:rsidRPr="006C500C" w:rsidR="002452CC" w:rsidP="008742B0" w:rsidRDefault="002452CC" w14:paraId="25E16AF1" w14:textId="215C9667">
            <w:pPr>
              <w:pStyle w:val="TX-TableText"/>
              <w:spacing w:before="60" w:after="60" w:line="276" w:lineRule="auto"/>
              <w:jc w:val="center"/>
              <w:rPr>
                <w:rFonts w:ascii="Arial Narrow" w:hAnsi="Arial Narrow"/>
              </w:rPr>
            </w:pPr>
            <w:r>
              <w:rPr>
                <w:rFonts w:ascii="Arial Narrow" w:hAnsi="Arial Narrow"/>
              </w:rPr>
              <w:t>80%</w:t>
            </w:r>
          </w:p>
        </w:tc>
        <w:tc>
          <w:tcPr>
            <w:tcW w:w="1719" w:type="dxa"/>
            <w:tcBorders>
              <w:top w:val="single" w:color="auto" w:sz="4" w:space="0"/>
              <w:left w:val="single" w:color="auto" w:sz="4" w:space="0"/>
              <w:bottom w:val="single" w:color="auto" w:sz="4" w:space="0"/>
              <w:right w:val="single" w:color="auto" w:sz="4" w:space="0"/>
            </w:tcBorders>
            <w:vAlign w:val="center"/>
          </w:tcPr>
          <w:p w:rsidRPr="006C500C" w:rsidR="002452CC" w:rsidP="008742B0" w:rsidRDefault="007517E2" w14:paraId="53D06635" w14:textId="01B0AA56">
            <w:pPr>
              <w:pStyle w:val="TX-TableText"/>
              <w:spacing w:before="60" w:after="60" w:line="276" w:lineRule="auto"/>
              <w:jc w:val="center"/>
              <w:rPr>
                <w:rFonts w:ascii="Arial Narrow" w:hAnsi="Arial Narrow"/>
              </w:rPr>
            </w:pPr>
            <w:r>
              <w:rPr>
                <w:rFonts w:ascii="Arial Narrow" w:hAnsi="Arial Narrow"/>
              </w:rPr>
              <w:t>190</w:t>
            </w:r>
          </w:p>
        </w:tc>
        <w:tc>
          <w:tcPr>
            <w:tcW w:w="1876" w:type="dxa"/>
            <w:tcBorders>
              <w:top w:val="single" w:color="auto" w:sz="4" w:space="0"/>
              <w:left w:val="single" w:color="auto" w:sz="4" w:space="0"/>
              <w:bottom w:val="single" w:color="auto" w:sz="4" w:space="0"/>
              <w:right w:val="single" w:color="auto" w:sz="4" w:space="0"/>
            </w:tcBorders>
            <w:vAlign w:val="center"/>
          </w:tcPr>
          <w:p w:rsidR="002452CC" w:rsidP="007517E2" w:rsidRDefault="007517E2" w14:paraId="31907093" w14:textId="01200B62">
            <w:pPr>
              <w:pStyle w:val="TX-TableText"/>
              <w:spacing w:before="60" w:after="60" w:line="276" w:lineRule="auto"/>
              <w:jc w:val="center"/>
              <w:rPr>
                <w:rFonts w:ascii="Arial Narrow" w:hAnsi="Arial Narrow"/>
              </w:rPr>
            </w:pPr>
            <w:r>
              <w:rPr>
                <w:rFonts w:ascii="Arial Narrow" w:hAnsi="Arial Narrow"/>
              </w:rPr>
              <w:t>63</w:t>
            </w:r>
          </w:p>
        </w:tc>
      </w:tr>
      <w:tr w:rsidRPr="006C500C" w:rsidR="00287DE2" w:rsidTr="00B66282" w14:paraId="06783AF7" w14:textId="77777777">
        <w:tc>
          <w:tcPr>
            <w:tcW w:w="5755" w:type="dxa"/>
            <w:gridSpan w:val="3"/>
            <w:tcBorders>
              <w:top w:val="single" w:color="auto" w:sz="4" w:space="0"/>
              <w:left w:val="single" w:color="auto" w:sz="4" w:space="0"/>
              <w:bottom w:val="single" w:color="auto" w:sz="4" w:space="0"/>
              <w:right w:val="single" w:color="auto" w:sz="4" w:space="0"/>
            </w:tcBorders>
          </w:tcPr>
          <w:p w:rsidRPr="00AF7DA2" w:rsidR="00287DE2" w:rsidP="00FC491F" w:rsidRDefault="00287DE2" w14:paraId="2ACE06E1" w14:textId="4FC89140">
            <w:pPr>
              <w:pStyle w:val="TX-TableText"/>
              <w:spacing w:before="60" w:after="60" w:line="276" w:lineRule="auto"/>
              <w:rPr>
                <w:rFonts w:ascii="Arial Narrow" w:hAnsi="Arial Narrow"/>
                <w:b/>
              </w:rPr>
            </w:pPr>
            <w:r w:rsidRPr="00AF7DA2">
              <w:rPr>
                <w:rFonts w:ascii="Arial Narrow" w:hAnsi="Arial Narrow"/>
                <w:b/>
              </w:rPr>
              <w:t>Total</w:t>
            </w:r>
          </w:p>
        </w:tc>
        <w:tc>
          <w:tcPr>
            <w:tcW w:w="1719" w:type="dxa"/>
            <w:tcBorders>
              <w:top w:val="single" w:color="auto" w:sz="4" w:space="0"/>
              <w:left w:val="single" w:color="auto" w:sz="4" w:space="0"/>
              <w:bottom w:val="single" w:color="auto" w:sz="4" w:space="0"/>
              <w:right w:val="single" w:color="auto" w:sz="4" w:space="0"/>
            </w:tcBorders>
            <w:vAlign w:val="center"/>
          </w:tcPr>
          <w:p w:rsidRPr="00AF7DA2" w:rsidR="00287DE2" w:rsidP="008742B0" w:rsidRDefault="00947139" w14:paraId="3CEAB144" w14:textId="77C733F4">
            <w:pPr>
              <w:pStyle w:val="TX-TableText"/>
              <w:spacing w:before="60" w:after="60" w:line="276" w:lineRule="auto"/>
              <w:jc w:val="center"/>
              <w:rPr>
                <w:rFonts w:ascii="Arial Narrow" w:hAnsi="Arial Narrow"/>
                <w:b/>
              </w:rPr>
            </w:pPr>
            <w:r w:rsidRPr="00AF7DA2">
              <w:rPr>
                <w:rFonts w:ascii="Arial Narrow" w:hAnsi="Arial Narrow"/>
                <w:b/>
              </w:rPr>
              <w:t>439</w:t>
            </w:r>
          </w:p>
        </w:tc>
        <w:tc>
          <w:tcPr>
            <w:tcW w:w="1876" w:type="dxa"/>
            <w:tcBorders>
              <w:top w:val="single" w:color="auto" w:sz="4" w:space="0"/>
              <w:left w:val="single" w:color="auto" w:sz="4" w:space="0"/>
              <w:bottom w:val="single" w:color="auto" w:sz="4" w:space="0"/>
              <w:right w:val="single" w:color="auto" w:sz="4" w:space="0"/>
            </w:tcBorders>
            <w:vAlign w:val="center"/>
          </w:tcPr>
          <w:p w:rsidRPr="00AF7DA2" w:rsidR="00287DE2" w:rsidP="007517E2" w:rsidRDefault="001508B1" w14:paraId="129F5B24" w14:textId="04CA1BE8">
            <w:pPr>
              <w:pStyle w:val="TX-TableText"/>
              <w:spacing w:before="60" w:after="60" w:line="276" w:lineRule="auto"/>
              <w:jc w:val="center"/>
              <w:rPr>
                <w:rFonts w:ascii="Arial Narrow" w:hAnsi="Arial Narrow"/>
                <w:b/>
              </w:rPr>
            </w:pPr>
            <w:r w:rsidRPr="00AF7DA2">
              <w:rPr>
                <w:rFonts w:ascii="Arial Narrow" w:hAnsi="Arial Narrow"/>
                <w:b/>
              </w:rPr>
              <w:t>147</w:t>
            </w:r>
          </w:p>
        </w:tc>
      </w:tr>
    </w:tbl>
    <w:p w:rsidR="00C26695" w:rsidP="00C76139" w:rsidRDefault="000D5CD6" w14:paraId="472E5FF5" w14:textId="1EBC2A94">
      <w:pPr>
        <w:pStyle w:val="Heading2"/>
        <w:tabs>
          <w:tab w:val="left" w:pos="720"/>
        </w:tabs>
        <w:spacing w:after="0" w:line="276" w:lineRule="auto"/>
        <w:ind w:left="720" w:hanging="720"/>
        <w:rPr>
          <w:szCs w:val="24"/>
        </w:rPr>
      </w:pPr>
      <w:bookmarkStart w:name="_Toc282506043" w:id="10"/>
      <w:bookmarkStart w:name="_Toc5007132" w:id="11"/>
      <w:r>
        <w:rPr>
          <w:szCs w:val="24"/>
        </w:rPr>
        <w:lastRenderedPageBreak/>
        <w:t xml:space="preserve">2. </w:t>
      </w:r>
      <w:bookmarkEnd w:id="10"/>
      <w:r>
        <w:rPr>
          <w:szCs w:val="24"/>
        </w:rPr>
        <w:t>I</w:t>
      </w:r>
      <w:r w:rsidRPr="007564D0" w:rsidR="00C26695">
        <w:rPr>
          <w:szCs w:val="24"/>
        </w:rPr>
        <w:t>nformation</w:t>
      </w:r>
      <w:bookmarkEnd w:id="11"/>
      <w:r w:rsidR="008D3C22">
        <w:rPr>
          <w:szCs w:val="24"/>
        </w:rPr>
        <w:t xml:space="preserve"> Collection Procedures</w:t>
      </w:r>
    </w:p>
    <w:p w:rsidRPr="00413697" w:rsidR="00413697" w:rsidP="00C76139" w:rsidRDefault="00413697" w14:paraId="46A6A424" w14:textId="77777777">
      <w:pPr>
        <w:pStyle w:val="L1-FlLSp12"/>
        <w:spacing w:line="276" w:lineRule="auto"/>
      </w:pPr>
    </w:p>
    <w:p w:rsidRPr="007564D0" w:rsidR="00C26695" w:rsidP="00C76139" w:rsidRDefault="00C26695" w14:paraId="5924224E" w14:textId="76BE483C">
      <w:pPr>
        <w:pStyle w:val="Normalcontinued"/>
        <w:spacing w:after="240" w:line="276" w:lineRule="auto"/>
        <w:ind w:firstLine="720"/>
        <w:rPr>
          <w:b/>
          <w:szCs w:val="24"/>
        </w:rPr>
      </w:pPr>
      <w:r w:rsidRPr="007564D0">
        <w:rPr>
          <w:b/>
          <w:szCs w:val="24"/>
        </w:rPr>
        <w:t>2.a Statistical methodology for stratification and sample selection</w:t>
      </w:r>
    </w:p>
    <w:p w:rsidRPr="00FA44EA" w:rsidR="0066317F" w:rsidP="00C76139" w:rsidRDefault="0066317F" w14:paraId="16BF482E" w14:textId="20B9F81D">
      <w:pPr>
        <w:spacing w:line="276" w:lineRule="auto"/>
        <w:ind w:firstLine="720"/>
        <w:jc w:val="both"/>
        <w:rPr>
          <w:szCs w:val="24"/>
        </w:rPr>
      </w:pPr>
      <w:r w:rsidRPr="009C66C8">
        <w:rPr>
          <w:szCs w:val="24"/>
        </w:rPr>
        <w:t xml:space="preserve">This </w:t>
      </w:r>
      <w:r w:rsidR="006A6720">
        <w:rPr>
          <w:szCs w:val="24"/>
        </w:rPr>
        <w:t>study</w:t>
      </w:r>
      <w:r w:rsidRPr="009C66C8">
        <w:rPr>
          <w:szCs w:val="24"/>
        </w:rPr>
        <w:t xml:space="preserve"> is not nationally representative; therefore, concern regarding the statistical methodology for both stratification and sample selection is not applicable.</w:t>
      </w:r>
      <w:r w:rsidR="00C76139">
        <w:rPr>
          <w:szCs w:val="24"/>
        </w:rPr>
        <w:br/>
      </w:r>
    </w:p>
    <w:p w:rsidRPr="00AD13D1" w:rsidR="00C26695" w:rsidP="00C76139" w:rsidRDefault="00C26695" w14:paraId="1106C843" w14:textId="7CE60C85">
      <w:pPr>
        <w:pStyle w:val="Normalcontinued"/>
        <w:spacing w:line="276" w:lineRule="auto"/>
        <w:ind w:firstLine="720"/>
        <w:rPr>
          <w:b/>
          <w:szCs w:val="24"/>
          <w:highlight w:val="yellow"/>
        </w:rPr>
      </w:pPr>
      <w:r w:rsidRPr="00331424">
        <w:rPr>
          <w:b/>
          <w:szCs w:val="24"/>
        </w:rPr>
        <w:t>2.b Estimation procedure</w:t>
      </w:r>
      <w:r w:rsidRPr="00C777FE">
        <w:rPr>
          <w:b/>
          <w:szCs w:val="24"/>
        </w:rPr>
        <w:t xml:space="preserve"> and </w:t>
      </w:r>
      <w:r w:rsidRPr="00331424">
        <w:rPr>
          <w:b/>
          <w:szCs w:val="24"/>
        </w:rPr>
        <w:t>degree of accuracy needed for the purpose described in the justification</w:t>
      </w:r>
      <w:r w:rsidR="00C76139">
        <w:rPr>
          <w:b/>
          <w:szCs w:val="24"/>
        </w:rPr>
        <w:br/>
      </w:r>
    </w:p>
    <w:p w:rsidR="00C26695" w:rsidP="00A17902" w:rsidRDefault="005B5256" w14:paraId="66D6D448" w14:textId="49E07317">
      <w:pPr>
        <w:spacing w:line="276" w:lineRule="auto"/>
        <w:ind w:firstLine="720"/>
        <w:jc w:val="both"/>
        <w:rPr>
          <w:szCs w:val="24"/>
        </w:rPr>
      </w:pPr>
      <w:r w:rsidRPr="000657B8">
        <w:rPr>
          <w:szCs w:val="24"/>
        </w:rPr>
        <w:t xml:space="preserve">This </w:t>
      </w:r>
      <w:r w:rsidRPr="000C39BB">
        <w:rPr>
          <w:szCs w:val="24"/>
        </w:rPr>
        <w:t>is not a nationally representative study</w:t>
      </w:r>
      <w:r>
        <w:rPr>
          <w:szCs w:val="24"/>
        </w:rPr>
        <w:t xml:space="preserve">; therefore, </w:t>
      </w:r>
      <w:r w:rsidRPr="000C39BB">
        <w:rPr>
          <w:szCs w:val="24"/>
        </w:rPr>
        <w:t>concern regarding the estimation procedure is not applicable.</w:t>
      </w:r>
    </w:p>
    <w:p w:rsidRPr="00FA44EA" w:rsidR="002749E1" w:rsidP="00A17902" w:rsidRDefault="002749E1" w14:paraId="42AC08A1" w14:textId="77777777">
      <w:pPr>
        <w:spacing w:line="276" w:lineRule="auto"/>
        <w:ind w:firstLine="720"/>
        <w:jc w:val="both"/>
        <w:rPr>
          <w:szCs w:val="24"/>
        </w:rPr>
      </w:pPr>
    </w:p>
    <w:p w:rsidRPr="00331424" w:rsidR="00C26695" w:rsidP="00C76139" w:rsidRDefault="00C26695" w14:paraId="5A9ABE3F" w14:textId="207B4BB8">
      <w:pPr>
        <w:pStyle w:val="Normalcontinued"/>
        <w:spacing w:line="276" w:lineRule="auto"/>
        <w:ind w:firstLine="720"/>
      </w:pPr>
      <w:r w:rsidRPr="00331424">
        <w:rPr>
          <w:b/>
          <w:szCs w:val="24"/>
        </w:rPr>
        <w:t>2.</w:t>
      </w:r>
      <w:r>
        <w:rPr>
          <w:b/>
          <w:szCs w:val="24"/>
        </w:rPr>
        <w:t>c</w:t>
      </w:r>
      <w:r w:rsidRPr="00331424">
        <w:rPr>
          <w:b/>
          <w:szCs w:val="24"/>
        </w:rPr>
        <w:t xml:space="preserve"> Unusual problems requiring specialized sampling procedures</w:t>
      </w:r>
    </w:p>
    <w:p w:rsidRPr="00331424" w:rsidR="00C26695" w:rsidP="00C76139" w:rsidRDefault="000752DB" w14:paraId="7D816CE5" w14:textId="1AC30B0A">
      <w:pPr>
        <w:spacing w:before="240" w:line="276" w:lineRule="auto"/>
        <w:ind w:firstLine="720"/>
        <w:jc w:val="both"/>
        <w:rPr>
          <w:b/>
          <w:szCs w:val="24"/>
        </w:rPr>
      </w:pPr>
      <w:r>
        <w:rPr>
          <w:szCs w:val="24"/>
        </w:rPr>
        <w:t>AHRQ</w:t>
      </w:r>
      <w:r w:rsidRPr="00331424" w:rsidR="00C26695">
        <w:rPr>
          <w:szCs w:val="24"/>
        </w:rPr>
        <w:t xml:space="preserve"> does not anticipate unusual problems that require the usage of specialized sampling procedures.</w:t>
      </w:r>
      <w:r w:rsidR="00C76139">
        <w:rPr>
          <w:szCs w:val="24"/>
        </w:rPr>
        <w:br/>
      </w:r>
    </w:p>
    <w:p w:rsidR="00335F70" w:rsidP="00C76139" w:rsidRDefault="000D5CD6" w14:paraId="5C1B1A7F" w14:textId="35149FFF">
      <w:pPr>
        <w:pStyle w:val="Normalcontinued"/>
        <w:spacing w:line="276" w:lineRule="auto"/>
        <w:ind w:left="720"/>
        <w:rPr>
          <w:b/>
          <w:szCs w:val="24"/>
        </w:rPr>
      </w:pPr>
      <w:r>
        <w:rPr>
          <w:b/>
          <w:szCs w:val="24"/>
        </w:rPr>
        <w:t>2</w:t>
      </w:r>
      <w:r w:rsidRPr="00331424" w:rsidR="00C26695">
        <w:rPr>
          <w:b/>
          <w:szCs w:val="24"/>
        </w:rPr>
        <w:t>.</w:t>
      </w:r>
      <w:r w:rsidR="00C26695">
        <w:rPr>
          <w:b/>
          <w:szCs w:val="24"/>
        </w:rPr>
        <w:t>d</w:t>
      </w:r>
      <w:r w:rsidRPr="00331424" w:rsidR="00C26695">
        <w:rPr>
          <w:b/>
          <w:szCs w:val="24"/>
        </w:rPr>
        <w:t xml:space="preserve"> Any use of periodic (less frequent than annual) data collection cycles to reduce burden</w:t>
      </w:r>
    </w:p>
    <w:p w:rsidR="00335F70" w:rsidP="00C76139" w:rsidRDefault="00335F70" w14:paraId="6A223570" w14:textId="77777777">
      <w:pPr>
        <w:pStyle w:val="Normalcontinued"/>
        <w:spacing w:line="276" w:lineRule="auto"/>
        <w:ind w:left="720"/>
        <w:rPr>
          <w:b/>
          <w:szCs w:val="24"/>
        </w:rPr>
      </w:pPr>
    </w:p>
    <w:p w:rsidRPr="00B4205D" w:rsidR="00983EB1" w:rsidP="004E28EB" w:rsidRDefault="00983EB1" w14:paraId="1C1D9AF7" w14:textId="39539BD2">
      <w:pPr>
        <w:pStyle w:val="Normalcontinued"/>
        <w:spacing w:line="276" w:lineRule="auto"/>
        <w:ind w:firstLine="720"/>
        <w:jc w:val="both"/>
        <w:rPr>
          <w:szCs w:val="24"/>
        </w:rPr>
      </w:pPr>
      <w:r>
        <w:rPr>
          <w:szCs w:val="24"/>
        </w:rPr>
        <w:t>AHRQ</w:t>
      </w:r>
      <w:r w:rsidRPr="00B4205D">
        <w:rPr>
          <w:szCs w:val="24"/>
        </w:rPr>
        <w:t xml:space="preserve"> does not plan to use data collection cycles that are less frequent than annual</w:t>
      </w:r>
      <w:r w:rsidRPr="00B4205D" w:rsidR="00873559">
        <w:rPr>
          <w:szCs w:val="24"/>
        </w:rPr>
        <w:t xml:space="preserve">. </w:t>
      </w:r>
    </w:p>
    <w:p w:rsidRPr="00331424" w:rsidR="00C26695" w:rsidP="00C76139" w:rsidRDefault="00C26695" w14:paraId="693B909D" w14:textId="6C9B2D78">
      <w:pPr>
        <w:pStyle w:val="Normalcontinued"/>
        <w:spacing w:line="276" w:lineRule="auto"/>
        <w:ind w:left="720"/>
        <w:rPr>
          <w:b/>
          <w:szCs w:val="24"/>
        </w:rPr>
      </w:pPr>
    </w:p>
    <w:p w:rsidR="00C26695" w:rsidP="00C76139" w:rsidRDefault="00C26695" w14:paraId="30753520" w14:textId="51F90466">
      <w:pPr>
        <w:pStyle w:val="Heading2"/>
        <w:tabs>
          <w:tab w:val="left" w:pos="720"/>
        </w:tabs>
        <w:spacing w:after="0" w:line="276" w:lineRule="auto"/>
        <w:ind w:left="720" w:hanging="720"/>
        <w:rPr>
          <w:szCs w:val="24"/>
        </w:rPr>
      </w:pPr>
      <w:bookmarkStart w:name="_Toc282506044" w:id="12"/>
      <w:bookmarkStart w:name="_Toc5007133" w:id="13"/>
      <w:r w:rsidRPr="00332FC1">
        <w:rPr>
          <w:szCs w:val="24"/>
        </w:rPr>
        <w:t>3</w:t>
      </w:r>
      <w:bookmarkEnd w:id="12"/>
      <w:r w:rsidR="000D5CD6">
        <w:rPr>
          <w:szCs w:val="24"/>
        </w:rPr>
        <w:t>. M</w:t>
      </w:r>
      <w:r w:rsidRPr="00332FC1">
        <w:rPr>
          <w:szCs w:val="24"/>
        </w:rPr>
        <w:t xml:space="preserve">ethods to </w:t>
      </w:r>
      <w:r w:rsidR="000D5CD6">
        <w:rPr>
          <w:szCs w:val="24"/>
        </w:rPr>
        <w:t>Maximize R</w:t>
      </w:r>
      <w:r w:rsidRPr="00332FC1">
        <w:rPr>
          <w:szCs w:val="24"/>
        </w:rPr>
        <w:t xml:space="preserve">esponse </w:t>
      </w:r>
      <w:r w:rsidR="000D5CD6">
        <w:rPr>
          <w:szCs w:val="24"/>
        </w:rPr>
        <w:t>R</w:t>
      </w:r>
      <w:r w:rsidRPr="00332FC1">
        <w:rPr>
          <w:szCs w:val="24"/>
        </w:rPr>
        <w:t>ates</w:t>
      </w:r>
      <w:bookmarkEnd w:id="13"/>
    </w:p>
    <w:p w:rsidR="002D4812" w:rsidP="002D4812" w:rsidRDefault="002D4812" w14:paraId="592A9C23" w14:textId="52B4D7CF">
      <w:pPr>
        <w:pStyle w:val="L1-FlLSp12"/>
      </w:pPr>
    </w:p>
    <w:p w:rsidR="00903A90" w:rsidP="00903A90" w:rsidRDefault="00903A90" w14:paraId="2993231D" w14:textId="443E85FF">
      <w:pPr>
        <w:spacing w:line="276" w:lineRule="auto"/>
        <w:ind w:firstLine="720"/>
        <w:jc w:val="both"/>
        <w:rPr>
          <w:szCs w:val="24"/>
        </w:rPr>
      </w:pPr>
      <w:r>
        <w:rPr>
          <w:szCs w:val="24"/>
        </w:rPr>
        <w:t xml:space="preserve">General data collection procedures </w:t>
      </w:r>
      <w:r w:rsidR="00F85903">
        <w:rPr>
          <w:szCs w:val="24"/>
        </w:rPr>
        <w:t>are described below</w:t>
      </w:r>
      <w:r w:rsidR="00475F9D">
        <w:rPr>
          <w:szCs w:val="24"/>
        </w:rPr>
        <w:t>,</w:t>
      </w:r>
      <w:r w:rsidR="003A4DDD">
        <w:rPr>
          <w:szCs w:val="24"/>
        </w:rPr>
        <w:t xml:space="preserve"> followed by</w:t>
      </w:r>
      <w:r w:rsidR="00AE11E5">
        <w:rPr>
          <w:szCs w:val="24"/>
        </w:rPr>
        <w:t xml:space="preserve"> methods used to maximize response rates</w:t>
      </w:r>
      <w:r w:rsidRPr="000C39BB">
        <w:rPr>
          <w:szCs w:val="24"/>
        </w:rPr>
        <w:t>.</w:t>
      </w:r>
    </w:p>
    <w:p w:rsidR="00903A90" w:rsidP="002D4812" w:rsidRDefault="00903A90" w14:paraId="12718F4C" w14:textId="77777777">
      <w:pPr>
        <w:spacing w:line="276" w:lineRule="auto"/>
        <w:ind w:firstLine="720"/>
        <w:rPr>
          <w:b/>
          <w:szCs w:val="24"/>
        </w:rPr>
      </w:pPr>
    </w:p>
    <w:p w:rsidR="002D4812" w:rsidP="002D4812" w:rsidRDefault="002D4812" w14:paraId="25EA86A3" w14:textId="697A3F8D">
      <w:pPr>
        <w:spacing w:line="276" w:lineRule="auto"/>
        <w:ind w:firstLine="720"/>
        <w:jc w:val="both"/>
        <w:rPr>
          <w:iCs/>
          <w:szCs w:val="24"/>
        </w:rPr>
      </w:pPr>
      <w:r w:rsidRPr="00C25CF1">
        <w:rPr>
          <w:i/>
          <w:szCs w:val="24"/>
        </w:rPr>
        <w:t>Interview</w:t>
      </w:r>
      <w:r w:rsidR="004328FF">
        <w:rPr>
          <w:i/>
          <w:szCs w:val="24"/>
        </w:rPr>
        <w:t xml:space="preserve"> procedure</w:t>
      </w:r>
      <w:r w:rsidRPr="00C25CF1">
        <w:rPr>
          <w:i/>
          <w:szCs w:val="24"/>
        </w:rPr>
        <w:t xml:space="preserve">s. </w:t>
      </w:r>
      <w:r>
        <w:rPr>
          <w:iCs/>
          <w:szCs w:val="24"/>
        </w:rPr>
        <w:t xml:space="preserve">Similar data collection procedures will be used for the semi-structured </w:t>
      </w:r>
      <w:r w:rsidRPr="0043502A">
        <w:rPr>
          <w:iCs/>
          <w:szCs w:val="24"/>
        </w:rPr>
        <w:t xml:space="preserve">telephone </w:t>
      </w:r>
      <w:r>
        <w:rPr>
          <w:iCs/>
          <w:szCs w:val="24"/>
        </w:rPr>
        <w:t xml:space="preserve">interviews across the three different respondent types mentioned previously. Scholars, health system advisors, and program directors will be invited to participate in an interview by email (Appendices A2, B2, and C2, respectively) at least 1 month in advance of the data collection period. This email will include information about the purpose of the study, as well as anticipated frequently asked questions (Appendices A3, B3, and C3), and will ask the respondent to determine their availability during a range of dates. If the respondent does not reply to the email within 1 week, the study team will send a reminder email (Appendices A4, B4, and C4). If the respondent does not reply within another week, the study team will attempt to recruit the participant by telephone (Appendices A5, B5, and C5). Shortly after a response is received, the scholars, health system advisors, and program directors will be contacted by email to schedule the interview (Appendices A6, B6, and C6, respectively); however, if requested or more appropriate, the email may </w:t>
      </w:r>
      <w:r w:rsidR="00826398">
        <w:rPr>
          <w:iCs/>
          <w:szCs w:val="24"/>
        </w:rPr>
        <w:t xml:space="preserve">be </w:t>
      </w:r>
      <w:r>
        <w:rPr>
          <w:iCs/>
          <w:szCs w:val="24"/>
        </w:rPr>
        <w:t>substitute</w:t>
      </w:r>
      <w:r w:rsidR="00826398">
        <w:rPr>
          <w:iCs/>
          <w:szCs w:val="24"/>
        </w:rPr>
        <w:t>d</w:t>
      </w:r>
      <w:r>
        <w:rPr>
          <w:iCs/>
          <w:szCs w:val="24"/>
        </w:rPr>
        <w:t xml:space="preserve"> </w:t>
      </w:r>
      <w:r w:rsidR="00B30EDD">
        <w:rPr>
          <w:iCs/>
          <w:szCs w:val="24"/>
        </w:rPr>
        <w:t>with</w:t>
      </w:r>
      <w:r>
        <w:rPr>
          <w:iCs/>
          <w:szCs w:val="24"/>
        </w:rPr>
        <w:t xml:space="preserve"> a phone call. Once the interview is scheduled, each </w:t>
      </w:r>
      <w:r>
        <w:rPr>
          <w:iCs/>
          <w:szCs w:val="24"/>
        </w:rPr>
        <w:lastRenderedPageBreak/>
        <w:t>respondent will receive a confirmation email including</w:t>
      </w:r>
      <w:r w:rsidRPr="00D83DA6">
        <w:t xml:space="preserve"> </w:t>
      </w:r>
      <w:r w:rsidRPr="00D83DA6">
        <w:rPr>
          <w:iCs/>
          <w:szCs w:val="24"/>
        </w:rPr>
        <w:t xml:space="preserve">the date, time, and </w:t>
      </w:r>
      <w:r w:rsidRPr="000107F2">
        <w:rPr>
          <w:iCs/>
          <w:szCs w:val="24"/>
        </w:rPr>
        <w:t xml:space="preserve">call-in information </w:t>
      </w:r>
      <w:r w:rsidRPr="00D83DA6">
        <w:rPr>
          <w:iCs/>
          <w:szCs w:val="24"/>
        </w:rPr>
        <w:t>for the interview</w:t>
      </w:r>
      <w:r>
        <w:rPr>
          <w:iCs/>
          <w:szCs w:val="24"/>
        </w:rPr>
        <w:t xml:space="preserve"> (Appendices A7, B7, and C7). Each respondent will receive an email (Appendices A8, B8, and C8) within 3 days and a phone call (Appendices A9, B9, and C9) within 1 day of their interview as a reminder and to provide the respondent the opportunity to reschedule, if needed. After completing an interview, the respondent will receive a</w:t>
      </w:r>
      <w:r w:rsidR="000A63AF">
        <w:rPr>
          <w:iCs/>
          <w:szCs w:val="24"/>
        </w:rPr>
        <w:t xml:space="preserve"> thank you</w:t>
      </w:r>
      <w:r>
        <w:rPr>
          <w:iCs/>
          <w:szCs w:val="24"/>
        </w:rPr>
        <w:t xml:space="preserve"> email to </w:t>
      </w:r>
      <w:r w:rsidR="00AD60EC">
        <w:rPr>
          <w:szCs w:val="24"/>
        </w:rPr>
        <w:t>express AHRQ’s appreciation</w:t>
      </w:r>
      <w:r>
        <w:rPr>
          <w:iCs/>
          <w:szCs w:val="24"/>
        </w:rPr>
        <w:t xml:space="preserve"> (Appendices A10, B10, and C10).</w:t>
      </w:r>
    </w:p>
    <w:p w:rsidR="002D4812" w:rsidP="002D4812" w:rsidRDefault="002D4812" w14:paraId="313BDE34" w14:textId="00D8BD4A">
      <w:pPr>
        <w:spacing w:line="276" w:lineRule="auto"/>
        <w:ind w:firstLine="720"/>
        <w:jc w:val="both"/>
        <w:rPr>
          <w:iCs/>
          <w:szCs w:val="24"/>
        </w:rPr>
      </w:pPr>
      <w:r>
        <w:rPr>
          <w:i/>
          <w:szCs w:val="24"/>
        </w:rPr>
        <w:t>Survey</w:t>
      </w:r>
      <w:r w:rsidR="004328FF">
        <w:rPr>
          <w:i/>
          <w:szCs w:val="24"/>
        </w:rPr>
        <w:t xml:space="preserve"> procedure</w:t>
      </w:r>
      <w:r w:rsidRPr="00C25CF1">
        <w:rPr>
          <w:i/>
          <w:szCs w:val="24"/>
        </w:rPr>
        <w:t xml:space="preserve">s. </w:t>
      </w:r>
      <w:r>
        <w:rPr>
          <w:iCs/>
          <w:szCs w:val="24"/>
        </w:rPr>
        <w:t>Health system advisors selected for the survey (i.e., all who</w:t>
      </w:r>
      <w:r w:rsidRPr="00F01626">
        <w:rPr>
          <w:iCs/>
          <w:szCs w:val="24"/>
        </w:rPr>
        <w:t xml:space="preserve"> </w:t>
      </w:r>
      <w:r>
        <w:rPr>
          <w:iCs/>
          <w:szCs w:val="24"/>
        </w:rPr>
        <w:t>advise</w:t>
      </w:r>
      <w:r w:rsidRPr="00F01626">
        <w:rPr>
          <w:iCs/>
          <w:szCs w:val="24"/>
        </w:rPr>
        <w:t xml:space="preserve"> an enrolled scholar</w:t>
      </w:r>
      <w:r>
        <w:rPr>
          <w:iCs/>
          <w:szCs w:val="24"/>
        </w:rPr>
        <w:t xml:space="preserve">) (Appendix D1) will be notified of the data collection by email (Appendix D2). The email will </w:t>
      </w:r>
      <w:r w:rsidRPr="00FF0E51">
        <w:rPr>
          <w:iCs/>
          <w:szCs w:val="24"/>
        </w:rPr>
        <w:t>invit</w:t>
      </w:r>
      <w:r>
        <w:rPr>
          <w:iCs/>
          <w:szCs w:val="24"/>
        </w:rPr>
        <w:t>e</w:t>
      </w:r>
      <w:r w:rsidRPr="00FF0E51">
        <w:rPr>
          <w:iCs/>
          <w:szCs w:val="24"/>
        </w:rPr>
        <w:t xml:space="preserve"> them to participate in the survey, explain the </w:t>
      </w:r>
      <w:r>
        <w:rPr>
          <w:iCs/>
          <w:szCs w:val="24"/>
        </w:rPr>
        <w:t>purpose of the survey</w:t>
      </w:r>
      <w:r w:rsidRPr="00FF0E51">
        <w:rPr>
          <w:iCs/>
          <w:szCs w:val="24"/>
        </w:rPr>
        <w:t>,</w:t>
      </w:r>
      <w:r>
        <w:rPr>
          <w:iCs/>
          <w:szCs w:val="24"/>
        </w:rPr>
        <w:t xml:space="preserve"> and</w:t>
      </w:r>
      <w:r w:rsidRPr="00FF0E51">
        <w:rPr>
          <w:iCs/>
          <w:szCs w:val="24"/>
        </w:rPr>
        <w:t xml:space="preserve"> </w:t>
      </w:r>
      <w:r>
        <w:rPr>
          <w:iCs/>
          <w:szCs w:val="24"/>
        </w:rPr>
        <w:t xml:space="preserve">include information </w:t>
      </w:r>
      <w:r w:rsidRPr="00792231">
        <w:rPr>
          <w:szCs w:val="24"/>
        </w:rPr>
        <w:t>necessary to complete the web survey</w:t>
      </w:r>
      <w:r>
        <w:rPr>
          <w:szCs w:val="24"/>
        </w:rPr>
        <w:t xml:space="preserve">. </w:t>
      </w:r>
      <w:r w:rsidRPr="00ED4F10" w:rsidR="0012167C">
        <w:rPr>
          <w:szCs w:val="24"/>
        </w:rPr>
        <w:t xml:space="preserve">The </w:t>
      </w:r>
      <w:r w:rsidR="0012167C">
        <w:rPr>
          <w:szCs w:val="24"/>
        </w:rPr>
        <w:t>survey</w:t>
      </w:r>
      <w:r w:rsidRPr="00ED4F10" w:rsidR="0012167C">
        <w:rPr>
          <w:szCs w:val="24"/>
        </w:rPr>
        <w:t xml:space="preserve"> will provide a toll-free number to contact the study team at any point during data collection.</w:t>
      </w:r>
    </w:p>
    <w:p w:rsidR="002D4812" w:rsidRDefault="002D4812" w14:paraId="7B612236" w14:textId="68C0B1D9">
      <w:pPr>
        <w:spacing w:line="276" w:lineRule="auto"/>
        <w:ind w:firstLine="720"/>
        <w:jc w:val="both"/>
        <w:rPr>
          <w:szCs w:val="24"/>
        </w:rPr>
      </w:pPr>
      <w:r w:rsidRPr="00ED4F10">
        <w:rPr>
          <w:szCs w:val="24"/>
        </w:rPr>
        <w:t xml:space="preserve">If the </w:t>
      </w:r>
      <w:r>
        <w:rPr>
          <w:szCs w:val="24"/>
        </w:rPr>
        <w:t>health system advisor</w:t>
      </w:r>
      <w:r w:rsidRPr="00ED4F10">
        <w:rPr>
          <w:szCs w:val="24"/>
        </w:rPr>
        <w:t xml:space="preserve"> does not complete the web survey within 1 week, the</w:t>
      </w:r>
      <w:r>
        <w:rPr>
          <w:szCs w:val="24"/>
        </w:rPr>
        <w:t xml:space="preserve"> health system advisor </w:t>
      </w:r>
      <w:r w:rsidRPr="00ED4F10">
        <w:rPr>
          <w:szCs w:val="24"/>
        </w:rPr>
        <w:t xml:space="preserve">may be contacted throughout the duration of the data collection period (up to </w:t>
      </w:r>
      <w:r w:rsidR="00FD357D">
        <w:rPr>
          <w:szCs w:val="24"/>
        </w:rPr>
        <w:t>three</w:t>
      </w:r>
      <w:r w:rsidRPr="00ED4F10">
        <w:rPr>
          <w:szCs w:val="24"/>
        </w:rPr>
        <w:t xml:space="preserve"> times by email [Appendix </w:t>
      </w:r>
      <w:r>
        <w:rPr>
          <w:szCs w:val="24"/>
        </w:rPr>
        <w:t>D3</w:t>
      </w:r>
      <w:r w:rsidRPr="00ED4F10">
        <w:rPr>
          <w:szCs w:val="24"/>
        </w:rPr>
        <w:t xml:space="preserve">] and </w:t>
      </w:r>
      <w:r w:rsidR="00FD357D">
        <w:rPr>
          <w:szCs w:val="24"/>
        </w:rPr>
        <w:t>three</w:t>
      </w:r>
      <w:r w:rsidRPr="00ED4F10" w:rsidR="00FD357D">
        <w:rPr>
          <w:szCs w:val="24"/>
        </w:rPr>
        <w:t xml:space="preserve"> </w:t>
      </w:r>
      <w:r w:rsidRPr="00ED4F10">
        <w:rPr>
          <w:szCs w:val="24"/>
        </w:rPr>
        <w:t xml:space="preserve">times by telephone [Appendix </w:t>
      </w:r>
      <w:r>
        <w:rPr>
          <w:szCs w:val="24"/>
        </w:rPr>
        <w:t>D4</w:t>
      </w:r>
      <w:r w:rsidRPr="00ED4F10">
        <w:rPr>
          <w:szCs w:val="24"/>
        </w:rPr>
        <w:t xml:space="preserve">]) </w:t>
      </w:r>
      <w:r>
        <w:rPr>
          <w:szCs w:val="24"/>
        </w:rPr>
        <w:t>to</w:t>
      </w:r>
      <w:r w:rsidRPr="00ED4F10">
        <w:rPr>
          <w:szCs w:val="24"/>
        </w:rPr>
        <w:t xml:space="preserve"> remind and encourage</w:t>
      </w:r>
      <w:r>
        <w:rPr>
          <w:szCs w:val="24"/>
        </w:rPr>
        <w:t xml:space="preserve"> respondents</w:t>
      </w:r>
      <w:r w:rsidRPr="00ED4F10">
        <w:rPr>
          <w:szCs w:val="24"/>
        </w:rPr>
        <w:t xml:space="preserve"> to complete the survey. The </w:t>
      </w:r>
      <w:r>
        <w:rPr>
          <w:szCs w:val="24"/>
        </w:rPr>
        <w:t>study team</w:t>
      </w:r>
      <w:r w:rsidRPr="00ED4F10">
        <w:rPr>
          <w:szCs w:val="24"/>
        </w:rPr>
        <w:t xml:space="preserve"> will read a prepared script to the respondent and</w:t>
      </w:r>
      <w:r w:rsidR="00FD357D">
        <w:rPr>
          <w:szCs w:val="24"/>
        </w:rPr>
        <w:t>,</w:t>
      </w:r>
      <w:r w:rsidRPr="00ED4F10">
        <w:rPr>
          <w:szCs w:val="24"/>
        </w:rPr>
        <w:t xml:space="preserve"> in addition to encouraging participation, will verify the email address to ensure the web survey is being delivered to the appropriate person. </w:t>
      </w:r>
      <w:r w:rsidRPr="003F0CF7">
        <w:rPr>
          <w:szCs w:val="24"/>
        </w:rPr>
        <w:t xml:space="preserve">To maximize response rates, </w:t>
      </w:r>
      <w:r>
        <w:rPr>
          <w:szCs w:val="24"/>
        </w:rPr>
        <w:t>non-working/incorrect</w:t>
      </w:r>
      <w:r w:rsidRPr="003F0CF7">
        <w:rPr>
          <w:szCs w:val="24"/>
        </w:rPr>
        <w:t xml:space="preserve"> email addresses</w:t>
      </w:r>
      <w:r>
        <w:rPr>
          <w:szCs w:val="24"/>
        </w:rPr>
        <w:t xml:space="preserve"> </w:t>
      </w:r>
      <w:r w:rsidRPr="003F0CF7">
        <w:rPr>
          <w:szCs w:val="24"/>
        </w:rPr>
        <w:t xml:space="preserve">and telephone numbers will be </w:t>
      </w:r>
      <w:r>
        <w:rPr>
          <w:szCs w:val="24"/>
        </w:rPr>
        <w:t>monitored,</w:t>
      </w:r>
      <w:r w:rsidRPr="003F0CF7">
        <w:rPr>
          <w:szCs w:val="24"/>
        </w:rPr>
        <w:t xml:space="preserve"> and new information will be </w:t>
      </w:r>
      <w:r>
        <w:rPr>
          <w:szCs w:val="24"/>
        </w:rPr>
        <w:t>located,</w:t>
      </w:r>
      <w:r w:rsidRPr="003F0CF7">
        <w:rPr>
          <w:szCs w:val="24"/>
        </w:rPr>
        <w:t xml:space="preserve"> </w:t>
      </w:r>
      <w:r>
        <w:rPr>
          <w:szCs w:val="24"/>
        </w:rPr>
        <w:t>if</w:t>
      </w:r>
      <w:r w:rsidRPr="003F0CF7">
        <w:rPr>
          <w:szCs w:val="24"/>
        </w:rPr>
        <w:t xml:space="preserve"> possible.</w:t>
      </w:r>
      <w:r w:rsidRPr="003F0CF7">
        <w:t xml:space="preserve"> </w:t>
      </w:r>
      <w:r>
        <w:rPr>
          <w:szCs w:val="24"/>
        </w:rPr>
        <w:t xml:space="preserve">Once the health system advisor completes the survey, a thank-you email will be sent to express AHRQ’s appreciation </w:t>
      </w:r>
      <w:r>
        <w:rPr>
          <w:iCs/>
          <w:szCs w:val="24"/>
        </w:rPr>
        <w:t>(Appendix D5)</w:t>
      </w:r>
      <w:r>
        <w:rPr>
          <w:szCs w:val="24"/>
        </w:rPr>
        <w:t>.</w:t>
      </w:r>
    </w:p>
    <w:p w:rsidRPr="003B3F98" w:rsidR="002D4812" w:rsidP="00F835AD" w:rsidRDefault="002D4812" w14:paraId="7EC80C04" w14:textId="7A8C369E">
      <w:pPr>
        <w:spacing w:line="276" w:lineRule="auto"/>
        <w:ind w:firstLine="720"/>
        <w:jc w:val="both"/>
        <w:rPr>
          <w:iCs/>
          <w:szCs w:val="24"/>
        </w:rPr>
      </w:pPr>
      <w:r>
        <w:rPr>
          <w:i/>
          <w:szCs w:val="24"/>
        </w:rPr>
        <w:t>Data Collection Management</w:t>
      </w:r>
      <w:r w:rsidRPr="00C25CF1">
        <w:rPr>
          <w:i/>
          <w:szCs w:val="24"/>
        </w:rPr>
        <w:t>.</w:t>
      </w:r>
      <w:r>
        <w:rPr>
          <w:i/>
          <w:szCs w:val="24"/>
        </w:rPr>
        <w:t xml:space="preserve"> </w:t>
      </w:r>
      <w:r>
        <w:rPr>
          <w:iCs/>
          <w:szCs w:val="24"/>
        </w:rPr>
        <w:t xml:space="preserve">The Contractor will closely monitor </w:t>
      </w:r>
      <w:r w:rsidRPr="007506E6">
        <w:rPr>
          <w:iCs/>
          <w:szCs w:val="24"/>
        </w:rPr>
        <w:t>field data collection effort</w:t>
      </w:r>
      <w:r w:rsidR="002A122E">
        <w:rPr>
          <w:iCs/>
          <w:szCs w:val="24"/>
        </w:rPr>
        <w:t>s</w:t>
      </w:r>
      <w:r w:rsidRPr="007506E6">
        <w:rPr>
          <w:iCs/>
          <w:szCs w:val="24"/>
        </w:rPr>
        <w:t xml:space="preserve">. </w:t>
      </w:r>
      <w:r>
        <w:rPr>
          <w:iCs/>
          <w:szCs w:val="24"/>
        </w:rPr>
        <w:t xml:space="preserve">Contact attempts will be recorded and </w:t>
      </w:r>
      <w:r w:rsidRPr="00AA0F74">
        <w:rPr>
          <w:iCs/>
          <w:szCs w:val="24"/>
        </w:rPr>
        <w:t>made available to guide interviewers’ timing of contact attempts.</w:t>
      </w:r>
      <w:r>
        <w:rPr>
          <w:iCs/>
          <w:szCs w:val="24"/>
        </w:rPr>
        <w:t xml:space="preserve"> Supervisors and interviewers will meet regularly to discuss </w:t>
      </w:r>
      <w:r w:rsidRPr="00A652F5">
        <w:rPr>
          <w:iCs/>
          <w:szCs w:val="24"/>
        </w:rPr>
        <w:t>work plans and alternative approaches for contacting and gaining cooperation of individual cases</w:t>
      </w:r>
      <w:r>
        <w:rPr>
          <w:iCs/>
          <w:szCs w:val="24"/>
        </w:rPr>
        <w:t>, as needed</w:t>
      </w:r>
      <w:r w:rsidR="00873559">
        <w:rPr>
          <w:iCs/>
          <w:szCs w:val="24"/>
        </w:rPr>
        <w:t xml:space="preserve">. </w:t>
      </w:r>
      <w:r>
        <w:rPr>
          <w:iCs/>
          <w:szCs w:val="24"/>
        </w:rPr>
        <w:t xml:space="preserve">If the Contractor determines that data </w:t>
      </w:r>
      <w:r w:rsidR="00FD357D">
        <w:rPr>
          <w:iCs/>
          <w:szCs w:val="24"/>
        </w:rPr>
        <w:t>are</w:t>
      </w:r>
      <w:r>
        <w:rPr>
          <w:iCs/>
          <w:szCs w:val="24"/>
        </w:rPr>
        <w:t xml:space="preserve"> missing or responses are unclear, a member of the data collection team may contact the respondent.</w:t>
      </w:r>
      <w:r w:rsidR="00E620D5">
        <w:rPr>
          <w:iCs/>
          <w:szCs w:val="24"/>
        </w:rPr>
        <w:t xml:space="preserve"> </w:t>
      </w:r>
      <w:r w:rsidR="00DF2D06">
        <w:rPr>
          <w:iCs/>
          <w:szCs w:val="24"/>
        </w:rPr>
        <w:t xml:space="preserve">The </w:t>
      </w:r>
      <w:r w:rsidR="00C25C8D">
        <w:rPr>
          <w:iCs/>
          <w:szCs w:val="24"/>
        </w:rPr>
        <w:t>Contractor</w:t>
      </w:r>
      <w:r w:rsidR="00DF2D06">
        <w:rPr>
          <w:iCs/>
          <w:szCs w:val="24"/>
        </w:rPr>
        <w:t xml:space="preserve"> will oversee </w:t>
      </w:r>
      <w:r w:rsidR="00577DB9">
        <w:rPr>
          <w:iCs/>
          <w:szCs w:val="24"/>
        </w:rPr>
        <w:t xml:space="preserve">the management of data including the </w:t>
      </w:r>
      <w:r w:rsidR="007A4C5D">
        <w:rPr>
          <w:iCs/>
          <w:szCs w:val="24"/>
        </w:rPr>
        <w:t xml:space="preserve">coding (as appropriate) and analysis </w:t>
      </w:r>
      <w:r w:rsidR="00DF2D06">
        <w:rPr>
          <w:iCs/>
          <w:szCs w:val="24"/>
        </w:rPr>
        <w:t>of the data</w:t>
      </w:r>
      <w:r w:rsidR="007A4C5D">
        <w:rPr>
          <w:iCs/>
          <w:szCs w:val="24"/>
        </w:rPr>
        <w:t>.</w:t>
      </w:r>
    </w:p>
    <w:p w:rsidR="003D4B9B" w:rsidP="00C76139" w:rsidRDefault="00C26695" w14:paraId="287B8A88" w14:textId="7F28D4E9">
      <w:pPr>
        <w:pStyle w:val="CommentText"/>
        <w:spacing w:line="276" w:lineRule="auto"/>
        <w:ind w:firstLine="720"/>
        <w:jc w:val="both"/>
        <w:rPr>
          <w:sz w:val="24"/>
          <w:szCs w:val="24"/>
        </w:rPr>
      </w:pPr>
      <w:r w:rsidRPr="00211D6C">
        <w:rPr>
          <w:sz w:val="24"/>
          <w:szCs w:val="24"/>
        </w:rPr>
        <w:t xml:space="preserve">Achieving the specified response rates involves using </w:t>
      </w:r>
      <w:r w:rsidRPr="00A3793A">
        <w:rPr>
          <w:sz w:val="24"/>
          <w:szCs w:val="24"/>
        </w:rPr>
        <w:t xml:space="preserve">procedures described below to secure participation once the potential respondents have been identified. </w:t>
      </w:r>
      <w:r w:rsidRPr="00A3793A" w:rsidR="0093172E">
        <w:rPr>
          <w:sz w:val="24"/>
          <w:szCs w:val="24"/>
        </w:rPr>
        <w:t xml:space="preserve">Research </w:t>
      </w:r>
      <w:r w:rsidRPr="00A3793A" w:rsidR="00E51D1C">
        <w:rPr>
          <w:sz w:val="24"/>
          <w:szCs w:val="24"/>
        </w:rPr>
        <w:t>shows that p</w:t>
      </w:r>
      <w:r w:rsidRPr="00A3793A" w:rsidR="00BB69E4">
        <w:rPr>
          <w:sz w:val="24"/>
          <w:szCs w:val="24"/>
        </w:rPr>
        <w:t xml:space="preserve">reliminary notification, multiple follow-ups with respondents, personalization techniques, </w:t>
      </w:r>
      <w:r w:rsidRPr="00A3793A" w:rsidR="006D7A8A">
        <w:rPr>
          <w:sz w:val="24"/>
          <w:szCs w:val="24"/>
        </w:rPr>
        <w:t xml:space="preserve">proof of </w:t>
      </w:r>
      <w:r w:rsidRPr="00A3793A" w:rsidR="00BB69E4">
        <w:rPr>
          <w:sz w:val="24"/>
          <w:szCs w:val="24"/>
        </w:rPr>
        <w:t xml:space="preserve">sponsorship or endorsement, and shorter questionnaires </w:t>
      </w:r>
      <w:r w:rsidRPr="00A3793A" w:rsidR="006D7A8A">
        <w:rPr>
          <w:sz w:val="24"/>
          <w:szCs w:val="24"/>
        </w:rPr>
        <w:t xml:space="preserve">increase </w:t>
      </w:r>
      <w:r w:rsidRPr="00A3793A" w:rsidR="00BB69E4">
        <w:rPr>
          <w:sz w:val="24"/>
          <w:szCs w:val="24"/>
        </w:rPr>
        <w:t>response rates.</w:t>
      </w:r>
      <w:r w:rsidR="00A42352">
        <w:rPr>
          <w:rStyle w:val="FootnoteReference"/>
          <w:sz w:val="24"/>
          <w:szCs w:val="24"/>
        </w:rPr>
        <w:footnoteReference w:id="3"/>
      </w:r>
      <w:r w:rsidRPr="00A3793A" w:rsidR="0093172E">
        <w:rPr>
          <w:sz w:val="24"/>
          <w:szCs w:val="24"/>
        </w:rPr>
        <w:t xml:space="preserve"> </w:t>
      </w:r>
      <w:r w:rsidRPr="00A3793A">
        <w:rPr>
          <w:sz w:val="24"/>
          <w:szCs w:val="24"/>
        </w:rPr>
        <w:t xml:space="preserve">In the </w:t>
      </w:r>
      <w:r w:rsidRPr="00A34A5F">
        <w:rPr>
          <w:sz w:val="24"/>
          <w:szCs w:val="24"/>
        </w:rPr>
        <w:t xml:space="preserve">event an 80 percent response rate is not obtained, a nonresponse bias analysis will be </w:t>
      </w:r>
      <w:r w:rsidRPr="00A34A5F" w:rsidR="00A34A5F">
        <w:rPr>
          <w:sz w:val="24"/>
          <w:szCs w:val="24"/>
        </w:rPr>
        <w:t>conducted,</w:t>
      </w:r>
      <w:r w:rsidRPr="00A34A5F" w:rsidR="00D16F2D">
        <w:rPr>
          <w:sz w:val="24"/>
          <w:szCs w:val="24"/>
        </w:rPr>
        <w:t xml:space="preserve"> </w:t>
      </w:r>
      <w:r w:rsidRPr="00A34A5F" w:rsidR="00042857">
        <w:rPr>
          <w:sz w:val="24"/>
          <w:szCs w:val="24"/>
        </w:rPr>
        <w:t xml:space="preserve">and </w:t>
      </w:r>
      <w:r w:rsidRPr="00A34A5F" w:rsidR="00950058">
        <w:rPr>
          <w:sz w:val="24"/>
          <w:szCs w:val="24"/>
        </w:rPr>
        <w:t>data will be weighted</w:t>
      </w:r>
      <w:r w:rsidRPr="00A34A5F" w:rsidR="00A34A5F">
        <w:rPr>
          <w:sz w:val="24"/>
          <w:szCs w:val="24"/>
        </w:rPr>
        <w:t>.</w:t>
      </w:r>
    </w:p>
    <w:p w:rsidRPr="00871B81" w:rsidR="003D4B9B" w:rsidP="00C76139" w:rsidRDefault="003D4B9B" w14:paraId="6229B2F3" w14:textId="2F11B8E7">
      <w:pPr>
        <w:pStyle w:val="N1-1stBullet"/>
        <w:numPr>
          <w:ilvl w:val="0"/>
          <w:numId w:val="0"/>
        </w:numPr>
        <w:spacing w:line="276" w:lineRule="auto"/>
        <w:ind w:firstLine="576"/>
        <w:jc w:val="both"/>
      </w:pPr>
      <w:r w:rsidRPr="00871B81">
        <w:t xml:space="preserve">Below, we describe the recruitment procedures designed to maximize the number of scholars, health system </w:t>
      </w:r>
      <w:r w:rsidR="001E5976">
        <w:t>advisor</w:t>
      </w:r>
      <w:r w:rsidRPr="00871B81">
        <w:t>s, and program directors who participate in telephone interviews.</w:t>
      </w:r>
    </w:p>
    <w:p w:rsidRPr="00D951BA" w:rsidR="001B5E44" w:rsidP="00C76139" w:rsidRDefault="001B5E44" w14:paraId="6F49E762" w14:textId="69A7C00E">
      <w:pPr>
        <w:pStyle w:val="N1-1stBullet"/>
        <w:tabs>
          <w:tab w:val="clear" w:pos="1152"/>
          <w:tab w:val="num" w:pos="1080"/>
        </w:tabs>
        <w:spacing w:after="0" w:line="276" w:lineRule="auto"/>
        <w:ind w:left="1080" w:hanging="504"/>
        <w:jc w:val="both"/>
        <w:rPr>
          <w:szCs w:val="24"/>
        </w:rPr>
      </w:pPr>
      <w:r w:rsidRPr="00D951BA">
        <w:rPr>
          <w:szCs w:val="24"/>
        </w:rPr>
        <w:lastRenderedPageBreak/>
        <w:t xml:space="preserve">The emailed letters inviting </w:t>
      </w:r>
      <w:r w:rsidRPr="00871B81">
        <w:t xml:space="preserve">scholars, health system </w:t>
      </w:r>
      <w:r w:rsidR="001E5976">
        <w:t>advisor</w:t>
      </w:r>
      <w:r w:rsidRPr="00871B81">
        <w:t xml:space="preserve">s, and program directors </w:t>
      </w:r>
      <w:r w:rsidRPr="00D951BA">
        <w:rPr>
          <w:szCs w:val="24"/>
        </w:rPr>
        <w:t xml:space="preserve">to participate in the </w:t>
      </w:r>
      <w:r>
        <w:rPr>
          <w:szCs w:val="24"/>
        </w:rPr>
        <w:t>interviews</w:t>
      </w:r>
      <w:r w:rsidRPr="00D951BA">
        <w:rPr>
          <w:szCs w:val="24"/>
        </w:rPr>
        <w:t xml:space="preserve"> </w:t>
      </w:r>
      <w:r>
        <w:rPr>
          <w:szCs w:val="24"/>
        </w:rPr>
        <w:t>will be</w:t>
      </w:r>
      <w:r w:rsidRPr="00D951BA">
        <w:rPr>
          <w:szCs w:val="24"/>
        </w:rPr>
        <w:t xml:space="preserve"> carefully developed to emphasize the importance of this study and how the information will help </w:t>
      </w:r>
      <w:r>
        <w:rPr>
          <w:szCs w:val="24"/>
        </w:rPr>
        <w:t>AHRQ</w:t>
      </w:r>
      <w:r w:rsidR="008F348E">
        <w:rPr>
          <w:szCs w:val="24"/>
        </w:rPr>
        <w:t>.</w:t>
      </w:r>
    </w:p>
    <w:p w:rsidRPr="00D951BA" w:rsidR="001B5E44" w:rsidP="00C76139" w:rsidRDefault="001B5E44" w14:paraId="013E975D" w14:textId="77777777">
      <w:pPr>
        <w:pStyle w:val="N1-1stBullet"/>
        <w:tabs>
          <w:tab w:val="clear" w:pos="1152"/>
          <w:tab w:val="num" w:pos="1080"/>
        </w:tabs>
        <w:spacing w:after="0" w:line="276" w:lineRule="auto"/>
        <w:ind w:left="1080" w:hanging="504"/>
        <w:jc w:val="both"/>
        <w:rPr>
          <w:szCs w:val="24"/>
        </w:rPr>
      </w:pPr>
      <w:r>
        <w:rPr>
          <w:szCs w:val="24"/>
        </w:rPr>
        <w:t>A</w:t>
      </w:r>
      <w:r w:rsidRPr="00D951BA">
        <w:rPr>
          <w:szCs w:val="24"/>
        </w:rPr>
        <w:t xml:space="preserve"> toll-free number and email address </w:t>
      </w:r>
      <w:r>
        <w:rPr>
          <w:szCs w:val="24"/>
        </w:rPr>
        <w:t>will be provided to</w:t>
      </w:r>
      <w:r w:rsidRPr="00D951BA">
        <w:rPr>
          <w:szCs w:val="24"/>
        </w:rPr>
        <w:t xml:space="preserve"> respondents</w:t>
      </w:r>
      <w:r>
        <w:rPr>
          <w:szCs w:val="24"/>
        </w:rPr>
        <w:t>. They will be encouraged to call if they have</w:t>
      </w:r>
      <w:r w:rsidRPr="00D951BA">
        <w:rPr>
          <w:szCs w:val="24"/>
        </w:rPr>
        <w:t xml:space="preserve"> questions about the study. </w:t>
      </w:r>
    </w:p>
    <w:p w:rsidRPr="00D951BA" w:rsidR="001B5E44" w:rsidP="00020EA3" w:rsidRDefault="001B5E44" w14:paraId="59416888" w14:textId="1326516B">
      <w:pPr>
        <w:pStyle w:val="N1-1stBullet"/>
        <w:tabs>
          <w:tab w:val="clear" w:pos="1152"/>
          <w:tab w:val="num" w:pos="1080"/>
        </w:tabs>
        <w:spacing w:after="0" w:line="276" w:lineRule="auto"/>
        <w:ind w:left="1080" w:hanging="504"/>
        <w:jc w:val="both"/>
        <w:rPr>
          <w:szCs w:val="24"/>
        </w:rPr>
      </w:pPr>
      <w:r>
        <w:rPr>
          <w:szCs w:val="24"/>
        </w:rPr>
        <w:t>F</w:t>
      </w:r>
      <w:r w:rsidRPr="00D951BA">
        <w:rPr>
          <w:szCs w:val="24"/>
        </w:rPr>
        <w:t>ollow</w:t>
      </w:r>
      <w:r>
        <w:rPr>
          <w:szCs w:val="24"/>
        </w:rPr>
        <w:t>-</w:t>
      </w:r>
      <w:r w:rsidRPr="00D951BA">
        <w:rPr>
          <w:szCs w:val="24"/>
        </w:rPr>
        <w:t xml:space="preserve">up </w:t>
      </w:r>
      <w:r>
        <w:rPr>
          <w:szCs w:val="24"/>
        </w:rPr>
        <w:t>attempts will be made</w:t>
      </w:r>
      <w:r w:rsidR="009E3E1D">
        <w:rPr>
          <w:szCs w:val="24"/>
        </w:rPr>
        <w:t>, as needed,</w:t>
      </w:r>
      <w:r>
        <w:rPr>
          <w:szCs w:val="24"/>
        </w:rPr>
        <w:t xml:space="preserve"> </w:t>
      </w:r>
      <w:r w:rsidR="00634496">
        <w:rPr>
          <w:szCs w:val="24"/>
        </w:rPr>
        <w:t>for</w:t>
      </w:r>
      <w:r w:rsidRPr="00D951BA">
        <w:rPr>
          <w:szCs w:val="24"/>
        </w:rPr>
        <w:t xml:space="preserve"> </w:t>
      </w:r>
      <w:r w:rsidRPr="00871B81">
        <w:t xml:space="preserve">scholars, health system </w:t>
      </w:r>
      <w:r w:rsidR="001E5976">
        <w:t>advisor</w:t>
      </w:r>
      <w:r w:rsidRPr="00871B81">
        <w:t xml:space="preserve">s, and program directors </w:t>
      </w:r>
      <w:r w:rsidRPr="00D951BA">
        <w:rPr>
          <w:szCs w:val="24"/>
        </w:rPr>
        <w:t>who do not respond</w:t>
      </w:r>
      <w:r>
        <w:rPr>
          <w:szCs w:val="24"/>
        </w:rPr>
        <w:t>. The primary purpose of th</w:t>
      </w:r>
      <w:r w:rsidR="003522D8">
        <w:rPr>
          <w:szCs w:val="24"/>
        </w:rPr>
        <w:t>ese</w:t>
      </w:r>
      <w:r>
        <w:rPr>
          <w:szCs w:val="24"/>
        </w:rPr>
        <w:t xml:space="preserve"> call</w:t>
      </w:r>
      <w:r w:rsidR="003522D8">
        <w:rPr>
          <w:szCs w:val="24"/>
        </w:rPr>
        <w:t>s</w:t>
      </w:r>
      <w:r>
        <w:rPr>
          <w:szCs w:val="24"/>
        </w:rPr>
        <w:t xml:space="preserve"> will be to </w:t>
      </w:r>
      <w:r w:rsidR="003522D8">
        <w:rPr>
          <w:szCs w:val="24"/>
        </w:rPr>
        <w:t>encourage</w:t>
      </w:r>
      <w:r w:rsidRPr="00D951BA" w:rsidR="003522D8">
        <w:rPr>
          <w:szCs w:val="24"/>
        </w:rPr>
        <w:t xml:space="preserve"> </w:t>
      </w:r>
      <w:r w:rsidRPr="00D951BA">
        <w:rPr>
          <w:szCs w:val="24"/>
        </w:rPr>
        <w:t xml:space="preserve">them to participate in </w:t>
      </w:r>
      <w:r>
        <w:rPr>
          <w:szCs w:val="24"/>
        </w:rPr>
        <w:t>an interview</w:t>
      </w:r>
      <w:r w:rsidRPr="00D951BA">
        <w:rPr>
          <w:szCs w:val="24"/>
        </w:rPr>
        <w:t xml:space="preserve">. </w:t>
      </w:r>
    </w:p>
    <w:p w:rsidRPr="00521D6D" w:rsidR="00F13539" w:rsidP="00C76139" w:rsidRDefault="00F13539" w14:paraId="33E67300" w14:textId="2B61A2A3">
      <w:pPr>
        <w:pStyle w:val="N1-1stBullet"/>
        <w:tabs>
          <w:tab w:val="clear" w:pos="1152"/>
          <w:tab w:val="num" w:pos="1080"/>
        </w:tabs>
        <w:spacing w:after="0" w:line="276" w:lineRule="auto"/>
        <w:ind w:left="1080" w:hanging="504"/>
        <w:jc w:val="both"/>
        <w:rPr>
          <w:szCs w:val="24"/>
        </w:rPr>
      </w:pPr>
      <w:r w:rsidRPr="00521D6D">
        <w:rPr>
          <w:szCs w:val="24"/>
        </w:rPr>
        <w:t xml:space="preserve">Call-scheduling procedures that are designed to call numbers at different times of the day and different days of the week will be used to improve response rates. </w:t>
      </w:r>
    </w:p>
    <w:p w:rsidRPr="00D578F8" w:rsidR="001B5E44" w:rsidP="00020EA3" w:rsidRDefault="001B5E44" w14:paraId="3996FC52" w14:textId="62625E91">
      <w:pPr>
        <w:pStyle w:val="N1-1stBullet"/>
        <w:tabs>
          <w:tab w:val="clear" w:pos="1152"/>
          <w:tab w:val="num" w:pos="1080"/>
        </w:tabs>
        <w:spacing w:line="276" w:lineRule="auto"/>
        <w:ind w:left="1080" w:hanging="504"/>
        <w:jc w:val="both"/>
      </w:pPr>
      <w:r>
        <w:rPr>
          <w:szCs w:val="24"/>
        </w:rPr>
        <w:t>A</w:t>
      </w:r>
      <w:r w:rsidRPr="00D951BA">
        <w:rPr>
          <w:szCs w:val="24"/>
        </w:rPr>
        <w:t xml:space="preserve"> training for </w:t>
      </w:r>
      <w:r w:rsidRPr="007F5E06">
        <w:rPr>
          <w:szCs w:val="24"/>
        </w:rPr>
        <w:t xml:space="preserve">telephone interviewers </w:t>
      </w:r>
      <w:r>
        <w:rPr>
          <w:szCs w:val="24"/>
        </w:rPr>
        <w:t xml:space="preserve">will be conducted. The training, </w:t>
      </w:r>
      <w:r w:rsidRPr="00D951BA">
        <w:rPr>
          <w:szCs w:val="24"/>
        </w:rPr>
        <w:t>specific to this study</w:t>
      </w:r>
      <w:r>
        <w:rPr>
          <w:szCs w:val="24"/>
        </w:rPr>
        <w:t xml:space="preserve">, </w:t>
      </w:r>
      <w:r w:rsidRPr="006C0289">
        <w:rPr>
          <w:szCs w:val="24"/>
        </w:rPr>
        <w:t>will include an overview of the project, a review of the research questions the study will address, a primer on interviewing practices and procedures, and techniques for encouraging respondent candor</w:t>
      </w:r>
      <w:r>
        <w:rPr>
          <w:szCs w:val="24"/>
        </w:rPr>
        <w:t>.</w:t>
      </w:r>
      <w:r w:rsidRPr="00D951BA">
        <w:rPr>
          <w:szCs w:val="24"/>
        </w:rPr>
        <w:t xml:space="preserve"> </w:t>
      </w:r>
    </w:p>
    <w:p w:rsidRPr="00521D6D" w:rsidR="00C26695" w:rsidP="00C76139" w:rsidRDefault="00D16F2D" w14:paraId="3717DC82" w14:textId="12F4F658">
      <w:pPr>
        <w:pStyle w:val="N1-1stBullet"/>
        <w:numPr>
          <w:ilvl w:val="0"/>
          <w:numId w:val="0"/>
        </w:numPr>
        <w:spacing w:line="276" w:lineRule="auto"/>
        <w:ind w:firstLine="720"/>
        <w:jc w:val="both"/>
      </w:pPr>
      <w:r w:rsidRPr="00521D6D" w:rsidDel="00D16F2D">
        <w:rPr>
          <w:rStyle w:val="CommentReference"/>
        </w:rPr>
        <w:t xml:space="preserve"> </w:t>
      </w:r>
      <w:r w:rsidRPr="00521D6D" w:rsidR="00C26695">
        <w:t>Below, we describe the recruitment procedures designed to maximize the number of</w:t>
      </w:r>
      <w:r w:rsidRPr="00521D6D" w:rsidR="006923EE">
        <w:t xml:space="preserve"> health system </w:t>
      </w:r>
      <w:r w:rsidR="001E5976">
        <w:t>advisor</w:t>
      </w:r>
      <w:r w:rsidRPr="00521D6D" w:rsidR="006923EE">
        <w:t>s who respond to the survey</w:t>
      </w:r>
      <w:r w:rsidRPr="00521D6D" w:rsidR="00C26695">
        <w:t>.</w:t>
      </w:r>
    </w:p>
    <w:p w:rsidRPr="00871B81" w:rsidR="00C26695" w:rsidP="00C76139" w:rsidRDefault="00C26695" w14:paraId="297327BE" w14:textId="2B49CDE2">
      <w:pPr>
        <w:pStyle w:val="N1-1stBullet"/>
        <w:tabs>
          <w:tab w:val="clear" w:pos="1152"/>
          <w:tab w:val="num" w:pos="1080"/>
        </w:tabs>
        <w:spacing w:after="0" w:line="276" w:lineRule="auto"/>
        <w:ind w:left="1080" w:hanging="540"/>
        <w:jc w:val="both"/>
        <w:rPr>
          <w:szCs w:val="24"/>
        </w:rPr>
      </w:pPr>
      <w:r w:rsidRPr="00CE43A6">
        <w:rPr>
          <w:szCs w:val="24"/>
        </w:rPr>
        <w:t>The introductory email will be carefully developed to establish the legitimacy of the study</w:t>
      </w:r>
      <w:r w:rsidR="009A1B2E">
        <w:rPr>
          <w:szCs w:val="24"/>
        </w:rPr>
        <w:t>,</w:t>
      </w:r>
      <w:r w:rsidR="00FC7A6A">
        <w:rPr>
          <w:szCs w:val="24"/>
        </w:rPr>
        <w:t xml:space="preserve"> </w:t>
      </w:r>
      <w:r w:rsidR="009A1B2E">
        <w:rPr>
          <w:szCs w:val="24"/>
        </w:rPr>
        <w:t xml:space="preserve">the importance of the </w:t>
      </w:r>
      <w:r w:rsidR="00FC7A6A">
        <w:rPr>
          <w:szCs w:val="24"/>
        </w:rPr>
        <w:t xml:space="preserve">study, </w:t>
      </w:r>
      <w:r w:rsidR="00FD4FF2">
        <w:rPr>
          <w:szCs w:val="24"/>
        </w:rPr>
        <w:t xml:space="preserve">and </w:t>
      </w:r>
      <w:r w:rsidR="009533E1">
        <w:rPr>
          <w:szCs w:val="24"/>
        </w:rPr>
        <w:t>the</w:t>
      </w:r>
      <w:r w:rsidRPr="00CE43A6" w:rsidR="009533E1">
        <w:rPr>
          <w:szCs w:val="24"/>
        </w:rPr>
        <w:t xml:space="preserve"> </w:t>
      </w:r>
      <w:r w:rsidRPr="00CE43A6">
        <w:rPr>
          <w:szCs w:val="24"/>
        </w:rPr>
        <w:t xml:space="preserve">connection </w:t>
      </w:r>
      <w:r w:rsidR="009533E1">
        <w:rPr>
          <w:szCs w:val="24"/>
        </w:rPr>
        <w:t>of the study</w:t>
      </w:r>
      <w:r w:rsidRPr="00CE43A6">
        <w:rPr>
          <w:szCs w:val="24"/>
        </w:rPr>
        <w:t xml:space="preserve"> to larger </w:t>
      </w:r>
      <w:r w:rsidRPr="00CE43A6" w:rsidR="00A34A5F">
        <w:rPr>
          <w:szCs w:val="24"/>
        </w:rPr>
        <w:t>AHRQ</w:t>
      </w:r>
      <w:r w:rsidRPr="00CE43A6">
        <w:rPr>
          <w:szCs w:val="24"/>
        </w:rPr>
        <w:t xml:space="preserve"> goal</w:t>
      </w:r>
      <w:r w:rsidR="00CE43A6">
        <w:rPr>
          <w:szCs w:val="24"/>
        </w:rPr>
        <w:t>s</w:t>
      </w:r>
      <w:r w:rsidRPr="00CE43A6" w:rsidR="00CE43A6">
        <w:rPr>
          <w:szCs w:val="24"/>
        </w:rPr>
        <w:t xml:space="preserve">. </w:t>
      </w:r>
      <w:r w:rsidRPr="00CE43A6">
        <w:rPr>
          <w:szCs w:val="24"/>
        </w:rPr>
        <w:t xml:space="preserve">These procedures help increase </w:t>
      </w:r>
      <w:r w:rsidR="009533E1">
        <w:rPr>
          <w:szCs w:val="24"/>
        </w:rPr>
        <w:t xml:space="preserve">respondent </w:t>
      </w:r>
      <w:r w:rsidRPr="00CE43A6">
        <w:rPr>
          <w:szCs w:val="24"/>
        </w:rPr>
        <w:t xml:space="preserve">participation by increasing the perceived benefits of the data </w:t>
      </w:r>
      <w:r w:rsidRPr="00871B81">
        <w:rPr>
          <w:szCs w:val="24"/>
        </w:rPr>
        <w:t>collection</w:t>
      </w:r>
      <w:r w:rsidRPr="00871B81" w:rsidR="00DA5B34">
        <w:rPr>
          <w:szCs w:val="24"/>
        </w:rPr>
        <w:t xml:space="preserve"> </w:t>
      </w:r>
      <w:r w:rsidR="00600274">
        <w:rPr>
          <w:szCs w:val="24"/>
        </w:rPr>
        <w:t>and</w:t>
      </w:r>
      <w:r w:rsidRPr="00871B81" w:rsidR="00DA5B34">
        <w:rPr>
          <w:szCs w:val="24"/>
        </w:rPr>
        <w:t xml:space="preserve"> </w:t>
      </w:r>
      <w:r w:rsidR="009533E1">
        <w:rPr>
          <w:szCs w:val="24"/>
        </w:rPr>
        <w:t xml:space="preserve">by </w:t>
      </w:r>
      <w:r w:rsidR="00130801">
        <w:rPr>
          <w:szCs w:val="24"/>
        </w:rPr>
        <w:t>providing</w:t>
      </w:r>
      <w:r w:rsidR="009533E1">
        <w:rPr>
          <w:szCs w:val="24"/>
        </w:rPr>
        <w:t xml:space="preserve"> </w:t>
      </w:r>
      <w:r w:rsidRPr="00871B81" w:rsidR="00DA5B34">
        <w:rPr>
          <w:szCs w:val="24"/>
        </w:rPr>
        <w:t>advance notice.</w:t>
      </w:r>
    </w:p>
    <w:p w:rsidR="00C26695" w:rsidP="00C76139" w:rsidRDefault="00C26695" w14:paraId="41C8668F" w14:textId="59D27E87">
      <w:pPr>
        <w:pStyle w:val="N1-1stBullet"/>
        <w:tabs>
          <w:tab w:val="clear" w:pos="1152"/>
          <w:tab w:val="num" w:pos="1080"/>
        </w:tabs>
        <w:spacing w:after="0" w:line="276" w:lineRule="auto"/>
        <w:ind w:left="1080" w:hanging="504"/>
        <w:jc w:val="both"/>
        <w:rPr>
          <w:szCs w:val="24"/>
        </w:rPr>
      </w:pPr>
      <w:r w:rsidRPr="00871B81">
        <w:rPr>
          <w:szCs w:val="24"/>
        </w:rPr>
        <w:t>Email</w:t>
      </w:r>
      <w:r w:rsidR="00D717C3">
        <w:rPr>
          <w:szCs w:val="24"/>
        </w:rPr>
        <w:t>ed</w:t>
      </w:r>
      <w:r w:rsidRPr="00871B81">
        <w:rPr>
          <w:szCs w:val="24"/>
        </w:rPr>
        <w:t xml:space="preserve"> follow-up attempts will be made with all </w:t>
      </w:r>
      <w:r w:rsidRPr="00871B81" w:rsidR="00CE43A6">
        <w:rPr>
          <w:szCs w:val="24"/>
        </w:rPr>
        <w:t xml:space="preserve">health system </w:t>
      </w:r>
      <w:r w:rsidR="001E5976">
        <w:rPr>
          <w:szCs w:val="24"/>
        </w:rPr>
        <w:t>advisor</w:t>
      </w:r>
      <w:r w:rsidRPr="00871B81" w:rsidR="00CE43A6">
        <w:rPr>
          <w:szCs w:val="24"/>
        </w:rPr>
        <w:t>s</w:t>
      </w:r>
      <w:r w:rsidRPr="00871B81">
        <w:rPr>
          <w:szCs w:val="24"/>
        </w:rPr>
        <w:t xml:space="preserve"> who do not </w:t>
      </w:r>
      <w:r w:rsidRPr="00871B81" w:rsidR="00CE43A6">
        <w:rPr>
          <w:szCs w:val="24"/>
        </w:rPr>
        <w:t>complete the survey</w:t>
      </w:r>
      <w:r w:rsidRPr="00871B81">
        <w:rPr>
          <w:szCs w:val="24"/>
        </w:rPr>
        <w:t xml:space="preserve"> by the due date cited. The primary purpose of the contact attempts will be to urge </w:t>
      </w:r>
      <w:r w:rsidRPr="00871B81" w:rsidR="00871B81">
        <w:rPr>
          <w:szCs w:val="24"/>
        </w:rPr>
        <w:t xml:space="preserve">health system </w:t>
      </w:r>
      <w:r w:rsidR="001E5976">
        <w:rPr>
          <w:szCs w:val="24"/>
        </w:rPr>
        <w:t>advisor</w:t>
      </w:r>
      <w:r w:rsidRPr="00871B81" w:rsidR="00871B81">
        <w:rPr>
          <w:szCs w:val="24"/>
        </w:rPr>
        <w:t>s</w:t>
      </w:r>
      <w:r w:rsidRPr="00871B81">
        <w:rPr>
          <w:szCs w:val="24"/>
        </w:rPr>
        <w:t xml:space="preserve"> to </w:t>
      </w:r>
      <w:r w:rsidRPr="00871B81" w:rsidR="00871B81">
        <w:rPr>
          <w:szCs w:val="24"/>
        </w:rPr>
        <w:t>complete the survey</w:t>
      </w:r>
      <w:r w:rsidRPr="00871B81">
        <w:rPr>
          <w:szCs w:val="24"/>
        </w:rPr>
        <w:t xml:space="preserve"> as soon as possible. </w:t>
      </w:r>
    </w:p>
    <w:p w:rsidRPr="00521D6D" w:rsidR="00871B81" w:rsidP="00C76139" w:rsidRDefault="00871B81" w14:paraId="79822D97" w14:textId="7BE0265B">
      <w:pPr>
        <w:pStyle w:val="N1-1stBullet"/>
        <w:tabs>
          <w:tab w:val="clear" w:pos="1152"/>
          <w:tab w:val="num" w:pos="1080"/>
        </w:tabs>
        <w:spacing w:after="0" w:line="276" w:lineRule="auto"/>
        <w:ind w:left="1080" w:hanging="504"/>
        <w:jc w:val="both"/>
        <w:rPr>
          <w:szCs w:val="24"/>
        </w:rPr>
      </w:pPr>
      <w:r w:rsidRPr="00521D6D">
        <w:rPr>
          <w:szCs w:val="24"/>
        </w:rPr>
        <w:t>A toll-free number and email address for the study will be provided</w:t>
      </w:r>
      <w:r w:rsidR="00BB75B2">
        <w:rPr>
          <w:szCs w:val="24"/>
        </w:rPr>
        <w:t>,</w:t>
      </w:r>
      <w:r w:rsidRPr="00521D6D">
        <w:rPr>
          <w:szCs w:val="24"/>
        </w:rPr>
        <w:t xml:space="preserve"> so respondents can receive assistance with the survey. </w:t>
      </w:r>
    </w:p>
    <w:p w:rsidRPr="00181FB6" w:rsidR="00C26695" w:rsidP="00181FB6" w:rsidRDefault="00521D6D" w14:paraId="4013612D" w14:textId="4C4D4018">
      <w:pPr>
        <w:pStyle w:val="N1-1stBullet"/>
        <w:tabs>
          <w:tab w:val="clear" w:pos="1152"/>
          <w:tab w:val="num" w:pos="1080"/>
        </w:tabs>
        <w:spacing w:after="0" w:line="276" w:lineRule="auto"/>
        <w:ind w:left="1080" w:hanging="504"/>
        <w:jc w:val="both"/>
        <w:rPr>
          <w:szCs w:val="24"/>
        </w:rPr>
      </w:pPr>
      <w:r w:rsidRPr="00521D6D">
        <w:rPr>
          <w:szCs w:val="24"/>
        </w:rPr>
        <w:t xml:space="preserve">Call-scheduling procedures that are designed to call numbers at different times of the day and different days of the week will be used to improve response rates. </w:t>
      </w:r>
    </w:p>
    <w:p w:rsidR="00C26695" w:rsidP="00C76139" w:rsidRDefault="00C26695" w14:paraId="2C74FA77" w14:textId="108FA56A">
      <w:pPr>
        <w:pStyle w:val="Heading2"/>
        <w:tabs>
          <w:tab w:val="left" w:pos="720"/>
        </w:tabs>
        <w:spacing w:before="240" w:line="276" w:lineRule="auto"/>
        <w:ind w:left="720" w:hanging="720"/>
        <w:rPr>
          <w:szCs w:val="24"/>
        </w:rPr>
      </w:pPr>
      <w:bookmarkStart w:name="_Toc282506045" w:id="14"/>
      <w:bookmarkStart w:name="_Toc5007134" w:id="15"/>
      <w:r w:rsidRPr="00663692">
        <w:rPr>
          <w:szCs w:val="24"/>
        </w:rPr>
        <w:t>4</w:t>
      </w:r>
      <w:r w:rsidR="000D5CD6">
        <w:rPr>
          <w:szCs w:val="24"/>
        </w:rPr>
        <w:t xml:space="preserve">. </w:t>
      </w:r>
      <w:bookmarkEnd w:id="14"/>
      <w:r w:rsidRPr="000D5CD6" w:rsidR="000D5CD6">
        <w:rPr>
          <w:szCs w:val="24"/>
        </w:rPr>
        <w:t xml:space="preserve">Test of Procedures </w:t>
      </w:r>
      <w:bookmarkEnd w:id="15"/>
    </w:p>
    <w:p w:rsidR="00347143" w:rsidP="007B1306" w:rsidRDefault="00347143" w14:paraId="662C1AA6" w14:textId="1F829435">
      <w:pPr>
        <w:spacing w:line="276" w:lineRule="auto"/>
        <w:jc w:val="both"/>
        <w:rPr>
          <w:rFonts w:eastAsiaTheme="minorHAnsi"/>
          <w:szCs w:val="24"/>
        </w:rPr>
      </w:pPr>
      <w:r>
        <w:t>The Contractor conducted usability testing of the Health System Advisor Survey (Appendix D1</w:t>
      </w:r>
      <w:r w:rsidR="33084E69">
        <w:t>) and related email communication materials (Appendices D2, D3, and D5)</w:t>
      </w:r>
      <w:r>
        <w:t xml:space="preserve"> in April 2020 with </w:t>
      </w:r>
      <w:r w:rsidR="2F85C727">
        <w:t>eight members of their research team</w:t>
      </w:r>
      <w:r>
        <w:t>.</w:t>
      </w:r>
      <w:r w:rsidRPr="000F5E30" w:rsidR="000F5E30">
        <w:t xml:space="preserve"> The survey was tested using multiple modes (computer, cellular telephone [androids and iPhones], and tablet iPads, Samsung tablet</w:t>
      </w:r>
      <w:r w:rsidR="0069544B">
        <w:t>s</w:t>
      </w:r>
      <w:r w:rsidRPr="000F5E30" w:rsidR="000F5E30">
        <w:t>, and Kindle Fire</w:t>
      </w:r>
      <w:r w:rsidR="0069544B">
        <w:t>s</w:t>
      </w:r>
      <w:r w:rsidRPr="000F5E30" w:rsidR="000F5E30">
        <w:t xml:space="preserve">]) and across various browsers (Chrome, Safari, Edge, Firefox, Internet Explorer, and Safari). </w:t>
      </w:r>
      <w:r w:rsidR="004800C4">
        <w:t>Test participants</w:t>
      </w:r>
      <w:r w:rsidRPr="000F5E30" w:rsidR="000F5E30">
        <w:t xml:space="preserve"> were assigned to </w:t>
      </w:r>
      <w:r w:rsidR="004800C4">
        <w:t xml:space="preserve">one of </w:t>
      </w:r>
      <w:r w:rsidRPr="000F5E30" w:rsidR="000F5E30">
        <w:t xml:space="preserve">two groups, one that would be sent the reminder email and one that would not. </w:t>
      </w:r>
      <w:r w:rsidR="00576501">
        <w:t>Test participants</w:t>
      </w:r>
      <w:r w:rsidRPr="000F5E30" w:rsidR="000F5E30">
        <w:t xml:space="preserve"> also tested the “close and continue at a later time” function. </w:t>
      </w:r>
      <w:r>
        <w:t xml:space="preserve">Minor changes were made to the survey </w:t>
      </w:r>
      <w:r w:rsidR="0028015F">
        <w:t>materials</w:t>
      </w:r>
      <w:r>
        <w:t xml:space="preserve"> including streamlining response options and clarifying the wording of one question. </w:t>
      </w:r>
    </w:p>
    <w:p w:rsidR="00C26695" w:rsidP="00181FB6" w:rsidRDefault="00C26695" w14:paraId="67F61B98" w14:textId="77777777">
      <w:pPr>
        <w:spacing w:line="276" w:lineRule="auto"/>
        <w:jc w:val="both"/>
        <w:rPr>
          <w:color w:val="FF0000"/>
        </w:rPr>
      </w:pPr>
    </w:p>
    <w:p w:rsidRPr="00331424" w:rsidR="00C26695" w:rsidP="00C76139" w:rsidRDefault="00C26695" w14:paraId="678D8E8D" w14:textId="27AD63E3">
      <w:pPr>
        <w:pStyle w:val="Heading2"/>
        <w:tabs>
          <w:tab w:val="left" w:pos="720"/>
        </w:tabs>
        <w:spacing w:line="276" w:lineRule="auto"/>
        <w:ind w:left="720" w:hanging="720"/>
        <w:rPr>
          <w:szCs w:val="24"/>
        </w:rPr>
      </w:pPr>
      <w:bookmarkStart w:name="_Toc282506046" w:id="16"/>
      <w:bookmarkStart w:name="_Toc339621325" w:id="17"/>
      <w:bookmarkStart w:name="_Toc5007135" w:id="18"/>
      <w:r w:rsidRPr="00331424">
        <w:rPr>
          <w:szCs w:val="24"/>
        </w:rPr>
        <w:t>5</w:t>
      </w:r>
      <w:r w:rsidR="000D5CD6">
        <w:rPr>
          <w:szCs w:val="24"/>
        </w:rPr>
        <w:t xml:space="preserve">. </w:t>
      </w:r>
      <w:bookmarkEnd w:id="16"/>
      <w:bookmarkEnd w:id="17"/>
      <w:bookmarkEnd w:id="18"/>
      <w:r w:rsidRPr="00CD6BAD" w:rsidR="00921761">
        <w:rPr>
          <w:szCs w:val="24"/>
        </w:rPr>
        <w:t xml:space="preserve">Statistical </w:t>
      </w:r>
      <w:r w:rsidR="00921761">
        <w:rPr>
          <w:szCs w:val="24"/>
        </w:rPr>
        <w:t>Consultants</w:t>
      </w:r>
    </w:p>
    <w:p w:rsidR="00050133" w:rsidP="007B1306" w:rsidRDefault="00C26695" w14:paraId="5FBB0FDF" w14:textId="02BA6901">
      <w:pPr>
        <w:spacing w:line="276" w:lineRule="auto"/>
        <w:jc w:val="both"/>
        <w:rPr>
          <w:b/>
          <w:bCs/>
        </w:rPr>
      </w:pPr>
      <w:r w:rsidRPr="006E10CB">
        <w:t xml:space="preserve">The Contractor, 2M Research, will </w:t>
      </w:r>
      <w:r w:rsidR="006C5DE9">
        <w:t xml:space="preserve">serve as the primary consultant for statistical aspects of the design and analysis of the study. Dr. Regina James, 2M Research’s project director, is the primary point of contact for statistical design and analyses. She can be reached at </w:t>
      </w:r>
      <w:hyperlink w:history="1" r:id="rId17">
        <w:r w:rsidRPr="007B631C" w:rsidR="006C5DE9">
          <w:rPr>
            <w:rStyle w:val="Hyperlink"/>
          </w:rPr>
          <w:t>rjames@2mresearch.com</w:t>
        </w:r>
      </w:hyperlink>
      <w:r w:rsidR="006C5DE9">
        <w:t xml:space="preserve"> or 703-721-8359. </w:t>
      </w:r>
    </w:p>
    <w:p w:rsidR="00725119" w:rsidP="00050133" w:rsidRDefault="00725119" w14:paraId="4D357798" w14:textId="77777777">
      <w:pPr>
        <w:spacing w:line="276" w:lineRule="auto"/>
        <w:rPr>
          <w:b/>
          <w:bCs/>
        </w:rPr>
        <w:sectPr w:rsidR="00725119" w:rsidSect="006C548C">
          <w:headerReference w:type="default" r:id="rId18"/>
          <w:headerReference w:type="first" r:id="rId19"/>
          <w:footerReference w:type="first" r:id="rId20"/>
          <w:pgSz w:w="12240" w:h="15840"/>
          <w:pgMar w:top="1440" w:right="1440" w:bottom="1440" w:left="1440" w:header="720" w:footer="720" w:gutter="0"/>
          <w:pgNumType w:start="1"/>
          <w:cols w:space="720"/>
          <w:titlePg/>
          <w:docGrid w:linePitch="360"/>
        </w:sectPr>
      </w:pPr>
    </w:p>
    <w:p w:rsidRPr="005C2EBB" w:rsidR="0054383D" w:rsidP="0054383D" w:rsidRDefault="0054383D" w14:paraId="28642C57" w14:textId="77777777">
      <w:pPr>
        <w:pStyle w:val="Heading2"/>
        <w:jc w:val="both"/>
        <w:rPr>
          <w:szCs w:val="24"/>
        </w:rPr>
      </w:pPr>
      <w:r>
        <w:rPr>
          <w:szCs w:val="24"/>
        </w:rPr>
        <w:lastRenderedPageBreak/>
        <w:t xml:space="preserve">List of </w:t>
      </w:r>
      <w:r w:rsidRPr="005C2EBB">
        <w:rPr>
          <w:szCs w:val="24"/>
        </w:rPr>
        <w:t>Appendices</w:t>
      </w:r>
      <w:r>
        <w:rPr>
          <w:rStyle w:val="FootnoteReference"/>
          <w:szCs w:val="24"/>
        </w:rPr>
        <w:footnoteReference w:id="4"/>
      </w:r>
    </w:p>
    <w:p w:rsidR="001E5976" w:rsidP="001E5976" w:rsidRDefault="001E5976" w14:paraId="187717F0" w14:textId="77777777">
      <w:pPr>
        <w:tabs>
          <w:tab w:val="left" w:pos="270"/>
          <w:tab w:val="left" w:leader="dot" w:pos="7830"/>
        </w:tabs>
        <w:spacing w:line="276" w:lineRule="auto"/>
        <w:rPr>
          <w:bCs/>
        </w:rPr>
      </w:pPr>
      <w:r>
        <w:rPr>
          <w:bCs/>
        </w:rPr>
        <w:t>Appendix A1.     Scholar Interview Guide</w:t>
      </w:r>
    </w:p>
    <w:p w:rsidR="001E5976" w:rsidP="001E5976" w:rsidRDefault="001E5976" w14:paraId="2BDE20A4" w14:textId="77777777">
      <w:pPr>
        <w:tabs>
          <w:tab w:val="left" w:pos="720"/>
        </w:tabs>
        <w:spacing w:line="276" w:lineRule="auto"/>
        <w:ind w:left="720" w:hanging="720"/>
        <w:rPr>
          <w:bCs/>
        </w:rPr>
      </w:pPr>
      <w:r>
        <w:rPr>
          <w:bCs/>
        </w:rPr>
        <w:t>Appendix A2.     Scholar Invitation Email</w:t>
      </w:r>
      <w:r>
        <w:rPr>
          <w:bCs/>
        </w:rPr>
        <w:tab/>
      </w:r>
    </w:p>
    <w:p w:rsidR="001E5976" w:rsidP="001E5976" w:rsidRDefault="001E5976" w14:paraId="0396EDE0" w14:textId="77777777">
      <w:pPr>
        <w:tabs>
          <w:tab w:val="left" w:pos="720"/>
        </w:tabs>
        <w:spacing w:line="276" w:lineRule="auto"/>
        <w:ind w:left="720" w:hanging="720"/>
        <w:rPr>
          <w:bCs/>
        </w:rPr>
      </w:pPr>
      <w:r>
        <w:rPr>
          <w:bCs/>
        </w:rPr>
        <w:t>Appendix A3.     Scholar Study Description/FAQs</w:t>
      </w:r>
    </w:p>
    <w:p w:rsidR="001E5976" w:rsidP="001E5976" w:rsidRDefault="001E5976" w14:paraId="503069FD" w14:textId="77777777">
      <w:pPr>
        <w:tabs>
          <w:tab w:val="left" w:pos="720"/>
        </w:tabs>
        <w:spacing w:line="276" w:lineRule="auto"/>
        <w:ind w:left="720" w:hanging="720"/>
        <w:rPr>
          <w:bCs/>
        </w:rPr>
      </w:pPr>
      <w:r>
        <w:rPr>
          <w:bCs/>
        </w:rPr>
        <w:t>Appendix A4.     Scholar Invitation Reminder Email</w:t>
      </w:r>
      <w:r>
        <w:rPr>
          <w:bCs/>
        </w:rPr>
        <w:tab/>
      </w:r>
    </w:p>
    <w:p w:rsidR="001E5976" w:rsidP="001E5976" w:rsidRDefault="001E5976" w14:paraId="6C5EF0EA" w14:textId="77777777">
      <w:pPr>
        <w:tabs>
          <w:tab w:val="left" w:pos="720"/>
        </w:tabs>
        <w:spacing w:line="276" w:lineRule="auto"/>
        <w:ind w:left="720" w:hanging="720"/>
        <w:rPr>
          <w:bCs/>
        </w:rPr>
      </w:pPr>
      <w:r>
        <w:rPr>
          <w:bCs/>
        </w:rPr>
        <w:t>Appendix A5.     Scholar Telephone Recruitment Script</w:t>
      </w:r>
    </w:p>
    <w:p w:rsidR="001E5976" w:rsidP="001E5976" w:rsidRDefault="001E5976" w14:paraId="114D3154" w14:textId="77777777">
      <w:pPr>
        <w:tabs>
          <w:tab w:val="left" w:pos="720"/>
        </w:tabs>
        <w:spacing w:line="276" w:lineRule="auto"/>
        <w:ind w:left="720" w:hanging="720"/>
        <w:rPr>
          <w:bCs/>
        </w:rPr>
      </w:pPr>
      <w:r>
        <w:rPr>
          <w:bCs/>
        </w:rPr>
        <w:t>Appendix A6.     Scholar Scheduling Email</w:t>
      </w:r>
      <w:r>
        <w:rPr>
          <w:bCs/>
        </w:rPr>
        <w:tab/>
      </w:r>
    </w:p>
    <w:p w:rsidR="001E5976" w:rsidP="001E5976" w:rsidRDefault="001E5976" w14:paraId="596A21C8" w14:textId="77777777">
      <w:pPr>
        <w:tabs>
          <w:tab w:val="left" w:pos="720"/>
        </w:tabs>
        <w:spacing w:line="276" w:lineRule="auto"/>
        <w:ind w:left="720" w:hanging="720"/>
        <w:rPr>
          <w:bCs/>
        </w:rPr>
      </w:pPr>
      <w:r>
        <w:rPr>
          <w:bCs/>
        </w:rPr>
        <w:t>Appendix A7.     Scholar Confirmation Email</w:t>
      </w:r>
      <w:r>
        <w:rPr>
          <w:bCs/>
        </w:rPr>
        <w:tab/>
      </w:r>
    </w:p>
    <w:p w:rsidR="001E5976" w:rsidP="001E5976" w:rsidRDefault="001E5976" w14:paraId="579ECD52" w14:textId="77777777">
      <w:pPr>
        <w:tabs>
          <w:tab w:val="left" w:pos="720"/>
        </w:tabs>
        <w:spacing w:line="276" w:lineRule="auto"/>
        <w:ind w:left="720" w:hanging="720"/>
        <w:rPr>
          <w:bCs/>
        </w:rPr>
      </w:pPr>
      <w:r>
        <w:rPr>
          <w:bCs/>
        </w:rPr>
        <w:t>Appendix A8.     Scholar Reminder Email</w:t>
      </w:r>
      <w:r>
        <w:rPr>
          <w:bCs/>
        </w:rPr>
        <w:tab/>
      </w:r>
    </w:p>
    <w:p w:rsidR="001E5976" w:rsidP="001E5976" w:rsidRDefault="001E5976" w14:paraId="0237B090" w14:textId="77777777">
      <w:pPr>
        <w:tabs>
          <w:tab w:val="left" w:pos="720"/>
        </w:tabs>
        <w:spacing w:line="276" w:lineRule="auto"/>
        <w:ind w:left="720" w:hanging="720"/>
        <w:rPr>
          <w:bCs/>
        </w:rPr>
      </w:pPr>
      <w:r>
        <w:rPr>
          <w:bCs/>
        </w:rPr>
        <w:t>Appendix A9.     Scholar Reminder Telephone Script</w:t>
      </w:r>
      <w:r>
        <w:rPr>
          <w:bCs/>
        </w:rPr>
        <w:tab/>
      </w:r>
    </w:p>
    <w:p w:rsidR="001E5976" w:rsidP="001E5976" w:rsidRDefault="001E5976" w14:paraId="2D7D3BC3" w14:textId="17F0B159">
      <w:pPr>
        <w:tabs>
          <w:tab w:val="left" w:pos="720"/>
        </w:tabs>
        <w:spacing w:line="276" w:lineRule="auto"/>
        <w:ind w:left="720" w:hanging="720"/>
        <w:rPr>
          <w:bCs/>
        </w:rPr>
      </w:pPr>
      <w:r>
        <w:rPr>
          <w:bCs/>
        </w:rPr>
        <w:t>Appendix A10.   Scholar Thank</w:t>
      </w:r>
      <w:r w:rsidR="000B321D">
        <w:rPr>
          <w:bCs/>
        </w:rPr>
        <w:t>-</w:t>
      </w:r>
      <w:r>
        <w:rPr>
          <w:bCs/>
        </w:rPr>
        <w:t>You Email</w:t>
      </w:r>
      <w:r>
        <w:rPr>
          <w:bCs/>
        </w:rPr>
        <w:tab/>
      </w:r>
    </w:p>
    <w:p w:rsidR="001E5976" w:rsidP="001E5976" w:rsidRDefault="001E5976" w14:paraId="386A6B34" w14:textId="77777777">
      <w:pPr>
        <w:tabs>
          <w:tab w:val="left" w:pos="270"/>
          <w:tab w:val="left" w:leader="dot" w:pos="7830"/>
        </w:tabs>
        <w:spacing w:line="276" w:lineRule="auto"/>
        <w:rPr>
          <w:bCs/>
        </w:rPr>
      </w:pPr>
    </w:p>
    <w:p w:rsidR="001E5976" w:rsidP="001E5976" w:rsidRDefault="001E5976" w14:paraId="659F7FAE" w14:textId="07D06A5E">
      <w:pPr>
        <w:tabs>
          <w:tab w:val="left" w:pos="270"/>
          <w:tab w:val="left" w:leader="dot" w:pos="7830"/>
        </w:tabs>
        <w:spacing w:line="276" w:lineRule="auto"/>
        <w:rPr>
          <w:bCs/>
        </w:rPr>
      </w:pPr>
      <w:r>
        <w:rPr>
          <w:bCs/>
        </w:rPr>
        <w:t xml:space="preserve">Appendix B1.     </w:t>
      </w:r>
      <w:r w:rsidR="006D1970">
        <w:rPr>
          <w:bCs/>
        </w:rPr>
        <w:t>HS</w:t>
      </w:r>
      <w:r w:rsidR="000E3C6C">
        <w:rPr>
          <w:bCs/>
        </w:rPr>
        <w:t>A</w:t>
      </w:r>
      <w:r>
        <w:rPr>
          <w:bCs/>
        </w:rPr>
        <w:t xml:space="preserve"> Interview Guide</w:t>
      </w:r>
    </w:p>
    <w:p w:rsidR="001E5976" w:rsidP="001E5976" w:rsidRDefault="001E5976" w14:paraId="32F23597" w14:textId="618D531E">
      <w:pPr>
        <w:tabs>
          <w:tab w:val="left" w:pos="720"/>
        </w:tabs>
        <w:spacing w:line="276" w:lineRule="auto"/>
        <w:ind w:left="720" w:hanging="720"/>
        <w:rPr>
          <w:bCs/>
        </w:rPr>
      </w:pPr>
      <w:r>
        <w:rPr>
          <w:bCs/>
        </w:rPr>
        <w:t xml:space="preserve">Appendix B2.     </w:t>
      </w:r>
      <w:r w:rsidR="006D1970">
        <w:rPr>
          <w:bCs/>
        </w:rPr>
        <w:t>HS</w:t>
      </w:r>
      <w:r w:rsidR="001909E6">
        <w:rPr>
          <w:bCs/>
        </w:rPr>
        <w:t>A</w:t>
      </w:r>
      <w:r>
        <w:rPr>
          <w:bCs/>
        </w:rPr>
        <w:t xml:space="preserve"> Invitation Email</w:t>
      </w:r>
      <w:r>
        <w:rPr>
          <w:bCs/>
        </w:rPr>
        <w:tab/>
      </w:r>
    </w:p>
    <w:p w:rsidR="001E5976" w:rsidP="001E5976" w:rsidRDefault="001E5976" w14:paraId="10FEB39B" w14:textId="05BA7DDE">
      <w:pPr>
        <w:tabs>
          <w:tab w:val="left" w:pos="720"/>
        </w:tabs>
        <w:spacing w:line="276" w:lineRule="auto"/>
        <w:ind w:left="720" w:hanging="720"/>
        <w:rPr>
          <w:bCs/>
        </w:rPr>
      </w:pPr>
      <w:r>
        <w:rPr>
          <w:bCs/>
        </w:rPr>
        <w:t xml:space="preserve">Appendix B3.     </w:t>
      </w:r>
      <w:r w:rsidR="006D1970">
        <w:rPr>
          <w:bCs/>
        </w:rPr>
        <w:t>HS</w:t>
      </w:r>
      <w:r w:rsidR="001909E6">
        <w:rPr>
          <w:bCs/>
        </w:rPr>
        <w:t>A</w:t>
      </w:r>
      <w:r>
        <w:rPr>
          <w:bCs/>
        </w:rPr>
        <w:t xml:space="preserve"> Study Description/FAQs</w:t>
      </w:r>
    </w:p>
    <w:p w:rsidR="001E5976" w:rsidP="001E5976" w:rsidRDefault="001E5976" w14:paraId="163CFB4E" w14:textId="5E7B6A90">
      <w:pPr>
        <w:tabs>
          <w:tab w:val="left" w:pos="720"/>
        </w:tabs>
        <w:spacing w:line="276" w:lineRule="auto"/>
        <w:ind w:left="720" w:hanging="720"/>
        <w:rPr>
          <w:bCs/>
        </w:rPr>
      </w:pPr>
      <w:r>
        <w:rPr>
          <w:bCs/>
        </w:rPr>
        <w:t xml:space="preserve">Appendix B4.     </w:t>
      </w:r>
      <w:r w:rsidR="006D1970">
        <w:rPr>
          <w:bCs/>
        </w:rPr>
        <w:t>HS</w:t>
      </w:r>
      <w:r w:rsidR="001909E6">
        <w:rPr>
          <w:bCs/>
        </w:rPr>
        <w:t>A</w:t>
      </w:r>
      <w:r>
        <w:rPr>
          <w:bCs/>
        </w:rPr>
        <w:t xml:space="preserve"> Invitation Reminder Email</w:t>
      </w:r>
    </w:p>
    <w:p w:rsidR="001E5976" w:rsidP="001E5976" w:rsidRDefault="001E5976" w14:paraId="3C81A971" w14:textId="3FB40A01">
      <w:pPr>
        <w:tabs>
          <w:tab w:val="left" w:pos="720"/>
        </w:tabs>
        <w:spacing w:line="276" w:lineRule="auto"/>
        <w:ind w:left="720" w:hanging="720"/>
        <w:rPr>
          <w:bCs/>
        </w:rPr>
      </w:pPr>
      <w:r>
        <w:rPr>
          <w:bCs/>
        </w:rPr>
        <w:t xml:space="preserve">Appendix B5.     </w:t>
      </w:r>
      <w:r w:rsidR="006D1970">
        <w:rPr>
          <w:bCs/>
        </w:rPr>
        <w:t>HS</w:t>
      </w:r>
      <w:r w:rsidR="001909E6">
        <w:rPr>
          <w:bCs/>
        </w:rPr>
        <w:t>A</w:t>
      </w:r>
      <w:r>
        <w:rPr>
          <w:bCs/>
        </w:rPr>
        <w:t xml:space="preserve"> Telephone Recruitment Script</w:t>
      </w:r>
    </w:p>
    <w:p w:rsidR="001E5976" w:rsidP="001E5976" w:rsidRDefault="001E5976" w14:paraId="554E202D" w14:textId="35BB4842">
      <w:pPr>
        <w:tabs>
          <w:tab w:val="left" w:pos="720"/>
        </w:tabs>
        <w:spacing w:line="276" w:lineRule="auto"/>
        <w:ind w:left="720" w:hanging="720"/>
        <w:rPr>
          <w:bCs/>
        </w:rPr>
      </w:pPr>
      <w:r>
        <w:rPr>
          <w:bCs/>
        </w:rPr>
        <w:t xml:space="preserve">Appendix B6.     </w:t>
      </w:r>
      <w:r w:rsidR="006D1970">
        <w:rPr>
          <w:bCs/>
        </w:rPr>
        <w:t>HS</w:t>
      </w:r>
      <w:r w:rsidR="001909E6">
        <w:rPr>
          <w:bCs/>
        </w:rPr>
        <w:t>A</w:t>
      </w:r>
      <w:r>
        <w:rPr>
          <w:bCs/>
        </w:rPr>
        <w:t xml:space="preserve"> Scheduling Email</w:t>
      </w:r>
    </w:p>
    <w:p w:rsidR="001E5976" w:rsidP="001E5976" w:rsidRDefault="001E5976" w14:paraId="31354D2B" w14:textId="6CCFE8BC">
      <w:pPr>
        <w:tabs>
          <w:tab w:val="left" w:pos="720"/>
        </w:tabs>
        <w:spacing w:line="276" w:lineRule="auto"/>
        <w:ind w:left="720" w:hanging="720"/>
        <w:rPr>
          <w:bCs/>
        </w:rPr>
      </w:pPr>
      <w:r>
        <w:rPr>
          <w:bCs/>
        </w:rPr>
        <w:t xml:space="preserve">Appendix B7.     </w:t>
      </w:r>
      <w:r w:rsidR="006D1970">
        <w:rPr>
          <w:bCs/>
        </w:rPr>
        <w:t>HS</w:t>
      </w:r>
      <w:r w:rsidR="001909E6">
        <w:rPr>
          <w:bCs/>
        </w:rPr>
        <w:t>A</w:t>
      </w:r>
      <w:r>
        <w:rPr>
          <w:bCs/>
        </w:rPr>
        <w:t xml:space="preserve"> Confirmation Email</w:t>
      </w:r>
      <w:r>
        <w:rPr>
          <w:bCs/>
        </w:rPr>
        <w:tab/>
      </w:r>
    </w:p>
    <w:p w:rsidR="001E5976" w:rsidP="001E5976" w:rsidRDefault="001E5976" w14:paraId="64DE36E5" w14:textId="7F206F8D">
      <w:pPr>
        <w:tabs>
          <w:tab w:val="left" w:pos="720"/>
        </w:tabs>
        <w:spacing w:line="276" w:lineRule="auto"/>
        <w:ind w:left="720" w:hanging="720"/>
        <w:rPr>
          <w:bCs/>
        </w:rPr>
      </w:pPr>
      <w:r>
        <w:rPr>
          <w:bCs/>
        </w:rPr>
        <w:t xml:space="preserve">Appendix B8.     </w:t>
      </w:r>
      <w:r w:rsidR="006D1970">
        <w:rPr>
          <w:bCs/>
        </w:rPr>
        <w:t>HS</w:t>
      </w:r>
      <w:r w:rsidR="001909E6">
        <w:rPr>
          <w:bCs/>
        </w:rPr>
        <w:t>A</w:t>
      </w:r>
      <w:r>
        <w:rPr>
          <w:bCs/>
        </w:rPr>
        <w:t xml:space="preserve"> Reminder Email</w:t>
      </w:r>
      <w:r>
        <w:rPr>
          <w:bCs/>
        </w:rPr>
        <w:tab/>
      </w:r>
    </w:p>
    <w:p w:rsidR="001E5976" w:rsidP="001E5976" w:rsidRDefault="001E5976" w14:paraId="3BECEBF3" w14:textId="1A646CC9">
      <w:pPr>
        <w:tabs>
          <w:tab w:val="left" w:pos="720"/>
        </w:tabs>
        <w:spacing w:line="276" w:lineRule="auto"/>
        <w:ind w:left="720" w:hanging="720"/>
        <w:rPr>
          <w:bCs/>
        </w:rPr>
      </w:pPr>
      <w:r>
        <w:rPr>
          <w:bCs/>
        </w:rPr>
        <w:t xml:space="preserve">Appendix B9.     </w:t>
      </w:r>
      <w:r w:rsidR="006D1970">
        <w:rPr>
          <w:bCs/>
        </w:rPr>
        <w:t>HS</w:t>
      </w:r>
      <w:r w:rsidR="001909E6">
        <w:rPr>
          <w:bCs/>
        </w:rPr>
        <w:t>A</w:t>
      </w:r>
      <w:r>
        <w:rPr>
          <w:bCs/>
        </w:rPr>
        <w:t xml:space="preserve"> Reminder Telephone Script</w:t>
      </w:r>
      <w:r>
        <w:rPr>
          <w:bCs/>
        </w:rPr>
        <w:tab/>
      </w:r>
    </w:p>
    <w:p w:rsidR="001E5976" w:rsidP="001E5976" w:rsidRDefault="001E5976" w14:paraId="0B248D51" w14:textId="19AE188A">
      <w:pPr>
        <w:tabs>
          <w:tab w:val="left" w:pos="720"/>
        </w:tabs>
        <w:spacing w:line="276" w:lineRule="auto"/>
        <w:ind w:left="720" w:hanging="720"/>
        <w:rPr>
          <w:bCs/>
        </w:rPr>
      </w:pPr>
      <w:r>
        <w:rPr>
          <w:bCs/>
        </w:rPr>
        <w:t xml:space="preserve">Appendix B10.   </w:t>
      </w:r>
      <w:r w:rsidR="006D1970">
        <w:rPr>
          <w:bCs/>
        </w:rPr>
        <w:t>HS</w:t>
      </w:r>
      <w:r w:rsidR="001909E6">
        <w:rPr>
          <w:bCs/>
        </w:rPr>
        <w:t>A</w:t>
      </w:r>
      <w:r>
        <w:rPr>
          <w:bCs/>
        </w:rPr>
        <w:t xml:space="preserve"> Thank</w:t>
      </w:r>
      <w:r w:rsidR="004A31C9">
        <w:rPr>
          <w:bCs/>
        </w:rPr>
        <w:t>-</w:t>
      </w:r>
      <w:r>
        <w:rPr>
          <w:bCs/>
        </w:rPr>
        <w:t>You Email</w:t>
      </w:r>
      <w:r>
        <w:rPr>
          <w:bCs/>
        </w:rPr>
        <w:tab/>
      </w:r>
    </w:p>
    <w:p w:rsidR="001E5976" w:rsidP="001E5976" w:rsidRDefault="001E5976" w14:paraId="144E0D35" w14:textId="77777777">
      <w:pPr>
        <w:tabs>
          <w:tab w:val="left" w:pos="270"/>
          <w:tab w:val="left" w:leader="dot" w:pos="7830"/>
        </w:tabs>
        <w:spacing w:line="276" w:lineRule="auto"/>
        <w:rPr>
          <w:bCs/>
        </w:rPr>
      </w:pPr>
    </w:p>
    <w:p w:rsidR="001E5976" w:rsidP="001E5976" w:rsidRDefault="001E5976" w14:paraId="115D6740" w14:textId="6D62EB03">
      <w:pPr>
        <w:tabs>
          <w:tab w:val="left" w:pos="270"/>
          <w:tab w:val="left" w:leader="dot" w:pos="7830"/>
        </w:tabs>
        <w:spacing w:line="276" w:lineRule="auto"/>
        <w:rPr>
          <w:bCs/>
        </w:rPr>
      </w:pPr>
      <w:r>
        <w:rPr>
          <w:bCs/>
        </w:rPr>
        <w:t xml:space="preserve">Appendix C1.     </w:t>
      </w:r>
      <w:r w:rsidR="006D1970">
        <w:rPr>
          <w:bCs/>
        </w:rPr>
        <w:t>PD</w:t>
      </w:r>
      <w:r>
        <w:rPr>
          <w:bCs/>
        </w:rPr>
        <w:t xml:space="preserve"> Interview Guide</w:t>
      </w:r>
    </w:p>
    <w:p w:rsidR="001E5976" w:rsidP="001E5976" w:rsidRDefault="001E5976" w14:paraId="474EB02E" w14:textId="06DED00C">
      <w:pPr>
        <w:tabs>
          <w:tab w:val="left" w:pos="720"/>
        </w:tabs>
        <w:spacing w:line="276" w:lineRule="auto"/>
        <w:ind w:left="720" w:hanging="720"/>
        <w:rPr>
          <w:bCs/>
        </w:rPr>
      </w:pPr>
      <w:r>
        <w:rPr>
          <w:bCs/>
        </w:rPr>
        <w:t xml:space="preserve">Appendix C2.     </w:t>
      </w:r>
      <w:r w:rsidR="006D1970">
        <w:rPr>
          <w:bCs/>
        </w:rPr>
        <w:t>PD</w:t>
      </w:r>
      <w:r>
        <w:rPr>
          <w:bCs/>
        </w:rPr>
        <w:t xml:space="preserve"> Invitation Email</w:t>
      </w:r>
      <w:r>
        <w:rPr>
          <w:bCs/>
        </w:rPr>
        <w:tab/>
      </w:r>
    </w:p>
    <w:p w:rsidR="001E5976" w:rsidP="001E5976" w:rsidRDefault="001E5976" w14:paraId="30C9BBD0" w14:textId="2CE01CE0">
      <w:pPr>
        <w:tabs>
          <w:tab w:val="left" w:pos="720"/>
        </w:tabs>
        <w:spacing w:line="276" w:lineRule="auto"/>
        <w:ind w:left="720" w:hanging="720"/>
        <w:rPr>
          <w:bCs/>
        </w:rPr>
      </w:pPr>
      <w:r>
        <w:rPr>
          <w:bCs/>
        </w:rPr>
        <w:t xml:space="preserve">Appendix C3.     </w:t>
      </w:r>
      <w:r w:rsidR="006D1970">
        <w:rPr>
          <w:bCs/>
        </w:rPr>
        <w:t>PD</w:t>
      </w:r>
      <w:r>
        <w:rPr>
          <w:bCs/>
        </w:rPr>
        <w:t xml:space="preserve"> Study Description/FAQs</w:t>
      </w:r>
    </w:p>
    <w:p w:rsidR="001E5976" w:rsidP="001E5976" w:rsidRDefault="001E5976" w14:paraId="4636F201" w14:textId="2CC07FEA">
      <w:pPr>
        <w:tabs>
          <w:tab w:val="left" w:pos="720"/>
        </w:tabs>
        <w:spacing w:line="276" w:lineRule="auto"/>
        <w:ind w:left="720" w:hanging="720"/>
        <w:rPr>
          <w:bCs/>
        </w:rPr>
      </w:pPr>
      <w:r>
        <w:rPr>
          <w:bCs/>
        </w:rPr>
        <w:t xml:space="preserve">Appendix C4.     </w:t>
      </w:r>
      <w:r w:rsidR="006D1970">
        <w:rPr>
          <w:bCs/>
        </w:rPr>
        <w:t>PD</w:t>
      </w:r>
      <w:r>
        <w:rPr>
          <w:bCs/>
        </w:rPr>
        <w:t xml:space="preserve"> Invitation Reminder Email</w:t>
      </w:r>
    </w:p>
    <w:p w:rsidR="001E5976" w:rsidP="001E5976" w:rsidRDefault="001E5976" w14:paraId="44EEE93A" w14:textId="6FF7F2DF">
      <w:pPr>
        <w:tabs>
          <w:tab w:val="left" w:pos="720"/>
        </w:tabs>
        <w:spacing w:line="276" w:lineRule="auto"/>
        <w:ind w:left="720" w:hanging="720"/>
        <w:rPr>
          <w:bCs/>
        </w:rPr>
      </w:pPr>
      <w:r>
        <w:rPr>
          <w:bCs/>
        </w:rPr>
        <w:t xml:space="preserve">Appendix C5.     </w:t>
      </w:r>
      <w:r w:rsidR="006D1970">
        <w:rPr>
          <w:bCs/>
        </w:rPr>
        <w:t>PD</w:t>
      </w:r>
      <w:r>
        <w:rPr>
          <w:bCs/>
        </w:rPr>
        <w:t xml:space="preserve"> Telephone Recruitment Script</w:t>
      </w:r>
    </w:p>
    <w:p w:rsidR="001E5976" w:rsidP="001E5976" w:rsidRDefault="001E5976" w14:paraId="1C76403F" w14:textId="162D3E10">
      <w:pPr>
        <w:tabs>
          <w:tab w:val="left" w:pos="720"/>
        </w:tabs>
        <w:spacing w:line="276" w:lineRule="auto"/>
        <w:ind w:left="720" w:hanging="720"/>
        <w:rPr>
          <w:bCs/>
        </w:rPr>
      </w:pPr>
      <w:r>
        <w:rPr>
          <w:bCs/>
        </w:rPr>
        <w:t xml:space="preserve">Appendix C6.     </w:t>
      </w:r>
      <w:r w:rsidR="006D1970">
        <w:rPr>
          <w:bCs/>
        </w:rPr>
        <w:t>PD</w:t>
      </w:r>
      <w:r>
        <w:rPr>
          <w:bCs/>
        </w:rPr>
        <w:t xml:space="preserve"> Scheduling Email</w:t>
      </w:r>
    </w:p>
    <w:p w:rsidR="001E5976" w:rsidP="001E5976" w:rsidRDefault="001E5976" w14:paraId="7F8B731F" w14:textId="60B2B8C3">
      <w:pPr>
        <w:tabs>
          <w:tab w:val="left" w:pos="720"/>
        </w:tabs>
        <w:spacing w:line="276" w:lineRule="auto"/>
        <w:ind w:left="720" w:hanging="720"/>
        <w:rPr>
          <w:bCs/>
        </w:rPr>
      </w:pPr>
      <w:r>
        <w:rPr>
          <w:bCs/>
        </w:rPr>
        <w:t xml:space="preserve">Appendix C7.     </w:t>
      </w:r>
      <w:r w:rsidR="006D1970">
        <w:rPr>
          <w:bCs/>
        </w:rPr>
        <w:t>PD</w:t>
      </w:r>
      <w:r>
        <w:rPr>
          <w:bCs/>
        </w:rPr>
        <w:t xml:space="preserve"> Confirmation Email</w:t>
      </w:r>
      <w:r>
        <w:rPr>
          <w:bCs/>
        </w:rPr>
        <w:tab/>
      </w:r>
    </w:p>
    <w:p w:rsidR="001E5976" w:rsidP="001E5976" w:rsidRDefault="001E5976" w14:paraId="23CC5BFB" w14:textId="4366FF95">
      <w:pPr>
        <w:tabs>
          <w:tab w:val="left" w:pos="720"/>
        </w:tabs>
        <w:spacing w:line="276" w:lineRule="auto"/>
        <w:ind w:left="720" w:hanging="720"/>
        <w:rPr>
          <w:bCs/>
        </w:rPr>
      </w:pPr>
      <w:r>
        <w:rPr>
          <w:bCs/>
        </w:rPr>
        <w:t xml:space="preserve">Appendix C8.     </w:t>
      </w:r>
      <w:r w:rsidR="006D1970">
        <w:rPr>
          <w:bCs/>
        </w:rPr>
        <w:t>PD</w:t>
      </w:r>
      <w:r>
        <w:rPr>
          <w:bCs/>
        </w:rPr>
        <w:t xml:space="preserve"> Reminder Email</w:t>
      </w:r>
      <w:r>
        <w:rPr>
          <w:bCs/>
        </w:rPr>
        <w:tab/>
      </w:r>
    </w:p>
    <w:p w:rsidR="001E5976" w:rsidP="001E5976" w:rsidRDefault="001E5976" w14:paraId="71F17F6D" w14:textId="6167E2CD">
      <w:pPr>
        <w:tabs>
          <w:tab w:val="left" w:pos="720"/>
        </w:tabs>
        <w:spacing w:line="276" w:lineRule="auto"/>
        <w:ind w:left="720" w:hanging="720"/>
        <w:rPr>
          <w:bCs/>
        </w:rPr>
      </w:pPr>
      <w:r>
        <w:rPr>
          <w:bCs/>
        </w:rPr>
        <w:t xml:space="preserve">Appendix C9.     </w:t>
      </w:r>
      <w:r w:rsidR="006D1970">
        <w:rPr>
          <w:bCs/>
        </w:rPr>
        <w:t>PD</w:t>
      </w:r>
      <w:r>
        <w:rPr>
          <w:bCs/>
        </w:rPr>
        <w:t xml:space="preserve"> Reminder Telephone Script</w:t>
      </w:r>
      <w:r>
        <w:rPr>
          <w:bCs/>
        </w:rPr>
        <w:tab/>
      </w:r>
    </w:p>
    <w:p w:rsidR="001E5976" w:rsidP="001E5976" w:rsidRDefault="001E5976" w14:paraId="58B2713B" w14:textId="3C1D2992">
      <w:pPr>
        <w:tabs>
          <w:tab w:val="left" w:pos="720"/>
        </w:tabs>
        <w:spacing w:line="276" w:lineRule="auto"/>
        <w:ind w:left="720" w:hanging="720"/>
        <w:rPr>
          <w:bCs/>
        </w:rPr>
      </w:pPr>
      <w:r>
        <w:rPr>
          <w:bCs/>
        </w:rPr>
        <w:t xml:space="preserve">Appendix C10.   </w:t>
      </w:r>
      <w:r w:rsidR="006D1970">
        <w:rPr>
          <w:bCs/>
        </w:rPr>
        <w:t>PD</w:t>
      </w:r>
      <w:r>
        <w:rPr>
          <w:bCs/>
        </w:rPr>
        <w:t xml:space="preserve"> Thank</w:t>
      </w:r>
      <w:r w:rsidR="004A31C9">
        <w:rPr>
          <w:bCs/>
        </w:rPr>
        <w:t>-</w:t>
      </w:r>
      <w:r>
        <w:rPr>
          <w:bCs/>
        </w:rPr>
        <w:t>You Email</w:t>
      </w:r>
      <w:r>
        <w:rPr>
          <w:bCs/>
        </w:rPr>
        <w:tab/>
      </w:r>
    </w:p>
    <w:p w:rsidR="001E5976" w:rsidP="001E5976" w:rsidRDefault="001E5976" w14:paraId="50AECF5B" w14:textId="77777777">
      <w:pPr>
        <w:tabs>
          <w:tab w:val="left" w:pos="270"/>
          <w:tab w:val="left" w:leader="dot" w:pos="7830"/>
        </w:tabs>
        <w:spacing w:line="276" w:lineRule="auto"/>
        <w:rPr>
          <w:bCs/>
        </w:rPr>
      </w:pPr>
    </w:p>
    <w:p w:rsidR="001E5976" w:rsidP="001E5976" w:rsidRDefault="001E5976" w14:paraId="5D55B79D" w14:textId="45D0A0B4">
      <w:pPr>
        <w:tabs>
          <w:tab w:val="left" w:pos="270"/>
          <w:tab w:val="left" w:leader="dot" w:pos="7830"/>
        </w:tabs>
        <w:spacing w:line="276" w:lineRule="auto"/>
        <w:rPr>
          <w:bCs/>
        </w:rPr>
      </w:pPr>
      <w:r>
        <w:rPr>
          <w:bCs/>
        </w:rPr>
        <w:t xml:space="preserve">Appendix D1.     </w:t>
      </w:r>
      <w:r w:rsidR="000E3C6C">
        <w:rPr>
          <w:bCs/>
        </w:rPr>
        <w:t xml:space="preserve">HSA </w:t>
      </w:r>
      <w:r>
        <w:rPr>
          <w:bCs/>
        </w:rPr>
        <w:t>Survey</w:t>
      </w:r>
    </w:p>
    <w:p w:rsidR="001E5976" w:rsidP="001E5976" w:rsidRDefault="001E5976" w14:paraId="3C71EEE8" w14:textId="6FB1EAFC">
      <w:pPr>
        <w:tabs>
          <w:tab w:val="left" w:pos="720"/>
        </w:tabs>
        <w:spacing w:line="276" w:lineRule="auto"/>
        <w:ind w:left="720" w:hanging="720"/>
      </w:pPr>
      <w:r>
        <w:rPr>
          <w:bCs/>
        </w:rPr>
        <w:t xml:space="preserve">Appendix D2.     </w:t>
      </w:r>
      <w:r w:rsidR="00591B53">
        <w:rPr>
          <w:bCs/>
        </w:rPr>
        <w:t>HSA</w:t>
      </w:r>
      <w:r>
        <w:rPr>
          <w:bCs/>
        </w:rPr>
        <w:t xml:space="preserve"> </w:t>
      </w:r>
      <w:r>
        <w:t>Survey Invitation Email</w:t>
      </w:r>
      <w:r>
        <w:tab/>
      </w:r>
    </w:p>
    <w:p w:rsidR="001E5976" w:rsidP="001E5976" w:rsidRDefault="001E5976" w14:paraId="79E71132" w14:textId="1790BE56">
      <w:pPr>
        <w:tabs>
          <w:tab w:val="left" w:pos="720"/>
        </w:tabs>
        <w:spacing w:line="276" w:lineRule="auto"/>
        <w:ind w:left="720" w:hanging="720"/>
      </w:pPr>
      <w:r>
        <w:rPr>
          <w:bCs/>
        </w:rPr>
        <w:t xml:space="preserve">Appendix D3.     </w:t>
      </w:r>
      <w:r w:rsidR="00591B53">
        <w:rPr>
          <w:bCs/>
        </w:rPr>
        <w:t>HSA</w:t>
      </w:r>
      <w:r>
        <w:rPr>
          <w:bCs/>
        </w:rPr>
        <w:t xml:space="preserve"> </w:t>
      </w:r>
      <w:r>
        <w:t>Survey Reminder Email</w:t>
      </w:r>
      <w:r>
        <w:tab/>
      </w:r>
    </w:p>
    <w:p w:rsidR="001E5976" w:rsidP="001E5976" w:rsidRDefault="001E5976" w14:paraId="308B9FFB" w14:textId="26E2953A">
      <w:pPr>
        <w:tabs>
          <w:tab w:val="left" w:pos="720"/>
        </w:tabs>
        <w:spacing w:line="276" w:lineRule="auto"/>
        <w:ind w:left="720" w:hanging="720"/>
      </w:pPr>
      <w:r>
        <w:rPr>
          <w:bCs/>
        </w:rPr>
        <w:lastRenderedPageBreak/>
        <w:t xml:space="preserve">Appendix D4.     </w:t>
      </w:r>
      <w:r w:rsidR="00591B53">
        <w:rPr>
          <w:bCs/>
        </w:rPr>
        <w:t>HSA</w:t>
      </w:r>
      <w:r>
        <w:rPr>
          <w:bCs/>
        </w:rPr>
        <w:t xml:space="preserve"> </w:t>
      </w:r>
      <w:r>
        <w:t>Survey Reminder Telephone Script</w:t>
      </w:r>
      <w:r>
        <w:tab/>
      </w:r>
    </w:p>
    <w:p w:rsidRPr="001E5976" w:rsidR="00050133" w:rsidP="001E5976" w:rsidRDefault="001E5976" w14:paraId="006DECD1" w14:textId="1D3C1447">
      <w:pPr>
        <w:tabs>
          <w:tab w:val="left" w:pos="1440"/>
          <w:tab w:val="left" w:leader="dot" w:pos="7830"/>
          <w:tab w:val="right" w:leader="dot" w:pos="8208"/>
        </w:tabs>
        <w:spacing w:line="276" w:lineRule="auto"/>
        <w:rPr>
          <w:bCs/>
          <w:highlight w:val="yellow"/>
        </w:rPr>
      </w:pPr>
      <w:r>
        <w:rPr>
          <w:bCs/>
        </w:rPr>
        <w:t xml:space="preserve">Appendix D5.     </w:t>
      </w:r>
      <w:r w:rsidR="00591B53">
        <w:rPr>
          <w:bCs/>
        </w:rPr>
        <w:t>HSA</w:t>
      </w:r>
      <w:r>
        <w:rPr>
          <w:bCs/>
        </w:rPr>
        <w:t xml:space="preserve"> </w:t>
      </w:r>
      <w:r>
        <w:t>Survey Thank</w:t>
      </w:r>
      <w:r w:rsidR="004A31C9">
        <w:t>-</w:t>
      </w:r>
      <w:r>
        <w:t>You Email</w:t>
      </w:r>
    </w:p>
    <w:sectPr w:rsidRPr="001E5976" w:rsidR="00050133" w:rsidSect="00404C6D">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BEEB33" w14:textId="77777777" w:rsidR="00C10972" w:rsidRDefault="00C10972" w:rsidP="00C26695">
      <w:pPr>
        <w:spacing w:line="240" w:lineRule="auto"/>
      </w:pPr>
      <w:r>
        <w:separator/>
      </w:r>
    </w:p>
  </w:endnote>
  <w:endnote w:type="continuationSeparator" w:id="0">
    <w:p w14:paraId="19DBC94E" w14:textId="77777777" w:rsidR="00C10972" w:rsidRDefault="00C10972" w:rsidP="00C26695">
      <w:pPr>
        <w:spacing w:line="240" w:lineRule="auto"/>
      </w:pPr>
      <w:r>
        <w:continuationSeparator/>
      </w:r>
    </w:p>
  </w:endnote>
  <w:endnote w:type="continuationNotice" w:id="1">
    <w:p w14:paraId="1D0B3E92" w14:textId="77777777" w:rsidR="00C10972" w:rsidRDefault="00C1097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6025644"/>
      <w:docPartObj>
        <w:docPartGallery w:val="Page Numbers (Bottom of Page)"/>
        <w:docPartUnique/>
      </w:docPartObj>
    </w:sdtPr>
    <w:sdtEndPr>
      <w:rPr>
        <w:noProof/>
        <w:sz w:val="20"/>
      </w:rPr>
    </w:sdtEndPr>
    <w:sdtContent>
      <w:p w14:paraId="331577DA" w14:textId="44286BBF" w:rsidR="006C548C" w:rsidRPr="00317A8F" w:rsidRDefault="004C0494" w:rsidP="004C0494">
        <w:pPr>
          <w:pStyle w:val="Footer"/>
          <w:jc w:val="center"/>
          <w:rPr>
            <w:sz w:val="20"/>
          </w:rPr>
        </w:pPr>
        <w:r w:rsidRPr="00317A8F">
          <w:rPr>
            <w:sz w:val="20"/>
          </w:rPr>
          <w:fldChar w:fldCharType="begin"/>
        </w:r>
        <w:r w:rsidRPr="00317A8F">
          <w:rPr>
            <w:sz w:val="20"/>
          </w:rPr>
          <w:instrText xml:space="preserve"> PAGE   \* MERGEFORMAT </w:instrText>
        </w:r>
        <w:r w:rsidRPr="00317A8F">
          <w:rPr>
            <w:sz w:val="20"/>
          </w:rPr>
          <w:fldChar w:fldCharType="separate"/>
        </w:r>
        <w:r w:rsidR="004774D9">
          <w:rPr>
            <w:noProof/>
            <w:sz w:val="20"/>
          </w:rPr>
          <w:t>7</w:t>
        </w:r>
        <w:r w:rsidRPr="00317A8F">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59DA7" w14:textId="167D80D4" w:rsidR="00AC4A22" w:rsidRPr="00400AEE" w:rsidRDefault="00AC4A22" w:rsidP="006C548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6134557"/>
      <w:docPartObj>
        <w:docPartGallery w:val="Page Numbers (Bottom of Page)"/>
        <w:docPartUnique/>
      </w:docPartObj>
    </w:sdtPr>
    <w:sdtEndPr>
      <w:rPr>
        <w:noProof/>
      </w:rPr>
    </w:sdtEndPr>
    <w:sdtContent>
      <w:p w14:paraId="7753DB96" w14:textId="20F398B5" w:rsidR="00B27829" w:rsidRPr="00400AEE" w:rsidRDefault="00B27829" w:rsidP="006C548C">
        <w:pPr>
          <w:pStyle w:val="Footer"/>
          <w:jc w:val="center"/>
        </w:pPr>
        <w:r>
          <w:fldChar w:fldCharType="begin"/>
        </w:r>
        <w:r>
          <w:instrText xml:space="preserve"> PAGE   \* MERGEFORMAT </w:instrText>
        </w:r>
        <w:r>
          <w:fldChar w:fldCharType="separate"/>
        </w:r>
        <w:r w:rsidR="004774D9">
          <w:rPr>
            <w:noProof/>
          </w:rPr>
          <w:t>i</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9956701"/>
      <w:docPartObj>
        <w:docPartGallery w:val="Page Numbers (Bottom of Page)"/>
        <w:docPartUnique/>
      </w:docPartObj>
    </w:sdtPr>
    <w:sdtEndPr>
      <w:rPr>
        <w:noProof/>
      </w:rPr>
    </w:sdtEndPr>
    <w:sdtContent>
      <w:p w14:paraId="78385774" w14:textId="1DCDFF09" w:rsidR="006C548C" w:rsidRPr="00400AEE" w:rsidRDefault="006C548C" w:rsidP="006C548C">
        <w:pPr>
          <w:pStyle w:val="Footer"/>
          <w:jc w:val="center"/>
        </w:pPr>
        <w:r>
          <w:fldChar w:fldCharType="begin"/>
        </w:r>
        <w:r>
          <w:instrText xml:space="preserve"> PAGE   \* MERGEFORMAT </w:instrText>
        </w:r>
        <w:r>
          <w:fldChar w:fldCharType="separate"/>
        </w:r>
        <w:r w:rsidR="004774D9">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4D62F6" w14:textId="77777777" w:rsidR="00C10972" w:rsidRDefault="00C10972" w:rsidP="00C26695">
      <w:pPr>
        <w:spacing w:line="240" w:lineRule="auto"/>
      </w:pPr>
      <w:r>
        <w:separator/>
      </w:r>
    </w:p>
  </w:footnote>
  <w:footnote w:type="continuationSeparator" w:id="0">
    <w:p w14:paraId="70E23C87" w14:textId="77777777" w:rsidR="00C10972" w:rsidRDefault="00C10972" w:rsidP="00C26695">
      <w:pPr>
        <w:spacing w:line="240" w:lineRule="auto"/>
      </w:pPr>
      <w:r>
        <w:continuationSeparator/>
      </w:r>
    </w:p>
  </w:footnote>
  <w:footnote w:type="continuationNotice" w:id="1">
    <w:p w14:paraId="4D7C543A" w14:textId="77777777" w:rsidR="00C10972" w:rsidRDefault="00C10972">
      <w:pPr>
        <w:spacing w:line="240" w:lineRule="auto"/>
      </w:pPr>
    </w:p>
  </w:footnote>
  <w:footnote w:id="2">
    <w:p w14:paraId="3985F1D2" w14:textId="77777777" w:rsidR="00C555A6" w:rsidRDefault="00C555A6" w:rsidP="00C555A6">
      <w:pPr>
        <w:pStyle w:val="FootnoteText"/>
        <w:spacing w:before="0"/>
      </w:pPr>
      <w:r>
        <w:rPr>
          <w:rStyle w:val="FootnoteReference"/>
          <w:rFonts w:ascii="Times New Roman" w:hAnsi="Times New Roman"/>
          <w:sz w:val="20"/>
        </w:rPr>
        <w:footnoteRef/>
      </w:r>
      <w:r>
        <w:rPr>
          <w:rFonts w:ascii="Times New Roman" w:hAnsi="Times New Roman"/>
          <w:sz w:val="20"/>
        </w:rPr>
        <w:t xml:space="preserve"> Note, this is not the unique number of respondents. It is assumed that the same health system advisor will respond to the survey twice (once at the beginning of a scholar’s tenure and once close to when the scholar is expected to complete the LHS K12 program [in approximately 2 years]) during the data collection period. </w:t>
      </w:r>
    </w:p>
  </w:footnote>
  <w:footnote w:id="3">
    <w:p w14:paraId="5C7CEE8C" w14:textId="67A51FC9" w:rsidR="00A42352" w:rsidRPr="00FC491F" w:rsidRDefault="00A42352">
      <w:pPr>
        <w:pStyle w:val="FootnoteText"/>
        <w:rPr>
          <w:rFonts w:ascii="Times New Roman" w:hAnsi="Times New Roman"/>
          <w:sz w:val="18"/>
          <w:szCs w:val="18"/>
        </w:rPr>
      </w:pPr>
      <w:r w:rsidRPr="00FC491F">
        <w:rPr>
          <w:rStyle w:val="FootnoteReference"/>
          <w:rFonts w:ascii="Times New Roman" w:hAnsi="Times New Roman"/>
          <w:sz w:val="18"/>
          <w:szCs w:val="18"/>
        </w:rPr>
        <w:footnoteRef/>
      </w:r>
      <w:r w:rsidRPr="00FC491F">
        <w:rPr>
          <w:rFonts w:ascii="Times New Roman" w:hAnsi="Times New Roman"/>
          <w:sz w:val="18"/>
          <w:szCs w:val="18"/>
        </w:rPr>
        <w:t xml:space="preserve"> </w:t>
      </w:r>
      <w:r w:rsidR="00FC491F" w:rsidRPr="00FC491F">
        <w:rPr>
          <w:rFonts w:ascii="Times New Roman" w:hAnsi="Times New Roman"/>
          <w:sz w:val="18"/>
          <w:szCs w:val="18"/>
        </w:rPr>
        <w:t>Dillman, D. A., Smyth, J. D., &amp; Christian, L. M. (2014). Internet, phone, mail, and mixed mode surveys: The tailored design method (4th ed.). John Wiley &amp; Sons Inc.</w:t>
      </w:r>
    </w:p>
  </w:footnote>
  <w:footnote w:id="4">
    <w:p w14:paraId="2605E0F2" w14:textId="196BCD1E" w:rsidR="0054383D" w:rsidRPr="000007C1" w:rsidRDefault="0054383D" w:rsidP="0054383D">
      <w:pPr>
        <w:pStyle w:val="FootnoteText"/>
        <w:rPr>
          <w:rFonts w:ascii="Times New Roman" w:hAnsi="Times New Roman"/>
          <w:sz w:val="20"/>
        </w:rPr>
      </w:pPr>
      <w:r w:rsidRPr="000007C1">
        <w:rPr>
          <w:rStyle w:val="FootnoteReference"/>
        </w:rPr>
        <w:footnoteRef/>
      </w:r>
      <w:r w:rsidRPr="000007C1">
        <w:rPr>
          <w:rFonts w:ascii="Times New Roman" w:hAnsi="Times New Roman"/>
          <w:sz w:val="20"/>
        </w:rPr>
        <w:t xml:space="preserve"> </w:t>
      </w:r>
      <w:r>
        <w:rPr>
          <w:rFonts w:ascii="Times New Roman" w:hAnsi="Times New Roman"/>
          <w:sz w:val="20"/>
        </w:rPr>
        <w:t>Appendices are grouped by data collection activity.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E53E86" w14:textId="77777777" w:rsidR="00A17902" w:rsidRPr="000A2512" w:rsidRDefault="00A17902" w:rsidP="00A17902">
    <w:pPr>
      <w:pStyle w:val="Header"/>
    </w:pPr>
    <w:r>
      <w:t>Supporting Statement: Part B</w:t>
    </w:r>
  </w:p>
  <w:p w14:paraId="1A0F1DDE" w14:textId="77777777" w:rsidR="00A17902" w:rsidRDefault="00A179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A3A35" w14:textId="77777777" w:rsidR="00A17902" w:rsidRDefault="00A179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F0242" w14:textId="0137C433" w:rsidR="009E064D" w:rsidRPr="000A2512" w:rsidRDefault="009E064D" w:rsidP="00CD03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BB605" w14:textId="77777777" w:rsidR="004C7CF2" w:rsidRPr="000A2512" w:rsidRDefault="004C7CF2" w:rsidP="004C7CF2">
    <w:pPr>
      <w:pStyle w:val="Header"/>
    </w:pPr>
    <w:r>
      <w:t>Supporting Statement: Part B</w:t>
    </w:r>
  </w:p>
  <w:p w14:paraId="737670A1" w14:textId="77777777" w:rsidR="004C7CF2" w:rsidRDefault="004C7CF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3A13B" w14:textId="77777777" w:rsidR="00A17902" w:rsidRPr="000A2512" w:rsidRDefault="00A17902" w:rsidP="00A17902">
    <w:pPr>
      <w:pStyle w:val="Header"/>
    </w:pPr>
    <w:r>
      <w:t>Supporting Statement: Part B</w:t>
    </w:r>
  </w:p>
  <w:p w14:paraId="79DD1DEF" w14:textId="77777777" w:rsidR="00A17902" w:rsidRPr="000A2512" w:rsidRDefault="00A17902" w:rsidP="00CD03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9D200E"/>
    <w:multiLevelType w:val="multilevel"/>
    <w:tmpl w:val="C590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960D42"/>
    <w:multiLevelType w:val="hybridMultilevel"/>
    <w:tmpl w:val="55A038E2"/>
    <w:lvl w:ilvl="0" w:tplc="A6E4214E">
      <w:start w:val="2"/>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30F85ED0"/>
    <w:multiLevelType w:val="multilevel"/>
    <w:tmpl w:val="17B2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0C250D"/>
    <w:multiLevelType w:val="hybridMultilevel"/>
    <w:tmpl w:val="3034C6AE"/>
    <w:lvl w:ilvl="0" w:tplc="FA6ED260">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cs="Courier New" w:hint="default"/>
      </w:rPr>
    </w:lvl>
    <w:lvl w:ilvl="5" w:tplc="04090005">
      <w:start w:val="1"/>
      <w:numFmt w:val="bullet"/>
      <w:lvlText w:val=""/>
      <w:lvlJc w:val="left"/>
      <w:pPr>
        <w:tabs>
          <w:tab w:val="num" w:pos="2880"/>
        </w:tabs>
        <w:ind w:left="2880" w:hanging="360"/>
      </w:pPr>
      <w:rPr>
        <w:rFonts w:ascii="Wingdings" w:hAnsi="Wingdings" w:hint="default"/>
      </w:rPr>
    </w:lvl>
    <w:lvl w:ilvl="6" w:tplc="04090001">
      <w:start w:val="1"/>
      <w:numFmt w:val="bullet"/>
      <w:lvlText w:val=""/>
      <w:lvlJc w:val="left"/>
      <w:pPr>
        <w:tabs>
          <w:tab w:val="num" w:pos="3600"/>
        </w:tabs>
        <w:ind w:left="3600" w:hanging="360"/>
      </w:pPr>
      <w:rPr>
        <w:rFonts w:ascii="Symbol" w:hAnsi="Symbol" w:hint="default"/>
      </w:rPr>
    </w:lvl>
    <w:lvl w:ilvl="7" w:tplc="04090003">
      <w:start w:val="1"/>
      <w:numFmt w:val="bullet"/>
      <w:lvlText w:val="o"/>
      <w:lvlJc w:val="left"/>
      <w:pPr>
        <w:tabs>
          <w:tab w:val="num" w:pos="4320"/>
        </w:tabs>
        <w:ind w:left="4320" w:hanging="360"/>
      </w:pPr>
      <w:rPr>
        <w:rFonts w:ascii="Courier New" w:hAnsi="Courier New" w:cs="Courier New" w:hint="default"/>
      </w:rPr>
    </w:lvl>
    <w:lvl w:ilvl="8" w:tplc="04090005">
      <w:start w:val="1"/>
      <w:numFmt w:val="bullet"/>
      <w:lvlText w:val=""/>
      <w:lvlJc w:val="left"/>
      <w:pPr>
        <w:tabs>
          <w:tab w:val="num" w:pos="5040"/>
        </w:tabs>
        <w:ind w:left="5040" w:hanging="360"/>
      </w:pPr>
      <w:rPr>
        <w:rFonts w:ascii="Wingdings" w:hAnsi="Wingdings" w:hint="default"/>
      </w:rPr>
    </w:lvl>
  </w:abstractNum>
  <w:abstractNum w:abstractNumId="5" w15:restartNumberingAfterBreak="0">
    <w:nsid w:val="666B50BC"/>
    <w:multiLevelType w:val="hybridMultilevel"/>
    <w:tmpl w:val="DA84B4A2"/>
    <w:lvl w:ilvl="0" w:tplc="9D2650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1"/>
  </w:num>
  <w:num w:numId="5">
    <w:abstractNumId w:val="3"/>
  </w:num>
  <w:num w:numId="6">
    <w:abstractNumId w:val="4"/>
  </w:num>
  <w:num w:numId="7">
    <w:abstractNumId w:val="4"/>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695"/>
    <w:rsid w:val="00001E1C"/>
    <w:rsid w:val="00001F45"/>
    <w:rsid w:val="000035FD"/>
    <w:rsid w:val="00005F7C"/>
    <w:rsid w:val="000107F2"/>
    <w:rsid w:val="00010B31"/>
    <w:rsid w:val="00011091"/>
    <w:rsid w:val="00020EA3"/>
    <w:rsid w:val="00023CF9"/>
    <w:rsid w:val="00026152"/>
    <w:rsid w:val="000261D9"/>
    <w:rsid w:val="000273E7"/>
    <w:rsid w:val="0003277C"/>
    <w:rsid w:val="0003278B"/>
    <w:rsid w:val="000329D2"/>
    <w:rsid w:val="00036497"/>
    <w:rsid w:val="00036D57"/>
    <w:rsid w:val="00037CCB"/>
    <w:rsid w:val="000405BF"/>
    <w:rsid w:val="00040E9E"/>
    <w:rsid w:val="0004199A"/>
    <w:rsid w:val="00042857"/>
    <w:rsid w:val="00043CE1"/>
    <w:rsid w:val="00044ABD"/>
    <w:rsid w:val="00045004"/>
    <w:rsid w:val="0004757E"/>
    <w:rsid w:val="00047B45"/>
    <w:rsid w:val="00050133"/>
    <w:rsid w:val="00052335"/>
    <w:rsid w:val="000532B1"/>
    <w:rsid w:val="0005563B"/>
    <w:rsid w:val="00056E1A"/>
    <w:rsid w:val="000576D0"/>
    <w:rsid w:val="000602A6"/>
    <w:rsid w:val="0006030F"/>
    <w:rsid w:val="0006069A"/>
    <w:rsid w:val="0006071F"/>
    <w:rsid w:val="000645F8"/>
    <w:rsid w:val="000666C1"/>
    <w:rsid w:val="00070925"/>
    <w:rsid w:val="00073DE7"/>
    <w:rsid w:val="0007465A"/>
    <w:rsid w:val="000752DB"/>
    <w:rsid w:val="0007537B"/>
    <w:rsid w:val="00075DD3"/>
    <w:rsid w:val="00076015"/>
    <w:rsid w:val="00076629"/>
    <w:rsid w:val="00076863"/>
    <w:rsid w:val="00077E64"/>
    <w:rsid w:val="00082ED3"/>
    <w:rsid w:val="00084D4B"/>
    <w:rsid w:val="00086A40"/>
    <w:rsid w:val="00086F35"/>
    <w:rsid w:val="0008716A"/>
    <w:rsid w:val="00087AD1"/>
    <w:rsid w:val="00087B23"/>
    <w:rsid w:val="00090657"/>
    <w:rsid w:val="00091610"/>
    <w:rsid w:val="00095230"/>
    <w:rsid w:val="00097B1C"/>
    <w:rsid w:val="000A09CD"/>
    <w:rsid w:val="000A0A90"/>
    <w:rsid w:val="000A1599"/>
    <w:rsid w:val="000A3286"/>
    <w:rsid w:val="000A3343"/>
    <w:rsid w:val="000A3EB8"/>
    <w:rsid w:val="000A5F28"/>
    <w:rsid w:val="000A63AF"/>
    <w:rsid w:val="000B056A"/>
    <w:rsid w:val="000B1376"/>
    <w:rsid w:val="000B1594"/>
    <w:rsid w:val="000B2A0E"/>
    <w:rsid w:val="000B321D"/>
    <w:rsid w:val="000B40B2"/>
    <w:rsid w:val="000B4226"/>
    <w:rsid w:val="000B54EE"/>
    <w:rsid w:val="000C12DE"/>
    <w:rsid w:val="000C235F"/>
    <w:rsid w:val="000C32B8"/>
    <w:rsid w:val="000D1A20"/>
    <w:rsid w:val="000D3407"/>
    <w:rsid w:val="000D36AF"/>
    <w:rsid w:val="000D5CD6"/>
    <w:rsid w:val="000D7B03"/>
    <w:rsid w:val="000E278D"/>
    <w:rsid w:val="000E3C6C"/>
    <w:rsid w:val="000E747B"/>
    <w:rsid w:val="000F1CD7"/>
    <w:rsid w:val="000F38CF"/>
    <w:rsid w:val="000F3A5F"/>
    <w:rsid w:val="000F5E30"/>
    <w:rsid w:val="00100D79"/>
    <w:rsid w:val="00101CFB"/>
    <w:rsid w:val="00104F6F"/>
    <w:rsid w:val="00107159"/>
    <w:rsid w:val="00110F8C"/>
    <w:rsid w:val="00114750"/>
    <w:rsid w:val="0011729D"/>
    <w:rsid w:val="0011746F"/>
    <w:rsid w:val="001208F1"/>
    <w:rsid w:val="00121646"/>
    <w:rsid w:val="0012167C"/>
    <w:rsid w:val="0012459F"/>
    <w:rsid w:val="0012578D"/>
    <w:rsid w:val="00130801"/>
    <w:rsid w:val="00135A67"/>
    <w:rsid w:val="00135ADF"/>
    <w:rsid w:val="00136719"/>
    <w:rsid w:val="001421E5"/>
    <w:rsid w:val="00143C91"/>
    <w:rsid w:val="0014412D"/>
    <w:rsid w:val="00145758"/>
    <w:rsid w:val="00145ED7"/>
    <w:rsid w:val="001508B1"/>
    <w:rsid w:val="00155ECB"/>
    <w:rsid w:val="0016006F"/>
    <w:rsid w:val="00161952"/>
    <w:rsid w:val="00161C16"/>
    <w:rsid w:val="0016409D"/>
    <w:rsid w:val="001643A4"/>
    <w:rsid w:val="0017095F"/>
    <w:rsid w:val="00172B7D"/>
    <w:rsid w:val="00172BBE"/>
    <w:rsid w:val="001750F9"/>
    <w:rsid w:val="001762EB"/>
    <w:rsid w:val="0018091A"/>
    <w:rsid w:val="00181FB6"/>
    <w:rsid w:val="001858B7"/>
    <w:rsid w:val="001909E6"/>
    <w:rsid w:val="00191468"/>
    <w:rsid w:val="0019158D"/>
    <w:rsid w:val="00191AA8"/>
    <w:rsid w:val="00193993"/>
    <w:rsid w:val="001953E5"/>
    <w:rsid w:val="00196789"/>
    <w:rsid w:val="001A17D1"/>
    <w:rsid w:val="001A252C"/>
    <w:rsid w:val="001A609D"/>
    <w:rsid w:val="001A695D"/>
    <w:rsid w:val="001B0568"/>
    <w:rsid w:val="001B1800"/>
    <w:rsid w:val="001B456F"/>
    <w:rsid w:val="001B52B8"/>
    <w:rsid w:val="001B5CF1"/>
    <w:rsid w:val="001B5E44"/>
    <w:rsid w:val="001B7B7B"/>
    <w:rsid w:val="001C0631"/>
    <w:rsid w:val="001C1C45"/>
    <w:rsid w:val="001C3E4D"/>
    <w:rsid w:val="001C47AC"/>
    <w:rsid w:val="001C6D21"/>
    <w:rsid w:val="001D02A9"/>
    <w:rsid w:val="001D174E"/>
    <w:rsid w:val="001D4C04"/>
    <w:rsid w:val="001D5922"/>
    <w:rsid w:val="001D61C8"/>
    <w:rsid w:val="001D71C4"/>
    <w:rsid w:val="001D7691"/>
    <w:rsid w:val="001E0971"/>
    <w:rsid w:val="001E0AF8"/>
    <w:rsid w:val="001E0B33"/>
    <w:rsid w:val="001E109B"/>
    <w:rsid w:val="001E3A0D"/>
    <w:rsid w:val="001E3A82"/>
    <w:rsid w:val="001E3D6C"/>
    <w:rsid w:val="001E4703"/>
    <w:rsid w:val="001E5976"/>
    <w:rsid w:val="001E6513"/>
    <w:rsid w:val="001F4B13"/>
    <w:rsid w:val="001F4E04"/>
    <w:rsid w:val="001F649F"/>
    <w:rsid w:val="001F6EF6"/>
    <w:rsid w:val="002006E5"/>
    <w:rsid w:val="0020240E"/>
    <w:rsid w:val="00202C5C"/>
    <w:rsid w:val="00203253"/>
    <w:rsid w:val="00204AAF"/>
    <w:rsid w:val="00205BF9"/>
    <w:rsid w:val="0020634E"/>
    <w:rsid w:val="00206437"/>
    <w:rsid w:val="002107FA"/>
    <w:rsid w:val="00211D6C"/>
    <w:rsid w:val="002159D4"/>
    <w:rsid w:val="002176F0"/>
    <w:rsid w:val="00220E88"/>
    <w:rsid w:val="0022239A"/>
    <w:rsid w:val="00224E96"/>
    <w:rsid w:val="002323B0"/>
    <w:rsid w:val="00234387"/>
    <w:rsid w:val="002360CA"/>
    <w:rsid w:val="00237183"/>
    <w:rsid w:val="00237D46"/>
    <w:rsid w:val="0024041A"/>
    <w:rsid w:val="0024044E"/>
    <w:rsid w:val="002424EE"/>
    <w:rsid w:val="00244055"/>
    <w:rsid w:val="002452CC"/>
    <w:rsid w:val="00246C86"/>
    <w:rsid w:val="00251FA7"/>
    <w:rsid w:val="00256B9E"/>
    <w:rsid w:val="002640CE"/>
    <w:rsid w:val="00264763"/>
    <w:rsid w:val="00266813"/>
    <w:rsid w:val="002673EF"/>
    <w:rsid w:val="002749E1"/>
    <w:rsid w:val="00277165"/>
    <w:rsid w:val="00277443"/>
    <w:rsid w:val="0028015F"/>
    <w:rsid w:val="00281580"/>
    <w:rsid w:val="002841DE"/>
    <w:rsid w:val="0028513F"/>
    <w:rsid w:val="00287DE2"/>
    <w:rsid w:val="0029111C"/>
    <w:rsid w:val="002913C8"/>
    <w:rsid w:val="00293B48"/>
    <w:rsid w:val="002943AE"/>
    <w:rsid w:val="002953C4"/>
    <w:rsid w:val="00296044"/>
    <w:rsid w:val="002A0A5B"/>
    <w:rsid w:val="002A122E"/>
    <w:rsid w:val="002A126C"/>
    <w:rsid w:val="002A16C0"/>
    <w:rsid w:val="002A3A2D"/>
    <w:rsid w:val="002B112B"/>
    <w:rsid w:val="002B3116"/>
    <w:rsid w:val="002B330F"/>
    <w:rsid w:val="002B3F36"/>
    <w:rsid w:val="002B7477"/>
    <w:rsid w:val="002C2726"/>
    <w:rsid w:val="002C3A52"/>
    <w:rsid w:val="002C7E61"/>
    <w:rsid w:val="002C7F4F"/>
    <w:rsid w:val="002D25FE"/>
    <w:rsid w:val="002D4812"/>
    <w:rsid w:val="002D5644"/>
    <w:rsid w:val="002E03AE"/>
    <w:rsid w:val="002E1BE0"/>
    <w:rsid w:val="002E3DEB"/>
    <w:rsid w:val="002E4D65"/>
    <w:rsid w:val="002E506F"/>
    <w:rsid w:val="002E6EC1"/>
    <w:rsid w:val="002E7B52"/>
    <w:rsid w:val="002F0C71"/>
    <w:rsid w:val="002F4351"/>
    <w:rsid w:val="002F7012"/>
    <w:rsid w:val="00300115"/>
    <w:rsid w:val="003023C8"/>
    <w:rsid w:val="00310C56"/>
    <w:rsid w:val="00312340"/>
    <w:rsid w:val="00312D72"/>
    <w:rsid w:val="003140BD"/>
    <w:rsid w:val="003158B2"/>
    <w:rsid w:val="00315974"/>
    <w:rsid w:val="003167A5"/>
    <w:rsid w:val="00317A8F"/>
    <w:rsid w:val="00321CF1"/>
    <w:rsid w:val="00326F75"/>
    <w:rsid w:val="00330008"/>
    <w:rsid w:val="00330C37"/>
    <w:rsid w:val="00331814"/>
    <w:rsid w:val="00331A8B"/>
    <w:rsid w:val="00333A19"/>
    <w:rsid w:val="00335F70"/>
    <w:rsid w:val="003365C0"/>
    <w:rsid w:val="00341106"/>
    <w:rsid w:val="00345022"/>
    <w:rsid w:val="0034619C"/>
    <w:rsid w:val="00347143"/>
    <w:rsid w:val="003522D8"/>
    <w:rsid w:val="0035282E"/>
    <w:rsid w:val="0035289B"/>
    <w:rsid w:val="00353962"/>
    <w:rsid w:val="00355427"/>
    <w:rsid w:val="00355673"/>
    <w:rsid w:val="00356CC2"/>
    <w:rsid w:val="00360B52"/>
    <w:rsid w:val="0036235D"/>
    <w:rsid w:val="00365296"/>
    <w:rsid w:val="00365E08"/>
    <w:rsid w:val="0036638F"/>
    <w:rsid w:val="00366E06"/>
    <w:rsid w:val="00366FBB"/>
    <w:rsid w:val="0036774D"/>
    <w:rsid w:val="00370DCC"/>
    <w:rsid w:val="003748E2"/>
    <w:rsid w:val="00374CEE"/>
    <w:rsid w:val="00376C84"/>
    <w:rsid w:val="00376F90"/>
    <w:rsid w:val="00377476"/>
    <w:rsid w:val="00381431"/>
    <w:rsid w:val="00385477"/>
    <w:rsid w:val="00386ED4"/>
    <w:rsid w:val="00387406"/>
    <w:rsid w:val="00387E68"/>
    <w:rsid w:val="00393195"/>
    <w:rsid w:val="00394CB7"/>
    <w:rsid w:val="003963C7"/>
    <w:rsid w:val="00397B2E"/>
    <w:rsid w:val="003A0C7A"/>
    <w:rsid w:val="003A31E0"/>
    <w:rsid w:val="003A44E3"/>
    <w:rsid w:val="003A4DDD"/>
    <w:rsid w:val="003B1975"/>
    <w:rsid w:val="003B28B2"/>
    <w:rsid w:val="003B3E34"/>
    <w:rsid w:val="003B3F98"/>
    <w:rsid w:val="003B6542"/>
    <w:rsid w:val="003B79E3"/>
    <w:rsid w:val="003C0C37"/>
    <w:rsid w:val="003C20B7"/>
    <w:rsid w:val="003C53B2"/>
    <w:rsid w:val="003C638E"/>
    <w:rsid w:val="003C6A1E"/>
    <w:rsid w:val="003C78AA"/>
    <w:rsid w:val="003D0129"/>
    <w:rsid w:val="003D23BB"/>
    <w:rsid w:val="003D2B0F"/>
    <w:rsid w:val="003D2BF4"/>
    <w:rsid w:val="003D33AC"/>
    <w:rsid w:val="003D4B9B"/>
    <w:rsid w:val="003D6A47"/>
    <w:rsid w:val="003E517F"/>
    <w:rsid w:val="003F0A20"/>
    <w:rsid w:val="003F0B91"/>
    <w:rsid w:val="003F0CF7"/>
    <w:rsid w:val="003F7C19"/>
    <w:rsid w:val="00400CA4"/>
    <w:rsid w:val="00401348"/>
    <w:rsid w:val="004043BA"/>
    <w:rsid w:val="00404C6D"/>
    <w:rsid w:val="0040639F"/>
    <w:rsid w:val="00407883"/>
    <w:rsid w:val="00412DF0"/>
    <w:rsid w:val="00412FA3"/>
    <w:rsid w:val="00413697"/>
    <w:rsid w:val="00414FE2"/>
    <w:rsid w:val="00415888"/>
    <w:rsid w:val="00415F16"/>
    <w:rsid w:val="00421046"/>
    <w:rsid w:val="00426949"/>
    <w:rsid w:val="00430831"/>
    <w:rsid w:val="0043257D"/>
    <w:rsid w:val="004328FF"/>
    <w:rsid w:val="00432B51"/>
    <w:rsid w:val="00432D70"/>
    <w:rsid w:val="0043502A"/>
    <w:rsid w:val="00435CC2"/>
    <w:rsid w:val="00436B5F"/>
    <w:rsid w:val="00442B41"/>
    <w:rsid w:val="00447AE8"/>
    <w:rsid w:val="00450378"/>
    <w:rsid w:val="00451349"/>
    <w:rsid w:val="00451F82"/>
    <w:rsid w:val="00453DBD"/>
    <w:rsid w:val="00454612"/>
    <w:rsid w:val="00454B21"/>
    <w:rsid w:val="00454EDC"/>
    <w:rsid w:val="004578AD"/>
    <w:rsid w:val="00457989"/>
    <w:rsid w:val="004625BF"/>
    <w:rsid w:val="00464C99"/>
    <w:rsid w:val="00466483"/>
    <w:rsid w:val="00466992"/>
    <w:rsid w:val="00467BD5"/>
    <w:rsid w:val="00471981"/>
    <w:rsid w:val="00472B10"/>
    <w:rsid w:val="00473E69"/>
    <w:rsid w:val="004746E6"/>
    <w:rsid w:val="00474E74"/>
    <w:rsid w:val="00475E88"/>
    <w:rsid w:val="00475F9D"/>
    <w:rsid w:val="00476EF3"/>
    <w:rsid w:val="004770F0"/>
    <w:rsid w:val="0047740C"/>
    <w:rsid w:val="004774D9"/>
    <w:rsid w:val="00477D55"/>
    <w:rsid w:val="004800C4"/>
    <w:rsid w:val="0048052B"/>
    <w:rsid w:val="00480E7D"/>
    <w:rsid w:val="00481619"/>
    <w:rsid w:val="0048602B"/>
    <w:rsid w:val="00490445"/>
    <w:rsid w:val="004952FC"/>
    <w:rsid w:val="004A2826"/>
    <w:rsid w:val="004A31C9"/>
    <w:rsid w:val="004A3B1F"/>
    <w:rsid w:val="004A3D40"/>
    <w:rsid w:val="004A5C9A"/>
    <w:rsid w:val="004B273A"/>
    <w:rsid w:val="004B2944"/>
    <w:rsid w:val="004B6A7A"/>
    <w:rsid w:val="004B7056"/>
    <w:rsid w:val="004C0494"/>
    <w:rsid w:val="004C3E4D"/>
    <w:rsid w:val="004C4768"/>
    <w:rsid w:val="004C6EE0"/>
    <w:rsid w:val="004C71C7"/>
    <w:rsid w:val="004C7C28"/>
    <w:rsid w:val="004C7CF2"/>
    <w:rsid w:val="004C7D0D"/>
    <w:rsid w:val="004D0D4F"/>
    <w:rsid w:val="004D2422"/>
    <w:rsid w:val="004D3729"/>
    <w:rsid w:val="004D3A8A"/>
    <w:rsid w:val="004D3C83"/>
    <w:rsid w:val="004D45EC"/>
    <w:rsid w:val="004D50B3"/>
    <w:rsid w:val="004E19AE"/>
    <w:rsid w:val="004E28EB"/>
    <w:rsid w:val="004E60A9"/>
    <w:rsid w:val="004F4146"/>
    <w:rsid w:val="004F5522"/>
    <w:rsid w:val="004F67D2"/>
    <w:rsid w:val="00503FC0"/>
    <w:rsid w:val="00504A14"/>
    <w:rsid w:val="005063C4"/>
    <w:rsid w:val="0050688A"/>
    <w:rsid w:val="0050795B"/>
    <w:rsid w:val="00511853"/>
    <w:rsid w:val="00512898"/>
    <w:rsid w:val="00516084"/>
    <w:rsid w:val="00516390"/>
    <w:rsid w:val="005170B7"/>
    <w:rsid w:val="005172C2"/>
    <w:rsid w:val="00521D6D"/>
    <w:rsid w:val="00523B97"/>
    <w:rsid w:val="0052432C"/>
    <w:rsid w:val="005248A1"/>
    <w:rsid w:val="00527E18"/>
    <w:rsid w:val="005306F4"/>
    <w:rsid w:val="0053256A"/>
    <w:rsid w:val="00535755"/>
    <w:rsid w:val="00537504"/>
    <w:rsid w:val="00540028"/>
    <w:rsid w:val="00542386"/>
    <w:rsid w:val="0054250B"/>
    <w:rsid w:val="0054271C"/>
    <w:rsid w:val="0054383D"/>
    <w:rsid w:val="00544E87"/>
    <w:rsid w:val="005451C4"/>
    <w:rsid w:val="00545802"/>
    <w:rsid w:val="00546C1E"/>
    <w:rsid w:val="005505B8"/>
    <w:rsid w:val="00550B7C"/>
    <w:rsid w:val="00550C72"/>
    <w:rsid w:val="00551137"/>
    <w:rsid w:val="00551FB3"/>
    <w:rsid w:val="005547A7"/>
    <w:rsid w:val="00554928"/>
    <w:rsid w:val="00555B3F"/>
    <w:rsid w:val="00560C60"/>
    <w:rsid w:val="00564B42"/>
    <w:rsid w:val="00567F95"/>
    <w:rsid w:val="005715F5"/>
    <w:rsid w:val="00575788"/>
    <w:rsid w:val="00576501"/>
    <w:rsid w:val="005768E0"/>
    <w:rsid w:val="00576930"/>
    <w:rsid w:val="00577675"/>
    <w:rsid w:val="00577DB9"/>
    <w:rsid w:val="0058212D"/>
    <w:rsid w:val="0058348A"/>
    <w:rsid w:val="00583CF2"/>
    <w:rsid w:val="0058425C"/>
    <w:rsid w:val="00584334"/>
    <w:rsid w:val="005875FF"/>
    <w:rsid w:val="0058778B"/>
    <w:rsid w:val="00591B53"/>
    <w:rsid w:val="00591D4A"/>
    <w:rsid w:val="005A1D40"/>
    <w:rsid w:val="005A5900"/>
    <w:rsid w:val="005A5FBB"/>
    <w:rsid w:val="005B0AA7"/>
    <w:rsid w:val="005B1560"/>
    <w:rsid w:val="005B28E1"/>
    <w:rsid w:val="005B2E8A"/>
    <w:rsid w:val="005B47C1"/>
    <w:rsid w:val="005B5256"/>
    <w:rsid w:val="005B646B"/>
    <w:rsid w:val="005B7CD4"/>
    <w:rsid w:val="005C0017"/>
    <w:rsid w:val="005C0B77"/>
    <w:rsid w:val="005C239C"/>
    <w:rsid w:val="005C2996"/>
    <w:rsid w:val="005C465A"/>
    <w:rsid w:val="005C5133"/>
    <w:rsid w:val="005C61BB"/>
    <w:rsid w:val="005C760D"/>
    <w:rsid w:val="005D12FC"/>
    <w:rsid w:val="005D14B3"/>
    <w:rsid w:val="005D5A9F"/>
    <w:rsid w:val="005D698F"/>
    <w:rsid w:val="005E01CD"/>
    <w:rsid w:val="005E29D8"/>
    <w:rsid w:val="005E571B"/>
    <w:rsid w:val="005E6280"/>
    <w:rsid w:val="005E6D57"/>
    <w:rsid w:val="005F32D9"/>
    <w:rsid w:val="005F5A2F"/>
    <w:rsid w:val="005F5D02"/>
    <w:rsid w:val="0060007B"/>
    <w:rsid w:val="00600274"/>
    <w:rsid w:val="00602EAD"/>
    <w:rsid w:val="006032A9"/>
    <w:rsid w:val="00604756"/>
    <w:rsid w:val="00604F2E"/>
    <w:rsid w:val="00605047"/>
    <w:rsid w:val="00605183"/>
    <w:rsid w:val="00605FDC"/>
    <w:rsid w:val="006062EC"/>
    <w:rsid w:val="00606519"/>
    <w:rsid w:val="00611CE8"/>
    <w:rsid w:val="00611E9C"/>
    <w:rsid w:val="00613CE0"/>
    <w:rsid w:val="00614FD3"/>
    <w:rsid w:val="006160FB"/>
    <w:rsid w:val="00621A2C"/>
    <w:rsid w:val="00622672"/>
    <w:rsid w:val="006226EE"/>
    <w:rsid w:val="00623A6A"/>
    <w:rsid w:val="00625AAE"/>
    <w:rsid w:val="006279DD"/>
    <w:rsid w:val="00631289"/>
    <w:rsid w:val="0063172B"/>
    <w:rsid w:val="00631EAB"/>
    <w:rsid w:val="00634496"/>
    <w:rsid w:val="00637FCB"/>
    <w:rsid w:val="00640CE5"/>
    <w:rsid w:val="006416FC"/>
    <w:rsid w:val="00641BC2"/>
    <w:rsid w:val="006476A4"/>
    <w:rsid w:val="0065078F"/>
    <w:rsid w:val="00652E3A"/>
    <w:rsid w:val="0065592F"/>
    <w:rsid w:val="00655ECA"/>
    <w:rsid w:val="006563D0"/>
    <w:rsid w:val="0065754A"/>
    <w:rsid w:val="00657D22"/>
    <w:rsid w:val="00660C57"/>
    <w:rsid w:val="00662937"/>
    <w:rsid w:val="0066317F"/>
    <w:rsid w:val="00665302"/>
    <w:rsid w:val="00665D27"/>
    <w:rsid w:val="00667099"/>
    <w:rsid w:val="00670168"/>
    <w:rsid w:val="00672B71"/>
    <w:rsid w:val="006738E9"/>
    <w:rsid w:val="006754E6"/>
    <w:rsid w:val="00677F8C"/>
    <w:rsid w:val="00680BFA"/>
    <w:rsid w:val="00682090"/>
    <w:rsid w:val="00683BFA"/>
    <w:rsid w:val="00690061"/>
    <w:rsid w:val="0069073F"/>
    <w:rsid w:val="00690FD8"/>
    <w:rsid w:val="006923EE"/>
    <w:rsid w:val="00692A42"/>
    <w:rsid w:val="0069544B"/>
    <w:rsid w:val="00696DD4"/>
    <w:rsid w:val="006A04CB"/>
    <w:rsid w:val="006A41BB"/>
    <w:rsid w:val="006A6720"/>
    <w:rsid w:val="006B06F7"/>
    <w:rsid w:val="006B5CB0"/>
    <w:rsid w:val="006C14D1"/>
    <w:rsid w:val="006C167C"/>
    <w:rsid w:val="006C500C"/>
    <w:rsid w:val="006C548C"/>
    <w:rsid w:val="006C5DE9"/>
    <w:rsid w:val="006C7037"/>
    <w:rsid w:val="006C7DC2"/>
    <w:rsid w:val="006D0A24"/>
    <w:rsid w:val="006D0C12"/>
    <w:rsid w:val="006D1213"/>
    <w:rsid w:val="006D121C"/>
    <w:rsid w:val="006D1970"/>
    <w:rsid w:val="006D2432"/>
    <w:rsid w:val="006D2A4D"/>
    <w:rsid w:val="006D2BAA"/>
    <w:rsid w:val="006D3865"/>
    <w:rsid w:val="006D3B9E"/>
    <w:rsid w:val="006D4879"/>
    <w:rsid w:val="006D651A"/>
    <w:rsid w:val="006D6912"/>
    <w:rsid w:val="006D7A8A"/>
    <w:rsid w:val="006E0896"/>
    <w:rsid w:val="006E59E0"/>
    <w:rsid w:val="006E5F5E"/>
    <w:rsid w:val="006F2280"/>
    <w:rsid w:val="006F4062"/>
    <w:rsid w:val="006F4BE3"/>
    <w:rsid w:val="006F7866"/>
    <w:rsid w:val="006F7E62"/>
    <w:rsid w:val="00700041"/>
    <w:rsid w:val="00700746"/>
    <w:rsid w:val="007011AB"/>
    <w:rsid w:val="00704127"/>
    <w:rsid w:val="00705979"/>
    <w:rsid w:val="0070598E"/>
    <w:rsid w:val="00705BA1"/>
    <w:rsid w:val="007069AA"/>
    <w:rsid w:val="00707A9C"/>
    <w:rsid w:val="007114B9"/>
    <w:rsid w:val="00715DEB"/>
    <w:rsid w:val="007165CB"/>
    <w:rsid w:val="007219CD"/>
    <w:rsid w:val="0072428E"/>
    <w:rsid w:val="00724C80"/>
    <w:rsid w:val="00725119"/>
    <w:rsid w:val="007252EC"/>
    <w:rsid w:val="00734584"/>
    <w:rsid w:val="00734615"/>
    <w:rsid w:val="00740EE3"/>
    <w:rsid w:val="0074106B"/>
    <w:rsid w:val="00741258"/>
    <w:rsid w:val="00743141"/>
    <w:rsid w:val="0074392F"/>
    <w:rsid w:val="00744BEE"/>
    <w:rsid w:val="007450B4"/>
    <w:rsid w:val="007464EE"/>
    <w:rsid w:val="007506E6"/>
    <w:rsid w:val="0075101F"/>
    <w:rsid w:val="007517E2"/>
    <w:rsid w:val="007538B7"/>
    <w:rsid w:val="007606B1"/>
    <w:rsid w:val="007610F3"/>
    <w:rsid w:val="00763D6D"/>
    <w:rsid w:val="00771D3F"/>
    <w:rsid w:val="0077283D"/>
    <w:rsid w:val="007749C8"/>
    <w:rsid w:val="00775E47"/>
    <w:rsid w:val="0078073B"/>
    <w:rsid w:val="007819A8"/>
    <w:rsid w:val="00781FEF"/>
    <w:rsid w:val="00782F40"/>
    <w:rsid w:val="007864A6"/>
    <w:rsid w:val="0078687A"/>
    <w:rsid w:val="007904AD"/>
    <w:rsid w:val="00792231"/>
    <w:rsid w:val="007930B1"/>
    <w:rsid w:val="00793F15"/>
    <w:rsid w:val="00793F71"/>
    <w:rsid w:val="00796AB1"/>
    <w:rsid w:val="00796B66"/>
    <w:rsid w:val="007A1168"/>
    <w:rsid w:val="007A25E8"/>
    <w:rsid w:val="007A2789"/>
    <w:rsid w:val="007A2CB3"/>
    <w:rsid w:val="007A4C5D"/>
    <w:rsid w:val="007A57A7"/>
    <w:rsid w:val="007B0973"/>
    <w:rsid w:val="007B0CCD"/>
    <w:rsid w:val="007B1306"/>
    <w:rsid w:val="007B40A9"/>
    <w:rsid w:val="007B4BFD"/>
    <w:rsid w:val="007B50D0"/>
    <w:rsid w:val="007B5A24"/>
    <w:rsid w:val="007B681A"/>
    <w:rsid w:val="007B73F9"/>
    <w:rsid w:val="007C105C"/>
    <w:rsid w:val="007C257F"/>
    <w:rsid w:val="007C259D"/>
    <w:rsid w:val="007C2638"/>
    <w:rsid w:val="007C4D68"/>
    <w:rsid w:val="007C4F8B"/>
    <w:rsid w:val="007C6292"/>
    <w:rsid w:val="007C730E"/>
    <w:rsid w:val="007D1D67"/>
    <w:rsid w:val="007D28EB"/>
    <w:rsid w:val="007D71BF"/>
    <w:rsid w:val="007D75EE"/>
    <w:rsid w:val="007E0FEE"/>
    <w:rsid w:val="007E2018"/>
    <w:rsid w:val="007E2348"/>
    <w:rsid w:val="007E31DE"/>
    <w:rsid w:val="007E349C"/>
    <w:rsid w:val="007E35E1"/>
    <w:rsid w:val="007E38D0"/>
    <w:rsid w:val="007E4051"/>
    <w:rsid w:val="007E657F"/>
    <w:rsid w:val="007E6A91"/>
    <w:rsid w:val="007E7C6E"/>
    <w:rsid w:val="007F0BE3"/>
    <w:rsid w:val="007F1D6E"/>
    <w:rsid w:val="007F5E06"/>
    <w:rsid w:val="008002B2"/>
    <w:rsid w:val="008005CC"/>
    <w:rsid w:val="00800DFC"/>
    <w:rsid w:val="008032D3"/>
    <w:rsid w:val="00804C26"/>
    <w:rsid w:val="008079F2"/>
    <w:rsid w:val="008107DA"/>
    <w:rsid w:val="00813B5C"/>
    <w:rsid w:val="00823F81"/>
    <w:rsid w:val="00824101"/>
    <w:rsid w:val="00824F61"/>
    <w:rsid w:val="0082583E"/>
    <w:rsid w:val="00825E01"/>
    <w:rsid w:val="00826398"/>
    <w:rsid w:val="00826CB5"/>
    <w:rsid w:val="008305DF"/>
    <w:rsid w:val="00832BC0"/>
    <w:rsid w:val="00833E18"/>
    <w:rsid w:val="0083764A"/>
    <w:rsid w:val="00840A57"/>
    <w:rsid w:val="00840ED3"/>
    <w:rsid w:val="008425FB"/>
    <w:rsid w:val="00842729"/>
    <w:rsid w:val="00847AC0"/>
    <w:rsid w:val="00854C3B"/>
    <w:rsid w:val="00855ADF"/>
    <w:rsid w:val="00855EEB"/>
    <w:rsid w:val="0085614C"/>
    <w:rsid w:val="008563B1"/>
    <w:rsid w:val="008603E7"/>
    <w:rsid w:val="00861CD2"/>
    <w:rsid w:val="0086268D"/>
    <w:rsid w:val="00863A11"/>
    <w:rsid w:val="008648D5"/>
    <w:rsid w:val="00865F38"/>
    <w:rsid w:val="00867D1D"/>
    <w:rsid w:val="00871B81"/>
    <w:rsid w:val="0087330C"/>
    <w:rsid w:val="00873559"/>
    <w:rsid w:val="008742B0"/>
    <w:rsid w:val="00874304"/>
    <w:rsid w:val="00874868"/>
    <w:rsid w:val="008764BC"/>
    <w:rsid w:val="00876DF9"/>
    <w:rsid w:val="00880CFD"/>
    <w:rsid w:val="00881458"/>
    <w:rsid w:val="008831B6"/>
    <w:rsid w:val="00885DAD"/>
    <w:rsid w:val="00886146"/>
    <w:rsid w:val="008869AE"/>
    <w:rsid w:val="00887DF6"/>
    <w:rsid w:val="008921A3"/>
    <w:rsid w:val="00892463"/>
    <w:rsid w:val="00892E68"/>
    <w:rsid w:val="0089352C"/>
    <w:rsid w:val="008952F9"/>
    <w:rsid w:val="008A0048"/>
    <w:rsid w:val="008A1730"/>
    <w:rsid w:val="008A29EF"/>
    <w:rsid w:val="008A434A"/>
    <w:rsid w:val="008A6DDD"/>
    <w:rsid w:val="008A7628"/>
    <w:rsid w:val="008B0550"/>
    <w:rsid w:val="008B0EEA"/>
    <w:rsid w:val="008B103B"/>
    <w:rsid w:val="008B1093"/>
    <w:rsid w:val="008B43D9"/>
    <w:rsid w:val="008B76AD"/>
    <w:rsid w:val="008C14D3"/>
    <w:rsid w:val="008C2CB6"/>
    <w:rsid w:val="008C3503"/>
    <w:rsid w:val="008C57CC"/>
    <w:rsid w:val="008C7748"/>
    <w:rsid w:val="008D03CD"/>
    <w:rsid w:val="008D0683"/>
    <w:rsid w:val="008D0D47"/>
    <w:rsid w:val="008D104C"/>
    <w:rsid w:val="008D17AE"/>
    <w:rsid w:val="008D3C22"/>
    <w:rsid w:val="008D423A"/>
    <w:rsid w:val="008D4450"/>
    <w:rsid w:val="008D6A21"/>
    <w:rsid w:val="008D7757"/>
    <w:rsid w:val="008E135D"/>
    <w:rsid w:val="008E15A4"/>
    <w:rsid w:val="008E20BA"/>
    <w:rsid w:val="008E37A7"/>
    <w:rsid w:val="008E5430"/>
    <w:rsid w:val="008E69C8"/>
    <w:rsid w:val="008F348E"/>
    <w:rsid w:val="008F37B7"/>
    <w:rsid w:val="008F3C86"/>
    <w:rsid w:val="008F48B5"/>
    <w:rsid w:val="00901AC7"/>
    <w:rsid w:val="009020A9"/>
    <w:rsid w:val="0090348D"/>
    <w:rsid w:val="00903A90"/>
    <w:rsid w:val="00904460"/>
    <w:rsid w:val="00906B79"/>
    <w:rsid w:val="009077FE"/>
    <w:rsid w:val="009122E7"/>
    <w:rsid w:val="00912355"/>
    <w:rsid w:val="00912A87"/>
    <w:rsid w:val="00913F3A"/>
    <w:rsid w:val="0091595A"/>
    <w:rsid w:val="00917527"/>
    <w:rsid w:val="00921761"/>
    <w:rsid w:val="00922CC0"/>
    <w:rsid w:val="0092344C"/>
    <w:rsid w:val="00926978"/>
    <w:rsid w:val="0093172E"/>
    <w:rsid w:val="00942BA4"/>
    <w:rsid w:val="00946143"/>
    <w:rsid w:val="00946B3C"/>
    <w:rsid w:val="00947139"/>
    <w:rsid w:val="00950058"/>
    <w:rsid w:val="0095020E"/>
    <w:rsid w:val="009533E1"/>
    <w:rsid w:val="00954B45"/>
    <w:rsid w:val="00955599"/>
    <w:rsid w:val="00955D35"/>
    <w:rsid w:val="009561B8"/>
    <w:rsid w:val="009610B0"/>
    <w:rsid w:val="00964938"/>
    <w:rsid w:val="00965FAA"/>
    <w:rsid w:val="00966682"/>
    <w:rsid w:val="0096763A"/>
    <w:rsid w:val="00967E59"/>
    <w:rsid w:val="009734E0"/>
    <w:rsid w:val="009753A5"/>
    <w:rsid w:val="00976372"/>
    <w:rsid w:val="009773F9"/>
    <w:rsid w:val="009809F4"/>
    <w:rsid w:val="00983418"/>
    <w:rsid w:val="009838D3"/>
    <w:rsid w:val="00983EB1"/>
    <w:rsid w:val="00984753"/>
    <w:rsid w:val="00986CD4"/>
    <w:rsid w:val="00987799"/>
    <w:rsid w:val="00991A7D"/>
    <w:rsid w:val="00992AE4"/>
    <w:rsid w:val="00993454"/>
    <w:rsid w:val="009948BD"/>
    <w:rsid w:val="009968C4"/>
    <w:rsid w:val="009A0801"/>
    <w:rsid w:val="009A0FBA"/>
    <w:rsid w:val="009A1B2E"/>
    <w:rsid w:val="009A28D2"/>
    <w:rsid w:val="009A40DD"/>
    <w:rsid w:val="009A5CED"/>
    <w:rsid w:val="009A5E17"/>
    <w:rsid w:val="009A7FD2"/>
    <w:rsid w:val="009B4377"/>
    <w:rsid w:val="009B4F80"/>
    <w:rsid w:val="009B63FF"/>
    <w:rsid w:val="009C1673"/>
    <w:rsid w:val="009C213C"/>
    <w:rsid w:val="009C3546"/>
    <w:rsid w:val="009C5291"/>
    <w:rsid w:val="009D3F8F"/>
    <w:rsid w:val="009D6C40"/>
    <w:rsid w:val="009D77FC"/>
    <w:rsid w:val="009E064D"/>
    <w:rsid w:val="009E3E1D"/>
    <w:rsid w:val="009F07AF"/>
    <w:rsid w:val="009F1118"/>
    <w:rsid w:val="009F114F"/>
    <w:rsid w:val="009F157F"/>
    <w:rsid w:val="009F1F7C"/>
    <w:rsid w:val="009F2B8F"/>
    <w:rsid w:val="00A03119"/>
    <w:rsid w:val="00A04AD5"/>
    <w:rsid w:val="00A05F2F"/>
    <w:rsid w:val="00A07CCD"/>
    <w:rsid w:val="00A115D4"/>
    <w:rsid w:val="00A123A8"/>
    <w:rsid w:val="00A13856"/>
    <w:rsid w:val="00A15684"/>
    <w:rsid w:val="00A17902"/>
    <w:rsid w:val="00A22451"/>
    <w:rsid w:val="00A234CE"/>
    <w:rsid w:val="00A249E9"/>
    <w:rsid w:val="00A26279"/>
    <w:rsid w:val="00A27B69"/>
    <w:rsid w:val="00A3216A"/>
    <w:rsid w:val="00A348E6"/>
    <w:rsid w:val="00A34A5F"/>
    <w:rsid w:val="00A366B3"/>
    <w:rsid w:val="00A37147"/>
    <w:rsid w:val="00A3793A"/>
    <w:rsid w:val="00A42352"/>
    <w:rsid w:val="00A43DEE"/>
    <w:rsid w:val="00A451CF"/>
    <w:rsid w:val="00A4524F"/>
    <w:rsid w:val="00A46975"/>
    <w:rsid w:val="00A47EE5"/>
    <w:rsid w:val="00A5128C"/>
    <w:rsid w:val="00A524FA"/>
    <w:rsid w:val="00A5323F"/>
    <w:rsid w:val="00A53466"/>
    <w:rsid w:val="00A53FF8"/>
    <w:rsid w:val="00A5578D"/>
    <w:rsid w:val="00A562A7"/>
    <w:rsid w:val="00A60636"/>
    <w:rsid w:val="00A6379C"/>
    <w:rsid w:val="00A652F5"/>
    <w:rsid w:val="00A65BB0"/>
    <w:rsid w:val="00A66172"/>
    <w:rsid w:val="00A6654E"/>
    <w:rsid w:val="00A66737"/>
    <w:rsid w:val="00A673B6"/>
    <w:rsid w:val="00A7073E"/>
    <w:rsid w:val="00A730C8"/>
    <w:rsid w:val="00A74E33"/>
    <w:rsid w:val="00A77961"/>
    <w:rsid w:val="00A81315"/>
    <w:rsid w:val="00A81359"/>
    <w:rsid w:val="00A83E68"/>
    <w:rsid w:val="00A84181"/>
    <w:rsid w:val="00A85E8F"/>
    <w:rsid w:val="00A902E1"/>
    <w:rsid w:val="00A9162D"/>
    <w:rsid w:val="00A93DF9"/>
    <w:rsid w:val="00A94633"/>
    <w:rsid w:val="00A96BAC"/>
    <w:rsid w:val="00A97B03"/>
    <w:rsid w:val="00AA02B3"/>
    <w:rsid w:val="00AA0F74"/>
    <w:rsid w:val="00AA1323"/>
    <w:rsid w:val="00AA7352"/>
    <w:rsid w:val="00AA769C"/>
    <w:rsid w:val="00AA7711"/>
    <w:rsid w:val="00AB01E6"/>
    <w:rsid w:val="00AB0F73"/>
    <w:rsid w:val="00AB11CB"/>
    <w:rsid w:val="00AB2BD5"/>
    <w:rsid w:val="00AB2F6A"/>
    <w:rsid w:val="00AB4080"/>
    <w:rsid w:val="00AB58D5"/>
    <w:rsid w:val="00AB6976"/>
    <w:rsid w:val="00AB6B48"/>
    <w:rsid w:val="00AB6F19"/>
    <w:rsid w:val="00AB72C0"/>
    <w:rsid w:val="00AC4A22"/>
    <w:rsid w:val="00AC630C"/>
    <w:rsid w:val="00AC6F8B"/>
    <w:rsid w:val="00AC7157"/>
    <w:rsid w:val="00AD29D5"/>
    <w:rsid w:val="00AD5074"/>
    <w:rsid w:val="00AD5372"/>
    <w:rsid w:val="00AD60EC"/>
    <w:rsid w:val="00AD7454"/>
    <w:rsid w:val="00AE0368"/>
    <w:rsid w:val="00AE057A"/>
    <w:rsid w:val="00AE09DA"/>
    <w:rsid w:val="00AE11E5"/>
    <w:rsid w:val="00AE242D"/>
    <w:rsid w:val="00AE2C76"/>
    <w:rsid w:val="00AE34B9"/>
    <w:rsid w:val="00AE4058"/>
    <w:rsid w:val="00AF05AB"/>
    <w:rsid w:val="00AF2ECA"/>
    <w:rsid w:val="00AF4005"/>
    <w:rsid w:val="00AF4A04"/>
    <w:rsid w:val="00AF5519"/>
    <w:rsid w:val="00AF6C6D"/>
    <w:rsid w:val="00AF7DA2"/>
    <w:rsid w:val="00B0111C"/>
    <w:rsid w:val="00B02648"/>
    <w:rsid w:val="00B02847"/>
    <w:rsid w:val="00B032D7"/>
    <w:rsid w:val="00B043F8"/>
    <w:rsid w:val="00B07B44"/>
    <w:rsid w:val="00B12248"/>
    <w:rsid w:val="00B124A3"/>
    <w:rsid w:val="00B12910"/>
    <w:rsid w:val="00B1434A"/>
    <w:rsid w:val="00B213DC"/>
    <w:rsid w:val="00B21B7F"/>
    <w:rsid w:val="00B22DB8"/>
    <w:rsid w:val="00B23E95"/>
    <w:rsid w:val="00B260B9"/>
    <w:rsid w:val="00B27103"/>
    <w:rsid w:val="00B27829"/>
    <w:rsid w:val="00B30EDD"/>
    <w:rsid w:val="00B31768"/>
    <w:rsid w:val="00B320E9"/>
    <w:rsid w:val="00B3211D"/>
    <w:rsid w:val="00B33B2F"/>
    <w:rsid w:val="00B3749F"/>
    <w:rsid w:val="00B405E2"/>
    <w:rsid w:val="00B41860"/>
    <w:rsid w:val="00B4205D"/>
    <w:rsid w:val="00B4391F"/>
    <w:rsid w:val="00B45B58"/>
    <w:rsid w:val="00B5370E"/>
    <w:rsid w:val="00B54AC1"/>
    <w:rsid w:val="00B556A9"/>
    <w:rsid w:val="00B55E37"/>
    <w:rsid w:val="00B60950"/>
    <w:rsid w:val="00B61DE5"/>
    <w:rsid w:val="00B6513E"/>
    <w:rsid w:val="00B6567F"/>
    <w:rsid w:val="00B6595A"/>
    <w:rsid w:val="00B66282"/>
    <w:rsid w:val="00B6655B"/>
    <w:rsid w:val="00B6656C"/>
    <w:rsid w:val="00B67ABF"/>
    <w:rsid w:val="00B67D25"/>
    <w:rsid w:val="00B70150"/>
    <w:rsid w:val="00B73846"/>
    <w:rsid w:val="00B75649"/>
    <w:rsid w:val="00B764C8"/>
    <w:rsid w:val="00B76E22"/>
    <w:rsid w:val="00B77782"/>
    <w:rsid w:val="00B81567"/>
    <w:rsid w:val="00B842C3"/>
    <w:rsid w:val="00B84679"/>
    <w:rsid w:val="00B86880"/>
    <w:rsid w:val="00B87257"/>
    <w:rsid w:val="00B9264D"/>
    <w:rsid w:val="00B94219"/>
    <w:rsid w:val="00B945EA"/>
    <w:rsid w:val="00B94BA2"/>
    <w:rsid w:val="00B954CA"/>
    <w:rsid w:val="00BA0F6C"/>
    <w:rsid w:val="00BA1E7A"/>
    <w:rsid w:val="00BA2437"/>
    <w:rsid w:val="00BB0764"/>
    <w:rsid w:val="00BB28CF"/>
    <w:rsid w:val="00BB5AA7"/>
    <w:rsid w:val="00BB69E4"/>
    <w:rsid w:val="00BB6A5F"/>
    <w:rsid w:val="00BB75B2"/>
    <w:rsid w:val="00BB79C4"/>
    <w:rsid w:val="00BC0174"/>
    <w:rsid w:val="00BC04C1"/>
    <w:rsid w:val="00BC2EBF"/>
    <w:rsid w:val="00BC3E1B"/>
    <w:rsid w:val="00BC5CB1"/>
    <w:rsid w:val="00BC5D80"/>
    <w:rsid w:val="00BC6C97"/>
    <w:rsid w:val="00BC75DA"/>
    <w:rsid w:val="00BD2EA5"/>
    <w:rsid w:val="00BD3153"/>
    <w:rsid w:val="00BD460E"/>
    <w:rsid w:val="00BD4D56"/>
    <w:rsid w:val="00BD591A"/>
    <w:rsid w:val="00BD7AAB"/>
    <w:rsid w:val="00BE0036"/>
    <w:rsid w:val="00BE08DF"/>
    <w:rsid w:val="00BE119C"/>
    <w:rsid w:val="00BE184F"/>
    <w:rsid w:val="00BE3D67"/>
    <w:rsid w:val="00BE4A25"/>
    <w:rsid w:val="00BE538A"/>
    <w:rsid w:val="00BE680F"/>
    <w:rsid w:val="00BE7BB1"/>
    <w:rsid w:val="00BE7EBE"/>
    <w:rsid w:val="00BF03F7"/>
    <w:rsid w:val="00BF0EA5"/>
    <w:rsid w:val="00BF1471"/>
    <w:rsid w:val="00BF3041"/>
    <w:rsid w:val="00BF4321"/>
    <w:rsid w:val="00BF5293"/>
    <w:rsid w:val="00BF5ABD"/>
    <w:rsid w:val="00C0074D"/>
    <w:rsid w:val="00C014AD"/>
    <w:rsid w:val="00C038E1"/>
    <w:rsid w:val="00C04AD3"/>
    <w:rsid w:val="00C07BDB"/>
    <w:rsid w:val="00C10972"/>
    <w:rsid w:val="00C13279"/>
    <w:rsid w:val="00C13991"/>
    <w:rsid w:val="00C15210"/>
    <w:rsid w:val="00C15702"/>
    <w:rsid w:val="00C16E3F"/>
    <w:rsid w:val="00C17F28"/>
    <w:rsid w:val="00C21C41"/>
    <w:rsid w:val="00C2560E"/>
    <w:rsid w:val="00C25C8D"/>
    <w:rsid w:val="00C25CF1"/>
    <w:rsid w:val="00C26695"/>
    <w:rsid w:val="00C266D1"/>
    <w:rsid w:val="00C276F5"/>
    <w:rsid w:val="00C33818"/>
    <w:rsid w:val="00C34498"/>
    <w:rsid w:val="00C40D19"/>
    <w:rsid w:val="00C41179"/>
    <w:rsid w:val="00C4140F"/>
    <w:rsid w:val="00C43350"/>
    <w:rsid w:val="00C43411"/>
    <w:rsid w:val="00C47D7B"/>
    <w:rsid w:val="00C5066F"/>
    <w:rsid w:val="00C5074D"/>
    <w:rsid w:val="00C54738"/>
    <w:rsid w:val="00C54C4E"/>
    <w:rsid w:val="00C54C82"/>
    <w:rsid w:val="00C555A6"/>
    <w:rsid w:val="00C57370"/>
    <w:rsid w:val="00C57631"/>
    <w:rsid w:val="00C602AB"/>
    <w:rsid w:val="00C6225B"/>
    <w:rsid w:val="00C65B4B"/>
    <w:rsid w:val="00C66530"/>
    <w:rsid w:val="00C7005F"/>
    <w:rsid w:val="00C707C5"/>
    <w:rsid w:val="00C71354"/>
    <w:rsid w:val="00C74D11"/>
    <w:rsid w:val="00C75C99"/>
    <w:rsid w:val="00C76139"/>
    <w:rsid w:val="00C80724"/>
    <w:rsid w:val="00C81099"/>
    <w:rsid w:val="00C81330"/>
    <w:rsid w:val="00C814D7"/>
    <w:rsid w:val="00C81634"/>
    <w:rsid w:val="00C82AB7"/>
    <w:rsid w:val="00C83628"/>
    <w:rsid w:val="00C86761"/>
    <w:rsid w:val="00C878CA"/>
    <w:rsid w:val="00C907CB"/>
    <w:rsid w:val="00C909AF"/>
    <w:rsid w:val="00C91D13"/>
    <w:rsid w:val="00C9208C"/>
    <w:rsid w:val="00C9221A"/>
    <w:rsid w:val="00C93AE3"/>
    <w:rsid w:val="00C9412C"/>
    <w:rsid w:val="00C94F1D"/>
    <w:rsid w:val="00C96A29"/>
    <w:rsid w:val="00C9794D"/>
    <w:rsid w:val="00CA137E"/>
    <w:rsid w:val="00CA4F30"/>
    <w:rsid w:val="00CA6015"/>
    <w:rsid w:val="00CA6CAC"/>
    <w:rsid w:val="00CB1EC0"/>
    <w:rsid w:val="00CB4D1E"/>
    <w:rsid w:val="00CB5527"/>
    <w:rsid w:val="00CB57B7"/>
    <w:rsid w:val="00CC072E"/>
    <w:rsid w:val="00CC0FED"/>
    <w:rsid w:val="00CC21DF"/>
    <w:rsid w:val="00CC23BC"/>
    <w:rsid w:val="00CC3B7F"/>
    <w:rsid w:val="00CC3F86"/>
    <w:rsid w:val="00CC56E7"/>
    <w:rsid w:val="00CC5A74"/>
    <w:rsid w:val="00CC62DC"/>
    <w:rsid w:val="00CD0344"/>
    <w:rsid w:val="00CD5A2E"/>
    <w:rsid w:val="00CD6BAD"/>
    <w:rsid w:val="00CE04FA"/>
    <w:rsid w:val="00CE0C20"/>
    <w:rsid w:val="00CE24F1"/>
    <w:rsid w:val="00CE32CB"/>
    <w:rsid w:val="00CE43A6"/>
    <w:rsid w:val="00CE466A"/>
    <w:rsid w:val="00CE567B"/>
    <w:rsid w:val="00CF0D92"/>
    <w:rsid w:val="00CF32ED"/>
    <w:rsid w:val="00CF3851"/>
    <w:rsid w:val="00D02EE6"/>
    <w:rsid w:val="00D04E3B"/>
    <w:rsid w:val="00D05710"/>
    <w:rsid w:val="00D058A4"/>
    <w:rsid w:val="00D07B11"/>
    <w:rsid w:val="00D10F39"/>
    <w:rsid w:val="00D12AE3"/>
    <w:rsid w:val="00D1358C"/>
    <w:rsid w:val="00D16985"/>
    <w:rsid w:val="00D16F2D"/>
    <w:rsid w:val="00D17BBA"/>
    <w:rsid w:val="00D24D5F"/>
    <w:rsid w:val="00D25687"/>
    <w:rsid w:val="00D266A2"/>
    <w:rsid w:val="00D27374"/>
    <w:rsid w:val="00D30714"/>
    <w:rsid w:val="00D3286A"/>
    <w:rsid w:val="00D33FC2"/>
    <w:rsid w:val="00D35154"/>
    <w:rsid w:val="00D35C0C"/>
    <w:rsid w:val="00D442DD"/>
    <w:rsid w:val="00D44946"/>
    <w:rsid w:val="00D50127"/>
    <w:rsid w:val="00D561F8"/>
    <w:rsid w:val="00D56CAC"/>
    <w:rsid w:val="00D60023"/>
    <w:rsid w:val="00D600AC"/>
    <w:rsid w:val="00D6138C"/>
    <w:rsid w:val="00D64E5D"/>
    <w:rsid w:val="00D666EA"/>
    <w:rsid w:val="00D717C3"/>
    <w:rsid w:val="00D723F1"/>
    <w:rsid w:val="00D72EB5"/>
    <w:rsid w:val="00D74ADF"/>
    <w:rsid w:val="00D83415"/>
    <w:rsid w:val="00D83433"/>
    <w:rsid w:val="00D83DA6"/>
    <w:rsid w:val="00D83F5F"/>
    <w:rsid w:val="00D84575"/>
    <w:rsid w:val="00D852D4"/>
    <w:rsid w:val="00D861BD"/>
    <w:rsid w:val="00D901D8"/>
    <w:rsid w:val="00D910D4"/>
    <w:rsid w:val="00D9184D"/>
    <w:rsid w:val="00D9352F"/>
    <w:rsid w:val="00D95A09"/>
    <w:rsid w:val="00DA1AF3"/>
    <w:rsid w:val="00DA27A4"/>
    <w:rsid w:val="00DA348B"/>
    <w:rsid w:val="00DA3537"/>
    <w:rsid w:val="00DA362C"/>
    <w:rsid w:val="00DA5B34"/>
    <w:rsid w:val="00DA6191"/>
    <w:rsid w:val="00DB2B31"/>
    <w:rsid w:val="00DB308C"/>
    <w:rsid w:val="00DB52FD"/>
    <w:rsid w:val="00DB5F59"/>
    <w:rsid w:val="00DB6075"/>
    <w:rsid w:val="00DB702B"/>
    <w:rsid w:val="00DC10DF"/>
    <w:rsid w:val="00DC605E"/>
    <w:rsid w:val="00DC613F"/>
    <w:rsid w:val="00DC6D32"/>
    <w:rsid w:val="00DC719D"/>
    <w:rsid w:val="00DD1EF2"/>
    <w:rsid w:val="00DD2D6D"/>
    <w:rsid w:val="00DD3B37"/>
    <w:rsid w:val="00DD5209"/>
    <w:rsid w:val="00DD59B4"/>
    <w:rsid w:val="00DD6AC7"/>
    <w:rsid w:val="00DD6CBE"/>
    <w:rsid w:val="00DE1FE6"/>
    <w:rsid w:val="00DE2CB5"/>
    <w:rsid w:val="00DE49FE"/>
    <w:rsid w:val="00DE5288"/>
    <w:rsid w:val="00DE52E8"/>
    <w:rsid w:val="00DF24D8"/>
    <w:rsid w:val="00DF2D06"/>
    <w:rsid w:val="00DF3462"/>
    <w:rsid w:val="00DF6F5C"/>
    <w:rsid w:val="00E03941"/>
    <w:rsid w:val="00E03A43"/>
    <w:rsid w:val="00E06E79"/>
    <w:rsid w:val="00E11E7F"/>
    <w:rsid w:val="00E17A08"/>
    <w:rsid w:val="00E20FA7"/>
    <w:rsid w:val="00E23277"/>
    <w:rsid w:val="00E24DCF"/>
    <w:rsid w:val="00E25047"/>
    <w:rsid w:val="00E25C14"/>
    <w:rsid w:val="00E26187"/>
    <w:rsid w:val="00E270B6"/>
    <w:rsid w:val="00E3011C"/>
    <w:rsid w:val="00E3392D"/>
    <w:rsid w:val="00E33F48"/>
    <w:rsid w:val="00E34144"/>
    <w:rsid w:val="00E34B47"/>
    <w:rsid w:val="00E3720D"/>
    <w:rsid w:val="00E40982"/>
    <w:rsid w:val="00E41415"/>
    <w:rsid w:val="00E43206"/>
    <w:rsid w:val="00E456AC"/>
    <w:rsid w:val="00E46367"/>
    <w:rsid w:val="00E46945"/>
    <w:rsid w:val="00E469C5"/>
    <w:rsid w:val="00E51D1C"/>
    <w:rsid w:val="00E541CC"/>
    <w:rsid w:val="00E569BD"/>
    <w:rsid w:val="00E6064E"/>
    <w:rsid w:val="00E61FDC"/>
    <w:rsid w:val="00E620D5"/>
    <w:rsid w:val="00E63953"/>
    <w:rsid w:val="00E64322"/>
    <w:rsid w:val="00E714A5"/>
    <w:rsid w:val="00E71590"/>
    <w:rsid w:val="00E731C4"/>
    <w:rsid w:val="00E76AAA"/>
    <w:rsid w:val="00E76BBF"/>
    <w:rsid w:val="00E8002B"/>
    <w:rsid w:val="00E82163"/>
    <w:rsid w:val="00E82B4D"/>
    <w:rsid w:val="00E847AA"/>
    <w:rsid w:val="00E84BA9"/>
    <w:rsid w:val="00E904AA"/>
    <w:rsid w:val="00E90D47"/>
    <w:rsid w:val="00E9116A"/>
    <w:rsid w:val="00E915A9"/>
    <w:rsid w:val="00E94BDB"/>
    <w:rsid w:val="00E9710A"/>
    <w:rsid w:val="00E97241"/>
    <w:rsid w:val="00EA1F0A"/>
    <w:rsid w:val="00EA243E"/>
    <w:rsid w:val="00EA2914"/>
    <w:rsid w:val="00EA4B13"/>
    <w:rsid w:val="00EB0674"/>
    <w:rsid w:val="00EB07CB"/>
    <w:rsid w:val="00EB0972"/>
    <w:rsid w:val="00EB1759"/>
    <w:rsid w:val="00EB2A05"/>
    <w:rsid w:val="00EB2B9E"/>
    <w:rsid w:val="00EB3450"/>
    <w:rsid w:val="00EB42AF"/>
    <w:rsid w:val="00EB4604"/>
    <w:rsid w:val="00EB4DA4"/>
    <w:rsid w:val="00EB510B"/>
    <w:rsid w:val="00EB51FD"/>
    <w:rsid w:val="00EB67C0"/>
    <w:rsid w:val="00EB6D55"/>
    <w:rsid w:val="00EC133A"/>
    <w:rsid w:val="00EC2910"/>
    <w:rsid w:val="00EC3645"/>
    <w:rsid w:val="00EC461C"/>
    <w:rsid w:val="00EC4DC2"/>
    <w:rsid w:val="00EC5E0A"/>
    <w:rsid w:val="00EC62BF"/>
    <w:rsid w:val="00EC79C5"/>
    <w:rsid w:val="00ED0346"/>
    <w:rsid w:val="00ED29F4"/>
    <w:rsid w:val="00ED4075"/>
    <w:rsid w:val="00ED4F10"/>
    <w:rsid w:val="00ED75B0"/>
    <w:rsid w:val="00EE0B50"/>
    <w:rsid w:val="00EE2E1A"/>
    <w:rsid w:val="00EE4468"/>
    <w:rsid w:val="00EE65FF"/>
    <w:rsid w:val="00EE69D8"/>
    <w:rsid w:val="00EE7259"/>
    <w:rsid w:val="00EF06BB"/>
    <w:rsid w:val="00EF0D80"/>
    <w:rsid w:val="00EF19EB"/>
    <w:rsid w:val="00EF2F41"/>
    <w:rsid w:val="00EF51B0"/>
    <w:rsid w:val="00EF7B47"/>
    <w:rsid w:val="00F01626"/>
    <w:rsid w:val="00F04309"/>
    <w:rsid w:val="00F0529C"/>
    <w:rsid w:val="00F0562E"/>
    <w:rsid w:val="00F079DE"/>
    <w:rsid w:val="00F10758"/>
    <w:rsid w:val="00F10771"/>
    <w:rsid w:val="00F1246F"/>
    <w:rsid w:val="00F13539"/>
    <w:rsid w:val="00F13FC3"/>
    <w:rsid w:val="00F15F85"/>
    <w:rsid w:val="00F1613B"/>
    <w:rsid w:val="00F16329"/>
    <w:rsid w:val="00F20CB6"/>
    <w:rsid w:val="00F20D15"/>
    <w:rsid w:val="00F21EB1"/>
    <w:rsid w:val="00F22FB3"/>
    <w:rsid w:val="00F2491C"/>
    <w:rsid w:val="00F2707F"/>
    <w:rsid w:val="00F3056D"/>
    <w:rsid w:val="00F30CBB"/>
    <w:rsid w:val="00F31562"/>
    <w:rsid w:val="00F33FA7"/>
    <w:rsid w:val="00F34F8F"/>
    <w:rsid w:val="00F37103"/>
    <w:rsid w:val="00F425E0"/>
    <w:rsid w:val="00F42B42"/>
    <w:rsid w:val="00F45DFB"/>
    <w:rsid w:val="00F45E4C"/>
    <w:rsid w:val="00F46B9A"/>
    <w:rsid w:val="00F47A15"/>
    <w:rsid w:val="00F47DB7"/>
    <w:rsid w:val="00F50C65"/>
    <w:rsid w:val="00F50F68"/>
    <w:rsid w:val="00F51981"/>
    <w:rsid w:val="00F526CF"/>
    <w:rsid w:val="00F5428A"/>
    <w:rsid w:val="00F550E7"/>
    <w:rsid w:val="00F56D94"/>
    <w:rsid w:val="00F62ED6"/>
    <w:rsid w:val="00F6555B"/>
    <w:rsid w:val="00F736C7"/>
    <w:rsid w:val="00F74050"/>
    <w:rsid w:val="00F74305"/>
    <w:rsid w:val="00F760F4"/>
    <w:rsid w:val="00F775B3"/>
    <w:rsid w:val="00F80AB6"/>
    <w:rsid w:val="00F835AD"/>
    <w:rsid w:val="00F84031"/>
    <w:rsid w:val="00F849C3"/>
    <w:rsid w:val="00F85903"/>
    <w:rsid w:val="00F86FEA"/>
    <w:rsid w:val="00F9140D"/>
    <w:rsid w:val="00F921C7"/>
    <w:rsid w:val="00F9397E"/>
    <w:rsid w:val="00FA2AB7"/>
    <w:rsid w:val="00FA3AD6"/>
    <w:rsid w:val="00FA3BFA"/>
    <w:rsid w:val="00FA44EA"/>
    <w:rsid w:val="00FA591D"/>
    <w:rsid w:val="00FA6261"/>
    <w:rsid w:val="00FB0217"/>
    <w:rsid w:val="00FB650D"/>
    <w:rsid w:val="00FB6F8B"/>
    <w:rsid w:val="00FC1F99"/>
    <w:rsid w:val="00FC2BD1"/>
    <w:rsid w:val="00FC33D0"/>
    <w:rsid w:val="00FC4533"/>
    <w:rsid w:val="00FC491F"/>
    <w:rsid w:val="00FC7A6A"/>
    <w:rsid w:val="00FC7B44"/>
    <w:rsid w:val="00FD15B2"/>
    <w:rsid w:val="00FD2F30"/>
    <w:rsid w:val="00FD357D"/>
    <w:rsid w:val="00FD4DAB"/>
    <w:rsid w:val="00FD4FF2"/>
    <w:rsid w:val="00FD7E1D"/>
    <w:rsid w:val="00FE0154"/>
    <w:rsid w:val="00FE024E"/>
    <w:rsid w:val="00FE087C"/>
    <w:rsid w:val="00FE37CB"/>
    <w:rsid w:val="00FE4196"/>
    <w:rsid w:val="00FE512C"/>
    <w:rsid w:val="00FE5A55"/>
    <w:rsid w:val="00FE7BC3"/>
    <w:rsid w:val="00FF0965"/>
    <w:rsid w:val="00FF0E51"/>
    <w:rsid w:val="00FF1341"/>
    <w:rsid w:val="00FF4A66"/>
    <w:rsid w:val="00FF559B"/>
    <w:rsid w:val="00FF7532"/>
    <w:rsid w:val="00FF791A"/>
    <w:rsid w:val="2F85C727"/>
    <w:rsid w:val="33084E69"/>
    <w:rsid w:val="5538AC91"/>
    <w:rsid w:val="6B10B385"/>
    <w:rsid w:val="71B00B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F3E02"/>
  <w15:docId w15:val="{E6BE126A-95AB-4BCA-84BC-091C6C37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695"/>
    <w:pPr>
      <w:spacing w:after="0" w:line="480" w:lineRule="auto"/>
    </w:pPr>
    <w:rPr>
      <w:rFonts w:ascii="Times New Roman" w:eastAsia="Times New Roman" w:hAnsi="Times New Roman" w:cs="Times New Roman"/>
      <w:sz w:val="24"/>
      <w:szCs w:val="20"/>
    </w:rPr>
  </w:style>
  <w:style w:type="paragraph" w:styleId="Heading1">
    <w:name w:val="heading 1"/>
    <w:aliases w:val="H1-Sec.Head"/>
    <w:basedOn w:val="Normal"/>
    <w:next w:val="L1-FlLSp12"/>
    <w:link w:val="Heading1Char"/>
    <w:qFormat/>
    <w:rsid w:val="00C26695"/>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54383D"/>
    <w:pPr>
      <w:outlineLvl w:val="1"/>
    </w:pPr>
    <w:rPr>
      <w:rFonts w:ascii="Times New Roman" w:hAnsi="Times New Roman"/>
      <w:color w:val="auto"/>
      <w:sz w:val="24"/>
    </w:rPr>
  </w:style>
  <w:style w:type="paragraph" w:styleId="Heading3">
    <w:name w:val="heading 3"/>
    <w:aliases w:val="H3-Sec. Head"/>
    <w:basedOn w:val="Heading1"/>
    <w:next w:val="L1-FlLSp12"/>
    <w:link w:val="Heading3Char"/>
    <w:qFormat/>
    <w:rsid w:val="00C26695"/>
    <w:pPr>
      <w:outlineLvl w:val="2"/>
    </w:pPr>
    <w:rPr>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C26695"/>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54383D"/>
    <w:rPr>
      <w:rFonts w:ascii="Times New Roman" w:eastAsia="Times New Roman" w:hAnsi="Times New Roman" w:cs="Times New Roman"/>
      <w:b/>
      <w:sz w:val="24"/>
      <w:szCs w:val="20"/>
    </w:rPr>
  </w:style>
  <w:style w:type="character" w:customStyle="1" w:styleId="Heading3Char">
    <w:name w:val="Heading 3 Char"/>
    <w:aliases w:val="H3-Sec. Head Char"/>
    <w:basedOn w:val="DefaultParagraphFont"/>
    <w:link w:val="Heading3"/>
    <w:rsid w:val="00C26695"/>
    <w:rPr>
      <w:rFonts w:ascii="Franklin Gothic Medium" w:eastAsia="Times New Roman" w:hAnsi="Franklin Gothic Medium" w:cs="Times New Roman"/>
      <w:b/>
      <w:sz w:val="24"/>
      <w:szCs w:val="20"/>
    </w:rPr>
  </w:style>
  <w:style w:type="paragraph" w:styleId="FootnoteText">
    <w:name w:val="footnote text"/>
    <w:aliases w:val="F1,Footnote Text2,F"/>
    <w:link w:val="FootnoteTextChar"/>
    <w:uiPriority w:val="99"/>
    <w:rsid w:val="00C26695"/>
    <w:pPr>
      <w:keepLines/>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Footnote Text2 Char,F Char"/>
    <w:basedOn w:val="DefaultParagraphFont"/>
    <w:link w:val="FootnoteText"/>
    <w:uiPriority w:val="99"/>
    <w:rsid w:val="00C26695"/>
    <w:rPr>
      <w:rFonts w:ascii="Garamond" w:eastAsia="Times New Roman" w:hAnsi="Garamond" w:cs="Times New Roman"/>
      <w:sz w:val="16"/>
      <w:szCs w:val="20"/>
    </w:rPr>
  </w:style>
  <w:style w:type="paragraph" w:styleId="Header">
    <w:name w:val="header"/>
    <w:basedOn w:val="Normal"/>
    <w:link w:val="HeaderChar"/>
    <w:uiPriority w:val="99"/>
    <w:qFormat/>
    <w:rsid w:val="00C26695"/>
    <w:pPr>
      <w:tabs>
        <w:tab w:val="center" w:pos="4320"/>
        <w:tab w:val="right" w:pos="8640"/>
      </w:tabs>
    </w:pPr>
    <w:rPr>
      <w:sz w:val="16"/>
    </w:rPr>
  </w:style>
  <w:style w:type="character" w:customStyle="1" w:styleId="HeaderChar">
    <w:name w:val="Header Char"/>
    <w:basedOn w:val="DefaultParagraphFont"/>
    <w:link w:val="Header"/>
    <w:uiPriority w:val="99"/>
    <w:rsid w:val="00C26695"/>
    <w:rPr>
      <w:rFonts w:ascii="Times New Roman" w:eastAsia="Times New Roman" w:hAnsi="Times New Roman" w:cs="Times New Roman"/>
      <w:sz w:val="16"/>
      <w:szCs w:val="20"/>
    </w:rPr>
  </w:style>
  <w:style w:type="paragraph" w:customStyle="1" w:styleId="L1-FlLSp12">
    <w:name w:val="L1-FlL Sp&amp;1/2"/>
    <w:basedOn w:val="Normal"/>
    <w:rsid w:val="00C26695"/>
    <w:pPr>
      <w:tabs>
        <w:tab w:val="left" w:pos="1152"/>
      </w:tabs>
      <w:spacing w:line="360" w:lineRule="atLeast"/>
    </w:pPr>
  </w:style>
  <w:style w:type="paragraph" w:customStyle="1" w:styleId="N1-1stBullet">
    <w:name w:val="N1-1st Bullet"/>
    <w:basedOn w:val="Normal"/>
    <w:link w:val="N1-1stBulletChar"/>
    <w:rsid w:val="00C26695"/>
    <w:pPr>
      <w:numPr>
        <w:numId w:val="1"/>
      </w:numPr>
      <w:spacing w:after="240"/>
    </w:pPr>
  </w:style>
  <w:style w:type="table" w:customStyle="1" w:styleId="TableWestatStandardFormat">
    <w:name w:val="Table Westat Standard Format"/>
    <w:basedOn w:val="TableNormal"/>
    <w:rsid w:val="00C26695"/>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H-TableHeading">
    <w:name w:val="TH-Table Heading"/>
    <w:basedOn w:val="Heading1"/>
    <w:uiPriority w:val="99"/>
    <w:rsid w:val="00C26695"/>
    <w:pPr>
      <w:spacing w:after="0" w:line="240" w:lineRule="atLeast"/>
      <w:ind w:left="0" w:firstLine="0"/>
      <w:jc w:val="center"/>
    </w:pPr>
    <w:rPr>
      <w:color w:val="auto"/>
      <w:sz w:val="20"/>
    </w:rPr>
  </w:style>
  <w:style w:type="paragraph" w:customStyle="1" w:styleId="TX-TableText">
    <w:name w:val="TX-Table Text"/>
    <w:basedOn w:val="Normal"/>
    <w:uiPriority w:val="99"/>
    <w:rsid w:val="00C26695"/>
    <w:rPr>
      <w:rFonts w:ascii="Franklin Gothic Medium" w:hAnsi="Franklin Gothic Medium"/>
      <w:sz w:val="20"/>
    </w:rPr>
  </w:style>
  <w:style w:type="paragraph" w:styleId="ListParagraph">
    <w:name w:val="List Paragraph"/>
    <w:basedOn w:val="Normal"/>
    <w:link w:val="ListParagraphChar"/>
    <w:uiPriority w:val="34"/>
    <w:qFormat/>
    <w:rsid w:val="00C26695"/>
    <w:pPr>
      <w:spacing w:after="200" w:line="276" w:lineRule="auto"/>
      <w:ind w:left="720"/>
      <w:contextualSpacing/>
    </w:pPr>
    <w:rPr>
      <w:rFonts w:asciiTheme="minorHAnsi" w:eastAsiaTheme="minorHAnsi" w:hAnsiTheme="minorHAnsi" w:cstheme="minorBidi"/>
      <w:sz w:val="22"/>
      <w:szCs w:val="22"/>
    </w:rPr>
  </w:style>
  <w:style w:type="paragraph" w:styleId="BodyTextIndent3">
    <w:name w:val="Body Text Indent 3"/>
    <w:basedOn w:val="Normal"/>
    <w:link w:val="BodyTextIndent3Char"/>
    <w:uiPriority w:val="99"/>
    <w:rsid w:val="00C26695"/>
    <w:pPr>
      <w:widowControl w:val="0"/>
      <w:tabs>
        <w:tab w:val="left" w:pos="0"/>
      </w:tabs>
      <w:suppressAutoHyphens/>
      <w:autoSpaceDE w:val="0"/>
      <w:autoSpaceDN w:val="0"/>
      <w:adjustRightInd w:val="0"/>
      <w:ind w:firstLine="720"/>
    </w:pPr>
    <w:rPr>
      <w:sz w:val="22"/>
      <w:szCs w:val="22"/>
    </w:rPr>
  </w:style>
  <w:style w:type="character" w:customStyle="1" w:styleId="BodyTextIndent3Char">
    <w:name w:val="Body Text Indent 3 Char"/>
    <w:basedOn w:val="DefaultParagraphFont"/>
    <w:link w:val="BodyTextIndent3"/>
    <w:uiPriority w:val="99"/>
    <w:rsid w:val="00C26695"/>
    <w:rPr>
      <w:rFonts w:ascii="Times New Roman" w:eastAsia="Times New Roman" w:hAnsi="Times New Roman" w:cs="Times New Roman"/>
    </w:rPr>
  </w:style>
  <w:style w:type="character" w:customStyle="1" w:styleId="N1-1stBulletChar">
    <w:name w:val="N1-1st Bullet Char"/>
    <w:basedOn w:val="DefaultParagraphFont"/>
    <w:link w:val="N1-1stBullet"/>
    <w:locked/>
    <w:rsid w:val="00C26695"/>
    <w:rPr>
      <w:rFonts w:ascii="Times New Roman" w:eastAsia="Times New Roman" w:hAnsi="Times New Roman" w:cs="Times New Roman"/>
      <w:sz w:val="24"/>
      <w:szCs w:val="20"/>
    </w:rPr>
  </w:style>
  <w:style w:type="character" w:styleId="FootnoteReference">
    <w:name w:val="footnote reference"/>
    <w:basedOn w:val="DefaultParagraphFont"/>
    <w:uiPriority w:val="99"/>
    <w:unhideWhenUsed/>
    <w:qFormat/>
    <w:rsid w:val="00C26695"/>
    <w:rPr>
      <w:vertAlign w:val="superscript"/>
    </w:rPr>
  </w:style>
  <w:style w:type="paragraph" w:customStyle="1" w:styleId="Normalcontinued">
    <w:name w:val="Normal (continued)"/>
    <w:basedOn w:val="Normal"/>
    <w:next w:val="Normal"/>
    <w:qFormat/>
    <w:rsid w:val="00C26695"/>
  </w:style>
  <w:style w:type="character" w:customStyle="1" w:styleId="ListParagraphChar">
    <w:name w:val="List Paragraph Char"/>
    <w:link w:val="ListParagraph"/>
    <w:uiPriority w:val="34"/>
    <w:locked/>
    <w:rsid w:val="00C26695"/>
  </w:style>
  <w:style w:type="character" w:styleId="CommentReference">
    <w:name w:val="annotation reference"/>
    <w:basedOn w:val="DefaultParagraphFont"/>
    <w:unhideWhenUsed/>
    <w:rsid w:val="00A83E68"/>
    <w:rPr>
      <w:sz w:val="16"/>
      <w:szCs w:val="16"/>
    </w:rPr>
  </w:style>
  <w:style w:type="paragraph" w:styleId="CommentText">
    <w:name w:val="annotation text"/>
    <w:basedOn w:val="Normal"/>
    <w:link w:val="CommentTextChar"/>
    <w:uiPriority w:val="99"/>
    <w:unhideWhenUsed/>
    <w:rsid w:val="00A83E68"/>
    <w:pPr>
      <w:spacing w:line="240" w:lineRule="auto"/>
    </w:pPr>
    <w:rPr>
      <w:sz w:val="20"/>
    </w:rPr>
  </w:style>
  <w:style w:type="character" w:customStyle="1" w:styleId="CommentTextChar">
    <w:name w:val="Comment Text Char"/>
    <w:basedOn w:val="DefaultParagraphFont"/>
    <w:link w:val="CommentText"/>
    <w:uiPriority w:val="99"/>
    <w:rsid w:val="00A83E6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3E68"/>
    <w:rPr>
      <w:b/>
      <w:bCs/>
    </w:rPr>
  </w:style>
  <w:style w:type="character" w:customStyle="1" w:styleId="CommentSubjectChar">
    <w:name w:val="Comment Subject Char"/>
    <w:basedOn w:val="CommentTextChar"/>
    <w:link w:val="CommentSubject"/>
    <w:uiPriority w:val="99"/>
    <w:semiHidden/>
    <w:rsid w:val="00A83E6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83E6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E68"/>
    <w:rPr>
      <w:rFonts w:ascii="Segoe UI" w:eastAsia="Times New Roman" w:hAnsi="Segoe UI" w:cs="Segoe UI"/>
      <w:sz w:val="18"/>
      <w:szCs w:val="18"/>
    </w:rPr>
  </w:style>
  <w:style w:type="table" w:styleId="TableGrid">
    <w:name w:val="Table Grid"/>
    <w:basedOn w:val="TableNormal"/>
    <w:uiPriority w:val="39"/>
    <w:rsid w:val="00DA1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C4A22"/>
    <w:pPr>
      <w:tabs>
        <w:tab w:val="center" w:pos="4680"/>
        <w:tab w:val="right" w:pos="9360"/>
      </w:tabs>
      <w:spacing w:line="240" w:lineRule="auto"/>
    </w:pPr>
  </w:style>
  <w:style w:type="character" w:customStyle="1" w:styleId="FooterChar">
    <w:name w:val="Footer Char"/>
    <w:basedOn w:val="DefaultParagraphFont"/>
    <w:link w:val="Footer"/>
    <w:uiPriority w:val="99"/>
    <w:rsid w:val="00AC4A22"/>
    <w:rPr>
      <w:rFonts w:ascii="Times New Roman" w:eastAsia="Times New Roman" w:hAnsi="Times New Roman" w:cs="Times New Roman"/>
      <w:sz w:val="24"/>
      <w:szCs w:val="20"/>
    </w:rPr>
  </w:style>
  <w:style w:type="character" w:styleId="Hyperlink">
    <w:name w:val="Hyperlink"/>
    <w:basedOn w:val="DefaultParagraphFont"/>
    <w:uiPriority w:val="99"/>
    <w:unhideWhenUsed/>
    <w:rsid w:val="00281580"/>
    <w:rPr>
      <w:rFonts w:ascii="Times New Roman" w:hAnsi="Times New Roman" w:cs="Times New Roman" w:hint="default"/>
      <w:color w:val="0000FF"/>
      <w:u w:val="single"/>
    </w:rPr>
  </w:style>
  <w:style w:type="paragraph" w:customStyle="1" w:styleId="P1-StandPara">
    <w:name w:val="P1-Stand Para"/>
    <w:basedOn w:val="Normal"/>
    <w:link w:val="P1-StandParaChar"/>
    <w:rsid w:val="00CB5527"/>
    <w:pPr>
      <w:spacing w:line="360" w:lineRule="atLeast"/>
      <w:ind w:firstLine="1152"/>
    </w:pPr>
  </w:style>
  <w:style w:type="character" w:customStyle="1" w:styleId="P1-StandParaChar">
    <w:name w:val="P1-Stand Para Char"/>
    <w:basedOn w:val="DefaultParagraphFont"/>
    <w:link w:val="P1-StandPara"/>
    <w:rsid w:val="00CB5527"/>
    <w:rPr>
      <w:rFonts w:ascii="Times New Roman" w:eastAsia="Times New Roman" w:hAnsi="Times New Roman" w:cs="Times New Roman"/>
      <w:sz w:val="24"/>
      <w:szCs w:val="20"/>
    </w:rPr>
  </w:style>
  <w:style w:type="character" w:customStyle="1" w:styleId="UnresolvedMention1">
    <w:name w:val="Unresolved Mention1"/>
    <w:basedOn w:val="DefaultParagraphFont"/>
    <w:uiPriority w:val="99"/>
    <w:unhideWhenUsed/>
    <w:rsid w:val="000F3A5F"/>
    <w:rPr>
      <w:color w:val="605E5C"/>
      <w:shd w:val="clear" w:color="auto" w:fill="E1DFDD"/>
    </w:rPr>
  </w:style>
  <w:style w:type="character" w:customStyle="1" w:styleId="Mention1">
    <w:name w:val="Mention1"/>
    <w:basedOn w:val="DefaultParagraphFont"/>
    <w:uiPriority w:val="99"/>
    <w:unhideWhenUsed/>
    <w:rsid w:val="000F3A5F"/>
    <w:rPr>
      <w:color w:val="2B579A"/>
      <w:shd w:val="clear" w:color="auto" w:fill="E1DFDD"/>
    </w:rPr>
  </w:style>
  <w:style w:type="character" w:styleId="Emphasis">
    <w:name w:val="Emphasis"/>
    <w:qFormat/>
    <w:rsid w:val="008D0683"/>
    <w:rPr>
      <w:i/>
      <w:iCs/>
    </w:rPr>
  </w:style>
  <w:style w:type="paragraph" w:customStyle="1" w:styleId="Q1-BestFinQ">
    <w:name w:val="Q1-Best/Fin Q"/>
    <w:rsid w:val="007506E6"/>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styleId="Revision">
    <w:name w:val="Revision"/>
    <w:hidden/>
    <w:uiPriority w:val="99"/>
    <w:semiHidden/>
    <w:rsid w:val="00FE5A55"/>
    <w:pPr>
      <w:spacing w:after="0" w:line="240" w:lineRule="auto"/>
    </w:pPr>
    <w:rPr>
      <w:rFonts w:ascii="Times New Roman" w:eastAsia="Times New Roman" w:hAnsi="Times New Roman" w:cs="Times New Roman"/>
      <w:sz w:val="24"/>
      <w:szCs w:val="20"/>
    </w:rPr>
  </w:style>
  <w:style w:type="character" w:customStyle="1" w:styleId="UnresolvedMention2">
    <w:name w:val="Unresolved Mention2"/>
    <w:basedOn w:val="DefaultParagraphFont"/>
    <w:uiPriority w:val="99"/>
    <w:unhideWhenUsed/>
    <w:rsid w:val="008F3C86"/>
    <w:rPr>
      <w:color w:val="605E5C"/>
      <w:shd w:val="clear" w:color="auto" w:fill="E1DFDD"/>
    </w:rPr>
  </w:style>
  <w:style w:type="character" w:customStyle="1" w:styleId="Mention2">
    <w:name w:val="Mention2"/>
    <w:basedOn w:val="DefaultParagraphFont"/>
    <w:uiPriority w:val="99"/>
    <w:unhideWhenUsed/>
    <w:rsid w:val="008F3C8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470890">
      <w:bodyDiv w:val="1"/>
      <w:marLeft w:val="0"/>
      <w:marRight w:val="0"/>
      <w:marTop w:val="0"/>
      <w:marBottom w:val="0"/>
      <w:divBdr>
        <w:top w:val="none" w:sz="0" w:space="0" w:color="auto"/>
        <w:left w:val="none" w:sz="0" w:space="0" w:color="auto"/>
        <w:bottom w:val="none" w:sz="0" w:space="0" w:color="auto"/>
        <w:right w:val="none" w:sz="0" w:space="0" w:color="auto"/>
      </w:divBdr>
    </w:div>
    <w:div w:id="488717588">
      <w:bodyDiv w:val="1"/>
      <w:marLeft w:val="0"/>
      <w:marRight w:val="0"/>
      <w:marTop w:val="0"/>
      <w:marBottom w:val="0"/>
      <w:divBdr>
        <w:top w:val="none" w:sz="0" w:space="0" w:color="auto"/>
        <w:left w:val="none" w:sz="0" w:space="0" w:color="auto"/>
        <w:bottom w:val="none" w:sz="0" w:space="0" w:color="auto"/>
        <w:right w:val="none" w:sz="0" w:space="0" w:color="auto"/>
      </w:divBdr>
    </w:div>
    <w:div w:id="1239513121">
      <w:bodyDiv w:val="1"/>
      <w:marLeft w:val="0"/>
      <w:marRight w:val="0"/>
      <w:marTop w:val="0"/>
      <w:marBottom w:val="0"/>
      <w:divBdr>
        <w:top w:val="none" w:sz="0" w:space="0" w:color="auto"/>
        <w:left w:val="none" w:sz="0" w:space="0" w:color="auto"/>
        <w:bottom w:val="none" w:sz="0" w:space="0" w:color="auto"/>
        <w:right w:val="none" w:sz="0" w:space="0" w:color="auto"/>
      </w:divBdr>
    </w:div>
    <w:div w:id="1620068869">
      <w:bodyDiv w:val="1"/>
      <w:marLeft w:val="0"/>
      <w:marRight w:val="0"/>
      <w:marTop w:val="0"/>
      <w:marBottom w:val="0"/>
      <w:divBdr>
        <w:top w:val="none" w:sz="0" w:space="0" w:color="auto"/>
        <w:left w:val="none" w:sz="0" w:space="0" w:color="auto"/>
        <w:bottom w:val="none" w:sz="0" w:space="0" w:color="auto"/>
        <w:right w:val="none" w:sz="0" w:space="0" w:color="auto"/>
      </w:divBdr>
    </w:div>
    <w:div w:id="1646542529">
      <w:bodyDiv w:val="1"/>
      <w:marLeft w:val="0"/>
      <w:marRight w:val="0"/>
      <w:marTop w:val="0"/>
      <w:marBottom w:val="0"/>
      <w:divBdr>
        <w:top w:val="none" w:sz="0" w:space="0" w:color="auto"/>
        <w:left w:val="none" w:sz="0" w:space="0" w:color="auto"/>
        <w:bottom w:val="none" w:sz="0" w:space="0" w:color="auto"/>
        <w:right w:val="none" w:sz="0" w:space="0" w:color="auto"/>
      </w:divBdr>
    </w:div>
    <w:div w:id="1682507271">
      <w:bodyDiv w:val="1"/>
      <w:marLeft w:val="0"/>
      <w:marRight w:val="0"/>
      <w:marTop w:val="0"/>
      <w:marBottom w:val="0"/>
      <w:divBdr>
        <w:top w:val="none" w:sz="0" w:space="0" w:color="auto"/>
        <w:left w:val="none" w:sz="0" w:space="0" w:color="auto"/>
        <w:bottom w:val="none" w:sz="0" w:space="0" w:color="auto"/>
        <w:right w:val="none" w:sz="0" w:space="0" w:color="auto"/>
      </w:divBdr>
    </w:div>
    <w:div w:id="202566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rjames@2mresearch.co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Nicholas Beyler, PhD</DisplayName>
        <AccountId>161</AccountId>
        <AccountType/>
      </UserInfo>
      <UserInfo>
        <DisplayName>Amy Wieczorek Basl, MPH</DisplayName>
        <AccountId>49</AccountId>
        <AccountType/>
      </UserInfo>
      <UserInfo>
        <DisplayName>Regina James, MD</DisplayName>
        <AccountId>5421</AccountId>
        <AccountType/>
      </UserInfo>
      <UserInfo>
        <DisplayName>Holly Heisler, MPH, MBA</DisplayName>
        <AccountId>1726</AccountId>
        <AccountType/>
      </UserInfo>
      <UserInfo>
        <DisplayName>Amy Windham, PhD, MPH</DisplayName>
        <AccountId>9798</AccountId>
        <AccountType/>
      </UserInfo>
      <UserInfo>
        <DisplayName>MacKenzie Regier, MA</DisplayName>
        <AccountId>4826</AccountId>
        <AccountType/>
      </UserInfo>
      <UserInfo>
        <DisplayName>Cindy Romero, MS</DisplayName>
        <AccountId>62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0366D3D6251141957BD18250298732" ma:contentTypeVersion="11" ma:contentTypeDescription="Create a new document." ma:contentTypeScope="" ma:versionID="3105e4d2c9f22b4eee2d0b76efeda729">
  <xsd:schema xmlns:xsd="http://www.w3.org/2001/XMLSchema" xmlns:xs="http://www.w3.org/2001/XMLSchema" xmlns:p="http://schemas.microsoft.com/office/2006/metadata/properties" xmlns:ns2="2e8388cd-75ac-4123-8d40-957a6daa22d6" xmlns:ns3="22088e7c-88fa-40f6-88eb-a8b754a964ae" targetNamespace="http://schemas.microsoft.com/office/2006/metadata/properties" ma:root="true" ma:fieldsID="75052d0db07bfb95cc67a1df4eb28e45" ns2:_="" ns3:_="">
    <xsd:import namespace="2e8388cd-75ac-4123-8d40-957a6daa22d6"/>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388cd-75ac-4123-8d40-957a6daa2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66F15-CFFA-43AE-907B-632BCC00A8D3}">
  <ds:schemaRefs>
    <ds:schemaRef ds:uri="22088e7c-88fa-40f6-88eb-a8b754a964ae"/>
    <ds:schemaRef ds:uri="http://purl.org/dc/term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2006/metadata/properties"/>
    <ds:schemaRef ds:uri="http://schemas.microsoft.com/office/infopath/2007/PartnerControls"/>
    <ds:schemaRef ds:uri="2e8388cd-75ac-4123-8d40-957a6daa22d6"/>
    <ds:schemaRef ds:uri="http://www.w3.org/XML/1998/namespace"/>
  </ds:schemaRefs>
</ds:datastoreItem>
</file>

<file path=customXml/itemProps2.xml><?xml version="1.0" encoding="utf-8"?>
<ds:datastoreItem xmlns:ds="http://schemas.openxmlformats.org/officeDocument/2006/customXml" ds:itemID="{B0DFBF6C-B440-463D-BA67-D3C137AB5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388cd-75ac-4123-8d40-957a6daa22d6"/>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557D20-54E4-43CB-AC63-23CA3D6CC336}">
  <ds:schemaRefs>
    <ds:schemaRef ds:uri="http://schemas.microsoft.com/sharepoint/v3/contenttype/forms"/>
  </ds:schemaRefs>
</ds:datastoreItem>
</file>

<file path=customXml/itemProps4.xml><?xml version="1.0" encoding="utf-8"?>
<ds:datastoreItem xmlns:ds="http://schemas.openxmlformats.org/officeDocument/2006/customXml" ds:itemID="{4FF878AC-B877-44A8-89BC-EF8D6C1B0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1925</Words>
  <Characters>10977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Curtis B.</dc:creator>
  <cp:keywords/>
  <dc:description/>
  <cp:lastModifiedBy>Amy Wieczorek Basl, MPH</cp:lastModifiedBy>
  <cp:revision>11</cp:revision>
  <dcterms:created xsi:type="dcterms:W3CDTF">2020-05-15T16:11:00Z</dcterms:created>
  <dcterms:modified xsi:type="dcterms:W3CDTF">2020-05-18T17:28:00Z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0x010100EB0366D3D6251141957BD18250298732</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ies>
</file>