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A6F07" w:rsidP="00EE1BC8" w:rsidRDefault="008B3F06" w14:paraId="763D8BD7" w14:textId="711BA368">
      <w:pPr>
        <w:spacing w:after="0" w:line="240" w:lineRule="auto"/>
        <w:rPr>
          <w:rFonts w:cs="Arial"/>
        </w:rPr>
      </w:pPr>
      <w:r>
        <w:rPr>
          <w:rFonts w:cs="Arial"/>
        </w:rPr>
        <w:t xml:space="preserve">June </w:t>
      </w:r>
      <w:r w:rsidR="007D7A48">
        <w:rPr>
          <w:rFonts w:cs="Arial"/>
        </w:rPr>
        <w:t>15</w:t>
      </w:r>
      <w:r>
        <w:rPr>
          <w:rFonts w:cs="Arial"/>
        </w:rPr>
        <w:t>, 2020</w:t>
      </w:r>
    </w:p>
    <w:p w:rsidRPr="00B03C0A" w:rsidR="00EE1BC8" w:rsidP="00EE1BC8" w:rsidRDefault="00EE1BC8" w14:paraId="7E61D479" w14:textId="77777777">
      <w:pPr>
        <w:spacing w:after="0" w:line="240" w:lineRule="auto"/>
        <w:rPr>
          <w:rFonts w:cs="Arial"/>
        </w:rPr>
      </w:pPr>
    </w:p>
    <w:p w:rsidRPr="00A06101" w:rsidR="00EB4F23" w:rsidP="00EE1BC8" w:rsidRDefault="00EE1BC8" w14:paraId="37CE18C2" w14:textId="28625C37">
      <w:pPr>
        <w:spacing w:after="0" w:line="240" w:lineRule="auto"/>
        <w:rPr>
          <w:rFonts w:cs="Arial"/>
          <w:b/>
        </w:rPr>
      </w:pPr>
      <w:r>
        <w:rPr>
          <w:b/>
          <w:color w:val="000000"/>
        </w:rPr>
        <w:t xml:space="preserve">Change Request for </w:t>
      </w:r>
      <w:r w:rsidRPr="00A06101" w:rsidR="00A06101">
        <w:rPr>
          <w:b/>
          <w:color w:val="000000"/>
        </w:rPr>
        <w:t xml:space="preserve">OMB </w:t>
      </w:r>
      <w:r w:rsidR="00F82429">
        <w:rPr>
          <w:b/>
          <w:color w:val="000000"/>
        </w:rPr>
        <w:t>Control No.</w:t>
      </w:r>
      <w:r w:rsidR="00832B1F">
        <w:rPr>
          <w:b/>
          <w:color w:val="000000"/>
        </w:rPr>
        <w:t xml:space="preserve"> </w:t>
      </w:r>
      <w:r w:rsidRPr="00A06101" w:rsidR="00A06101">
        <w:rPr>
          <w:b/>
          <w:color w:val="000000"/>
        </w:rPr>
        <w:t>0923-005</w:t>
      </w:r>
      <w:r w:rsidR="00A5741F">
        <w:rPr>
          <w:b/>
          <w:color w:val="000000"/>
        </w:rPr>
        <w:t>9</w:t>
      </w:r>
      <w:r w:rsidR="00A06101">
        <w:rPr>
          <w:b/>
          <w:color w:val="000000"/>
        </w:rPr>
        <w:t>:</w:t>
      </w:r>
      <w:r w:rsidRPr="00A06101" w:rsidR="00A06101">
        <w:rPr>
          <w:b/>
          <w:color w:val="000000"/>
        </w:rPr>
        <w:t xml:space="preserve"> </w:t>
      </w:r>
      <w:r w:rsidR="001E0B2A">
        <w:rPr>
          <w:rFonts w:cs="Arial"/>
          <w:b/>
        </w:rPr>
        <w:t>Per- or Polyfluoroalkyl Substances Exposure Assessments (PFAS EAs)</w:t>
      </w:r>
    </w:p>
    <w:p w:rsidR="00EE1BC8" w:rsidP="00EE1BC8" w:rsidRDefault="00EE1BC8" w14:paraId="3F608496" w14:textId="77777777">
      <w:pPr>
        <w:autoSpaceDE w:val="0"/>
        <w:autoSpaceDN w:val="0"/>
        <w:adjustRightInd w:val="0"/>
        <w:spacing w:after="0" w:line="240" w:lineRule="auto"/>
        <w:rPr>
          <w:b/>
          <w:color w:val="000000"/>
          <w:u w:val="single"/>
        </w:rPr>
      </w:pPr>
    </w:p>
    <w:p w:rsidRPr="00EE1BC8" w:rsidR="00EB4F23" w:rsidP="00E619F4" w:rsidRDefault="00EE1BC8" w14:paraId="141826BA" w14:textId="260CDD23">
      <w:pPr>
        <w:autoSpaceDE w:val="0"/>
        <w:autoSpaceDN w:val="0"/>
        <w:adjustRightInd w:val="0"/>
        <w:spacing w:after="0"/>
        <w:rPr>
          <w:color w:val="000000"/>
          <w:u w:val="single"/>
        </w:rPr>
      </w:pPr>
      <w:r w:rsidRPr="00EE1BC8">
        <w:rPr>
          <w:color w:val="000000"/>
          <w:u w:val="single"/>
        </w:rPr>
        <w:t>Justification/</w:t>
      </w:r>
      <w:r w:rsidR="00793051">
        <w:rPr>
          <w:color w:val="000000"/>
          <w:u w:val="single"/>
        </w:rPr>
        <w:t>B</w:t>
      </w:r>
      <w:r w:rsidRPr="00EE1BC8">
        <w:rPr>
          <w:color w:val="000000"/>
          <w:u w:val="single"/>
        </w:rPr>
        <w:t>rief Explanation for</w:t>
      </w:r>
      <w:r w:rsidRPr="00EE1BC8" w:rsidR="00EB4F23">
        <w:rPr>
          <w:color w:val="000000"/>
          <w:u w:val="single"/>
        </w:rPr>
        <w:t xml:space="preserve"> </w:t>
      </w:r>
      <w:r w:rsidRPr="00EE1BC8">
        <w:rPr>
          <w:color w:val="000000"/>
          <w:u w:val="single"/>
        </w:rPr>
        <w:t xml:space="preserve">the </w:t>
      </w:r>
      <w:r w:rsidRPr="00EE1BC8" w:rsidR="00EB4F23">
        <w:rPr>
          <w:color w:val="000000"/>
          <w:u w:val="single"/>
        </w:rPr>
        <w:t>Change Request</w:t>
      </w:r>
    </w:p>
    <w:p w:rsidRPr="00B03C0A" w:rsidR="00EE1BC8" w:rsidP="00E619F4" w:rsidRDefault="00EE1BC8" w14:paraId="0D193F83" w14:textId="77777777">
      <w:pPr>
        <w:autoSpaceDE w:val="0"/>
        <w:autoSpaceDN w:val="0"/>
        <w:adjustRightInd w:val="0"/>
        <w:spacing w:after="0"/>
        <w:rPr>
          <w:color w:val="000000"/>
        </w:rPr>
      </w:pPr>
    </w:p>
    <w:p w:rsidRPr="00432592" w:rsidR="00432592" w:rsidP="00432592" w:rsidRDefault="00321B8A" w14:paraId="76E2E4BE" w14:textId="5D8325F2">
      <w:r>
        <w:rPr>
          <w:rFonts w:cs="Arial"/>
          <w:i/>
          <w:iCs/>
          <w:color w:val="000000"/>
        </w:rPr>
        <w:t>Background:</w:t>
      </w:r>
      <w:r>
        <w:rPr>
          <w:rFonts w:cs="Arial"/>
          <w:color w:val="000000"/>
        </w:rPr>
        <w:t xml:space="preserve"> ATSDR suspended its PFAS EA activities for three </w:t>
      </w:r>
      <w:r w:rsidR="008F1BFA">
        <w:rPr>
          <w:rFonts w:cs="Arial"/>
          <w:color w:val="000000"/>
        </w:rPr>
        <w:t xml:space="preserve">of </w:t>
      </w:r>
      <w:r w:rsidR="009733BE">
        <w:rPr>
          <w:rFonts w:cs="Arial"/>
          <w:color w:val="000000"/>
        </w:rPr>
        <w:t xml:space="preserve">eight </w:t>
      </w:r>
      <w:r>
        <w:rPr>
          <w:rFonts w:cs="Arial"/>
          <w:color w:val="000000"/>
        </w:rPr>
        <w:t xml:space="preserve">sites when the COVID-19 pandemic began in the United States. </w:t>
      </w:r>
      <w:r w:rsidR="00432592">
        <w:t xml:space="preserve">Restarting PFAS EA field work will require that precautions be put in place to ensure that staff, contractors, and members of the public are protected from COVID-19. This plan is based on interim CDC guidance for non-COVID-19 public health activities that require face-to-face interaction during the COVID-19 pandemic and will be used to outline practices for conducting PFAS EA activities </w:t>
      </w:r>
      <w:hyperlink w:history="1" r:id="rId8">
        <w:r w:rsidR="00432592">
          <w:rPr>
            <w:rStyle w:val="Hyperlink"/>
          </w:rPr>
          <w:t>https://www.cdc.gov/coronavirus/2019-ncov/hcp/non-covid-19-client-interaction.html</w:t>
        </w:r>
      </w:hyperlink>
      <w:r w:rsidR="00432592">
        <w:t>.</w:t>
      </w:r>
    </w:p>
    <w:p w:rsidR="00432592" w:rsidP="00364896" w:rsidRDefault="00321B8A" w14:paraId="3CEFC8D7" w14:textId="1A6EFCFB">
      <w:pPr>
        <w:autoSpaceDE w:val="0"/>
        <w:autoSpaceDN w:val="0"/>
        <w:adjustRightInd w:val="0"/>
        <w:spacing w:after="0"/>
      </w:pPr>
      <w:r>
        <w:rPr>
          <w:rFonts w:cs="Arial"/>
          <w:color w:val="000000"/>
        </w:rPr>
        <w:t xml:space="preserve">Since that time, the agency has developed its restart plan in </w:t>
      </w:r>
      <w:r w:rsidR="003B6C2C">
        <w:rPr>
          <w:rFonts w:cs="Arial"/>
          <w:color w:val="000000"/>
        </w:rPr>
        <w:t xml:space="preserve">collaboration with, and reviewed and approved by, the CDC </w:t>
      </w:r>
      <w:r w:rsidR="003B6C2C">
        <w:t>Office of Safety, Security, and Asset Management (OSSAM), CDC Leadership, the CDC Emergency Operation Center (EOC) Joint Information Center (JIC), and a CDC EOC COVID-19 Task Force which included members from the National Institute for Occupational Safety and Health (NIOSH).</w:t>
      </w:r>
      <w:bookmarkStart w:name="_GoBack" w:id="0"/>
      <w:bookmarkEnd w:id="0"/>
    </w:p>
    <w:p w:rsidR="00432592" w:rsidP="00364896" w:rsidRDefault="00432592" w14:paraId="4141B340" w14:textId="77777777">
      <w:pPr>
        <w:autoSpaceDE w:val="0"/>
        <w:autoSpaceDN w:val="0"/>
        <w:adjustRightInd w:val="0"/>
        <w:spacing w:after="0"/>
      </w:pPr>
    </w:p>
    <w:p w:rsidRPr="00364896" w:rsidR="00DA27CA" w:rsidP="00364896" w:rsidRDefault="00721A2E" w14:paraId="52349296" w14:textId="4DE2098E">
      <w:pPr>
        <w:autoSpaceDE w:val="0"/>
        <w:autoSpaceDN w:val="0"/>
        <w:adjustRightInd w:val="0"/>
        <w:spacing w:after="0"/>
      </w:pPr>
      <w:r>
        <w:rPr>
          <w:rFonts w:cs="Arial"/>
          <w:color w:val="000000"/>
        </w:rPr>
        <w:t xml:space="preserve">ATSDR plans </w:t>
      </w:r>
      <w:r w:rsidR="008F1BFA">
        <w:t xml:space="preserve">for resumption of field work activities will be determined on a site by site basis. Work at </w:t>
      </w:r>
      <w:r w:rsidR="009733BE">
        <w:t>the sites will be staggered</w:t>
      </w:r>
      <w:r w:rsidR="008F1BFA">
        <w:t>. Decisions about when to restart activities will be made in consultation with regional ATSDR staff as well as state and local public health officials.</w:t>
      </w:r>
    </w:p>
    <w:p w:rsidRPr="00D27AFC" w:rsidR="00D27AFC" w:rsidP="00E619F4" w:rsidRDefault="00D27AFC" w14:paraId="77D99A82" w14:textId="77777777">
      <w:pPr>
        <w:spacing w:after="0"/>
        <w:rPr>
          <w:rFonts w:cs="Arial"/>
          <w:b/>
        </w:rPr>
      </w:pPr>
    </w:p>
    <w:p w:rsidR="00DA27CA" w:rsidP="00E619F4" w:rsidRDefault="00E619F4" w14:paraId="2AC2B2F3" w14:textId="73957D33">
      <w:pPr>
        <w:spacing w:after="0"/>
        <w:rPr>
          <w:rFonts w:cs="Arial"/>
          <w:color w:val="000000"/>
        </w:rPr>
      </w:pPr>
      <w:r>
        <w:rPr>
          <w:rFonts w:cs="Arial"/>
          <w:i/>
          <w:iCs/>
          <w:color w:val="000000"/>
        </w:rPr>
        <w:t xml:space="preserve">The Request: </w:t>
      </w:r>
      <w:r w:rsidRPr="00B03C0A" w:rsidR="00DA27CA">
        <w:rPr>
          <w:rFonts w:cs="Arial"/>
          <w:color w:val="000000"/>
        </w:rPr>
        <w:t>This is a non</w:t>
      </w:r>
      <w:r w:rsidR="00DA27CA">
        <w:rPr>
          <w:rFonts w:cs="Arial"/>
          <w:color w:val="000000"/>
        </w:rPr>
        <w:t>-</w:t>
      </w:r>
      <w:r w:rsidRPr="00B03C0A" w:rsidR="00DA27CA">
        <w:rPr>
          <w:rFonts w:cs="Arial"/>
          <w:color w:val="000000"/>
        </w:rPr>
        <w:t xml:space="preserve">material/non-substantive change request for </w:t>
      </w:r>
      <w:bookmarkStart w:name="_Hlk43205629" w:id="1"/>
      <w:r w:rsidRPr="00D27AFC" w:rsidR="00DA27CA">
        <w:rPr>
          <w:rFonts w:cs="Arial"/>
          <w:color w:val="000000"/>
        </w:rPr>
        <w:t>“</w:t>
      </w:r>
      <w:r w:rsidRPr="00D27AFC" w:rsidR="00DA27CA">
        <w:rPr>
          <w:rFonts w:cs="Arial"/>
        </w:rPr>
        <w:t>Per- or Polyfluoroalkyl Substances Exposure Assessments (PFAS EAs)</w:t>
      </w:r>
      <w:r w:rsidRPr="00D27AFC" w:rsidR="00DA27CA">
        <w:rPr>
          <w:rFonts w:cs="Arial"/>
          <w:color w:val="000000"/>
        </w:rPr>
        <w:t>“ (OMB Control No. 0923-0059; expiration date June 30</w:t>
      </w:r>
      <w:r w:rsidR="00DA27CA">
        <w:rPr>
          <w:rFonts w:cs="Arial"/>
          <w:color w:val="000000"/>
        </w:rPr>
        <w:t>, 2022</w:t>
      </w:r>
      <w:r w:rsidRPr="00B03C0A" w:rsidR="00DA27CA">
        <w:rPr>
          <w:rFonts w:cs="Arial"/>
          <w:color w:val="000000"/>
        </w:rPr>
        <w:t>)</w:t>
      </w:r>
      <w:bookmarkEnd w:id="1"/>
      <w:r w:rsidRPr="00B03C0A" w:rsidR="00DA27CA">
        <w:rPr>
          <w:rFonts w:cs="Arial"/>
          <w:color w:val="000000"/>
        </w:rPr>
        <w:t>.</w:t>
      </w:r>
      <w:r w:rsidR="00DA27CA">
        <w:rPr>
          <w:rFonts w:cs="Arial"/>
          <w:color w:val="000000"/>
        </w:rPr>
        <w:t xml:space="preserve"> Th</w:t>
      </w:r>
      <w:r w:rsidR="00364896">
        <w:rPr>
          <w:rFonts w:cs="Arial"/>
          <w:color w:val="000000"/>
        </w:rPr>
        <w:t>is</w:t>
      </w:r>
      <w:r w:rsidR="00DA27CA">
        <w:rPr>
          <w:rFonts w:cs="Arial"/>
          <w:color w:val="000000"/>
        </w:rPr>
        <w:t xml:space="preserve"> change request reflects modifications to the currently approved information collection request (ICR)</w:t>
      </w:r>
      <w:r w:rsidR="00364896">
        <w:rPr>
          <w:rFonts w:cs="Arial"/>
          <w:color w:val="000000"/>
        </w:rPr>
        <w:t xml:space="preserve"> and</w:t>
      </w:r>
      <w:r>
        <w:rPr>
          <w:rFonts w:cs="Arial"/>
          <w:color w:val="000000"/>
        </w:rPr>
        <w:t xml:space="preserve"> reflect</w:t>
      </w:r>
      <w:r w:rsidR="00364896">
        <w:rPr>
          <w:rFonts w:cs="Arial"/>
          <w:color w:val="000000"/>
        </w:rPr>
        <w:t>s</w:t>
      </w:r>
      <w:r>
        <w:rPr>
          <w:rFonts w:cs="Arial"/>
          <w:color w:val="000000"/>
        </w:rPr>
        <w:t xml:space="preserve"> the need to practice social distancing to the extent possible, such as changing from in-person contact to virtual meetings and telephone interviews. Where necessary, ATSDR has modified its scripts and forms to let the public know of the COVID-19 precautions that the agency is implementing.</w:t>
      </w:r>
    </w:p>
    <w:p w:rsidR="00DA27CA" w:rsidP="00E619F4" w:rsidRDefault="00DA27CA" w14:paraId="0A57D4A5" w14:textId="77777777">
      <w:pPr>
        <w:spacing w:after="0"/>
        <w:rPr>
          <w:rFonts w:cs="Arial"/>
          <w:color w:val="000000"/>
        </w:rPr>
      </w:pPr>
    </w:p>
    <w:p w:rsidR="000E5A35" w:rsidP="00E619F4" w:rsidRDefault="006E126A" w14:paraId="5B344418" w14:textId="5059F491">
      <w:pPr>
        <w:autoSpaceDE w:val="0"/>
        <w:autoSpaceDN w:val="0"/>
        <w:adjustRightInd w:val="0"/>
        <w:spacing w:after="0"/>
      </w:pPr>
      <w:bookmarkStart w:name="_Hlk24122507" w:id="2"/>
      <w:r>
        <w:rPr>
          <w:rFonts w:cs="Arial"/>
          <w:color w:val="000000"/>
        </w:rPr>
        <w:t>Our goal is to announce our resumption of activities on June 23, 2020</w:t>
      </w:r>
      <w:r w:rsidR="00364896">
        <w:rPr>
          <w:rFonts w:cs="Arial"/>
          <w:color w:val="000000"/>
        </w:rPr>
        <w:t>,</w:t>
      </w:r>
      <w:r>
        <w:rPr>
          <w:rFonts w:cs="Arial"/>
          <w:color w:val="000000"/>
        </w:rPr>
        <w:t xml:space="preserve"> and we are requesting approval </w:t>
      </w:r>
      <w:r w:rsidR="00721A2E">
        <w:rPr>
          <w:rFonts w:cs="Arial"/>
          <w:color w:val="000000"/>
        </w:rPr>
        <w:t xml:space="preserve">of this non-substantive change </w:t>
      </w:r>
      <w:r>
        <w:rPr>
          <w:rFonts w:cs="Arial"/>
          <w:color w:val="000000"/>
        </w:rPr>
        <w:t>prior to that date</w:t>
      </w:r>
      <w:r w:rsidRPr="008B3F06" w:rsidR="000E5A35">
        <w:t xml:space="preserve">. </w:t>
      </w:r>
    </w:p>
    <w:bookmarkEnd w:id="2"/>
    <w:p w:rsidR="00364896" w:rsidP="00E619F4" w:rsidRDefault="00364896" w14:paraId="62BE1885" w14:textId="77777777">
      <w:pPr>
        <w:spacing w:after="0"/>
      </w:pPr>
    </w:p>
    <w:p w:rsidRPr="00566CB5" w:rsidR="009060FD" w:rsidP="00E619F4" w:rsidRDefault="00364896" w14:paraId="0C076EE9" w14:textId="41327E73">
      <w:pPr>
        <w:spacing w:after="0"/>
        <w:rPr>
          <w:rFonts w:cs="Times New Roman"/>
        </w:rPr>
      </w:pPr>
      <w:r>
        <w:rPr>
          <w:i/>
          <w:iCs/>
        </w:rPr>
        <w:t xml:space="preserve">Summary of the Restart Plan: </w:t>
      </w:r>
      <w:r w:rsidRPr="00566CB5" w:rsidR="00566CB5">
        <w:t xml:space="preserve">Appropriate safety precautions, including the use of all appropriate personal protective equipment (PPE), will be implemented to keep the EA team and participants safe during the EA process. Appendix J, the PFAS EA Restart Plan, has been included that outlines the additional procedures that will be implemented during recruitment, field work and community meetings to ensure that the EAs are completed in compliance with state, local and CDC requirements. </w:t>
      </w:r>
    </w:p>
    <w:p w:rsidR="00364896" w:rsidP="00E619F4" w:rsidRDefault="00364896" w14:paraId="707D662C" w14:textId="77777777">
      <w:pPr>
        <w:spacing w:after="0"/>
      </w:pPr>
    </w:p>
    <w:p w:rsidRPr="00566CB5" w:rsidR="00780D22" w:rsidP="00E619F4" w:rsidRDefault="00780D22" w14:paraId="40EFDAF0" w14:textId="6B106EF4">
      <w:pPr>
        <w:spacing w:after="0"/>
      </w:pPr>
      <w:r w:rsidRPr="00566CB5">
        <w:t>The activities that will be modified include:</w:t>
      </w:r>
    </w:p>
    <w:p w:rsidRPr="00566CB5" w:rsidR="00780D22" w:rsidP="00E619F4" w:rsidRDefault="00780D22" w14:paraId="4CAEF457" w14:textId="08BC4765">
      <w:pPr>
        <w:pStyle w:val="ListParagraph"/>
        <w:numPr>
          <w:ilvl w:val="0"/>
          <w:numId w:val="17"/>
        </w:numPr>
        <w:spacing w:after="0"/>
        <w:contextualSpacing w:val="0"/>
      </w:pPr>
      <w:r w:rsidRPr="00566CB5">
        <w:t xml:space="preserve">Holding virtual community meetings, including the kickoff meeting and </w:t>
      </w:r>
      <w:r w:rsidR="008B42ED">
        <w:t xml:space="preserve">possibly </w:t>
      </w:r>
      <w:r w:rsidRPr="00566CB5">
        <w:t>the presentation of results. Small group</w:t>
      </w:r>
      <w:r w:rsidR="006E126A">
        <w:t xml:space="preserve"> sessions</w:t>
      </w:r>
      <w:r w:rsidRPr="00566CB5">
        <w:t xml:space="preserve"> (less than 10 participants) may be held as needed following applicable local, state and CDC guidelines in place at the time of the meeting.</w:t>
      </w:r>
    </w:p>
    <w:p w:rsidRPr="00566CB5" w:rsidR="00780D22" w:rsidP="00E619F4" w:rsidRDefault="00780D22" w14:paraId="6EE08E8F" w14:textId="0679F532">
      <w:pPr>
        <w:pStyle w:val="ListParagraph"/>
        <w:numPr>
          <w:ilvl w:val="0"/>
          <w:numId w:val="17"/>
        </w:numPr>
        <w:spacing w:after="0"/>
        <w:contextualSpacing w:val="0"/>
      </w:pPr>
      <w:r w:rsidRPr="00566CB5">
        <w:t xml:space="preserve">Ensuring that social distancing and the use of PPE are employed to comply with </w:t>
      </w:r>
      <w:r w:rsidR="004312FA">
        <w:t xml:space="preserve">local, state and </w:t>
      </w:r>
      <w:r w:rsidRPr="00566CB5">
        <w:t xml:space="preserve">CDC </w:t>
      </w:r>
      <w:r w:rsidR="004312FA">
        <w:t xml:space="preserve">COVID-19 </w:t>
      </w:r>
      <w:r w:rsidRPr="00566CB5">
        <w:t>guidelines during door-to-door recruitment.</w:t>
      </w:r>
    </w:p>
    <w:p w:rsidRPr="00566CB5" w:rsidR="00780D22" w:rsidP="00E619F4" w:rsidRDefault="00780D22" w14:paraId="37CA05CD" w14:textId="13560196">
      <w:pPr>
        <w:pStyle w:val="ListParagraph"/>
        <w:numPr>
          <w:ilvl w:val="0"/>
          <w:numId w:val="17"/>
        </w:numPr>
        <w:spacing w:after="0"/>
        <w:contextualSpacing w:val="0"/>
      </w:pPr>
      <w:r w:rsidRPr="00566CB5">
        <w:t>Adding information to the recruitment letter</w:t>
      </w:r>
      <w:r w:rsidR="004312FA">
        <w:t>s</w:t>
      </w:r>
      <w:r w:rsidRPr="00566CB5">
        <w:t xml:space="preserve"> to reassure potential EA participants that all </w:t>
      </w:r>
      <w:r w:rsidR="004312FA">
        <w:t xml:space="preserve">local, </w:t>
      </w:r>
      <w:r w:rsidRPr="00566CB5">
        <w:t xml:space="preserve">state and CDC </w:t>
      </w:r>
      <w:r w:rsidR="004312FA">
        <w:t xml:space="preserve">COVID-19 </w:t>
      </w:r>
      <w:r w:rsidRPr="00566CB5">
        <w:t xml:space="preserve">guidelines will be </w:t>
      </w:r>
      <w:r w:rsidR="006E126A">
        <w:t>followed</w:t>
      </w:r>
      <w:r w:rsidRPr="00566CB5">
        <w:t xml:space="preserve"> during the EA testing.</w:t>
      </w:r>
    </w:p>
    <w:p w:rsidRPr="00566CB5" w:rsidR="00780D22" w:rsidP="00E619F4" w:rsidRDefault="00780D22" w14:paraId="5C4D5B11" w14:textId="77777777">
      <w:pPr>
        <w:pStyle w:val="ListParagraph"/>
        <w:numPr>
          <w:ilvl w:val="0"/>
          <w:numId w:val="17"/>
        </w:numPr>
        <w:spacing w:after="0"/>
        <w:contextualSpacing w:val="0"/>
      </w:pPr>
      <w:r w:rsidRPr="00566CB5">
        <w:lastRenderedPageBreak/>
        <w:t xml:space="preserve">Asking participants about their and their family’s health/COVID-19-status during their appointment reminder phone call and prior to beginning the testing process. </w:t>
      </w:r>
    </w:p>
    <w:p w:rsidRPr="00566CB5" w:rsidR="00780D22" w:rsidP="00E619F4" w:rsidRDefault="00780D22" w14:paraId="1EAB93F6" w14:textId="77777777">
      <w:pPr>
        <w:pStyle w:val="ListParagraph"/>
        <w:numPr>
          <w:ilvl w:val="0"/>
          <w:numId w:val="17"/>
        </w:numPr>
        <w:spacing w:after="0"/>
        <w:contextualSpacing w:val="0"/>
      </w:pPr>
      <w:r w:rsidRPr="00566CB5">
        <w:t>Monitoring the temperature of EA team members (CDC/ATSDR and contractor staff) twice daily and taking participant’s temperatures prior to entering the EA testing facility.</w:t>
      </w:r>
    </w:p>
    <w:p w:rsidRPr="00566CB5" w:rsidR="00780D22" w:rsidP="00E619F4" w:rsidRDefault="00780D22" w14:paraId="375816B7" w14:textId="77777777">
      <w:pPr>
        <w:pStyle w:val="ListParagraph"/>
        <w:numPr>
          <w:ilvl w:val="0"/>
          <w:numId w:val="17"/>
        </w:numPr>
        <w:spacing w:after="0"/>
        <w:contextualSpacing w:val="0"/>
      </w:pPr>
      <w:r w:rsidRPr="00566CB5">
        <w:t>Administering the exposure questionnaire over the phone instead of at the testing facility to reduce exposure time: consent form administration and collection of biological samples will occur at the testing location.</w:t>
      </w:r>
    </w:p>
    <w:p w:rsidR="00364896" w:rsidP="00E619F4" w:rsidRDefault="00364896" w14:paraId="582F6C15" w14:textId="77777777">
      <w:pPr>
        <w:autoSpaceDE w:val="0"/>
        <w:autoSpaceDN w:val="0"/>
        <w:adjustRightInd w:val="0"/>
        <w:spacing w:after="0"/>
        <w:rPr>
          <w:rFonts w:cs="Arial"/>
          <w:color w:val="000000"/>
        </w:rPr>
      </w:pPr>
    </w:p>
    <w:p w:rsidR="00514650" w:rsidP="00E619F4" w:rsidRDefault="00FB2B08" w14:paraId="3ED61726" w14:textId="3FC8DE21">
      <w:pPr>
        <w:autoSpaceDE w:val="0"/>
        <w:autoSpaceDN w:val="0"/>
        <w:adjustRightInd w:val="0"/>
        <w:spacing w:after="0"/>
        <w:rPr>
          <w:rFonts w:cs="Arial"/>
        </w:rPr>
      </w:pPr>
      <w:r>
        <w:rPr>
          <w:rFonts w:cs="Arial"/>
          <w:color w:val="000000"/>
        </w:rPr>
        <w:t xml:space="preserve">Below is the change request cross-walk table.  </w:t>
      </w:r>
      <w:r w:rsidRPr="00B03C0A" w:rsidR="00495502">
        <w:rPr>
          <w:rFonts w:cs="Arial"/>
          <w:color w:val="000000"/>
        </w:rPr>
        <w:t xml:space="preserve">Attached please find </w:t>
      </w:r>
      <w:r w:rsidR="00F910AC">
        <w:rPr>
          <w:rFonts w:cs="Arial"/>
          <w:color w:val="000000"/>
        </w:rPr>
        <w:t xml:space="preserve">the </w:t>
      </w:r>
      <w:r w:rsidRPr="00B03C0A" w:rsidR="00495502">
        <w:rPr>
          <w:rFonts w:cs="Arial"/>
          <w:color w:val="000000"/>
        </w:rPr>
        <w:t xml:space="preserve">revised </w:t>
      </w:r>
      <w:r w:rsidR="00836EAD">
        <w:rPr>
          <w:rFonts w:cs="Arial"/>
          <w:color w:val="000000"/>
        </w:rPr>
        <w:t xml:space="preserve">protocol </w:t>
      </w:r>
      <w:r w:rsidR="004312FA">
        <w:rPr>
          <w:rFonts w:cs="Arial"/>
          <w:color w:val="000000"/>
        </w:rPr>
        <w:t>and modified forms and appendices</w:t>
      </w:r>
      <w:r w:rsidRPr="00B03C0A" w:rsidR="00495502">
        <w:rPr>
          <w:rFonts w:cs="Arial"/>
          <w:color w:val="000000"/>
        </w:rPr>
        <w:t xml:space="preserve">. </w:t>
      </w:r>
      <w:r w:rsidR="00B03C0A">
        <w:rPr>
          <w:rFonts w:cs="Arial"/>
          <w:color w:val="000000"/>
        </w:rPr>
        <w:t xml:space="preserve"> </w:t>
      </w:r>
      <w:r w:rsidRPr="00B03C0A" w:rsidR="00EB4F23">
        <w:rPr>
          <w:rFonts w:cs="Arial"/>
        </w:rPr>
        <w:t xml:space="preserve">The overall number of respondents and requested burden hours </w:t>
      </w:r>
      <w:r w:rsidR="00B03C0A">
        <w:rPr>
          <w:rFonts w:cs="Arial"/>
        </w:rPr>
        <w:t>r</w:t>
      </w:r>
      <w:r w:rsidRPr="00B03C0A" w:rsidR="00EB4F23">
        <w:rPr>
          <w:rFonts w:cs="Arial"/>
        </w:rPr>
        <w:t xml:space="preserve">emain the same. </w:t>
      </w:r>
    </w:p>
    <w:p w:rsidR="00281243" w:rsidP="00E619F4" w:rsidRDefault="00281243" w14:paraId="0E9E2AA4" w14:textId="77777777">
      <w:pPr>
        <w:autoSpaceDE w:val="0"/>
        <w:autoSpaceDN w:val="0"/>
        <w:adjustRightInd w:val="0"/>
        <w:spacing w:after="0"/>
        <w:rPr>
          <w:rFonts w:cs="Arial"/>
        </w:rPr>
      </w:pPr>
    </w:p>
    <w:p w:rsidRPr="00281243" w:rsidR="00281243" w:rsidP="00E619F4" w:rsidRDefault="00281243" w14:paraId="13F03FCC" w14:textId="77777777">
      <w:pPr>
        <w:pStyle w:val="PlainText"/>
        <w:spacing w:line="276" w:lineRule="auto"/>
        <w:rPr>
          <w:rFonts w:cs="Arial" w:asciiTheme="minorHAnsi" w:hAnsiTheme="minorHAnsi"/>
          <w:sz w:val="22"/>
          <w:szCs w:val="22"/>
        </w:rPr>
      </w:pPr>
      <w:r w:rsidRPr="00281243">
        <w:rPr>
          <w:rFonts w:cs="Arial" w:asciiTheme="minorHAnsi" w:hAnsiTheme="minorHAnsi"/>
          <w:color w:val="000000"/>
          <w:sz w:val="22"/>
          <w:szCs w:val="22"/>
        </w:rPr>
        <w:t>As such</w:t>
      </w:r>
      <w:r w:rsidRPr="00281243">
        <w:rPr>
          <w:rFonts w:cs="Arial" w:asciiTheme="minorHAnsi" w:hAnsiTheme="minorHAnsi"/>
          <w:sz w:val="22"/>
          <w:szCs w:val="22"/>
        </w:rPr>
        <w:t xml:space="preserve">, we would appreciate your </w:t>
      </w:r>
      <w:r w:rsidRPr="00281243">
        <w:rPr>
          <w:rFonts w:cs="Arial" w:asciiTheme="minorHAnsi" w:hAnsiTheme="minorHAnsi"/>
          <w:color w:val="000000"/>
          <w:sz w:val="22"/>
          <w:szCs w:val="22"/>
        </w:rPr>
        <w:t xml:space="preserve">expedited consideration of this request.  </w:t>
      </w:r>
    </w:p>
    <w:p w:rsidR="00281243" w:rsidP="00EE1BC8" w:rsidRDefault="00281243" w14:paraId="64D67FC3" w14:textId="74E0CAB3">
      <w:pPr>
        <w:autoSpaceDE w:val="0"/>
        <w:autoSpaceDN w:val="0"/>
        <w:adjustRightInd w:val="0"/>
        <w:spacing w:after="0" w:line="240" w:lineRule="auto"/>
        <w:rPr>
          <w:rFonts w:cs="Times New Roman"/>
        </w:rPr>
      </w:pPr>
    </w:p>
    <w:tbl>
      <w:tblPr>
        <w:tblStyle w:val="TableGrid"/>
        <w:tblW w:w="0" w:type="auto"/>
        <w:tblInd w:w="108" w:type="dxa"/>
        <w:tblLayout w:type="fixed"/>
        <w:tblLook w:val="04A0" w:firstRow="1" w:lastRow="0" w:firstColumn="1" w:lastColumn="0" w:noHBand="0" w:noVBand="1"/>
      </w:tblPr>
      <w:tblGrid>
        <w:gridCol w:w="2047"/>
        <w:gridCol w:w="4233"/>
        <w:gridCol w:w="4237"/>
      </w:tblGrid>
      <w:tr w:rsidRPr="00AF5A3A" w:rsidR="00EE1BC8" w:rsidTr="00432592" w14:paraId="5523BFDD" w14:textId="75E2FF8A">
        <w:trPr>
          <w:trHeight w:val="251"/>
        </w:trPr>
        <w:tc>
          <w:tcPr>
            <w:tcW w:w="2047" w:type="dxa"/>
          </w:tcPr>
          <w:p w:rsidRPr="00AF5A3A" w:rsidR="00EE1BC8" w:rsidP="008E34F9" w:rsidRDefault="00CE0672" w14:paraId="7623AED7" w14:textId="7BA8B418">
            <w:pPr>
              <w:autoSpaceDE w:val="0"/>
              <w:autoSpaceDN w:val="0"/>
              <w:adjustRightInd w:val="0"/>
              <w:jc w:val="center"/>
              <w:rPr>
                <w:rFonts w:cs="Times New Roman"/>
                <w:b/>
                <w:sz w:val="21"/>
                <w:szCs w:val="21"/>
              </w:rPr>
            </w:pPr>
            <w:r w:rsidRPr="00AF5A3A">
              <w:rPr>
                <w:rFonts w:cs="Times New Roman"/>
                <w:b/>
                <w:sz w:val="21"/>
                <w:szCs w:val="21"/>
              </w:rPr>
              <w:t>Attachment</w:t>
            </w:r>
            <w:r w:rsidRPr="00AF5A3A" w:rsidR="00EE1BC8">
              <w:rPr>
                <w:rFonts w:cs="Times New Roman"/>
                <w:b/>
                <w:sz w:val="21"/>
                <w:szCs w:val="21"/>
              </w:rPr>
              <w:t xml:space="preserve"> </w:t>
            </w:r>
          </w:p>
        </w:tc>
        <w:tc>
          <w:tcPr>
            <w:tcW w:w="4233" w:type="dxa"/>
          </w:tcPr>
          <w:p w:rsidRPr="00AF5A3A" w:rsidR="00EE1BC8" w:rsidP="00EE1BC8" w:rsidRDefault="00EE1BC8" w14:paraId="1B7AE805" w14:textId="6EC7036C">
            <w:pPr>
              <w:autoSpaceDE w:val="0"/>
              <w:autoSpaceDN w:val="0"/>
              <w:adjustRightInd w:val="0"/>
              <w:jc w:val="center"/>
              <w:rPr>
                <w:rFonts w:cs="Times New Roman"/>
                <w:b/>
                <w:sz w:val="21"/>
                <w:szCs w:val="21"/>
              </w:rPr>
            </w:pPr>
            <w:r w:rsidRPr="00AF5A3A">
              <w:rPr>
                <w:rFonts w:cs="Times New Roman"/>
                <w:b/>
                <w:sz w:val="21"/>
                <w:szCs w:val="21"/>
              </w:rPr>
              <w:t>Requested Change</w:t>
            </w:r>
          </w:p>
        </w:tc>
        <w:tc>
          <w:tcPr>
            <w:tcW w:w="4234" w:type="dxa"/>
          </w:tcPr>
          <w:p w:rsidRPr="00AF5A3A" w:rsidR="00EE1BC8" w:rsidP="00EE1BC8" w:rsidRDefault="00EE1BC8" w14:paraId="20724E31" w14:textId="19434415">
            <w:pPr>
              <w:autoSpaceDE w:val="0"/>
              <w:autoSpaceDN w:val="0"/>
              <w:adjustRightInd w:val="0"/>
              <w:jc w:val="center"/>
              <w:rPr>
                <w:rFonts w:cs="Times New Roman"/>
                <w:b/>
                <w:sz w:val="21"/>
                <w:szCs w:val="21"/>
              </w:rPr>
            </w:pPr>
            <w:r w:rsidRPr="00AF5A3A">
              <w:rPr>
                <w:rFonts w:cs="Times New Roman"/>
                <w:b/>
                <w:sz w:val="21"/>
                <w:szCs w:val="21"/>
              </w:rPr>
              <w:t>Justification</w:t>
            </w:r>
          </w:p>
        </w:tc>
      </w:tr>
      <w:tr w:rsidRPr="00AF5A3A" w:rsidR="005C0BF9" w:rsidTr="009D14D3" w14:paraId="2E0EB570" w14:textId="5C2E72F5">
        <w:trPr>
          <w:trHeight w:val="1862"/>
        </w:trPr>
        <w:tc>
          <w:tcPr>
            <w:tcW w:w="2047" w:type="dxa"/>
            <w:vAlign w:val="center"/>
          </w:tcPr>
          <w:p w:rsidRPr="00AF5A3A" w:rsidR="005C0BF9" w:rsidP="009D14D3" w:rsidRDefault="00C370B9" w14:paraId="57845607" w14:textId="1B522DB9">
            <w:pPr>
              <w:autoSpaceDE w:val="0"/>
              <w:autoSpaceDN w:val="0"/>
              <w:adjustRightInd w:val="0"/>
              <w:rPr>
                <w:rFonts w:cs="Times New Roman"/>
                <w:i/>
                <w:iCs/>
                <w:sz w:val="21"/>
                <w:szCs w:val="21"/>
              </w:rPr>
            </w:pPr>
            <w:r w:rsidRPr="00AF5A3A">
              <w:rPr>
                <w:rFonts w:cs="Times New Roman"/>
                <w:i/>
                <w:iCs/>
                <w:sz w:val="21"/>
                <w:szCs w:val="21"/>
              </w:rPr>
              <w:t>Protocol</w:t>
            </w:r>
            <w:r w:rsidRPr="00AF5A3A" w:rsidR="0029542F">
              <w:rPr>
                <w:rFonts w:cs="Times New Roman"/>
                <w:i/>
                <w:iCs/>
                <w:sz w:val="21"/>
                <w:szCs w:val="21"/>
              </w:rPr>
              <w:t xml:space="preserve"> </w:t>
            </w:r>
            <w:r w:rsidRPr="00AF5A3A" w:rsidR="00364896">
              <w:rPr>
                <w:rFonts w:cs="Times New Roman"/>
                <w:i/>
                <w:iCs/>
                <w:sz w:val="21"/>
                <w:szCs w:val="21"/>
              </w:rPr>
              <w:t>Body</w:t>
            </w:r>
          </w:p>
        </w:tc>
        <w:tc>
          <w:tcPr>
            <w:tcW w:w="4233" w:type="dxa"/>
          </w:tcPr>
          <w:p w:rsidRPr="00AF5A3A" w:rsidR="00432592" w:rsidP="00364896" w:rsidRDefault="00566CB5" w14:paraId="5B64E126" w14:textId="77777777">
            <w:pPr>
              <w:pStyle w:val="ListParagraph"/>
              <w:numPr>
                <w:ilvl w:val="0"/>
                <w:numId w:val="15"/>
              </w:numPr>
              <w:tabs>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utoSpaceDE w:val="0"/>
              <w:autoSpaceDN w:val="0"/>
              <w:adjustRightInd w:val="0"/>
              <w:ind w:left="340"/>
              <w:textAlignment w:val="baseline"/>
              <w:rPr>
                <w:rFonts w:ascii="Calibri" w:hAnsi="Calibri" w:eastAsia="Times New Roman" w:cs="Arial"/>
                <w:color w:val="000000"/>
                <w:sz w:val="21"/>
                <w:szCs w:val="21"/>
              </w:rPr>
            </w:pPr>
            <w:r w:rsidRPr="00AF5A3A">
              <w:rPr>
                <w:rFonts w:ascii="Calibri" w:hAnsi="Calibri" w:eastAsia="Times New Roman" w:cs="Arial"/>
                <w:color w:val="000000"/>
                <w:sz w:val="21"/>
                <w:szCs w:val="21"/>
              </w:rPr>
              <w:t>A</w:t>
            </w:r>
            <w:r w:rsidRPr="00AF5A3A" w:rsidR="00364896">
              <w:rPr>
                <w:rFonts w:ascii="Calibri" w:hAnsi="Calibri" w:eastAsia="Times New Roman" w:cs="Arial"/>
                <w:color w:val="000000"/>
                <w:sz w:val="21"/>
                <w:szCs w:val="21"/>
              </w:rPr>
              <w:t>ppendix J</w:t>
            </w:r>
            <w:r w:rsidRPr="00AF5A3A">
              <w:rPr>
                <w:rFonts w:ascii="Calibri" w:hAnsi="Calibri" w:eastAsia="Times New Roman" w:cs="Arial"/>
                <w:color w:val="000000"/>
                <w:sz w:val="21"/>
                <w:szCs w:val="21"/>
              </w:rPr>
              <w:t xml:space="preserve"> </w:t>
            </w:r>
            <w:r w:rsidRPr="00AF5A3A" w:rsidR="00364896">
              <w:rPr>
                <w:rFonts w:ascii="Calibri" w:hAnsi="Calibri" w:eastAsia="Times New Roman" w:cs="Arial"/>
                <w:color w:val="000000"/>
                <w:sz w:val="21"/>
                <w:szCs w:val="21"/>
              </w:rPr>
              <w:t>(</w:t>
            </w:r>
            <w:r w:rsidRPr="00AF5A3A" w:rsidR="004312FA">
              <w:rPr>
                <w:rFonts w:ascii="Calibri" w:hAnsi="Calibri" w:eastAsia="Times New Roman" w:cs="Arial"/>
                <w:color w:val="000000"/>
                <w:sz w:val="21"/>
                <w:szCs w:val="21"/>
              </w:rPr>
              <w:t xml:space="preserve">PFAS EA </w:t>
            </w:r>
            <w:r w:rsidRPr="00AF5A3A">
              <w:rPr>
                <w:rFonts w:ascii="Calibri" w:hAnsi="Calibri" w:eastAsia="Times New Roman" w:cs="Arial"/>
                <w:color w:val="000000"/>
                <w:sz w:val="21"/>
                <w:szCs w:val="21"/>
              </w:rPr>
              <w:t>Restart Plan</w:t>
            </w:r>
            <w:r w:rsidRPr="00AF5A3A" w:rsidR="00364896">
              <w:rPr>
                <w:rFonts w:ascii="Calibri" w:hAnsi="Calibri" w:eastAsia="Times New Roman" w:cs="Arial"/>
                <w:color w:val="000000"/>
                <w:sz w:val="21"/>
                <w:szCs w:val="21"/>
              </w:rPr>
              <w:t>)</w:t>
            </w:r>
            <w:r w:rsidRPr="00AF5A3A">
              <w:rPr>
                <w:rFonts w:ascii="Calibri" w:hAnsi="Calibri" w:eastAsia="Times New Roman" w:cs="Arial"/>
                <w:color w:val="000000"/>
                <w:sz w:val="21"/>
                <w:szCs w:val="21"/>
              </w:rPr>
              <w:t xml:space="preserve"> has been </w:t>
            </w:r>
            <w:r w:rsidRPr="00AF5A3A" w:rsidR="00432592">
              <w:rPr>
                <w:rFonts w:ascii="Calibri" w:hAnsi="Calibri" w:eastAsia="Times New Roman" w:cs="Arial"/>
                <w:color w:val="000000"/>
                <w:sz w:val="21"/>
                <w:szCs w:val="21"/>
              </w:rPr>
              <w:t>indexed in</w:t>
            </w:r>
            <w:r w:rsidRPr="00AF5A3A" w:rsidR="00364896">
              <w:rPr>
                <w:rFonts w:ascii="Calibri" w:hAnsi="Calibri" w:eastAsia="Times New Roman" w:cs="Arial"/>
                <w:color w:val="000000"/>
                <w:sz w:val="21"/>
                <w:szCs w:val="21"/>
              </w:rPr>
              <w:t xml:space="preserve"> the protocol table of contents</w:t>
            </w:r>
            <w:r w:rsidRPr="00AF5A3A">
              <w:rPr>
                <w:rFonts w:ascii="Calibri" w:hAnsi="Calibri" w:eastAsia="Times New Roman" w:cs="Arial"/>
                <w:color w:val="000000"/>
                <w:sz w:val="21"/>
                <w:szCs w:val="21"/>
              </w:rPr>
              <w:t>.</w:t>
            </w:r>
            <w:r w:rsidRPr="00AF5A3A" w:rsidR="006E126A">
              <w:rPr>
                <w:rFonts w:ascii="Calibri" w:hAnsi="Calibri" w:eastAsia="Times New Roman" w:cs="Arial"/>
                <w:color w:val="000000"/>
                <w:sz w:val="21"/>
                <w:szCs w:val="21"/>
              </w:rPr>
              <w:t xml:space="preserve"> </w:t>
            </w:r>
          </w:p>
          <w:p w:rsidRPr="00AF5A3A" w:rsidR="00432592" w:rsidP="00432592" w:rsidRDefault="00432592" w14:paraId="4EC13D7F" w14:textId="77777777">
            <w:pPr>
              <w:pStyle w:val="ListParagraph"/>
              <w:tabs>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utoSpaceDE w:val="0"/>
              <w:autoSpaceDN w:val="0"/>
              <w:adjustRightInd w:val="0"/>
              <w:ind w:left="340"/>
              <w:textAlignment w:val="baseline"/>
              <w:rPr>
                <w:rFonts w:ascii="Calibri" w:hAnsi="Calibri" w:eastAsia="Times New Roman" w:cs="Arial"/>
                <w:color w:val="000000"/>
                <w:sz w:val="21"/>
                <w:szCs w:val="21"/>
              </w:rPr>
            </w:pPr>
          </w:p>
          <w:p w:rsidRPr="00AF5A3A" w:rsidR="005C0BF9" w:rsidP="00432592" w:rsidRDefault="006E126A" w14:paraId="16329870" w14:textId="6017C7F7">
            <w:pPr>
              <w:pStyle w:val="ListParagraph"/>
              <w:tabs>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utoSpaceDE w:val="0"/>
              <w:autoSpaceDN w:val="0"/>
              <w:adjustRightInd w:val="0"/>
              <w:ind w:left="340"/>
              <w:textAlignment w:val="baseline"/>
              <w:rPr>
                <w:rFonts w:ascii="Calibri" w:hAnsi="Calibri" w:eastAsia="Times New Roman" w:cs="Arial"/>
                <w:color w:val="000000"/>
                <w:sz w:val="21"/>
                <w:szCs w:val="21"/>
              </w:rPr>
            </w:pPr>
            <w:r w:rsidRPr="00AF5A3A">
              <w:rPr>
                <w:rFonts w:ascii="Calibri" w:hAnsi="Calibri" w:eastAsia="Times New Roman" w:cs="Arial"/>
                <w:color w:val="000000"/>
                <w:sz w:val="21"/>
                <w:szCs w:val="21"/>
              </w:rPr>
              <w:t>A text box has been added to the beginning of the protocol outlining proposed changes to original procedures.</w:t>
            </w:r>
          </w:p>
        </w:tc>
        <w:tc>
          <w:tcPr>
            <w:tcW w:w="4234" w:type="dxa"/>
          </w:tcPr>
          <w:p w:rsidRPr="00AF5A3A" w:rsidR="00BE2323" w:rsidP="00364896" w:rsidRDefault="00566CB5" w14:paraId="7CFD13F1" w14:textId="0802603B">
            <w:pPr>
              <w:pStyle w:val="ListParagraph"/>
              <w:numPr>
                <w:ilvl w:val="0"/>
                <w:numId w:val="16"/>
              </w:numPr>
              <w:autoSpaceDE w:val="0"/>
              <w:autoSpaceDN w:val="0"/>
              <w:adjustRightInd w:val="0"/>
              <w:ind w:left="340" w:hanging="340"/>
              <w:rPr>
                <w:rFonts w:cs="Times New Roman"/>
                <w:sz w:val="21"/>
                <w:szCs w:val="21"/>
              </w:rPr>
            </w:pPr>
            <w:r w:rsidRPr="00AF5A3A">
              <w:rPr>
                <w:rFonts w:cs="Times New Roman"/>
                <w:sz w:val="21"/>
                <w:szCs w:val="21"/>
              </w:rPr>
              <w:t xml:space="preserve">Appendix J </w:t>
            </w:r>
            <w:r w:rsidRPr="00AF5A3A" w:rsidR="00432592">
              <w:rPr>
                <w:rFonts w:cs="Times New Roman"/>
                <w:sz w:val="21"/>
                <w:szCs w:val="21"/>
              </w:rPr>
              <w:t>documents the precautions that ATSDR is undertaking to protect the public and its workers from COVID-19.</w:t>
            </w:r>
          </w:p>
        </w:tc>
      </w:tr>
      <w:tr w:rsidRPr="00AF5A3A" w:rsidR="004C5F75" w:rsidTr="009D14D3" w14:paraId="2A6A7F22" w14:textId="77777777">
        <w:trPr>
          <w:trHeight w:val="521"/>
        </w:trPr>
        <w:tc>
          <w:tcPr>
            <w:tcW w:w="2047" w:type="dxa"/>
            <w:vAlign w:val="center"/>
          </w:tcPr>
          <w:p w:rsidRPr="00AF5A3A" w:rsidR="004C5F75" w:rsidP="009D14D3" w:rsidRDefault="004C5F75" w14:paraId="79DD44AE" w14:textId="74AD7580">
            <w:pPr>
              <w:autoSpaceDE w:val="0"/>
              <w:autoSpaceDN w:val="0"/>
              <w:adjustRightInd w:val="0"/>
              <w:rPr>
                <w:rFonts w:cs="Times New Roman"/>
                <w:i/>
                <w:iCs/>
                <w:sz w:val="21"/>
                <w:szCs w:val="21"/>
              </w:rPr>
            </w:pPr>
            <w:r w:rsidRPr="00AF5A3A">
              <w:rPr>
                <w:rFonts w:cs="Times New Roman"/>
                <w:i/>
                <w:iCs/>
                <w:sz w:val="21"/>
                <w:szCs w:val="21"/>
              </w:rPr>
              <w:t>(</w:t>
            </w:r>
            <w:r w:rsidRPr="00AF5A3A" w:rsidR="009733BE">
              <w:rPr>
                <w:rFonts w:cs="Times New Roman"/>
                <w:i/>
                <w:iCs/>
                <w:sz w:val="21"/>
                <w:szCs w:val="21"/>
              </w:rPr>
              <w:t xml:space="preserve">Appendix </w:t>
            </w:r>
            <w:r w:rsidRPr="00AF5A3A">
              <w:rPr>
                <w:rFonts w:cs="Times New Roman"/>
                <w:i/>
                <w:iCs/>
                <w:sz w:val="21"/>
                <w:szCs w:val="21"/>
              </w:rPr>
              <w:t>A1 unchanged)</w:t>
            </w:r>
          </w:p>
        </w:tc>
        <w:tc>
          <w:tcPr>
            <w:tcW w:w="4233" w:type="dxa"/>
            <w:vAlign w:val="center"/>
          </w:tcPr>
          <w:p w:rsidRPr="00AF5A3A" w:rsidR="004C5F75" w:rsidP="004C5F75" w:rsidRDefault="004C5F75" w14:paraId="38A0BC40" w14:textId="57E06C31">
            <w:pPr>
              <w:pStyle w:val="ListParagraph"/>
              <w:tabs>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utoSpaceDE w:val="0"/>
              <w:autoSpaceDN w:val="0"/>
              <w:adjustRightInd w:val="0"/>
              <w:ind w:left="340"/>
              <w:textAlignment w:val="baseline"/>
              <w:rPr>
                <w:rFonts w:ascii="Calibri" w:hAnsi="Calibri" w:eastAsia="Times New Roman" w:cs="Arial"/>
                <w:color w:val="000000"/>
                <w:sz w:val="21"/>
                <w:szCs w:val="21"/>
              </w:rPr>
            </w:pPr>
            <w:r w:rsidRPr="00AF5A3A">
              <w:rPr>
                <w:rFonts w:ascii="Calibri" w:hAnsi="Calibri" w:eastAsia="Times New Roman" w:cs="Arial"/>
                <w:color w:val="000000"/>
                <w:sz w:val="21"/>
                <w:szCs w:val="21"/>
              </w:rPr>
              <w:t>N/A</w:t>
            </w:r>
          </w:p>
        </w:tc>
        <w:tc>
          <w:tcPr>
            <w:tcW w:w="4234" w:type="dxa"/>
            <w:vAlign w:val="center"/>
          </w:tcPr>
          <w:p w:rsidRPr="00AF5A3A" w:rsidR="004C5F75" w:rsidP="004C5F75" w:rsidRDefault="004C5F75" w14:paraId="0962B29A" w14:textId="5DC9F441">
            <w:pPr>
              <w:pStyle w:val="ListParagraph"/>
              <w:autoSpaceDE w:val="0"/>
              <w:autoSpaceDN w:val="0"/>
              <w:adjustRightInd w:val="0"/>
              <w:ind w:left="340"/>
              <w:rPr>
                <w:rFonts w:cs="Times New Roman"/>
                <w:sz w:val="21"/>
                <w:szCs w:val="21"/>
              </w:rPr>
            </w:pPr>
            <w:r w:rsidRPr="00AF5A3A">
              <w:rPr>
                <w:rFonts w:cs="Times New Roman"/>
                <w:sz w:val="21"/>
                <w:szCs w:val="21"/>
              </w:rPr>
              <w:t>N/A</w:t>
            </w:r>
          </w:p>
        </w:tc>
      </w:tr>
      <w:tr w:rsidRPr="00AF5A3A" w:rsidR="00566CB5" w:rsidTr="009D14D3" w14:paraId="1C2B41D7" w14:textId="77777777">
        <w:trPr>
          <w:trHeight w:val="1259"/>
        </w:trPr>
        <w:tc>
          <w:tcPr>
            <w:tcW w:w="2047" w:type="dxa"/>
            <w:vAlign w:val="center"/>
          </w:tcPr>
          <w:p w:rsidRPr="00AF5A3A" w:rsidR="004C5F75" w:rsidP="009D14D3" w:rsidRDefault="004C5F75" w14:paraId="2EB268AC" w14:textId="3488EF57">
            <w:pPr>
              <w:autoSpaceDE w:val="0"/>
              <w:autoSpaceDN w:val="0"/>
              <w:adjustRightInd w:val="0"/>
              <w:rPr>
                <w:rFonts w:cs="Times New Roman"/>
                <w:i/>
                <w:iCs/>
                <w:sz w:val="21"/>
                <w:szCs w:val="21"/>
              </w:rPr>
            </w:pPr>
            <w:r w:rsidRPr="00AF5A3A">
              <w:rPr>
                <w:rFonts w:cs="Times New Roman"/>
                <w:i/>
                <w:iCs/>
                <w:sz w:val="21"/>
                <w:szCs w:val="21"/>
              </w:rPr>
              <w:t xml:space="preserve">(Appendices </w:t>
            </w:r>
            <w:r w:rsidRPr="00AF5A3A" w:rsidR="009733BE">
              <w:rPr>
                <w:rFonts w:cs="Times New Roman"/>
                <w:i/>
                <w:iCs/>
                <w:sz w:val="21"/>
                <w:szCs w:val="21"/>
              </w:rPr>
              <w:t>A2</w:t>
            </w:r>
            <w:r w:rsidRPr="00AF5A3A" w:rsidR="003D3381">
              <w:rPr>
                <w:rFonts w:cs="Times New Roman"/>
                <w:i/>
                <w:iCs/>
                <w:sz w:val="21"/>
                <w:szCs w:val="21"/>
              </w:rPr>
              <w:t>-</w:t>
            </w:r>
            <w:r w:rsidRPr="00AF5A3A">
              <w:rPr>
                <w:rFonts w:cs="Times New Roman"/>
                <w:i/>
                <w:iCs/>
                <w:sz w:val="21"/>
                <w:szCs w:val="21"/>
              </w:rPr>
              <w:t>A4)</w:t>
            </w:r>
          </w:p>
          <w:p w:rsidRPr="00AF5A3A" w:rsidR="004C5F75" w:rsidP="009D14D3" w:rsidRDefault="00566CB5" w14:paraId="427792DD" w14:textId="470051A3">
            <w:pPr>
              <w:autoSpaceDE w:val="0"/>
              <w:autoSpaceDN w:val="0"/>
              <w:adjustRightInd w:val="0"/>
              <w:rPr>
                <w:rFonts w:cs="Times New Roman"/>
                <w:sz w:val="21"/>
                <w:szCs w:val="21"/>
              </w:rPr>
            </w:pPr>
            <w:r w:rsidRPr="00AF5A3A">
              <w:rPr>
                <w:rFonts w:cs="Times New Roman"/>
                <w:sz w:val="21"/>
                <w:szCs w:val="21"/>
              </w:rPr>
              <w:t xml:space="preserve">Household </w:t>
            </w:r>
            <w:r w:rsidRPr="00AF5A3A" w:rsidR="009733BE">
              <w:rPr>
                <w:rFonts w:cs="Times New Roman"/>
                <w:sz w:val="21"/>
                <w:szCs w:val="21"/>
              </w:rPr>
              <w:t>Recruitment Letter</w:t>
            </w:r>
            <w:r w:rsidRPr="00AF5A3A" w:rsidR="003D3381">
              <w:rPr>
                <w:rFonts w:cs="Times New Roman"/>
                <w:sz w:val="21"/>
                <w:szCs w:val="21"/>
              </w:rPr>
              <w:t xml:space="preserve">; </w:t>
            </w:r>
            <w:r w:rsidRPr="00AF5A3A" w:rsidR="009733BE">
              <w:rPr>
                <w:rFonts w:cs="Times New Roman"/>
                <w:sz w:val="21"/>
                <w:szCs w:val="21"/>
              </w:rPr>
              <w:t>Eligibility Screener</w:t>
            </w:r>
            <w:r w:rsidRPr="00AF5A3A" w:rsidR="003D3381">
              <w:rPr>
                <w:rFonts w:cs="Times New Roman"/>
                <w:sz w:val="21"/>
                <w:szCs w:val="21"/>
              </w:rPr>
              <w:t xml:space="preserve">; </w:t>
            </w:r>
            <w:r w:rsidRPr="00AF5A3A" w:rsidR="005E0E11">
              <w:rPr>
                <w:rFonts w:cs="Times New Roman"/>
                <w:sz w:val="21"/>
                <w:szCs w:val="21"/>
              </w:rPr>
              <w:t xml:space="preserve">Environmental </w:t>
            </w:r>
            <w:r w:rsidRPr="00AF5A3A">
              <w:rPr>
                <w:rFonts w:cs="Times New Roman"/>
                <w:sz w:val="21"/>
                <w:szCs w:val="21"/>
              </w:rPr>
              <w:t xml:space="preserve">Recruitment </w:t>
            </w:r>
            <w:r w:rsidRPr="00AF5A3A" w:rsidR="009733BE">
              <w:rPr>
                <w:rFonts w:cs="Times New Roman"/>
                <w:sz w:val="21"/>
                <w:szCs w:val="21"/>
              </w:rPr>
              <w:t>Script</w:t>
            </w:r>
          </w:p>
        </w:tc>
        <w:tc>
          <w:tcPr>
            <w:tcW w:w="4233" w:type="dxa"/>
          </w:tcPr>
          <w:p w:rsidRPr="00AF5A3A" w:rsidR="00566CB5" w:rsidP="00364896" w:rsidRDefault="00566CB5" w14:paraId="004A12B0" w14:textId="4EE919C4">
            <w:pPr>
              <w:pStyle w:val="ListParagraph"/>
              <w:numPr>
                <w:ilvl w:val="0"/>
                <w:numId w:val="15"/>
              </w:numPr>
              <w:tabs>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utoSpaceDE w:val="0"/>
              <w:autoSpaceDN w:val="0"/>
              <w:adjustRightInd w:val="0"/>
              <w:ind w:left="340"/>
              <w:textAlignment w:val="baseline"/>
              <w:rPr>
                <w:rFonts w:ascii="Calibri" w:hAnsi="Calibri" w:eastAsia="Times New Roman" w:cs="Arial"/>
                <w:color w:val="000000"/>
                <w:sz w:val="21"/>
                <w:szCs w:val="21"/>
              </w:rPr>
            </w:pPr>
            <w:r w:rsidRPr="00AF5A3A">
              <w:rPr>
                <w:rFonts w:ascii="Calibri" w:hAnsi="Calibri" w:eastAsia="Times New Roman" w:cs="Arial"/>
                <w:color w:val="000000"/>
                <w:sz w:val="21"/>
                <w:szCs w:val="21"/>
              </w:rPr>
              <w:t>Recruitment materials will include information on procedures that CDC/ATSDR will be taking to address concerns associated with COVID-19.</w:t>
            </w:r>
          </w:p>
        </w:tc>
        <w:tc>
          <w:tcPr>
            <w:tcW w:w="4234" w:type="dxa"/>
          </w:tcPr>
          <w:p w:rsidRPr="00AF5A3A" w:rsidR="00566CB5" w:rsidP="00364896" w:rsidRDefault="004312FA" w14:paraId="34BB9AB8" w14:textId="2D07FDA3">
            <w:pPr>
              <w:pStyle w:val="ListParagraph"/>
              <w:numPr>
                <w:ilvl w:val="0"/>
                <w:numId w:val="16"/>
              </w:numPr>
              <w:autoSpaceDE w:val="0"/>
              <w:autoSpaceDN w:val="0"/>
              <w:adjustRightInd w:val="0"/>
              <w:ind w:left="340" w:hanging="340"/>
              <w:rPr>
                <w:rFonts w:cs="Times New Roman"/>
                <w:sz w:val="21"/>
                <w:szCs w:val="21"/>
              </w:rPr>
            </w:pPr>
            <w:r w:rsidRPr="00AF5A3A">
              <w:rPr>
                <w:rFonts w:cs="Times New Roman"/>
                <w:sz w:val="21"/>
                <w:szCs w:val="21"/>
              </w:rPr>
              <w:t xml:space="preserve">The recruitment materials will provide information to potential participants on the procedures that CDC/ATSDR will take to comply with local, state and CDC guidelines at the time of EA field activities. </w:t>
            </w:r>
          </w:p>
        </w:tc>
      </w:tr>
      <w:tr w:rsidRPr="00AF5A3A" w:rsidR="00432592" w:rsidTr="009D14D3" w14:paraId="742136D8" w14:textId="77777777">
        <w:trPr>
          <w:trHeight w:val="494"/>
        </w:trPr>
        <w:tc>
          <w:tcPr>
            <w:tcW w:w="2047" w:type="dxa"/>
            <w:vAlign w:val="center"/>
          </w:tcPr>
          <w:p w:rsidRPr="00AF5A3A" w:rsidR="00432592" w:rsidP="009D14D3" w:rsidRDefault="00432592" w14:paraId="2AA8206B" w14:textId="66D59522">
            <w:pPr>
              <w:autoSpaceDE w:val="0"/>
              <w:autoSpaceDN w:val="0"/>
              <w:adjustRightInd w:val="0"/>
              <w:rPr>
                <w:rFonts w:cs="Times New Roman"/>
                <w:i/>
                <w:iCs/>
                <w:sz w:val="21"/>
                <w:szCs w:val="21"/>
              </w:rPr>
            </w:pPr>
            <w:r w:rsidRPr="00AF5A3A">
              <w:rPr>
                <w:rFonts w:cs="Times New Roman"/>
                <w:i/>
                <w:iCs/>
                <w:sz w:val="21"/>
                <w:szCs w:val="21"/>
              </w:rPr>
              <w:t>(Appendices B1-B5 unchanged)</w:t>
            </w:r>
          </w:p>
        </w:tc>
        <w:tc>
          <w:tcPr>
            <w:tcW w:w="4233" w:type="dxa"/>
            <w:vAlign w:val="center"/>
          </w:tcPr>
          <w:p w:rsidRPr="00AF5A3A" w:rsidR="00432592" w:rsidP="00432592" w:rsidRDefault="00432592" w14:paraId="0EF07C7F" w14:textId="6691CE22">
            <w:pPr>
              <w:pStyle w:val="ListParagraph"/>
              <w:tabs>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utoSpaceDE w:val="0"/>
              <w:autoSpaceDN w:val="0"/>
              <w:adjustRightInd w:val="0"/>
              <w:ind w:left="340"/>
              <w:textAlignment w:val="baseline"/>
              <w:rPr>
                <w:rFonts w:ascii="Calibri" w:hAnsi="Calibri" w:eastAsia="Times New Roman" w:cs="Arial"/>
                <w:color w:val="000000"/>
                <w:sz w:val="21"/>
                <w:szCs w:val="21"/>
              </w:rPr>
            </w:pPr>
            <w:r w:rsidRPr="00AF5A3A">
              <w:rPr>
                <w:rFonts w:ascii="Calibri" w:hAnsi="Calibri" w:eastAsia="Times New Roman" w:cs="Arial"/>
                <w:color w:val="000000"/>
                <w:sz w:val="21"/>
                <w:szCs w:val="21"/>
              </w:rPr>
              <w:t>N/A</w:t>
            </w:r>
          </w:p>
        </w:tc>
        <w:tc>
          <w:tcPr>
            <w:tcW w:w="4234" w:type="dxa"/>
            <w:vAlign w:val="center"/>
          </w:tcPr>
          <w:p w:rsidRPr="00AF5A3A" w:rsidR="00432592" w:rsidP="00432592" w:rsidRDefault="00432592" w14:paraId="3AE4BC86" w14:textId="5D5EDF09">
            <w:pPr>
              <w:pStyle w:val="ListParagraph"/>
              <w:autoSpaceDE w:val="0"/>
              <w:autoSpaceDN w:val="0"/>
              <w:adjustRightInd w:val="0"/>
              <w:ind w:left="340"/>
              <w:rPr>
                <w:rFonts w:cs="Times New Roman"/>
                <w:sz w:val="21"/>
                <w:szCs w:val="21"/>
              </w:rPr>
            </w:pPr>
            <w:r w:rsidRPr="00AF5A3A">
              <w:rPr>
                <w:rFonts w:cs="Times New Roman"/>
                <w:sz w:val="21"/>
                <w:szCs w:val="21"/>
              </w:rPr>
              <w:t>N/A</w:t>
            </w:r>
          </w:p>
        </w:tc>
      </w:tr>
      <w:tr w:rsidRPr="00AF5A3A" w:rsidR="005E0E11" w:rsidTr="009D14D3" w14:paraId="30F73BAA" w14:textId="77777777">
        <w:trPr>
          <w:trHeight w:val="1016"/>
        </w:trPr>
        <w:tc>
          <w:tcPr>
            <w:tcW w:w="2047" w:type="dxa"/>
            <w:vAlign w:val="center"/>
          </w:tcPr>
          <w:p w:rsidRPr="00AF5A3A" w:rsidR="004C5F75" w:rsidP="009D14D3" w:rsidRDefault="004C5F75" w14:paraId="4326B606" w14:textId="77777777">
            <w:pPr>
              <w:autoSpaceDE w:val="0"/>
              <w:autoSpaceDN w:val="0"/>
              <w:adjustRightInd w:val="0"/>
              <w:rPr>
                <w:rFonts w:cs="Times New Roman"/>
                <w:i/>
                <w:iCs/>
                <w:sz w:val="21"/>
                <w:szCs w:val="21"/>
              </w:rPr>
            </w:pPr>
            <w:r w:rsidRPr="00AF5A3A">
              <w:rPr>
                <w:rFonts w:cs="Times New Roman"/>
                <w:i/>
                <w:iCs/>
                <w:sz w:val="21"/>
                <w:szCs w:val="21"/>
              </w:rPr>
              <w:t>(Appendix B6)</w:t>
            </w:r>
          </w:p>
          <w:p w:rsidRPr="00AF5A3A" w:rsidR="004C5F75" w:rsidP="009D14D3" w:rsidRDefault="005E0E11" w14:paraId="075BE099" w14:textId="065F025F">
            <w:pPr>
              <w:autoSpaceDE w:val="0"/>
              <w:autoSpaceDN w:val="0"/>
              <w:adjustRightInd w:val="0"/>
              <w:rPr>
                <w:rFonts w:cs="Times New Roman"/>
                <w:sz w:val="21"/>
                <w:szCs w:val="21"/>
              </w:rPr>
            </w:pPr>
            <w:r w:rsidRPr="00AF5A3A">
              <w:rPr>
                <w:rFonts w:cs="Times New Roman"/>
                <w:sz w:val="21"/>
                <w:szCs w:val="21"/>
              </w:rPr>
              <w:t>Biological Tracking Form</w:t>
            </w:r>
          </w:p>
        </w:tc>
        <w:tc>
          <w:tcPr>
            <w:tcW w:w="4233" w:type="dxa"/>
          </w:tcPr>
          <w:p w:rsidRPr="00AF5A3A" w:rsidR="005E0E11" w:rsidP="00364896" w:rsidRDefault="005E0E11" w14:paraId="6AC3F824" w14:textId="23269765">
            <w:pPr>
              <w:pStyle w:val="ListParagraph"/>
              <w:numPr>
                <w:ilvl w:val="0"/>
                <w:numId w:val="15"/>
              </w:numPr>
              <w:tabs>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utoSpaceDE w:val="0"/>
              <w:autoSpaceDN w:val="0"/>
              <w:adjustRightInd w:val="0"/>
              <w:ind w:left="340"/>
              <w:textAlignment w:val="baseline"/>
              <w:rPr>
                <w:rFonts w:ascii="Calibri" w:hAnsi="Calibri" w:eastAsia="Times New Roman" w:cs="Arial"/>
                <w:color w:val="000000"/>
                <w:sz w:val="21"/>
                <w:szCs w:val="21"/>
              </w:rPr>
            </w:pPr>
            <w:r w:rsidRPr="00AF5A3A">
              <w:rPr>
                <w:rFonts w:ascii="Calibri" w:hAnsi="Calibri" w:eastAsia="Times New Roman" w:cs="Arial"/>
                <w:color w:val="000000"/>
                <w:sz w:val="21"/>
                <w:szCs w:val="21"/>
              </w:rPr>
              <w:t>The biological tracking form is modified to include a screening for COVID-19 and a temperature check.</w:t>
            </w:r>
          </w:p>
        </w:tc>
        <w:tc>
          <w:tcPr>
            <w:tcW w:w="4234" w:type="dxa"/>
          </w:tcPr>
          <w:p w:rsidRPr="00AF5A3A" w:rsidR="005E0E11" w:rsidP="00364896" w:rsidRDefault="005E0E11" w14:paraId="7B135D82" w14:textId="4A6E7EAB">
            <w:pPr>
              <w:pStyle w:val="ListParagraph"/>
              <w:numPr>
                <w:ilvl w:val="0"/>
                <w:numId w:val="16"/>
              </w:numPr>
              <w:autoSpaceDE w:val="0"/>
              <w:autoSpaceDN w:val="0"/>
              <w:adjustRightInd w:val="0"/>
              <w:ind w:left="340" w:hanging="340"/>
              <w:rPr>
                <w:rFonts w:cs="Times New Roman"/>
                <w:sz w:val="21"/>
                <w:szCs w:val="21"/>
              </w:rPr>
            </w:pPr>
            <w:r w:rsidRPr="00AF5A3A">
              <w:rPr>
                <w:rFonts w:cs="Times New Roman"/>
                <w:sz w:val="21"/>
                <w:szCs w:val="21"/>
              </w:rPr>
              <w:t>A screening for self-reported COVID-19 symptoms and a temperature check will be conducted prior to participants entering the testing facility.</w:t>
            </w:r>
          </w:p>
        </w:tc>
      </w:tr>
      <w:tr w:rsidRPr="00AF5A3A" w:rsidR="00364896" w:rsidTr="009D14D3" w14:paraId="5872163F" w14:textId="77777777">
        <w:trPr>
          <w:trHeight w:val="386"/>
        </w:trPr>
        <w:tc>
          <w:tcPr>
            <w:tcW w:w="2047" w:type="dxa"/>
            <w:vAlign w:val="center"/>
          </w:tcPr>
          <w:p w:rsidRPr="00AF5A3A" w:rsidR="00364896" w:rsidP="009D14D3" w:rsidRDefault="004C5F75" w14:paraId="3B39D572" w14:textId="7A0BDA3D">
            <w:pPr>
              <w:autoSpaceDE w:val="0"/>
              <w:autoSpaceDN w:val="0"/>
              <w:adjustRightInd w:val="0"/>
              <w:rPr>
                <w:rFonts w:cs="Times New Roman"/>
                <w:i/>
                <w:iCs/>
                <w:sz w:val="21"/>
                <w:szCs w:val="21"/>
              </w:rPr>
            </w:pPr>
            <w:r w:rsidRPr="00AF5A3A">
              <w:rPr>
                <w:rFonts w:cs="Times New Roman"/>
                <w:i/>
                <w:iCs/>
                <w:sz w:val="21"/>
                <w:szCs w:val="21"/>
              </w:rPr>
              <w:t>(Appendices C-G unchanged)</w:t>
            </w:r>
          </w:p>
        </w:tc>
        <w:tc>
          <w:tcPr>
            <w:tcW w:w="4233" w:type="dxa"/>
            <w:vAlign w:val="center"/>
          </w:tcPr>
          <w:p w:rsidRPr="00AF5A3A" w:rsidR="00364896" w:rsidP="00432592" w:rsidRDefault="004C5F75" w14:paraId="34BE471D" w14:textId="7CC6C690">
            <w:pPr>
              <w:pStyle w:val="ListParagraph"/>
              <w:tabs>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utoSpaceDE w:val="0"/>
              <w:autoSpaceDN w:val="0"/>
              <w:adjustRightInd w:val="0"/>
              <w:ind w:left="340"/>
              <w:textAlignment w:val="baseline"/>
              <w:rPr>
                <w:rFonts w:ascii="Calibri" w:hAnsi="Calibri" w:eastAsia="Times New Roman" w:cs="Arial"/>
                <w:color w:val="000000"/>
                <w:sz w:val="21"/>
                <w:szCs w:val="21"/>
              </w:rPr>
            </w:pPr>
            <w:r w:rsidRPr="00AF5A3A">
              <w:rPr>
                <w:rFonts w:ascii="Calibri" w:hAnsi="Calibri" w:eastAsia="Times New Roman" w:cs="Arial"/>
                <w:color w:val="000000"/>
                <w:sz w:val="21"/>
                <w:szCs w:val="21"/>
              </w:rPr>
              <w:t>N/A</w:t>
            </w:r>
          </w:p>
        </w:tc>
        <w:tc>
          <w:tcPr>
            <w:tcW w:w="4234" w:type="dxa"/>
            <w:vAlign w:val="center"/>
          </w:tcPr>
          <w:p w:rsidRPr="00AF5A3A" w:rsidR="00364896" w:rsidP="00432592" w:rsidRDefault="004C5F75" w14:paraId="02BAEF11" w14:textId="486A2164">
            <w:pPr>
              <w:pStyle w:val="ListParagraph"/>
              <w:autoSpaceDE w:val="0"/>
              <w:autoSpaceDN w:val="0"/>
              <w:adjustRightInd w:val="0"/>
              <w:ind w:left="340"/>
              <w:rPr>
                <w:rFonts w:cs="Times New Roman"/>
                <w:sz w:val="21"/>
                <w:szCs w:val="21"/>
              </w:rPr>
            </w:pPr>
            <w:r w:rsidRPr="00AF5A3A">
              <w:rPr>
                <w:rFonts w:cs="Times New Roman"/>
                <w:sz w:val="21"/>
                <w:szCs w:val="21"/>
              </w:rPr>
              <w:t>N/A</w:t>
            </w:r>
          </w:p>
        </w:tc>
      </w:tr>
      <w:tr w:rsidRPr="00AF5A3A" w:rsidR="005E0E11" w:rsidTr="009D14D3" w14:paraId="3487134A" w14:textId="77777777">
        <w:trPr>
          <w:trHeight w:val="917"/>
        </w:trPr>
        <w:tc>
          <w:tcPr>
            <w:tcW w:w="2047" w:type="dxa"/>
            <w:vAlign w:val="center"/>
          </w:tcPr>
          <w:p w:rsidRPr="00AF5A3A" w:rsidR="004C5F75" w:rsidP="009D14D3" w:rsidRDefault="004C5F75" w14:paraId="273D7179" w14:textId="77777777">
            <w:pPr>
              <w:autoSpaceDE w:val="0"/>
              <w:autoSpaceDN w:val="0"/>
              <w:adjustRightInd w:val="0"/>
              <w:rPr>
                <w:rFonts w:cs="Times New Roman"/>
                <w:i/>
                <w:iCs/>
                <w:sz w:val="21"/>
                <w:szCs w:val="21"/>
              </w:rPr>
            </w:pPr>
            <w:r w:rsidRPr="00AF5A3A">
              <w:rPr>
                <w:rFonts w:cs="Times New Roman"/>
                <w:i/>
                <w:iCs/>
                <w:sz w:val="21"/>
                <w:szCs w:val="21"/>
              </w:rPr>
              <w:t>(Appendix H)</w:t>
            </w:r>
          </w:p>
          <w:p w:rsidRPr="00AF5A3A" w:rsidR="005E0E11" w:rsidP="009D14D3" w:rsidRDefault="005E0E11" w14:paraId="1FD3F532" w14:textId="7B36F53D">
            <w:pPr>
              <w:autoSpaceDE w:val="0"/>
              <w:autoSpaceDN w:val="0"/>
              <w:adjustRightInd w:val="0"/>
              <w:rPr>
                <w:rFonts w:cs="Times New Roman"/>
                <w:sz w:val="21"/>
                <w:szCs w:val="21"/>
              </w:rPr>
            </w:pPr>
            <w:r w:rsidRPr="00AF5A3A">
              <w:rPr>
                <w:rFonts w:cs="Times New Roman"/>
                <w:sz w:val="21"/>
                <w:szCs w:val="21"/>
              </w:rPr>
              <w:t xml:space="preserve">Site Health and Safety Plan </w:t>
            </w:r>
          </w:p>
        </w:tc>
        <w:tc>
          <w:tcPr>
            <w:tcW w:w="4233" w:type="dxa"/>
          </w:tcPr>
          <w:p w:rsidRPr="00AF5A3A" w:rsidR="005E0E11" w:rsidP="00364896" w:rsidRDefault="005E0E11" w14:paraId="217244B3" w14:textId="6C9542D6">
            <w:pPr>
              <w:pStyle w:val="ListParagraph"/>
              <w:numPr>
                <w:ilvl w:val="0"/>
                <w:numId w:val="15"/>
              </w:numPr>
              <w:tabs>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utoSpaceDE w:val="0"/>
              <w:autoSpaceDN w:val="0"/>
              <w:adjustRightInd w:val="0"/>
              <w:ind w:left="340"/>
              <w:textAlignment w:val="baseline"/>
              <w:rPr>
                <w:rFonts w:ascii="Calibri" w:hAnsi="Calibri" w:eastAsia="Times New Roman" w:cs="Arial"/>
                <w:color w:val="000000"/>
                <w:sz w:val="21"/>
                <w:szCs w:val="21"/>
              </w:rPr>
            </w:pPr>
            <w:r w:rsidRPr="00AF5A3A">
              <w:rPr>
                <w:rFonts w:ascii="Calibri" w:hAnsi="Calibri" w:eastAsia="Times New Roman" w:cs="Arial"/>
                <w:color w:val="000000"/>
                <w:sz w:val="21"/>
                <w:szCs w:val="21"/>
              </w:rPr>
              <w:t xml:space="preserve">A statement is included that indicates PPE requirements and safety procedures are outlined in Appendix J. </w:t>
            </w:r>
          </w:p>
        </w:tc>
        <w:tc>
          <w:tcPr>
            <w:tcW w:w="4234" w:type="dxa"/>
          </w:tcPr>
          <w:p w:rsidRPr="00AF5A3A" w:rsidR="005E0E11" w:rsidP="00364896" w:rsidRDefault="005E0E11" w14:paraId="37C25015" w14:textId="09125F0D">
            <w:pPr>
              <w:pStyle w:val="ListParagraph"/>
              <w:numPr>
                <w:ilvl w:val="0"/>
                <w:numId w:val="16"/>
              </w:numPr>
              <w:autoSpaceDE w:val="0"/>
              <w:autoSpaceDN w:val="0"/>
              <w:adjustRightInd w:val="0"/>
              <w:ind w:left="340" w:hanging="340"/>
              <w:rPr>
                <w:rFonts w:cs="Times New Roman"/>
                <w:sz w:val="21"/>
                <w:szCs w:val="21"/>
              </w:rPr>
            </w:pPr>
            <w:r w:rsidRPr="00AF5A3A">
              <w:rPr>
                <w:rFonts w:cs="Times New Roman"/>
                <w:sz w:val="21"/>
                <w:szCs w:val="21"/>
              </w:rPr>
              <w:t>The Site Health and Safety Plan provides a reference to the Restart Plan in Appendix J.</w:t>
            </w:r>
          </w:p>
        </w:tc>
      </w:tr>
      <w:tr w:rsidRPr="00AF5A3A" w:rsidR="005E0E11" w:rsidTr="009D14D3" w14:paraId="3D62A818" w14:textId="77777777">
        <w:trPr>
          <w:trHeight w:val="917"/>
        </w:trPr>
        <w:tc>
          <w:tcPr>
            <w:tcW w:w="2047" w:type="dxa"/>
            <w:vAlign w:val="center"/>
          </w:tcPr>
          <w:p w:rsidRPr="00AF5A3A" w:rsidR="00432592" w:rsidP="009D14D3" w:rsidRDefault="00432592" w14:paraId="0F01DA67" w14:textId="77777777">
            <w:pPr>
              <w:autoSpaceDE w:val="0"/>
              <w:autoSpaceDN w:val="0"/>
              <w:adjustRightInd w:val="0"/>
              <w:rPr>
                <w:rFonts w:cs="Times New Roman"/>
                <w:i/>
                <w:iCs/>
                <w:sz w:val="21"/>
                <w:szCs w:val="21"/>
              </w:rPr>
            </w:pPr>
            <w:r w:rsidRPr="00AF5A3A">
              <w:rPr>
                <w:rFonts w:cs="Times New Roman"/>
                <w:i/>
                <w:iCs/>
                <w:sz w:val="21"/>
                <w:szCs w:val="21"/>
              </w:rPr>
              <w:t>(Appendix I)</w:t>
            </w:r>
          </w:p>
          <w:p w:rsidRPr="00AF5A3A" w:rsidR="005E0E11" w:rsidP="009D14D3" w:rsidRDefault="005E0E11" w14:paraId="1D9E59B2" w14:textId="4D0D36F3">
            <w:pPr>
              <w:autoSpaceDE w:val="0"/>
              <w:autoSpaceDN w:val="0"/>
              <w:adjustRightInd w:val="0"/>
              <w:rPr>
                <w:rFonts w:cs="Times New Roman"/>
                <w:sz w:val="21"/>
                <w:szCs w:val="21"/>
              </w:rPr>
            </w:pPr>
            <w:r w:rsidRPr="00AF5A3A">
              <w:rPr>
                <w:rFonts w:cs="Times New Roman"/>
                <w:sz w:val="21"/>
                <w:szCs w:val="21"/>
              </w:rPr>
              <w:t>Data Management Plan</w:t>
            </w:r>
          </w:p>
        </w:tc>
        <w:tc>
          <w:tcPr>
            <w:tcW w:w="4233" w:type="dxa"/>
          </w:tcPr>
          <w:p w:rsidRPr="00AF5A3A" w:rsidR="005E0E11" w:rsidP="00364896" w:rsidRDefault="005E0E11" w14:paraId="5EE3B7E9" w14:textId="2646C872">
            <w:pPr>
              <w:pStyle w:val="ListParagraph"/>
              <w:numPr>
                <w:ilvl w:val="0"/>
                <w:numId w:val="15"/>
              </w:numPr>
              <w:tabs>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utoSpaceDE w:val="0"/>
              <w:autoSpaceDN w:val="0"/>
              <w:adjustRightInd w:val="0"/>
              <w:ind w:left="340"/>
              <w:textAlignment w:val="baseline"/>
              <w:rPr>
                <w:rFonts w:ascii="Calibri" w:hAnsi="Calibri" w:eastAsia="Times New Roman" w:cs="Arial"/>
                <w:color w:val="000000"/>
                <w:sz w:val="21"/>
                <w:szCs w:val="21"/>
              </w:rPr>
            </w:pPr>
            <w:r w:rsidRPr="00AF5A3A">
              <w:rPr>
                <w:rFonts w:ascii="Calibri" w:hAnsi="Calibri" w:eastAsia="Times New Roman" w:cs="Arial"/>
                <w:color w:val="000000"/>
                <w:sz w:val="21"/>
                <w:szCs w:val="21"/>
              </w:rPr>
              <w:t>The Data Management Plan indicates that the questionnaire may be conducted onsite or via the telephone.</w:t>
            </w:r>
          </w:p>
        </w:tc>
        <w:tc>
          <w:tcPr>
            <w:tcW w:w="4234" w:type="dxa"/>
          </w:tcPr>
          <w:p w:rsidRPr="00AF5A3A" w:rsidR="005E0E11" w:rsidP="00364896" w:rsidRDefault="005E0E11" w14:paraId="611352F7" w14:textId="5F6FE8AF">
            <w:pPr>
              <w:pStyle w:val="ListParagraph"/>
              <w:numPr>
                <w:ilvl w:val="0"/>
                <w:numId w:val="16"/>
              </w:numPr>
              <w:autoSpaceDE w:val="0"/>
              <w:autoSpaceDN w:val="0"/>
              <w:adjustRightInd w:val="0"/>
              <w:ind w:left="340" w:hanging="340"/>
              <w:rPr>
                <w:rFonts w:cs="Times New Roman"/>
                <w:sz w:val="21"/>
                <w:szCs w:val="21"/>
              </w:rPr>
            </w:pPr>
            <w:r w:rsidRPr="00AF5A3A">
              <w:rPr>
                <w:rFonts w:cs="Times New Roman"/>
                <w:sz w:val="21"/>
                <w:szCs w:val="21"/>
              </w:rPr>
              <w:t>To reduce the time participants spend in the testing facility, the questionnaire will be administered over the phone.</w:t>
            </w:r>
          </w:p>
        </w:tc>
      </w:tr>
      <w:tr w:rsidRPr="00AF5A3A" w:rsidR="00364896" w:rsidTr="009D14D3" w14:paraId="7B89526C" w14:textId="77777777">
        <w:trPr>
          <w:trHeight w:val="440"/>
        </w:trPr>
        <w:tc>
          <w:tcPr>
            <w:tcW w:w="2047" w:type="dxa"/>
            <w:vAlign w:val="center"/>
          </w:tcPr>
          <w:p w:rsidRPr="00AF5A3A" w:rsidR="00364896" w:rsidP="009D14D3" w:rsidRDefault="004C5F75" w14:paraId="210EFEB2" w14:textId="77777777">
            <w:pPr>
              <w:autoSpaceDE w:val="0"/>
              <w:autoSpaceDN w:val="0"/>
              <w:adjustRightInd w:val="0"/>
              <w:rPr>
                <w:rFonts w:cs="Times New Roman"/>
                <w:i/>
                <w:iCs/>
                <w:sz w:val="21"/>
                <w:szCs w:val="21"/>
              </w:rPr>
            </w:pPr>
            <w:r w:rsidRPr="00AF5A3A">
              <w:rPr>
                <w:rFonts w:cs="Times New Roman"/>
                <w:i/>
                <w:iCs/>
                <w:sz w:val="21"/>
                <w:szCs w:val="21"/>
              </w:rPr>
              <w:t>(Appendix J)</w:t>
            </w:r>
          </w:p>
          <w:p w:rsidRPr="00AF5A3A" w:rsidR="004C5F75" w:rsidP="009D14D3" w:rsidRDefault="004C5F75" w14:paraId="159AFAF7" w14:textId="14449CA1">
            <w:pPr>
              <w:autoSpaceDE w:val="0"/>
              <w:autoSpaceDN w:val="0"/>
              <w:adjustRightInd w:val="0"/>
              <w:rPr>
                <w:rFonts w:cs="Times New Roman"/>
                <w:sz w:val="21"/>
                <w:szCs w:val="21"/>
              </w:rPr>
            </w:pPr>
            <w:r w:rsidRPr="00AF5A3A">
              <w:rPr>
                <w:rFonts w:cs="Times New Roman"/>
                <w:sz w:val="21"/>
                <w:szCs w:val="21"/>
              </w:rPr>
              <w:t>Restart Plan</w:t>
            </w:r>
          </w:p>
        </w:tc>
        <w:tc>
          <w:tcPr>
            <w:tcW w:w="4230" w:type="dxa"/>
          </w:tcPr>
          <w:p w:rsidRPr="00AF5A3A" w:rsidR="00364896" w:rsidP="00364896" w:rsidRDefault="009D14D3" w14:paraId="759A9185" w14:textId="0A8876CD">
            <w:pPr>
              <w:pStyle w:val="ListParagraph"/>
              <w:numPr>
                <w:ilvl w:val="0"/>
                <w:numId w:val="15"/>
              </w:numPr>
              <w:tabs>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utoSpaceDE w:val="0"/>
              <w:autoSpaceDN w:val="0"/>
              <w:adjustRightInd w:val="0"/>
              <w:ind w:left="340"/>
              <w:textAlignment w:val="baseline"/>
              <w:rPr>
                <w:rFonts w:ascii="Calibri" w:hAnsi="Calibri" w:eastAsia="Times New Roman" w:cs="Arial"/>
                <w:color w:val="000000"/>
                <w:sz w:val="21"/>
                <w:szCs w:val="21"/>
              </w:rPr>
            </w:pPr>
            <w:r w:rsidRPr="00AF5A3A">
              <w:rPr>
                <w:rFonts w:cs="Arial"/>
                <w:color w:val="000000"/>
                <w:sz w:val="21"/>
                <w:szCs w:val="21"/>
              </w:rPr>
              <w:t>The restart plan provides methodology for safely completing EA field activities in compliance with state, local and CDC COVID-19 guidelines in place at the time the EAs are conducted</w:t>
            </w:r>
            <w:r w:rsidRPr="00AF5A3A">
              <w:rPr>
                <w:sz w:val="21"/>
                <w:szCs w:val="21"/>
              </w:rPr>
              <w:t>.</w:t>
            </w:r>
          </w:p>
        </w:tc>
        <w:tc>
          <w:tcPr>
            <w:tcW w:w="4237" w:type="dxa"/>
          </w:tcPr>
          <w:p w:rsidRPr="00AF5A3A" w:rsidR="00364896" w:rsidP="00364896" w:rsidRDefault="009D14D3" w14:paraId="45CD9992" w14:textId="7248B939">
            <w:pPr>
              <w:pStyle w:val="ListParagraph"/>
              <w:numPr>
                <w:ilvl w:val="0"/>
                <w:numId w:val="16"/>
              </w:numPr>
              <w:autoSpaceDE w:val="0"/>
              <w:autoSpaceDN w:val="0"/>
              <w:adjustRightInd w:val="0"/>
              <w:ind w:left="340" w:hanging="340"/>
              <w:rPr>
                <w:rFonts w:cs="Times New Roman"/>
                <w:sz w:val="21"/>
                <w:szCs w:val="21"/>
              </w:rPr>
            </w:pPr>
            <w:r w:rsidRPr="00AF5A3A">
              <w:rPr>
                <w:rFonts w:cs="Times New Roman"/>
                <w:sz w:val="21"/>
                <w:szCs w:val="21"/>
              </w:rPr>
              <w:t>P</w:t>
            </w:r>
            <w:r w:rsidRPr="00AF5A3A" w:rsidR="004C5F75">
              <w:rPr>
                <w:rFonts w:cs="Times New Roman"/>
                <w:sz w:val="21"/>
                <w:szCs w:val="21"/>
              </w:rPr>
              <w:t xml:space="preserve">olicies and procedures </w:t>
            </w:r>
            <w:r w:rsidRPr="00AF5A3A">
              <w:rPr>
                <w:rFonts w:cs="Times New Roman"/>
                <w:sz w:val="21"/>
                <w:szCs w:val="21"/>
              </w:rPr>
              <w:t>must</w:t>
            </w:r>
            <w:r w:rsidRPr="00AF5A3A" w:rsidR="004C5F75">
              <w:rPr>
                <w:rFonts w:cs="Times New Roman"/>
                <w:sz w:val="21"/>
                <w:szCs w:val="21"/>
              </w:rPr>
              <w:t xml:space="preserve"> be followed to modify activities to address concerns associated with COVID-19. Procedures will </w:t>
            </w:r>
            <w:r w:rsidRPr="00AF5A3A" w:rsidR="009733BE">
              <w:rPr>
                <w:rFonts w:cs="Times New Roman"/>
                <w:sz w:val="21"/>
                <w:szCs w:val="21"/>
              </w:rPr>
              <w:t>comply with the</w:t>
            </w:r>
            <w:r w:rsidRPr="00AF5A3A" w:rsidR="004C5F75">
              <w:rPr>
                <w:rFonts w:cs="Times New Roman"/>
                <w:sz w:val="21"/>
                <w:szCs w:val="21"/>
              </w:rPr>
              <w:t xml:space="preserve"> guidance in place at the time an activity is conducted.</w:t>
            </w:r>
          </w:p>
        </w:tc>
      </w:tr>
    </w:tbl>
    <w:p w:rsidRPr="00281243" w:rsidR="00FB2B08" w:rsidP="00FB36DA" w:rsidRDefault="00FB2B08" w14:paraId="64CCA1F8" w14:textId="77777777">
      <w:pPr>
        <w:autoSpaceDE w:val="0"/>
        <w:autoSpaceDN w:val="0"/>
        <w:adjustRightInd w:val="0"/>
        <w:spacing w:after="0" w:line="240" w:lineRule="auto"/>
        <w:rPr>
          <w:rFonts w:cs="Times New Roman"/>
        </w:rPr>
      </w:pPr>
    </w:p>
    <w:sectPr w:rsidRPr="00281243" w:rsidR="00FB2B08" w:rsidSect="00FB36DA">
      <w:footerReference w:type="default" r:id="rId9"/>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5E5FB3" w14:textId="77777777" w:rsidR="00AF5A3A" w:rsidRDefault="00AF5A3A" w:rsidP="00FC432B">
      <w:pPr>
        <w:spacing w:after="0" w:line="240" w:lineRule="auto"/>
      </w:pPr>
      <w:r>
        <w:separator/>
      </w:r>
    </w:p>
  </w:endnote>
  <w:endnote w:type="continuationSeparator" w:id="0">
    <w:p w14:paraId="508777F3" w14:textId="77777777" w:rsidR="00AF5A3A" w:rsidRDefault="00AF5A3A" w:rsidP="00FC43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43" w:usb2="00000009" w:usb3="00000000" w:csb0="000001FF" w:csb1="00000000"/>
  </w:font>
  <w:font w:name="Proxima Nova Rg">
    <w:altName w:val="Arial"/>
    <w:panose1 w:val="00000000000000000000"/>
    <w:charset w:val="00"/>
    <w:family w:val="modern"/>
    <w:notTrueType/>
    <w:pitch w:val="variable"/>
    <w:sig w:usb0="A00002EF" w:usb1="5000E0F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43398673"/>
      <w:docPartObj>
        <w:docPartGallery w:val="Page Numbers (Bottom of Page)"/>
        <w:docPartUnique/>
      </w:docPartObj>
    </w:sdtPr>
    <w:sdtEndPr>
      <w:rPr>
        <w:noProof/>
      </w:rPr>
    </w:sdtEndPr>
    <w:sdtContent>
      <w:p w14:paraId="5623F01E" w14:textId="57FCA65C" w:rsidR="00AF5A3A" w:rsidRDefault="00AF5A3A">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4A283497" w14:textId="5C522360" w:rsidR="00AF5A3A" w:rsidRPr="00D86410" w:rsidRDefault="00AF5A3A" w:rsidP="00FC432B">
    <w:pPr>
      <w:pStyle w:val="Footer"/>
      <w:jc w:val="center"/>
      <w:rPr>
        <w:rFonts w:ascii="Proxima Nova Rg" w:hAnsi="Proxima Nova Rg"/>
        <w:color w:val="646569"/>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7781C3" w14:textId="77777777" w:rsidR="00AF5A3A" w:rsidRDefault="00AF5A3A" w:rsidP="00FC432B">
      <w:pPr>
        <w:spacing w:after="0" w:line="240" w:lineRule="auto"/>
      </w:pPr>
      <w:r>
        <w:separator/>
      </w:r>
    </w:p>
  </w:footnote>
  <w:footnote w:type="continuationSeparator" w:id="0">
    <w:p w14:paraId="3B604A0C" w14:textId="77777777" w:rsidR="00AF5A3A" w:rsidRDefault="00AF5A3A" w:rsidP="00FC432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73465D"/>
    <w:multiLevelType w:val="hybridMultilevel"/>
    <w:tmpl w:val="292CDCD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E481027"/>
    <w:multiLevelType w:val="hybridMultilevel"/>
    <w:tmpl w:val="CF5A37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4612A2"/>
    <w:multiLevelType w:val="hybridMultilevel"/>
    <w:tmpl w:val="8CF2B8E4"/>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4A2CB1"/>
    <w:multiLevelType w:val="hybridMultilevel"/>
    <w:tmpl w:val="887212F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E6950D0"/>
    <w:multiLevelType w:val="hybridMultilevel"/>
    <w:tmpl w:val="4A82D908"/>
    <w:lvl w:ilvl="0" w:tplc="C57EEAD4">
      <w:start w:val="1"/>
      <w:numFmt w:val="decimal"/>
      <w:lvlText w:val="%1."/>
      <w:lvlJc w:val="left"/>
      <w:pPr>
        <w:ind w:left="360" w:hanging="360"/>
      </w:pPr>
      <w:rPr>
        <w:b/>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0BD1A41"/>
    <w:multiLevelType w:val="hybridMultilevel"/>
    <w:tmpl w:val="D99CC4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AF81E1F"/>
    <w:multiLevelType w:val="hybridMultilevel"/>
    <w:tmpl w:val="79D6A758"/>
    <w:lvl w:ilvl="0" w:tplc="EC5289E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494557B"/>
    <w:multiLevelType w:val="hybridMultilevel"/>
    <w:tmpl w:val="170EF98A"/>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E0224F8"/>
    <w:multiLevelType w:val="hybridMultilevel"/>
    <w:tmpl w:val="0DC457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AEA25AC"/>
    <w:multiLevelType w:val="hybridMultilevel"/>
    <w:tmpl w:val="B072A4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DE767DD"/>
    <w:multiLevelType w:val="hybridMultilevel"/>
    <w:tmpl w:val="AF6654DC"/>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start w:val="1"/>
      <w:numFmt w:val="lowerRoman"/>
      <w:lvlText w:val="%3."/>
      <w:lvlJc w:val="right"/>
      <w:pPr>
        <w:ind w:left="126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5B0E6B1C"/>
    <w:multiLevelType w:val="hybridMultilevel"/>
    <w:tmpl w:val="8BF6C626"/>
    <w:lvl w:ilvl="0" w:tplc="04090019">
      <w:start w:val="1"/>
      <w:numFmt w:val="lowerLetter"/>
      <w:lvlText w:val="%1."/>
      <w:lvlJc w:val="lef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2" w15:restartNumberingAfterBreak="0">
    <w:nsid w:val="6EF27959"/>
    <w:multiLevelType w:val="hybridMultilevel"/>
    <w:tmpl w:val="17E282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34201CC"/>
    <w:multiLevelType w:val="hybridMultilevel"/>
    <w:tmpl w:val="20281B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94C3A2F"/>
    <w:multiLevelType w:val="hybridMultilevel"/>
    <w:tmpl w:val="CE2284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AE043E4"/>
    <w:multiLevelType w:val="hybridMultilevel"/>
    <w:tmpl w:val="63704BD0"/>
    <w:lvl w:ilvl="0" w:tplc="CDD890C2">
      <w:start w:val="1"/>
      <w:numFmt w:val="decimal"/>
      <w:lvlText w:val="%1."/>
      <w:lvlJc w:val="left"/>
      <w:pPr>
        <w:ind w:left="360" w:hanging="360"/>
      </w:pPr>
      <w:rPr>
        <w:b/>
      </w:rPr>
    </w:lvl>
    <w:lvl w:ilvl="1" w:tplc="92E6FC3E">
      <w:start w:val="1"/>
      <w:numFmt w:val="bullet"/>
      <w:lvlText w:val="-"/>
      <w:lvlJc w:val="left"/>
      <w:pPr>
        <w:ind w:left="1080" w:hanging="360"/>
      </w:pPr>
      <w:rPr>
        <w:rFonts w:ascii="Times New Roman" w:eastAsiaTheme="minorHAnsi" w:hAnsi="Times New Roman" w:cs="Times New Roman" w:hint="default"/>
      </w:rPr>
    </w:lvl>
    <w:lvl w:ilvl="2" w:tplc="CCE6379C">
      <w:start w:val="1"/>
      <w:numFmt w:val="decimal"/>
      <w:lvlText w:val="%3)"/>
      <w:lvlJc w:val="left"/>
      <w:pPr>
        <w:ind w:left="1980" w:hanging="360"/>
      </w:pPr>
      <w:rPr>
        <w:rFont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4"/>
  </w:num>
  <w:num w:numId="2">
    <w:abstractNumId w:val="3"/>
  </w:num>
  <w:num w:numId="3">
    <w:abstractNumId w:val="11"/>
  </w:num>
  <w:num w:numId="4">
    <w:abstractNumId w:val="8"/>
  </w:num>
  <w:num w:numId="5">
    <w:abstractNumId w:val="2"/>
  </w:num>
  <w:num w:numId="6">
    <w:abstractNumId w:val="9"/>
  </w:num>
  <w:num w:numId="7">
    <w:abstractNumId w:val="15"/>
  </w:num>
  <w:num w:numId="8">
    <w:abstractNumId w:val="6"/>
  </w:num>
  <w:num w:numId="9">
    <w:abstractNumId w:val="0"/>
  </w:num>
  <w:num w:numId="10">
    <w:abstractNumId w:val="10"/>
  </w:num>
  <w:num w:numId="11">
    <w:abstractNumId w:val="7"/>
  </w:num>
  <w:num w:numId="12">
    <w:abstractNumId w:val="4"/>
  </w:num>
  <w:num w:numId="13">
    <w:abstractNumId w:val="1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num>
  <w:num w:numId="15">
    <w:abstractNumId w:val="1"/>
  </w:num>
  <w:num w:numId="16">
    <w:abstractNumId w:val="13"/>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hdrShapeDefaults>
    <o:shapedefaults v:ext="edit" spidmax="1495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26B7"/>
    <w:rsid w:val="00000977"/>
    <w:rsid w:val="000022EF"/>
    <w:rsid w:val="000025ED"/>
    <w:rsid w:val="00004733"/>
    <w:rsid w:val="000063B3"/>
    <w:rsid w:val="00007963"/>
    <w:rsid w:val="000116BD"/>
    <w:rsid w:val="00012129"/>
    <w:rsid w:val="0001435F"/>
    <w:rsid w:val="000145DD"/>
    <w:rsid w:val="00014969"/>
    <w:rsid w:val="00015D6B"/>
    <w:rsid w:val="000247D0"/>
    <w:rsid w:val="000269DF"/>
    <w:rsid w:val="000301D2"/>
    <w:rsid w:val="000333E6"/>
    <w:rsid w:val="00040F45"/>
    <w:rsid w:val="00041A93"/>
    <w:rsid w:val="00042363"/>
    <w:rsid w:val="00051356"/>
    <w:rsid w:val="00054D70"/>
    <w:rsid w:val="00061DBA"/>
    <w:rsid w:val="00072250"/>
    <w:rsid w:val="00072A7A"/>
    <w:rsid w:val="00072AB1"/>
    <w:rsid w:val="000761C8"/>
    <w:rsid w:val="00080D10"/>
    <w:rsid w:val="00081B85"/>
    <w:rsid w:val="0008474A"/>
    <w:rsid w:val="000866C6"/>
    <w:rsid w:val="00092960"/>
    <w:rsid w:val="00095543"/>
    <w:rsid w:val="00095A3A"/>
    <w:rsid w:val="00097C5E"/>
    <w:rsid w:val="000A19F3"/>
    <w:rsid w:val="000A2287"/>
    <w:rsid w:val="000A5EF5"/>
    <w:rsid w:val="000A7EA5"/>
    <w:rsid w:val="000B41D9"/>
    <w:rsid w:val="000B5479"/>
    <w:rsid w:val="000C2320"/>
    <w:rsid w:val="000C324C"/>
    <w:rsid w:val="000C459D"/>
    <w:rsid w:val="000C4868"/>
    <w:rsid w:val="000C5262"/>
    <w:rsid w:val="000C781A"/>
    <w:rsid w:val="000D0378"/>
    <w:rsid w:val="000D0A15"/>
    <w:rsid w:val="000D1859"/>
    <w:rsid w:val="000D2864"/>
    <w:rsid w:val="000E22E7"/>
    <w:rsid w:val="000E2B04"/>
    <w:rsid w:val="000E2F62"/>
    <w:rsid w:val="000E4211"/>
    <w:rsid w:val="000E5A35"/>
    <w:rsid w:val="000E64B7"/>
    <w:rsid w:val="000F4BA5"/>
    <w:rsid w:val="000F4E00"/>
    <w:rsid w:val="000F50AE"/>
    <w:rsid w:val="000F703C"/>
    <w:rsid w:val="001035AE"/>
    <w:rsid w:val="00103899"/>
    <w:rsid w:val="00105DE6"/>
    <w:rsid w:val="00106802"/>
    <w:rsid w:val="0011287B"/>
    <w:rsid w:val="00117228"/>
    <w:rsid w:val="001173D7"/>
    <w:rsid w:val="00117E01"/>
    <w:rsid w:val="00120DF5"/>
    <w:rsid w:val="00121C3E"/>
    <w:rsid w:val="001223C3"/>
    <w:rsid w:val="00123161"/>
    <w:rsid w:val="00123FB2"/>
    <w:rsid w:val="001249DB"/>
    <w:rsid w:val="0012522D"/>
    <w:rsid w:val="00130171"/>
    <w:rsid w:val="00131653"/>
    <w:rsid w:val="001323DB"/>
    <w:rsid w:val="00137FB3"/>
    <w:rsid w:val="00143222"/>
    <w:rsid w:val="00146808"/>
    <w:rsid w:val="00147429"/>
    <w:rsid w:val="00151404"/>
    <w:rsid w:val="001525BC"/>
    <w:rsid w:val="00156607"/>
    <w:rsid w:val="00166EC7"/>
    <w:rsid w:val="0017098A"/>
    <w:rsid w:val="00170C30"/>
    <w:rsid w:val="00171C50"/>
    <w:rsid w:val="001727B7"/>
    <w:rsid w:val="00174E1A"/>
    <w:rsid w:val="00184104"/>
    <w:rsid w:val="00186175"/>
    <w:rsid w:val="00187672"/>
    <w:rsid w:val="001930B2"/>
    <w:rsid w:val="00196634"/>
    <w:rsid w:val="0019713D"/>
    <w:rsid w:val="001A0A6D"/>
    <w:rsid w:val="001A6D3E"/>
    <w:rsid w:val="001A6E32"/>
    <w:rsid w:val="001A7376"/>
    <w:rsid w:val="001A7B39"/>
    <w:rsid w:val="001B743D"/>
    <w:rsid w:val="001C2F11"/>
    <w:rsid w:val="001D4CBB"/>
    <w:rsid w:val="001D7808"/>
    <w:rsid w:val="001D790B"/>
    <w:rsid w:val="001E0458"/>
    <w:rsid w:val="001E0B2A"/>
    <w:rsid w:val="001E1673"/>
    <w:rsid w:val="001E2370"/>
    <w:rsid w:val="001E48BA"/>
    <w:rsid w:val="001E6E86"/>
    <w:rsid w:val="001F2BE9"/>
    <w:rsid w:val="001F59FA"/>
    <w:rsid w:val="001F5C6C"/>
    <w:rsid w:val="001F7D44"/>
    <w:rsid w:val="001F7D6B"/>
    <w:rsid w:val="00202429"/>
    <w:rsid w:val="0020245F"/>
    <w:rsid w:val="002052D3"/>
    <w:rsid w:val="002108EB"/>
    <w:rsid w:val="00211841"/>
    <w:rsid w:val="0021279B"/>
    <w:rsid w:val="00212FF1"/>
    <w:rsid w:val="00214EA2"/>
    <w:rsid w:val="00216F0A"/>
    <w:rsid w:val="0021799D"/>
    <w:rsid w:val="00217BCC"/>
    <w:rsid w:val="00220846"/>
    <w:rsid w:val="002231F6"/>
    <w:rsid w:val="002240A5"/>
    <w:rsid w:val="00224A7D"/>
    <w:rsid w:val="002266D0"/>
    <w:rsid w:val="002306E5"/>
    <w:rsid w:val="002320A9"/>
    <w:rsid w:val="002353BB"/>
    <w:rsid w:val="00240FE9"/>
    <w:rsid w:val="002447A3"/>
    <w:rsid w:val="00245B93"/>
    <w:rsid w:val="0025003A"/>
    <w:rsid w:val="00255C2B"/>
    <w:rsid w:val="00266DB4"/>
    <w:rsid w:val="0027013F"/>
    <w:rsid w:val="00270E27"/>
    <w:rsid w:val="00271FAF"/>
    <w:rsid w:val="002726BD"/>
    <w:rsid w:val="00277A7F"/>
    <w:rsid w:val="00280048"/>
    <w:rsid w:val="00281243"/>
    <w:rsid w:val="002869EA"/>
    <w:rsid w:val="00287159"/>
    <w:rsid w:val="00287316"/>
    <w:rsid w:val="00287AE6"/>
    <w:rsid w:val="00293BDD"/>
    <w:rsid w:val="0029542F"/>
    <w:rsid w:val="00295C92"/>
    <w:rsid w:val="002A207D"/>
    <w:rsid w:val="002A6906"/>
    <w:rsid w:val="002A78F0"/>
    <w:rsid w:val="002B003F"/>
    <w:rsid w:val="002B4A2A"/>
    <w:rsid w:val="002B6D59"/>
    <w:rsid w:val="002C2349"/>
    <w:rsid w:val="002C5E6F"/>
    <w:rsid w:val="002D1F1F"/>
    <w:rsid w:val="002D4328"/>
    <w:rsid w:val="002D5DC4"/>
    <w:rsid w:val="002E3281"/>
    <w:rsid w:val="002E4AE4"/>
    <w:rsid w:val="002F051B"/>
    <w:rsid w:val="002F3B5F"/>
    <w:rsid w:val="003005F9"/>
    <w:rsid w:val="00303821"/>
    <w:rsid w:val="00310BFA"/>
    <w:rsid w:val="003142DC"/>
    <w:rsid w:val="003158E5"/>
    <w:rsid w:val="00321B8A"/>
    <w:rsid w:val="00323EF8"/>
    <w:rsid w:val="003243EB"/>
    <w:rsid w:val="00325704"/>
    <w:rsid w:val="00325B42"/>
    <w:rsid w:val="0033134E"/>
    <w:rsid w:val="0033232C"/>
    <w:rsid w:val="00332DB5"/>
    <w:rsid w:val="00333EC2"/>
    <w:rsid w:val="0035288B"/>
    <w:rsid w:val="00352EE0"/>
    <w:rsid w:val="00356C41"/>
    <w:rsid w:val="003617CF"/>
    <w:rsid w:val="0036453C"/>
    <w:rsid w:val="00364896"/>
    <w:rsid w:val="003736FE"/>
    <w:rsid w:val="00374914"/>
    <w:rsid w:val="00375100"/>
    <w:rsid w:val="00380651"/>
    <w:rsid w:val="003844BF"/>
    <w:rsid w:val="00386920"/>
    <w:rsid w:val="00387BDA"/>
    <w:rsid w:val="00387DB5"/>
    <w:rsid w:val="00390A56"/>
    <w:rsid w:val="00391331"/>
    <w:rsid w:val="00392F6A"/>
    <w:rsid w:val="003953D8"/>
    <w:rsid w:val="0039617E"/>
    <w:rsid w:val="003A2E08"/>
    <w:rsid w:val="003A669B"/>
    <w:rsid w:val="003A6D2E"/>
    <w:rsid w:val="003B1738"/>
    <w:rsid w:val="003B5AD6"/>
    <w:rsid w:val="003B6C2C"/>
    <w:rsid w:val="003C0CD5"/>
    <w:rsid w:val="003C6F1A"/>
    <w:rsid w:val="003C7BEF"/>
    <w:rsid w:val="003D1C4B"/>
    <w:rsid w:val="003D2EEA"/>
    <w:rsid w:val="003D3381"/>
    <w:rsid w:val="003D42A4"/>
    <w:rsid w:val="003D459A"/>
    <w:rsid w:val="003D4B76"/>
    <w:rsid w:val="003D4DE0"/>
    <w:rsid w:val="003D5FF0"/>
    <w:rsid w:val="003E0295"/>
    <w:rsid w:val="003E0D7D"/>
    <w:rsid w:val="003E1B72"/>
    <w:rsid w:val="003E1EF8"/>
    <w:rsid w:val="003E2B5E"/>
    <w:rsid w:val="003E6255"/>
    <w:rsid w:val="003E7553"/>
    <w:rsid w:val="003F164B"/>
    <w:rsid w:val="003F7AB2"/>
    <w:rsid w:val="0040313B"/>
    <w:rsid w:val="00403E49"/>
    <w:rsid w:val="0040782E"/>
    <w:rsid w:val="004104DF"/>
    <w:rsid w:val="00411003"/>
    <w:rsid w:val="00411473"/>
    <w:rsid w:val="004129A1"/>
    <w:rsid w:val="00413C22"/>
    <w:rsid w:val="0041684D"/>
    <w:rsid w:val="00420327"/>
    <w:rsid w:val="00420C7B"/>
    <w:rsid w:val="00424E33"/>
    <w:rsid w:val="004262EB"/>
    <w:rsid w:val="00426474"/>
    <w:rsid w:val="00427493"/>
    <w:rsid w:val="00430496"/>
    <w:rsid w:val="004312FA"/>
    <w:rsid w:val="00432592"/>
    <w:rsid w:val="00432D23"/>
    <w:rsid w:val="00433051"/>
    <w:rsid w:val="004333F1"/>
    <w:rsid w:val="00433A69"/>
    <w:rsid w:val="0044500A"/>
    <w:rsid w:val="00445B75"/>
    <w:rsid w:val="00445D54"/>
    <w:rsid w:val="004510D7"/>
    <w:rsid w:val="0046417B"/>
    <w:rsid w:val="00465928"/>
    <w:rsid w:val="00465CD1"/>
    <w:rsid w:val="00466194"/>
    <w:rsid w:val="00467703"/>
    <w:rsid w:val="0047025C"/>
    <w:rsid w:val="0047568F"/>
    <w:rsid w:val="004759A7"/>
    <w:rsid w:val="0047620D"/>
    <w:rsid w:val="004775CA"/>
    <w:rsid w:val="00480405"/>
    <w:rsid w:val="00481520"/>
    <w:rsid w:val="00484611"/>
    <w:rsid w:val="00494BA7"/>
    <w:rsid w:val="00495502"/>
    <w:rsid w:val="004971DA"/>
    <w:rsid w:val="004972FE"/>
    <w:rsid w:val="0049789D"/>
    <w:rsid w:val="004A01F9"/>
    <w:rsid w:val="004A41E1"/>
    <w:rsid w:val="004A493E"/>
    <w:rsid w:val="004A6CE7"/>
    <w:rsid w:val="004B0CB9"/>
    <w:rsid w:val="004B2058"/>
    <w:rsid w:val="004B3855"/>
    <w:rsid w:val="004B5087"/>
    <w:rsid w:val="004B51E6"/>
    <w:rsid w:val="004B564B"/>
    <w:rsid w:val="004B648B"/>
    <w:rsid w:val="004B7AB8"/>
    <w:rsid w:val="004C4C4C"/>
    <w:rsid w:val="004C4DB5"/>
    <w:rsid w:val="004C5F75"/>
    <w:rsid w:val="004C6134"/>
    <w:rsid w:val="004C6413"/>
    <w:rsid w:val="004D156C"/>
    <w:rsid w:val="004D72E1"/>
    <w:rsid w:val="004E1A52"/>
    <w:rsid w:val="004E407F"/>
    <w:rsid w:val="004E4A45"/>
    <w:rsid w:val="004E6BBF"/>
    <w:rsid w:val="004F1155"/>
    <w:rsid w:val="004F2311"/>
    <w:rsid w:val="004F505E"/>
    <w:rsid w:val="004F7AF3"/>
    <w:rsid w:val="00501D0C"/>
    <w:rsid w:val="00505F8D"/>
    <w:rsid w:val="00507181"/>
    <w:rsid w:val="00510E3B"/>
    <w:rsid w:val="00514650"/>
    <w:rsid w:val="00516840"/>
    <w:rsid w:val="00523492"/>
    <w:rsid w:val="005276A9"/>
    <w:rsid w:val="00535049"/>
    <w:rsid w:val="00535AC7"/>
    <w:rsid w:val="00540CE4"/>
    <w:rsid w:val="00543081"/>
    <w:rsid w:val="005444CB"/>
    <w:rsid w:val="00544EF4"/>
    <w:rsid w:val="00546072"/>
    <w:rsid w:val="00561292"/>
    <w:rsid w:val="00561353"/>
    <w:rsid w:val="0056294D"/>
    <w:rsid w:val="00566CB5"/>
    <w:rsid w:val="005670E1"/>
    <w:rsid w:val="0057240E"/>
    <w:rsid w:val="00573960"/>
    <w:rsid w:val="00575645"/>
    <w:rsid w:val="00576FAC"/>
    <w:rsid w:val="00577210"/>
    <w:rsid w:val="00581097"/>
    <w:rsid w:val="00581AF4"/>
    <w:rsid w:val="0058308C"/>
    <w:rsid w:val="005839CC"/>
    <w:rsid w:val="00583B0A"/>
    <w:rsid w:val="005861B4"/>
    <w:rsid w:val="00586FC6"/>
    <w:rsid w:val="00597469"/>
    <w:rsid w:val="005A1DBE"/>
    <w:rsid w:val="005A6557"/>
    <w:rsid w:val="005A6E54"/>
    <w:rsid w:val="005A7389"/>
    <w:rsid w:val="005A7410"/>
    <w:rsid w:val="005B23AD"/>
    <w:rsid w:val="005B37B5"/>
    <w:rsid w:val="005B3940"/>
    <w:rsid w:val="005B3AB4"/>
    <w:rsid w:val="005B3CF1"/>
    <w:rsid w:val="005B4C7C"/>
    <w:rsid w:val="005B5265"/>
    <w:rsid w:val="005B635E"/>
    <w:rsid w:val="005B6A88"/>
    <w:rsid w:val="005C0498"/>
    <w:rsid w:val="005C0BF9"/>
    <w:rsid w:val="005C2768"/>
    <w:rsid w:val="005C428F"/>
    <w:rsid w:val="005C51F3"/>
    <w:rsid w:val="005C62FF"/>
    <w:rsid w:val="005D2AC5"/>
    <w:rsid w:val="005D372D"/>
    <w:rsid w:val="005D5530"/>
    <w:rsid w:val="005D78A3"/>
    <w:rsid w:val="005E0E11"/>
    <w:rsid w:val="005E27C8"/>
    <w:rsid w:val="005E5BCE"/>
    <w:rsid w:val="005E6031"/>
    <w:rsid w:val="005E6748"/>
    <w:rsid w:val="005E7A55"/>
    <w:rsid w:val="005F285A"/>
    <w:rsid w:val="005F2B98"/>
    <w:rsid w:val="005F2D04"/>
    <w:rsid w:val="0060237D"/>
    <w:rsid w:val="00603347"/>
    <w:rsid w:val="00604858"/>
    <w:rsid w:val="0060702B"/>
    <w:rsid w:val="006076B6"/>
    <w:rsid w:val="00610E08"/>
    <w:rsid w:val="00612010"/>
    <w:rsid w:val="0061257D"/>
    <w:rsid w:val="00613BE6"/>
    <w:rsid w:val="006157F8"/>
    <w:rsid w:val="00620F47"/>
    <w:rsid w:val="00622271"/>
    <w:rsid w:val="00622C81"/>
    <w:rsid w:val="006247DE"/>
    <w:rsid w:val="00624E42"/>
    <w:rsid w:val="006253AC"/>
    <w:rsid w:val="0062585D"/>
    <w:rsid w:val="00625BDB"/>
    <w:rsid w:val="00630842"/>
    <w:rsid w:val="00630FC5"/>
    <w:rsid w:val="0063186F"/>
    <w:rsid w:val="006318A6"/>
    <w:rsid w:val="00632718"/>
    <w:rsid w:val="006346CA"/>
    <w:rsid w:val="00641372"/>
    <w:rsid w:val="006416E7"/>
    <w:rsid w:val="00641E81"/>
    <w:rsid w:val="00643A72"/>
    <w:rsid w:val="006644CA"/>
    <w:rsid w:val="00666BDD"/>
    <w:rsid w:val="0067065C"/>
    <w:rsid w:val="00670C9A"/>
    <w:rsid w:val="00672A2E"/>
    <w:rsid w:val="00676AF4"/>
    <w:rsid w:val="00676B78"/>
    <w:rsid w:val="0067795D"/>
    <w:rsid w:val="00680125"/>
    <w:rsid w:val="006815C1"/>
    <w:rsid w:val="00682341"/>
    <w:rsid w:val="00683B5E"/>
    <w:rsid w:val="00687DC4"/>
    <w:rsid w:val="00690033"/>
    <w:rsid w:val="006900AC"/>
    <w:rsid w:val="006901C9"/>
    <w:rsid w:val="006943C8"/>
    <w:rsid w:val="006954DF"/>
    <w:rsid w:val="00695C47"/>
    <w:rsid w:val="006A0DAA"/>
    <w:rsid w:val="006A139A"/>
    <w:rsid w:val="006A5EAF"/>
    <w:rsid w:val="006A6D50"/>
    <w:rsid w:val="006A79BF"/>
    <w:rsid w:val="006B2E10"/>
    <w:rsid w:val="006B3762"/>
    <w:rsid w:val="006C40F5"/>
    <w:rsid w:val="006C4E16"/>
    <w:rsid w:val="006C501E"/>
    <w:rsid w:val="006C5367"/>
    <w:rsid w:val="006D1EB2"/>
    <w:rsid w:val="006D6381"/>
    <w:rsid w:val="006D7224"/>
    <w:rsid w:val="006E09ED"/>
    <w:rsid w:val="006E126A"/>
    <w:rsid w:val="006E42E8"/>
    <w:rsid w:val="006E6A74"/>
    <w:rsid w:val="006F31CA"/>
    <w:rsid w:val="006F573C"/>
    <w:rsid w:val="006F7E1A"/>
    <w:rsid w:val="006F7F0F"/>
    <w:rsid w:val="007007B5"/>
    <w:rsid w:val="00701E6E"/>
    <w:rsid w:val="00701F4A"/>
    <w:rsid w:val="007036A4"/>
    <w:rsid w:val="00703A13"/>
    <w:rsid w:val="00705AA5"/>
    <w:rsid w:val="0070717D"/>
    <w:rsid w:val="007121C1"/>
    <w:rsid w:val="00715E1A"/>
    <w:rsid w:val="00720C1A"/>
    <w:rsid w:val="0072157E"/>
    <w:rsid w:val="00721A2E"/>
    <w:rsid w:val="00722E5E"/>
    <w:rsid w:val="00723EA0"/>
    <w:rsid w:val="007241DA"/>
    <w:rsid w:val="00726FD5"/>
    <w:rsid w:val="0072740D"/>
    <w:rsid w:val="0074166C"/>
    <w:rsid w:val="0074215F"/>
    <w:rsid w:val="00743277"/>
    <w:rsid w:val="007457BA"/>
    <w:rsid w:val="0074648B"/>
    <w:rsid w:val="00765B23"/>
    <w:rsid w:val="00765FB2"/>
    <w:rsid w:val="007719BE"/>
    <w:rsid w:val="00773901"/>
    <w:rsid w:val="00774457"/>
    <w:rsid w:val="00775EE9"/>
    <w:rsid w:val="007765E0"/>
    <w:rsid w:val="00780D22"/>
    <w:rsid w:val="007810C8"/>
    <w:rsid w:val="00781CBA"/>
    <w:rsid w:val="00782F2E"/>
    <w:rsid w:val="007904D1"/>
    <w:rsid w:val="00790AF9"/>
    <w:rsid w:val="007926B7"/>
    <w:rsid w:val="00793051"/>
    <w:rsid w:val="00795A4A"/>
    <w:rsid w:val="00796249"/>
    <w:rsid w:val="007A1861"/>
    <w:rsid w:val="007A5D47"/>
    <w:rsid w:val="007B1EA6"/>
    <w:rsid w:val="007B26AD"/>
    <w:rsid w:val="007B6C0E"/>
    <w:rsid w:val="007B7A27"/>
    <w:rsid w:val="007B7DC9"/>
    <w:rsid w:val="007C0161"/>
    <w:rsid w:val="007C0596"/>
    <w:rsid w:val="007C5F1F"/>
    <w:rsid w:val="007D3B1E"/>
    <w:rsid w:val="007D44AA"/>
    <w:rsid w:val="007D4F15"/>
    <w:rsid w:val="007D6E5A"/>
    <w:rsid w:val="007D7A48"/>
    <w:rsid w:val="007E3CA7"/>
    <w:rsid w:val="007E6673"/>
    <w:rsid w:val="007E70FB"/>
    <w:rsid w:val="007F4950"/>
    <w:rsid w:val="007F555C"/>
    <w:rsid w:val="007F672D"/>
    <w:rsid w:val="00800B5F"/>
    <w:rsid w:val="0080240F"/>
    <w:rsid w:val="00802ABC"/>
    <w:rsid w:val="00803859"/>
    <w:rsid w:val="008064B9"/>
    <w:rsid w:val="00807429"/>
    <w:rsid w:val="00807C1D"/>
    <w:rsid w:val="00810A81"/>
    <w:rsid w:val="008119BB"/>
    <w:rsid w:val="008146B4"/>
    <w:rsid w:val="008203E6"/>
    <w:rsid w:val="00824E6F"/>
    <w:rsid w:val="00825AD9"/>
    <w:rsid w:val="00830E93"/>
    <w:rsid w:val="00832B1F"/>
    <w:rsid w:val="0083300F"/>
    <w:rsid w:val="00833B31"/>
    <w:rsid w:val="008362AB"/>
    <w:rsid w:val="00836819"/>
    <w:rsid w:val="00836EAD"/>
    <w:rsid w:val="008374A1"/>
    <w:rsid w:val="0084102A"/>
    <w:rsid w:val="008431FE"/>
    <w:rsid w:val="00850211"/>
    <w:rsid w:val="00851B38"/>
    <w:rsid w:val="00851CF2"/>
    <w:rsid w:val="008526F7"/>
    <w:rsid w:val="008575D9"/>
    <w:rsid w:val="00866825"/>
    <w:rsid w:val="008711CB"/>
    <w:rsid w:val="008711EF"/>
    <w:rsid w:val="00873A1E"/>
    <w:rsid w:val="00880769"/>
    <w:rsid w:val="008819DF"/>
    <w:rsid w:val="00882590"/>
    <w:rsid w:val="008846CB"/>
    <w:rsid w:val="00885BA4"/>
    <w:rsid w:val="00891FF6"/>
    <w:rsid w:val="00894DC3"/>
    <w:rsid w:val="008A4879"/>
    <w:rsid w:val="008A5102"/>
    <w:rsid w:val="008B2195"/>
    <w:rsid w:val="008B3F06"/>
    <w:rsid w:val="008B42ED"/>
    <w:rsid w:val="008B450E"/>
    <w:rsid w:val="008B6569"/>
    <w:rsid w:val="008B68BC"/>
    <w:rsid w:val="008C3305"/>
    <w:rsid w:val="008C3BA0"/>
    <w:rsid w:val="008D2D5E"/>
    <w:rsid w:val="008D36A1"/>
    <w:rsid w:val="008D5192"/>
    <w:rsid w:val="008E1CB0"/>
    <w:rsid w:val="008E2275"/>
    <w:rsid w:val="008E34F9"/>
    <w:rsid w:val="008E3CDF"/>
    <w:rsid w:val="008E60A3"/>
    <w:rsid w:val="008F0B3F"/>
    <w:rsid w:val="008F1BFA"/>
    <w:rsid w:val="008F5246"/>
    <w:rsid w:val="008F5BA6"/>
    <w:rsid w:val="00900567"/>
    <w:rsid w:val="009016D3"/>
    <w:rsid w:val="00901F65"/>
    <w:rsid w:val="009060FD"/>
    <w:rsid w:val="00907637"/>
    <w:rsid w:val="009128FB"/>
    <w:rsid w:val="00914F6D"/>
    <w:rsid w:val="009201FD"/>
    <w:rsid w:val="0092147F"/>
    <w:rsid w:val="00922374"/>
    <w:rsid w:val="00925674"/>
    <w:rsid w:val="009270C6"/>
    <w:rsid w:val="00927CC2"/>
    <w:rsid w:val="0093469E"/>
    <w:rsid w:val="009355DF"/>
    <w:rsid w:val="009407B9"/>
    <w:rsid w:val="00941B03"/>
    <w:rsid w:val="0094355F"/>
    <w:rsid w:val="0095033D"/>
    <w:rsid w:val="00953756"/>
    <w:rsid w:val="009551AD"/>
    <w:rsid w:val="0095633C"/>
    <w:rsid w:val="009637F7"/>
    <w:rsid w:val="00964272"/>
    <w:rsid w:val="00965DDA"/>
    <w:rsid w:val="00970A0D"/>
    <w:rsid w:val="009721FA"/>
    <w:rsid w:val="009733BE"/>
    <w:rsid w:val="00977A99"/>
    <w:rsid w:val="00981E6A"/>
    <w:rsid w:val="009841D0"/>
    <w:rsid w:val="00984388"/>
    <w:rsid w:val="009845EB"/>
    <w:rsid w:val="00985DE3"/>
    <w:rsid w:val="00987967"/>
    <w:rsid w:val="00990CA5"/>
    <w:rsid w:val="00991676"/>
    <w:rsid w:val="00991C27"/>
    <w:rsid w:val="00991F57"/>
    <w:rsid w:val="00994F9A"/>
    <w:rsid w:val="00995F53"/>
    <w:rsid w:val="00996867"/>
    <w:rsid w:val="00996D1A"/>
    <w:rsid w:val="009A5F53"/>
    <w:rsid w:val="009A6115"/>
    <w:rsid w:val="009B34BD"/>
    <w:rsid w:val="009C0E37"/>
    <w:rsid w:val="009C0FF0"/>
    <w:rsid w:val="009C15B9"/>
    <w:rsid w:val="009C194B"/>
    <w:rsid w:val="009C1F6C"/>
    <w:rsid w:val="009C2868"/>
    <w:rsid w:val="009C4A99"/>
    <w:rsid w:val="009C7260"/>
    <w:rsid w:val="009D14D3"/>
    <w:rsid w:val="009D1617"/>
    <w:rsid w:val="009D23A2"/>
    <w:rsid w:val="009D5A90"/>
    <w:rsid w:val="009D6CBC"/>
    <w:rsid w:val="009D7B2F"/>
    <w:rsid w:val="009E0182"/>
    <w:rsid w:val="009E6067"/>
    <w:rsid w:val="009E65E3"/>
    <w:rsid w:val="009E7D35"/>
    <w:rsid w:val="009F162B"/>
    <w:rsid w:val="009F4DF7"/>
    <w:rsid w:val="00A03B9C"/>
    <w:rsid w:val="00A05FB1"/>
    <w:rsid w:val="00A06101"/>
    <w:rsid w:val="00A0771C"/>
    <w:rsid w:val="00A135CF"/>
    <w:rsid w:val="00A166C6"/>
    <w:rsid w:val="00A271DD"/>
    <w:rsid w:val="00A2742D"/>
    <w:rsid w:val="00A31499"/>
    <w:rsid w:val="00A33A05"/>
    <w:rsid w:val="00A354A8"/>
    <w:rsid w:val="00A37F64"/>
    <w:rsid w:val="00A42A46"/>
    <w:rsid w:val="00A47B4C"/>
    <w:rsid w:val="00A47EF1"/>
    <w:rsid w:val="00A5741F"/>
    <w:rsid w:val="00A6105E"/>
    <w:rsid w:val="00A61C81"/>
    <w:rsid w:val="00A61E47"/>
    <w:rsid w:val="00A633D5"/>
    <w:rsid w:val="00A63AB0"/>
    <w:rsid w:val="00A67875"/>
    <w:rsid w:val="00A713F5"/>
    <w:rsid w:val="00A71A03"/>
    <w:rsid w:val="00A71C7C"/>
    <w:rsid w:val="00A73102"/>
    <w:rsid w:val="00A81F7C"/>
    <w:rsid w:val="00A82996"/>
    <w:rsid w:val="00A92B91"/>
    <w:rsid w:val="00A93F8E"/>
    <w:rsid w:val="00A954B2"/>
    <w:rsid w:val="00AA05D2"/>
    <w:rsid w:val="00AA0CF3"/>
    <w:rsid w:val="00AA15AE"/>
    <w:rsid w:val="00AA15DF"/>
    <w:rsid w:val="00AA6852"/>
    <w:rsid w:val="00AA6F07"/>
    <w:rsid w:val="00AA713B"/>
    <w:rsid w:val="00AB074A"/>
    <w:rsid w:val="00AB3581"/>
    <w:rsid w:val="00AB4C5B"/>
    <w:rsid w:val="00AC3376"/>
    <w:rsid w:val="00AC5B40"/>
    <w:rsid w:val="00AC5BB5"/>
    <w:rsid w:val="00AC65F7"/>
    <w:rsid w:val="00AC6A99"/>
    <w:rsid w:val="00AD19CD"/>
    <w:rsid w:val="00AD1BF7"/>
    <w:rsid w:val="00AD1F1E"/>
    <w:rsid w:val="00AD56D4"/>
    <w:rsid w:val="00AE077A"/>
    <w:rsid w:val="00AE6A8F"/>
    <w:rsid w:val="00AF0295"/>
    <w:rsid w:val="00AF400D"/>
    <w:rsid w:val="00AF433F"/>
    <w:rsid w:val="00AF5A3A"/>
    <w:rsid w:val="00AF66CF"/>
    <w:rsid w:val="00B017A6"/>
    <w:rsid w:val="00B03C0A"/>
    <w:rsid w:val="00B05E2B"/>
    <w:rsid w:val="00B06396"/>
    <w:rsid w:val="00B06F6A"/>
    <w:rsid w:val="00B1072B"/>
    <w:rsid w:val="00B11CDE"/>
    <w:rsid w:val="00B12842"/>
    <w:rsid w:val="00B12C68"/>
    <w:rsid w:val="00B153A0"/>
    <w:rsid w:val="00B155D9"/>
    <w:rsid w:val="00B3138A"/>
    <w:rsid w:val="00B32BE7"/>
    <w:rsid w:val="00B3590D"/>
    <w:rsid w:val="00B406C4"/>
    <w:rsid w:val="00B41624"/>
    <w:rsid w:val="00B46A29"/>
    <w:rsid w:val="00B47D33"/>
    <w:rsid w:val="00B50DF1"/>
    <w:rsid w:val="00B5115C"/>
    <w:rsid w:val="00B513B4"/>
    <w:rsid w:val="00B52918"/>
    <w:rsid w:val="00B53502"/>
    <w:rsid w:val="00B548DF"/>
    <w:rsid w:val="00B55440"/>
    <w:rsid w:val="00B57FDA"/>
    <w:rsid w:val="00B60BE1"/>
    <w:rsid w:val="00B6170C"/>
    <w:rsid w:val="00B61D00"/>
    <w:rsid w:val="00B660FE"/>
    <w:rsid w:val="00B72E3E"/>
    <w:rsid w:val="00B752F3"/>
    <w:rsid w:val="00B81CA5"/>
    <w:rsid w:val="00B85DF1"/>
    <w:rsid w:val="00B928D0"/>
    <w:rsid w:val="00B94092"/>
    <w:rsid w:val="00B9513A"/>
    <w:rsid w:val="00B97410"/>
    <w:rsid w:val="00B9775E"/>
    <w:rsid w:val="00BA0DD3"/>
    <w:rsid w:val="00BB133C"/>
    <w:rsid w:val="00BB5C6A"/>
    <w:rsid w:val="00BB72A2"/>
    <w:rsid w:val="00BC6AC7"/>
    <w:rsid w:val="00BC7B2B"/>
    <w:rsid w:val="00BD6457"/>
    <w:rsid w:val="00BE0CEA"/>
    <w:rsid w:val="00BE2323"/>
    <w:rsid w:val="00BE3CE3"/>
    <w:rsid w:val="00BE7AB2"/>
    <w:rsid w:val="00BF4EF7"/>
    <w:rsid w:val="00C0324B"/>
    <w:rsid w:val="00C038B9"/>
    <w:rsid w:val="00C045C9"/>
    <w:rsid w:val="00C049B8"/>
    <w:rsid w:val="00C05C48"/>
    <w:rsid w:val="00C05F11"/>
    <w:rsid w:val="00C07BE0"/>
    <w:rsid w:val="00C10E2E"/>
    <w:rsid w:val="00C11437"/>
    <w:rsid w:val="00C15603"/>
    <w:rsid w:val="00C21D9B"/>
    <w:rsid w:val="00C234E5"/>
    <w:rsid w:val="00C24F41"/>
    <w:rsid w:val="00C27C5A"/>
    <w:rsid w:val="00C31AC2"/>
    <w:rsid w:val="00C32B3B"/>
    <w:rsid w:val="00C33DF2"/>
    <w:rsid w:val="00C34B5E"/>
    <w:rsid w:val="00C370B9"/>
    <w:rsid w:val="00C418AB"/>
    <w:rsid w:val="00C428A2"/>
    <w:rsid w:val="00C50489"/>
    <w:rsid w:val="00C60BD1"/>
    <w:rsid w:val="00C716FC"/>
    <w:rsid w:val="00C723B4"/>
    <w:rsid w:val="00C72CBA"/>
    <w:rsid w:val="00C805B4"/>
    <w:rsid w:val="00C82090"/>
    <w:rsid w:val="00C83D4A"/>
    <w:rsid w:val="00C90E83"/>
    <w:rsid w:val="00C90FF3"/>
    <w:rsid w:val="00C9172A"/>
    <w:rsid w:val="00C96526"/>
    <w:rsid w:val="00C976FB"/>
    <w:rsid w:val="00CA61B1"/>
    <w:rsid w:val="00CA7E5F"/>
    <w:rsid w:val="00CC0B3A"/>
    <w:rsid w:val="00CC357E"/>
    <w:rsid w:val="00CC3932"/>
    <w:rsid w:val="00CC70C5"/>
    <w:rsid w:val="00CC7B01"/>
    <w:rsid w:val="00CD4D42"/>
    <w:rsid w:val="00CD6917"/>
    <w:rsid w:val="00CE0672"/>
    <w:rsid w:val="00CE0740"/>
    <w:rsid w:val="00CE466B"/>
    <w:rsid w:val="00CE5984"/>
    <w:rsid w:val="00CE5A2B"/>
    <w:rsid w:val="00CE6042"/>
    <w:rsid w:val="00CF2679"/>
    <w:rsid w:val="00CF2B17"/>
    <w:rsid w:val="00CF576D"/>
    <w:rsid w:val="00D01F5B"/>
    <w:rsid w:val="00D04F3B"/>
    <w:rsid w:val="00D06163"/>
    <w:rsid w:val="00D06338"/>
    <w:rsid w:val="00D06DD7"/>
    <w:rsid w:val="00D070EC"/>
    <w:rsid w:val="00D11200"/>
    <w:rsid w:val="00D133BF"/>
    <w:rsid w:val="00D1451D"/>
    <w:rsid w:val="00D15330"/>
    <w:rsid w:val="00D1649A"/>
    <w:rsid w:val="00D1782D"/>
    <w:rsid w:val="00D20424"/>
    <w:rsid w:val="00D23CDF"/>
    <w:rsid w:val="00D26DB9"/>
    <w:rsid w:val="00D27AFC"/>
    <w:rsid w:val="00D27D30"/>
    <w:rsid w:val="00D27D57"/>
    <w:rsid w:val="00D31B10"/>
    <w:rsid w:val="00D37370"/>
    <w:rsid w:val="00D37D96"/>
    <w:rsid w:val="00D425F2"/>
    <w:rsid w:val="00D53D9D"/>
    <w:rsid w:val="00D5472D"/>
    <w:rsid w:val="00D559AC"/>
    <w:rsid w:val="00D608BE"/>
    <w:rsid w:val="00D62D69"/>
    <w:rsid w:val="00D62E8C"/>
    <w:rsid w:val="00D640BD"/>
    <w:rsid w:val="00D64E79"/>
    <w:rsid w:val="00D65A78"/>
    <w:rsid w:val="00D71102"/>
    <w:rsid w:val="00D722BF"/>
    <w:rsid w:val="00D73960"/>
    <w:rsid w:val="00D7479F"/>
    <w:rsid w:val="00D7606F"/>
    <w:rsid w:val="00D801DF"/>
    <w:rsid w:val="00D80323"/>
    <w:rsid w:val="00D81517"/>
    <w:rsid w:val="00D830FF"/>
    <w:rsid w:val="00D83E0C"/>
    <w:rsid w:val="00D86410"/>
    <w:rsid w:val="00D87550"/>
    <w:rsid w:val="00D9020C"/>
    <w:rsid w:val="00D93062"/>
    <w:rsid w:val="00D93BDC"/>
    <w:rsid w:val="00D94CC5"/>
    <w:rsid w:val="00D95A21"/>
    <w:rsid w:val="00D96037"/>
    <w:rsid w:val="00D974C3"/>
    <w:rsid w:val="00DA1957"/>
    <w:rsid w:val="00DA27CA"/>
    <w:rsid w:val="00DA38E0"/>
    <w:rsid w:val="00DA7544"/>
    <w:rsid w:val="00DB0819"/>
    <w:rsid w:val="00DB27EA"/>
    <w:rsid w:val="00DB35CA"/>
    <w:rsid w:val="00DC0B3A"/>
    <w:rsid w:val="00DC3859"/>
    <w:rsid w:val="00DC6244"/>
    <w:rsid w:val="00DD1399"/>
    <w:rsid w:val="00DD230F"/>
    <w:rsid w:val="00DD2A55"/>
    <w:rsid w:val="00DD2E46"/>
    <w:rsid w:val="00DD388B"/>
    <w:rsid w:val="00DD4B5A"/>
    <w:rsid w:val="00DD63EB"/>
    <w:rsid w:val="00DD7104"/>
    <w:rsid w:val="00DD73EC"/>
    <w:rsid w:val="00DE21F2"/>
    <w:rsid w:val="00DE322F"/>
    <w:rsid w:val="00DE38E1"/>
    <w:rsid w:val="00DF1564"/>
    <w:rsid w:val="00DF36B2"/>
    <w:rsid w:val="00DF4557"/>
    <w:rsid w:val="00DF5786"/>
    <w:rsid w:val="00DF64CF"/>
    <w:rsid w:val="00DF6EE3"/>
    <w:rsid w:val="00E04BAD"/>
    <w:rsid w:val="00E06CC1"/>
    <w:rsid w:val="00E0766A"/>
    <w:rsid w:val="00E11383"/>
    <w:rsid w:val="00E173A6"/>
    <w:rsid w:val="00E22947"/>
    <w:rsid w:val="00E22EE6"/>
    <w:rsid w:val="00E24A88"/>
    <w:rsid w:val="00E2647A"/>
    <w:rsid w:val="00E26EDD"/>
    <w:rsid w:val="00E36745"/>
    <w:rsid w:val="00E409FA"/>
    <w:rsid w:val="00E413E5"/>
    <w:rsid w:val="00E41674"/>
    <w:rsid w:val="00E42008"/>
    <w:rsid w:val="00E44ACA"/>
    <w:rsid w:val="00E47DA8"/>
    <w:rsid w:val="00E5143D"/>
    <w:rsid w:val="00E52588"/>
    <w:rsid w:val="00E54576"/>
    <w:rsid w:val="00E619F4"/>
    <w:rsid w:val="00E62845"/>
    <w:rsid w:val="00E6359A"/>
    <w:rsid w:val="00E674DA"/>
    <w:rsid w:val="00E7182E"/>
    <w:rsid w:val="00E73987"/>
    <w:rsid w:val="00E77AAE"/>
    <w:rsid w:val="00E81322"/>
    <w:rsid w:val="00E8134E"/>
    <w:rsid w:val="00E8154F"/>
    <w:rsid w:val="00E82838"/>
    <w:rsid w:val="00E91B3D"/>
    <w:rsid w:val="00E93A11"/>
    <w:rsid w:val="00E93CE6"/>
    <w:rsid w:val="00E94FA7"/>
    <w:rsid w:val="00E96232"/>
    <w:rsid w:val="00E97314"/>
    <w:rsid w:val="00EA44B1"/>
    <w:rsid w:val="00EA5B4B"/>
    <w:rsid w:val="00EA7366"/>
    <w:rsid w:val="00EA78BD"/>
    <w:rsid w:val="00EA7AEF"/>
    <w:rsid w:val="00EB0B60"/>
    <w:rsid w:val="00EB4F23"/>
    <w:rsid w:val="00EB7D8F"/>
    <w:rsid w:val="00EC1BE3"/>
    <w:rsid w:val="00EC5101"/>
    <w:rsid w:val="00EC533C"/>
    <w:rsid w:val="00EC7A6E"/>
    <w:rsid w:val="00EC7C36"/>
    <w:rsid w:val="00EC7FF8"/>
    <w:rsid w:val="00ED72D2"/>
    <w:rsid w:val="00ED72F4"/>
    <w:rsid w:val="00EE0862"/>
    <w:rsid w:val="00EE1BC8"/>
    <w:rsid w:val="00EE3587"/>
    <w:rsid w:val="00EE3D8B"/>
    <w:rsid w:val="00EE6739"/>
    <w:rsid w:val="00EF14F7"/>
    <w:rsid w:val="00EF27A4"/>
    <w:rsid w:val="00EF4C24"/>
    <w:rsid w:val="00EF6F43"/>
    <w:rsid w:val="00F01358"/>
    <w:rsid w:val="00F02EE5"/>
    <w:rsid w:val="00F039E8"/>
    <w:rsid w:val="00F064C2"/>
    <w:rsid w:val="00F108E8"/>
    <w:rsid w:val="00F13BEE"/>
    <w:rsid w:val="00F15585"/>
    <w:rsid w:val="00F15686"/>
    <w:rsid w:val="00F23883"/>
    <w:rsid w:val="00F26F0B"/>
    <w:rsid w:val="00F274DA"/>
    <w:rsid w:val="00F3151D"/>
    <w:rsid w:val="00F31791"/>
    <w:rsid w:val="00F3200A"/>
    <w:rsid w:val="00F33E5F"/>
    <w:rsid w:val="00F35A8C"/>
    <w:rsid w:val="00F37153"/>
    <w:rsid w:val="00F47DF7"/>
    <w:rsid w:val="00F507CC"/>
    <w:rsid w:val="00F51543"/>
    <w:rsid w:val="00F52747"/>
    <w:rsid w:val="00F56535"/>
    <w:rsid w:val="00F62359"/>
    <w:rsid w:val="00F6451B"/>
    <w:rsid w:val="00F65D2A"/>
    <w:rsid w:val="00F66838"/>
    <w:rsid w:val="00F67121"/>
    <w:rsid w:val="00F73227"/>
    <w:rsid w:val="00F7609F"/>
    <w:rsid w:val="00F82429"/>
    <w:rsid w:val="00F82C70"/>
    <w:rsid w:val="00F85961"/>
    <w:rsid w:val="00F85D96"/>
    <w:rsid w:val="00F8656A"/>
    <w:rsid w:val="00F8690A"/>
    <w:rsid w:val="00F86EF7"/>
    <w:rsid w:val="00F910AC"/>
    <w:rsid w:val="00F91696"/>
    <w:rsid w:val="00F9250F"/>
    <w:rsid w:val="00F92A31"/>
    <w:rsid w:val="00F95B05"/>
    <w:rsid w:val="00F9638D"/>
    <w:rsid w:val="00FA0E65"/>
    <w:rsid w:val="00FA3721"/>
    <w:rsid w:val="00FB1A0B"/>
    <w:rsid w:val="00FB2B08"/>
    <w:rsid w:val="00FB36DA"/>
    <w:rsid w:val="00FB41AB"/>
    <w:rsid w:val="00FB47C2"/>
    <w:rsid w:val="00FB761D"/>
    <w:rsid w:val="00FB7A6E"/>
    <w:rsid w:val="00FC0C89"/>
    <w:rsid w:val="00FC0E41"/>
    <w:rsid w:val="00FC17C3"/>
    <w:rsid w:val="00FC1FFC"/>
    <w:rsid w:val="00FC432B"/>
    <w:rsid w:val="00FC4BB1"/>
    <w:rsid w:val="00FC5BD8"/>
    <w:rsid w:val="00FC5CE7"/>
    <w:rsid w:val="00FD274F"/>
    <w:rsid w:val="00FD35C3"/>
    <w:rsid w:val="00FD3A8A"/>
    <w:rsid w:val="00FD3CB5"/>
    <w:rsid w:val="00FE15BC"/>
    <w:rsid w:val="00FE2AB4"/>
    <w:rsid w:val="00FE4014"/>
    <w:rsid w:val="00FE587B"/>
    <w:rsid w:val="00FE59F0"/>
    <w:rsid w:val="00FF5F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49505"/>
    <o:shapelayout v:ext="edit">
      <o:idmap v:ext="edit" data="1"/>
    </o:shapelayout>
  </w:shapeDefaults>
  <w:decimalSymbol w:val="."/>
  <w:listSeparator w:val=","/>
  <w14:docId w14:val="2FA02307"/>
  <w15:docId w15:val="{AF4E9585-8D4D-4D27-9C8F-0125E32F5B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2">
    <w:name w:val="heading 2"/>
    <w:basedOn w:val="Normal"/>
    <w:next w:val="Normal"/>
    <w:link w:val="Heading2Char"/>
    <w:qFormat/>
    <w:rsid w:val="004B5087"/>
    <w:pPr>
      <w:keepNext/>
      <w:spacing w:after="0" w:line="240" w:lineRule="auto"/>
      <w:outlineLvl w:val="1"/>
    </w:pPr>
    <w:rPr>
      <w:rFonts w:ascii="Tahoma" w:eastAsia="Times New Roman" w:hAnsi="Tahoma" w:cs="Tahoma"/>
      <w:b/>
      <w:sz w:val="1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071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0718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7181"/>
    <w:rPr>
      <w:rFonts w:ascii="Tahoma" w:hAnsi="Tahoma" w:cs="Tahoma"/>
      <w:sz w:val="16"/>
      <w:szCs w:val="16"/>
    </w:rPr>
  </w:style>
  <w:style w:type="paragraph" w:styleId="Header">
    <w:name w:val="header"/>
    <w:basedOn w:val="Normal"/>
    <w:link w:val="HeaderChar"/>
    <w:uiPriority w:val="99"/>
    <w:unhideWhenUsed/>
    <w:rsid w:val="00FC43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432B"/>
  </w:style>
  <w:style w:type="paragraph" w:styleId="Footer">
    <w:name w:val="footer"/>
    <w:basedOn w:val="Normal"/>
    <w:link w:val="FooterChar"/>
    <w:uiPriority w:val="99"/>
    <w:unhideWhenUsed/>
    <w:rsid w:val="00FC43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432B"/>
  </w:style>
  <w:style w:type="paragraph" w:styleId="NoSpacing">
    <w:name w:val="No Spacing"/>
    <w:link w:val="NoSpacingChar"/>
    <w:qFormat/>
    <w:rsid w:val="005C2768"/>
    <w:pPr>
      <w:spacing w:after="0" w:line="240" w:lineRule="auto"/>
    </w:pPr>
  </w:style>
  <w:style w:type="character" w:customStyle="1" w:styleId="NoSpacingChar">
    <w:name w:val="No Spacing Char"/>
    <w:link w:val="NoSpacing"/>
    <w:locked/>
    <w:rsid w:val="003158E5"/>
  </w:style>
  <w:style w:type="character" w:customStyle="1" w:styleId="Heading2Char">
    <w:name w:val="Heading 2 Char"/>
    <w:basedOn w:val="DefaultParagraphFont"/>
    <w:link w:val="Heading2"/>
    <w:rsid w:val="004B5087"/>
    <w:rPr>
      <w:rFonts w:ascii="Tahoma" w:eastAsia="Times New Roman" w:hAnsi="Tahoma" w:cs="Tahoma"/>
      <w:b/>
      <w:sz w:val="18"/>
      <w:szCs w:val="24"/>
    </w:rPr>
  </w:style>
  <w:style w:type="paragraph" w:styleId="Subtitle">
    <w:name w:val="Subtitle"/>
    <w:basedOn w:val="Normal"/>
    <w:link w:val="SubtitleChar"/>
    <w:qFormat/>
    <w:rsid w:val="004B5087"/>
    <w:pPr>
      <w:spacing w:after="0" w:line="240" w:lineRule="auto"/>
    </w:pPr>
    <w:rPr>
      <w:rFonts w:ascii="Times New Roman" w:eastAsia="Times New Roman" w:hAnsi="Times New Roman" w:cs="Times New Roman"/>
      <w:b/>
      <w:sz w:val="24"/>
      <w:szCs w:val="20"/>
      <w:u w:val="single"/>
    </w:rPr>
  </w:style>
  <w:style w:type="character" w:customStyle="1" w:styleId="SubtitleChar">
    <w:name w:val="Subtitle Char"/>
    <w:basedOn w:val="DefaultParagraphFont"/>
    <w:link w:val="Subtitle"/>
    <w:rsid w:val="004B5087"/>
    <w:rPr>
      <w:rFonts w:ascii="Times New Roman" w:eastAsia="Times New Roman" w:hAnsi="Times New Roman" w:cs="Times New Roman"/>
      <w:b/>
      <w:sz w:val="24"/>
      <w:szCs w:val="20"/>
      <w:u w:val="single"/>
    </w:rPr>
  </w:style>
  <w:style w:type="paragraph" w:styleId="ListParagraph">
    <w:name w:val="List Paragraph"/>
    <w:basedOn w:val="Normal"/>
    <w:link w:val="ListParagraphChar"/>
    <w:uiPriority w:val="34"/>
    <w:qFormat/>
    <w:rsid w:val="004B5087"/>
    <w:pPr>
      <w:ind w:left="720"/>
      <w:contextualSpacing/>
    </w:pPr>
  </w:style>
  <w:style w:type="character" w:styleId="CommentReference">
    <w:name w:val="annotation reference"/>
    <w:basedOn w:val="DefaultParagraphFont"/>
    <w:semiHidden/>
    <w:unhideWhenUsed/>
    <w:rsid w:val="00DA1957"/>
    <w:rPr>
      <w:sz w:val="16"/>
      <w:szCs w:val="16"/>
    </w:rPr>
  </w:style>
  <w:style w:type="paragraph" w:styleId="CommentText">
    <w:name w:val="annotation text"/>
    <w:basedOn w:val="Normal"/>
    <w:link w:val="CommentTextChar"/>
    <w:semiHidden/>
    <w:unhideWhenUsed/>
    <w:rsid w:val="00DA1957"/>
    <w:pPr>
      <w:spacing w:line="240" w:lineRule="auto"/>
    </w:pPr>
    <w:rPr>
      <w:sz w:val="20"/>
      <w:szCs w:val="20"/>
    </w:rPr>
  </w:style>
  <w:style w:type="character" w:customStyle="1" w:styleId="CommentTextChar">
    <w:name w:val="Comment Text Char"/>
    <w:basedOn w:val="DefaultParagraphFont"/>
    <w:link w:val="CommentText"/>
    <w:semiHidden/>
    <w:rsid w:val="00DA1957"/>
    <w:rPr>
      <w:sz w:val="20"/>
      <w:szCs w:val="20"/>
    </w:rPr>
  </w:style>
  <w:style w:type="paragraph" w:styleId="CommentSubject">
    <w:name w:val="annotation subject"/>
    <w:basedOn w:val="CommentText"/>
    <w:next w:val="CommentText"/>
    <w:link w:val="CommentSubjectChar"/>
    <w:uiPriority w:val="99"/>
    <w:semiHidden/>
    <w:unhideWhenUsed/>
    <w:rsid w:val="00DA1957"/>
    <w:rPr>
      <w:b/>
      <w:bCs/>
    </w:rPr>
  </w:style>
  <w:style w:type="character" w:customStyle="1" w:styleId="CommentSubjectChar">
    <w:name w:val="Comment Subject Char"/>
    <w:basedOn w:val="CommentTextChar"/>
    <w:link w:val="CommentSubject"/>
    <w:uiPriority w:val="99"/>
    <w:semiHidden/>
    <w:rsid w:val="00DA1957"/>
    <w:rPr>
      <w:b/>
      <w:bCs/>
      <w:sz w:val="20"/>
      <w:szCs w:val="20"/>
    </w:rPr>
  </w:style>
  <w:style w:type="table" w:customStyle="1" w:styleId="PlainTable41">
    <w:name w:val="Plain Table 41"/>
    <w:basedOn w:val="TableNormal"/>
    <w:uiPriority w:val="99"/>
    <w:rsid w:val="00775EE9"/>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PlainText">
    <w:name w:val="Plain Text"/>
    <w:basedOn w:val="Normal"/>
    <w:link w:val="PlainTextChar"/>
    <w:uiPriority w:val="99"/>
    <w:unhideWhenUsed/>
    <w:rsid w:val="00EB4F23"/>
    <w:pPr>
      <w:spacing w:after="0" w:line="240" w:lineRule="auto"/>
    </w:pPr>
    <w:rPr>
      <w:rFonts w:ascii="Consolas" w:eastAsia="Times New Roman" w:hAnsi="Consolas" w:cs="Times New Roman"/>
      <w:sz w:val="21"/>
      <w:szCs w:val="21"/>
    </w:rPr>
  </w:style>
  <w:style w:type="character" w:customStyle="1" w:styleId="PlainTextChar">
    <w:name w:val="Plain Text Char"/>
    <w:basedOn w:val="DefaultParagraphFont"/>
    <w:link w:val="PlainText"/>
    <w:uiPriority w:val="99"/>
    <w:rsid w:val="00EB4F23"/>
    <w:rPr>
      <w:rFonts w:ascii="Consolas" w:eastAsia="Times New Roman" w:hAnsi="Consolas" w:cs="Times New Roman"/>
      <w:sz w:val="21"/>
      <w:szCs w:val="21"/>
    </w:rPr>
  </w:style>
  <w:style w:type="paragraph" w:styleId="Date">
    <w:name w:val="Date"/>
    <w:basedOn w:val="Normal"/>
    <w:next w:val="Normal"/>
    <w:link w:val="DateChar"/>
    <w:uiPriority w:val="99"/>
    <w:semiHidden/>
    <w:unhideWhenUsed/>
    <w:rsid w:val="00EE1BC8"/>
  </w:style>
  <w:style w:type="character" w:customStyle="1" w:styleId="DateChar">
    <w:name w:val="Date Char"/>
    <w:basedOn w:val="DefaultParagraphFont"/>
    <w:link w:val="Date"/>
    <w:uiPriority w:val="99"/>
    <w:semiHidden/>
    <w:rsid w:val="00EE1BC8"/>
  </w:style>
  <w:style w:type="character" w:customStyle="1" w:styleId="ListParagraphChar">
    <w:name w:val="List Paragraph Char"/>
    <w:basedOn w:val="DefaultParagraphFont"/>
    <w:link w:val="ListParagraph"/>
    <w:uiPriority w:val="34"/>
    <w:rsid w:val="00780D22"/>
  </w:style>
  <w:style w:type="character" w:styleId="Hyperlink">
    <w:name w:val="Hyperlink"/>
    <w:basedOn w:val="DefaultParagraphFont"/>
    <w:uiPriority w:val="99"/>
    <w:unhideWhenUsed/>
    <w:rsid w:val="00566CB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6716246">
      <w:bodyDiv w:val="1"/>
      <w:marLeft w:val="0"/>
      <w:marRight w:val="0"/>
      <w:marTop w:val="0"/>
      <w:marBottom w:val="0"/>
      <w:divBdr>
        <w:top w:val="none" w:sz="0" w:space="0" w:color="auto"/>
        <w:left w:val="none" w:sz="0" w:space="0" w:color="auto"/>
        <w:bottom w:val="none" w:sz="0" w:space="0" w:color="auto"/>
        <w:right w:val="none" w:sz="0" w:space="0" w:color="auto"/>
      </w:divBdr>
    </w:div>
    <w:div w:id="935748159">
      <w:bodyDiv w:val="1"/>
      <w:marLeft w:val="0"/>
      <w:marRight w:val="0"/>
      <w:marTop w:val="0"/>
      <w:marBottom w:val="0"/>
      <w:divBdr>
        <w:top w:val="none" w:sz="0" w:space="0" w:color="auto"/>
        <w:left w:val="none" w:sz="0" w:space="0" w:color="auto"/>
        <w:bottom w:val="none" w:sz="0" w:space="0" w:color="auto"/>
        <w:right w:val="none" w:sz="0" w:space="0" w:color="auto"/>
      </w:divBdr>
    </w:div>
    <w:div w:id="1589926866">
      <w:bodyDiv w:val="1"/>
      <w:marLeft w:val="0"/>
      <w:marRight w:val="0"/>
      <w:marTop w:val="0"/>
      <w:marBottom w:val="0"/>
      <w:divBdr>
        <w:top w:val="none" w:sz="0" w:space="0" w:color="auto"/>
        <w:left w:val="none" w:sz="0" w:space="0" w:color="auto"/>
        <w:bottom w:val="none" w:sz="0" w:space="0" w:color="auto"/>
        <w:right w:val="none" w:sz="0" w:space="0" w:color="auto"/>
      </w:divBdr>
    </w:div>
    <w:div w:id="1789542164">
      <w:bodyDiv w:val="1"/>
      <w:marLeft w:val="0"/>
      <w:marRight w:val="0"/>
      <w:marTop w:val="0"/>
      <w:marBottom w:val="0"/>
      <w:divBdr>
        <w:top w:val="none" w:sz="0" w:space="0" w:color="auto"/>
        <w:left w:val="none" w:sz="0" w:space="0" w:color="auto"/>
        <w:bottom w:val="none" w:sz="0" w:space="0" w:color="auto"/>
        <w:right w:val="none" w:sz="0" w:space="0" w:color="auto"/>
      </w:divBdr>
    </w:div>
    <w:div w:id="1897424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dc.gov/coronavirus/2019-ncov/hcp/non-covid-19-client-interaction.htm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891532-1CE4-41DE-AA33-662B81CA7C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957</Words>
  <Characters>5460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New York State - Office of General Services</Company>
  <LinksUpToDate>false</LinksUpToDate>
  <CharactersWithSpaces>6405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Naik, Samantha L. (ATSDR/DTHHS/EEB)</dc:creator>
  <cp:lastModifiedBy>NCEH/ATSDR OS</cp:lastModifiedBy>
  <cp:revision>2</cp:revision>
  <cp:lastPrinted>2015-02-24T14:58:00Z</cp:lastPrinted>
  <dcterms:created xsi:type="dcterms:W3CDTF">2020-06-17T14:08:00Z</dcterms:created>
  <dcterms:modified xsi:type="dcterms:W3CDTF">2020-06-17T14:08:00Z</dcterms:modified>
</cp:coreProperties>
</file>