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5965" w:rsidP="00FE5965" w:rsidRDefault="00FE5965" w14:paraId="1B1850EB" w14:textId="45FEC2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6F57">
        <w:rPr>
          <w:rFonts w:ascii="Times New Roman" w:hAnsi="Times New Roman" w:cs="Times New Roman"/>
          <w:b/>
          <w:sz w:val="24"/>
          <w:szCs w:val="24"/>
        </w:rPr>
        <w:t>Change Request</w:t>
      </w:r>
    </w:p>
    <w:p w:rsidR="004D1D01" w:rsidP="00FE5965" w:rsidRDefault="004D1D01" w14:paraId="024735BC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Pr="007354C5" w:rsidR="004D1D01" w:rsidP="004D1D01" w:rsidRDefault="004D1D01" w14:paraId="5B241DC8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54C5">
        <w:rPr>
          <w:rFonts w:ascii="Times New Roman" w:hAnsi="Times New Roman" w:cs="Times New Roman"/>
          <w:b/>
          <w:sz w:val="28"/>
          <w:szCs w:val="28"/>
        </w:rPr>
        <w:t xml:space="preserve">Women’s Health Needs Study: </w:t>
      </w:r>
      <w:r w:rsidRPr="007354C5">
        <w:rPr>
          <w:rFonts w:ascii="Times New Roman" w:hAnsi="Times New Roman" w:cs="Times New Roman"/>
          <w:b/>
          <w:sz w:val="28"/>
          <w:szCs w:val="28"/>
        </w:rPr>
        <w:br/>
        <w:t>The Health of US-Resident Women from Countries with Prevalent Female Genital Mutilation/Cutting (FGM/C)</w:t>
      </w:r>
    </w:p>
    <w:p w:rsidRPr="003A4757" w:rsidR="004D1D01" w:rsidP="004D1D01" w:rsidRDefault="004D1D01" w14:paraId="1BC35EB3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Pr="003A4757" w:rsidR="00FE5965" w:rsidP="004D1D01" w:rsidRDefault="004D1D01" w14:paraId="032D14DA" w14:textId="379A6C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4757">
        <w:rPr>
          <w:rFonts w:ascii="Times New Roman" w:hAnsi="Times New Roman" w:cs="Times New Roman"/>
          <w:sz w:val="24"/>
          <w:szCs w:val="24"/>
        </w:rPr>
        <w:t xml:space="preserve"> </w:t>
      </w:r>
      <w:r w:rsidRPr="003A4757" w:rsidR="00FE5965">
        <w:rPr>
          <w:rFonts w:ascii="Times New Roman" w:hAnsi="Times New Roman" w:cs="Times New Roman"/>
          <w:sz w:val="24"/>
          <w:szCs w:val="24"/>
        </w:rPr>
        <w:t>(OMB Control No.</w:t>
      </w:r>
      <w:r w:rsidRPr="007354C5">
        <w:rPr>
          <w:rFonts w:ascii="Times New Roman" w:hAnsi="Times New Roman" w:cs="Times New Roman"/>
          <w:sz w:val="20"/>
          <w:szCs w:val="20"/>
        </w:rPr>
        <w:t xml:space="preserve"> </w:t>
      </w:r>
      <w:r w:rsidRPr="007354C5">
        <w:rPr>
          <w:rFonts w:ascii="Times New Roman" w:hAnsi="Times New Roman" w:cs="Times New Roman"/>
          <w:sz w:val="24"/>
          <w:szCs w:val="24"/>
        </w:rPr>
        <w:t>0920-1264 expires 05/31/2022</w:t>
      </w:r>
      <w:r w:rsidRPr="003A4757" w:rsidR="00FE5965">
        <w:rPr>
          <w:rFonts w:ascii="Times New Roman" w:hAnsi="Times New Roman" w:cs="Times New Roman"/>
          <w:sz w:val="24"/>
          <w:szCs w:val="24"/>
        </w:rPr>
        <w:t>)</w:t>
      </w:r>
    </w:p>
    <w:p w:rsidR="00FE5965" w:rsidP="00FE5965" w:rsidRDefault="003A4757" w14:paraId="738595A1" w14:textId="117858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December </w:t>
      </w:r>
      <w:r w:rsidR="00E578CB">
        <w:rPr>
          <w:rFonts w:ascii="Times New Roman" w:hAnsi="Times New Roman" w:cs="Times New Roman"/>
          <w:sz w:val="24"/>
          <w:szCs w:val="24"/>
        </w:rPr>
        <w:t>31</w:t>
      </w:r>
      <w:r w:rsidR="00FE5965">
        <w:rPr>
          <w:rFonts w:ascii="Times New Roman" w:hAnsi="Times New Roman" w:cs="Times New Roman"/>
          <w:sz w:val="24"/>
          <w:szCs w:val="24"/>
        </w:rPr>
        <w:t>, 2019</w:t>
      </w:r>
    </w:p>
    <w:p w:rsidR="00FE5965" w:rsidP="00FE5965" w:rsidRDefault="00FE5965" w14:paraId="66CA48A9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E5965" w:rsidP="00FE5965" w:rsidRDefault="00FE5965" w14:paraId="79526005" w14:textId="777777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Summary</w:t>
      </w:r>
    </w:p>
    <w:p w:rsidR="00FE5965" w:rsidP="00FE5965" w:rsidRDefault="00FE5965" w14:paraId="683A9DD8" w14:textId="777777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Pr="00CE14AC" w:rsidR="006A2911" w:rsidP="006A2911" w:rsidRDefault="00FE5965" w14:paraId="34C60F58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request OMB approval to </w:t>
      </w:r>
      <w:r w:rsidRPr="00A66BB6">
        <w:rPr>
          <w:rFonts w:ascii="Times New Roman" w:hAnsi="Times New Roman" w:cs="Times New Roman"/>
          <w:sz w:val="24"/>
          <w:szCs w:val="24"/>
        </w:rPr>
        <w:t xml:space="preserve">increase the </w:t>
      </w:r>
      <w:r w:rsidRPr="00BF1652">
        <w:rPr>
          <w:rFonts w:ascii="Times New Roman" w:hAnsi="Times New Roman" w:cs="Times New Roman"/>
          <w:sz w:val="24"/>
          <w:szCs w:val="24"/>
        </w:rPr>
        <w:t xml:space="preserve">value of </w:t>
      </w:r>
      <w:r w:rsidRPr="00BF1652" w:rsidR="00580B66">
        <w:rPr>
          <w:rFonts w:ascii="Times New Roman" w:hAnsi="Times New Roman" w:cs="Times New Roman"/>
          <w:sz w:val="24"/>
          <w:szCs w:val="24"/>
        </w:rPr>
        <w:t>the</w:t>
      </w:r>
      <w:r w:rsidRPr="00BF1652" w:rsidR="004D1D01">
        <w:rPr>
          <w:rFonts w:ascii="Times New Roman" w:hAnsi="Times New Roman" w:cs="Times New Roman"/>
          <w:sz w:val="24"/>
          <w:szCs w:val="24"/>
        </w:rPr>
        <w:t xml:space="preserve"> reimbursement </w:t>
      </w:r>
      <w:r w:rsidRPr="00BF1652" w:rsidR="00580B66">
        <w:rPr>
          <w:rFonts w:ascii="Times New Roman" w:hAnsi="Times New Roman" w:cs="Times New Roman"/>
          <w:sz w:val="24"/>
          <w:szCs w:val="24"/>
        </w:rPr>
        <w:t xml:space="preserve">given to women who participate in the </w:t>
      </w:r>
      <w:r w:rsidR="00407A71">
        <w:rPr>
          <w:rFonts w:ascii="Times New Roman" w:hAnsi="Times New Roman" w:cs="Times New Roman"/>
          <w:sz w:val="24"/>
          <w:szCs w:val="24"/>
        </w:rPr>
        <w:t>Women’s Health Needs Study</w:t>
      </w:r>
      <w:r w:rsidRPr="00BF1652" w:rsidR="00580B66">
        <w:rPr>
          <w:rFonts w:ascii="Times New Roman" w:hAnsi="Times New Roman" w:cs="Times New Roman"/>
          <w:sz w:val="24"/>
          <w:szCs w:val="24"/>
        </w:rPr>
        <w:t xml:space="preserve"> as </w:t>
      </w:r>
      <w:r w:rsidR="007C478D">
        <w:rPr>
          <w:rFonts w:ascii="Times New Roman" w:hAnsi="Times New Roman" w:cs="Times New Roman"/>
          <w:sz w:val="24"/>
          <w:szCs w:val="24"/>
        </w:rPr>
        <w:t xml:space="preserve">a </w:t>
      </w:r>
      <w:r w:rsidRPr="00BF1652" w:rsidR="00580B66">
        <w:rPr>
          <w:rFonts w:ascii="Times New Roman" w:hAnsi="Times New Roman" w:cs="Times New Roman"/>
          <w:sz w:val="24"/>
          <w:szCs w:val="24"/>
        </w:rPr>
        <w:t xml:space="preserve">means to improve participation. </w:t>
      </w:r>
      <w:r w:rsidRPr="00BF1652" w:rsidR="004D1D01">
        <w:rPr>
          <w:rFonts w:ascii="Times New Roman" w:hAnsi="Times New Roman" w:cs="Times New Roman"/>
          <w:sz w:val="24"/>
          <w:szCs w:val="24"/>
        </w:rPr>
        <w:t xml:space="preserve"> Specifically</w:t>
      </w:r>
      <w:r w:rsidRPr="00BF1652" w:rsidR="00FE32F2">
        <w:rPr>
          <w:rFonts w:ascii="Times New Roman" w:hAnsi="Times New Roman" w:cs="Times New Roman"/>
          <w:sz w:val="24"/>
          <w:szCs w:val="24"/>
        </w:rPr>
        <w:t>,</w:t>
      </w:r>
      <w:r w:rsidRPr="00BF1652" w:rsidR="004D1D01">
        <w:rPr>
          <w:rFonts w:ascii="Times New Roman" w:hAnsi="Times New Roman" w:cs="Times New Roman"/>
          <w:sz w:val="24"/>
          <w:szCs w:val="24"/>
        </w:rPr>
        <w:t xml:space="preserve"> </w:t>
      </w:r>
      <w:r w:rsidR="00A46196">
        <w:rPr>
          <w:rFonts w:ascii="Times New Roman" w:hAnsi="Times New Roman" w:cs="Times New Roman"/>
          <w:sz w:val="24"/>
          <w:szCs w:val="24"/>
        </w:rPr>
        <w:t xml:space="preserve">we propose </w:t>
      </w:r>
      <w:r w:rsidRPr="00BF1652" w:rsidR="004D1D01">
        <w:rPr>
          <w:rFonts w:ascii="Times New Roman" w:hAnsi="Times New Roman" w:cs="Times New Roman"/>
          <w:sz w:val="24"/>
          <w:szCs w:val="24"/>
        </w:rPr>
        <w:t xml:space="preserve">to </w:t>
      </w:r>
      <w:r w:rsidR="00A46196">
        <w:rPr>
          <w:rFonts w:ascii="Times New Roman" w:hAnsi="Times New Roman" w:cs="Times New Roman"/>
          <w:sz w:val="24"/>
          <w:szCs w:val="24"/>
        </w:rPr>
        <w:t>increase the reimbursement from $20 to</w:t>
      </w:r>
      <w:r w:rsidR="00081A87">
        <w:rPr>
          <w:rFonts w:ascii="Times New Roman" w:hAnsi="Times New Roman" w:cs="Times New Roman"/>
          <w:sz w:val="24"/>
          <w:szCs w:val="24"/>
        </w:rPr>
        <w:t xml:space="preserve"> </w:t>
      </w:r>
      <w:r w:rsidRPr="00BF1652" w:rsidR="004D1D01">
        <w:rPr>
          <w:rFonts w:ascii="Times New Roman" w:hAnsi="Times New Roman" w:cs="Times New Roman"/>
          <w:sz w:val="24"/>
          <w:szCs w:val="24"/>
        </w:rPr>
        <w:t>$</w:t>
      </w:r>
      <w:r w:rsidRPr="00BF1652" w:rsidR="00FE32F2">
        <w:rPr>
          <w:rFonts w:ascii="Times New Roman" w:hAnsi="Times New Roman" w:cs="Times New Roman"/>
          <w:sz w:val="24"/>
          <w:szCs w:val="24"/>
        </w:rPr>
        <w:t>25</w:t>
      </w:r>
      <w:r w:rsidRPr="00BF1652" w:rsidR="004D1D01">
        <w:rPr>
          <w:rFonts w:ascii="Times New Roman" w:hAnsi="Times New Roman" w:cs="Times New Roman"/>
          <w:sz w:val="24"/>
          <w:szCs w:val="24"/>
        </w:rPr>
        <w:t xml:space="preserve"> </w:t>
      </w:r>
      <w:r w:rsidRPr="00BF1652" w:rsidR="00580B66">
        <w:rPr>
          <w:rFonts w:ascii="Times New Roman" w:hAnsi="Times New Roman" w:cs="Times New Roman"/>
          <w:sz w:val="24"/>
          <w:szCs w:val="24"/>
        </w:rPr>
        <w:t>per woman</w:t>
      </w:r>
      <w:r w:rsidRPr="00BF1652" w:rsidR="004D1D01">
        <w:rPr>
          <w:rFonts w:ascii="Times New Roman" w:hAnsi="Times New Roman" w:cs="Times New Roman"/>
          <w:sz w:val="24"/>
          <w:szCs w:val="24"/>
        </w:rPr>
        <w:t xml:space="preserve"> who initiate </w:t>
      </w:r>
      <w:r w:rsidRPr="00BF1652" w:rsidR="00A46196">
        <w:rPr>
          <w:rFonts w:ascii="Times New Roman" w:hAnsi="Times New Roman" w:cs="Times New Roman"/>
          <w:sz w:val="24"/>
          <w:szCs w:val="24"/>
        </w:rPr>
        <w:t>the</w:t>
      </w:r>
      <w:r w:rsidR="00A46196">
        <w:rPr>
          <w:rFonts w:ascii="Times New Roman" w:hAnsi="Times New Roman" w:cs="Times New Roman"/>
          <w:sz w:val="24"/>
          <w:szCs w:val="24"/>
        </w:rPr>
        <w:t>ir</w:t>
      </w:r>
      <w:r w:rsidRPr="00BF1652" w:rsidR="004D1D01">
        <w:rPr>
          <w:rFonts w:ascii="Times New Roman" w:hAnsi="Times New Roman" w:cs="Times New Roman"/>
          <w:sz w:val="24"/>
          <w:szCs w:val="24"/>
        </w:rPr>
        <w:t xml:space="preserve"> </w:t>
      </w:r>
      <w:r w:rsidR="00A46196">
        <w:rPr>
          <w:rFonts w:ascii="Times New Roman" w:hAnsi="Times New Roman" w:cs="Times New Roman"/>
          <w:sz w:val="24"/>
          <w:szCs w:val="24"/>
        </w:rPr>
        <w:t xml:space="preserve">interview.  Participants (seed </w:t>
      </w:r>
      <w:r w:rsidR="007C478D">
        <w:rPr>
          <w:rFonts w:ascii="Times New Roman" w:hAnsi="Times New Roman" w:cs="Times New Roman"/>
          <w:sz w:val="24"/>
          <w:szCs w:val="24"/>
        </w:rPr>
        <w:t>respondents</w:t>
      </w:r>
      <w:r w:rsidR="00A46196">
        <w:rPr>
          <w:rFonts w:ascii="Times New Roman" w:hAnsi="Times New Roman" w:cs="Times New Roman"/>
          <w:sz w:val="24"/>
          <w:szCs w:val="24"/>
        </w:rPr>
        <w:t xml:space="preserve">) </w:t>
      </w:r>
      <w:r w:rsidR="0055011E">
        <w:rPr>
          <w:rFonts w:ascii="Times New Roman" w:hAnsi="Times New Roman" w:cs="Times New Roman"/>
          <w:sz w:val="24"/>
          <w:szCs w:val="24"/>
        </w:rPr>
        <w:t xml:space="preserve">are </w:t>
      </w:r>
      <w:r w:rsidR="00A46196">
        <w:rPr>
          <w:rFonts w:ascii="Times New Roman" w:hAnsi="Times New Roman" w:cs="Times New Roman"/>
          <w:sz w:val="24"/>
          <w:szCs w:val="24"/>
        </w:rPr>
        <w:t xml:space="preserve">also </w:t>
      </w:r>
      <w:r w:rsidR="0055011E">
        <w:rPr>
          <w:rFonts w:ascii="Times New Roman" w:hAnsi="Times New Roman" w:cs="Times New Roman"/>
          <w:sz w:val="24"/>
          <w:szCs w:val="24"/>
        </w:rPr>
        <w:t xml:space="preserve">reimbursed for successful </w:t>
      </w:r>
      <w:r w:rsidR="00A46196">
        <w:rPr>
          <w:rFonts w:ascii="Times New Roman" w:hAnsi="Times New Roman" w:cs="Times New Roman"/>
          <w:sz w:val="24"/>
          <w:szCs w:val="24"/>
        </w:rPr>
        <w:t>recruit</w:t>
      </w:r>
      <w:r w:rsidR="0055011E">
        <w:rPr>
          <w:rFonts w:ascii="Times New Roman" w:hAnsi="Times New Roman" w:cs="Times New Roman"/>
          <w:sz w:val="24"/>
          <w:szCs w:val="24"/>
        </w:rPr>
        <w:t>ment of</w:t>
      </w:r>
      <w:r w:rsidR="00A46196">
        <w:rPr>
          <w:rFonts w:ascii="Times New Roman" w:hAnsi="Times New Roman" w:cs="Times New Roman"/>
          <w:sz w:val="24"/>
          <w:szCs w:val="24"/>
        </w:rPr>
        <w:t xml:space="preserve"> </w:t>
      </w:r>
      <w:r w:rsidR="007C478D">
        <w:rPr>
          <w:rFonts w:ascii="Times New Roman" w:hAnsi="Times New Roman" w:cs="Times New Roman"/>
          <w:sz w:val="24"/>
          <w:szCs w:val="24"/>
        </w:rPr>
        <w:t xml:space="preserve">women </w:t>
      </w:r>
      <w:r w:rsidRPr="00A46196" w:rsidR="00A46196">
        <w:rPr>
          <w:rFonts w:ascii="Times New Roman" w:hAnsi="Times New Roman" w:cs="Times New Roman"/>
          <w:sz w:val="24"/>
          <w:szCs w:val="24"/>
        </w:rPr>
        <w:t>they know</w:t>
      </w:r>
      <w:r w:rsidR="007C478D">
        <w:rPr>
          <w:rFonts w:ascii="Times New Roman" w:hAnsi="Times New Roman" w:cs="Times New Roman"/>
          <w:sz w:val="24"/>
          <w:szCs w:val="24"/>
        </w:rPr>
        <w:t xml:space="preserve"> (second-stage respondents) to participate in the interview</w:t>
      </w:r>
      <w:r w:rsidR="00A46196">
        <w:rPr>
          <w:rFonts w:ascii="Times New Roman" w:hAnsi="Times New Roman" w:cs="Times New Roman"/>
          <w:sz w:val="24"/>
          <w:szCs w:val="24"/>
        </w:rPr>
        <w:t>.  We propose</w:t>
      </w:r>
      <w:r w:rsidR="007C478D">
        <w:rPr>
          <w:rFonts w:ascii="Times New Roman" w:hAnsi="Times New Roman" w:cs="Times New Roman"/>
          <w:sz w:val="24"/>
          <w:szCs w:val="24"/>
        </w:rPr>
        <w:t xml:space="preserve"> that </w:t>
      </w:r>
      <w:r w:rsidR="00A46196">
        <w:rPr>
          <w:rFonts w:ascii="Times New Roman" w:hAnsi="Times New Roman" w:cs="Times New Roman"/>
          <w:sz w:val="24"/>
          <w:szCs w:val="24"/>
        </w:rPr>
        <w:t xml:space="preserve">reimbursement </w:t>
      </w:r>
      <w:r w:rsidR="007C478D">
        <w:rPr>
          <w:rFonts w:ascii="Times New Roman" w:hAnsi="Times New Roman" w:cs="Times New Roman"/>
          <w:sz w:val="24"/>
          <w:szCs w:val="24"/>
        </w:rPr>
        <w:t xml:space="preserve">to seed respondents </w:t>
      </w:r>
      <w:r w:rsidR="008550D3">
        <w:rPr>
          <w:rFonts w:ascii="Times New Roman" w:hAnsi="Times New Roman" w:cs="Times New Roman"/>
          <w:sz w:val="24"/>
          <w:szCs w:val="24"/>
        </w:rPr>
        <w:t>be increased</w:t>
      </w:r>
      <w:r w:rsidR="007C478D">
        <w:rPr>
          <w:rFonts w:ascii="Times New Roman" w:hAnsi="Times New Roman" w:cs="Times New Roman"/>
          <w:sz w:val="24"/>
          <w:szCs w:val="24"/>
        </w:rPr>
        <w:t xml:space="preserve"> </w:t>
      </w:r>
      <w:r w:rsidR="00A46196">
        <w:rPr>
          <w:rFonts w:ascii="Times New Roman" w:hAnsi="Times New Roman" w:cs="Times New Roman"/>
          <w:sz w:val="24"/>
          <w:szCs w:val="24"/>
        </w:rPr>
        <w:t xml:space="preserve">from $5 to </w:t>
      </w:r>
      <w:r w:rsidRPr="00BF1652" w:rsidR="004D1D01">
        <w:rPr>
          <w:rFonts w:ascii="Times New Roman" w:hAnsi="Times New Roman" w:cs="Times New Roman"/>
          <w:sz w:val="24"/>
          <w:szCs w:val="24"/>
        </w:rPr>
        <w:t>$</w:t>
      </w:r>
      <w:r w:rsidRPr="00BF1652" w:rsidR="0094400C">
        <w:rPr>
          <w:rFonts w:ascii="Times New Roman" w:hAnsi="Times New Roman" w:cs="Times New Roman"/>
          <w:sz w:val="24"/>
          <w:szCs w:val="24"/>
        </w:rPr>
        <w:t>1</w:t>
      </w:r>
      <w:r w:rsidR="0094400C">
        <w:rPr>
          <w:rFonts w:ascii="Times New Roman" w:hAnsi="Times New Roman" w:cs="Times New Roman"/>
          <w:sz w:val="24"/>
          <w:szCs w:val="24"/>
        </w:rPr>
        <w:t>0</w:t>
      </w:r>
      <w:r w:rsidRPr="00BF1652" w:rsidR="0094400C">
        <w:rPr>
          <w:rFonts w:ascii="Times New Roman" w:hAnsi="Times New Roman" w:cs="Times New Roman"/>
          <w:sz w:val="24"/>
          <w:szCs w:val="24"/>
        </w:rPr>
        <w:t xml:space="preserve"> </w:t>
      </w:r>
      <w:r w:rsidRPr="00BF1652" w:rsidR="004D1D01">
        <w:rPr>
          <w:rFonts w:ascii="Times New Roman" w:hAnsi="Times New Roman" w:cs="Times New Roman"/>
          <w:sz w:val="24"/>
          <w:szCs w:val="24"/>
        </w:rPr>
        <w:t xml:space="preserve">for </w:t>
      </w:r>
      <w:r w:rsidRPr="00BF1652" w:rsidR="007C478D">
        <w:rPr>
          <w:rFonts w:ascii="Times New Roman" w:hAnsi="Times New Roman" w:cs="Times New Roman"/>
          <w:sz w:val="24"/>
          <w:szCs w:val="24"/>
        </w:rPr>
        <w:t xml:space="preserve">each </w:t>
      </w:r>
      <w:r w:rsidR="007C478D">
        <w:rPr>
          <w:rFonts w:ascii="Times New Roman" w:hAnsi="Times New Roman" w:cs="Times New Roman"/>
          <w:sz w:val="24"/>
          <w:szCs w:val="24"/>
        </w:rPr>
        <w:t>second</w:t>
      </w:r>
      <w:r w:rsidR="0055011E">
        <w:rPr>
          <w:rFonts w:ascii="Times New Roman" w:hAnsi="Times New Roman" w:cs="Times New Roman"/>
          <w:sz w:val="24"/>
          <w:szCs w:val="24"/>
        </w:rPr>
        <w:t>-</w:t>
      </w:r>
      <w:r w:rsidR="007C478D">
        <w:rPr>
          <w:rFonts w:ascii="Times New Roman" w:hAnsi="Times New Roman" w:cs="Times New Roman"/>
          <w:sz w:val="24"/>
          <w:szCs w:val="24"/>
        </w:rPr>
        <w:t xml:space="preserve">stage </w:t>
      </w:r>
      <w:r w:rsidRPr="00BF1652" w:rsidR="007C478D">
        <w:rPr>
          <w:rFonts w:ascii="Times New Roman" w:hAnsi="Times New Roman" w:cs="Times New Roman"/>
          <w:sz w:val="24"/>
          <w:szCs w:val="24"/>
        </w:rPr>
        <w:t>respondent</w:t>
      </w:r>
      <w:r w:rsidRPr="00BF1652" w:rsidR="00D910A3">
        <w:rPr>
          <w:rFonts w:ascii="Times New Roman" w:hAnsi="Times New Roman" w:cs="Times New Roman"/>
          <w:sz w:val="24"/>
          <w:szCs w:val="24"/>
        </w:rPr>
        <w:t xml:space="preserve"> </w:t>
      </w:r>
      <w:r w:rsidR="009D38F6">
        <w:rPr>
          <w:rFonts w:ascii="Times New Roman" w:hAnsi="Times New Roman" w:cs="Times New Roman"/>
          <w:sz w:val="24"/>
          <w:szCs w:val="24"/>
        </w:rPr>
        <w:t>they</w:t>
      </w:r>
      <w:r w:rsidRPr="00BF1652" w:rsidR="00580B66">
        <w:rPr>
          <w:rFonts w:ascii="Times New Roman" w:hAnsi="Times New Roman" w:cs="Times New Roman"/>
          <w:sz w:val="24"/>
          <w:szCs w:val="24"/>
        </w:rPr>
        <w:t xml:space="preserve"> </w:t>
      </w:r>
      <w:r w:rsidRPr="00BF1652" w:rsidR="004D1D01">
        <w:rPr>
          <w:rFonts w:ascii="Times New Roman" w:hAnsi="Times New Roman" w:cs="Times New Roman"/>
          <w:sz w:val="24"/>
          <w:szCs w:val="24"/>
        </w:rPr>
        <w:t>recruit</w:t>
      </w:r>
      <w:r w:rsidR="009D38F6">
        <w:rPr>
          <w:rFonts w:ascii="Times New Roman" w:hAnsi="Times New Roman" w:cs="Times New Roman"/>
          <w:sz w:val="24"/>
          <w:szCs w:val="24"/>
        </w:rPr>
        <w:t>,</w:t>
      </w:r>
      <w:r w:rsidRPr="00BF1652" w:rsidR="004D1D01">
        <w:rPr>
          <w:rFonts w:ascii="Times New Roman" w:hAnsi="Times New Roman" w:cs="Times New Roman"/>
          <w:sz w:val="24"/>
          <w:szCs w:val="24"/>
        </w:rPr>
        <w:t xml:space="preserve"> </w:t>
      </w:r>
      <w:r w:rsidRPr="00BF1652" w:rsidR="00580B66">
        <w:rPr>
          <w:rFonts w:ascii="Times New Roman" w:hAnsi="Times New Roman" w:cs="Times New Roman"/>
          <w:sz w:val="24"/>
          <w:szCs w:val="24"/>
        </w:rPr>
        <w:t>up to a maximum of 3 second stage respondents.</w:t>
      </w:r>
      <w:r w:rsidR="006A2911">
        <w:rPr>
          <w:rFonts w:ascii="Times New Roman" w:hAnsi="Times New Roman" w:cs="Times New Roman"/>
          <w:sz w:val="24"/>
          <w:szCs w:val="24"/>
        </w:rPr>
        <w:t xml:space="preserve"> As a result of these changes, the total potential reimbursement would increase from $35 to $55.</w:t>
      </w:r>
    </w:p>
    <w:p w:rsidRPr="00CE14AC" w:rsidR="00FE5965" w:rsidP="00A66BB6" w:rsidRDefault="00FE5965" w14:paraId="2BC65564" w14:textId="4CF10EA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Pr="00BF1652" w:rsidR="00FE5965" w:rsidP="00A66BB6" w:rsidRDefault="00FE5965" w14:paraId="4BF253D5" w14:textId="20D7425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7379FA" w:rsidP="0029592C" w:rsidRDefault="007379FA" w14:paraId="04C05ED8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Pr="00023CC4" w:rsidR="007379FA" w:rsidP="00023CC4" w:rsidRDefault="007379FA" w14:paraId="63033CBD" w14:textId="3921DB13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023CC4">
        <w:rPr>
          <w:rFonts w:ascii="Times New Roman" w:hAnsi="Times New Roman" w:cs="Times New Roman"/>
          <w:b/>
          <w:sz w:val="24"/>
          <w:szCs w:val="24"/>
        </w:rPr>
        <w:t xml:space="preserve">Background </w:t>
      </w:r>
      <w:r w:rsidR="00FE5965">
        <w:rPr>
          <w:rFonts w:ascii="Times New Roman" w:hAnsi="Times New Roman" w:cs="Times New Roman"/>
          <w:b/>
          <w:sz w:val="24"/>
          <w:szCs w:val="24"/>
        </w:rPr>
        <w:t>and Justification</w:t>
      </w:r>
    </w:p>
    <w:p w:rsidRPr="00FE32F2" w:rsidR="004D1D01" w:rsidP="004D1D01" w:rsidRDefault="007379FA" w14:paraId="20D9E588" w14:textId="3331A635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FE32F2">
        <w:rPr>
          <w:rFonts w:ascii="Times New Roman" w:hAnsi="Times New Roman" w:cs="Times New Roman"/>
          <w:sz w:val="24"/>
          <w:szCs w:val="24"/>
        </w:rPr>
        <w:t xml:space="preserve">CDC is </w:t>
      </w:r>
      <w:r w:rsidR="00B347EC">
        <w:rPr>
          <w:rFonts w:ascii="Times New Roman" w:hAnsi="Times New Roman" w:cs="Times New Roman"/>
          <w:sz w:val="24"/>
          <w:szCs w:val="24"/>
        </w:rPr>
        <w:t xml:space="preserve">currently </w:t>
      </w:r>
      <w:r w:rsidRPr="00FE32F2">
        <w:rPr>
          <w:rFonts w:ascii="Times New Roman" w:hAnsi="Times New Roman" w:cs="Times New Roman"/>
          <w:sz w:val="24"/>
          <w:szCs w:val="24"/>
        </w:rPr>
        <w:t>approved to collect information to</w:t>
      </w:r>
      <w:r w:rsidRPr="00FE32F2" w:rsidR="004D1D01">
        <w:rPr>
          <w:rStyle w:val="aBold"/>
          <w:rFonts w:ascii="Times New Roman" w:hAnsi="Times New Roman"/>
          <w:sz w:val="24"/>
          <w:szCs w:val="24"/>
        </w:rPr>
        <w:t xml:space="preserve"> </w:t>
      </w:r>
      <w:r w:rsidRPr="00FD681E" w:rsidR="004D1D01">
        <w:rPr>
          <w:rStyle w:val="aBold"/>
          <w:rFonts w:ascii="Times New Roman" w:hAnsi="Times New Roman"/>
          <w:b w:val="0"/>
          <w:sz w:val="24"/>
          <w:szCs w:val="24"/>
        </w:rPr>
        <w:t xml:space="preserve">assess </w:t>
      </w:r>
      <w:r w:rsidRPr="00FE32F2" w:rsidR="004D1D01">
        <w:rPr>
          <w:rFonts w:ascii="Times New Roman" w:hAnsi="Times New Roman"/>
          <w:sz w:val="24"/>
          <w:szCs w:val="24"/>
        </w:rPr>
        <w:t>the health characteristics, experiences, and needs of women living in the United States who have experienced Female Genital Mutilation/Cutting (FGM/C</w:t>
      </w:r>
      <w:r w:rsidRPr="00FE32F2" w:rsidR="00EE1257">
        <w:rPr>
          <w:rFonts w:ascii="Times New Roman" w:hAnsi="Times New Roman"/>
          <w:sz w:val="24"/>
          <w:szCs w:val="24"/>
        </w:rPr>
        <w:t>) or</w:t>
      </w:r>
      <w:r w:rsidRPr="00FE32F2" w:rsidR="004D1D01">
        <w:rPr>
          <w:rFonts w:ascii="Times New Roman" w:hAnsi="Times New Roman"/>
          <w:sz w:val="24"/>
          <w:szCs w:val="24"/>
        </w:rPr>
        <w:t xml:space="preserve"> may be at risk for FGM/C because they or their mothers were born in a country where FGM/C is prevalent. </w:t>
      </w:r>
      <w:r w:rsidRPr="00FE32F2" w:rsidR="004D1D01">
        <w:rPr>
          <w:rStyle w:val="aBold"/>
          <w:rFonts w:ascii="Times New Roman" w:hAnsi="Times New Roman"/>
          <w:b w:val="0"/>
          <w:sz w:val="24"/>
          <w:szCs w:val="24"/>
        </w:rPr>
        <w:t>Data from this study will be used to: identify public health needs of women and communities in the United States affected by FGM/C; formulate public health strategies for meeting identified needs; and inform efforts to prevent continuation of the practice of FGM/C on women who may be at risk. The Women’s Health Needs Study (WHNS) will use a combined venue-based and respondent-driven sampling method that has proven effective among hard-to-reach populations.</w:t>
      </w:r>
      <w:r w:rsidR="00BB55BD">
        <w:rPr>
          <w:rStyle w:val="aBold"/>
          <w:rFonts w:ascii="Times New Roman" w:hAnsi="Times New Roman"/>
          <w:b w:val="0"/>
          <w:sz w:val="24"/>
          <w:szCs w:val="24"/>
        </w:rPr>
        <w:t>[1]</w:t>
      </w:r>
      <w:r w:rsidRPr="00FE32F2" w:rsidR="004D1D01">
        <w:rPr>
          <w:rStyle w:val="aBold"/>
          <w:rFonts w:ascii="Times New Roman" w:hAnsi="Times New Roman"/>
          <w:b w:val="0"/>
          <w:sz w:val="24"/>
          <w:szCs w:val="24"/>
        </w:rPr>
        <w:t xml:space="preserve"> Using this method, participant recruitment will begin with initial </w:t>
      </w:r>
      <w:r w:rsidR="00B61D2F">
        <w:rPr>
          <w:rStyle w:val="aBold"/>
          <w:rFonts w:ascii="Times New Roman" w:hAnsi="Times New Roman"/>
          <w:b w:val="0"/>
          <w:sz w:val="24"/>
          <w:szCs w:val="24"/>
        </w:rPr>
        <w:t>“</w:t>
      </w:r>
      <w:r w:rsidRPr="00FE32F2" w:rsidR="004D1D01">
        <w:rPr>
          <w:rStyle w:val="aBold"/>
          <w:rFonts w:ascii="Times New Roman" w:hAnsi="Times New Roman"/>
          <w:b w:val="0"/>
          <w:sz w:val="24"/>
          <w:szCs w:val="24"/>
        </w:rPr>
        <w:t>seed</w:t>
      </w:r>
      <w:r w:rsidR="00B61D2F">
        <w:rPr>
          <w:rStyle w:val="aBold"/>
          <w:rFonts w:ascii="Times New Roman" w:hAnsi="Times New Roman"/>
          <w:b w:val="0"/>
          <w:sz w:val="24"/>
          <w:szCs w:val="24"/>
        </w:rPr>
        <w:t>”</w:t>
      </w:r>
      <w:r w:rsidRPr="00FE32F2" w:rsidR="004D1D01">
        <w:rPr>
          <w:rStyle w:val="aBold"/>
          <w:rFonts w:ascii="Times New Roman" w:hAnsi="Times New Roman"/>
          <w:b w:val="0"/>
          <w:sz w:val="24"/>
          <w:szCs w:val="24"/>
        </w:rPr>
        <w:t xml:space="preserve"> respondents who will be asked to help recruit additional eligible </w:t>
      </w:r>
      <w:r w:rsidR="00B61D2F">
        <w:rPr>
          <w:rStyle w:val="aBold"/>
          <w:rFonts w:ascii="Times New Roman" w:hAnsi="Times New Roman"/>
          <w:b w:val="0"/>
          <w:sz w:val="24"/>
          <w:szCs w:val="24"/>
        </w:rPr>
        <w:t xml:space="preserve">“second-stage” </w:t>
      </w:r>
      <w:r w:rsidRPr="00FE32F2" w:rsidR="004D1D01">
        <w:rPr>
          <w:rStyle w:val="aBold"/>
          <w:rFonts w:ascii="Times New Roman" w:hAnsi="Times New Roman"/>
          <w:b w:val="0"/>
          <w:sz w:val="24"/>
          <w:szCs w:val="24"/>
        </w:rPr>
        <w:t xml:space="preserve">participants. Eligible respondents who consent to participate will complete a one-time, face-to-face interview using a standardized questionnaire. </w:t>
      </w:r>
      <w:r w:rsidRPr="00FE32F2" w:rsidR="004D1D01">
        <w:rPr>
          <w:rStyle w:val="aBold"/>
          <w:rFonts w:ascii="Times New Roman" w:hAnsi="Times New Roman" w:eastAsia="Arial"/>
          <w:b w:val="0"/>
          <w:sz w:val="24"/>
          <w:szCs w:val="24"/>
        </w:rPr>
        <w:t>The study population includes US resident women aged 18 to 49 years who were born, or whose mother was born, in a country where FGM/C is prevalent.</w:t>
      </w:r>
      <w:r w:rsidR="003A4757">
        <w:rPr>
          <w:rStyle w:val="aBold"/>
          <w:rFonts w:ascii="Times New Roman" w:hAnsi="Times New Roman" w:eastAsia="Arial"/>
          <w:b w:val="0"/>
          <w:sz w:val="24"/>
          <w:szCs w:val="24"/>
        </w:rPr>
        <w:t xml:space="preserve">  </w:t>
      </w:r>
    </w:p>
    <w:p w:rsidRPr="00FE5965" w:rsidR="00FE5965" w:rsidP="00FE5965" w:rsidRDefault="00FE5965" w14:paraId="5308B1BE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3C82" w:rsidP="0097019C" w:rsidRDefault="00FE32F2" w14:paraId="0A83E82A" w14:textId="63219803">
      <w:pPr>
        <w:rPr>
          <w:rFonts w:ascii="Times New Roman" w:hAnsi="Times New Roman" w:eastAsia="Times New Roman" w:cs="Times New Roman"/>
          <w:sz w:val="24"/>
          <w:szCs w:val="24"/>
        </w:rPr>
      </w:pPr>
      <w:r w:rsidRPr="00563C82">
        <w:rPr>
          <w:rFonts w:ascii="Times New Roman" w:hAnsi="Times New Roman" w:cs="Times New Roman"/>
          <w:sz w:val="24"/>
          <w:szCs w:val="24"/>
        </w:rPr>
        <w:t>The pilot study</w:t>
      </w:r>
      <w:r w:rsidRPr="00563C82" w:rsidR="0018517C">
        <w:rPr>
          <w:rFonts w:ascii="Times New Roman" w:hAnsi="Times New Roman" w:cs="Times New Roman"/>
          <w:sz w:val="24"/>
          <w:szCs w:val="24"/>
        </w:rPr>
        <w:t xml:space="preserve">, which was concluded on November 8, </w:t>
      </w:r>
      <w:r w:rsidRPr="00563C82" w:rsidR="006A3A95">
        <w:rPr>
          <w:rFonts w:ascii="Times New Roman" w:hAnsi="Times New Roman" w:cs="Times New Roman"/>
          <w:sz w:val="24"/>
          <w:szCs w:val="24"/>
        </w:rPr>
        <w:t>2019, offered</w:t>
      </w:r>
      <w:r w:rsidRPr="00563C82">
        <w:rPr>
          <w:rFonts w:ascii="Times New Roman" w:hAnsi="Times New Roman" w:cs="Times New Roman"/>
          <w:sz w:val="24"/>
          <w:szCs w:val="24"/>
        </w:rPr>
        <w:t xml:space="preserve"> $20 </w:t>
      </w:r>
      <w:r w:rsidRPr="00563C82" w:rsidR="003A4757">
        <w:rPr>
          <w:rFonts w:ascii="Times New Roman" w:hAnsi="Times New Roman" w:cs="Times New Roman"/>
          <w:sz w:val="24"/>
          <w:szCs w:val="24"/>
        </w:rPr>
        <w:t xml:space="preserve">to </w:t>
      </w:r>
      <w:r w:rsidRPr="00563C82" w:rsidR="009D38F6">
        <w:rPr>
          <w:rFonts w:ascii="Times New Roman" w:hAnsi="Times New Roman" w:cs="Times New Roman"/>
          <w:sz w:val="24"/>
          <w:szCs w:val="24"/>
        </w:rPr>
        <w:t>seed</w:t>
      </w:r>
      <w:r w:rsidRPr="00563C82" w:rsidR="003A4757">
        <w:rPr>
          <w:rFonts w:ascii="Times New Roman" w:hAnsi="Times New Roman" w:cs="Times New Roman"/>
          <w:sz w:val="24"/>
          <w:szCs w:val="24"/>
        </w:rPr>
        <w:t xml:space="preserve"> </w:t>
      </w:r>
      <w:r w:rsidRPr="00563C82" w:rsidR="007354C5">
        <w:rPr>
          <w:rFonts w:ascii="Times New Roman" w:hAnsi="Times New Roman" w:cs="Times New Roman"/>
          <w:sz w:val="24"/>
          <w:szCs w:val="24"/>
        </w:rPr>
        <w:t>respondents and</w:t>
      </w:r>
      <w:r w:rsidRPr="00563C82" w:rsidR="003A4757">
        <w:rPr>
          <w:rFonts w:ascii="Times New Roman" w:hAnsi="Times New Roman" w:cs="Times New Roman"/>
          <w:sz w:val="24"/>
          <w:szCs w:val="24"/>
        </w:rPr>
        <w:t xml:space="preserve"> an additional</w:t>
      </w:r>
      <w:r w:rsidRPr="00563C82">
        <w:rPr>
          <w:rFonts w:ascii="Times New Roman" w:hAnsi="Times New Roman" w:cs="Times New Roman"/>
          <w:sz w:val="24"/>
          <w:szCs w:val="24"/>
        </w:rPr>
        <w:t xml:space="preserve"> $5 </w:t>
      </w:r>
      <w:r w:rsidR="00072C3C">
        <w:rPr>
          <w:rFonts w:ascii="Times New Roman" w:hAnsi="Times New Roman" w:cs="Times New Roman"/>
          <w:sz w:val="24"/>
          <w:szCs w:val="24"/>
        </w:rPr>
        <w:t xml:space="preserve">to seed respondents for each </w:t>
      </w:r>
      <w:r w:rsidRPr="00563C82">
        <w:rPr>
          <w:rFonts w:ascii="Times New Roman" w:hAnsi="Times New Roman" w:cs="Times New Roman"/>
          <w:sz w:val="24"/>
          <w:szCs w:val="24"/>
        </w:rPr>
        <w:t>second</w:t>
      </w:r>
      <w:r w:rsidR="00B61D2F">
        <w:rPr>
          <w:rFonts w:ascii="Times New Roman" w:hAnsi="Times New Roman" w:cs="Times New Roman"/>
          <w:sz w:val="24"/>
          <w:szCs w:val="24"/>
        </w:rPr>
        <w:t>-</w:t>
      </w:r>
      <w:r w:rsidRPr="00563C82">
        <w:rPr>
          <w:rFonts w:ascii="Times New Roman" w:hAnsi="Times New Roman" w:cs="Times New Roman"/>
          <w:sz w:val="24"/>
          <w:szCs w:val="24"/>
        </w:rPr>
        <w:t xml:space="preserve">stage </w:t>
      </w:r>
      <w:proofErr w:type="gramStart"/>
      <w:r w:rsidRPr="00563C82">
        <w:rPr>
          <w:rFonts w:ascii="Times New Roman" w:hAnsi="Times New Roman" w:cs="Times New Roman"/>
          <w:sz w:val="24"/>
          <w:szCs w:val="24"/>
        </w:rPr>
        <w:t>respondents</w:t>
      </w:r>
      <w:proofErr w:type="gramEnd"/>
      <w:r w:rsidRPr="00563C82">
        <w:rPr>
          <w:rFonts w:ascii="Times New Roman" w:hAnsi="Times New Roman" w:cs="Times New Roman"/>
          <w:sz w:val="24"/>
          <w:szCs w:val="24"/>
        </w:rPr>
        <w:t xml:space="preserve"> </w:t>
      </w:r>
      <w:r w:rsidRPr="00563C82" w:rsidR="003A4757">
        <w:rPr>
          <w:rFonts w:ascii="Times New Roman" w:hAnsi="Times New Roman" w:cs="Times New Roman"/>
          <w:sz w:val="24"/>
          <w:szCs w:val="24"/>
        </w:rPr>
        <w:t>they recruited</w:t>
      </w:r>
      <w:r w:rsidR="000F6B26">
        <w:rPr>
          <w:rFonts w:ascii="Times New Roman" w:hAnsi="Times New Roman" w:cs="Times New Roman"/>
          <w:sz w:val="24"/>
          <w:szCs w:val="24"/>
        </w:rPr>
        <w:t xml:space="preserve"> (up to a maximum of 3)</w:t>
      </w:r>
      <w:r w:rsidRPr="00563C82" w:rsidR="003A4757">
        <w:rPr>
          <w:rFonts w:ascii="Times New Roman" w:hAnsi="Times New Roman" w:cs="Times New Roman"/>
          <w:sz w:val="24"/>
          <w:szCs w:val="24"/>
        </w:rPr>
        <w:t xml:space="preserve">, </w:t>
      </w:r>
      <w:r w:rsidRPr="00563C82">
        <w:rPr>
          <w:rFonts w:ascii="Times New Roman" w:hAnsi="Times New Roman" w:cs="Times New Roman"/>
          <w:sz w:val="24"/>
          <w:szCs w:val="24"/>
        </w:rPr>
        <w:t xml:space="preserve">for a total of $35 </w:t>
      </w:r>
      <w:r w:rsidR="0018517C">
        <w:rPr>
          <w:rFonts w:ascii="Times New Roman" w:hAnsi="Times New Roman" w:cs="Times New Roman"/>
          <w:sz w:val="24"/>
          <w:szCs w:val="24"/>
        </w:rPr>
        <w:t xml:space="preserve">maximum </w:t>
      </w:r>
      <w:r w:rsidR="006A3A95">
        <w:rPr>
          <w:rFonts w:ascii="Times New Roman" w:hAnsi="Times New Roman" w:cs="Times New Roman"/>
          <w:sz w:val="24"/>
          <w:szCs w:val="24"/>
        </w:rPr>
        <w:t xml:space="preserve">per </w:t>
      </w:r>
      <w:r w:rsidRPr="00563C82" w:rsidR="006A3A95">
        <w:rPr>
          <w:rFonts w:ascii="Times New Roman" w:hAnsi="Times New Roman" w:cs="Times New Roman"/>
          <w:sz w:val="24"/>
          <w:szCs w:val="24"/>
        </w:rPr>
        <w:t>respondent</w:t>
      </w:r>
      <w:r w:rsidRPr="00563C82">
        <w:rPr>
          <w:rFonts w:ascii="Times New Roman" w:hAnsi="Times New Roman" w:cs="Times New Roman"/>
          <w:sz w:val="24"/>
          <w:szCs w:val="24"/>
        </w:rPr>
        <w:t xml:space="preserve">. </w:t>
      </w:r>
      <w:r w:rsidR="000F6B26">
        <w:rPr>
          <w:rFonts w:ascii="Times New Roman" w:hAnsi="Times New Roman" w:cs="Times New Roman"/>
          <w:sz w:val="24"/>
          <w:szCs w:val="24"/>
        </w:rPr>
        <w:t>As described below, t</w:t>
      </w:r>
      <w:r w:rsidRPr="00563C82" w:rsidR="00B77851">
        <w:rPr>
          <w:rFonts w:ascii="Times New Roman" w:hAnsi="Times New Roman" w:cs="Times New Roman"/>
          <w:sz w:val="24"/>
          <w:szCs w:val="24"/>
        </w:rPr>
        <w:t>he pilot study</w:t>
      </w:r>
      <w:r w:rsidR="0018517C">
        <w:rPr>
          <w:rFonts w:ascii="Times New Roman" w:hAnsi="Times New Roman" w:cs="Times New Roman"/>
          <w:sz w:val="24"/>
          <w:szCs w:val="24"/>
        </w:rPr>
        <w:t xml:space="preserve"> </w:t>
      </w:r>
      <w:r w:rsidRPr="00563C82" w:rsidR="00B77851">
        <w:rPr>
          <w:rFonts w:ascii="Times New Roman" w:hAnsi="Times New Roman" w:cs="Times New Roman"/>
          <w:sz w:val="24"/>
          <w:szCs w:val="24"/>
        </w:rPr>
        <w:t>documented a need to increase reimbursements</w:t>
      </w:r>
      <w:r w:rsidRPr="00563C82" w:rsidR="00BB344C">
        <w:rPr>
          <w:rFonts w:ascii="Times New Roman" w:hAnsi="Times New Roman" w:cs="Times New Roman"/>
          <w:sz w:val="24"/>
          <w:szCs w:val="24"/>
        </w:rPr>
        <w:t xml:space="preserve">.  Additionally, prospective site coordinators for the full study have expressed concern that the pilot reimbursement levels are too low given the cost of living in the </w:t>
      </w:r>
      <w:r w:rsidR="00C80F0D">
        <w:rPr>
          <w:rFonts w:ascii="Times New Roman" w:hAnsi="Times New Roman" w:cs="Times New Roman"/>
          <w:sz w:val="24"/>
          <w:szCs w:val="24"/>
        </w:rPr>
        <w:t xml:space="preserve">six </w:t>
      </w:r>
      <w:r w:rsidRPr="00563C82" w:rsidR="00BB344C">
        <w:rPr>
          <w:rFonts w:ascii="Times New Roman" w:hAnsi="Times New Roman" w:cs="Times New Roman"/>
          <w:sz w:val="24"/>
          <w:szCs w:val="24"/>
        </w:rPr>
        <w:t>metropolitan areas under consideration</w:t>
      </w:r>
      <w:r w:rsidR="005F7551">
        <w:rPr>
          <w:rFonts w:ascii="Times New Roman" w:hAnsi="Times New Roman" w:cs="Times New Roman"/>
          <w:sz w:val="24"/>
          <w:szCs w:val="24"/>
        </w:rPr>
        <w:t xml:space="preserve"> for the full study</w:t>
      </w:r>
      <w:r w:rsidRPr="00563C82" w:rsidR="00BB344C">
        <w:rPr>
          <w:rFonts w:ascii="Times New Roman" w:hAnsi="Times New Roman" w:cs="Times New Roman"/>
          <w:sz w:val="24"/>
          <w:szCs w:val="24"/>
        </w:rPr>
        <w:t xml:space="preserve">.  </w:t>
      </w:r>
      <w:r w:rsidRPr="00563C82" w:rsidR="00B77851">
        <w:rPr>
          <w:rFonts w:ascii="Times New Roman" w:hAnsi="Times New Roman" w:cs="Times New Roman"/>
          <w:sz w:val="24"/>
          <w:szCs w:val="24"/>
        </w:rPr>
        <w:t xml:space="preserve"> </w:t>
      </w:r>
      <w:r w:rsidRPr="00563C82" w:rsidR="008550D3">
        <w:rPr>
          <w:rFonts w:ascii="Times New Roman" w:hAnsi="Times New Roman" w:cs="Times New Roman"/>
          <w:sz w:val="24"/>
          <w:szCs w:val="24"/>
        </w:rPr>
        <w:br/>
      </w:r>
      <w:r w:rsidRPr="00563C82" w:rsidR="008550D3">
        <w:rPr>
          <w:rFonts w:ascii="Times New Roman" w:hAnsi="Times New Roman" w:cs="Times New Roman"/>
          <w:sz w:val="24"/>
          <w:szCs w:val="24"/>
        </w:rPr>
        <w:br/>
      </w:r>
      <w:r w:rsidRPr="00563C82" w:rsidR="00AE47BD">
        <w:rPr>
          <w:rFonts w:ascii="Times New Roman" w:hAnsi="Times New Roman" w:cs="Times New Roman"/>
          <w:sz w:val="24"/>
          <w:szCs w:val="24"/>
        </w:rPr>
        <w:lastRenderedPageBreak/>
        <w:t>Evidence supporting need to increase both s</w:t>
      </w:r>
      <w:r w:rsidRPr="00563C82" w:rsidR="008550D3">
        <w:rPr>
          <w:rFonts w:ascii="Times New Roman" w:hAnsi="Times New Roman" w:cs="Times New Roman"/>
          <w:sz w:val="24"/>
          <w:szCs w:val="24"/>
        </w:rPr>
        <w:t xml:space="preserve">eed </w:t>
      </w:r>
      <w:r w:rsidRPr="00563C82" w:rsidR="0046670D">
        <w:rPr>
          <w:rFonts w:ascii="Times New Roman" w:hAnsi="Times New Roman" w:cs="Times New Roman"/>
          <w:sz w:val="24"/>
          <w:szCs w:val="24"/>
        </w:rPr>
        <w:t xml:space="preserve">and </w:t>
      </w:r>
      <w:r w:rsidRPr="00563C82" w:rsidR="00AE47BD">
        <w:rPr>
          <w:rFonts w:ascii="Times New Roman" w:hAnsi="Times New Roman" w:cs="Times New Roman"/>
          <w:sz w:val="24"/>
          <w:szCs w:val="24"/>
        </w:rPr>
        <w:t>s</w:t>
      </w:r>
      <w:r w:rsidRPr="00563C82" w:rsidR="0046670D">
        <w:rPr>
          <w:rFonts w:ascii="Times New Roman" w:hAnsi="Times New Roman" w:cs="Times New Roman"/>
          <w:sz w:val="24"/>
          <w:szCs w:val="24"/>
        </w:rPr>
        <w:t xml:space="preserve">econd </w:t>
      </w:r>
      <w:r w:rsidRPr="00563C82" w:rsidR="00AE47BD">
        <w:rPr>
          <w:rFonts w:ascii="Times New Roman" w:hAnsi="Times New Roman" w:cs="Times New Roman"/>
          <w:sz w:val="24"/>
          <w:szCs w:val="24"/>
        </w:rPr>
        <w:t>s</w:t>
      </w:r>
      <w:r w:rsidRPr="00563C82" w:rsidR="0046670D">
        <w:rPr>
          <w:rFonts w:ascii="Times New Roman" w:hAnsi="Times New Roman" w:cs="Times New Roman"/>
          <w:sz w:val="24"/>
          <w:szCs w:val="24"/>
        </w:rPr>
        <w:t xml:space="preserve">tage </w:t>
      </w:r>
      <w:r w:rsidRPr="00563C82" w:rsidR="00AE47BD">
        <w:rPr>
          <w:rFonts w:ascii="Times New Roman" w:hAnsi="Times New Roman" w:cs="Times New Roman"/>
          <w:sz w:val="24"/>
          <w:szCs w:val="24"/>
        </w:rPr>
        <w:t>r</w:t>
      </w:r>
      <w:r w:rsidRPr="00563C82" w:rsidR="008550D3">
        <w:rPr>
          <w:rFonts w:ascii="Times New Roman" w:hAnsi="Times New Roman" w:cs="Times New Roman"/>
          <w:sz w:val="24"/>
          <w:szCs w:val="24"/>
        </w:rPr>
        <w:t xml:space="preserve">eimbursement </w:t>
      </w:r>
      <w:r w:rsidRPr="00563C82" w:rsidR="00AE47BD">
        <w:rPr>
          <w:rFonts w:ascii="Times New Roman" w:hAnsi="Times New Roman" w:cs="Times New Roman"/>
          <w:sz w:val="24"/>
          <w:szCs w:val="24"/>
        </w:rPr>
        <w:t>a</w:t>
      </w:r>
      <w:r w:rsidRPr="00563C82" w:rsidR="008550D3">
        <w:rPr>
          <w:rFonts w:ascii="Times New Roman" w:hAnsi="Times New Roman" w:cs="Times New Roman"/>
          <w:sz w:val="24"/>
          <w:szCs w:val="24"/>
        </w:rPr>
        <w:t>mount</w:t>
      </w:r>
      <w:r w:rsidRPr="00563C82" w:rsidR="0046670D">
        <w:rPr>
          <w:rFonts w:ascii="Times New Roman" w:hAnsi="Times New Roman" w:cs="Times New Roman"/>
          <w:sz w:val="24"/>
          <w:szCs w:val="24"/>
        </w:rPr>
        <w:t>s</w:t>
      </w:r>
      <w:r w:rsidRPr="00563C82" w:rsidR="008550D3">
        <w:rPr>
          <w:rFonts w:ascii="Times New Roman" w:hAnsi="Times New Roman" w:cs="Times New Roman"/>
          <w:sz w:val="24"/>
          <w:szCs w:val="24"/>
        </w:rPr>
        <w:t>:</w:t>
      </w:r>
      <w:r w:rsidRPr="00563C82" w:rsidR="00BB344C">
        <w:rPr>
          <w:rFonts w:ascii="Times New Roman" w:hAnsi="Times New Roman" w:cs="Times New Roman"/>
          <w:sz w:val="24"/>
          <w:szCs w:val="24"/>
        </w:rPr>
        <w:t xml:space="preserve"> </w:t>
      </w:r>
      <w:r w:rsidR="00563C82">
        <w:rPr>
          <w:rFonts w:ascii="Times New Roman" w:hAnsi="Times New Roman" w:cs="Times New Roman"/>
          <w:sz w:val="24"/>
          <w:szCs w:val="24"/>
        </w:rPr>
        <w:br/>
      </w:r>
    </w:p>
    <w:p w:rsidR="00563C82" w:rsidP="00C227D8" w:rsidRDefault="00B61D2F" w14:paraId="1E5A7D57" w14:textId="74FB66E9">
      <w:pPr>
        <w:pStyle w:val="ListParagraph"/>
        <w:numPr>
          <w:ilvl w:val="0"/>
          <w:numId w:val="8"/>
        </w:num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The pilot study was conducted in the Atlanta metropolitan area.  </w:t>
      </w:r>
      <w:r w:rsidR="005F7551">
        <w:rPr>
          <w:rFonts w:ascii="Times New Roman" w:hAnsi="Times New Roman" w:eastAsia="Times New Roman" w:cs="Times New Roman"/>
          <w:sz w:val="24"/>
          <w:szCs w:val="24"/>
        </w:rPr>
        <w:t xml:space="preserve">The </w:t>
      </w:r>
      <w:r w:rsidRPr="00563C82" w:rsidR="0046670D">
        <w:rPr>
          <w:rFonts w:ascii="Times New Roman" w:hAnsi="Times New Roman" w:eastAsia="Times New Roman" w:cs="Times New Roman"/>
          <w:sz w:val="24"/>
          <w:szCs w:val="24"/>
        </w:rPr>
        <w:t xml:space="preserve">future </w:t>
      </w:r>
      <w:r w:rsidR="005F7551">
        <w:rPr>
          <w:rFonts w:ascii="Times New Roman" w:hAnsi="Times New Roman" w:eastAsia="Times New Roman" w:cs="Times New Roman"/>
          <w:sz w:val="24"/>
          <w:szCs w:val="24"/>
        </w:rPr>
        <w:t xml:space="preserve">full </w:t>
      </w:r>
      <w:r w:rsidRPr="00563C82" w:rsidR="0046670D">
        <w:rPr>
          <w:rFonts w:ascii="Times New Roman" w:hAnsi="Times New Roman" w:eastAsia="Times New Roman" w:cs="Times New Roman"/>
          <w:sz w:val="24"/>
          <w:szCs w:val="24"/>
        </w:rPr>
        <w:t xml:space="preserve">WHNS study sites </w:t>
      </w:r>
      <w:r w:rsidR="005F7551">
        <w:rPr>
          <w:rFonts w:ascii="Times New Roman" w:hAnsi="Times New Roman" w:eastAsia="Times New Roman" w:cs="Times New Roman"/>
          <w:sz w:val="24"/>
          <w:szCs w:val="24"/>
        </w:rPr>
        <w:t xml:space="preserve">will be in </w:t>
      </w:r>
      <w:r w:rsidRPr="00563C82" w:rsidR="0046670D">
        <w:rPr>
          <w:rFonts w:ascii="Times New Roman" w:hAnsi="Times New Roman" w:eastAsia="Times New Roman" w:cs="Times New Roman"/>
          <w:sz w:val="24"/>
          <w:szCs w:val="24"/>
        </w:rPr>
        <w:t xml:space="preserve">cities with higher cost of living than </w:t>
      </w:r>
      <w:r>
        <w:rPr>
          <w:rFonts w:ascii="Times New Roman" w:hAnsi="Times New Roman" w:eastAsia="Times New Roman" w:cs="Times New Roman"/>
          <w:sz w:val="24"/>
          <w:szCs w:val="24"/>
        </w:rPr>
        <w:t>Atlanta</w:t>
      </w:r>
      <w:r w:rsidRPr="00563C82" w:rsidR="0046670D">
        <w:rPr>
          <w:rFonts w:ascii="Times New Roman" w:hAnsi="Times New Roman" w:eastAsia="Times New Roman" w:cs="Times New Roman"/>
          <w:sz w:val="24"/>
          <w:szCs w:val="24"/>
        </w:rPr>
        <w:t xml:space="preserve"> (</w:t>
      </w:r>
      <w:r w:rsidR="00C80F0D">
        <w:rPr>
          <w:rFonts w:ascii="Times New Roman" w:hAnsi="Times New Roman" w:eastAsia="Times New Roman" w:cs="Times New Roman"/>
          <w:sz w:val="24"/>
          <w:szCs w:val="24"/>
        </w:rPr>
        <w:t xml:space="preserve">e.g., </w:t>
      </w:r>
      <w:r w:rsidR="006A3A95">
        <w:rPr>
          <w:rFonts w:ascii="Times New Roman" w:hAnsi="Times New Roman" w:eastAsia="Times New Roman" w:cs="Times New Roman"/>
          <w:sz w:val="24"/>
          <w:szCs w:val="24"/>
        </w:rPr>
        <w:t>New York</w:t>
      </w:r>
      <w:r w:rsidRPr="00563C82" w:rsidR="0046670D">
        <w:rPr>
          <w:rFonts w:ascii="Times New Roman" w:hAnsi="Times New Roman" w:eastAsia="Times New Roman" w:cs="Times New Roman"/>
          <w:sz w:val="24"/>
          <w:szCs w:val="24"/>
        </w:rPr>
        <w:t>, New York</w:t>
      </w:r>
      <w:r w:rsidR="0055011E">
        <w:rPr>
          <w:rFonts w:ascii="Times New Roman" w:hAnsi="Times New Roman" w:eastAsia="Times New Roman" w:cs="Times New Roman"/>
          <w:sz w:val="24"/>
          <w:szCs w:val="24"/>
        </w:rPr>
        <w:t xml:space="preserve">; </w:t>
      </w:r>
      <w:r w:rsidRPr="00563C82" w:rsidR="0046670D">
        <w:rPr>
          <w:rFonts w:ascii="Times New Roman" w:hAnsi="Times New Roman" w:eastAsia="Times New Roman" w:cs="Times New Roman"/>
          <w:sz w:val="24"/>
          <w:szCs w:val="24"/>
        </w:rPr>
        <w:t>Washington, DC</w:t>
      </w:r>
      <w:r w:rsidR="0055011E">
        <w:rPr>
          <w:rFonts w:ascii="Times New Roman" w:hAnsi="Times New Roman" w:eastAsia="Times New Roman" w:cs="Times New Roman"/>
          <w:sz w:val="24"/>
          <w:szCs w:val="24"/>
        </w:rPr>
        <w:t>; Seattle, WA</w:t>
      </w:r>
      <w:r w:rsidRPr="00563C82" w:rsidR="0046670D">
        <w:rPr>
          <w:rFonts w:ascii="Times New Roman" w:hAnsi="Times New Roman" w:eastAsia="Times New Roman" w:cs="Times New Roman"/>
          <w:sz w:val="24"/>
          <w:szCs w:val="24"/>
        </w:rPr>
        <w:t>)</w:t>
      </w:r>
      <w:r w:rsidR="005F7551">
        <w:rPr>
          <w:rFonts w:ascii="Times New Roman" w:hAnsi="Times New Roman" w:eastAsia="Times New Roman" w:cs="Times New Roman"/>
          <w:sz w:val="24"/>
          <w:szCs w:val="24"/>
        </w:rPr>
        <w:t xml:space="preserve">, and </w:t>
      </w:r>
      <w:r w:rsidRPr="00563C82" w:rsidR="005F7551">
        <w:rPr>
          <w:rFonts w:ascii="Times New Roman" w:hAnsi="Times New Roman" w:eastAsia="Times New Roman" w:cs="Times New Roman"/>
          <w:sz w:val="24"/>
          <w:szCs w:val="24"/>
        </w:rPr>
        <w:t xml:space="preserve">potential collaborators </w:t>
      </w:r>
      <w:r w:rsidR="005F7551">
        <w:rPr>
          <w:rFonts w:ascii="Times New Roman" w:hAnsi="Times New Roman" w:eastAsia="Times New Roman" w:cs="Times New Roman"/>
          <w:sz w:val="24"/>
          <w:szCs w:val="24"/>
        </w:rPr>
        <w:t xml:space="preserve">in these cities </w:t>
      </w:r>
      <w:r w:rsidRPr="00563C82" w:rsidR="0046670D">
        <w:rPr>
          <w:rFonts w:ascii="Times New Roman" w:hAnsi="Times New Roman" w:eastAsia="Times New Roman" w:cs="Times New Roman"/>
          <w:sz w:val="24"/>
          <w:szCs w:val="24"/>
        </w:rPr>
        <w:t xml:space="preserve">have expressed concern that the </w:t>
      </w:r>
      <w:r w:rsidR="008147D6">
        <w:rPr>
          <w:rFonts w:ascii="Times New Roman" w:hAnsi="Times New Roman" w:eastAsia="Times New Roman" w:cs="Times New Roman"/>
          <w:sz w:val="24"/>
          <w:szCs w:val="24"/>
        </w:rPr>
        <w:t xml:space="preserve">current </w:t>
      </w:r>
      <w:r w:rsidRPr="00563C82" w:rsidR="008147D6">
        <w:rPr>
          <w:rFonts w:ascii="Times New Roman" w:hAnsi="Times New Roman" w:eastAsia="Times New Roman" w:cs="Times New Roman"/>
          <w:sz w:val="24"/>
          <w:szCs w:val="24"/>
        </w:rPr>
        <w:t>reimbursement</w:t>
      </w:r>
      <w:r w:rsidR="008147D6">
        <w:rPr>
          <w:rFonts w:ascii="Times New Roman" w:hAnsi="Times New Roman" w:eastAsia="Times New Roman" w:cs="Times New Roman"/>
          <w:sz w:val="24"/>
          <w:szCs w:val="24"/>
        </w:rPr>
        <w:t xml:space="preserve"> amounts </w:t>
      </w:r>
      <w:r w:rsidRPr="00563C82" w:rsidR="0046670D">
        <w:rPr>
          <w:rFonts w:ascii="Times New Roman" w:hAnsi="Times New Roman" w:eastAsia="Times New Roman" w:cs="Times New Roman"/>
          <w:sz w:val="24"/>
          <w:szCs w:val="24"/>
        </w:rPr>
        <w:t xml:space="preserve">could </w:t>
      </w:r>
      <w:r w:rsidR="00BB55BD">
        <w:rPr>
          <w:rFonts w:ascii="Times New Roman" w:hAnsi="Times New Roman" w:eastAsia="Times New Roman" w:cs="Times New Roman"/>
          <w:sz w:val="24"/>
          <w:szCs w:val="24"/>
        </w:rPr>
        <w:t xml:space="preserve">negatively </w:t>
      </w:r>
      <w:r w:rsidRPr="00563C82" w:rsidR="0046670D">
        <w:rPr>
          <w:rFonts w:ascii="Times New Roman" w:hAnsi="Times New Roman" w:eastAsia="Times New Roman" w:cs="Times New Roman"/>
          <w:sz w:val="24"/>
          <w:szCs w:val="24"/>
        </w:rPr>
        <w:t>affect participation rates in their locations. They report that similar studies in their communities have offered $50 per survey respondent in order to obtain adequate participation rates and sample size</w:t>
      </w:r>
      <w:r w:rsidRPr="00563C82" w:rsidR="00AE47BD">
        <w:rPr>
          <w:rFonts w:ascii="Times New Roman" w:hAnsi="Times New Roman" w:eastAsia="Times New Roman" w:cs="Times New Roman"/>
          <w:sz w:val="24"/>
          <w:szCs w:val="24"/>
        </w:rPr>
        <w:t>s within study timeframes</w:t>
      </w:r>
      <w:r w:rsidRPr="00563C82" w:rsidR="0046670D">
        <w:rPr>
          <w:rFonts w:ascii="Times New Roman" w:hAnsi="Times New Roman" w:eastAsia="Times New Roman" w:cs="Times New Roman"/>
          <w:sz w:val="24"/>
          <w:szCs w:val="24"/>
        </w:rPr>
        <w:t xml:space="preserve">.  </w:t>
      </w:r>
      <w:r w:rsidR="000C7686">
        <w:rPr>
          <w:rFonts w:ascii="Times New Roman" w:hAnsi="Times New Roman" w:eastAsia="Times New Roman" w:cs="Times New Roman"/>
          <w:sz w:val="24"/>
          <w:szCs w:val="24"/>
        </w:rPr>
        <w:t>In a December 18-20</w:t>
      </w:r>
      <w:r w:rsidR="0055011E">
        <w:rPr>
          <w:rFonts w:ascii="Times New Roman" w:hAnsi="Times New Roman" w:eastAsia="Times New Roman" w:cs="Times New Roman"/>
          <w:sz w:val="24"/>
          <w:szCs w:val="24"/>
        </w:rPr>
        <w:t>, 2019</w:t>
      </w:r>
      <w:r w:rsidR="000C7686">
        <w:rPr>
          <w:rFonts w:ascii="Times New Roman" w:hAnsi="Times New Roman" w:eastAsia="Times New Roman" w:cs="Times New Roman"/>
          <w:sz w:val="24"/>
          <w:szCs w:val="24"/>
        </w:rPr>
        <w:t xml:space="preserve"> site visit to a potential collaborating organization in the </w:t>
      </w:r>
      <w:r w:rsidR="006A3A95">
        <w:rPr>
          <w:rFonts w:ascii="Times New Roman" w:hAnsi="Times New Roman" w:eastAsia="Times New Roman" w:cs="Times New Roman"/>
          <w:sz w:val="24"/>
          <w:szCs w:val="24"/>
        </w:rPr>
        <w:t>New York City area</w:t>
      </w:r>
      <w:r w:rsidR="000C7686"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 w:rsidR="0055011E">
        <w:rPr>
          <w:rFonts w:ascii="Times New Roman" w:hAnsi="Times New Roman" w:eastAsia="Times New Roman" w:cs="Times New Roman"/>
          <w:sz w:val="24"/>
          <w:szCs w:val="24"/>
        </w:rPr>
        <w:t xml:space="preserve">the </w:t>
      </w:r>
      <w:r w:rsidR="000C7686">
        <w:rPr>
          <w:rFonts w:ascii="Times New Roman" w:hAnsi="Times New Roman" w:eastAsia="Times New Roman" w:cs="Times New Roman"/>
          <w:sz w:val="24"/>
          <w:szCs w:val="24"/>
        </w:rPr>
        <w:t xml:space="preserve">potential site study coordinator who heads a social services organization for African immigrants stated that the </w:t>
      </w:r>
      <w:r w:rsidR="008147D6">
        <w:rPr>
          <w:rFonts w:ascii="Times New Roman" w:hAnsi="Times New Roman" w:eastAsia="Times New Roman" w:cs="Times New Roman"/>
          <w:sz w:val="24"/>
          <w:szCs w:val="24"/>
        </w:rPr>
        <w:t xml:space="preserve">current </w:t>
      </w:r>
      <w:r w:rsidR="000C7686">
        <w:rPr>
          <w:rFonts w:ascii="Times New Roman" w:hAnsi="Times New Roman" w:eastAsia="Times New Roman" w:cs="Times New Roman"/>
          <w:sz w:val="24"/>
          <w:szCs w:val="24"/>
        </w:rPr>
        <w:t>reimbursements would not adequately compensate participants in the New York City area.</w:t>
      </w:r>
      <w:r w:rsidRPr="00563C82" w:rsidR="0046670D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="00266C84">
        <w:rPr>
          <w:rFonts w:ascii="Times New Roman" w:hAnsi="Times New Roman" w:eastAsia="Times New Roman" w:cs="Times New Roman"/>
          <w:sz w:val="24"/>
          <w:szCs w:val="24"/>
        </w:rPr>
        <w:t xml:space="preserve">Over the seven-week pilot period, study field staff reported receiving comments that the reimbursement for the seed interview were too low. </w:t>
      </w:r>
      <w:r w:rsidRPr="00563C82" w:rsidR="0046670D">
        <w:rPr>
          <w:rFonts w:ascii="Times New Roman" w:hAnsi="Times New Roman" w:eastAsia="Times New Roman" w:cs="Times New Roman"/>
          <w:sz w:val="24"/>
          <w:szCs w:val="24"/>
        </w:rPr>
        <w:br/>
      </w:r>
    </w:p>
    <w:p w:rsidRPr="00563C82" w:rsidR="0046670D" w:rsidP="00563C82" w:rsidRDefault="00AE47BD" w14:paraId="173978C4" w14:textId="3E30677D">
      <w:pPr>
        <w:ind w:left="360" w:hanging="360"/>
        <w:rPr>
          <w:rFonts w:ascii="Times New Roman" w:hAnsi="Times New Roman" w:eastAsia="Times New Roman" w:cs="Times New Roman"/>
          <w:sz w:val="24"/>
          <w:szCs w:val="24"/>
        </w:rPr>
      </w:pPr>
      <w:r w:rsidRPr="00563C82">
        <w:rPr>
          <w:rFonts w:ascii="Times New Roman" w:hAnsi="Times New Roman" w:cs="Times New Roman"/>
          <w:sz w:val="24"/>
          <w:szCs w:val="24"/>
        </w:rPr>
        <w:t xml:space="preserve">Evidence </w:t>
      </w:r>
      <w:r w:rsidR="00B61D2F">
        <w:rPr>
          <w:rFonts w:ascii="Times New Roman" w:hAnsi="Times New Roman" w:cs="Times New Roman"/>
          <w:sz w:val="24"/>
          <w:szCs w:val="24"/>
        </w:rPr>
        <w:t>specific to the</w:t>
      </w:r>
      <w:r w:rsidRPr="00563C82">
        <w:rPr>
          <w:rFonts w:ascii="Times New Roman" w:hAnsi="Times New Roman" w:cs="Times New Roman"/>
          <w:sz w:val="24"/>
          <w:szCs w:val="24"/>
        </w:rPr>
        <w:t xml:space="preserve"> need to increase second</w:t>
      </w:r>
      <w:r w:rsidR="00B61D2F">
        <w:rPr>
          <w:rFonts w:ascii="Times New Roman" w:hAnsi="Times New Roman" w:cs="Times New Roman"/>
          <w:sz w:val="24"/>
          <w:szCs w:val="24"/>
        </w:rPr>
        <w:t>-</w:t>
      </w:r>
      <w:r w:rsidRPr="00563C82">
        <w:rPr>
          <w:rFonts w:ascii="Times New Roman" w:hAnsi="Times New Roman" w:cs="Times New Roman"/>
          <w:sz w:val="24"/>
          <w:szCs w:val="24"/>
        </w:rPr>
        <w:t>stage reimbursement amounts:</w:t>
      </w:r>
    </w:p>
    <w:p w:rsidRPr="00563C82" w:rsidR="00AE47BD" w:rsidP="0046670D" w:rsidRDefault="009B579B" w14:paraId="107B83A7" w14:textId="059E7B7D">
      <w:pPr>
        <w:pStyle w:val="ListParagraph"/>
        <w:numPr>
          <w:ilvl w:val="0"/>
          <w:numId w:val="7"/>
        </w:numPr>
        <w:rPr>
          <w:rFonts w:ascii="Times New Roman" w:hAnsi="Times New Roman" w:eastAsia="Times New Roman" w:cs="Times New Roman"/>
          <w:sz w:val="24"/>
          <w:szCs w:val="24"/>
        </w:rPr>
      </w:pPr>
      <w:r w:rsidRPr="0046670D">
        <w:rPr>
          <w:rFonts w:ascii="Times New Roman" w:hAnsi="Times New Roman" w:cs="Times New Roman"/>
          <w:sz w:val="24"/>
          <w:szCs w:val="24"/>
        </w:rPr>
        <w:t xml:space="preserve">50 pilot </w:t>
      </w:r>
      <w:r w:rsidRPr="00563C82">
        <w:rPr>
          <w:rFonts w:ascii="Times New Roman" w:hAnsi="Times New Roman" w:cs="Times New Roman"/>
          <w:sz w:val="24"/>
          <w:szCs w:val="24"/>
        </w:rPr>
        <w:t xml:space="preserve">interviews </w:t>
      </w:r>
      <w:r w:rsidR="00BB55BD">
        <w:rPr>
          <w:rFonts w:ascii="Times New Roman" w:hAnsi="Times New Roman" w:cs="Times New Roman"/>
          <w:sz w:val="24"/>
          <w:szCs w:val="24"/>
        </w:rPr>
        <w:t>were</w:t>
      </w:r>
      <w:r>
        <w:rPr>
          <w:rFonts w:ascii="Times New Roman" w:hAnsi="Times New Roman" w:cs="Times New Roman"/>
          <w:sz w:val="24"/>
          <w:szCs w:val="24"/>
        </w:rPr>
        <w:t xml:space="preserve"> completed in the first 3.5 weeks of </w:t>
      </w:r>
      <w:r w:rsidRPr="0046670D" w:rsidR="000B7468">
        <w:rPr>
          <w:rFonts w:ascii="Times New Roman" w:hAnsi="Times New Roman" w:cs="Times New Roman"/>
          <w:sz w:val="24"/>
          <w:szCs w:val="24"/>
        </w:rPr>
        <w:t xml:space="preserve">the </w:t>
      </w:r>
      <w:r w:rsidRPr="0046670D" w:rsidR="00AE47BD">
        <w:rPr>
          <w:rFonts w:ascii="Times New Roman" w:hAnsi="Times New Roman" w:cs="Times New Roman"/>
          <w:sz w:val="24"/>
          <w:szCs w:val="24"/>
        </w:rPr>
        <w:t>seven-week</w:t>
      </w:r>
      <w:r w:rsidRPr="0046670D" w:rsidR="000B7468">
        <w:rPr>
          <w:rFonts w:ascii="Times New Roman" w:hAnsi="Times New Roman" w:cs="Times New Roman"/>
          <w:sz w:val="24"/>
          <w:szCs w:val="24"/>
        </w:rPr>
        <w:t xml:space="preserve"> </w:t>
      </w:r>
      <w:r w:rsidRPr="0046670D" w:rsidR="00B77851">
        <w:rPr>
          <w:rFonts w:ascii="Times New Roman" w:hAnsi="Times New Roman" w:cs="Times New Roman"/>
          <w:sz w:val="24"/>
          <w:szCs w:val="24"/>
        </w:rPr>
        <w:t>pilot data collection</w:t>
      </w:r>
      <w:r>
        <w:rPr>
          <w:rFonts w:ascii="Times New Roman" w:hAnsi="Times New Roman" w:cs="Times New Roman"/>
          <w:sz w:val="24"/>
          <w:szCs w:val="24"/>
        </w:rPr>
        <w:t xml:space="preserve">. Of these </w:t>
      </w:r>
      <w:r w:rsidR="0055011E">
        <w:rPr>
          <w:rFonts w:ascii="Times New Roman" w:hAnsi="Times New Roman" w:cs="Times New Roman"/>
          <w:sz w:val="24"/>
          <w:szCs w:val="24"/>
        </w:rPr>
        <w:t>50, only</w:t>
      </w:r>
      <w:r w:rsidRPr="00563C82" w:rsidR="00FE32F2">
        <w:rPr>
          <w:rFonts w:ascii="Times New Roman" w:hAnsi="Times New Roman" w:cs="Times New Roman"/>
          <w:sz w:val="24"/>
          <w:szCs w:val="24"/>
        </w:rPr>
        <w:t xml:space="preserve"> nine (18 percent) </w:t>
      </w:r>
      <w:r w:rsidRPr="00563C82" w:rsidR="00D86CAA">
        <w:rPr>
          <w:rFonts w:ascii="Times New Roman" w:hAnsi="Times New Roman" w:cs="Times New Roman"/>
          <w:sz w:val="24"/>
          <w:szCs w:val="24"/>
        </w:rPr>
        <w:t xml:space="preserve">were </w:t>
      </w:r>
      <w:r w:rsidRPr="00563C82" w:rsidR="000F7686">
        <w:rPr>
          <w:rFonts w:ascii="Times New Roman" w:hAnsi="Times New Roman" w:cs="Times New Roman"/>
          <w:sz w:val="24"/>
          <w:szCs w:val="24"/>
        </w:rPr>
        <w:t>second</w:t>
      </w:r>
      <w:r w:rsidR="00B61D2F">
        <w:rPr>
          <w:rFonts w:ascii="Times New Roman" w:hAnsi="Times New Roman" w:cs="Times New Roman"/>
          <w:sz w:val="24"/>
          <w:szCs w:val="24"/>
        </w:rPr>
        <w:t>-</w:t>
      </w:r>
      <w:r w:rsidRPr="00563C82" w:rsidR="000F7686">
        <w:rPr>
          <w:rFonts w:ascii="Times New Roman" w:hAnsi="Times New Roman" w:cs="Times New Roman"/>
          <w:sz w:val="24"/>
          <w:szCs w:val="24"/>
        </w:rPr>
        <w:t xml:space="preserve">stage </w:t>
      </w:r>
      <w:r w:rsidRPr="00563C82" w:rsidR="00D86CAA">
        <w:rPr>
          <w:rFonts w:ascii="Times New Roman" w:hAnsi="Times New Roman" w:cs="Times New Roman"/>
          <w:sz w:val="24"/>
          <w:szCs w:val="24"/>
        </w:rPr>
        <w:t>respondents</w:t>
      </w:r>
      <w:r w:rsidR="00AE47BD">
        <w:rPr>
          <w:rFonts w:ascii="Times New Roman" w:hAnsi="Times New Roman" w:cs="Times New Roman"/>
          <w:sz w:val="24"/>
          <w:szCs w:val="24"/>
        </w:rPr>
        <w:t xml:space="preserve">, indicating </w:t>
      </w:r>
      <w:r w:rsidR="00A10D80">
        <w:rPr>
          <w:rFonts w:ascii="Times New Roman" w:hAnsi="Times New Roman" w:cs="Times New Roman"/>
          <w:sz w:val="24"/>
          <w:szCs w:val="24"/>
        </w:rPr>
        <w:t>slow</w:t>
      </w:r>
      <w:r w:rsidR="00AE47BD">
        <w:rPr>
          <w:rFonts w:ascii="Times New Roman" w:hAnsi="Times New Roman" w:cs="Times New Roman"/>
          <w:sz w:val="24"/>
          <w:szCs w:val="24"/>
        </w:rPr>
        <w:t xml:space="preserve"> second-stage recruitment</w:t>
      </w:r>
      <w:r w:rsidRPr="00563C82" w:rsidR="00D86CAA">
        <w:rPr>
          <w:rFonts w:ascii="Times New Roman" w:hAnsi="Times New Roman" w:cs="Times New Roman"/>
          <w:sz w:val="24"/>
          <w:szCs w:val="24"/>
        </w:rPr>
        <w:t xml:space="preserve">. </w:t>
      </w:r>
      <w:r w:rsidRPr="00563C82" w:rsidR="00AE47BD">
        <w:rPr>
          <w:rFonts w:ascii="Times New Roman" w:hAnsi="Times New Roman" w:cs="Times New Roman"/>
          <w:sz w:val="24"/>
          <w:szCs w:val="24"/>
        </w:rPr>
        <w:t xml:space="preserve"> </w:t>
      </w:r>
      <w:r w:rsidRPr="00563C82" w:rsidR="00AE47BD">
        <w:rPr>
          <w:rFonts w:ascii="Times New Roman" w:hAnsi="Times New Roman" w:cs="Times New Roman"/>
          <w:sz w:val="24"/>
          <w:szCs w:val="24"/>
        </w:rPr>
        <w:br/>
      </w:r>
    </w:p>
    <w:p w:rsidRPr="00563C82" w:rsidR="000C3FBC" w:rsidP="00563C82" w:rsidRDefault="006A2911" w14:paraId="29A9D5FF" w14:textId="69B5B981">
      <w:pPr>
        <w:pStyle w:val="ListParagraph"/>
        <w:numPr>
          <w:ilvl w:val="0"/>
          <w:numId w:val="7"/>
        </w:numPr>
        <w:rPr>
          <w:rFonts w:ascii="Times New Roman" w:hAnsi="Times New Roman" w:eastAsia="Times New Roman" w:cs="Times New Roman"/>
          <w:sz w:val="24"/>
          <w:szCs w:val="24"/>
        </w:rPr>
      </w:pPr>
      <w:r w:rsidRPr="00FD4398">
        <w:rPr>
          <w:rFonts w:ascii="Times New Roman" w:hAnsi="Times New Roman" w:cs="Times New Roman"/>
          <w:sz w:val="24"/>
          <w:szCs w:val="24"/>
        </w:rPr>
        <w:t>At the conclusion of the pilot, fewer than half of the 101 completed pilot interviews (48.5%) were second-stage respondents</w:t>
      </w:r>
      <w:r w:rsidRPr="00A66BB6">
        <w:rPr>
          <w:rFonts w:ascii="Times New Roman" w:hAnsi="Times New Roman" w:cs="Times New Roman"/>
          <w:sz w:val="24"/>
          <w:szCs w:val="24"/>
        </w:rPr>
        <w:t xml:space="preserve">. </w:t>
      </w:r>
      <w:r w:rsidR="00266C84">
        <w:rPr>
          <w:rFonts w:ascii="Times New Roman" w:hAnsi="Times New Roman" w:cs="Times New Roman"/>
          <w:sz w:val="24"/>
          <w:szCs w:val="24"/>
        </w:rPr>
        <w:t>However, w</w:t>
      </w:r>
      <w:r w:rsidRPr="00A66BB6">
        <w:rPr>
          <w:rFonts w:ascii="Times New Roman" w:hAnsi="Times New Roman" w:cs="Times New Roman"/>
          <w:sz w:val="24"/>
          <w:szCs w:val="24"/>
        </w:rPr>
        <w:t>e anticipated that approximately 60% of completed interviews would come from second stage respondents.  Seed respondent recruitment is costlier than second-stage recruitment</w:t>
      </w:r>
      <w:r w:rsidR="004F2138">
        <w:rPr>
          <w:rFonts w:ascii="Times New Roman" w:hAnsi="Times New Roman" w:cs="Times New Roman"/>
          <w:sz w:val="24"/>
          <w:szCs w:val="24"/>
        </w:rPr>
        <w:t xml:space="preserve"> and so lower levels of second-stage recruitment is likely to drive up study costs</w:t>
      </w:r>
      <w:r w:rsidRPr="00A66BB6">
        <w:rPr>
          <w:rFonts w:ascii="Times New Roman" w:hAnsi="Times New Roman" w:cs="Times New Roman"/>
          <w:sz w:val="24"/>
          <w:szCs w:val="24"/>
        </w:rPr>
        <w:t xml:space="preserve">.  </w:t>
      </w:r>
      <w:bookmarkStart w:name="_Hlk29458588" w:id="0"/>
      <w:r w:rsidRPr="00A66BB6">
        <w:rPr>
          <w:rFonts w:ascii="Times New Roman" w:hAnsi="Times New Roman" w:cs="Times New Roman"/>
          <w:sz w:val="24"/>
          <w:szCs w:val="24"/>
        </w:rPr>
        <w:t xml:space="preserve">For seed respondent recruitment, WHNS project staff are posted in venues during established time windows to recruit and screen potentially eligible respondents.  In comparison, second-stage respondents are recruited and referred by seed respondents, requiring </w:t>
      </w:r>
      <w:r>
        <w:rPr>
          <w:rFonts w:ascii="Times New Roman" w:hAnsi="Times New Roman" w:cs="Times New Roman"/>
          <w:sz w:val="24"/>
          <w:szCs w:val="24"/>
        </w:rPr>
        <w:t>no</w:t>
      </w:r>
      <w:r w:rsidRPr="00A66BB6">
        <w:rPr>
          <w:rFonts w:ascii="Times New Roman" w:hAnsi="Times New Roman" w:cs="Times New Roman"/>
          <w:sz w:val="24"/>
          <w:szCs w:val="24"/>
        </w:rPr>
        <w:t xml:space="preserve"> WHNS project staff time, and are more likely to be eligible.  </w:t>
      </w:r>
      <w:r w:rsidRPr="00A66BB6" w:rsidR="00EE0291">
        <w:rPr>
          <w:rFonts w:ascii="Times New Roman" w:hAnsi="Times New Roman" w:cs="Times New Roman"/>
          <w:sz w:val="24"/>
          <w:szCs w:val="24"/>
        </w:rPr>
        <w:t>In the pilot study, of 233 women screened, 106 were eligible and consented to participate in WHNS (45%)</w:t>
      </w:r>
      <w:r w:rsidR="00EE0291">
        <w:rPr>
          <w:rFonts w:ascii="Times New Roman" w:hAnsi="Times New Roman" w:cs="Times New Roman"/>
          <w:sz w:val="24"/>
          <w:szCs w:val="24"/>
        </w:rPr>
        <w:t xml:space="preserve">; </w:t>
      </w:r>
      <w:r w:rsidRPr="00A66BB6">
        <w:rPr>
          <w:rFonts w:ascii="Times New Roman" w:hAnsi="Times New Roman" w:cs="Times New Roman"/>
          <w:sz w:val="24"/>
          <w:szCs w:val="24"/>
        </w:rPr>
        <w:t>of 51 second-stage referrals, all were eligible and 50 (98%) of the second-stage referrals consented and completed the WHNS.</w:t>
      </w:r>
      <w:bookmarkEnd w:id="0"/>
      <w:r w:rsidRPr="00563C82" w:rsidR="000C3FBC">
        <w:rPr>
          <w:rFonts w:ascii="Times New Roman" w:hAnsi="Times New Roman" w:cs="Times New Roman"/>
          <w:sz w:val="24"/>
          <w:szCs w:val="24"/>
        </w:rPr>
        <w:br/>
      </w:r>
    </w:p>
    <w:p w:rsidRPr="0097019C" w:rsidR="00EE0291" w:rsidP="0097019C" w:rsidRDefault="000C3FBC" w14:paraId="0C5B4463" w14:textId="414FA680">
      <w:pPr>
        <w:pStyle w:val="ListParagraph"/>
        <w:numPr>
          <w:ilvl w:val="0"/>
          <w:numId w:val="7"/>
        </w:numPr>
        <w:spacing w:before="240" w:after="240" w:line="300" w:lineRule="auto"/>
        <w:rPr>
          <w:rFonts w:ascii="Times New Roman" w:hAnsi="Times New Roman" w:cs="Times New Roman"/>
          <w:sz w:val="24"/>
          <w:szCs w:val="24"/>
        </w:rPr>
      </w:pPr>
      <w:r w:rsidRPr="0097019C">
        <w:rPr>
          <w:rFonts w:ascii="Times New Roman" w:hAnsi="Times New Roman" w:cs="Times New Roman"/>
          <w:sz w:val="24"/>
          <w:szCs w:val="24"/>
        </w:rPr>
        <w:t xml:space="preserve">In the </w:t>
      </w:r>
      <w:r w:rsidRPr="0097019C" w:rsidR="00B61D2F">
        <w:rPr>
          <w:rFonts w:ascii="Times New Roman" w:hAnsi="Times New Roman" w:cs="Times New Roman"/>
          <w:sz w:val="24"/>
          <w:szCs w:val="24"/>
        </w:rPr>
        <w:t>p</w:t>
      </w:r>
      <w:r w:rsidRPr="0097019C">
        <w:rPr>
          <w:rFonts w:ascii="Times New Roman" w:hAnsi="Times New Roman" w:cs="Times New Roman"/>
          <w:sz w:val="24"/>
          <w:szCs w:val="24"/>
        </w:rPr>
        <w:t xml:space="preserve">ilot, 26 of 51 </w:t>
      </w:r>
      <w:r w:rsidRPr="0097019C" w:rsidR="00B61D2F">
        <w:rPr>
          <w:rFonts w:ascii="Times New Roman" w:hAnsi="Times New Roman" w:cs="Times New Roman"/>
          <w:sz w:val="24"/>
          <w:szCs w:val="24"/>
        </w:rPr>
        <w:t>seed</w:t>
      </w:r>
      <w:r w:rsidRPr="0097019C">
        <w:rPr>
          <w:rFonts w:ascii="Times New Roman" w:hAnsi="Times New Roman" w:cs="Times New Roman"/>
          <w:sz w:val="24"/>
          <w:szCs w:val="24"/>
        </w:rPr>
        <w:t xml:space="preserve"> respondents successfully recruited one or more second</w:t>
      </w:r>
      <w:r w:rsidRPr="0097019C" w:rsidR="00B61D2F">
        <w:rPr>
          <w:rFonts w:ascii="Times New Roman" w:hAnsi="Times New Roman" w:cs="Times New Roman"/>
          <w:sz w:val="24"/>
          <w:szCs w:val="24"/>
        </w:rPr>
        <w:t>-</w:t>
      </w:r>
      <w:r w:rsidRPr="0097019C">
        <w:rPr>
          <w:rFonts w:ascii="Times New Roman" w:hAnsi="Times New Roman" w:cs="Times New Roman"/>
          <w:sz w:val="24"/>
          <w:szCs w:val="24"/>
        </w:rPr>
        <w:t xml:space="preserve">stage respondents. </w:t>
      </w:r>
      <w:bookmarkStart w:name="_Hlk26804742" w:id="1"/>
      <w:r w:rsidRPr="0097019C">
        <w:rPr>
          <w:rFonts w:ascii="Times New Roman" w:hAnsi="Times New Roman" w:cs="Times New Roman"/>
          <w:sz w:val="24"/>
          <w:szCs w:val="24"/>
        </w:rPr>
        <w:t>Of the 26 who were eligible to receive reimbursement for having recruited second-stage respondent</w:t>
      </w:r>
      <w:r w:rsidRPr="0097019C" w:rsidR="009E1F1E">
        <w:rPr>
          <w:rFonts w:ascii="Times New Roman" w:hAnsi="Times New Roman" w:cs="Times New Roman"/>
          <w:sz w:val="24"/>
          <w:szCs w:val="24"/>
        </w:rPr>
        <w:t>s</w:t>
      </w:r>
      <w:r w:rsidRPr="0097019C">
        <w:rPr>
          <w:rFonts w:ascii="Times New Roman" w:hAnsi="Times New Roman" w:cs="Times New Roman"/>
          <w:sz w:val="24"/>
          <w:szCs w:val="24"/>
        </w:rPr>
        <w:t xml:space="preserve">, 2 </w:t>
      </w:r>
      <w:r w:rsidRPr="0097019C" w:rsidR="009E1F1E">
        <w:rPr>
          <w:rFonts w:ascii="Times New Roman" w:hAnsi="Times New Roman" w:cs="Times New Roman"/>
          <w:sz w:val="24"/>
          <w:szCs w:val="24"/>
        </w:rPr>
        <w:t xml:space="preserve">individuals </w:t>
      </w:r>
      <w:r w:rsidRPr="0097019C">
        <w:rPr>
          <w:rFonts w:ascii="Times New Roman" w:hAnsi="Times New Roman" w:cs="Times New Roman"/>
          <w:sz w:val="24"/>
          <w:szCs w:val="24"/>
        </w:rPr>
        <w:t xml:space="preserve">redeemed </w:t>
      </w:r>
      <w:r w:rsidRPr="0097019C" w:rsidR="00C80F0D">
        <w:rPr>
          <w:rFonts w:ascii="Times New Roman" w:hAnsi="Times New Roman" w:cs="Times New Roman"/>
          <w:sz w:val="24"/>
          <w:szCs w:val="24"/>
        </w:rPr>
        <w:t xml:space="preserve">the </w:t>
      </w:r>
      <w:r w:rsidRPr="0097019C">
        <w:rPr>
          <w:rFonts w:ascii="Times New Roman" w:hAnsi="Times New Roman" w:cs="Times New Roman"/>
          <w:sz w:val="24"/>
          <w:szCs w:val="24"/>
        </w:rPr>
        <w:t xml:space="preserve">reimbursement. </w:t>
      </w:r>
      <w:bookmarkEnd w:id="1"/>
      <w:r w:rsidRPr="0097019C">
        <w:rPr>
          <w:rFonts w:ascii="Times New Roman" w:hAnsi="Times New Roman" w:cs="Times New Roman"/>
          <w:sz w:val="24"/>
          <w:szCs w:val="24"/>
        </w:rPr>
        <w:t xml:space="preserve"> </w:t>
      </w:r>
      <w:r w:rsidRPr="0097019C" w:rsidR="00980B42">
        <w:rPr>
          <w:rFonts w:ascii="Times New Roman" w:hAnsi="Times New Roman" w:cs="Times New Roman"/>
          <w:sz w:val="24"/>
          <w:szCs w:val="24"/>
        </w:rPr>
        <w:t xml:space="preserve">Since no </w:t>
      </w:r>
      <w:r w:rsidRPr="0097019C" w:rsidR="00AE47BD">
        <w:rPr>
          <w:rFonts w:ascii="Times New Roman" w:hAnsi="Times New Roman" w:cs="Times New Roman"/>
          <w:sz w:val="24"/>
          <w:szCs w:val="24"/>
        </w:rPr>
        <w:t>Personally Identifiable Information is</w:t>
      </w:r>
      <w:r w:rsidRPr="0097019C" w:rsidR="00980B42">
        <w:rPr>
          <w:rFonts w:ascii="Times New Roman" w:hAnsi="Times New Roman" w:cs="Times New Roman"/>
          <w:sz w:val="24"/>
          <w:szCs w:val="24"/>
        </w:rPr>
        <w:t xml:space="preserve"> collected</w:t>
      </w:r>
      <w:r w:rsidRPr="0097019C" w:rsidR="00AE47BD">
        <w:rPr>
          <w:rFonts w:ascii="Times New Roman" w:hAnsi="Times New Roman" w:cs="Times New Roman"/>
          <w:sz w:val="24"/>
          <w:szCs w:val="24"/>
        </w:rPr>
        <w:t xml:space="preserve"> in this study </w:t>
      </w:r>
      <w:r w:rsidRPr="0097019C" w:rsidR="00B61D2F">
        <w:rPr>
          <w:rFonts w:ascii="Times New Roman" w:hAnsi="Times New Roman" w:cs="Times New Roman"/>
          <w:sz w:val="24"/>
          <w:szCs w:val="24"/>
        </w:rPr>
        <w:t>due to the</w:t>
      </w:r>
      <w:r w:rsidRPr="0097019C" w:rsidR="00AE47BD">
        <w:rPr>
          <w:rFonts w:ascii="Times New Roman" w:hAnsi="Times New Roman" w:cs="Times New Roman"/>
          <w:sz w:val="24"/>
          <w:szCs w:val="24"/>
        </w:rPr>
        <w:t xml:space="preserve"> sensitiv</w:t>
      </w:r>
      <w:r w:rsidRPr="0097019C" w:rsidR="00B61D2F">
        <w:rPr>
          <w:rFonts w:ascii="Times New Roman" w:hAnsi="Times New Roman" w:cs="Times New Roman"/>
          <w:sz w:val="24"/>
          <w:szCs w:val="24"/>
        </w:rPr>
        <w:t>ity of the</w:t>
      </w:r>
      <w:r w:rsidRPr="0097019C" w:rsidR="00AE47BD">
        <w:rPr>
          <w:rFonts w:ascii="Times New Roman" w:hAnsi="Times New Roman" w:cs="Times New Roman"/>
          <w:sz w:val="24"/>
          <w:szCs w:val="24"/>
        </w:rPr>
        <w:t xml:space="preserve"> topic, </w:t>
      </w:r>
      <w:r w:rsidRPr="0097019C" w:rsidR="00563C82">
        <w:rPr>
          <w:rFonts w:ascii="Times New Roman" w:hAnsi="Times New Roman" w:cs="Times New Roman"/>
          <w:sz w:val="24"/>
          <w:szCs w:val="24"/>
        </w:rPr>
        <w:t xml:space="preserve">the onus for </w:t>
      </w:r>
      <w:r w:rsidRPr="0097019C" w:rsidR="00980B42">
        <w:rPr>
          <w:rFonts w:ascii="Times New Roman" w:hAnsi="Times New Roman" w:cs="Times New Roman"/>
          <w:sz w:val="24"/>
          <w:szCs w:val="24"/>
        </w:rPr>
        <w:t>redem</w:t>
      </w:r>
      <w:r w:rsidRPr="0097019C" w:rsidR="00563C82">
        <w:rPr>
          <w:rFonts w:ascii="Times New Roman" w:hAnsi="Times New Roman" w:cs="Times New Roman"/>
          <w:sz w:val="24"/>
          <w:szCs w:val="24"/>
        </w:rPr>
        <w:t>ption of</w:t>
      </w:r>
      <w:r w:rsidRPr="0097019C" w:rsidR="00980B42">
        <w:rPr>
          <w:rFonts w:ascii="Times New Roman" w:hAnsi="Times New Roman" w:cs="Times New Roman"/>
          <w:sz w:val="24"/>
          <w:szCs w:val="24"/>
        </w:rPr>
        <w:t xml:space="preserve"> </w:t>
      </w:r>
      <w:r w:rsidRPr="0097019C" w:rsidR="00563C82">
        <w:rPr>
          <w:rFonts w:ascii="Times New Roman" w:hAnsi="Times New Roman" w:cs="Times New Roman"/>
          <w:sz w:val="24"/>
          <w:szCs w:val="24"/>
        </w:rPr>
        <w:t xml:space="preserve">referral </w:t>
      </w:r>
      <w:r w:rsidRPr="0097019C" w:rsidR="00980B42">
        <w:rPr>
          <w:rFonts w:ascii="Times New Roman" w:hAnsi="Times New Roman" w:cs="Times New Roman"/>
          <w:sz w:val="24"/>
          <w:szCs w:val="24"/>
        </w:rPr>
        <w:t>reimbursement</w:t>
      </w:r>
      <w:r w:rsidRPr="0097019C" w:rsidR="00563C82">
        <w:rPr>
          <w:rFonts w:ascii="Times New Roman" w:hAnsi="Times New Roman" w:cs="Times New Roman"/>
          <w:sz w:val="24"/>
          <w:szCs w:val="24"/>
        </w:rPr>
        <w:t xml:space="preserve">s is entirely on the </w:t>
      </w:r>
      <w:r w:rsidRPr="0097019C" w:rsidR="00B61D2F">
        <w:rPr>
          <w:rFonts w:ascii="Times New Roman" w:hAnsi="Times New Roman" w:cs="Times New Roman"/>
          <w:sz w:val="24"/>
          <w:szCs w:val="24"/>
        </w:rPr>
        <w:t xml:space="preserve">seed </w:t>
      </w:r>
      <w:r w:rsidRPr="0097019C" w:rsidR="00563C82">
        <w:rPr>
          <w:rFonts w:ascii="Times New Roman" w:hAnsi="Times New Roman" w:cs="Times New Roman"/>
          <w:sz w:val="24"/>
          <w:szCs w:val="24"/>
        </w:rPr>
        <w:t xml:space="preserve">respondent. </w:t>
      </w:r>
      <w:r w:rsidRPr="0097019C" w:rsidR="00980B42">
        <w:rPr>
          <w:rFonts w:ascii="Times New Roman" w:hAnsi="Times New Roman" w:cs="Times New Roman"/>
          <w:sz w:val="24"/>
          <w:szCs w:val="24"/>
        </w:rPr>
        <w:t xml:space="preserve"> </w:t>
      </w:r>
      <w:r w:rsidRPr="0097019C">
        <w:rPr>
          <w:rFonts w:ascii="Times New Roman" w:hAnsi="Times New Roman" w:cs="Times New Roman"/>
          <w:sz w:val="24"/>
          <w:szCs w:val="24"/>
        </w:rPr>
        <w:t xml:space="preserve">One possible explanation </w:t>
      </w:r>
      <w:r w:rsidRPr="0097019C" w:rsidR="00B61D2F">
        <w:rPr>
          <w:rFonts w:ascii="Times New Roman" w:hAnsi="Times New Roman" w:cs="Times New Roman"/>
          <w:sz w:val="24"/>
          <w:szCs w:val="24"/>
        </w:rPr>
        <w:t xml:space="preserve">for low redemption </w:t>
      </w:r>
      <w:r w:rsidRPr="0097019C">
        <w:rPr>
          <w:rFonts w:ascii="Times New Roman" w:hAnsi="Times New Roman" w:cs="Times New Roman"/>
          <w:sz w:val="24"/>
          <w:szCs w:val="24"/>
        </w:rPr>
        <w:t xml:space="preserve">is </w:t>
      </w:r>
      <w:r w:rsidRPr="0097019C" w:rsidR="00B61D2F">
        <w:rPr>
          <w:rFonts w:ascii="Times New Roman" w:hAnsi="Times New Roman" w:cs="Times New Roman"/>
          <w:sz w:val="24"/>
          <w:szCs w:val="24"/>
        </w:rPr>
        <w:t xml:space="preserve">that </w:t>
      </w:r>
      <w:r w:rsidRPr="0097019C" w:rsidR="00563C82">
        <w:rPr>
          <w:rFonts w:ascii="Times New Roman" w:hAnsi="Times New Roman" w:cs="Times New Roman"/>
          <w:sz w:val="24"/>
          <w:szCs w:val="24"/>
        </w:rPr>
        <w:t>the costs associated with redeeming the reimbursement (e.g., transportation, time)</w:t>
      </w:r>
      <w:r w:rsidRPr="0097019C">
        <w:rPr>
          <w:rFonts w:ascii="Times New Roman" w:hAnsi="Times New Roman" w:cs="Times New Roman"/>
          <w:sz w:val="24"/>
          <w:szCs w:val="24"/>
        </w:rPr>
        <w:t xml:space="preserve"> were </w:t>
      </w:r>
      <w:r w:rsidRPr="0097019C" w:rsidR="00563C82">
        <w:rPr>
          <w:rFonts w:ascii="Times New Roman" w:hAnsi="Times New Roman" w:cs="Times New Roman"/>
          <w:sz w:val="24"/>
          <w:szCs w:val="24"/>
        </w:rPr>
        <w:t>greater than</w:t>
      </w:r>
      <w:r w:rsidRPr="0097019C" w:rsidR="009E1F1E">
        <w:rPr>
          <w:rFonts w:ascii="Times New Roman" w:hAnsi="Times New Roman" w:cs="Times New Roman"/>
          <w:sz w:val="24"/>
          <w:szCs w:val="24"/>
        </w:rPr>
        <w:t xml:space="preserve"> the</w:t>
      </w:r>
      <w:r w:rsidRPr="0097019C">
        <w:rPr>
          <w:rFonts w:ascii="Times New Roman" w:hAnsi="Times New Roman" w:cs="Times New Roman"/>
          <w:sz w:val="24"/>
          <w:szCs w:val="24"/>
        </w:rPr>
        <w:t xml:space="preserve"> $5 reimbursement</w:t>
      </w:r>
      <w:r w:rsidRPr="0097019C" w:rsidR="00AB195C">
        <w:rPr>
          <w:rFonts w:ascii="Times New Roman" w:hAnsi="Times New Roman" w:cs="Times New Roman"/>
          <w:sz w:val="24"/>
          <w:szCs w:val="24"/>
        </w:rPr>
        <w:t>.</w:t>
      </w:r>
    </w:p>
    <w:p w:rsidR="00050EB1" w:rsidP="00050EB1" w:rsidRDefault="00050EB1" w14:paraId="17BB1CDA" w14:textId="77777777">
      <w:pPr>
        <w:pStyle w:val="ListParagraph"/>
        <w:spacing w:before="240" w:after="240" w:line="300" w:lineRule="auto"/>
        <w:rPr>
          <w:rFonts w:ascii="Times New Roman" w:hAnsi="Times New Roman" w:cs="Times New Roman"/>
          <w:sz w:val="24"/>
          <w:szCs w:val="24"/>
        </w:rPr>
      </w:pPr>
    </w:p>
    <w:p w:rsidRPr="000C3FBC" w:rsidR="000C3FBC" w:rsidP="0097019C" w:rsidRDefault="00EE0291" w14:paraId="764A734B" w14:textId="097CE71E">
      <w:pPr>
        <w:pStyle w:val="ListParagraph"/>
        <w:numPr>
          <w:ilvl w:val="0"/>
          <w:numId w:val="7"/>
        </w:numPr>
        <w:spacing w:before="240" w:after="240" w:line="300" w:lineRule="auto"/>
        <w:rPr>
          <w:rFonts w:ascii="Times New Roman" w:hAnsi="Times New Roman" w:cs="Times New Roman"/>
          <w:sz w:val="24"/>
          <w:szCs w:val="24"/>
        </w:rPr>
      </w:pPr>
      <w:r w:rsidRPr="00563C82">
        <w:rPr>
          <w:rFonts w:ascii="Times New Roman" w:hAnsi="Times New Roman" w:cs="Times New Roman"/>
          <w:sz w:val="24"/>
          <w:szCs w:val="24"/>
        </w:rPr>
        <w:t>Over the seven-week pilot period, study field staff reported receiving comments from some respondents that the reimbursements for both completing the seed interview and for referring second-stage participants were too low or were discouraging.  Nine women specifically mentioned that the $5 referral reimbursement payment is not enough to convince them to recruit second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563C82">
        <w:rPr>
          <w:rFonts w:ascii="Times New Roman" w:hAnsi="Times New Roman" w:cs="Times New Roman"/>
          <w:sz w:val="24"/>
          <w:szCs w:val="24"/>
        </w:rPr>
        <w:t>stage participants.</w:t>
      </w:r>
      <w:r w:rsidR="000C3FBC">
        <w:rPr>
          <w:rFonts w:ascii="Times New Roman" w:hAnsi="Times New Roman" w:cs="Times New Roman"/>
          <w:sz w:val="24"/>
          <w:szCs w:val="24"/>
        </w:rPr>
        <w:br/>
      </w:r>
    </w:p>
    <w:p w:rsidR="00214425" w:rsidP="00B61D2F" w:rsidRDefault="00AB195C" w14:paraId="334EBD5E" w14:textId="716DDCD1">
      <w:pPr>
        <w:spacing w:after="0" w:line="276" w:lineRule="auto"/>
        <w:rPr>
          <w:rStyle w:val="CommentReference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Because of these experiences from the pilot and the study planning meetings</w:t>
      </w:r>
      <w:r w:rsidRPr="00746415" w:rsidR="00746415">
        <w:rPr>
          <w:rFonts w:ascii="Times New Roman" w:hAnsi="Times New Roman" w:eastAsia="Times New Roman" w:cs="Times New Roman"/>
          <w:sz w:val="24"/>
          <w:szCs w:val="24"/>
        </w:rPr>
        <w:t xml:space="preserve">, we request to </w:t>
      </w:r>
      <w:r w:rsidR="00202AD2">
        <w:rPr>
          <w:rFonts w:ascii="Times New Roman" w:hAnsi="Times New Roman" w:eastAsia="Times New Roman" w:cs="Times New Roman"/>
          <w:sz w:val="24"/>
          <w:szCs w:val="24"/>
        </w:rPr>
        <w:t>increase</w:t>
      </w:r>
      <w:r w:rsidRPr="00746415" w:rsidR="00746415">
        <w:rPr>
          <w:rFonts w:ascii="Times New Roman" w:hAnsi="Times New Roman" w:eastAsia="Times New Roman" w:cs="Times New Roman"/>
          <w:sz w:val="24"/>
          <w:szCs w:val="24"/>
        </w:rPr>
        <w:t xml:space="preserve"> the value of the </w:t>
      </w:r>
      <w:r w:rsidR="00D14814">
        <w:rPr>
          <w:rFonts w:ascii="Times New Roman" w:hAnsi="Times New Roman" w:eastAsia="Times New Roman" w:cs="Times New Roman"/>
          <w:sz w:val="24"/>
          <w:szCs w:val="24"/>
        </w:rPr>
        <w:t xml:space="preserve">reimbursement to </w:t>
      </w:r>
      <w:r w:rsidR="00B61D2F">
        <w:rPr>
          <w:rFonts w:ascii="Times New Roman" w:hAnsi="Times New Roman" w:eastAsia="Times New Roman" w:cs="Times New Roman"/>
          <w:sz w:val="24"/>
          <w:szCs w:val="24"/>
        </w:rPr>
        <w:t>seed</w:t>
      </w:r>
      <w:r w:rsidR="008C4261">
        <w:rPr>
          <w:rFonts w:ascii="Times New Roman" w:hAnsi="Times New Roman" w:eastAsia="Times New Roman" w:cs="Times New Roman"/>
          <w:sz w:val="24"/>
          <w:szCs w:val="24"/>
        </w:rPr>
        <w:t xml:space="preserve"> respondents from $20 to $</w:t>
      </w:r>
      <w:r w:rsidR="009A1370">
        <w:rPr>
          <w:rFonts w:ascii="Times New Roman" w:hAnsi="Times New Roman" w:eastAsia="Times New Roman" w:cs="Times New Roman"/>
          <w:sz w:val="24"/>
          <w:szCs w:val="24"/>
        </w:rPr>
        <w:t>25</w:t>
      </w:r>
      <w:r w:rsidR="00563C82">
        <w:rPr>
          <w:rFonts w:ascii="Times New Roman" w:hAnsi="Times New Roman" w:eastAsia="Times New Roman" w:cs="Times New Roman"/>
          <w:sz w:val="24"/>
          <w:szCs w:val="24"/>
        </w:rPr>
        <w:t>.  Because second-stage recruitment was low</w:t>
      </w:r>
      <w:r w:rsidR="00EE0291">
        <w:rPr>
          <w:rFonts w:ascii="Times New Roman" w:hAnsi="Times New Roman" w:eastAsia="Times New Roman" w:cs="Times New Roman"/>
          <w:sz w:val="24"/>
          <w:szCs w:val="24"/>
        </w:rPr>
        <w:t>er than anticipated</w:t>
      </w:r>
      <w:r w:rsidR="008C4261"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 w:rsidR="00563C82">
        <w:rPr>
          <w:rFonts w:ascii="Times New Roman" w:hAnsi="Times New Roman" w:eastAsia="Times New Roman" w:cs="Times New Roman"/>
          <w:sz w:val="24"/>
          <w:szCs w:val="24"/>
        </w:rPr>
        <w:t xml:space="preserve">we request </w:t>
      </w:r>
      <w:r w:rsidR="00D14814">
        <w:rPr>
          <w:rFonts w:ascii="Times New Roman" w:hAnsi="Times New Roman" w:eastAsia="Times New Roman" w:cs="Times New Roman"/>
          <w:sz w:val="24"/>
          <w:szCs w:val="24"/>
        </w:rPr>
        <w:t xml:space="preserve">to </w:t>
      </w:r>
      <w:r w:rsidR="008C4261">
        <w:rPr>
          <w:rFonts w:ascii="Times New Roman" w:hAnsi="Times New Roman" w:eastAsia="Times New Roman" w:cs="Times New Roman"/>
          <w:sz w:val="24"/>
          <w:szCs w:val="24"/>
        </w:rPr>
        <w:t xml:space="preserve">increase reimbursement for successful recruitment of </w:t>
      </w:r>
      <w:r w:rsidR="003F0799">
        <w:rPr>
          <w:rFonts w:ascii="Times New Roman" w:hAnsi="Times New Roman" w:eastAsia="Times New Roman" w:cs="Times New Roman"/>
          <w:sz w:val="24"/>
          <w:szCs w:val="24"/>
        </w:rPr>
        <w:t xml:space="preserve">each of up to 3 </w:t>
      </w:r>
      <w:r w:rsidR="008C4261">
        <w:rPr>
          <w:rFonts w:ascii="Times New Roman" w:hAnsi="Times New Roman" w:eastAsia="Times New Roman" w:cs="Times New Roman"/>
          <w:sz w:val="24"/>
          <w:szCs w:val="24"/>
        </w:rPr>
        <w:t>second-stage respondents from $5 to $</w:t>
      </w:r>
      <w:r w:rsidR="006C24F8">
        <w:rPr>
          <w:rFonts w:ascii="Times New Roman" w:hAnsi="Times New Roman" w:eastAsia="Times New Roman" w:cs="Times New Roman"/>
          <w:sz w:val="24"/>
          <w:szCs w:val="24"/>
        </w:rPr>
        <w:t>10</w:t>
      </w:r>
      <w:r w:rsidR="008C4261">
        <w:rPr>
          <w:rFonts w:ascii="Times New Roman" w:hAnsi="Times New Roman" w:eastAsia="Times New Roman" w:cs="Times New Roman"/>
          <w:sz w:val="24"/>
          <w:szCs w:val="24"/>
        </w:rPr>
        <w:t xml:space="preserve">, allowing a respondent who </w:t>
      </w:r>
      <w:r w:rsidR="003F0799">
        <w:rPr>
          <w:rFonts w:ascii="Times New Roman" w:hAnsi="Times New Roman" w:eastAsia="Times New Roman" w:cs="Times New Roman"/>
          <w:sz w:val="24"/>
          <w:szCs w:val="24"/>
        </w:rPr>
        <w:t xml:space="preserve">completes the survey and </w:t>
      </w:r>
      <w:r w:rsidR="008C4261">
        <w:rPr>
          <w:rFonts w:ascii="Times New Roman" w:hAnsi="Times New Roman" w:eastAsia="Times New Roman" w:cs="Times New Roman"/>
          <w:sz w:val="24"/>
          <w:szCs w:val="24"/>
        </w:rPr>
        <w:t xml:space="preserve">successfully recruits 3 second stage-respondents to </w:t>
      </w:r>
      <w:r w:rsidR="001875BD">
        <w:rPr>
          <w:rFonts w:ascii="Times New Roman" w:hAnsi="Times New Roman" w:eastAsia="Times New Roman" w:cs="Times New Roman"/>
          <w:sz w:val="24"/>
          <w:szCs w:val="24"/>
        </w:rPr>
        <w:t>be reimbursed a maximum of $</w:t>
      </w:r>
      <w:r w:rsidR="00072C3C">
        <w:rPr>
          <w:rFonts w:ascii="Times New Roman" w:hAnsi="Times New Roman" w:eastAsia="Times New Roman" w:cs="Times New Roman"/>
          <w:sz w:val="24"/>
          <w:szCs w:val="24"/>
        </w:rPr>
        <w:t>55</w:t>
      </w:r>
      <w:r w:rsidR="001875BD"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  <w:r w:rsidR="00B8008F">
        <w:rPr>
          <w:rFonts w:ascii="Times New Roman" w:hAnsi="Times New Roman" w:eastAsia="Times New Roman" w:cs="Times New Roman"/>
          <w:sz w:val="24"/>
          <w:szCs w:val="24"/>
        </w:rPr>
        <w:t>S</w:t>
      </w:r>
      <w:r w:rsidR="001F3201">
        <w:rPr>
          <w:rStyle w:val="CommentReference"/>
          <w:rFonts w:ascii="Times New Roman" w:hAnsi="Times New Roman" w:cs="Times New Roman"/>
          <w:sz w:val="24"/>
          <w:szCs w:val="24"/>
        </w:rPr>
        <w:t>tud</w:t>
      </w:r>
      <w:r w:rsidR="00B8008F">
        <w:rPr>
          <w:rStyle w:val="CommentReference"/>
          <w:rFonts w:ascii="Times New Roman" w:hAnsi="Times New Roman" w:cs="Times New Roman"/>
          <w:sz w:val="24"/>
          <w:szCs w:val="24"/>
        </w:rPr>
        <w:t>ies</w:t>
      </w:r>
      <w:r w:rsidR="001F3201">
        <w:rPr>
          <w:rStyle w:val="CommentReference"/>
          <w:rFonts w:ascii="Times New Roman" w:hAnsi="Times New Roman" w:cs="Times New Roman"/>
          <w:sz w:val="24"/>
          <w:szCs w:val="24"/>
        </w:rPr>
        <w:t xml:space="preserve"> that examined the effectiveness of monetary </w:t>
      </w:r>
      <w:r w:rsidR="00B347EC">
        <w:rPr>
          <w:rStyle w:val="CommentReference"/>
          <w:rFonts w:ascii="Times New Roman" w:hAnsi="Times New Roman" w:cs="Times New Roman"/>
          <w:sz w:val="24"/>
          <w:szCs w:val="24"/>
        </w:rPr>
        <w:t>reimbursements</w:t>
      </w:r>
      <w:r w:rsidR="001F3201">
        <w:rPr>
          <w:rStyle w:val="CommentReference"/>
          <w:rFonts w:ascii="Times New Roman" w:hAnsi="Times New Roman" w:cs="Times New Roman"/>
          <w:sz w:val="24"/>
          <w:szCs w:val="24"/>
        </w:rPr>
        <w:t xml:space="preserve"> on survey response rates found that </w:t>
      </w:r>
      <w:r w:rsidR="00B347EC">
        <w:rPr>
          <w:rStyle w:val="CommentReference"/>
          <w:rFonts w:ascii="Times New Roman" w:hAnsi="Times New Roman" w:cs="Times New Roman"/>
          <w:sz w:val="24"/>
          <w:szCs w:val="24"/>
        </w:rPr>
        <w:t>they</w:t>
      </w:r>
      <w:r w:rsidR="003B7564">
        <w:rPr>
          <w:rStyle w:val="CommentReference"/>
          <w:rFonts w:ascii="Times New Roman" w:hAnsi="Times New Roman" w:cs="Times New Roman"/>
          <w:sz w:val="24"/>
          <w:szCs w:val="24"/>
        </w:rPr>
        <w:t xml:space="preserve"> w</w:t>
      </w:r>
      <w:r w:rsidR="00B8008F">
        <w:rPr>
          <w:rStyle w:val="CommentReference"/>
          <w:rFonts w:ascii="Times New Roman" w:hAnsi="Times New Roman" w:cs="Times New Roman"/>
          <w:sz w:val="24"/>
          <w:szCs w:val="24"/>
        </w:rPr>
        <w:t>ere</w:t>
      </w:r>
      <w:r w:rsidR="003B7564">
        <w:rPr>
          <w:rStyle w:val="CommentReference"/>
          <w:rFonts w:ascii="Times New Roman" w:hAnsi="Times New Roman" w:cs="Times New Roman"/>
          <w:sz w:val="24"/>
          <w:szCs w:val="24"/>
        </w:rPr>
        <w:t xml:space="preserve"> effective at increasing </w:t>
      </w:r>
      <w:r w:rsidR="001F3201">
        <w:rPr>
          <w:rStyle w:val="CommentReference"/>
          <w:rFonts w:ascii="Times New Roman" w:hAnsi="Times New Roman" w:cs="Times New Roman"/>
          <w:sz w:val="24"/>
          <w:szCs w:val="24"/>
        </w:rPr>
        <w:t>response rate</w:t>
      </w:r>
      <w:r w:rsidR="007965AE">
        <w:rPr>
          <w:rStyle w:val="CommentReference"/>
          <w:rFonts w:ascii="Times New Roman" w:hAnsi="Times New Roman" w:cs="Times New Roman"/>
          <w:sz w:val="24"/>
          <w:szCs w:val="24"/>
        </w:rPr>
        <w:t>s</w:t>
      </w:r>
      <w:r w:rsidR="001F3201">
        <w:rPr>
          <w:rStyle w:val="CommentReference"/>
          <w:rFonts w:ascii="Times New Roman" w:hAnsi="Times New Roman" w:cs="Times New Roman"/>
          <w:sz w:val="24"/>
          <w:szCs w:val="24"/>
        </w:rPr>
        <w:t>.</w:t>
      </w:r>
      <w:r w:rsidR="001F3201">
        <w:rPr>
          <w:rStyle w:val="CommentReference"/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PEVuZE5vdGU+PENpdGU+PEF1dGhvcj5ZdTwvQXV0aG9yPjxZZWFyPjIwMTc8L1llYXI+PFJlY051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</w:fldData>
        </w:fldChar>
      </w:r>
      <w:r w:rsidR="001F3201">
        <w:rPr>
          <w:rStyle w:val="CommentReference"/>
          <w:rFonts w:ascii="Times New Roman" w:hAnsi="Times New Roman" w:cs="Times New Roman"/>
          <w:sz w:val="24"/>
          <w:szCs w:val="24"/>
        </w:rPr>
        <w:instrText xml:space="preserve"> ADDIN EN.CITE </w:instrText>
      </w:r>
      <w:r w:rsidR="001F3201">
        <w:rPr>
          <w:rStyle w:val="CommentReference"/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PEVuZE5vdGU+PENpdGU+PEF1dGhvcj5ZdTwvQXV0aG9yPjxZZWFyPjIwMTc8L1llYXI+PFJlY051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</w:fldData>
        </w:fldChar>
      </w:r>
      <w:r w:rsidR="001F3201">
        <w:rPr>
          <w:rStyle w:val="CommentReference"/>
          <w:rFonts w:ascii="Times New Roman" w:hAnsi="Times New Roman" w:cs="Times New Roman"/>
          <w:sz w:val="24"/>
          <w:szCs w:val="24"/>
        </w:rPr>
        <w:instrText xml:space="preserve"> ADDIN EN.CITE.DATA </w:instrText>
      </w:r>
      <w:r w:rsidR="001F3201">
        <w:rPr>
          <w:rStyle w:val="CommentReference"/>
          <w:rFonts w:ascii="Times New Roman" w:hAnsi="Times New Roman" w:cs="Times New Roman"/>
          <w:sz w:val="24"/>
          <w:szCs w:val="24"/>
        </w:rPr>
      </w:r>
      <w:r w:rsidR="001F3201">
        <w:rPr>
          <w:rStyle w:val="CommentReference"/>
          <w:rFonts w:ascii="Times New Roman" w:hAnsi="Times New Roman" w:cs="Times New Roman"/>
          <w:sz w:val="24"/>
          <w:szCs w:val="24"/>
        </w:rPr>
        <w:fldChar w:fldCharType="end"/>
      </w:r>
      <w:r w:rsidR="001F3201">
        <w:rPr>
          <w:rStyle w:val="CommentReference"/>
          <w:rFonts w:ascii="Times New Roman" w:hAnsi="Times New Roman" w:cs="Times New Roman"/>
          <w:sz w:val="24"/>
          <w:szCs w:val="24"/>
        </w:rPr>
      </w:r>
      <w:r w:rsidR="001F3201">
        <w:rPr>
          <w:rStyle w:val="CommentReference"/>
          <w:rFonts w:ascii="Times New Roman" w:hAnsi="Times New Roman" w:cs="Times New Roman"/>
          <w:sz w:val="24"/>
          <w:szCs w:val="24"/>
        </w:rPr>
        <w:fldChar w:fldCharType="separate"/>
      </w:r>
      <w:r w:rsidR="00F11E76">
        <w:rPr>
          <w:rStyle w:val="CommentReference"/>
          <w:rFonts w:ascii="Times New Roman" w:hAnsi="Times New Roman" w:cs="Times New Roman"/>
          <w:noProof/>
          <w:sz w:val="24"/>
          <w:szCs w:val="24"/>
        </w:rPr>
        <w:t>[</w:t>
      </w:r>
      <w:r w:rsidR="00C80F0D">
        <w:rPr>
          <w:rStyle w:val="CommentReference"/>
          <w:rFonts w:ascii="Times New Roman" w:hAnsi="Times New Roman" w:cs="Times New Roman"/>
          <w:noProof/>
          <w:sz w:val="24"/>
          <w:szCs w:val="24"/>
        </w:rPr>
        <w:t>2-5</w:t>
      </w:r>
      <w:r w:rsidR="001F3201">
        <w:rPr>
          <w:rStyle w:val="CommentReference"/>
          <w:rFonts w:ascii="Times New Roman" w:hAnsi="Times New Roman" w:cs="Times New Roman"/>
          <w:noProof/>
          <w:sz w:val="24"/>
          <w:szCs w:val="24"/>
        </w:rPr>
        <w:t>]</w:t>
      </w:r>
      <w:r w:rsidR="001F3201">
        <w:rPr>
          <w:rStyle w:val="CommentReference"/>
          <w:rFonts w:ascii="Times New Roman" w:hAnsi="Times New Roman" w:cs="Times New Roman"/>
          <w:sz w:val="24"/>
          <w:szCs w:val="24"/>
        </w:rPr>
        <w:fldChar w:fldCharType="end"/>
      </w:r>
      <w:r w:rsidDel="00DB0D57" w:rsidR="001F3201">
        <w:rPr>
          <w:rStyle w:val="CommentReference"/>
        </w:rPr>
        <w:t xml:space="preserve"> </w:t>
      </w:r>
      <w:r w:rsidR="007965AE">
        <w:rPr>
          <w:rStyle w:val="CommentReference"/>
        </w:rPr>
        <w:t xml:space="preserve"> </w:t>
      </w:r>
    </w:p>
    <w:p w:rsidR="00FE5965" w:rsidP="00FE5965" w:rsidRDefault="00FE5965" w14:paraId="724A1269" w14:textId="4410B0F9">
      <w:pPr>
        <w:spacing w:after="0" w:line="240" w:lineRule="auto"/>
        <w:rPr>
          <w:rStyle w:val="CommentReference"/>
          <w:rFonts w:ascii="Times New Roman" w:hAnsi="Times New Roman" w:cs="Times New Roman"/>
          <w:sz w:val="24"/>
          <w:szCs w:val="24"/>
        </w:rPr>
      </w:pPr>
    </w:p>
    <w:p w:rsidRPr="00BF1652" w:rsidR="00B8008F" w:rsidP="00FE5965" w:rsidRDefault="00354BBF" w14:paraId="4F62108E" w14:textId="1E97FA53">
      <w:pPr>
        <w:spacing w:after="0" w:line="240" w:lineRule="auto"/>
        <w:rPr>
          <w:rStyle w:val="CommentReference"/>
          <w:rFonts w:ascii="Times New Roman" w:hAnsi="Times New Roman" w:cs="Times New Roman"/>
          <w:sz w:val="24"/>
          <w:szCs w:val="24"/>
          <w:u w:val="single"/>
        </w:rPr>
      </w:pPr>
      <w:r>
        <w:rPr>
          <w:rStyle w:val="CommentReference"/>
          <w:rFonts w:ascii="Times New Roman" w:hAnsi="Times New Roman" w:cs="Times New Roman"/>
          <w:i/>
          <w:sz w:val="24"/>
          <w:szCs w:val="24"/>
        </w:rPr>
        <w:t>Examination of the Effect of the Change in Monetary Value</w:t>
      </w:r>
    </w:p>
    <w:p w:rsidR="00354BBF" w:rsidP="00FE5965" w:rsidRDefault="00354BBF" w14:paraId="73DAF84F" w14:textId="4CC3BC5E">
      <w:pPr>
        <w:spacing w:after="0" w:line="240" w:lineRule="auto"/>
        <w:rPr>
          <w:rStyle w:val="CommentReference"/>
          <w:rFonts w:ascii="Times New Roman" w:hAnsi="Times New Roman" w:cs="Times New Roman"/>
          <w:sz w:val="24"/>
          <w:szCs w:val="24"/>
        </w:rPr>
      </w:pPr>
    </w:p>
    <w:p w:rsidR="00FE6C83" w:rsidP="00B81BE7" w:rsidRDefault="00B81BE7" w14:paraId="2A33AACC" w14:textId="0708F5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3A2E">
        <w:rPr>
          <w:rFonts w:ascii="Times New Roman" w:hAnsi="Times New Roman" w:cs="Times New Roman"/>
          <w:sz w:val="24"/>
          <w:szCs w:val="24"/>
        </w:rPr>
        <w:t>If approved, we plan to examine</w:t>
      </w:r>
      <w:r w:rsidR="007530EF">
        <w:rPr>
          <w:rFonts w:ascii="Times New Roman" w:hAnsi="Times New Roman" w:cs="Times New Roman"/>
          <w:sz w:val="24"/>
          <w:szCs w:val="24"/>
        </w:rPr>
        <w:t xml:space="preserve"> the following evaluation questions</w:t>
      </w:r>
      <w:r w:rsidR="003F0799">
        <w:rPr>
          <w:rFonts w:ascii="Times New Roman" w:hAnsi="Times New Roman" w:cs="Times New Roman"/>
          <w:sz w:val="24"/>
          <w:szCs w:val="24"/>
        </w:rPr>
        <w:t>:</w:t>
      </w:r>
      <w:r w:rsidRPr="001E3A2E">
        <w:rPr>
          <w:rFonts w:ascii="Times New Roman" w:hAnsi="Times New Roman" w:cs="Times New Roman"/>
          <w:sz w:val="24"/>
          <w:szCs w:val="24"/>
        </w:rPr>
        <w:t xml:space="preserve"> </w:t>
      </w:r>
      <w:r w:rsidR="00D814D9">
        <w:rPr>
          <w:rFonts w:ascii="Times New Roman" w:hAnsi="Times New Roman" w:cs="Times New Roman"/>
          <w:sz w:val="24"/>
          <w:szCs w:val="24"/>
        </w:rPr>
        <w:t>(</w:t>
      </w:r>
      <w:r w:rsidR="003F0799">
        <w:rPr>
          <w:rFonts w:ascii="Times New Roman" w:hAnsi="Times New Roman" w:cs="Times New Roman"/>
          <w:sz w:val="24"/>
          <w:szCs w:val="24"/>
        </w:rPr>
        <w:t xml:space="preserve">1) </w:t>
      </w:r>
      <w:r w:rsidR="007530EF">
        <w:rPr>
          <w:rFonts w:ascii="Times New Roman" w:hAnsi="Times New Roman" w:cs="Times New Roman"/>
          <w:sz w:val="24"/>
          <w:szCs w:val="24"/>
        </w:rPr>
        <w:t>did</w:t>
      </w:r>
      <w:r w:rsidRPr="001E3A2E" w:rsidR="007530EF">
        <w:rPr>
          <w:rFonts w:ascii="Times New Roman" w:hAnsi="Times New Roman" w:cs="Times New Roman"/>
          <w:sz w:val="24"/>
          <w:szCs w:val="24"/>
        </w:rPr>
        <w:t xml:space="preserve"> </w:t>
      </w:r>
      <w:r w:rsidR="00D14814">
        <w:rPr>
          <w:rFonts w:ascii="Times New Roman" w:hAnsi="Times New Roman" w:cs="Times New Roman"/>
          <w:sz w:val="24"/>
          <w:szCs w:val="24"/>
        </w:rPr>
        <w:t>increas</w:t>
      </w:r>
      <w:r w:rsidRPr="001E3A2E">
        <w:rPr>
          <w:rFonts w:ascii="Times New Roman" w:hAnsi="Times New Roman" w:cs="Times New Roman"/>
          <w:sz w:val="24"/>
          <w:szCs w:val="24"/>
        </w:rPr>
        <w:t xml:space="preserve">ing the value of the </w:t>
      </w:r>
      <w:r w:rsidR="00D14814">
        <w:rPr>
          <w:rFonts w:ascii="Times New Roman" w:hAnsi="Times New Roman" w:cs="Times New Roman"/>
          <w:sz w:val="24"/>
          <w:szCs w:val="24"/>
        </w:rPr>
        <w:t>reimbursement</w:t>
      </w:r>
      <w:r w:rsidRPr="001E3A2E">
        <w:rPr>
          <w:rFonts w:ascii="Times New Roman" w:hAnsi="Times New Roman" w:cs="Times New Roman"/>
          <w:sz w:val="24"/>
          <w:szCs w:val="24"/>
        </w:rPr>
        <w:t xml:space="preserve"> amount</w:t>
      </w:r>
      <w:r w:rsidR="003F0799">
        <w:rPr>
          <w:rFonts w:ascii="Times New Roman" w:hAnsi="Times New Roman" w:cs="Times New Roman"/>
          <w:sz w:val="24"/>
          <w:szCs w:val="24"/>
        </w:rPr>
        <w:t>s</w:t>
      </w:r>
      <w:r w:rsidRPr="001E3A2E">
        <w:rPr>
          <w:rFonts w:ascii="Times New Roman" w:hAnsi="Times New Roman" w:cs="Times New Roman"/>
          <w:sz w:val="24"/>
          <w:szCs w:val="24"/>
        </w:rPr>
        <w:t xml:space="preserve"> </w:t>
      </w:r>
      <w:r w:rsidR="003F0799">
        <w:rPr>
          <w:rFonts w:ascii="Times New Roman" w:hAnsi="Times New Roman" w:cs="Times New Roman"/>
          <w:sz w:val="24"/>
          <w:szCs w:val="24"/>
        </w:rPr>
        <w:t>improve</w:t>
      </w:r>
      <w:r w:rsidR="00B347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second</w:t>
      </w:r>
      <w:r w:rsidR="00072C3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stage recruitment</w:t>
      </w:r>
      <w:r w:rsidR="003F0799">
        <w:rPr>
          <w:rFonts w:ascii="Times New Roman" w:hAnsi="Times New Roman" w:cs="Times New Roman"/>
          <w:sz w:val="24"/>
          <w:szCs w:val="24"/>
        </w:rPr>
        <w:t>,</w:t>
      </w:r>
      <w:r w:rsidR="00D14814">
        <w:rPr>
          <w:rFonts w:ascii="Times New Roman" w:hAnsi="Times New Roman" w:cs="Times New Roman"/>
          <w:sz w:val="24"/>
          <w:szCs w:val="24"/>
        </w:rPr>
        <w:t xml:space="preserve"> </w:t>
      </w:r>
      <w:r w:rsidR="00D814D9">
        <w:rPr>
          <w:rFonts w:ascii="Times New Roman" w:hAnsi="Times New Roman" w:cs="Times New Roman"/>
          <w:sz w:val="24"/>
          <w:szCs w:val="24"/>
        </w:rPr>
        <w:t>(</w:t>
      </w:r>
      <w:r w:rsidR="009E1F1E">
        <w:rPr>
          <w:rFonts w:ascii="Times New Roman" w:hAnsi="Times New Roman" w:cs="Times New Roman"/>
          <w:sz w:val="24"/>
          <w:szCs w:val="24"/>
        </w:rPr>
        <w:t xml:space="preserve">2) </w:t>
      </w:r>
      <w:bookmarkStart w:name="_Hlk27554796" w:id="2"/>
      <w:r w:rsidR="007530EF">
        <w:rPr>
          <w:rFonts w:ascii="Times New Roman" w:hAnsi="Times New Roman" w:cs="Times New Roman"/>
          <w:sz w:val="24"/>
          <w:szCs w:val="24"/>
        </w:rPr>
        <w:t xml:space="preserve">did </w:t>
      </w:r>
      <w:r w:rsidR="009E1F1E">
        <w:rPr>
          <w:rFonts w:ascii="Times New Roman" w:hAnsi="Times New Roman" w:cs="Times New Roman"/>
          <w:sz w:val="24"/>
          <w:szCs w:val="24"/>
        </w:rPr>
        <w:t xml:space="preserve">more participants </w:t>
      </w:r>
      <w:r w:rsidR="007530EF">
        <w:rPr>
          <w:rFonts w:ascii="Times New Roman" w:hAnsi="Times New Roman" w:cs="Times New Roman"/>
          <w:sz w:val="24"/>
          <w:szCs w:val="24"/>
        </w:rPr>
        <w:t xml:space="preserve">who were </w:t>
      </w:r>
      <w:r w:rsidR="009E1F1E">
        <w:rPr>
          <w:rFonts w:ascii="Times New Roman" w:hAnsi="Times New Roman" w:cs="Times New Roman"/>
          <w:sz w:val="24"/>
          <w:szCs w:val="24"/>
        </w:rPr>
        <w:t xml:space="preserve">eligible for reimbursement </w:t>
      </w:r>
      <w:r w:rsidR="007530EF">
        <w:rPr>
          <w:rFonts w:ascii="Times New Roman" w:hAnsi="Times New Roman" w:cs="Times New Roman"/>
          <w:sz w:val="24"/>
          <w:szCs w:val="24"/>
        </w:rPr>
        <w:t xml:space="preserve">for second stage referrals </w:t>
      </w:r>
      <w:r w:rsidR="009E1F1E">
        <w:rPr>
          <w:rFonts w:ascii="Times New Roman" w:hAnsi="Times New Roman" w:cs="Times New Roman"/>
          <w:sz w:val="24"/>
          <w:szCs w:val="24"/>
        </w:rPr>
        <w:t>collect that reimbursement</w:t>
      </w:r>
      <w:bookmarkEnd w:id="2"/>
      <w:r w:rsidR="00072C3C">
        <w:rPr>
          <w:rFonts w:ascii="Times New Roman" w:hAnsi="Times New Roman" w:cs="Times New Roman"/>
          <w:sz w:val="24"/>
          <w:szCs w:val="24"/>
        </w:rPr>
        <w:t>.</w:t>
      </w:r>
      <w:r w:rsidR="00D148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6C83" w:rsidP="00B81BE7" w:rsidRDefault="00FE6C83" w14:paraId="06D7CCE1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2965" w:rsidP="00B81BE7" w:rsidRDefault="003F0799" w14:paraId="3298226F" w14:textId="170FD9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0D388E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assess </w:t>
      </w:r>
      <w:r w:rsidR="007530EF">
        <w:rPr>
          <w:rFonts w:ascii="Times New Roman" w:hAnsi="Times New Roman" w:cs="Times New Roman"/>
          <w:sz w:val="24"/>
          <w:szCs w:val="24"/>
        </w:rPr>
        <w:t>the first question, did</w:t>
      </w:r>
      <w:r w:rsidRPr="001E3A2E" w:rsidR="00D814D9">
        <w:rPr>
          <w:rFonts w:ascii="Times New Roman" w:hAnsi="Times New Roman" w:cs="Times New Roman"/>
          <w:sz w:val="24"/>
          <w:szCs w:val="24"/>
        </w:rPr>
        <w:t xml:space="preserve"> </w:t>
      </w:r>
      <w:r w:rsidR="00D814D9">
        <w:rPr>
          <w:rFonts w:ascii="Times New Roman" w:hAnsi="Times New Roman" w:cs="Times New Roman"/>
          <w:sz w:val="24"/>
          <w:szCs w:val="24"/>
        </w:rPr>
        <w:t>increas</w:t>
      </w:r>
      <w:r w:rsidRPr="001E3A2E" w:rsidR="00D814D9">
        <w:rPr>
          <w:rFonts w:ascii="Times New Roman" w:hAnsi="Times New Roman" w:cs="Times New Roman"/>
          <w:sz w:val="24"/>
          <w:szCs w:val="24"/>
        </w:rPr>
        <w:t xml:space="preserve">ing the value of the </w:t>
      </w:r>
      <w:r w:rsidR="00D814D9">
        <w:rPr>
          <w:rFonts w:ascii="Times New Roman" w:hAnsi="Times New Roman" w:cs="Times New Roman"/>
          <w:sz w:val="24"/>
          <w:szCs w:val="24"/>
        </w:rPr>
        <w:t>reimbursement</w:t>
      </w:r>
      <w:r w:rsidRPr="001E3A2E" w:rsidR="00D814D9">
        <w:rPr>
          <w:rFonts w:ascii="Times New Roman" w:hAnsi="Times New Roman" w:cs="Times New Roman"/>
          <w:sz w:val="24"/>
          <w:szCs w:val="24"/>
        </w:rPr>
        <w:t xml:space="preserve"> amount</w:t>
      </w:r>
      <w:r w:rsidR="00D814D9">
        <w:rPr>
          <w:rFonts w:ascii="Times New Roman" w:hAnsi="Times New Roman" w:cs="Times New Roman"/>
          <w:sz w:val="24"/>
          <w:szCs w:val="24"/>
        </w:rPr>
        <w:t>s</w:t>
      </w:r>
      <w:r w:rsidRPr="001E3A2E" w:rsidR="00D814D9">
        <w:rPr>
          <w:rFonts w:ascii="Times New Roman" w:hAnsi="Times New Roman" w:cs="Times New Roman"/>
          <w:sz w:val="24"/>
          <w:szCs w:val="24"/>
        </w:rPr>
        <w:t xml:space="preserve"> </w:t>
      </w:r>
      <w:r w:rsidR="00D814D9">
        <w:rPr>
          <w:rFonts w:ascii="Times New Roman" w:hAnsi="Times New Roman" w:cs="Times New Roman"/>
          <w:sz w:val="24"/>
          <w:szCs w:val="24"/>
        </w:rPr>
        <w:t xml:space="preserve">improve </w:t>
      </w:r>
      <w:r w:rsidR="006C24F8">
        <w:rPr>
          <w:rFonts w:ascii="Times New Roman" w:hAnsi="Times New Roman" w:cs="Times New Roman"/>
          <w:sz w:val="24"/>
          <w:szCs w:val="24"/>
        </w:rPr>
        <w:t>slow</w:t>
      </w:r>
      <w:r w:rsidR="00072C3C">
        <w:rPr>
          <w:rFonts w:ascii="Times New Roman" w:hAnsi="Times New Roman" w:cs="Times New Roman"/>
          <w:sz w:val="24"/>
          <w:szCs w:val="24"/>
        </w:rPr>
        <w:t xml:space="preserve"> </w:t>
      </w:r>
      <w:r w:rsidR="00D814D9">
        <w:rPr>
          <w:rFonts w:ascii="Times New Roman" w:hAnsi="Times New Roman" w:cs="Times New Roman"/>
          <w:sz w:val="24"/>
          <w:szCs w:val="24"/>
        </w:rPr>
        <w:t>second</w:t>
      </w:r>
      <w:r w:rsidR="00072C3C">
        <w:rPr>
          <w:rFonts w:ascii="Times New Roman" w:hAnsi="Times New Roman" w:cs="Times New Roman"/>
          <w:sz w:val="24"/>
          <w:szCs w:val="24"/>
        </w:rPr>
        <w:t>-</w:t>
      </w:r>
      <w:r w:rsidR="00D814D9">
        <w:rPr>
          <w:rFonts w:ascii="Times New Roman" w:hAnsi="Times New Roman" w:cs="Times New Roman"/>
          <w:sz w:val="24"/>
          <w:szCs w:val="24"/>
        </w:rPr>
        <w:t>stage recruitment</w:t>
      </w:r>
      <w:r w:rsidR="007124C5">
        <w:rPr>
          <w:rFonts w:ascii="Times New Roman" w:hAnsi="Times New Roman" w:cs="Times New Roman"/>
          <w:sz w:val="24"/>
          <w:szCs w:val="24"/>
        </w:rPr>
        <w:t xml:space="preserve">, </w:t>
      </w:r>
      <w:r w:rsidR="000D388E">
        <w:rPr>
          <w:rFonts w:ascii="Times New Roman" w:hAnsi="Times New Roman" w:cs="Times New Roman"/>
          <w:sz w:val="24"/>
          <w:szCs w:val="24"/>
        </w:rPr>
        <w:t>we</w:t>
      </w:r>
      <w:r w:rsidR="00D14814">
        <w:rPr>
          <w:rFonts w:ascii="Times New Roman" w:hAnsi="Times New Roman" w:cs="Times New Roman"/>
          <w:sz w:val="24"/>
          <w:szCs w:val="24"/>
        </w:rPr>
        <w:t xml:space="preserve"> will</w:t>
      </w:r>
      <w:r w:rsidRPr="001E3A2E" w:rsidR="00B81BE7">
        <w:rPr>
          <w:rFonts w:ascii="Times New Roman" w:hAnsi="Times New Roman" w:cs="Times New Roman"/>
          <w:sz w:val="24"/>
          <w:szCs w:val="24"/>
        </w:rPr>
        <w:t xml:space="preserve"> </w:t>
      </w:r>
      <w:r w:rsidR="00B81BE7">
        <w:rPr>
          <w:rFonts w:ascii="Times New Roman" w:hAnsi="Times New Roman" w:cs="Times New Roman"/>
          <w:sz w:val="24"/>
          <w:szCs w:val="24"/>
        </w:rPr>
        <w:t>compar</w:t>
      </w:r>
      <w:r w:rsidR="00D14814">
        <w:rPr>
          <w:rFonts w:ascii="Times New Roman" w:hAnsi="Times New Roman" w:cs="Times New Roman"/>
          <w:sz w:val="24"/>
          <w:szCs w:val="24"/>
        </w:rPr>
        <w:t>e</w:t>
      </w:r>
      <w:r w:rsidR="00B81BE7">
        <w:rPr>
          <w:rFonts w:ascii="Times New Roman" w:hAnsi="Times New Roman" w:cs="Times New Roman"/>
          <w:sz w:val="24"/>
          <w:szCs w:val="24"/>
        </w:rPr>
        <w:t xml:space="preserve"> </w:t>
      </w:r>
      <w:r w:rsidR="00D14814">
        <w:rPr>
          <w:rFonts w:ascii="Times New Roman" w:hAnsi="Times New Roman" w:cs="Times New Roman"/>
          <w:sz w:val="24"/>
          <w:szCs w:val="24"/>
        </w:rPr>
        <w:t>the</w:t>
      </w:r>
      <w:r w:rsidR="00B81BE7">
        <w:rPr>
          <w:rFonts w:ascii="Times New Roman" w:hAnsi="Times New Roman" w:cs="Times New Roman"/>
          <w:sz w:val="24"/>
          <w:szCs w:val="24"/>
        </w:rPr>
        <w:t xml:space="preserve"> </w:t>
      </w:r>
      <w:r w:rsidR="00D14814">
        <w:rPr>
          <w:rFonts w:ascii="Times New Roman" w:hAnsi="Times New Roman" w:cs="Times New Roman"/>
          <w:sz w:val="24"/>
          <w:szCs w:val="24"/>
        </w:rPr>
        <w:t xml:space="preserve">proportion of second stage </w:t>
      </w:r>
      <w:r>
        <w:rPr>
          <w:rFonts w:ascii="Times New Roman" w:hAnsi="Times New Roman" w:cs="Times New Roman"/>
          <w:sz w:val="24"/>
          <w:szCs w:val="24"/>
        </w:rPr>
        <w:t xml:space="preserve">respondents in </w:t>
      </w:r>
      <w:r w:rsidR="007124C5">
        <w:rPr>
          <w:rFonts w:ascii="Times New Roman" w:hAnsi="Times New Roman" w:cs="Times New Roman"/>
          <w:sz w:val="24"/>
          <w:szCs w:val="24"/>
        </w:rPr>
        <w:t>the pilot</w:t>
      </w:r>
      <w:r w:rsidR="006C24F8">
        <w:rPr>
          <w:rFonts w:ascii="Times New Roman" w:hAnsi="Times New Roman" w:cs="Times New Roman"/>
          <w:sz w:val="24"/>
          <w:szCs w:val="24"/>
        </w:rPr>
        <w:t xml:space="preserve"> after 3.5 weeks of fieldwork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1BE7">
        <w:rPr>
          <w:rFonts w:ascii="Times New Roman" w:hAnsi="Times New Roman" w:cs="Times New Roman"/>
          <w:sz w:val="24"/>
          <w:szCs w:val="24"/>
        </w:rPr>
        <w:t xml:space="preserve">($5 </w:t>
      </w:r>
      <w:r w:rsidR="0094628C">
        <w:rPr>
          <w:rFonts w:ascii="Times New Roman" w:hAnsi="Times New Roman" w:cs="Times New Roman"/>
          <w:sz w:val="24"/>
          <w:szCs w:val="24"/>
        </w:rPr>
        <w:t>reimbursements for successful recruitment of second stage respondents)</w:t>
      </w:r>
      <w:r>
        <w:rPr>
          <w:rFonts w:ascii="Times New Roman" w:hAnsi="Times New Roman" w:cs="Times New Roman"/>
          <w:sz w:val="24"/>
          <w:szCs w:val="24"/>
        </w:rPr>
        <w:t xml:space="preserve"> with </w:t>
      </w:r>
      <w:r w:rsidR="007124C5">
        <w:rPr>
          <w:rFonts w:ascii="Times New Roman" w:hAnsi="Times New Roman" w:cs="Times New Roman"/>
          <w:sz w:val="24"/>
          <w:szCs w:val="24"/>
        </w:rPr>
        <w:t xml:space="preserve">the proportion of second stage respondents </w:t>
      </w:r>
      <w:r w:rsidR="006C24F8">
        <w:rPr>
          <w:rFonts w:ascii="Times New Roman" w:hAnsi="Times New Roman" w:cs="Times New Roman"/>
          <w:sz w:val="24"/>
          <w:szCs w:val="24"/>
        </w:rPr>
        <w:t>after 3.5 weeks once</w:t>
      </w:r>
      <w:r w:rsidR="007124C5">
        <w:rPr>
          <w:rFonts w:ascii="Times New Roman" w:hAnsi="Times New Roman" w:cs="Times New Roman"/>
          <w:sz w:val="24"/>
          <w:szCs w:val="24"/>
        </w:rPr>
        <w:t xml:space="preserve"> reimbursements are increased ($</w:t>
      </w:r>
      <w:r w:rsidR="006C24F8">
        <w:rPr>
          <w:rFonts w:ascii="Times New Roman" w:hAnsi="Times New Roman" w:cs="Times New Roman"/>
          <w:sz w:val="24"/>
          <w:szCs w:val="24"/>
        </w:rPr>
        <w:t xml:space="preserve">10 </w:t>
      </w:r>
      <w:r w:rsidR="007124C5">
        <w:rPr>
          <w:rFonts w:ascii="Times New Roman" w:hAnsi="Times New Roman" w:cs="Times New Roman"/>
          <w:sz w:val="24"/>
          <w:szCs w:val="24"/>
        </w:rPr>
        <w:t>per second stage recruitment)</w:t>
      </w:r>
      <w:r w:rsidR="007530EF">
        <w:rPr>
          <w:rFonts w:ascii="Times New Roman" w:hAnsi="Times New Roman" w:cs="Times New Roman"/>
          <w:sz w:val="24"/>
          <w:szCs w:val="24"/>
        </w:rPr>
        <w:t xml:space="preserve"> in the first study site (data collection is planned to be implemented from May to July 2020).</w:t>
      </w:r>
    </w:p>
    <w:p w:rsidR="00E22965" w:rsidP="00B81BE7" w:rsidRDefault="00E22965" w14:paraId="3A6DE115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2965" w:rsidP="00B81BE7" w:rsidRDefault="00D814D9" w14:paraId="09DC6C9B" w14:textId="742116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assess </w:t>
      </w:r>
      <w:r w:rsidR="007530EF">
        <w:rPr>
          <w:rFonts w:ascii="Times New Roman" w:hAnsi="Times New Roman" w:cs="Times New Roman"/>
          <w:sz w:val="24"/>
          <w:szCs w:val="24"/>
        </w:rPr>
        <w:t xml:space="preserve">the second question, did more participants who were eligible for reimbursement for second stage referrals collect that </w:t>
      </w:r>
      <w:r w:rsidR="00D80D1D">
        <w:rPr>
          <w:rFonts w:ascii="Times New Roman" w:hAnsi="Times New Roman" w:cs="Times New Roman"/>
          <w:sz w:val="24"/>
          <w:szCs w:val="24"/>
        </w:rPr>
        <w:t>reimbursement</w:t>
      </w:r>
      <w:r w:rsidDel="007530EF" w:rsidR="00D80D1D">
        <w:rPr>
          <w:rFonts w:ascii="Times New Roman" w:hAnsi="Times New Roman" w:cs="Times New Roman"/>
          <w:sz w:val="24"/>
          <w:szCs w:val="24"/>
        </w:rPr>
        <w:t>,</w:t>
      </w:r>
      <w:r w:rsidR="007530EF">
        <w:rPr>
          <w:rFonts w:ascii="Times New Roman" w:hAnsi="Times New Roman" w:cs="Times New Roman"/>
          <w:sz w:val="24"/>
          <w:szCs w:val="24"/>
        </w:rPr>
        <w:t xml:space="preserve"> </w:t>
      </w:r>
      <w:r w:rsidR="00E22965">
        <w:rPr>
          <w:rFonts w:ascii="Times New Roman" w:hAnsi="Times New Roman" w:cs="Times New Roman"/>
          <w:sz w:val="24"/>
          <w:szCs w:val="24"/>
        </w:rPr>
        <w:t>w</w:t>
      </w:r>
      <w:r w:rsidR="00FE6C83">
        <w:rPr>
          <w:rFonts w:ascii="Times New Roman" w:hAnsi="Times New Roman" w:cs="Times New Roman"/>
          <w:sz w:val="24"/>
          <w:szCs w:val="24"/>
        </w:rPr>
        <w:t xml:space="preserve">e will </w:t>
      </w:r>
      <w:r w:rsidR="000C7686">
        <w:rPr>
          <w:rFonts w:ascii="Times New Roman" w:hAnsi="Times New Roman" w:cs="Times New Roman"/>
          <w:sz w:val="24"/>
          <w:szCs w:val="24"/>
        </w:rPr>
        <w:t xml:space="preserve">compare the proportion of eligible seed respondents from the pilot who redeemed their reimbursement with </w:t>
      </w:r>
      <w:r w:rsidR="00FE6C83">
        <w:rPr>
          <w:rFonts w:ascii="Times New Roman" w:hAnsi="Times New Roman" w:cs="Times New Roman"/>
          <w:sz w:val="24"/>
          <w:szCs w:val="24"/>
        </w:rPr>
        <w:t xml:space="preserve">the proportion of </w:t>
      </w:r>
      <w:r w:rsidR="000C7686">
        <w:rPr>
          <w:rFonts w:ascii="Times New Roman" w:hAnsi="Times New Roman" w:cs="Times New Roman"/>
          <w:sz w:val="24"/>
          <w:szCs w:val="24"/>
        </w:rPr>
        <w:t xml:space="preserve">eligible </w:t>
      </w:r>
      <w:r w:rsidR="001F1AE2">
        <w:rPr>
          <w:rFonts w:ascii="Times New Roman" w:hAnsi="Times New Roman" w:cs="Times New Roman"/>
          <w:sz w:val="24"/>
          <w:szCs w:val="24"/>
        </w:rPr>
        <w:t>seed</w:t>
      </w:r>
      <w:r w:rsidR="00FE6C83">
        <w:rPr>
          <w:rFonts w:ascii="Times New Roman" w:hAnsi="Times New Roman" w:cs="Times New Roman"/>
          <w:sz w:val="24"/>
          <w:szCs w:val="24"/>
        </w:rPr>
        <w:t xml:space="preserve"> respondents </w:t>
      </w:r>
      <w:r w:rsidR="000C7686">
        <w:rPr>
          <w:rFonts w:ascii="Times New Roman" w:hAnsi="Times New Roman" w:cs="Times New Roman"/>
          <w:sz w:val="24"/>
          <w:szCs w:val="24"/>
        </w:rPr>
        <w:t>in the first study site</w:t>
      </w:r>
      <w:r w:rsidR="00FE6C83">
        <w:rPr>
          <w:rFonts w:ascii="Times New Roman" w:hAnsi="Times New Roman" w:cs="Times New Roman"/>
          <w:sz w:val="24"/>
          <w:szCs w:val="24"/>
        </w:rPr>
        <w:t xml:space="preserve"> who collect the</w:t>
      </w:r>
      <w:r w:rsidR="000C7686">
        <w:rPr>
          <w:rFonts w:ascii="Times New Roman" w:hAnsi="Times New Roman" w:cs="Times New Roman"/>
          <w:sz w:val="24"/>
          <w:szCs w:val="24"/>
        </w:rPr>
        <w:t>ir</w:t>
      </w:r>
      <w:r w:rsidR="00FE6C83">
        <w:rPr>
          <w:rFonts w:ascii="Times New Roman" w:hAnsi="Times New Roman" w:cs="Times New Roman"/>
          <w:sz w:val="24"/>
          <w:szCs w:val="24"/>
        </w:rPr>
        <w:t xml:space="preserve"> reimbursements. </w:t>
      </w:r>
    </w:p>
    <w:p w:rsidR="00E22965" w:rsidP="00B81BE7" w:rsidRDefault="00E22965" w14:paraId="59FC3826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1BE7" w:rsidP="00B81BE7" w:rsidRDefault="00B11371" w14:paraId="7FBF2144" w14:textId="61ABED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the change request is approved, we will also continue to </w:t>
      </w:r>
      <w:proofErr w:type="spellStart"/>
      <w:r w:rsidR="000C7686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0C7686">
        <w:rPr>
          <w:rFonts w:ascii="Times New Roman" w:hAnsi="Times New Roman" w:cs="Times New Roman"/>
          <w:sz w:val="24"/>
          <w:szCs w:val="24"/>
        </w:rPr>
        <w:t xml:space="preserve"> monitor comments and concerns </w:t>
      </w:r>
      <w:r w:rsidR="00D80D1D">
        <w:rPr>
          <w:rFonts w:ascii="Times New Roman" w:hAnsi="Times New Roman" w:cs="Times New Roman"/>
          <w:sz w:val="24"/>
          <w:szCs w:val="24"/>
        </w:rPr>
        <w:t>of study</w:t>
      </w:r>
      <w:r w:rsidR="000C7686">
        <w:rPr>
          <w:rFonts w:ascii="Times New Roman" w:hAnsi="Times New Roman" w:cs="Times New Roman"/>
          <w:sz w:val="24"/>
          <w:szCs w:val="24"/>
        </w:rPr>
        <w:t xml:space="preserve"> site collaborators </w:t>
      </w:r>
      <w:r>
        <w:rPr>
          <w:rFonts w:ascii="Times New Roman" w:hAnsi="Times New Roman" w:cs="Times New Roman"/>
          <w:sz w:val="24"/>
          <w:szCs w:val="24"/>
        </w:rPr>
        <w:t xml:space="preserve">regarding </w:t>
      </w:r>
      <w:r w:rsidR="00E22965">
        <w:rPr>
          <w:rFonts w:ascii="Times New Roman" w:hAnsi="Times New Roman" w:cs="Times New Roman"/>
          <w:sz w:val="24"/>
          <w:szCs w:val="24"/>
        </w:rPr>
        <w:t>reimbursements</w:t>
      </w:r>
      <w:r>
        <w:rPr>
          <w:rFonts w:ascii="Times New Roman" w:hAnsi="Times New Roman" w:cs="Times New Roman"/>
          <w:sz w:val="24"/>
          <w:szCs w:val="24"/>
        </w:rPr>
        <w:t>.</w:t>
      </w:r>
      <w:r w:rsidR="00E229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1BE7" w:rsidP="00FE5965" w:rsidRDefault="00B81BE7" w14:paraId="0C1E4163" w14:textId="77777777">
      <w:pPr>
        <w:spacing w:after="0" w:line="240" w:lineRule="auto"/>
        <w:rPr>
          <w:rStyle w:val="CommentReference"/>
          <w:rFonts w:ascii="Times New Roman" w:hAnsi="Times New Roman" w:cs="Times New Roman"/>
          <w:sz w:val="24"/>
          <w:szCs w:val="24"/>
        </w:rPr>
      </w:pPr>
    </w:p>
    <w:p w:rsidRPr="00FE5965" w:rsidR="00FE5965" w:rsidP="00DB0D57" w:rsidRDefault="00FE5965" w14:paraId="3747940A" w14:textId="3AB54D95">
      <w:pPr>
        <w:spacing w:after="0" w:line="48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Burden Estimate</w:t>
      </w:r>
    </w:p>
    <w:p w:rsidR="008860D1" w:rsidP="00AE3DD1" w:rsidRDefault="00FE5965" w14:paraId="381CA070" w14:textId="4092FB70">
      <w:pPr>
        <w:spacing w:after="0" w:line="48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No change to the burden estimate is requested.</w:t>
      </w:r>
    </w:p>
    <w:p w:rsidRPr="00D10A73" w:rsidR="00FE5965" w:rsidP="00FE5965" w:rsidRDefault="00FE5965" w14:paraId="5BA573D7" w14:textId="77777777">
      <w:pPr>
        <w:pStyle w:val="BodyText21"/>
        <w:rPr>
          <w:rFonts w:ascii="Times New Roman" w:hAnsi="Times New Roman"/>
          <w:b/>
        </w:rPr>
      </w:pPr>
      <w:r w:rsidRPr="00D10A73">
        <w:rPr>
          <w:rFonts w:ascii="Times New Roman" w:hAnsi="Times New Roman"/>
          <w:b/>
        </w:rPr>
        <w:t>Effect of Proposed Changes on Currently Approved Instruments and Attachments</w:t>
      </w:r>
    </w:p>
    <w:p w:rsidRPr="00D10A73" w:rsidR="00FE5965" w:rsidP="00FE5965" w:rsidRDefault="00FE5965" w14:paraId="7559D4AC" w14:textId="77777777">
      <w:pPr>
        <w:pStyle w:val="BodyText21"/>
        <w:rPr>
          <w:rFonts w:ascii="Times New Roman" w:hAnsi="Times New Roman"/>
        </w:rPr>
      </w:pPr>
    </w:p>
    <w:p w:rsidR="00D80D1D" w:rsidP="00D80D1D" w:rsidRDefault="00FE5965" w14:paraId="3838BC6E" w14:textId="77777777">
      <w:pPr>
        <w:pStyle w:val="BodyText21"/>
        <w:rPr>
          <w:rFonts w:ascii="Times New Roman" w:hAnsi="Times New Roman"/>
          <w:szCs w:val="24"/>
        </w:rPr>
      </w:pPr>
      <w:r w:rsidRPr="00D10A73">
        <w:rPr>
          <w:rFonts w:ascii="Times New Roman" w:hAnsi="Times New Roman"/>
          <w:szCs w:val="24"/>
        </w:rPr>
        <w:t xml:space="preserve">None. </w:t>
      </w:r>
      <w:r>
        <w:rPr>
          <w:rFonts w:ascii="Times New Roman" w:hAnsi="Times New Roman"/>
          <w:szCs w:val="24"/>
        </w:rPr>
        <w:t>The requested change does not affect any other component of the information collection.</w:t>
      </w:r>
    </w:p>
    <w:p w:rsidR="00D80D1D" w:rsidP="00D80D1D" w:rsidRDefault="00D80D1D" w14:paraId="1AF70514" w14:textId="77777777">
      <w:pPr>
        <w:pStyle w:val="BodyText21"/>
        <w:rPr>
          <w:rFonts w:ascii="Times New Roman" w:hAnsi="Times New Roman"/>
          <w:szCs w:val="24"/>
        </w:rPr>
      </w:pPr>
    </w:p>
    <w:p w:rsidR="00050EB1" w:rsidP="00D80D1D" w:rsidRDefault="00FE5965" w14:paraId="768314E0" w14:textId="77777777">
      <w:pPr>
        <w:pStyle w:val="BodyText21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OMB approval is requested, effective immediately.</w:t>
      </w:r>
    </w:p>
    <w:p w:rsidRPr="00FE5965" w:rsidR="00FE5965" w:rsidP="00D80D1D" w:rsidRDefault="00D80D1D" w14:paraId="60918905" w14:textId="1AD19D0F">
      <w:pPr>
        <w:pStyle w:val="BodyText21"/>
        <w:rPr>
          <w:rFonts w:ascii="Times New Roman" w:hAnsi="Times New Roman"/>
          <w:szCs w:val="24"/>
        </w:rPr>
      </w:pPr>
      <w:bookmarkStart w:name="_GoBack" w:id="3"/>
      <w:bookmarkEnd w:id="3"/>
      <w:r>
        <w:rPr>
          <w:rFonts w:ascii="Times New Roman" w:hAnsi="Times New Roman"/>
          <w:szCs w:val="24"/>
        </w:rPr>
        <w:br/>
      </w:r>
      <w:r>
        <w:rPr>
          <w:rFonts w:ascii="Times New Roman" w:hAnsi="Times New Roman"/>
          <w:szCs w:val="24"/>
        </w:rPr>
        <w:br/>
      </w:r>
    </w:p>
    <w:p w:rsidRPr="00CE23E9" w:rsidR="00BB55BD" w:rsidP="0055011E" w:rsidRDefault="00B8008F" w14:paraId="274579C5" w14:textId="230E6171">
      <w:pPr>
        <w:spacing w:after="0" w:line="240" w:lineRule="auto"/>
        <w:ind w:left="720" w:hanging="630"/>
        <w:rPr>
          <w:rFonts w:ascii="Times New Roman" w:hAnsi="Times New Roman" w:cs="Times New Roman"/>
          <w:noProof/>
          <w:sz w:val="24"/>
          <w:szCs w:val="24"/>
        </w:rPr>
      </w:pPr>
      <w:r w:rsidRPr="0014163D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CE23E9">
        <w:rPr>
          <w:rFonts w:ascii="Times New Roman" w:hAnsi="Times New Roman" w:cs="Times New Roman"/>
          <w:sz w:val="24"/>
          <w:szCs w:val="24"/>
        </w:rPr>
        <w:instrText xml:space="preserve"> ADDIN EN.REFLIST </w:instrText>
      </w:r>
      <w:r w:rsidRPr="0014163D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CE23E9">
        <w:rPr>
          <w:rFonts w:ascii="Times New Roman" w:hAnsi="Times New Roman" w:cs="Times New Roman"/>
          <w:sz w:val="24"/>
          <w:szCs w:val="24"/>
        </w:rPr>
        <w:t>1.</w:t>
      </w:r>
      <w:r w:rsidRPr="00CE23E9">
        <w:rPr>
          <w:rFonts w:ascii="Times New Roman" w:hAnsi="Times New Roman" w:cs="Times New Roman"/>
          <w:sz w:val="24"/>
          <w:szCs w:val="24"/>
        </w:rPr>
        <w:tab/>
      </w:r>
      <w:r w:rsidRPr="00CE23E9" w:rsidR="00BB55BD">
        <w:rPr>
          <w:rFonts w:ascii="Times New Roman" w:hAnsi="Times New Roman" w:cs="Times New Roman"/>
          <w:noProof/>
          <w:sz w:val="24"/>
          <w:szCs w:val="24"/>
        </w:rPr>
        <w:t>Muhib FB, Lin LS, Stueve A, et al. A venue-based method for sampling hard-to-reach</w:t>
      </w:r>
      <w:r w:rsidR="00BB55B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CE23E9" w:rsidR="00BB55BD">
        <w:rPr>
          <w:rFonts w:ascii="Times New Roman" w:hAnsi="Times New Roman" w:cs="Times New Roman"/>
          <w:noProof/>
          <w:sz w:val="24"/>
          <w:szCs w:val="24"/>
        </w:rPr>
        <w:t xml:space="preserve">populations. Public Health Rep. 2001; 116 (supp 1):216–22. </w:t>
      </w:r>
      <w:hyperlink w:history="1" r:id="rId8">
        <w:r w:rsidRPr="00CE23E9" w:rsidR="00BB55BD">
          <w:rPr>
            <w:noProof/>
            <w:sz w:val="24"/>
            <w:szCs w:val="24"/>
          </w:rPr>
          <w:t>https://www.ncbi.nlm.nih.gov/pmc/articles/PMC1913675/pdf/pubhealthrep00206-0218.pdf</w:t>
        </w:r>
      </w:hyperlink>
    </w:p>
    <w:p w:rsidR="00BB55BD" w:rsidP="00B8008F" w:rsidRDefault="00BB55BD" w14:paraId="2585649E" w14:textId="77777777">
      <w:pPr>
        <w:pStyle w:val="EndNoteBibliography"/>
        <w:spacing w:after="0"/>
        <w:ind w:left="720" w:hanging="720"/>
        <w:jc w:val="left"/>
        <w:rPr>
          <w:rFonts w:ascii="Times New Roman" w:hAnsi="Times New Roman" w:cs="Times New Roman"/>
          <w:sz w:val="24"/>
          <w:szCs w:val="24"/>
        </w:rPr>
      </w:pPr>
    </w:p>
    <w:p w:rsidR="00B8008F" w:rsidP="00B8008F" w:rsidRDefault="00BB55BD" w14:paraId="6A3E3212" w14:textId="67C83682">
      <w:pPr>
        <w:pStyle w:val="EndNoteBibliography"/>
        <w:spacing w:after="0"/>
        <w:ind w:left="720" w:hanging="72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 w:rsidRPr="0014163D" w:rsidR="00B8008F">
        <w:rPr>
          <w:rFonts w:ascii="Times New Roman" w:hAnsi="Times New Roman" w:cs="Times New Roman"/>
          <w:sz w:val="24"/>
          <w:szCs w:val="24"/>
        </w:rPr>
        <w:t xml:space="preserve">David, M.C. and R.S. Ware, Meta-analysis of randomized controlled trials supports the use of incentives for inducing response to electronic health surveys. J Clin Epidemiol, 2014. </w:t>
      </w:r>
      <w:r w:rsidRPr="0014163D" w:rsidR="00B8008F">
        <w:rPr>
          <w:rFonts w:ascii="Times New Roman" w:hAnsi="Times New Roman" w:cs="Times New Roman"/>
          <w:b/>
          <w:sz w:val="24"/>
          <w:szCs w:val="24"/>
        </w:rPr>
        <w:t>67</w:t>
      </w:r>
      <w:r w:rsidRPr="0014163D" w:rsidR="00B8008F">
        <w:rPr>
          <w:rFonts w:ascii="Times New Roman" w:hAnsi="Times New Roman" w:cs="Times New Roman"/>
          <w:sz w:val="24"/>
          <w:szCs w:val="24"/>
        </w:rPr>
        <w:t>(11): p. 1210-21.</w:t>
      </w:r>
    </w:p>
    <w:p w:rsidRPr="0014163D" w:rsidR="00B8008F" w:rsidP="00B8008F" w:rsidRDefault="00B8008F" w14:paraId="6F13D2EC" w14:textId="77777777">
      <w:pPr>
        <w:pStyle w:val="EndNoteBibliography"/>
        <w:spacing w:after="0"/>
        <w:ind w:left="720" w:hanging="720"/>
        <w:jc w:val="left"/>
        <w:rPr>
          <w:rFonts w:ascii="Times New Roman" w:hAnsi="Times New Roman" w:cs="Times New Roman"/>
          <w:sz w:val="24"/>
          <w:szCs w:val="24"/>
        </w:rPr>
      </w:pPr>
    </w:p>
    <w:p w:rsidR="00B8008F" w:rsidP="00B8008F" w:rsidRDefault="00BB55BD" w14:paraId="668FA7A3" w14:textId="5D768286">
      <w:pPr>
        <w:pStyle w:val="EndNoteBibliography"/>
        <w:spacing w:after="0"/>
        <w:ind w:left="720" w:hanging="72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14163D" w:rsidR="00B8008F">
        <w:rPr>
          <w:rFonts w:ascii="Times New Roman" w:hAnsi="Times New Roman" w:cs="Times New Roman"/>
          <w:sz w:val="24"/>
          <w:szCs w:val="24"/>
        </w:rPr>
        <w:t>.</w:t>
      </w:r>
      <w:r w:rsidRPr="0014163D" w:rsidR="00B8008F">
        <w:rPr>
          <w:rFonts w:ascii="Times New Roman" w:hAnsi="Times New Roman" w:cs="Times New Roman"/>
          <w:sz w:val="24"/>
          <w:szCs w:val="24"/>
        </w:rPr>
        <w:tab/>
        <w:t xml:space="preserve">Yu, S., et al., The effectiveness of a monetary incentive offer on survey response rates and response completeness in a longitudinal study. BMC Med Res Methodol, 2017. </w:t>
      </w:r>
      <w:r w:rsidRPr="0014163D" w:rsidR="00B8008F">
        <w:rPr>
          <w:rFonts w:ascii="Times New Roman" w:hAnsi="Times New Roman" w:cs="Times New Roman"/>
          <w:b/>
          <w:sz w:val="24"/>
          <w:szCs w:val="24"/>
        </w:rPr>
        <w:t>17</w:t>
      </w:r>
      <w:r w:rsidRPr="0014163D" w:rsidR="00B8008F">
        <w:rPr>
          <w:rFonts w:ascii="Times New Roman" w:hAnsi="Times New Roman" w:cs="Times New Roman"/>
          <w:sz w:val="24"/>
          <w:szCs w:val="24"/>
        </w:rPr>
        <w:t>(1): p. 77.</w:t>
      </w:r>
    </w:p>
    <w:p w:rsidRPr="0014163D" w:rsidR="00B8008F" w:rsidP="00B8008F" w:rsidRDefault="00B8008F" w14:paraId="301EF474" w14:textId="77777777">
      <w:pPr>
        <w:pStyle w:val="EndNoteBibliography"/>
        <w:spacing w:after="0"/>
        <w:ind w:left="720" w:hanging="720"/>
        <w:jc w:val="left"/>
        <w:rPr>
          <w:rFonts w:ascii="Times New Roman" w:hAnsi="Times New Roman" w:cs="Times New Roman"/>
          <w:sz w:val="24"/>
          <w:szCs w:val="24"/>
        </w:rPr>
      </w:pPr>
    </w:p>
    <w:p w:rsidR="00B8008F" w:rsidP="00B8008F" w:rsidRDefault="00BB55BD" w14:paraId="2E94D09F" w14:textId="267A358F">
      <w:pPr>
        <w:pStyle w:val="EndNoteBibliography"/>
        <w:spacing w:after="0"/>
        <w:ind w:left="720" w:hanging="72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14163D" w:rsidR="00B8008F">
        <w:rPr>
          <w:rFonts w:ascii="Times New Roman" w:hAnsi="Times New Roman" w:cs="Times New Roman"/>
          <w:sz w:val="24"/>
          <w:szCs w:val="24"/>
        </w:rPr>
        <w:t>.</w:t>
      </w:r>
      <w:r w:rsidRPr="0014163D" w:rsidR="00B8008F">
        <w:rPr>
          <w:rFonts w:ascii="Times New Roman" w:hAnsi="Times New Roman" w:cs="Times New Roman"/>
          <w:sz w:val="24"/>
          <w:szCs w:val="24"/>
        </w:rPr>
        <w:tab/>
        <w:t>Abreu, D.A. and F. Winters. Using monetary incentives to reduce attrition in the survey i foncime and program participation. in Proceedings of the Survey Research Methods Section of the American Statistical Association. 1999.</w:t>
      </w:r>
    </w:p>
    <w:p w:rsidRPr="0014163D" w:rsidR="00B8008F" w:rsidP="00B8008F" w:rsidRDefault="00B8008F" w14:paraId="1E142C5F" w14:textId="77777777">
      <w:pPr>
        <w:pStyle w:val="EndNoteBibliography"/>
        <w:spacing w:after="0"/>
        <w:ind w:left="720" w:hanging="720"/>
        <w:jc w:val="left"/>
        <w:rPr>
          <w:rFonts w:ascii="Times New Roman" w:hAnsi="Times New Roman" w:cs="Times New Roman"/>
          <w:sz w:val="24"/>
          <w:szCs w:val="24"/>
        </w:rPr>
      </w:pPr>
    </w:p>
    <w:p w:rsidRPr="0014163D" w:rsidR="00B8008F" w:rsidP="00B8008F" w:rsidRDefault="00BB55BD" w14:paraId="06F6EC5E" w14:textId="3965717C">
      <w:pPr>
        <w:pStyle w:val="EndNoteBibliography"/>
        <w:ind w:left="720" w:hanging="72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14163D" w:rsidR="00B8008F">
        <w:rPr>
          <w:rFonts w:ascii="Times New Roman" w:hAnsi="Times New Roman" w:cs="Times New Roman"/>
          <w:sz w:val="24"/>
          <w:szCs w:val="24"/>
        </w:rPr>
        <w:t>.</w:t>
      </w:r>
      <w:r w:rsidRPr="0014163D" w:rsidR="00B8008F">
        <w:rPr>
          <w:rFonts w:ascii="Times New Roman" w:hAnsi="Times New Roman" w:cs="Times New Roman"/>
          <w:sz w:val="24"/>
          <w:szCs w:val="24"/>
        </w:rPr>
        <w:tab/>
        <w:t xml:space="preserve">Singer, E. and C. Ye, The use and effects of incentives in surveys. Annals of the American Academy of Political and Social Science, 2012. </w:t>
      </w:r>
      <w:r w:rsidRPr="0014163D" w:rsidR="00B8008F">
        <w:rPr>
          <w:rFonts w:ascii="Times New Roman" w:hAnsi="Times New Roman" w:cs="Times New Roman"/>
          <w:b/>
          <w:sz w:val="24"/>
          <w:szCs w:val="24"/>
        </w:rPr>
        <w:t>645</w:t>
      </w:r>
      <w:r w:rsidRPr="0014163D" w:rsidR="00B8008F">
        <w:rPr>
          <w:rFonts w:ascii="Times New Roman" w:hAnsi="Times New Roman" w:cs="Times New Roman"/>
          <w:sz w:val="24"/>
          <w:szCs w:val="24"/>
        </w:rPr>
        <w:t>(1): p. 112-141.</w:t>
      </w:r>
    </w:p>
    <w:p w:rsidRPr="004B6F57" w:rsidR="004B6F57" w:rsidP="00B8008F" w:rsidRDefault="00B8008F" w14:paraId="30D5870D" w14:textId="734B6C29">
      <w:pPr>
        <w:rPr>
          <w:rFonts w:ascii="Times New Roman" w:hAnsi="Times New Roman" w:cs="Times New Roman"/>
          <w:sz w:val="24"/>
          <w:szCs w:val="24"/>
        </w:rPr>
      </w:pPr>
      <w:r w:rsidRPr="0014163D">
        <w:rPr>
          <w:rFonts w:ascii="Times New Roman" w:hAnsi="Times New Roman" w:cs="Times New Roman"/>
          <w:sz w:val="24"/>
          <w:szCs w:val="24"/>
        </w:rPr>
        <w:fldChar w:fldCharType="end"/>
      </w:r>
    </w:p>
    <w:sectPr w:rsidRPr="004B6F57" w:rsidR="004B6F57" w:rsidSect="00D26908">
      <w:footerReference w:type="default" r:id="rId9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0F7583" w14:textId="77777777" w:rsidR="009D7E97" w:rsidRDefault="009D7E97" w:rsidP="009E1F1E">
      <w:pPr>
        <w:spacing w:after="0" w:line="240" w:lineRule="auto"/>
      </w:pPr>
      <w:r>
        <w:separator/>
      </w:r>
    </w:p>
  </w:endnote>
  <w:endnote w:type="continuationSeparator" w:id="0">
    <w:p w14:paraId="6B3085C5" w14:textId="77777777" w:rsidR="009D7E97" w:rsidRDefault="009D7E97" w:rsidP="009E1F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845525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2F46A8" w14:textId="35660163" w:rsidR="009E1F1E" w:rsidRDefault="009E1F1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16D7BC3" w14:textId="77777777" w:rsidR="009E1F1E" w:rsidRDefault="009E1F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C4E8DB" w14:textId="77777777" w:rsidR="009D7E97" w:rsidRDefault="009D7E97" w:rsidP="009E1F1E">
      <w:pPr>
        <w:spacing w:after="0" w:line="240" w:lineRule="auto"/>
      </w:pPr>
      <w:r>
        <w:separator/>
      </w:r>
    </w:p>
  </w:footnote>
  <w:footnote w:type="continuationSeparator" w:id="0">
    <w:p w14:paraId="6CE984E7" w14:textId="77777777" w:rsidR="009D7E97" w:rsidRDefault="009D7E97" w:rsidP="009E1F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74449"/>
    <w:multiLevelType w:val="hybridMultilevel"/>
    <w:tmpl w:val="B69E7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D7AAB"/>
    <w:multiLevelType w:val="hybridMultilevel"/>
    <w:tmpl w:val="AA9CD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72C40"/>
    <w:multiLevelType w:val="hybridMultilevel"/>
    <w:tmpl w:val="615A10D0"/>
    <w:lvl w:ilvl="0" w:tplc="4684BD18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1D40D3"/>
    <w:multiLevelType w:val="hybridMultilevel"/>
    <w:tmpl w:val="5616DEB0"/>
    <w:lvl w:ilvl="0" w:tplc="A3C08FDA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B256CA"/>
    <w:multiLevelType w:val="hybridMultilevel"/>
    <w:tmpl w:val="F3FA8616"/>
    <w:lvl w:ilvl="0" w:tplc="7E807D46">
      <w:start w:val="1"/>
      <w:numFmt w:val="decimal"/>
      <w:pStyle w:val="Heading1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>
      <w:start w:val="1"/>
      <w:numFmt w:val="decimal"/>
      <w:lvlText w:val="%4."/>
      <w:lvlJc w:val="left"/>
      <w:pPr>
        <w:ind w:left="2160" w:hanging="360"/>
      </w:pPr>
    </w:lvl>
    <w:lvl w:ilvl="4" w:tplc="04090019">
      <w:start w:val="1"/>
      <w:numFmt w:val="lowerLetter"/>
      <w:lvlText w:val="%5."/>
      <w:lvlJc w:val="left"/>
      <w:pPr>
        <w:ind w:left="2880" w:hanging="360"/>
      </w:pPr>
    </w:lvl>
    <w:lvl w:ilvl="5" w:tplc="0409001B">
      <w:start w:val="1"/>
      <w:numFmt w:val="lowerRoman"/>
      <w:lvlText w:val="%6."/>
      <w:lvlJc w:val="right"/>
      <w:pPr>
        <w:ind w:left="3600" w:hanging="180"/>
      </w:pPr>
    </w:lvl>
    <w:lvl w:ilvl="6" w:tplc="0409000F">
      <w:start w:val="1"/>
      <w:numFmt w:val="decimal"/>
      <w:lvlText w:val="%7."/>
      <w:lvlJc w:val="left"/>
      <w:pPr>
        <w:ind w:left="4320" w:hanging="360"/>
      </w:pPr>
    </w:lvl>
    <w:lvl w:ilvl="7" w:tplc="04090019">
      <w:start w:val="1"/>
      <w:numFmt w:val="lowerLetter"/>
      <w:lvlText w:val="%8."/>
      <w:lvlJc w:val="left"/>
      <w:pPr>
        <w:ind w:left="5040" w:hanging="360"/>
      </w:pPr>
    </w:lvl>
    <w:lvl w:ilvl="8" w:tplc="0409001B">
      <w:start w:val="1"/>
      <w:numFmt w:val="lowerRoman"/>
      <w:lvlText w:val="%9."/>
      <w:lvlJc w:val="right"/>
      <w:pPr>
        <w:ind w:left="5760" w:hanging="180"/>
      </w:pPr>
    </w:lvl>
  </w:abstractNum>
  <w:abstractNum w:abstractNumId="5" w15:restartNumberingAfterBreak="0">
    <w:nsid w:val="353E5002"/>
    <w:multiLevelType w:val="hybridMultilevel"/>
    <w:tmpl w:val="965EFFC2"/>
    <w:lvl w:ilvl="0" w:tplc="13D2D4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B24D70"/>
    <w:multiLevelType w:val="hybridMultilevel"/>
    <w:tmpl w:val="C1F200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DC38D6"/>
    <w:multiLevelType w:val="hybridMultilevel"/>
    <w:tmpl w:val="6C8EFD70"/>
    <w:lvl w:ilvl="0" w:tplc="836090F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C121E0"/>
    <w:multiLevelType w:val="hybridMultilevel"/>
    <w:tmpl w:val="6CF68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8"/>
  </w:num>
  <w:num w:numId="5">
    <w:abstractNumId w:val="1"/>
  </w:num>
  <w:num w:numId="6">
    <w:abstractNumId w:val="6"/>
  </w:num>
  <w:num w:numId="7">
    <w:abstractNumId w:val="7"/>
  </w:num>
  <w:num w:numId="8">
    <w:abstractNumId w:val="2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umbered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s5xrfav0mvsapdexepap9atd5ssvw5zddeaz&quot;&gt;OMB Package References Articles&lt;record-ids&gt;&lt;item&gt;12&lt;/item&gt;&lt;item&gt;13&lt;/item&gt;&lt;item&gt;14&lt;/item&gt;&lt;item&gt;15&lt;/item&gt;&lt;/record-ids&gt;&lt;/item&gt;&lt;/Libraries&gt;"/>
  </w:docVars>
  <w:rsids>
    <w:rsidRoot w:val="004B6F57"/>
    <w:rsid w:val="00023CC4"/>
    <w:rsid w:val="00043433"/>
    <w:rsid w:val="00050EB1"/>
    <w:rsid w:val="000515A8"/>
    <w:rsid w:val="00055BB7"/>
    <w:rsid w:val="00072C3C"/>
    <w:rsid w:val="00081A87"/>
    <w:rsid w:val="00094655"/>
    <w:rsid w:val="000A0BD8"/>
    <w:rsid w:val="000A2FC6"/>
    <w:rsid w:val="000B3111"/>
    <w:rsid w:val="000B7468"/>
    <w:rsid w:val="000C3FBC"/>
    <w:rsid w:val="000C7686"/>
    <w:rsid w:val="000D388E"/>
    <w:rsid w:val="000E3B8F"/>
    <w:rsid w:val="000E55F0"/>
    <w:rsid w:val="000F5AEB"/>
    <w:rsid w:val="000F6B26"/>
    <w:rsid w:val="000F7686"/>
    <w:rsid w:val="0011268F"/>
    <w:rsid w:val="001320CA"/>
    <w:rsid w:val="001334D6"/>
    <w:rsid w:val="0014163D"/>
    <w:rsid w:val="00147C31"/>
    <w:rsid w:val="00167F27"/>
    <w:rsid w:val="00182C88"/>
    <w:rsid w:val="0018517C"/>
    <w:rsid w:val="001875BD"/>
    <w:rsid w:val="001D416F"/>
    <w:rsid w:val="001E3A2E"/>
    <w:rsid w:val="001F1AE2"/>
    <w:rsid w:val="001F2EDF"/>
    <w:rsid w:val="001F3201"/>
    <w:rsid w:val="001F4E55"/>
    <w:rsid w:val="00202AD2"/>
    <w:rsid w:val="00214425"/>
    <w:rsid w:val="0022304D"/>
    <w:rsid w:val="00254204"/>
    <w:rsid w:val="00261A9E"/>
    <w:rsid w:val="00266C84"/>
    <w:rsid w:val="00282360"/>
    <w:rsid w:val="0029592C"/>
    <w:rsid w:val="002C62D8"/>
    <w:rsid w:val="002C7670"/>
    <w:rsid w:val="002D1661"/>
    <w:rsid w:val="002D3488"/>
    <w:rsid w:val="002D40A6"/>
    <w:rsid w:val="00301706"/>
    <w:rsid w:val="003050C7"/>
    <w:rsid w:val="00311B2D"/>
    <w:rsid w:val="00313008"/>
    <w:rsid w:val="00326740"/>
    <w:rsid w:val="00330281"/>
    <w:rsid w:val="00333D46"/>
    <w:rsid w:val="00333FD8"/>
    <w:rsid w:val="00354BBF"/>
    <w:rsid w:val="003601F3"/>
    <w:rsid w:val="00365CF1"/>
    <w:rsid w:val="0037217B"/>
    <w:rsid w:val="003A2489"/>
    <w:rsid w:val="003A2903"/>
    <w:rsid w:val="003A4757"/>
    <w:rsid w:val="003B657C"/>
    <w:rsid w:val="003B7564"/>
    <w:rsid w:val="003D1C19"/>
    <w:rsid w:val="003E0E4B"/>
    <w:rsid w:val="003F0799"/>
    <w:rsid w:val="003F2208"/>
    <w:rsid w:val="003F5004"/>
    <w:rsid w:val="00400210"/>
    <w:rsid w:val="00404D3B"/>
    <w:rsid w:val="00407A71"/>
    <w:rsid w:val="00416425"/>
    <w:rsid w:val="004349F0"/>
    <w:rsid w:val="0044784B"/>
    <w:rsid w:val="0046670D"/>
    <w:rsid w:val="004A23DC"/>
    <w:rsid w:val="004B30D7"/>
    <w:rsid w:val="004B6F57"/>
    <w:rsid w:val="004D1D01"/>
    <w:rsid w:val="004E6ACC"/>
    <w:rsid w:val="004F2138"/>
    <w:rsid w:val="004F627F"/>
    <w:rsid w:val="004F63A4"/>
    <w:rsid w:val="00507BBC"/>
    <w:rsid w:val="00531BFA"/>
    <w:rsid w:val="0055011E"/>
    <w:rsid w:val="00563C82"/>
    <w:rsid w:val="00567440"/>
    <w:rsid w:val="00580B66"/>
    <w:rsid w:val="00583548"/>
    <w:rsid w:val="005B47EA"/>
    <w:rsid w:val="005C64A1"/>
    <w:rsid w:val="005C7C75"/>
    <w:rsid w:val="005D18C1"/>
    <w:rsid w:val="005D679D"/>
    <w:rsid w:val="005F7551"/>
    <w:rsid w:val="00603F26"/>
    <w:rsid w:val="00605E44"/>
    <w:rsid w:val="00633854"/>
    <w:rsid w:val="0064054D"/>
    <w:rsid w:val="00650B12"/>
    <w:rsid w:val="00664A8C"/>
    <w:rsid w:val="0067049F"/>
    <w:rsid w:val="006A2911"/>
    <w:rsid w:val="006A3A95"/>
    <w:rsid w:val="006B1E9A"/>
    <w:rsid w:val="006C24F8"/>
    <w:rsid w:val="006C49D2"/>
    <w:rsid w:val="006D38E3"/>
    <w:rsid w:val="006F5770"/>
    <w:rsid w:val="0070709E"/>
    <w:rsid w:val="007124C5"/>
    <w:rsid w:val="007354C5"/>
    <w:rsid w:val="007379FA"/>
    <w:rsid w:val="00746415"/>
    <w:rsid w:val="007530EF"/>
    <w:rsid w:val="00774BE5"/>
    <w:rsid w:val="00794CF7"/>
    <w:rsid w:val="007965AE"/>
    <w:rsid w:val="007C478D"/>
    <w:rsid w:val="007D3885"/>
    <w:rsid w:val="008147D6"/>
    <w:rsid w:val="008153C2"/>
    <w:rsid w:val="00830E54"/>
    <w:rsid w:val="00834002"/>
    <w:rsid w:val="008352D0"/>
    <w:rsid w:val="008550D3"/>
    <w:rsid w:val="00857688"/>
    <w:rsid w:val="00861CF1"/>
    <w:rsid w:val="00881EFA"/>
    <w:rsid w:val="008860D1"/>
    <w:rsid w:val="00895C5D"/>
    <w:rsid w:val="008A4B46"/>
    <w:rsid w:val="008C4261"/>
    <w:rsid w:val="008D0751"/>
    <w:rsid w:val="00900275"/>
    <w:rsid w:val="0094400C"/>
    <w:rsid w:val="0094628C"/>
    <w:rsid w:val="00965BAE"/>
    <w:rsid w:val="0097019C"/>
    <w:rsid w:val="00980B42"/>
    <w:rsid w:val="009A0C81"/>
    <w:rsid w:val="009A1370"/>
    <w:rsid w:val="009B579B"/>
    <w:rsid w:val="009D38F6"/>
    <w:rsid w:val="009D4BAD"/>
    <w:rsid w:val="009D7400"/>
    <w:rsid w:val="009D7E97"/>
    <w:rsid w:val="009E1F1E"/>
    <w:rsid w:val="009E237D"/>
    <w:rsid w:val="009F068F"/>
    <w:rsid w:val="009F069D"/>
    <w:rsid w:val="00A04C3F"/>
    <w:rsid w:val="00A10D80"/>
    <w:rsid w:val="00A167E3"/>
    <w:rsid w:val="00A26ED8"/>
    <w:rsid w:val="00A40DF4"/>
    <w:rsid w:val="00A414AA"/>
    <w:rsid w:val="00A46196"/>
    <w:rsid w:val="00A52402"/>
    <w:rsid w:val="00A66BB6"/>
    <w:rsid w:val="00A84CB2"/>
    <w:rsid w:val="00A94CE7"/>
    <w:rsid w:val="00AB195C"/>
    <w:rsid w:val="00AB2862"/>
    <w:rsid w:val="00AC3700"/>
    <w:rsid w:val="00AE0AC5"/>
    <w:rsid w:val="00AE3DD1"/>
    <w:rsid w:val="00AE47BD"/>
    <w:rsid w:val="00B11371"/>
    <w:rsid w:val="00B135AB"/>
    <w:rsid w:val="00B149BC"/>
    <w:rsid w:val="00B20AC6"/>
    <w:rsid w:val="00B347EC"/>
    <w:rsid w:val="00B61D2F"/>
    <w:rsid w:val="00B77851"/>
    <w:rsid w:val="00B8008F"/>
    <w:rsid w:val="00B81BE7"/>
    <w:rsid w:val="00B93F55"/>
    <w:rsid w:val="00B95EB8"/>
    <w:rsid w:val="00B96C96"/>
    <w:rsid w:val="00BB344C"/>
    <w:rsid w:val="00BB55BD"/>
    <w:rsid w:val="00BE60B7"/>
    <w:rsid w:val="00BF1652"/>
    <w:rsid w:val="00C10CE7"/>
    <w:rsid w:val="00C24A86"/>
    <w:rsid w:val="00C2796B"/>
    <w:rsid w:val="00C63A5B"/>
    <w:rsid w:val="00C80F0D"/>
    <w:rsid w:val="00CB38D4"/>
    <w:rsid w:val="00CD2109"/>
    <w:rsid w:val="00CE0B7F"/>
    <w:rsid w:val="00CE23E9"/>
    <w:rsid w:val="00CF0ACD"/>
    <w:rsid w:val="00CF77CF"/>
    <w:rsid w:val="00D14814"/>
    <w:rsid w:val="00D22D77"/>
    <w:rsid w:val="00D26908"/>
    <w:rsid w:val="00D33861"/>
    <w:rsid w:val="00D80D1D"/>
    <w:rsid w:val="00D814D9"/>
    <w:rsid w:val="00D860F1"/>
    <w:rsid w:val="00D86CAA"/>
    <w:rsid w:val="00D910A3"/>
    <w:rsid w:val="00DB0D57"/>
    <w:rsid w:val="00E07E22"/>
    <w:rsid w:val="00E225A5"/>
    <w:rsid w:val="00E22965"/>
    <w:rsid w:val="00E37E20"/>
    <w:rsid w:val="00E578CB"/>
    <w:rsid w:val="00E9419B"/>
    <w:rsid w:val="00EC10D4"/>
    <w:rsid w:val="00ED5AB5"/>
    <w:rsid w:val="00ED6D46"/>
    <w:rsid w:val="00EE0291"/>
    <w:rsid w:val="00EE1257"/>
    <w:rsid w:val="00EE7CC1"/>
    <w:rsid w:val="00F11E76"/>
    <w:rsid w:val="00F15DF8"/>
    <w:rsid w:val="00F21373"/>
    <w:rsid w:val="00F25835"/>
    <w:rsid w:val="00F4113B"/>
    <w:rsid w:val="00F84B0E"/>
    <w:rsid w:val="00FB116D"/>
    <w:rsid w:val="00FB4397"/>
    <w:rsid w:val="00FB62C6"/>
    <w:rsid w:val="00FC39C3"/>
    <w:rsid w:val="00FC70C6"/>
    <w:rsid w:val="00FD14F9"/>
    <w:rsid w:val="00FD2CF7"/>
    <w:rsid w:val="00FD681E"/>
    <w:rsid w:val="00FE0B6C"/>
    <w:rsid w:val="00FE13E7"/>
    <w:rsid w:val="00FE32F2"/>
    <w:rsid w:val="00FE5965"/>
    <w:rsid w:val="00FE6C83"/>
    <w:rsid w:val="00FF21BF"/>
    <w:rsid w:val="00FF3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71FEE"/>
  <w15:chartTrackingRefBased/>
  <w15:docId w15:val="{4B0EF408-062D-48B8-9D33-54ED4E815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ListParagraph"/>
    <w:next w:val="Normal"/>
    <w:link w:val="Heading1Char"/>
    <w:uiPriority w:val="9"/>
    <w:qFormat/>
    <w:rsid w:val="00416425"/>
    <w:pPr>
      <w:numPr>
        <w:numId w:val="1"/>
      </w:numPr>
      <w:spacing w:after="0" w:line="240" w:lineRule="auto"/>
      <w:ind w:left="720"/>
      <w:outlineLvl w:val="0"/>
    </w:pPr>
    <w:rPr>
      <w:rFonts w:ascii="Times New Roman" w:eastAsia="Times New Roman" w:hAnsi="Times New Roman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79FA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93F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3F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3F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3F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3F5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3F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F5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9E237D"/>
    <w:rPr>
      <w:color w:val="0563C1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16425"/>
    <w:rPr>
      <w:rFonts w:ascii="Times New Roman" w:eastAsia="Times New Roman" w:hAnsi="Times New Roman"/>
      <w:b/>
      <w:sz w:val="24"/>
    </w:rPr>
  </w:style>
  <w:style w:type="paragraph" w:styleId="ListParagraph">
    <w:name w:val="List Paragraph"/>
    <w:aliases w:val="Bullet List,FooterText,List Paragraph1,Colorful List Accent 1,Colorful List - Accent 11,numbered,Paragraphe de liste1,列出段落,列出段落1,Bulletr List Paragraph,List Paragraph2,List Paragraph21,Párrafo de lista1,Parágrafo da Lista1,リスト段落1,Plan,3"/>
    <w:basedOn w:val="Normal"/>
    <w:link w:val="ListParagraphChar"/>
    <w:uiPriority w:val="34"/>
    <w:qFormat/>
    <w:rsid w:val="0041642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23CC4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3CC4"/>
    <w:rPr>
      <w:i/>
      <w:iCs/>
      <w:color w:val="404040" w:themeColor="text1" w:themeTint="BF"/>
    </w:rPr>
  </w:style>
  <w:style w:type="paragraph" w:customStyle="1" w:styleId="biblio">
    <w:name w:val="biblio"/>
    <w:basedOn w:val="Normal"/>
    <w:uiPriority w:val="99"/>
    <w:rsid w:val="008352D0"/>
    <w:pPr>
      <w:spacing w:after="240" w:line="240" w:lineRule="auto"/>
      <w:ind w:left="720" w:hanging="720"/>
    </w:pPr>
    <w:rPr>
      <w:rFonts w:ascii="Times New Roman" w:eastAsia="Times New Roman" w:hAnsi="Times New Roman" w:cs="Times New Roman"/>
      <w:sz w:val="24"/>
      <w:szCs w:val="24"/>
    </w:rPr>
  </w:style>
  <w:style w:type="character" w:styleId="FootnoteReference">
    <w:name w:val="footnote reference"/>
    <w:semiHidden/>
    <w:rsid w:val="00857688"/>
  </w:style>
  <w:style w:type="paragraph" w:styleId="FootnoteText">
    <w:name w:val="footnote text"/>
    <w:basedOn w:val="Normal"/>
    <w:link w:val="FootnoteTextChar"/>
    <w:semiHidden/>
    <w:rsid w:val="00857688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57688"/>
    <w:rPr>
      <w:rFonts w:ascii="Calibri" w:eastAsia="Calibri" w:hAnsi="Calibri" w:cs="Times New Roman"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57688"/>
    <w:pPr>
      <w:keepNext/>
      <w:keepLines/>
      <w:numPr>
        <w:numId w:val="0"/>
      </w:numPr>
      <w:spacing w:before="480" w:line="276" w:lineRule="auto"/>
      <w:contextualSpacing w:val="0"/>
      <w:outlineLvl w:val="9"/>
    </w:pPr>
    <w:rPr>
      <w:rFonts w:ascii="Cambria" w:hAnsi="Cambria" w:cs="Times New Roman"/>
      <w:bCs/>
      <w:color w:val="365F91"/>
      <w:sz w:val="28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AE0AC5"/>
    <w:rPr>
      <w:color w:val="954F72" w:themeColor="followedHyperlink"/>
      <w:u w:val="single"/>
    </w:rPr>
  </w:style>
  <w:style w:type="paragraph" w:customStyle="1" w:styleId="EndNoteBibliographyTitle">
    <w:name w:val="EndNote Bibliography Title"/>
    <w:basedOn w:val="Normal"/>
    <w:link w:val="EndNoteBibliographyTitleChar"/>
    <w:rsid w:val="00365CF1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365CF1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365CF1"/>
    <w:pPr>
      <w:spacing w:line="240" w:lineRule="auto"/>
      <w:jc w:val="center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365CF1"/>
    <w:rPr>
      <w:rFonts w:ascii="Calibri" w:hAnsi="Calibri" w:cs="Calibri"/>
      <w:noProof/>
    </w:rPr>
  </w:style>
  <w:style w:type="paragraph" w:customStyle="1" w:styleId="BodyText21">
    <w:name w:val="Body Text 21"/>
    <w:basedOn w:val="Normal"/>
    <w:rsid w:val="00FE5965"/>
    <w:pPr>
      <w:spacing w:after="0" w:line="240" w:lineRule="auto"/>
    </w:pPr>
    <w:rPr>
      <w:rFonts w:ascii="Times" w:eastAsia="Times New Roman" w:hAnsi="Times" w:cs="Times New Roman"/>
      <w:sz w:val="24"/>
      <w:szCs w:val="20"/>
    </w:rPr>
  </w:style>
  <w:style w:type="character" w:customStyle="1" w:styleId="aBold">
    <w:name w:val="a. +Bold"/>
    <w:uiPriority w:val="1"/>
    <w:qFormat/>
    <w:rsid w:val="004D1D01"/>
    <w:rPr>
      <w:b/>
    </w:rPr>
  </w:style>
  <w:style w:type="character" w:customStyle="1" w:styleId="ListParagraphChar">
    <w:name w:val="List Paragraph Char"/>
    <w:aliases w:val="Bullet List Char,FooterText Char,List Paragraph1 Char,Colorful List Accent 1 Char,Colorful List - Accent 11 Char,numbered Char,Paragraphe de liste1 Char,列出段落 Char,列出段落1 Char,Bulletr List Paragraph Char,List Paragraph2 Char,Plan Char"/>
    <w:link w:val="ListParagraph"/>
    <w:uiPriority w:val="34"/>
    <w:qFormat/>
    <w:locked/>
    <w:rsid w:val="004D1D01"/>
  </w:style>
  <w:style w:type="paragraph" w:styleId="Header">
    <w:name w:val="header"/>
    <w:basedOn w:val="Normal"/>
    <w:link w:val="HeaderChar"/>
    <w:uiPriority w:val="99"/>
    <w:unhideWhenUsed/>
    <w:rsid w:val="009E1F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1F1E"/>
  </w:style>
  <w:style w:type="paragraph" w:styleId="Footer">
    <w:name w:val="footer"/>
    <w:basedOn w:val="Normal"/>
    <w:link w:val="FooterChar"/>
    <w:uiPriority w:val="99"/>
    <w:unhideWhenUsed/>
    <w:rsid w:val="009E1F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1F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6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bi.nlm.nih.gov/pmc/articles/PMC1913675/pdf/pubhealthrep00206-0218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1557C8-0FA4-4CA9-999E-61557DE85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1435</Words>
  <Characters>8181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9597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Zapata, Lauren (CDC/DDNID/NCCDPHP/DRH)</dc:creator>
  <cp:keywords/>
  <dc:description/>
  <cp:lastModifiedBy>Tevendale, Heather D. (CDC/DDNID/NCCDPHP/DRH)</cp:lastModifiedBy>
  <cp:revision>3</cp:revision>
  <cp:lastPrinted>2020-01-22T13:58:00Z</cp:lastPrinted>
  <dcterms:created xsi:type="dcterms:W3CDTF">2020-01-22T14:28:00Z</dcterms:created>
  <dcterms:modified xsi:type="dcterms:W3CDTF">2020-01-22T14:30:00Z</dcterms:modified>
</cp:coreProperties>
</file>