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7F0" w:rsidRDefault="001D17F0" w14:paraId="33AA6E29" w14:textId="77777777">
      <w:pPr>
        <w:jc w:val="center"/>
        <w:rPr>
          <w:b/>
          <w:bCs/>
          <w:iCs/>
        </w:rPr>
      </w:pPr>
    </w:p>
    <w:p w:rsidR="00CA444B" w:rsidP="004C438D" w:rsidRDefault="00116747" w14:paraId="2C50FA21" w14:textId="77777777">
      <w:pPr>
        <w:jc w:val="center"/>
        <w:outlineLvl w:val="0"/>
        <w:rPr>
          <w:b/>
          <w:bCs/>
          <w:iCs/>
        </w:rPr>
      </w:pPr>
      <w:r>
        <w:rPr>
          <w:b/>
          <w:bCs/>
          <w:iCs/>
        </w:rPr>
        <w:t xml:space="preserve">Supporting Statement A. </w:t>
      </w:r>
    </w:p>
    <w:p w:rsidR="00CA444B" w:rsidP="004C438D" w:rsidRDefault="00CA444B" w14:paraId="399898A8" w14:textId="77777777">
      <w:pPr>
        <w:jc w:val="center"/>
        <w:outlineLvl w:val="0"/>
        <w:rPr>
          <w:b/>
          <w:bCs/>
          <w:iCs/>
        </w:rPr>
      </w:pPr>
    </w:p>
    <w:p w:rsidR="0003580D" w:rsidP="004C438D" w:rsidRDefault="0003580D" w14:paraId="2E25489D" w14:textId="77777777">
      <w:pPr>
        <w:jc w:val="center"/>
        <w:outlineLvl w:val="0"/>
        <w:rPr>
          <w:b/>
          <w:bCs/>
          <w:iCs/>
        </w:rPr>
      </w:pPr>
    </w:p>
    <w:p w:rsidR="001D17F0" w:rsidP="004C438D" w:rsidRDefault="00116747" w14:paraId="675F71DE" w14:textId="538AA860">
      <w:pPr>
        <w:jc w:val="center"/>
        <w:outlineLvl w:val="0"/>
        <w:rPr>
          <w:b/>
          <w:bCs/>
          <w:iCs/>
        </w:rPr>
      </w:pPr>
      <w:r>
        <w:rPr>
          <w:b/>
          <w:bCs/>
          <w:iCs/>
        </w:rPr>
        <w:t xml:space="preserve"> </w:t>
      </w:r>
      <w:r w:rsidR="00746515">
        <w:rPr>
          <w:b/>
          <w:bCs/>
          <w:iCs/>
        </w:rPr>
        <w:t xml:space="preserve">Request </w:t>
      </w:r>
      <w:r w:rsidR="00BC432A">
        <w:rPr>
          <w:b/>
          <w:bCs/>
          <w:iCs/>
        </w:rPr>
        <w:t>for</w:t>
      </w:r>
      <w:r>
        <w:rPr>
          <w:b/>
          <w:bCs/>
          <w:iCs/>
        </w:rPr>
        <w:t xml:space="preserve"> </w:t>
      </w:r>
      <w:r w:rsidR="00B35923">
        <w:rPr>
          <w:b/>
          <w:bCs/>
          <w:iCs/>
        </w:rPr>
        <w:t>Revision</w:t>
      </w:r>
      <w:r w:rsidR="00746515">
        <w:rPr>
          <w:b/>
          <w:bCs/>
          <w:iCs/>
        </w:rPr>
        <w:t>:</w:t>
      </w:r>
      <w:r w:rsidR="001D17F0">
        <w:rPr>
          <w:b/>
          <w:bCs/>
          <w:iCs/>
        </w:rPr>
        <w:t xml:space="preserve"> </w:t>
      </w:r>
    </w:p>
    <w:p w:rsidR="001D17F0" w:rsidRDefault="001D17F0" w14:paraId="53A052C0" w14:textId="77777777">
      <w:pPr>
        <w:jc w:val="center"/>
        <w:rPr>
          <w:b/>
          <w:bCs/>
          <w:iCs/>
        </w:rPr>
      </w:pPr>
    </w:p>
    <w:p w:rsidRPr="001D17F0" w:rsidR="001D17F0" w:rsidP="004C438D" w:rsidRDefault="001D17F0" w14:paraId="48936851" w14:textId="77777777">
      <w:pPr>
        <w:jc w:val="center"/>
        <w:outlineLvl w:val="0"/>
        <w:rPr>
          <w:b/>
          <w:bCs/>
          <w:iCs/>
        </w:rPr>
      </w:pPr>
      <w:r w:rsidRPr="001D17F0">
        <w:rPr>
          <w:b/>
          <w:bCs/>
          <w:iCs/>
        </w:rPr>
        <w:t>Customer Surveys Generic Clearance</w:t>
      </w:r>
    </w:p>
    <w:p w:rsidRPr="001D17F0" w:rsidR="001D17F0" w:rsidRDefault="001D17F0" w14:paraId="5A15B9B9" w14:textId="77777777">
      <w:pPr>
        <w:jc w:val="center"/>
        <w:rPr>
          <w:b/>
          <w:bCs/>
          <w:iCs/>
        </w:rPr>
      </w:pPr>
      <w:r>
        <w:rPr>
          <w:b/>
          <w:bCs/>
          <w:iCs/>
        </w:rPr>
        <w:t>f</w:t>
      </w:r>
      <w:r w:rsidRPr="001D17F0">
        <w:rPr>
          <w:b/>
          <w:bCs/>
          <w:iCs/>
        </w:rPr>
        <w:t>or the</w:t>
      </w:r>
    </w:p>
    <w:p w:rsidR="001D17F0" w:rsidRDefault="001D17F0" w14:paraId="0E82E74B"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rsidRDefault="001D17F0" w14:paraId="4EEFF01A" w14:textId="77777777">
      <w:pPr>
        <w:jc w:val="center"/>
        <w:rPr>
          <w:b/>
          <w:bCs/>
          <w:i/>
          <w:iCs/>
        </w:rPr>
      </w:pPr>
    </w:p>
    <w:p w:rsidR="001D17F0" w:rsidRDefault="00746515" w14:paraId="65DAF6B3" w14:textId="77777777">
      <w:pPr>
        <w:jc w:val="center"/>
        <w:rPr>
          <w:b/>
          <w:bCs/>
          <w:i/>
          <w:iCs/>
        </w:rPr>
      </w:pPr>
      <w:r>
        <w:rPr>
          <w:b/>
          <w:bCs/>
          <w:iCs/>
        </w:rPr>
        <w:t>OMB No. 0920-0729</w:t>
      </w:r>
    </w:p>
    <w:p w:rsidR="001D17F0" w:rsidRDefault="001D17F0" w14:paraId="1C372864" w14:textId="77777777">
      <w:pPr>
        <w:jc w:val="center"/>
        <w:rPr>
          <w:b/>
          <w:bCs/>
          <w:iCs/>
        </w:rPr>
      </w:pPr>
    </w:p>
    <w:p w:rsidR="001D17F0" w:rsidRDefault="0003580D" w14:paraId="0B15455F" w14:textId="77777777">
      <w:pPr>
        <w:jc w:val="center"/>
        <w:rPr>
          <w:b/>
          <w:bCs/>
          <w:iCs/>
        </w:rPr>
      </w:pPr>
      <w:r>
        <w:rPr>
          <w:b/>
          <w:bCs/>
          <w:iCs/>
        </w:rPr>
        <w:t>(</w:t>
      </w:r>
      <w:r w:rsidR="005C10CA">
        <w:rPr>
          <w:b/>
          <w:bCs/>
          <w:iCs/>
        </w:rPr>
        <w:t>Expires</w:t>
      </w:r>
      <w:r>
        <w:rPr>
          <w:b/>
          <w:bCs/>
          <w:iCs/>
        </w:rPr>
        <w:t xml:space="preserve"> </w:t>
      </w:r>
      <w:r w:rsidR="007D2705">
        <w:rPr>
          <w:b/>
          <w:bCs/>
          <w:iCs/>
        </w:rPr>
        <w:t xml:space="preserve">September </w:t>
      </w:r>
      <w:r w:rsidR="00541C48">
        <w:rPr>
          <w:b/>
          <w:bCs/>
          <w:iCs/>
        </w:rPr>
        <w:t>3</w:t>
      </w:r>
      <w:r w:rsidR="007D2705">
        <w:rPr>
          <w:b/>
          <w:bCs/>
          <w:iCs/>
        </w:rPr>
        <w:t>0</w:t>
      </w:r>
      <w:r>
        <w:rPr>
          <w:b/>
          <w:bCs/>
          <w:iCs/>
        </w:rPr>
        <w:t>, 20</w:t>
      </w:r>
      <w:r w:rsidR="007D2705">
        <w:rPr>
          <w:b/>
          <w:bCs/>
          <w:iCs/>
        </w:rPr>
        <w:t>20</w:t>
      </w:r>
      <w:r>
        <w:rPr>
          <w:b/>
          <w:bCs/>
          <w:iCs/>
        </w:rPr>
        <w:t>)</w:t>
      </w:r>
    </w:p>
    <w:p w:rsidR="001D17F0" w:rsidRDefault="001D17F0" w14:paraId="4A12F419" w14:textId="77777777">
      <w:pPr>
        <w:jc w:val="center"/>
        <w:rPr>
          <w:b/>
          <w:bCs/>
          <w:iCs/>
        </w:rPr>
      </w:pPr>
    </w:p>
    <w:p w:rsidR="001D17F0" w:rsidP="004C438D" w:rsidRDefault="001D17F0" w14:paraId="542B51D3" w14:textId="77777777">
      <w:pPr>
        <w:jc w:val="center"/>
        <w:outlineLvl w:val="0"/>
        <w:rPr>
          <w:b/>
          <w:bCs/>
          <w:iCs/>
        </w:rPr>
      </w:pPr>
      <w:r>
        <w:rPr>
          <w:b/>
          <w:bCs/>
          <w:iCs/>
        </w:rPr>
        <w:t xml:space="preserve">Contact </w:t>
      </w:r>
      <w:r w:rsidR="00746515">
        <w:rPr>
          <w:b/>
          <w:bCs/>
          <w:iCs/>
        </w:rPr>
        <w:t>Information</w:t>
      </w:r>
    </w:p>
    <w:p w:rsidR="001D17F0" w:rsidRDefault="001D17F0" w14:paraId="1CEEF754" w14:textId="77777777">
      <w:pPr>
        <w:jc w:val="center"/>
        <w:rPr>
          <w:b/>
          <w:bCs/>
          <w:iCs/>
        </w:rPr>
      </w:pPr>
    </w:p>
    <w:p w:rsidR="001D17F0" w:rsidP="004C438D" w:rsidRDefault="00B040D6" w14:paraId="169305AB" w14:textId="77777777">
      <w:pPr>
        <w:jc w:val="center"/>
        <w:outlineLvl w:val="0"/>
        <w:rPr>
          <w:b/>
          <w:bCs/>
          <w:iCs/>
        </w:rPr>
      </w:pPr>
      <w:r>
        <w:rPr>
          <w:b/>
          <w:bCs/>
          <w:iCs/>
        </w:rPr>
        <w:t>Summer King</w:t>
      </w:r>
    </w:p>
    <w:p w:rsidR="001D17F0" w:rsidRDefault="001D17F0" w14:paraId="214D34C9" w14:textId="77777777">
      <w:pPr>
        <w:jc w:val="center"/>
        <w:rPr>
          <w:b/>
          <w:bCs/>
          <w:iCs/>
        </w:rPr>
      </w:pPr>
      <w:r>
        <w:rPr>
          <w:b/>
          <w:bCs/>
          <w:iCs/>
        </w:rPr>
        <w:t xml:space="preserve">Office of </w:t>
      </w:r>
      <w:r w:rsidR="00116747">
        <w:rPr>
          <w:b/>
          <w:bCs/>
          <w:iCs/>
        </w:rPr>
        <w:t>Planning, Budget, and Legislation</w:t>
      </w:r>
    </w:p>
    <w:p w:rsidR="001D17F0" w:rsidRDefault="001D17F0" w14:paraId="29EEB752" w14:textId="77777777">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rsidRDefault="00746515" w14:paraId="45FB9663" w14:textId="77777777">
      <w:pPr>
        <w:jc w:val="center"/>
        <w:rPr>
          <w:b/>
          <w:bCs/>
          <w:iCs/>
        </w:rPr>
      </w:pPr>
      <w:r>
        <w:rPr>
          <w:b/>
          <w:bCs/>
          <w:iCs/>
        </w:rPr>
        <w:t xml:space="preserve">3311 Toledo Road, Room </w:t>
      </w:r>
      <w:r w:rsidR="00B040D6">
        <w:rPr>
          <w:b/>
          <w:bCs/>
          <w:iCs/>
        </w:rPr>
        <w:t>2560</w:t>
      </w:r>
    </w:p>
    <w:p w:rsidR="00746515" w:rsidRDefault="00746515" w14:paraId="5FC52662" w14:textId="77777777">
      <w:pPr>
        <w:jc w:val="center"/>
        <w:rPr>
          <w:b/>
          <w:bCs/>
          <w:iCs/>
        </w:rPr>
      </w:pPr>
      <w:r>
        <w:rPr>
          <w:b/>
          <w:bCs/>
          <w:iCs/>
        </w:rPr>
        <w:t>Hyattsville, MD 20782</w:t>
      </w:r>
    </w:p>
    <w:p w:rsidR="00746515" w:rsidP="00746515" w:rsidRDefault="009D77EF" w14:paraId="295E7650" w14:textId="77777777">
      <w:pPr>
        <w:jc w:val="center"/>
        <w:rPr>
          <w:b/>
          <w:bCs/>
          <w:iCs/>
        </w:rPr>
      </w:pPr>
      <w:r>
        <w:rPr>
          <w:b/>
          <w:bCs/>
          <w:iCs/>
        </w:rPr>
        <w:t>301-</w:t>
      </w:r>
      <w:r w:rsidR="001D17F0">
        <w:rPr>
          <w:b/>
          <w:bCs/>
          <w:iCs/>
        </w:rPr>
        <w:t>458-</w:t>
      </w:r>
      <w:r w:rsidR="00B040D6">
        <w:rPr>
          <w:b/>
          <w:bCs/>
          <w:iCs/>
        </w:rPr>
        <w:t>4253</w:t>
      </w:r>
      <w:r w:rsidRPr="00746515" w:rsidR="00746515">
        <w:rPr>
          <w:b/>
          <w:bCs/>
          <w:iCs/>
        </w:rPr>
        <w:t xml:space="preserve"> </w:t>
      </w:r>
    </w:p>
    <w:p w:rsidR="00746515" w:rsidP="00746515" w:rsidRDefault="00B040D6" w14:paraId="27EDA671" w14:textId="77777777">
      <w:pPr>
        <w:jc w:val="center"/>
        <w:rPr>
          <w:b/>
          <w:bCs/>
          <w:iCs/>
        </w:rPr>
      </w:pPr>
      <w:r>
        <w:t>sking@cdc.gov</w:t>
      </w:r>
    </w:p>
    <w:p w:rsidR="00746515" w:rsidP="00746515" w:rsidRDefault="00746515" w14:paraId="63170C8C" w14:textId="77777777">
      <w:pPr>
        <w:jc w:val="center"/>
        <w:rPr>
          <w:b/>
          <w:bCs/>
          <w:iCs/>
        </w:rPr>
      </w:pPr>
    </w:p>
    <w:p w:rsidR="00746515" w:rsidP="00746515" w:rsidRDefault="00746515" w14:paraId="06494C5A" w14:textId="77777777">
      <w:pPr>
        <w:jc w:val="center"/>
        <w:rPr>
          <w:b/>
          <w:bCs/>
          <w:iCs/>
        </w:rPr>
      </w:pPr>
    </w:p>
    <w:p w:rsidR="00787E1F" w:rsidP="00787E1F" w:rsidRDefault="00255775" w14:paraId="4502C4FA" w14:textId="5B59D025">
      <w:pPr>
        <w:widowControl/>
        <w:autoSpaceDE/>
        <w:autoSpaceDN/>
        <w:adjustRightInd/>
        <w:jc w:val="center"/>
        <w:rPr>
          <w:b/>
          <w:bCs/>
          <w:iCs/>
        </w:rPr>
      </w:pPr>
      <w:r>
        <w:rPr>
          <w:b/>
          <w:bCs/>
          <w:iCs/>
        </w:rPr>
        <w:t>August 10</w:t>
      </w:r>
      <w:r w:rsidR="00287570">
        <w:rPr>
          <w:b/>
          <w:bCs/>
          <w:iCs/>
        </w:rPr>
        <w:t>,</w:t>
      </w:r>
      <w:r w:rsidR="00541C48">
        <w:rPr>
          <w:b/>
          <w:bCs/>
          <w:iCs/>
        </w:rPr>
        <w:t xml:space="preserve"> 20</w:t>
      </w:r>
      <w:r w:rsidR="00B040D6">
        <w:rPr>
          <w:b/>
          <w:bCs/>
          <w:iCs/>
        </w:rPr>
        <w:t>20</w:t>
      </w:r>
    </w:p>
    <w:p w:rsidR="00787E1F" w:rsidRDefault="00787E1F" w14:paraId="164B9213" w14:textId="77777777">
      <w:pPr>
        <w:widowControl/>
        <w:autoSpaceDE/>
        <w:autoSpaceDN/>
        <w:adjustRightInd/>
        <w:rPr>
          <w:b/>
          <w:bCs/>
          <w:iCs/>
        </w:rPr>
      </w:pPr>
      <w:r>
        <w:rPr>
          <w:b/>
          <w:bCs/>
          <w:iCs/>
        </w:rPr>
        <w:br w:type="page"/>
      </w:r>
    </w:p>
    <w:p w:rsidRPr="00787E1F" w:rsidR="00787E1F" w:rsidP="00787E1F" w:rsidRDefault="00C667E6" w14:paraId="6C2FA1EA" w14:textId="77777777">
      <w:pPr>
        <w:widowControl/>
        <w:autoSpaceDE/>
        <w:autoSpaceDN/>
        <w:adjustRightInd/>
        <w:rPr>
          <w:bCs/>
          <w:iCs/>
        </w:rPr>
      </w:pPr>
      <w:r>
        <w:rPr>
          <w:bCs/>
          <w:iCs/>
        </w:rPr>
        <w:lastRenderedPageBreak/>
        <w:t>   </w:t>
      </w:r>
    </w:p>
    <w:p w:rsidRPr="00787E1F" w:rsidR="00787E1F" w:rsidP="00787E1F" w:rsidRDefault="00787E1F" w14:paraId="7A6384FE" w14:textId="77777777">
      <w:pPr>
        <w:widowControl/>
        <w:autoSpaceDE/>
        <w:autoSpaceDN/>
        <w:adjustRightInd/>
        <w:rPr>
          <w:bCs/>
          <w:iCs/>
        </w:rPr>
      </w:pPr>
      <w:r w:rsidRPr="00787E1F">
        <w:rPr>
          <w:bCs/>
          <w:iCs/>
        </w:rPr>
        <w:t>                                       </w:t>
      </w:r>
    </w:p>
    <w:p w:rsidRPr="00D82058" w:rsidR="00D82058" w:rsidP="00D82058" w:rsidRDefault="00D82058" w14:paraId="56F1EF32" w14:textId="77777777">
      <w:pPr>
        <w:keepNext/>
        <w:keepLines/>
        <w:widowControl/>
        <w:autoSpaceDE/>
        <w:autoSpaceDN/>
        <w:adjustRightInd/>
        <w:spacing w:before="240" w:line="259" w:lineRule="auto"/>
      </w:pPr>
      <w:r w:rsidRPr="00D82058">
        <w:t>Table of Contents</w:t>
      </w:r>
    </w:p>
    <w:p w:rsidRPr="00D82058" w:rsidR="00D82058" w:rsidP="00D82058" w:rsidRDefault="00D82058" w14:paraId="1A7232CC" w14:textId="77777777">
      <w:pPr>
        <w:tabs>
          <w:tab w:val="right" w:leader="dot" w:pos="9350"/>
        </w:tabs>
        <w:spacing w:after="100"/>
        <w:ind w:left="360" w:hanging="360"/>
        <w:rPr>
          <w:rFonts w:ascii="Calibri" w:hAnsi="Calibri"/>
          <w:noProof/>
          <w:sz w:val="22"/>
          <w:szCs w:val="22"/>
        </w:rPr>
      </w:pPr>
      <w:r w:rsidRPr="00D82058">
        <w:fldChar w:fldCharType="begin"/>
      </w:r>
      <w:r w:rsidRPr="00D82058">
        <w:instrText xml:space="preserve"> TOC \o "1-3" \h \z \u </w:instrText>
      </w:r>
      <w:r w:rsidRPr="00D82058">
        <w:fldChar w:fldCharType="separate"/>
      </w:r>
      <w:hyperlink w:history="1" w:anchor="_Toc477855240">
        <w:r w:rsidRPr="00D82058">
          <w:rPr>
            <w:noProof/>
          </w:rPr>
          <w:t xml:space="preserve">1.  </w:t>
        </w:r>
        <w:r w:rsidRPr="00D82058">
          <w:rPr>
            <w:bCs/>
            <w:noProof/>
          </w:rPr>
          <w:t>Circumstances Making the Collection of Information Necessary</w:t>
        </w:r>
        <w:r w:rsidRPr="00D82058">
          <w:rPr>
            <w:noProof/>
            <w:webHidden/>
          </w:rPr>
          <w:tab/>
        </w:r>
      </w:hyperlink>
      <w:r w:rsidR="000144DA">
        <w:rPr>
          <w:noProof/>
        </w:rPr>
        <w:t>3</w:t>
      </w:r>
    </w:p>
    <w:p w:rsidRPr="00D82058" w:rsidR="00D82058" w:rsidP="00D82058" w:rsidRDefault="00D82058" w14:paraId="2A138996" w14:textId="77777777">
      <w:pPr>
        <w:tabs>
          <w:tab w:val="right" w:leader="dot" w:pos="9350"/>
        </w:tabs>
        <w:spacing w:after="100"/>
        <w:ind w:left="360" w:hanging="360"/>
        <w:rPr>
          <w:noProof/>
          <w:webHidden/>
        </w:rPr>
      </w:pPr>
      <w:r w:rsidRPr="00D82058">
        <w:rPr>
          <w:noProof/>
        </w:rPr>
        <w:t xml:space="preserve">2.  </w:t>
      </w:r>
      <w:r w:rsidRPr="00D82058">
        <w:rPr>
          <w:bCs/>
          <w:noProof/>
        </w:rPr>
        <w:t>Purpose and Use of the Information Collection</w:t>
      </w:r>
      <w:r w:rsidRPr="00D82058">
        <w:rPr>
          <w:noProof/>
          <w:webHidden/>
        </w:rPr>
        <w:tab/>
        <w:t>5</w:t>
      </w:r>
    </w:p>
    <w:p w:rsidRPr="00D82058" w:rsidR="00D82058" w:rsidP="00D82058" w:rsidRDefault="00D82058" w14:paraId="4A92124A" w14:textId="77777777">
      <w:pPr>
        <w:tabs>
          <w:tab w:val="right" w:leader="dot" w:pos="9350"/>
        </w:tabs>
        <w:spacing w:after="100"/>
        <w:ind w:left="360" w:hanging="360"/>
        <w:rPr>
          <w:noProof/>
          <w:webHidden/>
        </w:rPr>
      </w:pPr>
      <w:r w:rsidRPr="00D82058">
        <w:rPr>
          <w:noProof/>
        </w:rPr>
        <w:t xml:space="preserve">3.  </w:t>
      </w:r>
      <w:r w:rsidRPr="00D82058">
        <w:rPr>
          <w:bCs/>
          <w:noProof/>
        </w:rPr>
        <w:t>Use of Improved Information Technology and Burden Reduction</w:t>
      </w:r>
      <w:r w:rsidRPr="00D82058">
        <w:rPr>
          <w:noProof/>
          <w:webHidden/>
        </w:rPr>
        <w:tab/>
        <w:t>5</w:t>
      </w:r>
    </w:p>
    <w:p w:rsidRPr="00D82058" w:rsidR="00D82058" w:rsidP="00D82058" w:rsidRDefault="00D82058" w14:paraId="60D46FB5" w14:textId="77777777">
      <w:pPr>
        <w:tabs>
          <w:tab w:val="right" w:leader="dot" w:pos="9350"/>
        </w:tabs>
        <w:spacing w:after="100"/>
        <w:ind w:left="360" w:hanging="360"/>
        <w:rPr>
          <w:rFonts w:ascii="Calibri" w:hAnsi="Calibri"/>
          <w:noProof/>
          <w:webHidden/>
          <w:sz w:val="22"/>
          <w:szCs w:val="22"/>
        </w:rPr>
      </w:pPr>
      <w:r w:rsidRPr="00D82058">
        <w:rPr>
          <w:noProof/>
        </w:rPr>
        <w:t xml:space="preserve">4.  </w:t>
      </w:r>
      <w:r w:rsidRPr="00D82058">
        <w:rPr>
          <w:bCs/>
          <w:noProof/>
        </w:rPr>
        <w:t>Efforts to Identify Duplication and Use of Similar Information</w:t>
      </w:r>
      <w:r w:rsidRPr="00D82058">
        <w:rPr>
          <w:noProof/>
          <w:webHidden/>
        </w:rPr>
        <w:tab/>
      </w:r>
      <w:r>
        <w:rPr>
          <w:noProof/>
          <w:webHidden/>
        </w:rPr>
        <w:t>6</w:t>
      </w:r>
    </w:p>
    <w:p w:rsidRPr="00D82058" w:rsidR="00D82058" w:rsidP="00D82058" w:rsidRDefault="00D82058" w14:paraId="50CE4FE4" w14:textId="77777777">
      <w:pPr>
        <w:tabs>
          <w:tab w:val="right" w:leader="dot" w:pos="9350"/>
        </w:tabs>
        <w:spacing w:after="100"/>
        <w:rPr>
          <w:rFonts w:ascii="Calibri" w:hAnsi="Calibri"/>
          <w:noProof/>
          <w:webHidden/>
          <w:sz w:val="22"/>
          <w:szCs w:val="22"/>
        </w:rPr>
      </w:pPr>
      <w:r w:rsidRPr="00D82058">
        <w:rPr>
          <w:noProof/>
        </w:rPr>
        <w:t xml:space="preserve">5.  </w:t>
      </w:r>
      <w:r w:rsidRPr="00D82058">
        <w:rPr>
          <w:bCs/>
          <w:noProof/>
        </w:rPr>
        <w:t>Impact on Small Businesses or Other Small Entities</w:t>
      </w:r>
      <w:r w:rsidRPr="00D82058">
        <w:rPr>
          <w:noProof/>
          <w:webHidden/>
        </w:rPr>
        <w:tab/>
      </w:r>
      <w:r>
        <w:rPr>
          <w:noProof/>
          <w:webHidden/>
        </w:rPr>
        <w:t>6</w:t>
      </w:r>
    </w:p>
    <w:p w:rsidRPr="00D82058" w:rsidR="00D82058" w:rsidP="00D82058" w:rsidRDefault="00103A9A" w14:paraId="15DBAF34" w14:textId="77777777">
      <w:pPr>
        <w:tabs>
          <w:tab w:val="right" w:leader="dot" w:pos="9350"/>
        </w:tabs>
        <w:spacing w:after="100"/>
        <w:ind w:left="360" w:hanging="360"/>
        <w:rPr>
          <w:rFonts w:ascii="Calibri" w:hAnsi="Calibri"/>
          <w:noProof/>
          <w:sz w:val="22"/>
          <w:szCs w:val="22"/>
        </w:rPr>
      </w:pPr>
      <w:hyperlink w:history="1" w:anchor="_Toc477855254">
        <w:r w:rsidRPr="00D82058" w:rsidR="00D82058">
          <w:rPr>
            <w:noProof/>
          </w:rPr>
          <w:t xml:space="preserve">6.  </w:t>
        </w:r>
        <w:r w:rsidRPr="00D82058" w:rsidR="00D82058">
          <w:rPr>
            <w:bCs/>
            <w:noProof/>
          </w:rPr>
          <w:t>Consequences of Collecting the Information Less Frequently</w:t>
        </w:r>
        <w:r w:rsidRPr="00D82058" w:rsidR="00D82058">
          <w:rPr>
            <w:noProof/>
            <w:webHidden/>
          </w:rPr>
          <w:tab/>
        </w:r>
        <w:r w:rsidR="00D82058">
          <w:rPr>
            <w:noProof/>
            <w:webHidden/>
          </w:rPr>
          <w:t>6</w:t>
        </w:r>
      </w:hyperlink>
    </w:p>
    <w:p w:rsidRPr="00D82058" w:rsidR="00D82058" w:rsidP="00D82058" w:rsidRDefault="00103A9A" w14:paraId="27DD1B69" w14:textId="77777777">
      <w:pPr>
        <w:tabs>
          <w:tab w:val="right" w:leader="dot" w:pos="9350"/>
        </w:tabs>
        <w:spacing w:after="100"/>
        <w:ind w:left="360" w:hanging="360"/>
        <w:rPr>
          <w:rFonts w:ascii="Calibri" w:hAnsi="Calibri"/>
          <w:noProof/>
          <w:sz w:val="22"/>
          <w:szCs w:val="22"/>
        </w:rPr>
      </w:pPr>
      <w:hyperlink w:history="1" w:anchor="_Toc477855256">
        <w:r w:rsidRPr="00D82058" w:rsidR="00D82058">
          <w:rPr>
            <w:noProof/>
          </w:rPr>
          <w:t xml:space="preserve">7.  </w:t>
        </w:r>
        <w:r w:rsidRPr="00D82058" w:rsidR="00D82058">
          <w:rPr>
            <w:bCs/>
            <w:noProof/>
          </w:rPr>
          <w:t>Specific Circumstances Relating to the Guidelines of 5 CFR 1320.5</w:t>
        </w:r>
        <w:r w:rsidRPr="00D82058" w:rsidR="00D82058">
          <w:rPr>
            <w:noProof/>
            <w:webHidden/>
          </w:rPr>
          <w:tab/>
        </w:r>
      </w:hyperlink>
      <w:r w:rsidR="000144DA">
        <w:rPr>
          <w:noProof/>
        </w:rPr>
        <w:t>6</w:t>
      </w:r>
    </w:p>
    <w:p w:rsidRPr="00D82058" w:rsidR="00D82058" w:rsidP="00D82058" w:rsidRDefault="00103A9A" w14:paraId="6871437D" w14:textId="77777777">
      <w:pPr>
        <w:tabs>
          <w:tab w:val="right" w:leader="dot" w:pos="9350"/>
        </w:tabs>
        <w:spacing w:after="100"/>
        <w:ind w:left="360" w:hanging="360"/>
        <w:rPr>
          <w:rFonts w:ascii="Calibri" w:hAnsi="Calibri"/>
          <w:noProof/>
          <w:sz w:val="22"/>
          <w:szCs w:val="22"/>
        </w:rPr>
      </w:pPr>
      <w:hyperlink w:history="1" w:anchor="_Toc477855257">
        <w:r w:rsidRPr="00D82058" w:rsidR="00D82058">
          <w:rPr>
            <w:noProof/>
          </w:rPr>
          <w:t xml:space="preserve">8.  </w:t>
        </w:r>
        <w:r w:rsidRPr="00D82058" w:rsidR="00D82058">
          <w:rPr>
            <w:bCs/>
            <w:noProof/>
          </w:rPr>
          <w:t>Comments in Response to the Federal Register Notice and Efforts to Consult Outside     Agency</w:t>
        </w:r>
        <w:r w:rsidRPr="00D82058" w:rsidR="00D82058">
          <w:rPr>
            <w:noProof/>
            <w:webHidden/>
          </w:rPr>
          <w:tab/>
        </w:r>
        <w:r w:rsidR="00D82058">
          <w:rPr>
            <w:noProof/>
            <w:webHidden/>
          </w:rPr>
          <w:t>6</w:t>
        </w:r>
      </w:hyperlink>
    </w:p>
    <w:p w:rsidRPr="00D82058" w:rsidR="00D82058" w:rsidP="00D82058" w:rsidRDefault="00D82058" w14:paraId="5C370307" w14:textId="77777777">
      <w:pPr>
        <w:tabs>
          <w:tab w:val="right" w:leader="dot" w:pos="9350"/>
        </w:tabs>
        <w:spacing w:after="100"/>
        <w:ind w:left="360" w:hanging="360"/>
        <w:rPr>
          <w:noProof/>
          <w:webHidden/>
        </w:rPr>
      </w:pPr>
      <w:r w:rsidRPr="00D82058">
        <w:rPr>
          <w:noProof/>
        </w:rPr>
        <w:t xml:space="preserve">9.  </w:t>
      </w:r>
      <w:r w:rsidRPr="00D82058">
        <w:rPr>
          <w:bCs/>
          <w:noProof/>
        </w:rPr>
        <w:t>Explanation of Any Payment or Gift to Respondents</w:t>
      </w:r>
      <w:r w:rsidRPr="00D82058">
        <w:rPr>
          <w:noProof/>
          <w:webHidden/>
        </w:rPr>
        <w:tab/>
      </w:r>
      <w:r>
        <w:rPr>
          <w:noProof/>
          <w:webHidden/>
        </w:rPr>
        <w:t>6</w:t>
      </w:r>
    </w:p>
    <w:p w:rsidRPr="00D82058" w:rsidR="00D82058" w:rsidP="00D82058" w:rsidRDefault="00103A9A" w14:paraId="457BFD9B" w14:textId="77777777">
      <w:pPr>
        <w:tabs>
          <w:tab w:val="right" w:leader="dot" w:pos="9350"/>
        </w:tabs>
        <w:spacing w:after="100"/>
        <w:ind w:left="360" w:hanging="360"/>
        <w:rPr>
          <w:rFonts w:ascii="Calibri" w:hAnsi="Calibri"/>
          <w:noProof/>
          <w:sz w:val="22"/>
          <w:szCs w:val="22"/>
        </w:rPr>
      </w:pPr>
      <w:hyperlink w:history="1" w:anchor="_Toc477855261">
        <w:r w:rsidRPr="00D82058" w:rsidR="00D82058">
          <w:rPr>
            <w:noProof/>
          </w:rPr>
          <w:t xml:space="preserve">10.  </w:t>
        </w:r>
        <w:r w:rsidRPr="00D82058" w:rsidR="00D82058">
          <w:rPr>
            <w:bCs/>
            <w:noProof/>
          </w:rPr>
          <w:t>Protection of the Privacy and Confidentiality of Information Provided by Respondents</w:t>
        </w:r>
      </w:hyperlink>
      <w:r w:rsidRPr="00D82058" w:rsidR="00D82058">
        <w:rPr>
          <w:bCs/>
          <w:noProof/>
        </w:rPr>
        <w:t xml:space="preserve"> …...</w:t>
      </w:r>
      <w:r w:rsidR="006B05B8">
        <w:rPr>
          <w:rFonts w:ascii="Calibri" w:hAnsi="Calibri"/>
          <w:noProof/>
          <w:sz w:val="22"/>
          <w:szCs w:val="22"/>
        </w:rPr>
        <w:t>7</w:t>
      </w:r>
    </w:p>
    <w:p w:rsidRPr="00D82058" w:rsidR="00D82058" w:rsidP="00D82058" w:rsidRDefault="00103A9A" w14:paraId="40BD09E3" w14:textId="77777777">
      <w:pPr>
        <w:tabs>
          <w:tab w:val="right" w:leader="dot" w:pos="9350"/>
        </w:tabs>
        <w:spacing w:after="100"/>
        <w:ind w:left="360" w:hanging="360"/>
        <w:rPr>
          <w:rFonts w:ascii="Calibri" w:hAnsi="Calibri"/>
          <w:noProof/>
          <w:sz w:val="22"/>
          <w:szCs w:val="22"/>
        </w:rPr>
      </w:pPr>
      <w:hyperlink w:history="1" w:anchor="_Toc477855262">
        <w:r w:rsidRPr="00D82058" w:rsidR="00D82058">
          <w:rPr>
            <w:noProof/>
          </w:rPr>
          <w:t xml:space="preserve">11.  </w:t>
        </w:r>
        <w:r w:rsidRPr="00D82058" w:rsidR="00D82058">
          <w:rPr>
            <w:bCs/>
            <w:noProof/>
          </w:rPr>
          <w:t>Institutional Review Board (IRB) and Justification for Sensitive Questions</w:t>
        </w:r>
        <w:r w:rsidRPr="00D82058" w:rsidR="00D82058">
          <w:rPr>
            <w:noProof/>
            <w:webHidden/>
          </w:rPr>
          <w:tab/>
        </w:r>
      </w:hyperlink>
      <w:r w:rsidR="000144DA">
        <w:rPr>
          <w:noProof/>
        </w:rPr>
        <w:t>7</w:t>
      </w:r>
    </w:p>
    <w:p w:rsidRPr="00D82058" w:rsidR="00D82058" w:rsidP="00D82058" w:rsidRDefault="00103A9A" w14:paraId="2F31167E" w14:textId="77777777">
      <w:pPr>
        <w:tabs>
          <w:tab w:val="right" w:leader="dot" w:pos="9350"/>
        </w:tabs>
        <w:spacing w:after="100"/>
        <w:ind w:left="360" w:hanging="360"/>
        <w:rPr>
          <w:rFonts w:ascii="Calibri" w:hAnsi="Calibri"/>
          <w:noProof/>
          <w:sz w:val="22"/>
          <w:szCs w:val="22"/>
        </w:rPr>
      </w:pPr>
      <w:hyperlink w:history="1" w:anchor="_Toc477855263">
        <w:r w:rsidRPr="00D82058" w:rsidR="006B05B8">
          <w:rPr>
            <w:noProof/>
          </w:rPr>
          <w:t xml:space="preserve">12.  </w:t>
        </w:r>
        <w:r w:rsidRPr="00D82058" w:rsidR="006B05B8">
          <w:rPr>
            <w:bCs/>
            <w:noProof/>
          </w:rPr>
          <w:t>Estimates of Annualized Burden Hours and Costs</w:t>
        </w:r>
        <w:r w:rsidRPr="00D82058" w:rsidR="006B05B8">
          <w:rPr>
            <w:noProof/>
            <w:webHidden/>
          </w:rPr>
          <w:tab/>
        </w:r>
        <w:r w:rsidR="006B05B8">
          <w:rPr>
            <w:noProof/>
            <w:webHidden/>
          </w:rPr>
          <w:t>8</w:t>
        </w:r>
      </w:hyperlink>
    </w:p>
    <w:p w:rsidRPr="00D82058" w:rsidR="00D82058" w:rsidP="00D82058" w:rsidRDefault="00103A9A" w14:paraId="0938AF20" w14:textId="77777777">
      <w:pPr>
        <w:tabs>
          <w:tab w:val="right" w:leader="dot" w:pos="9350"/>
        </w:tabs>
        <w:spacing w:after="100"/>
        <w:ind w:left="360" w:hanging="360"/>
        <w:rPr>
          <w:rFonts w:ascii="Calibri" w:hAnsi="Calibri"/>
          <w:noProof/>
          <w:sz w:val="22"/>
          <w:szCs w:val="22"/>
        </w:rPr>
      </w:pPr>
      <w:hyperlink w:history="1" w:anchor="_Toc477855265">
        <w:r w:rsidRPr="00D82058" w:rsidR="00D82058">
          <w:rPr>
            <w:noProof/>
          </w:rPr>
          <w:t xml:space="preserve">13.  </w:t>
        </w:r>
        <w:r w:rsidRPr="00D82058" w:rsidR="00D82058">
          <w:rPr>
            <w:bCs/>
            <w:noProof/>
          </w:rPr>
          <w:t>Estimates of Other Total Annual Cost Burden to Respondents or Record Keepers</w:t>
        </w:r>
        <w:r w:rsidRPr="00D82058" w:rsidR="00D82058">
          <w:rPr>
            <w:noProof/>
            <w:webHidden/>
          </w:rPr>
          <w:tab/>
        </w:r>
      </w:hyperlink>
      <w:r w:rsidR="000144DA">
        <w:rPr>
          <w:noProof/>
        </w:rPr>
        <w:t>8</w:t>
      </w:r>
    </w:p>
    <w:p w:rsidRPr="00D82058" w:rsidR="00D82058" w:rsidP="00D82058" w:rsidRDefault="00103A9A" w14:paraId="5EA31FD0" w14:textId="77777777">
      <w:pPr>
        <w:tabs>
          <w:tab w:val="right" w:leader="dot" w:pos="9350"/>
        </w:tabs>
        <w:spacing w:after="100"/>
        <w:ind w:left="360" w:hanging="360"/>
        <w:rPr>
          <w:rFonts w:ascii="Calibri" w:hAnsi="Calibri"/>
          <w:noProof/>
          <w:sz w:val="22"/>
          <w:szCs w:val="22"/>
        </w:rPr>
      </w:pPr>
      <w:hyperlink w:history="1" w:anchor="_Toc477855267">
        <w:r w:rsidRPr="00D82058" w:rsidR="00D82058">
          <w:rPr>
            <w:noProof/>
          </w:rPr>
          <w:t xml:space="preserve">14.  </w:t>
        </w:r>
        <w:r w:rsidRPr="00D82058" w:rsidR="00D82058">
          <w:rPr>
            <w:bCs/>
            <w:noProof/>
          </w:rPr>
          <w:t>Annualized Cost to the Federal Government</w:t>
        </w:r>
        <w:r w:rsidRPr="00D82058" w:rsidR="00D82058">
          <w:rPr>
            <w:noProof/>
            <w:webHidden/>
          </w:rPr>
          <w:tab/>
        </w:r>
      </w:hyperlink>
      <w:r w:rsidR="000144DA">
        <w:rPr>
          <w:noProof/>
        </w:rPr>
        <w:t>8</w:t>
      </w:r>
    </w:p>
    <w:p w:rsidRPr="00D82058" w:rsidR="00D82058" w:rsidP="00D82058" w:rsidRDefault="00D82058" w14:paraId="33084974" w14:textId="77777777">
      <w:pPr>
        <w:tabs>
          <w:tab w:val="right" w:leader="dot" w:pos="9350"/>
        </w:tabs>
        <w:spacing w:after="100"/>
        <w:ind w:left="360" w:hanging="360"/>
        <w:rPr>
          <w:noProof/>
          <w:webHidden/>
        </w:rPr>
      </w:pPr>
      <w:r w:rsidRPr="00D82058">
        <w:rPr>
          <w:noProof/>
        </w:rPr>
        <w:t xml:space="preserve">15.  </w:t>
      </w:r>
      <w:r w:rsidRPr="00D82058">
        <w:rPr>
          <w:bCs/>
          <w:noProof/>
        </w:rPr>
        <w:t>Explanation for Program Changes or Adjustments</w:t>
      </w:r>
      <w:r w:rsidRPr="00D82058">
        <w:rPr>
          <w:noProof/>
          <w:webHidden/>
        </w:rPr>
        <w:tab/>
      </w:r>
      <w:r w:rsidR="006B05B8">
        <w:rPr>
          <w:noProof/>
          <w:webHidden/>
        </w:rPr>
        <w:t>9</w:t>
      </w:r>
    </w:p>
    <w:p w:rsidRPr="00D82058" w:rsidR="00D82058" w:rsidP="00D82058" w:rsidRDefault="00D82058" w14:paraId="5FF6A747" w14:textId="77777777">
      <w:pPr>
        <w:tabs>
          <w:tab w:val="right" w:leader="dot" w:pos="9350"/>
        </w:tabs>
        <w:spacing w:after="100"/>
        <w:ind w:left="360" w:hanging="360"/>
        <w:rPr>
          <w:rFonts w:ascii="Calibri" w:hAnsi="Calibri"/>
          <w:noProof/>
          <w:webHidden/>
          <w:sz w:val="22"/>
          <w:szCs w:val="22"/>
        </w:rPr>
      </w:pPr>
      <w:r w:rsidRPr="00D82058">
        <w:rPr>
          <w:noProof/>
        </w:rPr>
        <w:t xml:space="preserve">16.  </w:t>
      </w:r>
      <w:r w:rsidRPr="00D82058">
        <w:rPr>
          <w:bCs/>
          <w:noProof/>
        </w:rPr>
        <w:t>Plans for Tabulation and Publication and Project Time Schedule</w:t>
      </w:r>
      <w:r w:rsidRPr="00D82058">
        <w:rPr>
          <w:noProof/>
          <w:webHidden/>
        </w:rPr>
        <w:tab/>
      </w:r>
      <w:r w:rsidR="006B05B8">
        <w:rPr>
          <w:noProof/>
          <w:webHidden/>
        </w:rPr>
        <w:t>9</w:t>
      </w:r>
    </w:p>
    <w:p w:rsidRPr="00D82058" w:rsidR="00D82058" w:rsidP="00D82058" w:rsidRDefault="00103A9A" w14:paraId="147C3B38" w14:textId="77777777">
      <w:pPr>
        <w:tabs>
          <w:tab w:val="right" w:leader="dot" w:pos="9350"/>
        </w:tabs>
        <w:spacing w:after="100"/>
        <w:ind w:left="360" w:hanging="360"/>
        <w:rPr>
          <w:rFonts w:ascii="Calibri" w:hAnsi="Calibri"/>
          <w:noProof/>
          <w:sz w:val="22"/>
          <w:szCs w:val="22"/>
        </w:rPr>
      </w:pPr>
      <w:hyperlink w:history="1" w:anchor="_Toc477855271">
        <w:r w:rsidRPr="00D82058" w:rsidR="00D82058">
          <w:rPr>
            <w:noProof/>
          </w:rPr>
          <w:t xml:space="preserve">17.  </w:t>
        </w:r>
        <w:r w:rsidRPr="00D82058" w:rsidR="00D82058">
          <w:rPr>
            <w:bCs/>
            <w:noProof/>
          </w:rPr>
          <w:t>Reason(s) Display of OMB Expiration Date is Inappropriate</w:t>
        </w:r>
        <w:r w:rsidRPr="00D82058" w:rsidR="00D82058">
          <w:rPr>
            <w:noProof/>
            <w:webHidden/>
          </w:rPr>
          <w:tab/>
        </w:r>
      </w:hyperlink>
      <w:r w:rsidR="000144DA">
        <w:rPr>
          <w:noProof/>
        </w:rPr>
        <w:t>9</w:t>
      </w:r>
    </w:p>
    <w:p w:rsidRPr="00D82058" w:rsidR="00D82058" w:rsidP="00D82058" w:rsidRDefault="00103A9A" w14:paraId="7CF88072" w14:textId="77777777">
      <w:pPr>
        <w:tabs>
          <w:tab w:val="right" w:leader="dot" w:pos="9350"/>
        </w:tabs>
        <w:spacing w:after="100"/>
        <w:ind w:left="360" w:hanging="360"/>
        <w:rPr>
          <w:noProof/>
        </w:rPr>
      </w:pPr>
      <w:hyperlink w:history="1" w:anchor="_Toc477855273">
        <w:r w:rsidRPr="00D82058" w:rsidR="00D82058">
          <w:rPr>
            <w:noProof/>
          </w:rPr>
          <w:t xml:space="preserve">18.  </w:t>
        </w:r>
        <w:r w:rsidRPr="00D82058" w:rsidR="00D82058">
          <w:rPr>
            <w:bCs/>
            <w:noProof/>
          </w:rPr>
          <w:t>Exceptions to Certification for Paperwork Reduction Act Submissions</w:t>
        </w:r>
        <w:r w:rsidRPr="00D82058" w:rsidR="00D82058">
          <w:rPr>
            <w:noProof/>
            <w:webHidden/>
          </w:rPr>
          <w:tab/>
        </w:r>
      </w:hyperlink>
      <w:r w:rsidR="000144DA">
        <w:rPr>
          <w:noProof/>
        </w:rPr>
        <w:t>9</w:t>
      </w:r>
    </w:p>
    <w:p w:rsidRPr="00D82058" w:rsidR="00D82058" w:rsidP="00D82058" w:rsidRDefault="00D82058" w14:paraId="6464A2F4" w14:textId="77777777">
      <w:pPr>
        <w:tabs>
          <w:tab w:val="right" w:leader="dot" w:pos="9350"/>
        </w:tabs>
        <w:spacing w:after="100"/>
        <w:ind w:left="360" w:hanging="360"/>
        <w:rPr>
          <w:rFonts w:ascii="Calibri" w:hAnsi="Calibri"/>
          <w:noProof/>
          <w:sz w:val="22"/>
          <w:szCs w:val="22"/>
        </w:rPr>
      </w:pPr>
    </w:p>
    <w:p w:rsidRPr="00787E1F" w:rsidR="00494FAC" w:rsidP="00494FAC" w:rsidRDefault="00D82058" w14:paraId="03CC4921" w14:textId="77777777">
      <w:pPr>
        <w:widowControl/>
        <w:autoSpaceDE/>
        <w:autoSpaceDN/>
        <w:adjustRightInd/>
        <w:rPr>
          <w:b/>
          <w:bCs/>
          <w:i/>
          <w:iCs/>
        </w:rPr>
      </w:pPr>
      <w:r w:rsidRPr="00D82058">
        <w:rPr>
          <w:bCs/>
          <w:noProof/>
        </w:rPr>
        <w:fldChar w:fldCharType="end"/>
      </w:r>
      <w:r w:rsidRPr="005D0D3B" w:rsidR="00494FAC">
        <w:rPr>
          <w:sz w:val="20"/>
          <w:szCs w:val="20"/>
        </w:rPr>
        <w:t xml:space="preserve"> </w:t>
      </w:r>
      <w:r w:rsidRPr="005D0D3B" w:rsidR="00494FAC">
        <w:rPr>
          <w:bCs/>
          <w:noProof/>
          <w:u w:val="single"/>
        </w:rPr>
        <w:t xml:space="preserve">List of Attachments  </w:t>
      </w:r>
      <w:r w:rsidRPr="00787E1F" w:rsidR="00494FAC">
        <w:rPr>
          <w:b/>
          <w:bCs/>
          <w:i/>
          <w:iCs/>
        </w:rPr>
        <w:tab/>
        <w:t xml:space="preserve">                                                               </w:t>
      </w:r>
    </w:p>
    <w:p w:rsidRPr="005D0D3B" w:rsidR="00494FAC" w:rsidP="00494FAC" w:rsidRDefault="00494FAC" w14:paraId="4F1E2C56" w14:textId="77777777">
      <w:pPr>
        <w:widowControl/>
        <w:autoSpaceDE/>
        <w:autoSpaceDN/>
        <w:adjustRightInd/>
        <w:rPr>
          <w:bCs/>
          <w:iCs/>
        </w:rPr>
      </w:pPr>
      <w:r w:rsidRPr="005D0D3B">
        <w:rPr>
          <w:bCs/>
          <w:iCs/>
        </w:rPr>
        <w:t xml:space="preserve">A.  </w:t>
      </w:r>
      <w:r>
        <w:rPr>
          <w:bCs/>
          <w:iCs/>
        </w:rPr>
        <w:t xml:space="preserve"> </w:t>
      </w:r>
      <w:r w:rsidRPr="005D0D3B">
        <w:rPr>
          <w:bCs/>
          <w:iCs/>
        </w:rPr>
        <w:t>Authorizing Legislation</w:t>
      </w:r>
    </w:p>
    <w:p w:rsidR="00494FAC" w:rsidP="00494FAC" w:rsidRDefault="00494FAC" w14:paraId="5397C5AB" w14:textId="77777777">
      <w:pPr>
        <w:widowControl/>
        <w:autoSpaceDE/>
        <w:autoSpaceDN/>
        <w:adjustRightInd/>
        <w:rPr>
          <w:bCs/>
          <w:iCs/>
        </w:rPr>
      </w:pPr>
      <w:r w:rsidRPr="005D0D3B">
        <w:rPr>
          <w:bCs/>
          <w:iCs/>
        </w:rPr>
        <w:t>B</w:t>
      </w:r>
      <w:r>
        <w:rPr>
          <w:bCs/>
          <w:iCs/>
        </w:rPr>
        <w:t>1</w:t>
      </w:r>
      <w:r w:rsidRPr="005D0D3B">
        <w:rPr>
          <w:bCs/>
          <w:iCs/>
        </w:rPr>
        <w:t xml:space="preserve">.  </w:t>
      </w:r>
      <w:r>
        <w:rPr>
          <w:bCs/>
          <w:iCs/>
        </w:rPr>
        <w:t xml:space="preserve">60-Day </w:t>
      </w:r>
      <w:r w:rsidRPr="005D0D3B">
        <w:rPr>
          <w:bCs/>
          <w:iCs/>
        </w:rPr>
        <w:t>Federal Register Notice</w:t>
      </w:r>
    </w:p>
    <w:p w:rsidRPr="005D0D3B" w:rsidR="00494FAC" w:rsidP="00494FAC" w:rsidRDefault="00494FAC" w14:paraId="00871694" w14:textId="77777777">
      <w:pPr>
        <w:widowControl/>
        <w:autoSpaceDE/>
        <w:autoSpaceDN/>
        <w:adjustRightInd/>
        <w:rPr>
          <w:bCs/>
          <w:iCs/>
        </w:rPr>
      </w:pPr>
      <w:r>
        <w:rPr>
          <w:bCs/>
          <w:iCs/>
        </w:rPr>
        <w:t xml:space="preserve">B2.  Federal Register Notice Public Comment </w:t>
      </w:r>
    </w:p>
    <w:p w:rsidRPr="005D0D3B" w:rsidR="00494FAC" w:rsidP="00494FAC" w:rsidRDefault="00494FAC" w14:paraId="5979DCFE" w14:textId="77777777">
      <w:pPr>
        <w:widowControl/>
        <w:autoSpaceDE/>
        <w:autoSpaceDN/>
        <w:adjustRightInd/>
        <w:rPr>
          <w:bCs/>
          <w:iCs/>
        </w:rPr>
      </w:pPr>
      <w:r w:rsidRPr="005D0D3B">
        <w:rPr>
          <w:bCs/>
          <w:iCs/>
        </w:rPr>
        <w:t xml:space="preserve">C.  </w:t>
      </w:r>
      <w:r>
        <w:rPr>
          <w:bCs/>
          <w:iCs/>
        </w:rPr>
        <w:t xml:space="preserve">  </w:t>
      </w:r>
      <w:r w:rsidRPr="005D0D3B">
        <w:rPr>
          <w:bCs/>
          <w:iCs/>
        </w:rPr>
        <w:t>Human Subjects Memo</w:t>
      </w:r>
    </w:p>
    <w:p w:rsidRPr="00787E1F" w:rsidR="00787E1F" w:rsidP="00787E1F" w:rsidRDefault="00787E1F" w14:paraId="331FE314" w14:textId="77777777">
      <w:pPr>
        <w:widowControl/>
        <w:autoSpaceDE/>
        <w:autoSpaceDN/>
        <w:adjustRightInd/>
        <w:rPr>
          <w:b/>
          <w:bCs/>
          <w:i/>
          <w:iCs/>
        </w:rPr>
      </w:pPr>
    </w:p>
    <w:p w:rsidRPr="00787E1F" w:rsidR="00787E1F" w:rsidP="00787E1F" w:rsidRDefault="00787E1F" w14:paraId="69573D4C" w14:textId="77777777">
      <w:pPr>
        <w:widowControl/>
        <w:autoSpaceDE/>
        <w:autoSpaceDN/>
        <w:adjustRightInd/>
        <w:rPr>
          <w:b/>
          <w:bCs/>
          <w:i/>
          <w:iCs/>
        </w:rPr>
      </w:pPr>
      <w:r w:rsidRPr="00787E1F">
        <w:rPr>
          <w:b/>
          <w:bCs/>
          <w:i/>
          <w:iCs/>
        </w:rPr>
        <w:br/>
      </w:r>
    </w:p>
    <w:p w:rsidRPr="00787E1F" w:rsidR="00787E1F" w:rsidP="00787E1F" w:rsidRDefault="00787E1F" w14:paraId="52D76DF1" w14:textId="77777777">
      <w:pPr>
        <w:widowControl/>
        <w:autoSpaceDE/>
        <w:autoSpaceDN/>
        <w:adjustRightInd/>
        <w:rPr>
          <w:b/>
          <w:bCs/>
          <w:i/>
          <w:iCs/>
        </w:rPr>
      </w:pPr>
    </w:p>
    <w:p w:rsidRPr="00787E1F" w:rsidR="00787E1F" w:rsidP="00787E1F" w:rsidRDefault="00787E1F" w14:paraId="2DA18E85" w14:textId="77777777">
      <w:pPr>
        <w:widowControl/>
        <w:autoSpaceDE/>
        <w:autoSpaceDN/>
        <w:adjustRightInd/>
        <w:rPr>
          <w:b/>
          <w:bCs/>
          <w:i/>
          <w:iCs/>
        </w:rPr>
      </w:pPr>
      <w:r w:rsidRPr="00787E1F">
        <w:rPr>
          <w:b/>
          <w:bCs/>
          <w:i/>
          <w:iCs/>
        </w:rPr>
        <w:br w:type="page"/>
      </w:r>
    </w:p>
    <w:p w:rsidRPr="00746515" w:rsidR="00517609" w:rsidRDefault="00517609" w14:paraId="29E5413C" w14:textId="77777777">
      <w:pPr>
        <w:jc w:val="center"/>
        <w:rPr>
          <w:b/>
          <w:bCs/>
          <w:iCs/>
          <w:caps/>
        </w:rPr>
      </w:pPr>
      <w:r w:rsidRPr="00746515">
        <w:rPr>
          <w:b/>
          <w:bCs/>
          <w:iCs/>
          <w:caps/>
        </w:rPr>
        <w:lastRenderedPageBreak/>
        <w:t xml:space="preserve">Supporting Statement </w:t>
      </w:r>
      <w:r w:rsidR="00CA444B">
        <w:rPr>
          <w:b/>
          <w:bCs/>
          <w:iCs/>
          <w:caps/>
        </w:rPr>
        <w:t>A</w:t>
      </w:r>
    </w:p>
    <w:p w:rsidR="00517609" w:rsidRDefault="00517609" w14:paraId="5B04681F" w14:textId="77777777"/>
    <w:p w:rsidR="00517609" w:rsidP="00746515" w:rsidRDefault="00787E1F" w14:paraId="531B587C" w14:textId="77777777">
      <w:pPr>
        <w:outlineLvl w:val="0"/>
        <w:rPr>
          <w:b/>
          <w:caps/>
        </w:rPr>
      </w:pPr>
      <w:r w:rsidRPr="00787E1F">
        <w:rPr>
          <w:b/>
          <w:bCs/>
          <w:i/>
          <w:iCs/>
          <w:noProof/>
        </w:rPr>
        <mc:AlternateContent>
          <mc:Choice Requires="wps">
            <w:drawing>
              <wp:anchor distT="45720" distB="45720" distL="114300" distR="114300" simplePos="0" relativeHeight="251664384" behindDoc="0" locked="0" layoutInCell="1" allowOverlap="1" wp14:editId="49F0AF45" wp14:anchorId="0180EC2A">
                <wp:simplePos x="0" y="0"/>
                <wp:positionH relativeFrom="column">
                  <wp:posOffset>114300</wp:posOffset>
                </wp:positionH>
                <wp:positionV relativeFrom="paragraph">
                  <wp:posOffset>331470</wp:posOffset>
                </wp:positionV>
                <wp:extent cx="5532120" cy="3451860"/>
                <wp:effectExtent l="0" t="0" r="1143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451860"/>
                        </a:xfrm>
                        <a:prstGeom prst="rect">
                          <a:avLst/>
                        </a:prstGeom>
                        <a:solidFill>
                          <a:srgbClr val="FFFFFF"/>
                        </a:solidFill>
                        <a:ln w="9525">
                          <a:solidFill>
                            <a:srgbClr val="000000"/>
                          </a:solidFill>
                          <a:miter lim="800000"/>
                          <a:headEnd/>
                          <a:tailEnd/>
                        </a:ln>
                      </wps:spPr>
                      <wps:txbx>
                        <w:txbxContent>
                          <w:p w:rsidRPr="00D918FE" w:rsidR="00C667E6" w:rsidP="00BC7E83" w:rsidRDefault="00C667E6" w14:paraId="5537FE88" w14:textId="77777777">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study:  </w:t>
                            </w:r>
                            <w:r w:rsidRPr="00D918FE">
                              <w:t xml:space="preserve">to </w:t>
                            </w:r>
                            <w:r w:rsidRPr="00BC7E83">
                              <w:t>conduct voluntary customer surveys to assess strengths in agency products and services and to evaluate how well it addresses the e</w:t>
                            </w:r>
                            <w:r>
                              <w:t>merging needs of its data users</w:t>
                            </w:r>
                          </w:p>
                          <w:p w:rsidRPr="00D918FE" w:rsidR="00C667E6" w:rsidP="00787E1F" w:rsidRDefault="00C667E6"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D918FE" w:rsidR="00C667E6" w:rsidP="00BC7E83" w:rsidRDefault="00C667E6" w14:paraId="26923D9F" w14:textId="77777777">
                            <w:pPr>
                              <w:pStyle w:val="ListParagraph"/>
                              <w:widowControl/>
                              <w:numPr>
                                <w:ilvl w:val="0"/>
                                <w:numId w:val="7"/>
                              </w:numPr>
                              <w:autoSpaceDE/>
                              <w:autoSpaceDN/>
                              <w:adjustRightInd/>
                              <w:spacing w:after="200" w:line="276" w:lineRule="auto"/>
                              <w:rPr>
                                <w:bCs/>
                              </w:rPr>
                            </w:pPr>
                            <w:r w:rsidRPr="00D918FE">
                              <w:t xml:space="preserve">Intended use of the resulting data:  </w:t>
                            </w:r>
                            <w:r>
                              <w:t>to</w:t>
                            </w:r>
                            <w:r w:rsidRPr="00BC7E83">
                              <w:t xml:space="preserve"> plan future </w:t>
                            </w:r>
                            <w:r>
                              <w:t>initiatives</w:t>
                            </w:r>
                          </w:p>
                          <w:p w:rsidRPr="00D918FE" w:rsidR="00C667E6" w:rsidP="00787E1F" w:rsidRDefault="00C667E6" w14:paraId="5352BEB3" w14:textId="77777777">
                            <w:pPr>
                              <w:pStyle w:val="ListParagraph"/>
                              <w:rPr>
                                <w:bCs/>
                              </w:rPr>
                            </w:pPr>
                          </w:p>
                          <w:p w:rsidRPr="00D918FE" w:rsidR="00C667E6" w:rsidP="00BC7E83" w:rsidRDefault="00C667E6" w14:paraId="286AACE0" w14:textId="77777777">
                            <w:pPr>
                              <w:pStyle w:val="ListParagraph"/>
                              <w:widowControl/>
                              <w:numPr>
                                <w:ilvl w:val="0"/>
                                <w:numId w:val="7"/>
                              </w:numPr>
                              <w:autoSpaceDE/>
                              <w:autoSpaceDN/>
                              <w:adjustRightInd/>
                              <w:spacing w:after="200" w:line="276" w:lineRule="auto"/>
                              <w:rPr>
                                <w:sz w:val="22"/>
                              </w:rPr>
                            </w:pPr>
                            <w:r w:rsidRPr="00D918FE">
                              <w:rPr>
                                <w:bCs/>
                              </w:rPr>
                              <w:t xml:space="preserve">Methods to be used to collect:  </w:t>
                            </w:r>
                            <w:r>
                              <w:rPr>
                                <w:bCs/>
                              </w:rPr>
                              <w:t>methodologies may include e</w:t>
                            </w:r>
                            <w:r w:rsidRPr="00BC7E83">
                              <w:rPr>
                                <w:bCs/>
                              </w:rPr>
                              <w:t>valuation forms, mail surveys, focus groups, automated and electronic technology (e.g., e-mail, Web-based surveys), and telephone surveys</w:t>
                            </w:r>
                            <w:r w:rsidRPr="00D918FE">
                              <w:rPr>
                                <w:bCs/>
                              </w:rPr>
                              <w:t xml:space="preserve"> </w:t>
                            </w:r>
                          </w:p>
                          <w:p w:rsidRPr="00D918FE" w:rsidR="00C667E6" w:rsidP="00787E1F" w:rsidRDefault="00C667E6" w14:paraId="1F76CAAB" w14:textId="77777777">
                            <w:pPr>
                              <w:pStyle w:val="ListParagraph"/>
                            </w:pPr>
                          </w:p>
                          <w:p w:rsidRPr="00BC7E83" w:rsidR="00C667E6" w:rsidP="00BC7E83" w:rsidRDefault="00C667E6" w14:paraId="2B49CBED" w14:textId="77777777">
                            <w:pPr>
                              <w:pStyle w:val="ListParagraph"/>
                              <w:widowControl/>
                              <w:numPr>
                                <w:ilvl w:val="0"/>
                                <w:numId w:val="7"/>
                              </w:numPr>
                              <w:autoSpaceDE/>
                              <w:autoSpaceDN/>
                              <w:adjustRightInd/>
                              <w:spacing w:after="200" w:line="276" w:lineRule="auto"/>
                              <w:rPr>
                                <w:bCs/>
                              </w:rPr>
                            </w:pPr>
                            <w:r w:rsidRPr="00D918FE">
                              <w:t xml:space="preserve">The subpopulation to be studied:  </w:t>
                            </w:r>
                            <w:r>
                              <w:t xml:space="preserve">Federal customers and policy makers, state and local officials who rely on NCHS data, the broader educational, research, and public health community, and other data users. </w:t>
                            </w:r>
                          </w:p>
                          <w:p w:rsidRPr="00BC7E83" w:rsidR="00C667E6" w:rsidP="00BC7E83" w:rsidRDefault="00C667E6" w14:paraId="492119B7" w14:textId="77777777">
                            <w:pPr>
                              <w:pStyle w:val="ListParagraph"/>
                              <w:widowControl/>
                              <w:autoSpaceDE/>
                              <w:autoSpaceDN/>
                              <w:adjustRightInd/>
                              <w:spacing w:after="200" w:line="276" w:lineRule="auto"/>
                              <w:rPr>
                                <w:rFonts w:asciiTheme="minorHAnsi" w:hAnsiTheme="minorHAnsi" w:cstheme="minorBidi"/>
                              </w:rPr>
                            </w:pPr>
                          </w:p>
                          <w:p w:rsidRPr="00BC7E83" w:rsidR="00C667E6" w:rsidP="00AB631D" w:rsidRDefault="00C667E6" w14:paraId="15E45A6C" w14:textId="77777777">
                            <w:pPr>
                              <w:pStyle w:val="ListParagraph"/>
                              <w:widowControl/>
                              <w:numPr>
                                <w:ilvl w:val="0"/>
                                <w:numId w:val="7"/>
                              </w:numPr>
                              <w:autoSpaceDE/>
                              <w:autoSpaceDN/>
                              <w:adjustRightInd/>
                              <w:spacing w:after="200" w:line="276" w:lineRule="auto"/>
                            </w:pPr>
                            <w:r w:rsidRPr="00BC7E83">
                              <w:rPr>
                                <w:bCs/>
                              </w:rPr>
                              <w:t xml:space="preserve">How data will be analyzed:  </w:t>
                            </w:r>
                            <w:r w:rsidRPr="00BC7E83">
                              <w:rPr>
                                <w:rFonts w:eastAsiaTheme="minorEastAsia"/>
                              </w:rPr>
                              <w:t>The information collected through this generic Information Collection Request will not be used to make generalizable statements. The resulting information will be for NCHS internal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80EC2A">
                <v:stroke joinstyle="miter"/>
                <v:path gradientshapeok="t" o:connecttype="rect"/>
              </v:shapetype>
              <v:shape id="Text Box 217" style="position:absolute;margin-left:9pt;margin-top:26.1pt;width:435.6pt;height:27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YiJgIAAEkEAAAOAAAAZHJzL2Uyb0RvYy54bWysVNtu2zAMfR+wfxD0vjh24zY14hRdugwD&#10;ugvQ7gNkWY6FSaImKbG7rx8lp1nQbS/D/CCIInVEnkN6dTNqRQ7CeQmmpvlsTokwHFppdjX9+rh9&#10;s6TEB2ZapsCImj4JT2/Wr1+tBluJAnpQrXAEQYyvBlvTPgRbZZnnvdDMz8AKg84OnGYBTbfLWscG&#10;RNcqK+bzy2wA11oHXHiPp3eTk64TftcJHj53nReBqJpibiGtLq1NXLP1ilU7x2wv+TEN9g9ZaCYN&#10;PnqCumOBkb2Tv0FpyR146MKMg86g6yQXqQasJp+/qOahZ1akWpAcb080+f8Hyz8dvjgi25oW+RUl&#10;hmkU6VGMgbyFkcQzZGiwvsLAB4uhYUQHKp2q9fYe+DdPDGx6Znbi1jkYesFazDCPN7OzqxOOjyDN&#10;8BFafIjtAySgsXM60oeEEERHpZ5O6sRkOB6W5UWRF+ji6LtYlPnyMumXser5unU+vBegSdzU1KH8&#10;CZ4d7n2I6bDqOSS+5kHJdiuVSobbNRvlyIFhq2zTlyp4EaYMGWp6XRblxMBfIebp+xOElgF7Xkld&#10;0+UpiFWRt3emTR0ZmFTTHlNW5khk5G5iMYzNeBSmgfYJKXUw9TbOIm56cD8oGbCva+q/75kTlKgP&#10;BmW5zheLOAjJWJRXkVB37mnOPcxwhKppoGTabkIankiYgVuUr5OJ2KjzlMkxV+zXxPdxtuJAnNsp&#10;6tcfYP0TAAD//wMAUEsDBBQABgAIAAAAIQAM9lVZ3gAAAAkBAAAPAAAAZHJzL2Rvd25yZXYueG1s&#10;TI9BT8MwDIXvSPyHyEhcEEspbKSl6YSQQHCDgeCaNV5b0Tglybry7zEnuPn5Wc/fq9azG8SEIfae&#10;NFwsMhBIjbc9tRreXu/PFYiYDFkzeEIN3xhhXR8fVaa0/kAvOG1SKziEYmk0dCmNpZSx6dCZuPAj&#10;Ens7H5xJLEMrbTAHDneDzLNsJZ3piT90ZsS7DpvPzd5pUFeP00d8unx+b1a7oUhn19PDV9D69GS+&#10;vQGRcE5/x/CLz+hQM9PW78lGMbBWXCVpWOY5CPaVKnjY8qJYKpB1Jf83qH8AAAD//wMAUEsBAi0A&#10;FAAGAAgAAAAhALaDOJL+AAAA4QEAABMAAAAAAAAAAAAAAAAAAAAAAFtDb250ZW50X1R5cGVzXS54&#10;bWxQSwECLQAUAAYACAAAACEAOP0h/9YAAACUAQAACwAAAAAAAAAAAAAAAAAvAQAAX3JlbHMvLnJl&#10;bHNQSwECLQAUAAYACAAAACEAdQUWIiYCAABJBAAADgAAAAAAAAAAAAAAAAAuAgAAZHJzL2Uyb0Rv&#10;Yy54bWxQSwECLQAUAAYACAAAACEADPZVWd4AAAAJAQAADwAAAAAAAAAAAAAAAACABAAAZHJzL2Rv&#10;d25yZXYueG1sUEsFBgAAAAAEAAQA8wAAAIsFAAAAAA==&#10;">
                <v:textbox>
                  <w:txbxContent>
                    <w:p w:rsidRPr="00D918FE" w:rsidR="00C667E6" w:rsidP="00BC7E83" w:rsidRDefault="00C667E6" w14:paraId="5537FE88" w14:textId="77777777">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study:  </w:t>
                      </w:r>
                      <w:r w:rsidRPr="00D918FE">
                        <w:t xml:space="preserve">to </w:t>
                      </w:r>
                      <w:r w:rsidRPr="00BC7E83">
                        <w:t>conduct voluntary customer surveys to assess strengths in agency products and services and to evaluate how well it addresses the e</w:t>
                      </w:r>
                      <w:r>
                        <w:t>merging needs of its data users</w:t>
                      </w:r>
                    </w:p>
                    <w:p w:rsidRPr="00D918FE" w:rsidR="00C667E6" w:rsidP="00787E1F" w:rsidRDefault="00C667E6"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D918FE" w:rsidR="00C667E6" w:rsidP="00BC7E83" w:rsidRDefault="00C667E6" w14:paraId="26923D9F" w14:textId="77777777">
                      <w:pPr>
                        <w:pStyle w:val="ListParagraph"/>
                        <w:widowControl/>
                        <w:numPr>
                          <w:ilvl w:val="0"/>
                          <w:numId w:val="7"/>
                        </w:numPr>
                        <w:autoSpaceDE/>
                        <w:autoSpaceDN/>
                        <w:adjustRightInd/>
                        <w:spacing w:after="200" w:line="276" w:lineRule="auto"/>
                        <w:rPr>
                          <w:bCs/>
                        </w:rPr>
                      </w:pPr>
                      <w:r w:rsidRPr="00D918FE">
                        <w:t xml:space="preserve">Intended use of the resulting data:  </w:t>
                      </w:r>
                      <w:r>
                        <w:t>to</w:t>
                      </w:r>
                      <w:r w:rsidRPr="00BC7E83">
                        <w:t xml:space="preserve"> plan future </w:t>
                      </w:r>
                      <w:r>
                        <w:t>initiatives</w:t>
                      </w:r>
                    </w:p>
                    <w:p w:rsidRPr="00D918FE" w:rsidR="00C667E6" w:rsidP="00787E1F" w:rsidRDefault="00C667E6" w14:paraId="5352BEB3" w14:textId="77777777">
                      <w:pPr>
                        <w:pStyle w:val="ListParagraph"/>
                        <w:rPr>
                          <w:bCs/>
                        </w:rPr>
                      </w:pPr>
                    </w:p>
                    <w:p w:rsidRPr="00D918FE" w:rsidR="00C667E6" w:rsidP="00BC7E83" w:rsidRDefault="00C667E6" w14:paraId="286AACE0" w14:textId="77777777">
                      <w:pPr>
                        <w:pStyle w:val="ListParagraph"/>
                        <w:widowControl/>
                        <w:numPr>
                          <w:ilvl w:val="0"/>
                          <w:numId w:val="7"/>
                        </w:numPr>
                        <w:autoSpaceDE/>
                        <w:autoSpaceDN/>
                        <w:adjustRightInd/>
                        <w:spacing w:after="200" w:line="276" w:lineRule="auto"/>
                        <w:rPr>
                          <w:sz w:val="22"/>
                        </w:rPr>
                      </w:pPr>
                      <w:r w:rsidRPr="00D918FE">
                        <w:rPr>
                          <w:bCs/>
                        </w:rPr>
                        <w:t xml:space="preserve">Methods to be used to collect:  </w:t>
                      </w:r>
                      <w:r>
                        <w:rPr>
                          <w:bCs/>
                        </w:rPr>
                        <w:t>methodologies may include e</w:t>
                      </w:r>
                      <w:r w:rsidRPr="00BC7E83">
                        <w:rPr>
                          <w:bCs/>
                        </w:rPr>
                        <w:t>valuation forms, mail surveys, focus groups, automated and electronic technology (e.g., e-mail, Web-based surveys), and telephone surveys</w:t>
                      </w:r>
                      <w:r w:rsidRPr="00D918FE">
                        <w:rPr>
                          <w:bCs/>
                        </w:rPr>
                        <w:t xml:space="preserve"> </w:t>
                      </w:r>
                    </w:p>
                    <w:p w:rsidRPr="00D918FE" w:rsidR="00C667E6" w:rsidP="00787E1F" w:rsidRDefault="00C667E6" w14:paraId="1F76CAAB" w14:textId="77777777">
                      <w:pPr>
                        <w:pStyle w:val="ListParagraph"/>
                      </w:pPr>
                    </w:p>
                    <w:p w:rsidRPr="00BC7E83" w:rsidR="00C667E6" w:rsidP="00BC7E83" w:rsidRDefault="00C667E6" w14:paraId="2B49CBED" w14:textId="77777777">
                      <w:pPr>
                        <w:pStyle w:val="ListParagraph"/>
                        <w:widowControl/>
                        <w:numPr>
                          <w:ilvl w:val="0"/>
                          <w:numId w:val="7"/>
                        </w:numPr>
                        <w:autoSpaceDE/>
                        <w:autoSpaceDN/>
                        <w:adjustRightInd/>
                        <w:spacing w:after="200" w:line="276" w:lineRule="auto"/>
                        <w:rPr>
                          <w:bCs/>
                        </w:rPr>
                      </w:pPr>
                      <w:r w:rsidRPr="00D918FE">
                        <w:t xml:space="preserve">The subpopulation to be studied:  </w:t>
                      </w:r>
                      <w:r>
                        <w:t xml:space="preserve">Federal customers and policy makers, state and local officials who rely on NCHS data, the broader educational, research, and public health community, and other data users. </w:t>
                      </w:r>
                    </w:p>
                    <w:p w:rsidRPr="00BC7E83" w:rsidR="00C667E6" w:rsidP="00BC7E83" w:rsidRDefault="00C667E6" w14:paraId="492119B7" w14:textId="77777777">
                      <w:pPr>
                        <w:pStyle w:val="ListParagraph"/>
                        <w:widowControl/>
                        <w:autoSpaceDE/>
                        <w:autoSpaceDN/>
                        <w:adjustRightInd/>
                        <w:spacing w:after="200" w:line="276" w:lineRule="auto"/>
                        <w:rPr>
                          <w:rFonts w:asciiTheme="minorHAnsi" w:hAnsiTheme="minorHAnsi" w:cstheme="minorBidi"/>
                        </w:rPr>
                      </w:pPr>
                    </w:p>
                    <w:p w:rsidRPr="00BC7E83" w:rsidR="00C667E6" w:rsidP="00AB631D" w:rsidRDefault="00C667E6" w14:paraId="15E45A6C" w14:textId="77777777">
                      <w:pPr>
                        <w:pStyle w:val="ListParagraph"/>
                        <w:widowControl/>
                        <w:numPr>
                          <w:ilvl w:val="0"/>
                          <w:numId w:val="7"/>
                        </w:numPr>
                        <w:autoSpaceDE/>
                        <w:autoSpaceDN/>
                        <w:adjustRightInd/>
                        <w:spacing w:after="200" w:line="276" w:lineRule="auto"/>
                      </w:pPr>
                      <w:r w:rsidRPr="00BC7E83">
                        <w:rPr>
                          <w:bCs/>
                        </w:rPr>
                        <w:t xml:space="preserve">How data will be analyzed:  </w:t>
                      </w:r>
                      <w:r w:rsidRPr="00BC7E83">
                        <w:rPr>
                          <w:rFonts w:eastAsiaTheme="minorEastAsia"/>
                        </w:rPr>
                        <w:t>The information collected through this generic Information Collection Request will not be used to make generalizable statements. The resulting information will be for NCHS internal use.</w:t>
                      </w:r>
                    </w:p>
                  </w:txbxContent>
                </v:textbox>
                <w10:wrap type="square"/>
              </v:shape>
            </w:pict>
          </mc:Fallback>
        </mc:AlternateContent>
      </w:r>
      <w:r w:rsidRPr="00746515" w:rsidR="0003580D">
        <w:rPr>
          <w:b/>
        </w:rPr>
        <w:t>Cust</w:t>
      </w:r>
      <w:r w:rsidR="0003580D">
        <w:rPr>
          <w:b/>
        </w:rPr>
        <w:t>omer Surveys Generic Clearance for the National Center f</w:t>
      </w:r>
      <w:r w:rsidRPr="00746515" w:rsidR="0003580D">
        <w:rPr>
          <w:b/>
        </w:rPr>
        <w:t>or Health Statistics</w:t>
      </w:r>
    </w:p>
    <w:p w:rsidR="00746515" w:rsidP="00746515" w:rsidRDefault="00746515" w14:paraId="746DAC03" w14:textId="77777777">
      <w:pPr>
        <w:outlineLvl w:val="0"/>
        <w:rPr>
          <w:b/>
          <w:caps/>
        </w:rPr>
      </w:pPr>
    </w:p>
    <w:p w:rsidR="00746515" w:rsidP="00746515" w:rsidRDefault="00746515" w14:paraId="2E6CD392" w14:textId="77777777">
      <w:pPr>
        <w:outlineLvl w:val="0"/>
      </w:pPr>
      <w:r>
        <w:t xml:space="preserve">This is a request for </w:t>
      </w:r>
      <w:r w:rsidR="009D28F2">
        <w:t>a</w:t>
      </w:r>
      <w:r w:rsidR="00B040D6">
        <w:t>n extension</w:t>
      </w:r>
      <w:r w:rsidR="009D28F2">
        <w:t xml:space="preserve"> </w:t>
      </w:r>
      <w:r>
        <w:t xml:space="preserve">of the </w:t>
      </w:r>
      <w:r w:rsidRPr="00746515">
        <w:t>Customer Surveys Generic Clearance for the National Center for Health Statistics</w:t>
      </w:r>
      <w:r>
        <w:t xml:space="preserve"> </w:t>
      </w:r>
      <w:r w:rsidR="00CA444B">
        <w:t>(OMB No. 0920-0729, expire</w:t>
      </w:r>
      <w:r w:rsidR="009D77EF">
        <w:t>s</w:t>
      </w:r>
      <w:r w:rsidR="00CA444B">
        <w:t xml:space="preserve"> </w:t>
      </w:r>
      <w:r w:rsidR="0003580D">
        <w:t>0</w:t>
      </w:r>
      <w:r w:rsidR="0024155B">
        <w:t>9</w:t>
      </w:r>
      <w:r w:rsidR="0003580D">
        <w:t>/3</w:t>
      </w:r>
      <w:r w:rsidR="0024155B">
        <w:t>0</w:t>
      </w:r>
      <w:r w:rsidR="0003580D">
        <w:t>/20</w:t>
      </w:r>
      <w:r w:rsidR="0024155B">
        <w:t>20</w:t>
      </w:r>
      <w:r w:rsidR="0003580D">
        <w:t>)</w:t>
      </w:r>
      <w:r>
        <w:t>. A three-year clearance is requested.</w:t>
      </w:r>
    </w:p>
    <w:p w:rsidR="0097747A" w:rsidP="00746515" w:rsidRDefault="0097747A" w14:paraId="1FFD51D9" w14:textId="77777777">
      <w:pPr>
        <w:outlineLvl w:val="0"/>
      </w:pPr>
    </w:p>
    <w:p w:rsidRPr="0097747A" w:rsidR="004504E4" w:rsidP="004504E4" w:rsidRDefault="00D96FE8" w14:paraId="23D308B3" w14:textId="1FFF6B8A">
      <w:pPr>
        <w:outlineLvl w:val="0"/>
      </w:pPr>
      <w:r>
        <w:t xml:space="preserve">The </w:t>
      </w:r>
      <w:r w:rsidRPr="0097747A" w:rsidR="004504E4">
        <w:t>National</w:t>
      </w:r>
      <w:r w:rsidR="00C53C51">
        <w:t xml:space="preserve"> </w:t>
      </w:r>
      <w:r w:rsidR="00B2323E">
        <w:t xml:space="preserve">Center </w:t>
      </w:r>
      <w:r w:rsidR="00C53C51">
        <w:t>for</w:t>
      </w:r>
      <w:r w:rsidR="00B2323E">
        <w:t xml:space="preserve"> </w:t>
      </w:r>
      <w:r w:rsidRPr="0097747A" w:rsidR="004504E4">
        <w:t xml:space="preserve">Health Statistics </w:t>
      </w:r>
      <w:r w:rsidR="0094538F">
        <w:t xml:space="preserve">anticipates that </w:t>
      </w:r>
      <w:r w:rsidR="00052360">
        <w:t xml:space="preserve">attendance for upcoming </w:t>
      </w:r>
      <w:r w:rsidRPr="0097747A" w:rsidR="004504E4">
        <w:t>Conferences along with the number of NCHS website users</w:t>
      </w:r>
      <w:r w:rsidR="004504E4">
        <w:t>, proposed focus groups, and other customer surveys</w:t>
      </w:r>
      <w:r w:rsidRPr="0097747A" w:rsidR="004504E4">
        <w:t xml:space="preserve"> </w:t>
      </w:r>
      <w:r w:rsidR="004E26F6">
        <w:t xml:space="preserve">will remain </w:t>
      </w:r>
      <w:r w:rsidR="00B650DE">
        <w:t xml:space="preserve">unchanged </w:t>
      </w:r>
      <w:r w:rsidR="002A4CEF">
        <w:t xml:space="preserve">from the last requested </w:t>
      </w:r>
      <w:r w:rsidR="002E42B9">
        <w:t>approved b</w:t>
      </w:r>
      <w:r w:rsidRPr="0097747A" w:rsidR="004504E4">
        <w:t xml:space="preserve">urden hours.  The total burden for the Customer Surveys Generic Clearance will </w:t>
      </w:r>
      <w:r w:rsidR="004504E4">
        <w:t xml:space="preserve">remain the same as currently </w:t>
      </w:r>
      <w:r w:rsidRPr="0097747A" w:rsidR="004504E4">
        <w:t>approved</w:t>
      </w:r>
      <w:r w:rsidR="004504E4">
        <w:t>, 4</w:t>
      </w:r>
      <w:r w:rsidRPr="0097747A" w:rsidR="004504E4">
        <w:t>,</w:t>
      </w:r>
      <w:r w:rsidR="004504E4">
        <w:t>00</w:t>
      </w:r>
      <w:r w:rsidRPr="0097747A" w:rsidR="004504E4">
        <w:t>0 hours.</w:t>
      </w:r>
    </w:p>
    <w:p w:rsidR="00D15044" w:rsidP="00D15044" w:rsidRDefault="00D15044" w14:paraId="420BFEEF" w14:textId="77777777">
      <w:pPr>
        <w:tabs>
          <w:tab w:val="left" w:pos="-1440"/>
        </w:tabs>
        <w:outlineLvl w:val="0"/>
      </w:pPr>
    </w:p>
    <w:p w:rsidR="00517609" w:rsidP="00D15044" w:rsidRDefault="00D15044" w14:paraId="613FE19A" w14:textId="77777777">
      <w:pPr>
        <w:tabs>
          <w:tab w:val="left" w:pos="-1440"/>
        </w:tabs>
        <w:outlineLvl w:val="0"/>
        <w:rPr>
          <w:b/>
          <w:bCs/>
        </w:rPr>
      </w:pPr>
      <w:r w:rsidRPr="008C3AFF">
        <w:rPr>
          <w:b/>
        </w:rPr>
        <w:t>A.</w:t>
      </w:r>
      <w:r>
        <w:t xml:space="preserve"> </w:t>
      </w:r>
      <w:r w:rsidR="00517609">
        <w:rPr>
          <w:b/>
          <w:bCs/>
        </w:rPr>
        <w:t xml:space="preserve">Justification  </w:t>
      </w:r>
    </w:p>
    <w:p w:rsidR="00D15044" w:rsidP="00D15044" w:rsidRDefault="00D15044" w14:paraId="6ABEB56C" w14:textId="77777777">
      <w:pPr>
        <w:tabs>
          <w:tab w:val="left" w:pos="-1440"/>
        </w:tabs>
        <w:ind w:left="360"/>
        <w:outlineLvl w:val="0"/>
        <w:rPr>
          <w:b/>
          <w:bCs/>
        </w:rPr>
      </w:pPr>
    </w:p>
    <w:p w:rsidR="00D15044" w:rsidP="00D15044" w:rsidRDefault="00D15044" w14:paraId="3142E054" w14:textId="77777777">
      <w:pPr>
        <w:outlineLvl w:val="0"/>
        <w:rPr>
          <w:b/>
          <w:bCs/>
        </w:rPr>
      </w:pPr>
      <w:r>
        <w:t xml:space="preserve">1.  </w:t>
      </w:r>
      <w:r>
        <w:rPr>
          <w:b/>
          <w:bCs/>
        </w:rPr>
        <w:t>Circumstances Making the Collection of Information Necessary</w:t>
      </w:r>
    </w:p>
    <w:p w:rsidR="00517609" w:rsidRDefault="00517609" w14:paraId="6DA4C629" w14:textId="77777777">
      <w:pPr>
        <w:tabs>
          <w:tab w:val="left" w:pos="-1440"/>
        </w:tabs>
        <w:rPr>
          <w:b/>
          <w:bCs/>
        </w:rPr>
      </w:pPr>
    </w:p>
    <w:p w:rsidR="00517609" w:rsidP="00020377" w:rsidRDefault="00517609" w14:paraId="65531651" w14:textId="3713A60A">
      <w:pPr>
        <w:rPr>
          <w:bCs/>
        </w:rPr>
      </w:pPr>
      <w:r>
        <w:rPr>
          <w:bCs/>
        </w:rPr>
        <w:t xml:space="preserve">As part of a comprehensive program, the </w:t>
      </w: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Health Statistics (NCHS), </w:t>
      </w:r>
      <w:r>
        <w:t>Centers for Disease Control and Prevention,</w:t>
      </w:r>
      <w:r>
        <w:rPr>
          <w:bCs/>
        </w:rPr>
        <w:t xml:space="preserve"> </w:t>
      </w:r>
      <w:r w:rsidR="00D15044">
        <w:rPr>
          <w:bCs/>
        </w:rPr>
        <w:t>surveys</w:t>
      </w:r>
      <w:r>
        <w:rPr>
          <w:bCs/>
        </w:rPr>
        <w:t xml:space="preserve"> its customers’ satisfaction with the quality and relevance of the information it produces.  </w:t>
      </w:r>
      <w:r w:rsidR="00A630C5">
        <w:rPr>
          <w:bCs/>
        </w:rPr>
        <w:t>NCHS conducts</w:t>
      </w:r>
      <w:r>
        <w:rPr>
          <w:bCs/>
        </w:rPr>
        <w:t xml:space="preserve"> voluntary customer surveys to assess strengths in agency products and services.  Results of these surveys will be used in future planning initiatives.  </w:t>
      </w:r>
      <w:r>
        <w:t xml:space="preserve">NCHS </w:t>
      </w:r>
      <w:r w:rsidR="004961CA">
        <w:t>requests a</w:t>
      </w:r>
      <w:r w:rsidR="00A91721">
        <w:t xml:space="preserve"> three-year </w:t>
      </w:r>
      <w:r>
        <w:t xml:space="preserve">approval from OMB </w:t>
      </w:r>
      <w:r w:rsidR="008C3AFF">
        <w:t xml:space="preserve">to </w:t>
      </w:r>
      <w:r w:rsidR="005225F6">
        <w:t>extend</w:t>
      </w:r>
      <w:r w:rsidR="008C3AFF">
        <w:t xml:space="preserve"> the</w:t>
      </w:r>
      <w:r>
        <w:t xml:space="preserve"> generic</w:t>
      </w:r>
      <w:r w:rsidR="00BE5B79">
        <w:t xml:space="preserve"> </w:t>
      </w:r>
      <w:r>
        <w:t xml:space="preserve">clearance </w:t>
      </w:r>
      <w:r w:rsidR="00EF48D5">
        <w:t xml:space="preserve">package </w:t>
      </w:r>
      <w:r w:rsidR="00346EAF">
        <w:t xml:space="preserve">for </w:t>
      </w:r>
      <w:r w:rsidR="008C3AFF">
        <w:t>future</w:t>
      </w:r>
      <w:r>
        <w:t xml:space="preserve"> customer surveys it plans to conduct. </w:t>
      </w:r>
      <w:r w:rsidR="00020377">
        <w:t xml:space="preserve"> </w:t>
      </w:r>
      <w:r w:rsidRPr="009B3B2B" w:rsidR="00020377">
        <w:t>NCHS is authorized to collect data under Section 306 of the Public Health Service Act (42 USC 242k)</w:t>
      </w:r>
      <w:r w:rsidR="00FC0315">
        <w:t xml:space="preserve"> (</w:t>
      </w:r>
      <w:r w:rsidR="00020377">
        <w:t>Attachment A)</w:t>
      </w:r>
      <w:r w:rsidRPr="009B3B2B" w:rsidR="00020377">
        <w:t xml:space="preserve">.  </w:t>
      </w:r>
    </w:p>
    <w:p w:rsidR="00A91721" w:rsidRDefault="00A91721" w14:paraId="3F8C1258" w14:textId="77777777">
      <w:pPr>
        <w:rPr>
          <w:u w:val="single"/>
        </w:rPr>
      </w:pPr>
      <w:r w:rsidRPr="00A91721">
        <w:rPr>
          <w:u w:val="single"/>
        </w:rPr>
        <w:lastRenderedPageBreak/>
        <w:t>Background</w:t>
      </w:r>
    </w:p>
    <w:p w:rsidRPr="00A91721" w:rsidR="00A91721" w:rsidRDefault="00A91721" w14:paraId="7BA8898A" w14:textId="77777777">
      <w:pPr>
        <w:rPr>
          <w:u w:val="single"/>
        </w:rPr>
      </w:pPr>
    </w:p>
    <w:p w:rsidR="00517609" w:rsidRDefault="00517609" w14:paraId="0BB16F98" w14:textId="77777777">
      <w:r>
        <w:t xml:space="preserve">NCHS, the Nation’s principal health statistics agency, compiles statistical information to guide actions and policies to improve the health of the </w:t>
      </w:r>
      <w:smartTag w:uri="urn:schemas-microsoft-com:office:smarttags" w:element="place">
        <w:smartTag w:uri="urn:schemas-microsoft-com:office:smarttags" w:element="country-region">
          <w:r>
            <w:t>U.S.</w:t>
          </w:r>
        </w:smartTag>
      </w:smartTag>
      <w:r>
        <w:t xml:space="preserve"> population. The national surveys and data systems administered by NCHS are a unique public resource for health information–-a critical element of public health and health policy. Assessment of key data users’ and policy-makers’ satisfaction with the quality and relevance of NCHS’ products and services </w:t>
      </w:r>
      <w:r w:rsidR="00216B65">
        <w:t>are</w:t>
      </w:r>
      <w:r>
        <w:t xml:space="preserve"> of prime importance in evaluating our agency’s performance. Voluntary customer surveys to ascertain strengths in agency products and services are useful tools for management in program planning.</w:t>
      </w:r>
    </w:p>
    <w:p w:rsidR="00517609" w:rsidRDefault="00517609" w14:paraId="3112C275" w14:textId="77777777"/>
    <w:p w:rsidR="00517609" w:rsidRDefault="00517609" w14:paraId="37BACABC" w14:textId="77777777">
      <w:r>
        <w:t>Data will be collected using a combination of methodologies appropriate to each survey.  These may include: evaluation forms</w:t>
      </w:r>
      <w:r w:rsidR="008D0056">
        <w:t>,</w:t>
      </w:r>
      <w:r>
        <w:t xml:space="preserve"> mail surveys</w:t>
      </w:r>
      <w:r w:rsidR="008D0056">
        <w:t>,</w:t>
      </w:r>
      <w:r>
        <w:t xml:space="preserve"> focus groups</w:t>
      </w:r>
      <w:r w:rsidR="008D0056">
        <w:t>,</w:t>
      </w:r>
      <w:r>
        <w:t xml:space="preserve"> automated and electronic technology (e.g. e-mail, Web-based surveys)</w:t>
      </w:r>
      <w:r w:rsidR="00D57769">
        <w:t>,</w:t>
      </w:r>
      <w:r>
        <w:t xml:space="preserve"> and telephone surveys.  </w:t>
      </w:r>
    </w:p>
    <w:p w:rsidR="00517609" w:rsidRDefault="00517609" w14:paraId="14006C09" w14:textId="77777777"/>
    <w:p w:rsidR="00517609" w:rsidRDefault="008C3AFF" w14:paraId="6F3D51A9" w14:textId="77777777">
      <w:r>
        <w:t>NCHS</w:t>
      </w:r>
      <w:r w:rsidR="00517609">
        <w:t xml:space="preserve"> will submit to OMB individual survey requests under this generic clearance.  OMB will provide feedback on the individual requests within ten working days. </w:t>
      </w:r>
    </w:p>
    <w:p w:rsidR="00517609" w:rsidRDefault="00517609" w14:paraId="1E72A9AC" w14:textId="77777777"/>
    <w:p w:rsidR="00517609" w:rsidRDefault="00517609" w14:paraId="2FE3E6E7" w14:textId="77777777">
      <w:r>
        <w:t xml:space="preserve">NCHS is a unique public resource for health information – a critical element of public health and health policy.  These data allow NCHS to document the health status of the population and of important subgroups, identify disparities in health status and use of health care by race/ethnicity, socio-economic status, region, and other population characteristics, monitor trends in health status and health care delivery, identify health problems, support biomedical and health services research, provide information for making changes in public policies and programs, and evaluate the impact of health policies and programs.  NCHS collects data from birth and death records, medical records, interview surveys, and through direct physical exams and laboratory testing.  </w:t>
      </w:r>
    </w:p>
    <w:p w:rsidR="00517609" w:rsidRDefault="00517609" w14:paraId="551E0754" w14:textId="77777777"/>
    <w:p w:rsidR="00517609" w:rsidRDefault="00517609" w14:paraId="7C0C126E" w14:textId="77777777">
      <w:r>
        <w:t xml:space="preserve">Information is at the core of the NCHS mission.  It is critical that information be available to provide customers with quick and easy access to a wide range of information and data through a variety of channels. Customer satisfaction </w:t>
      </w:r>
      <w:r w:rsidR="008C3AFF">
        <w:t>and customer input are</w:t>
      </w:r>
      <w:r>
        <w:t xml:space="preserve"> critical for accomplishment of our mission as a key element of the national public health infrastructure, providing important surveillance information that helps identify and address critical health problems.  Satisfaction can be enhanced through suggestions for ways to improve our outputs and services, whether presentation of data on the Web, publications, statistical services, or other products at NCHS.</w:t>
      </w:r>
    </w:p>
    <w:p w:rsidR="008C3AFF" w:rsidRDefault="008C3AFF" w14:paraId="762BFBE5" w14:textId="77777777"/>
    <w:p w:rsidR="00517609" w:rsidP="008C3AFF" w:rsidRDefault="008C3AFF" w14:paraId="106B7CCD" w14:textId="77777777">
      <w:r>
        <w:t>S</w:t>
      </w:r>
      <w:r w:rsidR="00517609">
        <w:t xml:space="preserve">urveys of several groups </w:t>
      </w:r>
      <w:r>
        <w:t>are anticipated</w:t>
      </w:r>
      <w:r w:rsidR="00517609">
        <w:t xml:space="preserve">. Among these are Federal clients and policy makers; state and local officials who rely on NCHS data; the broader educational, research, and public health community; and other data users. </w:t>
      </w:r>
      <w:r>
        <w:t xml:space="preserve">Other users may </w:t>
      </w:r>
      <w:r w:rsidR="00517609">
        <w:t>incl</w:t>
      </w:r>
      <w:r>
        <w:t xml:space="preserve">ude </w:t>
      </w:r>
      <w:r w:rsidR="00517609">
        <w:t xml:space="preserve">self-selected broad-based groups of data users who register for and attend NCHS sponsored conferences </w:t>
      </w:r>
      <w:r>
        <w:t>as well as</w:t>
      </w:r>
      <w:r w:rsidR="00517609">
        <w:t xml:space="preserve"> persons who access the NCHS Web site</w:t>
      </w:r>
      <w:r w:rsidR="00C62490">
        <w:t>.</w:t>
      </w:r>
    </w:p>
    <w:p w:rsidR="00BC7E83" w:rsidRDefault="00BC7E83" w14:paraId="069F7AA6" w14:textId="77777777">
      <w:pPr>
        <w:widowControl/>
        <w:autoSpaceDE/>
        <w:autoSpaceDN/>
        <w:adjustRightInd/>
      </w:pPr>
      <w:r>
        <w:br w:type="page"/>
      </w:r>
    </w:p>
    <w:p w:rsidR="00517609" w:rsidP="004C438D" w:rsidRDefault="00517609" w14:paraId="2F30F24B" w14:textId="77777777">
      <w:pPr>
        <w:outlineLvl w:val="0"/>
        <w:rPr>
          <w:b/>
          <w:bCs/>
        </w:rPr>
      </w:pPr>
      <w:r>
        <w:lastRenderedPageBreak/>
        <w:t xml:space="preserve">2.  </w:t>
      </w:r>
      <w:r>
        <w:rPr>
          <w:b/>
          <w:bCs/>
        </w:rPr>
        <w:t xml:space="preserve">Purpose and Use of the Information  </w:t>
      </w:r>
    </w:p>
    <w:p w:rsidR="00517609" w:rsidRDefault="00517609" w14:paraId="03CC05BC" w14:textId="77777777">
      <w:pPr>
        <w:rPr>
          <w:b/>
          <w:bCs/>
        </w:rPr>
      </w:pPr>
    </w:p>
    <w:p w:rsidR="007A4A78" w:rsidP="00A17447" w:rsidRDefault="007A4A78" w14:paraId="4504B2A5" w14:textId="77777777">
      <w:pPr>
        <w:tabs>
          <w:tab w:val="left" w:pos="-720"/>
        </w:tabs>
      </w:pPr>
      <w:r w:rsidRPr="008346DA">
        <w:t xml:space="preserve">Executive Order 12862 directs Federal agencies to provide service to the public that matches or exceeds the best service available in the private sector.  </w:t>
      </w:r>
      <w:r>
        <w:t xml:space="preserve"> Under this Order, agencies are instructed to "provide significant services directly to the public" and to "survey customers to determine the kind and quality of services they want and their level of satisfaction with existing services."  NCHS provides a number of services and products to the public and to its partners, including State or local governments, health care providers and facilities, academic researchers, and other entities and organizations.  The purpose of this submission is to obtain generic approval for satisfaction surveys of our partners and data users to identify ways in which we can improve our products and services to better address their needs.</w:t>
      </w:r>
    </w:p>
    <w:p w:rsidR="007A4A78" w:rsidRDefault="007A4A78" w14:paraId="60464A5E" w14:textId="77777777"/>
    <w:p w:rsidR="00517609" w:rsidRDefault="00517609" w14:paraId="039FDD9B" w14:textId="77777777">
      <w:r>
        <w:t xml:space="preserve">NCHS places the highest priority on providing quality products and services to our customers. We will use the results of all of our customer surveys to identify strengths and weaknesses in those current products and services and to refine and improve them by implementing modifications that are practical and feasible. Information obtained in </w:t>
      </w:r>
      <w:r w:rsidR="00F10700">
        <w:t>these</w:t>
      </w:r>
      <w:r>
        <w:t xml:space="preserve"> surveys will guide NCHS management in program planning.</w:t>
      </w:r>
    </w:p>
    <w:p w:rsidRPr="008C3AFF" w:rsidR="00D15044" w:rsidP="00D15044" w:rsidRDefault="00A17447" w14:paraId="2705348A" w14:textId="77777777">
      <w:pPr>
        <w:pStyle w:val="NormalWeb"/>
        <w:rPr>
          <w:color w:val="000000" w:themeColor="text1"/>
        </w:rPr>
      </w:pPr>
      <w:r>
        <w:rPr>
          <w:color w:val="000000" w:themeColor="text1"/>
        </w:rPr>
        <w:t>I</w:t>
      </w:r>
      <w:r w:rsidR="007A4A78">
        <w:rPr>
          <w:color w:val="000000" w:themeColor="text1"/>
        </w:rPr>
        <w:t>n the past, s</w:t>
      </w:r>
      <w:r w:rsidRPr="008C3AFF" w:rsidR="00D15044">
        <w:rPr>
          <w:color w:val="000000" w:themeColor="text1"/>
        </w:rPr>
        <w:t xml:space="preserve">urveys </w:t>
      </w:r>
      <w:r w:rsidR="007A4A78">
        <w:rPr>
          <w:color w:val="000000" w:themeColor="text1"/>
        </w:rPr>
        <w:t>have been</w:t>
      </w:r>
      <w:r w:rsidRPr="008C3AFF" w:rsidR="00D15044">
        <w:rPr>
          <w:color w:val="000000" w:themeColor="text1"/>
        </w:rPr>
        <w:t xml:space="preserve"> conducted </w:t>
      </w:r>
      <w:r w:rsidR="007A4A78">
        <w:rPr>
          <w:color w:val="000000" w:themeColor="text1"/>
        </w:rPr>
        <w:t>under this generic approval with</w:t>
      </w:r>
      <w:r w:rsidRPr="008C3AFF" w:rsidR="00D15044">
        <w:rPr>
          <w:color w:val="000000" w:themeColor="text1"/>
        </w:rPr>
        <w:t xml:space="preserve"> 1) "reimbursable collaborators"-- agencies, mostly governmental, which funded components of NCHS surveys; 2) Conference attendees--through both focus groups during the conference</w:t>
      </w:r>
      <w:r w:rsidR="009D77EF">
        <w:rPr>
          <w:color w:val="000000" w:themeColor="text1"/>
        </w:rPr>
        <w:t>s</w:t>
      </w:r>
      <w:r w:rsidRPr="008C3AFF" w:rsidR="00D15044">
        <w:rPr>
          <w:color w:val="000000" w:themeColor="text1"/>
        </w:rPr>
        <w:t xml:space="preserve"> and an email survey</w:t>
      </w:r>
      <w:r w:rsidR="009D77EF">
        <w:rPr>
          <w:color w:val="000000" w:themeColor="text1"/>
        </w:rPr>
        <w:t>s</w:t>
      </w:r>
      <w:r w:rsidRPr="008C3AFF" w:rsidR="00D15044">
        <w:rPr>
          <w:color w:val="000000" w:themeColor="text1"/>
        </w:rPr>
        <w:t xml:space="preserve"> of attendees following the meeting</w:t>
      </w:r>
      <w:r w:rsidR="009D77EF">
        <w:rPr>
          <w:color w:val="000000" w:themeColor="text1"/>
        </w:rPr>
        <w:t>s</w:t>
      </w:r>
      <w:r w:rsidRPr="008C3AFF" w:rsidR="00D15044">
        <w:rPr>
          <w:color w:val="000000" w:themeColor="text1"/>
        </w:rPr>
        <w:t xml:space="preserve">; 3) Federal "power users" of NCHS data--agencies that use NCHS data for analysis, policy, and other purposes.  This included policy </w:t>
      </w:r>
      <w:r w:rsidR="00DB0DD5">
        <w:rPr>
          <w:color w:val="000000" w:themeColor="text1"/>
        </w:rPr>
        <w:t>staff</w:t>
      </w:r>
      <w:r w:rsidRPr="008C3AFF" w:rsidR="00DB0DD5">
        <w:rPr>
          <w:color w:val="000000" w:themeColor="text1"/>
        </w:rPr>
        <w:t xml:space="preserve"> </w:t>
      </w:r>
      <w:r w:rsidRPr="008C3AFF" w:rsidR="00D15044">
        <w:rPr>
          <w:color w:val="000000" w:themeColor="text1"/>
        </w:rPr>
        <w:t xml:space="preserve">in the Department of </w:t>
      </w:r>
      <w:r w:rsidRPr="008C3AFF" w:rsidR="008C3AFF">
        <w:rPr>
          <w:color w:val="000000" w:themeColor="text1"/>
        </w:rPr>
        <w:t>Health and Human Services</w:t>
      </w:r>
      <w:r w:rsidRPr="008C3AFF" w:rsidR="00D15044">
        <w:rPr>
          <w:color w:val="000000" w:themeColor="text1"/>
        </w:rPr>
        <w:t xml:space="preserve"> </w:t>
      </w:r>
      <w:r w:rsidR="00F10700">
        <w:rPr>
          <w:color w:val="000000" w:themeColor="text1"/>
        </w:rPr>
        <w:t xml:space="preserve">(DHHS) </w:t>
      </w:r>
      <w:r w:rsidRPr="008C3AFF" w:rsidR="00D15044">
        <w:rPr>
          <w:color w:val="000000" w:themeColor="text1"/>
        </w:rPr>
        <w:t xml:space="preserve">as well as representatives of Congressional support agencies including </w:t>
      </w:r>
      <w:r w:rsidR="00F10700">
        <w:rPr>
          <w:color w:val="000000" w:themeColor="text1"/>
        </w:rPr>
        <w:t xml:space="preserve">the </w:t>
      </w:r>
      <w:r w:rsidRPr="008C3AFF" w:rsidR="00D15044">
        <w:rPr>
          <w:color w:val="000000" w:themeColor="text1"/>
        </w:rPr>
        <w:t>C</w:t>
      </w:r>
      <w:r w:rsidRPr="008C3AFF" w:rsidR="008C3AFF">
        <w:rPr>
          <w:color w:val="000000" w:themeColor="text1"/>
        </w:rPr>
        <w:t xml:space="preserve">ongressional </w:t>
      </w:r>
      <w:r w:rsidRPr="008C3AFF" w:rsidR="00D15044">
        <w:rPr>
          <w:color w:val="000000" w:themeColor="text1"/>
        </w:rPr>
        <w:t>B</w:t>
      </w:r>
      <w:r w:rsidRPr="008C3AFF" w:rsidR="008C3AFF">
        <w:rPr>
          <w:color w:val="000000" w:themeColor="text1"/>
        </w:rPr>
        <w:t xml:space="preserve">udget </w:t>
      </w:r>
      <w:r w:rsidRPr="008C3AFF" w:rsidR="00D15044">
        <w:rPr>
          <w:color w:val="000000" w:themeColor="text1"/>
        </w:rPr>
        <w:t>O</w:t>
      </w:r>
      <w:r w:rsidRPr="008C3AFF" w:rsidR="008C3AFF">
        <w:rPr>
          <w:color w:val="000000" w:themeColor="text1"/>
        </w:rPr>
        <w:t>ffice</w:t>
      </w:r>
      <w:r w:rsidRPr="008C3AFF" w:rsidR="00D15044">
        <w:rPr>
          <w:color w:val="000000" w:themeColor="text1"/>
        </w:rPr>
        <w:t xml:space="preserve"> and </w:t>
      </w:r>
      <w:r w:rsidR="00F10700">
        <w:rPr>
          <w:color w:val="000000" w:themeColor="text1"/>
        </w:rPr>
        <w:t xml:space="preserve">the </w:t>
      </w:r>
      <w:r w:rsidRPr="008C3AFF" w:rsidR="00D15044">
        <w:rPr>
          <w:color w:val="000000" w:themeColor="text1"/>
        </w:rPr>
        <w:t>G</w:t>
      </w:r>
      <w:r w:rsidRPr="008C3AFF" w:rsidR="008C3AFF">
        <w:rPr>
          <w:color w:val="000000" w:themeColor="text1"/>
        </w:rPr>
        <w:t xml:space="preserve">eneral </w:t>
      </w:r>
      <w:r w:rsidRPr="008C3AFF" w:rsidR="00D15044">
        <w:rPr>
          <w:color w:val="000000" w:themeColor="text1"/>
        </w:rPr>
        <w:t>A</w:t>
      </w:r>
      <w:r w:rsidR="00F10700">
        <w:rPr>
          <w:color w:val="000000" w:themeColor="text1"/>
        </w:rPr>
        <w:t>ccountability</w:t>
      </w:r>
      <w:r w:rsidRPr="008C3AFF" w:rsidR="008C3AFF">
        <w:rPr>
          <w:color w:val="000000" w:themeColor="text1"/>
        </w:rPr>
        <w:t xml:space="preserve"> </w:t>
      </w:r>
      <w:r w:rsidRPr="008C3AFF" w:rsidR="00D15044">
        <w:rPr>
          <w:color w:val="000000" w:themeColor="text1"/>
        </w:rPr>
        <w:t>O</w:t>
      </w:r>
      <w:r w:rsidRPr="008C3AFF" w:rsidR="008C3AFF">
        <w:rPr>
          <w:color w:val="000000" w:themeColor="text1"/>
        </w:rPr>
        <w:t>ffice</w:t>
      </w:r>
      <w:r w:rsidRPr="008C3AFF" w:rsidR="00D15044">
        <w:rPr>
          <w:color w:val="000000" w:themeColor="text1"/>
        </w:rPr>
        <w:t>; and 4) users of the NCHS web site--both through "usability testing" at the NCHS Conference</w:t>
      </w:r>
      <w:r w:rsidR="009D77EF">
        <w:rPr>
          <w:color w:val="000000" w:themeColor="text1"/>
        </w:rPr>
        <w:t xml:space="preserve">s and through </w:t>
      </w:r>
      <w:r w:rsidRPr="008C3AFF" w:rsidR="00D15044">
        <w:rPr>
          <w:color w:val="000000" w:themeColor="text1"/>
        </w:rPr>
        <w:t>internet-based survey</w:t>
      </w:r>
      <w:r w:rsidR="009D77EF">
        <w:rPr>
          <w:color w:val="000000" w:themeColor="text1"/>
        </w:rPr>
        <w:t>s</w:t>
      </w:r>
      <w:r w:rsidRPr="008C3AFF" w:rsidR="00D15044">
        <w:rPr>
          <w:color w:val="000000" w:themeColor="text1"/>
        </w:rPr>
        <w:t xml:space="preserve"> of users of the NCHS website</w:t>
      </w:r>
      <w:r w:rsidR="00C4523C">
        <w:rPr>
          <w:color w:val="000000" w:themeColor="text1"/>
        </w:rPr>
        <w:t xml:space="preserve">. </w:t>
      </w:r>
      <w:r w:rsidRPr="00C4523C" w:rsidR="00C4523C">
        <w:rPr>
          <w:color w:val="000000" w:themeColor="text1"/>
        </w:rPr>
        <w:t>(Future efforts are expected to also include non-federal agencies and organizations.)</w:t>
      </w:r>
      <w:r w:rsidRPr="008C3AFF" w:rsidR="00D15044">
        <w:rPr>
          <w:color w:val="000000" w:themeColor="text1"/>
        </w:rPr>
        <w:t xml:space="preserve">  These surveys yielded valuable information about current satisfaction with NCHS products and services, as well as suggestions for future improvements.  </w:t>
      </w:r>
    </w:p>
    <w:p w:rsidR="00517609" w:rsidP="004C438D" w:rsidRDefault="00517609" w14:paraId="0DBD5293" w14:textId="77777777">
      <w:pPr>
        <w:outlineLvl w:val="0"/>
        <w:rPr>
          <w:b/>
          <w:bCs/>
        </w:rPr>
      </w:pPr>
      <w:r>
        <w:t xml:space="preserve">3.  </w:t>
      </w:r>
      <w:r>
        <w:rPr>
          <w:b/>
          <w:bCs/>
        </w:rPr>
        <w:t>Use of Information Technology and Burden Reduction</w:t>
      </w:r>
    </w:p>
    <w:p w:rsidR="00517609" w:rsidRDefault="00517609" w14:paraId="33158CF9" w14:textId="77777777">
      <w:r>
        <w:t xml:space="preserve"> </w:t>
      </w:r>
    </w:p>
    <w:p w:rsidR="00517609" w:rsidRDefault="00517609" w14:paraId="5CCDEF71" w14:textId="77777777">
      <w:r>
        <w:t xml:space="preserve">The surveys will employ the newest information technology to collect and analyze data. They will be conducted electronically when feasible. In those cases, respondents will submit their responses electronically; and these responses will be tallied electronically and put into a database by survey software. Electronic collection will minimize the burden on survey respondents and facilitate the most rapid processing of survey results. This, in turn, provides NCHS the quickest means for making improvements based on customer feedback. In some instances, however, the most appropriate methodology will involve written or oral responses to brief questionnaires, interviews, and focus groups.   </w:t>
      </w:r>
    </w:p>
    <w:p w:rsidR="00517609" w:rsidRDefault="00517609" w14:paraId="6367AAB9" w14:textId="77777777">
      <w:r>
        <w:t xml:space="preserve"> </w:t>
      </w:r>
    </w:p>
    <w:p w:rsidR="00A17447" w:rsidRDefault="00A17447" w14:paraId="1B0D71E5" w14:textId="77777777">
      <w:pPr>
        <w:widowControl/>
        <w:autoSpaceDE/>
        <w:autoSpaceDN/>
        <w:adjustRightInd/>
      </w:pPr>
      <w:r>
        <w:br w:type="page"/>
      </w:r>
    </w:p>
    <w:p w:rsidR="00517609" w:rsidP="004C438D" w:rsidRDefault="00517609" w14:paraId="6DD72D3D" w14:textId="77777777">
      <w:pPr>
        <w:outlineLvl w:val="0"/>
        <w:rPr>
          <w:b/>
          <w:bCs/>
        </w:rPr>
      </w:pPr>
      <w:r>
        <w:lastRenderedPageBreak/>
        <w:t xml:space="preserve">4.  </w:t>
      </w:r>
      <w:r>
        <w:rPr>
          <w:b/>
          <w:bCs/>
        </w:rPr>
        <w:t>Efforts to Identify Duplication and Use of Similar Information</w:t>
      </w:r>
    </w:p>
    <w:p w:rsidR="00517609" w:rsidRDefault="00517609" w14:paraId="72EF6F33" w14:textId="77777777">
      <w:pPr>
        <w:rPr>
          <w:b/>
          <w:bCs/>
        </w:rPr>
      </w:pPr>
      <w:r>
        <w:rPr>
          <w:b/>
          <w:bCs/>
        </w:rPr>
        <w:t xml:space="preserve"> </w:t>
      </w:r>
    </w:p>
    <w:p w:rsidR="000C106A" w:rsidP="00A17447" w:rsidRDefault="001F2D4C" w14:paraId="6689E30C" w14:textId="77777777">
      <w:r>
        <w:t>T</w:t>
      </w:r>
      <w:r w:rsidR="00517609">
        <w:t xml:space="preserve">here are no current broad-based data available on customer satisfaction with NCHS products and services. </w:t>
      </w:r>
    </w:p>
    <w:p w:rsidR="001F2D4C" w:rsidRDefault="001F2D4C" w14:paraId="52D83660" w14:textId="77777777"/>
    <w:p w:rsidR="00517609" w:rsidP="004C438D" w:rsidRDefault="00517609" w14:paraId="4BAAD3BF" w14:textId="77777777">
      <w:pPr>
        <w:outlineLvl w:val="0"/>
        <w:rPr>
          <w:b/>
          <w:bCs/>
        </w:rPr>
      </w:pPr>
      <w:r>
        <w:t xml:space="preserve">5.  </w:t>
      </w:r>
      <w:r>
        <w:rPr>
          <w:b/>
          <w:bCs/>
        </w:rPr>
        <w:t>Impact on Small Businesses or Other Small Entities</w:t>
      </w:r>
    </w:p>
    <w:p w:rsidR="00517609" w:rsidRDefault="00517609" w14:paraId="738A1C2D" w14:textId="77777777">
      <w:pPr>
        <w:rPr>
          <w:b/>
          <w:bCs/>
        </w:rPr>
      </w:pPr>
    </w:p>
    <w:p w:rsidR="00517609" w:rsidRDefault="00517609" w14:paraId="1467E9BB" w14:textId="77777777">
      <w:r>
        <w:t xml:space="preserve">In as much as a few small businesses may be included in the audience for some surveys, they should not be not adversely affected by the customer surveys. The number of questions will be held to the absolute minimum for the intended use of the data. Form design and the electronic data collection methodology will further minimize respondent burden.  </w:t>
      </w:r>
    </w:p>
    <w:p w:rsidR="00517609" w:rsidRDefault="00517609" w14:paraId="717E5650" w14:textId="77777777"/>
    <w:p w:rsidR="00517609" w:rsidP="004C438D" w:rsidRDefault="00517609" w14:paraId="16C241C9" w14:textId="77777777">
      <w:pPr>
        <w:outlineLvl w:val="0"/>
        <w:rPr>
          <w:b/>
          <w:bCs/>
        </w:rPr>
      </w:pPr>
      <w:r>
        <w:t xml:space="preserve">6.  </w:t>
      </w:r>
      <w:r>
        <w:rPr>
          <w:b/>
          <w:bCs/>
        </w:rPr>
        <w:t>Consequences of Collecting the Information Less Frequently</w:t>
      </w:r>
    </w:p>
    <w:p w:rsidR="00517609" w:rsidRDefault="00517609" w14:paraId="35628646" w14:textId="77777777">
      <w:pPr>
        <w:rPr>
          <w:b/>
          <w:bCs/>
        </w:rPr>
      </w:pPr>
    </w:p>
    <w:p w:rsidR="00517609" w:rsidRDefault="00517609" w14:paraId="1FC6057F" w14:textId="77777777">
      <w:r>
        <w:t xml:space="preserve">These surveys are appropriate vehicles to examine public perception of NCHS' ability to respond in a timely manner to the needs of its customers. Collection of information routinely and systematically enhances its utility in monitoring customer satisfaction and in identifying problems and needs so as to make changes and </w:t>
      </w:r>
      <w:r w:rsidR="004653A2">
        <w:t xml:space="preserve">improve products and services.  The planned </w:t>
      </w:r>
      <w:r>
        <w:t>surveys are expected to be one-time surveys</w:t>
      </w:r>
      <w:r w:rsidR="004653A2">
        <w:t xml:space="preserve"> or surveys updated at selected intervals</w:t>
      </w:r>
      <w:r>
        <w:t xml:space="preserve">. </w:t>
      </w:r>
      <w:r w:rsidR="00C64B34">
        <w:t xml:space="preserve">There are no legal obstacles to reduce the burden.  </w:t>
      </w:r>
    </w:p>
    <w:p w:rsidR="00517609" w:rsidRDefault="00517609" w14:paraId="0ACD995B" w14:textId="77777777">
      <w:pPr>
        <w:tabs>
          <w:tab w:val="left" w:pos="-1440"/>
        </w:tabs>
        <w:spacing w:line="360" w:lineRule="auto"/>
        <w:ind w:left="720" w:hanging="720"/>
      </w:pPr>
    </w:p>
    <w:p w:rsidR="00517609" w:rsidP="004C438D" w:rsidRDefault="00517609" w14:paraId="0C80DEBA" w14:textId="77777777">
      <w:pPr>
        <w:tabs>
          <w:tab w:val="left" w:pos="-1440"/>
        </w:tabs>
        <w:spacing w:line="360" w:lineRule="auto"/>
        <w:ind w:left="720" w:hanging="720"/>
        <w:outlineLvl w:val="0"/>
        <w:rPr>
          <w:b/>
          <w:bCs/>
        </w:rPr>
      </w:pPr>
      <w:r>
        <w:t xml:space="preserve">7.  </w:t>
      </w:r>
      <w:r>
        <w:rPr>
          <w:b/>
          <w:bCs/>
        </w:rPr>
        <w:t xml:space="preserve">Specific Circumstances Relating to the Guidelines of 5 CFR 1320.5  </w:t>
      </w:r>
    </w:p>
    <w:p w:rsidR="004653A2" w:rsidRDefault="004653A2" w14:paraId="46ED2E8E" w14:textId="77777777">
      <w:pPr>
        <w:tabs>
          <w:tab w:val="left" w:pos="-1440"/>
        </w:tabs>
        <w:spacing w:line="360" w:lineRule="auto"/>
        <w:ind w:left="720" w:hanging="720"/>
      </w:pPr>
      <w:r>
        <w:t>This request fully complies with the regulation 5 CFR 1320.5.</w:t>
      </w:r>
    </w:p>
    <w:p w:rsidR="0003252F" w:rsidP="004C438D" w:rsidRDefault="0003252F" w14:paraId="141FE524" w14:textId="77777777">
      <w:pPr>
        <w:outlineLvl w:val="0"/>
      </w:pPr>
    </w:p>
    <w:p w:rsidR="00517609" w:rsidP="004C438D" w:rsidRDefault="00517609" w14:paraId="26A64A9B" w14:textId="77777777">
      <w:pPr>
        <w:outlineLvl w:val="0"/>
        <w:rPr>
          <w:b/>
        </w:rPr>
      </w:pPr>
      <w:r>
        <w:t xml:space="preserve">8.  </w:t>
      </w:r>
      <w:r>
        <w:rPr>
          <w:b/>
        </w:rPr>
        <w:t xml:space="preserve">Comments in Response to the Federal Register Notice and Efforts to Consult Outside Agency  </w:t>
      </w:r>
    </w:p>
    <w:p w:rsidR="00C62490" w:rsidP="004C438D" w:rsidRDefault="00C62490" w14:paraId="5488DC72" w14:textId="77777777">
      <w:pPr>
        <w:outlineLvl w:val="0"/>
        <w:rPr>
          <w:b/>
        </w:rPr>
      </w:pPr>
    </w:p>
    <w:p w:rsidR="00C62490" w:rsidP="0047053D" w:rsidRDefault="0047053D" w14:paraId="217DEDD6" w14:textId="77777777">
      <w:pPr>
        <w:pStyle w:val="ListParagraph"/>
        <w:numPr>
          <w:ilvl w:val="0"/>
          <w:numId w:val="5"/>
        </w:numPr>
        <w:outlineLvl w:val="0"/>
      </w:pPr>
      <w:r>
        <w:t xml:space="preserve"> </w:t>
      </w:r>
      <w:r w:rsidR="00C62490">
        <w:t>Federal Register Notice</w:t>
      </w:r>
    </w:p>
    <w:p w:rsidRPr="00C62490" w:rsidR="00C62490" w:rsidP="004C438D" w:rsidRDefault="00C62490" w14:paraId="7719FE36" w14:textId="77777777">
      <w:pPr>
        <w:outlineLvl w:val="0"/>
      </w:pPr>
    </w:p>
    <w:p w:rsidR="00DC047B" w:rsidRDefault="00517609" w14:paraId="3B3A44CB" w14:textId="02A8CD1B">
      <w:r>
        <w:t xml:space="preserve">The 60-day notice was published in the </w:t>
      </w:r>
      <w:r>
        <w:rPr>
          <w:i/>
        </w:rPr>
        <w:t>Federal Register</w:t>
      </w:r>
      <w:r>
        <w:t xml:space="preserve">, Vol. </w:t>
      </w:r>
      <w:r w:rsidR="00E63826">
        <w:t>8</w:t>
      </w:r>
      <w:r w:rsidR="00132326">
        <w:t>5</w:t>
      </w:r>
      <w:r>
        <w:t xml:space="preserve">, No. </w:t>
      </w:r>
      <w:r w:rsidR="002C3CC2">
        <w:t>56</w:t>
      </w:r>
      <w:r>
        <w:t xml:space="preserve">, </w:t>
      </w:r>
      <w:r w:rsidR="00AB631D">
        <w:t>March</w:t>
      </w:r>
      <w:r w:rsidR="0047053D">
        <w:t xml:space="preserve"> </w:t>
      </w:r>
      <w:r w:rsidR="002C3CC2">
        <w:t>23</w:t>
      </w:r>
      <w:r w:rsidR="00DC047B">
        <w:t>, 20</w:t>
      </w:r>
      <w:r w:rsidR="00132326">
        <w:t>20</w:t>
      </w:r>
      <w:r w:rsidR="00FA26A7">
        <w:t>, page</w:t>
      </w:r>
      <w:r w:rsidR="00E63826">
        <w:t xml:space="preserve">s </w:t>
      </w:r>
      <w:r w:rsidR="006227B7">
        <w:t>16367-16368</w:t>
      </w:r>
      <w:r w:rsidR="00FC0315">
        <w:t xml:space="preserve"> (</w:t>
      </w:r>
      <w:r w:rsidR="00FA26A7">
        <w:t>Attachment B)</w:t>
      </w:r>
      <w:r w:rsidR="00DC047B">
        <w:t xml:space="preserve">.  </w:t>
      </w:r>
      <w:r w:rsidR="002C3CC2">
        <w:t>No</w:t>
      </w:r>
      <w:r w:rsidR="0047053D">
        <w:t xml:space="preserve"> pub</w:t>
      </w:r>
      <w:r w:rsidR="00DC047B">
        <w:t>lic comment</w:t>
      </w:r>
      <w:r w:rsidR="00132326">
        <w:t>s</w:t>
      </w:r>
      <w:r w:rsidR="001F2D4C">
        <w:t xml:space="preserve"> </w:t>
      </w:r>
      <w:r w:rsidR="0047053D">
        <w:t>w</w:t>
      </w:r>
      <w:r w:rsidR="00132326">
        <w:t>ere</w:t>
      </w:r>
      <w:r w:rsidR="0047053D">
        <w:t xml:space="preserve"> received.</w:t>
      </w:r>
      <w:r w:rsidR="00EB0A2E">
        <w:t xml:space="preserve"> </w:t>
      </w:r>
    </w:p>
    <w:p w:rsidR="0047053D" w:rsidRDefault="0047053D" w14:paraId="456DFE3B" w14:textId="77777777"/>
    <w:p w:rsidR="00DC047B" w:rsidP="0047053D" w:rsidRDefault="00DC047B" w14:paraId="27BEF926" w14:textId="77777777">
      <w:pPr>
        <w:pStyle w:val="ListParagraph"/>
        <w:numPr>
          <w:ilvl w:val="0"/>
          <w:numId w:val="5"/>
        </w:numPr>
      </w:pPr>
      <w:r>
        <w:t>Consultation</w:t>
      </w:r>
    </w:p>
    <w:p w:rsidR="00DC047B" w:rsidRDefault="00DC047B" w14:paraId="6468E6DE" w14:textId="77777777"/>
    <w:p w:rsidR="00517609" w:rsidRDefault="00DC047B" w14:paraId="276DB81A" w14:textId="77777777">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rsidR="00517609" w:rsidRDefault="00517609" w14:paraId="373C950A" w14:textId="77777777"/>
    <w:p w:rsidR="00517609" w:rsidP="004C438D" w:rsidRDefault="00517609" w14:paraId="2A2E6113" w14:textId="77777777">
      <w:pPr>
        <w:outlineLvl w:val="0"/>
        <w:rPr>
          <w:b/>
          <w:bCs/>
        </w:rPr>
      </w:pPr>
      <w:r>
        <w:t xml:space="preserve">9.  </w:t>
      </w:r>
      <w:r>
        <w:rPr>
          <w:b/>
          <w:bCs/>
        </w:rPr>
        <w:t>Explanation of Any Pay</w:t>
      </w:r>
      <w:r w:rsidR="00C64B34">
        <w:rPr>
          <w:b/>
          <w:bCs/>
        </w:rPr>
        <w:t>ment</w:t>
      </w:r>
      <w:r>
        <w:rPr>
          <w:b/>
          <w:bCs/>
        </w:rPr>
        <w:t xml:space="preserve"> or Gift to Respondents  </w:t>
      </w:r>
    </w:p>
    <w:p w:rsidR="00517609" w:rsidRDefault="00517609" w14:paraId="504ED178" w14:textId="77777777">
      <w:pPr>
        <w:rPr>
          <w:b/>
          <w:bCs/>
        </w:rPr>
      </w:pPr>
    </w:p>
    <w:p w:rsidR="00517609" w:rsidP="004C438D" w:rsidRDefault="00517609" w14:paraId="7AC6D1F1" w14:textId="77777777">
      <w:pPr>
        <w:outlineLvl w:val="0"/>
      </w:pPr>
      <w:r>
        <w:t>This collection of infor</w:t>
      </w:r>
      <w:r w:rsidR="001F2D4C">
        <w:t>mation does not involve any pay</w:t>
      </w:r>
      <w:r w:rsidR="00C64B34">
        <w:t>ment</w:t>
      </w:r>
      <w:r w:rsidR="001F2D4C">
        <w:t xml:space="preserve"> </w:t>
      </w:r>
      <w:r>
        <w:t>or gift to respondents.</w:t>
      </w:r>
    </w:p>
    <w:p w:rsidR="00517609" w:rsidRDefault="00517609" w14:paraId="3870F33A" w14:textId="77777777"/>
    <w:p w:rsidR="00A17447" w:rsidRDefault="00A17447" w14:paraId="602FC877" w14:textId="77777777">
      <w:pPr>
        <w:widowControl/>
        <w:autoSpaceDE/>
        <w:autoSpaceDN/>
        <w:adjustRightInd/>
      </w:pPr>
      <w:r>
        <w:br w:type="page"/>
      </w:r>
    </w:p>
    <w:p w:rsidR="00517609" w:rsidP="004C438D" w:rsidRDefault="00517609" w14:paraId="242A799D" w14:textId="77777777">
      <w:pPr>
        <w:outlineLvl w:val="0"/>
        <w:rPr>
          <w:b/>
          <w:bCs/>
        </w:rPr>
      </w:pPr>
      <w:r>
        <w:lastRenderedPageBreak/>
        <w:t xml:space="preserve">10.  </w:t>
      </w:r>
      <w:r w:rsidRPr="00CB557F" w:rsidR="00CB557F">
        <w:rPr>
          <w:b/>
        </w:rPr>
        <w:t>Protection of the Privacy and Confidentiality of Information Provided By Respondents</w:t>
      </w:r>
      <w:r>
        <w:rPr>
          <w:b/>
          <w:bCs/>
        </w:rPr>
        <w:t xml:space="preserve">  </w:t>
      </w:r>
    </w:p>
    <w:p w:rsidR="00517609" w:rsidRDefault="00517609" w14:paraId="0C884398" w14:textId="77777777">
      <w:pPr>
        <w:rPr>
          <w:b/>
          <w:bCs/>
        </w:rPr>
      </w:pPr>
    </w:p>
    <w:p w:rsidRPr="00D70F51" w:rsidR="00541C48" w:rsidRDefault="00D70F51" w14:paraId="6295E39A" w14:textId="77777777">
      <w:r w:rsidRPr="00D70F51">
        <w:t xml:space="preserve">The Privacy Act does not apply to this data collection because no personally identifying information will be collected.  </w:t>
      </w:r>
    </w:p>
    <w:p w:rsidR="00541C48" w:rsidRDefault="00541C48" w14:paraId="2B496C6E" w14:textId="77777777"/>
    <w:p w:rsidR="00517609" w:rsidP="004C438D" w:rsidRDefault="00517609" w14:paraId="3AD17780" w14:textId="77777777">
      <w:pPr>
        <w:outlineLvl w:val="0"/>
        <w:rPr>
          <w:b/>
          <w:bCs/>
        </w:rPr>
      </w:pPr>
      <w:r>
        <w:t xml:space="preserve">11.  </w:t>
      </w:r>
      <w:r w:rsidRPr="00541C48" w:rsidR="00541C48">
        <w:rPr>
          <w:b/>
        </w:rPr>
        <w:t>Institutional Review Board (IRB) and</w:t>
      </w:r>
      <w:r w:rsidR="00541C48">
        <w:t xml:space="preserve"> </w:t>
      </w:r>
      <w:r>
        <w:rPr>
          <w:b/>
          <w:bCs/>
        </w:rPr>
        <w:t xml:space="preserve">Justification for Sensitive Questions  </w:t>
      </w:r>
    </w:p>
    <w:p w:rsidR="00DC047B" w:rsidRDefault="00DC047B" w14:paraId="10E2448B" w14:textId="77777777"/>
    <w:p w:rsidR="00517609" w:rsidRDefault="00541C48" w14:paraId="536C3035" w14:textId="77777777">
      <w:r>
        <w:t xml:space="preserve">The NCHS Human Subjects Contact has determined that customer satisfaction surveys do not require their review and approval (Attachment C). </w:t>
      </w:r>
      <w:r w:rsidR="0047053D">
        <w:t>No sensitive questions are anticipated; however, a</w:t>
      </w:r>
      <w:r w:rsidR="001F2D4C">
        <w:t>ny</w:t>
      </w:r>
      <w:r w:rsidR="00517609">
        <w:t xml:space="preserve"> collection</w:t>
      </w:r>
      <w:r w:rsidR="001F2D4C">
        <w:t xml:space="preserve"> </w:t>
      </w:r>
      <w:r w:rsidR="00517609">
        <w:t>of a sensitive nature</w:t>
      </w:r>
      <w:r w:rsidR="001F2D4C">
        <w:t xml:space="preserve"> will be described in that collection submission</w:t>
      </w:r>
      <w:r w:rsidR="00517609">
        <w:t>.</w:t>
      </w:r>
    </w:p>
    <w:p w:rsidR="00517609" w:rsidRDefault="00517609" w14:paraId="7882456E" w14:textId="77777777"/>
    <w:p w:rsidR="00517609" w:rsidP="004C438D" w:rsidRDefault="00517609" w14:paraId="38AE878B" w14:textId="77777777">
      <w:pPr>
        <w:widowControl/>
        <w:autoSpaceDE/>
        <w:autoSpaceDN/>
        <w:adjustRightInd/>
        <w:outlineLvl w:val="0"/>
        <w:rPr>
          <w:b/>
        </w:rPr>
      </w:pPr>
      <w:r>
        <w:t xml:space="preserve">12.  </w:t>
      </w:r>
      <w:r>
        <w:rPr>
          <w:b/>
        </w:rPr>
        <w:t xml:space="preserve">Estimates of Annualized Burden Hours and Costs  </w:t>
      </w:r>
    </w:p>
    <w:p w:rsidR="00517609" w:rsidRDefault="00517609" w14:paraId="1A92BFA2" w14:textId="77777777">
      <w:pPr>
        <w:widowControl/>
        <w:autoSpaceDE/>
        <w:autoSpaceDN/>
        <w:adjustRightInd/>
        <w:rPr>
          <w:b/>
        </w:rPr>
      </w:pPr>
    </w:p>
    <w:p w:rsidR="00517609" w:rsidRDefault="00C64B34" w14:paraId="0ACE5F0E" w14:textId="6365E78C">
      <w:pPr>
        <w:widowControl/>
        <w:autoSpaceDE/>
        <w:autoSpaceDN/>
        <w:adjustRightInd/>
      </w:pPr>
      <w:r>
        <w:t xml:space="preserve">Table 1 presents the estimate of number of respondents and burden hours for surveys over the three-year period.  </w:t>
      </w:r>
      <w:r w:rsidRPr="0097747A" w:rsidR="0097747A">
        <w:t>I</w:t>
      </w:r>
      <w:r w:rsidR="008F7149">
        <w:t xml:space="preserve">t is estimated the </w:t>
      </w:r>
      <w:r w:rsidRPr="0097747A" w:rsidR="0097747A">
        <w:t>attendance during the National Health Statistics</w:t>
      </w:r>
      <w:r w:rsidR="008F7149">
        <w:t xml:space="preserve"> </w:t>
      </w:r>
      <w:r w:rsidRPr="0097747A" w:rsidR="0097747A">
        <w:t>Conferences</w:t>
      </w:r>
      <w:r w:rsidR="0097747A">
        <w:t xml:space="preserve">, </w:t>
      </w:r>
      <w:r w:rsidR="008F7149">
        <w:t xml:space="preserve">for </w:t>
      </w:r>
      <w:r w:rsidR="0097747A">
        <w:t xml:space="preserve">the number of respondents /attendees completing questionnaires </w:t>
      </w:r>
      <w:r w:rsidR="008F7149">
        <w:t xml:space="preserve">will be </w:t>
      </w:r>
      <w:r w:rsidR="005F5A92">
        <w:t>1</w:t>
      </w:r>
      <w:r w:rsidR="0097747A">
        <w:t>,</w:t>
      </w:r>
      <w:r w:rsidR="00CB557F">
        <w:t>0</w:t>
      </w:r>
      <w:r w:rsidR="0097747A">
        <w:t xml:space="preserve">00 </w:t>
      </w:r>
      <w:r w:rsidR="00CB557F">
        <w:t xml:space="preserve">and the average burden per response </w:t>
      </w:r>
      <w:r w:rsidR="008F7149">
        <w:t xml:space="preserve">is </w:t>
      </w:r>
      <w:r w:rsidR="00CB557F">
        <w:t xml:space="preserve">15 minutes </w:t>
      </w:r>
      <w:r w:rsidR="0097747A">
        <w:t xml:space="preserve">for a total of </w:t>
      </w:r>
      <w:r w:rsidR="005F5A92">
        <w:t>25</w:t>
      </w:r>
      <w:r w:rsidR="00CB557F">
        <w:t>0</w:t>
      </w:r>
      <w:r w:rsidR="0097747A">
        <w:t xml:space="preserve"> burden hours.  </w:t>
      </w:r>
      <w:r w:rsidR="008F7149">
        <w:t xml:space="preserve">The </w:t>
      </w:r>
      <w:r w:rsidR="00CB557F">
        <w:t xml:space="preserve">average focus group response time </w:t>
      </w:r>
      <w:r w:rsidR="00D918FE">
        <w:t xml:space="preserve">of one hour </w:t>
      </w:r>
      <w:r w:rsidR="008F7149">
        <w:t xml:space="preserve">is </w:t>
      </w:r>
      <w:r w:rsidR="00CB557F">
        <w:t xml:space="preserve">estimated that the number of participants </w:t>
      </w:r>
      <w:r w:rsidR="008F7149">
        <w:t xml:space="preserve">for </w:t>
      </w:r>
      <w:r w:rsidR="00CB557F">
        <w:t>500</w:t>
      </w:r>
      <w:r w:rsidR="00D918FE">
        <w:t xml:space="preserve"> </w:t>
      </w:r>
      <w:r w:rsidR="008F7149">
        <w:t xml:space="preserve">with </w:t>
      </w:r>
      <w:r w:rsidR="00D918FE">
        <w:t>a total burden time of 500 hours.</w:t>
      </w:r>
      <w:r w:rsidR="00CB557F">
        <w:t xml:space="preserve"> </w:t>
      </w:r>
      <w:r w:rsidR="008F7149">
        <w:t xml:space="preserve">The </w:t>
      </w:r>
      <w:r w:rsidRPr="0097747A" w:rsidR="0097747A">
        <w:t>number of NCHS website users</w:t>
      </w:r>
      <w:r w:rsidR="0097747A">
        <w:t xml:space="preserve"> </w:t>
      </w:r>
      <w:r w:rsidR="008F7149">
        <w:t xml:space="preserve">is estimated </w:t>
      </w:r>
      <w:r w:rsidR="00FC71E3">
        <w:t xml:space="preserve">at </w:t>
      </w:r>
      <w:r w:rsidR="005F5A92">
        <w:t>4</w:t>
      </w:r>
      <w:r w:rsidR="0097747A">
        <w:t>,</w:t>
      </w:r>
      <w:r w:rsidR="00CB557F">
        <w:t>0</w:t>
      </w:r>
      <w:r w:rsidR="0097747A">
        <w:t>00</w:t>
      </w:r>
      <w:r w:rsidR="00FC71E3">
        <w:t xml:space="preserve">; </w:t>
      </w:r>
      <w:r w:rsidR="008F7149">
        <w:t xml:space="preserve">with an </w:t>
      </w:r>
      <w:r w:rsidR="00CB557F">
        <w:t xml:space="preserve">average response time </w:t>
      </w:r>
      <w:r w:rsidR="008F7149">
        <w:t xml:space="preserve">of </w:t>
      </w:r>
      <w:r w:rsidR="00CB557F">
        <w:t xml:space="preserve">15 minutes </w:t>
      </w:r>
      <w:r w:rsidR="008F7149">
        <w:t xml:space="preserve">for a </w:t>
      </w:r>
      <w:r w:rsidR="00FC71E3">
        <w:t xml:space="preserve">burden </w:t>
      </w:r>
      <w:r w:rsidR="008F7149">
        <w:t xml:space="preserve">of </w:t>
      </w:r>
      <w:r w:rsidR="00CB557F">
        <w:t>1,</w:t>
      </w:r>
      <w:r w:rsidR="005F5A92">
        <w:t>0</w:t>
      </w:r>
      <w:r w:rsidR="00CB557F">
        <w:t>0</w:t>
      </w:r>
      <w:r w:rsidR="0097747A">
        <w:t>0</w:t>
      </w:r>
      <w:r w:rsidRPr="0097747A" w:rsidR="0097747A">
        <w:t xml:space="preserve"> hours</w:t>
      </w:r>
      <w:r w:rsidR="0097747A">
        <w:t>.</w:t>
      </w:r>
      <w:r w:rsidRPr="0097747A" w:rsidR="0097747A">
        <w:t xml:space="preserve"> </w:t>
      </w:r>
      <w:r w:rsidR="00D918FE">
        <w:t xml:space="preserve">And finally, the number of other potential customer surveys </w:t>
      </w:r>
      <w:r w:rsidR="008F7149">
        <w:t xml:space="preserve">is </w:t>
      </w:r>
      <w:r w:rsidR="00D918FE">
        <w:t>2,000</w:t>
      </w:r>
      <w:r w:rsidR="00FC71E3">
        <w:t xml:space="preserve">, with the average burden of </w:t>
      </w:r>
      <w:r w:rsidR="00D918FE">
        <w:t xml:space="preserve">15 minutes per response.  </w:t>
      </w:r>
      <w:r w:rsidRPr="0097747A" w:rsidR="0097747A">
        <w:t xml:space="preserve">The </w:t>
      </w:r>
      <w:r w:rsidR="00D918FE">
        <w:t xml:space="preserve">overall </w:t>
      </w:r>
      <w:r w:rsidRPr="0097747A" w:rsidR="0097747A">
        <w:t xml:space="preserve">total burden for the Customer Surveys Generic Clearance </w:t>
      </w:r>
      <w:r w:rsidR="00D520A7">
        <w:t>has de</w:t>
      </w:r>
      <w:r w:rsidR="00B4541C">
        <w:t>c</w:t>
      </w:r>
      <w:r w:rsidR="00D520A7">
        <w:t>reased</w:t>
      </w:r>
      <w:r w:rsidR="00595DC8">
        <w:t xml:space="preserve">:  </w:t>
      </w:r>
      <w:r w:rsidR="00036576">
        <w:t xml:space="preserve">7,500 </w:t>
      </w:r>
      <w:r w:rsidR="008F7149">
        <w:t xml:space="preserve">respondents and </w:t>
      </w:r>
      <w:r w:rsidR="00036576">
        <w:t>2</w:t>
      </w:r>
      <w:r w:rsidRPr="0097747A" w:rsidR="0097747A">
        <w:t>,</w:t>
      </w:r>
      <w:r w:rsidR="00C03501">
        <w:t>250</w:t>
      </w:r>
      <w:r w:rsidRPr="0097747A" w:rsidR="0097747A">
        <w:t xml:space="preserve"> hours.</w:t>
      </w:r>
      <w:r w:rsidR="00595DC8">
        <w:t xml:space="preserve">  </w:t>
      </w:r>
      <w:r>
        <w:t>Specific information will be provided with</w:t>
      </w:r>
      <w:r w:rsidR="006F5771">
        <w:t xml:space="preserve"> the project submission.</w:t>
      </w:r>
    </w:p>
    <w:p w:rsidR="00517609" w:rsidRDefault="00517609" w14:paraId="2A214E37" w14:textId="77777777">
      <w:pPr>
        <w:widowControl/>
        <w:autoSpaceDE/>
        <w:autoSpaceDN/>
        <w:adjustRightInd/>
      </w:pPr>
    </w:p>
    <w:p w:rsidR="00517609" w:rsidP="006F5771" w:rsidRDefault="00C64B34" w14:paraId="5AC25B50" w14:textId="16EA53F3">
      <w:pPr>
        <w:widowControl/>
        <w:autoSpaceDE/>
        <w:autoSpaceDN/>
        <w:adjustRightInd/>
        <w:ind w:firstLine="810"/>
        <w:outlineLvl w:val="0"/>
      </w:pPr>
      <w:r>
        <w:rPr>
          <w:b/>
        </w:rPr>
        <w:t xml:space="preserve">Table 1. </w:t>
      </w:r>
      <w:r w:rsidR="00517609">
        <w:rPr>
          <w:b/>
        </w:rPr>
        <w:t xml:space="preserve">Estimates of </w:t>
      </w:r>
      <w:r w:rsidR="000F1EC6">
        <w:rPr>
          <w:b/>
        </w:rPr>
        <w:t xml:space="preserve"> </w:t>
      </w:r>
      <w:r w:rsidR="00CB4FA4">
        <w:rPr>
          <w:b/>
        </w:rPr>
        <w:t xml:space="preserve">3-Year </w:t>
      </w:r>
      <w:r w:rsidR="000F1EC6">
        <w:rPr>
          <w:b/>
        </w:rPr>
        <w:t xml:space="preserve">Total </w:t>
      </w:r>
      <w:r w:rsidR="00517609">
        <w:rPr>
          <w:b/>
        </w:rPr>
        <w:t>Burden Hours for NCHS Customer Surveys</w:t>
      </w:r>
    </w:p>
    <w:tbl>
      <w:tblPr>
        <w:tblpPr w:leftFromText="180" w:rightFromText="180" w:vertAnchor="text" w:horzAnchor="margin" w:tblpY="122"/>
        <w:tblW w:w="9480" w:type="dxa"/>
        <w:tblLayout w:type="fixed"/>
        <w:tblCellMar>
          <w:left w:w="120" w:type="dxa"/>
          <w:right w:w="120" w:type="dxa"/>
        </w:tblCellMar>
        <w:tblLook w:val="0000" w:firstRow="0" w:lastRow="0" w:firstColumn="0" w:lastColumn="0" w:noHBand="0" w:noVBand="0"/>
      </w:tblPr>
      <w:tblGrid>
        <w:gridCol w:w="3096"/>
        <w:gridCol w:w="1704"/>
        <w:gridCol w:w="1620"/>
        <w:gridCol w:w="1620"/>
        <w:gridCol w:w="1440"/>
      </w:tblGrid>
      <w:tr w:rsidR="0069113D" w:rsidTr="0069113D" w14:paraId="24C8EE45" w14:textId="77777777">
        <w:trPr>
          <w:trHeight w:val="512"/>
        </w:trPr>
        <w:tc>
          <w:tcPr>
            <w:tcW w:w="3096" w:type="dxa"/>
            <w:tcBorders>
              <w:top w:val="single" w:color="auto" w:sz="4" w:space="0"/>
              <w:left w:val="single" w:color="auto" w:sz="4" w:space="0"/>
              <w:bottom w:val="single" w:color="auto" w:sz="4" w:space="0"/>
              <w:right w:val="single" w:color="auto" w:sz="4" w:space="0"/>
            </w:tcBorders>
          </w:tcPr>
          <w:p w:rsidR="0069113D" w:rsidP="009E55EF" w:rsidRDefault="0069113D" w14:paraId="6D35E2E7" w14:textId="77777777">
            <w:pPr>
              <w:jc w:val="center"/>
              <w:rPr>
                <w:b/>
                <w:sz w:val="21"/>
                <w:szCs w:val="21"/>
              </w:rPr>
            </w:pPr>
            <w:r>
              <w:rPr>
                <w:b/>
                <w:sz w:val="21"/>
                <w:szCs w:val="21"/>
              </w:rPr>
              <w:t>Type of survey</w:t>
            </w:r>
          </w:p>
          <w:p w:rsidR="0069113D" w:rsidP="009E55EF" w:rsidRDefault="0069113D" w14:paraId="474EA5C3" w14:textId="77777777">
            <w:pPr>
              <w:jc w:val="center"/>
              <w:rPr>
                <w:b/>
                <w:sz w:val="21"/>
                <w:szCs w:val="21"/>
              </w:rPr>
            </w:pPr>
          </w:p>
        </w:tc>
        <w:tc>
          <w:tcPr>
            <w:tcW w:w="1704" w:type="dxa"/>
            <w:tcBorders>
              <w:top w:val="single" w:color="auto" w:sz="4" w:space="0"/>
              <w:left w:val="single" w:color="auto" w:sz="4" w:space="0"/>
              <w:bottom w:val="single" w:color="auto" w:sz="4" w:space="0"/>
              <w:right w:val="single" w:color="000000" w:sz="8" w:space="0"/>
            </w:tcBorders>
          </w:tcPr>
          <w:p w:rsidR="0069113D" w:rsidP="009E55EF" w:rsidRDefault="0069113D" w14:paraId="2F3A0EC5" w14:textId="77777777">
            <w:pPr>
              <w:jc w:val="center"/>
              <w:rPr>
                <w:sz w:val="21"/>
                <w:szCs w:val="21"/>
              </w:rPr>
            </w:pPr>
            <w:r>
              <w:rPr>
                <w:sz w:val="21"/>
                <w:szCs w:val="21"/>
              </w:rPr>
              <w:t>Number of</w:t>
            </w:r>
          </w:p>
          <w:p w:rsidR="0069113D" w:rsidP="009E55EF" w:rsidRDefault="0069113D" w14:paraId="615568BE" w14:textId="77777777">
            <w:pPr>
              <w:jc w:val="center"/>
              <w:rPr>
                <w:sz w:val="21"/>
                <w:szCs w:val="21"/>
              </w:rPr>
            </w:pPr>
            <w:r>
              <w:rPr>
                <w:sz w:val="21"/>
                <w:szCs w:val="21"/>
              </w:rPr>
              <w:t>Respondents</w:t>
            </w:r>
          </w:p>
        </w:tc>
        <w:tc>
          <w:tcPr>
            <w:tcW w:w="1620" w:type="dxa"/>
            <w:tcBorders>
              <w:top w:val="single" w:color="auto" w:sz="4" w:space="0"/>
              <w:left w:val="single" w:color="000000" w:sz="8" w:space="0"/>
              <w:bottom w:val="single" w:color="auto" w:sz="4" w:space="0"/>
              <w:right w:val="single" w:color="000000" w:sz="8" w:space="0"/>
            </w:tcBorders>
          </w:tcPr>
          <w:p w:rsidR="0069113D" w:rsidP="009E55EF" w:rsidRDefault="0069113D" w14:paraId="24A01E50" w14:textId="77777777">
            <w:pPr>
              <w:jc w:val="center"/>
              <w:rPr>
                <w:sz w:val="21"/>
                <w:szCs w:val="21"/>
              </w:rPr>
            </w:pPr>
            <w:r>
              <w:rPr>
                <w:sz w:val="21"/>
                <w:szCs w:val="21"/>
              </w:rPr>
              <w:t>Number of</w:t>
            </w:r>
          </w:p>
          <w:p w:rsidR="0069113D" w:rsidP="009E55EF" w:rsidRDefault="0069113D" w14:paraId="2DB79C02" w14:textId="77777777">
            <w:pPr>
              <w:jc w:val="center"/>
              <w:rPr>
                <w:sz w:val="21"/>
                <w:szCs w:val="21"/>
              </w:rPr>
            </w:pPr>
            <w:r>
              <w:rPr>
                <w:sz w:val="21"/>
                <w:szCs w:val="21"/>
              </w:rPr>
              <w:t>responses/</w:t>
            </w:r>
          </w:p>
          <w:p w:rsidR="0069113D" w:rsidP="009E55EF" w:rsidRDefault="0069113D" w14:paraId="77E8D45C" w14:textId="77777777">
            <w:pPr>
              <w:jc w:val="center"/>
              <w:rPr>
                <w:sz w:val="21"/>
                <w:szCs w:val="21"/>
              </w:rPr>
            </w:pPr>
            <w:r>
              <w:rPr>
                <w:sz w:val="21"/>
                <w:szCs w:val="21"/>
              </w:rPr>
              <w:t>respondent</w:t>
            </w:r>
          </w:p>
        </w:tc>
        <w:tc>
          <w:tcPr>
            <w:tcW w:w="1620" w:type="dxa"/>
            <w:tcBorders>
              <w:top w:val="single" w:color="auto" w:sz="4" w:space="0"/>
              <w:left w:val="single" w:color="000000" w:sz="8" w:space="0"/>
              <w:bottom w:val="single" w:color="auto" w:sz="4" w:space="0"/>
              <w:right w:val="single" w:color="000000" w:sz="8" w:space="0"/>
            </w:tcBorders>
          </w:tcPr>
          <w:p w:rsidR="0069113D" w:rsidP="009E55EF" w:rsidRDefault="0069113D" w14:paraId="3A27D33F" w14:textId="77777777">
            <w:pPr>
              <w:jc w:val="center"/>
              <w:rPr>
                <w:sz w:val="21"/>
                <w:szCs w:val="21"/>
              </w:rPr>
            </w:pPr>
            <w:r>
              <w:rPr>
                <w:sz w:val="21"/>
                <w:szCs w:val="21"/>
              </w:rPr>
              <w:t>Average Burden/ response</w:t>
            </w:r>
          </w:p>
          <w:p w:rsidR="0069113D" w:rsidP="009E55EF" w:rsidRDefault="0069113D" w14:paraId="24DFDB40" w14:textId="77777777">
            <w:pPr>
              <w:jc w:val="center"/>
              <w:rPr>
                <w:sz w:val="21"/>
                <w:szCs w:val="21"/>
              </w:rPr>
            </w:pPr>
            <w:r>
              <w:rPr>
                <w:sz w:val="21"/>
                <w:szCs w:val="21"/>
              </w:rPr>
              <w:t>(in hours)</w:t>
            </w:r>
          </w:p>
        </w:tc>
        <w:tc>
          <w:tcPr>
            <w:tcW w:w="1440" w:type="dxa"/>
            <w:tcBorders>
              <w:top w:val="single" w:color="auto" w:sz="4" w:space="0"/>
              <w:left w:val="single" w:color="000000" w:sz="8" w:space="0"/>
              <w:bottom w:val="single" w:color="auto" w:sz="4" w:space="0"/>
              <w:right w:val="single" w:color="auto" w:sz="4" w:space="0"/>
            </w:tcBorders>
          </w:tcPr>
          <w:p w:rsidR="0069113D" w:rsidP="009E55EF" w:rsidRDefault="0069113D" w14:paraId="3AEAE50A" w14:textId="77777777">
            <w:pPr>
              <w:tabs>
                <w:tab w:val="left" w:pos="1498"/>
              </w:tabs>
              <w:jc w:val="center"/>
              <w:rPr>
                <w:sz w:val="21"/>
                <w:szCs w:val="21"/>
              </w:rPr>
            </w:pPr>
            <w:r>
              <w:rPr>
                <w:sz w:val="21"/>
                <w:szCs w:val="21"/>
              </w:rPr>
              <w:t>Response</w:t>
            </w:r>
          </w:p>
          <w:p w:rsidR="0069113D" w:rsidP="009E55EF" w:rsidRDefault="0069113D" w14:paraId="606192B6" w14:textId="77777777">
            <w:pPr>
              <w:tabs>
                <w:tab w:val="left" w:pos="1498"/>
              </w:tabs>
              <w:jc w:val="center"/>
              <w:rPr>
                <w:sz w:val="21"/>
                <w:szCs w:val="21"/>
              </w:rPr>
            </w:pPr>
            <w:r>
              <w:rPr>
                <w:sz w:val="21"/>
                <w:szCs w:val="21"/>
              </w:rPr>
              <w:t>Burden</w:t>
            </w:r>
          </w:p>
          <w:p w:rsidR="0069113D" w:rsidP="009E55EF" w:rsidRDefault="0069113D" w14:paraId="1A464768" w14:textId="77777777">
            <w:pPr>
              <w:tabs>
                <w:tab w:val="left" w:pos="1498"/>
              </w:tabs>
              <w:jc w:val="center"/>
              <w:rPr>
                <w:sz w:val="21"/>
                <w:szCs w:val="21"/>
              </w:rPr>
            </w:pPr>
            <w:r>
              <w:rPr>
                <w:sz w:val="21"/>
                <w:szCs w:val="21"/>
              </w:rPr>
              <w:t>(in hours)</w:t>
            </w:r>
          </w:p>
          <w:p w:rsidR="0069113D" w:rsidP="009E55EF" w:rsidRDefault="0069113D" w14:paraId="152E1ADB" w14:textId="77777777">
            <w:pPr>
              <w:tabs>
                <w:tab w:val="left" w:pos="1498"/>
              </w:tabs>
              <w:jc w:val="center"/>
              <w:rPr>
                <w:sz w:val="21"/>
                <w:szCs w:val="21"/>
              </w:rPr>
            </w:pPr>
          </w:p>
        </w:tc>
      </w:tr>
      <w:tr w:rsidR="0069113D" w:rsidTr="0069113D" w14:paraId="146D187B" w14:textId="77777777">
        <w:trPr>
          <w:trHeight w:val="685"/>
        </w:trPr>
        <w:tc>
          <w:tcPr>
            <w:tcW w:w="3096" w:type="dxa"/>
            <w:tcBorders>
              <w:top w:val="single" w:color="000000" w:sz="7" w:space="0"/>
              <w:left w:val="single" w:color="000000" w:sz="7" w:space="0"/>
              <w:bottom w:val="single" w:color="FFFFFF" w:sz="6" w:space="0"/>
              <w:right w:val="single" w:color="FFFFFF" w:sz="6" w:space="0"/>
            </w:tcBorders>
          </w:tcPr>
          <w:p w:rsidR="0069113D" w:rsidP="0069113D" w:rsidRDefault="0069113D" w14:paraId="4B699512" w14:textId="77777777">
            <w:pPr>
              <w:spacing w:line="120" w:lineRule="exact"/>
              <w:rPr>
                <w:sz w:val="21"/>
                <w:szCs w:val="21"/>
              </w:rPr>
            </w:pPr>
          </w:p>
          <w:p w:rsidR="0069113D" w:rsidP="0069113D" w:rsidRDefault="0069113D" w14:paraId="2C88C2BC" w14:textId="77777777">
            <w:pPr>
              <w:spacing w:after="58"/>
              <w:rPr>
                <w:sz w:val="21"/>
                <w:szCs w:val="21"/>
              </w:rPr>
            </w:pPr>
            <w:r>
              <w:rPr>
                <w:sz w:val="21"/>
                <w:szCs w:val="21"/>
              </w:rPr>
              <w:t>Questionnaire for conference registrants/attendees</w:t>
            </w:r>
          </w:p>
        </w:tc>
        <w:tc>
          <w:tcPr>
            <w:tcW w:w="1704" w:type="dxa"/>
            <w:tcBorders>
              <w:top w:val="single" w:color="auto" w:sz="4" w:space="0"/>
              <w:left w:val="single" w:color="000000" w:sz="7" w:space="0"/>
              <w:bottom w:val="single" w:color="FFFFFF" w:sz="6" w:space="0"/>
              <w:right w:val="single" w:color="FFFFFF" w:sz="6" w:space="0"/>
            </w:tcBorders>
          </w:tcPr>
          <w:p w:rsidR="0069113D" w:rsidP="00787E1F" w:rsidRDefault="0069113D" w14:paraId="15A36F0E" w14:textId="77777777">
            <w:pPr>
              <w:spacing w:after="58"/>
              <w:jc w:val="center"/>
              <w:rPr>
                <w:sz w:val="21"/>
                <w:szCs w:val="21"/>
              </w:rPr>
            </w:pPr>
          </w:p>
          <w:p w:rsidR="0069113D" w:rsidP="00787E1F" w:rsidRDefault="008F245F" w14:paraId="39E82DE0" w14:textId="7D5E82EE">
            <w:pPr>
              <w:spacing w:after="58"/>
              <w:jc w:val="center"/>
              <w:rPr>
                <w:sz w:val="21"/>
                <w:szCs w:val="21"/>
              </w:rPr>
            </w:pPr>
            <w:r>
              <w:rPr>
                <w:sz w:val="21"/>
                <w:szCs w:val="21"/>
              </w:rPr>
              <w:t>1</w:t>
            </w:r>
            <w:r w:rsidR="00787E1F">
              <w:rPr>
                <w:sz w:val="21"/>
                <w:szCs w:val="21"/>
              </w:rPr>
              <w:t>,000</w:t>
            </w:r>
          </w:p>
        </w:tc>
        <w:tc>
          <w:tcPr>
            <w:tcW w:w="1620" w:type="dxa"/>
            <w:tcBorders>
              <w:top w:val="single" w:color="auto" w:sz="4" w:space="0"/>
              <w:left w:val="single" w:color="000000" w:sz="7" w:space="0"/>
              <w:bottom w:val="single" w:color="FFFFFF" w:sz="6" w:space="0"/>
              <w:right w:val="single" w:color="FFFFFF" w:sz="6" w:space="0"/>
            </w:tcBorders>
          </w:tcPr>
          <w:p w:rsidR="0069113D" w:rsidP="0069113D" w:rsidRDefault="0069113D" w14:paraId="1B34B049" w14:textId="77777777">
            <w:pPr>
              <w:spacing w:after="58"/>
              <w:jc w:val="center"/>
              <w:rPr>
                <w:sz w:val="21"/>
                <w:szCs w:val="21"/>
              </w:rPr>
            </w:pPr>
          </w:p>
          <w:p w:rsidR="0069113D" w:rsidP="0069113D" w:rsidRDefault="0069113D" w14:paraId="4F5BA60D" w14:textId="77777777">
            <w:pPr>
              <w:spacing w:after="58"/>
              <w:jc w:val="center"/>
              <w:rPr>
                <w:sz w:val="21"/>
                <w:szCs w:val="21"/>
              </w:rPr>
            </w:pPr>
            <w:r>
              <w:rPr>
                <w:sz w:val="21"/>
                <w:szCs w:val="21"/>
              </w:rPr>
              <w:t>1</w:t>
            </w:r>
          </w:p>
        </w:tc>
        <w:tc>
          <w:tcPr>
            <w:tcW w:w="1620" w:type="dxa"/>
            <w:tcBorders>
              <w:top w:val="single" w:color="auto" w:sz="4" w:space="0"/>
              <w:left w:val="single" w:color="000000" w:sz="7" w:space="0"/>
              <w:bottom w:val="single" w:color="FFFFFF" w:sz="6" w:space="0"/>
              <w:right w:val="single" w:color="FFFFFF" w:sz="6" w:space="0"/>
            </w:tcBorders>
          </w:tcPr>
          <w:p w:rsidR="0069113D" w:rsidP="0069113D" w:rsidRDefault="0069113D" w14:paraId="09FE3025" w14:textId="77777777">
            <w:pPr>
              <w:spacing w:after="58"/>
              <w:jc w:val="center"/>
              <w:rPr>
                <w:sz w:val="21"/>
                <w:szCs w:val="21"/>
              </w:rPr>
            </w:pPr>
          </w:p>
          <w:p w:rsidR="0069113D" w:rsidP="00787E1F" w:rsidRDefault="0069113D" w14:paraId="7789B2BC" w14:textId="77777777">
            <w:pPr>
              <w:spacing w:after="58"/>
              <w:jc w:val="center"/>
              <w:rPr>
                <w:sz w:val="21"/>
                <w:szCs w:val="21"/>
              </w:rPr>
            </w:pPr>
            <w:r>
              <w:rPr>
                <w:sz w:val="21"/>
                <w:szCs w:val="21"/>
              </w:rPr>
              <w:t>1</w:t>
            </w:r>
            <w:r w:rsidR="00787E1F">
              <w:rPr>
                <w:sz w:val="21"/>
                <w:szCs w:val="21"/>
              </w:rPr>
              <w:t>5</w:t>
            </w:r>
            <w:r>
              <w:rPr>
                <w:sz w:val="21"/>
                <w:szCs w:val="21"/>
              </w:rPr>
              <w:t>/60</w:t>
            </w:r>
          </w:p>
        </w:tc>
        <w:tc>
          <w:tcPr>
            <w:tcW w:w="1440" w:type="dxa"/>
            <w:tcBorders>
              <w:top w:val="single" w:color="auto" w:sz="4" w:space="0"/>
              <w:left w:val="single" w:color="000000" w:sz="7" w:space="0"/>
              <w:bottom w:val="single" w:color="FFFFFF" w:sz="6" w:space="0"/>
              <w:right w:val="single" w:color="000000" w:sz="7" w:space="0"/>
            </w:tcBorders>
          </w:tcPr>
          <w:p w:rsidR="0069113D" w:rsidP="0069113D" w:rsidRDefault="0069113D" w14:paraId="789AD872" w14:textId="77777777">
            <w:pPr>
              <w:tabs>
                <w:tab w:val="left" w:pos="1498"/>
              </w:tabs>
              <w:spacing w:after="58"/>
              <w:jc w:val="center"/>
              <w:rPr>
                <w:sz w:val="21"/>
                <w:szCs w:val="21"/>
              </w:rPr>
            </w:pPr>
          </w:p>
          <w:p w:rsidR="0069113D" w:rsidP="0069113D" w:rsidRDefault="004C339A" w14:paraId="676E7AE2" w14:textId="562F7CD9">
            <w:pPr>
              <w:tabs>
                <w:tab w:val="left" w:pos="1498"/>
              </w:tabs>
              <w:spacing w:after="58"/>
              <w:jc w:val="center"/>
              <w:rPr>
                <w:sz w:val="21"/>
                <w:szCs w:val="21"/>
              </w:rPr>
            </w:pPr>
            <w:r>
              <w:rPr>
                <w:sz w:val="21"/>
                <w:szCs w:val="21"/>
              </w:rPr>
              <w:t>2</w:t>
            </w:r>
            <w:r w:rsidR="00D734F1">
              <w:rPr>
                <w:sz w:val="21"/>
                <w:szCs w:val="21"/>
              </w:rPr>
              <w:t>50</w:t>
            </w:r>
          </w:p>
        </w:tc>
      </w:tr>
      <w:tr w:rsidR="0069113D" w:rsidTr="0069113D" w14:paraId="41A030C6" w14:textId="77777777">
        <w:trPr>
          <w:trHeight w:val="595"/>
        </w:trPr>
        <w:tc>
          <w:tcPr>
            <w:tcW w:w="3096" w:type="dxa"/>
            <w:tcBorders>
              <w:top w:val="single" w:color="000000" w:sz="7" w:space="0"/>
              <w:left w:val="single" w:color="000000" w:sz="7" w:space="0"/>
              <w:bottom w:val="single" w:color="FFFFFF" w:sz="6" w:space="0"/>
              <w:right w:val="single" w:color="FFFFFF" w:sz="6" w:space="0"/>
            </w:tcBorders>
          </w:tcPr>
          <w:p w:rsidR="0069113D" w:rsidP="0069113D" w:rsidRDefault="0069113D" w14:paraId="3850DB22" w14:textId="77777777">
            <w:pPr>
              <w:spacing w:line="120" w:lineRule="exact"/>
              <w:rPr>
                <w:sz w:val="21"/>
                <w:szCs w:val="21"/>
              </w:rPr>
            </w:pPr>
          </w:p>
          <w:p w:rsidR="0069113D" w:rsidP="0069113D" w:rsidRDefault="0069113D" w14:paraId="10F386E3" w14:textId="77777777">
            <w:pPr>
              <w:spacing w:after="58"/>
              <w:rPr>
                <w:sz w:val="21"/>
                <w:szCs w:val="21"/>
              </w:rPr>
            </w:pPr>
            <w:r>
              <w:rPr>
                <w:sz w:val="21"/>
                <w:szCs w:val="21"/>
              </w:rPr>
              <w:t>Focus groups</w:t>
            </w:r>
          </w:p>
        </w:tc>
        <w:tc>
          <w:tcPr>
            <w:tcW w:w="1704" w:type="dxa"/>
            <w:tcBorders>
              <w:top w:val="single" w:color="000000" w:sz="7" w:space="0"/>
              <w:left w:val="single" w:color="000000" w:sz="7" w:space="0"/>
              <w:bottom w:val="single" w:color="FFFFFF" w:sz="6" w:space="0"/>
              <w:right w:val="single" w:color="FFFFFF" w:sz="6" w:space="0"/>
            </w:tcBorders>
          </w:tcPr>
          <w:p w:rsidR="0069113D" w:rsidP="00787E1F" w:rsidRDefault="0069113D" w14:paraId="698A7CA4" w14:textId="77777777">
            <w:pPr>
              <w:spacing w:after="58"/>
              <w:jc w:val="center"/>
              <w:rPr>
                <w:sz w:val="21"/>
                <w:szCs w:val="21"/>
              </w:rPr>
            </w:pPr>
          </w:p>
          <w:p w:rsidR="0069113D" w:rsidP="00787E1F" w:rsidRDefault="00787E1F" w14:paraId="00DC990B" w14:textId="77777777">
            <w:pPr>
              <w:spacing w:after="58"/>
              <w:jc w:val="center"/>
              <w:rPr>
                <w:sz w:val="21"/>
                <w:szCs w:val="21"/>
              </w:rPr>
            </w:pPr>
            <w:r>
              <w:rPr>
                <w:sz w:val="21"/>
                <w:szCs w:val="21"/>
              </w:rPr>
              <w:t>50</w:t>
            </w:r>
            <w:r w:rsidR="0069113D">
              <w:rPr>
                <w:sz w:val="21"/>
                <w:szCs w:val="21"/>
              </w:rPr>
              <w:t>0</w:t>
            </w:r>
          </w:p>
        </w:tc>
        <w:tc>
          <w:tcPr>
            <w:tcW w:w="1620" w:type="dxa"/>
            <w:tcBorders>
              <w:top w:val="single" w:color="000000" w:sz="7" w:space="0"/>
              <w:left w:val="single" w:color="000000" w:sz="7" w:space="0"/>
              <w:bottom w:val="single" w:color="FFFFFF" w:sz="6" w:space="0"/>
              <w:right w:val="single" w:color="FFFFFF" w:sz="6" w:space="0"/>
            </w:tcBorders>
          </w:tcPr>
          <w:p w:rsidR="0069113D" w:rsidP="0069113D" w:rsidRDefault="0069113D" w14:paraId="29E7D8F8" w14:textId="77777777">
            <w:pPr>
              <w:spacing w:after="58"/>
              <w:jc w:val="center"/>
              <w:rPr>
                <w:sz w:val="21"/>
                <w:szCs w:val="21"/>
              </w:rPr>
            </w:pPr>
          </w:p>
          <w:p w:rsidR="0069113D" w:rsidP="0069113D" w:rsidRDefault="0069113D" w14:paraId="3E7B6EBF" w14:textId="77777777">
            <w:pPr>
              <w:spacing w:after="58"/>
              <w:jc w:val="center"/>
              <w:rPr>
                <w:sz w:val="21"/>
                <w:szCs w:val="21"/>
              </w:rPr>
            </w:pPr>
            <w:r>
              <w:rPr>
                <w:sz w:val="21"/>
                <w:szCs w:val="21"/>
              </w:rPr>
              <w:t>1</w:t>
            </w:r>
          </w:p>
        </w:tc>
        <w:tc>
          <w:tcPr>
            <w:tcW w:w="1620" w:type="dxa"/>
            <w:tcBorders>
              <w:top w:val="single" w:color="000000" w:sz="7" w:space="0"/>
              <w:left w:val="single" w:color="000000" w:sz="7" w:space="0"/>
              <w:bottom w:val="single" w:color="FFFFFF" w:sz="6" w:space="0"/>
              <w:right w:val="single" w:color="FFFFFF" w:sz="6" w:space="0"/>
            </w:tcBorders>
          </w:tcPr>
          <w:p w:rsidR="0069113D" w:rsidP="0069113D" w:rsidRDefault="0069113D" w14:paraId="205473C3" w14:textId="77777777">
            <w:pPr>
              <w:spacing w:after="58"/>
              <w:jc w:val="center"/>
              <w:rPr>
                <w:sz w:val="21"/>
                <w:szCs w:val="21"/>
              </w:rPr>
            </w:pPr>
          </w:p>
          <w:p w:rsidR="0069113D" w:rsidP="0069113D" w:rsidRDefault="0069113D" w14:paraId="62E9BDE1" w14:textId="77777777">
            <w:pPr>
              <w:spacing w:after="58"/>
              <w:jc w:val="center"/>
              <w:rPr>
                <w:sz w:val="21"/>
                <w:szCs w:val="21"/>
              </w:rPr>
            </w:pPr>
            <w:r>
              <w:rPr>
                <w:sz w:val="21"/>
                <w:szCs w:val="21"/>
              </w:rPr>
              <w:t>1</w:t>
            </w:r>
          </w:p>
        </w:tc>
        <w:tc>
          <w:tcPr>
            <w:tcW w:w="1440" w:type="dxa"/>
            <w:tcBorders>
              <w:top w:val="single" w:color="000000" w:sz="7" w:space="0"/>
              <w:left w:val="single" w:color="000000" w:sz="7" w:space="0"/>
              <w:bottom w:val="single" w:color="FFFFFF" w:sz="6" w:space="0"/>
              <w:right w:val="single" w:color="000000" w:sz="7" w:space="0"/>
            </w:tcBorders>
          </w:tcPr>
          <w:p w:rsidR="0069113D" w:rsidP="0069113D" w:rsidRDefault="0069113D" w14:paraId="3C2649DD" w14:textId="77777777">
            <w:pPr>
              <w:tabs>
                <w:tab w:val="left" w:pos="1498"/>
              </w:tabs>
              <w:spacing w:after="58"/>
              <w:jc w:val="center"/>
              <w:rPr>
                <w:sz w:val="21"/>
                <w:szCs w:val="21"/>
              </w:rPr>
            </w:pPr>
          </w:p>
          <w:p w:rsidR="0069113D" w:rsidP="0069113D" w:rsidRDefault="00787E1F" w14:paraId="23EC770F" w14:textId="77777777">
            <w:pPr>
              <w:tabs>
                <w:tab w:val="left" w:pos="1498"/>
              </w:tabs>
              <w:spacing w:after="58"/>
              <w:jc w:val="center"/>
              <w:rPr>
                <w:sz w:val="21"/>
                <w:szCs w:val="21"/>
              </w:rPr>
            </w:pPr>
            <w:r>
              <w:rPr>
                <w:sz w:val="21"/>
                <w:szCs w:val="21"/>
              </w:rPr>
              <w:t>50</w:t>
            </w:r>
            <w:r w:rsidR="0069113D">
              <w:rPr>
                <w:sz w:val="21"/>
                <w:szCs w:val="21"/>
              </w:rPr>
              <w:t>0</w:t>
            </w:r>
          </w:p>
        </w:tc>
      </w:tr>
      <w:tr w:rsidR="0069113D" w:rsidTr="0069113D" w14:paraId="01D8CFAA" w14:textId="77777777">
        <w:tc>
          <w:tcPr>
            <w:tcW w:w="3096" w:type="dxa"/>
            <w:tcBorders>
              <w:top w:val="single" w:color="000000" w:sz="7" w:space="0"/>
              <w:left w:val="single" w:color="000000" w:sz="7" w:space="0"/>
              <w:bottom w:val="single" w:color="FFFFFF" w:sz="6" w:space="0"/>
              <w:right w:val="single" w:color="FFFFFF" w:sz="6" w:space="0"/>
            </w:tcBorders>
          </w:tcPr>
          <w:p w:rsidR="0069113D" w:rsidP="0069113D" w:rsidRDefault="0069113D" w14:paraId="397BE9DB" w14:textId="77777777">
            <w:pPr>
              <w:spacing w:line="120" w:lineRule="exact"/>
              <w:rPr>
                <w:sz w:val="21"/>
                <w:szCs w:val="21"/>
              </w:rPr>
            </w:pPr>
          </w:p>
          <w:p w:rsidR="0069113D" w:rsidP="0069113D" w:rsidRDefault="0069113D" w14:paraId="61C74CCD" w14:textId="77777777">
            <w:pPr>
              <w:spacing w:after="58"/>
              <w:rPr>
                <w:sz w:val="21"/>
                <w:szCs w:val="21"/>
              </w:rPr>
            </w:pPr>
            <w:r>
              <w:rPr>
                <w:sz w:val="21"/>
                <w:szCs w:val="21"/>
              </w:rPr>
              <w:t xml:space="preserve">Web-based </w:t>
            </w:r>
          </w:p>
        </w:tc>
        <w:tc>
          <w:tcPr>
            <w:tcW w:w="1704" w:type="dxa"/>
            <w:tcBorders>
              <w:top w:val="single" w:color="000000" w:sz="7" w:space="0"/>
              <w:left w:val="single" w:color="000000" w:sz="7" w:space="0"/>
              <w:bottom w:val="single" w:color="FFFFFF" w:sz="6" w:space="0"/>
              <w:right w:val="single" w:color="FFFFFF" w:sz="6" w:space="0"/>
            </w:tcBorders>
          </w:tcPr>
          <w:p w:rsidR="0069113D" w:rsidP="00787E1F" w:rsidRDefault="0069113D" w14:paraId="35DA30EF" w14:textId="77777777">
            <w:pPr>
              <w:spacing w:after="58"/>
              <w:jc w:val="center"/>
              <w:rPr>
                <w:sz w:val="21"/>
                <w:szCs w:val="21"/>
              </w:rPr>
            </w:pPr>
          </w:p>
          <w:p w:rsidR="0069113D" w:rsidP="00787E1F" w:rsidRDefault="00187D73" w14:paraId="0E942036" w14:textId="73714F14">
            <w:pPr>
              <w:spacing w:after="58"/>
              <w:jc w:val="center"/>
              <w:rPr>
                <w:sz w:val="21"/>
                <w:szCs w:val="21"/>
              </w:rPr>
            </w:pPr>
            <w:r>
              <w:rPr>
                <w:sz w:val="21"/>
                <w:szCs w:val="21"/>
              </w:rPr>
              <w:t>4</w:t>
            </w:r>
            <w:r w:rsidR="00787E1F">
              <w:rPr>
                <w:sz w:val="21"/>
                <w:szCs w:val="21"/>
              </w:rPr>
              <w:t>,000</w:t>
            </w:r>
          </w:p>
        </w:tc>
        <w:tc>
          <w:tcPr>
            <w:tcW w:w="1620" w:type="dxa"/>
            <w:tcBorders>
              <w:top w:val="single" w:color="000000" w:sz="7" w:space="0"/>
              <w:left w:val="single" w:color="000000" w:sz="7" w:space="0"/>
              <w:bottom w:val="single" w:color="FFFFFF" w:sz="6" w:space="0"/>
              <w:right w:val="single" w:color="FFFFFF" w:sz="6" w:space="0"/>
            </w:tcBorders>
          </w:tcPr>
          <w:p w:rsidR="0069113D" w:rsidP="0069113D" w:rsidRDefault="0069113D" w14:paraId="63A473DC" w14:textId="77777777">
            <w:pPr>
              <w:spacing w:after="58"/>
              <w:jc w:val="center"/>
              <w:rPr>
                <w:sz w:val="21"/>
                <w:szCs w:val="21"/>
              </w:rPr>
            </w:pPr>
          </w:p>
          <w:p w:rsidR="0069113D" w:rsidP="0069113D" w:rsidRDefault="0069113D" w14:paraId="36FD9A43" w14:textId="77777777">
            <w:pPr>
              <w:spacing w:after="58"/>
              <w:jc w:val="center"/>
              <w:rPr>
                <w:sz w:val="21"/>
                <w:szCs w:val="21"/>
              </w:rPr>
            </w:pPr>
            <w:r>
              <w:rPr>
                <w:sz w:val="21"/>
                <w:szCs w:val="21"/>
              </w:rPr>
              <w:t>1</w:t>
            </w:r>
          </w:p>
        </w:tc>
        <w:tc>
          <w:tcPr>
            <w:tcW w:w="1620" w:type="dxa"/>
            <w:tcBorders>
              <w:top w:val="single" w:color="000000" w:sz="7" w:space="0"/>
              <w:left w:val="single" w:color="000000" w:sz="7" w:space="0"/>
              <w:bottom w:val="single" w:color="FFFFFF" w:sz="6" w:space="0"/>
              <w:right w:val="single" w:color="FFFFFF" w:sz="6" w:space="0"/>
            </w:tcBorders>
          </w:tcPr>
          <w:p w:rsidR="0069113D" w:rsidP="0069113D" w:rsidRDefault="0069113D" w14:paraId="3A13BFED" w14:textId="77777777">
            <w:pPr>
              <w:spacing w:after="58"/>
              <w:jc w:val="center"/>
              <w:rPr>
                <w:sz w:val="21"/>
                <w:szCs w:val="21"/>
              </w:rPr>
            </w:pPr>
          </w:p>
          <w:p w:rsidR="0069113D" w:rsidP="00787E1F" w:rsidRDefault="0069113D" w14:paraId="22B6BACB" w14:textId="77777777">
            <w:pPr>
              <w:spacing w:after="58"/>
              <w:jc w:val="center"/>
              <w:rPr>
                <w:sz w:val="21"/>
                <w:szCs w:val="21"/>
              </w:rPr>
            </w:pPr>
            <w:r>
              <w:rPr>
                <w:sz w:val="21"/>
                <w:szCs w:val="21"/>
              </w:rPr>
              <w:t>1</w:t>
            </w:r>
            <w:r w:rsidR="00787E1F">
              <w:rPr>
                <w:sz w:val="21"/>
                <w:szCs w:val="21"/>
              </w:rPr>
              <w:t>5</w:t>
            </w:r>
            <w:r>
              <w:rPr>
                <w:sz w:val="21"/>
                <w:szCs w:val="21"/>
              </w:rPr>
              <w:t>/60</w:t>
            </w:r>
          </w:p>
        </w:tc>
        <w:tc>
          <w:tcPr>
            <w:tcW w:w="1440" w:type="dxa"/>
            <w:tcBorders>
              <w:top w:val="single" w:color="000000" w:sz="7" w:space="0"/>
              <w:left w:val="single" w:color="000000" w:sz="7" w:space="0"/>
              <w:bottom w:val="single" w:color="FFFFFF" w:sz="6" w:space="0"/>
              <w:right w:val="single" w:color="000000" w:sz="7" w:space="0"/>
            </w:tcBorders>
          </w:tcPr>
          <w:p w:rsidR="0069113D" w:rsidP="0069113D" w:rsidRDefault="0069113D" w14:paraId="5728D377" w14:textId="77777777">
            <w:pPr>
              <w:tabs>
                <w:tab w:val="left" w:pos="1498"/>
              </w:tabs>
              <w:spacing w:after="58"/>
              <w:jc w:val="center"/>
              <w:rPr>
                <w:sz w:val="21"/>
                <w:szCs w:val="21"/>
              </w:rPr>
            </w:pPr>
          </w:p>
          <w:p w:rsidR="0069113D" w:rsidP="00787E1F" w:rsidRDefault="00787E1F" w14:paraId="54454E47" w14:textId="540E5128">
            <w:pPr>
              <w:tabs>
                <w:tab w:val="left" w:pos="1498"/>
              </w:tabs>
              <w:spacing w:after="58"/>
              <w:jc w:val="center"/>
              <w:rPr>
                <w:sz w:val="21"/>
                <w:szCs w:val="21"/>
              </w:rPr>
            </w:pPr>
            <w:r>
              <w:rPr>
                <w:sz w:val="21"/>
                <w:szCs w:val="21"/>
              </w:rPr>
              <w:t>1</w:t>
            </w:r>
            <w:r w:rsidR="005F6FCB">
              <w:rPr>
                <w:sz w:val="21"/>
                <w:szCs w:val="21"/>
              </w:rPr>
              <w:t>,</w:t>
            </w:r>
            <w:r w:rsidR="008215D6">
              <w:rPr>
                <w:sz w:val="21"/>
                <w:szCs w:val="21"/>
              </w:rPr>
              <w:t>0</w:t>
            </w:r>
            <w:r>
              <w:rPr>
                <w:sz w:val="21"/>
                <w:szCs w:val="21"/>
              </w:rPr>
              <w:t>00</w:t>
            </w:r>
          </w:p>
        </w:tc>
      </w:tr>
      <w:tr w:rsidR="0069113D" w:rsidTr="0069113D" w14:paraId="65DCCDF4" w14:textId="77777777">
        <w:trPr>
          <w:trHeight w:val="497"/>
        </w:trPr>
        <w:tc>
          <w:tcPr>
            <w:tcW w:w="3096" w:type="dxa"/>
            <w:tcBorders>
              <w:top w:val="single" w:color="000000" w:sz="7" w:space="0"/>
              <w:left w:val="single" w:color="000000" w:sz="7" w:space="0"/>
              <w:bottom w:val="single" w:color="FFFFFF" w:sz="6" w:space="0"/>
              <w:right w:val="single" w:color="FFFFFF" w:sz="6" w:space="0"/>
            </w:tcBorders>
          </w:tcPr>
          <w:p w:rsidR="0069113D" w:rsidP="0069113D" w:rsidRDefault="0069113D" w14:paraId="75A36660" w14:textId="77777777">
            <w:pPr>
              <w:spacing w:line="120" w:lineRule="exact"/>
              <w:rPr>
                <w:sz w:val="21"/>
                <w:szCs w:val="21"/>
              </w:rPr>
            </w:pPr>
          </w:p>
          <w:p w:rsidR="0069113D" w:rsidP="0069113D" w:rsidRDefault="0069113D" w14:paraId="189B64DE" w14:textId="77777777">
            <w:pPr>
              <w:spacing w:after="58"/>
              <w:rPr>
                <w:sz w:val="21"/>
                <w:szCs w:val="21"/>
              </w:rPr>
            </w:pPr>
            <w:r>
              <w:rPr>
                <w:sz w:val="21"/>
                <w:szCs w:val="21"/>
              </w:rPr>
              <w:t>Other customer surveys</w:t>
            </w:r>
          </w:p>
        </w:tc>
        <w:tc>
          <w:tcPr>
            <w:tcW w:w="1704" w:type="dxa"/>
            <w:tcBorders>
              <w:top w:val="single" w:color="000000" w:sz="7" w:space="0"/>
              <w:left w:val="single" w:color="000000" w:sz="7" w:space="0"/>
              <w:bottom w:val="single" w:color="FFFFFF" w:sz="6" w:space="0"/>
              <w:right w:val="single" w:color="FFFFFF" w:sz="6" w:space="0"/>
            </w:tcBorders>
          </w:tcPr>
          <w:p w:rsidR="0069113D" w:rsidP="00787E1F" w:rsidRDefault="0069113D" w14:paraId="1C796A19" w14:textId="77777777">
            <w:pPr>
              <w:jc w:val="center"/>
              <w:rPr>
                <w:sz w:val="21"/>
                <w:szCs w:val="21"/>
              </w:rPr>
            </w:pPr>
          </w:p>
          <w:p w:rsidR="0069113D" w:rsidP="00787E1F" w:rsidRDefault="00787E1F" w14:paraId="78E80590" w14:textId="77777777">
            <w:pPr>
              <w:jc w:val="center"/>
              <w:rPr>
                <w:sz w:val="21"/>
                <w:szCs w:val="21"/>
              </w:rPr>
            </w:pPr>
            <w:r>
              <w:rPr>
                <w:sz w:val="21"/>
                <w:szCs w:val="21"/>
              </w:rPr>
              <w:t>2,000</w:t>
            </w:r>
          </w:p>
        </w:tc>
        <w:tc>
          <w:tcPr>
            <w:tcW w:w="1620" w:type="dxa"/>
            <w:tcBorders>
              <w:top w:val="single" w:color="000000" w:sz="7" w:space="0"/>
              <w:left w:val="single" w:color="000000" w:sz="7" w:space="0"/>
              <w:bottom w:val="single" w:color="FFFFFF" w:sz="6" w:space="0"/>
              <w:right w:val="single" w:color="FFFFFF" w:sz="6" w:space="0"/>
            </w:tcBorders>
          </w:tcPr>
          <w:p w:rsidR="0069113D" w:rsidP="0069113D" w:rsidRDefault="0069113D" w14:paraId="782A6643" w14:textId="77777777">
            <w:pPr>
              <w:jc w:val="center"/>
              <w:rPr>
                <w:sz w:val="21"/>
                <w:szCs w:val="21"/>
              </w:rPr>
            </w:pPr>
          </w:p>
          <w:p w:rsidR="0069113D" w:rsidP="00FA26A7" w:rsidRDefault="0069113D" w14:paraId="0DA20969" w14:textId="77777777">
            <w:pPr>
              <w:jc w:val="center"/>
              <w:rPr>
                <w:sz w:val="21"/>
                <w:szCs w:val="21"/>
              </w:rPr>
            </w:pPr>
            <w:r>
              <w:rPr>
                <w:sz w:val="21"/>
                <w:szCs w:val="21"/>
              </w:rPr>
              <w:t>1</w:t>
            </w:r>
          </w:p>
        </w:tc>
        <w:tc>
          <w:tcPr>
            <w:tcW w:w="1620" w:type="dxa"/>
            <w:tcBorders>
              <w:top w:val="single" w:color="000000" w:sz="7" w:space="0"/>
              <w:left w:val="single" w:color="000000" w:sz="7" w:space="0"/>
              <w:bottom w:val="single" w:color="FFFFFF" w:sz="6" w:space="0"/>
              <w:right w:val="single" w:color="FFFFFF" w:sz="6" w:space="0"/>
            </w:tcBorders>
          </w:tcPr>
          <w:p w:rsidR="0069113D" w:rsidP="0069113D" w:rsidRDefault="0069113D" w14:paraId="1C4FB85F" w14:textId="77777777">
            <w:pPr>
              <w:jc w:val="center"/>
              <w:rPr>
                <w:sz w:val="21"/>
                <w:szCs w:val="21"/>
              </w:rPr>
            </w:pPr>
          </w:p>
          <w:p w:rsidR="0069113D" w:rsidP="00FA26A7" w:rsidRDefault="0069113D" w14:paraId="3960C2F8" w14:textId="77777777">
            <w:pPr>
              <w:jc w:val="center"/>
              <w:rPr>
                <w:sz w:val="21"/>
                <w:szCs w:val="21"/>
              </w:rPr>
            </w:pPr>
            <w:r>
              <w:rPr>
                <w:sz w:val="21"/>
                <w:szCs w:val="21"/>
              </w:rPr>
              <w:t>15/60</w:t>
            </w:r>
          </w:p>
        </w:tc>
        <w:tc>
          <w:tcPr>
            <w:tcW w:w="1440" w:type="dxa"/>
            <w:tcBorders>
              <w:top w:val="single" w:color="000000" w:sz="7" w:space="0"/>
              <w:left w:val="single" w:color="000000" w:sz="7" w:space="0"/>
              <w:bottom w:val="single" w:color="FFFFFF" w:sz="6" w:space="0"/>
              <w:right w:val="single" w:color="000000" w:sz="7" w:space="0"/>
            </w:tcBorders>
          </w:tcPr>
          <w:p w:rsidR="0069113D" w:rsidP="0069113D" w:rsidRDefault="0069113D" w14:paraId="50246F3F" w14:textId="77777777">
            <w:pPr>
              <w:tabs>
                <w:tab w:val="left" w:pos="1498"/>
              </w:tabs>
              <w:jc w:val="center"/>
              <w:rPr>
                <w:sz w:val="21"/>
                <w:szCs w:val="21"/>
              </w:rPr>
            </w:pPr>
          </w:p>
          <w:p w:rsidR="0069113D" w:rsidP="00787E1F" w:rsidRDefault="00436BDE" w14:paraId="20CCA4D9" w14:textId="77777777">
            <w:pPr>
              <w:tabs>
                <w:tab w:val="left" w:pos="1498"/>
              </w:tabs>
              <w:rPr>
                <w:sz w:val="21"/>
                <w:szCs w:val="21"/>
              </w:rPr>
            </w:pPr>
            <w:r>
              <w:rPr>
                <w:sz w:val="21"/>
                <w:szCs w:val="21"/>
              </w:rPr>
              <w:t xml:space="preserve">       </w:t>
            </w:r>
            <w:r w:rsidR="00787E1F">
              <w:rPr>
                <w:sz w:val="21"/>
                <w:szCs w:val="21"/>
              </w:rPr>
              <w:t>5</w:t>
            </w:r>
            <w:r w:rsidR="0069113D">
              <w:rPr>
                <w:sz w:val="21"/>
                <w:szCs w:val="21"/>
              </w:rPr>
              <w:t>00</w:t>
            </w:r>
          </w:p>
        </w:tc>
      </w:tr>
      <w:tr w:rsidR="0069113D" w:rsidTr="0069113D" w14:paraId="59657BFD" w14:textId="77777777">
        <w:tc>
          <w:tcPr>
            <w:tcW w:w="3096" w:type="dxa"/>
            <w:tcBorders>
              <w:top w:val="single" w:color="000000" w:sz="7" w:space="0"/>
              <w:left w:val="single" w:color="000000" w:sz="7" w:space="0"/>
              <w:bottom w:val="single" w:color="000000" w:sz="7" w:space="0"/>
              <w:right w:val="single" w:color="FFFFFF" w:sz="6" w:space="0"/>
            </w:tcBorders>
          </w:tcPr>
          <w:p w:rsidR="0069113D" w:rsidP="0069113D" w:rsidRDefault="0069113D" w14:paraId="62D60186" w14:textId="77777777">
            <w:pPr>
              <w:spacing w:line="120" w:lineRule="exact"/>
              <w:rPr>
                <w:sz w:val="21"/>
                <w:szCs w:val="21"/>
              </w:rPr>
            </w:pPr>
          </w:p>
          <w:p w:rsidR="0069113D" w:rsidP="0069113D" w:rsidRDefault="0069113D" w14:paraId="4705637F" w14:textId="77777777">
            <w:pPr>
              <w:spacing w:after="58"/>
              <w:rPr>
                <w:b/>
                <w:sz w:val="21"/>
                <w:szCs w:val="21"/>
              </w:rPr>
            </w:pPr>
            <w:r>
              <w:rPr>
                <w:sz w:val="21"/>
                <w:szCs w:val="21"/>
              </w:rPr>
              <w:t xml:space="preserve">       </w:t>
            </w:r>
            <w:r>
              <w:rPr>
                <w:b/>
                <w:sz w:val="21"/>
                <w:szCs w:val="21"/>
              </w:rPr>
              <w:t xml:space="preserve">Total </w:t>
            </w:r>
          </w:p>
        </w:tc>
        <w:tc>
          <w:tcPr>
            <w:tcW w:w="1704" w:type="dxa"/>
            <w:tcBorders>
              <w:top w:val="single" w:color="000000" w:sz="7" w:space="0"/>
              <w:left w:val="single" w:color="000000" w:sz="7" w:space="0"/>
              <w:bottom w:val="single" w:color="000000" w:sz="7" w:space="0"/>
              <w:right w:val="single" w:color="FFFFFF" w:sz="6" w:space="0"/>
            </w:tcBorders>
          </w:tcPr>
          <w:p w:rsidR="0069113D" w:rsidP="00787E1F" w:rsidRDefault="0069113D" w14:paraId="34C6D59B" w14:textId="77777777">
            <w:pPr>
              <w:spacing w:line="120" w:lineRule="exact"/>
              <w:jc w:val="center"/>
              <w:rPr>
                <w:sz w:val="21"/>
                <w:szCs w:val="21"/>
              </w:rPr>
            </w:pPr>
          </w:p>
          <w:p w:rsidR="0069113D" w:rsidP="00787E1F" w:rsidRDefault="00D72B09" w14:paraId="4AFD6650" w14:textId="58547712">
            <w:pPr>
              <w:spacing w:after="58"/>
              <w:jc w:val="center"/>
              <w:rPr>
                <w:sz w:val="21"/>
                <w:szCs w:val="21"/>
              </w:rPr>
            </w:pPr>
            <w:r>
              <w:rPr>
                <w:sz w:val="21"/>
                <w:szCs w:val="21"/>
              </w:rPr>
              <w:t>7</w:t>
            </w:r>
            <w:r w:rsidR="005F5A92">
              <w:rPr>
                <w:sz w:val="21"/>
                <w:szCs w:val="21"/>
              </w:rPr>
              <w:t>,</w:t>
            </w:r>
            <w:r w:rsidR="00787E1F">
              <w:rPr>
                <w:sz w:val="21"/>
                <w:szCs w:val="21"/>
              </w:rPr>
              <w:t>500</w:t>
            </w:r>
          </w:p>
        </w:tc>
        <w:tc>
          <w:tcPr>
            <w:tcW w:w="1620" w:type="dxa"/>
            <w:tcBorders>
              <w:top w:val="single" w:color="000000" w:sz="7" w:space="0"/>
              <w:left w:val="single" w:color="000000" w:sz="7" w:space="0"/>
              <w:bottom w:val="single" w:color="000000" w:sz="7" w:space="0"/>
              <w:right w:val="single" w:color="FFFFFF" w:sz="6" w:space="0"/>
            </w:tcBorders>
          </w:tcPr>
          <w:p w:rsidR="0069113D" w:rsidP="0069113D" w:rsidRDefault="0069113D" w14:paraId="764ADE14" w14:textId="77777777">
            <w:pPr>
              <w:spacing w:line="120" w:lineRule="exact"/>
              <w:rPr>
                <w:sz w:val="21"/>
                <w:szCs w:val="21"/>
              </w:rPr>
            </w:pPr>
          </w:p>
          <w:p w:rsidR="0069113D" w:rsidP="0069113D" w:rsidRDefault="00436BDE" w14:paraId="3136AF5C" w14:textId="77777777">
            <w:pPr>
              <w:spacing w:after="58"/>
              <w:rPr>
                <w:sz w:val="21"/>
                <w:szCs w:val="21"/>
              </w:rPr>
            </w:pPr>
            <w:r>
              <w:rPr>
                <w:sz w:val="21"/>
                <w:szCs w:val="21"/>
              </w:rPr>
              <w:t xml:space="preserve">        </w:t>
            </w:r>
            <w:r w:rsidR="0069113D">
              <w:rPr>
                <w:sz w:val="21"/>
                <w:szCs w:val="21"/>
              </w:rPr>
              <w:t>.........</w:t>
            </w:r>
          </w:p>
        </w:tc>
        <w:tc>
          <w:tcPr>
            <w:tcW w:w="1620" w:type="dxa"/>
            <w:tcBorders>
              <w:top w:val="single" w:color="000000" w:sz="7" w:space="0"/>
              <w:left w:val="single" w:color="000000" w:sz="7" w:space="0"/>
              <w:bottom w:val="single" w:color="000000" w:sz="7" w:space="0"/>
              <w:right w:val="single" w:color="FFFFFF" w:sz="6" w:space="0"/>
            </w:tcBorders>
          </w:tcPr>
          <w:p w:rsidR="0069113D" w:rsidP="0069113D" w:rsidRDefault="0069113D" w14:paraId="19F22D46" w14:textId="77777777">
            <w:pPr>
              <w:spacing w:line="120" w:lineRule="exact"/>
              <w:rPr>
                <w:sz w:val="21"/>
                <w:szCs w:val="21"/>
              </w:rPr>
            </w:pPr>
          </w:p>
          <w:p w:rsidR="0069113D" w:rsidP="0069113D" w:rsidRDefault="00436BDE" w14:paraId="7ABF8987" w14:textId="77777777">
            <w:pPr>
              <w:spacing w:after="58"/>
              <w:rPr>
                <w:sz w:val="21"/>
                <w:szCs w:val="21"/>
              </w:rPr>
            </w:pPr>
            <w:r>
              <w:rPr>
                <w:sz w:val="21"/>
                <w:szCs w:val="21"/>
              </w:rPr>
              <w:t xml:space="preserve">        </w:t>
            </w:r>
            <w:r w:rsidR="0069113D">
              <w:rPr>
                <w:sz w:val="21"/>
                <w:szCs w:val="21"/>
              </w:rPr>
              <w:t>........</w:t>
            </w:r>
          </w:p>
        </w:tc>
        <w:tc>
          <w:tcPr>
            <w:tcW w:w="1440" w:type="dxa"/>
            <w:tcBorders>
              <w:top w:val="single" w:color="000000" w:sz="7" w:space="0"/>
              <w:left w:val="single" w:color="000000" w:sz="7" w:space="0"/>
              <w:bottom w:val="single" w:color="000000" w:sz="7" w:space="0"/>
              <w:right w:val="single" w:color="000000" w:sz="7" w:space="0"/>
            </w:tcBorders>
          </w:tcPr>
          <w:p w:rsidR="0069113D" w:rsidP="0069113D" w:rsidRDefault="0069113D" w14:paraId="210BFB9A" w14:textId="77777777">
            <w:pPr>
              <w:tabs>
                <w:tab w:val="left" w:pos="1498"/>
              </w:tabs>
              <w:spacing w:after="58"/>
              <w:jc w:val="center"/>
              <w:rPr>
                <w:sz w:val="21"/>
                <w:szCs w:val="21"/>
              </w:rPr>
            </w:pPr>
          </w:p>
          <w:p w:rsidRPr="00D15044" w:rsidR="0069113D" w:rsidP="00787E1F" w:rsidRDefault="0069113D" w14:paraId="63C00AA6" w14:textId="64F086D9">
            <w:pPr>
              <w:tabs>
                <w:tab w:val="left" w:pos="1498"/>
              </w:tabs>
              <w:spacing w:after="58"/>
              <w:rPr>
                <w:sz w:val="21"/>
                <w:szCs w:val="21"/>
              </w:rPr>
            </w:pPr>
            <w:r>
              <w:rPr>
                <w:sz w:val="21"/>
                <w:szCs w:val="21"/>
              </w:rPr>
              <w:t xml:space="preserve">     </w:t>
            </w:r>
            <w:r w:rsidR="00794829">
              <w:rPr>
                <w:sz w:val="21"/>
                <w:szCs w:val="21"/>
              </w:rPr>
              <w:t>2,250</w:t>
            </w:r>
          </w:p>
        </w:tc>
      </w:tr>
    </w:tbl>
    <w:p w:rsidR="00517609" w:rsidRDefault="00517609" w14:paraId="25527227" w14:textId="77777777"/>
    <w:p w:rsidR="00517609" w:rsidRDefault="00517609" w14:paraId="66F20274" w14:textId="77777777">
      <w:pPr>
        <w:ind w:left="2160" w:firstLine="720"/>
        <w:rPr>
          <w:rFonts w:ascii="Courier New" w:hAnsi="Courier New" w:cs="Courier New"/>
        </w:rPr>
      </w:pPr>
    </w:p>
    <w:p w:rsidR="00517609" w:rsidP="004C438D" w:rsidRDefault="00517609" w14:paraId="6D55167F" w14:textId="77777777">
      <w:pPr>
        <w:widowControl/>
        <w:autoSpaceDE/>
        <w:autoSpaceDN/>
        <w:adjustRightInd/>
        <w:outlineLvl w:val="0"/>
      </w:pPr>
      <w:r>
        <w:t xml:space="preserve">There is </w:t>
      </w:r>
      <w:r w:rsidRPr="00D15044">
        <w:rPr>
          <w:bCs/>
        </w:rPr>
        <w:t>no cost</w:t>
      </w:r>
      <w:r>
        <w:t xml:space="preserve"> to respondents other than their time to participate.  </w:t>
      </w:r>
    </w:p>
    <w:p w:rsidR="00517609" w:rsidRDefault="00517609" w14:paraId="744CF7BA" w14:textId="77777777">
      <w:pPr>
        <w:widowControl/>
        <w:autoSpaceDE/>
        <w:autoSpaceDN/>
        <w:adjustRightInd/>
      </w:pPr>
    </w:p>
    <w:p w:rsidR="00517609" w:rsidP="004C438D" w:rsidRDefault="00517609" w14:paraId="47C8827F" w14:textId="77777777">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rsidRDefault="00517609" w14:paraId="72431993" w14:textId="77777777">
      <w:pPr>
        <w:widowControl/>
        <w:autoSpaceDE/>
        <w:autoSpaceDN/>
        <w:adjustRightInd/>
        <w:rPr>
          <w:b/>
          <w:bCs/>
        </w:rPr>
      </w:pPr>
    </w:p>
    <w:p w:rsidR="00517609" w:rsidP="004C438D" w:rsidRDefault="00517609" w14:paraId="13391BA2" w14:textId="77777777">
      <w:pPr>
        <w:widowControl/>
        <w:autoSpaceDE/>
        <w:autoSpaceDN/>
        <w:adjustRightInd/>
        <w:outlineLvl w:val="0"/>
      </w:pPr>
      <w:r>
        <w:lastRenderedPageBreak/>
        <w:t>There are no additional costs to the respondents.</w:t>
      </w:r>
    </w:p>
    <w:p w:rsidR="00517609" w:rsidRDefault="00517609" w14:paraId="10E5D9D1" w14:textId="77777777"/>
    <w:p w:rsidR="00517609" w:rsidP="004C438D" w:rsidRDefault="00517609" w14:paraId="5CE1D0BC" w14:textId="77777777">
      <w:pPr>
        <w:outlineLvl w:val="0"/>
        <w:rPr>
          <w:b/>
          <w:bCs/>
        </w:rPr>
      </w:pPr>
      <w:r>
        <w:t xml:space="preserve">14.  </w:t>
      </w:r>
      <w:r>
        <w:rPr>
          <w:b/>
          <w:bCs/>
        </w:rPr>
        <w:t xml:space="preserve">Annualized Cost to the Federal Government  </w:t>
      </w:r>
    </w:p>
    <w:p w:rsidR="00517609" w:rsidRDefault="00517609" w14:paraId="5E11A3C5" w14:textId="77777777">
      <w:pPr>
        <w:rPr>
          <w:b/>
          <w:bCs/>
        </w:rPr>
      </w:pPr>
    </w:p>
    <w:p w:rsidR="00517609" w:rsidRDefault="00472524" w14:paraId="65C4B6D9" w14:textId="77777777">
      <w:r w:rsidRPr="00472524">
        <w:t>While actual annualized costs will vary dependent on the scope of future survey submissions, it is anticipated that the costs related to staff salaries for planning and implementing the future surveys might average $100,000.</w:t>
      </w:r>
      <w:r>
        <w:t xml:space="preserve">  </w:t>
      </w:r>
    </w:p>
    <w:p w:rsidR="00472524" w:rsidRDefault="00472524" w14:paraId="46A78D74" w14:textId="77777777"/>
    <w:p w:rsidR="00517609" w:rsidP="004C438D" w:rsidRDefault="00517609" w14:paraId="24EA8730" w14:textId="77777777">
      <w:pPr>
        <w:outlineLvl w:val="0"/>
        <w:rPr>
          <w:b/>
          <w:bCs/>
        </w:rPr>
      </w:pPr>
      <w:r>
        <w:t xml:space="preserve">15.  </w:t>
      </w:r>
      <w:r>
        <w:rPr>
          <w:b/>
          <w:bCs/>
        </w:rPr>
        <w:t xml:space="preserve">Explanation for Program Changes or Adjustments  </w:t>
      </w:r>
    </w:p>
    <w:p w:rsidR="00517609" w:rsidRDefault="00517609" w14:paraId="5451136E" w14:textId="77777777">
      <w:pPr>
        <w:rPr>
          <w:b/>
          <w:bCs/>
        </w:rPr>
      </w:pPr>
    </w:p>
    <w:p w:rsidR="00A91D20" w:rsidP="004C438D" w:rsidRDefault="00405F78" w14:paraId="45633861" w14:textId="17F3AB68">
      <w:pPr>
        <w:outlineLvl w:val="0"/>
      </w:pPr>
      <w:r>
        <w:t xml:space="preserve">Currently there are 4,000 total burden hours.  </w:t>
      </w:r>
      <w:r w:rsidR="00D1069C">
        <w:t xml:space="preserve">NCHS is requesting 2,250 hours.  The decrease </w:t>
      </w:r>
      <w:r w:rsidR="00E143A8">
        <w:t xml:space="preserve">of </w:t>
      </w:r>
      <w:r w:rsidR="007F7B4D">
        <w:t xml:space="preserve">1,750 </w:t>
      </w:r>
      <w:r w:rsidR="00D0646D">
        <w:t xml:space="preserve">hours </w:t>
      </w:r>
      <w:proofErr w:type="gramStart"/>
      <w:r w:rsidR="00D0646D">
        <w:t>are</w:t>
      </w:r>
      <w:proofErr w:type="gramEnd"/>
      <w:r w:rsidR="00D0646D">
        <w:t xml:space="preserve"> </w:t>
      </w:r>
      <w:r w:rsidR="00D1069C">
        <w:t>due t</w:t>
      </w:r>
      <w:r w:rsidR="007F7B4D">
        <w:t xml:space="preserve">o </w:t>
      </w:r>
      <w:r w:rsidR="005D182B">
        <w:t xml:space="preserve">a program change of </w:t>
      </w:r>
      <w:r w:rsidR="007F7B4D">
        <w:t xml:space="preserve">reducing the hours for </w:t>
      </w:r>
      <w:r w:rsidR="00B35923">
        <w:t>questionnaire c</w:t>
      </w:r>
      <w:r w:rsidR="007F7B4D">
        <w:t xml:space="preserve">onferences and </w:t>
      </w:r>
      <w:r w:rsidR="00F14CE3">
        <w:t>web</w:t>
      </w:r>
      <w:r w:rsidR="00C63DE3">
        <w:t>-</w:t>
      </w:r>
      <w:r w:rsidR="00F14CE3">
        <w:t>base</w:t>
      </w:r>
      <w:r w:rsidR="00B35923">
        <w:t>d</w:t>
      </w:r>
      <w:r w:rsidR="00F14CE3">
        <w:t xml:space="preserve"> surveys.   </w:t>
      </w:r>
      <w:r w:rsidR="00B040D6">
        <w:t xml:space="preserve"> </w:t>
      </w:r>
      <w:bookmarkStart w:name="_GoBack" w:id="0"/>
      <w:bookmarkEnd w:id="0"/>
    </w:p>
    <w:p w:rsidR="00B040D6" w:rsidP="004C438D" w:rsidRDefault="00B040D6" w14:paraId="0A76BDC7" w14:textId="77777777">
      <w:pPr>
        <w:outlineLvl w:val="0"/>
      </w:pPr>
    </w:p>
    <w:p w:rsidR="00517609" w:rsidP="004C438D" w:rsidRDefault="00517609" w14:paraId="085B3B49" w14:textId="77777777">
      <w:pPr>
        <w:outlineLvl w:val="0"/>
        <w:rPr>
          <w:b/>
          <w:bCs/>
        </w:rPr>
      </w:pPr>
      <w:r>
        <w:t xml:space="preserve">16.  </w:t>
      </w:r>
      <w:r>
        <w:rPr>
          <w:b/>
          <w:bCs/>
        </w:rPr>
        <w:t>Plans for Tabulation and Publication and Project Time Schedule</w:t>
      </w:r>
    </w:p>
    <w:p w:rsidR="00517609" w:rsidRDefault="00517609" w14:paraId="2EFE17A4" w14:textId="77777777">
      <w:r>
        <w:rPr>
          <w:b/>
          <w:bCs/>
        </w:rPr>
        <w:t xml:space="preserve">  </w:t>
      </w:r>
      <w:r>
        <w:t xml:space="preserve"> </w:t>
      </w:r>
    </w:p>
    <w:p w:rsidR="00517609" w:rsidRDefault="00517609" w14:paraId="64DDCA4A" w14:textId="77777777">
      <w:r>
        <w:t>Data collected will be analyzed to inform NCHS planning activities. This infor</w:t>
      </w:r>
      <w:r w:rsidR="006F5771">
        <w:t xml:space="preserve">mation is for internal use only.  </w:t>
      </w:r>
      <w:r w:rsidR="00906B93">
        <w:t>Summary d</w:t>
      </w:r>
      <w:r w:rsidR="006F5771">
        <w:t>ata may be provided to OMB and DHHS; however</w:t>
      </w:r>
      <w:r w:rsidR="00595DC8">
        <w:t>,</w:t>
      </w:r>
      <w:r w:rsidR="006F5771">
        <w:t xml:space="preserve"> no publications are planned</w:t>
      </w:r>
      <w:r>
        <w:t>.</w:t>
      </w:r>
    </w:p>
    <w:p w:rsidR="004961CA" w:rsidRDefault="004961CA" w14:paraId="2BA65F50" w14:textId="77777777"/>
    <w:p w:rsidR="00517609" w:rsidP="004C438D" w:rsidRDefault="00517609" w14:paraId="28A33F27" w14:textId="77777777">
      <w:pPr>
        <w:outlineLvl w:val="0"/>
      </w:pPr>
      <w:r>
        <w:t xml:space="preserve">17.  </w:t>
      </w:r>
      <w:r>
        <w:rPr>
          <w:b/>
          <w:bCs/>
        </w:rPr>
        <w:t>Reason(s) Display of OMB Expiration Date is Inappropriate</w:t>
      </w:r>
      <w:r>
        <w:t xml:space="preserve">  </w:t>
      </w:r>
    </w:p>
    <w:p w:rsidR="00517609" w:rsidRDefault="00517609" w14:paraId="19BA92C3" w14:textId="77777777"/>
    <w:p w:rsidR="00517609" w:rsidP="004C438D" w:rsidRDefault="00517609" w14:paraId="259D0348" w14:textId="77777777">
      <w:pPr>
        <w:outlineLvl w:val="0"/>
      </w:pPr>
      <w:r>
        <w:t>Display of OMB expiration date is appropriate.</w:t>
      </w:r>
    </w:p>
    <w:p w:rsidR="00517609" w:rsidRDefault="00517609" w14:paraId="13939CBA" w14:textId="77777777"/>
    <w:p w:rsidR="00517609" w:rsidP="004C438D" w:rsidRDefault="00517609" w14:paraId="20F04E8F" w14:textId="77777777">
      <w:pPr>
        <w:outlineLvl w:val="0"/>
      </w:pPr>
      <w:r>
        <w:t xml:space="preserve">18.  </w:t>
      </w:r>
      <w:r>
        <w:rPr>
          <w:b/>
          <w:bCs/>
        </w:rPr>
        <w:t xml:space="preserve">Exceptions to Certification for Paperwork Reduction Act </w:t>
      </w:r>
      <w:r>
        <w:rPr>
          <w:b/>
        </w:rPr>
        <w:t>Submissions</w:t>
      </w:r>
      <w:r>
        <w:t xml:space="preserve">  </w:t>
      </w:r>
    </w:p>
    <w:p w:rsidR="00517609" w:rsidRDefault="00517609" w14:paraId="3E028643" w14:textId="77777777"/>
    <w:p w:rsidR="00517609" w:rsidP="004C438D" w:rsidRDefault="001B6FF2" w14:paraId="01E588AB" w14:textId="77777777">
      <w:pPr>
        <w:outlineLvl w:val="0"/>
      </w:pPr>
      <w:r>
        <w:t xml:space="preserve">There are no exceptions to the certification. </w:t>
      </w:r>
    </w:p>
    <w:p w:rsidR="00517609" w:rsidRDefault="00517609" w14:paraId="5DB8B0CE" w14:textId="77777777"/>
    <w:p w:rsidRPr="00557FA1" w:rsidR="00557FA1" w:rsidP="00BC432A" w:rsidRDefault="00557FA1" w14:paraId="1163C0E2" w14:textId="77777777">
      <w:pPr>
        <w:jc w:val="center"/>
        <w:outlineLvl w:val="0"/>
      </w:pPr>
    </w:p>
    <w:sectPr w:rsidRPr="00557FA1" w:rsidR="00557FA1" w:rsidSect="004C438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6C62" w14:textId="77777777" w:rsidR="00103A9A" w:rsidRDefault="00103A9A">
      <w:r>
        <w:separator/>
      </w:r>
    </w:p>
  </w:endnote>
  <w:endnote w:type="continuationSeparator" w:id="0">
    <w:p w14:paraId="6A0F39DE" w14:textId="77777777" w:rsidR="00103A9A" w:rsidRDefault="0010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9316" w14:textId="77777777" w:rsidR="00C667E6" w:rsidRDefault="00C667E6"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ECA495" w14:textId="77777777" w:rsidR="00C667E6" w:rsidRDefault="00C66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8074" w14:textId="77777777" w:rsidR="00C667E6" w:rsidRDefault="00C667E6"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9F">
      <w:rPr>
        <w:rStyle w:val="PageNumber"/>
        <w:noProof/>
      </w:rPr>
      <w:t>2</w:t>
    </w:r>
    <w:r>
      <w:rPr>
        <w:rStyle w:val="PageNumber"/>
      </w:rPr>
      <w:fldChar w:fldCharType="end"/>
    </w:r>
  </w:p>
  <w:p w14:paraId="55E0B409" w14:textId="77777777" w:rsidR="00C667E6" w:rsidRDefault="00C66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9680" w14:textId="77777777" w:rsidR="00AA6858" w:rsidRDefault="00AA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7D7D7" w14:textId="77777777" w:rsidR="00103A9A" w:rsidRDefault="00103A9A">
      <w:r>
        <w:separator/>
      </w:r>
    </w:p>
  </w:footnote>
  <w:footnote w:type="continuationSeparator" w:id="0">
    <w:p w14:paraId="1CD252F0" w14:textId="77777777" w:rsidR="00103A9A" w:rsidRDefault="0010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C8AF" w14:textId="77777777" w:rsidR="00AA6858" w:rsidRDefault="00AA6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8985" w14:textId="77777777" w:rsidR="00C667E6" w:rsidRDefault="00C66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9B8A" w14:textId="77777777" w:rsidR="00AA6858" w:rsidRDefault="00AA6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026D1"/>
    <w:multiLevelType w:val="hybridMultilevel"/>
    <w:tmpl w:val="05A6F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30A10"/>
    <w:multiLevelType w:val="hybridMultilevel"/>
    <w:tmpl w:val="22BE4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F62CA"/>
    <w:multiLevelType w:val="hybridMultilevel"/>
    <w:tmpl w:val="75E8B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A2347"/>
    <w:multiLevelType w:val="hybridMultilevel"/>
    <w:tmpl w:val="29FAE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D94083F"/>
    <w:multiLevelType w:val="hybridMultilevel"/>
    <w:tmpl w:val="DCE285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22"/>
    <w:rsid w:val="000144DA"/>
    <w:rsid w:val="00020377"/>
    <w:rsid w:val="00032257"/>
    <w:rsid w:val="0003252F"/>
    <w:rsid w:val="0003580D"/>
    <w:rsid w:val="00036576"/>
    <w:rsid w:val="00037303"/>
    <w:rsid w:val="00044E29"/>
    <w:rsid w:val="00052360"/>
    <w:rsid w:val="000973E8"/>
    <w:rsid w:val="000C106A"/>
    <w:rsid w:val="000F1EC6"/>
    <w:rsid w:val="000F7BFC"/>
    <w:rsid w:val="001032B1"/>
    <w:rsid w:val="00103A9A"/>
    <w:rsid w:val="00116747"/>
    <w:rsid w:val="00123887"/>
    <w:rsid w:val="00132326"/>
    <w:rsid w:val="00144D8C"/>
    <w:rsid w:val="00162837"/>
    <w:rsid w:val="00187D73"/>
    <w:rsid w:val="001A30B9"/>
    <w:rsid w:val="001B6FF2"/>
    <w:rsid w:val="001D17F0"/>
    <w:rsid w:val="001D7E78"/>
    <w:rsid w:val="001F2D4C"/>
    <w:rsid w:val="001F4666"/>
    <w:rsid w:val="002051BF"/>
    <w:rsid w:val="00216B65"/>
    <w:rsid w:val="0024155B"/>
    <w:rsid w:val="00250A35"/>
    <w:rsid w:val="00255775"/>
    <w:rsid w:val="00285AA6"/>
    <w:rsid w:val="00287570"/>
    <w:rsid w:val="002A4CEF"/>
    <w:rsid w:val="002B7E33"/>
    <w:rsid w:val="002C3CC2"/>
    <w:rsid w:val="002E42B9"/>
    <w:rsid w:val="002F4CE3"/>
    <w:rsid w:val="0030093A"/>
    <w:rsid w:val="00303DD7"/>
    <w:rsid w:val="00315E22"/>
    <w:rsid w:val="00331A82"/>
    <w:rsid w:val="00346EAF"/>
    <w:rsid w:val="0039189D"/>
    <w:rsid w:val="003C1204"/>
    <w:rsid w:val="003C4A48"/>
    <w:rsid w:val="003D0104"/>
    <w:rsid w:val="003E6BEC"/>
    <w:rsid w:val="00405F78"/>
    <w:rsid w:val="00436BDE"/>
    <w:rsid w:val="004433C9"/>
    <w:rsid w:val="004504E4"/>
    <w:rsid w:val="004653A2"/>
    <w:rsid w:val="0047053D"/>
    <w:rsid w:val="00472524"/>
    <w:rsid w:val="00480F85"/>
    <w:rsid w:val="00494FAC"/>
    <w:rsid w:val="004961CA"/>
    <w:rsid w:val="004C339A"/>
    <w:rsid w:val="004C438D"/>
    <w:rsid w:val="004C6CA3"/>
    <w:rsid w:val="004E26F6"/>
    <w:rsid w:val="004E348F"/>
    <w:rsid w:val="004F5B86"/>
    <w:rsid w:val="0051626E"/>
    <w:rsid w:val="00516EC9"/>
    <w:rsid w:val="00517609"/>
    <w:rsid w:val="005225F6"/>
    <w:rsid w:val="00532573"/>
    <w:rsid w:val="00541C48"/>
    <w:rsid w:val="0055363B"/>
    <w:rsid w:val="00557FA1"/>
    <w:rsid w:val="00563785"/>
    <w:rsid w:val="00592412"/>
    <w:rsid w:val="00595DC8"/>
    <w:rsid w:val="005C10CA"/>
    <w:rsid w:val="005D0D3B"/>
    <w:rsid w:val="005D1028"/>
    <w:rsid w:val="005D182B"/>
    <w:rsid w:val="005E36EF"/>
    <w:rsid w:val="005F5A92"/>
    <w:rsid w:val="005F6FCB"/>
    <w:rsid w:val="006227B7"/>
    <w:rsid w:val="006618E4"/>
    <w:rsid w:val="0069113D"/>
    <w:rsid w:val="006A7514"/>
    <w:rsid w:val="006B05B8"/>
    <w:rsid w:val="006C50E6"/>
    <w:rsid w:val="006E0FAD"/>
    <w:rsid w:val="006F0129"/>
    <w:rsid w:val="006F5771"/>
    <w:rsid w:val="007146FD"/>
    <w:rsid w:val="00720B26"/>
    <w:rsid w:val="00746515"/>
    <w:rsid w:val="007741B2"/>
    <w:rsid w:val="00787E1F"/>
    <w:rsid w:val="00794829"/>
    <w:rsid w:val="007A4A78"/>
    <w:rsid w:val="007B3948"/>
    <w:rsid w:val="007D2705"/>
    <w:rsid w:val="007D6482"/>
    <w:rsid w:val="007F7B4D"/>
    <w:rsid w:val="00813FD7"/>
    <w:rsid w:val="008215D6"/>
    <w:rsid w:val="0085106A"/>
    <w:rsid w:val="00885E09"/>
    <w:rsid w:val="008922FB"/>
    <w:rsid w:val="008C3AFF"/>
    <w:rsid w:val="008D0056"/>
    <w:rsid w:val="008F245F"/>
    <w:rsid w:val="008F7149"/>
    <w:rsid w:val="00900CF7"/>
    <w:rsid w:val="00906B93"/>
    <w:rsid w:val="009207AC"/>
    <w:rsid w:val="0093301A"/>
    <w:rsid w:val="0094538F"/>
    <w:rsid w:val="00962EF0"/>
    <w:rsid w:val="00967BF9"/>
    <w:rsid w:val="0097747A"/>
    <w:rsid w:val="009937D2"/>
    <w:rsid w:val="00995B05"/>
    <w:rsid w:val="009A0541"/>
    <w:rsid w:val="009A3DED"/>
    <w:rsid w:val="009B278B"/>
    <w:rsid w:val="009B4CEC"/>
    <w:rsid w:val="009D28F2"/>
    <w:rsid w:val="009D77EF"/>
    <w:rsid w:val="009E55EF"/>
    <w:rsid w:val="00A17447"/>
    <w:rsid w:val="00A62157"/>
    <w:rsid w:val="00A630C5"/>
    <w:rsid w:val="00A91721"/>
    <w:rsid w:val="00A91D20"/>
    <w:rsid w:val="00A96988"/>
    <w:rsid w:val="00AA6858"/>
    <w:rsid w:val="00AB0A1B"/>
    <w:rsid w:val="00AB631D"/>
    <w:rsid w:val="00B00958"/>
    <w:rsid w:val="00B0240E"/>
    <w:rsid w:val="00B040D6"/>
    <w:rsid w:val="00B22997"/>
    <w:rsid w:val="00B2323E"/>
    <w:rsid w:val="00B251A0"/>
    <w:rsid w:val="00B35923"/>
    <w:rsid w:val="00B4541C"/>
    <w:rsid w:val="00B650DE"/>
    <w:rsid w:val="00BC432A"/>
    <w:rsid w:val="00BC7E83"/>
    <w:rsid w:val="00BD215A"/>
    <w:rsid w:val="00BE5B79"/>
    <w:rsid w:val="00C03501"/>
    <w:rsid w:val="00C05208"/>
    <w:rsid w:val="00C4523C"/>
    <w:rsid w:val="00C53C51"/>
    <w:rsid w:val="00C62490"/>
    <w:rsid w:val="00C63DE3"/>
    <w:rsid w:val="00C64B34"/>
    <w:rsid w:val="00C667E6"/>
    <w:rsid w:val="00C92130"/>
    <w:rsid w:val="00CA1B35"/>
    <w:rsid w:val="00CA444B"/>
    <w:rsid w:val="00CB4FA4"/>
    <w:rsid w:val="00CB557F"/>
    <w:rsid w:val="00CC1169"/>
    <w:rsid w:val="00D0646D"/>
    <w:rsid w:val="00D1069C"/>
    <w:rsid w:val="00D15044"/>
    <w:rsid w:val="00D520A7"/>
    <w:rsid w:val="00D57769"/>
    <w:rsid w:val="00D70F51"/>
    <w:rsid w:val="00D72B09"/>
    <w:rsid w:val="00D734F1"/>
    <w:rsid w:val="00D82058"/>
    <w:rsid w:val="00D918FE"/>
    <w:rsid w:val="00D96FE8"/>
    <w:rsid w:val="00DB0DD5"/>
    <w:rsid w:val="00DC047B"/>
    <w:rsid w:val="00DF2480"/>
    <w:rsid w:val="00E143A8"/>
    <w:rsid w:val="00E27457"/>
    <w:rsid w:val="00E63826"/>
    <w:rsid w:val="00E6459F"/>
    <w:rsid w:val="00E66594"/>
    <w:rsid w:val="00E911E8"/>
    <w:rsid w:val="00EB0A2E"/>
    <w:rsid w:val="00EF48D5"/>
    <w:rsid w:val="00F10700"/>
    <w:rsid w:val="00F14CE3"/>
    <w:rsid w:val="00F20499"/>
    <w:rsid w:val="00F83516"/>
    <w:rsid w:val="00F9775D"/>
    <w:rsid w:val="00FA26A7"/>
    <w:rsid w:val="00FA611A"/>
    <w:rsid w:val="00FC0315"/>
    <w:rsid w:val="00FC71E3"/>
    <w:rsid w:val="00FE63EA"/>
    <w:rsid w:val="00FF55A2"/>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9FE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semiHidden/>
    <w:unhideWhenUsed/>
    <w:rsid w:val="00DB0DD5"/>
    <w:rPr>
      <w:sz w:val="20"/>
      <w:szCs w:val="20"/>
    </w:rPr>
  </w:style>
  <w:style w:type="character" w:customStyle="1" w:styleId="CommentTextChar">
    <w:name w:val="Comment Text Char"/>
    <w:basedOn w:val="DefaultParagraphFont"/>
    <w:link w:val="CommentText"/>
    <w:semiHidden/>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 w:type="character" w:styleId="UnresolvedMention">
    <w:name w:val="Unresolved Mention"/>
    <w:basedOn w:val="DefaultParagraphFont"/>
    <w:uiPriority w:val="99"/>
    <w:semiHidden/>
    <w:unhideWhenUsed/>
    <w:rsid w:val="00B0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4460">
      <w:bodyDiv w:val="1"/>
      <w:marLeft w:val="0"/>
      <w:marRight w:val="0"/>
      <w:marTop w:val="0"/>
      <w:marBottom w:val="0"/>
      <w:divBdr>
        <w:top w:val="none" w:sz="0" w:space="0" w:color="auto"/>
        <w:left w:val="none" w:sz="0" w:space="0" w:color="auto"/>
        <w:bottom w:val="none" w:sz="0" w:space="0" w:color="auto"/>
        <w:right w:val="none" w:sz="0" w:space="0" w:color="auto"/>
      </w:divBdr>
    </w:div>
    <w:div w:id="696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5A86-574B-460A-9B54-785CCA4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14856</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2020-03-04T15:25:00Z</dcterms:created>
  <dcterms:modified xsi:type="dcterms:W3CDTF">2020-08-10T15:32:00Z</dcterms:modified>
</cp:coreProperties>
</file>