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653C6" w:rsidR="00675057" w:rsidP="000A38DA" w:rsidRDefault="000A38DA" w14:paraId="073D48C6" w14:textId="5C14D37D">
      <w:pPr>
        <w:jc w:val="center"/>
        <w:rPr>
          <w:b/>
        </w:rPr>
      </w:pPr>
      <w:r w:rsidRPr="007653C6">
        <w:rPr>
          <w:b/>
        </w:rPr>
        <w:t>JUSTIFICATION FOR CHANGE</w:t>
      </w:r>
    </w:p>
    <w:p w:rsidRPr="00B701E8" w:rsidR="007653C6" w:rsidP="007653C6" w:rsidRDefault="007653C6" w14:paraId="2EE336E7" w14:textId="77777777">
      <w:pPr>
        <w:jc w:val="center"/>
        <w:rPr>
          <w:b/>
        </w:rPr>
      </w:pPr>
      <w:r w:rsidRPr="00B701E8">
        <w:rPr>
          <w:b/>
        </w:rPr>
        <w:t>U.S. Department of Commerce</w:t>
      </w:r>
    </w:p>
    <w:p w:rsidRPr="00B701E8" w:rsidR="007653C6" w:rsidP="007653C6" w:rsidRDefault="007653C6" w14:paraId="5DBDFEAD" w14:textId="77777777">
      <w:pPr>
        <w:jc w:val="center"/>
        <w:rPr>
          <w:b/>
        </w:rPr>
      </w:pPr>
      <w:r w:rsidRPr="00B701E8">
        <w:rPr>
          <w:b/>
        </w:rPr>
        <w:t>National Oceanic &amp; Atmospheric Administration</w:t>
      </w:r>
    </w:p>
    <w:p w:rsidRPr="00B701E8" w:rsidR="007653C6" w:rsidP="007653C6" w:rsidRDefault="007653C6" w14:paraId="5CE02CFB" w14:textId="1117D13E">
      <w:pPr>
        <w:jc w:val="center"/>
        <w:rPr>
          <w:b/>
        </w:rPr>
      </w:pPr>
      <w:r>
        <w:rPr>
          <w:b/>
        </w:rPr>
        <w:t>Socioeconomics of Coral Reef Conservation</w:t>
      </w:r>
    </w:p>
    <w:p w:rsidRPr="00B701E8" w:rsidR="007653C6" w:rsidP="007653C6" w:rsidRDefault="007653C6" w14:paraId="1F2A75DF" w14:textId="5230254E">
      <w:pPr>
        <w:jc w:val="center"/>
        <w:rPr>
          <w:b/>
        </w:rPr>
      </w:pPr>
      <w:r>
        <w:rPr>
          <w:b/>
        </w:rPr>
        <w:t>OMB Control No. 0648-0646</w:t>
      </w:r>
    </w:p>
    <w:p w:rsidRPr="00375559" w:rsidR="007653C6" w:rsidP="000A38DA" w:rsidRDefault="007653C6" w14:paraId="260241A5" w14:textId="77777777">
      <w:pPr>
        <w:jc w:val="center"/>
        <w:rPr>
          <w:b/>
          <w:sz w:val="28"/>
          <w:szCs w:val="28"/>
        </w:rPr>
      </w:pPr>
    </w:p>
    <w:p w:rsidR="00FA57A9" w:rsidP="00351E93" w:rsidRDefault="00FA57A9" w14:paraId="082F3BE7" w14:textId="77777777"/>
    <w:p w:rsidR="001F16B5" w:rsidP="001F16B5" w:rsidRDefault="000A38DA" w14:paraId="1719C0C5" w14:textId="45877C85">
      <w:r>
        <w:t xml:space="preserve">This request is for approval of </w:t>
      </w:r>
      <w:r w:rsidR="00A80F76">
        <w:t xml:space="preserve">a </w:t>
      </w:r>
      <w:r>
        <w:t>survey under</w:t>
      </w:r>
      <w:r w:rsidR="00D575CB">
        <w:t xml:space="preserve"> the information collection requirement currently approved under OMB Control Number 0648-0646 “Socioeconomics of Coral Reef Conservation”. </w:t>
      </w:r>
      <w:r w:rsidR="00A26609">
        <w:t xml:space="preserve">The change request is formatted as has historically been done for this body of work, but is the last of its kind. All future clearances will use the pending hybrid-generic clearance format as requested by OMB. </w:t>
      </w:r>
      <w:r w:rsidR="00351E93">
        <w:t xml:space="preserve">The approved information collection is </w:t>
      </w:r>
      <w:r w:rsidR="00D575CB">
        <w:t xml:space="preserve">part of the National Coral Reef Monitoring Plan </w:t>
      </w:r>
      <w:r w:rsidR="00351E93">
        <w:t>and</w:t>
      </w:r>
      <w:r w:rsidR="00D575CB">
        <w:t xml:space="preserve"> relates to Social Science and Human Dimensions monitoring</w:t>
      </w:r>
      <w:r w:rsidR="00351E93">
        <w:t>.</w:t>
      </w:r>
      <w:r w:rsidRPr="001F16B5" w:rsidR="001F16B5">
        <w:t xml:space="preserve"> </w:t>
      </w:r>
      <w:r w:rsidR="001F16B5">
        <w:t>The National Oceanic and Atmospheric Administration (NOAA) created the Coral Reef Conservation Program to safeguard and ensure the welfare of the coral reef ecosystems along the coastlines of Ame</w:t>
      </w:r>
      <w:r w:rsidR="00F21281">
        <w:t xml:space="preserve">rica’s States and Territories. </w:t>
      </w:r>
      <w:r w:rsidR="001F16B5">
        <w:t>The administration of this program has potential economic and cultural impacts on the lives of nearby res</w:t>
      </w:r>
      <w:r w:rsidR="00F21281">
        <w:t xml:space="preserve">idents and citizens. </w:t>
      </w:r>
      <w:r w:rsidR="001F16B5">
        <w:t>In accordance with its mis</w:t>
      </w:r>
      <w:r w:rsidR="00DC6858">
        <w:t xml:space="preserve">sion goals, NOAA has designed </w:t>
      </w:r>
      <w:r w:rsidR="001F16B5">
        <w:t>survey</w:t>
      </w:r>
      <w:r w:rsidR="00DC6858">
        <w:t>s</w:t>
      </w:r>
      <w:r w:rsidR="001F16B5">
        <w:t xml:space="preserve"> to provide longitudinal data about the impact of the Coral Reef Conservation Program.</w:t>
      </w:r>
    </w:p>
    <w:p w:rsidR="005B14FD" w:rsidRDefault="005B14FD" w14:paraId="520513B7" w14:textId="77777777"/>
    <w:p w:rsidR="00D575CB" w:rsidRDefault="00D575CB" w14:paraId="27D23EA1" w14:textId="7F7A7465">
      <w:r>
        <w:t>NOAA has developed</w:t>
      </w:r>
      <w:r w:rsidR="00965B64">
        <w:t xml:space="preserve"> a</w:t>
      </w:r>
      <w:r>
        <w:t xml:space="preserve"> jurisdictional survey instrument to be implemented in </w:t>
      </w:r>
      <w:r w:rsidR="00F116E3">
        <w:rPr>
          <w:b/>
        </w:rPr>
        <w:t>American Samoa</w:t>
      </w:r>
      <w:r w:rsidR="00D63CD2">
        <w:rPr>
          <w:b/>
        </w:rPr>
        <w:t xml:space="preserve"> in 20</w:t>
      </w:r>
      <w:r w:rsidR="00F116E3">
        <w:rPr>
          <w:b/>
        </w:rPr>
        <w:t>2</w:t>
      </w:r>
      <w:r w:rsidR="00D37EC4">
        <w:rPr>
          <w:b/>
        </w:rPr>
        <w:t>0-202</w:t>
      </w:r>
      <w:r w:rsidR="00F116E3">
        <w:rPr>
          <w:b/>
        </w:rPr>
        <w:t>1</w:t>
      </w:r>
      <w:r w:rsidR="00A26609">
        <w:t>. P</w:t>
      </w:r>
      <w:r>
        <w:t xml:space="preserve">er </w:t>
      </w:r>
      <w:r w:rsidR="001B04D0">
        <w:t>OMB guidelines</w:t>
      </w:r>
      <w:r w:rsidR="00351E93">
        <w:t xml:space="preserve"> for PRA clearance</w:t>
      </w:r>
      <w:r>
        <w:t xml:space="preserve">, NOAA is required to submit a </w:t>
      </w:r>
      <w:r w:rsidRPr="00351E93" w:rsidR="00351E93">
        <w:t>justification statement of one pa</w:t>
      </w:r>
      <w:r w:rsidR="00DC6858">
        <w:t xml:space="preserve">ge or less </w:t>
      </w:r>
      <w:r w:rsidR="00124203">
        <w:t>listing</w:t>
      </w:r>
      <w:r w:rsidR="00351E93">
        <w:t xml:space="preserve"> the </w:t>
      </w:r>
      <w:r w:rsidRPr="00D575CB">
        <w:t>questions</w:t>
      </w:r>
      <w:r>
        <w:t xml:space="preserve"> selected from the full question bank </w:t>
      </w:r>
      <w:r w:rsidR="00351E93">
        <w:t xml:space="preserve">for the jurisdictional </w:t>
      </w:r>
      <w:r w:rsidR="00F21281">
        <w:t xml:space="preserve">survey </w:t>
      </w:r>
      <w:r w:rsidRPr="009C1CDA" w:rsidR="00F21281">
        <w:t>instrument</w:t>
      </w:r>
      <w:r w:rsidR="00F21281">
        <w:t xml:space="preserve">. </w:t>
      </w:r>
      <w:r>
        <w:t xml:space="preserve">This request also </w:t>
      </w:r>
      <w:r w:rsidRPr="00D575CB">
        <w:t>briefly describ</w:t>
      </w:r>
      <w:r>
        <w:t xml:space="preserve">es </w:t>
      </w:r>
      <w:r w:rsidRPr="00D575CB">
        <w:t>the information collection venue</w:t>
      </w:r>
      <w:r>
        <w:t>s</w:t>
      </w:r>
      <w:r w:rsidRPr="00D575CB">
        <w:t xml:space="preserve"> and samplin</w:t>
      </w:r>
      <w:r>
        <w:t>g methodology applicable</w:t>
      </w:r>
      <w:r w:rsidR="002A1CFD">
        <w:t xml:space="preserve"> to </w:t>
      </w:r>
      <w:r w:rsidR="00F116E3">
        <w:t>American Samoa</w:t>
      </w:r>
      <w:r>
        <w:t xml:space="preserve">. </w:t>
      </w:r>
      <w:r w:rsidRPr="00E76F87" w:rsidR="00E76F87">
        <w:rPr>
          <w:u w:val="single"/>
        </w:rPr>
        <w:t>Please note</w:t>
      </w:r>
      <w:r w:rsidR="00E76F87">
        <w:t xml:space="preserve">, this change justification is the </w:t>
      </w:r>
      <w:r w:rsidR="00F116E3">
        <w:t>ninth</w:t>
      </w:r>
      <w:r w:rsidR="00965B64">
        <w:t xml:space="preserve"> </w:t>
      </w:r>
      <w:r w:rsidR="00086C52">
        <w:t>such request as per</w:t>
      </w:r>
      <w:r w:rsidR="00E76F87">
        <w:t xml:space="preserve"> previous submission</w:t>
      </w:r>
      <w:r w:rsidR="00086C52">
        <w:t>s</w:t>
      </w:r>
      <w:r w:rsidR="00E76F87">
        <w:t xml:space="preserve"> for similar survey efforts in American Samoa</w:t>
      </w:r>
      <w:r w:rsidR="00965B64">
        <w:t xml:space="preserve">, </w:t>
      </w:r>
      <w:r w:rsidR="00E76F87">
        <w:t>Florida</w:t>
      </w:r>
      <w:r w:rsidR="00A66685">
        <w:t xml:space="preserve"> (2)</w:t>
      </w:r>
      <w:r w:rsidR="00965B64">
        <w:t>, Hawai</w:t>
      </w:r>
      <w:r w:rsidR="005661DC">
        <w:t>´</w:t>
      </w:r>
      <w:r w:rsidR="00F116E3">
        <w:t>i (2)</w:t>
      </w:r>
      <w:r w:rsidR="00965B64">
        <w:t>, Puerto Rico</w:t>
      </w:r>
      <w:r w:rsidR="00405C68">
        <w:t>,</w:t>
      </w:r>
      <w:r w:rsidR="00B13788">
        <w:t xml:space="preserve"> </w:t>
      </w:r>
      <w:r w:rsidR="00405C68">
        <w:t>Guam</w:t>
      </w:r>
      <w:r w:rsidR="00A66685">
        <w:t xml:space="preserve">, </w:t>
      </w:r>
      <w:r w:rsidR="00B13788">
        <w:t>the Commonwealth of the Northern Marianas</w:t>
      </w:r>
      <w:r w:rsidR="00A66685">
        <w:t>, and the United States Virgin Islands</w:t>
      </w:r>
      <w:r w:rsidR="00965B64">
        <w:t>.</w:t>
      </w:r>
      <w:r w:rsidR="00B13788">
        <w:t xml:space="preserve"> </w:t>
      </w:r>
      <w:r w:rsidR="00F116E3">
        <w:t>This will be the final non-substantive change request before the survey clearance package is reformatted as hybrid-generic clearance for all future collections.</w:t>
      </w:r>
    </w:p>
    <w:p w:rsidR="00FA57A9" w:rsidRDefault="00FA57A9" w14:paraId="47B97696" w14:textId="77777777"/>
    <w:p w:rsidR="009A612E" w:rsidP="00DA5E7A" w:rsidRDefault="000A38DA" w14:paraId="31073900" w14:textId="551C0B36">
      <w:r>
        <w:t>T</w:t>
      </w:r>
      <w:r w:rsidR="005B14FD">
        <w:t>h</w:t>
      </w:r>
      <w:r w:rsidR="00965B64">
        <w:t xml:space="preserve">is </w:t>
      </w:r>
      <w:r w:rsidR="005B14FD">
        <w:t xml:space="preserve">survey instrument </w:t>
      </w:r>
      <w:r w:rsidR="00965B64">
        <w:t xml:space="preserve">has </w:t>
      </w:r>
      <w:r w:rsidR="005B14FD">
        <w:t xml:space="preserve">been developed for the purpose of collecting information that can be used to </w:t>
      </w:r>
      <w:r w:rsidRPr="005B14FD" w:rsidR="005B14FD">
        <w:t>analyz</w:t>
      </w:r>
      <w:r w:rsidR="005B14FD">
        <w:t xml:space="preserve">e frequency of </w:t>
      </w:r>
      <w:r w:rsidR="001B04D0">
        <w:t xml:space="preserve">coral reef and/or </w:t>
      </w:r>
      <w:r w:rsidR="005B14FD">
        <w:t>beach use and other activities, general</w:t>
      </w:r>
      <w:r w:rsidRPr="005B14FD" w:rsidR="005B14FD">
        <w:t xml:space="preserve"> knowledge, attitudes and </w:t>
      </w:r>
      <w:r w:rsidR="005B14FD">
        <w:t xml:space="preserve">perceptions of coral reef ecosystems as </w:t>
      </w:r>
      <w:r w:rsidR="001B04D0">
        <w:t>well as attitudes and opinions of</w:t>
      </w:r>
      <w:r w:rsidR="005B14FD">
        <w:t xml:space="preserve"> natural resource management and protection activities </w:t>
      </w:r>
      <w:r w:rsidRPr="005B14FD" w:rsidR="005B14FD">
        <w:t xml:space="preserve">including </w:t>
      </w:r>
      <w:r w:rsidR="005B14FD">
        <w:t>rules and regulations</w:t>
      </w:r>
      <w:r w:rsidR="006C604B">
        <w:t xml:space="preserve"> (</w:t>
      </w:r>
      <w:r w:rsidRPr="00675057" w:rsidR="006C604B">
        <w:t xml:space="preserve">See </w:t>
      </w:r>
      <w:r w:rsidR="00F116E3">
        <w:t>American Samoa</w:t>
      </w:r>
      <w:r w:rsidRPr="00675057" w:rsidR="006C604B">
        <w:t xml:space="preserve"> survey)</w:t>
      </w:r>
      <w:r w:rsidRPr="00675057" w:rsidR="005B14FD">
        <w:t>.</w:t>
      </w:r>
      <w:r w:rsidR="00F21281">
        <w:t xml:space="preserve"> </w:t>
      </w:r>
      <w:r w:rsidR="00965B64">
        <w:t xml:space="preserve">Each </w:t>
      </w:r>
      <w:r w:rsidRPr="009A612E" w:rsidR="009A612E">
        <w:t xml:space="preserve">survey </w:t>
      </w:r>
      <w:r w:rsidRPr="009A612E" w:rsidR="00965B64">
        <w:t>ha</w:t>
      </w:r>
      <w:r w:rsidR="00965B64">
        <w:t>s</w:t>
      </w:r>
      <w:r w:rsidRPr="009A612E" w:rsidR="00965B64">
        <w:t xml:space="preserve"> </w:t>
      </w:r>
      <w:r w:rsidR="009A612E">
        <w:t xml:space="preserve">a core </w:t>
      </w:r>
      <w:r w:rsidRPr="009A612E" w:rsidR="009A612E">
        <w:t xml:space="preserve">set of questions </w:t>
      </w:r>
      <w:r w:rsidR="009A612E">
        <w:t xml:space="preserve">that will be </w:t>
      </w:r>
      <w:r w:rsidRPr="009A612E" w:rsidR="009A612E">
        <w:t xml:space="preserve">the same for all </w:t>
      </w:r>
      <w:r w:rsidR="009A612E">
        <w:t>jurisdictions</w:t>
      </w:r>
      <w:r w:rsidR="00124203">
        <w:t xml:space="preserve"> (</w:t>
      </w:r>
      <w:r w:rsidRPr="00675057" w:rsidR="00124203">
        <w:t>See Core Module)</w:t>
      </w:r>
      <w:r w:rsidR="009A612E">
        <w:t xml:space="preserve">. </w:t>
      </w:r>
      <w:r w:rsidR="00124203">
        <w:t>Each jurisdictional survey</w:t>
      </w:r>
      <w:r w:rsidR="009A612E">
        <w:t xml:space="preserve"> instrument contains </w:t>
      </w:r>
      <w:r w:rsidRPr="009A612E" w:rsidR="009A612E">
        <w:t>questions that are specific to the local management needs</w:t>
      </w:r>
      <w:r w:rsidR="00124203">
        <w:t xml:space="preserve"> and to the population</w:t>
      </w:r>
      <w:r w:rsidR="00F21281">
        <w:t xml:space="preserve">. </w:t>
      </w:r>
      <w:r w:rsidR="00124203">
        <w:t>G</w:t>
      </w:r>
      <w:r w:rsidR="001B04D0">
        <w:t xml:space="preserve">eneral </w:t>
      </w:r>
      <w:r w:rsidR="005B14FD">
        <w:t xml:space="preserve">demographic information will </w:t>
      </w:r>
      <w:r w:rsidR="00124203">
        <w:t xml:space="preserve">also </w:t>
      </w:r>
      <w:r w:rsidR="005B14FD">
        <w:t xml:space="preserve">be collected </w:t>
      </w:r>
      <w:r w:rsidR="009A612E">
        <w:t>from respondents</w:t>
      </w:r>
      <w:r w:rsidR="005B14FD">
        <w:t xml:space="preserve">. The questions that have been selected from the bank </w:t>
      </w:r>
      <w:r w:rsidR="00375559">
        <w:t xml:space="preserve">(See Core Module) </w:t>
      </w:r>
      <w:r w:rsidR="005B14FD">
        <w:t xml:space="preserve">will allow NOAA to collect </w:t>
      </w:r>
      <w:r w:rsidR="009A612E">
        <w:t xml:space="preserve">data for some of the socioeconomic indicators of interest to the Coral Reef Conservation Program as outlined in Table 1 of the </w:t>
      </w:r>
      <w:r>
        <w:t xml:space="preserve">original </w:t>
      </w:r>
      <w:r w:rsidR="00BF3310">
        <w:t>S</w:t>
      </w:r>
      <w:r w:rsidR="009A612E">
        <w:t xml:space="preserve">upporting </w:t>
      </w:r>
      <w:r w:rsidR="00BF3310">
        <w:t>S</w:t>
      </w:r>
      <w:r w:rsidR="009A612E">
        <w:t>tatement.</w:t>
      </w:r>
    </w:p>
    <w:p w:rsidR="009A612E" w:rsidP="00DA5E7A" w:rsidRDefault="009A612E" w14:paraId="7D228D0A" w14:textId="77777777"/>
    <w:p w:rsidR="00074ED9" w:rsidP="00DA5E7A" w:rsidRDefault="00124203" w14:paraId="3189A2E2" w14:textId="596F95C0">
      <w:r>
        <w:t xml:space="preserve">As described in the </w:t>
      </w:r>
      <w:r w:rsidR="00C93ED4">
        <w:t xml:space="preserve">original </w:t>
      </w:r>
      <w:r>
        <w:t>supporting statement</w:t>
      </w:r>
      <w:r w:rsidR="00074ED9">
        <w:t xml:space="preserve">, </w:t>
      </w:r>
      <w:r>
        <w:t xml:space="preserve">the information will be collected </w:t>
      </w:r>
      <w:r w:rsidRPr="0094672D">
        <w:t>using the most efficient and effective means in the</w:t>
      </w:r>
      <w:r w:rsidRPr="0094672D" w:rsidR="001F16B5">
        <w:t xml:space="preserve"> individual jurisdiction. </w:t>
      </w:r>
      <w:r w:rsidRPr="0094672D">
        <w:t>For</w:t>
      </w:r>
      <w:r w:rsidRPr="0094672D" w:rsidR="001A0085">
        <w:t xml:space="preserve"> </w:t>
      </w:r>
      <w:r w:rsidR="00F116E3">
        <w:t>American Samoa</w:t>
      </w:r>
      <w:r w:rsidRPr="0094672D">
        <w:t xml:space="preserve">, </w:t>
      </w:r>
      <w:r w:rsidR="0061095E">
        <w:t xml:space="preserve">an </w:t>
      </w:r>
      <w:r w:rsidR="00F116E3">
        <w:t>in-person interview</w:t>
      </w:r>
      <w:r w:rsidR="00E46553">
        <w:t xml:space="preserve"> </w:t>
      </w:r>
      <w:r w:rsidR="0061095E">
        <w:t>approach will be used</w:t>
      </w:r>
      <w:r w:rsidRPr="00E46553">
        <w:t>.</w:t>
      </w:r>
      <w:r w:rsidRPr="0094672D">
        <w:t xml:space="preserve"> </w:t>
      </w:r>
      <w:r w:rsidRPr="0094672D" w:rsidR="00CF2497">
        <w:t xml:space="preserve">The survey will be conducted in the following </w:t>
      </w:r>
      <w:r w:rsidRPr="002F2FB1" w:rsidR="00CF2497">
        <w:t>languages: English</w:t>
      </w:r>
      <w:r w:rsidR="00F116E3">
        <w:t xml:space="preserve"> and Samoan</w:t>
      </w:r>
      <w:r w:rsidRPr="002F2FB1" w:rsidR="00CF2497">
        <w:t>.</w:t>
      </w:r>
      <w:r w:rsidRPr="0094672D" w:rsidDel="00965B64" w:rsidR="00CF2497">
        <w:t xml:space="preserve"> </w:t>
      </w:r>
      <w:r w:rsidRPr="0094672D" w:rsidR="001A0085">
        <w:t xml:space="preserve">More information for </w:t>
      </w:r>
      <w:r w:rsidR="00F116E3">
        <w:t xml:space="preserve">American Samoa’s </w:t>
      </w:r>
      <w:r w:rsidR="00F21281">
        <w:t>20</w:t>
      </w:r>
      <w:r w:rsidR="00F116E3">
        <w:t>21</w:t>
      </w:r>
      <w:r w:rsidR="00F21281">
        <w:t xml:space="preserve"> </w:t>
      </w:r>
      <w:r w:rsidR="0002061D">
        <w:t>survey,</w:t>
      </w:r>
      <w:r w:rsidR="00965B64">
        <w:t xml:space="preserve"> sampling, and</w:t>
      </w:r>
      <w:r w:rsidR="0002061D">
        <w:t xml:space="preserve"> </w:t>
      </w:r>
      <w:r w:rsidR="005B14FD">
        <w:t xml:space="preserve">mode of survey implementation </w:t>
      </w:r>
      <w:r w:rsidR="00965B64">
        <w:t>is</w:t>
      </w:r>
      <w:r w:rsidR="000A38DA">
        <w:t xml:space="preserve"> </w:t>
      </w:r>
      <w:r w:rsidR="005B14FD">
        <w:t>provided below.</w:t>
      </w:r>
    </w:p>
    <w:p w:rsidR="00074ED9" w:rsidRDefault="00074ED9" w14:paraId="28D0D8DE" w14:textId="77777777">
      <w:r>
        <w:br w:type="page"/>
      </w:r>
    </w:p>
    <w:p w:rsidRPr="0002061D" w:rsidR="005B14FD" w:rsidP="00DA5E7A" w:rsidRDefault="00154B71" w14:paraId="5CDC1026" w14:textId="2BB6B977">
      <w:pPr>
        <w:rPr>
          <w:b/>
        </w:rPr>
      </w:pPr>
      <w:r>
        <w:rPr>
          <w:b/>
        </w:rPr>
        <w:lastRenderedPageBreak/>
        <w:t>AMERICAN SAMOA</w:t>
      </w:r>
    </w:p>
    <w:p w:rsidR="009A612E" w:rsidP="00DA5E7A" w:rsidRDefault="009A612E" w14:paraId="016470B4" w14:textId="77777777"/>
    <w:p w:rsidR="005B14FD" w:rsidP="0061095E" w:rsidRDefault="00FB6BEF" w14:paraId="05445647" w14:textId="28C1B46B">
      <w:r>
        <w:t xml:space="preserve">The </w:t>
      </w:r>
      <w:r w:rsidRPr="0094672D">
        <w:t xml:space="preserve">information collection for </w:t>
      </w:r>
      <w:r w:rsidRPr="0094672D" w:rsidR="001D40F1">
        <w:t>this U</w:t>
      </w:r>
      <w:r w:rsidR="00154B71">
        <w:t>.</w:t>
      </w:r>
      <w:r w:rsidRPr="0094672D" w:rsidR="001D40F1">
        <w:t>S</w:t>
      </w:r>
      <w:r w:rsidR="00154B71">
        <w:t>.</w:t>
      </w:r>
      <w:r w:rsidR="00777F0E">
        <w:t xml:space="preserve"> coral r</w:t>
      </w:r>
      <w:r w:rsidRPr="0094672D" w:rsidR="001D40F1">
        <w:t>eef location</w:t>
      </w:r>
      <w:r w:rsidRPr="0094672D" w:rsidR="001B0DBF">
        <w:t xml:space="preserve"> </w:t>
      </w:r>
      <w:r w:rsidRPr="0094672D" w:rsidR="00E76F87">
        <w:t xml:space="preserve">is to be </w:t>
      </w:r>
      <w:r w:rsidRPr="0094672D">
        <w:t>conducted</w:t>
      </w:r>
      <w:r w:rsidRPr="0094672D" w:rsidR="001F16B5">
        <w:t xml:space="preserve"> by a contracted survey</w:t>
      </w:r>
      <w:r w:rsidRPr="0094672D" w:rsidR="007E00E7">
        <w:t xml:space="preserve"> firm </w:t>
      </w:r>
      <w:r w:rsidRPr="0094672D" w:rsidR="001B0DBF">
        <w:t>who will utilize</w:t>
      </w:r>
      <w:r w:rsidR="0061095E">
        <w:t xml:space="preserve"> an </w:t>
      </w:r>
      <w:r w:rsidR="00BF3731">
        <w:t>in-person household</w:t>
      </w:r>
      <w:r w:rsidR="0061095E">
        <w:t xml:space="preserve"> sample. </w:t>
      </w:r>
      <w:r w:rsidR="00E831C8">
        <w:t xml:space="preserve">In-person surveying is the most appropriate method for survey implementation in American Samoa due to </w:t>
      </w:r>
      <w:r w:rsidRPr="00E831C8" w:rsidR="00E831C8">
        <w:t>the rural spread of households, the absence of mailing addresses, and limited internet within the jurisdiction.</w:t>
      </w:r>
      <w:r w:rsidR="00E831C8">
        <w:rPr>
          <w:rFonts w:asciiTheme="minorHAnsi" w:hAnsiTheme="minorHAnsi" w:cstheme="minorHAnsi"/>
          <w:sz w:val="22"/>
          <w:szCs w:val="22"/>
        </w:rPr>
        <w:t xml:space="preserve"> </w:t>
      </w:r>
      <w:r w:rsidR="0061095E">
        <w:t>This approach will</w:t>
      </w:r>
      <w:r w:rsidR="00FE75B0">
        <w:t xml:space="preserve"> </w:t>
      </w:r>
      <w:r w:rsidR="00E831C8">
        <w:t>require the surveyors to implement door-to-door household interviews that follow predetermined surveying protocols</w:t>
      </w:r>
      <w:r w:rsidR="0061095E">
        <w:t>.</w:t>
      </w:r>
      <w:r w:rsidRPr="00D9250C" w:rsidR="00B12ECC">
        <w:t xml:space="preserve"> For the jurisdictional population, we intend to select a random sample of individuals over the age of eighteen, stratified geographically as described in Table </w:t>
      </w:r>
      <w:r w:rsidRPr="00D9250C" w:rsidR="00A02EBB">
        <w:t>2</w:t>
      </w:r>
      <w:r w:rsidRPr="00D9250C" w:rsidR="00B12ECC">
        <w:t xml:space="preserve"> </w:t>
      </w:r>
      <w:r w:rsidR="00BF3310">
        <w:t xml:space="preserve">from the original Supporting Statement and shown </w:t>
      </w:r>
      <w:r w:rsidRPr="00D9250C" w:rsidR="0094672D">
        <w:t>below</w:t>
      </w:r>
      <w:r w:rsidRPr="00D9250C" w:rsidR="00B12ECC">
        <w:t>.</w:t>
      </w:r>
      <w:r w:rsidRPr="00900546" w:rsidR="00086C52">
        <w:t xml:space="preserve"> </w:t>
      </w:r>
      <w:r w:rsidR="00B12ECC">
        <w:t>The random sample will be obtained from the selected survey firm using st</w:t>
      </w:r>
      <w:r w:rsidR="009100BD">
        <w:t xml:space="preserve">andard sample selection tools. </w:t>
      </w:r>
      <w:r w:rsidR="00B12ECC">
        <w:t>These strata have been designed to account for the differing sizes of the populations in t</w:t>
      </w:r>
      <w:r w:rsidR="009100BD">
        <w:t xml:space="preserve">he areas close to coral reefs. </w:t>
      </w:r>
      <w:r w:rsidR="00B12ECC">
        <w:t>We ha</w:t>
      </w:r>
      <w:r w:rsidR="009100BD">
        <w:t>ve used the standard approach for</w:t>
      </w:r>
      <w:r w:rsidR="00B12ECC">
        <w:t xml:space="preserve"> estimating sample size for a stratified population:</w:t>
      </w:r>
    </w:p>
    <w:p w:rsidR="00A706BC" w:rsidP="00A706BC" w:rsidRDefault="00A706BC" w14:paraId="29AE8DB4" w14:textId="77777777"/>
    <w:p w:rsidR="00A706BC" w:rsidP="00A706BC" w:rsidRDefault="005B5128" w14:paraId="287F024C" w14:textId="7DEE6921">
      <w:r>
        <w:rPr>
          <w:i/>
        </w:rPr>
        <w:t>N</w:t>
      </w:r>
      <w:r>
        <w:t xml:space="preserve"> </w:t>
      </w:r>
      <w:r w:rsidR="007E7C1D">
        <w:t>=</w:t>
      </w:r>
      <w:r>
        <w:t xml:space="preserve"> </w:t>
      </w:r>
      <w:r w:rsidR="00A706BC">
        <w:t>[</w:t>
      </w:r>
      <w:r w:rsidRPr="009C1CDA" w:rsidR="00A706BC">
        <w:rPr>
          <w:i/>
        </w:rPr>
        <w:t>t</w:t>
      </w:r>
      <w:r w:rsidRPr="006C34B8" w:rsidR="00A706BC">
        <w:rPr>
          <w:vertAlign w:val="superscript"/>
        </w:rPr>
        <w:t>2</w:t>
      </w:r>
      <w:r w:rsidR="00A706BC">
        <w:t xml:space="preserve"> </w:t>
      </w:r>
      <w:r>
        <w:rPr>
          <w:i/>
        </w:rPr>
        <w:t>n</w:t>
      </w:r>
      <w:r>
        <w:t xml:space="preserve"> </w:t>
      </w:r>
      <w:proofErr w:type="gramStart"/>
      <w:r w:rsidRPr="009C1CDA" w:rsidR="00A706BC">
        <w:rPr>
          <w:i/>
        </w:rPr>
        <w:t>p</w:t>
      </w:r>
      <w:r w:rsidR="00A706BC">
        <w:t>(</w:t>
      </w:r>
      <w:proofErr w:type="gramEnd"/>
      <w:r w:rsidR="00A706BC">
        <w:t>1-</w:t>
      </w:r>
      <w:r w:rsidRPr="009C1CDA" w:rsidR="00A706BC">
        <w:rPr>
          <w:i/>
        </w:rPr>
        <w:t>p</w:t>
      </w:r>
      <w:r w:rsidR="00A706BC">
        <w:t>)] / [</w:t>
      </w:r>
      <w:r w:rsidRPr="009C1CDA" w:rsidR="00A706BC">
        <w:rPr>
          <w:i/>
        </w:rPr>
        <w:t>t</w:t>
      </w:r>
      <w:r w:rsidRPr="006C34B8" w:rsidR="00A706BC">
        <w:rPr>
          <w:vertAlign w:val="superscript"/>
        </w:rPr>
        <w:t>2</w:t>
      </w:r>
      <w:r w:rsidR="00A706BC">
        <w:t xml:space="preserve"> </w:t>
      </w:r>
      <w:r w:rsidRPr="009C1CDA" w:rsidR="00A706BC">
        <w:rPr>
          <w:i/>
        </w:rPr>
        <w:t>p</w:t>
      </w:r>
      <w:r w:rsidR="00A706BC">
        <w:t>(1-</w:t>
      </w:r>
      <w:r w:rsidRPr="009C1CDA" w:rsidR="00A706BC">
        <w:rPr>
          <w:i/>
        </w:rPr>
        <w:t>p</w:t>
      </w:r>
      <w:r w:rsidR="00A706BC">
        <w:t xml:space="preserve">) + </w:t>
      </w:r>
      <w:r w:rsidRPr="009C1CDA" w:rsidR="00A706BC">
        <w:rPr>
          <w:i/>
        </w:rPr>
        <w:t>a</w:t>
      </w:r>
      <w:r w:rsidRPr="006C34B8" w:rsidR="00A706BC">
        <w:rPr>
          <w:vertAlign w:val="superscript"/>
        </w:rPr>
        <w:t>2</w:t>
      </w:r>
      <w:r w:rsidR="00A706BC">
        <w:t xml:space="preserve"> (</w:t>
      </w:r>
      <w:r>
        <w:rPr>
          <w:i/>
        </w:rPr>
        <w:t>n</w:t>
      </w:r>
      <w:r w:rsidR="00A706BC">
        <w:t>-1)]</w:t>
      </w:r>
    </w:p>
    <w:p w:rsidR="00A706BC" w:rsidP="00A706BC" w:rsidRDefault="00A706BC" w14:paraId="2B87F83D" w14:textId="77777777"/>
    <w:p w:rsidR="00A706BC" w:rsidP="00A706BC" w:rsidRDefault="00A706BC" w14:paraId="1A4AF718" w14:textId="6900EC70">
      <w:r>
        <w:t xml:space="preserve">Where </w:t>
      </w:r>
      <w:r w:rsidRPr="00B13788" w:rsidR="00475CFB">
        <w:rPr>
          <w:i/>
        </w:rPr>
        <w:t>n</w:t>
      </w:r>
      <w:r w:rsidR="00475CFB">
        <w:t xml:space="preserve"> is the minimum sample size required for a desired precision level, </w:t>
      </w:r>
      <w:r w:rsidRPr="009C1CDA">
        <w:rPr>
          <w:i/>
        </w:rPr>
        <w:t>N</w:t>
      </w:r>
      <w:r>
        <w:t xml:space="preserve"> is the</w:t>
      </w:r>
      <w:r w:rsidR="00475CFB">
        <w:t xml:space="preserve"> target</w:t>
      </w:r>
      <w:r>
        <w:t xml:space="preserve"> </w:t>
      </w:r>
      <w:r w:rsidR="00475CFB">
        <w:t>population size</w:t>
      </w:r>
      <w:r>
        <w:t xml:space="preserve">, </w:t>
      </w:r>
      <w:r w:rsidRPr="00B13788">
        <w:rPr>
          <w:i/>
        </w:rPr>
        <w:t>a</w:t>
      </w:r>
      <w:r>
        <w:t xml:space="preserve"> is the </w:t>
      </w:r>
      <w:r w:rsidR="00475CFB">
        <w:t xml:space="preserve">margin of </w:t>
      </w:r>
      <w:r>
        <w:t>error</w:t>
      </w:r>
      <w:r w:rsidR="00475CFB">
        <w:t xml:space="preserve"> (5%)</w:t>
      </w:r>
      <w:r>
        <w:t>,</w:t>
      </w:r>
      <w:r w:rsidRPr="00B13788">
        <w:rPr>
          <w:i/>
        </w:rPr>
        <w:t xml:space="preserve"> t</w:t>
      </w:r>
      <w:r>
        <w:t xml:space="preserve"> is the value taken from the </w:t>
      </w:r>
      <w:r w:rsidRPr="009C1CDA">
        <w:rPr>
          <w:i/>
        </w:rPr>
        <w:t>t</w:t>
      </w:r>
      <w:r>
        <w:t xml:space="preserve"> distribution corresponding to a </w:t>
      </w:r>
      <w:r w:rsidR="00475CFB">
        <w:t xml:space="preserve">95% </w:t>
      </w:r>
      <w:r>
        <w:t xml:space="preserve">confidence interval, and </w:t>
      </w:r>
      <w:r w:rsidRPr="00B13788">
        <w:rPr>
          <w:i/>
        </w:rPr>
        <w:t>p</w:t>
      </w:r>
      <w:r>
        <w:t xml:space="preserve"> is the </w:t>
      </w:r>
      <w:r w:rsidR="00475CFB">
        <w:t xml:space="preserve">proportion of the target population with a characteristic of interest (here, </w:t>
      </w:r>
      <w:r w:rsidRPr="009C1CDA" w:rsidR="00475CFB">
        <w:rPr>
          <w:i/>
        </w:rPr>
        <w:t>p</w:t>
      </w:r>
      <w:r w:rsidR="005B5128">
        <w:rPr>
          <w:i/>
        </w:rPr>
        <w:t xml:space="preserve"> </w:t>
      </w:r>
      <w:r w:rsidR="00475CFB">
        <w:t>=</w:t>
      </w:r>
      <w:r w:rsidR="005B5128">
        <w:t xml:space="preserve"> </w:t>
      </w:r>
      <w:r w:rsidR="00475CFB">
        <w:t>0.</w:t>
      </w:r>
      <w:r w:rsidR="005B5128">
        <w:t>0</w:t>
      </w:r>
      <w:r w:rsidR="00475CFB">
        <w:t>5 to provide the most conservative estimate).</w:t>
      </w:r>
    </w:p>
    <w:p w:rsidR="00A706BC" w:rsidP="00A706BC" w:rsidRDefault="00A706BC" w14:paraId="48F61505" w14:textId="77777777"/>
    <w:p w:rsidR="00A706BC" w:rsidP="00A706BC" w:rsidRDefault="00A706BC" w14:paraId="239132FA" w14:textId="353B2302">
      <w:r>
        <w:t xml:space="preserve">Other details </w:t>
      </w:r>
      <w:r w:rsidR="00A26609">
        <w:t>of the pending</w:t>
      </w:r>
      <w:r>
        <w:t xml:space="preserve"> data collection and </w:t>
      </w:r>
      <w:r w:rsidRPr="00B93818">
        <w:t>analysis are outlined in the Supporting Statement.</w:t>
      </w:r>
      <w:r w:rsidRPr="00B93818" w:rsidR="00965B64">
        <w:t xml:space="preserve"> See Table 3 for Estimates of Burden Hours.</w:t>
      </w:r>
      <w:r w:rsidRPr="00B93818" w:rsidR="00E120FC">
        <w:t xml:space="preserve"> The sample </w:t>
      </w:r>
      <w:r w:rsidRPr="00B93818" w:rsidR="0094672D">
        <w:t xml:space="preserve">(Table </w:t>
      </w:r>
      <w:r w:rsidRPr="00B93818" w:rsidR="009100BD">
        <w:t>2</w:t>
      </w:r>
      <w:r w:rsidRPr="00B93818" w:rsidR="0094672D">
        <w:t xml:space="preserve">) </w:t>
      </w:r>
      <w:r w:rsidRPr="00B93818" w:rsidR="00E120FC">
        <w:t xml:space="preserve">and associated burden numbers </w:t>
      </w:r>
      <w:r w:rsidRPr="00B93818" w:rsidR="0094672D">
        <w:t xml:space="preserve">(Table 3) </w:t>
      </w:r>
      <w:r w:rsidRPr="00B93818" w:rsidR="00E120FC">
        <w:t xml:space="preserve">presented in the </w:t>
      </w:r>
      <w:r w:rsidRPr="00B93818" w:rsidR="00BF3310">
        <w:t xml:space="preserve">original </w:t>
      </w:r>
      <w:r w:rsidRPr="00B93818" w:rsidR="00E120FC">
        <w:t xml:space="preserve">Supporting Statement </w:t>
      </w:r>
      <w:r w:rsidRPr="00B93818" w:rsidR="0094672D">
        <w:t>will be</w:t>
      </w:r>
      <w:r w:rsidRPr="00B93818" w:rsidR="00E120FC">
        <w:t xml:space="preserve"> </w:t>
      </w:r>
      <w:r w:rsidRPr="00B93818" w:rsidR="0094672D">
        <w:t>modified, as shown below,</w:t>
      </w:r>
      <w:r w:rsidRPr="00B93818" w:rsidR="00E120FC">
        <w:t xml:space="preserve"> for </w:t>
      </w:r>
      <w:r w:rsidRPr="00B93818" w:rsidR="00BF3731">
        <w:t>American Samoa</w:t>
      </w:r>
      <w:r w:rsidRPr="00B93818" w:rsidR="00E120FC">
        <w:t>.</w:t>
      </w:r>
      <w:r w:rsidRPr="00B93818" w:rsidR="00086C52">
        <w:t xml:space="preserve"> </w:t>
      </w:r>
      <w:r w:rsidRPr="00B93818" w:rsidR="009100BD">
        <w:t xml:space="preserve">In the original Supporting Statement, a sample size of </w:t>
      </w:r>
      <w:r w:rsidRPr="00B93818" w:rsidR="00BF3731">
        <w:t>652</w:t>
      </w:r>
      <w:r w:rsidRPr="00B93818" w:rsidR="009100BD">
        <w:t xml:space="preserve"> </w:t>
      </w:r>
      <w:r w:rsidRPr="00B93818" w:rsidR="0074094D">
        <w:t xml:space="preserve">at 25 minutes each </w:t>
      </w:r>
      <w:r w:rsidRPr="00B93818" w:rsidR="009100BD">
        <w:t>was requested and approved (Table 3)</w:t>
      </w:r>
      <w:r w:rsidRPr="00B93818" w:rsidR="00373B1F">
        <w:t xml:space="preserve">, but </w:t>
      </w:r>
      <w:r w:rsidRPr="00B93818" w:rsidR="0074094D">
        <w:t>the sample size</w:t>
      </w:r>
      <w:r w:rsidRPr="00B93818" w:rsidR="009100BD">
        <w:t xml:space="preserve"> has since been mo</w:t>
      </w:r>
      <w:r w:rsidRPr="00B93818" w:rsidR="00373B1F">
        <w:t>dified</w:t>
      </w:r>
      <w:r w:rsidRPr="00B93818" w:rsidR="0074094D">
        <w:t>.</w:t>
      </w:r>
      <w:r w:rsidRPr="00B93818" w:rsidR="00FF6432">
        <w:t xml:space="preserve"> </w:t>
      </w:r>
      <w:r w:rsidRPr="00B93818" w:rsidR="0074094D">
        <w:t>Based on previous surveys and changes to the survey instrument, the response time per survey is expected to be only 20 minutes, thereby allowing for an increased sample size of 81</w:t>
      </w:r>
      <w:r w:rsidR="009C4596">
        <w:t>5</w:t>
      </w:r>
      <w:r w:rsidRPr="00B93818" w:rsidR="0074094D">
        <w:t xml:space="preserve"> while causing no increase in the total burden hours. Further, stratification of the sample (Table 2) has been altered to eliminate attempted sampling of American Samoa’s remote islands in an effort to achieve desired statistical accuracy for the main island of Tutuila. </w:t>
      </w:r>
      <w:r w:rsidRPr="00B93818" w:rsidR="00B93818">
        <w:t>Changes to the stratification and sampling design reflect lessons learned following the first round of monitoring</w:t>
      </w:r>
      <w:r w:rsidR="009C4596">
        <w:t xml:space="preserve">, as well as partner requests to </w:t>
      </w:r>
      <w:r w:rsidR="00C76C0E">
        <w:t>attempt a representative sample of</w:t>
      </w:r>
      <w:r w:rsidR="009C4596">
        <w:t xml:space="preserve"> the Village of </w:t>
      </w:r>
      <w:proofErr w:type="spellStart"/>
      <w:r w:rsidR="009C4596">
        <w:t>Aua</w:t>
      </w:r>
      <w:proofErr w:type="spellEnd"/>
      <w:r w:rsidR="009C4596">
        <w:t xml:space="preserve"> for comparative analyses</w:t>
      </w:r>
      <w:r w:rsidRPr="00B93818" w:rsidR="00B93818">
        <w:t xml:space="preserve">. </w:t>
      </w:r>
      <w:r w:rsidRPr="00B93818" w:rsidR="0074094D">
        <w:t xml:space="preserve"> </w:t>
      </w:r>
      <w:r w:rsidRPr="00B93818" w:rsidR="009100BD">
        <w:t xml:space="preserve"> </w:t>
      </w:r>
    </w:p>
    <w:p w:rsidR="00A706BC" w:rsidP="00A706BC" w:rsidRDefault="00A706BC" w14:paraId="145D6E00" w14:textId="77777777"/>
    <w:p w:rsidR="00A706BC" w:rsidP="00A706BC" w:rsidRDefault="00A706BC" w14:paraId="5F51ACEC" w14:textId="77777777"/>
    <w:p w:rsidR="000646EE" w:rsidP="00675057" w:rsidRDefault="000646EE" w14:paraId="5B63B90B" w14:textId="77777777"/>
    <w:p w:rsidR="00E26727" w:rsidRDefault="00E26727" w14:paraId="55A60446" w14:textId="77777777">
      <w:pPr>
        <w:rPr>
          <w:b/>
          <w:bCs/>
        </w:rPr>
      </w:pPr>
      <w:bookmarkStart w:name="_Toc309063445" w:id="0"/>
      <w:r>
        <w:br w:type="page"/>
      </w:r>
    </w:p>
    <w:p w:rsidR="000B09B4" w:rsidP="000B09B4" w:rsidRDefault="000B09B4" w14:paraId="1BBEB6A3" w14:textId="5AADDCE2">
      <w:pPr>
        <w:pStyle w:val="Caption"/>
        <w:rPr>
          <w:rFonts w:cs="Times New Roman"/>
          <w:szCs w:val="24"/>
        </w:rPr>
      </w:pPr>
      <w:r>
        <w:rPr>
          <w:rFonts w:cs="Times New Roman"/>
          <w:szCs w:val="24"/>
        </w:rPr>
        <w:lastRenderedPageBreak/>
        <w:t xml:space="preserve">Table </w:t>
      </w:r>
      <w:r>
        <w:fldChar w:fldCharType="begin"/>
      </w:r>
      <w:r>
        <w:rPr>
          <w:rFonts w:cs="Times New Roman"/>
          <w:szCs w:val="24"/>
        </w:rPr>
        <w:instrText xml:space="preserve"> SEQ Table \* ARABIC </w:instrText>
      </w:r>
      <w:r>
        <w:fldChar w:fldCharType="separate"/>
      </w:r>
      <w:r>
        <w:rPr>
          <w:rFonts w:cs="Times New Roman"/>
          <w:noProof/>
          <w:szCs w:val="24"/>
        </w:rPr>
        <w:t>3</w:t>
      </w:r>
      <w:r>
        <w:fldChar w:fldCharType="end"/>
      </w:r>
      <w:r>
        <w:rPr>
          <w:rFonts w:cs="Times New Roman"/>
          <w:szCs w:val="24"/>
        </w:rPr>
        <w:t xml:space="preserve">: </w:t>
      </w:r>
      <w:r w:rsidRPr="00D11BAB">
        <w:rPr>
          <w:rFonts w:cs="Times New Roman"/>
          <w:b w:val="0"/>
          <w:szCs w:val="24"/>
        </w:rPr>
        <w:t>Estimates of Burden Hours (3.5-year time frame)</w:t>
      </w:r>
      <w:bookmarkEnd w:id="0"/>
      <w:r w:rsidRPr="00D11BAB" w:rsidR="00D11BAB">
        <w:rPr>
          <w:rFonts w:cs="Times New Roman"/>
          <w:b w:val="0"/>
          <w:szCs w:val="24"/>
        </w:rPr>
        <w:t>.</w:t>
      </w:r>
    </w:p>
    <w:tbl>
      <w:tblPr>
        <w:tblW w:w="51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03"/>
        <w:gridCol w:w="1529"/>
        <w:gridCol w:w="1441"/>
        <w:gridCol w:w="1350"/>
        <w:gridCol w:w="1262"/>
        <w:gridCol w:w="1079"/>
        <w:gridCol w:w="1167"/>
      </w:tblGrid>
      <w:tr w:rsidRPr="009C1CDA" w:rsidR="00E13C25" w:rsidTr="00E13C25" w14:paraId="2310DD11" w14:textId="77777777">
        <w:trPr>
          <w:trHeight w:val="900"/>
          <w:jc w:val="center"/>
        </w:trPr>
        <w:tc>
          <w:tcPr>
            <w:tcW w:w="936" w:type="pct"/>
            <w:tcBorders>
              <w:top w:val="single" w:color="auto" w:sz="4" w:space="0"/>
              <w:left w:val="single" w:color="auto" w:sz="4" w:space="0"/>
              <w:bottom w:val="single" w:color="auto" w:sz="4" w:space="0"/>
              <w:right w:val="single" w:color="auto" w:sz="4" w:space="0"/>
            </w:tcBorders>
            <w:shd w:val="clear" w:color="auto" w:fill="BFBFBF"/>
            <w:hideMark/>
          </w:tcPr>
          <w:p w:rsidRPr="009C1CDA" w:rsidR="000B09B4" w:rsidP="00D11BAB" w:rsidRDefault="000B09B4" w14:paraId="7E71444F" w14:textId="77777777">
            <w:pPr>
              <w:widowControl w:val="0"/>
              <w:autoSpaceDE w:val="0"/>
              <w:autoSpaceDN w:val="0"/>
              <w:adjustRightInd w:val="0"/>
              <w:rPr>
                <w:b/>
              </w:rPr>
            </w:pPr>
            <w:r w:rsidRPr="009C1CDA">
              <w:rPr>
                <w:b/>
              </w:rPr>
              <w:t>Requirements</w:t>
            </w:r>
          </w:p>
        </w:tc>
        <w:tc>
          <w:tcPr>
            <w:tcW w:w="794" w:type="pct"/>
            <w:tcBorders>
              <w:top w:val="single" w:color="auto" w:sz="4" w:space="0"/>
              <w:left w:val="single" w:color="auto" w:sz="4" w:space="0"/>
              <w:bottom w:val="single" w:color="auto" w:sz="4" w:space="0"/>
              <w:right w:val="single" w:color="auto" w:sz="4" w:space="0"/>
            </w:tcBorders>
            <w:shd w:val="clear" w:color="auto" w:fill="BFBFBF"/>
            <w:hideMark/>
          </w:tcPr>
          <w:p w:rsidRPr="009C1CDA" w:rsidR="000B09B4" w:rsidP="009C1CDA" w:rsidRDefault="000B09B4" w14:paraId="5A567446" w14:textId="77777777">
            <w:pPr>
              <w:widowControl w:val="0"/>
              <w:autoSpaceDE w:val="0"/>
              <w:autoSpaceDN w:val="0"/>
              <w:adjustRightInd w:val="0"/>
              <w:rPr>
                <w:b/>
              </w:rPr>
            </w:pPr>
            <w:r w:rsidRPr="009C1CDA">
              <w:rPr>
                <w:b/>
              </w:rPr>
              <w:t>Minimum # of Respondents Required for Statistical Robustness</w:t>
            </w:r>
          </w:p>
        </w:tc>
        <w:tc>
          <w:tcPr>
            <w:tcW w:w="748" w:type="pct"/>
            <w:tcBorders>
              <w:top w:val="single" w:color="auto" w:sz="4" w:space="0"/>
              <w:left w:val="single" w:color="auto" w:sz="4" w:space="0"/>
              <w:bottom w:val="single" w:color="auto" w:sz="4" w:space="0"/>
              <w:right w:val="single" w:color="auto" w:sz="4" w:space="0"/>
            </w:tcBorders>
            <w:shd w:val="clear" w:color="auto" w:fill="BFBFBF"/>
            <w:hideMark/>
          </w:tcPr>
          <w:p w:rsidRPr="009C1CDA" w:rsidR="000B09B4" w:rsidP="009C1CDA" w:rsidRDefault="000B09B4" w14:paraId="41B778B9" w14:textId="77777777">
            <w:pPr>
              <w:widowControl w:val="0"/>
              <w:autoSpaceDE w:val="0"/>
              <w:autoSpaceDN w:val="0"/>
              <w:adjustRightInd w:val="0"/>
              <w:rPr>
                <w:b/>
              </w:rPr>
            </w:pPr>
            <w:r w:rsidRPr="009C1CDA">
              <w:rPr>
                <w:b/>
              </w:rPr>
              <w:t>Responses Per Respondent</w:t>
            </w:r>
          </w:p>
        </w:tc>
        <w:tc>
          <w:tcPr>
            <w:tcW w:w="701" w:type="pct"/>
            <w:tcBorders>
              <w:top w:val="single" w:color="auto" w:sz="4" w:space="0"/>
              <w:left w:val="single" w:color="auto" w:sz="4" w:space="0"/>
              <w:bottom w:val="single" w:color="auto" w:sz="4" w:space="0"/>
              <w:right w:val="single" w:color="auto" w:sz="4" w:space="0"/>
            </w:tcBorders>
            <w:shd w:val="clear" w:color="auto" w:fill="BFBFBF"/>
            <w:hideMark/>
          </w:tcPr>
          <w:p w:rsidRPr="009C1CDA" w:rsidR="000B09B4" w:rsidP="009C1CDA" w:rsidRDefault="000B09B4" w14:paraId="369F1C23" w14:textId="77777777">
            <w:pPr>
              <w:widowControl w:val="0"/>
              <w:autoSpaceDE w:val="0"/>
              <w:autoSpaceDN w:val="0"/>
              <w:adjustRightInd w:val="0"/>
              <w:rPr>
                <w:b/>
              </w:rPr>
            </w:pPr>
            <w:r w:rsidRPr="009C1CDA">
              <w:rPr>
                <w:b/>
              </w:rPr>
              <w:t>Total # of Responses</w:t>
            </w:r>
          </w:p>
        </w:tc>
        <w:tc>
          <w:tcPr>
            <w:tcW w:w="655" w:type="pct"/>
            <w:tcBorders>
              <w:top w:val="single" w:color="auto" w:sz="4" w:space="0"/>
              <w:left w:val="single" w:color="auto" w:sz="4" w:space="0"/>
              <w:bottom w:val="single" w:color="auto" w:sz="4" w:space="0"/>
              <w:right w:val="single" w:color="auto" w:sz="4" w:space="0"/>
            </w:tcBorders>
            <w:shd w:val="clear" w:color="auto" w:fill="BFBFBF"/>
            <w:hideMark/>
          </w:tcPr>
          <w:p w:rsidRPr="009C1CDA" w:rsidR="000B09B4" w:rsidP="009C1CDA" w:rsidRDefault="000B09B4" w14:paraId="110736C5" w14:textId="1B19F6C5">
            <w:pPr>
              <w:widowControl w:val="0"/>
              <w:autoSpaceDE w:val="0"/>
              <w:autoSpaceDN w:val="0"/>
              <w:adjustRightInd w:val="0"/>
              <w:rPr>
                <w:b/>
              </w:rPr>
            </w:pPr>
            <w:r w:rsidRPr="009C1CDA">
              <w:rPr>
                <w:b/>
              </w:rPr>
              <w:t xml:space="preserve">Response Time </w:t>
            </w:r>
          </w:p>
        </w:tc>
        <w:tc>
          <w:tcPr>
            <w:tcW w:w="560" w:type="pct"/>
            <w:tcBorders>
              <w:top w:val="single" w:color="auto" w:sz="4" w:space="0"/>
              <w:left w:val="single" w:color="auto" w:sz="4" w:space="0"/>
              <w:bottom w:val="single" w:color="auto" w:sz="4" w:space="0"/>
              <w:right w:val="single" w:color="auto" w:sz="4" w:space="0"/>
            </w:tcBorders>
            <w:shd w:val="clear" w:color="auto" w:fill="BFBFBF"/>
            <w:hideMark/>
          </w:tcPr>
          <w:p w:rsidRPr="009C1CDA" w:rsidR="000B09B4" w:rsidP="009C1CDA" w:rsidRDefault="000B09B4" w14:paraId="5CCCE50D" w14:textId="306C676B">
            <w:pPr>
              <w:widowControl w:val="0"/>
              <w:autoSpaceDE w:val="0"/>
              <w:autoSpaceDN w:val="0"/>
              <w:adjustRightInd w:val="0"/>
              <w:rPr>
                <w:b/>
              </w:rPr>
            </w:pPr>
            <w:r w:rsidRPr="009C1CDA">
              <w:rPr>
                <w:b/>
              </w:rPr>
              <w:t>Total Burden (in hours)</w:t>
            </w:r>
          </w:p>
        </w:tc>
        <w:tc>
          <w:tcPr>
            <w:tcW w:w="607" w:type="pct"/>
            <w:tcBorders>
              <w:top w:val="single" w:color="auto" w:sz="4" w:space="0"/>
              <w:left w:val="single" w:color="auto" w:sz="4" w:space="0"/>
              <w:bottom w:val="single" w:color="auto" w:sz="4" w:space="0"/>
              <w:right w:val="single" w:color="auto" w:sz="4" w:space="0"/>
            </w:tcBorders>
            <w:shd w:val="clear" w:color="auto" w:fill="BFBFBF"/>
            <w:hideMark/>
          </w:tcPr>
          <w:p w:rsidRPr="009C1CDA" w:rsidR="000B09B4" w:rsidP="009C1CDA" w:rsidRDefault="000B09B4" w14:paraId="3B7C1A7C" w14:textId="77777777">
            <w:pPr>
              <w:widowControl w:val="0"/>
              <w:autoSpaceDE w:val="0"/>
              <w:autoSpaceDN w:val="0"/>
              <w:adjustRightInd w:val="0"/>
              <w:rPr>
                <w:b/>
              </w:rPr>
            </w:pPr>
            <w:r w:rsidRPr="009C1CDA">
              <w:rPr>
                <w:b/>
              </w:rPr>
              <w:t>Labor Cost</w:t>
            </w:r>
          </w:p>
        </w:tc>
      </w:tr>
      <w:tr w:rsidRPr="009C1CDA" w:rsidR="00E13C25" w:rsidTr="00E13C25" w14:paraId="27DF6D75" w14:textId="77777777">
        <w:trPr>
          <w:trHeight w:val="300"/>
          <w:jc w:val="center"/>
        </w:trPr>
        <w:tc>
          <w:tcPr>
            <w:tcW w:w="936" w:type="pct"/>
            <w:tcBorders>
              <w:top w:val="single" w:color="auto" w:sz="4" w:space="0"/>
              <w:left w:val="single" w:color="auto" w:sz="4" w:space="0"/>
              <w:bottom w:val="single" w:color="auto" w:sz="4" w:space="0"/>
              <w:right w:val="single" w:color="auto" w:sz="4" w:space="0"/>
            </w:tcBorders>
            <w:noWrap/>
            <w:hideMark/>
          </w:tcPr>
          <w:p w:rsidRPr="009C1CDA" w:rsidR="000B09B4" w:rsidP="00D11BAB" w:rsidRDefault="000B09B4" w14:paraId="0D1A2F46" w14:textId="77777777">
            <w:pPr>
              <w:widowControl w:val="0"/>
              <w:autoSpaceDE w:val="0"/>
              <w:autoSpaceDN w:val="0"/>
              <w:adjustRightInd w:val="0"/>
            </w:pPr>
            <w:r w:rsidRPr="009C1CDA">
              <w:t>Florida</w:t>
            </w:r>
          </w:p>
        </w:tc>
        <w:tc>
          <w:tcPr>
            <w:tcW w:w="794" w:type="pct"/>
            <w:tcBorders>
              <w:top w:val="single" w:color="auto" w:sz="4" w:space="0"/>
              <w:left w:val="single" w:color="auto" w:sz="4" w:space="0"/>
              <w:bottom w:val="single" w:color="auto" w:sz="4" w:space="0"/>
              <w:right w:val="single" w:color="auto" w:sz="4" w:space="0"/>
            </w:tcBorders>
            <w:noWrap/>
            <w:hideMark/>
          </w:tcPr>
          <w:p w:rsidRPr="009C1CDA" w:rsidR="000B09B4" w:rsidP="009C1CDA" w:rsidRDefault="000B09B4" w14:paraId="409445A1" w14:textId="77777777">
            <w:pPr>
              <w:widowControl w:val="0"/>
              <w:autoSpaceDE w:val="0"/>
              <w:autoSpaceDN w:val="0"/>
              <w:adjustRightInd w:val="0"/>
            </w:pPr>
            <w:r w:rsidRPr="009C1CDA">
              <w:t>2,</w:t>
            </w:r>
            <w:r w:rsidRPr="009C1CDA" w:rsidR="006A4BB1">
              <w:t>0</w:t>
            </w:r>
            <w:r w:rsidRPr="009C1CDA">
              <w:t>00</w:t>
            </w:r>
          </w:p>
        </w:tc>
        <w:tc>
          <w:tcPr>
            <w:tcW w:w="748" w:type="pct"/>
            <w:tcBorders>
              <w:top w:val="single" w:color="auto" w:sz="4" w:space="0"/>
              <w:left w:val="single" w:color="auto" w:sz="4" w:space="0"/>
              <w:bottom w:val="single" w:color="auto" w:sz="4" w:space="0"/>
              <w:right w:val="single" w:color="auto" w:sz="4" w:space="0"/>
            </w:tcBorders>
            <w:noWrap/>
            <w:hideMark/>
          </w:tcPr>
          <w:p w:rsidRPr="009C1CDA" w:rsidR="000B09B4" w:rsidP="009C1CDA" w:rsidRDefault="000B09B4" w14:paraId="134009FB" w14:textId="77777777">
            <w:pPr>
              <w:widowControl w:val="0"/>
              <w:autoSpaceDE w:val="0"/>
              <w:autoSpaceDN w:val="0"/>
              <w:adjustRightInd w:val="0"/>
            </w:pPr>
            <w:r w:rsidRPr="009C1CDA">
              <w:t>1</w:t>
            </w:r>
          </w:p>
        </w:tc>
        <w:tc>
          <w:tcPr>
            <w:tcW w:w="701" w:type="pct"/>
            <w:tcBorders>
              <w:top w:val="single" w:color="auto" w:sz="4" w:space="0"/>
              <w:left w:val="single" w:color="auto" w:sz="4" w:space="0"/>
              <w:bottom w:val="single" w:color="auto" w:sz="4" w:space="0"/>
              <w:right w:val="single" w:color="auto" w:sz="4" w:space="0"/>
            </w:tcBorders>
            <w:noWrap/>
            <w:hideMark/>
          </w:tcPr>
          <w:p w:rsidRPr="009C1CDA" w:rsidR="000B09B4" w:rsidP="009C1CDA" w:rsidRDefault="000B09B4" w14:paraId="1ACBA985" w14:textId="77777777">
            <w:pPr>
              <w:widowControl w:val="0"/>
              <w:autoSpaceDE w:val="0"/>
              <w:autoSpaceDN w:val="0"/>
              <w:adjustRightInd w:val="0"/>
            </w:pPr>
            <w:r w:rsidRPr="009C1CDA">
              <w:t>2,</w:t>
            </w:r>
            <w:r w:rsidRPr="009C1CDA" w:rsidR="006A4BB1">
              <w:t>0</w:t>
            </w:r>
            <w:r w:rsidRPr="009C1CDA">
              <w:t>00</w:t>
            </w:r>
          </w:p>
        </w:tc>
        <w:tc>
          <w:tcPr>
            <w:tcW w:w="655" w:type="pct"/>
            <w:tcBorders>
              <w:top w:val="single" w:color="auto" w:sz="4" w:space="0"/>
              <w:left w:val="single" w:color="auto" w:sz="4" w:space="0"/>
              <w:bottom w:val="single" w:color="auto" w:sz="4" w:space="0"/>
              <w:right w:val="single" w:color="auto" w:sz="4" w:space="0"/>
            </w:tcBorders>
            <w:noWrap/>
            <w:hideMark/>
          </w:tcPr>
          <w:p w:rsidRPr="009C1CDA" w:rsidR="000B09B4" w:rsidP="009C1CDA" w:rsidRDefault="000B09B4" w14:paraId="123303CC" w14:textId="77777777">
            <w:pPr>
              <w:widowControl w:val="0"/>
              <w:autoSpaceDE w:val="0"/>
              <w:autoSpaceDN w:val="0"/>
              <w:adjustRightInd w:val="0"/>
            </w:pPr>
            <w:r w:rsidRPr="009C1CDA">
              <w:t>2</w:t>
            </w:r>
            <w:r w:rsidRPr="009C1CDA" w:rsidR="006A4BB1">
              <w:t>0</w:t>
            </w:r>
            <w:r w:rsidRPr="009C1CDA">
              <w:t xml:space="preserve"> min.</w:t>
            </w:r>
          </w:p>
        </w:tc>
        <w:tc>
          <w:tcPr>
            <w:tcW w:w="560" w:type="pct"/>
            <w:tcBorders>
              <w:top w:val="single" w:color="auto" w:sz="4" w:space="0"/>
              <w:left w:val="single" w:color="auto" w:sz="4" w:space="0"/>
              <w:bottom w:val="single" w:color="auto" w:sz="4" w:space="0"/>
              <w:right w:val="single" w:color="auto" w:sz="4" w:space="0"/>
            </w:tcBorders>
            <w:noWrap/>
            <w:hideMark/>
          </w:tcPr>
          <w:p w:rsidRPr="009C1CDA" w:rsidR="000B09B4" w:rsidP="009C1CDA" w:rsidRDefault="006A4BB1" w14:paraId="4A257097" w14:textId="77777777">
            <w:pPr>
              <w:widowControl w:val="0"/>
              <w:autoSpaceDE w:val="0"/>
              <w:autoSpaceDN w:val="0"/>
              <w:adjustRightInd w:val="0"/>
            </w:pPr>
            <w:r w:rsidRPr="009C1CDA">
              <w:t>667</w:t>
            </w:r>
          </w:p>
        </w:tc>
        <w:tc>
          <w:tcPr>
            <w:tcW w:w="607" w:type="pct"/>
            <w:tcBorders>
              <w:top w:val="single" w:color="auto" w:sz="4" w:space="0"/>
              <w:left w:val="single" w:color="auto" w:sz="4" w:space="0"/>
              <w:bottom w:val="single" w:color="auto" w:sz="4" w:space="0"/>
              <w:right w:val="single" w:color="auto" w:sz="4" w:space="0"/>
            </w:tcBorders>
            <w:noWrap/>
            <w:hideMark/>
          </w:tcPr>
          <w:p w:rsidRPr="009C1CDA" w:rsidR="000B09B4" w:rsidP="00D11BAB" w:rsidRDefault="000B09B4" w14:paraId="195D35A3" w14:textId="77777777">
            <w:pPr>
              <w:widowControl w:val="0"/>
              <w:autoSpaceDE w:val="0"/>
              <w:autoSpaceDN w:val="0"/>
              <w:adjustRightInd w:val="0"/>
              <w:jc w:val="right"/>
            </w:pPr>
            <w:r w:rsidRPr="009C1CDA">
              <w:t>$</w:t>
            </w:r>
            <w:r w:rsidRPr="009C1CDA" w:rsidR="006A4BB1">
              <w:t>12650</w:t>
            </w:r>
          </w:p>
        </w:tc>
      </w:tr>
      <w:tr w:rsidRPr="009C1CDA" w:rsidR="00E13C25" w:rsidTr="00E13C25" w14:paraId="52767B00" w14:textId="77777777">
        <w:trPr>
          <w:trHeight w:val="300"/>
          <w:jc w:val="center"/>
        </w:trPr>
        <w:tc>
          <w:tcPr>
            <w:tcW w:w="936" w:type="pct"/>
            <w:tcBorders>
              <w:top w:val="single" w:color="auto" w:sz="4" w:space="0"/>
              <w:left w:val="single" w:color="auto" w:sz="4" w:space="0"/>
              <w:bottom w:val="single" w:color="auto" w:sz="4" w:space="0"/>
              <w:right w:val="single" w:color="auto" w:sz="4" w:space="0"/>
            </w:tcBorders>
            <w:noWrap/>
            <w:hideMark/>
          </w:tcPr>
          <w:p w:rsidRPr="009C1CDA" w:rsidR="000B09B4" w:rsidP="00D11BAB" w:rsidRDefault="000B09B4" w14:paraId="4176E0AB" w14:textId="77777777">
            <w:pPr>
              <w:widowControl w:val="0"/>
              <w:autoSpaceDE w:val="0"/>
              <w:autoSpaceDN w:val="0"/>
              <w:adjustRightInd w:val="0"/>
            </w:pPr>
            <w:r w:rsidRPr="009C1CDA">
              <w:t>Guam</w:t>
            </w:r>
          </w:p>
        </w:tc>
        <w:tc>
          <w:tcPr>
            <w:tcW w:w="794" w:type="pct"/>
            <w:tcBorders>
              <w:top w:val="single" w:color="auto" w:sz="4" w:space="0"/>
              <w:left w:val="single" w:color="auto" w:sz="4" w:space="0"/>
              <w:bottom w:val="single" w:color="auto" w:sz="4" w:space="0"/>
              <w:right w:val="single" w:color="auto" w:sz="4" w:space="0"/>
            </w:tcBorders>
            <w:noWrap/>
            <w:hideMark/>
          </w:tcPr>
          <w:p w:rsidRPr="009C1CDA" w:rsidR="000B09B4" w:rsidP="009C1CDA" w:rsidRDefault="000B09B4" w14:paraId="0895DEAF" w14:textId="77777777">
            <w:pPr>
              <w:widowControl w:val="0"/>
              <w:autoSpaceDE w:val="0"/>
              <w:autoSpaceDN w:val="0"/>
              <w:adjustRightInd w:val="0"/>
            </w:pPr>
            <w:r w:rsidRPr="009C1CDA">
              <w:t>71</w:t>
            </w:r>
            <w:r w:rsidRPr="009C1CDA" w:rsidR="006A4BB1">
              <w:t>2</w:t>
            </w:r>
          </w:p>
        </w:tc>
        <w:tc>
          <w:tcPr>
            <w:tcW w:w="748" w:type="pct"/>
            <w:tcBorders>
              <w:top w:val="single" w:color="auto" w:sz="4" w:space="0"/>
              <w:left w:val="single" w:color="auto" w:sz="4" w:space="0"/>
              <w:bottom w:val="single" w:color="auto" w:sz="4" w:space="0"/>
              <w:right w:val="single" w:color="auto" w:sz="4" w:space="0"/>
            </w:tcBorders>
            <w:noWrap/>
            <w:hideMark/>
          </w:tcPr>
          <w:p w:rsidRPr="009C1CDA" w:rsidR="000B09B4" w:rsidP="009C1CDA" w:rsidRDefault="000B09B4" w14:paraId="788C9BE3" w14:textId="77777777">
            <w:pPr>
              <w:widowControl w:val="0"/>
              <w:autoSpaceDE w:val="0"/>
              <w:autoSpaceDN w:val="0"/>
              <w:adjustRightInd w:val="0"/>
            </w:pPr>
            <w:r w:rsidRPr="009C1CDA">
              <w:t>1</w:t>
            </w:r>
          </w:p>
        </w:tc>
        <w:tc>
          <w:tcPr>
            <w:tcW w:w="701" w:type="pct"/>
            <w:tcBorders>
              <w:top w:val="single" w:color="auto" w:sz="4" w:space="0"/>
              <w:left w:val="single" w:color="auto" w:sz="4" w:space="0"/>
              <w:bottom w:val="single" w:color="auto" w:sz="4" w:space="0"/>
              <w:right w:val="single" w:color="auto" w:sz="4" w:space="0"/>
            </w:tcBorders>
            <w:noWrap/>
            <w:hideMark/>
          </w:tcPr>
          <w:p w:rsidRPr="009C1CDA" w:rsidR="000B09B4" w:rsidP="009C1CDA" w:rsidRDefault="000B09B4" w14:paraId="45455C22" w14:textId="77777777">
            <w:pPr>
              <w:widowControl w:val="0"/>
              <w:autoSpaceDE w:val="0"/>
              <w:autoSpaceDN w:val="0"/>
              <w:adjustRightInd w:val="0"/>
            </w:pPr>
            <w:r w:rsidRPr="009C1CDA">
              <w:t>71</w:t>
            </w:r>
            <w:r w:rsidRPr="009C1CDA" w:rsidR="006A4BB1">
              <w:t>2</w:t>
            </w:r>
          </w:p>
        </w:tc>
        <w:tc>
          <w:tcPr>
            <w:tcW w:w="655" w:type="pct"/>
            <w:tcBorders>
              <w:top w:val="single" w:color="auto" w:sz="4" w:space="0"/>
              <w:left w:val="single" w:color="auto" w:sz="4" w:space="0"/>
              <w:bottom w:val="single" w:color="auto" w:sz="4" w:space="0"/>
              <w:right w:val="single" w:color="auto" w:sz="4" w:space="0"/>
            </w:tcBorders>
            <w:noWrap/>
            <w:hideMark/>
          </w:tcPr>
          <w:p w:rsidRPr="009C1CDA" w:rsidR="000B09B4" w:rsidP="009C1CDA" w:rsidRDefault="000B09B4" w14:paraId="10EC6A2F" w14:textId="77777777">
            <w:pPr>
              <w:widowControl w:val="0"/>
              <w:autoSpaceDE w:val="0"/>
              <w:autoSpaceDN w:val="0"/>
              <w:adjustRightInd w:val="0"/>
            </w:pPr>
            <w:r w:rsidRPr="009C1CDA">
              <w:t>2</w:t>
            </w:r>
            <w:r w:rsidRPr="009C1CDA" w:rsidR="006A4BB1">
              <w:t>0</w:t>
            </w:r>
            <w:r w:rsidRPr="009C1CDA">
              <w:t xml:space="preserve"> min.</w:t>
            </w:r>
          </w:p>
        </w:tc>
        <w:tc>
          <w:tcPr>
            <w:tcW w:w="560" w:type="pct"/>
            <w:tcBorders>
              <w:top w:val="single" w:color="auto" w:sz="4" w:space="0"/>
              <w:left w:val="single" w:color="auto" w:sz="4" w:space="0"/>
              <w:bottom w:val="single" w:color="auto" w:sz="4" w:space="0"/>
              <w:right w:val="single" w:color="auto" w:sz="4" w:space="0"/>
            </w:tcBorders>
            <w:noWrap/>
            <w:hideMark/>
          </w:tcPr>
          <w:p w:rsidRPr="009C1CDA" w:rsidR="000B09B4" w:rsidP="009C1CDA" w:rsidRDefault="000B09B4" w14:paraId="58B23AC8" w14:textId="77777777">
            <w:pPr>
              <w:widowControl w:val="0"/>
              <w:autoSpaceDE w:val="0"/>
              <w:autoSpaceDN w:val="0"/>
              <w:adjustRightInd w:val="0"/>
            </w:pPr>
            <w:r w:rsidRPr="009C1CDA">
              <w:t>2</w:t>
            </w:r>
            <w:r w:rsidRPr="009C1CDA" w:rsidR="006A4BB1">
              <w:t>37</w:t>
            </w:r>
          </w:p>
        </w:tc>
        <w:tc>
          <w:tcPr>
            <w:tcW w:w="607" w:type="pct"/>
            <w:tcBorders>
              <w:top w:val="single" w:color="auto" w:sz="4" w:space="0"/>
              <w:left w:val="single" w:color="auto" w:sz="4" w:space="0"/>
              <w:bottom w:val="single" w:color="auto" w:sz="4" w:space="0"/>
              <w:right w:val="single" w:color="auto" w:sz="4" w:space="0"/>
            </w:tcBorders>
            <w:noWrap/>
            <w:hideMark/>
          </w:tcPr>
          <w:p w:rsidRPr="009C1CDA" w:rsidR="000B09B4" w:rsidP="00D11BAB" w:rsidRDefault="000B09B4" w14:paraId="4885DCDA" w14:textId="77777777">
            <w:pPr>
              <w:widowControl w:val="0"/>
              <w:autoSpaceDE w:val="0"/>
              <w:autoSpaceDN w:val="0"/>
              <w:adjustRightInd w:val="0"/>
              <w:jc w:val="right"/>
            </w:pPr>
            <w:r w:rsidRPr="009C1CDA">
              <w:t>$</w:t>
            </w:r>
            <w:r w:rsidRPr="009C1CDA" w:rsidR="006A4BB1">
              <w:t>3</w:t>
            </w:r>
            <w:r w:rsidRPr="009C1CDA">
              <w:t>,2</w:t>
            </w:r>
            <w:r w:rsidRPr="009C1CDA" w:rsidR="006A4BB1">
              <w:t>94</w:t>
            </w:r>
          </w:p>
        </w:tc>
      </w:tr>
      <w:tr w:rsidRPr="009C1CDA" w:rsidR="00E13C25" w:rsidTr="00E13C25" w14:paraId="454BD632" w14:textId="77777777">
        <w:trPr>
          <w:trHeight w:val="300"/>
          <w:jc w:val="center"/>
        </w:trPr>
        <w:tc>
          <w:tcPr>
            <w:tcW w:w="936" w:type="pct"/>
            <w:tcBorders>
              <w:top w:val="single" w:color="auto" w:sz="4" w:space="0"/>
              <w:left w:val="single" w:color="auto" w:sz="4" w:space="0"/>
              <w:bottom w:val="single" w:color="auto" w:sz="4" w:space="0"/>
              <w:right w:val="single" w:color="auto" w:sz="4" w:space="0"/>
            </w:tcBorders>
            <w:noWrap/>
            <w:hideMark/>
          </w:tcPr>
          <w:p w:rsidRPr="009C1CDA" w:rsidR="000B09B4" w:rsidP="00D11BAB" w:rsidRDefault="000B09B4" w14:paraId="265986BE" w14:textId="77777777">
            <w:pPr>
              <w:widowControl w:val="0"/>
              <w:autoSpaceDE w:val="0"/>
              <w:autoSpaceDN w:val="0"/>
              <w:adjustRightInd w:val="0"/>
            </w:pPr>
            <w:r w:rsidRPr="009C1CDA">
              <w:t>Hawaii</w:t>
            </w:r>
          </w:p>
        </w:tc>
        <w:tc>
          <w:tcPr>
            <w:tcW w:w="794" w:type="pct"/>
            <w:tcBorders>
              <w:top w:val="single" w:color="auto" w:sz="4" w:space="0"/>
              <w:left w:val="single" w:color="auto" w:sz="4" w:space="0"/>
              <w:bottom w:val="single" w:color="auto" w:sz="4" w:space="0"/>
              <w:right w:val="single" w:color="auto" w:sz="4" w:space="0"/>
            </w:tcBorders>
            <w:noWrap/>
            <w:hideMark/>
          </w:tcPr>
          <w:p w:rsidRPr="009C1CDA" w:rsidR="000B09B4" w:rsidP="009C1CDA" w:rsidRDefault="006A4BB1" w14:paraId="5392F566" w14:textId="77777777">
            <w:pPr>
              <w:widowControl w:val="0"/>
              <w:autoSpaceDE w:val="0"/>
              <w:autoSpaceDN w:val="0"/>
              <w:adjustRightInd w:val="0"/>
            </w:pPr>
            <w:r w:rsidRPr="009C1CDA">
              <w:t>1,700</w:t>
            </w:r>
          </w:p>
        </w:tc>
        <w:tc>
          <w:tcPr>
            <w:tcW w:w="748" w:type="pct"/>
            <w:tcBorders>
              <w:top w:val="single" w:color="auto" w:sz="4" w:space="0"/>
              <w:left w:val="single" w:color="auto" w:sz="4" w:space="0"/>
              <w:bottom w:val="single" w:color="auto" w:sz="4" w:space="0"/>
              <w:right w:val="single" w:color="auto" w:sz="4" w:space="0"/>
            </w:tcBorders>
            <w:noWrap/>
            <w:hideMark/>
          </w:tcPr>
          <w:p w:rsidRPr="009C1CDA" w:rsidR="000B09B4" w:rsidP="009C1CDA" w:rsidRDefault="000B09B4" w14:paraId="47DD23BE" w14:textId="77777777">
            <w:pPr>
              <w:widowControl w:val="0"/>
              <w:autoSpaceDE w:val="0"/>
              <w:autoSpaceDN w:val="0"/>
              <w:adjustRightInd w:val="0"/>
            </w:pPr>
            <w:r w:rsidRPr="009C1CDA">
              <w:t>1</w:t>
            </w:r>
          </w:p>
        </w:tc>
        <w:tc>
          <w:tcPr>
            <w:tcW w:w="701" w:type="pct"/>
            <w:tcBorders>
              <w:top w:val="single" w:color="auto" w:sz="4" w:space="0"/>
              <w:left w:val="single" w:color="auto" w:sz="4" w:space="0"/>
              <w:bottom w:val="single" w:color="auto" w:sz="4" w:space="0"/>
              <w:right w:val="single" w:color="auto" w:sz="4" w:space="0"/>
            </w:tcBorders>
            <w:noWrap/>
            <w:hideMark/>
          </w:tcPr>
          <w:p w:rsidRPr="009C1CDA" w:rsidR="000B09B4" w:rsidP="009C1CDA" w:rsidRDefault="006A4BB1" w14:paraId="09B11A20" w14:textId="77777777">
            <w:pPr>
              <w:widowControl w:val="0"/>
              <w:autoSpaceDE w:val="0"/>
              <w:autoSpaceDN w:val="0"/>
              <w:adjustRightInd w:val="0"/>
            </w:pPr>
            <w:r w:rsidRPr="009C1CDA">
              <w:t>1</w:t>
            </w:r>
            <w:r w:rsidRPr="009C1CDA" w:rsidR="000B09B4">
              <w:t>,</w:t>
            </w:r>
            <w:r w:rsidRPr="009C1CDA">
              <w:t>700</w:t>
            </w:r>
          </w:p>
        </w:tc>
        <w:tc>
          <w:tcPr>
            <w:tcW w:w="655" w:type="pct"/>
            <w:tcBorders>
              <w:top w:val="single" w:color="auto" w:sz="4" w:space="0"/>
              <w:left w:val="single" w:color="auto" w:sz="4" w:space="0"/>
              <w:bottom w:val="single" w:color="auto" w:sz="4" w:space="0"/>
              <w:right w:val="single" w:color="auto" w:sz="4" w:space="0"/>
            </w:tcBorders>
            <w:noWrap/>
            <w:hideMark/>
          </w:tcPr>
          <w:p w:rsidRPr="009C1CDA" w:rsidR="000B09B4" w:rsidP="009C1CDA" w:rsidRDefault="000B09B4" w14:paraId="6A43F8E4" w14:textId="77777777">
            <w:pPr>
              <w:widowControl w:val="0"/>
              <w:autoSpaceDE w:val="0"/>
              <w:autoSpaceDN w:val="0"/>
              <w:adjustRightInd w:val="0"/>
            </w:pPr>
            <w:r w:rsidRPr="009C1CDA">
              <w:t>2</w:t>
            </w:r>
            <w:r w:rsidRPr="009C1CDA" w:rsidR="006A4BB1">
              <w:t>0</w:t>
            </w:r>
            <w:r w:rsidRPr="009C1CDA">
              <w:t xml:space="preserve"> min.</w:t>
            </w:r>
          </w:p>
        </w:tc>
        <w:tc>
          <w:tcPr>
            <w:tcW w:w="560" w:type="pct"/>
            <w:tcBorders>
              <w:top w:val="single" w:color="auto" w:sz="4" w:space="0"/>
              <w:left w:val="single" w:color="auto" w:sz="4" w:space="0"/>
              <w:bottom w:val="single" w:color="auto" w:sz="4" w:space="0"/>
              <w:right w:val="single" w:color="auto" w:sz="4" w:space="0"/>
            </w:tcBorders>
            <w:noWrap/>
            <w:hideMark/>
          </w:tcPr>
          <w:p w:rsidRPr="009C1CDA" w:rsidR="000B09B4" w:rsidP="009C1CDA" w:rsidRDefault="006A4BB1" w14:paraId="4CB036AB" w14:textId="77777777">
            <w:pPr>
              <w:widowControl w:val="0"/>
              <w:autoSpaceDE w:val="0"/>
              <w:autoSpaceDN w:val="0"/>
              <w:adjustRightInd w:val="0"/>
            </w:pPr>
            <w:r w:rsidRPr="009C1CDA">
              <w:t>567</w:t>
            </w:r>
          </w:p>
        </w:tc>
        <w:tc>
          <w:tcPr>
            <w:tcW w:w="607" w:type="pct"/>
            <w:tcBorders>
              <w:top w:val="single" w:color="auto" w:sz="4" w:space="0"/>
              <w:left w:val="single" w:color="auto" w:sz="4" w:space="0"/>
              <w:bottom w:val="single" w:color="auto" w:sz="4" w:space="0"/>
              <w:right w:val="single" w:color="auto" w:sz="4" w:space="0"/>
            </w:tcBorders>
            <w:noWrap/>
            <w:hideMark/>
          </w:tcPr>
          <w:p w:rsidRPr="009C1CDA" w:rsidR="000B09B4" w:rsidP="00D11BAB" w:rsidRDefault="000B09B4" w14:paraId="1F2E10EB" w14:textId="77777777">
            <w:pPr>
              <w:widowControl w:val="0"/>
              <w:autoSpaceDE w:val="0"/>
              <w:autoSpaceDN w:val="0"/>
              <w:adjustRightInd w:val="0"/>
              <w:jc w:val="right"/>
            </w:pPr>
            <w:r w:rsidRPr="009C1CDA">
              <w:t>$1</w:t>
            </w:r>
            <w:r w:rsidRPr="009C1CDA" w:rsidR="006A4BB1">
              <w:t>1</w:t>
            </w:r>
            <w:r w:rsidRPr="009C1CDA">
              <w:t>,</w:t>
            </w:r>
            <w:r w:rsidRPr="009C1CDA" w:rsidR="006A4BB1">
              <w:t>65</w:t>
            </w:r>
            <w:r w:rsidRPr="009C1CDA">
              <w:t>1</w:t>
            </w:r>
          </w:p>
        </w:tc>
      </w:tr>
      <w:tr w:rsidRPr="009C1CDA" w:rsidR="00E13C25" w:rsidTr="00E13C25" w14:paraId="613CC2EB" w14:textId="77777777">
        <w:trPr>
          <w:trHeight w:val="300"/>
          <w:jc w:val="center"/>
        </w:trPr>
        <w:tc>
          <w:tcPr>
            <w:tcW w:w="936" w:type="pct"/>
            <w:tcBorders>
              <w:top w:val="single" w:color="auto" w:sz="4" w:space="0"/>
              <w:left w:val="single" w:color="auto" w:sz="4" w:space="0"/>
              <w:bottom w:val="single" w:color="auto" w:sz="4" w:space="0"/>
              <w:right w:val="single" w:color="auto" w:sz="4" w:space="0"/>
            </w:tcBorders>
            <w:noWrap/>
            <w:hideMark/>
          </w:tcPr>
          <w:p w:rsidRPr="009C1CDA" w:rsidR="000B09B4" w:rsidP="00D11BAB" w:rsidRDefault="000B09B4" w14:paraId="0965194E" w14:textId="77777777">
            <w:pPr>
              <w:widowControl w:val="0"/>
              <w:autoSpaceDE w:val="0"/>
              <w:autoSpaceDN w:val="0"/>
              <w:adjustRightInd w:val="0"/>
            </w:pPr>
            <w:r w:rsidRPr="009C1CDA">
              <w:t>American Samoa</w:t>
            </w:r>
          </w:p>
        </w:tc>
        <w:tc>
          <w:tcPr>
            <w:tcW w:w="794" w:type="pct"/>
            <w:tcBorders>
              <w:top w:val="single" w:color="auto" w:sz="4" w:space="0"/>
              <w:left w:val="single" w:color="auto" w:sz="4" w:space="0"/>
              <w:bottom w:val="single" w:color="auto" w:sz="4" w:space="0"/>
              <w:right w:val="single" w:color="auto" w:sz="4" w:space="0"/>
            </w:tcBorders>
            <w:noWrap/>
            <w:hideMark/>
          </w:tcPr>
          <w:p w:rsidRPr="009C1CDA" w:rsidR="000B09B4" w:rsidP="009C1CDA" w:rsidRDefault="006A4BB1" w14:paraId="06887059" w14:textId="77777777">
            <w:pPr>
              <w:widowControl w:val="0"/>
              <w:autoSpaceDE w:val="0"/>
              <w:autoSpaceDN w:val="0"/>
              <w:adjustRightInd w:val="0"/>
              <w:rPr>
                <w:highlight w:val="yellow"/>
              </w:rPr>
            </w:pPr>
            <w:r w:rsidRPr="009C1CDA">
              <w:rPr>
                <w:highlight w:val="yellow"/>
              </w:rPr>
              <w:t>652</w:t>
            </w:r>
          </w:p>
        </w:tc>
        <w:tc>
          <w:tcPr>
            <w:tcW w:w="748" w:type="pct"/>
            <w:tcBorders>
              <w:top w:val="single" w:color="auto" w:sz="4" w:space="0"/>
              <w:left w:val="single" w:color="auto" w:sz="4" w:space="0"/>
              <w:bottom w:val="single" w:color="auto" w:sz="4" w:space="0"/>
              <w:right w:val="single" w:color="auto" w:sz="4" w:space="0"/>
            </w:tcBorders>
            <w:noWrap/>
            <w:hideMark/>
          </w:tcPr>
          <w:p w:rsidRPr="009C1CDA" w:rsidR="000B09B4" w:rsidP="009C1CDA" w:rsidRDefault="000B09B4" w14:paraId="3B4AC3D9" w14:textId="77777777">
            <w:pPr>
              <w:widowControl w:val="0"/>
              <w:autoSpaceDE w:val="0"/>
              <w:autoSpaceDN w:val="0"/>
              <w:adjustRightInd w:val="0"/>
              <w:rPr>
                <w:highlight w:val="yellow"/>
              </w:rPr>
            </w:pPr>
            <w:r w:rsidRPr="009C1CDA">
              <w:rPr>
                <w:highlight w:val="yellow"/>
              </w:rPr>
              <w:t>1</w:t>
            </w:r>
          </w:p>
        </w:tc>
        <w:tc>
          <w:tcPr>
            <w:tcW w:w="701" w:type="pct"/>
            <w:tcBorders>
              <w:top w:val="single" w:color="auto" w:sz="4" w:space="0"/>
              <w:left w:val="single" w:color="auto" w:sz="4" w:space="0"/>
              <w:bottom w:val="single" w:color="auto" w:sz="4" w:space="0"/>
              <w:right w:val="single" w:color="auto" w:sz="4" w:space="0"/>
            </w:tcBorders>
            <w:noWrap/>
            <w:hideMark/>
          </w:tcPr>
          <w:p w:rsidRPr="009C1CDA" w:rsidR="000B09B4" w:rsidP="009C1CDA" w:rsidRDefault="006A4BB1" w14:paraId="3E483A8B" w14:textId="77777777">
            <w:pPr>
              <w:widowControl w:val="0"/>
              <w:autoSpaceDE w:val="0"/>
              <w:autoSpaceDN w:val="0"/>
              <w:adjustRightInd w:val="0"/>
              <w:rPr>
                <w:highlight w:val="yellow"/>
              </w:rPr>
            </w:pPr>
            <w:r w:rsidRPr="009C1CDA">
              <w:rPr>
                <w:highlight w:val="yellow"/>
              </w:rPr>
              <w:t>652</w:t>
            </w:r>
          </w:p>
        </w:tc>
        <w:tc>
          <w:tcPr>
            <w:tcW w:w="655" w:type="pct"/>
            <w:tcBorders>
              <w:top w:val="single" w:color="auto" w:sz="4" w:space="0"/>
              <w:left w:val="single" w:color="auto" w:sz="4" w:space="0"/>
              <w:bottom w:val="single" w:color="auto" w:sz="4" w:space="0"/>
              <w:right w:val="single" w:color="auto" w:sz="4" w:space="0"/>
            </w:tcBorders>
            <w:noWrap/>
            <w:hideMark/>
          </w:tcPr>
          <w:p w:rsidRPr="009C1CDA" w:rsidR="000B09B4" w:rsidP="009C1CDA" w:rsidRDefault="000B09B4" w14:paraId="73FAB0BF" w14:textId="77777777">
            <w:pPr>
              <w:widowControl w:val="0"/>
              <w:autoSpaceDE w:val="0"/>
              <w:autoSpaceDN w:val="0"/>
              <w:adjustRightInd w:val="0"/>
              <w:rPr>
                <w:highlight w:val="yellow"/>
              </w:rPr>
            </w:pPr>
            <w:r w:rsidRPr="009C1CDA">
              <w:rPr>
                <w:highlight w:val="yellow"/>
              </w:rPr>
              <w:t>25 min.</w:t>
            </w:r>
          </w:p>
        </w:tc>
        <w:tc>
          <w:tcPr>
            <w:tcW w:w="560" w:type="pct"/>
            <w:tcBorders>
              <w:top w:val="single" w:color="auto" w:sz="4" w:space="0"/>
              <w:left w:val="single" w:color="auto" w:sz="4" w:space="0"/>
              <w:bottom w:val="single" w:color="auto" w:sz="4" w:space="0"/>
              <w:right w:val="single" w:color="auto" w:sz="4" w:space="0"/>
            </w:tcBorders>
            <w:noWrap/>
            <w:hideMark/>
          </w:tcPr>
          <w:p w:rsidRPr="009C1CDA" w:rsidR="000B09B4" w:rsidP="009C1CDA" w:rsidRDefault="006A4BB1" w14:paraId="735B8FD0" w14:textId="77777777">
            <w:pPr>
              <w:widowControl w:val="0"/>
              <w:autoSpaceDE w:val="0"/>
              <w:autoSpaceDN w:val="0"/>
              <w:adjustRightInd w:val="0"/>
              <w:rPr>
                <w:highlight w:val="yellow"/>
              </w:rPr>
            </w:pPr>
            <w:r w:rsidRPr="009C1CDA">
              <w:rPr>
                <w:highlight w:val="yellow"/>
              </w:rPr>
              <w:t>272</w:t>
            </w:r>
          </w:p>
        </w:tc>
        <w:tc>
          <w:tcPr>
            <w:tcW w:w="607" w:type="pct"/>
            <w:tcBorders>
              <w:top w:val="single" w:color="auto" w:sz="4" w:space="0"/>
              <w:left w:val="single" w:color="auto" w:sz="4" w:space="0"/>
              <w:bottom w:val="single" w:color="auto" w:sz="4" w:space="0"/>
              <w:right w:val="single" w:color="auto" w:sz="4" w:space="0"/>
            </w:tcBorders>
            <w:noWrap/>
            <w:hideMark/>
          </w:tcPr>
          <w:p w:rsidRPr="009C1CDA" w:rsidR="000B09B4" w:rsidP="00D11BAB" w:rsidRDefault="000B09B4" w14:paraId="1AA9054B" w14:textId="77777777">
            <w:pPr>
              <w:widowControl w:val="0"/>
              <w:autoSpaceDE w:val="0"/>
              <w:autoSpaceDN w:val="0"/>
              <w:adjustRightInd w:val="0"/>
              <w:jc w:val="right"/>
              <w:rPr>
                <w:highlight w:val="yellow"/>
              </w:rPr>
            </w:pPr>
            <w:r w:rsidRPr="009C1CDA">
              <w:rPr>
                <w:highlight w:val="yellow"/>
              </w:rPr>
              <w:t>$</w:t>
            </w:r>
            <w:r w:rsidRPr="009C1CDA" w:rsidR="006A4BB1">
              <w:rPr>
                <w:highlight w:val="yellow"/>
              </w:rPr>
              <w:t>4</w:t>
            </w:r>
            <w:r w:rsidRPr="009C1CDA">
              <w:rPr>
                <w:highlight w:val="yellow"/>
              </w:rPr>
              <w:t>,</w:t>
            </w:r>
            <w:r w:rsidRPr="009C1CDA" w:rsidR="006A4BB1">
              <w:rPr>
                <w:highlight w:val="yellow"/>
              </w:rPr>
              <w:t>527</w:t>
            </w:r>
          </w:p>
        </w:tc>
      </w:tr>
      <w:tr w:rsidRPr="009C1CDA" w:rsidR="00E13C25" w:rsidTr="00E13C25" w14:paraId="673A5171" w14:textId="77777777">
        <w:trPr>
          <w:trHeight w:val="300"/>
          <w:jc w:val="center"/>
        </w:trPr>
        <w:tc>
          <w:tcPr>
            <w:tcW w:w="936" w:type="pct"/>
            <w:tcBorders>
              <w:top w:val="single" w:color="auto" w:sz="4" w:space="0"/>
              <w:left w:val="single" w:color="auto" w:sz="4" w:space="0"/>
              <w:bottom w:val="single" w:color="auto" w:sz="4" w:space="0"/>
              <w:right w:val="single" w:color="auto" w:sz="4" w:space="0"/>
            </w:tcBorders>
            <w:noWrap/>
            <w:hideMark/>
          </w:tcPr>
          <w:p w:rsidRPr="009C1CDA" w:rsidR="000B09B4" w:rsidP="00D11BAB" w:rsidRDefault="000B09B4" w14:paraId="730EA5CF" w14:textId="77777777">
            <w:pPr>
              <w:widowControl w:val="0"/>
              <w:autoSpaceDE w:val="0"/>
              <w:autoSpaceDN w:val="0"/>
              <w:adjustRightInd w:val="0"/>
            </w:pPr>
            <w:r w:rsidRPr="009C1CDA">
              <w:t>Puerto Rico</w:t>
            </w:r>
          </w:p>
        </w:tc>
        <w:tc>
          <w:tcPr>
            <w:tcW w:w="794" w:type="pct"/>
            <w:tcBorders>
              <w:top w:val="single" w:color="auto" w:sz="4" w:space="0"/>
              <w:left w:val="single" w:color="auto" w:sz="4" w:space="0"/>
              <w:bottom w:val="single" w:color="auto" w:sz="4" w:space="0"/>
              <w:right w:val="single" w:color="auto" w:sz="4" w:space="0"/>
            </w:tcBorders>
            <w:noWrap/>
            <w:hideMark/>
          </w:tcPr>
          <w:p w:rsidRPr="009C1CDA" w:rsidR="000B09B4" w:rsidP="009C1CDA" w:rsidRDefault="006A4BB1" w14:paraId="13FBDA62" w14:textId="77777777">
            <w:pPr>
              <w:widowControl w:val="0"/>
              <w:autoSpaceDE w:val="0"/>
              <w:autoSpaceDN w:val="0"/>
              <w:adjustRightInd w:val="0"/>
            </w:pPr>
            <w:r w:rsidRPr="009C1CDA">
              <w:t>3</w:t>
            </w:r>
            <w:r w:rsidRPr="009C1CDA" w:rsidR="000B09B4">
              <w:t>,500</w:t>
            </w:r>
          </w:p>
        </w:tc>
        <w:tc>
          <w:tcPr>
            <w:tcW w:w="748" w:type="pct"/>
            <w:tcBorders>
              <w:top w:val="single" w:color="auto" w:sz="4" w:space="0"/>
              <w:left w:val="single" w:color="auto" w:sz="4" w:space="0"/>
              <w:bottom w:val="single" w:color="auto" w:sz="4" w:space="0"/>
              <w:right w:val="single" w:color="auto" w:sz="4" w:space="0"/>
            </w:tcBorders>
            <w:noWrap/>
            <w:hideMark/>
          </w:tcPr>
          <w:p w:rsidRPr="009C1CDA" w:rsidR="000B09B4" w:rsidP="009C1CDA" w:rsidRDefault="000B09B4" w14:paraId="3FF58F88" w14:textId="77777777">
            <w:pPr>
              <w:widowControl w:val="0"/>
              <w:autoSpaceDE w:val="0"/>
              <w:autoSpaceDN w:val="0"/>
              <w:adjustRightInd w:val="0"/>
            </w:pPr>
            <w:r w:rsidRPr="009C1CDA">
              <w:t>1</w:t>
            </w:r>
          </w:p>
        </w:tc>
        <w:tc>
          <w:tcPr>
            <w:tcW w:w="701" w:type="pct"/>
            <w:tcBorders>
              <w:top w:val="single" w:color="auto" w:sz="4" w:space="0"/>
              <w:left w:val="single" w:color="auto" w:sz="4" w:space="0"/>
              <w:bottom w:val="single" w:color="auto" w:sz="4" w:space="0"/>
              <w:right w:val="single" w:color="auto" w:sz="4" w:space="0"/>
            </w:tcBorders>
            <w:noWrap/>
            <w:hideMark/>
          </w:tcPr>
          <w:p w:rsidRPr="009C1CDA" w:rsidR="000B09B4" w:rsidP="009C1CDA" w:rsidRDefault="006A4BB1" w14:paraId="4A903B82" w14:textId="77777777">
            <w:pPr>
              <w:widowControl w:val="0"/>
              <w:autoSpaceDE w:val="0"/>
              <w:autoSpaceDN w:val="0"/>
              <w:adjustRightInd w:val="0"/>
            </w:pPr>
            <w:r w:rsidRPr="009C1CDA">
              <w:t>3</w:t>
            </w:r>
            <w:r w:rsidRPr="009C1CDA" w:rsidR="000B09B4">
              <w:t>,500</w:t>
            </w:r>
          </w:p>
        </w:tc>
        <w:tc>
          <w:tcPr>
            <w:tcW w:w="655" w:type="pct"/>
            <w:tcBorders>
              <w:top w:val="single" w:color="auto" w:sz="4" w:space="0"/>
              <w:left w:val="single" w:color="auto" w:sz="4" w:space="0"/>
              <w:bottom w:val="single" w:color="auto" w:sz="4" w:space="0"/>
              <w:right w:val="single" w:color="auto" w:sz="4" w:space="0"/>
            </w:tcBorders>
            <w:noWrap/>
            <w:hideMark/>
          </w:tcPr>
          <w:p w:rsidRPr="009C1CDA" w:rsidR="000B09B4" w:rsidP="009C1CDA" w:rsidRDefault="000B09B4" w14:paraId="1A47C1AC" w14:textId="77777777">
            <w:pPr>
              <w:widowControl w:val="0"/>
              <w:autoSpaceDE w:val="0"/>
              <w:autoSpaceDN w:val="0"/>
              <w:adjustRightInd w:val="0"/>
            </w:pPr>
            <w:r w:rsidRPr="009C1CDA">
              <w:t>2</w:t>
            </w:r>
            <w:r w:rsidRPr="009C1CDA" w:rsidR="006A4BB1">
              <w:t>0</w:t>
            </w:r>
            <w:r w:rsidRPr="009C1CDA">
              <w:t xml:space="preserve"> min.</w:t>
            </w:r>
          </w:p>
        </w:tc>
        <w:tc>
          <w:tcPr>
            <w:tcW w:w="560" w:type="pct"/>
            <w:tcBorders>
              <w:top w:val="single" w:color="auto" w:sz="4" w:space="0"/>
              <w:left w:val="single" w:color="auto" w:sz="4" w:space="0"/>
              <w:bottom w:val="single" w:color="auto" w:sz="4" w:space="0"/>
              <w:right w:val="single" w:color="auto" w:sz="4" w:space="0"/>
            </w:tcBorders>
            <w:noWrap/>
            <w:hideMark/>
          </w:tcPr>
          <w:p w:rsidRPr="009C1CDA" w:rsidR="000B09B4" w:rsidP="009C1CDA" w:rsidRDefault="000B09B4" w14:paraId="4DDD95FC" w14:textId="77777777">
            <w:pPr>
              <w:widowControl w:val="0"/>
              <w:autoSpaceDE w:val="0"/>
              <w:autoSpaceDN w:val="0"/>
              <w:adjustRightInd w:val="0"/>
            </w:pPr>
            <w:r w:rsidRPr="009C1CDA">
              <w:t>1,</w:t>
            </w:r>
            <w:r w:rsidRPr="009C1CDA" w:rsidR="006A4BB1">
              <w:t>167</w:t>
            </w:r>
          </w:p>
        </w:tc>
        <w:tc>
          <w:tcPr>
            <w:tcW w:w="607" w:type="pct"/>
            <w:tcBorders>
              <w:top w:val="single" w:color="auto" w:sz="4" w:space="0"/>
              <w:left w:val="single" w:color="auto" w:sz="4" w:space="0"/>
              <w:bottom w:val="single" w:color="auto" w:sz="4" w:space="0"/>
              <w:right w:val="single" w:color="auto" w:sz="4" w:space="0"/>
            </w:tcBorders>
            <w:noWrap/>
            <w:hideMark/>
          </w:tcPr>
          <w:p w:rsidRPr="009C1CDA" w:rsidR="000B09B4" w:rsidP="00D11BAB" w:rsidRDefault="000B09B4" w14:paraId="48CFCEB8" w14:textId="77777777">
            <w:pPr>
              <w:widowControl w:val="0"/>
              <w:autoSpaceDE w:val="0"/>
              <w:autoSpaceDN w:val="0"/>
              <w:adjustRightInd w:val="0"/>
              <w:jc w:val="right"/>
            </w:pPr>
            <w:r w:rsidRPr="009C1CDA">
              <w:t>$1</w:t>
            </w:r>
            <w:r w:rsidRPr="009C1CDA" w:rsidR="006A4BB1">
              <w:t>4</w:t>
            </w:r>
            <w:r w:rsidRPr="009C1CDA">
              <w:t>,</w:t>
            </w:r>
            <w:r w:rsidRPr="009C1CDA" w:rsidR="006A4BB1">
              <w:t>058</w:t>
            </w:r>
          </w:p>
        </w:tc>
      </w:tr>
      <w:tr w:rsidRPr="009C1CDA" w:rsidR="00E13C25" w:rsidTr="00E13C25" w14:paraId="27E70A07" w14:textId="77777777">
        <w:trPr>
          <w:trHeight w:val="300"/>
          <w:jc w:val="center"/>
        </w:trPr>
        <w:tc>
          <w:tcPr>
            <w:tcW w:w="936" w:type="pct"/>
            <w:tcBorders>
              <w:top w:val="single" w:color="auto" w:sz="4" w:space="0"/>
              <w:left w:val="single" w:color="auto" w:sz="4" w:space="0"/>
              <w:bottom w:val="single" w:color="auto" w:sz="4" w:space="0"/>
              <w:right w:val="single" w:color="auto" w:sz="4" w:space="0"/>
            </w:tcBorders>
            <w:noWrap/>
            <w:hideMark/>
          </w:tcPr>
          <w:p w:rsidRPr="009C1CDA" w:rsidR="000B09B4" w:rsidP="00D11BAB" w:rsidRDefault="000B09B4" w14:paraId="43534BC5" w14:textId="77777777">
            <w:pPr>
              <w:widowControl w:val="0"/>
              <w:autoSpaceDE w:val="0"/>
              <w:autoSpaceDN w:val="0"/>
              <w:adjustRightInd w:val="0"/>
            </w:pPr>
            <w:r w:rsidRPr="009C1CDA">
              <w:t>Commonwealth of Northern Marianas Islands</w:t>
            </w:r>
          </w:p>
        </w:tc>
        <w:tc>
          <w:tcPr>
            <w:tcW w:w="794" w:type="pct"/>
            <w:tcBorders>
              <w:top w:val="single" w:color="auto" w:sz="4" w:space="0"/>
              <w:left w:val="single" w:color="auto" w:sz="4" w:space="0"/>
              <w:bottom w:val="single" w:color="auto" w:sz="4" w:space="0"/>
              <w:right w:val="single" w:color="auto" w:sz="4" w:space="0"/>
            </w:tcBorders>
            <w:noWrap/>
            <w:hideMark/>
          </w:tcPr>
          <w:p w:rsidRPr="009C1CDA" w:rsidR="000B09B4" w:rsidP="009C1CDA" w:rsidRDefault="006A4BB1" w14:paraId="6D8E97BC" w14:textId="77777777">
            <w:pPr>
              <w:widowControl w:val="0"/>
              <w:autoSpaceDE w:val="0"/>
              <w:autoSpaceDN w:val="0"/>
              <w:adjustRightInd w:val="0"/>
            </w:pPr>
            <w:r w:rsidRPr="009C1CDA">
              <w:t>900</w:t>
            </w:r>
          </w:p>
        </w:tc>
        <w:tc>
          <w:tcPr>
            <w:tcW w:w="748" w:type="pct"/>
            <w:tcBorders>
              <w:top w:val="single" w:color="auto" w:sz="4" w:space="0"/>
              <w:left w:val="single" w:color="auto" w:sz="4" w:space="0"/>
              <w:bottom w:val="single" w:color="auto" w:sz="4" w:space="0"/>
              <w:right w:val="single" w:color="auto" w:sz="4" w:space="0"/>
            </w:tcBorders>
            <w:noWrap/>
            <w:hideMark/>
          </w:tcPr>
          <w:p w:rsidRPr="009C1CDA" w:rsidR="000B09B4" w:rsidP="009C1CDA" w:rsidRDefault="000B09B4" w14:paraId="125FF8F7" w14:textId="77777777">
            <w:pPr>
              <w:widowControl w:val="0"/>
              <w:autoSpaceDE w:val="0"/>
              <w:autoSpaceDN w:val="0"/>
              <w:adjustRightInd w:val="0"/>
            </w:pPr>
            <w:r w:rsidRPr="009C1CDA">
              <w:t>1</w:t>
            </w:r>
          </w:p>
        </w:tc>
        <w:tc>
          <w:tcPr>
            <w:tcW w:w="701" w:type="pct"/>
            <w:tcBorders>
              <w:top w:val="single" w:color="auto" w:sz="4" w:space="0"/>
              <w:left w:val="single" w:color="auto" w:sz="4" w:space="0"/>
              <w:bottom w:val="single" w:color="auto" w:sz="4" w:space="0"/>
              <w:right w:val="single" w:color="auto" w:sz="4" w:space="0"/>
            </w:tcBorders>
            <w:noWrap/>
            <w:hideMark/>
          </w:tcPr>
          <w:p w:rsidRPr="009C1CDA" w:rsidR="000B09B4" w:rsidP="009C1CDA" w:rsidRDefault="006A4BB1" w14:paraId="06DEE457" w14:textId="77777777">
            <w:pPr>
              <w:widowControl w:val="0"/>
              <w:autoSpaceDE w:val="0"/>
              <w:autoSpaceDN w:val="0"/>
              <w:adjustRightInd w:val="0"/>
            </w:pPr>
            <w:r w:rsidRPr="009C1CDA">
              <w:t>9</w:t>
            </w:r>
            <w:r w:rsidRPr="009C1CDA" w:rsidR="000B09B4">
              <w:t>00</w:t>
            </w:r>
          </w:p>
        </w:tc>
        <w:tc>
          <w:tcPr>
            <w:tcW w:w="655" w:type="pct"/>
            <w:tcBorders>
              <w:top w:val="single" w:color="auto" w:sz="4" w:space="0"/>
              <w:left w:val="single" w:color="auto" w:sz="4" w:space="0"/>
              <w:bottom w:val="single" w:color="auto" w:sz="4" w:space="0"/>
              <w:right w:val="single" w:color="auto" w:sz="4" w:space="0"/>
            </w:tcBorders>
            <w:noWrap/>
            <w:hideMark/>
          </w:tcPr>
          <w:p w:rsidRPr="009C1CDA" w:rsidR="000B09B4" w:rsidP="009C1CDA" w:rsidRDefault="000B09B4" w14:paraId="2FEA9175" w14:textId="77777777">
            <w:pPr>
              <w:widowControl w:val="0"/>
              <w:autoSpaceDE w:val="0"/>
              <w:autoSpaceDN w:val="0"/>
              <w:adjustRightInd w:val="0"/>
            </w:pPr>
            <w:r w:rsidRPr="009C1CDA">
              <w:t>2</w:t>
            </w:r>
            <w:r w:rsidRPr="009C1CDA" w:rsidR="006A4BB1">
              <w:t>0</w:t>
            </w:r>
            <w:r w:rsidRPr="009C1CDA">
              <w:t xml:space="preserve"> min.</w:t>
            </w:r>
          </w:p>
        </w:tc>
        <w:tc>
          <w:tcPr>
            <w:tcW w:w="560" w:type="pct"/>
            <w:tcBorders>
              <w:top w:val="single" w:color="auto" w:sz="4" w:space="0"/>
              <w:left w:val="single" w:color="auto" w:sz="4" w:space="0"/>
              <w:bottom w:val="single" w:color="auto" w:sz="4" w:space="0"/>
              <w:right w:val="single" w:color="auto" w:sz="4" w:space="0"/>
            </w:tcBorders>
            <w:noWrap/>
            <w:hideMark/>
          </w:tcPr>
          <w:p w:rsidRPr="009C1CDA" w:rsidR="000B09B4" w:rsidP="009C1CDA" w:rsidRDefault="006A4BB1" w14:paraId="54DB03A7" w14:textId="77777777">
            <w:pPr>
              <w:widowControl w:val="0"/>
              <w:autoSpaceDE w:val="0"/>
              <w:autoSpaceDN w:val="0"/>
              <w:adjustRightInd w:val="0"/>
            </w:pPr>
            <w:r w:rsidRPr="009C1CDA">
              <w:t>300</w:t>
            </w:r>
          </w:p>
        </w:tc>
        <w:tc>
          <w:tcPr>
            <w:tcW w:w="607" w:type="pct"/>
            <w:tcBorders>
              <w:top w:val="single" w:color="auto" w:sz="4" w:space="0"/>
              <w:left w:val="single" w:color="auto" w:sz="4" w:space="0"/>
              <w:bottom w:val="single" w:color="auto" w:sz="4" w:space="0"/>
              <w:right w:val="single" w:color="auto" w:sz="4" w:space="0"/>
            </w:tcBorders>
            <w:noWrap/>
            <w:hideMark/>
          </w:tcPr>
          <w:p w:rsidRPr="009C1CDA" w:rsidR="000B09B4" w:rsidP="00D11BAB" w:rsidRDefault="000B09B4" w14:paraId="712808D0" w14:textId="77777777">
            <w:pPr>
              <w:widowControl w:val="0"/>
              <w:autoSpaceDE w:val="0"/>
              <w:autoSpaceDN w:val="0"/>
              <w:adjustRightInd w:val="0"/>
              <w:jc w:val="right"/>
            </w:pPr>
            <w:r w:rsidRPr="009C1CDA">
              <w:t>$6,</w:t>
            </w:r>
            <w:r w:rsidRPr="009C1CDA" w:rsidR="006A4BB1">
              <w:t>249</w:t>
            </w:r>
          </w:p>
        </w:tc>
      </w:tr>
      <w:tr w:rsidRPr="009C1CDA" w:rsidR="00E13C25" w:rsidTr="00E13C25" w14:paraId="06128DE6" w14:textId="77777777">
        <w:trPr>
          <w:trHeight w:val="300"/>
          <w:jc w:val="center"/>
        </w:trPr>
        <w:tc>
          <w:tcPr>
            <w:tcW w:w="936" w:type="pct"/>
            <w:tcBorders>
              <w:top w:val="single" w:color="auto" w:sz="4" w:space="0"/>
              <w:left w:val="single" w:color="auto" w:sz="4" w:space="0"/>
              <w:bottom w:val="single" w:color="auto" w:sz="4" w:space="0"/>
              <w:right w:val="single" w:color="auto" w:sz="4" w:space="0"/>
            </w:tcBorders>
            <w:noWrap/>
            <w:hideMark/>
          </w:tcPr>
          <w:p w:rsidRPr="009C1CDA" w:rsidR="000B09B4" w:rsidP="00D11BAB" w:rsidRDefault="000B09B4" w14:paraId="657868C3" w14:textId="77777777">
            <w:pPr>
              <w:widowControl w:val="0"/>
              <w:autoSpaceDE w:val="0"/>
              <w:autoSpaceDN w:val="0"/>
              <w:adjustRightInd w:val="0"/>
            </w:pPr>
            <w:r w:rsidRPr="009C1CDA">
              <w:t>U.S. Virgin Islands</w:t>
            </w:r>
          </w:p>
        </w:tc>
        <w:tc>
          <w:tcPr>
            <w:tcW w:w="794" w:type="pct"/>
            <w:tcBorders>
              <w:top w:val="single" w:color="auto" w:sz="4" w:space="0"/>
              <w:left w:val="single" w:color="auto" w:sz="4" w:space="0"/>
              <w:bottom w:val="single" w:color="auto" w:sz="4" w:space="0"/>
              <w:right w:val="single" w:color="auto" w:sz="4" w:space="0"/>
            </w:tcBorders>
            <w:noWrap/>
            <w:hideMark/>
          </w:tcPr>
          <w:p w:rsidRPr="009C1CDA" w:rsidR="000B09B4" w:rsidP="009C1CDA" w:rsidRDefault="00462345" w14:paraId="5757DFD9" w14:textId="77777777">
            <w:pPr>
              <w:widowControl w:val="0"/>
              <w:autoSpaceDE w:val="0"/>
              <w:autoSpaceDN w:val="0"/>
              <w:adjustRightInd w:val="0"/>
            </w:pPr>
            <w:r w:rsidRPr="009C1CDA">
              <w:t>1,125</w:t>
            </w:r>
          </w:p>
        </w:tc>
        <w:tc>
          <w:tcPr>
            <w:tcW w:w="748" w:type="pct"/>
            <w:tcBorders>
              <w:top w:val="single" w:color="auto" w:sz="4" w:space="0"/>
              <w:left w:val="single" w:color="auto" w:sz="4" w:space="0"/>
              <w:bottom w:val="single" w:color="auto" w:sz="4" w:space="0"/>
              <w:right w:val="single" w:color="auto" w:sz="4" w:space="0"/>
            </w:tcBorders>
            <w:noWrap/>
            <w:hideMark/>
          </w:tcPr>
          <w:p w:rsidRPr="009C1CDA" w:rsidR="000B09B4" w:rsidP="009C1CDA" w:rsidRDefault="000B09B4" w14:paraId="61336DF5" w14:textId="77777777">
            <w:pPr>
              <w:widowControl w:val="0"/>
              <w:autoSpaceDE w:val="0"/>
              <w:autoSpaceDN w:val="0"/>
              <w:adjustRightInd w:val="0"/>
            </w:pPr>
            <w:r w:rsidRPr="009C1CDA">
              <w:t>1</w:t>
            </w:r>
          </w:p>
        </w:tc>
        <w:tc>
          <w:tcPr>
            <w:tcW w:w="701" w:type="pct"/>
            <w:tcBorders>
              <w:top w:val="single" w:color="auto" w:sz="4" w:space="0"/>
              <w:left w:val="single" w:color="auto" w:sz="4" w:space="0"/>
              <w:bottom w:val="single" w:color="auto" w:sz="4" w:space="0"/>
              <w:right w:val="single" w:color="auto" w:sz="4" w:space="0"/>
            </w:tcBorders>
            <w:noWrap/>
            <w:hideMark/>
          </w:tcPr>
          <w:p w:rsidRPr="009C1CDA" w:rsidR="000B09B4" w:rsidP="009C1CDA" w:rsidRDefault="00462345" w14:paraId="0D0E3FF3" w14:textId="77777777">
            <w:pPr>
              <w:widowControl w:val="0"/>
              <w:autoSpaceDE w:val="0"/>
              <w:autoSpaceDN w:val="0"/>
              <w:adjustRightInd w:val="0"/>
            </w:pPr>
            <w:r w:rsidRPr="009C1CDA">
              <w:t>1,125</w:t>
            </w:r>
          </w:p>
        </w:tc>
        <w:tc>
          <w:tcPr>
            <w:tcW w:w="655" w:type="pct"/>
            <w:tcBorders>
              <w:top w:val="single" w:color="auto" w:sz="4" w:space="0"/>
              <w:left w:val="single" w:color="auto" w:sz="4" w:space="0"/>
              <w:bottom w:val="single" w:color="auto" w:sz="4" w:space="0"/>
              <w:right w:val="single" w:color="auto" w:sz="4" w:space="0"/>
            </w:tcBorders>
            <w:noWrap/>
            <w:hideMark/>
          </w:tcPr>
          <w:p w:rsidRPr="009C1CDA" w:rsidR="000B09B4" w:rsidP="009C1CDA" w:rsidRDefault="006A4BB1" w14:paraId="76B80EFD" w14:textId="77777777">
            <w:pPr>
              <w:widowControl w:val="0"/>
              <w:autoSpaceDE w:val="0"/>
              <w:autoSpaceDN w:val="0"/>
              <w:adjustRightInd w:val="0"/>
            </w:pPr>
            <w:r w:rsidRPr="009C1CDA">
              <w:t>20</w:t>
            </w:r>
            <w:r w:rsidRPr="009C1CDA" w:rsidR="000B09B4">
              <w:t xml:space="preserve"> min.</w:t>
            </w:r>
          </w:p>
        </w:tc>
        <w:tc>
          <w:tcPr>
            <w:tcW w:w="560" w:type="pct"/>
            <w:tcBorders>
              <w:top w:val="single" w:color="auto" w:sz="4" w:space="0"/>
              <w:left w:val="single" w:color="auto" w:sz="4" w:space="0"/>
              <w:bottom w:val="single" w:color="auto" w:sz="4" w:space="0"/>
              <w:right w:val="single" w:color="auto" w:sz="4" w:space="0"/>
            </w:tcBorders>
            <w:noWrap/>
            <w:hideMark/>
          </w:tcPr>
          <w:p w:rsidRPr="009C1CDA" w:rsidR="000B09B4" w:rsidP="009C1CDA" w:rsidRDefault="006A4BB1" w14:paraId="0E23E537" w14:textId="77777777">
            <w:pPr>
              <w:widowControl w:val="0"/>
              <w:autoSpaceDE w:val="0"/>
              <w:autoSpaceDN w:val="0"/>
              <w:adjustRightInd w:val="0"/>
            </w:pPr>
            <w:r w:rsidRPr="009C1CDA">
              <w:t>375</w:t>
            </w:r>
          </w:p>
        </w:tc>
        <w:tc>
          <w:tcPr>
            <w:tcW w:w="607" w:type="pct"/>
            <w:tcBorders>
              <w:top w:val="single" w:color="auto" w:sz="4" w:space="0"/>
              <w:left w:val="single" w:color="auto" w:sz="4" w:space="0"/>
              <w:bottom w:val="single" w:color="auto" w:sz="4" w:space="0"/>
              <w:right w:val="single" w:color="auto" w:sz="4" w:space="0"/>
            </w:tcBorders>
            <w:noWrap/>
            <w:hideMark/>
          </w:tcPr>
          <w:p w:rsidRPr="009C1CDA" w:rsidR="000B09B4" w:rsidP="00D11BAB" w:rsidRDefault="000B09B4" w14:paraId="121D38A3" w14:textId="77777777">
            <w:pPr>
              <w:widowControl w:val="0"/>
              <w:autoSpaceDE w:val="0"/>
              <w:autoSpaceDN w:val="0"/>
              <w:adjustRightInd w:val="0"/>
              <w:jc w:val="right"/>
            </w:pPr>
            <w:r w:rsidRPr="009C1CDA">
              <w:t>$</w:t>
            </w:r>
            <w:r w:rsidRPr="009C1CDA" w:rsidR="006A4BB1">
              <w:t>6</w:t>
            </w:r>
            <w:r w:rsidRPr="009C1CDA">
              <w:t>,</w:t>
            </w:r>
            <w:r w:rsidRPr="009C1CDA" w:rsidR="006A4BB1">
              <w:t>312</w:t>
            </w:r>
          </w:p>
        </w:tc>
      </w:tr>
      <w:tr w:rsidRPr="009C1CDA" w:rsidR="00E13C25" w:rsidTr="00E13C25" w14:paraId="28B90C87" w14:textId="77777777">
        <w:trPr>
          <w:trHeight w:val="300"/>
          <w:jc w:val="center"/>
        </w:trPr>
        <w:tc>
          <w:tcPr>
            <w:tcW w:w="936" w:type="pct"/>
            <w:tcBorders>
              <w:top w:val="single" w:color="auto" w:sz="4" w:space="0"/>
              <w:left w:val="single" w:color="auto" w:sz="4" w:space="0"/>
              <w:bottom w:val="single" w:color="auto" w:sz="4" w:space="0"/>
              <w:right w:val="single" w:color="auto" w:sz="4" w:space="0"/>
            </w:tcBorders>
            <w:noWrap/>
            <w:hideMark/>
          </w:tcPr>
          <w:p w:rsidRPr="009C1CDA" w:rsidR="000B09B4" w:rsidP="00D11BAB" w:rsidRDefault="000B09B4" w14:paraId="10DA6B60" w14:textId="77777777">
            <w:pPr>
              <w:widowControl w:val="0"/>
              <w:autoSpaceDE w:val="0"/>
              <w:autoSpaceDN w:val="0"/>
              <w:adjustRightInd w:val="0"/>
            </w:pPr>
            <w:r w:rsidRPr="009C1CDA">
              <w:t>Total Responses</w:t>
            </w:r>
          </w:p>
        </w:tc>
        <w:tc>
          <w:tcPr>
            <w:tcW w:w="794" w:type="pct"/>
            <w:tcBorders>
              <w:top w:val="single" w:color="auto" w:sz="4" w:space="0"/>
              <w:left w:val="single" w:color="auto" w:sz="4" w:space="0"/>
              <w:bottom w:val="single" w:color="auto" w:sz="4" w:space="0"/>
              <w:right w:val="single" w:color="auto" w:sz="4" w:space="0"/>
            </w:tcBorders>
            <w:noWrap/>
            <w:hideMark/>
          </w:tcPr>
          <w:p w:rsidRPr="009C1CDA" w:rsidR="000B09B4" w:rsidP="009C1CDA" w:rsidRDefault="00462345" w14:paraId="26560BE8" w14:textId="77777777">
            <w:pPr>
              <w:widowControl w:val="0"/>
              <w:autoSpaceDE w:val="0"/>
              <w:autoSpaceDN w:val="0"/>
              <w:adjustRightInd w:val="0"/>
            </w:pPr>
            <w:r w:rsidRPr="009C1CDA">
              <w:t>10,</w:t>
            </w:r>
            <w:r w:rsidRPr="009C1CDA" w:rsidR="006A4BB1">
              <w:t>589</w:t>
            </w:r>
          </w:p>
        </w:tc>
        <w:tc>
          <w:tcPr>
            <w:tcW w:w="748" w:type="pct"/>
            <w:tcBorders>
              <w:top w:val="single" w:color="auto" w:sz="4" w:space="0"/>
              <w:left w:val="single" w:color="auto" w:sz="4" w:space="0"/>
              <w:bottom w:val="single" w:color="auto" w:sz="4" w:space="0"/>
              <w:right w:val="single" w:color="auto" w:sz="4" w:space="0"/>
            </w:tcBorders>
            <w:noWrap/>
            <w:hideMark/>
          </w:tcPr>
          <w:p w:rsidRPr="009C1CDA" w:rsidR="000B09B4" w:rsidP="009C1CDA" w:rsidRDefault="000B09B4" w14:paraId="4E138871" w14:textId="77777777"/>
        </w:tc>
        <w:tc>
          <w:tcPr>
            <w:tcW w:w="701" w:type="pct"/>
            <w:tcBorders>
              <w:top w:val="single" w:color="auto" w:sz="4" w:space="0"/>
              <w:left w:val="single" w:color="auto" w:sz="4" w:space="0"/>
              <w:bottom w:val="single" w:color="auto" w:sz="4" w:space="0"/>
              <w:right w:val="single" w:color="auto" w:sz="4" w:space="0"/>
            </w:tcBorders>
            <w:noWrap/>
            <w:hideMark/>
          </w:tcPr>
          <w:p w:rsidRPr="009C1CDA" w:rsidR="000B09B4" w:rsidP="009C1CDA" w:rsidRDefault="000B09B4" w14:paraId="5E6623A0" w14:textId="77777777"/>
        </w:tc>
        <w:tc>
          <w:tcPr>
            <w:tcW w:w="655" w:type="pct"/>
            <w:tcBorders>
              <w:top w:val="single" w:color="auto" w:sz="4" w:space="0"/>
              <w:left w:val="single" w:color="auto" w:sz="4" w:space="0"/>
              <w:bottom w:val="single" w:color="auto" w:sz="4" w:space="0"/>
              <w:right w:val="single" w:color="auto" w:sz="4" w:space="0"/>
            </w:tcBorders>
            <w:noWrap/>
            <w:hideMark/>
          </w:tcPr>
          <w:p w:rsidRPr="009C1CDA" w:rsidR="000B09B4" w:rsidP="009C1CDA" w:rsidRDefault="000B09B4" w14:paraId="0F71A365" w14:textId="77777777"/>
        </w:tc>
        <w:tc>
          <w:tcPr>
            <w:tcW w:w="560" w:type="pct"/>
            <w:tcBorders>
              <w:top w:val="single" w:color="auto" w:sz="4" w:space="0"/>
              <w:left w:val="single" w:color="auto" w:sz="4" w:space="0"/>
              <w:bottom w:val="single" w:color="auto" w:sz="4" w:space="0"/>
              <w:right w:val="single" w:color="auto" w:sz="4" w:space="0"/>
            </w:tcBorders>
            <w:noWrap/>
            <w:hideMark/>
          </w:tcPr>
          <w:p w:rsidRPr="009C1CDA" w:rsidR="000B09B4" w:rsidP="009C1CDA" w:rsidRDefault="000B09B4" w14:paraId="15960D3F" w14:textId="77777777"/>
        </w:tc>
        <w:tc>
          <w:tcPr>
            <w:tcW w:w="607" w:type="pct"/>
            <w:tcBorders>
              <w:top w:val="single" w:color="auto" w:sz="4" w:space="0"/>
              <w:left w:val="single" w:color="auto" w:sz="4" w:space="0"/>
              <w:bottom w:val="single" w:color="auto" w:sz="4" w:space="0"/>
              <w:right w:val="single" w:color="auto" w:sz="4" w:space="0"/>
            </w:tcBorders>
            <w:noWrap/>
            <w:hideMark/>
          </w:tcPr>
          <w:p w:rsidRPr="009C1CDA" w:rsidR="000B09B4" w:rsidP="009C1CDA" w:rsidRDefault="000B09B4" w14:paraId="3886DC2A" w14:textId="77777777"/>
        </w:tc>
      </w:tr>
      <w:tr w:rsidRPr="009C1CDA" w:rsidR="00E13C25" w:rsidTr="00E13C25" w14:paraId="5B69DB8E" w14:textId="77777777">
        <w:trPr>
          <w:trHeight w:val="300"/>
          <w:jc w:val="center"/>
        </w:trPr>
        <w:tc>
          <w:tcPr>
            <w:tcW w:w="936" w:type="pct"/>
            <w:tcBorders>
              <w:top w:val="single" w:color="auto" w:sz="4" w:space="0"/>
              <w:left w:val="single" w:color="auto" w:sz="4" w:space="0"/>
              <w:bottom w:val="single" w:color="auto" w:sz="4" w:space="0"/>
              <w:right w:val="single" w:color="auto" w:sz="4" w:space="0"/>
            </w:tcBorders>
            <w:noWrap/>
            <w:hideMark/>
          </w:tcPr>
          <w:p w:rsidRPr="009C1CDA" w:rsidR="000B09B4" w:rsidP="00D11BAB" w:rsidRDefault="000B09B4" w14:paraId="5E2265A4" w14:textId="77777777">
            <w:pPr>
              <w:widowControl w:val="0"/>
              <w:autoSpaceDE w:val="0"/>
              <w:autoSpaceDN w:val="0"/>
              <w:adjustRightInd w:val="0"/>
            </w:pPr>
            <w:r w:rsidRPr="009C1CDA">
              <w:t xml:space="preserve">Non response burden </w:t>
            </w:r>
          </w:p>
        </w:tc>
        <w:tc>
          <w:tcPr>
            <w:tcW w:w="794" w:type="pct"/>
            <w:tcBorders>
              <w:top w:val="single" w:color="auto" w:sz="4" w:space="0"/>
              <w:left w:val="single" w:color="auto" w:sz="4" w:space="0"/>
              <w:bottom w:val="single" w:color="auto" w:sz="4" w:space="0"/>
              <w:right w:val="single" w:color="auto" w:sz="4" w:space="0"/>
            </w:tcBorders>
            <w:noWrap/>
            <w:hideMark/>
          </w:tcPr>
          <w:p w:rsidRPr="009C1CDA" w:rsidR="000B09B4" w:rsidP="009C1CDA" w:rsidRDefault="006A4BB1" w14:paraId="68A2332C" w14:textId="77777777">
            <w:pPr>
              <w:widowControl w:val="0"/>
              <w:autoSpaceDE w:val="0"/>
              <w:autoSpaceDN w:val="0"/>
              <w:adjustRightInd w:val="0"/>
            </w:pPr>
            <w:r w:rsidRPr="009C1CDA">
              <w:t>19</w:t>
            </w:r>
            <w:r w:rsidRPr="009C1CDA" w:rsidR="000B09B4">
              <w:t>,</w:t>
            </w:r>
            <w:r w:rsidRPr="009C1CDA" w:rsidR="000B324D">
              <w:t>6</w:t>
            </w:r>
            <w:r w:rsidRPr="009C1CDA">
              <w:t>65</w:t>
            </w:r>
          </w:p>
        </w:tc>
        <w:tc>
          <w:tcPr>
            <w:tcW w:w="748" w:type="pct"/>
            <w:tcBorders>
              <w:top w:val="single" w:color="auto" w:sz="4" w:space="0"/>
              <w:left w:val="single" w:color="auto" w:sz="4" w:space="0"/>
              <w:bottom w:val="single" w:color="auto" w:sz="4" w:space="0"/>
              <w:right w:val="single" w:color="auto" w:sz="4" w:space="0"/>
            </w:tcBorders>
            <w:noWrap/>
            <w:hideMark/>
          </w:tcPr>
          <w:p w:rsidRPr="009C1CDA" w:rsidR="000B09B4" w:rsidP="009C1CDA" w:rsidRDefault="000B09B4" w14:paraId="3191FCB9" w14:textId="77777777">
            <w:pPr>
              <w:widowControl w:val="0"/>
              <w:autoSpaceDE w:val="0"/>
              <w:autoSpaceDN w:val="0"/>
              <w:adjustRightInd w:val="0"/>
            </w:pPr>
            <w:r w:rsidRPr="009C1CDA">
              <w:t>1</w:t>
            </w:r>
          </w:p>
        </w:tc>
        <w:tc>
          <w:tcPr>
            <w:tcW w:w="701" w:type="pct"/>
            <w:tcBorders>
              <w:top w:val="single" w:color="auto" w:sz="4" w:space="0"/>
              <w:left w:val="single" w:color="auto" w:sz="4" w:space="0"/>
              <w:bottom w:val="single" w:color="auto" w:sz="4" w:space="0"/>
              <w:right w:val="single" w:color="auto" w:sz="4" w:space="0"/>
            </w:tcBorders>
            <w:noWrap/>
            <w:hideMark/>
          </w:tcPr>
          <w:p w:rsidRPr="009C1CDA" w:rsidR="000B09B4" w:rsidP="009C1CDA" w:rsidRDefault="000B09B4" w14:paraId="48990199" w14:textId="77777777"/>
        </w:tc>
        <w:tc>
          <w:tcPr>
            <w:tcW w:w="655" w:type="pct"/>
            <w:tcBorders>
              <w:top w:val="single" w:color="auto" w:sz="4" w:space="0"/>
              <w:left w:val="single" w:color="auto" w:sz="4" w:space="0"/>
              <w:bottom w:val="single" w:color="auto" w:sz="4" w:space="0"/>
              <w:right w:val="single" w:color="auto" w:sz="4" w:space="0"/>
            </w:tcBorders>
            <w:noWrap/>
            <w:hideMark/>
          </w:tcPr>
          <w:p w:rsidRPr="009C1CDA" w:rsidR="000B09B4" w:rsidP="009C1CDA" w:rsidRDefault="000B09B4" w14:paraId="30DF33DC" w14:textId="77777777">
            <w:pPr>
              <w:widowControl w:val="0"/>
              <w:autoSpaceDE w:val="0"/>
              <w:autoSpaceDN w:val="0"/>
              <w:adjustRightInd w:val="0"/>
            </w:pPr>
            <w:r w:rsidRPr="009C1CDA">
              <w:t>1 min.</w:t>
            </w:r>
          </w:p>
        </w:tc>
        <w:tc>
          <w:tcPr>
            <w:tcW w:w="560" w:type="pct"/>
            <w:tcBorders>
              <w:top w:val="single" w:color="auto" w:sz="4" w:space="0"/>
              <w:left w:val="single" w:color="auto" w:sz="4" w:space="0"/>
              <w:bottom w:val="single" w:color="auto" w:sz="4" w:space="0"/>
              <w:right w:val="single" w:color="auto" w:sz="4" w:space="0"/>
            </w:tcBorders>
            <w:noWrap/>
            <w:hideMark/>
          </w:tcPr>
          <w:p w:rsidRPr="009C1CDA" w:rsidR="000B09B4" w:rsidP="009C1CDA" w:rsidRDefault="006A4BB1" w14:paraId="7DD53A43" w14:textId="77777777">
            <w:pPr>
              <w:widowControl w:val="0"/>
              <w:autoSpaceDE w:val="0"/>
              <w:autoSpaceDN w:val="0"/>
              <w:adjustRightInd w:val="0"/>
            </w:pPr>
            <w:r w:rsidRPr="009C1CDA">
              <w:t>328</w:t>
            </w:r>
          </w:p>
        </w:tc>
        <w:tc>
          <w:tcPr>
            <w:tcW w:w="607" w:type="pct"/>
            <w:tcBorders>
              <w:top w:val="single" w:color="auto" w:sz="4" w:space="0"/>
              <w:left w:val="single" w:color="auto" w:sz="4" w:space="0"/>
              <w:bottom w:val="single" w:color="auto" w:sz="4" w:space="0"/>
              <w:right w:val="single" w:color="auto" w:sz="4" w:space="0"/>
            </w:tcBorders>
            <w:noWrap/>
            <w:hideMark/>
          </w:tcPr>
          <w:p w:rsidRPr="009C1CDA" w:rsidR="000B09B4" w:rsidP="00D11BAB" w:rsidRDefault="000B09B4" w14:paraId="78291725" w14:textId="77777777">
            <w:pPr>
              <w:widowControl w:val="0"/>
              <w:autoSpaceDE w:val="0"/>
              <w:autoSpaceDN w:val="0"/>
              <w:adjustRightInd w:val="0"/>
              <w:jc w:val="right"/>
            </w:pPr>
            <w:r w:rsidRPr="009C1CDA">
              <w:t>$</w:t>
            </w:r>
            <w:r w:rsidRPr="009C1CDA" w:rsidR="006A4BB1">
              <w:t>5,829</w:t>
            </w:r>
          </w:p>
        </w:tc>
      </w:tr>
      <w:tr w:rsidRPr="009C1CDA" w:rsidR="00E13C25" w:rsidTr="00E13C25" w14:paraId="25F7DD0A" w14:textId="77777777">
        <w:trPr>
          <w:trHeight w:val="300"/>
          <w:jc w:val="center"/>
        </w:trPr>
        <w:tc>
          <w:tcPr>
            <w:tcW w:w="936" w:type="pct"/>
            <w:tcBorders>
              <w:top w:val="single" w:color="auto" w:sz="4" w:space="0"/>
              <w:left w:val="single" w:color="auto" w:sz="4" w:space="0"/>
              <w:bottom w:val="single" w:color="auto" w:sz="4" w:space="0"/>
              <w:right w:val="single" w:color="auto" w:sz="4" w:space="0"/>
            </w:tcBorders>
            <w:noWrap/>
          </w:tcPr>
          <w:p w:rsidRPr="009C1CDA" w:rsidR="000B09B4" w:rsidP="00D11BAB" w:rsidRDefault="000B09B4" w14:paraId="0718ACD5" w14:textId="77777777">
            <w:pPr>
              <w:widowControl w:val="0"/>
              <w:autoSpaceDE w:val="0"/>
              <w:autoSpaceDN w:val="0"/>
              <w:adjustRightInd w:val="0"/>
            </w:pPr>
          </w:p>
        </w:tc>
        <w:tc>
          <w:tcPr>
            <w:tcW w:w="794" w:type="pct"/>
            <w:tcBorders>
              <w:top w:val="single" w:color="auto" w:sz="4" w:space="0"/>
              <w:left w:val="single" w:color="auto" w:sz="4" w:space="0"/>
              <w:bottom w:val="single" w:color="auto" w:sz="4" w:space="0"/>
              <w:right w:val="single" w:color="auto" w:sz="4" w:space="0"/>
            </w:tcBorders>
            <w:noWrap/>
          </w:tcPr>
          <w:p w:rsidRPr="009C1CDA" w:rsidR="000B09B4" w:rsidP="009C1CDA" w:rsidRDefault="000B09B4" w14:paraId="58AB1D7A" w14:textId="77777777">
            <w:pPr>
              <w:widowControl w:val="0"/>
              <w:autoSpaceDE w:val="0"/>
              <w:autoSpaceDN w:val="0"/>
              <w:adjustRightInd w:val="0"/>
            </w:pPr>
          </w:p>
        </w:tc>
        <w:tc>
          <w:tcPr>
            <w:tcW w:w="748" w:type="pct"/>
            <w:tcBorders>
              <w:top w:val="single" w:color="auto" w:sz="4" w:space="0"/>
              <w:left w:val="single" w:color="auto" w:sz="4" w:space="0"/>
              <w:bottom w:val="single" w:color="auto" w:sz="4" w:space="0"/>
              <w:right w:val="single" w:color="auto" w:sz="4" w:space="0"/>
            </w:tcBorders>
            <w:noWrap/>
            <w:hideMark/>
          </w:tcPr>
          <w:p w:rsidRPr="009C1CDA" w:rsidR="000B09B4" w:rsidP="009C1CDA" w:rsidRDefault="000B09B4" w14:paraId="3796B0B4" w14:textId="77777777"/>
        </w:tc>
        <w:tc>
          <w:tcPr>
            <w:tcW w:w="701" w:type="pct"/>
            <w:tcBorders>
              <w:top w:val="single" w:color="auto" w:sz="4" w:space="0"/>
              <w:left w:val="single" w:color="auto" w:sz="4" w:space="0"/>
              <w:bottom w:val="single" w:color="auto" w:sz="4" w:space="0"/>
              <w:right w:val="single" w:color="auto" w:sz="4" w:space="0"/>
            </w:tcBorders>
            <w:noWrap/>
            <w:hideMark/>
          </w:tcPr>
          <w:p w:rsidRPr="009C1CDA" w:rsidR="000B09B4" w:rsidP="009C1CDA" w:rsidRDefault="000B09B4" w14:paraId="2B05CBFF" w14:textId="77777777"/>
        </w:tc>
        <w:tc>
          <w:tcPr>
            <w:tcW w:w="655" w:type="pct"/>
            <w:tcBorders>
              <w:top w:val="single" w:color="auto" w:sz="4" w:space="0"/>
              <w:left w:val="single" w:color="auto" w:sz="4" w:space="0"/>
              <w:bottom w:val="single" w:color="auto" w:sz="4" w:space="0"/>
              <w:right w:val="single" w:color="auto" w:sz="4" w:space="0"/>
            </w:tcBorders>
            <w:noWrap/>
            <w:hideMark/>
          </w:tcPr>
          <w:p w:rsidRPr="009C1CDA" w:rsidR="000B09B4" w:rsidP="009C1CDA" w:rsidRDefault="000B09B4" w14:paraId="186FD0FA" w14:textId="77777777"/>
        </w:tc>
        <w:tc>
          <w:tcPr>
            <w:tcW w:w="560" w:type="pct"/>
            <w:tcBorders>
              <w:top w:val="single" w:color="auto" w:sz="4" w:space="0"/>
              <w:left w:val="single" w:color="auto" w:sz="4" w:space="0"/>
              <w:bottom w:val="single" w:color="auto" w:sz="4" w:space="0"/>
              <w:right w:val="single" w:color="auto" w:sz="4" w:space="0"/>
            </w:tcBorders>
            <w:noWrap/>
            <w:hideMark/>
          </w:tcPr>
          <w:p w:rsidRPr="009C1CDA" w:rsidR="000B09B4" w:rsidP="009C1CDA" w:rsidRDefault="000B09B4" w14:paraId="14B0CA69" w14:textId="77777777"/>
        </w:tc>
        <w:tc>
          <w:tcPr>
            <w:tcW w:w="607" w:type="pct"/>
            <w:tcBorders>
              <w:top w:val="single" w:color="auto" w:sz="4" w:space="0"/>
              <w:left w:val="single" w:color="auto" w:sz="4" w:space="0"/>
              <w:bottom w:val="single" w:color="auto" w:sz="4" w:space="0"/>
              <w:right w:val="single" w:color="auto" w:sz="4" w:space="0"/>
            </w:tcBorders>
            <w:noWrap/>
            <w:hideMark/>
          </w:tcPr>
          <w:p w:rsidRPr="009C1CDA" w:rsidR="000B09B4" w:rsidP="009C1CDA" w:rsidRDefault="000B09B4" w14:paraId="5D51CB7A" w14:textId="77777777"/>
        </w:tc>
      </w:tr>
      <w:tr w:rsidRPr="009C1CDA" w:rsidR="00E13C25" w:rsidTr="00E13C25" w14:paraId="795D7F92" w14:textId="77777777">
        <w:trPr>
          <w:trHeight w:val="300"/>
          <w:jc w:val="center"/>
        </w:trPr>
        <w:tc>
          <w:tcPr>
            <w:tcW w:w="936" w:type="pct"/>
            <w:tcBorders>
              <w:top w:val="single" w:color="auto" w:sz="4" w:space="0"/>
              <w:left w:val="single" w:color="auto" w:sz="4" w:space="0"/>
              <w:bottom w:val="single" w:color="auto" w:sz="4" w:space="0"/>
              <w:right w:val="single" w:color="auto" w:sz="4" w:space="0"/>
            </w:tcBorders>
            <w:noWrap/>
            <w:hideMark/>
          </w:tcPr>
          <w:p w:rsidRPr="009C1CDA" w:rsidR="000B09B4" w:rsidP="00D11BAB" w:rsidRDefault="000B09B4" w14:paraId="30E79AAE" w14:textId="77777777">
            <w:pPr>
              <w:widowControl w:val="0"/>
              <w:autoSpaceDE w:val="0"/>
              <w:autoSpaceDN w:val="0"/>
              <w:adjustRightInd w:val="0"/>
            </w:pPr>
            <w:r w:rsidRPr="009C1CDA">
              <w:t>Total Public Burden</w:t>
            </w:r>
          </w:p>
        </w:tc>
        <w:tc>
          <w:tcPr>
            <w:tcW w:w="794" w:type="pct"/>
            <w:tcBorders>
              <w:top w:val="single" w:color="auto" w:sz="4" w:space="0"/>
              <w:left w:val="single" w:color="auto" w:sz="4" w:space="0"/>
              <w:bottom w:val="single" w:color="auto" w:sz="4" w:space="0"/>
              <w:right w:val="single" w:color="auto" w:sz="4" w:space="0"/>
            </w:tcBorders>
            <w:noWrap/>
            <w:hideMark/>
          </w:tcPr>
          <w:p w:rsidRPr="009C1CDA" w:rsidR="000B09B4" w:rsidP="009C1CDA" w:rsidRDefault="000B09B4" w14:paraId="4025DB14" w14:textId="77777777"/>
        </w:tc>
        <w:tc>
          <w:tcPr>
            <w:tcW w:w="748" w:type="pct"/>
            <w:tcBorders>
              <w:top w:val="single" w:color="auto" w:sz="4" w:space="0"/>
              <w:left w:val="single" w:color="auto" w:sz="4" w:space="0"/>
              <w:bottom w:val="single" w:color="auto" w:sz="4" w:space="0"/>
              <w:right w:val="single" w:color="auto" w:sz="4" w:space="0"/>
            </w:tcBorders>
            <w:noWrap/>
            <w:hideMark/>
          </w:tcPr>
          <w:p w:rsidRPr="009C1CDA" w:rsidR="000B09B4" w:rsidP="009C1CDA" w:rsidRDefault="000B09B4" w14:paraId="07526E41" w14:textId="77777777"/>
        </w:tc>
        <w:tc>
          <w:tcPr>
            <w:tcW w:w="701" w:type="pct"/>
            <w:tcBorders>
              <w:top w:val="single" w:color="auto" w:sz="4" w:space="0"/>
              <w:left w:val="single" w:color="auto" w:sz="4" w:space="0"/>
              <w:bottom w:val="single" w:color="auto" w:sz="4" w:space="0"/>
              <w:right w:val="single" w:color="auto" w:sz="4" w:space="0"/>
            </w:tcBorders>
            <w:noWrap/>
            <w:hideMark/>
          </w:tcPr>
          <w:p w:rsidRPr="009C1CDA" w:rsidR="000B09B4" w:rsidP="009C1CDA" w:rsidRDefault="000B09B4" w14:paraId="005C5AE1" w14:textId="77777777"/>
        </w:tc>
        <w:tc>
          <w:tcPr>
            <w:tcW w:w="655" w:type="pct"/>
            <w:tcBorders>
              <w:top w:val="single" w:color="auto" w:sz="4" w:space="0"/>
              <w:left w:val="single" w:color="auto" w:sz="4" w:space="0"/>
              <w:bottom w:val="single" w:color="auto" w:sz="4" w:space="0"/>
              <w:right w:val="single" w:color="auto" w:sz="4" w:space="0"/>
            </w:tcBorders>
            <w:noWrap/>
            <w:hideMark/>
          </w:tcPr>
          <w:p w:rsidRPr="009C1CDA" w:rsidR="000B09B4" w:rsidP="009C1CDA" w:rsidRDefault="000B09B4" w14:paraId="7217241B" w14:textId="77777777"/>
        </w:tc>
        <w:tc>
          <w:tcPr>
            <w:tcW w:w="560" w:type="pct"/>
            <w:tcBorders>
              <w:top w:val="single" w:color="auto" w:sz="4" w:space="0"/>
              <w:left w:val="single" w:color="auto" w:sz="4" w:space="0"/>
              <w:bottom w:val="single" w:color="auto" w:sz="4" w:space="0"/>
              <w:right w:val="single" w:color="auto" w:sz="4" w:space="0"/>
            </w:tcBorders>
            <w:noWrap/>
            <w:hideMark/>
          </w:tcPr>
          <w:p w:rsidRPr="009C1CDA" w:rsidR="000B09B4" w:rsidP="009C1CDA" w:rsidRDefault="006A4BB1" w14:paraId="7CD10CC1" w14:textId="77777777">
            <w:pPr>
              <w:widowControl w:val="0"/>
              <w:autoSpaceDE w:val="0"/>
              <w:autoSpaceDN w:val="0"/>
              <w:adjustRightInd w:val="0"/>
            </w:pPr>
            <w:r w:rsidRPr="009C1CDA">
              <w:t>3</w:t>
            </w:r>
            <w:r w:rsidRPr="009C1CDA" w:rsidR="000B09B4">
              <w:t>,</w:t>
            </w:r>
            <w:r w:rsidRPr="009C1CDA">
              <w:t>913</w:t>
            </w:r>
            <w:r w:rsidRPr="009C1CDA" w:rsidR="000B09B4">
              <w:t xml:space="preserve"> </w:t>
            </w:r>
          </w:p>
        </w:tc>
        <w:tc>
          <w:tcPr>
            <w:tcW w:w="607" w:type="pct"/>
            <w:tcBorders>
              <w:top w:val="single" w:color="auto" w:sz="4" w:space="0"/>
              <w:left w:val="single" w:color="auto" w:sz="4" w:space="0"/>
              <w:bottom w:val="single" w:color="auto" w:sz="4" w:space="0"/>
              <w:right w:val="single" w:color="auto" w:sz="4" w:space="0"/>
            </w:tcBorders>
            <w:noWrap/>
            <w:hideMark/>
          </w:tcPr>
          <w:p w:rsidRPr="009C1CDA" w:rsidR="000B09B4" w:rsidP="00D11BAB" w:rsidRDefault="000B09B4" w14:paraId="7AE33462" w14:textId="77777777">
            <w:pPr>
              <w:widowControl w:val="0"/>
              <w:autoSpaceDE w:val="0"/>
              <w:autoSpaceDN w:val="0"/>
              <w:adjustRightInd w:val="0"/>
              <w:jc w:val="right"/>
            </w:pPr>
            <w:r w:rsidRPr="009C1CDA">
              <w:t>$</w:t>
            </w:r>
            <w:r w:rsidRPr="009C1CDA" w:rsidR="006A4BB1">
              <w:t>64</w:t>
            </w:r>
            <w:r w:rsidRPr="009C1CDA">
              <w:t>,</w:t>
            </w:r>
            <w:r w:rsidRPr="009C1CDA" w:rsidR="006A4BB1">
              <w:t>669</w:t>
            </w:r>
            <w:r w:rsidRPr="009C1CDA">
              <w:t xml:space="preserve"> </w:t>
            </w:r>
          </w:p>
        </w:tc>
      </w:tr>
      <w:tr w:rsidRPr="009C1CDA" w:rsidR="00E13C25" w:rsidTr="00E13C25" w14:paraId="211A64EF" w14:textId="77777777">
        <w:trPr>
          <w:trHeight w:val="300"/>
          <w:jc w:val="center"/>
        </w:trPr>
        <w:tc>
          <w:tcPr>
            <w:tcW w:w="936" w:type="pct"/>
            <w:tcBorders>
              <w:top w:val="single" w:color="auto" w:sz="4" w:space="0"/>
              <w:left w:val="single" w:color="auto" w:sz="4" w:space="0"/>
              <w:bottom w:val="single" w:color="auto" w:sz="4" w:space="0"/>
              <w:right w:val="single" w:color="auto" w:sz="4" w:space="0"/>
            </w:tcBorders>
            <w:noWrap/>
            <w:hideMark/>
          </w:tcPr>
          <w:p w:rsidR="00E13C25" w:rsidP="00D11BAB" w:rsidRDefault="000B09B4" w14:paraId="0C6C9613" w14:textId="77777777">
            <w:pPr>
              <w:widowControl w:val="0"/>
              <w:autoSpaceDE w:val="0"/>
              <w:autoSpaceDN w:val="0"/>
              <w:adjustRightInd w:val="0"/>
            </w:pPr>
            <w:r w:rsidRPr="009C1CDA">
              <w:t xml:space="preserve">Annualized </w:t>
            </w:r>
          </w:p>
          <w:p w:rsidRPr="009C1CDA" w:rsidR="000B09B4" w:rsidP="00D11BAB" w:rsidRDefault="000B09B4" w14:paraId="12F3FA81" w14:textId="5CC1A890">
            <w:pPr>
              <w:widowControl w:val="0"/>
              <w:autoSpaceDE w:val="0"/>
              <w:autoSpaceDN w:val="0"/>
              <w:adjustRightInd w:val="0"/>
            </w:pPr>
            <w:r w:rsidRPr="009C1CDA">
              <w:t>(3 years)</w:t>
            </w:r>
          </w:p>
        </w:tc>
        <w:tc>
          <w:tcPr>
            <w:tcW w:w="794" w:type="pct"/>
            <w:tcBorders>
              <w:top w:val="single" w:color="auto" w:sz="4" w:space="0"/>
              <w:left w:val="single" w:color="auto" w:sz="4" w:space="0"/>
              <w:bottom w:val="single" w:color="auto" w:sz="4" w:space="0"/>
              <w:right w:val="single" w:color="auto" w:sz="4" w:space="0"/>
            </w:tcBorders>
            <w:noWrap/>
            <w:hideMark/>
          </w:tcPr>
          <w:p w:rsidRPr="009C1CDA" w:rsidR="000B09B4" w:rsidP="009C1CDA" w:rsidRDefault="00462345" w14:paraId="34DDE115" w14:textId="77777777">
            <w:pPr>
              <w:widowControl w:val="0"/>
              <w:autoSpaceDE w:val="0"/>
              <w:autoSpaceDN w:val="0"/>
              <w:adjustRightInd w:val="0"/>
            </w:pPr>
            <w:r w:rsidRPr="009C1CDA">
              <w:t>3,</w:t>
            </w:r>
            <w:r w:rsidRPr="009C1CDA" w:rsidR="006A4BB1">
              <w:t>530</w:t>
            </w:r>
          </w:p>
        </w:tc>
        <w:tc>
          <w:tcPr>
            <w:tcW w:w="748" w:type="pct"/>
            <w:tcBorders>
              <w:top w:val="single" w:color="auto" w:sz="4" w:space="0"/>
              <w:left w:val="single" w:color="auto" w:sz="4" w:space="0"/>
              <w:bottom w:val="single" w:color="auto" w:sz="4" w:space="0"/>
              <w:right w:val="single" w:color="auto" w:sz="4" w:space="0"/>
            </w:tcBorders>
            <w:noWrap/>
            <w:hideMark/>
          </w:tcPr>
          <w:p w:rsidRPr="009C1CDA" w:rsidR="000B09B4" w:rsidP="009C1CDA" w:rsidRDefault="000B09B4" w14:paraId="3F10C1A3" w14:textId="77777777"/>
        </w:tc>
        <w:tc>
          <w:tcPr>
            <w:tcW w:w="701" w:type="pct"/>
            <w:tcBorders>
              <w:top w:val="single" w:color="auto" w:sz="4" w:space="0"/>
              <w:left w:val="single" w:color="auto" w:sz="4" w:space="0"/>
              <w:bottom w:val="single" w:color="auto" w:sz="4" w:space="0"/>
              <w:right w:val="single" w:color="auto" w:sz="4" w:space="0"/>
            </w:tcBorders>
            <w:noWrap/>
            <w:hideMark/>
          </w:tcPr>
          <w:p w:rsidRPr="009C1CDA" w:rsidR="000B09B4" w:rsidP="009C1CDA" w:rsidRDefault="000B09B4" w14:paraId="00E17059" w14:textId="77777777"/>
        </w:tc>
        <w:tc>
          <w:tcPr>
            <w:tcW w:w="655" w:type="pct"/>
            <w:tcBorders>
              <w:top w:val="single" w:color="auto" w:sz="4" w:space="0"/>
              <w:left w:val="single" w:color="auto" w:sz="4" w:space="0"/>
              <w:bottom w:val="single" w:color="auto" w:sz="4" w:space="0"/>
              <w:right w:val="single" w:color="auto" w:sz="4" w:space="0"/>
            </w:tcBorders>
            <w:noWrap/>
            <w:hideMark/>
          </w:tcPr>
          <w:p w:rsidRPr="009C1CDA" w:rsidR="000B09B4" w:rsidP="009C1CDA" w:rsidRDefault="000B09B4" w14:paraId="639FA98C" w14:textId="77777777"/>
        </w:tc>
        <w:tc>
          <w:tcPr>
            <w:tcW w:w="560" w:type="pct"/>
            <w:tcBorders>
              <w:top w:val="single" w:color="auto" w:sz="4" w:space="0"/>
              <w:left w:val="single" w:color="auto" w:sz="4" w:space="0"/>
              <w:bottom w:val="single" w:color="auto" w:sz="4" w:space="0"/>
              <w:right w:val="single" w:color="auto" w:sz="4" w:space="0"/>
            </w:tcBorders>
            <w:noWrap/>
            <w:hideMark/>
          </w:tcPr>
          <w:p w:rsidRPr="009C1CDA" w:rsidR="000B09B4" w:rsidP="009C1CDA" w:rsidRDefault="000B09B4" w14:paraId="7F3847EF" w14:textId="77777777">
            <w:pPr>
              <w:widowControl w:val="0"/>
              <w:autoSpaceDE w:val="0"/>
              <w:autoSpaceDN w:val="0"/>
              <w:adjustRightInd w:val="0"/>
            </w:pPr>
            <w:r w:rsidRPr="009C1CDA">
              <w:t>1,</w:t>
            </w:r>
            <w:r w:rsidRPr="009C1CDA" w:rsidR="006A4BB1">
              <w:t>304</w:t>
            </w:r>
            <w:r w:rsidRPr="009C1CDA" w:rsidR="000B324D">
              <w:t>*</w:t>
            </w:r>
          </w:p>
        </w:tc>
        <w:tc>
          <w:tcPr>
            <w:tcW w:w="607" w:type="pct"/>
            <w:tcBorders>
              <w:top w:val="single" w:color="auto" w:sz="4" w:space="0"/>
              <w:left w:val="single" w:color="auto" w:sz="4" w:space="0"/>
              <w:bottom w:val="single" w:color="auto" w:sz="4" w:space="0"/>
              <w:right w:val="single" w:color="auto" w:sz="4" w:space="0"/>
            </w:tcBorders>
            <w:noWrap/>
            <w:hideMark/>
          </w:tcPr>
          <w:p w:rsidRPr="009C1CDA" w:rsidR="000B09B4" w:rsidP="00D11BAB" w:rsidRDefault="000B09B4" w14:paraId="2D2C8C98" w14:textId="77777777">
            <w:pPr>
              <w:widowControl w:val="0"/>
              <w:autoSpaceDE w:val="0"/>
              <w:autoSpaceDN w:val="0"/>
              <w:adjustRightInd w:val="0"/>
              <w:jc w:val="right"/>
            </w:pPr>
            <w:r w:rsidRPr="009C1CDA">
              <w:t>$</w:t>
            </w:r>
            <w:r w:rsidRPr="009C1CDA" w:rsidR="00462345">
              <w:t>2</w:t>
            </w:r>
            <w:r w:rsidRPr="009C1CDA" w:rsidR="006A4BB1">
              <w:t>1</w:t>
            </w:r>
            <w:r w:rsidRPr="009C1CDA">
              <w:t>,</w:t>
            </w:r>
            <w:r w:rsidRPr="009C1CDA" w:rsidR="006A4BB1">
              <w:t>556</w:t>
            </w:r>
            <w:r w:rsidRPr="009C1CDA">
              <w:t xml:space="preserve"> </w:t>
            </w:r>
          </w:p>
        </w:tc>
      </w:tr>
    </w:tbl>
    <w:p w:rsidRPr="00E13C25" w:rsidR="000B09B4" w:rsidP="00E13C25" w:rsidRDefault="000B09B4" w14:paraId="0C9EE3C4" w14:textId="77777777">
      <w:pPr>
        <w:rPr>
          <w:i/>
        </w:rPr>
      </w:pPr>
      <w:r w:rsidRPr="00E13C25">
        <w:rPr>
          <w:i/>
          <w:vertAlign w:val="superscript"/>
        </w:rPr>
        <w:t>*</w:t>
      </w:r>
      <w:r w:rsidRPr="00E13C25" w:rsidR="00475CFB">
        <w:rPr>
          <w:i/>
        </w:rPr>
        <w:t xml:space="preserve">1,195 </w:t>
      </w:r>
      <w:r w:rsidRPr="00E13C25">
        <w:rPr>
          <w:i/>
        </w:rPr>
        <w:t xml:space="preserve">(Response) + </w:t>
      </w:r>
      <w:r w:rsidRPr="00E13C25" w:rsidR="00475CFB">
        <w:rPr>
          <w:i/>
        </w:rPr>
        <w:t>109</w:t>
      </w:r>
      <w:r w:rsidRPr="00E13C25">
        <w:rPr>
          <w:i/>
        </w:rPr>
        <w:t xml:space="preserve"> (Non response) burden hours </w:t>
      </w:r>
    </w:p>
    <w:p w:rsidR="000B09B4" w:rsidP="000B09B4" w:rsidRDefault="000B09B4" w14:paraId="46949FDC" w14:textId="77777777"/>
    <w:p w:rsidR="000B09B4" w:rsidP="00675057" w:rsidRDefault="000B09B4" w14:paraId="4EC5839A" w14:textId="77777777">
      <w:pPr>
        <w:rPr>
          <w:b/>
        </w:rPr>
      </w:pPr>
    </w:p>
    <w:p w:rsidR="00D11BAB" w:rsidP="00675057" w:rsidRDefault="00900546" w14:paraId="0818E075" w14:textId="427E3D5B">
      <w:r w:rsidRPr="000B09B4">
        <w:rPr>
          <w:b/>
        </w:rPr>
        <w:t xml:space="preserve">Table </w:t>
      </w:r>
      <w:r w:rsidR="005E1C87">
        <w:rPr>
          <w:b/>
        </w:rPr>
        <w:t>2</w:t>
      </w:r>
      <w:r w:rsidRPr="000B09B4">
        <w:rPr>
          <w:b/>
        </w:rPr>
        <w:t>:</w:t>
      </w:r>
      <w:r w:rsidRPr="00D11BAB">
        <w:t xml:space="preserve"> Sampling Requirements by Geographical Jurisdictions</w:t>
      </w:r>
      <w:r w:rsidR="00D11BAB">
        <w:t>.</w:t>
      </w:r>
    </w:p>
    <w:p w:rsidRPr="000B09B4" w:rsidR="009C4596" w:rsidP="00675057" w:rsidRDefault="009C4596" w14:paraId="0004AEBE" w14:textId="77777777">
      <w:pPr>
        <w:rPr>
          <w:b/>
        </w:rPr>
      </w:pPr>
    </w:p>
    <w:tbl>
      <w:tblPr>
        <w:tblW w:w="65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15"/>
        <w:gridCol w:w="1342"/>
        <w:gridCol w:w="1016"/>
        <w:gridCol w:w="1014"/>
        <w:gridCol w:w="1697"/>
      </w:tblGrid>
      <w:tr w:rsidRPr="000B09B4" w:rsidR="00BF3731" w:rsidTr="00E26727" w14:paraId="4087DF03" w14:textId="77777777">
        <w:tc>
          <w:tcPr>
            <w:tcW w:w="1515" w:type="dxa"/>
            <w:tcBorders>
              <w:top w:val="single" w:color="auto" w:sz="4" w:space="0"/>
              <w:left w:val="single" w:color="auto" w:sz="4" w:space="0"/>
              <w:bottom w:val="single" w:color="auto" w:sz="4" w:space="0"/>
              <w:right w:val="single" w:color="auto" w:sz="4" w:space="0"/>
            </w:tcBorders>
            <w:shd w:val="clear" w:color="auto" w:fill="BFBFBF"/>
            <w:vAlign w:val="center"/>
            <w:hideMark/>
          </w:tcPr>
          <w:p w:rsidR="005E1C87" w:rsidP="0093057C" w:rsidRDefault="005E1C87" w14:paraId="427C8F66" w14:textId="77777777">
            <w:pPr>
              <w:widowControl w:val="0"/>
              <w:autoSpaceDE w:val="0"/>
              <w:autoSpaceDN w:val="0"/>
              <w:adjustRightInd w:val="0"/>
              <w:spacing w:before="100" w:beforeAutospacing="1" w:after="100" w:afterAutospacing="1" w:line="276" w:lineRule="auto"/>
              <w:rPr>
                <w:rFonts w:eastAsia="Times New Roman"/>
                <w:b/>
              </w:rPr>
            </w:pPr>
            <w:r>
              <w:rPr>
                <w:b/>
                <w:iCs/>
              </w:rPr>
              <w:t>Jurisdiction</w:t>
            </w:r>
          </w:p>
        </w:tc>
        <w:tc>
          <w:tcPr>
            <w:tcW w:w="1342" w:type="dxa"/>
            <w:tcBorders>
              <w:top w:val="single" w:color="auto" w:sz="4" w:space="0"/>
              <w:left w:val="single" w:color="auto" w:sz="4" w:space="0"/>
              <w:bottom w:val="single" w:color="auto" w:sz="4" w:space="0"/>
              <w:right w:val="single" w:color="auto" w:sz="4" w:space="0"/>
            </w:tcBorders>
            <w:shd w:val="clear" w:color="auto" w:fill="BFBFBF"/>
            <w:vAlign w:val="center"/>
            <w:hideMark/>
          </w:tcPr>
          <w:p w:rsidR="005E1C87" w:rsidP="0093057C" w:rsidRDefault="005E1C87" w14:paraId="3F9607F5" w14:textId="77777777">
            <w:pPr>
              <w:widowControl w:val="0"/>
              <w:autoSpaceDE w:val="0"/>
              <w:autoSpaceDN w:val="0"/>
              <w:adjustRightInd w:val="0"/>
              <w:spacing w:before="100" w:beforeAutospacing="1" w:after="100" w:afterAutospacing="1" w:line="276" w:lineRule="auto"/>
              <w:rPr>
                <w:rFonts w:eastAsia="Times New Roman"/>
                <w:b/>
                <w:bCs/>
                <w:iCs/>
              </w:rPr>
            </w:pPr>
            <w:r>
              <w:rPr>
                <w:b/>
                <w:bCs/>
                <w:iCs/>
              </w:rPr>
              <w:t>Total Sample</w:t>
            </w:r>
          </w:p>
        </w:tc>
        <w:tc>
          <w:tcPr>
            <w:tcW w:w="3727" w:type="dxa"/>
            <w:gridSpan w:val="3"/>
            <w:tcBorders>
              <w:top w:val="single" w:color="auto" w:sz="4" w:space="0"/>
              <w:left w:val="single" w:color="auto" w:sz="4" w:space="0"/>
              <w:bottom w:val="single" w:color="auto" w:sz="4" w:space="0"/>
              <w:right w:val="single" w:color="auto" w:sz="4" w:space="0"/>
            </w:tcBorders>
            <w:shd w:val="clear" w:color="auto" w:fill="BFBFBF"/>
          </w:tcPr>
          <w:p w:rsidR="005E1C87" w:rsidP="0093057C" w:rsidRDefault="005E1C87" w14:paraId="79BC1BEA" w14:textId="77777777">
            <w:pPr>
              <w:widowControl w:val="0"/>
              <w:autoSpaceDE w:val="0"/>
              <w:autoSpaceDN w:val="0"/>
              <w:adjustRightInd w:val="0"/>
              <w:spacing w:line="276" w:lineRule="auto"/>
              <w:rPr>
                <w:b/>
                <w:bCs/>
                <w:iCs/>
              </w:rPr>
            </w:pPr>
            <w:r>
              <w:rPr>
                <w:b/>
                <w:bCs/>
                <w:iCs/>
              </w:rPr>
              <w:t>Sample Size by Strata</w:t>
            </w:r>
          </w:p>
        </w:tc>
      </w:tr>
      <w:tr w:rsidRPr="000B09B4" w:rsidR="009C4596" w:rsidTr="00E26727" w14:paraId="7A6C0DF3" w14:textId="77777777">
        <w:tc>
          <w:tcPr>
            <w:tcW w:w="1515" w:type="dxa"/>
            <w:vMerge w:val="restart"/>
            <w:tcBorders>
              <w:top w:val="single" w:color="auto" w:sz="4" w:space="0"/>
              <w:left w:val="single" w:color="auto" w:sz="4" w:space="0"/>
              <w:right w:val="single" w:color="auto" w:sz="4" w:space="0"/>
            </w:tcBorders>
            <w:vAlign w:val="center"/>
            <w:hideMark/>
          </w:tcPr>
          <w:p w:rsidR="009C4596" w:rsidP="00BF3731" w:rsidRDefault="009C4596" w14:paraId="37834B6F" w14:textId="6547D5FB">
            <w:pPr>
              <w:widowControl w:val="0"/>
              <w:autoSpaceDE w:val="0"/>
              <w:autoSpaceDN w:val="0"/>
              <w:adjustRightInd w:val="0"/>
              <w:spacing w:before="100" w:beforeAutospacing="1" w:after="100" w:afterAutospacing="1" w:line="276" w:lineRule="auto"/>
              <w:rPr>
                <w:rFonts w:eastAsia="Times New Roman"/>
              </w:rPr>
            </w:pPr>
            <w:r>
              <w:t>4. American Samoa</w:t>
            </w:r>
          </w:p>
        </w:tc>
        <w:tc>
          <w:tcPr>
            <w:tcW w:w="1342" w:type="dxa"/>
            <w:vMerge w:val="restart"/>
            <w:tcBorders>
              <w:top w:val="single" w:color="auto" w:sz="4" w:space="0"/>
              <w:left w:val="single" w:color="auto" w:sz="4" w:space="0"/>
              <w:right w:val="single" w:color="auto" w:sz="4" w:space="0"/>
            </w:tcBorders>
            <w:vAlign w:val="center"/>
            <w:hideMark/>
          </w:tcPr>
          <w:p w:rsidRPr="00B13788" w:rsidR="009C4596" w:rsidP="00DA71C1" w:rsidRDefault="009C4596" w14:paraId="42F1B6E4" w14:textId="0D6913EF">
            <w:pPr>
              <w:widowControl w:val="0"/>
              <w:autoSpaceDE w:val="0"/>
              <w:autoSpaceDN w:val="0"/>
              <w:adjustRightInd w:val="0"/>
              <w:spacing w:before="100" w:beforeAutospacing="1" w:after="100" w:afterAutospacing="1" w:line="276" w:lineRule="auto"/>
              <w:rPr>
                <w:rFonts w:eastAsia="Times New Roman"/>
                <w:highlight w:val="yellow"/>
              </w:rPr>
            </w:pPr>
            <w:r>
              <w:rPr>
                <w:rFonts w:eastAsia="Times New Roman"/>
                <w:highlight w:val="yellow"/>
              </w:rPr>
              <w:t>815</w:t>
            </w:r>
          </w:p>
        </w:tc>
        <w:tc>
          <w:tcPr>
            <w:tcW w:w="1016" w:type="dxa"/>
            <w:tcBorders>
              <w:top w:val="single" w:color="auto" w:sz="4" w:space="0"/>
              <w:left w:val="single" w:color="auto" w:sz="4" w:space="0"/>
              <w:right w:val="single" w:color="auto" w:sz="4" w:space="0"/>
            </w:tcBorders>
            <w:vAlign w:val="center"/>
          </w:tcPr>
          <w:p w:rsidRPr="00B13788" w:rsidR="009C4596" w:rsidP="00DA71C1" w:rsidRDefault="009C4596" w14:paraId="4E02334D" w14:textId="3CED43CD">
            <w:pPr>
              <w:widowControl w:val="0"/>
              <w:autoSpaceDE w:val="0"/>
              <w:autoSpaceDN w:val="0"/>
              <w:adjustRightInd w:val="0"/>
              <w:spacing w:before="100" w:beforeAutospacing="1" w:after="100" w:afterAutospacing="1" w:line="276" w:lineRule="auto"/>
              <w:rPr>
                <w:rFonts w:eastAsia="Times New Roman"/>
                <w:bCs/>
                <w:iCs/>
                <w:highlight w:val="yellow"/>
              </w:rPr>
            </w:pPr>
            <w:r>
              <w:rPr>
                <w:rFonts w:eastAsia="Times New Roman"/>
                <w:bCs/>
                <w:iCs/>
                <w:highlight w:val="yellow"/>
              </w:rPr>
              <w:t>218</w:t>
            </w:r>
          </w:p>
        </w:tc>
        <w:tc>
          <w:tcPr>
            <w:tcW w:w="1014" w:type="dxa"/>
            <w:vMerge w:val="restart"/>
            <w:tcBorders>
              <w:top w:val="single" w:color="auto" w:sz="4" w:space="0"/>
              <w:left w:val="single" w:color="auto" w:sz="4" w:space="0"/>
              <w:right w:val="single" w:color="auto" w:sz="4" w:space="0"/>
            </w:tcBorders>
            <w:vAlign w:val="center"/>
          </w:tcPr>
          <w:p w:rsidRPr="009C4596" w:rsidR="009C4596" w:rsidP="00BF3731" w:rsidRDefault="009C4596" w14:paraId="4576EF15" w14:textId="2FB4925F">
            <w:pPr>
              <w:widowControl w:val="0"/>
              <w:autoSpaceDE w:val="0"/>
              <w:autoSpaceDN w:val="0"/>
              <w:adjustRightInd w:val="0"/>
              <w:spacing w:before="100" w:beforeAutospacing="1" w:after="100" w:afterAutospacing="1" w:line="276" w:lineRule="auto"/>
              <w:rPr>
                <w:rFonts w:eastAsia="Times New Roman"/>
                <w:highlight w:val="yellow"/>
              </w:rPr>
            </w:pPr>
            <w:r w:rsidRPr="009C4596">
              <w:rPr>
                <w:highlight w:val="yellow"/>
              </w:rPr>
              <w:t>Tutuila Island</w:t>
            </w:r>
          </w:p>
        </w:tc>
        <w:tc>
          <w:tcPr>
            <w:tcW w:w="1697" w:type="dxa"/>
            <w:tcBorders>
              <w:top w:val="single" w:color="auto" w:sz="4" w:space="0"/>
              <w:left w:val="single" w:color="auto" w:sz="4" w:space="0"/>
              <w:bottom w:val="single" w:color="auto" w:sz="4" w:space="0"/>
              <w:right w:val="single" w:color="auto" w:sz="4" w:space="0"/>
            </w:tcBorders>
            <w:vAlign w:val="center"/>
            <w:hideMark/>
          </w:tcPr>
          <w:p w:rsidRPr="00D93B8F" w:rsidR="009C4596" w:rsidP="00BF3731" w:rsidRDefault="009C4596" w14:paraId="7EBED7DC" w14:textId="1797DBDB">
            <w:pPr>
              <w:widowControl w:val="0"/>
              <w:autoSpaceDE w:val="0"/>
              <w:autoSpaceDN w:val="0"/>
              <w:adjustRightInd w:val="0"/>
              <w:spacing w:line="276" w:lineRule="auto"/>
              <w:rPr>
                <w:rFonts w:eastAsia="Times New Roman"/>
                <w:highlight w:val="yellow"/>
              </w:rPr>
            </w:pPr>
            <w:r>
              <w:rPr>
                <w:highlight w:val="yellow"/>
              </w:rPr>
              <w:t>Urban villages</w:t>
            </w:r>
          </w:p>
        </w:tc>
      </w:tr>
      <w:tr w:rsidRPr="000B09B4" w:rsidR="009C4596" w:rsidTr="009553CD" w14:paraId="49FDC05D" w14:textId="77777777">
        <w:tc>
          <w:tcPr>
            <w:tcW w:w="1515" w:type="dxa"/>
            <w:vMerge/>
            <w:tcBorders>
              <w:top w:val="single" w:color="auto" w:sz="4" w:space="0"/>
              <w:left w:val="single" w:color="auto" w:sz="4" w:space="0"/>
              <w:right w:val="single" w:color="auto" w:sz="4" w:space="0"/>
            </w:tcBorders>
            <w:vAlign w:val="center"/>
          </w:tcPr>
          <w:p w:rsidR="009C4596" w:rsidP="00BF3731" w:rsidRDefault="009C4596" w14:paraId="118A2C63" w14:textId="77777777">
            <w:pPr>
              <w:widowControl w:val="0"/>
              <w:autoSpaceDE w:val="0"/>
              <w:autoSpaceDN w:val="0"/>
              <w:adjustRightInd w:val="0"/>
              <w:spacing w:before="100" w:beforeAutospacing="1" w:after="100" w:afterAutospacing="1" w:line="276" w:lineRule="auto"/>
            </w:pPr>
          </w:p>
        </w:tc>
        <w:tc>
          <w:tcPr>
            <w:tcW w:w="1342" w:type="dxa"/>
            <w:vMerge/>
            <w:tcBorders>
              <w:top w:val="single" w:color="auto" w:sz="4" w:space="0"/>
              <w:left w:val="single" w:color="auto" w:sz="4" w:space="0"/>
              <w:right w:val="single" w:color="auto" w:sz="4" w:space="0"/>
            </w:tcBorders>
            <w:vAlign w:val="center"/>
          </w:tcPr>
          <w:p w:rsidR="009C4596" w:rsidP="00DA71C1" w:rsidRDefault="009C4596" w14:paraId="7CD59971" w14:textId="77777777">
            <w:pPr>
              <w:widowControl w:val="0"/>
              <w:autoSpaceDE w:val="0"/>
              <w:autoSpaceDN w:val="0"/>
              <w:adjustRightInd w:val="0"/>
              <w:spacing w:before="100" w:beforeAutospacing="1" w:after="100" w:afterAutospacing="1" w:line="276" w:lineRule="auto"/>
              <w:rPr>
                <w:rFonts w:eastAsia="Times New Roman"/>
                <w:highlight w:val="yellow"/>
              </w:rPr>
            </w:pPr>
          </w:p>
        </w:tc>
        <w:tc>
          <w:tcPr>
            <w:tcW w:w="1016" w:type="dxa"/>
            <w:tcBorders>
              <w:top w:val="single" w:color="auto" w:sz="4" w:space="0"/>
              <w:left w:val="single" w:color="auto" w:sz="4" w:space="0"/>
              <w:right w:val="single" w:color="auto" w:sz="4" w:space="0"/>
            </w:tcBorders>
            <w:vAlign w:val="center"/>
          </w:tcPr>
          <w:p w:rsidR="009C4596" w:rsidP="00DA71C1" w:rsidRDefault="009C4596" w14:paraId="296C8F32" w14:textId="41A61C08">
            <w:pPr>
              <w:widowControl w:val="0"/>
              <w:autoSpaceDE w:val="0"/>
              <w:autoSpaceDN w:val="0"/>
              <w:adjustRightInd w:val="0"/>
              <w:spacing w:before="100" w:beforeAutospacing="1" w:after="100" w:afterAutospacing="1" w:line="276" w:lineRule="auto"/>
              <w:rPr>
                <w:rFonts w:eastAsia="Times New Roman"/>
                <w:bCs/>
                <w:iCs/>
                <w:highlight w:val="yellow"/>
              </w:rPr>
            </w:pPr>
            <w:r>
              <w:rPr>
                <w:rFonts w:eastAsia="Times New Roman"/>
                <w:bCs/>
                <w:iCs/>
                <w:highlight w:val="yellow"/>
              </w:rPr>
              <w:t>376</w:t>
            </w:r>
          </w:p>
        </w:tc>
        <w:tc>
          <w:tcPr>
            <w:tcW w:w="1014" w:type="dxa"/>
            <w:vMerge/>
            <w:tcBorders>
              <w:left w:val="single" w:color="auto" w:sz="4" w:space="0"/>
              <w:right w:val="single" w:color="auto" w:sz="4" w:space="0"/>
            </w:tcBorders>
            <w:vAlign w:val="center"/>
          </w:tcPr>
          <w:p w:rsidR="009C4596" w:rsidP="00BF3731" w:rsidRDefault="009C4596" w14:paraId="44BE307A" w14:textId="77777777">
            <w:pPr>
              <w:widowControl w:val="0"/>
              <w:autoSpaceDE w:val="0"/>
              <w:autoSpaceDN w:val="0"/>
              <w:adjustRightInd w:val="0"/>
              <w:spacing w:before="100" w:beforeAutospacing="1" w:after="100" w:afterAutospacing="1" w:line="276" w:lineRule="auto"/>
            </w:pPr>
          </w:p>
        </w:tc>
        <w:tc>
          <w:tcPr>
            <w:tcW w:w="1697" w:type="dxa"/>
            <w:tcBorders>
              <w:top w:val="single" w:color="auto" w:sz="4" w:space="0"/>
              <w:left w:val="single" w:color="auto" w:sz="4" w:space="0"/>
              <w:bottom w:val="single" w:color="auto" w:sz="4" w:space="0"/>
              <w:right w:val="single" w:color="auto" w:sz="4" w:space="0"/>
            </w:tcBorders>
            <w:vAlign w:val="center"/>
          </w:tcPr>
          <w:p w:rsidR="009C4596" w:rsidP="00BF3731" w:rsidRDefault="009C4596" w14:paraId="4F56A4D1" w14:textId="6554602C">
            <w:pPr>
              <w:widowControl w:val="0"/>
              <w:autoSpaceDE w:val="0"/>
              <w:autoSpaceDN w:val="0"/>
              <w:adjustRightInd w:val="0"/>
              <w:spacing w:line="276" w:lineRule="auto"/>
              <w:rPr>
                <w:highlight w:val="yellow"/>
              </w:rPr>
            </w:pPr>
            <w:r>
              <w:rPr>
                <w:highlight w:val="yellow"/>
              </w:rPr>
              <w:t>Semi-urban villages</w:t>
            </w:r>
          </w:p>
        </w:tc>
      </w:tr>
      <w:tr w:rsidRPr="000B09B4" w:rsidR="009C4596" w:rsidTr="009553CD" w14:paraId="361A2196" w14:textId="77777777">
        <w:tc>
          <w:tcPr>
            <w:tcW w:w="1515" w:type="dxa"/>
            <w:vMerge/>
            <w:tcBorders>
              <w:top w:val="single" w:color="auto" w:sz="4" w:space="0"/>
              <w:left w:val="single" w:color="auto" w:sz="4" w:space="0"/>
              <w:right w:val="single" w:color="auto" w:sz="4" w:space="0"/>
            </w:tcBorders>
            <w:vAlign w:val="center"/>
          </w:tcPr>
          <w:p w:rsidR="009C4596" w:rsidP="00BF3731" w:rsidRDefault="009C4596" w14:paraId="1F0304E9" w14:textId="77777777">
            <w:pPr>
              <w:widowControl w:val="0"/>
              <w:autoSpaceDE w:val="0"/>
              <w:autoSpaceDN w:val="0"/>
              <w:adjustRightInd w:val="0"/>
              <w:spacing w:before="100" w:beforeAutospacing="1" w:after="100" w:afterAutospacing="1" w:line="276" w:lineRule="auto"/>
            </w:pPr>
          </w:p>
        </w:tc>
        <w:tc>
          <w:tcPr>
            <w:tcW w:w="1342" w:type="dxa"/>
            <w:vMerge/>
            <w:tcBorders>
              <w:top w:val="single" w:color="auto" w:sz="4" w:space="0"/>
              <w:left w:val="single" w:color="auto" w:sz="4" w:space="0"/>
              <w:right w:val="single" w:color="auto" w:sz="4" w:space="0"/>
            </w:tcBorders>
            <w:vAlign w:val="center"/>
          </w:tcPr>
          <w:p w:rsidR="009C4596" w:rsidP="00DA71C1" w:rsidRDefault="009C4596" w14:paraId="51E018F0" w14:textId="77777777">
            <w:pPr>
              <w:widowControl w:val="0"/>
              <w:autoSpaceDE w:val="0"/>
              <w:autoSpaceDN w:val="0"/>
              <w:adjustRightInd w:val="0"/>
              <w:spacing w:before="100" w:beforeAutospacing="1" w:after="100" w:afterAutospacing="1" w:line="276" w:lineRule="auto"/>
              <w:rPr>
                <w:rFonts w:eastAsia="Times New Roman"/>
                <w:highlight w:val="yellow"/>
              </w:rPr>
            </w:pPr>
          </w:p>
        </w:tc>
        <w:tc>
          <w:tcPr>
            <w:tcW w:w="1016" w:type="dxa"/>
            <w:tcBorders>
              <w:top w:val="single" w:color="auto" w:sz="4" w:space="0"/>
              <w:left w:val="single" w:color="auto" w:sz="4" w:space="0"/>
              <w:right w:val="single" w:color="auto" w:sz="4" w:space="0"/>
            </w:tcBorders>
            <w:vAlign w:val="center"/>
          </w:tcPr>
          <w:p w:rsidR="009C4596" w:rsidP="00DA71C1" w:rsidRDefault="009C4596" w14:paraId="1D29952B" w14:textId="3CF9FCEB">
            <w:pPr>
              <w:widowControl w:val="0"/>
              <w:autoSpaceDE w:val="0"/>
              <w:autoSpaceDN w:val="0"/>
              <w:adjustRightInd w:val="0"/>
              <w:spacing w:before="100" w:beforeAutospacing="1" w:after="100" w:afterAutospacing="1" w:line="276" w:lineRule="auto"/>
              <w:rPr>
                <w:rFonts w:eastAsia="Times New Roman"/>
                <w:bCs/>
                <w:iCs/>
                <w:highlight w:val="yellow"/>
              </w:rPr>
            </w:pPr>
            <w:r>
              <w:rPr>
                <w:rFonts w:eastAsia="Times New Roman"/>
                <w:bCs/>
                <w:iCs/>
                <w:highlight w:val="yellow"/>
              </w:rPr>
              <w:t>107</w:t>
            </w:r>
          </w:p>
        </w:tc>
        <w:tc>
          <w:tcPr>
            <w:tcW w:w="1014" w:type="dxa"/>
            <w:vMerge/>
            <w:tcBorders>
              <w:left w:val="single" w:color="auto" w:sz="4" w:space="0"/>
              <w:right w:val="single" w:color="auto" w:sz="4" w:space="0"/>
            </w:tcBorders>
            <w:vAlign w:val="center"/>
          </w:tcPr>
          <w:p w:rsidR="009C4596" w:rsidP="00BF3731" w:rsidRDefault="009C4596" w14:paraId="5F4C4E43" w14:textId="77777777">
            <w:pPr>
              <w:widowControl w:val="0"/>
              <w:autoSpaceDE w:val="0"/>
              <w:autoSpaceDN w:val="0"/>
              <w:adjustRightInd w:val="0"/>
              <w:spacing w:before="100" w:beforeAutospacing="1" w:after="100" w:afterAutospacing="1" w:line="276" w:lineRule="auto"/>
            </w:pPr>
          </w:p>
        </w:tc>
        <w:tc>
          <w:tcPr>
            <w:tcW w:w="1697" w:type="dxa"/>
            <w:tcBorders>
              <w:top w:val="single" w:color="auto" w:sz="4" w:space="0"/>
              <w:left w:val="single" w:color="auto" w:sz="4" w:space="0"/>
              <w:bottom w:val="single" w:color="auto" w:sz="4" w:space="0"/>
              <w:right w:val="single" w:color="auto" w:sz="4" w:space="0"/>
            </w:tcBorders>
            <w:vAlign w:val="center"/>
          </w:tcPr>
          <w:p w:rsidR="009C4596" w:rsidP="00BF3731" w:rsidRDefault="009C4596" w14:paraId="0D6350A9" w14:textId="16290CC7">
            <w:pPr>
              <w:widowControl w:val="0"/>
              <w:autoSpaceDE w:val="0"/>
              <w:autoSpaceDN w:val="0"/>
              <w:adjustRightInd w:val="0"/>
              <w:spacing w:line="276" w:lineRule="auto"/>
              <w:rPr>
                <w:highlight w:val="yellow"/>
              </w:rPr>
            </w:pPr>
            <w:r>
              <w:rPr>
                <w:highlight w:val="yellow"/>
              </w:rPr>
              <w:t>Rural villages</w:t>
            </w:r>
          </w:p>
        </w:tc>
      </w:tr>
      <w:tr w:rsidRPr="000B09B4" w:rsidR="009C4596" w:rsidTr="009553CD" w14:paraId="42EF40D0" w14:textId="77777777">
        <w:tc>
          <w:tcPr>
            <w:tcW w:w="1515" w:type="dxa"/>
            <w:vMerge/>
            <w:tcBorders>
              <w:top w:val="single" w:color="auto" w:sz="4" w:space="0"/>
              <w:left w:val="single" w:color="auto" w:sz="4" w:space="0"/>
              <w:right w:val="single" w:color="auto" w:sz="4" w:space="0"/>
            </w:tcBorders>
            <w:vAlign w:val="center"/>
          </w:tcPr>
          <w:p w:rsidR="009C4596" w:rsidP="00BF3731" w:rsidRDefault="009C4596" w14:paraId="5422CA47" w14:textId="77777777">
            <w:pPr>
              <w:widowControl w:val="0"/>
              <w:autoSpaceDE w:val="0"/>
              <w:autoSpaceDN w:val="0"/>
              <w:adjustRightInd w:val="0"/>
              <w:spacing w:before="100" w:beforeAutospacing="1" w:after="100" w:afterAutospacing="1" w:line="276" w:lineRule="auto"/>
            </w:pPr>
          </w:p>
        </w:tc>
        <w:tc>
          <w:tcPr>
            <w:tcW w:w="1342" w:type="dxa"/>
            <w:vMerge/>
            <w:tcBorders>
              <w:top w:val="single" w:color="auto" w:sz="4" w:space="0"/>
              <w:left w:val="single" w:color="auto" w:sz="4" w:space="0"/>
              <w:right w:val="single" w:color="auto" w:sz="4" w:space="0"/>
            </w:tcBorders>
            <w:vAlign w:val="center"/>
          </w:tcPr>
          <w:p w:rsidR="009C4596" w:rsidP="00DA71C1" w:rsidRDefault="009C4596" w14:paraId="55B6E16E" w14:textId="77777777">
            <w:pPr>
              <w:widowControl w:val="0"/>
              <w:autoSpaceDE w:val="0"/>
              <w:autoSpaceDN w:val="0"/>
              <w:adjustRightInd w:val="0"/>
              <w:spacing w:before="100" w:beforeAutospacing="1" w:after="100" w:afterAutospacing="1" w:line="276" w:lineRule="auto"/>
              <w:rPr>
                <w:rFonts w:eastAsia="Times New Roman"/>
                <w:highlight w:val="yellow"/>
              </w:rPr>
            </w:pPr>
          </w:p>
        </w:tc>
        <w:tc>
          <w:tcPr>
            <w:tcW w:w="1016" w:type="dxa"/>
            <w:tcBorders>
              <w:top w:val="single" w:color="auto" w:sz="4" w:space="0"/>
              <w:left w:val="single" w:color="auto" w:sz="4" w:space="0"/>
              <w:right w:val="single" w:color="auto" w:sz="4" w:space="0"/>
            </w:tcBorders>
            <w:vAlign w:val="center"/>
          </w:tcPr>
          <w:p w:rsidR="009C4596" w:rsidP="00DA71C1" w:rsidRDefault="009C4596" w14:paraId="63F3186B" w14:textId="7D4F9A21">
            <w:pPr>
              <w:widowControl w:val="0"/>
              <w:autoSpaceDE w:val="0"/>
              <w:autoSpaceDN w:val="0"/>
              <w:adjustRightInd w:val="0"/>
              <w:spacing w:before="100" w:beforeAutospacing="1" w:after="100" w:afterAutospacing="1" w:line="276" w:lineRule="auto"/>
              <w:rPr>
                <w:rFonts w:eastAsia="Times New Roman"/>
                <w:bCs/>
                <w:iCs/>
                <w:highlight w:val="yellow"/>
              </w:rPr>
            </w:pPr>
            <w:r>
              <w:rPr>
                <w:rFonts w:eastAsia="Times New Roman"/>
                <w:bCs/>
                <w:iCs/>
                <w:highlight w:val="yellow"/>
              </w:rPr>
              <w:t>114</w:t>
            </w:r>
          </w:p>
        </w:tc>
        <w:tc>
          <w:tcPr>
            <w:tcW w:w="1014" w:type="dxa"/>
            <w:vMerge/>
            <w:tcBorders>
              <w:left w:val="single" w:color="auto" w:sz="4" w:space="0"/>
              <w:right w:val="single" w:color="auto" w:sz="4" w:space="0"/>
            </w:tcBorders>
            <w:vAlign w:val="center"/>
          </w:tcPr>
          <w:p w:rsidR="009C4596" w:rsidP="00BF3731" w:rsidRDefault="009C4596" w14:paraId="7FFCAA71" w14:textId="77777777">
            <w:pPr>
              <w:widowControl w:val="0"/>
              <w:autoSpaceDE w:val="0"/>
              <w:autoSpaceDN w:val="0"/>
              <w:adjustRightInd w:val="0"/>
              <w:spacing w:before="100" w:beforeAutospacing="1" w:after="100" w:afterAutospacing="1" w:line="276" w:lineRule="auto"/>
            </w:pPr>
          </w:p>
        </w:tc>
        <w:tc>
          <w:tcPr>
            <w:tcW w:w="1697" w:type="dxa"/>
            <w:tcBorders>
              <w:top w:val="single" w:color="auto" w:sz="4" w:space="0"/>
              <w:left w:val="single" w:color="auto" w:sz="4" w:space="0"/>
              <w:bottom w:val="single" w:color="auto" w:sz="4" w:space="0"/>
              <w:right w:val="single" w:color="auto" w:sz="4" w:space="0"/>
            </w:tcBorders>
            <w:vAlign w:val="center"/>
          </w:tcPr>
          <w:p w:rsidR="009C4596" w:rsidP="00BF3731" w:rsidRDefault="009C4596" w14:paraId="1B23AEA2" w14:textId="3C48201F">
            <w:pPr>
              <w:widowControl w:val="0"/>
              <w:autoSpaceDE w:val="0"/>
              <w:autoSpaceDN w:val="0"/>
              <w:adjustRightInd w:val="0"/>
              <w:spacing w:line="276" w:lineRule="auto"/>
              <w:rPr>
                <w:highlight w:val="yellow"/>
              </w:rPr>
            </w:pPr>
            <w:r>
              <w:rPr>
                <w:highlight w:val="yellow"/>
              </w:rPr>
              <w:t xml:space="preserve">Village of </w:t>
            </w:r>
            <w:proofErr w:type="spellStart"/>
            <w:r>
              <w:rPr>
                <w:highlight w:val="yellow"/>
              </w:rPr>
              <w:t>Aua</w:t>
            </w:r>
            <w:proofErr w:type="spellEnd"/>
          </w:p>
        </w:tc>
      </w:tr>
    </w:tbl>
    <w:p w:rsidR="00900546" w:rsidP="00675057" w:rsidRDefault="00900546" w14:paraId="71EF1A1D" w14:textId="77777777"/>
    <w:p w:rsidR="00900546" w:rsidP="00E26727" w:rsidRDefault="00E46553" w14:paraId="7CC9CACF" w14:textId="7E205E63">
      <w:r>
        <w:t>The 20</w:t>
      </w:r>
      <w:r w:rsidR="00D37EC4">
        <w:t>20</w:t>
      </w:r>
      <w:r>
        <w:t xml:space="preserve"> </w:t>
      </w:r>
      <w:r w:rsidR="00D37EC4">
        <w:t>AMERICAN SAMOA</w:t>
      </w:r>
      <w:r>
        <w:t xml:space="preserve"> SURVEY instrument includes script language for </w:t>
      </w:r>
      <w:r w:rsidR="00D37EC4">
        <w:t xml:space="preserve">English. The Samoan translation </w:t>
      </w:r>
      <w:r w:rsidR="00BF3310">
        <w:t xml:space="preserve">and associated script </w:t>
      </w:r>
      <w:r w:rsidR="00D37EC4">
        <w:t>will be provided by the contractor after</w:t>
      </w:r>
      <w:r w:rsidR="00E501B3">
        <w:t xml:space="preserve"> OMB</w:t>
      </w:r>
      <w:r w:rsidR="00D37EC4">
        <w:t xml:space="preserve"> clearance.</w:t>
      </w:r>
      <w:r>
        <w:t xml:space="preserve"> </w:t>
      </w:r>
      <w:r w:rsidR="005F1D1C">
        <w:t xml:space="preserve">Each question in the </w:t>
      </w:r>
      <w:r w:rsidR="00932B15">
        <w:t>20</w:t>
      </w:r>
      <w:r w:rsidR="00D37EC4">
        <w:t>20</w:t>
      </w:r>
      <w:r w:rsidR="00932B15">
        <w:t xml:space="preserve"> </w:t>
      </w:r>
      <w:r w:rsidR="00D37EC4">
        <w:t>AMERICAN SAMOA</w:t>
      </w:r>
      <w:r w:rsidR="005F1D1C">
        <w:t xml:space="preserve"> SURVEY corresponds </w:t>
      </w:r>
      <w:r w:rsidR="00E501B3">
        <w:t>to</w:t>
      </w:r>
      <w:r w:rsidR="005F1D1C">
        <w:t xml:space="preserve"> a previously </w:t>
      </w:r>
      <w:r w:rsidR="00D37EC4">
        <w:t xml:space="preserve">cleared question within the </w:t>
      </w:r>
      <w:r w:rsidR="00777F0E">
        <w:t>CORE MODULE</w:t>
      </w:r>
      <w:r w:rsidR="00CC38F3">
        <w:t>,</w:t>
      </w:r>
      <w:r w:rsidR="006E69F7">
        <w:t xml:space="preserve"> Full Question Bank</w:t>
      </w:r>
      <w:r w:rsidR="00CC38F3">
        <w:t>, and/or 201</w:t>
      </w:r>
      <w:r w:rsidR="00D37EC4">
        <w:t>9</w:t>
      </w:r>
      <w:r w:rsidR="00CC38F3">
        <w:t xml:space="preserve"> HAWAII SURVEY</w:t>
      </w:r>
      <w:r w:rsidR="005F1D1C">
        <w:t xml:space="preserve">, and are denoted </w:t>
      </w:r>
      <w:r w:rsidR="00CC38F3">
        <w:t>accordingly</w:t>
      </w:r>
      <w:r w:rsidR="005F1D1C">
        <w:t xml:space="preserve">. </w:t>
      </w:r>
      <w:r w:rsidR="00CC38F3">
        <w:t xml:space="preserve">Jurisdictionally relevant and required changes that are new from the </w:t>
      </w:r>
      <w:r w:rsidR="00CC38F3">
        <w:lastRenderedPageBreak/>
        <w:t>201</w:t>
      </w:r>
      <w:r w:rsidR="00C80AF4">
        <w:t>9</w:t>
      </w:r>
      <w:r w:rsidR="00D37EC4">
        <w:t xml:space="preserve"> </w:t>
      </w:r>
      <w:r w:rsidR="00C80AF4">
        <w:t>HAWAII</w:t>
      </w:r>
      <w:r w:rsidR="00CC38F3">
        <w:t xml:space="preserve"> SURVEY are italicized</w:t>
      </w:r>
      <w:r w:rsidR="00C80AF4">
        <w:t xml:space="preserve"> and highlighted in green</w:t>
      </w:r>
      <w:r w:rsidR="00CC38F3">
        <w:t xml:space="preserve">. Other modified items are </w:t>
      </w:r>
      <w:r w:rsidR="005F1D1C">
        <w:t xml:space="preserve">highlighted in yellow. These changes were made based on jurisdictional </w:t>
      </w:r>
      <w:r>
        <w:t xml:space="preserve">and expert opinion </w:t>
      </w:r>
      <w:r w:rsidR="005F1D1C">
        <w:t xml:space="preserve">input to enhance understanding, response rate, </w:t>
      </w:r>
      <w:r>
        <w:t xml:space="preserve">sample weighting, </w:t>
      </w:r>
      <w:r w:rsidR="005F1D1C">
        <w:t>and</w:t>
      </w:r>
      <w:r w:rsidR="00CC38F3">
        <w:t>/or the type of data</w:t>
      </w:r>
      <w:r w:rsidR="005F1D1C">
        <w:t xml:space="preserve"> collected in the jurisdiction (</w:t>
      </w:r>
      <w:r w:rsidR="00D37EC4">
        <w:t>American Samoa</w:t>
      </w:r>
      <w:r w:rsidR="005F1D1C">
        <w:t>).</w:t>
      </w:r>
      <w:r w:rsidR="002763BA">
        <w:t xml:space="preserve"> </w:t>
      </w:r>
      <w:r w:rsidR="00E26727">
        <w:t>Furthermore, the proposed changes minimize</w:t>
      </w:r>
      <w:r w:rsidRPr="00E26727" w:rsidR="00E26727">
        <w:t xml:space="preserve"> </w:t>
      </w:r>
      <w:r w:rsidR="00E26727">
        <w:t>respondent burden, which means: (a) keeping time required to complete the interview to a maximum of 20 minutes, (b) decreasing time that respondents need to think about questions, and (c) respecting respondents by ensuring that they will not be embarrassed by not understanding what is expected</w:t>
      </w:r>
      <w:r w:rsidR="00E501B3">
        <w:t xml:space="preserve"> from the </w:t>
      </w:r>
      <w:proofErr w:type="gramStart"/>
      <w:r w:rsidR="00E501B3">
        <w:t>survey</w:t>
      </w:r>
      <w:r w:rsidR="00777F0E">
        <w:t>.</w:t>
      </w:r>
      <w:r w:rsidR="00BE56C3">
        <w:rPr>
          <w:rStyle w:val="FootnoteReference"/>
        </w:rPr>
        <w:footnoteReference w:id="1"/>
      </w:r>
      <w:r w:rsidR="00BE56C3">
        <w:rPr>
          <w:vertAlign w:val="superscript"/>
        </w:rPr>
        <w:t>,</w:t>
      </w:r>
      <w:proofErr w:type="gramEnd"/>
      <w:r w:rsidR="00BE56C3">
        <w:rPr>
          <w:rStyle w:val="FootnoteReference"/>
        </w:rPr>
        <w:footnoteReference w:id="2"/>
      </w:r>
      <w:r w:rsidR="00E26727">
        <w:t xml:space="preserve"> </w:t>
      </w:r>
      <w:r w:rsidR="009152E4">
        <w:t xml:space="preserve">A summary of </w:t>
      </w:r>
      <w:r w:rsidR="00CC38F3">
        <w:t xml:space="preserve">those </w:t>
      </w:r>
      <w:r w:rsidR="009152E4">
        <w:t>changes follows.</w:t>
      </w:r>
    </w:p>
    <w:p w:rsidR="002F2FB1" w:rsidP="002F2FB1" w:rsidRDefault="002F2FB1" w14:paraId="64766633" w14:textId="77777777"/>
    <w:p w:rsidR="00C80AF4" w:rsidP="00675057" w:rsidRDefault="00E501B3" w14:paraId="6FE60F2E" w14:textId="246582C7">
      <w:r>
        <w:t xml:space="preserve">INTERVIEW </w:t>
      </w:r>
      <w:r w:rsidR="00C80AF4">
        <w:t>SCRIPT</w:t>
      </w:r>
    </w:p>
    <w:p w:rsidR="00C80AF4" w:rsidP="00AA01A1" w:rsidRDefault="00C80AF4" w14:paraId="147DAF40" w14:textId="7F8F8FB4">
      <w:pPr>
        <w:pStyle w:val="ListParagraph"/>
        <w:numPr>
          <w:ilvl w:val="0"/>
          <w:numId w:val="15"/>
        </w:numPr>
      </w:pPr>
      <w:r>
        <w:t xml:space="preserve">The </w:t>
      </w:r>
      <w:r w:rsidR="00AA01A1">
        <w:t xml:space="preserve">English </w:t>
      </w:r>
      <w:r>
        <w:t>script for in-person administration has been added, including the use of transition sentences between survey sections.</w:t>
      </w:r>
    </w:p>
    <w:p w:rsidR="00E501B3" w:rsidP="00E501B3" w:rsidRDefault="00E501B3" w14:paraId="2EDDAEC7" w14:textId="77777777">
      <w:pPr>
        <w:pStyle w:val="ListParagraph"/>
      </w:pPr>
    </w:p>
    <w:p w:rsidR="00AA01A1" w:rsidP="00AA01A1" w:rsidRDefault="00C80AF4" w14:paraId="390B0513" w14:textId="77777777">
      <w:r>
        <w:t>PARTICIPATION IN REEF ACTIVITIES</w:t>
      </w:r>
    </w:p>
    <w:p w:rsidR="00C80AF4" w:rsidP="00AA01A1" w:rsidRDefault="00C80AF4" w14:paraId="59665309" w14:textId="5A6BEB00">
      <w:pPr>
        <w:pStyle w:val="ListParagraph"/>
        <w:numPr>
          <w:ilvl w:val="0"/>
          <w:numId w:val="15"/>
        </w:numPr>
      </w:pPr>
      <w:r>
        <w:t>The Q1 scale has been improved for data precision</w:t>
      </w:r>
      <w:r w:rsidR="00830D7D">
        <w:t>,</w:t>
      </w:r>
      <w:r w:rsidR="005B2112">
        <w:t xml:space="preserve"> clarity</w:t>
      </w:r>
      <w:r w:rsidR="00BF3310">
        <w:t>,</w:t>
      </w:r>
      <w:r w:rsidR="00830D7D">
        <w:t xml:space="preserve"> and reliability in responses</w:t>
      </w:r>
      <w:r>
        <w:t>. Previous versions of this question asked for binned frequency per month (never, once a month or less, 2-3 times per month, 4 times a month or more)</w:t>
      </w:r>
      <w:r w:rsidR="00830D7D">
        <w:t>. “Never” and “once a month or less” were not</w:t>
      </w:r>
      <w:r w:rsidR="008D7439">
        <w:t xml:space="preserve"> mutually exclusive, thereby burdening respondents to think about how to respond appropriately to the question. This</w:t>
      </w:r>
      <w:r>
        <w:t xml:space="preserve"> question now collects average </w:t>
      </w:r>
      <w:r w:rsidR="00D93C70">
        <w:t xml:space="preserve">frequency by </w:t>
      </w:r>
      <w:r>
        <w:t>number of days per month.</w:t>
      </w:r>
      <w:r w:rsidR="0058212D">
        <w:t xml:space="preserve"> </w:t>
      </w:r>
      <w:r w:rsidR="008D7439">
        <w:t xml:space="preserve">Using a numerical format enables all the possible responses that a respondent could provide and decreases </w:t>
      </w:r>
      <w:r w:rsidR="00260804">
        <w:t>respondent</w:t>
      </w:r>
      <w:r w:rsidR="008D7439">
        <w:t xml:space="preserve"> burden </w:t>
      </w:r>
      <w:r w:rsidR="00260804">
        <w:t>because it is clear how they should respond.</w:t>
      </w:r>
      <w:r w:rsidR="00BE56C3">
        <w:rPr>
          <w:rStyle w:val="FootnoteReference"/>
        </w:rPr>
        <w:footnoteReference w:id="3"/>
      </w:r>
      <w:r w:rsidR="008D7439">
        <w:t xml:space="preserve"> </w:t>
      </w:r>
    </w:p>
    <w:p w:rsidR="00410BEC" w:rsidP="00AA01A1" w:rsidRDefault="00410BEC" w14:paraId="792352D6" w14:textId="527B3CB0">
      <w:pPr>
        <w:pStyle w:val="ListParagraph"/>
        <w:numPr>
          <w:ilvl w:val="0"/>
          <w:numId w:val="15"/>
        </w:numPr>
      </w:pPr>
      <w:r>
        <w:t>The question option “swimming/wading” has been broken in to “swimming” and “wading” at partner request to collect more detailed information about recreation activities in the jurisdiction. “Gathering of marine resources” has been changed to “Gleaning of marine resources” due to common semantics used in the jurisdiction.</w:t>
      </w:r>
    </w:p>
    <w:p w:rsidR="00D11BAB" w:rsidP="00E501B3" w:rsidRDefault="00D11BAB" w14:paraId="2CB7CC76" w14:textId="77777777">
      <w:pPr>
        <w:pStyle w:val="ListParagraph"/>
      </w:pPr>
    </w:p>
    <w:p w:rsidR="00395ADA" w:rsidP="00395ADA" w:rsidRDefault="00395ADA" w14:paraId="198C7AE6" w14:textId="0AB15634">
      <w:r>
        <w:t>CORAL REEF RELIANCE / CULTURAL IMPORTANCE</w:t>
      </w:r>
    </w:p>
    <w:p w:rsidR="00395ADA" w:rsidP="00AA01A1" w:rsidRDefault="00D93C70" w14:paraId="5044BACB" w14:textId="3491BE52">
      <w:pPr>
        <w:pStyle w:val="ListParagraph"/>
        <w:numPr>
          <w:ilvl w:val="0"/>
          <w:numId w:val="15"/>
        </w:numPr>
      </w:pPr>
      <w:r>
        <w:t>The</w:t>
      </w:r>
      <w:r w:rsidR="00395ADA">
        <w:t xml:space="preserve"> question scale </w:t>
      </w:r>
      <w:r>
        <w:t>used in Q2</w:t>
      </w:r>
      <w:r w:rsidR="00F012C8">
        <w:t>,</w:t>
      </w:r>
      <w:r>
        <w:t xml:space="preserve"> Q3</w:t>
      </w:r>
      <w:r w:rsidR="00F012C8">
        <w:t>, and Q</w:t>
      </w:r>
      <w:r w:rsidR="00033324">
        <w:t>7</w:t>
      </w:r>
      <w:r>
        <w:t xml:space="preserve"> </w:t>
      </w:r>
      <w:r w:rsidR="00395ADA">
        <w:t>has been improved for data precision</w:t>
      </w:r>
      <w:r w:rsidR="00AA01A1">
        <w:t>, clarity, and reliability in responses</w:t>
      </w:r>
      <w:r w:rsidR="00395ADA">
        <w:t xml:space="preserve">. Previous </w:t>
      </w:r>
      <w:r>
        <w:t xml:space="preserve">versions of these two </w:t>
      </w:r>
      <w:r w:rsidR="00395ADA">
        <w:t>question</w:t>
      </w:r>
      <w:r>
        <w:t>s</w:t>
      </w:r>
      <w:r w:rsidR="00395ADA">
        <w:t xml:space="preserve"> used a frequency scale</w:t>
      </w:r>
      <w:r w:rsidR="00260804">
        <w:t xml:space="preserve"> consisting of vague quantifiers</w:t>
      </w:r>
      <w:r w:rsidR="00395ADA">
        <w:t xml:space="preserve"> (never, rarely, sometimes, frequently, </w:t>
      </w:r>
      <w:proofErr w:type="gramStart"/>
      <w:r w:rsidR="00395ADA">
        <w:t>always</w:t>
      </w:r>
      <w:proofErr w:type="gramEnd"/>
      <w:r w:rsidR="00395ADA">
        <w:t xml:space="preserve">); this </w:t>
      </w:r>
      <w:r w:rsidR="009C3BC7">
        <w:t>scale</w:t>
      </w:r>
      <w:r w:rsidR="00395ADA">
        <w:t xml:space="preserve"> now </w:t>
      </w:r>
      <w:r w:rsidR="00776453">
        <w:t>defines those quantifie</w:t>
      </w:r>
      <w:r w:rsidR="00EF6E5D">
        <w:t>r</w:t>
      </w:r>
      <w:r w:rsidR="00776453">
        <w:t xml:space="preserve">s with </w:t>
      </w:r>
      <w:r>
        <w:t>via average percent time</w:t>
      </w:r>
      <w:r w:rsidR="00260804">
        <w:t xml:space="preserve"> (0%, 1-25%, 26-50%, 51-75%, 76-100%). This scale is </w:t>
      </w:r>
      <w:r w:rsidR="00A34F21">
        <w:t>specific and mutually exhaustive,</w:t>
      </w:r>
      <w:r w:rsidR="00260804">
        <w:t xml:space="preserve"> </w:t>
      </w:r>
      <w:r w:rsidR="00A34F21">
        <w:t>thereby improving the reliability of responses</w:t>
      </w:r>
      <w:r w:rsidR="00AA01A1">
        <w:t xml:space="preserve"> and decreasing burden</w:t>
      </w:r>
      <w:r w:rsidR="00A34F21">
        <w:t>.</w:t>
      </w:r>
    </w:p>
    <w:p w:rsidR="00D93C70" w:rsidP="00AA01A1" w:rsidRDefault="009C3BC7" w14:paraId="7C1ECF2D" w14:textId="3FE6A6E1">
      <w:pPr>
        <w:pStyle w:val="ListParagraph"/>
        <w:numPr>
          <w:ilvl w:val="0"/>
          <w:numId w:val="15"/>
        </w:numPr>
      </w:pPr>
      <w:r>
        <w:t>The</w:t>
      </w:r>
      <w:r w:rsidR="00D93C70">
        <w:t xml:space="preserve"> scale </w:t>
      </w:r>
      <w:r>
        <w:t>for Q4</w:t>
      </w:r>
      <w:r w:rsidR="00F012C8">
        <w:t xml:space="preserve"> and</w:t>
      </w:r>
      <w:r>
        <w:t xml:space="preserve"> Q</w:t>
      </w:r>
      <w:r w:rsidR="00033324">
        <w:t>6</w:t>
      </w:r>
      <w:r>
        <w:t xml:space="preserve"> </w:t>
      </w:r>
      <w:r w:rsidR="00D93C70">
        <w:t>has been improved for data precision</w:t>
      </w:r>
      <w:r w:rsidR="00AA01A1">
        <w:t>, clarity, and reliability in responses</w:t>
      </w:r>
      <w:r w:rsidR="00D93C70">
        <w:t xml:space="preserve">. Previous </w:t>
      </w:r>
      <w:r>
        <w:t>versions of the</w:t>
      </w:r>
      <w:r w:rsidR="00D93C70">
        <w:t>s</w:t>
      </w:r>
      <w:r>
        <w:t>e</w:t>
      </w:r>
      <w:r w:rsidR="00D93C70">
        <w:t xml:space="preserve"> question</w:t>
      </w:r>
      <w:r>
        <w:t>s</w:t>
      </w:r>
      <w:r w:rsidR="00D93C70">
        <w:t xml:space="preserve"> asked for binned frequency per month (every day, a few times a week, about once a week, 1-3 times a month, less than once a month, never); this </w:t>
      </w:r>
      <w:r>
        <w:t>scale</w:t>
      </w:r>
      <w:r w:rsidR="00D93C70">
        <w:t xml:space="preserve"> now </w:t>
      </w:r>
      <w:r w:rsidR="00F012C8">
        <w:t>defines these binned frequencies</w:t>
      </w:r>
      <w:r w:rsidR="00D93C70">
        <w:t xml:space="preserve"> </w:t>
      </w:r>
      <w:r w:rsidR="00AA01A1">
        <w:t>by number of days per month, reducing burden given the rationale explained in #2 of this list.</w:t>
      </w:r>
    </w:p>
    <w:p w:rsidR="00E501B3" w:rsidP="002A74F4" w:rsidRDefault="00033324" w14:paraId="36697E8E" w14:textId="6BC6A37B">
      <w:pPr>
        <w:pStyle w:val="ListParagraph"/>
        <w:numPr>
          <w:ilvl w:val="0"/>
          <w:numId w:val="15"/>
        </w:numPr>
      </w:pPr>
      <w:r>
        <w:t>Previous Q5 in the 2019 Survey has</w:t>
      </w:r>
      <w:r w:rsidR="009C3BC7">
        <w:t xml:space="preserve"> been </w:t>
      </w:r>
      <w:r>
        <w:t xml:space="preserve">separated into two questions (now Q5 and Q6) for better collection of </w:t>
      </w:r>
      <w:r w:rsidR="009C3BC7">
        <w:t>“not sure”</w:t>
      </w:r>
      <w:r>
        <w:t xml:space="preserve"> responses (</w:t>
      </w:r>
      <w:r w:rsidR="009C3BC7">
        <w:t>differentiating between</w:t>
      </w:r>
      <w:r>
        <w:t xml:space="preserve"> two reasons of being </w:t>
      </w:r>
      <w:r>
        <w:lastRenderedPageBreak/>
        <w:t>“not sure</w:t>
      </w:r>
      <w:r w:rsidR="009C3BC7">
        <w:t>”</w:t>
      </w:r>
      <w:r w:rsidR="003B3270">
        <w:t xml:space="preserve">) and </w:t>
      </w:r>
      <w:r>
        <w:t>improving survey question flow.</w:t>
      </w:r>
      <w:r w:rsidR="003B3270">
        <w:t xml:space="preserve"> Adding the “not sure” items ensures that all possible responses and improves data validity.</w:t>
      </w:r>
    </w:p>
    <w:p w:rsidR="003B3270" w:rsidP="003B3270" w:rsidRDefault="003B3270" w14:paraId="3E7A855E" w14:textId="77777777">
      <w:pPr>
        <w:pStyle w:val="ListParagraph"/>
      </w:pPr>
    </w:p>
    <w:p w:rsidR="009C3BC7" w:rsidP="009C3BC7" w:rsidRDefault="009C3BC7" w14:paraId="472A6275" w14:textId="69CAE63E">
      <w:r>
        <w:t>AWARENESS AND IMPORTANCE OF CORAL REEFS</w:t>
      </w:r>
    </w:p>
    <w:p w:rsidR="009C3BC7" w:rsidP="00AA01A1" w:rsidRDefault="00504E04" w14:paraId="27EFD2F5" w14:textId="5045D113">
      <w:pPr>
        <w:pStyle w:val="ListParagraph"/>
        <w:numPr>
          <w:ilvl w:val="0"/>
          <w:numId w:val="15"/>
        </w:numPr>
      </w:pPr>
      <w:r>
        <w:t>Q</w:t>
      </w:r>
      <w:r w:rsidR="00033324">
        <w:t>8</w:t>
      </w:r>
      <w:r>
        <w:t xml:space="preserve"> combines previous Q7 and Q8 in the 2019 Survey by asking for importance level for all items, as opposed to the previous combination of importance and agreement. This improves Q</w:t>
      </w:r>
      <w:r w:rsidR="00033324">
        <w:t>9</w:t>
      </w:r>
      <w:r>
        <w:t>, which previously collected level of agreement with importance statements; it now collects importance directly, like the previous and incorporated Q7</w:t>
      </w:r>
      <w:r w:rsidR="00033324">
        <w:t>/Q8</w:t>
      </w:r>
      <w:r>
        <w:t xml:space="preserve">. </w:t>
      </w:r>
    </w:p>
    <w:p w:rsidR="00504E04" w:rsidP="00504E04" w:rsidRDefault="00504E04" w14:paraId="402E2D08" w14:textId="52D73B39">
      <w:pPr>
        <w:pStyle w:val="ListParagraph"/>
        <w:numPr>
          <w:ilvl w:val="1"/>
          <w:numId w:val="12"/>
        </w:numPr>
      </w:pPr>
      <w:r>
        <w:t>The previous importance scale used in the 2019 Q7 and in the current Q</w:t>
      </w:r>
      <w:r w:rsidR="00033324">
        <w:t>8</w:t>
      </w:r>
      <w:r>
        <w:t xml:space="preserve"> has also been improved for da</w:t>
      </w:r>
      <w:r w:rsidR="00315BD0">
        <w:t>ta precision</w:t>
      </w:r>
      <w:r w:rsidR="00B34A7E">
        <w:t xml:space="preserve"> with a commonly accepted 5-point Likert importance scale</w:t>
      </w:r>
      <w:proofErr w:type="gramStart"/>
      <w:r w:rsidR="00BE56C3">
        <w:t>.</w:t>
      </w:r>
      <w:r w:rsidR="00BE56C3">
        <w:rPr>
          <w:rStyle w:val="FootnoteReference"/>
        </w:rPr>
        <w:footnoteReference w:id="4"/>
      </w:r>
      <w:r w:rsidR="00BE56C3">
        <w:rPr>
          <w:vertAlign w:val="superscript"/>
        </w:rPr>
        <w:t>,</w:t>
      </w:r>
      <w:r w:rsidR="00BE56C3">
        <w:rPr>
          <w:rStyle w:val="FootnoteReference"/>
        </w:rPr>
        <w:footnoteReference w:id="5"/>
      </w:r>
      <w:r w:rsidR="00BE56C3">
        <w:rPr>
          <w:vertAlign w:val="superscript"/>
        </w:rPr>
        <w:t>,</w:t>
      </w:r>
      <w:proofErr w:type="gramEnd"/>
      <w:r w:rsidR="00BE56C3">
        <w:rPr>
          <w:rStyle w:val="FootnoteReference"/>
        </w:rPr>
        <w:footnoteReference w:id="6"/>
      </w:r>
    </w:p>
    <w:p w:rsidR="00315BD0" w:rsidP="00AA01A1" w:rsidRDefault="00B34A7E" w14:paraId="3DC14DED" w14:textId="50A9E4CC">
      <w:pPr>
        <w:pStyle w:val="ListParagraph"/>
        <w:numPr>
          <w:ilvl w:val="0"/>
          <w:numId w:val="15"/>
        </w:numPr>
      </w:pPr>
      <w:r>
        <w:t>Q</w:t>
      </w:r>
      <w:r w:rsidR="00033324">
        <w:t>10</w:t>
      </w:r>
      <w:r>
        <w:t xml:space="preserve"> is a modified version of Q8, based on the concept of Q29 in the Full Question Bank. This question asks for resident perception of threat impacts to coral reefs after asking for familiarity of those same threats in Q</w:t>
      </w:r>
      <w:r w:rsidR="00033324">
        <w:t>9</w:t>
      </w:r>
      <w:r>
        <w:t>. A commonly accepted 5-point Likert impact scale is used</w:t>
      </w:r>
      <w:r w:rsidR="00CB2ED0">
        <w:t xml:space="preserve"> (Fowler &amp; Floyd, 1995)</w:t>
      </w:r>
      <w:r>
        <w:t>.</w:t>
      </w:r>
      <w:r w:rsidR="00BE56C3">
        <w:rPr>
          <w:rStyle w:val="FootnoteReference"/>
        </w:rPr>
        <w:footnoteReference w:id="7"/>
      </w:r>
    </w:p>
    <w:p w:rsidR="00E501B3" w:rsidP="00E501B3" w:rsidRDefault="00E501B3" w14:paraId="05DEF305" w14:textId="77777777">
      <w:pPr>
        <w:pStyle w:val="ListParagraph"/>
      </w:pPr>
    </w:p>
    <w:p w:rsidR="00610FAE" w:rsidP="00610FAE" w:rsidRDefault="00610FAE" w14:paraId="03180EA2" w14:textId="3E511E24">
      <w:r>
        <w:t>RESOURCE CONDITION</w:t>
      </w:r>
      <w:r w:rsidR="00D11BAB">
        <w:t>S</w:t>
      </w:r>
    </w:p>
    <w:p w:rsidR="0034311D" w:rsidP="0034311D" w:rsidRDefault="00610FAE" w14:paraId="3F3EF1E4" w14:textId="3FB4FCF4">
      <w:pPr>
        <w:pStyle w:val="ListParagraph"/>
        <w:numPr>
          <w:ilvl w:val="0"/>
          <w:numId w:val="15"/>
        </w:numPr>
      </w:pPr>
      <w:r>
        <w:t>Q1</w:t>
      </w:r>
      <w:r w:rsidR="00033324">
        <w:t>2</w:t>
      </w:r>
      <w:r>
        <w:t xml:space="preserve"> combines previous Q11 and Q12 in the 2019 Survey. This section previously included perception of current resource condition, perceived change over the past 10 years, and perceived change over the next 10 years. </w:t>
      </w:r>
      <w:r w:rsidR="0034311D">
        <w:t>In an effort to reduce respondent burden, the perceived future change question (previously Q12) has been modified to resemble the format of perceived past change (previously Q11)</w:t>
      </w:r>
      <w:r w:rsidR="001A14BB">
        <w:t xml:space="preserve"> and Q1</w:t>
      </w:r>
      <w:r w:rsidR="00033324">
        <w:t>3</w:t>
      </w:r>
      <w:r w:rsidR="001A14BB">
        <w:t xml:space="preserve"> has been shortened (see below)</w:t>
      </w:r>
      <w:r w:rsidR="0034311D">
        <w:t>.</w:t>
      </w:r>
    </w:p>
    <w:p w:rsidR="001A14BB" w:rsidP="0034311D" w:rsidRDefault="001A14BB" w14:paraId="2FD1E744" w14:textId="45049D03">
      <w:pPr>
        <w:pStyle w:val="ListParagraph"/>
        <w:numPr>
          <w:ilvl w:val="0"/>
          <w:numId w:val="15"/>
        </w:numPr>
      </w:pPr>
      <w:r>
        <w:t>The Q1</w:t>
      </w:r>
      <w:r w:rsidR="00033324">
        <w:t>2</w:t>
      </w:r>
      <w:r>
        <w:t xml:space="preserve"> question scale has been modified to fit the array of question options included. Where it previously used “decline” as one end of its scale, it now uses “worsen,” as “decline” doesn’t accurately apply to all question options.</w:t>
      </w:r>
    </w:p>
    <w:p w:rsidR="00610FAE" w:rsidP="0034311D" w:rsidRDefault="00610FAE" w14:paraId="34D15E60" w14:textId="1BB2473E">
      <w:pPr>
        <w:pStyle w:val="ListParagraph"/>
        <w:numPr>
          <w:ilvl w:val="0"/>
          <w:numId w:val="15"/>
        </w:numPr>
      </w:pPr>
      <w:r>
        <w:t xml:space="preserve">In an effort to reduce respondent burden, </w:t>
      </w:r>
      <w:r w:rsidR="001A14BB">
        <w:t>Q1</w:t>
      </w:r>
      <w:r w:rsidR="00033324">
        <w:t>3</w:t>
      </w:r>
      <w:r w:rsidR="001A14BB">
        <w:t xml:space="preserve"> now asks only </w:t>
      </w:r>
      <w:r w:rsidR="0034311D">
        <w:t>for changes in the overall marine ecosystem</w:t>
      </w:r>
      <w:r>
        <w:t>.</w:t>
      </w:r>
      <w:r w:rsidR="001A14BB">
        <w:t xml:space="preserve"> It uses the same “worsen</w:t>
      </w:r>
      <w:r w:rsidR="00E756A6">
        <w:t xml:space="preserve"> to improve” scale for consistency with Q1</w:t>
      </w:r>
      <w:r w:rsidR="00033324">
        <w:t>2</w:t>
      </w:r>
      <w:r w:rsidR="00E756A6">
        <w:t>.</w:t>
      </w:r>
    </w:p>
    <w:p w:rsidR="00E501B3" w:rsidP="00E501B3" w:rsidRDefault="00E501B3" w14:paraId="10B4C96E" w14:textId="77777777">
      <w:pPr>
        <w:pStyle w:val="ListParagraph"/>
      </w:pPr>
    </w:p>
    <w:p w:rsidR="00610FAE" w:rsidP="00610FAE" w:rsidRDefault="00610FAE" w14:paraId="1FCC9942" w14:textId="77777777">
      <w:r>
        <w:t>MANAGEMENT STRATEGIES</w:t>
      </w:r>
    </w:p>
    <w:p w:rsidR="00E756A6" w:rsidP="0034311D" w:rsidRDefault="00E756A6" w14:paraId="02D32D5E" w14:textId="4D7DF584">
      <w:pPr>
        <w:pStyle w:val="ListParagraph"/>
        <w:numPr>
          <w:ilvl w:val="0"/>
          <w:numId w:val="15"/>
        </w:numPr>
      </w:pPr>
      <w:r>
        <w:t>Q1</w:t>
      </w:r>
      <w:r w:rsidR="00033324">
        <w:t>4</w:t>
      </w:r>
      <w:r>
        <w:t xml:space="preserve"> provides examples of MPAs in American Samoa at partner request since the jurisdiction uses many different terms in the place of “marine protected area.”</w:t>
      </w:r>
    </w:p>
    <w:p w:rsidR="00610FAE" w:rsidP="0034311D" w:rsidRDefault="00610FAE" w14:paraId="5522366D" w14:textId="2AC8CAF7">
      <w:pPr>
        <w:pStyle w:val="ListParagraph"/>
        <w:numPr>
          <w:ilvl w:val="0"/>
          <w:numId w:val="15"/>
        </w:numPr>
      </w:pPr>
      <w:r>
        <w:t>Q1</w:t>
      </w:r>
      <w:r w:rsidR="00033324">
        <w:t>5</w:t>
      </w:r>
      <w:r>
        <w:t xml:space="preserve"> (previously Q16 in the 2019 Survey) has been improved to now collect perceived effects/impa</w:t>
      </w:r>
      <w:r w:rsidR="00F8631B">
        <w:t>cts instead of agreement with ef</w:t>
      </w:r>
      <w:r>
        <w:t xml:space="preserve">fect/impact statements. This collects </w:t>
      </w:r>
      <w:r w:rsidR="00F8631B">
        <w:t>e</w:t>
      </w:r>
      <w:r>
        <w:t>ffect/impact directly, enhancing data precision and clarity.</w:t>
      </w:r>
      <w:r w:rsidR="00B34A7E">
        <w:t xml:space="preserve"> The scale is from Q71 in the Full Question Bank.</w:t>
      </w:r>
    </w:p>
    <w:p w:rsidR="00E756A6" w:rsidP="00E756A6" w:rsidRDefault="00610FAE" w14:paraId="4753FC4B" w14:textId="317993B5">
      <w:pPr>
        <w:pStyle w:val="ListParagraph"/>
        <w:numPr>
          <w:ilvl w:val="0"/>
          <w:numId w:val="15"/>
        </w:numPr>
      </w:pPr>
      <w:r>
        <w:t>Q1</w:t>
      </w:r>
      <w:r w:rsidR="00033324">
        <w:t>6</w:t>
      </w:r>
      <w:r>
        <w:t xml:space="preserve"> used to be asked as an agreement statement within previous Q16 in the 2019 Survey. This question now collects level of support directly using </w:t>
      </w:r>
      <w:r w:rsidR="00752DF8">
        <w:t xml:space="preserve">the </w:t>
      </w:r>
      <w:r>
        <w:t>5-point Likert s</w:t>
      </w:r>
      <w:r w:rsidR="00B34A7E">
        <w:t>upport s</w:t>
      </w:r>
      <w:r>
        <w:t xml:space="preserve">cale </w:t>
      </w:r>
      <w:r w:rsidR="00752DF8">
        <w:t xml:space="preserve">from Q105 in the Full Question Bank </w:t>
      </w:r>
      <w:r>
        <w:t xml:space="preserve">instead of </w:t>
      </w:r>
      <w:r w:rsidR="00B34A7E">
        <w:t xml:space="preserve">the previous </w:t>
      </w:r>
      <w:r>
        <w:t>agreement scale.</w:t>
      </w:r>
      <w:r w:rsidR="00F8631B">
        <w:t xml:space="preserve"> This provides an overall measure of attitudes toward MPA establishment.</w:t>
      </w:r>
    </w:p>
    <w:p w:rsidRPr="00E756A6" w:rsidR="00E756A6" w:rsidP="00E756A6" w:rsidRDefault="00E756A6" w14:paraId="689C9553" w14:textId="26D320AC">
      <w:pPr>
        <w:pStyle w:val="ListParagraph"/>
        <w:numPr>
          <w:ilvl w:val="0"/>
          <w:numId w:val="15"/>
        </w:numPr>
      </w:pPr>
      <w:r w:rsidRPr="00E756A6">
        <w:lastRenderedPageBreak/>
        <w:t>The question option “</w:t>
      </w:r>
      <w:r w:rsidRPr="00E756A6">
        <w:rPr>
          <w:rFonts w:cstheme="minorHAnsi"/>
        </w:rPr>
        <w:t>Catch limits per person for certain fish species (size and amount or by season)” in Q1</w:t>
      </w:r>
      <w:r w:rsidR="00033324">
        <w:rPr>
          <w:rFonts w:cstheme="minorHAnsi"/>
        </w:rPr>
        <w:t>7</w:t>
      </w:r>
      <w:r w:rsidRPr="00E756A6">
        <w:rPr>
          <w:rFonts w:cstheme="minorHAnsi"/>
        </w:rPr>
        <w:t xml:space="preserve"> has been broken into “</w:t>
      </w:r>
      <w:r w:rsidRPr="00E756A6">
        <w:rPr>
          <w:rFonts w:cstheme="minorHAnsi"/>
          <w:i/>
        </w:rPr>
        <w:t>size</w:t>
      </w:r>
      <w:r w:rsidRPr="00E756A6">
        <w:rPr>
          <w:rFonts w:cstheme="minorHAnsi"/>
        </w:rPr>
        <w:t xml:space="preserve"> catch limits per person for certain fish species” and “</w:t>
      </w:r>
      <w:r w:rsidRPr="00E756A6">
        <w:rPr>
          <w:rFonts w:cstheme="minorHAnsi"/>
          <w:i/>
        </w:rPr>
        <w:t>seasonal</w:t>
      </w:r>
      <w:r w:rsidRPr="00E756A6">
        <w:rPr>
          <w:rFonts w:cstheme="minorHAnsi"/>
        </w:rPr>
        <w:t xml:space="preserve"> catch limits per person for certain fish species” at partner request for better precision.</w:t>
      </w:r>
    </w:p>
    <w:p w:rsidRPr="00E756A6" w:rsidR="00E501B3" w:rsidP="00E501B3" w:rsidRDefault="00E501B3" w14:paraId="15D11101" w14:textId="77777777">
      <w:pPr>
        <w:pStyle w:val="ListParagraph"/>
      </w:pPr>
    </w:p>
    <w:p w:rsidR="003A2530" w:rsidP="003A2530" w:rsidRDefault="003A2530" w14:paraId="2088D02E" w14:textId="179953B5">
      <w:r>
        <w:t>PARTICIPATION IN ENVIRONMENTAL BEHAVIORS</w:t>
      </w:r>
    </w:p>
    <w:p w:rsidR="00B34A7E" w:rsidP="0034311D" w:rsidRDefault="003A2530" w14:paraId="5459D61A" w14:textId="0059E7BA">
      <w:pPr>
        <w:pStyle w:val="ListParagraph"/>
        <w:numPr>
          <w:ilvl w:val="0"/>
          <w:numId w:val="15"/>
        </w:numPr>
      </w:pPr>
      <w:r>
        <w:t>The Q1</w:t>
      </w:r>
      <w:r w:rsidR="00033324">
        <w:t>8</w:t>
      </w:r>
      <w:r>
        <w:t xml:space="preserve"> scale has been improved for data precision. Previous versions of this question asked for binned frequency per year (never, once a year or less, several times a year, at least once a month, several times a month or more); this question now collects average frequ</w:t>
      </w:r>
      <w:r w:rsidR="00E501B3">
        <w:t>ency by number of days per year</w:t>
      </w:r>
      <w:r w:rsidR="000407F1">
        <w:t>, using the same rationale explained in #2 of this list.</w:t>
      </w:r>
    </w:p>
    <w:p w:rsidR="00F8631B" w:rsidP="00F8631B" w:rsidRDefault="003278E2" w14:paraId="75B5DD8F" w14:textId="2A359E37">
      <w:pPr>
        <w:pStyle w:val="ListParagraph"/>
        <w:numPr>
          <w:ilvl w:val="0"/>
          <w:numId w:val="15"/>
        </w:numPr>
      </w:pPr>
      <w:r>
        <w:t>Q1</w:t>
      </w:r>
      <w:r w:rsidR="00033324">
        <w:t>9</w:t>
      </w:r>
      <w:r>
        <w:t xml:space="preserve"> has been modified to collect information </w:t>
      </w:r>
      <w:r w:rsidR="00F8631B">
        <w:t xml:space="preserve">on </w:t>
      </w:r>
      <w:r>
        <w:t xml:space="preserve">source credibility instead of </w:t>
      </w:r>
      <w:r w:rsidR="00F8631B">
        <w:t xml:space="preserve">information </w:t>
      </w:r>
      <w:r>
        <w:t xml:space="preserve">source frequency. </w:t>
      </w:r>
      <w:r>
        <w:rPr>
          <w:shd w:val="clear" w:color="auto" w:fill="FFFFFF"/>
        </w:rPr>
        <w:t>Source credibility has been linked to attitudes and the ability to influence or change behavior.</w:t>
      </w:r>
      <w:r>
        <w:rPr>
          <w:rStyle w:val="FootnoteReference"/>
          <w:shd w:val="clear" w:color="auto" w:fill="FFFFFF"/>
        </w:rPr>
        <w:footnoteReference w:id="8"/>
      </w:r>
      <w:r>
        <w:rPr>
          <w:shd w:val="clear" w:color="auto" w:fill="FFFFFF"/>
        </w:rPr>
        <w:t xml:space="preserve"> </w:t>
      </w:r>
      <w:r>
        <w:t xml:space="preserve">This information was collected in each of the round 1 NCRMP monitoring </w:t>
      </w:r>
      <w:r w:rsidRPr="003278E2">
        <w:t>surveys, and has been resumed at partner request to improve the ability to assess g</w:t>
      </w:r>
      <w:r w:rsidRPr="003278E2">
        <w:rPr>
          <w:shd w:val="clear" w:color="auto" w:fill="FFFFFF"/>
        </w:rPr>
        <w:t>overnance, especially with regard</w:t>
      </w:r>
      <w:r w:rsidRPr="003278E2">
        <w:rPr>
          <w:rFonts w:ascii="Arial" w:hAnsi="Arial" w:cs="Arial"/>
          <w:shd w:val="clear" w:color="auto" w:fill="FFFFFF"/>
        </w:rPr>
        <w:t xml:space="preserve"> </w:t>
      </w:r>
      <w:r w:rsidRPr="003278E2">
        <w:rPr>
          <w:shd w:val="clear" w:color="auto" w:fill="FFFFFF"/>
        </w:rPr>
        <w:t xml:space="preserve">to trust, legitimacy, and management </w:t>
      </w:r>
      <w:proofErr w:type="gramStart"/>
      <w:r w:rsidRPr="003278E2">
        <w:rPr>
          <w:shd w:val="clear" w:color="auto" w:fill="FFFFFF"/>
        </w:rPr>
        <w:t>effectiveness.</w:t>
      </w:r>
      <w:r>
        <w:rPr>
          <w:rStyle w:val="FootnoteReference"/>
          <w:shd w:val="clear" w:color="auto" w:fill="FFFFFF"/>
        </w:rPr>
        <w:footnoteReference w:id="9"/>
      </w:r>
      <w:r>
        <w:rPr>
          <w:shd w:val="clear" w:color="auto" w:fill="FFFFFF"/>
          <w:vertAlign w:val="superscript"/>
        </w:rPr>
        <w:t>,</w:t>
      </w:r>
      <w:proofErr w:type="gramEnd"/>
      <w:r>
        <w:rPr>
          <w:shd w:val="clear" w:color="auto" w:fill="FFFFFF"/>
          <w:vertAlign w:val="superscript"/>
        </w:rPr>
        <w:t xml:space="preserve"> </w:t>
      </w:r>
      <w:r>
        <w:rPr>
          <w:rStyle w:val="FootnoteReference"/>
          <w:shd w:val="clear" w:color="auto" w:fill="FFFFFF"/>
        </w:rPr>
        <w:footnoteReference w:id="10"/>
      </w:r>
      <w:r w:rsidRPr="003278E2">
        <w:rPr>
          <w:shd w:val="clear" w:color="auto" w:fill="FFFFFF"/>
        </w:rPr>
        <w:t xml:space="preserve"> </w:t>
      </w:r>
      <w:r>
        <w:rPr>
          <w:shd w:val="clear" w:color="auto" w:fill="FFFFFF"/>
        </w:rPr>
        <w:t>The scale used is common in communications research.</w:t>
      </w:r>
      <w:r>
        <w:rPr>
          <w:rStyle w:val="FootnoteReference"/>
          <w:shd w:val="clear" w:color="auto" w:fill="FFFFFF"/>
        </w:rPr>
        <w:footnoteReference w:id="11"/>
      </w:r>
      <w:r w:rsidR="0010435E">
        <w:t xml:space="preserve"> Q21 was modified to continue collecting information on</w:t>
      </w:r>
      <w:r w:rsidR="009D2298">
        <w:t xml:space="preserve"> media outlets. This allows for better data precision between “information” and “source”.</w:t>
      </w:r>
    </w:p>
    <w:p w:rsidR="00E501B3" w:rsidP="00E501B3" w:rsidRDefault="00E501B3" w14:paraId="6BE6CBDA" w14:textId="77777777">
      <w:pPr>
        <w:pStyle w:val="ListParagraph"/>
      </w:pPr>
    </w:p>
    <w:p w:rsidR="003A2530" w:rsidP="003A2530" w:rsidRDefault="00E62A1D" w14:paraId="0461A614" w14:textId="5CB731BE">
      <w:r>
        <w:t>DEMOGRAPHICS</w:t>
      </w:r>
    </w:p>
    <w:p w:rsidR="003A2530" w:rsidP="0034311D" w:rsidRDefault="003A2530" w14:paraId="20F6FBF3" w14:textId="599EAA66">
      <w:pPr>
        <w:pStyle w:val="ListParagraph"/>
        <w:numPr>
          <w:ilvl w:val="0"/>
          <w:numId w:val="15"/>
        </w:numPr>
      </w:pPr>
      <w:r>
        <w:t>The Q2</w:t>
      </w:r>
      <w:r w:rsidR="00033324">
        <w:t>4</w:t>
      </w:r>
      <w:r>
        <w:t xml:space="preserve"> scale has been improved for data precision. Previous versions of the question asked for binned years of residence with potentially confusing categories (1 year or less, 2-5 years, 6-10 years, more than 10 years, all my life); the question now collects stated years of residence. Q2</w:t>
      </w:r>
      <w:r w:rsidR="00FB4BBC">
        <w:t>3</w:t>
      </w:r>
      <w:r>
        <w:t xml:space="preserve"> and its associated skip logic have been added to account for cases of “all my life.” </w:t>
      </w:r>
    </w:p>
    <w:p w:rsidR="00E62A1D" w:rsidP="0034311D" w:rsidRDefault="00E62A1D" w14:paraId="6085300B" w14:textId="6D3C9BE0">
      <w:pPr>
        <w:pStyle w:val="ListParagraph"/>
        <w:numPr>
          <w:ilvl w:val="0"/>
          <w:numId w:val="15"/>
        </w:numPr>
      </w:pPr>
      <w:r>
        <w:t>Q2</w:t>
      </w:r>
      <w:r w:rsidR="00FB4BBC">
        <w:t>5, Q27,</w:t>
      </w:r>
      <w:r>
        <w:t xml:space="preserve"> and Q2</w:t>
      </w:r>
      <w:r w:rsidR="00033324">
        <w:t>8</w:t>
      </w:r>
      <w:r>
        <w:t xml:space="preserve"> now include “check all that apply” text for increased data precision and clarity of information collected</w:t>
      </w:r>
      <w:r w:rsidR="000407F1">
        <w:t>, as well as reduction of burden</w:t>
      </w:r>
      <w:r>
        <w:t>.</w:t>
      </w:r>
    </w:p>
    <w:p w:rsidR="00E62A1D" w:rsidP="0034311D" w:rsidRDefault="00460F6A" w14:paraId="1E6944A8" w14:textId="1142DE42">
      <w:pPr>
        <w:pStyle w:val="ListParagraph"/>
        <w:numPr>
          <w:ilvl w:val="0"/>
          <w:numId w:val="15"/>
        </w:numPr>
      </w:pPr>
      <w:r>
        <w:t>Q2</w:t>
      </w:r>
      <w:r w:rsidR="00FB4BBC">
        <w:t>8</w:t>
      </w:r>
      <w:r>
        <w:t xml:space="preserve"> (previously Q29 and Q30 in 2019 Survey) now includes an expanded list of coastal, marine, and ocean related occupations as well as a “none of the above” option. The concept behind all versions of this question is to examine the proportion of residents with ocean-dependent or related occupations, but previous versions omitted key industries and resulted in many write-ins; hence, the categories have been expanded.</w:t>
      </w:r>
    </w:p>
    <w:p w:rsidR="00900546" w:rsidP="0034311D" w:rsidRDefault="00460F6A" w14:paraId="6FE90D08" w14:textId="688F70A0">
      <w:pPr>
        <w:pStyle w:val="ListParagraph"/>
        <w:numPr>
          <w:ilvl w:val="0"/>
          <w:numId w:val="15"/>
        </w:numPr>
      </w:pPr>
      <w:r>
        <w:t>Q</w:t>
      </w:r>
      <w:r w:rsidR="00E756A6">
        <w:t>30</w:t>
      </w:r>
      <w:r>
        <w:t xml:space="preserve"> income categories have been modified to coincide with lower income brackets of American Samoa per the 2010 </w:t>
      </w:r>
      <w:r w:rsidR="00BE56C3">
        <w:t xml:space="preserve">American Samoa </w:t>
      </w:r>
      <w:r>
        <w:t>Census</w:t>
      </w:r>
      <w:r w:rsidR="00BE56C3">
        <w:t xml:space="preserve"> Profile</w:t>
      </w:r>
      <w:r>
        <w:t>.</w:t>
      </w:r>
      <w:r w:rsidR="00BE56C3">
        <w:rPr>
          <w:rStyle w:val="FootnoteReference"/>
        </w:rPr>
        <w:footnoteReference w:id="12"/>
      </w:r>
    </w:p>
    <w:p w:rsidR="0094672D" w:rsidP="0094672D" w:rsidRDefault="0094672D" w14:paraId="2AC73B44" w14:textId="7DA6871C"/>
    <w:p w:rsidR="0094672D" w:rsidP="0094672D" w:rsidRDefault="0094672D" w14:paraId="38395ECB" w14:textId="77777777">
      <w:r>
        <w:t xml:space="preserve">See attached, files relevant to this non-substantive change request: </w:t>
      </w:r>
    </w:p>
    <w:p w:rsidR="00D11BAB" w:rsidP="00D11BAB" w:rsidRDefault="00932B15" w14:paraId="04ABEBE8" w14:textId="406BDC7F">
      <w:r>
        <w:t xml:space="preserve">2019 </w:t>
      </w:r>
      <w:r w:rsidR="000376BD">
        <w:t>HAWAII</w:t>
      </w:r>
      <w:r w:rsidRPr="00675057" w:rsidR="0094672D">
        <w:t xml:space="preserve"> SURVEY</w:t>
      </w:r>
      <w:r w:rsidR="00CC38F3">
        <w:t xml:space="preserve">, </w:t>
      </w:r>
      <w:r w:rsidR="00460F6A">
        <w:t>CORE MODULE</w:t>
      </w:r>
    </w:p>
    <w:p w:rsidR="00306B12" w:rsidP="00306B12" w:rsidRDefault="00306B12" w14:paraId="5AF28C70" w14:textId="25F7A413">
      <w:bookmarkStart w:name="_GoBack" w:id="1"/>
      <w:bookmarkEnd w:id="1"/>
    </w:p>
    <w:sectPr w:rsidR="00306B12" w:rsidSect="00074ED9">
      <w:footerReference w:type="default" r:id="rId8"/>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93248C" w14:textId="77777777" w:rsidR="00452778" w:rsidRDefault="00452778" w:rsidP="00D05879">
      <w:r>
        <w:separator/>
      </w:r>
    </w:p>
  </w:endnote>
  <w:endnote w:type="continuationSeparator" w:id="0">
    <w:p w14:paraId="760D354A" w14:textId="77777777" w:rsidR="00452778" w:rsidRDefault="00452778" w:rsidP="00D05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966A2" w14:textId="7E530D9F" w:rsidR="00D05879" w:rsidRDefault="00D05879">
    <w:pPr>
      <w:pStyle w:val="Footer"/>
      <w:jc w:val="center"/>
    </w:pPr>
    <w:r>
      <w:fldChar w:fldCharType="begin"/>
    </w:r>
    <w:r>
      <w:instrText xml:space="preserve"> PAGE   \* MERGEFORMAT </w:instrText>
    </w:r>
    <w:r>
      <w:fldChar w:fldCharType="separate"/>
    </w:r>
    <w:r w:rsidR="00074ED9">
      <w:rPr>
        <w:noProof/>
      </w:rPr>
      <w:t>6</w:t>
    </w:r>
    <w:r>
      <w:rPr>
        <w:noProof/>
      </w:rPr>
      <w:fldChar w:fldCharType="end"/>
    </w:r>
  </w:p>
  <w:p w14:paraId="5F332180" w14:textId="77777777" w:rsidR="00D05879" w:rsidRDefault="00D058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F4F692" w14:textId="77777777" w:rsidR="00452778" w:rsidRDefault="00452778" w:rsidP="00D05879">
      <w:r>
        <w:separator/>
      </w:r>
    </w:p>
  </w:footnote>
  <w:footnote w:type="continuationSeparator" w:id="0">
    <w:p w14:paraId="5D09EB7B" w14:textId="77777777" w:rsidR="00452778" w:rsidRDefault="00452778" w:rsidP="00D05879">
      <w:r>
        <w:continuationSeparator/>
      </w:r>
    </w:p>
  </w:footnote>
  <w:footnote w:id="1">
    <w:p w14:paraId="1D0D568C" w14:textId="499BA2B5" w:rsidR="00BE56C3" w:rsidRPr="00BE56C3" w:rsidRDefault="00BE56C3" w:rsidP="00BE56C3">
      <w:pPr>
        <w:pStyle w:val="Default"/>
        <w:rPr>
          <w:sz w:val="20"/>
          <w:szCs w:val="20"/>
        </w:rPr>
      </w:pPr>
      <w:r w:rsidRPr="00BE56C3">
        <w:rPr>
          <w:rStyle w:val="FootnoteReference"/>
          <w:sz w:val="20"/>
          <w:szCs w:val="20"/>
        </w:rPr>
        <w:footnoteRef/>
      </w:r>
      <w:r w:rsidRPr="00BE56C3">
        <w:rPr>
          <w:sz w:val="20"/>
          <w:szCs w:val="20"/>
        </w:rPr>
        <w:t xml:space="preserve"> </w:t>
      </w:r>
      <w:proofErr w:type="spellStart"/>
      <w:r w:rsidRPr="00BE56C3">
        <w:rPr>
          <w:sz w:val="20"/>
          <w:szCs w:val="20"/>
        </w:rPr>
        <w:t>Dillman</w:t>
      </w:r>
      <w:proofErr w:type="spellEnd"/>
      <w:r w:rsidRPr="00BE56C3">
        <w:rPr>
          <w:sz w:val="20"/>
          <w:szCs w:val="20"/>
        </w:rPr>
        <w:t xml:space="preserve">, D. A. (2000). </w:t>
      </w:r>
      <w:r w:rsidRPr="00BE56C3">
        <w:rPr>
          <w:i/>
          <w:iCs/>
          <w:sz w:val="20"/>
          <w:szCs w:val="20"/>
        </w:rPr>
        <w:t>Mail and Internet Surveys: The Tailored Design Method</w:t>
      </w:r>
      <w:r w:rsidRPr="00BE56C3">
        <w:rPr>
          <w:sz w:val="20"/>
          <w:szCs w:val="20"/>
        </w:rPr>
        <w:t>. New York, NY: John Wiley &amp; Sons.</w:t>
      </w:r>
    </w:p>
  </w:footnote>
  <w:footnote w:id="2">
    <w:p w14:paraId="55B734EE" w14:textId="58306065" w:rsidR="00BE56C3" w:rsidRPr="00BE56C3" w:rsidRDefault="00BE56C3" w:rsidP="00BE56C3">
      <w:pPr>
        <w:rPr>
          <w:sz w:val="20"/>
          <w:szCs w:val="20"/>
        </w:rPr>
      </w:pPr>
      <w:r w:rsidRPr="00BE56C3">
        <w:rPr>
          <w:rStyle w:val="FootnoteReference"/>
          <w:sz w:val="20"/>
          <w:szCs w:val="20"/>
        </w:rPr>
        <w:footnoteRef/>
      </w:r>
      <w:r w:rsidRPr="00BE56C3">
        <w:rPr>
          <w:sz w:val="20"/>
          <w:szCs w:val="20"/>
        </w:rPr>
        <w:t xml:space="preserve"> Schwarz, N. (1999). Cognitive research into survey measurement: Its influence on survey methodology and cognitive theory. In M. G. </w:t>
      </w:r>
      <w:proofErr w:type="spellStart"/>
      <w:r w:rsidRPr="00BE56C3">
        <w:rPr>
          <w:sz w:val="20"/>
          <w:szCs w:val="20"/>
        </w:rPr>
        <w:t>Sirken</w:t>
      </w:r>
      <w:proofErr w:type="spellEnd"/>
      <w:r w:rsidRPr="00BE56C3">
        <w:rPr>
          <w:sz w:val="20"/>
          <w:szCs w:val="20"/>
        </w:rPr>
        <w:t xml:space="preserve">, D. J. Herrmann, S. Schechter, N. Schwarz, J. M. </w:t>
      </w:r>
      <w:proofErr w:type="spellStart"/>
      <w:r w:rsidRPr="00BE56C3">
        <w:rPr>
          <w:sz w:val="20"/>
          <w:szCs w:val="20"/>
        </w:rPr>
        <w:t>Tanur</w:t>
      </w:r>
      <w:proofErr w:type="spellEnd"/>
      <w:r w:rsidRPr="00BE56C3">
        <w:rPr>
          <w:sz w:val="20"/>
          <w:szCs w:val="20"/>
        </w:rPr>
        <w:t xml:space="preserve">, &amp; R. </w:t>
      </w:r>
      <w:proofErr w:type="spellStart"/>
      <w:r w:rsidRPr="00BE56C3">
        <w:rPr>
          <w:sz w:val="20"/>
          <w:szCs w:val="20"/>
        </w:rPr>
        <w:t>Tourangeau</w:t>
      </w:r>
      <w:proofErr w:type="spellEnd"/>
      <w:r w:rsidRPr="00BE56C3">
        <w:rPr>
          <w:sz w:val="20"/>
          <w:szCs w:val="20"/>
        </w:rPr>
        <w:t xml:space="preserve"> (Eds.), Cognition and Survey Research. New York: John Wiley and Sons.</w:t>
      </w:r>
    </w:p>
  </w:footnote>
  <w:footnote w:id="3">
    <w:p w14:paraId="7D1F2695" w14:textId="535CBC04" w:rsidR="00BE56C3" w:rsidRPr="00BE56C3" w:rsidRDefault="00BE56C3">
      <w:pPr>
        <w:pStyle w:val="FootnoteText"/>
        <w:rPr>
          <w:rFonts w:ascii="Times New Roman" w:hAnsi="Times New Roman"/>
        </w:rPr>
      </w:pPr>
      <w:r w:rsidRPr="00BE56C3">
        <w:rPr>
          <w:rStyle w:val="FootnoteReference"/>
          <w:rFonts w:ascii="Times New Roman" w:hAnsi="Times New Roman"/>
        </w:rPr>
        <w:footnoteRef/>
      </w:r>
      <w:r w:rsidRPr="00BE56C3">
        <w:rPr>
          <w:rFonts w:ascii="Times New Roman" w:hAnsi="Times New Roman"/>
        </w:rPr>
        <w:t xml:space="preserve"> Schwarz, N. (1999). Cognitive research into survey measurement: Its influence on survey methodology and cognitive theory. In M. G. </w:t>
      </w:r>
      <w:proofErr w:type="spellStart"/>
      <w:r w:rsidRPr="00BE56C3">
        <w:rPr>
          <w:rFonts w:ascii="Times New Roman" w:hAnsi="Times New Roman"/>
        </w:rPr>
        <w:t>Sirken</w:t>
      </w:r>
      <w:proofErr w:type="spellEnd"/>
      <w:r w:rsidRPr="00BE56C3">
        <w:rPr>
          <w:rFonts w:ascii="Times New Roman" w:hAnsi="Times New Roman"/>
        </w:rPr>
        <w:t xml:space="preserve">, D. J. Herrmann, S. Schechter, N. Schwarz, J. M. </w:t>
      </w:r>
      <w:proofErr w:type="spellStart"/>
      <w:r w:rsidRPr="00BE56C3">
        <w:rPr>
          <w:rFonts w:ascii="Times New Roman" w:hAnsi="Times New Roman"/>
        </w:rPr>
        <w:t>Tanur</w:t>
      </w:r>
      <w:proofErr w:type="spellEnd"/>
      <w:r w:rsidRPr="00BE56C3">
        <w:rPr>
          <w:rFonts w:ascii="Times New Roman" w:hAnsi="Times New Roman"/>
        </w:rPr>
        <w:t xml:space="preserve">, &amp; R. </w:t>
      </w:r>
      <w:proofErr w:type="spellStart"/>
      <w:r w:rsidRPr="00BE56C3">
        <w:rPr>
          <w:rFonts w:ascii="Times New Roman" w:hAnsi="Times New Roman"/>
        </w:rPr>
        <w:t>Tourangeau</w:t>
      </w:r>
      <w:proofErr w:type="spellEnd"/>
      <w:r w:rsidRPr="00BE56C3">
        <w:rPr>
          <w:rFonts w:ascii="Times New Roman" w:hAnsi="Times New Roman"/>
        </w:rPr>
        <w:t xml:space="preserve"> (Eds.), Cognition and Survey Research. New York: John Wiley and Sons.</w:t>
      </w:r>
    </w:p>
  </w:footnote>
  <w:footnote w:id="4">
    <w:p w14:paraId="49994213" w14:textId="3E74C76A" w:rsidR="00BE56C3" w:rsidRPr="00BE56C3" w:rsidRDefault="00BE56C3" w:rsidP="00BE56C3">
      <w:pPr>
        <w:rPr>
          <w:sz w:val="20"/>
          <w:szCs w:val="22"/>
        </w:rPr>
      </w:pPr>
      <w:r w:rsidRPr="00BE56C3">
        <w:rPr>
          <w:rStyle w:val="FootnoteReference"/>
          <w:sz w:val="20"/>
          <w:szCs w:val="22"/>
        </w:rPr>
        <w:footnoteRef/>
      </w:r>
      <w:r w:rsidRPr="00BE56C3">
        <w:rPr>
          <w:sz w:val="20"/>
          <w:szCs w:val="22"/>
        </w:rPr>
        <w:t xml:space="preserve"> </w:t>
      </w:r>
      <w:proofErr w:type="spellStart"/>
      <w:r w:rsidRPr="00BE56C3">
        <w:rPr>
          <w:sz w:val="20"/>
          <w:szCs w:val="22"/>
        </w:rPr>
        <w:t>Babbie</w:t>
      </w:r>
      <w:proofErr w:type="spellEnd"/>
      <w:r w:rsidRPr="00BE56C3">
        <w:rPr>
          <w:sz w:val="20"/>
          <w:szCs w:val="22"/>
        </w:rPr>
        <w:t xml:space="preserve">, E. (2010). The Practice of Social Research (12th </w:t>
      </w:r>
      <w:proofErr w:type="gramStart"/>
      <w:r w:rsidRPr="00BE56C3">
        <w:rPr>
          <w:sz w:val="20"/>
          <w:szCs w:val="22"/>
        </w:rPr>
        <w:t>ed</w:t>
      </w:r>
      <w:proofErr w:type="gramEnd"/>
      <w:r w:rsidRPr="00BE56C3">
        <w:rPr>
          <w:sz w:val="20"/>
          <w:szCs w:val="22"/>
        </w:rPr>
        <w:t>.). Belmont, CA: Wadsworth Publishing Company.</w:t>
      </w:r>
    </w:p>
  </w:footnote>
  <w:footnote w:id="5">
    <w:p w14:paraId="2CE3E5EC" w14:textId="2F00A35A" w:rsidR="00BE56C3" w:rsidRPr="00BE56C3" w:rsidRDefault="00BE56C3" w:rsidP="00BE56C3">
      <w:pPr>
        <w:rPr>
          <w:i/>
          <w:sz w:val="20"/>
          <w:szCs w:val="22"/>
        </w:rPr>
      </w:pPr>
      <w:r w:rsidRPr="00BE56C3">
        <w:rPr>
          <w:rStyle w:val="FootnoteReference"/>
          <w:sz w:val="20"/>
          <w:szCs w:val="22"/>
        </w:rPr>
        <w:footnoteRef/>
      </w:r>
      <w:r w:rsidRPr="00BE56C3">
        <w:rPr>
          <w:sz w:val="20"/>
          <w:szCs w:val="22"/>
        </w:rPr>
        <w:t xml:space="preserve"> </w:t>
      </w:r>
      <w:proofErr w:type="spellStart"/>
      <w:r w:rsidRPr="00BE56C3">
        <w:rPr>
          <w:sz w:val="20"/>
          <w:szCs w:val="22"/>
        </w:rPr>
        <w:t>Vagias</w:t>
      </w:r>
      <w:proofErr w:type="spellEnd"/>
      <w:r w:rsidRPr="00BE56C3">
        <w:rPr>
          <w:sz w:val="20"/>
          <w:szCs w:val="22"/>
        </w:rPr>
        <w:t xml:space="preserve">, W. D. (2006). </w:t>
      </w:r>
      <w:r w:rsidRPr="00BE56C3">
        <w:rPr>
          <w:i/>
          <w:sz w:val="20"/>
          <w:szCs w:val="22"/>
        </w:rPr>
        <w:t>Likert-type scale response anchors. Clemson International Institute for Tourism and Research Development</w:t>
      </w:r>
      <w:r w:rsidRPr="00BE56C3">
        <w:rPr>
          <w:sz w:val="20"/>
          <w:szCs w:val="22"/>
        </w:rPr>
        <w:t xml:space="preserve">. Department of Parks, Recreation, and Tourism Management. Clemson University. </w:t>
      </w:r>
    </w:p>
  </w:footnote>
  <w:footnote w:id="6">
    <w:p w14:paraId="17DE2DFB" w14:textId="1392932D" w:rsidR="00BE56C3" w:rsidRPr="00BE56C3" w:rsidRDefault="00BE56C3" w:rsidP="00BE56C3">
      <w:pPr>
        <w:pStyle w:val="Default"/>
        <w:rPr>
          <w:i/>
          <w:iCs/>
          <w:sz w:val="20"/>
          <w:szCs w:val="22"/>
        </w:rPr>
      </w:pPr>
      <w:r w:rsidRPr="00BE56C3">
        <w:rPr>
          <w:rStyle w:val="FootnoteReference"/>
          <w:sz w:val="20"/>
          <w:szCs w:val="22"/>
        </w:rPr>
        <w:footnoteRef/>
      </w:r>
      <w:r w:rsidRPr="00BE56C3">
        <w:rPr>
          <w:sz w:val="20"/>
          <w:szCs w:val="22"/>
        </w:rPr>
        <w:t xml:space="preserve"> </w:t>
      </w:r>
      <w:proofErr w:type="spellStart"/>
      <w:r w:rsidRPr="00BE56C3">
        <w:rPr>
          <w:sz w:val="20"/>
          <w:szCs w:val="22"/>
        </w:rPr>
        <w:t>Vaske</w:t>
      </w:r>
      <w:proofErr w:type="spellEnd"/>
      <w:r w:rsidRPr="00BE56C3">
        <w:rPr>
          <w:sz w:val="20"/>
          <w:szCs w:val="22"/>
        </w:rPr>
        <w:t xml:space="preserve">, J. J. (2008). </w:t>
      </w:r>
      <w:r w:rsidRPr="00BE56C3">
        <w:rPr>
          <w:i/>
          <w:iCs/>
          <w:sz w:val="20"/>
          <w:szCs w:val="22"/>
        </w:rPr>
        <w:t>Survey research and analysis: Applications in parks, recreation and human dimensions</w:t>
      </w:r>
      <w:r w:rsidRPr="00BE56C3">
        <w:rPr>
          <w:sz w:val="20"/>
          <w:szCs w:val="22"/>
        </w:rPr>
        <w:t>. State College, PA: Venture Publishing.</w:t>
      </w:r>
    </w:p>
  </w:footnote>
  <w:footnote w:id="7">
    <w:p w14:paraId="66FF6F27" w14:textId="1F2574B3" w:rsidR="00BE56C3" w:rsidRPr="00BE56C3" w:rsidRDefault="00BE56C3" w:rsidP="00BE56C3">
      <w:pPr>
        <w:rPr>
          <w:sz w:val="20"/>
          <w:szCs w:val="22"/>
        </w:rPr>
      </w:pPr>
      <w:r w:rsidRPr="00BE56C3">
        <w:rPr>
          <w:rStyle w:val="FootnoteReference"/>
          <w:sz w:val="20"/>
          <w:szCs w:val="22"/>
        </w:rPr>
        <w:footnoteRef/>
      </w:r>
      <w:r w:rsidRPr="00BE56C3">
        <w:rPr>
          <w:sz w:val="20"/>
          <w:szCs w:val="22"/>
        </w:rPr>
        <w:t xml:space="preserve"> Fowler, J., &amp; Floyd, J. (1995). Improving survey questions: Design and evaluation. (Vol. 38). Thousand Oaks, CA: Sage Publications.</w:t>
      </w:r>
    </w:p>
    <w:p w14:paraId="2090B4D7" w14:textId="5B7B2EE6" w:rsidR="00BE56C3" w:rsidRDefault="00BE56C3">
      <w:pPr>
        <w:pStyle w:val="FootnoteText"/>
      </w:pPr>
    </w:p>
  </w:footnote>
  <w:footnote w:id="8">
    <w:p w14:paraId="16E008FB" w14:textId="0C5F1E56" w:rsidR="003278E2" w:rsidRPr="003278E2" w:rsidRDefault="003278E2">
      <w:pPr>
        <w:pStyle w:val="FootnoteText"/>
        <w:rPr>
          <w:rFonts w:ascii="Times New Roman" w:hAnsi="Times New Roman"/>
        </w:rPr>
      </w:pPr>
      <w:r>
        <w:rPr>
          <w:rStyle w:val="FootnoteReference"/>
        </w:rPr>
        <w:footnoteRef/>
      </w:r>
      <w:r>
        <w:t xml:space="preserve"> </w:t>
      </w:r>
      <w:proofErr w:type="spellStart"/>
      <w:r w:rsidRPr="003278E2">
        <w:rPr>
          <w:rFonts w:ascii="Times New Roman" w:hAnsi="Times New Roman"/>
          <w:shd w:val="clear" w:color="auto" w:fill="FFFFFF"/>
        </w:rPr>
        <w:t>Tormala</w:t>
      </w:r>
      <w:proofErr w:type="spellEnd"/>
      <w:r w:rsidRPr="003278E2">
        <w:rPr>
          <w:rFonts w:ascii="Times New Roman" w:hAnsi="Times New Roman"/>
          <w:shd w:val="clear" w:color="auto" w:fill="FFFFFF"/>
        </w:rPr>
        <w:t>, Z.L., &amp; Petty, R. (2004). Source credibility and attitude certainty: a metacognitive analysis of resistance to persuasion. Journal of Consumer Psychology</w:t>
      </w:r>
      <w:proofErr w:type="gramStart"/>
      <w:r w:rsidRPr="003278E2">
        <w:rPr>
          <w:rFonts w:ascii="Times New Roman" w:hAnsi="Times New Roman"/>
          <w:shd w:val="clear" w:color="auto" w:fill="FFFFFF"/>
        </w:rPr>
        <w:t>,14:427</w:t>
      </w:r>
      <w:proofErr w:type="gramEnd"/>
      <w:r w:rsidRPr="003278E2">
        <w:rPr>
          <w:rFonts w:ascii="Times New Roman" w:hAnsi="Times New Roman"/>
          <w:shd w:val="clear" w:color="auto" w:fill="FFFFFF"/>
        </w:rPr>
        <w:t>–42.</w:t>
      </w:r>
    </w:p>
  </w:footnote>
  <w:footnote w:id="9">
    <w:p w14:paraId="0FE2CF2C" w14:textId="6AEF1E93" w:rsidR="003278E2" w:rsidRPr="003278E2" w:rsidRDefault="003278E2">
      <w:pPr>
        <w:pStyle w:val="FootnoteText"/>
        <w:rPr>
          <w:rFonts w:ascii="Times New Roman" w:hAnsi="Times New Roman"/>
          <w:shd w:val="clear" w:color="auto" w:fill="FFFFFF"/>
        </w:rPr>
      </w:pPr>
      <w:r>
        <w:rPr>
          <w:rStyle w:val="FootnoteReference"/>
        </w:rPr>
        <w:footnoteRef/>
      </w:r>
      <w:r>
        <w:t xml:space="preserve"> </w:t>
      </w:r>
      <w:r w:rsidRPr="003278E2">
        <w:rPr>
          <w:rFonts w:ascii="Times New Roman" w:hAnsi="Times New Roman"/>
          <w:shd w:val="clear" w:color="auto" w:fill="FFFFFF"/>
        </w:rPr>
        <w:t xml:space="preserve">Kauffmann, D., </w:t>
      </w:r>
      <w:proofErr w:type="spellStart"/>
      <w:r w:rsidRPr="003278E2">
        <w:rPr>
          <w:rFonts w:ascii="Times New Roman" w:hAnsi="Times New Roman"/>
          <w:shd w:val="clear" w:color="auto" w:fill="FFFFFF"/>
        </w:rPr>
        <w:t>Kraay</w:t>
      </w:r>
      <w:proofErr w:type="spellEnd"/>
      <w:r w:rsidRPr="003278E2">
        <w:rPr>
          <w:rFonts w:ascii="Times New Roman" w:hAnsi="Times New Roman"/>
          <w:shd w:val="clear" w:color="auto" w:fill="FFFFFF"/>
        </w:rPr>
        <w:t xml:space="preserve">, A., &amp; </w:t>
      </w:r>
      <w:proofErr w:type="spellStart"/>
      <w:r w:rsidRPr="003278E2">
        <w:rPr>
          <w:rFonts w:ascii="Times New Roman" w:hAnsi="Times New Roman"/>
          <w:shd w:val="clear" w:color="auto" w:fill="FFFFFF"/>
        </w:rPr>
        <w:t>Mastruzzi</w:t>
      </w:r>
      <w:proofErr w:type="spellEnd"/>
      <w:r w:rsidRPr="003278E2">
        <w:rPr>
          <w:rFonts w:ascii="Times New Roman" w:hAnsi="Times New Roman"/>
          <w:shd w:val="clear" w:color="auto" w:fill="FFFFFF"/>
        </w:rPr>
        <w:t>, M. (2010). The worldwide governance indicators: methodology and analytical issues: The World Bank Policy Research Working Paper 5430.</w:t>
      </w:r>
    </w:p>
  </w:footnote>
  <w:footnote w:id="10">
    <w:p w14:paraId="37C98BF8" w14:textId="5B222570" w:rsidR="003278E2" w:rsidRPr="003278E2" w:rsidRDefault="003278E2">
      <w:pPr>
        <w:pStyle w:val="FootnoteText"/>
        <w:rPr>
          <w:rFonts w:ascii="Times New Roman" w:hAnsi="Times New Roman"/>
        </w:rPr>
      </w:pPr>
      <w:r w:rsidRPr="003278E2">
        <w:rPr>
          <w:rStyle w:val="FootnoteReference"/>
          <w:rFonts w:ascii="Times New Roman" w:hAnsi="Times New Roman"/>
        </w:rPr>
        <w:footnoteRef/>
      </w:r>
      <w:r w:rsidRPr="003278E2">
        <w:rPr>
          <w:rFonts w:ascii="Times New Roman" w:hAnsi="Times New Roman"/>
        </w:rPr>
        <w:t xml:space="preserve"> </w:t>
      </w:r>
      <w:r w:rsidRPr="003278E2">
        <w:rPr>
          <w:rFonts w:ascii="Times New Roman" w:hAnsi="Times New Roman"/>
          <w:shd w:val="clear" w:color="auto" w:fill="FFFFFF"/>
        </w:rPr>
        <w:t>Lockwood, M., Davidson, J., Curtis, A., Stratford, E., &amp; Griffith, R. (2010). Governance Principles for Natural Resource Management. Society &amp; Natural Resources, 23(10), 986-1001.</w:t>
      </w:r>
    </w:p>
  </w:footnote>
  <w:footnote w:id="11">
    <w:p w14:paraId="72086306" w14:textId="210202CF" w:rsidR="003278E2" w:rsidRPr="003278E2" w:rsidRDefault="003278E2">
      <w:pPr>
        <w:pStyle w:val="FootnoteText"/>
        <w:rPr>
          <w:rFonts w:ascii="Times New Roman" w:hAnsi="Times New Roman"/>
        </w:rPr>
      </w:pPr>
      <w:r w:rsidRPr="003278E2">
        <w:rPr>
          <w:rStyle w:val="FootnoteReference"/>
          <w:rFonts w:ascii="Times New Roman" w:hAnsi="Times New Roman"/>
        </w:rPr>
        <w:footnoteRef/>
      </w:r>
      <w:r w:rsidRPr="003278E2">
        <w:rPr>
          <w:rFonts w:ascii="Times New Roman" w:hAnsi="Times New Roman"/>
        </w:rPr>
        <w:t xml:space="preserve"> </w:t>
      </w:r>
      <w:r w:rsidRPr="003278E2">
        <w:rPr>
          <w:rFonts w:ascii="Times New Roman" w:hAnsi="Times New Roman"/>
          <w:shd w:val="clear" w:color="auto" w:fill="FFFFFF"/>
        </w:rPr>
        <w:t>Johnson, T.J., &amp; Kaye, B.K. (1998).Cruising is believing</w:t>
      </w:r>
      <w:proofErr w:type="gramStart"/>
      <w:r w:rsidRPr="003278E2">
        <w:rPr>
          <w:rFonts w:ascii="Times New Roman" w:hAnsi="Times New Roman"/>
          <w:shd w:val="clear" w:color="auto" w:fill="FFFFFF"/>
        </w:rPr>
        <w:t>?:</w:t>
      </w:r>
      <w:proofErr w:type="gramEnd"/>
      <w:r w:rsidRPr="003278E2">
        <w:rPr>
          <w:rFonts w:ascii="Times New Roman" w:hAnsi="Times New Roman"/>
          <w:shd w:val="clear" w:color="auto" w:fill="FFFFFF"/>
        </w:rPr>
        <w:t xml:space="preserve"> Comparing Internet and Traditional Sources on Media Credibility Measures. Journalism &amp; Mass Communication Quarterly, 75(2), 325-340.</w:t>
      </w:r>
    </w:p>
  </w:footnote>
  <w:footnote w:id="12">
    <w:p w14:paraId="382E7B85" w14:textId="79529FAC" w:rsidR="00BE56C3" w:rsidRPr="00BE56C3" w:rsidRDefault="00BE56C3" w:rsidP="00BE56C3">
      <w:pPr>
        <w:pStyle w:val="CommentText"/>
      </w:pPr>
      <w:r w:rsidRPr="00BE56C3">
        <w:rPr>
          <w:rStyle w:val="FootnoteReference"/>
        </w:rPr>
        <w:footnoteRef/>
      </w:r>
      <w:r w:rsidRPr="00BE56C3">
        <w:t xml:space="preserve"> 2010 American Samoa Census Profile at </w:t>
      </w:r>
      <w:hyperlink r:id="rId1" w:history="1">
        <w:r w:rsidRPr="00BE56C3">
          <w:rPr>
            <w:rStyle w:val="Hyperlink"/>
          </w:rPr>
          <w:t>https://www.census.gov/newsroom/releases/archives/2010_census/press-kits/island-areas.html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40FB"/>
    <w:multiLevelType w:val="hybridMultilevel"/>
    <w:tmpl w:val="EAC066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F625F"/>
    <w:multiLevelType w:val="hybridMultilevel"/>
    <w:tmpl w:val="CF385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19234F"/>
    <w:multiLevelType w:val="hybridMultilevel"/>
    <w:tmpl w:val="6E02C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062C7"/>
    <w:multiLevelType w:val="hybridMultilevel"/>
    <w:tmpl w:val="9B7688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3433A9"/>
    <w:multiLevelType w:val="hybridMultilevel"/>
    <w:tmpl w:val="B35E9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F33E22"/>
    <w:multiLevelType w:val="hybridMultilevel"/>
    <w:tmpl w:val="98CAF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B548DA"/>
    <w:multiLevelType w:val="hybridMultilevel"/>
    <w:tmpl w:val="12C22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5F34EB"/>
    <w:multiLevelType w:val="hybridMultilevel"/>
    <w:tmpl w:val="6674E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590EF5"/>
    <w:multiLevelType w:val="hybridMultilevel"/>
    <w:tmpl w:val="5748ED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EC3C6E"/>
    <w:multiLevelType w:val="hybridMultilevel"/>
    <w:tmpl w:val="1A70A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6A71BF"/>
    <w:multiLevelType w:val="hybridMultilevel"/>
    <w:tmpl w:val="DDA004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090EB2"/>
    <w:multiLevelType w:val="hybridMultilevel"/>
    <w:tmpl w:val="78805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575191"/>
    <w:multiLevelType w:val="hybridMultilevel"/>
    <w:tmpl w:val="FFEC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0C58DB"/>
    <w:multiLevelType w:val="hybridMultilevel"/>
    <w:tmpl w:val="B492D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62317B"/>
    <w:multiLevelType w:val="hybridMultilevel"/>
    <w:tmpl w:val="CD629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821A71"/>
    <w:multiLevelType w:val="hybridMultilevel"/>
    <w:tmpl w:val="529EE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B70C7C"/>
    <w:multiLevelType w:val="hybridMultilevel"/>
    <w:tmpl w:val="442831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1D405D"/>
    <w:multiLevelType w:val="hybridMultilevel"/>
    <w:tmpl w:val="C88E6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12"/>
  </w:num>
  <w:num w:numId="5">
    <w:abstractNumId w:val="2"/>
  </w:num>
  <w:num w:numId="6">
    <w:abstractNumId w:val="17"/>
  </w:num>
  <w:num w:numId="7">
    <w:abstractNumId w:val="11"/>
  </w:num>
  <w:num w:numId="8">
    <w:abstractNumId w:val="14"/>
  </w:num>
  <w:num w:numId="9">
    <w:abstractNumId w:val="5"/>
  </w:num>
  <w:num w:numId="10">
    <w:abstractNumId w:val="6"/>
  </w:num>
  <w:num w:numId="11">
    <w:abstractNumId w:val="13"/>
  </w:num>
  <w:num w:numId="12">
    <w:abstractNumId w:val="9"/>
  </w:num>
  <w:num w:numId="13">
    <w:abstractNumId w:val="15"/>
  </w:num>
  <w:num w:numId="14">
    <w:abstractNumId w:val="4"/>
  </w:num>
  <w:num w:numId="15">
    <w:abstractNumId w:val="7"/>
  </w:num>
  <w:num w:numId="16">
    <w:abstractNumId w:val="10"/>
  </w:num>
  <w:num w:numId="17">
    <w:abstractNumId w:val="16"/>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E7A"/>
    <w:rsid w:val="000107BC"/>
    <w:rsid w:val="0002061D"/>
    <w:rsid w:val="00033324"/>
    <w:rsid w:val="00033662"/>
    <w:rsid w:val="000376BD"/>
    <w:rsid w:val="000407F1"/>
    <w:rsid w:val="000472C8"/>
    <w:rsid w:val="000646EE"/>
    <w:rsid w:val="0007395E"/>
    <w:rsid w:val="00074ED9"/>
    <w:rsid w:val="00086C52"/>
    <w:rsid w:val="000927B7"/>
    <w:rsid w:val="000A38DA"/>
    <w:rsid w:val="000B09B4"/>
    <w:rsid w:val="000B324D"/>
    <w:rsid w:val="000B37B3"/>
    <w:rsid w:val="000F654B"/>
    <w:rsid w:val="00100650"/>
    <w:rsid w:val="00101D43"/>
    <w:rsid w:val="0010435E"/>
    <w:rsid w:val="00124203"/>
    <w:rsid w:val="00145245"/>
    <w:rsid w:val="00154B71"/>
    <w:rsid w:val="00157AFB"/>
    <w:rsid w:val="0017353E"/>
    <w:rsid w:val="001A0085"/>
    <w:rsid w:val="001A14BB"/>
    <w:rsid w:val="001B04D0"/>
    <w:rsid w:val="001B0DBF"/>
    <w:rsid w:val="001B13CD"/>
    <w:rsid w:val="001D40F1"/>
    <w:rsid w:val="001D46A6"/>
    <w:rsid w:val="001F16B5"/>
    <w:rsid w:val="00215C7A"/>
    <w:rsid w:val="0022086D"/>
    <w:rsid w:val="00227CD0"/>
    <w:rsid w:val="00230E59"/>
    <w:rsid w:val="00246661"/>
    <w:rsid w:val="00252F02"/>
    <w:rsid w:val="00260804"/>
    <w:rsid w:val="002763BA"/>
    <w:rsid w:val="00280E8D"/>
    <w:rsid w:val="00284E62"/>
    <w:rsid w:val="002A1CFD"/>
    <w:rsid w:val="002B19BF"/>
    <w:rsid w:val="002B1F02"/>
    <w:rsid w:val="002D5304"/>
    <w:rsid w:val="002E1378"/>
    <w:rsid w:val="002F2FB1"/>
    <w:rsid w:val="00300465"/>
    <w:rsid w:val="0030152D"/>
    <w:rsid w:val="00306B12"/>
    <w:rsid w:val="00311429"/>
    <w:rsid w:val="00315BD0"/>
    <w:rsid w:val="00317CFF"/>
    <w:rsid w:val="00320D0A"/>
    <w:rsid w:val="00322F46"/>
    <w:rsid w:val="003256C5"/>
    <w:rsid w:val="003278E2"/>
    <w:rsid w:val="0034311D"/>
    <w:rsid w:val="00351E93"/>
    <w:rsid w:val="003534C4"/>
    <w:rsid w:val="003659D0"/>
    <w:rsid w:val="00367C45"/>
    <w:rsid w:val="00373B1F"/>
    <w:rsid w:val="00375559"/>
    <w:rsid w:val="00395ADA"/>
    <w:rsid w:val="003A2530"/>
    <w:rsid w:val="003B3270"/>
    <w:rsid w:val="003B6932"/>
    <w:rsid w:val="003E7FD8"/>
    <w:rsid w:val="003F4E88"/>
    <w:rsid w:val="00405C68"/>
    <w:rsid w:val="00410BEC"/>
    <w:rsid w:val="00420031"/>
    <w:rsid w:val="00420D0D"/>
    <w:rsid w:val="00452778"/>
    <w:rsid w:val="00456A3B"/>
    <w:rsid w:val="00460F6A"/>
    <w:rsid w:val="00462345"/>
    <w:rsid w:val="00475CFB"/>
    <w:rsid w:val="004A013D"/>
    <w:rsid w:val="00504E04"/>
    <w:rsid w:val="0051023A"/>
    <w:rsid w:val="00535A70"/>
    <w:rsid w:val="005661DC"/>
    <w:rsid w:val="0058212D"/>
    <w:rsid w:val="005B14FD"/>
    <w:rsid w:val="005B2112"/>
    <w:rsid w:val="005B5128"/>
    <w:rsid w:val="005D1E1F"/>
    <w:rsid w:val="005E1C87"/>
    <w:rsid w:val="005F1D1C"/>
    <w:rsid w:val="006029A1"/>
    <w:rsid w:val="0061095E"/>
    <w:rsid w:val="00610FAE"/>
    <w:rsid w:val="00623ED2"/>
    <w:rsid w:val="006350E0"/>
    <w:rsid w:val="00667C71"/>
    <w:rsid w:val="00675057"/>
    <w:rsid w:val="006758CB"/>
    <w:rsid w:val="00681D70"/>
    <w:rsid w:val="006911F1"/>
    <w:rsid w:val="006A4BB1"/>
    <w:rsid w:val="006A57B1"/>
    <w:rsid w:val="006C34B8"/>
    <w:rsid w:val="006C604B"/>
    <w:rsid w:val="006D27E4"/>
    <w:rsid w:val="006E69F7"/>
    <w:rsid w:val="006F0D3B"/>
    <w:rsid w:val="00710029"/>
    <w:rsid w:val="0074094D"/>
    <w:rsid w:val="00752DF8"/>
    <w:rsid w:val="007653C6"/>
    <w:rsid w:val="00770AE6"/>
    <w:rsid w:val="00770C16"/>
    <w:rsid w:val="00776453"/>
    <w:rsid w:val="00777F0E"/>
    <w:rsid w:val="00786F97"/>
    <w:rsid w:val="007922AB"/>
    <w:rsid w:val="007D1A41"/>
    <w:rsid w:val="007E00E7"/>
    <w:rsid w:val="007E7C1D"/>
    <w:rsid w:val="007F28A1"/>
    <w:rsid w:val="00830D7D"/>
    <w:rsid w:val="00860875"/>
    <w:rsid w:val="00875D2D"/>
    <w:rsid w:val="00892361"/>
    <w:rsid w:val="008D7439"/>
    <w:rsid w:val="008E4686"/>
    <w:rsid w:val="00900546"/>
    <w:rsid w:val="009100BD"/>
    <w:rsid w:val="009152E4"/>
    <w:rsid w:val="009162B4"/>
    <w:rsid w:val="0093057C"/>
    <w:rsid w:val="00932B15"/>
    <w:rsid w:val="0094672D"/>
    <w:rsid w:val="00965B64"/>
    <w:rsid w:val="009A612E"/>
    <w:rsid w:val="009A7C14"/>
    <w:rsid w:val="009B16A0"/>
    <w:rsid w:val="009C1CDA"/>
    <w:rsid w:val="009C3BC7"/>
    <w:rsid w:val="009C4596"/>
    <w:rsid w:val="009D2298"/>
    <w:rsid w:val="009F3BAE"/>
    <w:rsid w:val="00A02EBB"/>
    <w:rsid w:val="00A03DC0"/>
    <w:rsid w:val="00A10A19"/>
    <w:rsid w:val="00A26609"/>
    <w:rsid w:val="00A34F21"/>
    <w:rsid w:val="00A4076D"/>
    <w:rsid w:val="00A6024A"/>
    <w:rsid w:val="00A64A10"/>
    <w:rsid w:val="00A66685"/>
    <w:rsid w:val="00A706BC"/>
    <w:rsid w:val="00A80F76"/>
    <w:rsid w:val="00A85E2A"/>
    <w:rsid w:val="00AA01A1"/>
    <w:rsid w:val="00B07CF8"/>
    <w:rsid w:val="00B12274"/>
    <w:rsid w:val="00B12ECC"/>
    <w:rsid w:val="00B13788"/>
    <w:rsid w:val="00B15C03"/>
    <w:rsid w:val="00B1796C"/>
    <w:rsid w:val="00B34A7E"/>
    <w:rsid w:val="00B73A20"/>
    <w:rsid w:val="00B73C69"/>
    <w:rsid w:val="00B93818"/>
    <w:rsid w:val="00BA1B6D"/>
    <w:rsid w:val="00BA672F"/>
    <w:rsid w:val="00BA6CE9"/>
    <w:rsid w:val="00BB2D99"/>
    <w:rsid w:val="00BE56C3"/>
    <w:rsid w:val="00BF3310"/>
    <w:rsid w:val="00BF3731"/>
    <w:rsid w:val="00BF58F2"/>
    <w:rsid w:val="00BF67A0"/>
    <w:rsid w:val="00C14B4B"/>
    <w:rsid w:val="00C26743"/>
    <w:rsid w:val="00C55AC5"/>
    <w:rsid w:val="00C76C0E"/>
    <w:rsid w:val="00C80AF4"/>
    <w:rsid w:val="00C93ED4"/>
    <w:rsid w:val="00CB2ED0"/>
    <w:rsid w:val="00CC38F3"/>
    <w:rsid w:val="00CF2497"/>
    <w:rsid w:val="00D003E9"/>
    <w:rsid w:val="00D00BEE"/>
    <w:rsid w:val="00D05879"/>
    <w:rsid w:val="00D11BAB"/>
    <w:rsid w:val="00D12BD1"/>
    <w:rsid w:val="00D20086"/>
    <w:rsid w:val="00D37EC4"/>
    <w:rsid w:val="00D575CB"/>
    <w:rsid w:val="00D63CD2"/>
    <w:rsid w:val="00D9250C"/>
    <w:rsid w:val="00D93B8F"/>
    <w:rsid w:val="00D93C70"/>
    <w:rsid w:val="00D97EC2"/>
    <w:rsid w:val="00DA5E7A"/>
    <w:rsid w:val="00DA71C1"/>
    <w:rsid w:val="00DC6858"/>
    <w:rsid w:val="00DF3F5C"/>
    <w:rsid w:val="00E1043D"/>
    <w:rsid w:val="00E120FC"/>
    <w:rsid w:val="00E13C25"/>
    <w:rsid w:val="00E26727"/>
    <w:rsid w:val="00E34A43"/>
    <w:rsid w:val="00E46553"/>
    <w:rsid w:val="00E501B3"/>
    <w:rsid w:val="00E53094"/>
    <w:rsid w:val="00E62A1D"/>
    <w:rsid w:val="00E65335"/>
    <w:rsid w:val="00E65981"/>
    <w:rsid w:val="00E756A6"/>
    <w:rsid w:val="00E76F87"/>
    <w:rsid w:val="00E831C8"/>
    <w:rsid w:val="00E94CE1"/>
    <w:rsid w:val="00E97E2D"/>
    <w:rsid w:val="00EB570D"/>
    <w:rsid w:val="00EE093F"/>
    <w:rsid w:val="00EF6E5D"/>
    <w:rsid w:val="00F012C8"/>
    <w:rsid w:val="00F116E3"/>
    <w:rsid w:val="00F21281"/>
    <w:rsid w:val="00F61401"/>
    <w:rsid w:val="00F8631B"/>
    <w:rsid w:val="00F922B6"/>
    <w:rsid w:val="00F9356D"/>
    <w:rsid w:val="00FA57A9"/>
    <w:rsid w:val="00FB4BBC"/>
    <w:rsid w:val="00FB6BEF"/>
    <w:rsid w:val="00FD67D5"/>
    <w:rsid w:val="00FE75B0"/>
    <w:rsid w:val="00FF6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A938E"/>
  <w15:chartTrackingRefBased/>
  <w15:docId w15:val="{0AD8698B-8F7B-4268-B50A-65BED23D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27B7"/>
    <w:rPr>
      <w:sz w:val="24"/>
      <w:szCs w:val="24"/>
    </w:rPr>
  </w:style>
  <w:style w:type="paragraph" w:styleId="Heading1">
    <w:name w:val="heading 1"/>
    <w:basedOn w:val="Normal"/>
    <w:next w:val="Normal"/>
    <w:link w:val="Heading1Char"/>
    <w:uiPriority w:val="9"/>
    <w:qFormat/>
    <w:rsid w:val="00306B1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3662"/>
    <w:rPr>
      <w:rFonts w:ascii="Tahoma" w:hAnsi="Tahoma" w:cs="Tahoma"/>
      <w:sz w:val="16"/>
      <w:szCs w:val="16"/>
    </w:rPr>
  </w:style>
  <w:style w:type="character" w:customStyle="1" w:styleId="BalloonTextChar">
    <w:name w:val="Balloon Text Char"/>
    <w:link w:val="BalloonText"/>
    <w:uiPriority w:val="99"/>
    <w:semiHidden/>
    <w:rsid w:val="00033662"/>
    <w:rPr>
      <w:rFonts w:ascii="Tahoma" w:hAnsi="Tahoma" w:cs="Tahoma"/>
      <w:sz w:val="16"/>
      <w:szCs w:val="16"/>
    </w:rPr>
  </w:style>
  <w:style w:type="paragraph" w:styleId="Header">
    <w:name w:val="header"/>
    <w:basedOn w:val="Normal"/>
    <w:link w:val="HeaderChar"/>
    <w:uiPriority w:val="99"/>
    <w:unhideWhenUsed/>
    <w:rsid w:val="00D05879"/>
    <w:pPr>
      <w:tabs>
        <w:tab w:val="center" w:pos="4680"/>
        <w:tab w:val="right" w:pos="9360"/>
      </w:tabs>
    </w:pPr>
  </w:style>
  <w:style w:type="character" w:customStyle="1" w:styleId="HeaderChar">
    <w:name w:val="Header Char"/>
    <w:link w:val="Header"/>
    <w:uiPriority w:val="99"/>
    <w:rsid w:val="00D05879"/>
    <w:rPr>
      <w:sz w:val="24"/>
      <w:szCs w:val="24"/>
    </w:rPr>
  </w:style>
  <w:style w:type="paragraph" w:styleId="Footer">
    <w:name w:val="footer"/>
    <w:basedOn w:val="Normal"/>
    <w:link w:val="FooterChar"/>
    <w:uiPriority w:val="99"/>
    <w:unhideWhenUsed/>
    <w:rsid w:val="00D05879"/>
    <w:pPr>
      <w:tabs>
        <w:tab w:val="center" w:pos="4680"/>
        <w:tab w:val="right" w:pos="9360"/>
      </w:tabs>
    </w:pPr>
  </w:style>
  <w:style w:type="character" w:customStyle="1" w:styleId="FooterChar">
    <w:name w:val="Footer Char"/>
    <w:link w:val="Footer"/>
    <w:uiPriority w:val="99"/>
    <w:rsid w:val="00D05879"/>
    <w:rPr>
      <w:sz w:val="24"/>
      <w:szCs w:val="24"/>
    </w:rPr>
  </w:style>
  <w:style w:type="character" w:styleId="CommentReference">
    <w:name w:val="annotation reference"/>
    <w:uiPriority w:val="99"/>
    <w:semiHidden/>
    <w:unhideWhenUsed/>
    <w:rsid w:val="00965B64"/>
    <w:rPr>
      <w:sz w:val="16"/>
      <w:szCs w:val="16"/>
    </w:rPr>
  </w:style>
  <w:style w:type="paragraph" w:styleId="CommentText">
    <w:name w:val="annotation text"/>
    <w:basedOn w:val="Normal"/>
    <w:link w:val="CommentTextChar"/>
    <w:uiPriority w:val="99"/>
    <w:unhideWhenUsed/>
    <w:rsid w:val="00965B64"/>
    <w:rPr>
      <w:sz w:val="20"/>
      <w:szCs w:val="20"/>
    </w:rPr>
  </w:style>
  <w:style w:type="character" w:customStyle="1" w:styleId="CommentTextChar">
    <w:name w:val="Comment Text Char"/>
    <w:basedOn w:val="DefaultParagraphFont"/>
    <w:link w:val="CommentText"/>
    <w:uiPriority w:val="99"/>
    <w:rsid w:val="00965B64"/>
  </w:style>
  <w:style w:type="paragraph" w:styleId="CommentSubject">
    <w:name w:val="annotation subject"/>
    <w:basedOn w:val="CommentText"/>
    <w:next w:val="CommentText"/>
    <w:link w:val="CommentSubjectChar"/>
    <w:uiPriority w:val="99"/>
    <w:semiHidden/>
    <w:unhideWhenUsed/>
    <w:rsid w:val="00965B64"/>
    <w:rPr>
      <w:b/>
      <w:bCs/>
    </w:rPr>
  </w:style>
  <w:style w:type="character" w:customStyle="1" w:styleId="CommentSubjectChar">
    <w:name w:val="Comment Subject Char"/>
    <w:link w:val="CommentSubject"/>
    <w:uiPriority w:val="99"/>
    <w:semiHidden/>
    <w:rsid w:val="00965B64"/>
    <w:rPr>
      <w:b/>
      <w:bCs/>
    </w:rPr>
  </w:style>
  <w:style w:type="paragraph" w:styleId="Revision">
    <w:name w:val="Revision"/>
    <w:hidden/>
    <w:uiPriority w:val="99"/>
    <w:semiHidden/>
    <w:rsid w:val="00965B64"/>
    <w:rPr>
      <w:sz w:val="24"/>
      <w:szCs w:val="24"/>
    </w:rPr>
  </w:style>
  <w:style w:type="table" w:styleId="TableGrid">
    <w:name w:val="Table Grid"/>
    <w:basedOn w:val="TableNormal"/>
    <w:uiPriority w:val="39"/>
    <w:rsid w:val="000646E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12274"/>
    <w:pPr>
      <w:jc w:val="both"/>
    </w:pPr>
    <w:rPr>
      <w:rFonts w:ascii="Calibri" w:eastAsia="Times New Roman" w:hAnsi="Calibri"/>
      <w:sz w:val="20"/>
      <w:szCs w:val="20"/>
    </w:rPr>
  </w:style>
  <w:style w:type="character" w:customStyle="1" w:styleId="FootnoteTextChar">
    <w:name w:val="Footnote Text Char"/>
    <w:link w:val="FootnoteText"/>
    <w:uiPriority w:val="99"/>
    <w:semiHidden/>
    <w:rsid w:val="00B12274"/>
    <w:rPr>
      <w:rFonts w:ascii="Calibri" w:eastAsia="Times New Roman" w:hAnsi="Calibri"/>
    </w:rPr>
  </w:style>
  <w:style w:type="character" w:styleId="FootnoteReference">
    <w:name w:val="footnote reference"/>
    <w:uiPriority w:val="99"/>
    <w:semiHidden/>
    <w:unhideWhenUsed/>
    <w:rsid w:val="00B12274"/>
    <w:rPr>
      <w:rFonts w:cs="Times New Roman"/>
      <w:vertAlign w:val="superscript"/>
    </w:rPr>
  </w:style>
  <w:style w:type="paragraph" w:styleId="Caption">
    <w:name w:val="caption"/>
    <w:basedOn w:val="Normal"/>
    <w:next w:val="Normal"/>
    <w:semiHidden/>
    <w:unhideWhenUsed/>
    <w:qFormat/>
    <w:rsid w:val="00900546"/>
    <w:pPr>
      <w:spacing w:after="200"/>
    </w:pPr>
    <w:rPr>
      <w:rFonts w:cs="Calibri"/>
      <w:b/>
      <w:bCs/>
      <w:szCs w:val="18"/>
    </w:rPr>
  </w:style>
  <w:style w:type="character" w:styleId="Hyperlink">
    <w:name w:val="Hyperlink"/>
    <w:uiPriority w:val="99"/>
    <w:semiHidden/>
    <w:unhideWhenUsed/>
    <w:rsid w:val="00E34A43"/>
    <w:rPr>
      <w:color w:val="0000FF"/>
      <w:u w:val="single"/>
    </w:rPr>
  </w:style>
  <w:style w:type="character" w:styleId="FollowedHyperlink">
    <w:name w:val="FollowedHyperlink"/>
    <w:uiPriority w:val="99"/>
    <w:semiHidden/>
    <w:unhideWhenUsed/>
    <w:rsid w:val="001D46A6"/>
    <w:rPr>
      <w:color w:val="954F72"/>
      <w:u w:val="single"/>
    </w:rPr>
  </w:style>
  <w:style w:type="paragraph" w:styleId="ListParagraph">
    <w:name w:val="List Paragraph"/>
    <w:basedOn w:val="Normal"/>
    <w:uiPriority w:val="34"/>
    <w:qFormat/>
    <w:rsid w:val="00C80AF4"/>
    <w:pPr>
      <w:ind w:left="720"/>
      <w:contextualSpacing/>
    </w:pPr>
  </w:style>
  <w:style w:type="paragraph" w:styleId="NoSpacing">
    <w:name w:val="No Spacing"/>
    <w:uiPriority w:val="1"/>
    <w:qFormat/>
    <w:rsid w:val="00306B12"/>
    <w:rPr>
      <w:sz w:val="24"/>
      <w:szCs w:val="24"/>
    </w:rPr>
  </w:style>
  <w:style w:type="character" w:customStyle="1" w:styleId="Heading1Char">
    <w:name w:val="Heading 1 Char"/>
    <w:basedOn w:val="DefaultParagraphFont"/>
    <w:link w:val="Heading1"/>
    <w:uiPriority w:val="9"/>
    <w:rsid w:val="00306B12"/>
    <w:rPr>
      <w:rFonts w:asciiTheme="majorHAnsi" w:eastAsiaTheme="majorEastAsia" w:hAnsiTheme="majorHAnsi" w:cstheme="majorBidi"/>
      <w:color w:val="2E74B5" w:themeColor="accent1" w:themeShade="BF"/>
      <w:sz w:val="32"/>
      <w:szCs w:val="32"/>
    </w:rPr>
  </w:style>
  <w:style w:type="paragraph" w:customStyle="1" w:styleId="Default">
    <w:name w:val="Default"/>
    <w:rsid w:val="00154B71"/>
    <w:pPr>
      <w:autoSpaceDE w:val="0"/>
      <w:autoSpaceDN w:val="0"/>
      <w:adjustRightInd w:val="0"/>
    </w:pPr>
    <w:rPr>
      <w:color w:val="000000"/>
      <w:sz w:val="24"/>
      <w:szCs w:val="24"/>
    </w:rPr>
  </w:style>
  <w:style w:type="table" w:customStyle="1" w:styleId="mycustomsetting">
    <w:name w:val="my custom setting"/>
    <w:basedOn w:val="LightGrid-Accent1"/>
    <w:uiPriority w:val="99"/>
    <w:rsid w:val="00E756A6"/>
    <w:rPr>
      <w:rFonts w:asciiTheme="minorHAnsi" w:eastAsiaTheme="minorHAnsi" w:hAnsiTheme="minorHAnsi" w:cstheme="minorBidi"/>
      <w:sz w:val="22"/>
      <w:szCs w:val="22"/>
    </w:rPr>
    <w:tblPr/>
    <w:tblStylePr w:type="firstRow">
      <w:pPr>
        <w:spacing w:beforeLines="0" w:before="0" w:beforeAutospacing="0" w:afterLines="0" w:after="0" w:afterAutospacing="0" w:line="240" w:lineRule="auto"/>
      </w:pPr>
      <w:rPr>
        <w:rFonts w:asciiTheme="minorHAnsi" w:eastAsiaTheme="majorEastAsia" w:hAnsiTheme="minorHAnsi" w:cstheme="majorBidi" w:hint="default"/>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shd w:val="clear" w:color="auto" w:fill="002060"/>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inorHAnsi" w:eastAsiaTheme="majorEastAsia" w:hAnsiTheme="minorHAnsi" w:cstheme="majorBidi" w:hint="default"/>
        <w:b/>
        <w:bCs/>
        <w:sz w:val="22"/>
        <w:szCs w:val="22"/>
      </w:rPr>
    </w:tblStylePr>
    <w:tblStylePr w:type="lastCol">
      <w:rPr>
        <w:rFonts w:asciiTheme="majorHAnsi" w:eastAsiaTheme="majorEastAsia" w:hAnsiTheme="majorHAnsi" w:cstheme="majorBidi" w:hint="default"/>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rPr>
        <w:rFonts w:asciiTheme="minorHAnsi" w:hAnsiTheme="minorHAnsi" w:cs="Calibri" w:hint="default"/>
        <w:sz w:val="22"/>
        <w:szCs w:val="22"/>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rPr>
        <w:rFonts w:asciiTheme="minorHAnsi" w:hAnsiTheme="minorHAnsi" w:cs="Calibri" w:hint="default"/>
        <w:sz w:val="22"/>
        <w:szCs w:val="22"/>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1">
    <w:name w:val="Light Grid Accent 1"/>
    <w:basedOn w:val="TableNormal"/>
    <w:uiPriority w:val="62"/>
    <w:semiHidden/>
    <w:unhideWhenUsed/>
    <w:rsid w:val="00E756A6"/>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383480">
      <w:bodyDiv w:val="1"/>
      <w:marLeft w:val="0"/>
      <w:marRight w:val="0"/>
      <w:marTop w:val="0"/>
      <w:marBottom w:val="0"/>
      <w:divBdr>
        <w:top w:val="none" w:sz="0" w:space="0" w:color="auto"/>
        <w:left w:val="none" w:sz="0" w:space="0" w:color="auto"/>
        <w:bottom w:val="none" w:sz="0" w:space="0" w:color="auto"/>
        <w:right w:val="none" w:sz="0" w:space="0" w:color="auto"/>
      </w:divBdr>
    </w:div>
    <w:div w:id="778722309">
      <w:bodyDiv w:val="1"/>
      <w:marLeft w:val="0"/>
      <w:marRight w:val="0"/>
      <w:marTop w:val="0"/>
      <w:marBottom w:val="0"/>
      <w:divBdr>
        <w:top w:val="none" w:sz="0" w:space="0" w:color="auto"/>
        <w:left w:val="none" w:sz="0" w:space="0" w:color="auto"/>
        <w:bottom w:val="none" w:sz="0" w:space="0" w:color="auto"/>
        <w:right w:val="none" w:sz="0" w:space="0" w:color="auto"/>
      </w:divBdr>
    </w:div>
    <w:div w:id="1194686088">
      <w:bodyDiv w:val="1"/>
      <w:marLeft w:val="0"/>
      <w:marRight w:val="0"/>
      <w:marTop w:val="0"/>
      <w:marBottom w:val="0"/>
      <w:divBdr>
        <w:top w:val="none" w:sz="0" w:space="0" w:color="auto"/>
        <w:left w:val="none" w:sz="0" w:space="0" w:color="auto"/>
        <w:bottom w:val="none" w:sz="0" w:space="0" w:color="auto"/>
        <w:right w:val="none" w:sz="0" w:space="0" w:color="auto"/>
      </w:divBdr>
    </w:div>
    <w:div w:id="188725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ensus.gov/newsroom/releases/archives/2010_census/press-kits/island-area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8AD7D-C7E6-491A-99C7-A12EA9333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2354</Words>
  <Characters>13418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15741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Edwards</dc:creator>
  <cp:keywords/>
  <cp:lastModifiedBy>Adrienne Thomas</cp:lastModifiedBy>
  <cp:revision>3</cp:revision>
  <cp:lastPrinted>2015-09-11T07:03:00Z</cp:lastPrinted>
  <dcterms:created xsi:type="dcterms:W3CDTF">2020-06-20T18:56:00Z</dcterms:created>
  <dcterms:modified xsi:type="dcterms:W3CDTF">2020-06-20T18:59:00Z</dcterms:modified>
</cp:coreProperties>
</file>