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701E8" w:rsidR="00586C7D" w:rsidP="00586C7D" w:rsidRDefault="00586C7D">
      <w:pPr>
        <w:jc w:val="center"/>
        <w:rPr>
          <w:b/>
          <w:sz w:val="24"/>
          <w:szCs w:val="24"/>
        </w:rPr>
      </w:pPr>
      <w:r w:rsidRPr="00B701E8">
        <w:rPr>
          <w:b/>
          <w:sz w:val="24"/>
          <w:szCs w:val="24"/>
        </w:rPr>
        <w:t>SUPPORTING STATEMENT</w:t>
      </w:r>
    </w:p>
    <w:p w:rsidRPr="00B701E8" w:rsidR="00586C7D" w:rsidP="00586C7D" w:rsidRDefault="00586C7D">
      <w:pPr>
        <w:jc w:val="center"/>
        <w:rPr>
          <w:b/>
          <w:sz w:val="24"/>
          <w:szCs w:val="24"/>
        </w:rPr>
      </w:pPr>
      <w:r w:rsidRPr="00B701E8">
        <w:rPr>
          <w:b/>
          <w:sz w:val="24"/>
          <w:szCs w:val="24"/>
        </w:rPr>
        <w:t>U.S. Department of Commerce</w:t>
      </w:r>
    </w:p>
    <w:p w:rsidRPr="00B701E8" w:rsidR="00586C7D" w:rsidP="00586C7D" w:rsidRDefault="00586C7D">
      <w:pPr>
        <w:jc w:val="center"/>
        <w:rPr>
          <w:b/>
          <w:sz w:val="24"/>
          <w:szCs w:val="24"/>
        </w:rPr>
      </w:pPr>
      <w:r w:rsidRPr="00B701E8">
        <w:rPr>
          <w:b/>
          <w:sz w:val="24"/>
          <w:szCs w:val="24"/>
        </w:rPr>
        <w:t>National Oceanic &amp; Atmospheric Administration</w:t>
      </w:r>
    </w:p>
    <w:p w:rsidR="00586C7D" w:rsidP="00586C7D" w:rsidRDefault="00586C7D">
      <w:pPr>
        <w:jc w:val="center"/>
        <w:rPr>
          <w:b/>
          <w:sz w:val="24"/>
          <w:szCs w:val="24"/>
        </w:rPr>
      </w:pPr>
      <w:r>
        <w:rPr>
          <w:b/>
          <w:sz w:val="24"/>
          <w:szCs w:val="24"/>
        </w:rPr>
        <w:t>Greater Atlantic Region, Atlantic Sea Scallop Fishery</w:t>
      </w:r>
    </w:p>
    <w:p w:rsidRPr="00B701E8" w:rsidR="00586C7D" w:rsidP="00586C7D" w:rsidRDefault="00586C7D">
      <w:pPr>
        <w:jc w:val="center"/>
        <w:rPr>
          <w:b/>
          <w:sz w:val="24"/>
          <w:szCs w:val="24"/>
        </w:rPr>
      </w:pPr>
      <w:r>
        <w:rPr>
          <w:b/>
          <w:sz w:val="24"/>
          <w:szCs w:val="24"/>
        </w:rPr>
        <w:t>Management Plan Data Collection</w:t>
      </w:r>
    </w:p>
    <w:p w:rsidRPr="00B701E8" w:rsidR="00586C7D" w:rsidP="00586C7D" w:rsidRDefault="00586C7D">
      <w:pPr>
        <w:jc w:val="center"/>
        <w:rPr>
          <w:b/>
          <w:sz w:val="24"/>
          <w:szCs w:val="24"/>
        </w:rPr>
      </w:pPr>
      <w:r w:rsidRPr="00B701E8">
        <w:rPr>
          <w:b/>
          <w:sz w:val="24"/>
          <w:szCs w:val="24"/>
        </w:rPr>
        <w:t>OMB Control No. 0648-</w:t>
      </w:r>
      <w:r>
        <w:rPr>
          <w:b/>
          <w:sz w:val="24"/>
          <w:szCs w:val="24"/>
        </w:rPr>
        <w:t>0491</w:t>
      </w:r>
    </w:p>
    <w:p w:rsidRPr="00B23405" w:rsidR="004F2F3A" w:rsidP="004F2F3A" w:rsidRDefault="004F2F3A">
      <w:pPr>
        <w:jc w:val="center"/>
        <w:rPr>
          <w:b/>
          <w:sz w:val="24"/>
          <w:szCs w:val="24"/>
        </w:rPr>
      </w:pPr>
    </w:p>
    <w:p w:rsidRPr="00B23405" w:rsidR="00995D9B" w:rsidP="00B8234D" w:rsidRDefault="00684E0F">
      <w:pPr>
        <w:rPr>
          <w:sz w:val="24"/>
          <w:szCs w:val="24"/>
        </w:rPr>
      </w:pPr>
      <w:r>
        <w:rPr>
          <w:b/>
          <w:sz w:val="24"/>
          <w:szCs w:val="24"/>
        </w:rPr>
        <w:t>Abstract</w:t>
      </w:r>
    </w:p>
    <w:p w:rsidRPr="00B23405" w:rsidR="00755C97" w:rsidP="00B8234D" w:rsidRDefault="00755C97">
      <w:pPr>
        <w:rPr>
          <w:sz w:val="24"/>
          <w:szCs w:val="24"/>
        </w:rPr>
      </w:pPr>
    </w:p>
    <w:p w:rsidR="008D3F7E" w:rsidP="00B8234D" w:rsidRDefault="00755C97">
      <w:pPr>
        <w:rPr>
          <w:sz w:val="24"/>
          <w:szCs w:val="24"/>
        </w:rPr>
      </w:pPr>
      <w:r w:rsidRPr="00B23405">
        <w:rPr>
          <w:sz w:val="24"/>
          <w:szCs w:val="24"/>
        </w:rPr>
        <w:t>This</w:t>
      </w:r>
      <w:r w:rsidR="002C42BA">
        <w:rPr>
          <w:sz w:val="24"/>
          <w:szCs w:val="24"/>
        </w:rPr>
        <w:t xml:space="preserve"> Paperwork Reduction Act (PRA)</w:t>
      </w:r>
      <w:r w:rsidRPr="00B23405">
        <w:rPr>
          <w:sz w:val="24"/>
          <w:szCs w:val="24"/>
        </w:rPr>
        <w:t xml:space="preserve"> submission requests Office of Management and Budget (OMB) approval of</w:t>
      </w:r>
      <w:r w:rsidR="009E30AA">
        <w:rPr>
          <w:sz w:val="24"/>
          <w:szCs w:val="24"/>
        </w:rPr>
        <w:t xml:space="preserve"> </w:t>
      </w:r>
      <w:r w:rsidR="000C0EBA">
        <w:rPr>
          <w:sz w:val="24"/>
          <w:szCs w:val="24"/>
        </w:rPr>
        <w:t xml:space="preserve">a revision and </w:t>
      </w:r>
      <w:r w:rsidR="009E30AA">
        <w:rPr>
          <w:sz w:val="24"/>
          <w:szCs w:val="24"/>
        </w:rPr>
        <w:t xml:space="preserve">extension </w:t>
      </w:r>
      <w:r w:rsidR="00B96887">
        <w:rPr>
          <w:sz w:val="24"/>
          <w:szCs w:val="24"/>
        </w:rPr>
        <w:t>of</w:t>
      </w:r>
      <w:r w:rsidR="00955F2F">
        <w:rPr>
          <w:sz w:val="24"/>
          <w:szCs w:val="24"/>
        </w:rPr>
        <w:t xml:space="preserve"> </w:t>
      </w:r>
      <w:r w:rsidRPr="00B23405">
        <w:rPr>
          <w:sz w:val="24"/>
          <w:szCs w:val="24"/>
        </w:rPr>
        <w:t xml:space="preserve">the information collection requirements </w:t>
      </w:r>
      <w:r w:rsidR="00955F2F">
        <w:rPr>
          <w:sz w:val="24"/>
          <w:szCs w:val="24"/>
        </w:rPr>
        <w:t>pertaining</w:t>
      </w:r>
      <w:r w:rsidRPr="00B23405">
        <w:rPr>
          <w:sz w:val="24"/>
          <w:szCs w:val="24"/>
        </w:rPr>
        <w:t xml:space="preserve"> to the Atlantic </w:t>
      </w:r>
      <w:r w:rsidRPr="00B23405" w:rsidR="00D01324">
        <w:rPr>
          <w:sz w:val="24"/>
          <w:szCs w:val="24"/>
        </w:rPr>
        <w:t>Sea Scallop</w:t>
      </w:r>
      <w:r w:rsidRPr="00B23405" w:rsidR="004D3FE1">
        <w:rPr>
          <w:sz w:val="24"/>
          <w:szCs w:val="24"/>
        </w:rPr>
        <w:t xml:space="preserve"> </w:t>
      </w:r>
      <w:r w:rsidRPr="00B23405">
        <w:rPr>
          <w:sz w:val="24"/>
          <w:szCs w:val="24"/>
        </w:rPr>
        <w:t>Fishery Management Plan (FMP)</w:t>
      </w:r>
      <w:r w:rsidR="00955F2F">
        <w:rPr>
          <w:sz w:val="24"/>
          <w:szCs w:val="24"/>
        </w:rPr>
        <w:t xml:space="preserve"> under OMB Control No. 0648-0491</w:t>
      </w:r>
      <w:r w:rsidR="00BB76BA">
        <w:rPr>
          <w:sz w:val="24"/>
          <w:szCs w:val="24"/>
        </w:rPr>
        <w:t>.</w:t>
      </w:r>
      <w:r w:rsidR="000C0EBA">
        <w:rPr>
          <w:sz w:val="24"/>
          <w:szCs w:val="24"/>
        </w:rPr>
        <w:t xml:space="preserve">  </w:t>
      </w:r>
    </w:p>
    <w:p w:rsidR="000C0EBA" w:rsidP="00B8234D" w:rsidRDefault="000C0EBA">
      <w:pPr>
        <w:rPr>
          <w:sz w:val="24"/>
          <w:szCs w:val="24"/>
        </w:rPr>
      </w:pPr>
    </w:p>
    <w:p w:rsidR="000C0EBA" w:rsidP="000C0EBA" w:rsidRDefault="0048494A">
      <w:pPr>
        <w:widowControl/>
        <w:rPr>
          <w:sz w:val="24"/>
          <w:szCs w:val="24"/>
        </w:rPr>
      </w:pPr>
      <w:r>
        <w:rPr>
          <w:sz w:val="24"/>
          <w:szCs w:val="24"/>
        </w:rPr>
        <w:t xml:space="preserve">The </w:t>
      </w:r>
      <w:r w:rsidRPr="00B23405" w:rsidR="000C0EBA">
        <w:rPr>
          <w:sz w:val="24"/>
          <w:szCs w:val="24"/>
        </w:rPr>
        <w:t xml:space="preserve">National Oceanic and Atmospheric Administration’s </w:t>
      </w:r>
      <w:r w:rsidR="000C0EBA">
        <w:rPr>
          <w:sz w:val="24"/>
          <w:szCs w:val="24"/>
        </w:rPr>
        <w:t xml:space="preserve">(NOAA) </w:t>
      </w:r>
      <w:r w:rsidRPr="00B23405" w:rsidR="000C0EBA">
        <w:rPr>
          <w:sz w:val="24"/>
          <w:szCs w:val="24"/>
        </w:rPr>
        <w:t xml:space="preserve">National Marine Fisheries Service </w:t>
      </w:r>
      <w:r w:rsidR="000C0EBA">
        <w:rPr>
          <w:sz w:val="24"/>
          <w:szCs w:val="24"/>
        </w:rPr>
        <w:t>(</w:t>
      </w:r>
      <w:r w:rsidRPr="000C0EBA" w:rsidR="000C0EBA">
        <w:rPr>
          <w:sz w:val="24"/>
          <w:szCs w:val="24"/>
        </w:rPr>
        <w:t>NMFS</w:t>
      </w:r>
      <w:r w:rsidR="000C0EBA">
        <w:rPr>
          <w:sz w:val="24"/>
          <w:szCs w:val="24"/>
        </w:rPr>
        <w:t>)</w:t>
      </w:r>
      <w:r w:rsidRPr="000C0EBA" w:rsidR="000C0EBA">
        <w:rPr>
          <w:sz w:val="24"/>
          <w:szCs w:val="24"/>
        </w:rPr>
        <w:t xml:space="preserve"> implement</w:t>
      </w:r>
      <w:r>
        <w:rPr>
          <w:sz w:val="24"/>
          <w:szCs w:val="24"/>
        </w:rPr>
        <w:t>ed</w:t>
      </w:r>
      <w:r w:rsidRPr="000C0EBA" w:rsidR="000C0EBA">
        <w:rPr>
          <w:sz w:val="24"/>
          <w:szCs w:val="24"/>
        </w:rPr>
        <w:t xml:space="preserve"> modifications to the regulations </w:t>
      </w:r>
      <w:r>
        <w:rPr>
          <w:sz w:val="24"/>
          <w:szCs w:val="24"/>
        </w:rPr>
        <w:t>of</w:t>
      </w:r>
      <w:r w:rsidRPr="000C0EBA" w:rsidR="000C0EBA">
        <w:rPr>
          <w:sz w:val="24"/>
          <w:szCs w:val="24"/>
        </w:rPr>
        <w:t xml:space="preserve"> the Northeast Multispecies Fishery Management Plan to allow vessels issued a limited access general category individual fishing quota sea scallop permit to fish for scallops with small dredges in an expand</w:t>
      </w:r>
      <w:r>
        <w:rPr>
          <w:sz w:val="24"/>
          <w:szCs w:val="24"/>
        </w:rPr>
        <w:t xml:space="preserve">ed area. In addition, NMFS also modified </w:t>
      </w:r>
      <w:r w:rsidRPr="000C0EBA" w:rsidR="000C0EBA">
        <w:rPr>
          <w:sz w:val="24"/>
          <w:szCs w:val="24"/>
        </w:rPr>
        <w:t xml:space="preserve">open area days-at-sea trip reporting procedures for limited access scallop vessels. This is intended to provide consistency, flexibility, and potential economic benefit to the scallop fleet. </w:t>
      </w:r>
    </w:p>
    <w:p w:rsidRPr="00B23405" w:rsidR="00BB76BA" w:rsidP="00B8234D" w:rsidRDefault="00BB76BA">
      <w:pPr>
        <w:rPr>
          <w:b/>
          <w:sz w:val="24"/>
          <w:szCs w:val="24"/>
        </w:rPr>
      </w:pPr>
    </w:p>
    <w:p w:rsidRPr="00B23405" w:rsidR="00CC48CD" w:rsidP="00CC48CD" w:rsidRDefault="00684E0F">
      <w:pPr>
        <w:tabs>
          <w:tab w:val="left" w:pos="720"/>
        </w:tabs>
        <w:ind w:left="720" w:hanging="720"/>
        <w:rPr>
          <w:sz w:val="24"/>
          <w:szCs w:val="24"/>
        </w:rPr>
      </w:pPr>
      <w:r>
        <w:rPr>
          <w:b/>
          <w:bCs/>
          <w:sz w:val="24"/>
          <w:szCs w:val="24"/>
        </w:rPr>
        <w:t>Justification</w:t>
      </w:r>
    </w:p>
    <w:p w:rsidR="00CC48CD" w:rsidP="00B8234D" w:rsidRDefault="00CC48CD">
      <w:pPr>
        <w:rPr>
          <w:b/>
          <w:bCs/>
          <w:sz w:val="24"/>
          <w:szCs w:val="24"/>
        </w:rPr>
      </w:pPr>
    </w:p>
    <w:p w:rsidRPr="00B23405" w:rsidR="00995D9B" w:rsidP="00B8234D" w:rsidRDefault="00995D9B">
      <w:pPr>
        <w:rPr>
          <w:sz w:val="24"/>
          <w:szCs w:val="24"/>
        </w:rPr>
      </w:pPr>
      <w:r w:rsidRPr="00B23405">
        <w:rPr>
          <w:b/>
          <w:bCs/>
          <w:sz w:val="24"/>
          <w:szCs w:val="24"/>
        </w:rPr>
        <w:t xml:space="preserve">1. </w:t>
      </w:r>
      <w:r w:rsidRPr="00784C37">
        <w:rPr>
          <w:b/>
          <w:bCs/>
          <w:sz w:val="24"/>
          <w:szCs w:val="24"/>
        </w:rPr>
        <w:t xml:space="preserve"> Explain the circumstances that make the collection of information necessary.</w:t>
      </w:r>
      <w:r w:rsidRPr="00784C37" w:rsidR="00784C37">
        <w:rPr>
          <w:b/>
          <w:bCs/>
          <w:sz w:val="24"/>
          <w:szCs w:val="24"/>
        </w:rPr>
        <w:t xml:space="preserve"> Identify an</w:t>
      </w:r>
      <w:r w:rsidR="00784C37">
        <w:rPr>
          <w:b/>
          <w:bCs/>
          <w:sz w:val="24"/>
          <w:szCs w:val="24"/>
        </w:rPr>
        <w:t>y</w:t>
      </w:r>
      <w:r w:rsidRPr="00784C37" w:rsidR="00784C37">
        <w:rPr>
          <w:b/>
          <w:bCs/>
          <w:sz w:val="24"/>
          <w:szCs w:val="24"/>
        </w:rPr>
        <w:t xml:space="preserve"> legal or administrative requirements that necessitate the collection. Attach a copy of the appropriate section of each statute and regulation mandating or authorizing the collection of information.</w:t>
      </w:r>
    </w:p>
    <w:p w:rsidRPr="00B23405" w:rsidR="00995D9B" w:rsidP="00B8234D" w:rsidRDefault="00995D9B">
      <w:pPr>
        <w:rPr>
          <w:sz w:val="24"/>
          <w:szCs w:val="24"/>
        </w:rPr>
      </w:pPr>
    </w:p>
    <w:p w:rsidRPr="00B23405" w:rsidR="00BF0A17" w:rsidP="00B8234D" w:rsidRDefault="00BF0A17">
      <w:pPr>
        <w:rPr>
          <w:sz w:val="24"/>
          <w:szCs w:val="24"/>
        </w:rPr>
      </w:pPr>
      <w:r w:rsidRPr="00B23405">
        <w:rPr>
          <w:sz w:val="24"/>
          <w:szCs w:val="24"/>
          <w:lang w:val="en-CA"/>
        </w:rPr>
        <w:fldChar w:fldCharType="begin"/>
      </w:r>
      <w:r w:rsidRPr="00B23405">
        <w:rPr>
          <w:sz w:val="24"/>
          <w:szCs w:val="24"/>
          <w:lang w:val="en-CA"/>
        </w:rPr>
        <w:instrText xml:space="preserve"> SEQ CHAPTER \h \r 1</w:instrText>
      </w:r>
      <w:r w:rsidRPr="00B23405">
        <w:rPr>
          <w:sz w:val="24"/>
          <w:szCs w:val="24"/>
          <w:lang w:val="en-CA"/>
        </w:rPr>
        <w:fldChar w:fldCharType="end"/>
      </w:r>
      <w:r w:rsidRPr="00B23405">
        <w:rPr>
          <w:sz w:val="24"/>
          <w:szCs w:val="24"/>
        </w:rPr>
        <w:t xml:space="preserve">Under the </w:t>
      </w:r>
      <w:hyperlink w:history="1" r:id="rId8">
        <w:r w:rsidRPr="00D74996">
          <w:rPr>
            <w:rStyle w:val="Hyperlink"/>
            <w:sz w:val="24"/>
            <w:szCs w:val="24"/>
          </w:rPr>
          <w:t>Magnuson-Stevens Fishery Conservation and Management Act</w:t>
        </w:r>
      </w:hyperlink>
      <w:r w:rsidRPr="00B23405">
        <w:rPr>
          <w:sz w:val="24"/>
          <w:szCs w:val="24"/>
        </w:rPr>
        <w:t xml:space="preserve"> (Magnuson-Stevens Act), the Secretary of Commerce (Secretary) has responsibility for the conservation and management of marine fishery resources off the coast of the United States.  The majority of this responsibility has been delegated to the </w:t>
      </w:r>
      <w:r w:rsidR="00F11A43">
        <w:rPr>
          <w:sz w:val="24"/>
          <w:szCs w:val="24"/>
        </w:rPr>
        <w:t xml:space="preserve">Fishery Management </w:t>
      </w:r>
      <w:r w:rsidRPr="00B23405" w:rsidR="00C12160">
        <w:rPr>
          <w:sz w:val="24"/>
          <w:szCs w:val="24"/>
        </w:rPr>
        <w:t>Council</w:t>
      </w:r>
      <w:r w:rsidRPr="00B23405" w:rsidR="008A3293">
        <w:rPr>
          <w:sz w:val="24"/>
          <w:szCs w:val="24"/>
        </w:rPr>
        <w:t>s</w:t>
      </w:r>
      <w:r w:rsidRPr="00B23405">
        <w:rPr>
          <w:sz w:val="24"/>
          <w:szCs w:val="24"/>
        </w:rPr>
        <w:t xml:space="preserve"> and the National Oceanic and Atmospheric Administration’s </w:t>
      </w:r>
      <w:r w:rsidR="007678C5">
        <w:rPr>
          <w:sz w:val="24"/>
          <w:szCs w:val="24"/>
        </w:rPr>
        <w:t xml:space="preserve">(NOAA) </w:t>
      </w:r>
      <w:r w:rsidRPr="00B23405" w:rsidR="00681EF9">
        <w:rPr>
          <w:sz w:val="24"/>
          <w:szCs w:val="24"/>
        </w:rPr>
        <w:t xml:space="preserve">National Marine Fisheries Service </w:t>
      </w:r>
      <w:r w:rsidRPr="00B23405">
        <w:rPr>
          <w:sz w:val="24"/>
          <w:szCs w:val="24"/>
        </w:rPr>
        <w:t>(</w:t>
      </w:r>
      <w:r w:rsidR="00F11A43">
        <w:rPr>
          <w:sz w:val="24"/>
          <w:szCs w:val="24"/>
        </w:rPr>
        <w:t>NMFS</w:t>
      </w:r>
      <w:r w:rsidRPr="00B23405">
        <w:rPr>
          <w:sz w:val="24"/>
          <w:szCs w:val="24"/>
        </w:rPr>
        <w:t>).</w:t>
      </w:r>
      <w:r w:rsidR="00951168">
        <w:rPr>
          <w:sz w:val="24"/>
          <w:szCs w:val="24"/>
        </w:rPr>
        <w:t xml:space="preserve">  </w:t>
      </w:r>
      <w:r w:rsidR="00F11A43">
        <w:rPr>
          <w:sz w:val="24"/>
          <w:szCs w:val="24"/>
        </w:rPr>
        <w:t>NMFS</w:t>
      </w:r>
      <w:r w:rsidR="00951168">
        <w:rPr>
          <w:sz w:val="24"/>
          <w:szCs w:val="24"/>
        </w:rPr>
        <w:t xml:space="preserve"> manages the Atlantic sea scallop (scallop) fishery through a set of regulations that limit catch of scallops and fishing vessel activity.  In addition, regulations limit catch of certain other species of fish in order to minimize bycatch and bycatch mortality (bycatch is the catch and discard of species that are not targeted in the scallop fishery).  Finally, </w:t>
      </w:r>
      <w:r w:rsidR="001B3FDE">
        <w:rPr>
          <w:sz w:val="24"/>
          <w:szCs w:val="24"/>
        </w:rPr>
        <w:t xml:space="preserve">the </w:t>
      </w:r>
      <w:r w:rsidR="00951168">
        <w:rPr>
          <w:sz w:val="24"/>
          <w:szCs w:val="24"/>
        </w:rPr>
        <w:t xml:space="preserve">regulations control </w:t>
      </w:r>
      <w:r w:rsidR="001B3FDE">
        <w:rPr>
          <w:sz w:val="24"/>
          <w:szCs w:val="24"/>
        </w:rPr>
        <w:t xml:space="preserve">vessel </w:t>
      </w:r>
      <w:r w:rsidR="00951168">
        <w:rPr>
          <w:sz w:val="24"/>
          <w:szCs w:val="24"/>
        </w:rPr>
        <w:t xml:space="preserve">permitting and the exchange of effort and quota allocations between vessels.  In order to effectively manage the fishery, track fishing effort and catch, and to allow vessel owners to </w:t>
      </w:r>
      <w:r w:rsidR="001B3FDE">
        <w:rPr>
          <w:sz w:val="24"/>
          <w:szCs w:val="24"/>
        </w:rPr>
        <w:t xml:space="preserve">exchange fishing trips and quota, </w:t>
      </w:r>
      <w:r w:rsidR="00F11A43">
        <w:rPr>
          <w:sz w:val="24"/>
          <w:szCs w:val="24"/>
        </w:rPr>
        <w:t>NMFS</w:t>
      </w:r>
      <w:r w:rsidR="001B3FDE">
        <w:rPr>
          <w:sz w:val="24"/>
          <w:szCs w:val="24"/>
        </w:rPr>
        <w:t xml:space="preserve"> must collect information through the reporting requirements included in this renewal.  All of the collection requirements remain necessary without revision.</w:t>
      </w:r>
    </w:p>
    <w:p w:rsidRPr="00B23405" w:rsidR="00BF0A17" w:rsidP="00B8234D" w:rsidRDefault="00BF0A17">
      <w:pPr>
        <w:rPr>
          <w:sz w:val="24"/>
          <w:szCs w:val="24"/>
        </w:rPr>
      </w:pPr>
    </w:p>
    <w:p w:rsidRPr="00FD0204" w:rsidR="00FD0204" w:rsidP="00FD0204" w:rsidRDefault="009E30AA">
      <w:pPr>
        <w:rPr>
          <w:sz w:val="24"/>
          <w:szCs w:val="24"/>
        </w:rPr>
      </w:pPr>
      <w:r w:rsidRPr="009E30AA">
        <w:rPr>
          <w:color w:val="222222"/>
          <w:sz w:val="24"/>
          <w:szCs w:val="24"/>
          <w:shd w:val="clear" w:color="auto" w:fill="FFFFFF"/>
        </w:rPr>
        <w:t>This current extension</w:t>
      </w:r>
      <w:r>
        <w:rPr>
          <w:color w:val="222222"/>
          <w:sz w:val="24"/>
          <w:szCs w:val="24"/>
          <w:shd w:val="clear" w:color="auto" w:fill="FFFFFF"/>
        </w:rPr>
        <w:t xml:space="preserve"> includes the same information collection requirements as previously, except that it</w:t>
      </w:r>
      <w:r w:rsidRPr="009E30AA">
        <w:rPr>
          <w:color w:val="222222"/>
          <w:sz w:val="24"/>
          <w:szCs w:val="24"/>
          <w:shd w:val="clear" w:color="auto" w:fill="FFFFFF"/>
        </w:rPr>
        <w:t xml:space="preserve"> removes</w:t>
      </w:r>
      <w:r w:rsidR="00D70EBF">
        <w:rPr>
          <w:color w:val="222222"/>
          <w:sz w:val="24"/>
          <w:szCs w:val="24"/>
          <w:shd w:val="clear" w:color="auto" w:fill="FFFFFF"/>
        </w:rPr>
        <w:t xml:space="preserve"> the collection of Vessel Monitoring System (VMS) requirements </w:t>
      </w:r>
      <w:r w:rsidRPr="009E30AA">
        <w:rPr>
          <w:color w:val="222222"/>
          <w:sz w:val="24"/>
          <w:szCs w:val="24"/>
          <w:shd w:val="clear" w:color="auto" w:fill="FFFFFF"/>
        </w:rPr>
        <w:t>that are now collected under OMB Control No. 0648-0202.</w:t>
      </w:r>
      <w:r w:rsidR="00405CA9">
        <w:rPr>
          <w:sz w:val="24"/>
          <w:szCs w:val="24"/>
          <w:lang w:val="en-CA"/>
        </w:rPr>
        <w:t xml:space="preserve"> </w:t>
      </w:r>
      <w:r w:rsidRPr="00FD0204" w:rsidR="00FD0204">
        <w:rPr>
          <w:sz w:val="24"/>
          <w:szCs w:val="24"/>
        </w:rPr>
        <w:t xml:space="preserve">To successfully implement and administer components of the FMP, </w:t>
      </w:r>
      <w:r w:rsidR="00D74996">
        <w:rPr>
          <w:sz w:val="24"/>
          <w:szCs w:val="24"/>
        </w:rPr>
        <w:t xml:space="preserve">OMB Control No. </w:t>
      </w:r>
      <w:r w:rsidRPr="00FD0204" w:rsidR="00FD0204">
        <w:rPr>
          <w:sz w:val="24"/>
          <w:szCs w:val="24"/>
        </w:rPr>
        <w:t>0648-0491 includes the following information collections:</w:t>
      </w:r>
    </w:p>
    <w:p w:rsidR="007678C5" w:rsidP="006921FA" w:rsidRDefault="007678C5">
      <w:pPr>
        <w:rPr>
          <w:sz w:val="24"/>
          <w:szCs w:val="24"/>
        </w:rPr>
      </w:pPr>
    </w:p>
    <w:p w:rsidR="006921FA" w:rsidP="006921FA" w:rsidRDefault="00FD0204">
      <w:pPr>
        <w:rPr>
          <w:sz w:val="24"/>
          <w:szCs w:val="24"/>
        </w:rPr>
      </w:pPr>
      <w:r w:rsidRPr="006921FA">
        <w:rPr>
          <w:b/>
          <w:sz w:val="24"/>
          <w:szCs w:val="24"/>
        </w:rPr>
        <w:lastRenderedPageBreak/>
        <w:t xml:space="preserve">Access </w:t>
      </w:r>
      <w:r w:rsidR="0027472D">
        <w:rPr>
          <w:b/>
          <w:sz w:val="24"/>
          <w:szCs w:val="24"/>
        </w:rPr>
        <w:t>A</w:t>
      </w:r>
      <w:r w:rsidRPr="006921FA">
        <w:rPr>
          <w:b/>
          <w:sz w:val="24"/>
          <w:szCs w:val="24"/>
        </w:rPr>
        <w:t xml:space="preserve">rea </w:t>
      </w:r>
      <w:r w:rsidR="0027472D">
        <w:rPr>
          <w:b/>
          <w:sz w:val="24"/>
          <w:szCs w:val="24"/>
        </w:rPr>
        <w:t>T</w:t>
      </w:r>
      <w:r w:rsidRPr="006921FA">
        <w:rPr>
          <w:b/>
          <w:sz w:val="24"/>
          <w:szCs w:val="24"/>
        </w:rPr>
        <w:t xml:space="preserve">rip </w:t>
      </w:r>
      <w:r w:rsidR="0027472D">
        <w:rPr>
          <w:b/>
          <w:sz w:val="24"/>
          <w:szCs w:val="24"/>
        </w:rPr>
        <w:t>E</w:t>
      </w:r>
      <w:r w:rsidRPr="006921FA">
        <w:rPr>
          <w:b/>
          <w:sz w:val="24"/>
          <w:szCs w:val="24"/>
        </w:rPr>
        <w:t xml:space="preserve">xchange </w:t>
      </w:r>
      <w:r w:rsidR="0027472D">
        <w:rPr>
          <w:b/>
          <w:sz w:val="24"/>
          <w:szCs w:val="24"/>
        </w:rPr>
        <w:t>A</w:t>
      </w:r>
      <w:r w:rsidRPr="006921FA">
        <w:rPr>
          <w:b/>
          <w:sz w:val="24"/>
          <w:szCs w:val="24"/>
        </w:rPr>
        <w:t>pplication</w:t>
      </w:r>
      <w:r w:rsidRPr="00FD0204">
        <w:rPr>
          <w:sz w:val="24"/>
          <w:szCs w:val="24"/>
        </w:rPr>
        <w:t xml:space="preserve"> </w:t>
      </w:r>
    </w:p>
    <w:p w:rsidR="006921FA" w:rsidP="006921FA" w:rsidRDefault="006921FA">
      <w:pPr>
        <w:rPr>
          <w:sz w:val="24"/>
          <w:szCs w:val="24"/>
        </w:rPr>
      </w:pPr>
    </w:p>
    <w:p w:rsidRPr="00FD0204" w:rsidR="00FD0204" w:rsidP="006921FA" w:rsidRDefault="00FD0204">
      <w:pPr>
        <w:rPr>
          <w:sz w:val="24"/>
          <w:szCs w:val="24"/>
          <w:lang w:val="en-CA"/>
        </w:rPr>
      </w:pPr>
      <w:r w:rsidRPr="00FD0204">
        <w:rPr>
          <w:sz w:val="24"/>
          <w:szCs w:val="24"/>
        </w:rPr>
        <w:t>The one-for-one access area trip exchange program provides flexibility to sca</w:t>
      </w:r>
      <w:r w:rsidR="00FF584A">
        <w:rPr>
          <w:sz w:val="24"/>
          <w:szCs w:val="24"/>
        </w:rPr>
        <w:t>llop vessels about</w:t>
      </w:r>
      <w:r w:rsidRPr="00FD0204">
        <w:rPr>
          <w:sz w:val="24"/>
          <w:szCs w:val="24"/>
        </w:rPr>
        <w:t xml:space="preserve"> where they may fish. </w:t>
      </w:r>
      <w:r w:rsidR="00452F6A">
        <w:rPr>
          <w:sz w:val="24"/>
          <w:szCs w:val="24"/>
        </w:rPr>
        <w:t xml:space="preserve"> P</w:t>
      </w:r>
      <w:r w:rsidRPr="00FD0204">
        <w:rPr>
          <w:sz w:val="24"/>
          <w:szCs w:val="24"/>
        </w:rPr>
        <w:t xml:space="preserve">articipants need to send an access area trip exchange application to NMFS with the following information: </w:t>
      </w:r>
      <w:r w:rsidR="00452F6A">
        <w:rPr>
          <w:sz w:val="24"/>
          <w:szCs w:val="24"/>
        </w:rPr>
        <w:t xml:space="preserve"> </w:t>
      </w:r>
      <w:r w:rsidRPr="00FD0204">
        <w:rPr>
          <w:sz w:val="24"/>
          <w:szCs w:val="24"/>
        </w:rPr>
        <w:t xml:space="preserve">Vessel name and permit number, owner name and signature, specification of the areas involved in the exchange. </w:t>
      </w:r>
      <w:r w:rsidR="00452F6A">
        <w:rPr>
          <w:sz w:val="24"/>
          <w:szCs w:val="24"/>
        </w:rPr>
        <w:t xml:space="preserve"> </w:t>
      </w:r>
      <w:r w:rsidRPr="00FD0204">
        <w:rPr>
          <w:sz w:val="24"/>
          <w:szCs w:val="24"/>
        </w:rPr>
        <w:t>Both vessels involved i</w:t>
      </w:r>
      <w:r w:rsidR="00FF584A">
        <w:rPr>
          <w:sz w:val="24"/>
          <w:szCs w:val="24"/>
        </w:rPr>
        <w:t>n the exchange are required to fill out and sign the form to ensure verification.</w:t>
      </w:r>
      <w:r w:rsidRPr="00FD0204">
        <w:rPr>
          <w:sz w:val="24"/>
          <w:szCs w:val="24"/>
        </w:rPr>
        <w:t xml:space="preserve"> This measure </w:t>
      </w:r>
      <w:r w:rsidR="00246B70">
        <w:rPr>
          <w:sz w:val="24"/>
          <w:szCs w:val="24"/>
        </w:rPr>
        <w:t xml:space="preserve">will </w:t>
      </w:r>
      <w:r w:rsidRPr="00FD0204">
        <w:rPr>
          <w:sz w:val="24"/>
          <w:szCs w:val="24"/>
        </w:rPr>
        <w:t xml:space="preserve">provide flexibility to vessels regarding which areas to fish, thereby reducing the possibility of revenue loss to those vessels that are unable to access some distant areas due to vessel capacity constraints. </w:t>
      </w:r>
      <w:r w:rsidR="00452F6A">
        <w:rPr>
          <w:sz w:val="24"/>
          <w:szCs w:val="24"/>
        </w:rPr>
        <w:t xml:space="preserve"> </w:t>
      </w:r>
      <w:r w:rsidRPr="00FD0204">
        <w:rPr>
          <w:sz w:val="24"/>
          <w:szCs w:val="24"/>
        </w:rPr>
        <w:t>Although there will be some transaction costs associated with the exchange of access area trips, the net result will likely be a reduction in overall costs of fishing. Administrative and enforcement costs associated with the exchange of controlled access trip authorizations are modest when compared with the potential improvement in controlled access allocation programs and reduced economic cost to industry.</w:t>
      </w:r>
    </w:p>
    <w:p w:rsidRPr="00B23405" w:rsidR="00452F6A" w:rsidP="007224B1" w:rsidRDefault="00452F6A">
      <w:pPr>
        <w:rPr>
          <w:sz w:val="24"/>
          <w:szCs w:val="24"/>
        </w:rPr>
      </w:pPr>
    </w:p>
    <w:p w:rsidRPr="00B23405" w:rsidR="001B4BFB" w:rsidP="001B4BFB" w:rsidRDefault="00FB69D1">
      <w:pPr>
        <w:rPr>
          <w:b/>
          <w:sz w:val="24"/>
          <w:szCs w:val="24"/>
        </w:rPr>
      </w:pPr>
      <w:r w:rsidRPr="00B23405">
        <w:rPr>
          <w:b/>
          <w:sz w:val="24"/>
          <w:szCs w:val="24"/>
        </w:rPr>
        <w:t>IFQ Transfers</w:t>
      </w:r>
    </w:p>
    <w:p w:rsidR="001A0E1A" w:rsidP="001B4BFB" w:rsidRDefault="001A0E1A">
      <w:pPr>
        <w:rPr>
          <w:sz w:val="24"/>
          <w:szCs w:val="24"/>
        </w:rPr>
      </w:pPr>
    </w:p>
    <w:p w:rsidRPr="00B23405" w:rsidR="00BC6661" w:rsidP="001B4BFB" w:rsidRDefault="00672F28">
      <w:pPr>
        <w:rPr>
          <w:sz w:val="24"/>
          <w:szCs w:val="24"/>
        </w:rPr>
      </w:pPr>
      <w:r>
        <w:rPr>
          <w:sz w:val="24"/>
          <w:szCs w:val="24"/>
        </w:rPr>
        <w:t>IFQ</w:t>
      </w:r>
      <w:r w:rsidRPr="00B23405" w:rsidR="004723E7">
        <w:rPr>
          <w:sz w:val="24"/>
          <w:szCs w:val="24"/>
        </w:rPr>
        <w:t xml:space="preserve"> permit holders </w:t>
      </w:r>
      <w:r w:rsidR="00284C9D">
        <w:rPr>
          <w:sz w:val="24"/>
          <w:szCs w:val="24"/>
        </w:rPr>
        <w:t xml:space="preserve">can </w:t>
      </w:r>
      <w:r w:rsidRPr="00B23405" w:rsidR="004723E7">
        <w:rPr>
          <w:sz w:val="24"/>
          <w:szCs w:val="24"/>
        </w:rPr>
        <w:t xml:space="preserve">temporarily and/or permanently transfer </w:t>
      </w:r>
      <w:r w:rsidRPr="00B23405" w:rsidR="004A13E4">
        <w:rPr>
          <w:sz w:val="24"/>
          <w:szCs w:val="24"/>
        </w:rPr>
        <w:t xml:space="preserve">individual </w:t>
      </w:r>
      <w:r w:rsidRPr="00B23405" w:rsidR="002B443E">
        <w:rPr>
          <w:sz w:val="24"/>
          <w:szCs w:val="24"/>
        </w:rPr>
        <w:t xml:space="preserve">fishing quota </w:t>
      </w:r>
      <w:r w:rsidR="00A71F59">
        <w:rPr>
          <w:sz w:val="24"/>
          <w:szCs w:val="24"/>
        </w:rPr>
        <w:t xml:space="preserve">from one </w:t>
      </w:r>
      <w:r>
        <w:rPr>
          <w:sz w:val="24"/>
          <w:szCs w:val="24"/>
        </w:rPr>
        <w:t>IFQ</w:t>
      </w:r>
      <w:r w:rsidR="00A71F59">
        <w:rPr>
          <w:sz w:val="24"/>
          <w:szCs w:val="24"/>
        </w:rPr>
        <w:t xml:space="preserve"> vessel to another</w:t>
      </w:r>
      <w:r w:rsidRPr="00B23405" w:rsidR="004723E7">
        <w:rPr>
          <w:sz w:val="24"/>
          <w:szCs w:val="24"/>
        </w:rPr>
        <w:t xml:space="preserve">.  </w:t>
      </w:r>
      <w:r w:rsidRPr="00B23405" w:rsidR="004A13E4">
        <w:rPr>
          <w:sz w:val="24"/>
          <w:szCs w:val="24"/>
        </w:rPr>
        <w:t>Quota</w:t>
      </w:r>
      <w:r w:rsidRPr="00B23405" w:rsidR="004723E7">
        <w:rPr>
          <w:sz w:val="24"/>
          <w:szCs w:val="24"/>
        </w:rPr>
        <w:t xml:space="preserve"> transfer</w:t>
      </w:r>
      <w:r w:rsidRPr="00B23405" w:rsidR="00D738B6">
        <w:rPr>
          <w:sz w:val="24"/>
          <w:szCs w:val="24"/>
        </w:rPr>
        <w:t>s</w:t>
      </w:r>
      <w:r w:rsidRPr="00B23405" w:rsidR="001B3ADB">
        <w:rPr>
          <w:sz w:val="24"/>
          <w:szCs w:val="24"/>
        </w:rPr>
        <w:t xml:space="preserve"> </w:t>
      </w:r>
      <w:r w:rsidR="001A0E1A">
        <w:rPr>
          <w:sz w:val="24"/>
          <w:szCs w:val="24"/>
        </w:rPr>
        <w:t xml:space="preserve">are requested </w:t>
      </w:r>
      <w:r w:rsidRPr="00B23405" w:rsidR="004723E7">
        <w:rPr>
          <w:sz w:val="24"/>
          <w:szCs w:val="24"/>
        </w:rPr>
        <w:t xml:space="preserve">through the submission of </w:t>
      </w:r>
      <w:r w:rsidRPr="00B23405" w:rsidR="0082485E">
        <w:rPr>
          <w:sz w:val="24"/>
          <w:szCs w:val="24"/>
        </w:rPr>
        <w:t>transfer</w:t>
      </w:r>
      <w:r w:rsidRPr="00B23405" w:rsidR="00FB69D1">
        <w:rPr>
          <w:sz w:val="24"/>
          <w:szCs w:val="24"/>
        </w:rPr>
        <w:t xml:space="preserve"> applications</w:t>
      </w:r>
      <w:r w:rsidRPr="00B23405" w:rsidR="001B3ADB">
        <w:rPr>
          <w:sz w:val="24"/>
          <w:szCs w:val="24"/>
        </w:rPr>
        <w:t>.</w:t>
      </w:r>
      <w:r w:rsidRPr="00B23405" w:rsidR="00F21594">
        <w:rPr>
          <w:sz w:val="24"/>
          <w:szCs w:val="24"/>
        </w:rPr>
        <w:t xml:space="preserve">  </w:t>
      </w:r>
      <w:r w:rsidRPr="00B23405" w:rsidR="00D738B6">
        <w:rPr>
          <w:sz w:val="24"/>
          <w:szCs w:val="24"/>
        </w:rPr>
        <w:t xml:space="preserve">Required information </w:t>
      </w:r>
      <w:r w:rsidR="001A0E1A">
        <w:rPr>
          <w:sz w:val="24"/>
          <w:szCs w:val="24"/>
        </w:rPr>
        <w:t>includes</w:t>
      </w:r>
      <w:r w:rsidRPr="00B23405" w:rsidR="00D738B6">
        <w:rPr>
          <w:sz w:val="24"/>
          <w:szCs w:val="24"/>
        </w:rPr>
        <w:t xml:space="preserve"> vessel information, quota transfer information, and authorizing signature</w:t>
      </w:r>
      <w:r w:rsidRPr="00B23405" w:rsidR="004524D9">
        <w:rPr>
          <w:sz w:val="24"/>
          <w:szCs w:val="24"/>
        </w:rPr>
        <w:t>s</w:t>
      </w:r>
      <w:r w:rsidRPr="00B23405" w:rsidR="00D738B6">
        <w:rPr>
          <w:sz w:val="24"/>
          <w:szCs w:val="24"/>
        </w:rPr>
        <w:t xml:space="preserve"> </w:t>
      </w:r>
      <w:r w:rsidR="00A71F59">
        <w:rPr>
          <w:sz w:val="24"/>
          <w:szCs w:val="24"/>
        </w:rPr>
        <w:t>from</w:t>
      </w:r>
      <w:r w:rsidRPr="00B23405" w:rsidR="00D738B6">
        <w:rPr>
          <w:sz w:val="24"/>
          <w:szCs w:val="24"/>
        </w:rPr>
        <w:t xml:space="preserve"> both parties.  The </w:t>
      </w:r>
      <w:r w:rsidRPr="00B23405" w:rsidR="004524D9">
        <w:rPr>
          <w:sz w:val="24"/>
          <w:szCs w:val="24"/>
        </w:rPr>
        <w:t>IFQ</w:t>
      </w:r>
      <w:r w:rsidRPr="00B23405" w:rsidR="00D738B6">
        <w:rPr>
          <w:sz w:val="24"/>
          <w:szCs w:val="24"/>
        </w:rPr>
        <w:t xml:space="preserve"> transfer program</w:t>
      </w:r>
      <w:r w:rsidRPr="00B23405" w:rsidR="004524D9">
        <w:rPr>
          <w:sz w:val="24"/>
          <w:szCs w:val="24"/>
        </w:rPr>
        <w:t xml:space="preserve"> is entirely optional, and </w:t>
      </w:r>
      <w:r w:rsidRPr="00B23405" w:rsidR="00D738B6">
        <w:rPr>
          <w:sz w:val="24"/>
          <w:szCs w:val="24"/>
        </w:rPr>
        <w:t>provide</w:t>
      </w:r>
      <w:r w:rsidR="00284C9D">
        <w:rPr>
          <w:sz w:val="24"/>
          <w:szCs w:val="24"/>
        </w:rPr>
        <w:t>s</w:t>
      </w:r>
      <w:r w:rsidRPr="00B23405" w:rsidR="00D738B6">
        <w:rPr>
          <w:sz w:val="24"/>
          <w:szCs w:val="24"/>
        </w:rPr>
        <w:t xml:space="preserve"> </w:t>
      </w:r>
      <w:r w:rsidRPr="00B23405" w:rsidR="004524D9">
        <w:rPr>
          <w:sz w:val="24"/>
          <w:szCs w:val="24"/>
        </w:rPr>
        <w:t xml:space="preserve">greater </w:t>
      </w:r>
      <w:r w:rsidRPr="00B23405" w:rsidR="00D738B6">
        <w:rPr>
          <w:sz w:val="24"/>
          <w:szCs w:val="24"/>
        </w:rPr>
        <w:t xml:space="preserve">flexibility for </w:t>
      </w:r>
      <w:r>
        <w:rPr>
          <w:sz w:val="24"/>
          <w:szCs w:val="24"/>
        </w:rPr>
        <w:t>IFQ</w:t>
      </w:r>
      <w:r w:rsidRPr="00B23405" w:rsidR="004524D9">
        <w:rPr>
          <w:sz w:val="24"/>
          <w:szCs w:val="24"/>
        </w:rPr>
        <w:t xml:space="preserve"> permit holders</w:t>
      </w:r>
      <w:r w:rsidR="001A0E1A">
        <w:rPr>
          <w:sz w:val="24"/>
          <w:szCs w:val="24"/>
        </w:rPr>
        <w:t xml:space="preserve"> by enabling them to increase their vessel’s IFQ or for individuals to lease or sell IFQ if they choose not to fish the allocation.</w:t>
      </w:r>
    </w:p>
    <w:p w:rsidR="007866E3" w:rsidP="004524D9" w:rsidRDefault="007866E3">
      <w:pPr>
        <w:rPr>
          <w:b/>
          <w:sz w:val="24"/>
          <w:szCs w:val="24"/>
        </w:rPr>
      </w:pPr>
    </w:p>
    <w:p w:rsidRPr="00B23405" w:rsidR="004524D9" w:rsidP="004524D9" w:rsidRDefault="004524D9">
      <w:pPr>
        <w:rPr>
          <w:b/>
          <w:sz w:val="24"/>
          <w:szCs w:val="24"/>
        </w:rPr>
      </w:pPr>
      <w:r w:rsidRPr="00B23405">
        <w:rPr>
          <w:b/>
          <w:sz w:val="24"/>
          <w:szCs w:val="24"/>
        </w:rPr>
        <w:t>Cost Recovery</w:t>
      </w:r>
    </w:p>
    <w:p w:rsidRPr="00B23405" w:rsidR="004524D9" w:rsidP="004524D9" w:rsidRDefault="004524D9">
      <w:pPr>
        <w:rPr>
          <w:b/>
          <w:sz w:val="24"/>
          <w:szCs w:val="24"/>
        </w:rPr>
      </w:pPr>
    </w:p>
    <w:p w:rsidR="004524D9" w:rsidP="004524D9" w:rsidRDefault="003C6B33">
      <w:pPr>
        <w:rPr>
          <w:sz w:val="24"/>
          <w:szCs w:val="24"/>
        </w:rPr>
      </w:pPr>
      <w:r w:rsidRPr="00B23405">
        <w:rPr>
          <w:sz w:val="24"/>
          <w:szCs w:val="24"/>
        </w:rPr>
        <w:t>Section 304(d</w:t>
      </w:r>
      <w:proofErr w:type="gramStart"/>
      <w:r w:rsidRPr="00B23405">
        <w:rPr>
          <w:sz w:val="24"/>
          <w:szCs w:val="24"/>
        </w:rPr>
        <w:t>)(</w:t>
      </w:r>
      <w:proofErr w:type="gramEnd"/>
      <w:r w:rsidRPr="00B23405">
        <w:rPr>
          <w:sz w:val="24"/>
          <w:szCs w:val="24"/>
        </w:rPr>
        <w:t xml:space="preserve">2) of the Magnuson-Stevens Act </w:t>
      </w:r>
      <w:r w:rsidR="006A7CE6">
        <w:rPr>
          <w:sz w:val="24"/>
          <w:szCs w:val="24"/>
        </w:rPr>
        <w:t xml:space="preserve">(MSA) </w:t>
      </w:r>
      <w:r w:rsidRPr="00B23405">
        <w:rPr>
          <w:sz w:val="24"/>
          <w:szCs w:val="24"/>
        </w:rPr>
        <w:t xml:space="preserve">requires an IFQ cost recovery plan to recover management and enforcement costs for IFQ fisheries.  </w:t>
      </w:r>
      <w:r w:rsidR="001A0E1A">
        <w:rPr>
          <w:sz w:val="24"/>
          <w:szCs w:val="24"/>
        </w:rPr>
        <w:t>The FMP includes</w:t>
      </w:r>
      <w:r w:rsidRPr="00B23405" w:rsidR="004A13E4">
        <w:rPr>
          <w:sz w:val="24"/>
          <w:szCs w:val="24"/>
        </w:rPr>
        <w:t xml:space="preserve"> an</w:t>
      </w:r>
      <w:r w:rsidRPr="00B23405" w:rsidR="004E5A7C">
        <w:rPr>
          <w:sz w:val="24"/>
          <w:szCs w:val="24"/>
        </w:rPr>
        <w:t xml:space="preserve"> IFQ cost recovery program, whereby </w:t>
      </w:r>
      <w:r w:rsidR="00F11A43">
        <w:rPr>
          <w:sz w:val="24"/>
          <w:szCs w:val="24"/>
        </w:rPr>
        <w:t>NMFS</w:t>
      </w:r>
      <w:r w:rsidRPr="00B23405" w:rsidR="004E5A7C">
        <w:rPr>
          <w:sz w:val="24"/>
          <w:szCs w:val="24"/>
        </w:rPr>
        <w:t xml:space="preserve"> w</w:t>
      </w:r>
      <w:r w:rsidR="001A0E1A">
        <w:rPr>
          <w:sz w:val="24"/>
          <w:szCs w:val="24"/>
        </w:rPr>
        <w:t>ill</w:t>
      </w:r>
      <w:r w:rsidRPr="00B23405" w:rsidR="004E5A7C">
        <w:rPr>
          <w:sz w:val="24"/>
          <w:szCs w:val="24"/>
        </w:rPr>
        <w:t xml:space="preserve"> collect up to 3% of ex-vessel value of landed product to cover actual costs directly related to enforcement and management of </w:t>
      </w:r>
      <w:r w:rsidRPr="00B23405" w:rsidR="004A13E4">
        <w:rPr>
          <w:sz w:val="24"/>
          <w:szCs w:val="24"/>
        </w:rPr>
        <w:t>the</w:t>
      </w:r>
      <w:r w:rsidRPr="00B23405" w:rsidR="004E5A7C">
        <w:rPr>
          <w:sz w:val="24"/>
          <w:szCs w:val="24"/>
        </w:rPr>
        <w:t xml:space="preserve"> </w:t>
      </w:r>
      <w:r w:rsidR="00672F28">
        <w:rPr>
          <w:sz w:val="24"/>
          <w:szCs w:val="24"/>
        </w:rPr>
        <w:t>IFQ</w:t>
      </w:r>
      <w:r w:rsidRPr="00B23405" w:rsidR="004E5A7C">
        <w:rPr>
          <w:sz w:val="24"/>
          <w:szCs w:val="24"/>
        </w:rPr>
        <w:t xml:space="preserve"> program. </w:t>
      </w:r>
      <w:r w:rsidRPr="00B23405" w:rsidR="004A13E4">
        <w:rPr>
          <w:sz w:val="24"/>
          <w:szCs w:val="24"/>
        </w:rPr>
        <w:t xml:space="preserve"> </w:t>
      </w:r>
      <w:r w:rsidR="00672F28">
        <w:rPr>
          <w:sz w:val="24"/>
          <w:szCs w:val="24"/>
        </w:rPr>
        <w:t>IFQ</w:t>
      </w:r>
      <w:r w:rsidRPr="00B23405" w:rsidR="00BC4AB9">
        <w:rPr>
          <w:sz w:val="24"/>
          <w:szCs w:val="24"/>
        </w:rPr>
        <w:t xml:space="preserve"> permit holders</w:t>
      </w:r>
      <w:r w:rsidR="001A0E1A">
        <w:rPr>
          <w:sz w:val="24"/>
          <w:szCs w:val="24"/>
        </w:rPr>
        <w:t xml:space="preserve"> are</w:t>
      </w:r>
      <w:r w:rsidRPr="00B23405" w:rsidR="00BC4AB9">
        <w:rPr>
          <w:sz w:val="24"/>
          <w:szCs w:val="24"/>
        </w:rPr>
        <w:t xml:space="preserve"> required to submit a cost recovery payment</w:t>
      </w:r>
      <w:r w:rsidRPr="00B23405" w:rsidR="004E5A7C">
        <w:rPr>
          <w:sz w:val="24"/>
          <w:szCs w:val="24"/>
        </w:rPr>
        <w:t xml:space="preserve"> </w:t>
      </w:r>
      <w:r w:rsidRPr="00B23405" w:rsidR="004524D9">
        <w:rPr>
          <w:sz w:val="24"/>
          <w:szCs w:val="24"/>
        </w:rPr>
        <w:t xml:space="preserve">annually </w:t>
      </w:r>
      <w:r w:rsidR="00D45F8E">
        <w:rPr>
          <w:sz w:val="24"/>
          <w:szCs w:val="24"/>
        </w:rPr>
        <w:t xml:space="preserve">via a pre-existing Federal payment system called </w:t>
      </w:r>
      <w:hyperlink w:history="1" r:id="rId9">
        <w:r w:rsidRPr="002E626C" w:rsidR="00D45F8E">
          <w:rPr>
            <w:rStyle w:val="Hyperlink"/>
            <w:sz w:val="24"/>
            <w:szCs w:val="24"/>
          </w:rPr>
          <w:t>www.pay.gov</w:t>
        </w:r>
      </w:hyperlink>
      <w:r w:rsidR="00D45F8E">
        <w:rPr>
          <w:sz w:val="24"/>
          <w:szCs w:val="24"/>
        </w:rPr>
        <w:t xml:space="preserve">, which is also currently used by the Alaska Region and the Southeast Region. </w:t>
      </w:r>
      <w:r w:rsidR="001A0E1A">
        <w:rPr>
          <w:sz w:val="24"/>
          <w:szCs w:val="24"/>
        </w:rPr>
        <w:t xml:space="preserve"> </w:t>
      </w:r>
      <w:r w:rsidRPr="00B23405" w:rsidR="00BC4AB9">
        <w:rPr>
          <w:sz w:val="24"/>
          <w:szCs w:val="24"/>
        </w:rPr>
        <w:t xml:space="preserve">Information submitted via the internet </w:t>
      </w:r>
      <w:r w:rsidRPr="00B23405" w:rsidR="00F767CD">
        <w:rPr>
          <w:sz w:val="24"/>
          <w:szCs w:val="24"/>
        </w:rPr>
        <w:t>would</w:t>
      </w:r>
      <w:r w:rsidRPr="00B23405" w:rsidR="00BC4AB9">
        <w:rPr>
          <w:sz w:val="24"/>
          <w:szCs w:val="24"/>
        </w:rPr>
        <w:t xml:space="preserve"> require the user to establish an online account, including personal and </w:t>
      </w:r>
      <w:r w:rsidRPr="00B23405" w:rsidR="00823601">
        <w:rPr>
          <w:sz w:val="24"/>
          <w:szCs w:val="24"/>
        </w:rPr>
        <w:t>financial</w:t>
      </w:r>
      <w:r w:rsidR="001A0E1A">
        <w:rPr>
          <w:sz w:val="24"/>
          <w:szCs w:val="24"/>
        </w:rPr>
        <w:t xml:space="preserve"> information.  This requirement is necessary in order to comply with the provisions of the MSA and to collect payments from individuals that have been granted an allocation to a public resource.</w:t>
      </w:r>
    </w:p>
    <w:p w:rsidRPr="00B23405" w:rsidR="00A71F59" w:rsidP="004524D9" w:rsidRDefault="00A71F59">
      <w:pPr>
        <w:rPr>
          <w:sz w:val="24"/>
          <w:szCs w:val="24"/>
        </w:rPr>
      </w:pPr>
    </w:p>
    <w:p w:rsidRPr="00B23405" w:rsidR="00FB1E6F" w:rsidP="00BC4AB9" w:rsidRDefault="00672F28">
      <w:pPr>
        <w:rPr>
          <w:sz w:val="24"/>
          <w:szCs w:val="24"/>
        </w:rPr>
      </w:pPr>
      <w:bookmarkStart w:name="_Toc110836769" w:id="0"/>
      <w:bookmarkStart w:name="_Toc110836770" w:id="1"/>
      <w:r>
        <w:rPr>
          <w:b/>
          <w:sz w:val="24"/>
          <w:szCs w:val="24"/>
        </w:rPr>
        <w:t>IFQ</w:t>
      </w:r>
      <w:r w:rsidRPr="00B23405" w:rsidR="00BC4AB9">
        <w:rPr>
          <w:b/>
          <w:sz w:val="24"/>
          <w:szCs w:val="24"/>
        </w:rPr>
        <w:t xml:space="preserve"> </w:t>
      </w:r>
      <w:r w:rsidRPr="00B23405" w:rsidR="00FB1E6F">
        <w:rPr>
          <w:b/>
          <w:sz w:val="24"/>
          <w:szCs w:val="24"/>
        </w:rPr>
        <w:t>S</w:t>
      </w:r>
      <w:r w:rsidRPr="00B23405" w:rsidR="00FB1E6F">
        <w:rPr>
          <w:b/>
          <w:bCs/>
          <w:sz w:val="24"/>
          <w:szCs w:val="24"/>
        </w:rPr>
        <w:t xml:space="preserve">ector </w:t>
      </w:r>
      <w:r w:rsidRPr="00B23405" w:rsidR="00BC4AB9">
        <w:rPr>
          <w:b/>
          <w:bCs/>
          <w:sz w:val="24"/>
          <w:szCs w:val="24"/>
        </w:rPr>
        <w:t>Program</w:t>
      </w:r>
    </w:p>
    <w:p w:rsidRPr="00B23405" w:rsidR="00FB1E6F" w:rsidP="00FB1E6F" w:rsidRDefault="00FB1E6F">
      <w:pPr>
        <w:rPr>
          <w:b/>
          <w:bCs/>
          <w:sz w:val="24"/>
          <w:szCs w:val="24"/>
        </w:rPr>
      </w:pPr>
    </w:p>
    <w:p w:rsidR="00FB1E6F" w:rsidP="00FB1E6F" w:rsidRDefault="001A0E1A">
      <w:pPr>
        <w:rPr>
          <w:sz w:val="24"/>
          <w:szCs w:val="24"/>
        </w:rPr>
      </w:pPr>
      <w:r>
        <w:rPr>
          <w:sz w:val="24"/>
          <w:szCs w:val="24"/>
        </w:rPr>
        <w:t>The FMP</w:t>
      </w:r>
      <w:r w:rsidRPr="00B23405" w:rsidR="00FB1E6F">
        <w:rPr>
          <w:sz w:val="24"/>
          <w:szCs w:val="24"/>
        </w:rPr>
        <w:t xml:space="preserve"> contains provisions that authorize </w:t>
      </w:r>
      <w:r>
        <w:rPr>
          <w:sz w:val="24"/>
          <w:szCs w:val="24"/>
        </w:rPr>
        <w:t xml:space="preserve">allocation of </w:t>
      </w:r>
      <w:r w:rsidRPr="00B23405" w:rsidR="00FB1E6F">
        <w:rPr>
          <w:sz w:val="24"/>
          <w:szCs w:val="24"/>
        </w:rPr>
        <w:t xml:space="preserve">a portion of the overall </w:t>
      </w:r>
      <w:r>
        <w:rPr>
          <w:sz w:val="24"/>
          <w:szCs w:val="24"/>
        </w:rPr>
        <w:t xml:space="preserve">IFQ fishery </w:t>
      </w:r>
      <w:r w:rsidRPr="00B23405" w:rsidR="00FB1E6F">
        <w:rPr>
          <w:sz w:val="24"/>
          <w:szCs w:val="24"/>
        </w:rPr>
        <w:t xml:space="preserve">TAC to a self-selected group of </w:t>
      </w:r>
      <w:r w:rsidR="00672F28">
        <w:rPr>
          <w:sz w:val="24"/>
          <w:szCs w:val="24"/>
        </w:rPr>
        <w:t>IFQ</w:t>
      </w:r>
      <w:r w:rsidRPr="00B23405" w:rsidR="00FB1E6F">
        <w:rPr>
          <w:sz w:val="24"/>
          <w:szCs w:val="24"/>
        </w:rPr>
        <w:t xml:space="preserve"> permit holders (sector), provided the sector provides adequate information describing the formation of the sector and its intended plan of operations. </w:t>
      </w:r>
      <w:r w:rsidRPr="00B23405" w:rsidR="00823601">
        <w:rPr>
          <w:sz w:val="24"/>
          <w:szCs w:val="24"/>
        </w:rPr>
        <w:t xml:space="preserve"> </w:t>
      </w:r>
      <w:r w:rsidR="00B45A6F">
        <w:rPr>
          <w:sz w:val="24"/>
          <w:szCs w:val="24"/>
        </w:rPr>
        <w:t xml:space="preserve">Individuals or other entities (corporations, cooperatives, etc.) </w:t>
      </w:r>
      <w:r w:rsidRPr="00B23405" w:rsidR="00FB1E6F">
        <w:rPr>
          <w:sz w:val="24"/>
          <w:szCs w:val="24"/>
        </w:rPr>
        <w:t>propos</w:t>
      </w:r>
      <w:r w:rsidR="00B45A6F">
        <w:rPr>
          <w:sz w:val="24"/>
          <w:szCs w:val="24"/>
        </w:rPr>
        <w:t>ing</w:t>
      </w:r>
      <w:r w:rsidRPr="00B23405" w:rsidR="00FB1E6F">
        <w:rPr>
          <w:sz w:val="24"/>
          <w:szCs w:val="24"/>
        </w:rPr>
        <w:t xml:space="preserve"> </w:t>
      </w:r>
      <w:r w:rsidR="00B45A6F">
        <w:rPr>
          <w:sz w:val="24"/>
          <w:szCs w:val="24"/>
        </w:rPr>
        <w:t xml:space="preserve">a </w:t>
      </w:r>
      <w:r w:rsidRPr="00B23405" w:rsidR="00FB1E6F">
        <w:rPr>
          <w:sz w:val="24"/>
          <w:szCs w:val="24"/>
        </w:rPr>
        <w:t xml:space="preserve">sector </w:t>
      </w:r>
      <w:r>
        <w:rPr>
          <w:sz w:val="24"/>
          <w:szCs w:val="24"/>
        </w:rPr>
        <w:t>are</w:t>
      </w:r>
      <w:r w:rsidRPr="00B23405" w:rsidR="00FB1E6F">
        <w:rPr>
          <w:sz w:val="24"/>
          <w:szCs w:val="24"/>
        </w:rPr>
        <w:t xml:space="preserve"> required to submit documents as described below. </w:t>
      </w:r>
      <w:r w:rsidRPr="00B23405" w:rsidR="00823601">
        <w:rPr>
          <w:sz w:val="24"/>
          <w:szCs w:val="24"/>
        </w:rPr>
        <w:t xml:space="preserve"> </w:t>
      </w:r>
    </w:p>
    <w:p w:rsidRPr="00597451" w:rsidR="00597451" w:rsidP="00FB1E6F" w:rsidRDefault="00597451">
      <w:pPr>
        <w:rPr>
          <w:sz w:val="24"/>
          <w:szCs w:val="24"/>
        </w:rPr>
      </w:pPr>
    </w:p>
    <w:p w:rsidRPr="00B23405" w:rsidR="00BC4AB9" w:rsidP="00FB1E6F" w:rsidRDefault="00BC4AB9">
      <w:pPr>
        <w:rPr>
          <w:bCs/>
          <w:sz w:val="24"/>
          <w:szCs w:val="24"/>
          <w:u w:val="single"/>
        </w:rPr>
      </w:pPr>
      <w:r w:rsidRPr="00B23405">
        <w:rPr>
          <w:bCs/>
          <w:sz w:val="24"/>
          <w:szCs w:val="24"/>
          <w:u w:val="single"/>
        </w:rPr>
        <w:t>Sector Allocation Proposal</w:t>
      </w:r>
    </w:p>
    <w:p w:rsidR="00597451" w:rsidP="00597451" w:rsidRDefault="00597451">
      <w:pPr>
        <w:rPr>
          <w:sz w:val="24"/>
          <w:szCs w:val="24"/>
        </w:rPr>
      </w:pPr>
    </w:p>
    <w:p w:rsidRPr="00597451" w:rsidR="00597451" w:rsidP="00597451" w:rsidRDefault="00597451">
      <w:pPr>
        <w:rPr>
          <w:b/>
          <w:bCs/>
          <w:sz w:val="24"/>
          <w:szCs w:val="24"/>
        </w:rPr>
      </w:pPr>
      <w:r w:rsidRPr="00597451">
        <w:rPr>
          <w:sz w:val="24"/>
          <w:szCs w:val="24"/>
        </w:rPr>
        <w:t>Any person may submit a Sector allocation proposal for a group of limited access general category scallop vessels to the Council, at least 1 year in advance of the start of a sector, and request that the Sector be implemented through a framework procedure specified at §648.55</w:t>
      </w:r>
      <w:r>
        <w:rPr>
          <w:sz w:val="24"/>
          <w:szCs w:val="24"/>
        </w:rPr>
        <w:t>.</w:t>
      </w:r>
    </w:p>
    <w:p w:rsidRPr="00B23405" w:rsidR="00BC4AB9" w:rsidP="00FB1E6F" w:rsidRDefault="00BC4AB9">
      <w:pPr>
        <w:rPr>
          <w:bCs/>
          <w:sz w:val="24"/>
          <w:szCs w:val="24"/>
          <w:u w:val="single"/>
        </w:rPr>
      </w:pPr>
    </w:p>
    <w:p w:rsidRPr="00B23405" w:rsidR="00FB1E6F" w:rsidP="00FB1E6F" w:rsidRDefault="00FB1E6F">
      <w:pPr>
        <w:rPr>
          <w:sz w:val="24"/>
          <w:szCs w:val="24"/>
        </w:rPr>
      </w:pPr>
      <w:r w:rsidRPr="00B23405">
        <w:rPr>
          <w:sz w:val="24"/>
          <w:szCs w:val="24"/>
        </w:rPr>
        <w:t>This document specifies the proposed maximum amount</w:t>
      </w:r>
      <w:r w:rsidRPr="00B23405" w:rsidR="00BC4AB9">
        <w:rPr>
          <w:sz w:val="24"/>
          <w:szCs w:val="24"/>
        </w:rPr>
        <w:t xml:space="preserve"> </w:t>
      </w:r>
      <w:r w:rsidRPr="00B23405">
        <w:rPr>
          <w:sz w:val="24"/>
          <w:szCs w:val="24"/>
        </w:rPr>
        <w:t>of TAC to be allocated to sector participants and the sector’s proposed rules</w:t>
      </w:r>
      <w:r w:rsidRPr="00B23405" w:rsidR="00BC4AB9">
        <w:rPr>
          <w:sz w:val="24"/>
          <w:szCs w:val="24"/>
        </w:rPr>
        <w:t xml:space="preserve"> </w:t>
      </w:r>
      <w:r w:rsidRPr="00B23405">
        <w:rPr>
          <w:sz w:val="24"/>
          <w:szCs w:val="24"/>
        </w:rPr>
        <w:t xml:space="preserve">describing movement of vessels among sectors or to the common pool of vessels managed under the FMP. </w:t>
      </w:r>
      <w:r w:rsidRPr="00B23405" w:rsidR="00823601">
        <w:rPr>
          <w:sz w:val="24"/>
          <w:szCs w:val="24"/>
        </w:rPr>
        <w:t xml:space="preserve"> </w:t>
      </w:r>
      <w:r w:rsidRPr="00B23405">
        <w:rPr>
          <w:sz w:val="24"/>
          <w:szCs w:val="24"/>
        </w:rPr>
        <w:t xml:space="preserve">This document </w:t>
      </w:r>
      <w:r w:rsidR="00284C9D">
        <w:rPr>
          <w:sz w:val="24"/>
          <w:szCs w:val="24"/>
        </w:rPr>
        <w:t>is</w:t>
      </w:r>
      <w:r w:rsidRPr="00B23405">
        <w:rPr>
          <w:sz w:val="24"/>
          <w:szCs w:val="24"/>
        </w:rPr>
        <w:t xml:space="preserve"> required to</w:t>
      </w:r>
      <w:r w:rsidRPr="00B23405" w:rsidR="00BC4AB9">
        <w:rPr>
          <w:sz w:val="24"/>
          <w:szCs w:val="24"/>
        </w:rPr>
        <w:t xml:space="preserve"> </w:t>
      </w:r>
      <w:r w:rsidRPr="00B23405">
        <w:rPr>
          <w:sz w:val="24"/>
          <w:szCs w:val="24"/>
        </w:rPr>
        <w:t>include an appropriate analysis that assesses the impacts of the proposed sector, in compliance with the National</w:t>
      </w:r>
      <w:r w:rsidRPr="00B23405" w:rsidR="00BC4AB9">
        <w:rPr>
          <w:sz w:val="24"/>
          <w:szCs w:val="24"/>
        </w:rPr>
        <w:t xml:space="preserve"> </w:t>
      </w:r>
      <w:r w:rsidRPr="00B23405">
        <w:rPr>
          <w:sz w:val="24"/>
          <w:szCs w:val="24"/>
        </w:rPr>
        <w:t>Environmental Policy Act (NEPA).</w:t>
      </w:r>
    </w:p>
    <w:p w:rsidRPr="00B23405" w:rsidR="00FB1E6F" w:rsidP="00FB1E6F" w:rsidRDefault="00FB1E6F">
      <w:pPr>
        <w:rPr>
          <w:b/>
          <w:bCs/>
          <w:sz w:val="24"/>
          <w:szCs w:val="24"/>
        </w:rPr>
      </w:pPr>
    </w:p>
    <w:p w:rsidRPr="00B23405" w:rsidR="00BC4AB9" w:rsidP="00FB1E6F" w:rsidRDefault="00FB1E6F">
      <w:pPr>
        <w:rPr>
          <w:b/>
          <w:bCs/>
          <w:sz w:val="24"/>
          <w:szCs w:val="24"/>
        </w:rPr>
      </w:pPr>
      <w:r w:rsidRPr="00B23405">
        <w:rPr>
          <w:bCs/>
          <w:sz w:val="24"/>
          <w:szCs w:val="24"/>
          <w:u w:val="single"/>
        </w:rPr>
        <w:t>Operations</w:t>
      </w:r>
      <w:r w:rsidR="00283CC6">
        <w:rPr>
          <w:bCs/>
          <w:sz w:val="24"/>
          <w:szCs w:val="24"/>
          <w:u w:val="single"/>
        </w:rPr>
        <w:t xml:space="preserve"> Plan</w:t>
      </w:r>
      <w:r w:rsidRPr="00B23405">
        <w:rPr>
          <w:b/>
          <w:bCs/>
          <w:sz w:val="24"/>
          <w:szCs w:val="24"/>
        </w:rPr>
        <w:t xml:space="preserve"> </w:t>
      </w:r>
    </w:p>
    <w:p w:rsidRPr="00B23405" w:rsidR="00BC4AB9" w:rsidP="00FB1E6F" w:rsidRDefault="00BC4AB9">
      <w:pPr>
        <w:rPr>
          <w:b/>
          <w:bCs/>
          <w:sz w:val="24"/>
          <w:szCs w:val="24"/>
        </w:rPr>
      </w:pPr>
    </w:p>
    <w:p w:rsidR="00DC69D8" w:rsidP="00DC69D8" w:rsidRDefault="00DC69D8">
      <w:pPr>
        <w:rPr>
          <w:sz w:val="24"/>
          <w:szCs w:val="24"/>
        </w:rPr>
      </w:pPr>
      <w:r w:rsidRPr="00DC69D8">
        <w:rPr>
          <w:sz w:val="24"/>
          <w:szCs w:val="24"/>
        </w:rPr>
        <w:t xml:space="preserve">A group that wants to form a sector and receive an allocation is required to submit a legally binding operations plan to the Council and the Regional Administrator.  The operations plan must be agreed upon and signed by all members of the sector and, if approved, </w:t>
      </w:r>
      <w:r w:rsidR="006F77DB">
        <w:rPr>
          <w:sz w:val="24"/>
          <w:szCs w:val="24"/>
        </w:rPr>
        <w:t>would</w:t>
      </w:r>
      <w:r w:rsidRPr="00DC69D8">
        <w:rPr>
          <w:sz w:val="24"/>
          <w:szCs w:val="24"/>
        </w:rPr>
        <w:t xml:space="preserve"> constitute a contract.</w:t>
      </w:r>
    </w:p>
    <w:p w:rsidRPr="00DC69D8" w:rsidR="00DC69D8" w:rsidP="00DC69D8" w:rsidRDefault="00DC69D8">
      <w:pPr>
        <w:rPr>
          <w:sz w:val="24"/>
          <w:szCs w:val="24"/>
        </w:rPr>
      </w:pPr>
    </w:p>
    <w:p w:rsidR="00FB1E6F" w:rsidP="00FB1E6F" w:rsidRDefault="00FB1E6F">
      <w:pPr>
        <w:rPr>
          <w:sz w:val="24"/>
          <w:szCs w:val="24"/>
        </w:rPr>
      </w:pPr>
      <w:r w:rsidRPr="00DC69D8">
        <w:rPr>
          <w:sz w:val="24"/>
          <w:szCs w:val="24"/>
        </w:rPr>
        <w:t xml:space="preserve">This document provides a list of all participants involved with the sector; a contract signed by all proposed participants; historic information on the catch history, TAC associated with the </w:t>
      </w:r>
      <w:r w:rsidRPr="00DC69D8" w:rsidR="00BC4AB9">
        <w:rPr>
          <w:sz w:val="24"/>
          <w:szCs w:val="24"/>
        </w:rPr>
        <w:t>p</w:t>
      </w:r>
      <w:r w:rsidRPr="00DC69D8">
        <w:rPr>
          <w:sz w:val="24"/>
          <w:szCs w:val="24"/>
        </w:rPr>
        <w:t xml:space="preserve">roposed sector; detailed information regarding potential redistribution of TAC within the sector, </w:t>
      </w:r>
      <w:r w:rsidRPr="00B23405">
        <w:rPr>
          <w:sz w:val="24"/>
          <w:szCs w:val="24"/>
        </w:rPr>
        <w:t xml:space="preserve">if applicable; a plan and analysis of specific management rules for sector participants, including plans for the enforcement of sector rules and the monitoring of landings and discards; and procedures for the removal of participants from the sector. </w:t>
      </w:r>
      <w:r w:rsidRPr="00B23405" w:rsidR="00823601">
        <w:rPr>
          <w:sz w:val="24"/>
          <w:szCs w:val="24"/>
        </w:rPr>
        <w:t xml:space="preserve"> </w:t>
      </w:r>
      <w:r w:rsidRPr="00B23405">
        <w:rPr>
          <w:sz w:val="24"/>
          <w:szCs w:val="24"/>
        </w:rPr>
        <w:t xml:space="preserve">This document </w:t>
      </w:r>
      <w:r w:rsidR="00284C9D">
        <w:rPr>
          <w:sz w:val="24"/>
          <w:szCs w:val="24"/>
        </w:rPr>
        <w:t>is</w:t>
      </w:r>
      <w:r w:rsidRPr="00B23405">
        <w:rPr>
          <w:sz w:val="24"/>
          <w:szCs w:val="24"/>
        </w:rPr>
        <w:t xml:space="preserve"> required to include a supplementary NEPA analysis that would include a revised assessment of the impacts of the proposed sector based upon changes that may have occurred since the submission of the sector allocation proposal mentioned above.</w:t>
      </w:r>
    </w:p>
    <w:p w:rsidR="00DC69D8" w:rsidP="00FB1E6F" w:rsidRDefault="00DC69D8">
      <w:pPr>
        <w:rPr>
          <w:sz w:val="24"/>
          <w:szCs w:val="24"/>
        </w:rPr>
      </w:pPr>
    </w:p>
    <w:p w:rsidRPr="00DC69D8" w:rsidR="00DC69D8" w:rsidP="00DC69D8" w:rsidRDefault="00DC69D8">
      <w:pPr>
        <w:rPr>
          <w:sz w:val="24"/>
          <w:szCs w:val="24"/>
        </w:rPr>
      </w:pPr>
      <w:r w:rsidRPr="00DC69D8">
        <w:rPr>
          <w:sz w:val="24"/>
          <w:szCs w:val="24"/>
        </w:rPr>
        <w:t xml:space="preserve">A sector is required to resubmit its operations plan to the Regional Director no later than December 1 of each year, whether or not the plan has changed. NMFS may consult with the Council and </w:t>
      </w:r>
      <w:r w:rsidR="006F77DB">
        <w:rPr>
          <w:sz w:val="24"/>
          <w:szCs w:val="24"/>
        </w:rPr>
        <w:t>would</w:t>
      </w:r>
      <w:r w:rsidRPr="00DC69D8">
        <w:rPr>
          <w:sz w:val="24"/>
          <w:szCs w:val="24"/>
        </w:rPr>
        <w:t xml:space="preserve"> solicit public comment on the operations plan for at least 15 days, through proposed rulemaking in the </w:t>
      </w:r>
      <w:r w:rsidRPr="00DC69D8">
        <w:rPr>
          <w:sz w:val="24"/>
          <w:szCs w:val="24"/>
          <w:u w:val="single"/>
        </w:rPr>
        <w:t>Federal Register</w:t>
      </w:r>
      <w:r w:rsidRPr="00DC69D8">
        <w:rPr>
          <w:sz w:val="24"/>
          <w:szCs w:val="24"/>
        </w:rPr>
        <w:t>.  Upon review of the public comments, the Regional Administrator may approve or disapprove sector operations, through a final determination pursuant to the Administrative Procedure Act.</w:t>
      </w:r>
    </w:p>
    <w:p w:rsidRPr="00DC69D8" w:rsidR="00FB1E6F" w:rsidP="00FB1E6F" w:rsidRDefault="00FB1E6F">
      <w:pPr>
        <w:rPr>
          <w:b/>
          <w:bCs/>
          <w:sz w:val="24"/>
          <w:szCs w:val="24"/>
        </w:rPr>
      </w:pPr>
    </w:p>
    <w:p w:rsidRPr="00B23405" w:rsidR="00FB1E6F" w:rsidP="00FB1E6F" w:rsidRDefault="00FB1E6F">
      <w:pPr>
        <w:rPr>
          <w:sz w:val="24"/>
          <w:szCs w:val="24"/>
        </w:rPr>
      </w:pPr>
      <w:r w:rsidRPr="00DC69D8">
        <w:rPr>
          <w:sz w:val="24"/>
          <w:szCs w:val="24"/>
        </w:rPr>
        <w:t>This inform</w:t>
      </w:r>
      <w:r w:rsidRPr="00B23405">
        <w:rPr>
          <w:sz w:val="24"/>
          <w:szCs w:val="24"/>
        </w:rPr>
        <w:t xml:space="preserve">ation is necessary to describe the proposed sector and the proposed rules under which the sector would operate. This information </w:t>
      </w:r>
      <w:r w:rsidR="00284C9D">
        <w:rPr>
          <w:sz w:val="24"/>
          <w:szCs w:val="24"/>
        </w:rPr>
        <w:t>is</w:t>
      </w:r>
      <w:r w:rsidRPr="00B23405">
        <w:rPr>
          <w:sz w:val="24"/>
          <w:szCs w:val="24"/>
        </w:rPr>
        <w:t xml:space="preserve"> used to determine whether this sector would maintain consistency wi</w:t>
      </w:r>
      <w:r w:rsidR="00205C10">
        <w:rPr>
          <w:sz w:val="24"/>
          <w:szCs w:val="24"/>
        </w:rPr>
        <w:t>th the goals and objectives of the FMP</w:t>
      </w:r>
      <w:r w:rsidRPr="00B23405">
        <w:rPr>
          <w:sz w:val="24"/>
          <w:szCs w:val="24"/>
        </w:rPr>
        <w:t>.</w:t>
      </w:r>
    </w:p>
    <w:p w:rsidRPr="00B23405" w:rsidR="00DF5FBE" w:rsidP="00DF5FBE" w:rsidRDefault="00DF5FBE">
      <w:pPr>
        <w:rPr>
          <w:sz w:val="24"/>
          <w:szCs w:val="24"/>
        </w:rPr>
      </w:pPr>
    </w:p>
    <w:bookmarkEnd w:id="0"/>
    <w:bookmarkEnd w:id="1"/>
    <w:p w:rsidRPr="00784C37" w:rsidR="00995D9B" w:rsidP="00B8234D" w:rsidRDefault="00995D9B">
      <w:pPr>
        <w:rPr>
          <w:b/>
          <w:sz w:val="24"/>
          <w:szCs w:val="24"/>
        </w:rPr>
      </w:pPr>
      <w:r w:rsidRPr="00B23405">
        <w:rPr>
          <w:b/>
          <w:bCs/>
          <w:sz w:val="24"/>
          <w:szCs w:val="24"/>
        </w:rPr>
        <w:t xml:space="preserve">2.  </w:t>
      </w:r>
      <w:r w:rsidRPr="00784C37">
        <w:rPr>
          <w:b/>
          <w:sz w:val="24"/>
          <w:szCs w:val="24"/>
          <w:lang w:val="en-CA"/>
        </w:rPr>
        <w:fldChar w:fldCharType="begin"/>
      </w:r>
      <w:r w:rsidRPr="00784C37">
        <w:rPr>
          <w:b/>
          <w:sz w:val="24"/>
          <w:szCs w:val="24"/>
          <w:lang w:val="en-CA"/>
        </w:rPr>
        <w:instrText xml:space="preserve"> SEQ CHAPTER \h \r 1</w:instrText>
      </w:r>
      <w:r w:rsidRPr="00784C37">
        <w:rPr>
          <w:b/>
          <w:sz w:val="24"/>
          <w:szCs w:val="24"/>
          <w:lang w:val="en-CA"/>
        </w:rPr>
        <w:fldChar w:fldCharType="end"/>
      </w:r>
      <w:r w:rsidRPr="00784C37" w:rsidR="00784C37">
        <w:rPr>
          <w:b/>
          <w:sz w:val="24"/>
          <w:szCs w:val="24"/>
          <w:lang w:val="en-CA"/>
        </w:rPr>
        <w:t>Indicate how, by whom, and for what purpose the information is to be used. Except for a new collection, indicate the actual use the agency has made of the information received from the current collection.</w:t>
      </w:r>
    </w:p>
    <w:p w:rsidRPr="00B23405" w:rsidR="00823601" w:rsidP="00823601" w:rsidRDefault="00823601">
      <w:pPr>
        <w:rPr>
          <w:b/>
          <w:iCs/>
          <w:sz w:val="24"/>
          <w:szCs w:val="24"/>
        </w:rPr>
      </w:pPr>
    </w:p>
    <w:p w:rsidR="009E5F66" w:rsidP="009E5F66" w:rsidRDefault="009E5F66">
      <w:pPr>
        <w:rPr>
          <w:sz w:val="24"/>
          <w:szCs w:val="24"/>
        </w:rPr>
      </w:pPr>
      <w:r w:rsidRPr="003F6271">
        <w:rPr>
          <w:sz w:val="24"/>
          <w:szCs w:val="24"/>
        </w:rPr>
        <w:t>Several offices of NMFS, the U.S. Coast Guard</w:t>
      </w:r>
      <w:r w:rsidR="009724AB">
        <w:rPr>
          <w:sz w:val="24"/>
          <w:szCs w:val="24"/>
        </w:rPr>
        <w:t xml:space="preserve"> (USCG)</w:t>
      </w:r>
      <w:r w:rsidR="0055312B">
        <w:rPr>
          <w:sz w:val="24"/>
          <w:szCs w:val="24"/>
        </w:rPr>
        <w:t>,</w:t>
      </w:r>
      <w:r w:rsidRPr="003F6271">
        <w:rPr>
          <w:sz w:val="24"/>
          <w:szCs w:val="24"/>
        </w:rPr>
        <w:t xml:space="preserve"> and the Fishery Management Councils will utilize the information.  </w:t>
      </w:r>
      <w:r>
        <w:rPr>
          <w:sz w:val="24"/>
          <w:szCs w:val="24"/>
        </w:rPr>
        <w:t xml:space="preserve">The number of responses for each requirement is provided in </w:t>
      </w:r>
      <w:r w:rsidR="004103C6">
        <w:rPr>
          <w:sz w:val="24"/>
          <w:szCs w:val="24"/>
        </w:rPr>
        <w:t>Question</w:t>
      </w:r>
      <w:r>
        <w:rPr>
          <w:sz w:val="24"/>
          <w:szCs w:val="24"/>
        </w:rPr>
        <w:t xml:space="preserve"> 12 and Table 1 in this document.  </w:t>
      </w:r>
      <w:r w:rsidRPr="003F6271">
        <w:rPr>
          <w:sz w:val="24"/>
          <w:szCs w:val="24"/>
        </w:rPr>
        <w:t>Data collected through these programs will be incorporated into the NMFS database</w:t>
      </w:r>
      <w:r>
        <w:rPr>
          <w:sz w:val="24"/>
          <w:szCs w:val="24"/>
        </w:rPr>
        <w:t xml:space="preserve"> and would be used to track and confirm vessel permit status and eligibility, and </w:t>
      </w:r>
      <w:r w:rsidRPr="00173266">
        <w:rPr>
          <w:sz w:val="24"/>
          <w:szCs w:val="24"/>
        </w:rPr>
        <w:t xml:space="preserve">IFQ status.  </w:t>
      </w:r>
      <w:r>
        <w:rPr>
          <w:sz w:val="24"/>
          <w:szCs w:val="24"/>
        </w:rPr>
        <w:t xml:space="preserve">IFQ transfer requests are expected to be submitted </w:t>
      </w:r>
      <w:r w:rsidR="004B4344">
        <w:rPr>
          <w:sz w:val="24"/>
          <w:szCs w:val="24"/>
        </w:rPr>
        <w:t xml:space="preserve">regularly throughout the year. </w:t>
      </w:r>
      <w:r w:rsidR="00D40C83">
        <w:rPr>
          <w:sz w:val="24"/>
          <w:szCs w:val="24"/>
        </w:rPr>
        <w:t xml:space="preserve">Sector applications and operations plans are submitted once per year.  </w:t>
      </w:r>
      <w:r w:rsidRPr="003F6271">
        <w:rPr>
          <w:sz w:val="24"/>
          <w:szCs w:val="24"/>
        </w:rPr>
        <w:t xml:space="preserve">Aggregated summaries of the collected information will be used to evaluate the management program and future management proposals. </w:t>
      </w:r>
    </w:p>
    <w:p w:rsidR="009E5F66" w:rsidP="009E5F66" w:rsidRDefault="009E5F66">
      <w:pPr>
        <w:rPr>
          <w:sz w:val="24"/>
          <w:szCs w:val="24"/>
        </w:rPr>
      </w:pPr>
    </w:p>
    <w:p w:rsidR="00043D44" w:rsidP="009E5F66" w:rsidRDefault="009E5F66">
      <w:pPr>
        <w:widowControl/>
        <w:rPr>
          <w:sz w:val="24"/>
          <w:szCs w:val="24"/>
        </w:rPr>
      </w:pPr>
      <w:r w:rsidRPr="003F6271">
        <w:rPr>
          <w:sz w:val="24"/>
          <w:szCs w:val="24"/>
        </w:rPr>
        <w:t xml:space="preserve">NOAA Fisheries will retain control over the information and safeguard it from improper access, modification, and destruction, consistent with NOAA standards for confidentiality, privacy, and </w:t>
      </w:r>
      <w:r w:rsidRPr="003F6271">
        <w:rPr>
          <w:sz w:val="24"/>
          <w:szCs w:val="24"/>
        </w:rPr>
        <w:lastRenderedPageBreak/>
        <w:t xml:space="preserve">electronic information.  See response </w:t>
      </w:r>
      <w:r w:rsidR="004103C6">
        <w:rPr>
          <w:sz w:val="24"/>
          <w:szCs w:val="24"/>
        </w:rPr>
        <w:t xml:space="preserve">to Question </w:t>
      </w:r>
      <w:r w:rsidRPr="003F6271">
        <w:rPr>
          <w:sz w:val="24"/>
          <w:szCs w:val="24"/>
        </w:rPr>
        <w:t xml:space="preserve">10 of this Supporting Statement for more information on confidentiality and privacy. </w:t>
      </w:r>
      <w:r w:rsidR="00171D5D">
        <w:rPr>
          <w:sz w:val="24"/>
          <w:szCs w:val="24"/>
        </w:rPr>
        <w:t xml:space="preserve"> </w:t>
      </w:r>
      <w:r w:rsidRPr="003F6271">
        <w:rPr>
          <w:sz w:val="24"/>
          <w:szCs w:val="24"/>
        </w:rPr>
        <w:t>The information collection is designed to yield data that meet all applicable information quality guidelines.</w:t>
      </w:r>
      <w:r w:rsidR="00EB3ACD">
        <w:rPr>
          <w:sz w:val="24"/>
          <w:szCs w:val="24"/>
        </w:rPr>
        <w:t xml:space="preserve"> </w:t>
      </w:r>
      <w:r w:rsidRPr="003F6271">
        <w:rPr>
          <w:sz w:val="24"/>
          <w:szCs w:val="24"/>
        </w:rPr>
        <w:t xml:space="preserve"> Prior to dissemination, the information will be subjected to quality control measures and a pre-dissemination review pursuant to </w:t>
      </w:r>
      <w:hyperlink w:history="1" r:id="rId10">
        <w:r w:rsidRPr="00D74996">
          <w:rPr>
            <w:rStyle w:val="Hyperlink"/>
            <w:sz w:val="24"/>
            <w:szCs w:val="24"/>
          </w:rPr>
          <w:t>Section 515 of Public Law 106-554</w:t>
        </w:r>
      </w:hyperlink>
      <w:r w:rsidRPr="003F6271">
        <w:rPr>
          <w:sz w:val="24"/>
          <w:szCs w:val="24"/>
        </w:rPr>
        <w:t>.</w:t>
      </w:r>
    </w:p>
    <w:p w:rsidR="00355C54" w:rsidP="009E5F66" w:rsidRDefault="00355C54">
      <w:pPr>
        <w:widowControl/>
        <w:rPr>
          <w:sz w:val="24"/>
          <w:szCs w:val="24"/>
        </w:rPr>
      </w:pPr>
    </w:p>
    <w:tbl>
      <w:tblPr>
        <w:tblW w:w="97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896"/>
        <w:gridCol w:w="1784"/>
        <w:gridCol w:w="1197"/>
        <w:gridCol w:w="1953"/>
        <w:gridCol w:w="1234"/>
        <w:gridCol w:w="2717"/>
      </w:tblGrid>
      <w:tr w:rsidRPr="009C713E" w:rsidR="00355C54" w:rsidTr="00355C54">
        <w:trPr>
          <w:trHeight w:val="669"/>
        </w:trPr>
        <w:tc>
          <w:tcPr>
            <w:tcW w:w="896" w:type="dxa"/>
            <w:shd w:val="clear" w:color="auto" w:fill="DEEAF6"/>
          </w:tcPr>
          <w:p w:rsidRPr="009C713E" w:rsidR="00355C54" w:rsidP="00703634" w:rsidRDefault="00355C54">
            <w:pPr>
              <w:pStyle w:val="TableParagraph"/>
              <w:spacing w:before="11"/>
              <w:rPr>
                <w:rFonts w:ascii="Times New Roman" w:hAnsi="Times New Roman" w:cs="Times New Roman"/>
                <w:b/>
                <w:sz w:val="20"/>
                <w:szCs w:val="20"/>
              </w:rPr>
            </w:pPr>
          </w:p>
          <w:p w:rsidRPr="009C713E" w:rsidR="00355C54" w:rsidP="00703634" w:rsidRDefault="00355C54">
            <w:pPr>
              <w:pStyle w:val="TableParagraph"/>
              <w:jc w:val="center"/>
              <w:rPr>
                <w:rFonts w:ascii="Times New Roman" w:hAnsi="Times New Roman" w:cs="Times New Roman"/>
                <w:b/>
                <w:sz w:val="20"/>
                <w:szCs w:val="20"/>
              </w:rPr>
            </w:pPr>
            <w:r w:rsidRPr="009C713E">
              <w:rPr>
                <w:rFonts w:ascii="Times New Roman" w:hAnsi="Times New Roman" w:cs="Times New Roman"/>
                <w:b/>
                <w:color w:val="2F5496"/>
                <w:sz w:val="20"/>
                <w:szCs w:val="20"/>
              </w:rPr>
              <w:t>Item #</w:t>
            </w:r>
          </w:p>
        </w:tc>
        <w:tc>
          <w:tcPr>
            <w:tcW w:w="1784" w:type="dxa"/>
            <w:shd w:val="clear" w:color="auto" w:fill="DEEAF6"/>
          </w:tcPr>
          <w:p w:rsidRPr="009C713E" w:rsidR="00355C54" w:rsidP="00703634" w:rsidRDefault="00355C54">
            <w:pPr>
              <w:pStyle w:val="TableParagraph"/>
              <w:spacing w:before="11"/>
              <w:rPr>
                <w:rFonts w:ascii="Times New Roman" w:hAnsi="Times New Roman" w:cs="Times New Roman"/>
                <w:b/>
                <w:sz w:val="20"/>
                <w:szCs w:val="20"/>
              </w:rPr>
            </w:pPr>
          </w:p>
          <w:p w:rsidRPr="009C713E" w:rsidR="00355C54" w:rsidP="00703634" w:rsidRDefault="00355C54">
            <w:pPr>
              <w:pStyle w:val="TableParagraph"/>
              <w:jc w:val="center"/>
              <w:rPr>
                <w:rFonts w:ascii="Times New Roman" w:hAnsi="Times New Roman" w:cs="Times New Roman"/>
                <w:b/>
                <w:sz w:val="20"/>
                <w:szCs w:val="20"/>
              </w:rPr>
            </w:pPr>
            <w:r w:rsidRPr="009C713E">
              <w:rPr>
                <w:rFonts w:ascii="Times New Roman" w:hAnsi="Times New Roman" w:cs="Times New Roman"/>
                <w:b/>
                <w:color w:val="2F5496"/>
                <w:sz w:val="20"/>
                <w:szCs w:val="20"/>
              </w:rPr>
              <w:t>Requirement</w:t>
            </w:r>
          </w:p>
        </w:tc>
        <w:tc>
          <w:tcPr>
            <w:tcW w:w="1197" w:type="dxa"/>
            <w:shd w:val="clear" w:color="auto" w:fill="DEEAF6"/>
          </w:tcPr>
          <w:p w:rsidRPr="009C713E" w:rsidR="00355C54" w:rsidP="00703634" w:rsidRDefault="00355C54">
            <w:pPr>
              <w:pStyle w:val="TableParagraph"/>
              <w:spacing w:before="11"/>
              <w:rPr>
                <w:rFonts w:ascii="Times New Roman" w:hAnsi="Times New Roman" w:cs="Times New Roman"/>
                <w:b/>
                <w:sz w:val="20"/>
                <w:szCs w:val="20"/>
              </w:rPr>
            </w:pPr>
          </w:p>
          <w:p w:rsidRPr="009C713E" w:rsidR="00355C54" w:rsidP="00703634" w:rsidRDefault="00355C54">
            <w:pPr>
              <w:pStyle w:val="TableParagraph"/>
              <w:jc w:val="center"/>
              <w:rPr>
                <w:rFonts w:ascii="Times New Roman" w:hAnsi="Times New Roman" w:cs="Times New Roman"/>
                <w:b/>
                <w:sz w:val="20"/>
                <w:szCs w:val="20"/>
              </w:rPr>
            </w:pPr>
            <w:r w:rsidRPr="009C713E">
              <w:rPr>
                <w:rFonts w:ascii="Times New Roman" w:hAnsi="Times New Roman" w:cs="Times New Roman"/>
                <w:b/>
                <w:color w:val="2F5496"/>
                <w:sz w:val="20"/>
                <w:szCs w:val="20"/>
              </w:rPr>
              <w:t>Statute</w:t>
            </w:r>
          </w:p>
        </w:tc>
        <w:tc>
          <w:tcPr>
            <w:tcW w:w="1953" w:type="dxa"/>
            <w:shd w:val="clear" w:color="auto" w:fill="DEEAF6"/>
          </w:tcPr>
          <w:p w:rsidRPr="009C713E" w:rsidR="00355C54" w:rsidP="00703634" w:rsidRDefault="00355C54">
            <w:pPr>
              <w:pStyle w:val="TableParagraph"/>
              <w:spacing w:before="11"/>
              <w:rPr>
                <w:rFonts w:ascii="Times New Roman" w:hAnsi="Times New Roman" w:cs="Times New Roman"/>
                <w:b/>
                <w:sz w:val="20"/>
                <w:szCs w:val="20"/>
              </w:rPr>
            </w:pPr>
          </w:p>
          <w:p w:rsidRPr="009C713E" w:rsidR="00355C54" w:rsidP="00703634" w:rsidRDefault="00355C54">
            <w:pPr>
              <w:pStyle w:val="TableParagraph"/>
              <w:jc w:val="center"/>
              <w:rPr>
                <w:rFonts w:ascii="Times New Roman" w:hAnsi="Times New Roman" w:cs="Times New Roman"/>
                <w:b/>
                <w:sz w:val="20"/>
                <w:szCs w:val="20"/>
              </w:rPr>
            </w:pPr>
            <w:r w:rsidRPr="009C713E">
              <w:rPr>
                <w:rFonts w:ascii="Times New Roman" w:hAnsi="Times New Roman" w:cs="Times New Roman"/>
                <w:b/>
                <w:color w:val="2F5496"/>
                <w:sz w:val="20"/>
                <w:szCs w:val="20"/>
              </w:rPr>
              <w:t>Regulation</w:t>
            </w:r>
          </w:p>
        </w:tc>
        <w:tc>
          <w:tcPr>
            <w:tcW w:w="1234" w:type="dxa"/>
            <w:shd w:val="clear" w:color="auto" w:fill="DEEAF6"/>
          </w:tcPr>
          <w:p w:rsidRPr="009C713E" w:rsidR="00355C54" w:rsidP="00703634" w:rsidRDefault="00355C54">
            <w:pPr>
              <w:pStyle w:val="TableParagraph"/>
              <w:spacing w:before="11"/>
              <w:rPr>
                <w:rFonts w:ascii="Times New Roman" w:hAnsi="Times New Roman" w:cs="Times New Roman"/>
                <w:b/>
                <w:sz w:val="20"/>
                <w:szCs w:val="20"/>
              </w:rPr>
            </w:pPr>
          </w:p>
          <w:p w:rsidRPr="009C713E" w:rsidR="00355C54" w:rsidP="00703634" w:rsidRDefault="00355C54">
            <w:pPr>
              <w:pStyle w:val="TableParagraph"/>
              <w:jc w:val="center"/>
              <w:rPr>
                <w:rFonts w:ascii="Times New Roman" w:hAnsi="Times New Roman" w:cs="Times New Roman"/>
                <w:b/>
                <w:sz w:val="20"/>
                <w:szCs w:val="20"/>
              </w:rPr>
            </w:pPr>
            <w:r w:rsidRPr="009C713E">
              <w:rPr>
                <w:rFonts w:ascii="Times New Roman" w:hAnsi="Times New Roman" w:cs="Times New Roman"/>
                <w:b/>
                <w:color w:val="2F5496"/>
                <w:sz w:val="20"/>
                <w:szCs w:val="20"/>
              </w:rPr>
              <w:t>Form #</w:t>
            </w:r>
          </w:p>
        </w:tc>
        <w:tc>
          <w:tcPr>
            <w:tcW w:w="2717" w:type="dxa"/>
            <w:shd w:val="clear" w:color="auto" w:fill="DEEAF6"/>
          </w:tcPr>
          <w:p w:rsidRPr="009C713E" w:rsidR="00355C54" w:rsidP="00703634" w:rsidRDefault="00355C54">
            <w:pPr>
              <w:pStyle w:val="TableParagraph"/>
              <w:spacing w:before="11"/>
              <w:rPr>
                <w:rFonts w:ascii="Times New Roman" w:hAnsi="Times New Roman" w:cs="Times New Roman"/>
                <w:b/>
                <w:sz w:val="20"/>
                <w:szCs w:val="20"/>
              </w:rPr>
            </w:pPr>
          </w:p>
          <w:p w:rsidRPr="009C713E" w:rsidR="00355C54" w:rsidP="00703634" w:rsidRDefault="00355C54">
            <w:pPr>
              <w:pStyle w:val="TableParagraph"/>
              <w:rPr>
                <w:rFonts w:ascii="Times New Roman" w:hAnsi="Times New Roman" w:cs="Times New Roman"/>
                <w:b/>
                <w:sz w:val="20"/>
                <w:szCs w:val="20"/>
              </w:rPr>
            </w:pPr>
            <w:r w:rsidRPr="009C713E">
              <w:rPr>
                <w:rFonts w:ascii="Times New Roman" w:hAnsi="Times New Roman" w:cs="Times New Roman"/>
                <w:b/>
                <w:color w:val="2F5496"/>
                <w:sz w:val="20"/>
                <w:szCs w:val="20"/>
              </w:rPr>
              <w:t>Needs and Uses</w:t>
            </w:r>
          </w:p>
        </w:tc>
      </w:tr>
      <w:tr w:rsidRPr="009C713E" w:rsidR="00355C54" w:rsidTr="00355C54">
        <w:trPr>
          <w:trHeight w:val="667"/>
        </w:trPr>
        <w:tc>
          <w:tcPr>
            <w:tcW w:w="896" w:type="dxa"/>
          </w:tcPr>
          <w:p w:rsidRPr="009C713E" w:rsidR="00355C54" w:rsidP="00703634" w:rsidRDefault="00355C54">
            <w:pPr>
              <w:pStyle w:val="TableParagraph"/>
              <w:spacing w:before="9"/>
              <w:rPr>
                <w:rFonts w:ascii="Times New Roman" w:hAnsi="Times New Roman" w:cs="Times New Roman"/>
                <w:b/>
                <w:sz w:val="20"/>
                <w:szCs w:val="20"/>
              </w:rPr>
            </w:pPr>
          </w:p>
          <w:p w:rsidRPr="009C713E" w:rsidR="00355C54" w:rsidP="00703634" w:rsidRDefault="00355C54">
            <w:pPr>
              <w:pStyle w:val="TableParagraph"/>
              <w:jc w:val="center"/>
              <w:rPr>
                <w:rFonts w:ascii="Times New Roman" w:hAnsi="Times New Roman" w:cs="Times New Roman"/>
                <w:sz w:val="20"/>
                <w:szCs w:val="20"/>
              </w:rPr>
            </w:pPr>
            <w:r w:rsidRPr="009C713E">
              <w:rPr>
                <w:rFonts w:ascii="Times New Roman" w:hAnsi="Times New Roman" w:cs="Times New Roman"/>
                <w:color w:val="2F5496"/>
                <w:w w:val="99"/>
                <w:sz w:val="20"/>
                <w:szCs w:val="20"/>
              </w:rPr>
              <w:t>1</w:t>
            </w:r>
          </w:p>
        </w:tc>
        <w:tc>
          <w:tcPr>
            <w:tcW w:w="1784" w:type="dxa"/>
          </w:tcPr>
          <w:p w:rsidRPr="009C713E" w:rsidR="00355C54" w:rsidP="00703634" w:rsidRDefault="00355C54">
            <w:pPr>
              <w:pStyle w:val="TableParagraph"/>
              <w:spacing w:before="9"/>
              <w:rPr>
                <w:rFonts w:ascii="Times New Roman" w:hAnsi="Times New Roman" w:cs="Times New Roman"/>
                <w:b/>
                <w:sz w:val="20"/>
                <w:szCs w:val="20"/>
              </w:rPr>
            </w:pPr>
          </w:p>
          <w:p w:rsidRPr="009C713E" w:rsidR="00355C54" w:rsidP="00703634" w:rsidRDefault="00355C54">
            <w:pPr>
              <w:pStyle w:val="TableParagraph"/>
              <w:jc w:val="center"/>
              <w:rPr>
                <w:rFonts w:ascii="Times New Roman" w:hAnsi="Times New Roman" w:cs="Times New Roman"/>
                <w:sz w:val="20"/>
                <w:szCs w:val="20"/>
              </w:rPr>
            </w:pPr>
            <w:r>
              <w:rPr>
                <w:rFonts w:ascii="Times New Roman" w:hAnsi="Times New Roman" w:cs="Times New Roman"/>
                <w:color w:val="2F5496"/>
                <w:sz w:val="20"/>
                <w:szCs w:val="20"/>
              </w:rPr>
              <w:t>Limited Access Trip Exchanges</w:t>
            </w:r>
          </w:p>
        </w:tc>
        <w:tc>
          <w:tcPr>
            <w:tcW w:w="1197" w:type="dxa"/>
          </w:tcPr>
          <w:p w:rsidRPr="009C713E" w:rsidR="00355C54" w:rsidP="00703634" w:rsidRDefault="00355C54">
            <w:pPr>
              <w:pStyle w:val="TableParagraph"/>
              <w:spacing w:before="9"/>
              <w:rPr>
                <w:rFonts w:ascii="Times New Roman" w:hAnsi="Times New Roman" w:cs="Times New Roman"/>
                <w:b/>
                <w:sz w:val="20"/>
                <w:szCs w:val="20"/>
              </w:rPr>
            </w:pPr>
          </w:p>
          <w:p w:rsidRPr="009C713E" w:rsidR="00355C54" w:rsidP="00DE7F91" w:rsidRDefault="00355C54">
            <w:pPr>
              <w:pStyle w:val="TableParagraph"/>
              <w:ind w:hanging="84"/>
              <w:rPr>
                <w:rFonts w:ascii="Times New Roman" w:hAnsi="Times New Roman" w:cs="Times New Roman"/>
                <w:sz w:val="20"/>
                <w:szCs w:val="20"/>
              </w:rPr>
            </w:pPr>
            <w:r w:rsidRPr="009C713E">
              <w:rPr>
                <w:rFonts w:ascii="Times New Roman" w:hAnsi="Times New Roman" w:cs="Times New Roman"/>
                <w:color w:val="2F5496"/>
                <w:sz w:val="20"/>
                <w:szCs w:val="20"/>
              </w:rPr>
              <w:t>3</w:t>
            </w:r>
            <w:r w:rsidR="00DE7F91">
              <w:rPr>
                <w:rFonts w:ascii="Times New Roman" w:hAnsi="Times New Roman" w:cs="Times New Roman"/>
                <w:color w:val="2F5496"/>
                <w:sz w:val="20"/>
                <w:szCs w:val="20"/>
              </w:rPr>
              <w:t>16 USC 1801</w:t>
            </w:r>
          </w:p>
        </w:tc>
        <w:tc>
          <w:tcPr>
            <w:tcW w:w="1953" w:type="dxa"/>
          </w:tcPr>
          <w:p w:rsidRPr="009C713E" w:rsidR="00355C54" w:rsidP="00703634" w:rsidRDefault="00355C54">
            <w:pPr>
              <w:pStyle w:val="TableParagraph"/>
              <w:spacing w:before="9"/>
              <w:rPr>
                <w:rFonts w:ascii="Times New Roman" w:hAnsi="Times New Roman" w:cs="Times New Roman"/>
                <w:b/>
                <w:sz w:val="20"/>
                <w:szCs w:val="20"/>
              </w:rPr>
            </w:pPr>
          </w:p>
          <w:p w:rsidRPr="009C713E" w:rsidR="00355C54" w:rsidP="00703634" w:rsidRDefault="00355C54">
            <w:pPr>
              <w:pStyle w:val="TableParagraph"/>
              <w:jc w:val="center"/>
              <w:rPr>
                <w:rFonts w:ascii="Times New Roman" w:hAnsi="Times New Roman" w:cs="Times New Roman"/>
                <w:sz w:val="20"/>
                <w:szCs w:val="20"/>
              </w:rPr>
            </w:pPr>
            <w:r>
              <w:rPr>
                <w:rFonts w:ascii="Times New Roman" w:hAnsi="Times New Roman" w:cs="Times New Roman"/>
                <w:color w:val="2F5496"/>
                <w:sz w:val="20"/>
                <w:szCs w:val="20"/>
              </w:rPr>
              <w:t>648.59(b)(3)(ii)(A)(1) and 648.59(b)(3)11(B)</w:t>
            </w:r>
          </w:p>
        </w:tc>
        <w:tc>
          <w:tcPr>
            <w:tcW w:w="1234" w:type="dxa"/>
          </w:tcPr>
          <w:p w:rsidRPr="009C713E" w:rsidR="00355C54" w:rsidP="00703634" w:rsidRDefault="00355C54">
            <w:pPr>
              <w:pStyle w:val="TableParagraph"/>
              <w:spacing w:before="9"/>
              <w:rPr>
                <w:rFonts w:ascii="Times New Roman" w:hAnsi="Times New Roman" w:cs="Times New Roman"/>
                <w:b/>
                <w:sz w:val="20"/>
                <w:szCs w:val="20"/>
              </w:rPr>
            </w:pPr>
          </w:p>
          <w:p w:rsidRPr="009C713E" w:rsidR="00355C54" w:rsidP="00703634" w:rsidRDefault="00355C54">
            <w:pPr>
              <w:pStyle w:val="TableParagraph"/>
              <w:jc w:val="center"/>
              <w:rPr>
                <w:rFonts w:ascii="Times New Roman" w:hAnsi="Times New Roman" w:cs="Times New Roman"/>
                <w:sz w:val="20"/>
                <w:szCs w:val="20"/>
              </w:rPr>
            </w:pPr>
            <w:r w:rsidRPr="009C713E">
              <w:rPr>
                <w:rFonts w:ascii="Times New Roman" w:hAnsi="Times New Roman" w:cs="Times New Roman"/>
                <w:color w:val="2F5496"/>
                <w:sz w:val="20"/>
                <w:szCs w:val="20"/>
              </w:rPr>
              <w:t>XXX</w:t>
            </w:r>
          </w:p>
        </w:tc>
        <w:tc>
          <w:tcPr>
            <w:tcW w:w="2717" w:type="dxa"/>
          </w:tcPr>
          <w:p w:rsidRPr="009C713E" w:rsidR="00355C54" w:rsidP="00703634" w:rsidRDefault="00355C54">
            <w:pPr>
              <w:pStyle w:val="TableParagraph"/>
              <w:spacing w:before="7"/>
              <w:rPr>
                <w:rFonts w:ascii="Times New Roman" w:hAnsi="Times New Roman" w:cs="Times New Roman"/>
                <w:b/>
                <w:sz w:val="20"/>
                <w:szCs w:val="20"/>
              </w:rPr>
            </w:pPr>
          </w:p>
          <w:p w:rsidRPr="009C713E" w:rsidR="00355C54" w:rsidP="00355C54" w:rsidRDefault="00355C54">
            <w:pPr>
              <w:pStyle w:val="TableParagraph"/>
              <w:numPr>
                <w:ilvl w:val="0"/>
                <w:numId w:val="20"/>
              </w:numPr>
              <w:tabs>
                <w:tab w:val="left" w:pos="469"/>
                <w:tab w:val="left" w:pos="470"/>
              </w:tabs>
              <w:spacing w:before="1"/>
              <w:ind w:left="0" w:hanging="361"/>
              <w:rPr>
                <w:rFonts w:ascii="Times New Roman" w:hAnsi="Times New Roman" w:cs="Times New Roman"/>
                <w:sz w:val="20"/>
                <w:szCs w:val="20"/>
              </w:rPr>
            </w:pPr>
            <w:r w:rsidRPr="009C713E">
              <w:rPr>
                <w:rFonts w:ascii="Times New Roman" w:hAnsi="Times New Roman" w:cs="Times New Roman"/>
                <w:color w:val="2F5496"/>
                <w:sz w:val="20"/>
                <w:szCs w:val="20"/>
              </w:rPr>
              <w:t>Used by the public</w:t>
            </w:r>
            <w:r w:rsidRPr="009C713E">
              <w:rPr>
                <w:rFonts w:ascii="Times New Roman" w:hAnsi="Times New Roman" w:cs="Times New Roman"/>
                <w:color w:val="2F5496"/>
                <w:spacing w:val="-5"/>
                <w:sz w:val="20"/>
                <w:szCs w:val="20"/>
              </w:rPr>
              <w:t xml:space="preserve"> </w:t>
            </w:r>
            <w:r w:rsidRPr="009C713E">
              <w:rPr>
                <w:rFonts w:ascii="Times New Roman" w:hAnsi="Times New Roman" w:cs="Times New Roman"/>
                <w:color w:val="2F5496"/>
                <w:sz w:val="20"/>
                <w:szCs w:val="20"/>
              </w:rPr>
              <w:t>to</w:t>
            </w:r>
            <w:r>
              <w:rPr>
                <w:rFonts w:ascii="Times New Roman" w:hAnsi="Times New Roman" w:cs="Times New Roman"/>
                <w:color w:val="2F5496"/>
                <w:sz w:val="20"/>
                <w:szCs w:val="20"/>
              </w:rPr>
              <w:t xml:space="preserve"> apply for limited access trip exchanges to allow greater flexibility.</w:t>
            </w:r>
          </w:p>
          <w:p w:rsidRPr="009C713E" w:rsidR="00355C54" w:rsidP="00355C54" w:rsidRDefault="00355C54">
            <w:pPr>
              <w:pStyle w:val="TableParagraph"/>
              <w:numPr>
                <w:ilvl w:val="0"/>
                <w:numId w:val="20"/>
              </w:numPr>
              <w:tabs>
                <w:tab w:val="left" w:pos="469"/>
                <w:tab w:val="left" w:pos="470"/>
              </w:tabs>
              <w:spacing w:before="2" w:line="222" w:lineRule="exact"/>
              <w:ind w:left="0" w:hanging="361"/>
              <w:rPr>
                <w:rFonts w:ascii="Times New Roman" w:hAnsi="Times New Roman" w:cs="Times New Roman"/>
                <w:sz w:val="20"/>
                <w:szCs w:val="20"/>
              </w:rPr>
            </w:pPr>
            <w:r>
              <w:rPr>
                <w:rFonts w:ascii="Times New Roman" w:hAnsi="Times New Roman" w:cs="Times New Roman"/>
                <w:color w:val="2F5496"/>
                <w:sz w:val="20"/>
                <w:szCs w:val="20"/>
              </w:rPr>
              <w:t>Used by NMFS to track, document, and for fishery management and monitoring</w:t>
            </w:r>
          </w:p>
        </w:tc>
      </w:tr>
      <w:tr w:rsidRPr="009C713E" w:rsidR="00355C54" w:rsidTr="00355C54">
        <w:trPr>
          <w:trHeight w:val="643"/>
        </w:trPr>
        <w:tc>
          <w:tcPr>
            <w:tcW w:w="896" w:type="dxa"/>
          </w:tcPr>
          <w:p w:rsidRPr="009C713E" w:rsidR="00355C54" w:rsidP="00703634" w:rsidRDefault="00355C54">
            <w:pPr>
              <w:pStyle w:val="TableParagraph"/>
              <w:spacing w:before="9"/>
              <w:rPr>
                <w:rFonts w:ascii="Times New Roman" w:hAnsi="Times New Roman" w:cs="Times New Roman"/>
                <w:b/>
                <w:sz w:val="20"/>
                <w:szCs w:val="20"/>
              </w:rPr>
            </w:pPr>
          </w:p>
          <w:p w:rsidRPr="009C713E" w:rsidR="00355C54" w:rsidP="00703634" w:rsidRDefault="00355C54">
            <w:pPr>
              <w:pStyle w:val="TableParagraph"/>
              <w:jc w:val="center"/>
              <w:rPr>
                <w:rFonts w:ascii="Times New Roman" w:hAnsi="Times New Roman" w:cs="Times New Roman"/>
                <w:sz w:val="20"/>
                <w:szCs w:val="20"/>
              </w:rPr>
            </w:pPr>
            <w:r w:rsidRPr="009C713E">
              <w:rPr>
                <w:rFonts w:ascii="Times New Roman" w:hAnsi="Times New Roman" w:cs="Times New Roman"/>
                <w:color w:val="2F5496"/>
                <w:w w:val="99"/>
                <w:sz w:val="20"/>
                <w:szCs w:val="20"/>
              </w:rPr>
              <w:t>2</w:t>
            </w:r>
          </w:p>
        </w:tc>
        <w:tc>
          <w:tcPr>
            <w:tcW w:w="1784" w:type="dxa"/>
          </w:tcPr>
          <w:p w:rsidRPr="009C713E" w:rsidR="00355C54" w:rsidP="00703634" w:rsidRDefault="00355C54">
            <w:pPr>
              <w:pStyle w:val="TableParagraph"/>
              <w:spacing w:before="9"/>
              <w:rPr>
                <w:rFonts w:ascii="Times New Roman" w:hAnsi="Times New Roman" w:cs="Times New Roman"/>
                <w:b/>
                <w:sz w:val="20"/>
                <w:szCs w:val="20"/>
              </w:rPr>
            </w:pPr>
          </w:p>
          <w:p w:rsidRPr="009C713E" w:rsidR="00355C54" w:rsidP="00703634" w:rsidRDefault="00355C54">
            <w:pPr>
              <w:pStyle w:val="TableParagraph"/>
              <w:jc w:val="center"/>
              <w:rPr>
                <w:rFonts w:ascii="Times New Roman" w:hAnsi="Times New Roman" w:cs="Times New Roman"/>
                <w:sz w:val="20"/>
                <w:szCs w:val="20"/>
              </w:rPr>
            </w:pPr>
            <w:r>
              <w:rPr>
                <w:rFonts w:ascii="Times New Roman" w:hAnsi="Times New Roman" w:cs="Times New Roman"/>
                <w:color w:val="2F5496"/>
                <w:sz w:val="20"/>
                <w:szCs w:val="20"/>
              </w:rPr>
              <w:t>IFQ Transfer Application</w:t>
            </w:r>
          </w:p>
        </w:tc>
        <w:tc>
          <w:tcPr>
            <w:tcW w:w="1197" w:type="dxa"/>
          </w:tcPr>
          <w:p w:rsidR="00DE7F91" w:rsidP="00703634" w:rsidRDefault="00DE7F91">
            <w:pPr>
              <w:pStyle w:val="TableParagraph"/>
              <w:spacing w:line="230" w:lineRule="atLeast"/>
              <w:ind w:hanging="84"/>
              <w:rPr>
                <w:rFonts w:ascii="Times New Roman" w:hAnsi="Times New Roman" w:cs="Times New Roman"/>
                <w:color w:val="2F5496"/>
                <w:sz w:val="20"/>
                <w:szCs w:val="20"/>
              </w:rPr>
            </w:pPr>
            <w:r>
              <w:rPr>
                <w:rFonts w:ascii="Times New Roman" w:hAnsi="Times New Roman" w:cs="Times New Roman"/>
                <w:color w:val="2F5496"/>
                <w:sz w:val="20"/>
                <w:szCs w:val="20"/>
              </w:rPr>
              <w:t>1</w:t>
            </w:r>
          </w:p>
          <w:p w:rsidRPr="009C713E" w:rsidR="00355C54" w:rsidP="00703634" w:rsidRDefault="00DE7F91">
            <w:pPr>
              <w:pStyle w:val="TableParagraph"/>
              <w:spacing w:line="230" w:lineRule="atLeast"/>
              <w:ind w:hanging="84"/>
              <w:rPr>
                <w:rFonts w:ascii="Times New Roman" w:hAnsi="Times New Roman" w:cs="Times New Roman"/>
                <w:sz w:val="20"/>
                <w:szCs w:val="20"/>
              </w:rPr>
            </w:pPr>
            <w:r>
              <w:rPr>
                <w:rFonts w:ascii="Times New Roman" w:hAnsi="Times New Roman" w:cs="Times New Roman"/>
                <w:color w:val="2F5496"/>
                <w:sz w:val="20"/>
                <w:szCs w:val="20"/>
              </w:rPr>
              <w:t>1 16 USC 1801</w:t>
            </w:r>
          </w:p>
        </w:tc>
        <w:tc>
          <w:tcPr>
            <w:tcW w:w="1953" w:type="dxa"/>
          </w:tcPr>
          <w:p w:rsidRPr="009C713E" w:rsidR="00355C54" w:rsidP="00703634" w:rsidRDefault="00355C54">
            <w:pPr>
              <w:pStyle w:val="TableParagraph"/>
              <w:spacing w:before="9"/>
              <w:rPr>
                <w:rFonts w:ascii="Times New Roman" w:hAnsi="Times New Roman" w:cs="Times New Roman"/>
                <w:b/>
                <w:sz w:val="20"/>
                <w:szCs w:val="20"/>
              </w:rPr>
            </w:pPr>
          </w:p>
          <w:p w:rsidRPr="009C713E" w:rsidR="00355C54" w:rsidP="00703634" w:rsidRDefault="00DE7F91">
            <w:pPr>
              <w:pStyle w:val="TableParagraph"/>
              <w:jc w:val="center"/>
              <w:rPr>
                <w:rFonts w:ascii="Times New Roman" w:hAnsi="Times New Roman" w:cs="Times New Roman"/>
                <w:sz w:val="20"/>
                <w:szCs w:val="20"/>
              </w:rPr>
            </w:pPr>
            <w:r>
              <w:rPr>
                <w:rFonts w:ascii="Times New Roman" w:hAnsi="Times New Roman" w:cs="Times New Roman"/>
                <w:color w:val="2F5496"/>
                <w:sz w:val="20"/>
                <w:szCs w:val="20"/>
              </w:rPr>
              <w:t>648.53(h)(5)(iv)</w:t>
            </w:r>
          </w:p>
        </w:tc>
        <w:tc>
          <w:tcPr>
            <w:tcW w:w="1234" w:type="dxa"/>
          </w:tcPr>
          <w:p w:rsidRPr="009C713E" w:rsidR="00355C54" w:rsidP="00703634" w:rsidRDefault="00355C54">
            <w:pPr>
              <w:pStyle w:val="TableParagraph"/>
              <w:spacing w:before="9"/>
              <w:rPr>
                <w:rFonts w:ascii="Times New Roman" w:hAnsi="Times New Roman" w:cs="Times New Roman"/>
                <w:b/>
                <w:sz w:val="20"/>
                <w:szCs w:val="20"/>
              </w:rPr>
            </w:pPr>
          </w:p>
          <w:p w:rsidRPr="009C713E" w:rsidR="00355C54" w:rsidP="00703634" w:rsidRDefault="00355C54">
            <w:pPr>
              <w:pStyle w:val="TableParagraph"/>
              <w:jc w:val="center"/>
              <w:rPr>
                <w:rFonts w:ascii="Times New Roman" w:hAnsi="Times New Roman" w:cs="Times New Roman"/>
                <w:sz w:val="20"/>
                <w:szCs w:val="20"/>
              </w:rPr>
            </w:pPr>
            <w:r w:rsidRPr="009C713E">
              <w:rPr>
                <w:rFonts w:ascii="Times New Roman" w:hAnsi="Times New Roman" w:cs="Times New Roman"/>
                <w:color w:val="2F5496"/>
                <w:sz w:val="20"/>
                <w:szCs w:val="20"/>
              </w:rPr>
              <w:t>XXX</w:t>
            </w:r>
          </w:p>
        </w:tc>
        <w:tc>
          <w:tcPr>
            <w:tcW w:w="2717" w:type="dxa"/>
          </w:tcPr>
          <w:p w:rsidRPr="009C713E" w:rsidR="00355C54" w:rsidP="00703634" w:rsidRDefault="00355C54">
            <w:pPr>
              <w:pStyle w:val="TableParagraph"/>
              <w:rPr>
                <w:rFonts w:ascii="Times New Roman" w:hAnsi="Times New Roman" w:cs="Times New Roman"/>
                <w:b/>
                <w:sz w:val="20"/>
                <w:szCs w:val="20"/>
              </w:rPr>
            </w:pPr>
          </w:p>
          <w:p w:rsidRPr="00DE7F91" w:rsidR="00355C54" w:rsidP="00355C54" w:rsidRDefault="00355C54">
            <w:pPr>
              <w:pStyle w:val="TableParagraph"/>
              <w:numPr>
                <w:ilvl w:val="0"/>
                <w:numId w:val="19"/>
              </w:numPr>
              <w:tabs>
                <w:tab w:val="left" w:pos="469"/>
                <w:tab w:val="left" w:pos="470"/>
              </w:tabs>
              <w:ind w:left="0" w:hanging="361"/>
              <w:rPr>
                <w:rFonts w:ascii="Times New Roman" w:hAnsi="Times New Roman" w:cs="Times New Roman"/>
                <w:sz w:val="20"/>
                <w:szCs w:val="20"/>
              </w:rPr>
            </w:pPr>
            <w:r w:rsidRPr="009C713E">
              <w:rPr>
                <w:rFonts w:ascii="Times New Roman" w:hAnsi="Times New Roman" w:cs="Times New Roman"/>
                <w:color w:val="2F5496"/>
                <w:sz w:val="20"/>
                <w:szCs w:val="20"/>
              </w:rPr>
              <w:t>Used by the public</w:t>
            </w:r>
            <w:r w:rsidRPr="009C713E">
              <w:rPr>
                <w:rFonts w:ascii="Times New Roman" w:hAnsi="Times New Roman" w:cs="Times New Roman"/>
                <w:color w:val="2F5496"/>
                <w:spacing w:val="-5"/>
                <w:sz w:val="20"/>
                <w:szCs w:val="20"/>
              </w:rPr>
              <w:t xml:space="preserve"> </w:t>
            </w:r>
            <w:r w:rsidRPr="009C713E">
              <w:rPr>
                <w:rFonts w:ascii="Times New Roman" w:hAnsi="Times New Roman" w:cs="Times New Roman"/>
                <w:color w:val="2F5496"/>
                <w:sz w:val="20"/>
                <w:szCs w:val="20"/>
              </w:rPr>
              <w:t>to</w:t>
            </w:r>
            <w:r w:rsidR="00DE7F91">
              <w:rPr>
                <w:rFonts w:ascii="Times New Roman" w:hAnsi="Times New Roman" w:cs="Times New Roman"/>
                <w:color w:val="2F5496"/>
                <w:sz w:val="20"/>
                <w:szCs w:val="20"/>
              </w:rPr>
              <w:t xml:space="preserve"> transfer quota between vessels to allow greater flexibility.</w:t>
            </w:r>
          </w:p>
          <w:p w:rsidRPr="009C713E" w:rsidR="00DE7F91" w:rsidP="00355C54" w:rsidRDefault="00DE7F91">
            <w:pPr>
              <w:pStyle w:val="TableParagraph"/>
              <w:numPr>
                <w:ilvl w:val="0"/>
                <w:numId w:val="19"/>
              </w:numPr>
              <w:tabs>
                <w:tab w:val="left" w:pos="469"/>
                <w:tab w:val="left" w:pos="470"/>
              </w:tabs>
              <w:ind w:left="0" w:hanging="361"/>
              <w:rPr>
                <w:rFonts w:ascii="Times New Roman" w:hAnsi="Times New Roman" w:cs="Times New Roman"/>
                <w:sz w:val="20"/>
                <w:szCs w:val="20"/>
              </w:rPr>
            </w:pPr>
            <w:r>
              <w:rPr>
                <w:rFonts w:ascii="Times New Roman" w:hAnsi="Times New Roman" w:cs="Times New Roman"/>
                <w:color w:val="2F5496"/>
                <w:sz w:val="20"/>
                <w:szCs w:val="20"/>
              </w:rPr>
              <w:t>Used by NMFS to track, document, and for fishery management and monitoring</w:t>
            </w:r>
          </w:p>
        </w:tc>
      </w:tr>
      <w:tr w:rsidRPr="009C713E" w:rsidR="00DE7F91" w:rsidTr="00355C54">
        <w:trPr>
          <w:trHeight w:val="643"/>
        </w:trPr>
        <w:tc>
          <w:tcPr>
            <w:tcW w:w="896" w:type="dxa"/>
          </w:tcPr>
          <w:p w:rsidRPr="009C713E" w:rsidR="00DE7F91" w:rsidP="00DE7F91" w:rsidRDefault="00DE7F91">
            <w:pPr>
              <w:pStyle w:val="TableParagraph"/>
              <w:spacing w:before="9"/>
              <w:rPr>
                <w:rFonts w:ascii="Times New Roman" w:hAnsi="Times New Roman" w:cs="Times New Roman"/>
                <w:b/>
                <w:sz w:val="20"/>
                <w:szCs w:val="20"/>
              </w:rPr>
            </w:pPr>
          </w:p>
          <w:p w:rsidRPr="009C713E" w:rsidR="00DE7F91" w:rsidP="00DE7F91" w:rsidRDefault="00DE7F91">
            <w:pPr>
              <w:pStyle w:val="TableParagraph"/>
              <w:jc w:val="center"/>
              <w:rPr>
                <w:rFonts w:ascii="Times New Roman" w:hAnsi="Times New Roman" w:cs="Times New Roman"/>
                <w:sz w:val="20"/>
                <w:szCs w:val="20"/>
              </w:rPr>
            </w:pPr>
            <w:r>
              <w:rPr>
                <w:rFonts w:ascii="Times New Roman" w:hAnsi="Times New Roman" w:cs="Times New Roman"/>
                <w:color w:val="2F5496"/>
                <w:w w:val="99"/>
                <w:sz w:val="20"/>
                <w:szCs w:val="20"/>
              </w:rPr>
              <w:t>3</w:t>
            </w:r>
          </w:p>
        </w:tc>
        <w:tc>
          <w:tcPr>
            <w:tcW w:w="1784" w:type="dxa"/>
          </w:tcPr>
          <w:p w:rsidRPr="009C713E" w:rsidR="00DE7F91" w:rsidP="00DE7F91" w:rsidRDefault="00DE7F91">
            <w:pPr>
              <w:pStyle w:val="TableParagraph"/>
              <w:spacing w:before="9"/>
              <w:rPr>
                <w:rFonts w:ascii="Times New Roman" w:hAnsi="Times New Roman" w:cs="Times New Roman"/>
                <w:b/>
                <w:sz w:val="20"/>
                <w:szCs w:val="20"/>
              </w:rPr>
            </w:pPr>
          </w:p>
          <w:p w:rsidRPr="009C713E" w:rsidR="00DE7F91" w:rsidP="00DE7F91" w:rsidRDefault="00DE7F91">
            <w:pPr>
              <w:pStyle w:val="TableParagraph"/>
              <w:jc w:val="center"/>
              <w:rPr>
                <w:rFonts w:ascii="Times New Roman" w:hAnsi="Times New Roman" w:cs="Times New Roman"/>
                <w:sz w:val="20"/>
                <w:szCs w:val="20"/>
              </w:rPr>
            </w:pPr>
            <w:r>
              <w:rPr>
                <w:rFonts w:ascii="Times New Roman" w:hAnsi="Times New Roman" w:cs="Times New Roman"/>
                <w:color w:val="2F5496"/>
                <w:sz w:val="20"/>
                <w:szCs w:val="20"/>
              </w:rPr>
              <w:t>IFQ Cost Recovery</w:t>
            </w:r>
          </w:p>
        </w:tc>
        <w:tc>
          <w:tcPr>
            <w:tcW w:w="1197" w:type="dxa"/>
          </w:tcPr>
          <w:p w:rsidR="00DE7F91" w:rsidP="00DE7F91" w:rsidRDefault="00DE7F91">
            <w:pPr>
              <w:pStyle w:val="TableParagraph"/>
              <w:spacing w:line="230" w:lineRule="atLeast"/>
              <w:ind w:hanging="84"/>
              <w:rPr>
                <w:rFonts w:ascii="Times New Roman" w:hAnsi="Times New Roman" w:cs="Times New Roman"/>
                <w:color w:val="2F5496"/>
                <w:sz w:val="20"/>
                <w:szCs w:val="20"/>
              </w:rPr>
            </w:pPr>
            <w:r>
              <w:rPr>
                <w:rFonts w:ascii="Times New Roman" w:hAnsi="Times New Roman" w:cs="Times New Roman"/>
                <w:color w:val="2F5496"/>
                <w:sz w:val="20"/>
                <w:szCs w:val="20"/>
              </w:rPr>
              <w:t>1</w:t>
            </w:r>
          </w:p>
          <w:p w:rsidRPr="009C713E" w:rsidR="00DE7F91" w:rsidP="00DE7F91" w:rsidRDefault="00DE7F91">
            <w:pPr>
              <w:pStyle w:val="TableParagraph"/>
              <w:spacing w:line="230" w:lineRule="atLeast"/>
              <w:ind w:hanging="84"/>
              <w:rPr>
                <w:rFonts w:ascii="Times New Roman" w:hAnsi="Times New Roman" w:cs="Times New Roman"/>
                <w:sz w:val="20"/>
                <w:szCs w:val="20"/>
              </w:rPr>
            </w:pPr>
            <w:r>
              <w:rPr>
                <w:rFonts w:ascii="Times New Roman" w:hAnsi="Times New Roman" w:cs="Times New Roman"/>
                <w:color w:val="2F5496"/>
                <w:sz w:val="20"/>
                <w:szCs w:val="20"/>
              </w:rPr>
              <w:t>1 16 USC 1801</w:t>
            </w:r>
          </w:p>
        </w:tc>
        <w:tc>
          <w:tcPr>
            <w:tcW w:w="1953" w:type="dxa"/>
          </w:tcPr>
          <w:p w:rsidRPr="009C713E" w:rsidR="00DE7F91" w:rsidP="00DE7F91" w:rsidRDefault="00DE7F91">
            <w:pPr>
              <w:pStyle w:val="TableParagraph"/>
              <w:spacing w:before="9"/>
              <w:rPr>
                <w:rFonts w:ascii="Times New Roman" w:hAnsi="Times New Roman" w:cs="Times New Roman"/>
                <w:b/>
                <w:sz w:val="20"/>
                <w:szCs w:val="20"/>
              </w:rPr>
            </w:pPr>
          </w:p>
          <w:p w:rsidRPr="009C713E" w:rsidR="00DE7F91" w:rsidP="00DE7F91" w:rsidRDefault="00DE7F91">
            <w:pPr>
              <w:pStyle w:val="TableParagraph"/>
              <w:jc w:val="center"/>
              <w:rPr>
                <w:rFonts w:ascii="Times New Roman" w:hAnsi="Times New Roman" w:cs="Times New Roman"/>
                <w:sz w:val="20"/>
                <w:szCs w:val="20"/>
              </w:rPr>
            </w:pPr>
            <w:r>
              <w:rPr>
                <w:rFonts w:ascii="Times New Roman" w:hAnsi="Times New Roman" w:cs="Times New Roman"/>
                <w:color w:val="2F5496"/>
                <w:sz w:val="20"/>
                <w:szCs w:val="20"/>
              </w:rPr>
              <w:t>648.53(h)(4)</w:t>
            </w:r>
          </w:p>
        </w:tc>
        <w:tc>
          <w:tcPr>
            <w:tcW w:w="1234" w:type="dxa"/>
          </w:tcPr>
          <w:p w:rsidRPr="009C713E" w:rsidR="00DE7F91" w:rsidP="00DE7F91" w:rsidRDefault="00DE7F91">
            <w:pPr>
              <w:pStyle w:val="TableParagraph"/>
              <w:spacing w:before="9"/>
              <w:rPr>
                <w:rFonts w:ascii="Times New Roman" w:hAnsi="Times New Roman" w:cs="Times New Roman"/>
                <w:b/>
                <w:sz w:val="20"/>
                <w:szCs w:val="20"/>
              </w:rPr>
            </w:pPr>
          </w:p>
          <w:p w:rsidRPr="009C713E" w:rsidR="00DE7F91" w:rsidP="00DE7F91" w:rsidRDefault="00DE7F91">
            <w:pPr>
              <w:pStyle w:val="TableParagraph"/>
              <w:jc w:val="center"/>
              <w:rPr>
                <w:rFonts w:ascii="Times New Roman" w:hAnsi="Times New Roman" w:cs="Times New Roman"/>
                <w:sz w:val="20"/>
                <w:szCs w:val="20"/>
              </w:rPr>
            </w:pPr>
            <w:r w:rsidRPr="009C713E">
              <w:rPr>
                <w:rFonts w:ascii="Times New Roman" w:hAnsi="Times New Roman" w:cs="Times New Roman"/>
                <w:color w:val="2F5496"/>
                <w:sz w:val="20"/>
                <w:szCs w:val="20"/>
              </w:rPr>
              <w:t>XXX</w:t>
            </w:r>
          </w:p>
        </w:tc>
        <w:tc>
          <w:tcPr>
            <w:tcW w:w="2717" w:type="dxa"/>
          </w:tcPr>
          <w:p w:rsidRPr="009C713E" w:rsidR="00DE7F91" w:rsidP="00DE7F91" w:rsidRDefault="00DE7F91">
            <w:pPr>
              <w:pStyle w:val="TableParagraph"/>
              <w:rPr>
                <w:rFonts w:ascii="Times New Roman" w:hAnsi="Times New Roman" w:cs="Times New Roman"/>
                <w:b/>
                <w:sz w:val="20"/>
                <w:szCs w:val="20"/>
              </w:rPr>
            </w:pPr>
          </w:p>
          <w:p w:rsidRPr="00DE7F91" w:rsidR="00DE7F91" w:rsidP="00DE7F91" w:rsidRDefault="00DE7F91">
            <w:pPr>
              <w:pStyle w:val="TableParagraph"/>
              <w:numPr>
                <w:ilvl w:val="0"/>
                <w:numId w:val="19"/>
              </w:numPr>
              <w:tabs>
                <w:tab w:val="left" w:pos="469"/>
                <w:tab w:val="left" w:pos="470"/>
              </w:tabs>
              <w:ind w:left="0" w:hanging="361"/>
              <w:rPr>
                <w:rFonts w:ascii="Times New Roman" w:hAnsi="Times New Roman" w:cs="Times New Roman"/>
                <w:sz w:val="20"/>
                <w:szCs w:val="20"/>
              </w:rPr>
            </w:pPr>
            <w:r>
              <w:rPr>
                <w:rFonts w:ascii="Times New Roman" w:hAnsi="Times New Roman" w:cs="Times New Roman"/>
                <w:color w:val="2F5496"/>
                <w:sz w:val="20"/>
                <w:szCs w:val="20"/>
              </w:rPr>
              <w:t>Magnuson-Stevens Act requires an</w:t>
            </w:r>
            <w:r w:rsidR="00FF1D6B">
              <w:rPr>
                <w:rFonts w:ascii="Times New Roman" w:hAnsi="Times New Roman" w:cs="Times New Roman"/>
                <w:color w:val="2F5496"/>
                <w:sz w:val="20"/>
                <w:szCs w:val="20"/>
              </w:rPr>
              <w:t>y</w:t>
            </w:r>
            <w:r>
              <w:rPr>
                <w:rFonts w:ascii="Times New Roman" w:hAnsi="Times New Roman" w:cs="Times New Roman"/>
                <w:color w:val="2F5496"/>
                <w:sz w:val="20"/>
                <w:szCs w:val="20"/>
              </w:rPr>
              <w:t xml:space="preserve"> IFQ cost recovery plan to recover management and enforcement costs for IFQ Fisheries</w:t>
            </w:r>
            <w:r>
              <w:rPr>
                <w:rFonts w:ascii="Times New Roman" w:hAnsi="Times New Roman" w:cs="Times New Roman"/>
                <w:sz w:val="20"/>
                <w:szCs w:val="20"/>
              </w:rPr>
              <w:t xml:space="preserve">. </w:t>
            </w:r>
          </w:p>
        </w:tc>
      </w:tr>
    </w:tbl>
    <w:p w:rsidRPr="00B23405" w:rsidR="00355C54" w:rsidP="009E5F66" w:rsidRDefault="00355C54">
      <w:pPr>
        <w:widowControl/>
        <w:rPr>
          <w:sz w:val="24"/>
          <w:szCs w:val="24"/>
        </w:rPr>
      </w:pPr>
    </w:p>
    <w:p w:rsidRPr="00B23405" w:rsidR="00043D44" w:rsidP="00B8234D" w:rsidRDefault="00043D44">
      <w:pPr>
        <w:rPr>
          <w:sz w:val="24"/>
          <w:szCs w:val="24"/>
        </w:rPr>
      </w:pPr>
    </w:p>
    <w:p w:rsidR="00506631" w:rsidP="00B8234D" w:rsidRDefault="00506631">
      <w:pPr>
        <w:rPr>
          <w:b/>
          <w:bCs/>
          <w:sz w:val="24"/>
          <w:szCs w:val="24"/>
        </w:rPr>
      </w:pPr>
    </w:p>
    <w:p w:rsidRPr="00784C37" w:rsidR="00995D9B" w:rsidP="00B8234D" w:rsidRDefault="00995D9B">
      <w:pPr>
        <w:rPr>
          <w:sz w:val="24"/>
          <w:szCs w:val="24"/>
        </w:rPr>
      </w:pPr>
      <w:r w:rsidRPr="00B23405">
        <w:rPr>
          <w:b/>
          <w:bCs/>
          <w:sz w:val="24"/>
          <w:szCs w:val="24"/>
        </w:rPr>
        <w:t xml:space="preserve">3.  </w:t>
      </w:r>
      <w:r w:rsidRPr="00784C37">
        <w:rPr>
          <w:b/>
          <w:bCs/>
          <w:sz w:val="24"/>
          <w:szCs w:val="24"/>
        </w:rPr>
        <w:t>Describe whether, and to what extent, the collection of information involves the use of automated, electronic, mechanical, or other technological techniques or other forms of information technology</w:t>
      </w:r>
      <w:r w:rsidRPr="00784C37" w:rsidR="00784C37">
        <w:rPr>
          <w:b/>
          <w:bCs/>
          <w:sz w:val="24"/>
          <w:szCs w:val="24"/>
        </w:rPr>
        <w:t>, e.g. permitting electronic submission of responses, and the basis for the decision for adopting this means of collection. Also, describe any consideration of using information technology to reduce burden.</w:t>
      </w:r>
    </w:p>
    <w:p w:rsidRPr="00B23405" w:rsidR="00583491" w:rsidP="00583491" w:rsidRDefault="00583491">
      <w:pPr>
        <w:rPr>
          <w:b/>
          <w:sz w:val="24"/>
          <w:szCs w:val="24"/>
        </w:rPr>
      </w:pPr>
    </w:p>
    <w:p w:rsidRPr="00B23405" w:rsidR="00583491" w:rsidP="00583491" w:rsidRDefault="00583491">
      <w:pPr>
        <w:rPr>
          <w:b/>
          <w:sz w:val="24"/>
          <w:szCs w:val="24"/>
        </w:rPr>
      </w:pPr>
      <w:r w:rsidRPr="00B23405">
        <w:rPr>
          <w:b/>
          <w:sz w:val="24"/>
          <w:szCs w:val="24"/>
        </w:rPr>
        <w:t>IFQ Transfers</w:t>
      </w:r>
    </w:p>
    <w:p w:rsidRPr="00B23405" w:rsidR="006D5C06" w:rsidP="006D5C06" w:rsidRDefault="006D5C06">
      <w:pPr>
        <w:rPr>
          <w:sz w:val="24"/>
          <w:szCs w:val="24"/>
        </w:rPr>
      </w:pPr>
    </w:p>
    <w:p w:rsidRPr="00B23405" w:rsidR="00583491" w:rsidP="006D5C06" w:rsidRDefault="00583491">
      <w:pPr>
        <w:rPr>
          <w:sz w:val="24"/>
          <w:szCs w:val="24"/>
        </w:rPr>
      </w:pPr>
      <w:r w:rsidRPr="00B23405">
        <w:rPr>
          <w:sz w:val="24"/>
          <w:szCs w:val="24"/>
        </w:rPr>
        <w:t xml:space="preserve">IFQ transfer applications </w:t>
      </w:r>
      <w:r w:rsidR="00101D95">
        <w:rPr>
          <w:sz w:val="24"/>
          <w:szCs w:val="24"/>
        </w:rPr>
        <w:t xml:space="preserve">are </w:t>
      </w:r>
      <w:r w:rsidRPr="00B23405">
        <w:rPr>
          <w:sz w:val="24"/>
          <w:szCs w:val="24"/>
        </w:rPr>
        <w:t xml:space="preserve">available via </w:t>
      </w:r>
      <w:r w:rsidR="00574601">
        <w:rPr>
          <w:sz w:val="24"/>
          <w:szCs w:val="24"/>
        </w:rPr>
        <w:t>GAR</w:t>
      </w:r>
      <w:r w:rsidR="000650B5">
        <w:rPr>
          <w:sz w:val="24"/>
          <w:szCs w:val="24"/>
        </w:rPr>
        <w:t>FO</w:t>
      </w:r>
      <w:r w:rsidRPr="00B23405" w:rsidR="00574601">
        <w:rPr>
          <w:sz w:val="24"/>
          <w:szCs w:val="24"/>
        </w:rPr>
        <w:t xml:space="preserve">’s </w:t>
      </w:r>
      <w:r w:rsidRPr="00B23405">
        <w:rPr>
          <w:sz w:val="24"/>
          <w:szCs w:val="24"/>
        </w:rPr>
        <w:t xml:space="preserve">website, </w:t>
      </w:r>
      <w:r w:rsidRPr="004B2771" w:rsidR="004B2771">
        <w:rPr>
          <w:sz w:val="24"/>
          <w:szCs w:val="24"/>
        </w:rPr>
        <w:t>www.greateratlantic.fisheries.noaa.gov</w:t>
      </w:r>
      <w:r w:rsidRPr="00B23405">
        <w:rPr>
          <w:sz w:val="24"/>
          <w:szCs w:val="24"/>
        </w:rPr>
        <w:t xml:space="preserve">.  Applications </w:t>
      </w:r>
      <w:r w:rsidR="004B1C60">
        <w:rPr>
          <w:sz w:val="24"/>
          <w:szCs w:val="24"/>
        </w:rPr>
        <w:t>may be em</w:t>
      </w:r>
      <w:r w:rsidRPr="00B23405">
        <w:rPr>
          <w:sz w:val="24"/>
          <w:szCs w:val="24"/>
        </w:rPr>
        <w:t>ailed</w:t>
      </w:r>
      <w:r w:rsidR="004B1C60">
        <w:rPr>
          <w:sz w:val="24"/>
          <w:szCs w:val="24"/>
        </w:rPr>
        <w:t xml:space="preserve"> to </w:t>
      </w:r>
      <w:r w:rsidR="00574601">
        <w:rPr>
          <w:sz w:val="24"/>
          <w:szCs w:val="24"/>
        </w:rPr>
        <w:t>GAR</w:t>
      </w:r>
      <w:r w:rsidR="000650B5">
        <w:rPr>
          <w:sz w:val="24"/>
          <w:szCs w:val="24"/>
        </w:rPr>
        <w:t>FO</w:t>
      </w:r>
      <w:r w:rsidR="00574601">
        <w:rPr>
          <w:sz w:val="24"/>
          <w:szCs w:val="24"/>
        </w:rPr>
        <w:t xml:space="preserve">’s </w:t>
      </w:r>
      <w:r w:rsidR="00101D95">
        <w:rPr>
          <w:sz w:val="24"/>
          <w:szCs w:val="24"/>
        </w:rPr>
        <w:t xml:space="preserve">IFQ transfer email address or faxed or mailed. </w:t>
      </w:r>
    </w:p>
    <w:p w:rsidRPr="00B23405" w:rsidR="00583491" w:rsidP="006D5C06" w:rsidRDefault="00583491">
      <w:pPr>
        <w:rPr>
          <w:sz w:val="24"/>
          <w:szCs w:val="24"/>
        </w:rPr>
      </w:pPr>
    </w:p>
    <w:p w:rsidRPr="00B23405" w:rsidR="006D5C06" w:rsidP="006D5C06" w:rsidRDefault="006D5C06">
      <w:pPr>
        <w:rPr>
          <w:b/>
          <w:sz w:val="24"/>
          <w:szCs w:val="24"/>
        </w:rPr>
      </w:pPr>
      <w:r w:rsidRPr="00B23405">
        <w:rPr>
          <w:b/>
          <w:sz w:val="24"/>
          <w:szCs w:val="24"/>
        </w:rPr>
        <w:t>Cost Recovery</w:t>
      </w:r>
    </w:p>
    <w:p w:rsidRPr="00B23405" w:rsidR="0069117D" w:rsidP="00FF2DB5" w:rsidRDefault="0069117D">
      <w:pPr>
        <w:rPr>
          <w:sz w:val="24"/>
          <w:szCs w:val="24"/>
        </w:rPr>
      </w:pPr>
    </w:p>
    <w:p w:rsidRPr="00B23405" w:rsidR="00AF15D7" w:rsidP="00FF2DB5" w:rsidRDefault="006D5C06">
      <w:pPr>
        <w:rPr>
          <w:sz w:val="24"/>
          <w:szCs w:val="24"/>
        </w:rPr>
      </w:pPr>
      <w:r w:rsidRPr="00B23405">
        <w:rPr>
          <w:sz w:val="24"/>
          <w:szCs w:val="24"/>
        </w:rPr>
        <w:t>V</w:t>
      </w:r>
      <w:r w:rsidRPr="00B23405" w:rsidR="0069117D">
        <w:rPr>
          <w:sz w:val="24"/>
          <w:szCs w:val="24"/>
        </w:rPr>
        <w:t xml:space="preserve">essel owners submit payment via the </w:t>
      </w:r>
      <w:r w:rsidR="00A5739A">
        <w:rPr>
          <w:sz w:val="24"/>
          <w:szCs w:val="24"/>
        </w:rPr>
        <w:t xml:space="preserve">secure </w:t>
      </w:r>
      <w:r w:rsidRPr="00B23405" w:rsidR="0069117D">
        <w:rPr>
          <w:sz w:val="24"/>
          <w:szCs w:val="24"/>
        </w:rPr>
        <w:t xml:space="preserve">internet </w:t>
      </w:r>
      <w:r w:rsidR="00A5739A">
        <w:rPr>
          <w:sz w:val="24"/>
          <w:szCs w:val="24"/>
        </w:rPr>
        <w:t>site:</w:t>
      </w:r>
      <w:r w:rsidRPr="00B23405" w:rsidR="0069117D">
        <w:rPr>
          <w:sz w:val="24"/>
          <w:szCs w:val="24"/>
        </w:rPr>
        <w:t xml:space="preserve"> www.pay.gov.</w:t>
      </w:r>
      <w:r w:rsidRPr="00B23405" w:rsidR="003406AA">
        <w:rPr>
          <w:sz w:val="24"/>
          <w:szCs w:val="24"/>
        </w:rPr>
        <w:t xml:space="preserve"> </w:t>
      </w:r>
    </w:p>
    <w:p w:rsidR="00995D9B" w:rsidP="00B8234D" w:rsidRDefault="00995D9B">
      <w:pPr>
        <w:rPr>
          <w:sz w:val="24"/>
          <w:szCs w:val="24"/>
        </w:rPr>
      </w:pPr>
    </w:p>
    <w:p w:rsidR="006A7CE6" w:rsidP="00B8234D" w:rsidRDefault="00171D5D">
      <w:pPr>
        <w:rPr>
          <w:sz w:val="24"/>
          <w:szCs w:val="24"/>
        </w:rPr>
      </w:pPr>
      <w:r>
        <w:rPr>
          <w:sz w:val="24"/>
          <w:szCs w:val="24"/>
        </w:rPr>
        <w:t>NMFS collects all other information from vessel owners and/or operators through completed forms</w:t>
      </w:r>
      <w:r w:rsidR="00F736FA">
        <w:rPr>
          <w:sz w:val="24"/>
          <w:szCs w:val="24"/>
        </w:rPr>
        <w:t xml:space="preserve"> and/or instructions. Forms</w:t>
      </w:r>
      <w:r>
        <w:rPr>
          <w:sz w:val="24"/>
          <w:szCs w:val="24"/>
        </w:rPr>
        <w:t xml:space="preserve"> </w:t>
      </w:r>
      <w:r w:rsidR="00F736FA">
        <w:rPr>
          <w:sz w:val="24"/>
          <w:szCs w:val="24"/>
        </w:rPr>
        <w:t>may</w:t>
      </w:r>
      <w:r>
        <w:rPr>
          <w:sz w:val="24"/>
          <w:szCs w:val="24"/>
        </w:rPr>
        <w:t xml:space="preserve"> be sent by mail, fax, or scanned and emailed. </w:t>
      </w:r>
      <w:r w:rsidR="006A7CE6">
        <w:rPr>
          <w:sz w:val="24"/>
          <w:szCs w:val="24"/>
        </w:rPr>
        <w:t xml:space="preserve"> </w:t>
      </w:r>
    </w:p>
    <w:p w:rsidRPr="00B23405" w:rsidR="006A7CE6" w:rsidP="00B8234D" w:rsidRDefault="006A7CE6">
      <w:pPr>
        <w:rPr>
          <w:sz w:val="24"/>
          <w:szCs w:val="24"/>
        </w:rPr>
      </w:pPr>
    </w:p>
    <w:p w:rsidRPr="00BD7237" w:rsidR="00684E0F" w:rsidP="00684E0F" w:rsidRDefault="00995D9B">
      <w:pPr>
        <w:pStyle w:val="ListParagraph"/>
        <w:tabs>
          <w:tab w:val="left" w:pos="360"/>
        </w:tabs>
        <w:spacing w:before="80"/>
        <w:ind w:left="0" w:firstLine="0"/>
        <w:rPr>
          <w:rFonts w:cs="Times New Roman"/>
          <w:b/>
          <w:szCs w:val="24"/>
        </w:rPr>
      </w:pPr>
      <w:r w:rsidRPr="00B23405">
        <w:rPr>
          <w:b/>
          <w:bCs/>
          <w:szCs w:val="24"/>
        </w:rPr>
        <w:t xml:space="preserve">4.  </w:t>
      </w:r>
      <w:r w:rsidRPr="00BD7237" w:rsidR="00684E0F">
        <w:rPr>
          <w:rFonts w:cs="Times New Roman"/>
          <w:b/>
          <w:szCs w:val="24"/>
        </w:rPr>
        <w:t xml:space="preserve">Describe efforts to identify duplication. Show specifically why any similar information already available cannot be used or modified for use for the purposes described in </w:t>
      </w:r>
      <w:r w:rsidRPr="00BD7237" w:rsidR="00684E0F">
        <w:rPr>
          <w:rFonts w:cs="Times New Roman"/>
          <w:b/>
          <w:szCs w:val="24"/>
        </w:rPr>
        <w:lastRenderedPageBreak/>
        <w:t>Question</w:t>
      </w:r>
      <w:r w:rsidRPr="00BD7237" w:rsidR="00684E0F">
        <w:rPr>
          <w:rFonts w:cs="Times New Roman"/>
          <w:b/>
          <w:spacing w:val="-42"/>
          <w:szCs w:val="24"/>
        </w:rPr>
        <w:t xml:space="preserve"> </w:t>
      </w:r>
      <w:r w:rsidRPr="00BD7237" w:rsidR="00684E0F">
        <w:rPr>
          <w:rFonts w:cs="Times New Roman"/>
          <w:b/>
          <w:szCs w:val="24"/>
        </w:rPr>
        <w:t>2</w:t>
      </w:r>
    </w:p>
    <w:p w:rsidRPr="00B23405" w:rsidR="00995D9B" w:rsidP="00B8234D" w:rsidRDefault="00995D9B">
      <w:pPr>
        <w:rPr>
          <w:sz w:val="24"/>
          <w:szCs w:val="24"/>
        </w:rPr>
      </w:pPr>
    </w:p>
    <w:p w:rsidR="00995D9B" w:rsidP="00B8234D" w:rsidRDefault="0020548A">
      <w:pPr>
        <w:rPr>
          <w:sz w:val="24"/>
          <w:szCs w:val="24"/>
        </w:rPr>
      </w:pPr>
      <w:r w:rsidRPr="00B23405">
        <w:rPr>
          <w:sz w:val="24"/>
          <w:szCs w:val="24"/>
          <w:lang w:val="en-CA"/>
        </w:rPr>
        <w:fldChar w:fldCharType="begin"/>
      </w:r>
      <w:r w:rsidRPr="00B23405">
        <w:rPr>
          <w:sz w:val="24"/>
          <w:szCs w:val="24"/>
          <w:lang w:val="en-CA"/>
        </w:rPr>
        <w:instrText xml:space="preserve"> SEQ CHAPTER \h \r 1</w:instrText>
      </w:r>
      <w:r w:rsidRPr="00B23405">
        <w:rPr>
          <w:sz w:val="24"/>
          <w:szCs w:val="24"/>
          <w:lang w:val="en-CA"/>
        </w:rPr>
        <w:fldChar w:fldCharType="end"/>
      </w:r>
      <w:r w:rsidR="00283CC6">
        <w:rPr>
          <w:sz w:val="24"/>
          <w:szCs w:val="24"/>
          <w:lang w:val="en-CA"/>
        </w:rPr>
        <w:t>T</w:t>
      </w:r>
      <w:r w:rsidRPr="00B23405">
        <w:rPr>
          <w:sz w:val="24"/>
          <w:szCs w:val="24"/>
        </w:rPr>
        <w:t>he</w:t>
      </w:r>
      <w:r w:rsidR="00283CC6">
        <w:rPr>
          <w:sz w:val="24"/>
          <w:szCs w:val="24"/>
        </w:rPr>
        <w:t xml:space="preserve"> r</w:t>
      </w:r>
      <w:r w:rsidRPr="00B23405">
        <w:rPr>
          <w:sz w:val="24"/>
          <w:szCs w:val="24"/>
        </w:rPr>
        <w:t>e</w:t>
      </w:r>
      <w:r w:rsidR="00283CC6">
        <w:rPr>
          <w:sz w:val="24"/>
          <w:szCs w:val="24"/>
        </w:rPr>
        <w:t>porting requirements under 0648-0491</w:t>
      </w:r>
      <w:r w:rsidRPr="00B23405">
        <w:rPr>
          <w:sz w:val="24"/>
          <w:szCs w:val="24"/>
        </w:rPr>
        <w:t xml:space="preserve"> do not duplicate any </w:t>
      </w:r>
      <w:r w:rsidR="00BB28F0">
        <w:rPr>
          <w:sz w:val="24"/>
          <w:szCs w:val="24"/>
        </w:rPr>
        <w:t>other reporting requirements</w:t>
      </w:r>
      <w:r w:rsidRPr="00B23405">
        <w:rPr>
          <w:sz w:val="24"/>
          <w:szCs w:val="24"/>
        </w:rPr>
        <w:t>.</w:t>
      </w:r>
    </w:p>
    <w:p w:rsidRPr="00B23405" w:rsidR="00283CC6" w:rsidP="00B8234D" w:rsidRDefault="00283CC6">
      <w:pPr>
        <w:rPr>
          <w:sz w:val="24"/>
          <w:szCs w:val="24"/>
        </w:rPr>
      </w:pPr>
    </w:p>
    <w:p w:rsidRPr="00BD7237" w:rsidR="00684E0F" w:rsidP="00684E0F" w:rsidRDefault="00995D9B">
      <w:pPr>
        <w:pStyle w:val="ListParagraph"/>
        <w:tabs>
          <w:tab w:val="left" w:pos="360"/>
        </w:tabs>
        <w:spacing w:before="80"/>
        <w:ind w:left="0" w:firstLine="0"/>
        <w:rPr>
          <w:rFonts w:cs="Times New Roman"/>
          <w:b/>
          <w:szCs w:val="24"/>
        </w:rPr>
      </w:pPr>
      <w:r w:rsidRPr="00B23405">
        <w:rPr>
          <w:b/>
          <w:bCs/>
          <w:szCs w:val="24"/>
        </w:rPr>
        <w:t xml:space="preserve">5.  </w:t>
      </w:r>
      <w:r w:rsidRPr="00BD7237" w:rsidR="00684E0F">
        <w:rPr>
          <w:rFonts w:cs="Times New Roman"/>
          <w:b/>
          <w:szCs w:val="24"/>
        </w:rPr>
        <w:t>If the collection of information impacts small businesses or other small entities, describe any methods used to minimize burden.</w:t>
      </w:r>
    </w:p>
    <w:p w:rsidRPr="00B23405" w:rsidR="0020548A" w:rsidP="0020548A" w:rsidRDefault="0020548A">
      <w:pPr>
        <w:rPr>
          <w:sz w:val="24"/>
          <w:szCs w:val="24"/>
          <w:lang w:val="en-CA"/>
        </w:rPr>
      </w:pPr>
    </w:p>
    <w:p w:rsidRPr="00B23405" w:rsidR="0020548A" w:rsidP="0020548A" w:rsidRDefault="0020548A">
      <w:pPr>
        <w:rPr>
          <w:sz w:val="24"/>
          <w:szCs w:val="24"/>
        </w:rPr>
      </w:pPr>
      <w:r w:rsidRPr="00B23405">
        <w:rPr>
          <w:sz w:val="24"/>
          <w:szCs w:val="24"/>
          <w:lang w:val="en-CA"/>
        </w:rPr>
        <w:t xml:space="preserve">The proposed collection of information </w:t>
      </w:r>
      <w:r w:rsidRPr="00B23405" w:rsidR="009F021C">
        <w:rPr>
          <w:sz w:val="24"/>
          <w:szCs w:val="24"/>
          <w:lang w:val="en-CA"/>
        </w:rPr>
        <w:t>would</w:t>
      </w:r>
      <w:r w:rsidRPr="00B23405">
        <w:rPr>
          <w:sz w:val="24"/>
          <w:szCs w:val="24"/>
          <w:lang w:val="en-CA"/>
        </w:rPr>
        <w:t xml:space="preserve"> not have a significant impact on small entities.  </w:t>
      </w:r>
      <w:r w:rsidRPr="00B23405">
        <w:rPr>
          <w:sz w:val="24"/>
          <w:szCs w:val="24"/>
          <w:lang w:val="en-CA"/>
        </w:rPr>
        <w:fldChar w:fldCharType="begin"/>
      </w:r>
      <w:r w:rsidRPr="00B23405">
        <w:rPr>
          <w:sz w:val="24"/>
          <w:szCs w:val="24"/>
          <w:lang w:val="en-CA"/>
        </w:rPr>
        <w:instrText xml:space="preserve"> SEQ CHAPTER \h \r 1</w:instrText>
      </w:r>
      <w:r w:rsidRPr="00B23405">
        <w:rPr>
          <w:sz w:val="24"/>
          <w:szCs w:val="24"/>
          <w:lang w:val="en-CA"/>
        </w:rPr>
        <w:fldChar w:fldCharType="end"/>
      </w:r>
      <w:r w:rsidRPr="00B23405">
        <w:rPr>
          <w:sz w:val="24"/>
          <w:szCs w:val="24"/>
        </w:rPr>
        <w:t>Only the minimum data to meet the requirements of the above data needs are requested from all participants.  Furthermore, detailed instructions are included with all required applications and forms to help facilitate proper completion.  Since all of the respondents are small businesses, separate requirements based on the size of the bus</w:t>
      </w:r>
      <w:r w:rsidR="007678C5">
        <w:rPr>
          <w:sz w:val="24"/>
          <w:szCs w:val="24"/>
        </w:rPr>
        <w:t>iness have not been developed.</w:t>
      </w:r>
    </w:p>
    <w:p w:rsidRPr="00B23405" w:rsidR="00995D9B" w:rsidP="00B8234D" w:rsidRDefault="00995D9B">
      <w:pPr>
        <w:rPr>
          <w:sz w:val="24"/>
          <w:szCs w:val="24"/>
        </w:rPr>
      </w:pPr>
    </w:p>
    <w:p w:rsidRPr="00684E0F" w:rsidR="00995D9B" w:rsidP="00684E0F" w:rsidRDefault="00995D9B">
      <w:pPr>
        <w:pStyle w:val="ListParagraph"/>
        <w:tabs>
          <w:tab w:val="left" w:pos="360"/>
        </w:tabs>
        <w:spacing w:before="80"/>
        <w:ind w:left="0" w:firstLine="0"/>
        <w:rPr>
          <w:rFonts w:cs="Times New Roman"/>
          <w:b/>
          <w:szCs w:val="24"/>
        </w:rPr>
      </w:pPr>
      <w:r w:rsidRPr="00B23405">
        <w:rPr>
          <w:b/>
          <w:bCs/>
          <w:szCs w:val="24"/>
        </w:rPr>
        <w:t xml:space="preserve">6.  </w:t>
      </w:r>
      <w:r w:rsidRPr="00BD7237" w:rsidR="00684E0F">
        <w:rPr>
          <w:rFonts w:cs="Times New Roman"/>
          <w:b/>
          <w:szCs w:val="24"/>
        </w:rPr>
        <w:t>Describe the consequence to Federal program or policy activities if the collection is not conducted or is conducted less frequently, as well as any technical or legal obstacles to reducing burden.</w:t>
      </w:r>
    </w:p>
    <w:p w:rsidR="004B1C60" w:rsidP="00B94BCD" w:rsidRDefault="004B1C60">
      <w:pPr>
        <w:rPr>
          <w:sz w:val="24"/>
          <w:szCs w:val="24"/>
        </w:rPr>
      </w:pPr>
    </w:p>
    <w:p w:rsidRPr="00B23405" w:rsidR="006F2CDE" w:rsidP="00B94BCD" w:rsidRDefault="004B1C60">
      <w:pPr>
        <w:rPr>
          <w:sz w:val="24"/>
          <w:szCs w:val="24"/>
        </w:rPr>
      </w:pPr>
      <w:r>
        <w:rPr>
          <w:sz w:val="24"/>
          <w:szCs w:val="24"/>
        </w:rPr>
        <w:t>T</w:t>
      </w:r>
      <w:r w:rsidRPr="00B23405" w:rsidR="00B94BCD">
        <w:rPr>
          <w:sz w:val="24"/>
          <w:szCs w:val="24"/>
        </w:rPr>
        <w:t>h</w:t>
      </w:r>
      <w:r w:rsidRPr="00B23405" w:rsidR="00EB218A">
        <w:rPr>
          <w:sz w:val="24"/>
          <w:szCs w:val="24"/>
        </w:rPr>
        <w:t>e</w:t>
      </w:r>
      <w:r>
        <w:rPr>
          <w:sz w:val="24"/>
          <w:szCs w:val="24"/>
        </w:rPr>
        <w:t xml:space="preserve"> LAGC permit provisions under 0648-0491 are</w:t>
      </w:r>
      <w:r w:rsidRPr="00B23405" w:rsidR="00604928">
        <w:rPr>
          <w:sz w:val="24"/>
          <w:szCs w:val="24"/>
        </w:rPr>
        <w:t xml:space="preserve"> </w:t>
      </w:r>
      <w:r>
        <w:rPr>
          <w:sz w:val="24"/>
          <w:szCs w:val="24"/>
        </w:rPr>
        <w:t xml:space="preserve">necessary to ensure consistent permit application procedures and to promote effective management of the </w:t>
      </w:r>
      <w:r w:rsidRPr="00B23405" w:rsidR="00604928">
        <w:rPr>
          <w:sz w:val="24"/>
          <w:szCs w:val="24"/>
        </w:rPr>
        <w:t xml:space="preserve">scallop </w:t>
      </w:r>
      <w:r>
        <w:rPr>
          <w:sz w:val="24"/>
          <w:szCs w:val="24"/>
        </w:rPr>
        <w:t xml:space="preserve">fishery. </w:t>
      </w:r>
    </w:p>
    <w:p w:rsidRPr="00B23405" w:rsidR="006F2CDE" w:rsidP="00B94BCD" w:rsidRDefault="00C70500">
      <w:pPr>
        <w:rPr>
          <w:sz w:val="24"/>
          <w:szCs w:val="24"/>
        </w:rPr>
      </w:pPr>
      <w:r w:rsidRPr="00B23405">
        <w:rPr>
          <w:sz w:val="24"/>
          <w:szCs w:val="24"/>
        </w:rPr>
        <w:t xml:space="preserve">IFQ transfer </w:t>
      </w:r>
      <w:r w:rsidRPr="00B23405" w:rsidR="006F2CDE">
        <w:rPr>
          <w:sz w:val="24"/>
          <w:szCs w:val="24"/>
        </w:rPr>
        <w:t xml:space="preserve">applications are needed to implement a transfer program. </w:t>
      </w:r>
      <w:r w:rsidR="006A7CE6">
        <w:rPr>
          <w:sz w:val="24"/>
          <w:szCs w:val="24"/>
        </w:rPr>
        <w:t xml:space="preserve"> </w:t>
      </w:r>
      <w:r w:rsidRPr="00B23405" w:rsidR="006F2CDE">
        <w:rPr>
          <w:sz w:val="24"/>
          <w:szCs w:val="24"/>
        </w:rPr>
        <w:t xml:space="preserve">Without these applications, industry would not be afforded the benefit of the transfer program. </w:t>
      </w:r>
    </w:p>
    <w:p w:rsidRPr="00B23405" w:rsidR="006F2CDE" w:rsidP="00B94BCD" w:rsidRDefault="006F2CDE">
      <w:pPr>
        <w:rPr>
          <w:sz w:val="24"/>
          <w:szCs w:val="24"/>
        </w:rPr>
      </w:pPr>
    </w:p>
    <w:p w:rsidRPr="00B23405" w:rsidR="006F2CDE" w:rsidP="00B94BCD" w:rsidRDefault="006F2CDE">
      <w:pPr>
        <w:rPr>
          <w:sz w:val="24"/>
          <w:szCs w:val="24"/>
        </w:rPr>
      </w:pPr>
      <w:r w:rsidRPr="00B23405">
        <w:rPr>
          <w:sz w:val="24"/>
          <w:szCs w:val="24"/>
        </w:rPr>
        <w:t>The cost recovery requirements are critical to administer the cost recovery program</w:t>
      </w:r>
      <w:r w:rsidR="006A7CE6">
        <w:rPr>
          <w:sz w:val="24"/>
          <w:szCs w:val="24"/>
        </w:rPr>
        <w:t xml:space="preserve"> and collect payment from IFQ permit holders</w:t>
      </w:r>
      <w:r w:rsidRPr="00B23405">
        <w:rPr>
          <w:sz w:val="24"/>
          <w:szCs w:val="24"/>
        </w:rPr>
        <w:t xml:space="preserve">. </w:t>
      </w:r>
      <w:r w:rsidR="006A7CE6">
        <w:rPr>
          <w:sz w:val="24"/>
          <w:szCs w:val="24"/>
        </w:rPr>
        <w:t xml:space="preserve"> </w:t>
      </w:r>
      <w:r w:rsidRPr="00B23405">
        <w:rPr>
          <w:sz w:val="24"/>
          <w:szCs w:val="24"/>
        </w:rPr>
        <w:t xml:space="preserve">The minimum amount of information </w:t>
      </w:r>
      <w:r w:rsidRPr="00B23405" w:rsidR="006F0B1C">
        <w:rPr>
          <w:sz w:val="24"/>
          <w:szCs w:val="24"/>
        </w:rPr>
        <w:t>would</w:t>
      </w:r>
      <w:r w:rsidRPr="00B23405">
        <w:rPr>
          <w:sz w:val="24"/>
          <w:szCs w:val="24"/>
        </w:rPr>
        <w:t xml:space="preserve"> be collected to effectively administer this program.</w:t>
      </w:r>
    </w:p>
    <w:p w:rsidRPr="00B23405" w:rsidR="00C70500" w:rsidP="00B94BCD" w:rsidRDefault="00C70500">
      <w:pPr>
        <w:rPr>
          <w:sz w:val="24"/>
          <w:szCs w:val="24"/>
        </w:rPr>
      </w:pPr>
    </w:p>
    <w:p w:rsidRPr="00B23405" w:rsidR="00C70500" w:rsidP="00B94BCD" w:rsidRDefault="00C70500">
      <w:pPr>
        <w:rPr>
          <w:sz w:val="24"/>
          <w:szCs w:val="24"/>
        </w:rPr>
      </w:pPr>
      <w:r w:rsidRPr="00B23405">
        <w:rPr>
          <w:sz w:val="24"/>
          <w:szCs w:val="24"/>
        </w:rPr>
        <w:t>Without sector</w:t>
      </w:r>
      <w:r w:rsidR="006A7CE6">
        <w:rPr>
          <w:sz w:val="24"/>
          <w:szCs w:val="24"/>
        </w:rPr>
        <w:t xml:space="preserve"> application, analysis, and </w:t>
      </w:r>
      <w:r w:rsidRPr="00B23405">
        <w:rPr>
          <w:sz w:val="24"/>
          <w:szCs w:val="24"/>
        </w:rPr>
        <w:t xml:space="preserve">reporting requirements, </w:t>
      </w:r>
      <w:r w:rsidR="00F11A43">
        <w:rPr>
          <w:sz w:val="24"/>
          <w:szCs w:val="24"/>
        </w:rPr>
        <w:t>NMFS</w:t>
      </w:r>
      <w:r w:rsidRPr="00B23405">
        <w:rPr>
          <w:sz w:val="24"/>
          <w:szCs w:val="24"/>
        </w:rPr>
        <w:t xml:space="preserve"> could not successfull</w:t>
      </w:r>
      <w:r w:rsidR="00171D47">
        <w:rPr>
          <w:sz w:val="24"/>
          <w:szCs w:val="24"/>
        </w:rPr>
        <w:t>y implement a sector program.</w:t>
      </w:r>
    </w:p>
    <w:p w:rsidRPr="00B23405" w:rsidR="00B94BCD" w:rsidP="00B94BCD" w:rsidRDefault="00B94BCD">
      <w:pPr>
        <w:rPr>
          <w:sz w:val="24"/>
          <w:szCs w:val="24"/>
        </w:rPr>
      </w:pPr>
    </w:p>
    <w:p w:rsidRPr="00B23405" w:rsidR="00995D9B" w:rsidP="00B8234D" w:rsidRDefault="00995D9B">
      <w:pPr>
        <w:rPr>
          <w:sz w:val="24"/>
          <w:szCs w:val="24"/>
        </w:rPr>
      </w:pPr>
      <w:r w:rsidRPr="00B23405">
        <w:rPr>
          <w:b/>
          <w:bCs/>
          <w:sz w:val="24"/>
          <w:szCs w:val="24"/>
        </w:rPr>
        <w:t xml:space="preserve">7.  </w:t>
      </w:r>
      <w:r w:rsidRPr="00101D95">
        <w:rPr>
          <w:b/>
          <w:bCs/>
          <w:sz w:val="24"/>
          <w:szCs w:val="24"/>
        </w:rPr>
        <w:t xml:space="preserve">Explain any special circumstances that require the collection to be conducted in a manner inconsistent with OMB guidelines. </w:t>
      </w:r>
    </w:p>
    <w:p w:rsidRPr="00B23405" w:rsidR="00995D9B" w:rsidP="00B8234D" w:rsidRDefault="00995D9B">
      <w:pPr>
        <w:rPr>
          <w:sz w:val="24"/>
          <w:szCs w:val="24"/>
        </w:rPr>
      </w:pPr>
    </w:p>
    <w:p w:rsidRPr="00B23405" w:rsidR="006F2CDE" w:rsidP="006F2CDE" w:rsidRDefault="00672F28">
      <w:pPr>
        <w:rPr>
          <w:sz w:val="24"/>
          <w:szCs w:val="24"/>
        </w:rPr>
      </w:pPr>
      <w:r>
        <w:rPr>
          <w:sz w:val="24"/>
          <w:szCs w:val="24"/>
        </w:rPr>
        <w:t>IFQ</w:t>
      </w:r>
      <w:r w:rsidRPr="00B23405" w:rsidR="006F2CDE">
        <w:rPr>
          <w:sz w:val="24"/>
          <w:szCs w:val="24"/>
        </w:rPr>
        <w:t xml:space="preserve"> vessel</w:t>
      </w:r>
      <w:r w:rsidRPr="00B23405" w:rsidR="00282F88">
        <w:rPr>
          <w:sz w:val="24"/>
          <w:szCs w:val="24"/>
        </w:rPr>
        <w:t xml:space="preserve"> owners may</w:t>
      </w:r>
      <w:r w:rsidRPr="00B23405" w:rsidR="006F2CDE">
        <w:rPr>
          <w:sz w:val="24"/>
          <w:szCs w:val="24"/>
        </w:rPr>
        <w:t xml:space="preserve"> transfer quota</w:t>
      </w:r>
      <w:r w:rsidR="004B1C60">
        <w:rPr>
          <w:sz w:val="24"/>
          <w:szCs w:val="24"/>
        </w:rPr>
        <w:t>, and limited access vessel owners may exchange access area trips</w:t>
      </w:r>
      <w:r w:rsidRPr="00B23405" w:rsidR="006F2CDE">
        <w:rPr>
          <w:sz w:val="24"/>
          <w:szCs w:val="24"/>
        </w:rPr>
        <w:t xml:space="preserve"> more frequently then quar</w:t>
      </w:r>
      <w:r w:rsidRPr="00B23405" w:rsidR="00282F88">
        <w:rPr>
          <w:sz w:val="24"/>
          <w:szCs w:val="24"/>
        </w:rPr>
        <w:t>t</w:t>
      </w:r>
      <w:r w:rsidRPr="00B23405" w:rsidR="006F2CDE">
        <w:rPr>
          <w:sz w:val="24"/>
          <w:szCs w:val="24"/>
        </w:rPr>
        <w:t>erly</w:t>
      </w:r>
      <w:r w:rsidRPr="00B23405" w:rsidR="00282F88">
        <w:rPr>
          <w:sz w:val="24"/>
          <w:szCs w:val="24"/>
        </w:rPr>
        <w:t xml:space="preserve">, but this collection is completely voluntary and to the benefit of the fishing industry. </w:t>
      </w:r>
      <w:r w:rsidRPr="00B23405" w:rsidR="00476FD8">
        <w:rPr>
          <w:sz w:val="24"/>
          <w:szCs w:val="24"/>
        </w:rPr>
        <w:t xml:space="preserve"> A vessel owner may submit more than one transfer application quarterly.  </w:t>
      </w:r>
      <w:r w:rsidR="0062030C">
        <w:rPr>
          <w:sz w:val="24"/>
          <w:szCs w:val="24"/>
        </w:rPr>
        <w:t>There are no special circumstances that would cause a respondent to be required to prepare written response in fewer than 30 days</w:t>
      </w:r>
      <w:r w:rsidR="0019668C">
        <w:rPr>
          <w:sz w:val="24"/>
          <w:szCs w:val="24"/>
        </w:rPr>
        <w:t xml:space="preserve"> after receipt</w:t>
      </w:r>
      <w:r w:rsidR="0062030C">
        <w:rPr>
          <w:sz w:val="24"/>
          <w:szCs w:val="24"/>
        </w:rPr>
        <w:t>, submit more than an original and two copies of any document, retain documents for more than three years, or to submit proprietary trade secrets or other confidential information outside of what the agency has demonstrated they can protect. There are also no special circumstances that include a pledge of confidentiality that is not supported by statues or regulations, or statistical data classification that has not been reviewed and approved by OMB.</w:t>
      </w:r>
    </w:p>
    <w:p w:rsidRPr="00B23405" w:rsidR="00995D9B" w:rsidP="00B8234D" w:rsidRDefault="00995D9B">
      <w:pPr>
        <w:rPr>
          <w:sz w:val="24"/>
          <w:szCs w:val="24"/>
        </w:rPr>
      </w:pPr>
    </w:p>
    <w:p w:rsidRPr="00BD7237" w:rsidR="00684E0F" w:rsidP="00684E0F" w:rsidRDefault="00995D9B">
      <w:pPr>
        <w:pStyle w:val="ListParagraph"/>
        <w:tabs>
          <w:tab w:val="left" w:pos="360"/>
        </w:tabs>
        <w:spacing w:before="80"/>
        <w:ind w:left="0" w:firstLine="0"/>
        <w:rPr>
          <w:rFonts w:cs="Times New Roman"/>
          <w:b/>
          <w:szCs w:val="24"/>
        </w:rPr>
      </w:pPr>
      <w:r w:rsidRPr="00B23405">
        <w:rPr>
          <w:b/>
          <w:bCs/>
          <w:szCs w:val="24"/>
        </w:rPr>
        <w:t xml:space="preserve">8.  </w:t>
      </w:r>
      <w:r w:rsidRPr="00BD7237" w:rsidR="00684E0F">
        <w:rPr>
          <w:rFonts w:cs="Times New Roman"/>
          <w:b/>
          <w:szCs w:val="24"/>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B23405" w:rsidR="00995D9B" w:rsidP="00B8234D" w:rsidRDefault="00995D9B">
      <w:pPr>
        <w:rPr>
          <w:sz w:val="24"/>
          <w:szCs w:val="24"/>
        </w:rPr>
      </w:pPr>
    </w:p>
    <w:p w:rsidRPr="00B23405" w:rsidR="00995D9B" w:rsidP="00B8234D" w:rsidRDefault="00995D9B">
      <w:pPr>
        <w:rPr>
          <w:sz w:val="24"/>
          <w:szCs w:val="24"/>
        </w:rPr>
      </w:pPr>
    </w:p>
    <w:p w:rsidRPr="00D70EBF" w:rsidR="004268E5" w:rsidP="00013075" w:rsidRDefault="004268E5">
      <w:pPr>
        <w:widowControl/>
        <w:rPr>
          <w:sz w:val="24"/>
          <w:szCs w:val="24"/>
          <w:highlight w:val="yellow"/>
        </w:rPr>
      </w:pPr>
      <w:r w:rsidRPr="0048494A">
        <w:rPr>
          <w:sz w:val="24"/>
          <w:szCs w:val="24"/>
        </w:rPr>
        <w:t xml:space="preserve">A </w:t>
      </w:r>
      <w:r w:rsidRPr="0048494A">
        <w:rPr>
          <w:sz w:val="24"/>
          <w:szCs w:val="24"/>
          <w:u w:val="single"/>
        </w:rPr>
        <w:t>Federal Register</w:t>
      </w:r>
      <w:r w:rsidRPr="0048494A">
        <w:rPr>
          <w:sz w:val="24"/>
          <w:szCs w:val="24"/>
        </w:rPr>
        <w:t xml:space="preserve"> Notice was published </w:t>
      </w:r>
      <w:r w:rsidRPr="0048494A" w:rsidR="0048494A">
        <w:rPr>
          <w:sz w:val="24"/>
          <w:szCs w:val="24"/>
        </w:rPr>
        <w:t>on March 6</w:t>
      </w:r>
      <w:r w:rsidRPr="0048494A" w:rsidR="00634A39">
        <w:rPr>
          <w:sz w:val="24"/>
          <w:szCs w:val="24"/>
        </w:rPr>
        <w:t>,</w:t>
      </w:r>
      <w:r w:rsidRPr="0048494A" w:rsidR="0048494A">
        <w:rPr>
          <w:sz w:val="24"/>
          <w:szCs w:val="24"/>
        </w:rPr>
        <w:t xml:space="preserve"> 2020</w:t>
      </w:r>
      <w:r w:rsidRPr="0048494A" w:rsidR="00634A39">
        <w:rPr>
          <w:sz w:val="24"/>
          <w:szCs w:val="24"/>
        </w:rPr>
        <w:t xml:space="preserve"> (</w:t>
      </w:r>
      <w:r w:rsidRPr="0048494A" w:rsidR="0048494A">
        <w:rPr>
          <w:sz w:val="24"/>
          <w:szCs w:val="24"/>
        </w:rPr>
        <w:t>85</w:t>
      </w:r>
      <w:r w:rsidRPr="0048494A" w:rsidR="00630520">
        <w:rPr>
          <w:sz w:val="24"/>
          <w:szCs w:val="24"/>
        </w:rPr>
        <w:t xml:space="preserve"> </w:t>
      </w:r>
      <w:r w:rsidRPr="0048494A" w:rsidR="00634A39">
        <w:rPr>
          <w:sz w:val="24"/>
          <w:szCs w:val="24"/>
        </w:rPr>
        <w:t xml:space="preserve">FR </w:t>
      </w:r>
      <w:r w:rsidRPr="0048494A" w:rsidR="0048494A">
        <w:rPr>
          <w:sz w:val="24"/>
          <w:szCs w:val="24"/>
        </w:rPr>
        <w:t>13140</w:t>
      </w:r>
      <w:r w:rsidRPr="0048494A">
        <w:rPr>
          <w:sz w:val="24"/>
          <w:szCs w:val="24"/>
        </w:rPr>
        <w:t xml:space="preserve">), soliciting public comment on this </w:t>
      </w:r>
      <w:r w:rsidRPr="0048494A" w:rsidR="00234609">
        <w:rPr>
          <w:sz w:val="24"/>
          <w:szCs w:val="24"/>
        </w:rPr>
        <w:t>proposed rule</w:t>
      </w:r>
      <w:r w:rsidRPr="0048494A">
        <w:rPr>
          <w:sz w:val="24"/>
          <w:szCs w:val="24"/>
        </w:rPr>
        <w:t xml:space="preserve">. </w:t>
      </w:r>
      <w:r w:rsidRPr="00804628" w:rsidR="00804628">
        <w:rPr>
          <w:sz w:val="24"/>
          <w:szCs w:val="24"/>
        </w:rPr>
        <w:t>No comments were received.</w:t>
      </w:r>
    </w:p>
    <w:p w:rsidRPr="00D70EBF" w:rsidR="004268E5" w:rsidP="004268E5" w:rsidRDefault="004268E5">
      <w:pPr>
        <w:widowControl/>
        <w:rPr>
          <w:sz w:val="24"/>
          <w:szCs w:val="24"/>
          <w:highlight w:val="yellow"/>
        </w:rPr>
      </w:pPr>
    </w:p>
    <w:p w:rsidR="007866E3" w:rsidP="00B8234D" w:rsidRDefault="00630520">
      <w:pPr>
        <w:rPr>
          <w:sz w:val="24"/>
          <w:szCs w:val="24"/>
        </w:rPr>
      </w:pPr>
      <w:r w:rsidRPr="00626719">
        <w:rPr>
          <w:sz w:val="24"/>
          <w:szCs w:val="24"/>
        </w:rPr>
        <w:t xml:space="preserve">NMFS announced at the </w:t>
      </w:r>
      <w:r w:rsidRPr="00626719" w:rsidR="00626719">
        <w:rPr>
          <w:sz w:val="24"/>
          <w:szCs w:val="24"/>
        </w:rPr>
        <w:t>April 14-15, 2020</w:t>
      </w:r>
      <w:r w:rsidRPr="00626719">
        <w:rPr>
          <w:sz w:val="24"/>
          <w:szCs w:val="24"/>
        </w:rPr>
        <w:t xml:space="preserve">, and </w:t>
      </w:r>
      <w:r w:rsidRPr="00626719" w:rsidR="00626719">
        <w:rPr>
          <w:sz w:val="24"/>
          <w:szCs w:val="24"/>
        </w:rPr>
        <w:t>April 7-8, 2020</w:t>
      </w:r>
      <w:r w:rsidRPr="00626719">
        <w:rPr>
          <w:sz w:val="24"/>
          <w:szCs w:val="24"/>
        </w:rPr>
        <w:t>, N</w:t>
      </w:r>
      <w:r w:rsidRPr="00866671">
        <w:rPr>
          <w:sz w:val="24"/>
          <w:szCs w:val="24"/>
        </w:rPr>
        <w:t xml:space="preserve">ew England and Mid-Atlantic Fishery Management Council meetings, respectively, that this set of collection requirements was up for extension and solicited comments.  </w:t>
      </w:r>
      <w:r w:rsidRPr="00866671" w:rsidR="00234609">
        <w:rPr>
          <w:sz w:val="24"/>
          <w:szCs w:val="24"/>
        </w:rPr>
        <w:t>The</w:t>
      </w:r>
      <w:r w:rsidRPr="00866671">
        <w:rPr>
          <w:sz w:val="24"/>
          <w:szCs w:val="24"/>
        </w:rPr>
        <w:t xml:space="preserve"> same information that was presented by the Greater Atlantic Regional Administrator was also available as a </w:t>
      </w:r>
      <w:r w:rsidR="00626719">
        <w:rPr>
          <w:sz w:val="24"/>
          <w:szCs w:val="24"/>
        </w:rPr>
        <w:t xml:space="preserve">downloadable form </w:t>
      </w:r>
      <w:r w:rsidRPr="00866671">
        <w:rPr>
          <w:sz w:val="24"/>
          <w:szCs w:val="24"/>
        </w:rPr>
        <w:t xml:space="preserve">included with the meeting materials at both Council meetings.  A wide range of stakeholders attend these meetings, including the general public, scallop fishermen and fishermen in other fisheries, members of environmental organizations, and academia.  NMFS received no comments during </w:t>
      </w:r>
      <w:r w:rsidRPr="00866671" w:rsidR="00A677E9">
        <w:rPr>
          <w:sz w:val="24"/>
          <w:szCs w:val="24"/>
        </w:rPr>
        <w:t xml:space="preserve">either the Mid-Atlantic or </w:t>
      </w:r>
      <w:r w:rsidRPr="00866671">
        <w:rPr>
          <w:sz w:val="24"/>
          <w:szCs w:val="24"/>
        </w:rPr>
        <w:t>the New England Fishery Management Council meeting.</w:t>
      </w:r>
      <w:r>
        <w:rPr>
          <w:sz w:val="24"/>
          <w:szCs w:val="24"/>
        </w:rPr>
        <w:t xml:space="preserve">  </w:t>
      </w:r>
    </w:p>
    <w:p w:rsidR="00630520" w:rsidP="00B8234D" w:rsidRDefault="00630520">
      <w:pPr>
        <w:rPr>
          <w:b/>
          <w:bCs/>
          <w:sz w:val="24"/>
          <w:szCs w:val="24"/>
        </w:rPr>
      </w:pPr>
    </w:p>
    <w:p w:rsidRPr="00BD7237" w:rsidR="00684E0F" w:rsidP="00684E0F" w:rsidRDefault="00995D9B">
      <w:pPr>
        <w:pStyle w:val="ListParagraph"/>
        <w:tabs>
          <w:tab w:val="left" w:pos="360"/>
        </w:tabs>
        <w:spacing w:before="80"/>
        <w:ind w:left="0" w:firstLine="0"/>
        <w:rPr>
          <w:rFonts w:cs="Times New Roman"/>
          <w:b/>
          <w:szCs w:val="24"/>
        </w:rPr>
      </w:pPr>
      <w:r w:rsidRPr="00B23405">
        <w:rPr>
          <w:b/>
          <w:bCs/>
          <w:szCs w:val="24"/>
        </w:rPr>
        <w:t xml:space="preserve">9.  </w:t>
      </w:r>
      <w:r w:rsidRPr="00BD7237" w:rsidR="00684E0F">
        <w:rPr>
          <w:rFonts w:cs="Times New Roman"/>
          <w:b/>
          <w:szCs w:val="24"/>
        </w:rPr>
        <w:t>Explain any decision to provide any payment or gift to respondents, other than remuneration of contractors or grantees.</w:t>
      </w:r>
    </w:p>
    <w:p w:rsidRPr="00B23405" w:rsidR="00995D9B" w:rsidP="00B8234D" w:rsidRDefault="00995D9B">
      <w:pPr>
        <w:rPr>
          <w:sz w:val="24"/>
          <w:szCs w:val="24"/>
        </w:rPr>
      </w:pPr>
    </w:p>
    <w:p w:rsidRPr="00B23405" w:rsidR="00074551" w:rsidP="00074551" w:rsidRDefault="00074551">
      <w:pPr>
        <w:rPr>
          <w:sz w:val="24"/>
          <w:szCs w:val="24"/>
        </w:rPr>
      </w:pPr>
      <w:r w:rsidRPr="00B23405">
        <w:rPr>
          <w:sz w:val="24"/>
          <w:szCs w:val="24"/>
        </w:rPr>
        <w:t xml:space="preserve">No payment or gift </w:t>
      </w:r>
      <w:r w:rsidRPr="00B23405" w:rsidR="009F021C">
        <w:rPr>
          <w:sz w:val="24"/>
          <w:szCs w:val="24"/>
        </w:rPr>
        <w:t>would</w:t>
      </w:r>
      <w:r w:rsidRPr="00B23405">
        <w:rPr>
          <w:sz w:val="24"/>
          <w:szCs w:val="24"/>
        </w:rPr>
        <w:t xml:space="preserve"> be made to respondents.  </w:t>
      </w:r>
    </w:p>
    <w:p w:rsidRPr="00B23405" w:rsidR="00995D9B" w:rsidP="00B8234D" w:rsidRDefault="00995D9B">
      <w:pPr>
        <w:rPr>
          <w:sz w:val="24"/>
          <w:szCs w:val="24"/>
        </w:rPr>
      </w:pPr>
    </w:p>
    <w:p w:rsidRPr="00BD7237" w:rsidR="00684E0F" w:rsidP="00684E0F" w:rsidRDefault="00995D9B">
      <w:pPr>
        <w:pStyle w:val="ListParagraph"/>
        <w:tabs>
          <w:tab w:val="left" w:pos="360"/>
        </w:tabs>
        <w:spacing w:before="80"/>
        <w:ind w:left="0" w:firstLine="0"/>
        <w:rPr>
          <w:rFonts w:cs="Times New Roman"/>
          <w:b/>
          <w:szCs w:val="24"/>
        </w:rPr>
      </w:pPr>
      <w:r w:rsidRPr="00B23405">
        <w:rPr>
          <w:b/>
          <w:bCs/>
          <w:szCs w:val="24"/>
        </w:rPr>
        <w:t xml:space="preserve">10.  </w:t>
      </w:r>
      <w:r w:rsidRPr="00BD7237" w:rsidR="00684E0F">
        <w:rPr>
          <w:rFonts w:cs="Times New Roman"/>
          <w:b/>
          <w:szCs w:val="24"/>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Pr="00B23405" w:rsidR="00995D9B" w:rsidP="00B8234D" w:rsidRDefault="00995D9B">
      <w:pPr>
        <w:rPr>
          <w:sz w:val="24"/>
          <w:szCs w:val="24"/>
        </w:rPr>
      </w:pPr>
    </w:p>
    <w:p w:rsidRPr="00B23405" w:rsidR="00074551" w:rsidP="00074551" w:rsidRDefault="00074551">
      <w:pPr>
        <w:rPr>
          <w:sz w:val="24"/>
          <w:szCs w:val="24"/>
        </w:rPr>
      </w:pPr>
      <w:r w:rsidRPr="00B23405">
        <w:rPr>
          <w:sz w:val="24"/>
          <w:szCs w:val="24"/>
        </w:rPr>
        <w:t>A</w:t>
      </w:r>
      <w:r w:rsidR="007413D0">
        <w:rPr>
          <w:sz w:val="24"/>
          <w:szCs w:val="24"/>
        </w:rPr>
        <w:t>s stated on the forms, a</w:t>
      </w:r>
      <w:r w:rsidRPr="00B23405">
        <w:rPr>
          <w:sz w:val="24"/>
          <w:szCs w:val="24"/>
        </w:rPr>
        <w:t xml:space="preserve">ll data </w:t>
      </w:r>
      <w:r w:rsidRPr="00B23405" w:rsidR="009F021C">
        <w:rPr>
          <w:sz w:val="24"/>
          <w:szCs w:val="24"/>
        </w:rPr>
        <w:t>would</w:t>
      </w:r>
      <w:r w:rsidRPr="00B23405">
        <w:rPr>
          <w:sz w:val="24"/>
          <w:szCs w:val="24"/>
        </w:rPr>
        <w:t xml:space="preserve"> be kept confidential as required by Section 402(b) of the Magnuson-Stevens Act, </w:t>
      </w:r>
      <w:r w:rsidRPr="00B23405" w:rsidR="009F021C">
        <w:rPr>
          <w:sz w:val="24"/>
          <w:szCs w:val="24"/>
        </w:rPr>
        <w:t>would</w:t>
      </w:r>
      <w:r w:rsidRPr="00B23405">
        <w:rPr>
          <w:sz w:val="24"/>
          <w:szCs w:val="24"/>
        </w:rPr>
        <w:t xml:space="preserve"> be maintained in accordance with </w:t>
      </w:r>
      <w:hyperlink w:history="1" r:id="rId11">
        <w:r w:rsidRPr="00D74996">
          <w:rPr>
            <w:rStyle w:val="Hyperlink"/>
            <w:sz w:val="24"/>
            <w:szCs w:val="24"/>
          </w:rPr>
          <w:t>NOAA Administrative Order 216-100</w:t>
        </w:r>
      </w:hyperlink>
      <w:r w:rsidRPr="00B23405">
        <w:rPr>
          <w:sz w:val="24"/>
          <w:szCs w:val="24"/>
        </w:rPr>
        <w:t xml:space="preserve">, Confidentiality of Fisheries Statistics, and </w:t>
      </w:r>
      <w:r w:rsidRPr="00B23405" w:rsidR="009F021C">
        <w:rPr>
          <w:sz w:val="24"/>
          <w:szCs w:val="24"/>
        </w:rPr>
        <w:t>would</w:t>
      </w:r>
      <w:r w:rsidR="004053E4">
        <w:rPr>
          <w:sz w:val="24"/>
          <w:szCs w:val="24"/>
        </w:rPr>
        <w:t xml:space="preserve"> not be </w:t>
      </w:r>
      <w:r w:rsidRPr="00B23405" w:rsidR="004053E4">
        <w:rPr>
          <w:sz w:val="24"/>
          <w:szCs w:val="24"/>
        </w:rPr>
        <w:t>transferred</w:t>
      </w:r>
      <w:r w:rsidRPr="00B23405">
        <w:rPr>
          <w:sz w:val="24"/>
          <w:szCs w:val="24"/>
        </w:rPr>
        <w:t xml:space="preserve"> for public use except in aggregate statistical form (and without identifying the source of data, i.e.</w:t>
      </w:r>
      <w:r w:rsidR="00413F3E">
        <w:rPr>
          <w:sz w:val="24"/>
          <w:szCs w:val="24"/>
        </w:rPr>
        <w:t>,</w:t>
      </w:r>
      <w:r w:rsidRPr="00B23405">
        <w:rPr>
          <w:sz w:val="24"/>
          <w:szCs w:val="24"/>
        </w:rPr>
        <w:t xml:space="preserve"> vessel name, owner, etc.)</w:t>
      </w:r>
    </w:p>
    <w:p w:rsidRPr="00B23405" w:rsidR="00995D9B" w:rsidP="00B8234D" w:rsidRDefault="00995D9B">
      <w:pPr>
        <w:rPr>
          <w:sz w:val="24"/>
          <w:szCs w:val="24"/>
        </w:rPr>
      </w:pPr>
    </w:p>
    <w:p w:rsidRPr="00BD7237" w:rsidR="00684E0F" w:rsidP="00684E0F" w:rsidRDefault="00995D9B">
      <w:pPr>
        <w:pStyle w:val="ListParagraph"/>
        <w:tabs>
          <w:tab w:val="left" w:pos="360"/>
        </w:tabs>
        <w:spacing w:before="80"/>
        <w:ind w:left="0" w:firstLine="0"/>
        <w:rPr>
          <w:rFonts w:cs="Times New Roman"/>
          <w:b/>
          <w:szCs w:val="24"/>
        </w:rPr>
      </w:pPr>
      <w:r w:rsidRPr="00B23405">
        <w:rPr>
          <w:b/>
          <w:bCs/>
          <w:szCs w:val="24"/>
        </w:rPr>
        <w:t xml:space="preserve">11.  </w:t>
      </w:r>
      <w:r w:rsidRPr="00BD7237" w:rsidR="00684E0F">
        <w:rPr>
          <w:rFonts w:cs="Times New Roman"/>
          <w:b/>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B23405" w:rsidR="00995D9B" w:rsidP="00B8234D" w:rsidRDefault="00995D9B">
      <w:pPr>
        <w:rPr>
          <w:sz w:val="24"/>
          <w:szCs w:val="24"/>
        </w:rPr>
      </w:pPr>
    </w:p>
    <w:p w:rsidRPr="00856B90" w:rsidR="00127A6A" w:rsidP="00CE5215" w:rsidRDefault="00074551">
      <w:pPr>
        <w:rPr>
          <w:sz w:val="24"/>
          <w:szCs w:val="24"/>
        </w:rPr>
      </w:pPr>
      <w:r w:rsidRPr="00B23405">
        <w:rPr>
          <w:sz w:val="24"/>
          <w:szCs w:val="24"/>
        </w:rPr>
        <w:t>There are no questions of a sensitive nature.</w:t>
      </w:r>
    </w:p>
    <w:p w:rsidR="004B3952" w:rsidP="00CE5215" w:rsidRDefault="004B3952">
      <w:pPr>
        <w:rPr>
          <w:b/>
          <w:bCs/>
          <w:sz w:val="24"/>
          <w:szCs w:val="24"/>
        </w:rPr>
      </w:pPr>
    </w:p>
    <w:p w:rsidR="004B3952" w:rsidP="00CE5215" w:rsidRDefault="004B3952">
      <w:pPr>
        <w:rPr>
          <w:b/>
          <w:bCs/>
          <w:sz w:val="24"/>
          <w:szCs w:val="24"/>
        </w:rPr>
        <w:sectPr w:rsidR="004B3952" w:rsidSect="000C0EBA">
          <w:footerReference w:type="default" r:id="rId12"/>
          <w:footnotePr>
            <w:numRestart w:val="eachSect"/>
          </w:footnotePr>
          <w:endnotePr>
            <w:numFmt w:val="decimal"/>
          </w:endnotePr>
          <w:type w:val="continuous"/>
          <w:pgSz w:w="12240" w:h="15840"/>
          <w:pgMar w:top="900" w:right="1440" w:bottom="1080" w:left="1440" w:header="720" w:footer="720" w:gutter="0"/>
          <w:cols w:space="720"/>
        </w:sectPr>
      </w:pPr>
    </w:p>
    <w:p w:rsidRPr="00684E0F" w:rsidR="00CE5215" w:rsidP="00684E0F" w:rsidRDefault="00856B90">
      <w:pPr>
        <w:pStyle w:val="ListParagraph"/>
        <w:tabs>
          <w:tab w:val="left" w:pos="360"/>
        </w:tabs>
        <w:spacing w:before="80"/>
        <w:ind w:left="0" w:firstLine="0"/>
        <w:rPr>
          <w:rFonts w:cs="Times New Roman"/>
          <w:b/>
          <w:szCs w:val="24"/>
        </w:rPr>
      </w:pPr>
      <w:r>
        <w:rPr>
          <w:b/>
          <w:bCs/>
          <w:szCs w:val="24"/>
        </w:rPr>
        <w:lastRenderedPageBreak/>
        <w:t>12</w:t>
      </w:r>
      <w:r w:rsidR="004B3952">
        <w:rPr>
          <w:b/>
          <w:bCs/>
          <w:szCs w:val="24"/>
        </w:rPr>
        <w:t xml:space="preserve">. </w:t>
      </w:r>
      <w:r w:rsidRPr="00BD7237" w:rsidR="00684E0F">
        <w:rPr>
          <w:rFonts w:cs="Times New Roman"/>
          <w:b/>
          <w:szCs w:val="24"/>
        </w:rPr>
        <w:t>Provide estimates of the hour burden of the collection of information.</w:t>
      </w:r>
    </w:p>
    <w:p w:rsidRPr="00282F88" w:rsidR="00CE5215" w:rsidP="00CE5215" w:rsidRDefault="00CE5215">
      <w:pPr>
        <w:rPr>
          <w:sz w:val="24"/>
          <w:szCs w:val="24"/>
        </w:rPr>
      </w:pPr>
    </w:p>
    <w:p w:rsidR="00CE5215" w:rsidP="00CE5215" w:rsidRDefault="00CE5215">
      <w:pPr>
        <w:rPr>
          <w:sz w:val="24"/>
          <w:szCs w:val="24"/>
        </w:rPr>
      </w:pPr>
    </w:p>
    <w:p w:rsidR="00D72BBF" w:rsidP="009B12CC" w:rsidRDefault="00F11A43">
      <w:pPr>
        <w:rPr>
          <w:sz w:val="24"/>
          <w:szCs w:val="24"/>
        </w:rPr>
      </w:pPr>
      <w:r>
        <w:rPr>
          <w:sz w:val="24"/>
          <w:szCs w:val="24"/>
        </w:rPr>
        <w:t>NMFS</w:t>
      </w:r>
      <w:r w:rsidR="0064284C">
        <w:rPr>
          <w:sz w:val="24"/>
          <w:szCs w:val="24"/>
        </w:rPr>
        <w:t xml:space="preserve"> estimates that </w:t>
      </w:r>
      <w:r w:rsidR="00BC23DE">
        <w:rPr>
          <w:sz w:val="24"/>
          <w:szCs w:val="24"/>
        </w:rPr>
        <w:t xml:space="preserve">347 </w:t>
      </w:r>
      <w:r w:rsidR="0064284C">
        <w:rPr>
          <w:sz w:val="24"/>
          <w:szCs w:val="24"/>
        </w:rPr>
        <w:t>limited access vessels, 200 LAGC IFQ, and 100 LAGC NGOM vessels will fish</w:t>
      </w:r>
      <w:r w:rsidR="00443E7F">
        <w:rPr>
          <w:sz w:val="24"/>
          <w:szCs w:val="24"/>
        </w:rPr>
        <w:t xml:space="preserve"> for scallops each fishing year, for an unduplicated respondent number of </w:t>
      </w:r>
      <w:r w:rsidR="00BC23DE">
        <w:rPr>
          <w:sz w:val="24"/>
          <w:szCs w:val="24"/>
        </w:rPr>
        <w:t>647</w:t>
      </w:r>
      <w:r w:rsidR="00443E7F">
        <w:rPr>
          <w:sz w:val="24"/>
          <w:szCs w:val="24"/>
        </w:rPr>
        <w:t>.</w:t>
      </w:r>
      <w:r w:rsidR="0064284C">
        <w:rPr>
          <w:sz w:val="24"/>
          <w:szCs w:val="24"/>
        </w:rPr>
        <w:t xml:space="preserve">  </w:t>
      </w:r>
      <w:r w:rsidR="008649FE">
        <w:rPr>
          <w:sz w:val="24"/>
          <w:szCs w:val="24"/>
        </w:rPr>
        <w:t xml:space="preserve">LAGC </w:t>
      </w:r>
      <w:r w:rsidR="00683376">
        <w:rPr>
          <w:sz w:val="24"/>
          <w:szCs w:val="24"/>
        </w:rPr>
        <w:t xml:space="preserve">incidental catch </w:t>
      </w:r>
      <w:r w:rsidR="0064284C">
        <w:rPr>
          <w:sz w:val="24"/>
          <w:szCs w:val="24"/>
        </w:rPr>
        <w:t xml:space="preserve">vessels will operate only under other fisheries that have reporting requirements </w:t>
      </w:r>
      <w:r w:rsidR="006E1FA0">
        <w:rPr>
          <w:sz w:val="24"/>
          <w:szCs w:val="24"/>
        </w:rPr>
        <w:t>u</w:t>
      </w:r>
      <w:r w:rsidR="00DE288F">
        <w:rPr>
          <w:sz w:val="24"/>
          <w:szCs w:val="24"/>
        </w:rPr>
        <w:t xml:space="preserve">nder those other fishery FMPs.  </w:t>
      </w:r>
      <w:r w:rsidRPr="003F6271" w:rsidR="009B12CC">
        <w:rPr>
          <w:sz w:val="24"/>
          <w:szCs w:val="24"/>
        </w:rPr>
        <w:t>Tabl</w:t>
      </w:r>
      <w:r w:rsidR="009B12CC">
        <w:rPr>
          <w:sz w:val="24"/>
          <w:szCs w:val="24"/>
        </w:rPr>
        <w:t>e 1</w:t>
      </w:r>
      <w:r w:rsidRPr="003F6271" w:rsidR="009B12CC">
        <w:rPr>
          <w:sz w:val="24"/>
          <w:szCs w:val="24"/>
        </w:rPr>
        <w:t xml:space="preserve"> summarize</w:t>
      </w:r>
      <w:r w:rsidR="009B12CC">
        <w:rPr>
          <w:sz w:val="24"/>
          <w:szCs w:val="24"/>
        </w:rPr>
        <w:t>s</w:t>
      </w:r>
      <w:r w:rsidRPr="003F6271" w:rsidR="009B12CC">
        <w:rPr>
          <w:sz w:val="24"/>
          <w:szCs w:val="24"/>
        </w:rPr>
        <w:t xml:space="preserve"> the time burden of these reporting requirements. </w:t>
      </w:r>
    </w:p>
    <w:p w:rsidR="009E65E2" w:rsidP="00CE5215" w:rsidRDefault="009E65E2">
      <w:pPr>
        <w:rPr>
          <w:sz w:val="24"/>
          <w:szCs w:val="24"/>
        </w:rPr>
      </w:pPr>
    </w:p>
    <w:p w:rsidR="00000D69" w:rsidP="00CE5215" w:rsidRDefault="001D1DBB">
      <w:pPr>
        <w:rPr>
          <w:b/>
          <w:bCs/>
          <w:sz w:val="24"/>
          <w:szCs w:val="24"/>
        </w:rPr>
      </w:pPr>
      <w:r w:rsidRPr="00601E8F">
        <w:rPr>
          <w:b/>
          <w:bCs/>
          <w:sz w:val="24"/>
          <w:szCs w:val="24"/>
        </w:rPr>
        <w:t xml:space="preserve">Total annual </w:t>
      </w:r>
      <w:r>
        <w:rPr>
          <w:b/>
          <w:bCs/>
          <w:sz w:val="24"/>
          <w:szCs w:val="24"/>
        </w:rPr>
        <w:t xml:space="preserve">responses, </w:t>
      </w:r>
      <w:r w:rsidRPr="00601E8F">
        <w:rPr>
          <w:b/>
          <w:bCs/>
          <w:sz w:val="24"/>
          <w:szCs w:val="24"/>
        </w:rPr>
        <w:t>time burden and labor cost to respondents are</w:t>
      </w:r>
      <w:r>
        <w:rPr>
          <w:b/>
          <w:bCs/>
          <w:sz w:val="24"/>
          <w:szCs w:val="24"/>
        </w:rPr>
        <w:t xml:space="preserve"> </w:t>
      </w:r>
      <w:r w:rsidR="00FE53CC">
        <w:rPr>
          <w:b/>
          <w:bCs/>
          <w:sz w:val="24"/>
          <w:szCs w:val="24"/>
        </w:rPr>
        <w:t xml:space="preserve">804 responses, </w:t>
      </w:r>
      <w:r w:rsidR="00C633E2">
        <w:rPr>
          <w:b/>
          <w:bCs/>
          <w:sz w:val="24"/>
          <w:szCs w:val="24"/>
        </w:rPr>
        <w:t>980</w:t>
      </w:r>
      <w:r w:rsidR="00316CF9">
        <w:rPr>
          <w:b/>
          <w:bCs/>
          <w:sz w:val="24"/>
          <w:szCs w:val="24"/>
        </w:rPr>
        <w:t xml:space="preserve"> </w:t>
      </w:r>
      <w:proofErr w:type="spellStart"/>
      <w:r w:rsidRPr="005909D8">
        <w:rPr>
          <w:b/>
          <w:bCs/>
          <w:sz w:val="24"/>
          <w:szCs w:val="24"/>
        </w:rPr>
        <w:t>hr</w:t>
      </w:r>
      <w:r w:rsidR="00316CF9">
        <w:rPr>
          <w:b/>
          <w:bCs/>
          <w:sz w:val="24"/>
          <w:szCs w:val="24"/>
        </w:rPr>
        <w:t>s</w:t>
      </w:r>
      <w:proofErr w:type="spellEnd"/>
      <w:r w:rsidR="00FE53CC">
        <w:rPr>
          <w:b/>
          <w:bCs/>
          <w:sz w:val="24"/>
          <w:szCs w:val="24"/>
        </w:rPr>
        <w:t>,</w:t>
      </w:r>
      <w:r w:rsidRPr="005909D8">
        <w:rPr>
          <w:b/>
          <w:bCs/>
          <w:sz w:val="24"/>
          <w:szCs w:val="24"/>
        </w:rPr>
        <w:t xml:space="preserve"> and $</w:t>
      </w:r>
      <w:r w:rsidR="00FE53CC">
        <w:rPr>
          <w:b/>
          <w:bCs/>
          <w:sz w:val="24"/>
          <w:szCs w:val="24"/>
        </w:rPr>
        <w:t>23,932</w:t>
      </w:r>
      <w:r w:rsidRPr="005909D8">
        <w:rPr>
          <w:b/>
          <w:bCs/>
          <w:sz w:val="24"/>
          <w:szCs w:val="24"/>
        </w:rPr>
        <w:t>, respectively</w:t>
      </w:r>
      <w:r w:rsidRPr="00601E8F">
        <w:rPr>
          <w:b/>
          <w:bCs/>
          <w:sz w:val="24"/>
          <w:szCs w:val="24"/>
        </w:rPr>
        <w:t xml:space="preserve"> </w:t>
      </w:r>
      <w:r w:rsidRPr="00601E8F" w:rsidR="00601E8F">
        <w:rPr>
          <w:b/>
          <w:bCs/>
          <w:sz w:val="24"/>
          <w:szCs w:val="24"/>
        </w:rPr>
        <w:t>(see Table 1).</w:t>
      </w:r>
    </w:p>
    <w:p w:rsidR="00127A6A" w:rsidP="00CE5215" w:rsidRDefault="00127A6A">
      <w:pPr>
        <w:rPr>
          <w:b/>
          <w:bCs/>
          <w:sz w:val="24"/>
          <w:szCs w:val="24"/>
        </w:rPr>
      </w:pPr>
    </w:p>
    <w:tbl>
      <w:tblPr>
        <w:tblW w:w="12770" w:type="dxa"/>
        <w:tblInd w:w="118" w:type="dxa"/>
        <w:tblLook w:val="04A0" w:firstRow="1" w:lastRow="0" w:firstColumn="1" w:lastColumn="0" w:noHBand="0" w:noVBand="1"/>
      </w:tblPr>
      <w:tblGrid>
        <w:gridCol w:w="3230"/>
        <w:gridCol w:w="1350"/>
        <w:gridCol w:w="1080"/>
        <w:gridCol w:w="1080"/>
        <w:gridCol w:w="1080"/>
        <w:gridCol w:w="1170"/>
        <w:gridCol w:w="990"/>
        <w:gridCol w:w="1350"/>
        <w:gridCol w:w="1440"/>
      </w:tblGrid>
      <w:tr w:rsidRPr="00127A6A" w:rsidR="00F47756" w:rsidTr="00E93E1A">
        <w:trPr>
          <w:trHeight w:val="1125"/>
        </w:trPr>
        <w:tc>
          <w:tcPr>
            <w:tcW w:w="3230" w:type="dxa"/>
            <w:tcBorders>
              <w:top w:val="single" w:color="auto" w:sz="8" w:space="0"/>
              <w:left w:val="single" w:color="auto" w:sz="8" w:space="0"/>
              <w:bottom w:val="nil"/>
              <w:right w:val="single" w:color="000000" w:sz="8" w:space="0"/>
            </w:tcBorders>
            <w:shd w:val="clear" w:color="000000" w:fill="BDD7EE"/>
            <w:vAlign w:val="center"/>
            <w:hideMark/>
          </w:tcPr>
          <w:p w:rsidRPr="00127A6A" w:rsidR="00127A6A" w:rsidP="00127A6A" w:rsidRDefault="00127A6A">
            <w:pPr>
              <w:widowControl/>
              <w:autoSpaceDE/>
              <w:autoSpaceDN/>
              <w:adjustRightInd/>
              <w:jc w:val="center"/>
              <w:rPr>
                <w:rFonts w:ascii="Calibri" w:hAnsi="Calibri" w:cs="Calibri"/>
                <w:b/>
                <w:bCs/>
                <w:color w:val="000000"/>
                <w:sz w:val="16"/>
                <w:szCs w:val="16"/>
              </w:rPr>
            </w:pPr>
            <w:r w:rsidRPr="00127A6A">
              <w:rPr>
                <w:rFonts w:ascii="Calibri" w:hAnsi="Calibri" w:cs="Calibri"/>
                <w:b/>
                <w:bCs/>
                <w:color w:val="000000"/>
                <w:sz w:val="16"/>
                <w:szCs w:val="16"/>
              </w:rPr>
              <w:t>Information Collection</w:t>
            </w:r>
          </w:p>
        </w:tc>
        <w:tc>
          <w:tcPr>
            <w:tcW w:w="1350" w:type="dxa"/>
            <w:tcBorders>
              <w:top w:val="single" w:color="auto" w:sz="8" w:space="0"/>
              <w:left w:val="nil"/>
              <w:bottom w:val="nil"/>
              <w:right w:val="single" w:color="000000" w:sz="8" w:space="0"/>
            </w:tcBorders>
            <w:shd w:val="clear" w:color="000000" w:fill="BDD7EE"/>
            <w:vAlign w:val="center"/>
            <w:hideMark/>
          </w:tcPr>
          <w:p w:rsidRPr="00127A6A" w:rsidR="00127A6A" w:rsidP="00127A6A" w:rsidRDefault="00127A6A">
            <w:pPr>
              <w:widowControl/>
              <w:autoSpaceDE/>
              <w:autoSpaceDN/>
              <w:adjustRightInd/>
              <w:jc w:val="center"/>
              <w:rPr>
                <w:rFonts w:ascii="Calibri" w:hAnsi="Calibri" w:cs="Calibri"/>
                <w:b/>
                <w:bCs/>
                <w:color w:val="000000"/>
                <w:sz w:val="16"/>
                <w:szCs w:val="16"/>
              </w:rPr>
            </w:pPr>
            <w:r w:rsidRPr="00127A6A">
              <w:rPr>
                <w:rFonts w:ascii="Calibri" w:hAnsi="Calibri" w:cs="Calibri"/>
                <w:b/>
                <w:bCs/>
                <w:color w:val="000000"/>
                <w:sz w:val="16"/>
                <w:szCs w:val="16"/>
              </w:rPr>
              <w:t>Type of Respondent (e.g., Profession)</w:t>
            </w:r>
          </w:p>
        </w:tc>
        <w:tc>
          <w:tcPr>
            <w:tcW w:w="1080" w:type="dxa"/>
            <w:tcBorders>
              <w:top w:val="single" w:color="auto" w:sz="8" w:space="0"/>
              <w:left w:val="nil"/>
              <w:bottom w:val="nil"/>
              <w:right w:val="single" w:color="000000" w:sz="8" w:space="0"/>
            </w:tcBorders>
            <w:shd w:val="clear" w:color="000000" w:fill="BDD7EE"/>
            <w:vAlign w:val="center"/>
            <w:hideMark/>
          </w:tcPr>
          <w:p w:rsidRPr="00127A6A" w:rsidR="00127A6A" w:rsidP="00127A6A" w:rsidRDefault="00127A6A">
            <w:pPr>
              <w:widowControl/>
              <w:autoSpaceDE/>
              <w:autoSpaceDN/>
              <w:adjustRightInd/>
              <w:jc w:val="center"/>
              <w:rPr>
                <w:rFonts w:ascii="Calibri" w:hAnsi="Calibri" w:cs="Calibri"/>
                <w:b/>
                <w:bCs/>
                <w:color w:val="000000"/>
                <w:sz w:val="16"/>
                <w:szCs w:val="16"/>
              </w:rPr>
            </w:pPr>
            <w:r w:rsidRPr="00127A6A">
              <w:rPr>
                <w:rFonts w:ascii="Calibri" w:hAnsi="Calibri" w:cs="Calibri"/>
                <w:b/>
                <w:bCs/>
                <w:color w:val="000000"/>
                <w:sz w:val="16"/>
                <w:szCs w:val="16"/>
              </w:rPr>
              <w:t># of Respondents</w:t>
            </w:r>
          </w:p>
        </w:tc>
        <w:tc>
          <w:tcPr>
            <w:tcW w:w="1080" w:type="dxa"/>
            <w:tcBorders>
              <w:top w:val="single" w:color="auto" w:sz="8" w:space="0"/>
              <w:left w:val="nil"/>
              <w:bottom w:val="nil"/>
              <w:right w:val="single" w:color="auto" w:sz="8" w:space="0"/>
            </w:tcBorders>
            <w:shd w:val="clear" w:color="000000" w:fill="BDD7EE"/>
            <w:vAlign w:val="center"/>
            <w:hideMark/>
          </w:tcPr>
          <w:p w:rsidRPr="00127A6A" w:rsidR="00127A6A" w:rsidP="00127A6A" w:rsidRDefault="00127A6A">
            <w:pPr>
              <w:widowControl/>
              <w:autoSpaceDE/>
              <w:autoSpaceDN/>
              <w:adjustRightInd/>
              <w:jc w:val="center"/>
              <w:rPr>
                <w:rFonts w:ascii="Calibri" w:hAnsi="Calibri" w:cs="Calibri"/>
                <w:b/>
                <w:bCs/>
                <w:color w:val="000000"/>
                <w:sz w:val="16"/>
                <w:szCs w:val="16"/>
              </w:rPr>
            </w:pPr>
            <w:r w:rsidRPr="00127A6A">
              <w:rPr>
                <w:rFonts w:ascii="Calibri" w:hAnsi="Calibri" w:cs="Calibri"/>
                <w:b/>
                <w:bCs/>
                <w:color w:val="000000"/>
                <w:sz w:val="16"/>
                <w:szCs w:val="16"/>
              </w:rPr>
              <w:t>Annual # of Responses / Respondent</w:t>
            </w:r>
          </w:p>
        </w:tc>
        <w:tc>
          <w:tcPr>
            <w:tcW w:w="1080" w:type="dxa"/>
            <w:tcBorders>
              <w:top w:val="single" w:color="auto" w:sz="8" w:space="0"/>
              <w:left w:val="nil"/>
              <w:bottom w:val="nil"/>
              <w:right w:val="single" w:color="auto" w:sz="8" w:space="0"/>
            </w:tcBorders>
            <w:shd w:val="clear" w:color="000000" w:fill="BDD7EE"/>
            <w:vAlign w:val="center"/>
            <w:hideMark/>
          </w:tcPr>
          <w:p w:rsidRPr="00127A6A" w:rsidR="00127A6A" w:rsidP="00127A6A" w:rsidRDefault="00127A6A">
            <w:pPr>
              <w:widowControl/>
              <w:autoSpaceDE/>
              <w:autoSpaceDN/>
              <w:adjustRightInd/>
              <w:jc w:val="center"/>
              <w:rPr>
                <w:rFonts w:ascii="Calibri" w:hAnsi="Calibri" w:cs="Calibri"/>
                <w:b/>
                <w:bCs/>
                <w:color w:val="000000"/>
                <w:sz w:val="16"/>
                <w:szCs w:val="16"/>
              </w:rPr>
            </w:pPr>
            <w:r w:rsidRPr="00127A6A">
              <w:rPr>
                <w:rFonts w:ascii="Calibri" w:hAnsi="Calibri" w:cs="Calibri"/>
                <w:b/>
                <w:bCs/>
                <w:color w:val="000000"/>
                <w:sz w:val="16"/>
                <w:szCs w:val="16"/>
              </w:rPr>
              <w:t xml:space="preserve"> Total # of Annual Responses</w:t>
            </w:r>
          </w:p>
        </w:tc>
        <w:tc>
          <w:tcPr>
            <w:tcW w:w="1170" w:type="dxa"/>
            <w:tcBorders>
              <w:top w:val="single" w:color="auto" w:sz="8" w:space="0"/>
              <w:left w:val="nil"/>
              <w:bottom w:val="nil"/>
              <w:right w:val="single" w:color="auto" w:sz="8" w:space="0"/>
            </w:tcBorders>
            <w:shd w:val="clear" w:color="000000" w:fill="BDD7EE"/>
            <w:vAlign w:val="center"/>
            <w:hideMark/>
          </w:tcPr>
          <w:p w:rsidRPr="00127A6A" w:rsidR="00127A6A" w:rsidP="00127A6A" w:rsidRDefault="00127A6A">
            <w:pPr>
              <w:widowControl/>
              <w:autoSpaceDE/>
              <w:autoSpaceDN/>
              <w:adjustRightInd/>
              <w:jc w:val="center"/>
              <w:rPr>
                <w:rFonts w:ascii="Calibri" w:hAnsi="Calibri" w:cs="Calibri"/>
                <w:b/>
                <w:bCs/>
                <w:color w:val="000000"/>
                <w:sz w:val="16"/>
                <w:szCs w:val="16"/>
              </w:rPr>
            </w:pPr>
            <w:r w:rsidRPr="00127A6A">
              <w:rPr>
                <w:rFonts w:ascii="Calibri" w:hAnsi="Calibri" w:cs="Calibri"/>
                <w:b/>
                <w:bCs/>
                <w:color w:val="000000"/>
                <w:sz w:val="16"/>
                <w:szCs w:val="16"/>
              </w:rPr>
              <w:t xml:space="preserve">Burden </w:t>
            </w:r>
            <w:proofErr w:type="spellStart"/>
            <w:r w:rsidRPr="00127A6A">
              <w:rPr>
                <w:rFonts w:ascii="Calibri" w:hAnsi="Calibri" w:cs="Calibri"/>
                <w:b/>
                <w:bCs/>
                <w:color w:val="000000"/>
                <w:sz w:val="16"/>
                <w:szCs w:val="16"/>
              </w:rPr>
              <w:t>Hrs</w:t>
            </w:r>
            <w:proofErr w:type="spellEnd"/>
            <w:r w:rsidRPr="00127A6A">
              <w:rPr>
                <w:rFonts w:ascii="Calibri" w:hAnsi="Calibri" w:cs="Calibri"/>
                <w:b/>
                <w:bCs/>
                <w:color w:val="000000"/>
                <w:sz w:val="16"/>
                <w:szCs w:val="16"/>
              </w:rPr>
              <w:t xml:space="preserve"> / Response</w:t>
            </w:r>
          </w:p>
        </w:tc>
        <w:tc>
          <w:tcPr>
            <w:tcW w:w="990" w:type="dxa"/>
            <w:tcBorders>
              <w:top w:val="single" w:color="auto" w:sz="8" w:space="0"/>
              <w:left w:val="nil"/>
              <w:bottom w:val="nil"/>
              <w:right w:val="single" w:color="auto" w:sz="8" w:space="0"/>
            </w:tcBorders>
            <w:shd w:val="clear" w:color="000000" w:fill="BDD7EE"/>
            <w:vAlign w:val="center"/>
            <w:hideMark/>
          </w:tcPr>
          <w:p w:rsidRPr="00127A6A" w:rsidR="00127A6A" w:rsidP="00127A6A" w:rsidRDefault="00127A6A">
            <w:pPr>
              <w:widowControl/>
              <w:autoSpaceDE/>
              <w:autoSpaceDN/>
              <w:adjustRightInd/>
              <w:jc w:val="center"/>
              <w:rPr>
                <w:rFonts w:ascii="Calibri" w:hAnsi="Calibri" w:cs="Calibri"/>
                <w:b/>
                <w:bCs/>
                <w:color w:val="000000"/>
                <w:sz w:val="16"/>
                <w:szCs w:val="16"/>
              </w:rPr>
            </w:pPr>
            <w:r w:rsidRPr="00127A6A">
              <w:rPr>
                <w:rFonts w:ascii="Calibri" w:hAnsi="Calibri" w:cs="Calibri"/>
                <w:b/>
                <w:bCs/>
                <w:color w:val="000000"/>
                <w:sz w:val="16"/>
                <w:szCs w:val="16"/>
              </w:rPr>
              <w:t xml:space="preserve">Total Annual Burden </w:t>
            </w:r>
            <w:proofErr w:type="spellStart"/>
            <w:r w:rsidRPr="00127A6A">
              <w:rPr>
                <w:rFonts w:ascii="Calibri" w:hAnsi="Calibri" w:cs="Calibri"/>
                <w:b/>
                <w:bCs/>
                <w:color w:val="000000"/>
                <w:sz w:val="16"/>
                <w:szCs w:val="16"/>
              </w:rPr>
              <w:t>Hrs</w:t>
            </w:r>
            <w:proofErr w:type="spellEnd"/>
          </w:p>
        </w:tc>
        <w:tc>
          <w:tcPr>
            <w:tcW w:w="1350" w:type="dxa"/>
            <w:tcBorders>
              <w:top w:val="single" w:color="auto" w:sz="8" w:space="0"/>
              <w:left w:val="nil"/>
              <w:bottom w:val="nil"/>
              <w:right w:val="single" w:color="auto" w:sz="8" w:space="0"/>
            </w:tcBorders>
            <w:shd w:val="clear" w:color="000000" w:fill="BDD7EE"/>
            <w:vAlign w:val="center"/>
            <w:hideMark/>
          </w:tcPr>
          <w:p w:rsidRPr="00127A6A" w:rsidR="00127A6A" w:rsidP="00127A6A" w:rsidRDefault="00127A6A">
            <w:pPr>
              <w:widowControl/>
              <w:autoSpaceDE/>
              <w:autoSpaceDN/>
              <w:adjustRightInd/>
              <w:jc w:val="center"/>
              <w:rPr>
                <w:rFonts w:ascii="Calibri" w:hAnsi="Calibri" w:cs="Calibri"/>
                <w:b/>
                <w:bCs/>
                <w:color w:val="000000"/>
                <w:sz w:val="16"/>
                <w:szCs w:val="16"/>
              </w:rPr>
            </w:pPr>
            <w:r w:rsidRPr="00127A6A">
              <w:rPr>
                <w:rFonts w:ascii="Calibri" w:hAnsi="Calibri" w:cs="Calibri"/>
                <w:b/>
                <w:bCs/>
                <w:color w:val="000000"/>
                <w:sz w:val="16"/>
                <w:szCs w:val="16"/>
              </w:rPr>
              <w:t>Hourly Wage Rate  (for Type of Respondent)</w:t>
            </w:r>
          </w:p>
        </w:tc>
        <w:tc>
          <w:tcPr>
            <w:tcW w:w="1440" w:type="dxa"/>
            <w:tcBorders>
              <w:top w:val="single" w:color="auto" w:sz="8" w:space="0"/>
              <w:left w:val="nil"/>
              <w:bottom w:val="nil"/>
              <w:right w:val="single" w:color="auto" w:sz="8" w:space="0"/>
            </w:tcBorders>
            <w:shd w:val="clear" w:color="000000" w:fill="BDD7EE"/>
            <w:vAlign w:val="center"/>
            <w:hideMark/>
          </w:tcPr>
          <w:p w:rsidRPr="00127A6A" w:rsidR="00127A6A" w:rsidP="00127A6A" w:rsidRDefault="00127A6A">
            <w:pPr>
              <w:widowControl/>
              <w:autoSpaceDE/>
              <w:autoSpaceDN/>
              <w:adjustRightInd/>
              <w:jc w:val="center"/>
              <w:rPr>
                <w:rFonts w:ascii="Calibri" w:hAnsi="Calibri" w:cs="Calibri"/>
                <w:b/>
                <w:bCs/>
                <w:color w:val="000000"/>
                <w:sz w:val="16"/>
                <w:szCs w:val="16"/>
              </w:rPr>
            </w:pPr>
            <w:r w:rsidRPr="00127A6A">
              <w:rPr>
                <w:rFonts w:ascii="Calibri" w:hAnsi="Calibri" w:cs="Calibri"/>
                <w:b/>
                <w:bCs/>
                <w:color w:val="000000"/>
                <w:sz w:val="16"/>
                <w:szCs w:val="16"/>
              </w:rPr>
              <w:t>Total Annual Wage Burden Costs</w:t>
            </w:r>
          </w:p>
        </w:tc>
      </w:tr>
      <w:tr w:rsidRPr="00127A6A" w:rsidR="00E93E1A" w:rsidTr="00314A8B">
        <w:trPr>
          <w:trHeight w:val="450"/>
        </w:trPr>
        <w:tc>
          <w:tcPr>
            <w:tcW w:w="3230" w:type="dxa"/>
            <w:tcBorders>
              <w:top w:val="nil"/>
              <w:left w:val="single" w:color="auto" w:sz="8" w:space="0"/>
              <w:bottom w:val="single" w:color="auto" w:sz="4" w:space="0"/>
              <w:right w:val="single" w:color="auto" w:sz="4" w:space="0"/>
            </w:tcBorders>
            <w:shd w:val="clear" w:color="auto" w:fill="auto"/>
            <w:vAlign w:val="bottom"/>
          </w:tcPr>
          <w:p w:rsidRPr="00127A6A" w:rsidR="00E93E1A" w:rsidP="00127A6A" w:rsidRDefault="00E93E1A">
            <w:pPr>
              <w:widowControl/>
              <w:autoSpaceDE/>
              <w:autoSpaceDN/>
              <w:adjustRightInd/>
              <w:rPr>
                <w:rFonts w:ascii="Calibri" w:hAnsi="Calibri" w:cs="Calibri"/>
                <w:color w:val="000000"/>
                <w:sz w:val="16"/>
                <w:szCs w:val="16"/>
              </w:rPr>
            </w:pPr>
            <w:r w:rsidRPr="00127A6A">
              <w:rPr>
                <w:rFonts w:ascii="Calibri" w:hAnsi="Calibri" w:cs="Calibri"/>
                <w:color w:val="000000"/>
                <w:sz w:val="16"/>
                <w:szCs w:val="16"/>
              </w:rPr>
              <w:t>Trip Exchange Request</w:t>
            </w:r>
            <w:r w:rsidR="002B1FED">
              <w:rPr>
                <w:rFonts w:ascii="Calibri" w:hAnsi="Calibri" w:cs="Calibri"/>
                <w:color w:val="000000"/>
                <w:sz w:val="16"/>
                <w:szCs w:val="16"/>
              </w:rPr>
              <w:t xml:space="preserve"> (full time &amp; part time)</w:t>
            </w:r>
          </w:p>
        </w:tc>
        <w:tc>
          <w:tcPr>
            <w:tcW w:w="1350" w:type="dxa"/>
            <w:tcBorders>
              <w:top w:val="nil"/>
              <w:left w:val="nil"/>
              <w:bottom w:val="single" w:color="auto" w:sz="4" w:space="0"/>
              <w:right w:val="single" w:color="auto" w:sz="4" w:space="0"/>
            </w:tcBorders>
            <w:shd w:val="clear" w:color="auto" w:fill="auto"/>
            <w:vAlign w:val="bottom"/>
          </w:tcPr>
          <w:p w:rsidRPr="000B42F3" w:rsidR="00E93E1A" w:rsidP="00E93E1A" w:rsidRDefault="00E93E1A">
            <w:pPr>
              <w:widowControl/>
              <w:autoSpaceDE/>
              <w:autoSpaceDN/>
              <w:adjustRightInd/>
              <w:jc w:val="center"/>
              <w:rPr>
                <w:rFonts w:ascii="Calibri" w:hAnsi="Calibri" w:cs="Calibri"/>
                <w:color w:val="000000"/>
                <w:sz w:val="16"/>
                <w:szCs w:val="16"/>
              </w:rPr>
            </w:pPr>
            <w:r w:rsidRPr="000B42F3">
              <w:rPr>
                <w:rFonts w:ascii="Calibri" w:hAnsi="Calibri" w:cs="Calibri"/>
                <w:color w:val="000000"/>
                <w:sz w:val="16"/>
                <w:szCs w:val="16"/>
              </w:rPr>
              <w:t>45-1011</w:t>
            </w:r>
          </w:p>
        </w:tc>
        <w:tc>
          <w:tcPr>
            <w:tcW w:w="1080" w:type="dxa"/>
            <w:tcBorders>
              <w:top w:val="nil"/>
              <w:left w:val="nil"/>
              <w:bottom w:val="single" w:color="auto" w:sz="4" w:space="0"/>
              <w:right w:val="single" w:color="auto" w:sz="4" w:space="0"/>
            </w:tcBorders>
            <w:shd w:val="clear" w:color="auto" w:fill="auto"/>
            <w:vAlign w:val="bottom"/>
          </w:tcPr>
          <w:p w:rsidRPr="00127A6A" w:rsidR="00E93E1A" w:rsidP="00127A6A" w:rsidRDefault="00E93E1A">
            <w:pPr>
              <w:widowControl/>
              <w:autoSpaceDE/>
              <w:autoSpaceDN/>
              <w:adjustRightInd/>
              <w:jc w:val="right"/>
              <w:rPr>
                <w:rFonts w:ascii="Calibri" w:hAnsi="Calibri" w:cs="Calibri"/>
                <w:color w:val="000000"/>
                <w:sz w:val="16"/>
                <w:szCs w:val="16"/>
              </w:rPr>
            </w:pPr>
            <w:r w:rsidRPr="00127A6A">
              <w:rPr>
                <w:rFonts w:ascii="Calibri" w:hAnsi="Calibri" w:cs="Calibri"/>
                <w:color w:val="000000"/>
                <w:sz w:val="16"/>
                <w:szCs w:val="16"/>
              </w:rPr>
              <w:t>180</w:t>
            </w:r>
          </w:p>
        </w:tc>
        <w:tc>
          <w:tcPr>
            <w:tcW w:w="1080" w:type="dxa"/>
            <w:tcBorders>
              <w:top w:val="nil"/>
              <w:left w:val="nil"/>
              <w:bottom w:val="single" w:color="auto" w:sz="4" w:space="0"/>
              <w:right w:val="single" w:color="auto" w:sz="4" w:space="0"/>
            </w:tcBorders>
            <w:shd w:val="clear" w:color="auto" w:fill="auto"/>
            <w:vAlign w:val="bottom"/>
          </w:tcPr>
          <w:p w:rsidRPr="00127A6A" w:rsidR="00E93E1A" w:rsidP="00127A6A" w:rsidRDefault="00E93E1A">
            <w:pPr>
              <w:widowControl/>
              <w:autoSpaceDE/>
              <w:autoSpaceDN/>
              <w:adjustRightInd/>
              <w:jc w:val="right"/>
              <w:rPr>
                <w:rFonts w:ascii="Calibri" w:hAnsi="Calibri" w:cs="Calibri"/>
                <w:color w:val="000000"/>
                <w:sz w:val="16"/>
                <w:szCs w:val="16"/>
              </w:rPr>
            </w:pPr>
            <w:r w:rsidRPr="00127A6A">
              <w:rPr>
                <w:rFonts w:ascii="Calibri" w:hAnsi="Calibri" w:cs="Calibri"/>
                <w:color w:val="000000"/>
                <w:sz w:val="16"/>
                <w:szCs w:val="16"/>
              </w:rPr>
              <w:t>1</w:t>
            </w:r>
          </w:p>
        </w:tc>
        <w:tc>
          <w:tcPr>
            <w:tcW w:w="1080" w:type="dxa"/>
            <w:tcBorders>
              <w:top w:val="nil"/>
              <w:left w:val="nil"/>
              <w:bottom w:val="single" w:color="auto" w:sz="4" w:space="0"/>
              <w:right w:val="single" w:color="auto" w:sz="4" w:space="0"/>
            </w:tcBorders>
            <w:shd w:val="clear" w:color="auto" w:fill="auto"/>
            <w:vAlign w:val="bottom"/>
          </w:tcPr>
          <w:p w:rsidRPr="00127A6A" w:rsidR="00E93E1A" w:rsidP="00F47756" w:rsidRDefault="00E93E1A">
            <w:pPr>
              <w:widowControl/>
              <w:autoSpaceDE/>
              <w:autoSpaceDN/>
              <w:adjustRightInd/>
              <w:jc w:val="right"/>
              <w:rPr>
                <w:rFonts w:ascii="Calibri" w:hAnsi="Calibri" w:cs="Calibri"/>
                <w:color w:val="000000"/>
                <w:sz w:val="16"/>
                <w:szCs w:val="16"/>
              </w:rPr>
            </w:pPr>
            <w:r w:rsidRPr="00127A6A">
              <w:rPr>
                <w:rFonts w:ascii="Calibri" w:hAnsi="Calibri" w:cs="Calibri"/>
                <w:color w:val="000000"/>
                <w:sz w:val="16"/>
                <w:szCs w:val="16"/>
              </w:rPr>
              <w:t xml:space="preserve">  180 </w:t>
            </w:r>
          </w:p>
        </w:tc>
        <w:tc>
          <w:tcPr>
            <w:tcW w:w="1170" w:type="dxa"/>
            <w:tcBorders>
              <w:top w:val="nil"/>
              <w:left w:val="nil"/>
              <w:bottom w:val="single" w:color="auto" w:sz="4" w:space="0"/>
              <w:right w:val="single" w:color="auto" w:sz="4" w:space="0"/>
            </w:tcBorders>
            <w:shd w:val="clear" w:color="auto" w:fill="auto"/>
            <w:vAlign w:val="bottom"/>
          </w:tcPr>
          <w:p w:rsidRPr="00127A6A" w:rsidR="00E93E1A" w:rsidP="00127A6A" w:rsidRDefault="00E93E1A">
            <w:pPr>
              <w:widowControl/>
              <w:autoSpaceDE/>
              <w:autoSpaceDN/>
              <w:adjustRightInd/>
              <w:jc w:val="right"/>
              <w:rPr>
                <w:rFonts w:ascii="Calibri" w:hAnsi="Calibri" w:cs="Calibri"/>
                <w:color w:val="000000"/>
                <w:sz w:val="16"/>
                <w:szCs w:val="16"/>
              </w:rPr>
            </w:pPr>
            <w:r w:rsidRPr="00127A6A">
              <w:rPr>
                <w:rFonts w:ascii="Calibri" w:hAnsi="Calibri" w:cs="Calibri"/>
                <w:color w:val="000000"/>
                <w:sz w:val="16"/>
                <w:szCs w:val="16"/>
              </w:rPr>
              <w:t>15 min</w:t>
            </w:r>
          </w:p>
        </w:tc>
        <w:tc>
          <w:tcPr>
            <w:tcW w:w="990" w:type="dxa"/>
            <w:tcBorders>
              <w:top w:val="nil"/>
              <w:left w:val="nil"/>
              <w:bottom w:val="single" w:color="auto" w:sz="4" w:space="0"/>
              <w:right w:val="single" w:color="auto" w:sz="4" w:space="0"/>
            </w:tcBorders>
            <w:shd w:val="clear" w:color="auto" w:fill="auto"/>
            <w:vAlign w:val="bottom"/>
          </w:tcPr>
          <w:p w:rsidRPr="00127A6A" w:rsidR="00E93E1A" w:rsidP="00127A6A" w:rsidRDefault="00E93E1A">
            <w:pPr>
              <w:widowControl/>
              <w:autoSpaceDE/>
              <w:autoSpaceDN/>
              <w:adjustRightInd/>
              <w:jc w:val="right"/>
              <w:rPr>
                <w:rFonts w:ascii="Calibri" w:hAnsi="Calibri" w:cs="Calibri"/>
                <w:color w:val="000000"/>
                <w:sz w:val="16"/>
                <w:szCs w:val="16"/>
              </w:rPr>
            </w:pPr>
            <w:r w:rsidRPr="00127A6A">
              <w:rPr>
                <w:rFonts w:ascii="Calibri" w:hAnsi="Calibri" w:cs="Calibri"/>
                <w:color w:val="000000"/>
                <w:sz w:val="16"/>
                <w:szCs w:val="16"/>
              </w:rPr>
              <w:t>45</w:t>
            </w:r>
          </w:p>
        </w:tc>
        <w:tc>
          <w:tcPr>
            <w:tcW w:w="1350" w:type="dxa"/>
            <w:tcBorders>
              <w:top w:val="nil"/>
              <w:left w:val="nil"/>
              <w:bottom w:val="single" w:color="auto" w:sz="4" w:space="0"/>
              <w:right w:val="single" w:color="auto" w:sz="4" w:space="0"/>
            </w:tcBorders>
            <w:shd w:val="clear" w:color="auto" w:fill="FFFFFF"/>
            <w:vAlign w:val="bottom"/>
          </w:tcPr>
          <w:p w:rsidRPr="000B42F3" w:rsidR="00E93E1A" w:rsidP="00127A6A" w:rsidRDefault="00E93E1A">
            <w:pPr>
              <w:widowControl/>
              <w:autoSpaceDE/>
              <w:autoSpaceDN/>
              <w:adjustRightInd/>
              <w:jc w:val="center"/>
              <w:rPr>
                <w:rFonts w:ascii="Calibri" w:hAnsi="Calibri" w:cs="Calibri"/>
                <w:color w:val="000000"/>
                <w:sz w:val="16"/>
                <w:szCs w:val="16"/>
              </w:rPr>
            </w:pPr>
            <w:r w:rsidRPr="000B42F3">
              <w:rPr>
                <w:rFonts w:ascii="Calibri" w:hAnsi="Calibri" w:cs="Calibri"/>
                <w:color w:val="000000"/>
                <w:sz w:val="16"/>
                <w:szCs w:val="16"/>
              </w:rPr>
              <w:t>$24.42 </w:t>
            </w:r>
          </w:p>
        </w:tc>
        <w:tc>
          <w:tcPr>
            <w:tcW w:w="1440" w:type="dxa"/>
            <w:tcBorders>
              <w:top w:val="nil"/>
              <w:left w:val="nil"/>
              <w:bottom w:val="single" w:color="auto" w:sz="4" w:space="0"/>
              <w:right w:val="single" w:color="auto" w:sz="8" w:space="0"/>
            </w:tcBorders>
            <w:shd w:val="clear" w:color="auto" w:fill="FFFFFF"/>
            <w:vAlign w:val="bottom"/>
          </w:tcPr>
          <w:p w:rsidRPr="000B42F3" w:rsidR="00E93E1A" w:rsidP="00127A6A" w:rsidRDefault="00E93E1A">
            <w:pPr>
              <w:widowControl/>
              <w:autoSpaceDE/>
              <w:autoSpaceDN/>
              <w:adjustRightInd/>
              <w:jc w:val="center"/>
              <w:rPr>
                <w:rFonts w:ascii="Calibri" w:hAnsi="Calibri" w:cs="Calibri"/>
                <w:color w:val="000000"/>
                <w:sz w:val="16"/>
                <w:szCs w:val="16"/>
              </w:rPr>
            </w:pPr>
            <w:r w:rsidRPr="000B42F3">
              <w:rPr>
                <w:rFonts w:ascii="Calibri" w:hAnsi="Calibri" w:cs="Calibri"/>
                <w:color w:val="000000"/>
                <w:sz w:val="16"/>
                <w:szCs w:val="16"/>
              </w:rPr>
              <w:t> $1,098.9</w:t>
            </w:r>
          </w:p>
        </w:tc>
      </w:tr>
      <w:tr w:rsidRPr="00127A6A" w:rsidR="00E93E1A" w:rsidTr="00314A8B">
        <w:trPr>
          <w:trHeight w:val="300"/>
        </w:trPr>
        <w:tc>
          <w:tcPr>
            <w:tcW w:w="3230" w:type="dxa"/>
            <w:tcBorders>
              <w:top w:val="nil"/>
              <w:left w:val="single" w:color="auto" w:sz="8" w:space="0"/>
              <w:bottom w:val="single" w:color="auto" w:sz="4" w:space="0"/>
              <w:right w:val="single" w:color="auto" w:sz="4" w:space="0"/>
            </w:tcBorders>
            <w:shd w:val="clear" w:color="auto" w:fill="auto"/>
            <w:vAlign w:val="bottom"/>
          </w:tcPr>
          <w:p w:rsidRPr="00127A6A" w:rsidR="00E93E1A" w:rsidP="00127A6A" w:rsidRDefault="00E93E1A">
            <w:pPr>
              <w:widowControl/>
              <w:autoSpaceDE/>
              <w:autoSpaceDN/>
              <w:adjustRightInd/>
              <w:rPr>
                <w:rFonts w:ascii="Calibri" w:hAnsi="Calibri" w:cs="Calibri"/>
                <w:color w:val="000000"/>
                <w:sz w:val="16"/>
                <w:szCs w:val="16"/>
              </w:rPr>
            </w:pPr>
            <w:r w:rsidRPr="00127A6A">
              <w:rPr>
                <w:rFonts w:ascii="Calibri" w:hAnsi="Calibri" w:cs="Calibri"/>
                <w:color w:val="000000"/>
                <w:sz w:val="16"/>
                <w:szCs w:val="16"/>
              </w:rPr>
              <w:t>Quota Transfer Application (temporary &amp; permanent)</w:t>
            </w:r>
          </w:p>
        </w:tc>
        <w:tc>
          <w:tcPr>
            <w:tcW w:w="1350" w:type="dxa"/>
            <w:tcBorders>
              <w:top w:val="nil"/>
              <w:left w:val="nil"/>
              <w:bottom w:val="single" w:color="auto" w:sz="4" w:space="0"/>
              <w:right w:val="single" w:color="auto" w:sz="4" w:space="0"/>
            </w:tcBorders>
            <w:shd w:val="clear" w:color="auto" w:fill="auto"/>
            <w:vAlign w:val="bottom"/>
          </w:tcPr>
          <w:p w:rsidRPr="000B42F3" w:rsidR="00E93E1A" w:rsidP="00E93E1A" w:rsidRDefault="00E93E1A">
            <w:pPr>
              <w:widowControl/>
              <w:autoSpaceDE/>
              <w:autoSpaceDN/>
              <w:adjustRightInd/>
              <w:jc w:val="center"/>
              <w:rPr>
                <w:rFonts w:ascii="Calibri" w:hAnsi="Calibri" w:cs="Calibri"/>
                <w:color w:val="000000"/>
                <w:sz w:val="16"/>
                <w:szCs w:val="16"/>
              </w:rPr>
            </w:pPr>
            <w:r w:rsidRPr="000B42F3">
              <w:rPr>
                <w:rFonts w:ascii="Calibri" w:hAnsi="Calibri" w:cs="Calibri"/>
                <w:color w:val="000000"/>
                <w:sz w:val="16"/>
                <w:szCs w:val="16"/>
              </w:rPr>
              <w:t>45-1011</w:t>
            </w:r>
          </w:p>
        </w:tc>
        <w:tc>
          <w:tcPr>
            <w:tcW w:w="1080" w:type="dxa"/>
            <w:tcBorders>
              <w:top w:val="nil"/>
              <w:left w:val="nil"/>
              <w:bottom w:val="single" w:color="auto" w:sz="4" w:space="0"/>
              <w:right w:val="single" w:color="auto" w:sz="4" w:space="0"/>
            </w:tcBorders>
            <w:shd w:val="clear" w:color="auto" w:fill="auto"/>
            <w:vAlign w:val="bottom"/>
          </w:tcPr>
          <w:p w:rsidRPr="00127A6A" w:rsidR="00E93E1A" w:rsidP="00127A6A" w:rsidRDefault="00E93E1A">
            <w:pPr>
              <w:widowControl/>
              <w:autoSpaceDE/>
              <w:autoSpaceDN/>
              <w:adjustRightInd/>
              <w:jc w:val="right"/>
              <w:rPr>
                <w:rFonts w:ascii="Calibri" w:hAnsi="Calibri" w:cs="Calibri"/>
                <w:color w:val="000000"/>
                <w:sz w:val="16"/>
                <w:szCs w:val="16"/>
              </w:rPr>
            </w:pPr>
            <w:r w:rsidRPr="00127A6A">
              <w:rPr>
                <w:rFonts w:ascii="Calibri" w:hAnsi="Calibri" w:cs="Calibri"/>
                <w:color w:val="000000"/>
                <w:sz w:val="16"/>
                <w:szCs w:val="16"/>
              </w:rPr>
              <w:t>420</w:t>
            </w:r>
          </w:p>
        </w:tc>
        <w:tc>
          <w:tcPr>
            <w:tcW w:w="1080" w:type="dxa"/>
            <w:tcBorders>
              <w:top w:val="nil"/>
              <w:left w:val="nil"/>
              <w:bottom w:val="single" w:color="auto" w:sz="4" w:space="0"/>
              <w:right w:val="single" w:color="auto" w:sz="4" w:space="0"/>
            </w:tcBorders>
            <w:shd w:val="clear" w:color="auto" w:fill="auto"/>
            <w:vAlign w:val="bottom"/>
          </w:tcPr>
          <w:p w:rsidRPr="00127A6A" w:rsidR="00E93E1A" w:rsidP="00127A6A" w:rsidRDefault="00E93E1A">
            <w:pPr>
              <w:widowControl/>
              <w:autoSpaceDE/>
              <w:autoSpaceDN/>
              <w:adjustRightInd/>
              <w:jc w:val="right"/>
              <w:rPr>
                <w:rFonts w:ascii="Calibri" w:hAnsi="Calibri" w:cs="Calibri"/>
                <w:color w:val="000000"/>
                <w:sz w:val="16"/>
                <w:szCs w:val="16"/>
              </w:rPr>
            </w:pPr>
            <w:r w:rsidRPr="00127A6A">
              <w:rPr>
                <w:rFonts w:ascii="Calibri" w:hAnsi="Calibri" w:cs="Calibri"/>
                <w:color w:val="000000"/>
                <w:sz w:val="16"/>
                <w:szCs w:val="16"/>
              </w:rPr>
              <w:t>1</w:t>
            </w:r>
          </w:p>
        </w:tc>
        <w:tc>
          <w:tcPr>
            <w:tcW w:w="1080" w:type="dxa"/>
            <w:tcBorders>
              <w:top w:val="nil"/>
              <w:left w:val="nil"/>
              <w:bottom w:val="single" w:color="auto" w:sz="4" w:space="0"/>
              <w:right w:val="single" w:color="auto" w:sz="4" w:space="0"/>
            </w:tcBorders>
            <w:shd w:val="clear" w:color="auto" w:fill="auto"/>
            <w:vAlign w:val="bottom"/>
          </w:tcPr>
          <w:p w:rsidRPr="00127A6A" w:rsidR="00E93E1A" w:rsidP="00127A6A" w:rsidRDefault="00E93E1A">
            <w:pPr>
              <w:widowControl/>
              <w:autoSpaceDE/>
              <w:autoSpaceDN/>
              <w:adjustRightInd/>
              <w:jc w:val="right"/>
              <w:rPr>
                <w:rFonts w:ascii="Calibri" w:hAnsi="Calibri" w:cs="Calibri"/>
                <w:color w:val="000000"/>
                <w:sz w:val="16"/>
                <w:szCs w:val="16"/>
              </w:rPr>
            </w:pPr>
            <w:r w:rsidRPr="00127A6A">
              <w:rPr>
                <w:rFonts w:ascii="Calibri" w:hAnsi="Calibri" w:cs="Calibri"/>
                <w:color w:val="000000"/>
                <w:sz w:val="16"/>
                <w:szCs w:val="16"/>
              </w:rPr>
              <w:t xml:space="preserve"> 420 </w:t>
            </w:r>
          </w:p>
        </w:tc>
        <w:tc>
          <w:tcPr>
            <w:tcW w:w="1170" w:type="dxa"/>
            <w:tcBorders>
              <w:top w:val="nil"/>
              <w:left w:val="nil"/>
              <w:bottom w:val="single" w:color="auto" w:sz="4" w:space="0"/>
              <w:right w:val="single" w:color="auto" w:sz="4" w:space="0"/>
            </w:tcBorders>
            <w:shd w:val="clear" w:color="auto" w:fill="auto"/>
            <w:vAlign w:val="bottom"/>
          </w:tcPr>
          <w:p w:rsidRPr="00127A6A" w:rsidR="00E93E1A" w:rsidP="00127A6A" w:rsidRDefault="00C633E2">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w:t>
            </w:r>
            <w:r w:rsidRPr="00127A6A" w:rsidR="00E93E1A">
              <w:rPr>
                <w:rFonts w:ascii="Calibri" w:hAnsi="Calibri" w:cs="Calibri"/>
                <w:color w:val="000000"/>
                <w:sz w:val="16"/>
                <w:szCs w:val="16"/>
              </w:rPr>
              <w:t xml:space="preserve"> min</w:t>
            </w:r>
          </w:p>
        </w:tc>
        <w:tc>
          <w:tcPr>
            <w:tcW w:w="990" w:type="dxa"/>
            <w:tcBorders>
              <w:top w:val="nil"/>
              <w:left w:val="nil"/>
              <w:bottom w:val="single" w:color="auto" w:sz="4" w:space="0"/>
              <w:right w:val="single" w:color="auto" w:sz="4" w:space="0"/>
            </w:tcBorders>
            <w:shd w:val="clear" w:color="auto" w:fill="auto"/>
            <w:vAlign w:val="bottom"/>
          </w:tcPr>
          <w:p w:rsidRPr="00127A6A" w:rsidR="00E93E1A" w:rsidP="00127A6A" w:rsidRDefault="00C633E2">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35</w:t>
            </w:r>
          </w:p>
        </w:tc>
        <w:tc>
          <w:tcPr>
            <w:tcW w:w="1350" w:type="dxa"/>
            <w:tcBorders>
              <w:top w:val="nil"/>
              <w:left w:val="nil"/>
              <w:bottom w:val="single" w:color="auto" w:sz="4" w:space="0"/>
              <w:right w:val="single" w:color="auto" w:sz="4" w:space="0"/>
            </w:tcBorders>
            <w:shd w:val="clear" w:color="auto" w:fill="FFFFFF"/>
            <w:vAlign w:val="bottom"/>
          </w:tcPr>
          <w:p w:rsidRPr="000B42F3" w:rsidR="00E93E1A" w:rsidP="00127A6A" w:rsidRDefault="00E93E1A">
            <w:pPr>
              <w:widowControl/>
              <w:autoSpaceDE/>
              <w:autoSpaceDN/>
              <w:adjustRightInd/>
              <w:jc w:val="center"/>
              <w:rPr>
                <w:rFonts w:ascii="Calibri" w:hAnsi="Calibri" w:cs="Calibri"/>
                <w:color w:val="000000"/>
                <w:sz w:val="16"/>
                <w:szCs w:val="16"/>
              </w:rPr>
            </w:pPr>
            <w:r w:rsidRPr="000B42F3">
              <w:rPr>
                <w:rFonts w:ascii="Calibri" w:hAnsi="Calibri" w:cs="Calibri"/>
                <w:color w:val="000000"/>
                <w:sz w:val="16"/>
                <w:szCs w:val="16"/>
              </w:rPr>
              <w:t> $24.42 </w:t>
            </w:r>
          </w:p>
        </w:tc>
        <w:tc>
          <w:tcPr>
            <w:tcW w:w="1440" w:type="dxa"/>
            <w:tcBorders>
              <w:top w:val="nil"/>
              <w:left w:val="nil"/>
              <w:bottom w:val="single" w:color="auto" w:sz="4" w:space="0"/>
              <w:right w:val="single" w:color="auto" w:sz="8" w:space="0"/>
            </w:tcBorders>
            <w:shd w:val="clear" w:color="auto" w:fill="FFFFFF"/>
            <w:vAlign w:val="bottom"/>
          </w:tcPr>
          <w:p w:rsidRPr="000B42F3" w:rsidR="00E93E1A" w:rsidP="00127A6A" w:rsidRDefault="00E93E1A">
            <w:pPr>
              <w:widowControl/>
              <w:autoSpaceDE/>
              <w:autoSpaceDN/>
              <w:adjustRightInd/>
              <w:jc w:val="center"/>
              <w:rPr>
                <w:rFonts w:ascii="Calibri" w:hAnsi="Calibri" w:cs="Calibri"/>
                <w:color w:val="000000"/>
                <w:sz w:val="16"/>
                <w:szCs w:val="16"/>
              </w:rPr>
            </w:pPr>
            <w:r w:rsidRPr="000B42F3">
              <w:rPr>
                <w:rFonts w:ascii="Calibri" w:hAnsi="Calibri" w:cs="Calibri"/>
                <w:color w:val="000000"/>
                <w:sz w:val="16"/>
                <w:szCs w:val="16"/>
              </w:rPr>
              <w:t> $854.7</w:t>
            </w:r>
          </w:p>
        </w:tc>
      </w:tr>
      <w:tr w:rsidRPr="00127A6A" w:rsidR="00E93E1A" w:rsidTr="00314A8B">
        <w:trPr>
          <w:trHeight w:val="350"/>
        </w:trPr>
        <w:tc>
          <w:tcPr>
            <w:tcW w:w="3230" w:type="dxa"/>
            <w:tcBorders>
              <w:top w:val="nil"/>
              <w:left w:val="single" w:color="auto" w:sz="8" w:space="0"/>
              <w:bottom w:val="single" w:color="auto" w:sz="4" w:space="0"/>
              <w:right w:val="single" w:color="auto" w:sz="4" w:space="0"/>
            </w:tcBorders>
            <w:shd w:val="clear" w:color="auto" w:fill="auto"/>
            <w:vAlign w:val="bottom"/>
          </w:tcPr>
          <w:p w:rsidRPr="00127A6A" w:rsidR="00E93E1A" w:rsidP="00127A6A" w:rsidRDefault="00E93E1A">
            <w:pPr>
              <w:widowControl/>
              <w:autoSpaceDE/>
              <w:autoSpaceDN/>
              <w:adjustRightInd/>
              <w:rPr>
                <w:rFonts w:ascii="Calibri" w:hAnsi="Calibri" w:cs="Calibri"/>
                <w:color w:val="000000"/>
                <w:sz w:val="16"/>
                <w:szCs w:val="16"/>
              </w:rPr>
            </w:pPr>
            <w:r w:rsidRPr="00127A6A">
              <w:rPr>
                <w:rFonts w:ascii="Calibri" w:hAnsi="Calibri" w:cs="Calibri"/>
                <w:color w:val="000000"/>
                <w:sz w:val="16"/>
                <w:szCs w:val="16"/>
              </w:rPr>
              <w:t>Cost Recovery</w:t>
            </w:r>
          </w:p>
        </w:tc>
        <w:tc>
          <w:tcPr>
            <w:tcW w:w="1350" w:type="dxa"/>
            <w:tcBorders>
              <w:top w:val="nil"/>
              <w:left w:val="nil"/>
              <w:bottom w:val="single" w:color="auto" w:sz="4" w:space="0"/>
              <w:right w:val="single" w:color="auto" w:sz="4" w:space="0"/>
            </w:tcBorders>
            <w:shd w:val="clear" w:color="auto" w:fill="auto"/>
            <w:vAlign w:val="bottom"/>
          </w:tcPr>
          <w:p w:rsidRPr="000B42F3" w:rsidR="00E93E1A" w:rsidP="00E93E1A" w:rsidRDefault="00E93E1A">
            <w:pPr>
              <w:widowControl/>
              <w:autoSpaceDE/>
              <w:autoSpaceDN/>
              <w:adjustRightInd/>
              <w:jc w:val="center"/>
              <w:rPr>
                <w:rFonts w:ascii="Calibri" w:hAnsi="Calibri" w:cs="Calibri"/>
                <w:color w:val="000000"/>
                <w:sz w:val="16"/>
                <w:szCs w:val="16"/>
              </w:rPr>
            </w:pPr>
            <w:r w:rsidRPr="000B42F3">
              <w:rPr>
                <w:rFonts w:ascii="Calibri" w:hAnsi="Calibri" w:cs="Calibri"/>
                <w:color w:val="000000"/>
                <w:sz w:val="16"/>
                <w:szCs w:val="16"/>
              </w:rPr>
              <w:t>45-1011</w:t>
            </w:r>
          </w:p>
        </w:tc>
        <w:tc>
          <w:tcPr>
            <w:tcW w:w="1080" w:type="dxa"/>
            <w:tcBorders>
              <w:top w:val="nil"/>
              <w:left w:val="nil"/>
              <w:bottom w:val="single" w:color="auto" w:sz="4" w:space="0"/>
              <w:right w:val="single" w:color="auto" w:sz="4" w:space="0"/>
            </w:tcBorders>
            <w:shd w:val="clear" w:color="auto" w:fill="auto"/>
            <w:vAlign w:val="bottom"/>
          </w:tcPr>
          <w:p w:rsidRPr="00127A6A" w:rsidR="00E93E1A" w:rsidP="00127A6A" w:rsidRDefault="00E93E1A">
            <w:pPr>
              <w:widowControl/>
              <w:autoSpaceDE/>
              <w:autoSpaceDN/>
              <w:adjustRightInd/>
              <w:jc w:val="right"/>
              <w:rPr>
                <w:rFonts w:ascii="Calibri" w:hAnsi="Calibri" w:cs="Calibri"/>
                <w:color w:val="000000"/>
                <w:sz w:val="16"/>
                <w:szCs w:val="16"/>
              </w:rPr>
            </w:pPr>
            <w:r w:rsidRPr="00127A6A">
              <w:rPr>
                <w:rFonts w:ascii="Calibri" w:hAnsi="Calibri" w:cs="Calibri"/>
                <w:color w:val="000000"/>
                <w:sz w:val="16"/>
                <w:szCs w:val="16"/>
              </w:rPr>
              <w:t>200</w:t>
            </w:r>
          </w:p>
        </w:tc>
        <w:tc>
          <w:tcPr>
            <w:tcW w:w="1080" w:type="dxa"/>
            <w:tcBorders>
              <w:top w:val="nil"/>
              <w:left w:val="nil"/>
              <w:bottom w:val="single" w:color="auto" w:sz="4" w:space="0"/>
              <w:right w:val="single" w:color="auto" w:sz="4" w:space="0"/>
            </w:tcBorders>
            <w:shd w:val="clear" w:color="auto" w:fill="auto"/>
            <w:vAlign w:val="bottom"/>
          </w:tcPr>
          <w:p w:rsidRPr="00127A6A" w:rsidR="00E93E1A" w:rsidP="00127A6A" w:rsidRDefault="00E93E1A">
            <w:pPr>
              <w:widowControl/>
              <w:autoSpaceDE/>
              <w:autoSpaceDN/>
              <w:adjustRightInd/>
              <w:jc w:val="right"/>
              <w:rPr>
                <w:rFonts w:ascii="Calibri" w:hAnsi="Calibri" w:cs="Calibri"/>
                <w:color w:val="000000"/>
                <w:sz w:val="16"/>
                <w:szCs w:val="16"/>
              </w:rPr>
            </w:pPr>
            <w:r w:rsidRPr="00127A6A">
              <w:rPr>
                <w:rFonts w:ascii="Calibri" w:hAnsi="Calibri" w:cs="Calibri"/>
                <w:color w:val="000000"/>
                <w:sz w:val="16"/>
                <w:szCs w:val="16"/>
              </w:rPr>
              <w:t>1</w:t>
            </w:r>
          </w:p>
        </w:tc>
        <w:tc>
          <w:tcPr>
            <w:tcW w:w="1080" w:type="dxa"/>
            <w:tcBorders>
              <w:top w:val="nil"/>
              <w:left w:val="nil"/>
              <w:bottom w:val="single" w:color="auto" w:sz="4" w:space="0"/>
              <w:right w:val="single" w:color="auto" w:sz="4" w:space="0"/>
            </w:tcBorders>
            <w:shd w:val="clear" w:color="auto" w:fill="auto"/>
            <w:vAlign w:val="bottom"/>
          </w:tcPr>
          <w:p w:rsidRPr="00127A6A" w:rsidR="00E93E1A" w:rsidP="00127A6A" w:rsidRDefault="00E93E1A">
            <w:pPr>
              <w:widowControl/>
              <w:autoSpaceDE/>
              <w:autoSpaceDN/>
              <w:adjustRightInd/>
              <w:jc w:val="right"/>
              <w:rPr>
                <w:rFonts w:ascii="Calibri" w:hAnsi="Calibri" w:cs="Calibri"/>
                <w:color w:val="000000"/>
                <w:sz w:val="16"/>
                <w:szCs w:val="16"/>
              </w:rPr>
            </w:pPr>
            <w:r w:rsidRPr="00127A6A">
              <w:rPr>
                <w:rFonts w:ascii="Calibri" w:hAnsi="Calibri" w:cs="Calibri"/>
                <w:color w:val="000000"/>
                <w:sz w:val="16"/>
                <w:szCs w:val="16"/>
              </w:rPr>
              <w:t xml:space="preserve">  200 </w:t>
            </w:r>
          </w:p>
        </w:tc>
        <w:tc>
          <w:tcPr>
            <w:tcW w:w="1170" w:type="dxa"/>
            <w:tcBorders>
              <w:top w:val="nil"/>
              <w:left w:val="nil"/>
              <w:bottom w:val="single" w:color="auto" w:sz="4" w:space="0"/>
              <w:right w:val="single" w:color="auto" w:sz="4" w:space="0"/>
            </w:tcBorders>
            <w:shd w:val="clear" w:color="auto" w:fill="auto"/>
            <w:vAlign w:val="bottom"/>
          </w:tcPr>
          <w:p w:rsidRPr="00127A6A" w:rsidR="00E93E1A" w:rsidP="00127A6A" w:rsidRDefault="00E93E1A">
            <w:pPr>
              <w:widowControl/>
              <w:autoSpaceDE/>
              <w:autoSpaceDN/>
              <w:adjustRightInd/>
              <w:jc w:val="right"/>
              <w:rPr>
                <w:rFonts w:ascii="Calibri" w:hAnsi="Calibri" w:cs="Calibri"/>
                <w:color w:val="000000"/>
                <w:sz w:val="16"/>
                <w:szCs w:val="16"/>
              </w:rPr>
            </w:pPr>
            <w:r w:rsidRPr="00127A6A">
              <w:rPr>
                <w:rFonts w:ascii="Calibri" w:hAnsi="Calibri" w:cs="Calibri"/>
                <w:color w:val="000000"/>
                <w:sz w:val="16"/>
                <w:szCs w:val="16"/>
              </w:rPr>
              <w:t xml:space="preserve">2 </w:t>
            </w:r>
            <w:proofErr w:type="spellStart"/>
            <w:r w:rsidRPr="00127A6A">
              <w:rPr>
                <w:rFonts w:ascii="Calibri" w:hAnsi="Calibri" w:cs="Calibri"/>
                <w:color w:val="000000"/>
                <w:sz w:val="16"/>
                <w:szCs w:val="16"/>
              </w:rPr>
              <w:t>hr</w:t>
            </w:r>
            <w:proofErr w:type="spellEnd"/>
          </w:p>
        </w:tc>
        <w:tc>
          <w:tcPr>
            <w:tcW w:w="990" w:type="dxa"/>
            <w:tcBorders>
              <w:top w:val="nil"/>
              <w:left w:val="nil"/>
              <w:bottom w:val="single" w:color="auto" w:sz="4" w:space="0"/>
              <w:right w:val="single" w:color="auto" w:sz="4" w:space="0"/>
            </w:tcBorders>
            <w:shd w:val="clear" w:color="auto" w:fill="auto"/>
            <w:vAlign w:val="bottom"/>
          </w:tcPr>
          <w:p w:rsidRPr="00127A6A" w:rsidR="00E93E1A" w:rsidP="00127A6A" w:rsidRDefault="00E93E1A">
            <w:pPr>
              <w:widowControl/>
              <w:autoSpaceDE/>
              <w:autoSpaceDN/>
              <w:adjustRightInd/>
              <w:jc w:val="right"/>
              <w:rPr>
                <w:rFonts w:ascii="Calibri" w:hAnsi="Calibri" w:cs="Calibri"/>
                <w:color w:val="000000"/>
                <w:sz w:val="16"/>
                <w:szCs w:val="16"/>
              </w:rPr>
            </w:pPr>
            <w:r w:rsidRPr="00127A6A">
              <w:rPr>
                <w:rFonts w:ascii="Calibri" w:hAnsi="Calibri" w:cs="Calibri"/>
                <w:color w:val="000000"/>
                <w:sz w:val="16"/>
                <w:szCs w:val="16"/>
              </w:rPr>
              <w:t>400</w:t>
            </w:r>
          </w:p>
        </w:tc>
        <w:tc>
          <w:tcPr>
            <w:tcW w:w="1350" w:type="dxa"/>
            <w:tcBorders>
              <w:top w:val="nil"/>
              <w:left w:val="nil"/>
              <w:bottom w:val="single" w:color="auto" w:sz="4" w:space="0"/>
              <w:right w:val="single" w:color="auto" w:sz="4" w:space="0"/>
            </w:tcBorders>
            <w:shd w:val="clear" w:color="auto" w:fill="FFFFFF"/>
            <w:vAlign w:val="bottom"/>
          </w:tcPr>
          <w:p w:rsidRPr="000B42F3" w:rsidR="00E93E1A" w:rsidP="00127A6A" w:rsidRDefault="00E93E1A">
            <w:pPr>
              <w:widowControl/>
              <w:autoSpaceDE/>
              <w:autoSpaceDN/>
              <w:adjustRightInd/>
              <w:jc w:val="center"/>
              <w:rPr>
                <w:rFonts w:ascii="Calibri" w:hAnsi="Calibri" w:cs="Calibri"/>
                <w:color w:val="000000"/>
                <w:sz w:val="16"/>
                <w:szCs w:val="16"/>
              </w:rPr>
            </w:pPr>
            <w:r w:rsidRPr="000B42F3">
              <w:rPr>
                <w:rFonts w:ascii="Calibri" w:hAnsi="Calibri" w:cs="Calibri"/>
                <w:color w:val="000000"/>
                <w:sz w:val="16"/>
                <w:szCs w:val="16"/>
              </w:rPr>
              <w:t> $24.42 </w:t>
            </w:r>
          </w:p>
        </w:tc>
        <w:tc>
          <w:tcPr>
            <w:tcW w:w="1440" w:type="dxa"/>
            <w:tcBorders>
              <w:top w:val="nil"/>
              <w:left w:val="nil"/>
              <w:bottom w:val="single" w:color="auto" w:sz="4" w:space="0"/>
              <w:right w:val="single" w:color="auto" w:sz="8" w:space="0"/>
            </w:tcBorders>
            <w:shd w:val="clear" w:color="auto" w:fill="FFFFFF"/>
            <w:vAlign w:val="bottom"/>
          </w:tcPr>
          <w:p w:rsidRPr="000B42F3" w:rsidR="00E93E1A" w:rsidP="00127A6A" w:rsidRDefault="00E93E1A">
            <w:pPr>
              <w:widowControl/>
              <w:autoSpaceDE/>
              <w:autoSpaceDN/>
              <w:adjustRightInd/>
              <w:jc w:val="center"/>
              <w:rPr>
                <w:rFonts w:ascii="Calibri" w:hAnsi="Calibri" w:cs="Calibri"/>
                <w:color w:val="000000"/>
                <w:sz w:val="16"/>
                <w:szCs w:val="16"/>
              </w:rPr>
            </w:pPr>
            <w:r w:rsidRPr="000B42F3">
              <w:rPr>
                <w:rFonts w:ascii="Calibri" w:hAnsi="Calibri" w:cs="Calibri"/>
                <w:color w:val="000000"/>
                <w:sz w:val="16"/>
                <w:szCs w:val="16"/>
              </w:rPr>
              <w:t> </w:t>
            </w:r>
            <w:r w:rsidRPr="000B42F3" w:rsidR="008D53C5">
              <w:rPr>
                <w:rFonts w:ascii="Calibri" w:hAnsi="Calibri" w:cs="Calibri"/>
                <w:color w:val="000000"/>
                <w:sz w:val="16"/>
                <w:szCs w:val="16"/>
              </w:rPr>
              <w:t>$9,768</w:t>
            </w:r>
          </w:p>
        </w:tc>
      </w:tr>
      <w:tr w:rsidRPr="00127A6A" w:rsidR="00E93E1A" w:rsidTr="00314A8B">
        <w:trPr>
          <w:trHeight w:val="300"/>
        </w:trPr>
        <w:tc>
          <w:tcPr>
            <w:tcW w:w="3230" w:type="dxa"/>
            <w:tcBorders>
              <w:top w:val="nil"/>
              <w:left w:val="single" w:color="auto" w:sz="8" w:space="0"/>
              <w:bottom w:val="single" w:color="auto" w:sz="4" w:space="0"/>
              <w:right w:val="single" w:color="auto" w:sz="4" w:space="0"/>
            </w:tcBorders>
            <w:shd w:val="clear" w:color="auto" w:fill="auto"/>
            <w:vAlign w:val="bottom"/>
          </w:tcPr>
          <w:p w:rsidRPr="00127A6A" w:rsidR="00E93E1A" w:rsidP="00127A6A" w:rsidRDefault="00E93E1A">
            <w:pPr>
              <w:widowControl/>
              <w:autoSpaceDE/>
              <w:autoSpaceDN/>
              <w:adjustRightInd/>
              <w:rPr>
                <w:rFonts w:ascii="Calibri" w:hAnsi="Calibri" w:cs="Calibri"/>
                <w:color w:val="000000"/>
                <w:sz w:val="16"/>
                <w:szCs w:val="16"/>
              </w:rPr>
            </w:pPr>
            <w:r w:rsidRPr="00127A6A">
              <w:rPr>
                <w:rFonts w:ascii="Calibri" w:hAnsi="Calibri" w:cs="Calibri"/>
                <w:color w:val="000000"/>
                <w:sz w:val="16"/>
                <w:szCs w:val="16"/>
              </w:rPr>
              <w:t>Sector Proposals &amp; Operation Plans</w:t>
            </w:r>
          </w:p>
        </w:tc>
        <w:tc>
          <w:tcPr>
            <w:tcW w:w="1350" w:type="dxa"/>
            <w:tcBorders>
              <w:top w:val="nil"/>
              <w:left w:val="nil"/>
              <w:bottom w:val="single" w:color="auto" w:sz="4" w:space="0"/>
              <w:right w:val="single" w:color="auto" w:sz="4" w:space="0"/>
            </w:tcBorders>
            <w:shd w:val="clear" w:color="auto" w:fill="auto"/>
            <w:vAlign w:val="bottom"/>
          </w:tcPr>
          <w:p w:rsidRPr="000B42F3" w:rsidR="00E93E1A" w:rsidP="00E93E1A" w:rsidRDefault="00E93E1A">
            <w:pPr>
              <w:widowControl/>
              <w:autoSpaceDE/>
              <w:autoSpaceDN/>
              <w:adjustRightInd/>
              <w:jc w:val="center"/>
              <w:rPr>
                <w:rFonts w:ascii="Calibri" w:hAnsi="Calibri" w:cs="Calibri"/>
                <w:color w:val="000000"/>
                <w:sz w:val="16"/>
                <w:szCs w:val="16"/>
              </w:rPr>
            </w:pPr>
            <w:r w:rsidRPr="000B42F3">
              <w:rPr>
                <w:rFonts w:ascii="Calibri" w:hAnsi="Calibri" w:cs="Calibri"/>
                <w:color w:val="000000"/>
                <w:sz w:val="16"/>
                <w:szCs w:val="16"/>
              </w:rPr>
              <w:t>45-1011</w:t>
            </w:r>
          </w:p>
        </w:tc>
        <w:tc>
          <w:tcPr>
            <w:tcW w:w="1080" w:type="dxa"/>
            <w:tcBorders>
              <w:top w:val="nil"/>
              <w:left w:val="nil"/>
              <w:bottom w:val="single" w:color="auto" w:sz="4" w:space="0"/>
              <w:right w:val="single" w:color="auto" w:sz="4" w:space="0"/>
            </w:tcBorders>
            <w:shd w:val="clear" w:color="auto" w:fill="auto"/>
            <w:vAlign w:val="bottom"/>
          </w:tcPr>
          <w:p w:rsidRPr="00127A6A" w:rsidR="00E93E1A" w:rsidP="00127A6A" w:rsidRDefault="00E93E1A">
            <w:pPr>
              <w:widowControl/>
              <w:autoSpaceDE/>
              <w:autoSpaceDN/>
              <w:adjustRightInd/>
              <w:jc w:val="right"/>
              <w:rPr>
                <w:rFonts w:ascii="Calibri" w:hAnsi="Calibri" w:cs="Calibri"/>
                <w:color w:val="000000"/>
                <w:sz w:val="16"/>
                <w:szCs w:val="16"/>
              </w:rPr>
            </w:pPr>
            <w:r w:rsidRPr="00127A6A">
              <w:rPr>
                <w:rFonts w:ascii="Calibri" w:hAnsi="Calibri" w:cs="Calibri"/>
                <w:color w:val="000000"/>
                <w:sz w:val="16"/>
                <w:szCs w:val="16"/>
              </w:rPr>
              <w:t>2</w:t>
            </w:r>
          </w:p>
        </w:tc>
        <w:tc>
          <w:tcPr>
            <w:tcW w:w="1080" w:type="dxa"/>
            <w:tcBorders>
              <w:top w:val="nil"/>
              <w:left w:val="nil"/>
              <w:bottom w:val="single" w:color="auto" w:sz="4" w:space="0"/>
              <w:right w:val="single" w:color="auto" w:sz="4" w:space="0"/>
            </w:tcBorders>
            <w:shd w:val="clear" w:color="auto" w:fill="auto"/>
            <w:vAlign w:val="bottom"/>
          </w:tcPr>
          <w:p w:rsidRPr="00127A6A" w:rsidR="00E93E1A" w:rsidP="00127A6A" w:rsidRDefault="00E93E1A">
            <w:pPr>
              <w:widowControl/>
              <w:autoSpaceDE/>
              <w:autoSpaceDN/>
              <w:adjustRightInd/>
              <w:jc w:val="right"/>
              <w:rPr>
                <w:rFonts w:ascii="Calibri" w:hAnsi="Calibri" w:cs="Calibri"/>
                <w:color w:val="000000"/>
                <w:sz w:val="16"/>
                <w:szCs w:val="16"/>
              </w:rPr>
            </w:pPr>
            <w:r w:rsidRPr="00127A6A">
              <w:rPr>
                <w:rFonts w:ascii="Calibri" w:hAnsi="Calibri" w:cs="Calibri"/>
                <w:color w:val="000000"/>
                <w:sz w:val="16"/>
                <w:szCs w:val="16"/>
              </w:rPr>
              <w:t>2</w:t>
            </w:r>
          </w:p>
        </w:tc>
        <w:tc>
          <w:tcPr>
            <w:tcW w:w="1080" w:type="dxa"/>
            <w:tcBorders>
              <w:top w:val="nil"/>
              <w:left w:val="nil"/>
              <w:bottom w:val="single" w:color="auto" w:sz="4" w:space="0"/>
              <w:right w:val="single" w:color="auto" w:sz="4" w:space="0"/>
            </w:tcBorders>
            <w:shd w:val="clear" w:color="auto" w:fill="auto"/>
            <w:vAlign w:val="bottom"/>
          </w:tcPr>
          <w:p w:rsidRPr="00127A6A" w:rsidR="00E93E1A" w:rsidP="00127A6A" w:rsidRDefault="00E93E1A">
            <w:pPr>
              <w:widowControl/>
              <w:autoSpaceDE/>
              <w:autoSpaceDN/>
              <w:adjustRightInd/>
              <w:jc w:val="right"/>
              <w:rPr>
                <w:rFonts w:ascii="Calibri" w:hAnsi="Calibri" w:cs="Calibri"/>
                <w:color w:val="000000"/>
                <w:sz w:val="16"/>
                <w:szCs w:val="16"/>
              </w:rPr>
            </w:pPr>
            <w:r w:rsidRPr="00127A6A">
              <w:rPr>
                <w:rFonts w:ascii="Calibri" w:hAnsi="Calibri" w:cs="Calibri"/>
                <w:color w:val="000000"/>
                <w:sz w:val="16"/>
                <w:szCs w:val="16"/>
              </w:rPr>
              <w:t xml:space="preserve">  4 </w:t>
            </w:r>
          </w:p>
        </w:tc>
        <w:tc>
          <w:tcPr>
            <w:tcW w:w="1170" w:type="dxa"/>
            <w:tcBorders>
              <w:top w:val="nil"/>
              <w:left w:val="nil"/>
              <w:bottom w:val="single" w:color="auto" w:sz="4" w:space="0"/>
              <w:right w:val="single" w:color="auto" w:sz="4" w:space="0"/>
            </w:tcBorders>
            <w:shd w:val="clear" w:color="auto" w:fill="auto"/>
            <w:vAlign w:val="bottom"/>
          </w:tcPr>
          <w:p w:rsidRPr="00127A6A" w:rsidR="00E93E1A" w:rsidP="00127A6A" w:rsidRDefault="00E93E1A">
            <w:pPr>
              <w:widowControl/>
              <w:autoSpaceDE/>
              <w:autoSpaceDN/>
              <w:adjustRightInd/>
              <w:jc w:val="right"/>
              <w:rPr>
                <w:rFonts w:ascii="Calibri" w:hAnsi="Calibri" w:cs="Calibri"/>
                <w:color w:val="000000"/>
                <w:sz w:val="16"/>
                <w:szCs w:val="16"/>
              </w:rPr>
            </w:pPr>
            <w:r w:rsidRPr="00127A6A">
              <w:rPr>
                <w:rFonts w:ascii="Calibri" w:hAnsi="Calibri" w:cs="Calibri"/>
                <w:color w:val="000000"/>
                <w:sz w:val="16"/>
                <w:szCs w:val="16"/>
              </w:rPr>
              <w:t xml:space="preserve">125 </w:t>
            </w:r>
            <w:proofErr w:type="spellStart"/>
            <w:r w:rsidRPr="00127A6A">
              <w:rPr>
                <w:rFonts w:ascii="Calibri" w:hAnsi="Calibri" w:cs="Calibri"/>
                <w:color w:val="000000"/>
                <w:sz w:val="16"/>
                <w:szCs w:val="16"/>
              </w:rPr>
              <w:t>hr</w:t>
            </w:r>
            <w:proofErr w:type="spellEnd"/>
          </w:p>
        </w:tc>
        <w:tc>
          <w:tcPr>
            <w:tcW w:w="990" w:type="dxa"/>
            <w:tcBorders>
              <w:top w:val="nil"/>
              <w:left w:val="nil"/>
              <w:bottom w:val="single" w:color="auto" w:sz="4" w:space="0"/>
              <w:right w:val="single" w:color="auto" w:sz="4" w:space="0"/>
            </w:tcBorders>
            <w:shd w:val="clear" w:color="auto" w:fill="auto"/>
            <w:vAlign w:val="bottom"/>
          </w:tcPr>
          <w:p w:rsidRPr="00127A6A" w:rsidR="00E93E1A" w:rsidP="00127A6A" w:rsidRDefault="00E93E1A">
            <w:pPr>
              <w:widowControl/>
              <w:autoSpaceDE/>
              <w:autoSpaceDN/>
              <w:adjustRightInd/>
              <w:jc w:val="right"/>
              <w:rPr>
                <w:rFonts w:ascii="Calibri" w:hAnsi="Calibri" w:cs="Calibri"/>
                <w:color w:val="000000"/>
                <w:sz w:val="16"/>
                <w:szCs w:val="16"/>
              </w:rPr>
            </w:pPr>
            <w:r w:rsidRPr="00127A6A">
              <w:rPr>
                <w:rFonts w:ascii="Calibri" w:hAnsi="Calibri" w:cs="Calibri"/>
                <w:color w:val="000000"/>
                <w:sz w:val="16"/>
                <w:szCs w:val="16"/>
              </w:rPr>
              <w:t>500</w:t>
            </w:r>
          </w:p>
        </w:tc>
        <w:tc>
          <w:tcPr>
            <w:tcW w:w="1350" w:type="dxa"/>
            <w:tcBorders>
              <w:top w:val="nil"/>
              <w:left w:val="nil"/>
              <w:bottom w:val="single" w:color="auto" w:sz="4" w:space="0"/>
              <w:right w:val="single" w:color="auto" w:sz="4" w:space="0"/>
            </w:tcBorders>
            <w:shd w:val="clear" w:color="auto" w:fill="FFFFFF"/>
            <w:vAlign w:val="bottom"/>
          </w:tcPr>
          <w:p w:rsidRPr="000B42F3" w:rsidR="00E93E1A" w:rsidP="00E93E1A" w:rsidRDefault="00E93E1A">
            <w:pPr>
              <w:widowControl/>
              <w:autoSpaceDE/>
              <w:autoSpaceDN/>
              <w:adjustRightInd/>
              <w:jc w:val="center"/>
              <w:rPr>
                <w:rFonts w:ascii="Calibri" w:hAnsi="Calibri" w:cs="Calibri"/>
                <w:color w:val="000000"/>
                <w:sz w:val="16"/>
                <w:szCs w:val="16"/>
              </w:rPr>
            </w:pPr>
            <w:r w:rsidRPr="000B42F3">
              <w:rPr>
                <w:rFonts w:ascii="Calibri" w:hAnsi="Calibri" w:cs="Calibri"/>
                <w:color w:val="000000"/>
                <w:sz w:val="16"/>
                <w:szCs w:val="16"/>
              </w:rPr>
              <w:t>$24.42</w:t>
            </w:r>
          </w:p>
        </w:tc>
        <w:tc>
          <w:tcPr>
            <w:tcW w:w="1440" w:type="dxa"/>
            <w:tcBorders>
              <w:top w:val="nil"/>
              <w:left w:val="nil"/>
              <w:bottom w:val="single" w:color="auto" w:sz="4" w:space="0"/>
              <w:right w:val="single" w:color="auto" w:sz="8" w:space="0"/>
            </w:tcBorders>
            <w:shd w:val="clear" w:color="auto" w:fill="FFFFFF"/>
            <w:vAlign w:val="bottom"/>
          </w:tcPr>
          <w:p w:rsidRPr="000B42F3" w:rsidR="00E93E1A" w:rsidP="008D53C5" w:rsidRDefault="008D53C5">
            <w:pPr>
              <w:widowControl/>
              <w:autoSpaceDE/>
              <w:autoSpaceDN/>
              <w:adjustRightInd/>
              <w:jc w:val="center"/>
              <w:rPr>
                <w:rFonts w:ascii="Calibri" w:hAnsi="Calibri" w:cs="Calibri"/>
                <w:color w:val="000000"/>
                <w:sz w:val="16"/>
                <w:szCs w:val="16"/>
              </w:rPr>
            </w:pPr>
            <w:r w:rsidRPr="000B42F3">
              <w:rPr>
                <w:rFonts w:ascii="Calibri" w:hAnsi="Calibri" w:cs="Calibri"/>
                <w:color w:val="000000"/>
                <w:sz w:val="16"/>
                <w:szCs w:val="16"/>
              </w:rPr>
              <w:t>$12,210</w:t>
            </w:r>
          </w:p>
        </w:tc>
      </w:tr>
      <w:tr w:rsidRPr="00127A6A" w:rsidR="00E93E1A" w:rsidTr="00314A8B">
        <w:trPr>
          <w:trHeight w:val="300"/>
        </w:trPr>
        <w:tc>
          <w:tcPr>
            <w:tcW w:w="3230" w:type="dxa"/>
            <w:tcBorders>
              <w:top w:val="single" w:color="auto" w:sz="8" w:space="0"/>
              <w:left w:val="single" w:color="auto" w:sz="8" w:space="0"/>
              <w:bottom w:val="single" w:color="auto" w:sz="8" w:space="0"/>
              <w:right w:val="single" w:color="auto" w:sz="8" w:space="0"/>
            </w:tcBorders>
            <w:shd w:val="clear" w:color="000000" w:fill="DDEBF7"/>
            <w:vAlign w:val="bottom"/>
          </w:tcPr>
          <w:p w:rsidRPr="00127A6A" w:rsidR="00E93E1A" w:rsidP="00127A6A" w:rsidRDefault="00E93E1A">
            <w:pPr>
              <w:widowControl/>
              <w:autoSpaceDE/>
              <w:autoSpaceDN/>
              <w:adjustRightInd/>
              <w:rPr>
                <w:rFonts w:ascii="Calibri" w:hAnsi="Calibri" w:cs="Calibri"/>
                <w:color w:val="000000"/>
                <w:sz w:val="16"/>
                <w:szCs w:val="16"/>
              </w:rPr>
            </w:pPr>
            <w:r w:rsidRPr="00127A6A">
              <w:rPr>
                <w:rFonts w:ascii="Calibri" w:hAnsi="Calibri" w:cs="Calibri"/>
                <w:b/>
                <w:bCs/>
                <w:color w:val="000000"/>
                <w:sz w:val="22"/>
                <w:szCs w:val="22"/>
              </w:rPr>
              <w:t>Totals</w:t>
            </w:r>
          </w:p>
        </w:tc>
        <w:tc>
          <w:tcPr>
            <w:tcW w:w="1350" w:type="dxa"/>
            <w:tcBorders>
              <w:top w:val="single" w:color="auto" w:sz="8" w:space="0"/>
              <w:left w:val="nil"/>
              <w:bottom w:val="single" w:color="auto" w:sz="8" w:space="0"/>
              <w:right w:val="single" w:color="auto" w:sz="8" w:space="0"/>
            </w:tcBorders>
            <w:shd w:val="clear" w:color="auto" w:fill="000000"/>
            <w:vAlign w:val="bottom"/>
          </w:tcPr>
          <w:p w:rsidRPr="00127A6A" w:rsidR="00E93E1A" w:rsidP="00127A6A" w:rsidRDefault="00E93E1A">
            <w:pPr>
              <w:widowControl/>
              <w:autoSpaceDE/>
              <w:autoSpaceDN/>
              <w:adjustRightInd/>
              <w:rPr>
                <w:rFonts w:ascii="Calibri" w:hAnsi="Calibri" w:cs="Calibri"/>
                <w:color w:val="000000"/>
                <w:sz w:val="16"/>
                <w:szCs w:val="16"/>
              </w:rPr>
            </w:pPr>
            <w:r w:rsidRPr="00127A6A">
              <w:rPr>
                <w:rFonts w:ascii="Calibri" w:hAnsi="Calibri" w:cs="Calibri"/>
                <w:b/>
                <w:bCs/>
                <w:color w:val="000000"/>
                <w:sz w:val="22"/>
                <w:szCs w:val="22"/>
              </w:rPr>
              <w:t> </w:t>
            </w:r>
          </w:p>
        </w:tc>
        <w:tc>
          <w:tcPr>
            <w:tcW w:w="1080" w:type="dxa"/>
            <w:tcBorders>
              <w:top w:val="single" w:color="auto" w:sz="8" w:space="0"/>
              <w:left w:val="nil"/>
              <w:bottom w:val="single" w:color="auto" w:sz="8" w:space="0"/>
              <w:right w:val="single" w:color="auto" w:sz="8" w:space="0"/>
            </w:tcBorders>
            <w:shd w:val="clear" w:color="000000" w:fill="000000"/>
            <w:vAlign w:val="bottom"/>
          </w:tcPr>
          <w:p w:rsidRPr="00127A6A" w:rsidR="00E93E1A" w:rsidP="00127A6A" w:rsidRDefault="00E93E1A">
            <w:pPr>
              <w:widowControl/>
              <w:autoSpaceDE/>
              <w:autoSpaceDN/>
              <w:adjustRightInd/>
              <w:jc w:val="right"/>
              <w:rPr>
                <w:rFonts w:ascii="Calibri" w:hAnsi="Calibri" w:cs="Calibri"/>
                <w:color w:val="000000"/>
                <w:sz w:val="16"/>
                <w:szCs w:val="16"/>
              </w:rPr>
            </w:pPr>
            <w:r w:rsidRPr="00127A6A">
              <w:rPr>
                <w:rFonts w:ascii="Calibri" w:hAnsi="Calibri" w:cs="Calibri"/>
                <w:b/>
                <w:bCs/>
                <w:color w:val="000000"/>
                <w:sz w:val="22"/>
                <w:szCs w:val="22"/>
              </w:rPr>
              <w:t> </w:t>
            </w:r>
          </w:p>
        </w:tc>
        <w:tc>
          <w:tcPr>
            <w:tcW w:w="1080" w:type="dxa"/>
            <w:tcBorders>
              <w:top w:val="single" w:color="auto" w:sz="8" w:space="0"/>
              <w:left w:val="nil"/>
              <w:bottom w:val="single" w:color="auto" w:sz="8" w:space="0"/>
              <w:right w:val="single" w:color="auto" w:sz="8" w:space="0"/>
            </w:tcBorders>
            <w:shd w:val="clear" w:color="000000" w:fill="000000"/>
            <w:vAlign w:val="bottom"/>
          </w:tcPr>
          <w:p w:rsidRPr="00127A6A" w:rsidR="00E93E1A" w:rsidP="00127A6A" w:rsidRDefault="00E93E1A">
            <w:pPr>
              <w:widowControl/>
              <w:autoSpaceDE/>
              <w:autoSpaceDN/>
              <w:adjustRightInd/>
              <w:jc w:val="right"/>
              <w:rPr>
                <w:rFonts w:ascii="Calibri" w:hAnsi="Calibri" w:cs="Calibri"/>
                <w:color w:val="000000"/>
                <w:sz w:val="16"/>
                <w:szCs w:val="16"/>
              </w:rPr>
            </w:pPr>
            <w:r w:rsidRPr="00127A6A">
              <w:rPr>
                <w:rFonts w:ascii="Calibri" w:hAnsi="Calibri" w:cs="Calibri"/>
                <w:b/>
                <w:bCs/>
                <w:color w:val="000000"/>
                <w:sz w:val="22"/>
                <w:szCs w:val="22"/>
              </w:rPr>
              <w:t> </w:t>
            </w:r>
          </w:p>
        </w:tc>
        <w:tc>
          <w:tcPr>
            <w:tcW w:w="1080" w:type="dxa"/>
            <w:tcBorders>
              <w:top w:val="single" w:color="auto" w:sz="8" w:space="0"/>
              <w:left w:val="nil"/>
              <w:bottom w:val="single" w:color="auto" w:sz="8" w:space="0"/>
              <w:right w:val="single" w:color="auto" w:sz="8" w:space="0"/>
            </w:tcBorders>
            <w:shd w:val="clear" w:color="000000" w:fill="DDEBF7"/>
            <w:vAlign w:val="bottom"/>
          </w:tcPr>
          <w:p w:rsidRPr="000B42F3" w:rsidR="00E93E1A" w:rsidP="00E93E1A" w:rsidRDefault="00FE53CC">
            <w:pPr>
              <w:widowControl/>
              <w:autoSpaceDE/>
              <w:autoSpaceDN/>
              <w:adjustRightInd/>
              <w:jc w:val="right"/>
              <w:rPr>
                <w:rFonts w:ascii="Calibri" w:hAnsi="Calibri" w:cs="Calibri"/>
                <w:color w:val="000000"/>
                <w:sz w:val="16"/>
                <w:szCs w:val="16"/>
              </w:rPr>
            </w:pPr>
            <w:r w:rsidRPr="000B42F3">
              <w:rPr>
                <w:rFonts w:ascii="Calibri" w:hAnsi="Calibri" w:cs="Calibri"/>
                <w:b/>
                <w:bCs/>
                <w:color w:val="000000"/>
                <w:sz w:val="22"/>
                <w:szCs w:val="22"/>
              </w:rPr>
              <w:t>804</w:t>
            </w:r>
            <w:r w:rsidRPr="000B42F3" w:rsidR="00E93E1A">
              <w:rPr>
                <w:rFonts w:ascii="Calibri" w:hAnsi="Calibri" w:cs="Calibri"/>
                <w:b/>
                <w:bCs/>
                <w:color w:val="000000"/>
                <w:sz w:val="22"/>
                <w:szCs w:val="22"/>
              </w:rPr>
              <w:t xml:space="preserve">   </w:t>
            </w:r>
          </w:p>
        </w:tc>
        <w:tc>
          <w:tcPr>
            <w:tcW w:w="1170" w:type="dxa"/>
            <w:tcBorders>
              <w:top w:val="single" w:color="auto" w:sz="8" w:space="0"/>
              <w:left w:val="nil"/>
              <w:bottom w:val="single" w:color="auto" w:sz="8" w:space="0"/>
              <w:right w:val="single" w:color="auto" w:sz="8" w:space="0"/>
            </w:tcBorders>
            <w:shd w:val="clear" w:color="000000" w:fill="000000"/>
            <w:vAlign w:val="bottom"/>
          </w:tcPr>
          <w:p w:rsidRPr="000B42F3" w:rsidR="00E93E1A" w:rsidP="00127A6A" w:rsidRDefault="00E93E1A">
            <w:pPr>
              <w:widowControl/>
              <w:autoSpaceDE/>
              <w:autoSpaceDN/>
              <w:adjustRightInd/>
              <w:jc w:val="right"/>
              <w:rPr>
                <w:rFonts w:ascii="Calibri" w:hAnsi="Calibri" w:cs="Calibri"/>
                <w:color w:val="000000"/>
                <w:sz w:val="16"/>
                <w:szCs w:val="16"/>
              </w:rPr>
            </w:pPr>
            <w:r w:rsidRPr="000B42F3">
              <w:rPr>
                <w:rFonts w:ascii="Calibri" w:hAnsi="Calibri" w:cs="Calibri"/>
                <w:b/>
                <w:bCs/>
                <w:color w:val="000000"/>
                <w:sz w:val="22"/>
                <w:szCs w:val="22"/>
              </w:rPr>
              <w:t> </w:t>
            </w:r>
          </w:p>
        </w:tc>
        <w:tc>
          <w:tcPr>
            <w:tcW w:w="990" w:type="dxa"/>
            <w:tcBorders>
              <w:top w:val="single" w:color="auto" w:sz="8" w:space="0"/>
              <w:left w:val="nil"/>
              <w:bottom w:val="single" w:color="auto" w:sz="8" w:space="0"/>
              <w:right w:val="single" w:color="auto" w:sz="8" w:space="0"/>
            </w:tcBorders>
            <w:shd w:val="clear" w:color="000000" w:fill="DDEBF7"/>
            <w:vAlign w:val="bottom"/>
          </w:tcPr>
          <w:p w:rsidRPr="000B42F3" w:rsidR="00E93E1A" w:rsidP="00127A6A" w:rsidRDefault="00C633E2">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980</w:t>
            </w:r>
          </w:p>
        </w:tc>
        <w:tc>
          <w:tcPr>
            <w:tcW w:w="1350" w:type="dxa"/>
            <w:tcBorders>
              <w:top w:val="single" w:color="auto" w:sz="8" w:space="0"/>
              <w:left w:val="nil"/>
              <w:bottom w:val="single" w:color="auto" w:sz="8" w:space="0"/>
              <w:right w:val="single" w:color="auto" w:sz="8" w:space="0"/>
            </w:tcBorders>
            <w:shd w:val="clear" w:color="000000" w:fill="000000"/>
            <w:vAlign w:val="bottom"/>
          </w:tcPr>
          <w:p w:rsidRPr="000B42F3" w:rsidR="00E93E1A" w:rsidP="00F47756" w:rsidRDefault="00E93E1A">
            <w:pPr>
              <w:widowControl/>
              <w:autoSpaceDE/>
              <w:autoSpaceDN/>
              <w:adjustRightInd/>
              <w:jc w:val="right"/>
              <w:rPr>
                <w:rFonts w:ascii="Calibri" w:hAnsi="Calibri" w:cs="Calibri"/>
                <w:color w:val="000000"/>
                <w:sz w:val="16"/>
                <w:szCs w:val="16"/>
              </w:rPr>
            </w:pPr>
            <w:r w:rsidRPr="000B42F3">
              <w:rPr>
                <w:rFonts w:ascii="Calibri" w:hAnsi="Calibri" w:cs="Calibri"/>
                <w:b/>
                <w:bCs/>
                <w:color w:val="000000"/>
                <w:sz w:val="22"/>
                <w:szCs w:val="22"/>
              </w:rPr>
              <w:t> </w:t>
            </w:r>
          </w:p>
        </w:tc>
        <w:tc>
          <w:tcPr>
            <w:tcW w:w="1440" w:type="dxa"/>
            <w:tcBorders>
              <w:top w:val="single" w:color="auto" w:sz="8" w:space="0"/>
              <w:left w:val="nil"/>
              <w:bottom w:val="single" w:color="auto" w:sz="8" w:space="0"/>
              <w:right w:val="single" w:color="auto" w:sz="8" w:space="0"/>
            </w:tcBorders>
            <w:shd w:val="clear" w:color="000000" w:fill="DDEBF7"/>
            <w:vAlign w:val="bottom"/>
          </w:tcPr>
          <w:p w:rsidRPr="000B42F3" w:rsidR="00E93E1A" w:rsidP="00F47756" w:rsidRDefault="008D53C5">
            <w:pPr>
              <w:widowControl/>
              <w:autoSpaceDE/>
              <w:autoSpaceDN/>
              <w:adjustRightInd/>
              <w:jc w:val="right"/>
              <w:rPr>
                <w:rFonts w:ascii="Calibri" w:hAnsi="Calibri" w:cs="Calibri"/>
                <w:color w:val="000000"/>
                <w:sz w:val="16"/>
                <w:szCs w:val="16"/>
              </w:rPr>
            </w:pPr>
            <w:r w:rsidRPr="000B42F3">
              <w:rPr>
                <w:rFonts w:ascii="Calibri" w:hAnsi="Calibri" w:cs="Calibri"/>
                <w:b/>
                <w:bCs/>
                <w:color w:val="000000"/>
                <w:sz w:val="22"/>
                <w:szCs w:val="22"/>
              </w:rPr>
              <w:t>$23,931.60</w:t>
            </w:r>
            <w:r w:rsidRPr="000B42F3" w:rsidR="00E93E1A">
              <w:rPr>
                <w:rFonts w:ascii="Calibri" w:hAnsi="Calibri" w:cs="Calibri"/>
                <w:b/>
                <w:bCs/>
                <w:color w:val="000000"/>
                <w:sz w:val="22"/>
                <w:szCs w:val="22"/>
              </w:rPr>
              <w:t> </w:t>
            </w:r>
          </w:p>
        </w:tc>
      </w:tr>
    </w:tbl>
    <w:p w:rsidR="00127A6A" w:rsidP="00CE5215" w:rsidRDefault="00127A6A">
      <w:pPr>
        <w:rPr>
          <w:sz w:val="24"/>
          <w:szCs w:val="24"/>
        </w:rPr>
      </w:pPr>
    </w:p>
    <w:p w:rsidRPr="00BD7237" w:rsidR="00856B90" w:rsidP="00856B90" w:rsidRDefault="00856B90">
      <w:pPr>
        <w:spacing w:line="259" w:lineRule="auto"/>
        <w:ind w:hanging="43"/>
        <w:jc w:val="center"/>
        <w:rPr>
          <w:b/>
          <w:sz w:val="24"/>
          <w:szCs w:val="24"/>
        </w:rPr>
      </w:pPr>
      <w:r w:rsidRPr="00BD7237">
        <w:rPr>
          <w:b/>
          <w:color w:val="FF0000"/>
          <w:sz w:val="24"/>
          <w:szCs w:val="24"/>
        </w:rPr>
        <w:t xml:space="preserve">The estimate of average burden per response is based on expert review of proposed questions. BLS’s </w:t>
      </w:r>
      <w:r w:rsidRPr="00BD7237">
        <w:rPr>
          <w:b/>
          <w:i/>
          <w:color w:val="FF0000"/>
          <w:sz w:val="24"/>
          <w:szCs w:val="24"/>
        </w:rPr>
        <w:t xml:space="preserve">Occupational Outlook Handbook </w:t>
      </w:r>
      <w:r w:rsidRPr="00BD7237">
        <w:rPr>
          <w:b/>
          <w:color w:val="FF0000"/>
          <w:sz w:val="24"/>
          <w:szCs w:val="24"/>
        </w:rPr>
        <w:t xml:space="preserve">- a good wage source. </w:t>
      </w:r>
      <w:hyperlink r:id="rId13">
        <w:r w:rsidRPr="00BD7237">
          <w:rPr>
            <w:b/>
            <w:color w:val="0563C1"/>
            <w:sz w:val="24"/>
            <w:szCs w:val="24"/>
            <w:u w:val="single" w:color="0563C1"/>
          </w:rPr>
          <w:t>https://www.bls.gov/bls/blswage.htm</w:t>
        </w:r>
      </w:hyperlink>
    </w:p>
    <w:p w:rsidR="00856B90" w:rsidP="00CE5215" w:rsidRDefault="00856B90">
      <w:pPr>
        <w:rPr>
          <w:sz w:val="24"/>
          <w:szCs w:val="24"/>
        </w:rPr>
      </w:pPr>
    </w:p>
    <w:p w:rsidR="00CE5215" w:rsidP="00CE5215" w:rsidRDefault="00CE5215">
      <w:pPr>
        <w:rPr>
          <w:sz w:val="24"/>
          <w:szCs w:val="24"/>
        </w:rPr>
      </w:pPr>
    </w:p>
    <w:p w:rsidR="00127A6A" w:rsidP="00CE5215" w:rsidRDefault="00127A6A">
      <w:pPr>
        <w:rPr>
          <w:sz w:val="24"/>
          <w:szCs w:val="24"/>
        </w:rPr>
        <w:sectPr w:rsidR="00127A6A" w:rsidSect="00127A6A">
          <w:footnotePr>
            <w:numRestart w:val="eachSect"/>
          </w:footnotePr>
          <w:endnotePr>
            <w:numFmt w:val="decimal"/>
          </w:endnotePr>
          <w:pgSz w:w="15840" w:h="12240" w:orient="landscape"/>
          <w:pgMar w:top="1440" w:right="450" w:bottom="1440" w:left="630" w:header="720" w:footer="720" w:gutter="0"/>
          <w:cols w:space="720"/>
          <w:docGrid w:linePitch="272"/>
        </w:sectPr>
      </w:pPr>
    </w:p>
    <w:p w:rsidRPr="00AA4BDB" w:rsidR="0066295D" w:rsidP="00CE5215" w:rsidRDefault="0066295D">
      <w:pPr>
        <w:rPr>
          <w:sz w:val="24"/>
          <w:szCs w:val="24"/>
        </w:rPr>
      </w:pPr>
    </w:p>
    <w:p w:rsidRPr="00BD7237" w:rsidR="00684E0F" w:rsidP="00684E0F" w:rsidRDefault="00CE5215">
      <w:pPr>
        <w:pStyle w:val="ListParagraph"/>
        <w:tabs>
          <w:tab w:val="left" w:pos="360"/>
        </w:tabs>
        <w:spacing w:before="80"/>
        <w:ind w:left="0" w:firstLine="0"/>
        <w:rPr>
          <w:rFonts w:cs="Times New Roman"/>
          <w:b/>
          <w:szCs w:val="24"/>
        </w:rPr>
      </w:pPr>
      <w:r w:rsidRPr="00BF700F">
        <w:rPr>
          <w:b/>
          <w:bCs/>
          <w:szCs w:val="24"/>
        </w:rPr>
        <w:t>1</w:t>
      </w:r>
      <w:r w:rsidR="00856B90">
        <w:rPr>
          <w:b/>
          <w:bCs/>
          <w:szCs w:val="24"/>
        </w:rPr>
        <w:t>3</w:t>
      </w:r>
      <w:r w:rsidRPr="00BF700F">
        <w:rPr>
          <w:b/>
          <w:bCs/>
          <w:szCs w:val="24"/>
        </w:rPr>
        <w:t xml:space="preserve">.  </w:t>
      </w:r>
      <w:r w:rsidRPr="00BD7237" w:rsidR="00684E0F">
        <w:rPr>
          <w:rFonts w:cs="Times New Roman"/>
          <w:b/>
          <w:szCs w:val="24"/>
        </w:rPr>
        <w:t>Provide an estimate for the total annual cost burden to respondents or record keepers resulting from the collection of information. (Do not include the cost of any hour burden already reflected on the burden worksheet).</w:t>
      </w:r>
    </w:p>
    <w:p w:rsidRPr="00BF700F" w:rsidR="00CE5215" w:rsidP="00CE5215" w:rsidRDefault="00CE5215">
      <w:pPr>
        <w:rPr>
          <w:sz w:val="24"/>
          <w:szCs w:val="24"/>
        </w:rPr>
      </w:pPr>
    </w:p>
    <w:p w:rsidR="00CE5215" w:rsidP="00CE5215" w:rsidRDefault="00CE5215">
      <w:pPr>
        <w:rPr>
          <w:sz w:val="24"/>
          <w:szCs w:val="24"/>
        </w:rPr>
      </w:pPr>
    </w:p>
    <w:tbl>
      <w:tblPr>
        <w:tblW w:w="8900" w:type="dxa"/>
        <w:tblInd w:w="118" w:type="dxa"/>
        <w:tblLook w:val="04A0" w:firstRow="1" w:lastRow="0" w:firstColumn="1" w:lastColumn="0" w:noHBand="0" w:noVBand="1"/>
      </w:tblPr>
      <w:tblGrid>
        <w:gridCol w:w="2840"/>
        <w:gridCol w:w="1110"/>
        <w:gridCol w:w="1170"/>
        <w:gridCol w:w="1160"/>
        <w:gridCol w:w="1270"/>
        <w:gridCol w:w="1350"/>
      </w:tblGrid>
      <w:tr w:rsidRPr="006B19EE" w:rsidR="006B19EE" w:rsidTr="006B19EE">
        <w:trPr>
          <w:trHeight w:val="690"/>
        </w:trPr>
        <w:tc>
          <w:tcPr>
            <w:tcW w:w="2840" w:type="dxa"/>
            <w:tcBorders>
              <w:top w:val="single" w:color="auto" w:sz="8" w:space="0"/>
              <w:left w:val="single" w:color="auto" w:sz="8" w:space="0"/>
              <w:bottom w:val="single" w:color="auto" w:sz="8" w:space="0"/>
              <w:right w:val="single" w:color="auto" w:sz="8" w:space="0"/>
            </w:tcBorders>
            <w:shd w:val="clear" w:color="000000" w:fill="BDD7EE"/>
            <w:vAlign w:val="center"/>
            <w:hideMark/>
          </w:tcPr>
          <w:p w:rsidRPr="006B19EE" w:rsidR="006B19EE" w:rsidP="006B19EE" w:rsidRDefault="006B19EE">
            <w:pPr>
              <w:widowControl/>
              <w:autoSpaceDE/>
              <w:autoSpaceDN/>
              <w:adjustRightInd/>
              <w:jc w:val="center"/>
              <w:rPr>
                <w:rFonts w:ascii="Calibri" w:hAnsi="Calibri" w:cs="Calibri"/>
                <w:b/>
                <w:bCs/>
                <w:color w:val="000000"/>
                <w:sz w:val="16"/>
                <w:szCs w:val="16"/>
              </w:rPr>
            </w:pPr>
            <w:r w:rsidRPr="006B19EE">
              <w:rPr>
                <w:rFonts w:ascii="Calibri" w:hAnsi="Calibri" w:cs="Calibri"/>
                <w:b/>
                <w:bCs/>
                <w:color w:val="000000"/>
                <w:sz w:val="16"/>
                <w:szCs w:val="16"/>
              </w:rPr>
              <w:t>Information Collection</w:t>
            </w:r>
          </w:p>
        </w:tc>
        <w:tc>
          <w:tcPr>
            <w:tcW w:w="1110" w:type="dxa"/>
            <w:tcBorders>
              <w:top w:val="single" w:color="auto" w:sz="8" w:space="0"/>
              <w:left w:val="nil"/>
              <w:bottom w:val="single" w:color="auto" w:sz="8" w:space="0"/>
              <w:right w:val="single" w:color="auto" w:sz="8" w:space="0"/>
            </w:tcBorders>
            <w:shd w:val="clear" w:color="000000" w:fill="BDD7EE"/>
            <w:vAlign w:val="center"/>
            <w:hideMark/>
          </w:tcPr>
          <w:p w:rsidRPr="006B19EE" w:rsidR="006B19EE" w:rsidP="006B19EE" w:rsidRDefault="006B19EE">
            <w:pPr>
              <w:widowControl/>
              <w:autoSpaceDE/>
              <w:autoSpaceDN/>
              <w:adjustRightInd/>
              <w:jc w:val="center"/>
              <w:rPr>
                <w:rFonts w:ascii="Calibri" w:hAnsi="Calibri" w:cs="Calibri"/>
                <w:b/>
                <w:bCs/>
                <w:color w:val="000000"/>
                <w:sz w:val="16"/>
                <w:szCs w:val="16"/>
              </w:rPr>
            </w:pPr>
            <w:r w:rsidRPr="006B19EE">
              <w:rPr>
                <w:rFonts w:ascii="Calibri" w:hAnsi="Calibri" w:cs="Calibri"/>
                <w:b/>
                <w:bCs/>
                <w:color w:val="000000"/>
                <w:sz w:val="16"/>
                <w:szCs w:val="16"/>
              </w:rPr>
              <w:t># of Respondents</w:t>
            </w:r>
          </w:p>
        </w:tc>
        <w:tc>
          <w:tcPr>
            <w:tcW w:w="1170" w:type="dxa"/>
            <w:tcBorders>
              <w:top w:val="single" w:color="auto" w:sz="8" w:space="0"/>
              <w:left w:val="nil"/>
              <w:bottom w:val="single" w:color="auto" w:sz="8" w:space="0"/>
              <w:right w:val="single" w:color="auto" w:sz="8" w:space="0"/>
            </w:tcBorders>
            <w:shd w:val="clear" w:color="000000" w:fill="BDD7EE"/>
            <w:vAlign w:val="center"/>
            <w:hideMark/>
          </w:tcPr>
          <w:p w:rsidRPr="006B19EE" w:rsidR="006B19EE" w:rsidP="006B19EE" w:rsidRDefault="006B19EE">
            <w:pPr>
              <w:widowControl/>
              <w:autoSpaceDE/>
              <w:autoSpaceDN/>
              <w:adjustRightInd/>
              <w:jc w:val="center"/>
              <w:rPr>
                <w:rFonts w:ascii="Calibri" w:hAnsi="Calibri" w:cs="Calibri"/>
                <w:b/>
                <w:bCs/>
                <w:color w:val="000000"/>
                <w:sz w:val="16"/>
                <w:szCs w:val="16"/>
              </w:rPr>
            </w:pPr>
            <w:r w:rsidRPr="006B19EE">
              <w:rPr>
                <w:rFonts w:ascii="Calibri" w:hAnsi="Calibri" w:cs="Calibri"/>
                <w:b/>
                <w:bCs/>
                <w:color w:val="000000"/>
                <w:sz w:val="16"/>
                <w:szCs w:val="16"/>
              </w:rPr>
              <w:t>Annual # of Responses / Respondent</w:t>
            </w:r>
          </w:p>
        </w:tc>
        <w:tc>
          <w:tcPr>
            <w:tcW w:w="1160" w:type="dxa"/>
            <w:tcBorders>
              <w:top w:val="single" w:color="auto" w:sz="8" w:space="0"/>
              <w:left w:val="nil"/>
              <w:bottom w:val="single" w:color="auto" w:sz="8" w:space="0"/>
              <w:right w:val="single" w:color="auto" w:sz="8" w:space="0"/>
            </w:tcBorders>
            <w:shd w:val="clear" w:color="000000" w:fill="BDD7EE"/>
            <w:vAlign w:val="center"/>
            <w:hideMark/>
          </w:tcPr>
          <w:p w:rsidRPr="006B19EE" w:rsidR="006B19EE" w:rsidP="006B19EE" w:rsidRDefault="006B19EE">
            <w:pPr>
              <w:widowControl/>
              <w:autoSpaceDE/>
              <w:autoSpaceDN/>
              <w:adjustRightInd/>
              <w:jc w:val="center"/>
              <w:rPr>
                <w:rFonts w:ascii="Calibri" w:hAnsi="Calibri" w:cs="Calibri"/>
                <w:b/>
                <w:bCs/>
                <w:color w:val="000000"/>
                <w:sz w:val="16"/>
                <w:szCs w:val="16"/>
              </w:rPr>
            </w:pPr>
            <w:r w:rsidRPr="006B19EE">
              <w:rPr>
                <w:rFonts w:ascii="Calibri" w:hAnsi="Calibri" w:cs="Calibri"/>
                <w:b/>
                <w:bCs/>
                <w:color w:val="000000"/>
                <w:sz w:val="16"/>
                <w:szCs w:val="16"/>
              </w:rPr>
              <w:t xml:space="preserve"> Total # of Annual Responses</w:t>
            </w:r>
          </w:p>
        </w:tc>
        <w:tc>
          <w:tcPr>
            <w:tcW w:w="1270" w:type="dxa"/>
            <w:tcBorders>
              <w:top w:val="single" w:color="auto" w:sz="8" w:space="0"/>
              <w:left w:val="nil"/>
              <w:bottom w:val="single" w:color="auto" w:sz="8" w:space="0"/>
              <w:right w:val="single" w:color="auto" w:sz="8" w:space="0"/>
            </w:tcBorders>
            <w:shd w:val="clear" w:color="000000" w:fill="BDD7EE"/>
            <w:vAlign w:val="center"/>
            <w:hideMark/>
          </w:tcPr>
          <w:p w:rsidRPr="006B19EE" w:rsidR="006B19EE" w:rsidP="006B19EE" w:rsidRDefault="006B19EE">
            <w:pPr>
              <w:widowControl/>
              <w:autoSpaceDE/>
              <w:autoSpaceDN/>
              <w:adjustRightInd/>
              <w:jc w:val="center"/>
              <w:rPr>
                <w:rFonts w:ascii="Calibri" w:hAnsi="Calibri" w:cs="Calibri"/>
                <w:b/>
                <w:bCs/>
                <w:color w:val="000000"/>
                <w:sz w:val="16"/>
                <w:szCs w:val="16"/>
              </w:rPr>
            </w:pPr>
            <w:r w:rsidRPr="006B19EE">
              <w:rPr>
                <w:rFonts w:ascii="Calibri" w:hAnsi="Calibri" w:cs="Calibri"/>
                <w:b/>
                <w:bCs/>
                <w:color w:val="000000"/>
                <w:sz w:val="16"/>
                <w:szCs w:val="16"/>
              </w:rPr>
              <w:t>Cost Burden / Respondent</w:t>
            </w:r>
          </w:p>
        </w:tc>
        <w:tc>
          <w:tcPr>
            <w:tcW w:w="1350" w:type="dxa"/>
            <w:tcBorders>
              <w:top w:val="single" w:color="auto" w:sz="8" w:space="0"/>
              <w:left w:val="nil"/>
              <w:bottom w:val="single" w:color="auto" w:sz="8" w:space="0"/>
              <w:right w:val="single" w:color="auto" w:sz="8" w:space="0"/>
            </w:tcBorders>
            <w:shd w:val="clear" w:color="000000" w:fill="BDD7EE"/>
            <w:vAlign w:val="center"/>
            <w:hideMark/>
          </w:tcPr>
          <w:p w:rsidRPr="006B19EE" w:rsidR="006B19EE" w:rsidP="006B19EE" w:rsidRDefault="006B19EE">
            <w:pPr>
              <w:widowControl/>
              <w:autoSpaceDE/>
              <w:autoSpaceDN/>
              <w:adjustRightInd/>
              <w:jc w:val="center"/>
              <w:rPr>
                <w:rFonts w:ascii="Calibri" w:hAnsi="Calibri" w:cs="Calibri"/>
                <w:b/>
                <w:bCs/>
                <w:color w:val="000000"/>
                <w:sz w:val="16"/>
                <w:szCs w:val="16"/>
              </w:rPr>
            </w:pPr>
            <w:r w:rsidRPr="006B19EE">
              <w:rPr>
                <w:rFonts w:ascii="Calibri" w:hAnsi="Calibri" w:cs="Calibri"/>
                <w:b/>
                <w:bCs/>
                <w:color w:val="000000"/>
                <w:sz w:val="16"/>
                <w:szCs w:val="16"/>
              </w:rPr>
              <w:t>Total Annual Cost Burden</w:t>
            </w:r>
          </w:p>
        </w:tc>
      </w:tr>
      <w:tr w:rsidRPr="006B19EE" w:rsidR="006B19EE" w:rsidTr="006B19EE">
        <w:trPr>
          <w:trHeight w:val="260"/>
        </w:trPr>
        <w:tc>
          <w:tcPr>
            <w:tcW w:w="2840" w:type="dxa"/>
            <w:tcBorders>
              <w:top w:val="nil"/>
              <w:left w:val="single" w:color="auto" w:sz="8" w:space="0"/>
              <w:bottom w:val="single" w:color="auto" w:sz="4" w:space="0"/>
              <w:right w:val="single" w:color="auto" w:sz="4" w:space="0"/>
            </w:tcBorders>
            <w:shd w:val="clear" w:color="auto" w:fill="auto"/>
            <w:vAlign w:val="bottom"/>
            <w:hideMark/>
          </w:tcPr>
          <w:p w:rsidRPr="006B19EE" w:rsidR="006B19EE" w:rsidP="006B19EE" w:rsidRDefault="006B19EE">
            <w:pPr>
              <w:widowControl/>
              <w:autoSpaceDE/>
              <w:autoSpaceDN/>
              <w:adjustRightInd/>
              <w:rPr>
                <w:rFonts w:ascii="Calibri" w:hAnsi="Calibri" w:cs="Calibri"/>
                <w:color w:val="000000"/>
                <w:sz w:val="16"/>
                <w:szCs w:val="16"/>
              </w:rPr>
            </w:pPr>
            <w:r w:rsidRPr="006B19EE">
              <w:rPr>
                <w:rFonts w:ascii="Calibri" w:hAnsi="Calibri" w:cs="Calibri"/>
                <w:color w:val="000000"/>
                <w:sz w:val="16"/>
                <w:szCs w:val="16"/>
              </w:rPr>
              <w:t>Trip Exchange Request</w:t>
            </w:r>
            <w:r w:rsidR="00BE2D5A">
              <w:rPr>
                <w:rFonts w:ascii="Calibri" w:hAnsi="Calibri" w:cs="Calibri"/>
                <w:color w:val="000000"/>
                <w:sz w:val="16"/>
                <w:szCs w:val="16"/>
              </w:rPr>
              <w:t xml:space="preserve"> (full time &amp; part time)</w:t>
            </w:r>
          </w:p>
        </w:tc>
        <w:tc>
          <w:tcPr>
            <w:tcW w:w="1110" w:type="dxa"/>
            <w:tcBorders>
              <w:top w:val="nil"/>
              <w:left w:val="nil"/>
              <w:bottom w:val="single" w:color="auto" w:sz="4" w:space="0"/>
              <w:right w:val="single" w:color="auto" w:sz="4" w:space="0"/>
            </w:tcBorders>
            <w:shd w:val="clear" w:color="000000" w:fill="FFFFFF"/>
            <w:vAlign w:val="center"/>
            <w:hideMark/>
          </w:tcPr>
          <w:p w:rsidRPr="006B19EE" w:rsidR="006B19EE" w:rsidP="006B19EE" w:rsidRDefault="006B19EE">
            <w:pPr>
              <w:widowControl/>
              <w:autoSpaceDE/>
              <w:autoSpaceDN/>
              <w:adjustRightInd/>
              <w:jc w:val="right"/>
              <w:rPr>
                <w:rFonts w:ascii="Calibri" w:hAnsi="Calibri" w:cs="Calibri"/>
                <w:color w:val="000000"/>
                <w:sz w:val="16"/>
                <w:szCs w:val="16"/>
              </w:rPr>
            </w:pPr>
            <w:r w:rsidRPr="006B19EE">
              <w:rPr>
                <w:rFonts w:ascii="Calibri" w:hAnsi="Calibri" w:cs="Calibri"/>
                <w:color w:val="000000"/>
                <w:sz w:val="16"/>
                <w:szCs w:val="16"/>
              </w:rPr>
              <w:t>180</w:t>
            </w:r>
          </w:p>
        </w:tc>
        <w:tc>
          <w:tcPr>
            <w:tcW w:w="1170" w:type="dxa"/>
            <w:tcBorders>
              <w:top w:val="nil"/>
              <w:left w:val="nil"/>
              <w:bottom w:val="single" w:color="auto" w:sz="4" w:space="0"/>
              <w:right w:val="single" w:color="auto" w:sz="4" w:space="0"/>
            </w:tcBorders>
            <w:shd w:val="clear" w:color="000000" w:fill="FFFFFF"/>
            <w:vAlign w:val="center"/>
            <w:hideMark/>
          </w:tcPr>
          <w:p w:rsidRPr="006B19EE" w:rsidR="006B19EE" w:rsidP="006B19EE" w:rsidRDefault="006B19EE">
            <w:pPr>
              <w:widowControl/>
              <w:autoSpaceDE/>
              <w:autoSpaceDN/>
              <w:adjustRightInd/>
              <w:jc w:val="right"/>
              <w:rPr>
                <w:rFonts w:ascii="Calibri" w:hAnsi="Calibri" w:cs="Calibri"/>
                <w:color w:val="000000"/>
                <w:sz w:val="16"/>
                <w:szCs w:val="16"/>
              </w:rPr>
            </w:pPr>
            <w:r w:rsidRPr="006B19EE">
              <w:rPr>
                <w:rFonts w:ascii="Calibri" w:hAnsi="Calibri" w:cs="Calibri"/>
                <w:color w:val="000000"/>
                <w:sz w:val="16"/>
                <w:szCs w:val="16"/>
              </w:rPr>
              <w:t>1</w:t>
            </w:r>
          </w:p>
        </w:tc>
        <w:tc>
          <w:tcPr>
            <w:tcW w:w="1160" w:type="dxa"/>
            <w:tcBorders>
              <w:top w:val="nil"/>
              <w:left w:val="nil"/>
              <w:bottom w:val="single" w:color="auto" w:sz="4" w:space="0"/>
              <w:right w:val="single" w:color="auto" w:sz="4" w:space="0"/>
            </w:tcBorders>
            <w:shd w:val="clear" w:color="000000" w:fill="FFFFFF"/>
            <w:vAlign w:val="center"/>
            <w:hideMark/>
          </w:tcPr>
          <w:p w:rsidRPr="006B19EE" w:rsidR="006B19EE" w:rsidP="006B19EE" w:rsidRDefault="006B19EE">
            <w:pPr>
              <w:widowControl/>
              <w:autoSpaceDE/>
              <w:autoSpaceDN/>
              <w:adjustRightInd/>
              <w:jc w:val="right"/>
              <w:rPr>
                <w:rFonts w:ascii="Calibri" w:hAnsi="Calibri" w:cs="Calibri"/>
                <w:color w:val="000000"/>
                <w:sz w:val="16"/>
                <w:szCs w:val="16"/>
              </w:rPr>
            </w:pPr>
            <w:r w:rsidRPr="006B19EE">
              <w:rPr>
                <w:rFonts w:ascii="Calibri" w:hAnsi="Calibri" w:cs="Calibri"/>
                <w:color w:val="000000"/>
                <w:sz w:val="16"/>
                <w:szCs w:val="16"/>
              </w:rPr>
              <w:t xml:space="preserve">                   180 </w:t>
            </w:r>
          </w:p>
        </w:tc>
        <w:tc>
          <w:tcPr>
            <w:tcW w:w="1270" w:type="dxa"/>
            <w:tcBorders>
              <w:top w:val="nil"/>
              <w:left w:val="nil"/>
              <w:bottom w:val="single" w:color="auto" w:sz="4" w:space="0"/>
              <w:right w:val="single" w:color="auto" w:sz="4" w:space="0"/>
            </w:tcBorders>
            <w:shd w:val="clear" w:color="000000" w:fill="FFFFFF"/>
            <w:vAlign w:val="center"/>
            <w:hideMark/>
          </w:tcPr>
          <w:p w:rsidRPr="006B19EE" w:rsidR="006B19EE" w:rsidP="006B19EE" w:rsidRDefault="006B19EE">
            <w:pPr>
              <w:widowControl/>
              <w:autoSpaceDE/>
              <w:autoSpaceDN/>
              <w:adjustRightInd/>
              <w:jc w:val="right"/>
              <w:rPr>
                <w:rFonts w:ascii="Calibri" w:hAnsi="Calibri" w:cs="Calibri"/>
                <w:color w:val="000000"/>
                <w:sz w:val="16"/>
                <w:szCs w:val="16"/>
              </w:rPr>
            </w:pPr>
            <w:r w:rsidRPr="006B19EE">
              <w:rPr>
                <w:rFonts w:ascii="Calibri" w:hAnsi="Calibri" w:cs="Calibri"/>
                <w:color w:val="000000"/>
                <w:sz w:val="16"/>
                <w:szCs w:val="16"/>
              </w:rPr>
              <w:t xml:space="preserve"> $                 0.55 </w:t>
            </w:r>
          </w:p>
        </w:tc>
        <w:tc>
          <w:tcPr>
            <w:tcW w:w="1350" w:type="dxa"/>
            <w:tcBorders>
              <w:top w:val="nil"/>
              <w:left w:val="nil"/>
              <w:bottom w:val="single" w:color="auto" w:sz="4" w:space="0"/>
              <w:right w:val="single" w:color="auto" w:sz="8" w:space="0"/>
            </w:tcBorders>
            <w:shd w:val="clear" w:color="000000" w:fill="FFFFFF"/>
            <w:vAlign w:val="center"/>
            <w:hideMark/>
          </w:tcPr>
          <w:p w:rsidRPr="006B19EE" w:rsidR="006B19EE" w:rsidP="006B19EE" w:rsidRDefault="006B19EE">
            <w:pPr>
              <w:widowControl/>
              <w:autoSpaceDE/>
              <w:autoSpaceDN/>
              <w:adjustRightInd/>
              <w:jc w:val="right"/>
              <w:rPr>
                <w:rFonts w:ascii="Calibri" w:hAnsi="Calibri" w:cs="Calibri"/>
                <w:color w:val="000000"/>
                <w:sz w:val="16"/>
                <w:szCs w:val="16"/>
              </w:rPr>
            </w:pPr>
            <w:r w:rsidRPr="006B19EE">
              <w:rPr>
                <w:rFonts w:ascii="Calibri" w:hAnsi="Calibri" w:cs="Calibri"/>
                <w:color w:val="000000"/>
                <w:sz w:val="16"/>
                <w:szCs w:val="16"/>
              </w:rPr>
              <w:t xml:space="preserve"> $                      99 </w:t>
            </w:r>
          </w:p>
        </w:tc>
      </w:tr>
      <w:tr w:rsidRPr="006B19EE" w:rsidR="006B19EE" w:rsidTr="006B19EE">
        <w:trPr>
          <w:trHeight w:val="465"/>
        </w:trPr>
        <w:tc>
          <w:tcPr>
            <w:tcW w:w="2840" w:type="dxa"/>
            <w:tcBorders>
              <w:top w:val="nil"/>
              <w:left w:val="single" w:color="auto" w:sz="8" w:space="0"/>
              <w:bottom w:val="single" w:color="auto" w:sz="4" w:space="0"/>
              <w:right w:val="single" w:color="auto" w:sz="4" w:space="0"/>
            </w:tcBorders>
            <w:shd w:val="clear" w:color="auto" w:fill="auto"/>
            <w:vAlign w:val="bottom"/>
            <w:hideMark/>
          </w:tcPr>
          <w:p w:rsidRPr="006B19EE" w:rsidR="006B19EE" w:rsidP="006B19EE" w:rsidRDefault="006B19EE">
            <w:pPr>
              <w:widowControl/>
              <w:autoSpaceDE/>
              <w:autoSpaceDN/>
              <w:adjustRightInd/>
              <w:rPr>
                <w:rFonts w:ascii="Calibri" w:hAnsi="Calibri" w:cs="Calibri"/>
                <w:color w:val="000000"/>
                <w:sz w:val="16"/>
                <w:szCs w:val="16"/>
              </w:rPr>
            </w:pPr>
            <w:r w:rsidRPr="006B19EE">
              <w:rPr>
                <w:rFonts w:ascii="Calibri" w:hAnsi="Calibri" w:cs="Calibri"/>
                <w:color w:val="000000"/>
                <w:sz w:val="16"/>
                <w:szCs w:val="16"/>
              </w:rPr>
              <w:t>Quota Transfer Application (temporary &amp; permanent)</w:t>
            </w:r>
          </w:p>
        </w:tc>
        <w:tc>
          <w:tcPr>
            <w:tcW w:w="1110" w:type="dxa"/>
            <w:tcBorders>
              <w:top w:val="nil"/>
              <w:left w:val="nil"/>
              <w:bottom w:val="single" w:color="auto" w:sz="4" w:space="0"/>
              <w:right w:val="single" w:color="auto" w:sz="4" w:space="0"/>
            </w:tcBorders>
            <w:shd w:val="clear" w:color="000000" w:fill="FFFFFF"/>
            <w:vAlign w:val="center"/>
            <w:hideMark/>
          </w:tcPr>
          <w:p w:rsidRPr="006B19EE" w:rsidR="006B19EE" w:rsidP="006B19EE" w:rsidRDefault="006B19EE">
            <w:pPr>
              <w:widowControl/>
              <w:autoSpaceDE/>
              <w:autoSpaceDN/>
              <w:adjustRightInd/>
              <w:jc w:val="right"/>
              <w:rPr>
                <w:rFonts w:ascii="Calibri" w:hAnsi="Calibri" w:cs="Calibri"/>
                <w:color w:val="000000"/>
                <w:sz w:val="16"/>
                <w:szCs w:val="16"/>
              </w:rPr>
            </w:pPr>
            <w:r w:rsidRPr="006B19EE">
              <w:rPr>
                <w:rFonts w:ascii="Calibri" w:hAnsi="Calibri" w:cs="Calibri"/>
                <w:color w:val="000000"/>
                <w:sz w:val="16"/>
                <w:szCs w:val="16"/>
              </w:rPr>
              <w:t>420</w:t>
            </w:r>
          </w:p>
        </w:tc>
        <w:tc>
          <w:tcPr>
            <w:tcW w:w="1170" w:type="dxa"/>
            <w:tcBorders>
              <w:top w:val="nil"/>
              <w:left w:val="nil"/>
              <w:bottom w:val="single" w:color="auto" w:sz="4" w:space="0"/>
              <w:right w:val="single" w:color="auto" w:sz="4" w:space="0"/>
            </w:tcBorders>
            <w:shd w:val="clear" w:color="000000" w:fill="FFFFFF"/>
            <w:vAlign w:val="center"/>
            <w:hideMark/>
          </w:tcPr>
          <w:p w:rsidRPr="006B19EE" w:rsidR="006B19EE" w:rsidP="006B19EE" w:rsidRDefault="006B19EE">
            <w:pPr>
              <w:widowControl/>
              <w:autoSpaceDE/>
              <w:autoSpaceDN/>
              <w:adjustRightInd/>
              <w:jc w:val="right"/>
              <w:rPr>
                <w:rFonts w:ascii="Calibri" w:hAnsi="Calibri" w:cs="Calibri"/>
                <w:color w:val="000000"/>
                <w:sz w:val="16"/>
                <w:szCs w:val="16"/>
              </w:rPr>
            </w:pPr>
            <w:r w:rsidRPr="006B19EE">
              <w:rPr>
                <w:rFonts w:ascii="Calibri" w:hAnsi="Calibri" w:cs="Calibri"/>
                <w:color w:val="000000"/>
                <w:sz w:val="16"/>
                <w:szCs w:val="16"/>
              </w:rPr>
              <w:t>1</w:t>
            </w:r>
          </w:p>
        </w:tc>
        <w:tc>
          <w:tcPr>
            <w:tcW w:w="1160" w:type="dxa"/>
            <w:tcBorders>
              <w:top w:val="nil"/>
              <w:left w:val="nil"/>
              <w:bottom w:val="single" w:color="auto" w:sz="4" w:space="0"/>
              <w:right w:val="single" w:color="auto" w:sz="4" w:space="0"/>
            </w:tcBorders>
            <w:shd w:val="clear" w:color="000000" w:fill="FFFFFF"/>
            <w:vAlign w:val="center"/>
            <w:hideMark/>
          </w:tcPr>
          <w:p w:rsidRPr="006B19EE" w:rsidR="006B19EE" w:rsidP="006B19EE" w:rsidRDefault="006B19EE">
            <w:pPr>
              <w:widowControl/>
              <w:autoSpaceDE/>
              <w:autoSpaceDN/>
              <w:adjustRightInd/>
              <w:jc w:val="right"/>
              <w:rPr>
                <w:rFonts w:ascii="Calibri" w:hAnsi="Calibri" w:cs="Calibri"/>
                <w:color w:val="000000"/>
                <w:sz w:val="16"/>
                <w:szCs w:val="16"/>
              </w:rPr>
            </w:pPr>
            <w:r w:rsidRPr="006B19EE">
              <w:rPr>
                <w:rFonts w:ascii="Calibri" w:hAnsi="Calibri" w:cs="Calibri"/>
                <w:color w:val="000000"/>
                <w:sz w:val="16"/>
                <w:szCs w:val="16"/>
              </w:rPr>
              <w:t xml:space="preserve">                   420 </w:t>
            </w:r>
          </w:p>
        </w:tc>
        <w:tc>
          <w:tcPr>
            <w:tcW w:w="1270" w:type="dxa"/>
            <w:tcBorders>
              <w:top w:val="nil"/>
              <w:left w:val="nil"/>
              <w:bottom w:val="single" w:color="auto" w:sz="4" w:space="0"/>
              <w:right w:val="single" w:color="auto" w:sz="4" w:space="0"/>
            </w:tcBorders>
            <w:shd w:val="clear" w:color="000000" w:fill="FFFFFF"/>
            <w:vAlign w:val="center"/>
            <w:hideMark/>
          </w:tcPr>
          <w:p w:rsidRPr="006B19EE" w:rsidR="006B19EE" w:rsidP="006B19EE" w:rsidRDefault="006B19EE">
            <w:pPr>
              <w:widowControl/>
              <w:autoSpaceDE/>
              <w:autoSpaceDN/>
              <w:adjustRightInd/>
              <w:jc w:val="right"/>
              <w:rPr>
                <w:rFonts w:ascii="Calibri" w:hAnsi="Calibri" w:cs="Calibri"/>
                <w:color w:val="000000"/>
                <w:sz w:val="16"/>
                <w:szCs w:val="16"/>
              </w:rPr>
            </w:pPr>
            <w:r w:rsidRPr="006B19EE">
              <w:rPr>
                <w:rFonts w:ascii="Calibri" w:hAnsi="Calibri" w:cs="Calibri"/>
                <w:color w:val="000000"/>
                <w:sz w:val="16"/>
                <w:szCs w:val="16"/>
              </w:rPr>
              <w:t xml:space="preserve"> $                 0.65 </w:t>
            </w:r>
          </w:p>
        </w:tc>
        <w:tc>
          <w:tcPr>
            <w:tcW w:w="1350" w:type="dxa"/>
            <w:tcBorders>
              <w:top w:val="nil"/>
              <w:left w:val="nil"/>
              <w:bottom w:val="single" w:color="auto" w:sz="4" w:space="0"/>
              <w:right w:val="single" w:color="auto" w:sz="8" w:space="0"/>
            </w:tcBorders>
            <w:shd w:val="clear" w:color="000000" w:fill="FFFFFF"/>
            <w:vAlign w:val="center"/>
            <w:hideMark/>
          </w:tcPr>
          <w:p w:rsidRPr="006B19EE" w:rsidR="006B19EE" w:rsidP="006B19EE" w:rsidRDefault="006B19EE">
            <w:pPr>
              <w:widowControl/>
              <w:autoSpaceDE/>
              <w:autoSpaceDN/>
              <w:adjustRightInd/>
              <w:jc w:val="right"/>
              <w:rPr>
                <w:rFonts w:ascii="Calibri" w:hAnsi="Calibri" w:cs="Calibri"/>
                <w:color w:val="000000"/>
                <w:sz w:val="16"/>
                <w:szCs w:val="16"/>
              </w:rPr>
            </w:pPr>
            <w:r w:rsidRPr="006B19EE">
              <w:rPr>
                <w:rFonts w:ascii="Calibri" w:hAnsi="Calibri" w:cs="Calibri"/>
                <w:color w:val="000000"/>
                <w:sz w:val="16"/>
                <w:szCs w:val="16"/>
              </w:rPr>
              <w:t xml:space="preserve"> $                   273 </w:t>
            </w:r>
          </w:p>
        </w:tc>
      </w:tr>
      <w:tr w:rsidRPr="006B19EE" w:rsidR="006B19EE" w:rsidTr="006B19EE">
        <w:trPr>
          <w:trHeight w:val="233"/>
        </w:trPr>
        <w:tc>
          <w:tcPr>
            <w:tcW w:w="2840" w:type="dxa"/>
            <w:tcBorders>
              <w:top w:val="nil"/>
              <w:left w:val="single" w:color="auto" w:sz="8" w:space="0"/>
              <w:bottom w:val="single" w:color="auto" w:sz="4" w:space="0"/>
              <w:right w:val="single" w:color="auto" w:sz="4" w:space="0"/>
            </w:tcBorders>
            <w:shd w:val="clear" w:color="auto" w:fill="auto"/>
            <w:vAlign w:val="bottom"/>
            <w:hideMark/>
          </w:tcPr>
          <w:p w:rsidRPr="006B19EE" w:rsidR="006B19EE" w:rsidP="006B19EE" w:rsidRDefault="006B19EE">
            <w:pPr>
              <w:widowControl/>
              <w:autoSpaceDE/>
              <w:autoSpaceDN/>
              <w:adjustRightInd/>
              <w:rPr>
                <w:rFonts w:ascii="Calibri" w:hAnsi="Calibri" w:cs="Calibri"/>
                <w:color w:val="000000"/>
                <w:sz w:val="16"/>
                <w:szCs w:val="16"/>
              </w:rPr>
            </w:pPr>
            <w:r w:rsidRPr="006B19EE">
              <w:rPr>
                <w:rFonts w:ascii="Calibri" w:hAnsi="Calibri" w:cs="Calibri"/>
                <w:color w:val="000000"/>
                <w:sz w:val="16"/>
                <w:szCs w:val="16"/>
              </w:rPr>
              <w:t>Cost Recovery</w:t>
            </w:r>
          </w:p>
        </w:tc>
        <w:tc>
          <w:tcPr>
            <w:tcW w:w="1110" w:type="dxa"/>
            <w:tcBorders>
              <w:top w:val="nil"/>
              <w:left w:val="nil"/>
              <w:bottom w:val="nil"/>
              <w:right w:val="single" w:color="auto" w:sz="4" w:space="0"/>
            </w:tcBorders>
            <w:shd w:val="clear" w:color="000000" w:fill="FFFFFF"/>
            <w:vAlign w:val="center"/>
            <w:hideMark/>
          </w:tcPr>
          <w:p w:rsidRPr="006B19EE" w:rsidR="006B19EE" w:rsidP="006B19EE" w:rsidRDefault="006B19EE">
            <w:pPr>
              <w:widowControl/>
              <w:autoSpaceDE/>
              <w:autoSpaceDN/>
              <w:adjustRightInd/>
              <w:jc w:val="right"/>
              <w:rPr>
                <w:rFonts w:ascii="Calibri" w:hAnsi="Calibri" w:cs="Calibri"/>
                <w:color w:val="000000"/>
                <w:sz w:val="16"/>
                <w:szCs w:val="16"/>
              </w:rPr>
            </w:pPr>
            <w:r w:rsidRPr="006B19EE">
              <w:rPr>
                <w:rFonts w:ascii="Calibri" w:hAnsi="Calibri" w:cs="Calibri"/>
                <w:color w:val="000000"/>
                <w:sz w:val="16"/>
                <w:szCs w:val="16"/>
              </w:rPr>
              <w:t>200</w:t>
            </w:r>
          </w:p>
        </w:tc>
        <w:tc>
          <w:tcPr>
            <w:tcW w:w="1170" w:type="dxa"/>
            <w:tcBorders>
              <w:top w:val="nil"/>
              <w:left w:val="nil"/>
              <w:bottom w:val="nil"/>
              <w:right w:val="single" w:color="auto" w:sz="4" w:space="0"/>
            </w:tcBorders>
            <w:shd w:val="clear" w:color="000000" w:fill="FFFFFF"/>
            <w:vAlign w:val="center"/>
            <w:hideMark/>
          </w:tcPr>
          <w:p w:rsidRPr="006B19EE" w:rsidR="006B19EE" w:rsidP="006B19EE" w:rsidRDefault="006B19EE">
            <w:pPr>
              <w:widowControl/>
              <w:autoSpaceDE/>
              <w:autoSpaceDN/>
              <w:adjustRightInd/>
              <w:jc w:val="right"/>
              <w:rPr>
                <w:rFonts w:ascii="Calibri" w:hAnsi="Calibri" w:cs="Calibri"/>
                <w:color w:val="000000"/>
                <w:sz w:val="16"/>
                <w:szCs w:val="16"/>
              </w:rPr>
            </w:pPr>
            <w:r w:rsidRPr="006B19EE">
              <w:rPr>
                <w:rFonts w:ascii="Calibri" w:hAnsi="Calibri" w:cs="Calibri"/>
                <w:color w:val="000000"/>
                <w:sz w:val="16"/>
                <w:szCs w:val="16"/>
              </w:rPr>
              <w:t>1</w:t>
            </w:r>
          </w:p>
        </w:tc>
        <w:tc>
          <w:tcPr>
            <w:tcW w:w="1160" w:type="dxa"/>
            <w:tcBorders>
              <w:top w:val="nil"/>
              <w:left w:val="nil"/>
              <w:bottom w:val="nil"/>
              <w:right w:val="single" w:color="auto" w:sz="4" w:space="0"/>
            </w:tcBorders>
            <w:shd w:val="clear" w:color="000000" w:fill="FFFFFF"/>
            <w:vAlign w:val="center"/>
            <w:hideMark/>
          </w:tcPr>
          <w:p w:rsidRPr="006B19EE" w:rsidR="006B19EE" w:rsidP="006B19EE" w:rsidRDefault="006B19EE">
            <w:pPr>
              <w:widowControl/>
              <w:autoSpaceDE/>
              <w:autoSpaceDN/>
              <w:adjustRightInd/>
              <w:jc w:val="right"/>
              <w:rPr>
                <w:rFonts w:ascii="Calibri" w:hAnsi="Calibri" w:cs="Calibri"/>
                <w:color w:val="000000"/>
                <w:sz w:val="16"/>
                <w:szCs w:val="16"/>
              </w:rPr>
            </w:pPr>
            <w:r w:rsidRPr="006B19EE">
              <w:rPr>
                <w:rFonts w:ascii="Calibri" w:hAnsi="Calibri" w:cs="Calibri"/>
                <w:color w:val="000000"/>
                <w:sz w:val="16"/>
                <w:szCs w:val="16"/>
              </w:rPr>
              <w:t xml:space="preserve">                   200 </w:t>
            </w:r>
          </w:p>
        </w:tc>
        <w:tc>
          <w:tcPr>
            <w:tcW w:w="1270" w:type="dxa"/>
            <w:tcBorders>
              <w:top w:val="nil"/>
              <w:left w:val="nil"/>
              <w:bottom w:val="nil"/>
              <w:right w:val="single" w:color="auto" w:sz="4" w:space="0"/>
            </w:tcBorders>
            <w:shd w:val="clear" w:color="000000" w:fill="FFFFFF"/>
            <w:vAlign w:val="center"/>
            <w:hideMark/>
          </w:tcPr>
          <w:p w:rsidRPr="006B19EE" w:rsidR="006B19EE" w:rsidP="006B19EE" w:rsidRDefault="006B19EE">
            <w:pPr>
              <w:widowControl/>
              <w:autoSpaceDE/>
              <w:autoSpaceDN/>
              <w:adjustRightInd/>
              <w:jc w:val="right"/>
              <w:rPr>
                <w:rFonts w:ascii="Calibri" w:hAnsi="Calibri" w:cs="Calibri"/>
                <w:color w:val="000000"/>
                <w:sz w:val="16"/>
                <w:szCs w:val="16"/>
              </w:rPr>
            </w:pPr>
            <w:r w:rsidRPr="006B19EE">
              <w:rPr>
                <w:rFonts w:ascii="Calibri" w:hAnsi="Calibri" w:cs="Calibri"/>
                <w:color w:val="000000"/>
                <w:sz w:val="16"/>
                <w:szCs w:val="16"/>
              </w:rPr>
              <w:t xml:space="preserve"> $                        -   </w:t>
            </w:r>
          </w:p>
        </w:tc>
        <w:tc>
          <w:tcPr>
            <w:tcW w:w="1350" w:type="dxa"/>
            <w:tcBorders>
              <w:top w:val="nil"/>
              <w:left w:val="nil"/>
              <w:bottom w:val="single" w:color="auto" w:sz="4" w:space="0"/>
              <w:right w:val="single" w:color="auto" w:sz="8" w:space="0"/>
            </w:tcBorders>
            <w:shd w:val="clear" w:color="000000" w:fill="FFFFFF"/>
            <w:vAlign w:val="center"/>
            <w:hideMark/>
          </w:tcPr>
          <w:p w:rsidRPr="006B19EE" w:rsidR="006B19EE" w:rsidP="006B19EE" w:rsidRDefault="006B19EE">
            <w:pPr>
              <w:widowControl/>
              <w:autoSpaceDE/>
              <w:autoSpaceDN/>
              <w:adjustRightInd/>
              <w:jc w:val="right"/>
              <w:rPr>
                <w:rFonts w:ascii="Calibri" w:hAnsi="Calibri" w:cs="Calibri"/>
                <w:color w:val="000000"/>
                <w:sz w:val="16"/>
                <w:szCs w:val="16"/>
              </w:rPr>
            </w:pPr>
            <w:r w:rsidRPr="006B19EE">
              <w:rPr>
                <w:rFonts w:ascii="Calibri" w:hAnsi="Calibri" w:cs="Calibri"/>
                <w:color w:val="000000"/>
                <w:sz w:val="16"/>
                <w:szCs w:val="16"/>
              </w:rPr>
              <w:t xml:space="preserve"> $                        -   </w:t>
            </w:r>
          </w:p>
        </w:tc>
      </w:tr>
      <w:tr w:rsidRPr="006B19EE" w:rsidR="006B19EE" w:rsidTr="006B19EE">
        <w:trPr>
          <w:trHeight w:val="260"/>
        </w:trPr>
        <w:tc>
          <w:tcPr>
            <w:tcW w:w="2840" w:type="dxa"/>
            <w:tcBorders>
              <w:top w:val="nil"/>
              <w:left w:val="single" w:color="auto" w:sz="8" w:space="0"/>
              <w:bottom w:val="single" w:color="auto" w:sz="4" w:space="0"/>
              <w:right w:val="single" w:color="auto" w:sz="4" w:space="0"/>
            </w:tcBorders>
            <w:shd w:val="clear" w:color="auto" w:fill="auto"/>
            <w:vAlign w:val="bottom"/>
            <w:hideMark/>
          </w:tcPr>
          <w:p w:rsidRPr="006B19EE" w:rsidR="006B19EE" w:rsidP="006B19EE" w:rsidRDefault="006B19EE">
            <w:pPr>
              <w:widowControl/>
              <w:autoSpaceDE/>
              <w:autoSpaceDN/>
              <w:adjustRightInd/>
              <w:rPr>
                <w:rFonts w:ascii="Calibri" w:hAnsi="Calibri" w:cs="Calibri"/>
                <w:color w:val="000000"/>
                <w:sz w:val="16"/>
                <w:szCs w:val="16"/>
              </w:rPr>
            </w:pPr>
            <w:r w:rsidRPr="006B19EE">
              <w:rPr>
                <w:rFonts w:ascii="Calibri" w:hAnsi="Calibri" w:cs="Calibri"/>
                <w:color w:val="000000"/>
                <w:sz w:val="16"/>
                <w:szCs w:val="16"/>
              </w:rPr>
              <w:t>Sector Proposals &amp; Operation Plans</w:t>
            </w:r>
          </w:p>
        </w:tc>
        <w:tc>
          <w:tcPr>
            <w:tcW w:w="1110" w:type="dxa"/>
            <w:tcBorders>
              <w:top w:val="single" w:color="auto" w:sz="4" w:space="0"/>
              <w:left w:val="nil"/>
              <w:bottom w:val="single" w:color="auto" w:sz="4" w:space="0"/>
              <w:right w:val="single" w:color="auto" w:sz="4" w:space="0"/>
            </w:tcBorders>
            <w:shd w:val="clear" w:color="000000" w:fill="FFFFFF"/>
            <w:vAlign w:val="center"/>
            <w:hideMark/>
          </w:tcPr>
          <w:p w:rsidRPr="006B19EE" w:rsidR="006B19EE" w:rsidP="006B19EE" w:rsidRDefault="006B19EE">
            <w:pPr>
              <w:widowControl/>
              <w:autoSpaceDE/>
              <w:autoSpaceDN/>
              <w:adjustRightInd/>
              <w:jc w:val="right"/>
              <w:rPr>
                <w:rFonts w:ascii="Calibri" w:hAnsi="Calibri" w:cs="Calibri"/>
                <w:color w:val="000000"/>
                <w:sz w:val="16"/>
                <w:szCs w:val="16"/>
              </w:rPr>
            </w:pPr>
            <w:r w:rsidRPr="006B19EE">
              <w:rPr>
                <w:rFonts w:ascii="Calibri" w:hAnsi="Calibri" w:cs="Calibri"/>
                <w:color w:val="000000"/>
                <w:sz w:val="16"/>
                <w:szCs w:val="16"/>
              </w:rPr>
              <w:t>2</w:t>
            </w:r>
          </w:p>
        </w:tc>
        <w:tc>
          <w:tcPr>
            <w:tcW w:w="1170" w:type="dxa"/>
            <w:tcBorders>
              <w:top w:val="single" w:color="auto" w:sz="4" w:space="0"/>
              <w:left w:val="nil"/>
              <w:bottom w:val="single" w:color="auto" w:sz="4" w:space="0"/>
              <w:right w:val="single" w:color="auto" w:sz="4" w:space="0"/>
            </w:tcBorders>
            <w:shd w:val="clear" w:color="000000" w:fill="FFFFFF"/>
            <w:vAlign w:val="center"/>
            <w:hideMark/>
          </w:tcPr>
          <w:p w:rsidRPr="006B19EE" w:rsidR="006B19EE" w:rsidP="006B19EE" w:rsidRDefault="006B19EE">
            <w:pPr>
              <w:widowControl/>
              <w:autoSpaceDE/>
              <w:autoSpaceDN/>
              <w:adjustRightInd/>
              <w:jc w:val="right"/>
              <w:rPr>
                <w:rFonts w:ascii="Calibri" w:hAnsi="Calibri" w:cs="Calibri"/>
                <w:color w:val="000000"/>
                <w:sz w:val="16"/>
                <w:szCs w:val="16"/>
              </w:rPr>
            </w:pPr>
            <w:r w:rsidRPr="006B19EE">
              <w:rPr>
                <w:rFonts w:ascii="Calibri" w:hAnsi="Calibri" w:cs="Calibri"/>
                <w:color w:val="000000"/>
                <w:sz w:val="16"/>
                <w:szCs w:val="16"/>
              </w:rPr>
              <w:t>2</w:t>
            </w:r>
          </w:p>
        </w:tc>
        <w:tc>
          <w:tcPr>
            <w:tcW w:w="1160" w:type="dxa"/>
            <w:tcBorders>
              <w:top w:val="single" w:color="auto" w:sz="4" w:space="0"/>
              <w:left w:val="nil"/>
              <w:bottom w:val="single" w:color="auto" w:sz="4" w:space="0"/>
              <w:right w:val="single" w:color="auto" w:sz="4" w:space="0"/>
            </w:tcBorders>
            <w:shd w:val="clear" w:color="000000" w:fill="FFFFFF"/>
            <w:vAlign w:val="center"/>
            <w:hideMark/>
          </w:tcPr>
          <w:p w:rsidRPr="006B19EE" w:rsidR="006B19EE" w:rsidP="006B19EE" w:rsidRDefault="006B19EE">
            <w:pPr>
              <w:widowControl/>
              <w:autoSpaceDE/>
              <w:autoSpaceDN/>
              <w:adjustRightInd/>
              <w:jc w:val="right"/>
              <w:rPr>
                <w:rFonts w:ascii="Calibri" w:hAnsi="Calibri" w:cs="Calibri"/>
                <w:color w:val="000000"/>
                <w:sz w:val="16"/>
                <w:szCs w:val="16"/>
              </w:rPr>
            </w:pPr>
            <w:r w:rsidRPr="006B19EE">
              <w:rPr>
                <w:rFonts w:ascii="Calibri" w:hAnsi="Calibri" w:cs="Calibri"/>
                <w:color w:val="000000"/>
                <w:sz w:val="16"/>
                <w:szCs w:val="16"/>
              </w:rPr>
              <w:t xml:space="preserve">                       4 </w:t>
            </w:r>
          </w:p>
        </w:tc>
        <w:tc>
          <w:tcPr>
            <w:tcW w:w="1270" w:type="dxa"/>
            <w:tcBorders>
              <w:top w:val="single" w:color="auto" w:sz="4" w:space="0"/>
              <w:left w:val="nil"/>
              <w:bottom w:val="single" w:color="auto" w:sz="4" w:space="0"/>
              <w:right w:val="single" w:color="auto" w:sz="4" w:space="0"/>
            </w:tcBorders>
            <w:shd w:val="clear" w:color="000000" w:fill="FFFFFF"/>
            <w:vAlign w:val="center"/>
            <w:hideMark/>
          </w:tcPr>
          <w:p w:rsidRPr="006B19EE" w:rsidR="006B19EE" w:rsidP="006B19EE" w:rsidRDefault="006B19EE">
            <w:pPr>
              <w:widowControl/>
              <w:autoSpaceDE/>
              <w:autoSpaceDN/>
              <w:adjustRightInd/>
              <w:jc w:val="right"/>
              <w:rPr>
                <w:rFonts w:ascii="Calibri" w:hAnsi="Calibri" w:cs="Calibri"/>
                <w:color w:val="000000"/>
                <w:sz w:val="16"/>
                <w:szCs w:val="16"/>
              </w:rPr>
            </w:pPr>
            <w:r w:rsidRPr="006B19EE">
              <w:rPr>
                <w:rFonts w:ascii="Calibri" w:hAnsi="Calibri" w:cs="Calibri"/>
                <w:color w:val="000000"/>
                <w:sz w:val="16"/>
                <w:szCs w:val="16"/>
              </w:rPr>
              <w:t xml:space="preserve"> $                 2.10 </w:t>
            </w:r>
          </w:p>
        </w:tc>
        <w:tc>
          <w:tcPr>
            <w:tcW w:w="1350" w:type="dxa"/>
            <w:tcBorders>
              <w:top w:val="nil"/>
              <w:left w:val="nil"/>
              <w:bottom w:val="single" w:color="auto" w:sz="4" w:space="0"/>
              <w:right w:val="single" w:color="auto" w:sz="8" w:space="0"/>
            </w:tcBorders>
            <w:shd w:val="clear" w:color="000000" w:fill="FFFFFF"/>
            <w:vAlign w:val="center"/>
            <w:hideMark/>
          </w:tcPr>
          <w:p w:rsidRPr="006B19EE" w:rsidR="006B19EE" w:rsidP="006B19EE" w:rsidRDefault="006B19EE">
            <w:pPr>
              <w:widowControl/>
              <w:autoSpaceDE/>
              <w:autoSpaceDN/>
              <w:adjustRightInd/>
              <w:jc w:val="right"/>
              <w:rPr>
                <w:rFonts w:ascii="Calibri" w:hAnsi="Calibri" w:cs="Calibri"/>
                <w:color w:val="000000"/>
                <w:sz w:val="16"/>
                <w:szCs w:val="16"/>
              </w:rPr>
            </w:pPr>
            <w:r w:rsidRPr="006B19EE">
              <w:rPr>
                <w:rFonts w:ascii="Calibri" w:hAnsi="Calibri" w:cs="Calibri"/>
                <w:color w:val="000000"/>
                <w:sz w:val="16"/>
                <w:szCs w:val="16"/>
              </w:rPr>
              <w:t xml:space="preserve"> $                         8 </w:t>
            </w:r>
          </w:p>
        </w:tc>
      </w:tr>
      <w:tr w:rsidRPr="006B19EE" w:rsidR="00127A6A" w:rsidTr="006B19EE">
        <w:trPr>
          <w:trHeight w:val="250"/>
        </w:trPr>
        <w:tc>
          <w:tcPr>
            <w:tcW w:w="2840" w:type="dxa"/>
            <w:tcBorders>
              <w:top w:val="single" w:color="auto" w:sz="8" w:space="0"/>
              <w:left w:val="single" w:color="auto" w:sz="8" w:space="0"/>
              <w:bottom w:val="single" w:color="auto" w:sz="8" w:space="0"/>
              <w:right w:val="single" w:color="auto" w:sz="4" w:space="0"/>
            </w:tcBorders>
            <w:shd w:val="clear" w:color="000000" w:fill="DDEBF7"/>
            <w:vAlign w:val="center"/>
            <w:hideMark/>
          </w:tcPr>
          <w:p w:rsidRPr="006B19EE" w:rsidR="006B19EE" w:rsidP="006B19EE" w:rsidRDefault="006B19EE">
            <w:pPr>
              <w:widowControl/>
              <w:autoSpaceDE/>
              <w:autoSpaceDN/>
              <w:adjustRightInd/>
              <w:jc w:val="right"/>
              <w:rPr>
                <w:rFonts w:ascii="Calibri" w:hAnsi="Calibri" w:cs="Calibri"/>
                <w:b/>
                <w:bCs/>
                <w:color w:val="000000"/>
                <w:sz w:val="16"/>
                <w:szCs w:val="16"/>
              </w:rPr>
            </w:pPr>
            <w:r w:rsidRPr="006B19EE">
              <w:rPr>
                <w:rFonts w:ascii="Calibri" w:hAnsi="Calibri" w:cs="Calibri"/>
                <w:b/>
                <w:bCs/>
                <w:color w:val="000000"/>
                <w:sz w:val="16"/>
                <w:szCs w:val="16"/>
              </w:rPr>
              <w:t>TOTALS</w:t>
            </w:r>
          </w:p>
        </w:tc>
        <w:tc>
          <w:tcPr>
            <w:tcW w:w="1110" w:type="dxa"/>
            <w:tcBorders>
              <w:top w:val="single" w:color="auto" w:sz="8" w:space="0"/>
              <w:left w:val="nil"/>
              <w:bottom w:val="single" w:color="auto" w:sz="8" w:space="0"/>
              <w:right w:val="single" w:color="auto" w:sz="4" w:space="0"/>
            </w:tcBorders>
            <w:shd w:val="clear" w:color="000000" w:fill="DDEBF7"/>
            <w:vAlign w:val="center"/>
            <w:hideMark/>
          </w:tcPr>
          <w:p w:rsidRPr="006B19EE" w:rsidR="006B19EE" w:rsidP="006B19EE" w:rsidRDefault="00AA2558">
            <w:pPr>
              <w:widowControl/>
              <w:autoSpaceDE/>
              <w:autoSpaceDN/>
              <w:adjustRightInd/>
              <w:jc w:val="right"/>
              <w:rPr>
                <w:rFonts w:ascii="Calibri" w:hAnsi="Calibri" w:cs="Calibri"/>
                <w:b/>
                <w:bCs/>
                <w:color w:val="000000"/>
                <w:sz w:val="16"/>
                <w:szCs w:val="16"/>
              </w:rPr>
            </w:pPr>
            <w:r>
              <w:rPr>
                <w:rFonts w:ascii="Calibri" w:hAnsi="Calibri" w:cs="Calibri"/>
                <w:b/>
                <w:bCs/>
                <w:color w:val="000000"/>
                <w:sz w:val="16"/>
                <w:szCs w:val="16"/>
              </w:rPr>
              <w:t>802</w:t>
            </w:r>
            <w:r w:rsidRPr="006B19EE" w:rsidR="006B19EE">
              <w:rPr>
                <w:rFonts w:ascii="Calibri" w:hAnsi="Calibri" w:cs="Calibri"/>
                <w:b/>
                <w:bCs/>
                <w:color w:val="000000"/>
                <w:sz w:val="16"/>
                <w:szCs w:val="16"/>
              </w:rPr>
              <w:t> </w:t>
            </w:r>
          </w:p>
        </w:tc>
        <w:tc>
          <w:tcPr>
            <w:tcW w:w="1170" w:type="dxa"/>
            <w:tcBorders>
              <w:top w:val="single" w:color="auto" w:sz="8" w:space="0"/>
              <w:left w:val="nil"/>
              <w:bottom w:val="single" w:color="auto" w:sz="8" w:space="0"/>
              <w:right w:val="single" w:color="auto" w:sz="4" w:space="0"/>
            </w:tcBorders>
            <w:shd w:val="clear" w:color="000000" w:fill="DDEBF7"/>
            <w:vAlign w:val="center"/>
            <w:hideMark/>
          </w:tcPr>
          <w:p w:rsidRPr="006B19EE" w:rsidR="006B19EE" w:rsidP="006B19EE" w:rsidRDefault="00AA2558">
            <w:pPr>
              <w:widowControl/>
              <w:autoSpaceDE/>
              <w:autoSpaceDN/>
              <w:adjustRightInd/>
              <w:jc w:val="right"/>
              <w:rPr>
                <w:rFonts w:ascii="Calibri" w:hAnsi="Calibri" w:cs="Calibri"/>
                <w:b/>
                <w:bCs/>
                <w:color w:val="000000"/>
                <w:sz w:val="16"/>
                <w:szCs w:val="16"/>
              </w:rPr>
            </w:pPr>
            <w:r>
              <w:rPr>
                <w:rFonts w:ascii="Calibri" w:hAnsi="Calibri" w:cs="Calibri"/>
                <w:b/>
                <w:bCs/>
                <w:color w:val="000000"/>
                <w:sz w:val="16"/>
                <w:szCs w:val="16"/>
              </w:rPr>
              <w:t>5</w:t>
            </w:r>
            <w:r w:rsidRPr="006B19EE" w:rsidR="006B19EE">
              <w:rPr>
                <w:rFonts w:ascii="Calibri" w:hAnsi="Calibri" w:cs="Calibri"/>
                <w:b/>
                <w:bCs/>
                <w:color w:val="000000"/>
                <w:sz w:val="16"/>
                <w:szCs w:val="16"/>
              </w:rPr>
              <w:t> </w:t>
            </w:r>
          </w:p>
        </w:tc>
        <w:tc>
          <w:tcPr>
            <w:tcW w:w="1160" w:type="dxa"/>
            <w:tcBorders>
              <w:top w:val="single" w:color="auto" w:sz="8" w:space="0"/>
              <w:left w:val="nil"/>
              <w:bottom w:val="single" w:color="auto" w:sz="8" w:space="0"/>
              <w:right w:val="single" w:color="auto" w:sz="4" w:space="0"/>
            </w:tcBorders>
            <w:shd w:val="clear" w:color="000000" w:fill="DDEBF7"/>
            <w:vAlign w:val="center"/>
            <w:hideMark/>
          </w:tcPr>
          <w:p w:rsidRPr="006B19EE" w:rsidR="006B19EE" w:rsidP="006B19EE" w:rsidRDefault="00AA2558">
            <w:pPr>
              <w:widowControl/>
              <w:autoSpaceDE/>
              <w:autoSpaceDN/>
              <w:adjustRightInd/>
              <w:jc w:val="right"/>
              <w:rPr>
                <w:rFonts w:ascii="Calibri" w:hAnsi="Calibri" w:cs="Calibri"/>
                <w:b/>
                <w:bCs/>
                <w:color w:val="000000"/>
                <w:sz w:val="16"/>
                <w:szCs w:val="16"/>
              </w:rPr>
            </w:pPr>
            <w:r>
              <w:rPr>
                <w:rFonts w:ascii="Calibri" w:hAnsi="Calibri" w:cs="Calibri"/>
                <w:b/>
                <w:bCs/>
                <w:color w:val="000000"/>
                <w:sz w:val="16"/>
                <w:szCs w:val="16"/>
              </w:rPr>
              <w:t>804</w:t>
            </w:r>
          </w:p>
        </w:tc>
        <w:tc>
          <w:tcPr>
            <w:tcW w:w="1270" w:type="dxa"/>
            <w:tcBorders>
              <w:top w:val="single" w:color="auto" w:sz="8" w:space="0"/>
              <w:left w:val="nil"/>
              <w:bottom w:val="single" w:color="auto" w:sz="8" w:space="0"/>
              <w:right w:val="single" w:color="auto" w:sz="4" w:space="0"/>
            </w:tcBorders>
            <w:shd w:val="clear" w:color="000000" w:fill="DDEBF7"/>
            <w:vAlign w:val="center"/>
            <w:hideMark/>
          </w:tcPr>
          <w:p w:rsidRPr="006B19EE" w:rsidR="006B19EE" w:rsidP="006B19EE" w:rsidRDefault="00AA2558">
            <w:pPr>
              <w:widowControl/>
              <w:autoSpaceDE/>
              <w:autoSpaceDN/>
              <w:adjustRightInd/>
              <w:jc w:val="right"/>
              <w:rPr>
                <w:rFonts w:ascii="Calibri" w:hAnsi="Calibri" w:cs="Calibri"/>
                <w:b/>
                <w:bCs/>
                <w:color w:val="000000"/>
                <w:sz w:val="16"/>
                <w:szCs w:val="16"/>
              </w:rPr>
            </w:pPr>
            <w:r>
              <w:rPr>
                <w:rFonts w:ascii="Calibri" w:hAnsi="Calibri" w:cs="Calibri"/>
                <w:b/>
                <w:bCs/>
                <w:color w:val="000000"/>
                <w:sz w:val="16"/>
                <w:szCs w:val="16"/>
              </w:rPr>
              <w:t>$3.3</w:t>
            </w:r>
            <w:r w:rsidRPr="006B19EE" w:rsidR="006B19EE">
              <w:rPr>
                <w:rFonts w:ascii="Calibri" w:hAnsi="Calibri" w:cs="Calibri"/>
                <w:b/>
                <w:bCs/>
                <w:color w:val="000000"/>
                <w:sz w:val="16"/>
                <w:szCs w:val="16"/>
              </w:rPr>
              <w:t> </w:t>
            </w:r>
          </w:p>
        </w:tc>
        <w:tc>
          <w:tcPr>
            <w:tcW w:w="1350" w:type="dxa"/>
            <w:tcBorders>
              <w:top w:val="single" w:color="auto" w:sz="8" w:space="0"/>
              <w:left w:val="nil"/>
              <w:bottom w:val="single" w:color="auto" w:sz="8" w:space="0"/>
              <w:right w:val="single" w:color="auto" w:sz="8" w:space="0"/>
            </w:tcBorders>
            <w:shd w:val="clear" w:color="000000" w:fill="DDEBF7"/>
            <w:vAlign w:val="center"/>
            <w:hideMark/>
          </w:tcPr>
          <w:p w:rsidRPr="006B19EE" w:rsidR="006B19EE" w:rsidP="00AA2558" w:rsidRDefault="006B19EE">
            <w:pPr>
              <w:widowControl/>
              <w:autoSpaceDE/>
              <w:autoSpaceDN/>
              <w:adjustRightInd/>
              <w:jc w:val="right"/>
              <w:rPr>
                <w:rFonts w:ascii="Calibri" w:hAnsi="Calibri" w:cs="Calibri"/>
                <w:b/>
                <w:bCs/>
                <w:color w:val="000000"/>
                <w:sz w:val="16"/>
                <w:szCs w:val="16"/>
              </w:rPr>
            </w:pPr>
            <w:r w:rsidRPr="006B19EE">
              <w:rPr>
                <w:rFonts w:ascii="Calibri" w:hAnsi="Calibri" w:cs="Calibri"/>
                <w:b/>
                <w:bCs/>
                <w:color w:val="000000"/>
                <w:sz w:val="16"/>
                <w:szCs w:val="16"/>
              </w:rPr>
              <w:t xml:space="preserve"> $ </w:t>
            </w:r>
            <w:r w:rsidR="00AA2558">
              <w:rPr>
                <w:rFonts w:ascii="Calibri" w:hAnsi="Calibri" w:cs="Calibri"/>
                <w:b/>
                <w:bCs/>
                <w:color w:val="000000"/>
                <w:sz w:val="16"/>
                <w:szCs w:val="16"/>
              </w:rPr>
              <w:t>380</w:t>
            </w:r>
            <w:r w:rsidRPr="006B19EE">
              <w:rPr>
                <w:rFonts w:ascii="Calibri" w:hAnsi="Calibri" w:cs="Calibri"/>
                <w:b/>
                <w:bCs/>
                <w:color w:val="000000"/>
                <w:sz w:val="16"/>
                <w:szCs w:val="16"/>
              </w:rPr>
              <w:t xml:space="preserve">      </w:t>
            </w:r>
          </w:p>
        </w:tc>
      </w:tr>
    </w:tbl>
    <w:p w:rsidR="00CE5215" w:rsidP="00CE5215" w:rsidRDefault="00CE5215">
      <w:pPr>
        <w:rPr>
          <w:sz w:val="24"/>
          <w:szCs w:val="24"/>
        </w:rPr>
      </w:pPr>
    </w:p>
    <w:p w:rsidRPr="00684E0F" w:rsidR="00224043" w:rsidP="00684E0F" w:rsidRDefault="00856B90">
      <w:pPr>
        <w:pStyle w:val="ListParagraph"/>
        <w:tabs>
          <w:tab w:val="left" w:pos="360"/>
        </w:tabs>
        <w:spacing w:before="80"/>
        <w:ind w:left="0" w:firstLine="0"/>
        <w:rPr>
          <w:rFonts w:cs="Times New Roman"/>
          <w:b/>
          <w:szCs w:val="24"/>
        </w:rPr>
      </w:pPr>
      <w:r>
        <w:rPr>
          <w:b/>
          <w:bCs/>
          <w:szCs w:val="24"/>
        </w:rPr>
        <w:t>14</w:t>
      </w:r>
      <w:r w:rsidRPr="00044045" w:rsidR="00CE5215">
        <w:rPr>
          <w:b/>
          <w:bCs/>
          <w:szCs w:val="24"/>
        </w:rPr>
        <w:t xml:space="preserve">.  </w:t>
      </w:r>
      <w:r w:rsidRPr="00BD7237" w:rsidR="00684E0F">
        <w:rPr>
          <w:rFonts w:cs="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890BC1" w:rsidP="00331661" w:rsidRDefault="00890BC1">
      <w:pPr>
        <w:rPr>
          <w:sz w:val="24"/>
          <w:szCs w:val="24"/>
        </w:rPr>
      </w:pPr>
    </w:p>
    <w:tbl>
      <w:tblPr>
        <w:tblW w:w="7347" w:type="dxa"/>
        <w:tblInd w:w="118" w:type="dxa"/>
        <w:tblLook w:val="04A0" w:firstRow="1" w:lastRow="0" w:firstColumn="1" w:lastColumn="0" w:noHBand="0" w:noVBand="1"/>
      </w:tblPr>
      <w:tblGrid>
        <w:gridCol w:w="1520"/>
        <w:gridCol w:w="1080"/>
        <w:gridCol w:w="1080"/>
        <w:gridCol w:w="1087"/>
        <w:gridCol w:w="1280"/>
        <w:gridCol w:w="1300"/>
      </w:tblGrid>
      <w:tr w:rsidRPr="00890BC1" w:rsidR="00890BC1" w:rsidTr="00890BC1">
        <w:trPr>
          <w:trHeight w:val="450"/>
        </w:trPr>
        <w:tc>
          <w:tcPr>
            <w:tcW w:w="1520" w:type="dxa"/>
            <w:tcBorders>
              <w:top w:val="single" w:color="auto" w:sz="8" w:space="0"/>
              <w:left w:val="single" w:color="auto" w:sz="8" w:space="0"/>
              <w:bottom w:val="nil"/>
              <w:right w:val="single" w:color="auto" w:sz="8" w:space="0"/>
            </w:tcBorders>
            <w:shd w:val="clear" w:color="000000" w:fill="BDD7EE"/>
            <w:vAlign w:val="center"/>
            <w:hideMark/>
          </w:tcPr>
          <w:p w:rsidRPr="00890BC1" w:rsidR="00890BC1" w:rsidP="00890BC1" w:rsidRDefault="00890BC1">
            <w:pPr>
              <w:widowControl/>
              <w:autoSpaceDE/>
              <w:autoSpaceDN/>
              <w:adjustRightInd/>
              <w:jc w:val="center"/>
              <w:rPr>
                <w:rFonts w:ascii="Calibri" w:hAnsi="Calibri" w:cs="Calibri"/>
                <w:b/>
                <w:bCs/>
                <w:color w:val="000000"/>
                <w:sz w:val="16"/>
                <w:szCs w:val="16"/>
              </w:rPr>
            </w:pPr>
            <w:r w:rsidRPr="00890BC1">
              <w:rPr>
                <w:rFonts w:ascii="Calibri" w:hAnsi="Calibri" w:cs="Calibri"/>
                <w:b/>
                <w:bCs/>
                <w:color w:val="000000"/>
                <w:sz w:val="16"/>
                <w:szCs w:val="16"/>
              </w:rPr>
              <w:t>Cost Descriptions</w:t>
            </w:r>
          </w:p>
        </w:tc>
        <w:tc>
          <w:tcPr>
            <w:tcW w:w="1080" w:type="dxa"/>
            <w:tcBorders>
              <w:top w:val="single" w:color="auto" w:sz="8" w:space="0"/>
              <w:left w:val="nil"/>
              <w:bottom w:val="nil"/>
              <w:right w:val="single" w:color="auto" w:sz="8" w:space="0"/>
            </w:tcBorders>
            <w:shd w:val="clear" w:color="000000" w:fill="BDD7EE"/>
            <w:vAlign w:val="center"/>
            <w:hideMark/>
          </w:tcPr>
          <w:p w:rsidRPr="00890BC1" w:rsidR="00890BC1" w:rsidP="00890BC1" w:rsidRDefault="00890BC1">
            <w:pPr>
              <w:widowControl/>
              <w:autoSpaceDE/>
              <w:autoSpaceDN/>
              <w:adjustRightInd/>
              <w:jc w:val="center"/>
              <w:rPr>
                <w:rFonts w:ascii="Calibri" w:hAnsi="Calibri" w:cs="Calibri"/>
                <w:b/>
                <w:bCs/>
                <w:color w:val="000000"/>
                <w:sz w:val="16"/>
                <w:szCs w:val="16"/>
              </w:rPr>
            </w:pPr>
            <w:r w:rsidRPr="00890BC1">
              <w:rPr>
                <w:rFonts w:ascii="Calibri" w:hAnsi="Calibri" w:cs="Calibri"/>
                <w:b/>
                <w:bCs/>
                <w:color w:val="000000"/>
                <w:sz w:val="16"/>
                <w:szCs w:val="16"/>
              </w:rPr>
              <w:t>Grade/Step</w:t>
            </w:r>
          </w:p>
        </w:tc>
        <w:tc>
          <w:tcPr>
            <w:tcW w:w="1080" w:type="dxa"/>
            <w:tcBorders>
              <w:top w:val="single" w:color="auto" w:sz="8" w:space="0"/>
              <w:left w:val="nil"/>
              <w:bottom w:val="nil"/>
              <w:right w:val="single" w:color="auto" w:sz="8" w:space="0"/>
            </w:tcBorders>
            <w:shd w:val="clear" w:color="000000" w:fill="BDD7EE"/>
            <w:vAlign w:val="center"/>
            <w:hideMark/>
          </w:tcPr>
          <w:p w:rsidRPr="00890BC1" w:rsidR="00890BC1" w:rsidP="00890BC1" w:rsidRDefault="00890BC1">
            <w:pPr>
              <w:widowControl/>
              <w:autoSpaceDE/>
              <w:autoSpaceDN/>
              <w:adjustRightInd/>
              <w:jc w:val="center"/>
              <w:rPr>
                <w:rFonts w:ascii="Calibri" w:hAnsi="Calibri" w:cs="Calibri"/>
                <w:b/>
                <w:bCs/>
                <w:color w:val="000000"/>
                <w:sz w:val="16"/>
                <w:szCs w:val="16"/>
              </w:rPr>
            </w:pPr>
            <w:r w:rsidRPr="00890BC1">
              <w:rPr>
                <w:rFonts w:ascii="Calibri" w:hAnsi="Calibri" w:cs="Calibri"/>
                <w:b/>
                <w:bCs/>
                <w:color w:val="000000"/>
                <w:sz w:val="16"/>
                <w:szCs w:val="16"/>
              </w:rPr>
              <w:t>Loaded Salary /Cost</w:t>
            </w:r>
          </w:p>
        </w:tc>
        <w:tc>
          <w:tcPr>
            <w:tcW w:w="1087" w:type="dxa"/>
            <w:tcBorders>
              <w:top w:val="single" w:color="auto" w:sz="8" w:space="0"/>
              <w:left w:val="nil"/>
              <w:bottom w:val="nil"/>
              <w:right w:val="single" w:color="auto" w:sz="8" w:space="0"/>
            </w:tcBorders>
            <w:shd w:val="clear" w:color="000000" w:fill="BDD7EE"/>
            <w:vAlign w:val="center"/>
            <w:hideMark/>
          </w:tcPr>
          <w:p w:rsidRPr="00890BC1" w:rsidR="00890BC1" w:rsidP="00890BC1" w:rsidRDefault="00890BC1">
            <w:pPr>
              <w:widowControl/>
              <w:autoSpaceDE/>
              <w:autoSpaceDN/>
              <w:adjustRightInd/>
              <w:jc w:val="center"/>
              <w:rPr>
                <w:rFonts w:ascii="Calibri" w:hAnsi="Calibri" w:cs="Calibri"/>
                <w:b/>
                <w:bCs/>
                <w:color w:val="000000"/>
                <w:sz w:val="16"/>
                <w:szCs w:val="16"/>
              </w:rPr>
            </w:pPr>
            <w:r w:rsidRPr="00890BC1">
              <w:rPr>
                <w:rFonts w:ascii="Calibri" w:hAnsi="Calibri" w:cs="Calibri"/>
                <w:b/>
                <w:bCs/>
                <w:color w:val="000000"/>
                <w:sz w:val="16"/>
                <w:szCs w:val="16"/>
              </w:rPr>
              <w:t>% of Effort</w:t>
            </w:r>
          </w:p>
        </w:tc>
        <w:tc>
          <w:tcPr>
            <w:tcW w:w="1280" w:type="dxa"/>
            <w:tcBorders>
              <w:top w:val="single" w:color="auto" w:sz="8" w:space="0"/>
              <w:left w:val="nil"/>
              <w:bottom w:val="nil"/>
              <w:right w:val="single" w:color="auto" w:sz="8" w:space="0"/>
            </w:tcBorders>
            <w:shd w:val="clear" w:color="000000" w:fill="BDD7EE"/>
            <w:vAlign w:val="center"/>
            <w:hideMark/>
          </w:tcPr>
          <w:p w:rsidRPr="00890BC1" w:rsidR="00890BC1" w:rsidP="00890BC1" w:rsidRDefault="00890BC1">
            <w:pPr>
              <w:widowControl/>
              <w:autoSpaceDE/>
              <w:autoSpaceDN/>
              <w:adjustRightInd/>
              <w:jc w:val="center"/>
              <w:rPr>
                <w:rFonts w:ascii="Calibri" w:hAnsi="Calibri" w:cs="Calibri"/>
                <w:b/>
                <w:bCs/>
                <w:color w:val="000000"/>
                <w:sz w:val="16"/>
                <w:szCs w:val="16"/>
              </w:rPr>
            </w:pPr>
            <w:r w:rsidRPr="00890BC1">
              <w:rPr>
                <w:rFonts w:ascii="Calibri" w:hAnsi="Calibri" w:cs="Calibri"/>
                <w:b/>
                <w:bCs/>
                <w:color w:val="000000"/>
                <w:sz w:val="16"/>
                <w:szCs w:val="16"/>
              </w:rPr>
              <w:t>Fringe (if Applicable)</w:t>
            </w:r>
          </w:p>
        </w:tc>
        <w:tc>
          <w:tcPr>
            <w:tcW w:w="1300" w:type="dxa"/>
            <w:tcBorders>
              <w:top w:val="single" w:color="auto" w:sz="8" w:space="0"/>
              <w:left w:val="nil"/>
              <w:bottom w:val="nil"/>
              <w:right w:val="single" w:color="auto" w:sz="8" w:space="0"/>
            </w:tcBorders>
            <w:shd w:val="clear" w:color="000000" w:fill="BDD7EE"/>
            <w:vAlign w:val="center"/>
            <w:hideMark/>
          </w:tcPr>
          <w:p w:rsidRPr="00890BC1" w:rsidR="00890BC1" w:rsidP="00890BC1" w:rsidRDefault="00890BC1">
            <w:pPr>
              <w:widowControl/>
              <w:autoSpaceDE/>
              <w:autoSpaceDN/>
              <w:adjustRightInd/>
              <w:jc w:val="center"/>
              <w:rPr>
                <w:rFonts w:ascii="Calibri" w:hAnsi="Calibri" w:cs="Calibri"/>
                <w:b/>
                <w:bCs/>
                <w:color w:val="000000"/>
                <w:sz w:val="16"/>
                <w:szCs w:val="16"/>
              </w:rPr>
            </w:pPr>
            <w:r w:rsidRPr="00890BC1">
              <w:rPr>
                <w:rFonts w:ascii="Calibri" w:hAnsi="Calibri" w:cs="Calibri"/>
                <w:b/>
                <w:bCs/>
                <w:color w:val="000000"/>
                <w:sz w:val="16"/>
                <w:szCs w:val="16"/>
              </w:rPr>
              <w:t>Total Cost to Government</w:t>
            </w:r>
          </w:p>
        </w:tc>
      </w:tr>
      <w:tr w:rsidRPr="00890BC1" w:rsidR="00890BC1" w:rsidTr="00314A8B">
        <w:trPr>
          <w:trHeight w:val="465"/>
        </w:trPr>
        <w:tc>
          <w:tcPr>
            <w:tcW w:w="1520" w:type="dxa"/>
            <w:tcBorders>
              <w:top w:val="single" w:color="auto" w:sz="4" w:space="0"/>
              <w:left w:val="single" w:color="auto" w:sz="8" w:space="0"/>
              <w:bottom w:val="single" w:color="auto" w:sz="4" w:space="0"/>
              <w:right w:val="single" w:color="auto" w:sz="8" w:space="0"/>
            </w:tcBorders>
            <w:shd w:val="clear" w:color="auto" w:fill="auto"/>
            <w:vAlign w:val="bottom"/>
            <w:hideMark/>
          </w:tcPr>
          <w:p w:rsidRPr="00890BC1" w:rsidR="00890BC1" w:rsidP="00890BC1" w:rsidRDefault="00890BC1">
            <w:pPr>
              <w:widowControl/>
              <w:autoSpaceDE/>
              <w:autoSpaceDN/>
              <w:adjustRightInd/>
              <w:rPr>
                <w:rFonts w:ascii="Calibri" w:hAnsi="Calibri" w:cs="Calibri"/>
                <w:b/>
                <w:bCs/>
                <w:color w:val="000000"/>
                <w:sz w:val="16"/>
                <w:szCs w:val="16"/>
              </w:rPr>
            </w:pPr>
            <w:r w:rsidRPr="00890BC1">
              <w:rPr>
                <w:rFonts w:ascii="Calibri" w:hAnsi="Calibri" w:cs="Calibri"/>
                <w:b/>
                <w:bCs/>
                <w:color w:val="000000"/>
                <w:sz w:val="16"/>
                <w:szCs w:val="16"/>
              </w:rPr>
              <w:t>Federal Oversight</w:t>
            </w:r>
          </w:p>
        </w:tc>
        <w:tc>
          <w:tcPr>
            <w:tcW w:w="1080" w:type="dxa"/>
            <w:tcBorders>
              <w:top w:val="single" w:color="auto" w:sz="4" w:space="0"/>
              <w:left w:val="nil"/>
              <w:bottom w:val="single" w:color="auto" w:sz="4" w:space="0"/>
              <w:right w:val="single" w:color="auto" w:sz="4" w:space="0"/>
            </w:tcBorders>
            <w:shd w:val="clear" w:color="auto" w:fill="FFFFFF"/>
            <w:noWrap/>
            <w:vAlign w:val="bottom"/>
            <w:hideMark/>
          </w:tcPr>
          <w:p w:rsidRPr="00890BC1" w:rsidR="00890BC1" w:rsidP="00890BC1" w:rsidRDefault="00890BC1">
            <w:pPr>
              <w:widowControl/>
              <w:autoSpaceDE/>
              <w:autoSpaceDN/>
              <w:adjustRightInd/>
              <w:rPr>
                <w:rFonts w:ascii="Calibri" w:hAnsi="Calibri" w:cs="Calibri"/>
                <w:color w:val="000000"/>
                <w:sz w:val="16"/>
                <w:szCs w:val="16"/>
              </w:rPr>
            </w:pPr>
            <w:r w:rsidRPr="00890BC1">
              <w:rPr>
                <w:rFonts w:ascii="Calibri" w:hAnsi="Calibri" w:cs="Calibri"/>
                <w:color w:val="000000"/>
                <w:sz w:val="16"/>
                <w:szCs w:val="16"/>
              </w:rPr>
              <w:t> </w:t>
            </w:r>
            <w:r w:rsidR="00AA2558">
              <w:rPr>
                <w:rFonts w:ascii="Calibri" w:hAnsi="Calibri" w:cs="Calibri"/>
                <w:color w:val="000000"/>
                <w:sz w:val="16"/>
                <w:szCs w:val="16"/>
              </w:rPr>
              <w:t>ZS-04</w:t>
            </w:r>
          </w:p>
        </w:tc>
        <w:tc>
          <w:tcPr>
            <w:tcW w:w="1080" w:type="dxa"/>
            <w:tcBorders>
              <w:top w:val="single" w:color="auto" w:sz="4" w:space="0"/>
              <w:left w:val="nil"/>
              <w:bottom w:val="single" w:color="auto" w:sz="4" w:space="0"/>
              <w:right w:val="single" w:color="auto" w:sz="4" w:space="0"/>
            </w:tcBorders>
            <w:shd w:val="clear" w:color="auto" w:fill="FFFFFF"/>
            <w:noWrap/>
            <w:vAlign w:val="bottom"/>
            <w:hideMark/>
          </w:tcPr>
          <w:p w:rsidRPr="00890BC1" w:rsidR="00890BC1" w:rsidP="00890BC1" w:rsidRDefault="00AA2558">
            <w:pPr>
              <w:widowControl/>
              <w:autoSpaceDE/>
              <w:autoSpaceDN/>
              <w:adjustRightInd/>
              <w:rPr>
                <w:rFonts w:ascii="Calibri" w:hAnsi="Calibri" w:cs="Calibri"/>
                <w:color w:val="000000"/>
                <w:sz w:val="16"/>
                <w:szCs w:val="16"/>
              </w:rPr>
            </w:pPr>
            <w:r>
              <w:rPr>
                <w:rFonts w:ascii="Calibri" w:hAnsi="Calibri" w:cs="Calibri"/>
                <w:color w:val="000000"/>
                <w:sz w:val="16"/>
                <w:szCs w:val="16"/>
              </w:rPr>
              <w:t>$43,514</w:t>
            </w:r>
          </w:p>
        </w:tc>
        <w:tc>
          <w:tcPr>
            <w:tcW w:w="1087" w:type="dxa"/>
            <w:tcBorders>
              <w:top w:val="single" w:color="auto" w:sz="4" w:space="0"/>
              <w:left w:val="nil"/>
              <w:bottom w:val="single" w:color="auto" w:sz="4" w:space="0"/>
              <w:right w:val="single" w:color="auto" w:sz="4" w:space="0"/>
            </w:tcBorders>
            <w:shd w:val="clear" w:color="auto" w:fill="FFFFFF"/>
            <w:noWrap/>
            <w:vAlign w:val="bottom"/>
            <w:hideMark/>
          </w:tcPr>
          <w:p w:rsidRPr="00890BC1" w:rsidR="00890BC1" w:rsidP="00890BC1" w:rsidRDefault="00AA2558">
            <w:pPr>
              <w:widowControl/>
              <w:autoSpaceDE/>
              <w:autoSpaceDN/>
              <w:adjustRightInd/>
              <w:rPr>
                <w:rFonts w:ascii="Calibri" w:hAnsi="Calibri" w:cs="Calibri"/>
                <w:color w:val="000000"/>
                <w:sz w:val="16"/>
                <w:szCs w:val="16"/>
              </w:rPr>
            </w:pPr>
            <w:r>
              <w:rPr>
                <w:rFonts w:ascii="Calibri" w:hAnsi="Calibri" w:cs="Calibri"/>
                <w:color w:val="000000"/>
                <w:sz w:val="16"/>
                <w:szCs w:val="16"/>
              </w:rPr>
              <w:t>10</w:t>
            </w:r>
          </w:p>
        </w:tc>
        <w:tc>
          <w:tcPr>
            <w:tcW w:w="1280" w:type="dxa"/>
            <w:tcBorders>
              <w:top w:val="single" w:color="auto" w:sz="4" w:space="0"/>
              <w:left w:val="nil"/>
              <w:bottom w:val="single" w:color="auto" w:sz="4" w:space="0"/>
              <w:right w:val="single" w:color="auto" w:sz="4" w:space="0"/>
            </w:tcBorders>
            <w:shd w:val="clear" w:color="000000" w:fill="808080"/>
            <w:noWrap/>
            <w:vAlign w:val="bottom"/>
            <w:hideMark/>
          </w:tcPr>
          <w:p w:rsidRPr="00890BC1" w:rsidR="00890BC1" w:rsidP="00890BC1" w:rsidRDefault="00890BC1">
            <w:pPr>
              <w:widowControl/>
              <w:autoSpaceDE/>
              <w:autoSpaceDN/>
              <w:adjustRightInd/>
              <w:rPr>
                <w:rFonts w:ascii="Calibri" w:hAnsi="Calibri" w:cs="Calibri"/>
                <w:color w:val="000000"/>
                <w:sz w:val="16"/>
                <w:szCs w:val="16"/>
              </w:rPr>
            </w:pPr>
            <w:r w:rsidRPr="00890BC1">
              <w:rPr>
                <w:rFonts w:ascii="Calibri" w:hAnsi="Calibri" w:cs="Calibri"/>
                <w:color w:val="000000"/>
                <w:sz w:val="16"/>
                <w:szCs w:val="16"/>
              </w:rPr>
              <w:t> </w:t>
            </w:r>
          </w:p>
        </w:tc>
        <w:tc>
          <w:tcPr>
            <w:tcW w:w="1300" w:type="dxa"/>
            <w:tcBorders>
              <w:top w:val="single" w:color="auto" w:sz="4" w:space="0"/>
              <w:left w:val="nil"/>
              <w:bottom w:val="single" w:color="auto" w:sz="4" w:space="0"/>
              <w:right w:val="single" w:color="auto" w:sz="8" w:space="0"/>
            </w:tcBorders>
            <w:shd w:val="clear" w:color="auto" w:fill="FFFFFF"/>
            <w:noWrap/>
            <w:vAlign w:val="bottom"/>
            <w:hideMark/>
          </w:tcPr>
          <w:p w:rsidRPr="00890BC1" w:rsidR="00890BC1" w:rsidP="00890BC1" w:rsidRDefault="00AA2558">
            <w:pPr>
              <w:widowControl/>
              <w:autoSpaceDE/>
              <w:autoSpaceDN/>
              <w:adjustRightInd/>
              <w:rPr>
                <w:rFonts w:ascii="Calibri" w:hAnsi="Calibri" w:cs="Calibri"/>
                <w:color w:val="000000"/>
                <w:sz w:val="16"/>
                <w:szCs w:val="16"/>
              </w:rPr>
            </w:pPr>
            <w:r>
              <w:rPr>
                <w:rFonts w:ascii="Calibri" w:hAnsi="Calibri" w:cs="Calibri"/>
                <w:color w:val="000000"/>
                <w:sz w:val="16"/>
                <w:szCs w:val="16"/>
              </w:rPr>
              <w:t>$4,351</w:t>
            </w:r>
          </w:p>
        </w:tc>
      </w:tr>
      <w:tr w:rsidRPr="00890BC1" w:rsidR="00890BC1" w:rsidTr="00314A8B">
        <w:trPr>
          <w:trHeight w:val="300"/>
        </w:trPr>
        <w:tc>
          <w:tcPr>
            <w:tcW w:w="1520" w:type="dxa"/>
            <w:tcBorders>
              <w:top w:val="nil"/>
              <w:left w:val="single" w:color="auto" w:sz="8" w:space="0"/>
              <w:bottom w:val="single" w:color="auto" w:sz="4" w:space="0"/>
              <w:right w:val="single" w:color="auto" w:sz="8" w:space="0"/>
            </w:tcBorders>
            <w:shd w:val="clear" w:color="auto" w:fill="auto"/>
            <w:noWrap/>
            <w:vAlign w:val="bottom"/>
            <w:hideMark/>
          </w:tcPr>
          <w:p w:rsidRPr="00890BC1" w:rsidR="00890BC1" w:rsidP="00890BC1" w:rsidRDefault="00890BC1">
            <w:pPr>
              <w:widowControl/>
              <w:autoSpaceDE/>
              <w:autoSpaceDN/>
              <w:adjustRightInd/>
              <w:rPr>
                <w:rFonts w:ascii="Calibri" w:hAnsi="Calibri" w:cs="Calibri"/>
                <w:color w:val="000000"/>
                <w:sz w:val="16"/>
                <w:szCs w:val="16"/>
              </w:rPr>
            </w:pPr>
            <w:r w:rsidRPr="00890BC1">
              <w:rPr>
                <w:rFonts w:ascii="Calibri" w:hAnsi="Calibri" w:cs="Calibri"/>
                <w:color w:val="000000"/>
                <w:sz w:val="16"/>
                <w:szCs w:val="16"/>
              </w:rPr>
              <w:t> </w:t>
            </w:r>
          </w:p>
        </w:tc>
        <w:tc>
          <w:tcPr>
            <w:tcW w:w="1080" w:type="dxa"/>
            <w:tcBorders>
              <w:top w:val="nil"/>
              <w:left w:val="nil"/>
              <w:bottom w:val="single" w:color="auto" w:sz="4" w:space="0"/>
              <w:right w:val="single" w:color="auto" w:sz="4" w:space="0"/>
            </w:tcBorders>
            <w:shd w:val="clear" w:color="auto" w:fill="FFFFFF"/>
            <w:noWrap/>
            <w:vAlign w:val="bottom"/>
            <w:hideMark/>
          </w:tcPr>
          <w:p w:rsidRPr="00890BC1" w:rsidR="00890BC1" w:rsidP="00890BC1" w:rsidRDefault="00890BC1">
            <w:pPr>
              <w:widowControl/>
              <w:autoSpaceDE/>
              <w:autoSpaceDN/>
              <w:adjustRightInd/>
              <w:rPr>
                <w:rFonts w:ascii="Calibri" w:hAnsi="Calibri" w:cs="Calibri"/>
                <w:color w:val="000000"/>
                <w:sz w:val="16"/>
                <w:szCs w:val="16"/>
              </w:rPr>
            </w:pPr>
            <w:r w:rsidRPr="00890BC1">
              <w:rPr>
                <w:rFonts w:ascii="Calibri" w:hAnsi="Calibri" w:cs="Calibri"/>
                <w:color w:val="000000"/>
                <w:sz w:val="16"/>
                <w:szCs w:val="16"/>
              </w:rPr>
              <w:t> </w:t>
            </w:r>
            <w:r w:rsidR="00AA2558">
              <w:rPr>
                <w:rFonts w:ascii="Calibri" w:hAnsi="Calibri" w:cs="Calibri"/>
                <w:color w:val="000000"/>
                <w:sz w:val="16"/>
                <w:szCs w:val="16"/>
              </w:rPr>
              <w:t>G</w:t>
            </w:r>
            <w:r w:rsidR="00F102A4">
              <w:rPr>
                <w:rFonts w:ascii="Calibri" w:hAnsi="Calibri" w:cs="Calibri"/>
                <w:color w:val="000000"/>
                <w:sz w:val="16"/>
                <w:szCs w:val="16"/>
              </w:rPr>
              <w:t>S</w:t>
            </w:r>
            <w:r w:rsidR="00AA2558">
              <w:rPr>
                <w:rFonts w:ascii="Calibri" w:hAnsi="Calibri" w:cs="Calibri"/>
                <w:color w:val="000000"/>
                <w:sz w:val="16"/>
                <w:szCs w:val="16"/>
              </w:rPr>
              <w:t>-12-01</w:t>
            </w:r>
          </w:p>
        </w:tc>
        <w:tc>
          <w:tcPr>
            <w:tcW w:w="1080" w:type="dxa"/>
            <w:tcBorders>
              <w:top w:val="nil"/>
              <w:left w:val="nil"/>
              <w:bottom w:val="single" w:color="auto" w:sz="4" w:space="0"/>
              <w:right w:val="single" w:color="auto" w:sz="4" w:space="0"/>
            </w:tcBorders>
            <w:shd w:val="clear" w:color="auto" w:fill="FFFFFF"/>
            <w:noWrap/>
            <w:vAlign w:val="bottom"/>
            <w:hideMark/>
          </w:tcPr>
          <w:p w:rsidRPr="00890BC1" w:rsidR="00890BC1" w:rsidP="00890BC1" w:rsidRDefault="00AA2558">
            <w:pPr>
              <w:widowControl/>
              <w:autoSpaceDE/>
              <w:autoSpaceDN/>
              <w:adjustRightInd/>
              <w:rPr>
                <w:rFonts w:ascii="Calibri" w:hAnsi="Calibri" w:cs="Calibri"/>
                <w:color w:val="000000"/>
                <w:sz w:val="16"/>
                <w:szCs w:val="16"/>
              </w:rPr>
            </w:pPr>
            <w:r>
              <w:rPr>
                <w:rFonts w:ascii="Calibri" w:hAnsi="Calibri" w:cs="Calibri"/>
                <w:color w:val="000000"/>
                <w:sz w:val="16"/>
                <w:szCs w:val="16"/>
              </w:rPr>
              <w:t>$64,490</w:t>
            </w:r>
          </w:p>
        </w:tc>
        <w:tc>
          <w:tcPr>
            <w:tcW w:w="1087" w:type="dxa"/>
            <w:tcBorders>
              <w:top w:val="nil"/>
              <w:left w:val="nil"/>
              <w:bottom w:val="single" w:color="auto" w:sz="4" w:space="0"/>
              <w:right w:val="single" w:color="auto" w:sz="4" w:space="0"/>
            </w:tcBorders>
            <w:shd w:val="clear" w:color="auto" w:fill="FFFFFF"/>
            <w:noWrap/>
            <w:vAlign w:val="bottom"/>
            <w:hideMark/>
          </w:tcPr>
          <w:p w:rsidRPr="00890BC1" w:rsidR="00890BC1" w:rsidP="00890BC1" w:rsidRDefault="00AA2558">
            <w:pPr>
              <w:widowControl/>
              <w:autoSpaceDE/>
              <w:autoSpaceDN/>
              <w:adjustRightInd/>
              <w:rPr>
                <w:rFonts w:ascii="Calibri" w:hAnsi="Calibri" w:cs="Calibri"/>
                <w:color w:val="000000"/>
                <w:sz w:val="16"/>
                <w:szCs w:val="16"/>
              </w:rPr>
            </w:pPr>
            <w:r>
              <w:rPr>
                <w:rFonts w:ascii="Calibri" w:hAnsi="Calibri" w:cs="Calibri"/>
                <w:color w:val="000000"/>
                <w:sz w:val="16"/>
                <w:szCs w:val="16"/>
              </w:rPr>
              <w:t>10</w:t>
            </w:r>
          </w:p>
        </w:tc>
        <w:tc>
          <w:tcPr>
            <w:tcW w:w="1280" w:type="dxa"/>
            <w:tcBorders>
              <w:top w:val="nil"/>
              <w:left w:val="nil"/>
              <w:bottom w:val="single" w:color="auto" w:sz="4" w:space="0"/>
              <w:right w:val="single" w:color="auto" w:sz="4" w:space="0"/>
            </w:tcBorders>
            <w:shd w:val="clear" w:color="000000" w:fill="808080"/>
            <w:noWrap/>
            <w:vAlign w:val="bottom"/>
            <w:hideMark/>
          </w:tcPr>
          <w:p w:rsidRPr="00890BC1" w:rsidR="00890BC1" w:rsidP="00890BC1" w:rsidRDefault="00890BC1">
            <w:pPr>
              <w:widowControl/>
              <w:autoSpaceDE/>
              <w:autoSpaceDN/>
              <w:adjustRightInd/>
              <w:rPr>
                <w:rFonts w:ascii="Calibri" w:hAnsi="Calibri" w:cs="Calibri"/>
                <w:color w:val="000000"/>
                <w:sz w:val="16"/>
                <w:szCs w:val="16"/>
              </w:rPr>
            </w:pPr>
            <w:r w:rsidRPr="00890BC1">
              <w:rPr>
                <w:rFonts w:ascii="Calibri" w:hAnsi="Calibri" w:cs="Calibri"/>
                <w:color w:val="000000"/>
                <w:sz w:val="16"/>
                <w:szCs w:val="16"/>
              </w:rPr>
              <w:t> </w:t>
            </w:r>
          </w:p>
        </w:tc>
        <w:tc>
          <w:tcPr>
            <w:tcW w:w="1300" w:type="dxa"/>
            <w:tcBorders>
              <w:top w:val="nil"/>
              <w:left w:val="nil"/>
              <w:bottom w:val="single" w:color="auto" w:sz="4" w:space="0"/>
              <w:right w:val="single" w:color="auto" w:sz="8" w:space="0"/>
            </w:tcBorders>
            <w:shd w:val="clear" w:color="auto" w:fill="FFFFFF"/>
            <w:noWrap/>
            <w:vAlign w:val="bottom"/>
            <w:hideMark/>
          </w:tcPr>
          <w:p w:rsidRPr="00890BC1" w:rsidR="00890BC1" w:rsidP="00890BC1" w:rsidRDefault="00AA2558">
            <w:pPr>
              <w:widowControl/>
              <w:autoSpaceDE/>
              <w:autoSpaceDN/>
              <w:adjustRightInd/>
              <w:rPr>
                <w:rFonts w:ascii="Calibri" w:hAnsi="Calibri" w:cs="Calibri"/>
                <w:color w:val="000000"/>
                <w:sz w:val="16"/>
                <w:szCs w:val="16"/>
              </w:rPr>
            </w:pPr>
            <w:r>
              <w:rPr>
                <w:rFonts w:ascii="Calibri" w:hAnsi="Calibri" w:cs="Calibri"/>
                <w:color w:val="000000"/>
                <w:sz w:val="16"/>
                <w:szCs w:val="16"/>
              </w:rPr>
              <w:t>$6,449</w:t>
            </w:r>
          </w:p>
        </w:tc>
      </w:tr>
      <w:tr w:rsidRPr="00890BC1" w:rsidR="00890BC1" w:rsidTr="00314A8B">
        <w:trPr>
          <w:trHeight w:val="300"/>
        </w:trPr>
        <w:tc>
          <w:tcPr>
            <w:tcW w:w="1520" w:type="dxa"/>
            <w:tcBorders>
              <w:top w:val="nil"/>
              <w:left w:val="single" w:color="auto" w:sz="8" w:space="0"/>
              <w:bottom w:val="single" w:color="auto" w:sz="4" w:space="0"/>
              <w:right w:val="single" w:color="auto" w:sz="8" w:space="0"/>
            </w:tcBorders>
            <w:shd w:val="clear" w:color="auto" w:fill="auto"/>
            <w:noWrap/>
            <w:vAlign w:val="bottom"/>
            <w:hideMark/>
          </w:tcPr>
          <w:p w:rsidRPr="00890BC1" w:rsidR="00890BC1" w:rsidP="00890BC1" w:rsidRDefault="00890BC1">
            <w:pPr>
              <w:widowControl/>
              <w:autoSpaceDE/>
              <w:autoSpaceDN/>
              <w:adjustRightInd/>
              <w:rPr>
                <w:rFonts w:ascii="Calibri" w:hAnsi="Calibri" w:cs="Calibri"/>
                <w:color w:val="000000"/>
                <w:sz w:val="16"/>
                <w:szCs w:val="16"/>
              </w:rPr>
            </w:pPr>
            <w:r w:rsidRPr="00890BC1">
              <w:rPr>
                <w:rFonts w:ascii="Calibri" w:hAnsi="Calibri" w:cs="Calibri"/>
                <w:color w:val="000000"/>
                <w:sz w:val="16"/>
                <w:szCs w:val="16"/>
              </w:rPr>
              <w:t> </w:t>
            </w:r>
          </w:p>
        </w:tc>
        <w:tc>
          <w:tcPr>
            <w:tcW w:w="1080" w:type="dxa"/>
            <w:tcBorders>
              <w:top w:val="nil"/>
              <w:left w:val="nil"/>
              <w:bottom w:val="single" w:color="auto" w:sz="4" w:space="0"/>
              <w:right w:val="single" w:color="auto" w:sz="4" w:space="0"/>
            </w:tcBorders>
            <w:shd w:val="clear" w:color="auto" w:fill="FFFFFF"/>
            <w:noWrap/>
            <w:vAlign w:val="bottom"/>
            <w:hideMark/>
          </w:tcPr>
          <w:p w:rsidRPr="00890BC1" w:rsidR="00890BC1" w:rsidP="00890BC1" w:rsidRDefault="00890BC1">
            <w:pPr>
              <w:widowControl/>
              <w:autoSpaceDE/>
              <w:autoSpaceDN/>
              <w:adjustRightInd/>
              <w:rPr>
                <w:rFonts w:ascii="Calibri" w:hAnsi="Calibri" w:cs="Calibri"/>
                <w:color w:val="000000"/>
                <w:sz w:val="16"/>
                <w:szCs w:val="16"/>
              </w:rPr>
            </w:pPr>
            <w:r w:rsidRPr="00890BC1">
              <w:rPr>
                <w:rFonts w:ascii="Calibri" w:hAnsi="Calibri" w:cs="Calibri"/>
                <w:color w:val="000000"/>
                <w:sz w:val="16"/>
                <w:szCs w:val="16"/>
              </w:rPr>
              <w:t> </w:t>
            </w:r>
          </w:p>
        </w:tc>
        <w:tc>
          <w:tcPr>
            <w:tcW w:w="1080" w:type="dxa"/>
            <w:tcBorders>
              <w:top w:val="nil"/>
              <w:left w:val="nil"/>
              <w:bottom w:val="single" w:color="auto" w:sz="4" w:space="0"/>
              <w:right w:val="single" w:color="auto" w:sz="4" w:space="0"/>
            </w:tcBorders>
            <w:shd w:val="clear" w:color="auto" w:fill="FFFFFF"/>
            <w:noWrap/>
            <w:vAlign w:val="bottom"/>
            <w:hideMark/>
          </w:tcPr>
          <w:p w:rsidRPr="00890BC1" w:rsidR="00890BC1" w:rsidP="00890BC1" w:rsidRDefault="00890BC1">
            <w:pPr>
              <w:widowControl/>
              <w:autoSpaceDE/>
              <w:autoSpaceDN/>
              <w:adjustRightInd/>
              <w:rPr>
                <w:rFonts w:ascii="Calibri" w:hAnsi="Calibri" w:cs="Calibri"/>
                <w:color w:val="000000"/>
                <w:sz w:val="16"/>
                <w:szCs w:val="16"/>
              </w:rPr>
            </w:pPr>
            <w:r w:rsidRPr="00890BC1">
              <w:rPr>
                <w:rFonts w:ascii="Calibri" w:hAnsi="Calibri" w:cs="Calibri"/>
                <w:color w:val="000000"/>
                <w:sz w:val="16"/>
                <w:szCs w:val="16"/>
              </w:rPr>
              <w:t> </w:t>
            </w:r>
          </w:p>
        </w:tc>
        <w:tc>
          <w:tcPr>
            <w:tcW w:w="1087" w:type="dxa"/>
            <w:tcBorders>
              <w:top w:val="nil"/>
              <w:left w:val="nil"/>
              <w:bottom w:val="single" w:color="auto" w:sz="4" w:space="0"/>
              <w:right w:val="single" w:color="auto" w:sz="4" w:space="0"/>
            </w:tcBorders>
            <w:shd w:val="clear" w:color="auto" w:fill="FFFFFF"/>
            <w:noWrap/>
            <w:vAlign w:val="bottom"/>
            <w:hideMark/>
          </w:tcPr>
          <w:p w:rsidRPr="00890BC1" w:rsidR="00890BC1" w:rsidP="00890BC1" w:rsidRDefault="00890BC1">
            <w:pPr>
              <w:widowControl/>
              <w:autoSpaceDE/>
              <w:autoSpaceDN/>
              <w:adjustRightInd/>
              <w:rPr>
                <w:rFonts w:ascii="Calibri" w:hAnsi="Calibri" w:cs="Calibri"/>
                <w:color w:val="000000"/>
                <w:sz w:val="16"/>
                <w:szCs w:val="16"/>
              </w:rPr>
            </w:pPr>
            <w:r w:rsidRPr="00890BC1">
              <w:rPr>
                <w:rFonts w:ascii="Calibri" w:hAnsi="Calibri" w:cs="Calibri"/>
                <w:color w:val="000000"/>
                <w:sz w:val="16"/>
                <w:szCs w:val="16"/>
              </w:rPr>
              <w:t> </w:t>
            </w:r>
          </w:p>
        </w:tc>
        <w:tc>
          <w:tcPr>
            <w:tcW w:w="1280" w:type="dxa"/>
            <w:tcBorders>
              <w:top w:val="nil"/>
              <w:left w:val="nil"/>
              <w:bottom w:val="single" w:color="auto" w:sz="4" w:space="0"/>
              <w:right w:val="single" w:color="auto" w:sz="4" w:space="0"/>
            </w:tcBorders>
            <w:shd w:val="clear" w:color="000000" w:fill="808080"/>
            <w:noWrap/>
            <w:vAlign w:val="bottom"/>
            <w:hideMark/>
          </w:tcPr>
          <w:p w:rsidRPr="00890BC1" w:rsidR="00890BC1" w:rsidP="00890BC1" w:rsidRDefault="00890BC1">
            <w:pPr>
              <w:widowControl/>
              <w:autoSpaceDE/>
              <w:autoSpaceDN/>
              <w:adjustRightInd/>
              <w:rPr>
                <w:rFonts w:ascii="Calibri" w:hAnsi="Calibri" w:cs="Calibri"/>
                <w:color w:val="000000"/>
                <w:sz w:val="16"/>
                <w:szCs w:val="16"/>
              </w:rPr>
            </w:pPr>
            <w:r w:rsidRPr="00890BC1">
              <w:rPr>
                <w:rFonts w:ascii="Calibri" w:hAnsi="Calibri" w:cs="Calibri"/>
                <w:color w:val="000000"/>
                <w:sz w:val="16"/>
                <w:szCs w:val="16"/>
              </w:rPr>
              <w:t> </w:t>
            </w:r>
          </w:p>
        </w:tc>
        <w:tc>
          <w:tcPr>
            <w:tcW w:w="1300" w:type="dxa"/>
            <w:tcBorders>
              <w:top w:val="nil"/>
              <w:left w:val="nil"/>
              <w:bottom w:val="single" w:color="auto" w:sz="4" w:space="0"/>
              <w:right w:val="single" w:color="auto" w:sz="8" w:space="0"/>
            </w:tcBorders>
            <w:shd w:val="clear" w:color="auto" w:fill="FFFFFF"/>
            <w:noWrap/>
            <w:vAlign w:val="bottom"/>
            <w:hideMark/>
          </w:tcPr>
          <w:p w:rsidRPr="00890BC1" w:rsidR="00890BC1" w:rsidP="00890BC1" w:rsidRDefault="00890BC1">
            <w:pPr>
              <w:widowControl/>
              <w:autoSpaceDE/>
              <w:autoSpaceDN/>
              <w:adjustRightInd/>
              <w:rPr>
                <w:rFonts w:ascii="Calibri" w:hAnsi="Calibri" w:cs="Calibri"/>
                <w:color w:val="000000"/>
                <w:sz w:val="16"/>
                <w:szCs w:val="16"/>
              </w:rPr>
            </w:pPr>
            <w:r w:rsidRPr="00890BC1">
              <w:rPr>
                <w:rFonts w:ascii="Calibri" w:hAnsi="Calibri" w:cs="Calibri"/>
                <w:color w:val="000000"/>
                <w:sz w:val="16"/>
                <w:szCs w:val="16"/>
              </w:rPr>
              <w:t> </w:t>
            </w:r>
          </w:p>
        </w:tc>
      </w:tr>
      <w:tr w:rsidRPr="00890BC1" w:rsidR="00890BC1" w:rsidTr="00890BC1">
        <w:trPr>
          <w:trHeight w:val="300"/>
        </w:trPr>
        <w:tc>
          <w:tcPr>
            <w:tcW w:w="1520" w:type="dxa"/>
            <w:tcBorders>
              <w:top w:val="nil"/>
              <w:left w:val="single" w:color="auto" w:sz="8" w:space="0"/>
              <w:bottom w:val="single" w:color="auto" w:sz="4" w:space="0"/>
              <w:right w:val="single" w:color="auto" w:sz="8" w:space="0"/>
            </w:tcBorders>
            <w:shd w:val="clear" w:color="auto" w:fill="auto"/>
            <w:noWrap/>
            <w:vAlign w:val="bottom"/>
            <w:hideMark/>
          </w:tcPr>
          <w:p w:rsidRPr="00890BC1" w:rsidR="00890BC1" w:rsidP="00890BC1" w:rsidRDefault="00890BC1">
            <w:pPr>
              <w:widowControl/>
              <w:autoSpaceDE/>
              <w:autoSpaceDN/>
              <w:adjustRightInd/>
              <w:rPr>
                <w:rFonts w:ascii="Calibri" w:hAnsi="Calibri" w:cs="Calibri"/>
                <w:color w:val="000000"/>
                <w:sz w:val="16"/>
                <w:szCs w:val="16"/>
              </w:rPr>
            </w:pPr>
            <w:r w:rsidRPr="00890BC1">
              <w:rPr>
                <w:rFonts w:ascii="Calibri" w:hAnsi="Calibri" w:cs="Calibri"/>
                <w:color w:val="000000"/>
                <w:sz w:val="16"/>
                <w:szCs w:val="16"/>
              </w:rPr>
              <w:t> </w:t>
            </w:r>
          </w:p>
        </w:tc>
        <w:tc>
          <w:tcPr>
            <w:tcW w:w="1080" w:type="dxa"/>
            <w:tcBorders>
              <w:top w:val="nil"/>
              <w:left w:val="nil"/>
              <w:bottom w:val="single" w:color="auto" w:sz="4" w:space="0"/>
              <w:right w:val="single" w:color="auto" w:sz="4" w:space="0"/>
            </w:tcBorders>
            <w:shd w:val="clear" w:color="auto" w:fill="auto"/>
            <w:noWrap/>
            <w:vAlign w:val="bottom"/>
            <w:hideMark/>
          </w:tcPr>
          <w:p w:rsidRPr="00890BC1" w:rsidR="00890BC1" w:rsidP="00890BC1" w:rsidRDefault="00890BC1">
            <w:pPr>
              <w:widowControl/>
              <w:autoSpaceDE/>
              <w:autoSpaceDN/>
              <w:adjustRightInd/>
              <w:rPr>
                <w:rFonts w:ascii="Calibri" w:hAnsi="Calibri" w:cs="Calibri"/>
                <w:color w:val="000000"/>
                <w:sz w:val="16"/>
                <w:szCs w:val="16"/>
              </w:rPr>
            </w:pPr>
            <w:r w:rsidRPr="00890BC1">
              <w:rPr>
                <w:rFonts w:ascii="Calibri" w:hAnsi="Calibri" w:cs="Calibri"/>
                <w:color w:val="000000"/>
                <w:sz w:val="16"/>
                <w:szCs w:val="16"/>
              </w:rPr>
              <w:t> </w:t>
            </w:r>
          </w:p>
        </w:tc>
        <w:tc>
          <w:tcPr>
            <w:tcW w:w="1080" w:type="dxa"/>
            <w:tcBorders>
              <w:top w:val="nil"/>
              <w:left w:val="nil"/>
              <w:bottom w:val="single" w:color="auto" w:sz="4" w:space="0"/>
              <w:right w:val="single" w:color="auto" w:sz="4" w:space="0"/>
            </w:tcBorders>
            <w:shd w:val="clear" w:color="auto" w:fill="auto"/>
            <w:noWrap/>
            <w:vAlign w:val="bottom"/>
            <w:hideMark/>
          </w:tcPr>
          <w:p w:rsidRPr="00890BC1" w:rsidR="00890BC1" w:rsidP="00890BC1" w:rsidRDefault="00890BC1">
            <w:pPr>
              <w:widowControl/>
              <w:autoSpaceDE/>
              <w:autoSpaceDN/>
              <w:adjustRightInd/>
              <w:rPr>
                <w:rFonts w:ascii="Calibri" w:hAnsi="Calibri" w:cs="Calibri"/>
                <w:color w:val="000000"/>
                <w:sz w:val="16"/>
                <w:szCs w:val="16"/>
              </w:rPr>
            </w:pPr>
            <w:r w:rsidRPr="00890BC1">
              <w:rPr>
                <w:rFonts w:ascii="Calibri" w:hAnsi="Calibri" w:cs="Calibri"/>
                <w:color w:val="000000"/>
                <w:sz w:val="16"/>
                <w:szCs w:val="16"/>
              </w:rPr>
              <w:t> </w:t>
            </w:r>
          </w:p>
        </w:tc>
        <w:tc>
          <w:tcPr>
            <w:tcW w:w="1087" w:type="dxa"/>
            <w:tcBorders>
              <w:top w:val="nil"/>
              <w:left w:val="nil"/>
              <w:bottom w:val="single" w:color="auto" w:sz="4" w:space="0"/>
              <w:right w:val="single" w:color="auto" w:sz="4" w:space="0"/>
            </w:tcBorders>
            <w:shd w:val="clear" w:color="auto" w:fill="auto"/>
            <w:noWrap/>
            <w:vAlign w:val="bottom"/>
            <w:hideMark/>
          </w:tcPr>
          <w:p w:rsidRPr="00890BC1" w:rsidR="00890BC1" w:rsidP="00890BC1" w:rsidRDefault="00890BC1">
            <w:pPr>
              <w:widowControl/>
              <w:autoSpaceDE/>
              <w:autoSpaceDN/>
              <w:adjustRightInd/>
              <w:rPr>
                <w:rFonts w:ascii="Calibri" w:hAnsi="Calibri" w:cs="Calibri"/>
                <w:color w:val="000000"/>
                <w:sz w:val="16"/>
                <w:szCs w:val="16"/>
              </w:rPr>
            </w:pPr>
            <w:r w:rsidRPr="00890BC1">
              <w:rPr>
                <w:rFonts w:ascii="Calibri" w:hAnsi="Calibri" w:cs="Calibri"/>
                <w:color w:val="000000"/>
                <w:sz w:val="16"/>
                <w:szCs w:val="16"/>
              </w:rPr>
              <w:t> </w:t>
            </w:r>
          </w:p>
        </w:tc>
        <w:tc>
          <w:tcPr>
            <w:tcW w:w="1280" w:type="dxa"/>
            <w:tcBorders>
              <w:top w:val="nil"/>
              <w:left w:val="nil"/>
              <w:bottom w:val="single" w:color="auto" w:sz="4" w:space="0"/>
              <w:right w:val="single" w:color="auto" w:sz="4" w:space="0"/>
            </w:tcBorders>
            <w:shd w:val="clear" w:color="000000" w:fill="808080"/>
            <w:noWrap/>
            <w:vAlign w:val="bottom"/>
            <w:hideMark/>
          </w:tcPr>
          <w:p w:rsidRPr="00890BC1" w:rsidR="00890BC1" w:rsidP="00890BC1" w:rsidRDefault="00890BC1">
            <w:pPr>
              <w:widowControl/>
              <w:autoSpaceDE/>
              <w:autoSpaceDN/>
              <w:adjustRightInd/>
              <w:rPr>
                <w:rFonts w:ascii="Calibri" w:hAnsi="Calibri" w:cs="Calibri"/>
                <w:color w:val="000000"/>
                <w:sz w:val="16"/>
                <w:szCs w:val="16"/>
              </w:rPr>
            </w:pPr>
            <w:r w:rsidRPr="00890BC1">
              <w:rPr>
                <w:rFonts w:ascii="Calibri" w:hAnsi="Calibri" w:cs="Calibri"/>
                <w:color w:val="000000"/>
                <w:sz w:val="16"/>
                <w:szCs w:val="16"/>
              </w:rPr>
              <w:t> </w:t>
            </w:r>
          </w:p>
        </w:tc>
        <w:tc>
          <w:tcPr>
            <w:tcW w:w="1300" w:type="dxa"/>
            <w:tcBorders>
              <w:top w:val="nil"/>
              <w:left w:val="nil"/>
              <w:bottom w:val="single" w:color="auto" w:sz="4" w:space="0"/>
              <w:right w:val="single" w:color="auto" w:sz="8" w:space="0"/>
            </w:tcBorders>
            <w:shd w:val="clear" w:color="auto" w:fill="auto"/>
            <w:noWrap/>
            <w:vAlign w:val="bottom"/>
            <w:hideMark/>
          </w:tcPr>
          <w:p w:rsidRPr="00890BC1" w:rsidR="00890BC1" w:rsidP="00890BC1" w:rsidRDefault="00890BC1">
            <w:pPr>
              <w:widowControl/>
              <w:autoSpaceDE/>
              <w:autoSpaceDN/>
              <w:adjustRightInd/>
              <w:rPr>
                <w:rFonts w:ascii="Calibri" w:hAnsi="Calibri" w:cs="Calibri"/>
                <w:color w:val="000000"/>
                <w:sz w:val="16"/>
                <w:szCs w:val="16"/>
              </w:rPr>
            </w:pPr>
            <w:r w:rsidRPr="00890BC1">
              <w:rPr>
                <w:rFonts w:ascii="Calibri" w:hAnsi="Calibri" w:cs="Calibri"/>
                <w:color w:val="000000"/>
                <w:sz w:val="16"/>
                <w:szCs w:val="16"/>
              </w:rPr>
              <w:t> </w:t>
            </w:r>
          </w:p>
        </w:tc>
      </w:tr>
      <w:tr w:rsidRPr="00890BC1" w:rsidR="00890BC1" w:rsidTr="00314A8B">
        <w:trPr>
          <w:trHeight w:val="465"/>
        </w:trPr>
        <w:tc>
          <w:tcPr>
            <w:tcW w:w="1520" w:type="dxa"/>
            <w:tcBorders>
              <w:top w:val="nil"/>
              <w:left w:val="single" w:color="auto" w:sz="8" w:space="0"/>
              <w:bottom w:val="single" w:color="auto" w:sz="4" w:space="0"/>
              <w:right w:val="single" w:color="auto" w:sz="8" w:space="0"/>
            </w:tcBorders>
            <w:shd w:val="clear" w:color="auto" w:fill="auto"/>
            <w:vAlign w:val="bottom"/>
            <w:hideMark/>
          </w:tcPr>
          <w:p w:rsidRPr="00890BC1" w:rsidR="00890BC1" w:rsidP="00890BC1" w:rsidRDefault="00890BC1">
            <w:pPr>
              <w:widowControl/>
              <w:autoSpaceDE/>
              <w:autoSpaceDN/>
              <w:adjustRightInd/>
              <w:rPr>
                <w:rFonts w:ascii="Calibri" w:hAnsi="Calibri" w:cs="Calibri"/>
                <w:b/>
                <w:bCs/>
                <w:color w:val="000000"/>
                <w:sz w:val="16"/>
                <w:szCs w:val="16"/>
              </w:rPr>
            </w:pPr>
            <w:r w:rsidRPr="00890BC1">
              <w:rPr>
                <w:rFonts w:ascii="Calibri" w:hAnsi="Calibri" w:cs="Calibri"/>
                <w:b/>
                <w:bCs/>
                <w:color w:val="000000"/>
                <w:sz w:val="16"/>
                <w:szCs w:val="16"/>
              </w:rPr>
              <w:t>Contractor Cost</w:t>
            </w:r>
          </w:p>
        </w:tc>
        <w:tc>
          <w:tcPr>
            <w:tcW w:w="1080" w:type="dxa"/>
            <w:tcBorders>
              <w:top w:val="nil"/>
              <w:left w:val="nil"/>
              <w:bottom w:val="single" w:color="auto" w:sz="4" w:space="0"/>
              <w:right w:val="single" w:color="auto" w:sz="4" w:space="0"/>
            </w:tcBorders>
            <w:shd w:val="clear" w:color="000000" w:fill="808080"/>
            <w:noWrap/>
            <w:vAlign w:val="bottom"/>
            <w:hideMark/>
          </w:tcPr>
          <w:p w:rsidRPr="00890BC1" w:rsidR="00890BC1" w:rsidP="00890BC1" w:rsidRDefault="00890BC1">
            <w:pPr>
              <w:widowControl/>
              <w:autoSpaceDE/>
              <w:autoSpaceDN/>
              <w:adjustRightInd/>
              <w:rPr>
                <w:rFonts w:ascii="Calibri" w:hAnsi="Calibri" w:cs="Calibri"/>
                <w:color w:val="000000"/>
                <w:sz w:val="16"/>
                <w:szCs w:val="16"/>
              </w:rPr>
            </w:pPr>
            <w:r w:rsidRPr="00890BC1">
              <w:rPr>
                <w:rFonts w:ascii="Calibri" w:hAnsi="Calibri" w:cs="Calibri"/>
                <w:color w:val="000000"/>
                <w:sz w:val="16"/>
                <w:szCs w:val="16"/>
              </w:rPr>
              <w:t> </w:t>
            </w:r>
          </w:p>
        </w:tc>
        <w:tc>
          <w:tcPr>
            <w:tcW w:w="1080" w:type="dxa"/>
            <w:tcBorders>
              <w:top w:val="nil"/>
              <w:left w:val="nil"/>
              <w:bottom w:val="single" w:color="auto" w:sz="4" w:space="0"/>
              <w:right w:val="single" w:color="auto" w:sz="4" w:space="0"/>
            </w:tcBorders>
            <w:shd w:val="clear" w:color="auto" w:fill="FFFFFF"/>
            <w:noWrap/>
            <w:vAlign w:val="bottom"/>
            <w:hideMark/>
          </w:tcPr>
          <w:p w:rsidRPr="00890BC1" w:rsidR="00890BC1" w:rsidP="00890BC1" w:rsidRDefault="00890BC1">
            <w:pPr>
              <w:widowControl/>
              <w:autoSpaceDE/>
              <w:autoSpaceDN/>
              <w:adjustRightInd/>
              <w:rPr>
                <w:rFonts w:ascii="Calibri" w:hAnsi="Calibri" w:cs="Calibri"/>
                <w:color w:val="000000"/>
                <w:sz w:val="16"/>
                <w:szCs w:val="16"/>
              </w:rPr>
            </w:pPr>
            <w:r w:rsidRPr="00890BC1">
              <w:rPr>
                <w:rFonts w:ascii="Calibri" w:hAnsi="Calibri" w:cs="Calibri"/>
                <w:color w:val="000000"/>
                <w:sz w:val="16"/>
                <w:szCs w:val="16"/>
              </w:rPr>
              <w:t> </w:t>
            </w:r>
            <w:r w:rsidR="00AA2558">
              <w:rPr>
                <w:rFonts w:ascii="Calibri" w:hAnsi="Calibri" w:cs="Calibri"/>
                <w:color w:val="000000"/>
                <w:sz w:val="16"/>
                <w:szCs w:val="16"/>
              </w:rPr>
              <w:t>$0</w:t>
            </w:r>
          </w:p>
        </w:tc>
        <w:tc>
          <w:tcPr>
            <w:tcW w:w="1087" w:type="dxa"/>
            <w:tcBorders>
              <w:top w:val="nil"/>
              <w:left w:val="nil"/>
              <w:bottom w:val="single" w:color="auto" w:sz="4" w:space="0"/>
              <w:right w:val="single" w:color="auto" w:sz="4" w:space="0"/>
            </w:tcBorders>
            <w:shd w:val="clear" w:color="auto" w:fill="FFFFFF"/>
            <w:noWrap/>
            <w:vAlign w:val="bottom"/>
            <w:hideMark/>
          </w:tcPr>
          <w:p w:rsidRPr="00890BC1" w:rsidR="00890BC1" w:rsidP="00890BC1" w:rsidRDefault="00890BC1">
            <w:pPr>
              <w:widowControl/>
              <w:autoSpaceDE/>
              <w:autoSpaceDN/>
              <w:adjustRightInd/>
              <w:rPr>
                <w:rFonts w:ascii="Calibri" w:hAnsi="Calibri" w:cs="Calibri"/>
                <w:color w:val="000000"/>
                <w:sz w:val="16"/>
                <w:szCs w:val="16"/>
              </w:rPr>
            </w:pPr>
            <w:r w:rsidRPr="00890BC1">
              <w:rPr>
                <w:rFonts w:ascii="Calibri" w:hAnsi="Calibri" w:cs="Calibri"/>
                <w:color w:val="000000"/>
                <w:sz w:val="16"/>
                <w:szCs w:val="16"/>
              </w:rPr>
              <w:t> </w:t>
            </w:r>
          </w:p>
        </w:tc>
        <w:tc>
          <w:tcPr>
            <w:tcW w:w="1280" w:type="dxa"/>
            <w:tcBorders>
              <w:top w:val="nil"/>
              <w:left w:val="nil"/>
              <w:bottom w:val="single" w:color="auto" w:sz="4" w:space="0"/>
              <w:right w:val="single" w:color="auto" w:sz="4" w:space="0"/>
            </w:tcBorders>
            <w:shd w:val="clear" w:color="auto" w:fill="FFFFFF"/>
            <w:noWrap/>
            <w:vAlign w:val="bottom"/>
            <w:hideMark/>
          </w:tcPr>
          <w:p w:rsidRPr="00890BC1" w:rsidR="00890BC1" w:rsidP="00890BC1" w:rsidRDefault="00AA2558">
            <w:pPr>
              <w:widowControl/>
              <w:autoSpaceDE/>
              <w:autoSpaceDN/>
              <w:adjustRightInd/>
              <w:rPr>
                <w:rFonts w:ascii="Calibri" w:hAnsi="Calibri" w:cs="Calibri"/>
                <w:color w:val="000000"/>
                <w:sz w:val="16"/>
                <w:szCs w:val="16"/>
              </w:rPr>
            </w:pPr>
            <w:r>
              <w:rPr>
                <w:rFonts w:ascii="Calibri" w:hAnsi="Calibri" w:cs="Calibri"/>
                <w:color w:val="000000"/>
                <w:sz w:val="16"/>
                <w:szCs w:val="16"/>
              </w:rPr>
              <w:t>$0</w:t>
            </w:r>
          </w:p>
        </w:tc>
        <w:tc>
          <w:tcPr>
            <w:tcW w:w="1300" w:type="dxa"/>
            <w:tcBorders>
              <w:top w:val="nil"/>
              <w:left w:val="nil"/>
              <w:bottom w:val="single" w:color="auto" w:sz="4" w:space="0"/>
              <w:right w:val="single" w:color="auto" w:sz="8" w:space="0"/>
            </w:tcBorders>
            <w:shd w:val="clear" w:color="auto" w:fill="FFFFFF"/>
            <w:noWrap/>
            <w:vAlign w:val="bottom"/>
            <w:hideMark/>
          </w:tcPr>
          <w:p w:rsidRPr="00890BC1" w:rsidR="00890BC1" w:rsidP="00890BC1" w:rsidRDefault="00AA2558">
            <w:pPr>
              <w:widowControl/>
              <w:autoSpaceDE/>
              <w:autoSpaceDN/>
              <w:adjustRightInd/>
              <w:rPr>
                <w:rFonts w:ascii="Calibri" w:hAnsi="Calibri" w:cs="Calibri"/>
                <w:color w:val="000000"/>
                <w:sz w:val="16"/>
                <w:szCs w:val="16"/>
              </w:rPr>
            </w:pPr>
            <w:r>
              <w:rPr>
                <w:rFonts w:ascii="Calibri" w:hAnsi="Calibri" w:cs="Calibri"/>
                <w:color w:val="000000"/>
                <w:sz w:val="16"/>
                <w:szCs w:val="16"/>
              </w:rPr>
              <w:t>$0</w:t>
            </w:r>
          </w:p>
        </w:tc>
      </w:tr>
      <w:tr w:rsidRPr="00890BC1" w:rsidR="00890BC1" w:rsidTr="00890BC1">
        <w:trPr>
          <w:trHeight w:val="300"/>
        </w:trPr>
        <w:tc>
          <w:tcPr>
            <w:tcW w:w="1520" w:type="dxa"/>
            <w:tcBorders>
              <w:top w:val="nil"/>
              <w:left w:val="single" w:color="auto" w:sz="8" w:space="0"/>
              <w:bottom w:val="single" w:color="auto" w:sz="4" w:space="0"/>
              <w:right w:val="single" w:color="auto" w:sz="8" w:space="0"/>
            </w:tcBorders>
            <w:shd w:val="clear" w:color="auto" w:fill="auto"/>
            <w:noWrap/>
            <w:vAlign w:val="bottom"/>
            <w:hideMark/>
          </w:tcPr>
          <w:p w:rsidRPr="00890BC1" w:rsidR="00890BC1" w:rsidP="00890BC1" w:rsidRDefault="00890BC1">
            <w:pPr>
              <w:widowControl/>
              <w:autoSpaceDE/>
              <w:autoSpaceDN/>
              <w:adjustRightInd/>
              <w:rPr>
                <w:rFonts w:ascii="Calibri" w:hAnsi="Calibri" w:cs="Calibri"/>
                <w:color w:val="000000"/>
                <w:sz w:val="16"/>
                <w:szCs w:val="16"/>
              </w:rPr>
            </w:pPr>
            <w:r w:rsidRPr="00890BC1">
              <w:rPr>
                <w:rFonts w:ascii="Calibri" w:hAnsi="Calibri" w:cs="Calibri"/>
                <w:color w:val="000000"/>
                <w:sz w:val="16"/>
                <w:szCs w:val="16"/>
              </w:rPr>
              <w:t> </w:t>
            </w:r>
          </w:p>
        </w:tc>
        <w:tc>
          <w:tcPr>
            <w:tcW w:w="1080" w:type="dxa"/>
            <w:tcBorders>
              <w:top w:val="nil"/>
              <w:left w:val="nil"/>
              <w:bottom w:val="single" w:color="auto" w:sz="4" w:space="0"/>
              <w:right w:val="single" w:color="auto" w:sz="4" w:space="0"/>
            </w:tcBorders>
            <w:shd w:val="clear" w:color="auto" w:fill="auto"/>
            <w:noWrap/>
            <w:vAlign w:val="bottom"/>
            <w:hideMark/>
          </w:tcPr>
          <w:p w:rsidRPr="00890BC1" w:rsidR="00890BC1" w:rsidP="00890BC1" w:rsidRDefault="00890BC1">
            <w:pPr>
              <w:widowControl/>
              <w:autoSpaceDE/>
              <w:autoSpaceDN/>
              <w:adjustRightInd/>
              <w:rPr>
                <w:rFonts w:ascii="Calibri" w:hAnsi="Calibri" w:cs="Calibri"/>
                <w:color w:val="000000"/>
                <w:sz w:val="16"/>
                <w:szCs w:val="16"/>
              </w:rPr>
            </w:pPr>
            <w:r w:rsidRPr="00890BC1">
              <w:rPr>
                <w:rFonts w:ascii="Calibri" w:hAnsi="Calibri" w:cs="Calibri"/>
                <w:color w:val="000000"/>
                <w:sz w:val="16"/>
                <w:szCs w:val="16"/>
              </w:rPr>
              <w:t> </w:t>
            </w:r>
          </w:p>
        </w:tc>
        <w:tc>
          <w:tcPr>
            <w:tcW w:w="1080" w:type="dxa"/>
            <w:tcBorders>
              <w:top w:val="nil"/>
              <w:left w:val="nil"/>
              <w:bottom w:val="single" w:color="auto" w:sz="4" w:space="0"/>
              <w:right w:val="single" w:color="auto" w:sz="4" w:space="0"/>
            </w:tcBorders>
            <w:shd w:val="clear" w:color="auto" w:fill="auto"/>
            <w:noWrap/>
            <w:vAlign w:val="bottom"/>
            <w:hideMark/>
          </w:tcPr>
          <w:p w:rsidRPr="00890BC1" w:rsidR="00890BC1" w:rsidP="00890BC1" w:rsidRDefault="00890BC1">
            <w:pPr>
              <w:widowControl/>
              <w:autoSpaceDE/>
              <w:autoSpaceDN/>
              <w:adjustRightInd/>
              <w:rPr>
                <w:rFonts w:ascii="Calibri" w:hAnsi="Calibri" w:cs="Calibri"/>
                <w:color w:val="000000"/>
                <w:sz w:val="16"/>
                <w:szCs w:val="16"/>
              </w:rPr>
            </w:pPr>
            <w:r w:rsidRPr="00890BC1">
              <w:rPr>
                <w:rFonts w:ascii="Calibri" w:hAnsi="Calibri" w:cs="Calibri"/>
                <w:color w:val="000000"/>
                <w:sz w:val="16"/>
                <w:szCs w:val="16"/>
              </w:rPr>
              <w:t> </w:t>
            </w:r>
          </w:p>
        </w:tc>
        <w:tc>
          <w:tcPr>
            <w:tcW w:w="1087" w:type="dxa"/>
            <w:tcBorders>
              <w:top w:val="nil"/>
              <w:left w:val="nil"/>
              <w:bottom w:val="single" w:color="auto" w:sz="4" w:space="0"/>
              <w:right w:val="single" w:color="auto" w:sz="4" w:space="0"/>
            </w:tcBorders>
            <w:shd w:val="clear" w:color="auto" w:fill="auto"/>
            <w:noWrap/>
            <w:vAlign w:val="bottom"/>
            <w:hideMark/>
          </w:tcPr>
          <w:p w:rsidRPr="00890BC1" w:rsidR="00890BC1" w:rsidP="00890BC1" w:rsidRDefault="00890BC1">
            <w:pPr>
              <w:widowControl/>
              <w:autoSpaceDE/>
              <w:autoSpaceDN/>
              <w:adjustRightInd/>
              <w:rPr>
                <w:rFonts w:ascii="Calibri" w:hAnsi="Calibri" w:cs="Calibri"/>
                <w:color w:val="000000"/>
                <w:sz w:val="16"/>
                <w:szCs w:val="16"/>
              </w:rPr>
            </w:pPr>
            <w:r w:rsidRPr="00890BC1">
              <w:rPr>
                <w:rFonts w:ascii="Calibri" w:hAnsi="Calibri" w:cs="Calibri"/>
                <w:color w:val="000000"/>
                <w:sz w:val="16"/>
                <w:szCs w:val="16"/>
              </w:rPr>
              <w:t> </w:t>
            </w:r>
          </w:p>
        </w:tc>
        <w:tc>
          <w:tcPr>
            <w:tcW w:w="1280" w:type="dxa"/>
            <w:tcBorders>
              <w:top w:val="nil"/>
              <w:left w:val="nil"/>
              <w:bottom w:val="single" w:color="auto" w:sz="4" w:space="0"/>
              <w:right w:val="single" w:color="auto" w:sz="4" w:space="0"/>
            </w:tcBorders>
            <w:shd w:val="clear" w:color="auto" w:fill="auto"/>
            <w:noWrap/>
            <w:vAlign w:val="bottom"/>
            <w:hideMark/>
          </w:tcPr>
          <w:p w:rsidRPr="00890BC1" w:rsidR="00890BC1" w:rsidP="00890BC1" w:rsidRDefault="00890BC1">
            <w:pPr>
              <w:widowControl/>
              <w:autoSpaceDE/>
              <w:autoSpaceDN/>
              <w:adjustRightInd/>
              <w:rPr>
                <w:rFonts w:ascii="Calibri" w:hAnsi="Calibri" w:cs="Calibri"/>
                <w:color w:val="000000"/>
                <w:sz w:val="16"/>
                <w:szCs w:val="16"/>
              </w:rPr>
            </w:pPr>
            <w:r w:rsidRPr="00890BC1">
              <w:rPr>
                <w:rFonts w:ascii="Calibri" w:hAnsi="Calibri" w:cs="Calibri"/>
                <w:color w:val="000000"/>
                <w:sz w:val="16"/>
                <w:szCs w:val="16"/>
              </w:rPr>
              <w:t> </w:t>
            </w:r>
          </w:p>
        </w:tc>
        <w:tc>
          <w:tcPr>
            <w:tcW w:w="1300" w:type="dxa"/>
            <w:tcBorders>
              <w:top w:val="nil"/>
              <w:left w:val="nil"/>
              <w:bottom w:val="single" w:color="auto" w:sz="4" w:space="0"/>
              <w:right w:val="single" w:color="auto" w:sz="8" w:space="0"/>
            </w:tcBorders>
            <w:shd w:val="clear" w:color="auto" w:fill="auto"/>
            <w:noWrap/>
            <w:vAlign w:val="bottom"/>
            <w:hideMark/>
          </w:tcPr>
          <w:p w:rsidRPr="00890BC1" w:rsidR="00890BC1" w:rsidP="00890BC1" w:rsidRDefault="00890BC1">
            <w:pPr>
              <w:widowControl/>
              <w:autoSpaceDE/>
              <w:autoSpaceDN/>
              <w:adjustRightInd/>
              <w:rPr>
                <w:rFonts w:ascii="Calibri" w:hAnsi="Calibri" w:cs="Calibri"/>
                <w:color w:val="000000"/>
                <w:sz w:val="16"/>
                <w:szCs w:val="16"/>
              </w:rPr>
            </w:pPr>
            <w:r w:rsidRPr="00890BC1">
              <w:rPr>
                <w:rFonts w:ascii="Calibri" w:hAnsi="Calibri" w:cs="Calibri"/>
                <w:color w:val="000000"/>
                <w:sz w:val="16"/>
                <w:szCs w:val="16"/>
              </w:rPr>
              <w:t> </w:t>
            </w:r>
          </w:p>
        </w:tc>
      </w:tr>
      <w:tr w:rsidRPr="00890BC1" w:rsidR="00890BC1" w:rsidTr="00890BC1">
        <w:trPr>
          <w:trHeight w:val="300"/>
        </w:trPr>
        <w:tc>
          <w:tcPr>
            <w:tcW w:w="1520" w:type="dxa"/>
            <w:tcBorders>
              <w:top w:val="nil"/>
              <w:left w:val="single" w:color="auto" w:sz="8" w:space="0"/>
              <w:bottom w:val="single" w:color="auto" w:sz="4" w:space="0"/>
              <w:right w:val="single" w:color="auto" w:sz="8" w:space="0"/>
            </w:tcBorders>
            <w:shd w:val="clear" w:color="auto" w:fill="auto"/>
            <w:noWrap/>
            <w:vAlign w:val="bottom"/>
            <w:hideMark/>
          </w:tcPr>
          <w:p w:rsidRPr="00890BC1" w:rsidR="00890BC1" w:rsidP="00890BC1" w:rsidRDefault="00890BC1">
            <w:pPr>
              <w:widowControl/>
              <w:autoSpaceDE/>
              <w:autoSpaceDN/>
              <w:adjustRightInd/>
              <w:rPr>
                <w:rFonts w:ascii="Calibri" w:hAnsi="Calibri" w:cs="Calibri"/>
                <w:color w:val="000000"/>
                <w:sz w:val="16"/>
                <w:szCs w:val="16"/>
              </w:rPr>
            </w:pPr>
            <w:r w:rsidRPr="00890BC1">
              <w:rPr>
                <w:rFonts w:ascii="Calibri" w:hAnsi="Calibri" w:cs="Calibri"/>
                <w:color w:val="000000"/>
                <w:sz w:val="16"/>
                <w:szCs w:val="16"/>
              </w:rPr>
              <w:t> </w:t>
            </w:r>
          </w:p>
        </w:tc>
        <w:tc>
          <w:tcPr>
            <w:tcW w:w="1080" w:type="dxa"/>
            <w:tcBorders>
              <w:top w:val="nil"/>
              <w:left w:val="nil"/>
              <w:bottom w:val="single" w:color="auto" w:sz="4" w:space="0"/>
              <w:right w:val="single" w:color="auto" w:sz="4" w:space="0"/>
            </w:tcBorders>
            <w:shd w:val="clear" w:color="auto" w:fill="auto"/>
            <w:noWrap/>
            <w:vAlign w:val="bottom"/>
            <w:hideMark/>
          </w:tcPr>
          <w:p w:rsidRPr="00890BC1" w:rsidR="00890BC1" w:rsidP="00890BC1" w:rsidRDefault="00890BC1">
            <w:pPr>
              <w:widowControl/>
              <w:autoSpaceDE/>
              <w:autoSpaceDN/>
              <w:adjustRightInd/>
              <w:rPr>
                <w:rFonts w:ascii="Calibri" w:hAnsi="Calibri" w:cs="Calibri"/>
                <w:color w:val="000000"/>
                <w:sz w:val="16"/>
                <w:szCs w:val="16"/>
              </w:rPr>
            </w:pPr>
            <w:r w:rsidRPr="00890BC1">
              <w:rPr>
                <w:rFonts w:ascii="Calibri" w:hAnsi="Calibri" w:cs="Calibri"/>
                <w:color w:val="000000"/>
                <w:sz w:val="16"/>
                <w:szCs w:val="16"/>
              </w:rPr>
              <w:t> </w:t>
            </w:r>
          </w:p>
        </w:tc>
        <w:tc>
          <w:tcPr>
            <w:tcW w:w="1080" w:type="dxa"/>
            <w:tcBorders>
              <w:top w:val="nil"/>
              <w:left w:val="nil"/>
              <w:bottom w:val="single" w:color="auto" w:sz="4" w:space="0"/>
              <w:right w:val="single" w:color="auto" w:sz="4" w:space="0"/>
            </w:tcBorders>
            <w:shd w:val="clear" w:color="auto" w:fill="auto"/>
            <w:noWrap/>
            <w:vAlign w:val="bottom"/>
            <w:hideMark/>
          </w:tcPr>
          <w:p w:rsidRPr="00890BC1" w:rsidR="00890BC1" w:rsidP="00890BC1" w:rsidRDefault="00890BC1">
            <w:pPr>
              <w:widowControl/>
              <w:autoSpaceDE/>
              <w:autoSpaceDN/>
              <w:adjustRightInd/>
              <w:rPr>
                <w:rFonts w:ascii="Calibri" w:hAnsi="Calibri" w:cs="Calibri"/>
                <w:color w:val="000000"/>
                <w:sz w:val="16"/>
                <w:szCs w:val="16"/>
              </w:rPr>
            </w:pPr>
            <w:r w:rsidRPr="00890BC1">
              <w:rPr>
                <w:rFonts w:ascii="Calibri" w:hAnsi="Calibri" w:cs="Calibri"/>
                <w:color w:val="000000"/>
                <w:sz w:val="16"/>
                <w:szCs w:val="16"/>
              </w:rPr>
              <w:t> </w:t>
            </w:r>
          </w:p>
        </w:tc>
        <w:tc>
          <w:tcPr>
            <w:tcW w:w="1087" w:type="dxa"/>
            <w:tcBorders>
              <w:top w:val="nil"/>
              <w:left w:val="nil"/>
              <w:bottom w:val="single" w:color="auto" w:sz="4" w:space="0"/>
              <w:right w:val="single" w:color="auto" w:sz="4" w:space="0"/>
            </w:tcBorders>
            <w:shd w:val="clear" w:color="auto" w:fill="auto"/>
            <w:noWrap/>
            <w:vAlign w:val="bottom"/>
            <w:hideMark/>
          </w:tcPr>
          <w:p w:rsidRPr="00890BC1" w:rsidR="00890BC1" w:rsidP="00890BC1" w:rsidRDefault="00890BC1">
            <w:pPr>
              <w:widowControl/>
              <w:autoSpaceDE/>
              <w:autoSpaceDN/>
              <w:adjustRightInd/>
              <w:rPr>
                <w:rFonts w:ascii="Calibri" w:hAnsi="Calibri" w:cs="Calibri"/>
                <w:color w:val="000000"/>
                <w:sz w:val="16"/>
                <w:szCs w:val="16"/>
              </w:rPr>
            </w:pPr>
            <w:r w:rsidRPr="00890BC1">
              <w:rPr>
                <w:rFonts w:ascii="Calibri" w:hAnsi="Calibri" w:cs="Calibri"/>
                <w:color w:val="000000"/>
                <w:sz w:val="16"/>
                <w:szCs w:val="16"/>
              </w:rPr>
              <w:t> </w:t>
            </w:r>
          </w:p>
        </w:tc>
        <w:tc>
          <w:tcPr>
            <w:tcW w:w="1280" w:type="dxa"/>
            <w:tcBorders>
              <w:top w:val="nil"/>
              <w:left w:val="nil"/>
              <w:bottom w:val="single" w:color="auto" w:sz="4" w:space="0"/>
              <w:right w:val="single" w:color="auto" w:sz="4" w:space="0"/>
            </w:tcBorders>
            <w:shd w:val="clear" w:color="auto" w:fill="auto"/>
            <w:noWrap/>
            <w:vAlign w:val="bottom"/>
            <w:hideMark/>
          </w:tcPr>
          <w:p w:rsidRPr="00890BC1" w:rsidR="00890BC1" w:rsidP="00890BC1" w:rsidRDefault="00890BC1">
            <w:pPr>
              <w:widowControl/>
              <w:autoSpaceDE/>
              <w:autoSpaceDN/>
              <w:adjustRightInd/>
              <w:rPr>
                <w:rFonts w:ascii="Calibri" w:hAnsi="Calibri" w:cs="Calibri"/>
                <w:color w:val="000000"/>
                <w:sz w:val="16"/>
                <w:szCs w:val="16"/>
              </w:rPr>
            </w:pPr>
            <w:r w:rsidRPr="00890BC1">
              <w:rPr>
                <w:rFonts w:ascii="Calibri" w:hAnsi="Calibri" w:cs="Calibri"/>
                <w:color w:val="000000"/>
                <w:sz w:val="16"/>
                <w:szCs w:val="16"/>
              </w:rPr>
              <w:t> </w:t>
            </w:r>
          </w:p>
        </w:tc>
        <w:tc>
          <w:tcPr>
            <w:tcW w:w="1300" w:type="dxa"/>
            <w:tcBorders>
              <w:top w:val="nil"/>
              <w:left w:val="nil"/>
              <w:bottom w:val="single" w:color="auto" w:sz="4" w:space="0"/>
              <w:right w:val="single" w:color="auto" w:sz="8" w:space="0"/>
            </w:tcBorders>
            <w:shd w:val="clear" w:color="auto" w:fill="auto"/>
            <w:noWrap/>
            <w:vAlign w:val="bottom"/>
            <w:hideMark/>
          </w:tcPr>
          <w:p w:rsidRPr="00890BC1" w:rsidR="00890BC1" w:rsidP="00890BC1" w:rsidRDefault="00890BC1">
            <w:pPr>
              <w:widowControl/>
              <w:autoSpaceDE/>
              <w:autoSpaceDN/>
              <w:adjustRightInd/>
              <w:rPr>
                <w:rFonts w:ascii="Calibri" w:hAnsi="Calibri" w:cs="Calibri"/>
                <w:color w:val="000000"/>
                <w:sz w:val="16"/>
                <w:szCs w:val="16"/>
              </w:rPr>
            </w:pPr>
            <w:r w:rsidRPr="00890BC1">
              <w:rPr>
                <w:rFonts w:ascii="Calibri" w:hAnsi="Calibri" w:cs="Calibri"/>
                <w:color w:val="000000"/>
                <w:sz w:val="16"/>
                <w:szCs w:val="16"/>
              </w:rPr>
              <w:t> </w:t>
            </w:r>
          </w:p>
        </w:tc>
      </w:tr>
      <w:tr w:rsidRPr="00890BC1" w:rsidR="00890BC1" w:rsidTr="00314A8B">
        <w:trPr>
          <w:trHeight w:val="300"/>
        </w:trPr>
        <w:tc>
          <w:tcPr>
            <w:tcW w:w="1520" w:type="dxa"/>
            <w:tcBorders>
              <w:top w:val="nil"/>
              <w:left w:val="single" w:color="auto" w:sz="8" w:space="0"/>
              <w:bottom w:val="single" w:color="auto" w:sz="4" w:space="0"/>
              <w:right w:val="single" w:color="auto" w:sz="8" w:space="0"/>
            </w:tcBorders>
            <w:shd w:val="clear" w:color="auto" w:fill="auto"/>
            <w:noWrap/>
            <w:vAlign w:val="bottom"/>
            <w:hideMark/>
          </w:tcPr>
          <w:p w:rsidRPr="00890BC1" w:rsidR="00890BC1" w:rsidP="00890BC1" w:rsidRDefault="00890BC1">
            <w:pPr>
              <w:widowControl/>
              <w:autoSpaceDE/>
              <w:autoSpaceDN/>
              <w:adjustRightInd/>
              <w:rPr>
                <w:rFonts w:ascii="Calibri" w:hAnsi="Calibri" w:cs="Calibri"/>
                <w:b/>
                <w:bCs/>
                <w:color w:val="000000"/>
                <w:sz w:val="16"/>
                <w:szCs w:val="16"/>
              </w:rPr>
            </w:pPr>
            <w:r w:rsidRPr="00890BC1">
              <w:rPr>
                <w:rFonts w:ascii="Calibri" w:hAnsi="Calibri" w:cs="Calibri"/>
                <w:b/>
                <w:bCs/>
                <w:color w:val="000000"/>
                <w:sz w:val="16"/>
                <w:szCs w:val="16"/>
              </w:rPr>
              <w:t>Travel</w:t>
            </w:r>
          </w:p>
        </w:tc>
        <w:tc>
          <w:tcPr>
            <w:tcW w:w="1080" w:type="dxa"/>
            <w:tcBorders>
              <w:top w:val="nil"/>
              <w:left w:val="nil"/>
              <w:bottom w:val="single" w:color="auto" w:sz="4" w:space="0"/>
              <w:right w:val="single" w:color="auto" w:sz="4" w:space="0"/>
            </w:tcBorders>
            <w:shd w:val="clear" w:color="000000" w:fill="808080"/>
            <w:noWrap/>
            <w:vAlign w:val="bottom"/>
            <w:hideMark/>
          </w:tcPr>
          <w:p w:rsidRPr="00890BC1" w:rsidR="00890BC1" w:rsidP="00890BC1" w:rsidRDefault="00890BC1">
            <w:pPr>
              <w:widowControl/>
              <w:autoSpaceDE/>
              <w:autoSpaceDN/>
              <w:adjustRightInd/>
              <w:rPr>
                <w:rFonts w:ascii="Calibri" w:hAnsi="Calibri" w:cs="Calibri"/>
                <w:color w:val="000000"/>
                <w:sz w:val="16"/>
                <w:szCs w:val="16"/>
              </w:rPr>
            </w:pPr>
            <w:r w:rsidRPr="00890BC1">
              <w:rPr>
                <w:rFonts w:ascii="Calibri" w:hAnsi="Calibri" w:cs="Calibri"/>
                <w:color w:val="000000"/>
                <w:sz w:val="16"/>
                <w:szCs w:val="16"/>
              </w:rPr>
              <w:t> </w:t>
            </w:r>
          </w:p>
        </w:tc>
        <w:tc>
          <w:tcPr>
            <w:tcW w:w="1080" w:type="dxa"/>
            <w:tcBorders>
              <w:top w:val="nil"/>
              <w:left w:val="nil"/>
              <w:bottom w:val="single" w:color="auto" w:sz="4" w:space="0"/>
              <w:right w:val="single" w:color="auto" w:sz="4" w:space="0"/>
            </w:tcBorders>
            <w:shd w:val="clear" w:color="000000" w:fill="808080"/>
            <w:noWrap/>
            <w:vAlign w:val="bottom"/>
            <w:hideMark/>
          </w:tcPr>
          <w:p w:rsidRPr="00890BC1" w:rsidR="00890BC1" w:rsidP="00890BC1" w:rsidRDefault="00890BC1">
            <w:pPr>
              <w:widowControl/>
              <w:autoSpaceDE/>
              <w:autoSpaceDN/>
              <w:adjustRightInd/>
              <w:rPr>
                <w:rFonts w:ascii="Calibri" w:hAnsi="Calibri" w:cs="Calibri"/>
                <w:color w:val="000000"/>
                <w:sz w:val="16"/>
                <w:szCs w:val="16"/>
              </w:rPr>
            </w:pPr>
            <w:r w:rsidRPr="00890BC1">
              <w:rPr>
                <w:rFonts w:ascii="Calibri" w:hAnsi="Calibri" w:cs="Calibri"/>
                <w:color w:val="000000"/>
                <w:sz w:val="16"/>
                <w:szCs w:val="16"/>
              </w:rPr>
              <w:t> </w:t>
            </w:r>
          </w:p>
        </w:tc>
        <w:tc>
          <w:tcPr>
            <w:tcW w:w="1087" w:type="dxa"/>
            <w:tcBorders>
              <w:top w:val="nil"/>
              <w:left w:val="nil"/>
              <w:bottom w:val="single" w:color="auto" w:sz="4" w:space="0"/>
              <w:right w:val="single" w:color="auto" w:sz="4" w:space="0"/>
            </w:tcBorders>
            <w:shd w:val="clear" w:color="000000" w:fill="808080"/>
            <w:noWrap/>
            <w:vAlign w:val="bottom"/>
            <w:hideMark/>
          </w:tcPr>
          <w:p w:rsidRPr="00890BC1" w:rsidR="00890BC1" w:rsidP="00890BC1" w:rsidRDefault="00890BC1">
            <w:pPr>
              <w:widowControl/>
              <w:autoSpaceDE/>
              <w:autoSpaceDN/>
              <w:adjustRightInd/>
              <w:rPr>
                <w:rFonts w:ascii="Calibri" w:hAnsi="Calibri" w:cs="Calibri"/>
                <w:color w:val="000000"/>
                <w:sz w:val="16"/>
                <w:szCs w:val="16"/>
              </w:rPr>
            </w:pPr>
            <w:r w:rsidRPr="00890BC1">
              <w:rPr>
                <w:rFonts w:ascii="Calibri" w:hAnsi="Calibri" w:cs="Calibri"/>
                <w:color w:val="000000"/>
                <w:sz w:val="16"/>
                <w:szCs w:val="16"/>
              </w:rPr>
              <w:t> </w:t>
            </w:r>
          </w:p>
        </w:tc>
        <w:tc>
          <w:tcPr>
            <w:tcW w:w="1280" w:type="dxa"/>
            <w:tcBorders>
              <w:top w:val="nil"/>
              <w:left w:val="nil"/>
              <w:bottom w:val="single" w:color="auto" w:sz="4" w:space="0"/>
              <w:right w:val="single" w:color="auto" w:sz="4" w:space="0"/>
            </w:tcBorders>
            <w:shd w:val="clear" w:color="000000" w:fill="808080"/>
            <w:noWrap/>
            <w:vAlign w:val="bottom"/>
            <w:hideMark/>
          </w:tcPr>
          <w:p w:rsidRPr="00890BC1" w:rsidR="00890BC1" w:rsidP="00890BC1" w:rsidRDefault="00890BC1">
            <w:pPr>
              <w:widowControl/>
              <w:autoSpaceDE/>
              <w:autoSpaceDN/>
              <w:adjustRightInd/>
              <w:rPr>
                <w:rFonts w:ascii="Calibri" w:hAnsi="Calibri" w:cs="Calibri"/>
                <w:color w:val="000000"/>
                <w:sz w:val="16"/>
                <w:szCs w:val="16"/>
              </w:rPr>
            </w:pPr>
            <w:r w:rsidRPr="00890BC1">
              <w:rPr>
                <w:rFonts w:ascii="Calibri" w:hAnsi="Calibri" w:cs="Calibri"/>
                <w:color w:val="000000"/>
                <w:sz w:val="16"/>
                <w:szCs w:val="16"/>
              </w:rPr>
              <w:t> </w:t>
            </w:r>
          </w:p>
        </w:tc>
        <w:tc>
          <w:tcPr>
            <w:tcW w:w="1300" w:type="dxa"/>
            <w:tcBorders>
              <w:top w:val="nil"/>
              <w:left w:val="nil"/>
              <w:bottom w:val="single" w:color="auto" w:sz="4" w:space="0"/>
              <w:right w:val="single" w:color="auto" w:sz="8" w:space="0"/>
            </w:tcBorders>
            <w:shd w:val="clear" w:color="auto" w:fill="FFFFFF"/>
            <w:noWrap/>
            <w:vAlign w:val="bottom"/>
            <w:hideMark/>
          </w:tcPr>
          <w:p w:rsidRPr="00890BC1" w:rsidR="00890BC1" w:rsidP="00890BC1" w:rsidRDefault="00890BC1">
            <w:pPr>
              <w:widowControl/>
              <w:autoSpaceDE/>
              <w:autoSpaceDN/>
              <w:adjustRightInd/>
              <w:rPr>
                <w:rFonts w:ascii="Calibri" w:hAnsi="Calibri" w:cs="Calibri"/>
                <w:color w:val="000000"/>
                <w:sz w:val="16"/>
                <w:szCs w:val="16"/>
              </w:rPr>
            </w:pPr>
            <w:r w:rsidRPr="00890BC1">
              <w:rPr>
                <w:rFonts w:ascii="Calibri" w:hAnsi="Calibri" w:cs="Calibri"/>
                <w:color w:val="000000"/>
                <w:sz w:val="16"/>
                <w:szCs w:val="16"/>
              </w:rPr>
              <w:t> </w:t>
            </w:r>
            <w:r w:rsidR="00AA2558">
              <w:rPr>
                <w:rFonts w:ascii="Calibri" w:hAnsi="Calibri" w:cs="Calibri"/>
                <w:color w:val="000000"/>
                <w:sz w:val="16"/>
                <w:szCs w:val="16"/>
              </w:rPr>
              <w:t>$0</w:t>
            </w:r>
          </w:p>
        </w:tc>
      </w:tr>
      <w:tr w:rsidRPr="00890BC1" w:rsidR="00890BC1" w:rsidTr="00314A8B">
        <w:trPr>
          <w:trHeight w:val="300"/>
        </w:trPr>
        <w:tc>
          <w:tcPr>
            <w:tcW w:w="1520" w:type="dxa"/>
            <w:tcBorders>
              <w:top w:val="nil"/>
              <w:left w:val="single" w:color="auto" w:sz="8" w:space="0"/>
              <w:bottom w:val="single" w:color="auto" w:sz="4" w:space="0"/>
              <w:right w:val="single" w:color="auto" w:sz="8" w:space="0"/>
            </w:tcBorders>
            <w:shd w:val="clear" w:color="auto" w:fill="auto"/>
            <w:noWrap/>
            <w:vAlign w:val="bottom"/>
            <w:hideMark/>
          </w:tcPr>
          <w:p w:rsidRPr="00890BC1" w:rsidR="00890BC1" w:rsidP="00890BC1" w:rsidRDefault="00890BC1">
            <w:pPr>
              <w:widowControl/>
              <w:autoSpaceDE/>
              <w:autoSpaceDN/>
              <w:adjustRightInd/>
              <w:rPr>
                <w:rFonts w:ascii="Calibri" w:hAnsi="Calibri" w:cs="Calibri"/>
                <w:b/>
                <w:bCs/>
                <w:color w:val="000000"/>
                <w:sz w:val="16"/>
                <w:szCs w:val="16"/>
              </w:rPr>
            </w:pPr>
            <w:r w:rsidRPr="00890BC1">
              <w:rPr>
                <w:rFonts w:ascii="Calibri" w:hAnsi="Calibri" w:cs="Calibri"/>
                <w:b/>
                <w:bCs/>
                <w:color w:val="000000"/>
                <w:sz w:val="16"/>
                <w:szCs w:val="16"/>
              </w:rPr>
              <w:t>Other Costs</w:t>
            </w:r>
          </w:p>
        </w:tc>
        <w:tc>
          <w:tcPr>
            <w:tcW w:w="1080" w:type="dxa"/>
            <w:tcBorders>
              <w:top w:val="nil"/>
              <w:left w:val="nil"/>
              <w:bottom w:val="single" w:color="auto" w:sz="4" w:space="0"/>
              <w:right w:val="single" w:color="auto" w:sz="4" w:space="0"/>
            </w:tcBorders>
            <w:shd w:val="clear" w:color="000000" w:fill="808080"/>
            <w:noWrap/>
            <w:vAlign w:val="bottom"/>
            <w:hideMark/>
          </w:tcPr>
          <w:p w:rsidRPr="00890BC1" w:rsidR="00890BC1" w:rsidP="00890BC1" w:rsidRDefault="00890BC1">
            <w:pPr>
              <w:widowControl/>
              <w:autoSpaceDE/>
              <w:autoSpaceDN/>
              <w:adjustRightInd/>
              <w:rPr>
                <w:rFonts w:ascii="Calibri" w:hAnsi="Calibri" w:cs="Calibri"/>
                <w:color w:val="000000"/>
                <w:sz w:val="16"/>
                <w:szCs w:val="16"/>
              </w:rPr>
            </w:pPr>
            <w:r w:rsidRPr="00890BC1">
              <w:rPr>
                <w:rFonts w:ascii="Calibri" w:hAnsi="Calibri" w:cs="Calibri"/>
                <w:color w:val="000000"/>
                <w:sz w:val="16"/>
                <w:szCs w:val="16"/>
              </w:rPr>
              <w:t> </w:t>
            </w:r>
          </w:p>
        </w:tc>
        <w:tc>
          <w:tcPr>
            <w:tcW w:w="1080" w:type="dxa"/>
            <w:tcBorders>
              <w:top w:val="nil"/>
              <w:left w:val="nil"/>
              <w:bottom w:val="single" w:color="auto" w:sz="4" w:space="0"/>
              <w:right w:val="single" w:color="auto" w:sz="4" w:space="0"/>
            </w:tcBorders>
            <w:shd w:val="clear" w:color="000000" w:fill="808080"/>
            <w:noWrap/>
            <w:vAlign w:val="bottom"/>
            <w:hideMark/>
          </w:tcPr>
          <w:p w:rsidRPr="00890BC1" w:rsidR="00890BC1" w:rsidP="00890BC1" w:rsidRDefault="00890BC1">
            <w:pPr>
              <w:widowControl/>
              <w:autoSpaceDE/>
              <w:autoSpaceDN/>
              <w:adjustRightInd/>
              <w:rPr>
                <w:rFonts w:ascii="Calibri" w:hAnsi="Calibri" w:cs="Calibri"/>
                <w:color w:val="000000"/>
                <w:sz w:val="16"/>
                <w:szCs w:val="16"/>
              </w:rPr>
            </w:pPr>
            <w:r w:rsidRPr="00890BC1">
              <w:rPr>
                <w:rFonts w:ascii="Calibri" w:hAnsi="Calibri" w:cs="Calibri"/>
                <w:color w:val="000000"/>
                <w:sz w:val="16"/>
                <w:szCs w:val="16"/>
              </w:rPr>
              <w:t> </w:t>
            </w:r>
          </w:p>
        </w:tc>
        <w:tc>
          <w:tcPr>
            <w:tcW w:w="1087" w:type="dxa"/>
            <w:tcBorders>
              <w:top w:val="nil"/>
              <w:left w:val="nil"/>
              <w:bottom w:val="single" w:color="auto" w:sz="4" w:space="0"/>
              <w:right w:val="single" w:color="auto" w:sz="4" w:space="0"/>
            </w:tcBorders>
            <w:shd w:val="clear" w:color="000000" w:fill="808080"/>
            <w:noWrap/>
            <w:vAlign w:val="bottom"/>
            <w:hideMark/>
          </w:tcPr>
          <w:p w:rsidRPr="00890BC1" w:rsidR="00890BC1" w:rsidP="00890BC1" w:rsidRDefault="00890BC1">
            <w:pPr>
              <w:widowControl/>
              <w:autoSpaceDE/>
              <w:autoSpaceDN/>
              <w:adjustRightInd/>
              <w:rPr>
                <w:rFonts w:ascii="Calibri" w:hAnsi="Calibri" w:cs="Calibri"/>
                <w:color w:val="000000"/>
                <w:sz w:val="16"/>
                <w:szCs w:val="16"/>
              </w:rPr>
            </w:pPr>
            <w:r w:rsidRPr="00890BC1">
              <w:rPr>
                <w:rFonts w:ascii="Calibri" w:hAnsi="Calibri" w:cs="Calibri"/>
                <w:color w:val="000000"/>
                <w:sz w:val="16"/>
                <w:szCs w:val="16"/>
              </w:rPr>
              <w:t> </w:t>
            </w:r>
          </w:p>
        </w:tc>
        <w:tc>
          <w:tcPr>
            <w:tcW w:w="1280" w:type="dxa"/>
            <w:tcBorders>
              <w:top w:val="nil"/>
              <w:left w:val="nil"/>
              <w:bottom w:val="single" w:color="auto" w:sz="4" w:space="0"/>
              <w:right w:val="single" w:color="auto" w:sz="4" w:space="0"/>
            </w:tcBorders>
            <w:shd w:val="clear" w:color="000000" w:fill="808080"/>
            <w:noWrap/>
            <w:vAlign w:val="bottom"/>
            <w:hideMark/>
          </w:tcPr>
          <w:p w:rsidRPr="00890BC1" w:rsidR="00890BC1" w:rsidP="00890BC1" w:rsidRDefault="00890BC1">
            <w:pPr>
              <w:widowControl/>
              <w:autoSpaceDE/>
              <w:autoSpaceDN/>
              <w:adjustRightInd/>
              <w:rPr>
                <w:rFonts w:ascii="Calibri" w:hAnsi="Calibri" w:cs="Calibri"/>
                <w:color w:val="000000"/>
                <w:sz w:val="16"/>
                <w:szCs w:val="16"/>
              </w:rPr>
            </w:pPr>
            <w:r w:rsidRPr="00890BC1">
              <w:rPr>
                <w:rFonts w:ascii="Calibri" w:hAnsi="Calibri" w:cs="Calibri"/>
                <w:color w:val="000000"/>
                <w:sz w:val="16"/>
                <w:szCs w:val="16"/>
              </w:rPr>
              <w:t> </w:t>
            </w:r>
          </w:p>
        </w:tc>
        <w:tc>
          <w:tcPr>
            <w:tcW w:w="1300" w:type="dxa"/>
            <w:tcBorders>
              <w:top w:val="nil"/>
              <w:left w:val="nil"/>
              <w:bottom w:val="single" w:color="auto" w:sz="4" w:space="0"/>
              <w:right w:val="single" w:color="auto" w:sz="8" w:space="0"/>
            </w:tcBorders>
            <w:shd w:val="clear" w:color="auto" w:fill="FFFFFF"/>
            <w:noWrap/>
            <w:vAlign w:val="bottom"/>
            <w:hideMark/>
          </w:tcPr>
          <w:p w:rsidRPr="00890BC1" w:rsidR="00890BC1" w:rsidP="00890BC1" w:rsidRDefault="00890BC1">
            <w:pPr>
              <w:widowControl/>
              <w:autoSpaceDE/>
              <w:autoSpaceDN/>
              <w:adjustRightInd/>
              <w:rPr>
                <w:rFonts w:ascii="Calibri" w:hAnsi="Calibri" w:cs="Calibri"/>
                <w:color w:val="000000"/>
                <w:sz w:val="16"/>
                <w:szCs w:val="16"/>
              </w:rPr>
            </w:pPr>
            <w:r w:rsidRPr="00890BC1">
              <w:rPr>
                <w:rFonts w:ascii="Calibri" w:hAnsi="Calibri" w:cs="Calibri"/>
                <w:color w:val="000000"/>
                <w:sz w:val="16"/>
                <w:szCs w:val="16"/>
              </w:rPr>
              <w:t> </w:t>
            </w:r>
            <w:r w:rsidR="00AA2558">
              <w:rPr>
                <w:rFonts w:ascii="Calibri" w:hAnsi="Calibri" w:cs="Calibri"/>
                <w:color w:val="000000"/>
                <w:sz w:val="16"/>
                <w:szCs w:val="16"/>
              </w:rPr>
              <w:t>$0</w:t>
            </w:r>
          </w:p>
        </w:tc>
      </w:tr>
      <w:tr w:rsidRPr="00890BC1" w:rsidR="00890BC1" w:rsidTr="00314A8B">
        <w:trPr>
          <w:trHeight w:val="315"/>
        </w:trPr>
        <w:tc>
          <w:tcPr>
            <w:tcW w:w="1520" w:type="dxa"/>
            <w:tcBorders>
              <w:top w:val="nil"/>
              <w:left w:val="single" w:color="auto" w:sz="8" w:space="0"/>
              <w:bottom w:val="nil"/>
              <w:right w:val="single" w:color="auto" w:sz="8" w:space="0"/>
            </w:tcBorders>
            <w:shd w:val="clear" w:color="auto" w:fill="auto"/>
            <w:noWrap/>
            <w:vAlign w:val="bottom"/>
            <w:hideMark/>
          </w:tcPr>
          <w:p w:rsidRPr="00890BC1" w:rsidR="00890BC1" w:rsidP="00890BC1" w:rsidRDefault="00890BC1">
            <w:pPr>
              <w:widowControl/>
              <w:autoSpaceDE/>
              <w:autoSpaceDN/>
              <w:adjustRightInd/>
              <w:rPr>
                <w:rFonts w:ascii="Calibri" w:hAnsi="Calibri" w:cs="Calibri"/>
                <w:color w:val="000000"/>
                <w:sz w:val="16"/>
                <w:szCs w:val="16"/>
              </w:rPr>
            </w:pPr>
            <w:r w:rsidRPr="00890BC1">
              <w:rPr>
                <w:rFonts w:ascii="Calibri" w:hAnsi="Calibri" w:cs="Calibri"/>
                <w:color w:val="000000"/>
                <w:sz w:val="16"/>
                <w:szCs w:val="16"/>
              </w:rPr>
              <w:t> </w:t>
            </w:r>
          </w:p>
        </w:tc>
        <w:tc>
          <w:tcPr>
            <w:tcW w:w="1080" w:type="dxa"/>
            <w:tcBorders>
              <w:top w:val="nil"/>
              <w:left w:val="nil"/>
              <w:bottom w:val="nil"/>
              <w:right w:val="single" w:color="auto" w:sz="4" w:space="0"/>
            </w:tcBorders>
            <w:shd w:val="clear" w:color="000000" w:fill="808080"/>
            <w:noWrap/>
            <w:vAlign w:val="bottom"/>
            <w:hideMark/>
          </w:tcPr>
          <w:p w:rsidRPr="00890BC1" w:rsidR="00890BC1" w:rsidP="00890BC1" w:rsidRDefault="00890BC1">
            <w:pPr>
              <w:widowControl/>
              <w:autoSpaceDE/>
              <w:autoSpaceDN/>
              <w:adjustRightInd/>
              <w:rPr>
                <w:rFonts w:ascii="Calibri" w:hAnsi="Calibri" w:cs="Calibri"/>
                <w:color w:val="000000"/>
                <w:sz w:val="16"/>
                <w:szCs w:val="16"/>
              </w:rPr>
            </w:pPr>
            <w:r w:rsidRPr="00890BC1">
              <w:rPr>
                <w:rFonts w:ascii="Calibri" w:hAnsi="Calibri" w:cs="Calibri"/>
                <w:color w:val="000000"/>
                <w:sz w:val="16"/>
                <w:szCs w:val="16"/>
              </w:rPr>
              <w:t> </w:t>
            </w:r>
          </w:p>
        </w:tc>
        <w:tc>
          <w:tcPr>
            <w:tcW w:w="1080" w:type="dxa"/>
            <w:tcBorders>
              <w:top w:val="nil"/>
              <w:left w:val="nil"/>
              <w:bottom w:val="nil"/>
              <w:right w:val="single" w:color="auto" w:sz="4" w:space="0"/>
            </w:tcBorders>
            <w:shd w:val="clear" w:color="000000" w:fill="808080"/>
            <w:noWrap/>
            <w:vAlign w:val="bottom"/>
            <w:hideMark/>
          </w:tcPr>
          <w:p w:rsidRPr="00890BC1" w:rsidR="00890BC1" w:rsidP="00890BC1" w:rsidRDefault="00890BC1">
            <w:pPr>
              <w:widowControl/>
              <w:autoSpaceDE/>
              <w:autoSpaceDN/>
              <w:adjustRightInd/>
              <w:rPr>
                <w:rFonts w:ascii="Calibri" w:hAnsi="Calibri" w:cs="Calibri"/>
                <w:color w:val="000000"/>
                <w:sz w:val="16"/>
                <w:szCs w:val="16"/>
              </w:rPr>
            </w:pPr>
            <w:r w:rsidRPr="00890BC1">
              <w:rPr>
                <w:rFonts w:ascii="Calibri" w:hAnsi="Calibri" w:cs="Calibri"/>
                <w:color w:val="000000"/>
                <w:sz w:val="16"/>
                <w:szCs w:val="16"/>
              </w:rPr>
              <w:t> </w:t>
            </w:r>
          </w:p>
        </w:tc>
        <w:tc>
          <w:tcPr>
            <w:tcW w:w="1087" w:type="dxa"/>
            <w:tcBorders>
              <w:top w:val="nil"/>
              <w:left w:val="nil"/>
              <w:bottom w:val="nil"/>
              <w:right w:val="single" w:color="auto" w:sz="4" w:space="0"/>
            </w:tcBorders>
            <w:shd w:val="clear" w:color="000000" w:fill="808080"/>
            <w:noWrap/>
            <w:vAlign w:val="bottom"/>
            <w:hideMark/>
          </w:tcPr>
          <w:p w:rsidRPr="00890BC1" w:rsidR="00890BC1" w:rsidP="00890BC1" w:rsidRDefault="00890BC1">
            <w:pPr>
              <w:widowControl/>
              <w:autoSpaceDE/>
              <w:autoSpaceDN/>
              <w:adjustRightInd/>
              <w:rPr>
                <w:rFonts w:ascii="Calibri" w:hAnsi="Calibri" w:cs="Calibri"/>
                <w:color w:val="000000"/>
                <w:sz w:val="16"/>
                <w:szCs w:val="16"/>
              </w:rPr>
            </w:pPr>
            <w:r w:rsidRPr="00890BC1">
              <w:rPr>
                <w:rFonts w:ascii="Calibri" w:hAnsi="Calibri" w:cs="Calibri"/>
                <w:color w:val="000000"/>
                <w:sz w:val="16"/>
                <w:szCs w:val="16"/>
              </w:rPr>
              <w:t> </w:t>
            </w:r>
          </w:p>
        </w:tc>
        <w:tc>
          <w:tcPr>
            <w:tcW w:w="1280" w:type="dxa"/>
            <w:tcBorders>
              <w:top w:val="nil"/>
              <w:left w:val="nil"/>
              <w:bottom w:val="nil"/>
              <w:right w:val="single" w:color="auto" w:sz="4" w:space="0"/>
            </w:tcBorders>
            <w:shd w:val="clear" w:color="000000" w:fill="808080"/>
            <w:noWrap/>
            <w:vAlign w:val="bottom"/>
            <w:hideMark/>
          </w:tcPr>
          <w:p w:rsidRPr="00890BC1" w:rsidR="00890BC1" w:rsidP="00890BC1" w:rsidRDefault="00890BC1">
            <w:pPr>
              <w:widowControl/>
              <w:autoSpaceDE/>
              <w:autoSpaceDN/>
              <w:adjustRightInd/>
              <w:rPr>
                <w:rFonts w:ascii="Calibri" w:hAnsi="Calibri" w:cs="Calibri"/>
                <w:color w:val="000000"/>
                <w:sz w:val="16"/>
                <w:szCs w:val="16"/>
              </w:rPr>
            </w:pPr>
            <w:r w:rsidRPr="00890BC1">
              <w:rPr>
                <w:rFonts w:ascii="Calibri" w:hAnsi="Calibri" w:cs="Calibri"/>
                <w:color w:val="000000"/>
                <w:sz w:val="16"/>
                <w:szCs w:val="16"/>
              </w:rPr>
              <w:t> </w:t>
            </w:r>
          </w:p>
        </w:tc>
        <w:tc>
          <w:tcPr>
            <w:tcW w:w="1300" w:type="dxa"/>
            <w:tcBorders>
              <w:top w:val="nil"/>
              <w:left w:val="nil"/>
              <w:bottom w:val="nil"/>
              <w:right w:val="single" w:color="auto" w:sz="8" w:space="0"/>
            </w:tcBorders>
            <w:shd w:val="clear" w:color="auto" w:fill="FFFFFF"/>
            <w:noWrap/>
            <w:vAlign w:val="bottom"/>
            <w:hideMark/>
          </w:tcPr>
          <w:p w:rsidRPr="00890BC1" w:rsidR="00890BC1" w:rsidP="00890BC1" w:rsidRDefault="00890BC1">
            <w:pPr>
              <w:widowControl/>
              <w:autoSpaceDE/>
              <w:autoSpaceDN/>
              <w:adjustRightInd/>
              <w:rPr>
                <w:rFonts w:ascii="Calibri" w:hAnsi="Calibri" w:cs="Calibri"/>
                <w:color w:val="000000"/>
                <w:sz w:val="16"/>
                <w:szCs w:val="16"/>
              </w:rPr>
            </w:pPr>
            <w:r w:rsidRPr="00890BC1">
              <w:rPr>
                <w:rFonts w:ascii="Calibri" w:hAnsi="Calibri" w:cs="Calibri"/>
                <w:color w:val="000000"/>
                <w:sz w:val="16"/>
                <w:szCs w:val="16"/>
              </w:rPr>
              <w:t> </w:t>
            </w:r>
          </w:p>
        </w:tc>
      </w:tr>
      <w:tr w:rsidRPr="00890BC1" w:rsidR="00890BC1" w:rsidTr="00314A8B">
        <w:trPr>
          <w:trHeight w:val="315"/>
        </w:trPr>
        <w:tc>
          <w:tcPr>
            <w:tcW w:w="1520" w:type="dxa"/>
            <w:tcBorders>
              <w:top w:val="single" w:color="auto" w:sz="8" w:space="0"/>
              <w:left w:val="single" w:color="auto" w:sz="8" w:space="0"/>
              <w:bottom w:val="single" w:color="auto" w:sz="8" w:space="0"/>
              <w:right w:val="single" w:color="auto" w:sz="8" w:space="0"/>
            </w:tcBorders>
            <w:shd w:val="clear" w:color="000000" w:fill="DDEBF7"/>
            <w:noWrap/>
            <w:vAlign w:val="bottom"/>
            <w:hideMark/>
          </w:tcPr>
          <w:p w:rsidRPr="00890BC1" w:rsidR="00890BC1" w:rsidP="00890BC1" w:rsidRDefault="00890BC1">
            <w:pPr>
              <w:widowControl/>
              <w:autoSpaceDE/>
              <w:autoSpaceDN/>
              <w:adjustRightInd/>
              <w:rPr>
                <w:rFonts w:ascii="Calibri" w:hAnsi="Calibri" w:cs="Calibri"/>
                <w:b/>
                <w:bCs/>
                <w:color w:val="000000"/>
                <w:sz w:val="16"/>
                <w:szCs w:val="16"/>
              </w:rPr>
            </w:pPr>
            <w:r w:rsidRPr="00890BC1">
              <w:rPr>
                <w:rFonts w:ascii="Calibri" w:hAnsi="Calibri" w:cs="Calibri"/>
                <w:b/>
                <w:bCs/>
                <w:color w:val="000000"/>
                <w:sz w:val="16"/>
                <w:szCs w:val="16"/>
              </w:rPr>
              <w:t>TOTAL</w:t>
            </w:r>
          </w:p>
        </w:tc>
        <w:tc>
          <w:tcPr>
            <w:tcW w:w="1080" w:type="dxa"/>
            <w:tcBorders>
              <w:top w:val="single" w:color="auto" w:sz="8" w:space="0"/>
              <w:left w:val="nil"/>
              <w:bottom w:val="single" w:color="auto" w:sz="8" w:space="0"/>
              <w:right w:val="single" w:color="auto" w:sz="8" w:space="0"/>
            </w:tcBorders>
            <w:shd w:val="clear" w:color="000000" w:fill="808080"/>
            <w:noWrap/>
            <w:vAlign w:val="bottom"/>
            <w:hideMark/>
          </w:tcPr>
          <w:p w:rsidRPr="00890BC1" w:rsidR="00890BC1" w:rsidP="00890BC1" w:rsidRDefault="00890BC1">
            <w:pPr>
              <w:widowControl/>
              <w:autoSpaceDE/>
              <w:autoSpaceDN/>
              <w:adjustRightInd/>
              <w:rPr>
                <w:rFonts w:ascii="Calibri" w:hAnsi="Calibri" w:cs="Calibri"/>
                <w:color w:val="000000"/>
                <w:sz w:val="16"/>
                <w:szCs w:val="16"/>
              </w:rPr>
            </w:pPr>
            <w:r w:rsidRPr="00890BC1">
              <w:rPr>
                <w:rFonts w:ascii="Calibri" w:hAnsi="Calibri" w:cs="Calibri"/>
                <w:color w:val="000000"/>
                <w:sz w:val="16"/>
                <w:szCs w:val="16"/>
              </w:rPr>
              <w:t> </w:t>
            </w:r>
          </w:p>
        </w:tc>
        <w:tc>
          <w:tcPr>
            <w:tcW w:w="1080" w:type="dxa"/>
            <w:tcBorders>
              <w:top w:val="single" w:color="auto" w:sz="8" w:space="0"/>
              <w:left w:val="nil"/>
              <w:bottom w:val="single" w:color="auto" w:sz="8" w:space="0"/>
              <w:right w:val="single" w:color="auto" w:sz="8" w:space="0"/>
            </w:tcBorders>
            <w:shd w:val="clear" w:color="000000" w:fill="DDEBF7"/>
            <w:noWrap/>
            <w:vAlign w:val="bottom"/>
            <w:hideMark/>
          </w:tcPr>
          <w:p w:rsidRPr="00890BC1" w:rsidR="00890BC1" w:rsidP="00890BC1" w:rsidRDefault="00890BC1">
            <w:pPr>
              <w:widowControl/>
              <w:autoSpaceDE/>
              <w:autoSpaceDN/>
              <w:adjustRightInd/>
              <w:rPr>
                <w:rFonts w:ascii="Calibri" w:hAnsi="Calibri" w:cs="Calibri"/>
                <w:color w:val="000000"/>
                <w:sz w:val="16"/>
                <w:szCs w:val="16"/>
              </w:rPr>
            </w:pPr>
            <w:r w:rsidRPr="00890BC1">
              <w:rPr>
                <w:rFonts w:ascii="Calibri" w:hAnsi="Calibri" w:cs="Calibri"/>
                <w:color w:val="000000"/>
                <w:sz w:val="16"/>
                <w:szCs w:val="16"/>
              </w:rPr>
              <w:t> </w:t>
            </w:r>
            <w:r w:rsidR="00AA2558">
              <w:rPr>
                <w:rFonts w:ascii="Calibri" w:hAnsi="Calibri" w:cs="Calibri"/>
                <w:color w:val="000000"/>
                <w:sz w:val="16"/>
                <w:szCs w:val="16"/>
              </w:rPr>
              <w:t>$108,004</w:t>
            </w:r>
          </w:p>
        </w:tc>
        <w:tc>
          <w:tcPr>
            <w:tcW w:w="1087" w:type="dxa"/>
            <w:tcBorders>
              <w:top w:val="single" w:color="auto" w:sz="8" w:space="0"/>
              <w:left w:val="nil"/>
              <w:bottom w:val="single" w:color="auto" w:sz="8" w:space="0"/>
              <w:right w:val="single" w:color="auto" w:sz="8" w:space="0"/>
            </w:tcBorders>
            <w:shd w:val="clear" w:color="000000" w:fill="757171"/>
            <w:noWrap/>
            <w:vAlign w:val="bottom"/>
            <w:hideMark/>
          </w:tcPr>
          <w:p w:rsidRPr="00890BC1" w:rsidR="00890BC1" w:rsidP="00890BC1" w:rsidRDefault="00890BC1">
            <w:pPr>
              <w:widowControl/>
              <w:autoSpaceDE/>
              <w:autoSpaceDN/>
              <w:adjustRightInd/>
              <w:rPr>
                <w:rFonts w:ascii="Calibri" w:hAnsi="Calibri" w:cs="Calibri"/>
                <w:color w:val="000000"/>
                <w:sz w:val="16"/>
                <w:szCs w:val="16"/>
              </w:rPr>
            </w:pPr>
            <w:r w:rsidRPr="00890BC1">
              <w:rPr>
                <w:rFonts w:ascii="Calibri" w:hAnsi="Calibri" w:cs="Calibri"/>
                <w:color w:val="000000"/>
                <w:sz w:val="16"/>
                <w:szCs w:val="16"/>
              </w:rPr>
              <w:t> </w:t>
            </w:r>
          </w:p>
        </w:tc>
        <w:tc>
          <w:tcPr>
            <w:tcW w:w="1280" w:type="dxa"/>
            <w:tcBorders>
              <w:top w:val="single" w:color="auto" w:sz="8" w:space="0"/>
              <w:left w:val="nil"/>
              <w:bottom w:val="single" w:color="auto" w:sz="8" w:space="0"/>
              <w:right w:val="single" w:color="auto" w:sz="8" w:space="0"/>
            </w:tcBorders>
            <w:shd w:val="clear" w:color="000000" w:fill="DDEBF7"/>
            <w:noWrap/>
            <w:vAlign w:val="bottom"/>
            <w:hideMark/>
          </w:tcPr>
          <w:p w:rsidRPr="00890BC1" w:rsidR="00890BC1" w:rsidP="00890BC1" w:rsidRDefault="00890BC1">
            <w:pPr>
              <w:widowControl/>
              <w:autoSpaceDE/>
              <w:autoSpaceDN/>
              <w:adjustRightInd/>
              <w:rPr>
                <w:rFonts w:ascii="Calibri" w:hAnsi="Calibri" w:cs="Calibri"/>
                <w:color w:val="000000"/>
                <w:sz w:val="16"/>
                <w:szCs w:val="16"/>
              </w:rPr>
            </w:pPr>
            <w:r w:rsidRPr="00890BC1">
              <w:rPr>
                <w:rFonts w:ascii="Calibri" w:hAnsi="Calibri" w:cs="Calibri"/>
                <w:color w:val="000000"/>
                <w:sz w:val="16"/>
                <w:szCs w:val="16"/>
              </w:rPr>
              <w:t> </w:t>
            </w:r>
          </w:p>
        </w:tc>
        <w:tc>
          <w:tcPr>
            <w:tcW w:w="1300" w:type="dxa"/>
            <w:tcBorders>
              <w:top w:val="single" w:color="auto" w:sz="8" w:space="0"/>
              <w:left w:val="nil"/>
              <w:bottom w:val="single" w:color="auto" w:sz="8" w:space="0"/>
              <w:right w:val="single" w:color="auto" w:sz="8" w:space="0"/>
            </w:tcBorders>
            <w:shd w:val="clear" w:color="auto" w:fill="FFFFFF"/>
            <w:noWrap/>
            <w:vAlign w:val="bottom"/>
            <w:hideMark/>
          </w:tcPr>
          <w:p w:rsidRPr="00890BC1" w:rsidR="00890BC1" w:rsidP="00890BC1" w:rsidRDefault="00890BC1">
            <w:pPr>
              <w:widowControl/>
              <w:autoSpaceDE/>
              <w:autoSpaceDN/>
              <w:adjustRightInd/>
              <w:rPr>
                <w:rFonts w:ascii="Calibri" w:hAnsi="Calibri" w:cs="Calibri"/>
                <w:color w:val="000000"/>
                <w:sz w:val="16"/>
                <w:szCs w:val="16"/>
              </w:rPr>
            </w:pPr>
            <w:r w:rsidRPr="00890BC1">
              <w:rPr>
                <w:rFonts w:ascii="Calibri" w:hAnsi="Calibri" w:cs="Calibri"/>
                <w:color w:val="000000"/>
                <w:sz w:val="16"/>
                <w:szCs w:val="16"/>
              </w:rPr>
              <w:t> </w:t>
            </w:r>
            <w:r w:rsidR="00AA2558">
              <w:rPr>
                <w:rFonts w:ascii="Calibri" w:hAnsi="Calibri" w:cs="Calibri"/>
                <w:color w:val="000000"/>
                <w:sz w:val="16"/>
                <w:szCs w:val="16"/>
              </w:rPr>
              <w:t>$10,800</w:t>
            </w:r>
          </w:p>
        </w:tc>
      </w:tr>
    </w:tbl>
    <w:p w:rsidR="00890BC1" w:rsidP="00331661" w:rsidRDefault="00890BC1">
      <w:pPr>
        <w:rPr>
          <w:sz w:val="24"/>
          <w:szCs w:val="24"/>
        </w:rPr>
      </w:pPr>
    </w:p>
    <w:p w:rsidRPr="00224043" w:rsidR="00890BC1" w:rsidP="00331661" w:rsidRDefault="00890BC1">
      <w:pPr>
        <w:rPr>
          <w:sz w:val="24"/>
          <w:szCs w:val="24"/>
        </w:rPr>
      </w:pPr>
    </w:p>
    <w:p w:rsidR="00000D69" w:rsidP="00331661" w:rsidRDefault="00890BC1">
      <w:pPr>
        <w:rPr>
          <w:sz w:val="24"/>
          <w:szCs w:val="24"/>
        </w:rPr>
      </w:pPr>
      <w:r>
        <w:rPr>
          <w:b/>
          <w:bCs/>
          <w:sz w:val="24"/>
          <w:szCs w:val="24"/>
        </w:rPr>
        <w:t>T</w:t>
      </w:r>
      <w:r w:rsidRPr="00FB3651" w:rsidR="00331661">
        <w:rPr>
          <w:b/>
          <w:bCs/>
          <w:sz w:val="24"/>
          <w:szCs w:val="24"/>
        </w:rPr>
        <w:t>otal annual cost to the Federal government is $</w:t>
      </w:r>
      <w:r w:rsidR="0060559A">
        <w:rPr>
          <w:b/>
          <w:bCs/>
          <w:sz w:val="24"/>
          <w:szCs w:val="24"/>
        </w:rPr>
        <w:t>1</w:t>
      </w:r>
      <w:r w:rsidR="00AA2558">
        <w:rPr>
          <w:b/>
          <w:bCs/>
          <w:sz w:val="24"/>
          <w:szCs w:val="24"/>
        </w:rPr>
        <w:t>0,800</w:t>
      </w:r>
      <w:r w:rsidRPr="00FB3651" w:rsidR="00331661">
        <w:rPr>
          <w:bCs/>
          <w:sz w:val="24"/>
          <w:szCs w:val="24"/>
        </w:rPr>
        <w:t>.</w:t>
      </w:r>
    </w:p>
    <w:p w:rsidR="00BC62B5" w:rsidP="00CE5215" w:rsidRDefault="00BC62B5">
      <w:pPr>
        <w:rPr>
          <w:sz w:val="24"/>
          <w:szCs w:val="24"/>
        </w:rPr>
        <w:sectPr w:rsidR="00BC62B5" w:rsidSect="00127A6A">
          <w:footnotePr>
            <w:numRestart w:val="eachSect"/>
          </w:footnotePr>
          <w:endnotePr>
            <w:numFmt w:val="decimal"/>
          </w:endnotePr>
          <w:pgSz w:w="12240" w:h="15840"/>
          <w:pgMar w:top="900" w:right="1440" w:bottom="1080" w:left="1440" w:header="720" w:footer="720" w:gutter="0"/>
          <w:cols w:space="720"/>
        </w:sectPr>
      </w:pPr>
    </w:p>
    <w:p w:rsidRPr="006463A9" w:rsidR="00000D69" w:rsidP="00CE5215" w:rsidRDefault="00000D69">
      <w:pPr>
        <w:rPr>
          <w:sz w:val="24"/>
          <w:szCs w:val="24"/>
        </w:rPr>
      </w:pPr>
    </w:p>
    <w:p w:rsidRPr="00BD7237" w:rsidR="00684E0F" w:rsidP="00684E0F" w:rsidRDefault="004B3952">
      <w:pPr>
        <w:pStyle w:val="ListParagraph"/>
        <w:tabs>
          <w:tab w:val="left" w:pos="360"/>
        </w:tabs>
        <w:spacing w:before="80"/>
        <w:ind w:left="0" w:firstLine="0"/>
        <w:rPr>
          <w:rFonts w:cs="Times New Roman"/>
          <w:b/>
          <w:szCs w:val="24"/>
        </w:rPr>
      </w:pPr>
      <w:r>
        <w:rPr>
          <w:b/>
          <w:bCs/>
          <w:szCs w:val="24"/>
        </w:rPr>
        <w:t>16</w:t>
      </w:r>
      <w:r w:rsidRPr="00B65A1A" w:rsidR="00CE5215">
        <w:rPr>
          <w:b/>
          <w:bCs/>
          <w:szCs w:val="24"/>
        </w:rPr>
        <w:t xml:space="preserve">.  </w:t>
      </w:r>
      <w:r w:rsidRPr="00BD7237" w:rsidR="00684E0F">
        <w:rPr>
          <w:rFonts w:cs="Times New Roman"/>
          <w:b/>
          <w:szCs w:val="24"/>
        </w:rPr>
        <w:t>Explain the reasons for any program changes or adjustments reported in ROCIS.</w:t>
      </w:r>
    </w:p>
    <w:p w:rsidRPr="00B65A1A" w:rsidR="00CE5215" w:rsidP="00CE5215" w:rsidRDefault="00CE5215">
      <w:pPr>
        <w:rPr>
          <w:sz w:val="24"/>
          <w:szCs w:val="24"/>
        </w:rPr>
      </w:pPr>
    </w:p>
    <w:tbl>
      <w:tblPr>
        <w:tblW w:w="13850" w:type="dxa"/>
        <w:tblInd w:w="118" w:type="dxa"/>
        <w:tblLook w:val="04A0" w:firstRow="1" w:lastRow="0" w:firstColumn="1" w:lastColumn="0" w:noHBand="0" w:noVBand="1"/>
      </w:tblPr>
      <w:tblGrid>
        <w:gridCol w:w="2680"/>
        <w:gridCol w:w="1200"/>
        <w:gridCol w:w="1180"/>
        <w:gridCol w:w="1160"/>
        <w:gridCol w:w="1140"/>
        <w:gridCol w:w="1180"/>
        <w:gridCol w:w="1240"/>
        <w:gridCol w:w="4070"/>
      </w:tblGrid>
      <w:tr w:rsidRPr="00A431E0" w:rsidR="00A431E0" w:rsidTr="00A431E0">
        <w:trPr>
          <w:trHeight w:val="315"/>
        </w:trPr>
        <w:tc>
          <w:tcPr>
            <w:tcW w:w="2680"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A431E0" w:rsidR="00A431E0" w:rsidP="00A431E0" w:rsidRDefault="00A431E0">
            <w:pPr>
              <w:widowControl/>
              <w:autoSpaceDE/>
              <w:autoSpaceDN/>
              <w:adjustRightInd/>
              <w:jc w:val="center"/>
              <w:rPr>
                <w:rFonts w:ascii="Calibri" w:hAnsi="Calibri" w:cs="Calibri"/>
                <w:b/>
                <w:bCs/>
                <w:color w:val="000000"/>
                <w:sz w:val="16"/>
                <w:szCs w:val="16"/>
              </w:rPr>
            </w:pPr>
            <w:r w:rsidRPr="00A431E0">
              <w:rPr>
                <w:rFonts w:ascii="Calibri" w:hAnsi="Calibri" w:cs="Calibri"/>
                <w:b/>
                <w:bCs/>
                <w:color w:val="000000"/>
                <w:sz w:val="16"/>
                <w:szCs w:val="16"/>
              </w:rPr>
              <w:t>Information Collection</w:t>
            </w:r>
          </w:p>
        </w:tc>
        <w:tc>
          <w:tcPr>
            <w:tcW w:w="2380" w:type="dxa"/>
            <w:gridSpan w:val="2"/>
            <w:tcBorders>
              <w:top w:val="single" w:color="auto" w:sz="8" w:space="0"/>
              <w:left w:val="nil"/>
              <w:bottom w:val="single" w:color="auto" w:sz="8" w:space="0"/>
              <w:right w:val="single" w:color="000000" w:sz="8" w:space="0"/>
            </w:tcBorders>
            <w:shd w:val="clear" w:color="000000" w:fill="5B9BD5"/>
            <w:vAlign w:val="center"/>
            <w:hideMark/>
          </w:tcPr>
          <w:p w:rsidRPr="00A431E0" w:rsidR="00A431E0" w:rsidP="00A431E0" w:rsidRDefault="00A431E0">
            <w:pPr>
              <w:widowControl/>
              <w:autoSpaceDE/>
              <w:autoSpaceDN/>
              <w:adjustRightInd/>
              <w:jc w:val="center"/>
              <w:rPr>
                <w:rFonts w:ascii="Calibri" w:hAnsi="Calibri" w:cs="Calibri"/>
                <w:b/>
                <w:bCs/>
                <w:color w:val="000000"/>
                <w:sz w:val="16"/>
                <w:szCs w:val="16"/>
              </w:rPr>
            </w:pPr>
            <w:r w:rsidRPr="00A431E0">
              <w:rPr>
                <w:rFonts w:ascii="Calibri" w:hAnsi="Calibri" w:cs="Calibri"/>
                <w:b/>
                <w:bCs/>
                <w:color w:val="000000"/>
                <w:sz w:val="16"/>
                <w:szCs w:val="16"/>
              </w:rPr>
              <w:t>Respondents</w:t>
            </w:r>
          </w:p>
        </w:tc>
        <w:tc>
          <w:tcPr>
            <w:tcW w:w="2300" w:type="dxa"/>
            <w:gridSpan w:val="2"/>
            <w:tcBorders>
              <w:top w:val="single" w:color="auto" w:sz="8" w:space="0"/>
              <w:left w:val="nil"/>
              <w:bottom w:val="single" w:color="auto" w:sz="8" w:space="0"/>
              <w:right w:val="single" w:color="000000" w:sz="8" w:space="0"/>
            </w:tcBorders>
            <w:shd w:val="clear" w:color="000000" w:fill="5B9BD5"/>
            <w:vAlign w:val="center"/>
            <w:hideMark/>
          </w:tcPr>
          <w:p w:rsidRPr="00A431E0" w:rsidR="00A431E0" w:rsidP="00A431E0" w:rsidRDefault="00A431E0">
            <w:pPr>
              <w:widowControl/>
              <w:autoSpaceDE/>
              <w:autoSpaceDN/>
              <w:adjustRightInd/>
              <w:jc w:val="center"/>
              <w:rPr>
                <w:rFonts w:ascii="Calibri" w:hAnsi="Calibri" w:cs="Calibri"/>
                <w:b/>
                <w:bCs/>
                <w:color w:val="000000"/>
                <w:sz w:val="16"/>
                <w:szCs w:val="16"/>
              </w:rPr>
            </w:pPr>
            <w:r w:rsidRPr="00A431E0">
              <w:rPr>
                <w:rFonts w:ascii="Calibri" w:hAnsi="Calibri" w:cs="Calibri"/>
                <w:b/>
                <w:bCs/>
                <w:color w:val="000000"/>
                <w:sz w:val="16"/>
                <w:szCs w:val="16"/>
              </w:rPr>
              <w:t>Responses</w:t>
            </w:r>
          </w:p>
        </w:tc>
        <w:tc>
          <w:tcPr>
            <w:tcW w:w="2420" w:type="dxa"/>
            <w:gridSpan w:val="2"/>
            <w:tcBorders>
              <w:top w:val="single" w:color="auto" w:sz="8" w:space="0"/>
              <w:left w:val="nil"/>
              <w:bottom w:val="single" w:color="auto" w:sz="8" w:space="0"/>
              <w:right w:val="single" w:color="000000" w:sz="8" w:space="0"/>
            </w:tcBorders>
            <w:shd w:val="clear" w:color="000000" w:fill="5B9BD5"/>
            <w:vAlign w:val="center"/>
            <w:hideMark/>
          </w:tcPr>
          <w:p w:rsidRPr="00A431E0" w:rsidR="00A431E0" w:rsidP="00A431E0" w:rsidRDefault="00A431E0">
            <w:pPr>
              <w:widowControl/>
              <w:autoSpaceDE/>
              <w:autoSpaceDN/>
              <w:adjustRightInd/>
              <w:jc w:val="center"/>
              <w:rPr>
                <w:rFonts w:ascii="Calibri" w:hAnsi="Calibri" w:cs="Calibri"/>
                <w:b/>
                <w:bCs/>
                <w:color w:val="000000"/>
                <w:sz w:val="16"/>
                <w:szCs w:val="16"/>
              </w:rPr>
            </w:pPr>
            <w:r w:rsidRPr="00A431E0">
              <w:rPr>
                <w:rFonts w:ascii="Calibri" w:hAnsi="Calibri" w:cs="Calibri"/>
                <w:b/>
                <w:bCs/>
                <w:color w:val="000000"/>
                <w:sz w:val="16"/>
                <w:szCs w:val="16"/>
              </w:rPr>
              <w:t>Burden Hours</w:t>
            </w:r>
          </w:p>
        </w:tc>
        <w:tc>
          <w:tcPr>
            <w:tcW w:w="4070"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A431E0" w:rsidR="00A431E0" w:rsidP="00A431E0" w:rsidRDefault="00A431E0">
            <w:pPr>
              <w:widowControl/>
              <w:autoSpaceDE/>
              <w:autoSpaceDN/>
              <w:adjustRightInd/>
              <w:jc w:val="center"/>
              <w:rPr>
                <w:rFonts w:ascii="Calibri" w:hAnsi="Calibri" w:cs="Calibri"/>
                <w:b/>
                <w:bCs/>
                <w:color w:val="000000"/>
                <w:sz w:val="16"/>
                <w:szCs w:val="16"/>
              </w:rPr>
            </w:pPr>
            <w:r w:rsidRPr="00A431E0">
              <w:rPr>
                <w:rFonts w:ascii="Calibri" w:hAnsi="Calibri" w:cs="Calibri"/>
                <w:b/>
                <w:bCs/>
                <w:color w:val="000000"/>
                <w:sz w:val="16"/>
                <w:szCs w:val="16"/>
              </w:rPr>
              <w:t>Reason for change or adjustment</w:t>
            </w:r>
          </w:p>
        </w:tc>
      </w:tr>
      <w:tr w:rsidRPr="00A431E0" w:rsidR="00A431E0" w:rsidTr="00A431E0">
        <w:trPr>
          <w:trHeight w:val="690"/>
        </w:trPr>
        <w:tc>
          <w:tcPr>
            <w:tcW w:w="2680" w:type="dxa"/>
            <w:vMerge/>
            <w:tcBorders>
              <w:top w:val="single" w:color="auto" w:sz="8" w:space="0"/>
              <w:left w:val="single" w:color="auto" w:sz="8" w:space="0"/>
              <w:bottom w:val="single" w:color="000000" w:sz="8" w:space="0"/>
              <w:right w:val="single" w:color="auto" w:sz="8" w:space="0"/>
            </w:tcBorders>
            <w:vAlign w:val="center"/>
            <w:hideMark/>
          </w:tcPr>
          <w:p w:rsidRPr="00A431E0" w:rsidR="00A431E0" w:rsidP="00A431E0" w:rsidRDefault="00A431E0">
            <w:pPr>
              <w:widowControl/>
              <w:autoSpaceDE/>
              <w:autoSpaceDN/>
              <w:adjustRightInd/>
              <w:rPr>
                <w:rFonts w:ascii="Calibri" w:hAnsi="Calibri" w:cs="Calibri"/>
                <w:b/>
                <w:bCs/>
                <w:color w:val="000000"/>
                <w:sz w:val="16"/>
                <w:szCs w:val="16"/>
              </w:rPr>
            </w:pPr>
          </w:p>
        </w:tc>
        <w:tc>
          <w:tcPr>
            <w:tcW w:w="1200" w:type="dxa"/>
            <w:tcBorders>
              <w:top w:val="nil"/>
              <w:left w:val="nil"/>
              <w:bottom w:val="single" w:color="auto" w:sz="8" w:space="0"/>
              <w:right w:val="dashed" w:color="auto" w:sz="8" w:space="0"/>
            </w:tcBorders>
            <w:shd w:val="clear" w:color="000000" w:fill="FBE4D5"/>
            <w:vAlign w:val="center"/>
            <w:hideMark/>
          </w:tcPr>
          <w:p w:rsidRPr="00A431E0" w:rsidR="00A431E0" w:rsidP="00A431E0" w:rsidRDefault="00A431E0">
            <w:pPr>
              <w:widowControl/>
              <w:autoSpaceDE/>
              <w:autoSpaceDN/>
              <w:adjustRightInd/>
              <w:jc w:val="center"/>
              <w:rPr>
                <w:rFonts w:ascii="Calibri" w:hAnsi="Calibri" w:cs="Calibri"/>
                <w:color w:val="000000"/>
                <w:sz w:val="16"/>
                <w:szCs w:val="16"/>
              </w:rPr>
            </w:pPr>
            <w:r w:rsidRPr="00A431E0">
              <w:rPr>
                <w:rFonts w:ascii="Calibri" w:hAnsi="Calibri" w:cs="Calibri"/>
                <w:color w:val="000000"/>
                <w:sz w:val="16"/>
                <w:szCs w:val="16"/>
              </w:rPr>
              <w:t>Current Renewal / Revision</w:t>
            </w:r>
          </w:p>
        </w:tc>
        <w:tc>
          <w:tcPr>
            <w:tcW w:w="1180" w:type="dxa"/>
            <w:tcBorders>
              <w:top w:val="nil"/>
              <w:left w:val="nil"/>
              <w:bottom w:val="single" w:color="auto" w:sz="8" w:space="0"/>
              <w:right w:val="single" w:color="auto" w:sz="8" w:space="0"/>
            </w:tcBorders>
            <w:shd w:val="clear" w:color="000000" w:fill="FBE4D5"/>
            <w:vAlign w:val="center"/>
            <w:hideMark/>
          </w:tcPr>
          <w:p w:rsidRPr="00A431E0" w:rsidR="00A431E0" w:rsidP="00A431E0" w:rsidRDefault="00A431E0">
            <w:pPr>
              <w:widowControl/>
              <w:autoSpaceDE/>
              <w:autoSpaceDN/>
              <w:adjustRightInd/>
              <w:jc w:val="center"/>
              <w:rPr>
                <w:rFonts w:ascii="Calibri" w:hAnsi="Calibri" w:cs="Calibri"/>
                <w:color w:val="000000"/>
                <w:sz w:val="16"/>
                <w:szCs w:val="16"/>
              </w:rPr>
            </w:pPr>
            <w:r w:rsidRPr="00A431E0">
              <w:rPr>
                <w:rFonts w:ascii="Calibri" w:hAnsi="Calibri" w:cs="Calibri"/>
                <w:color w:val="000000"/>
                <w:sz w:val="16"/>
                <w:szCs w:val="16"/>
              </w:rPr>
              <w:t>Previous Renewal / Revision</w:t>
            </w:r>
          </w:p>
        </w:tc>
        <w:tc>
          <w:tcPr>
            <w:tcW w:w="1160" w:type="dxa"/>
            <w:tcBorders>
              <w:top w:val="nil"/>
              <w:left w:val="nil"/>
              <w:bottom w:val="single" w:color="auto" w:sz="8" w:space="0"/>
              <w:right w:val="dashed" w:color="auto" w:sz="8" w:space="0"/>
            </w:tcBorders>
            <w:shd w:val="clear" w:color="000000" w:fill="FBE4D5"/>
            <w:vAlign w:val="center"/>
            <w:hideMark/>
          </w:tcPr>
          <w:p w:rsidRPr="00A431E0" w:rsidR="00A431E0" w:rsidP="00A431E0" w:rsidRDefault="00A431E0">
            <w:pPr>
              <w:widowControl/>
              <w:autoSpaceDE/>
              <w:autoSpaceDN/>
              <w:adjustRightInd/>
              <w:jc w:val="center"/>
              <w:rPr>
                <w:rFonts w:ascii="Calibri" w:hAnsi="Calibri" w:cs="Calibri"/>
                <w:color w:val="000000"/>
                <w:sz w:val="16"/>
                <w:szCs w:val="16"/>
              </w:rPr>
            </w:pPr>
            <w:r w:rsidRPr="00A431E0">
              <w:rPr>
                <w:rFonts w:ascii="Calibri" w:hAnsi="Calibri" w:cs="Calibri"/>
                <w:color w:val="000000"/>
                <w:sz w:val="16"/>
                <w:szCs w:val="16"/>
              </w:rPr>
              <w:t>Current Renewal / Revision</w:t>
            </w:r>
          </w:p>
        </w:tc>
        <w:tc>
          <w:tcPr>
            <w:tcW w:w="1140" w:type="dxa"/>
            <w:tcBorders>
              <w:top w:val="nil"/>
              <w:left w:val="nil"/>
              <w:bottom w:val="single" w:color="auto" w:sz="8" w:space="0"/>
              <w:right w:val="single" w:color="auto" w:sz="8" w:space="0"/>
            </w:tcBorders>
            <w:shd w:val="clear" w:color="000000" w:fill="FBE4D5"/>
            <w:vAlign w:val="center"/>
            <w:hideMark/>
          </w:tcPr>
          <w:p w:rsidRPr="00A431E0" w:rsidR="00A431E0" w:rsidP="00A431E0" w:rsidRDefault="00A431E0">
            <w:pPr>
              <w:widowControl/>
              <w:autoSpaceDE/>
              <w:autoSpaceDN/>
              <w:adjustRightInd/>
              <w:jc w:val="center"/>
              <w:rPr>
                <w:rFonts w:ascii="Calibri" w:hAnsi="Calibri" w:cs="Calibri"/>
                <w:color w:val="000000"/>
                <w:sz w:val="16"/>
                <w:szCs w:val="16"/>
              </w:rPr>
            </w:pPr>
            <w:r w:rsidRPr="00A431E0">
              <w:rPr>
                <w:rFonts w:ascii="Calibri" w:hAnsi="Calibri" w:cs="Calibri"/>
                <w:color w:val="000000"/>
                <w:sz w:val="16"/>
                <w:szCs w:val="16"/>
              </w:rPr>
              <w:t>Previous Renewal / Revision</w:t>
            </w:r>
          </w:p>
        </w:tc>
        <w:tc>
          <w:tcPr>
            <w:tcW w:w="1180" w:type="dxa"/>
            <w:tcBorders>
              <w:top w:val="nil"/>
              <w:left w:val="nil"/>
              <w:bottom w:val="single" w:color="auto" w:sz="8" w:space="0"/>
              <w:right w:val="dashed" w:color="auto" w:sz="8" w:space="0"/>
            </w:tcBorders>
            <w:shd w:val="clear" w:color="000000" w:fill="FBE4D5"/>
            <w:vAlign w:val="center"/>
            <w:hideMark/>
          </w:tcPr>
          <w:p w:rsidRPr="00A431E0" w:rsidR="00A431E0" w:rsidP="00A431E0" w:rsidRDefault="00A431E0">
            <w:pPr>
              <w:widowControl/>
              <w:autoSpaceDE/>
              <w:autoSpaceDN/>
              <w:adjustRightInd/>
              <w:jc w:val="center"/>
              <w:rPr>
                <w:rFonts w:ascii="Calibri" w:hAnsi="Calibri" w:cs="Calibri"/>
                <w:color w:val="000000"/>
                <w:sz w:val="16"/>
                <w:szCs w:val="16"/>
              </w:rPr>
            </w:pPr>
            <w:r w:rsidRPr="00A431E0">
              <w:rPr>
                <w:rFonts w:ascii="Calibri" w:hAnsi="Calibri" w:cs="Calibri"/>
                <w:color w:val="000000"/>
                <w:sz w:val="16"/>
                <w:szCs w:val="16"/>
              </w:rPr>
              <w:t>Current Renewal / Revision</w:t>
            </w:r>
          </w:p>
        </w:tc>
        <w:tc>
          <w:tcPr>
            <w:tcW w:w="1240" w:type="dxa"/>
            <w:tcBorders>
              <w:top w:val="nil"/>
              <w:left w:val="nil"/>
              <w:bottom w:val="single" w:color="auto" w:sz="8" w:space="0"/>
              <w:right w:val="single" w:color="auto" w:sz="8" w:space="0"/>
            </w:tcBorders>
            <w:shd w:val="clear" w:color="000000" w:fill="FBE4D5"/>
            <w:vAlign w:val="center"/>
            <w:hideMark/>
          </w:tcPr>
          <w:p w:rsidRPr="00A431E0" w:rsidR="00A431E0" w:rsidP="00A431E0" w:rsidRDefault="00A431E0">
            <w:pPr>
              <w:widowControl/>
              <w:autoSpaceDE/>
              <w:autoSpaceDN/>
              <w:adjustRightInd/>
              <w:jc w:val="center"/>
              <w:rPr>
                <w:rFonts w:ascii="Calibri" w:hAnsi="Calibri" w:cs="Calibri"/>
                <w:color w:val="000000"/>
                <w:sz w:val="16"/>
                <w:szCs w:val="16"/>
              </w:rPr>
            </w:pPr>
            <w:r w:rsidRPr="00A431E0">
              <w:rPr>
                <w:rFonts w:ascii="Calibri" w:hAnsi="Calibri" w:cs="Calibri"/>
                <w:color w:val="000000"/>
                <w:sz w:val="16"/>
                <w:szCs w:val="16"/>
              </w:rPr>
              <w:t>Previous Renewal / Revision</w:t>
            </w:r>
          </w:p>
        </w:tc>
        <w:tc>
          <w:tcPr>
            <w:tcW w:w="4070" w:type="dxa"/>
            <w:vMerge/>
            <w:tcBorders>
              <w:top w:val="single" w:color="auto" w:sz="8" w:space="0"/>
              <w:left w:val="single" w:color="auto" w:sz="8" w:space="0"/>
              <w:bottom w:val="single" w:color="000000" w:sz="8" w:space="0"/>
              <w:right w:val="single" w:color="auto" w:sz="8" w:space="0"/>
            </w:tcBorders>
            <w:vAlign w:val="center"/>
            <w:hideMark/>
          </w:tcPr>
          <w:p w:rsidRPr="00A431E0" w:rsidR="00A431E0" w:rsidP="00A431E0" w:rsidRDefault="00A431E0">
            <w:pPr>
              <w:widowControl/>
              <w:autoSpaceDE/>
              <w:autoSpaceDN/>
              <w:adjustRightInd/>
              <w:rPr>
                <w:rFonts w:ascii="Calibri" w:hAnsi="Calibri" w:cs="Calibri"/>
                <w:b/>
                <w:bCs/>
                <w:color w:val="000000"/>
                <w:sz w:val="16"/>
                <w:szCs w:val="16"/>
              </w:rPr>
            </w:pPr>
          </w:p>
        </w:tc>
      </w:tr>
      <w:tr w:rsidRPr="00A431E0" w:rsidR="00A431E0" w:rsidTr="00A431E0">
        <w:trPr>
          <w:trHeight w:val="538"/>
        </w:trPr>
        <w:tc>
          <w:tcPr>
            <w:tcW w:w="2680" w:type="dxa"/>
            <w:tcBorders>
              <w:top w:val="nil"/>
              <w:left w:val="single" w:color="auto" w:sz="8" w:space="0"/>
              <w:bottom w:val="single" w:color="auto" w:sz="4" w:space="0"/>
              <w:right w:val="single" w:color="auto" w:sz="4" w:space="0"/>
            </w:tcBorders>
            <w:shd w:val="clear" w:color="auto" w:fill="auto"/>
            <w:vAlign w:val="center"/>
            <w:hideMark/>
          </w:tcPr>
          <w:p w:rsidRPr="00A431E0" w:rsidR="00A431E0" w:rsidP="00A431E0" w:rsidRDefault="00A431E0">
            <w:pPr>
              <w:widowControl/>
              <w:autoSpaceDE/>
              <w:autoSpaceDN/>
              <w:adjustRightInd/>
              <w:rPr>
                <w:rFonts w:ascii="Calibri" w:hAnsi="Calibri" w:cs="Calibri"/>
                <w:color w:val="000000"/>
                <w:sz w:val="16"/>
                <w:szCs w:val="16"/>
              </w:rPr>
            </w:pPr>
            <w:r w:rsidRPr="00A431E0">
              <w:rPr>
                <w:rFonts w:ascii="Calibri" w:hAnsi="Calibri" w:cs="Calibri"/>
                <w:color w:val="000000"/>
                <w:sz w:val="16"/>
                <w:szCs w:val="16"/>
              </w:rPr>
              <w:t>VMS Pre-Landing Notification Form</w:t>
            </w:r>
          </w:p>
        </w:tc>
        <w:tc>
          <w:tcPr>
            <w:tcW w:w="1200" w:type="dxa"/>
            <w:tcBorders>
              <w:top w:val="nil"/>
              <w:left w:val="nil"/>
              <w:bottom w:val="dotted" w:color="auto" w:sz="4" w:space="0"/>
              <w:right w:val="dashed" w:color="auto" w:sz="8" w:space="0"/>
            </w:tcBorders>
            <w:shd w:val="clear" w:color="auto" w:fill="auto"/>
            <w:vAlign w:val="center"/>
            <w:hideMark/>
          </w:tcPr>
          <w:p w:rsidRPr="00A431E0" w:rsidR="00A431E0" w:rsidP="00A431E0" w:rsidRDefault="009B36D5">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0</w:t>
            </w:r>
          </w:p>
        </w:tc>
        <w:tc>
          <w:tcPr>
            <w:tcW w:w="1180" w:type="dxa"/>
            <w:tcBorders>
              <w:top w:val="nil"/>
              <w:left w:val="nil"/>
              <w:bottom w:val="dotted" w:color="auto" w:sz="4" w:space="0"/>
              <w:right w:val="single" w:color="auto" w:sz="8" w:space="0"/>
            </w:tcBorders>
            <w:shd w:val="clear" w:color="auto" w:fill="auto"/>
            <w:vAlign w:val="center"/>
            <w:hideMark/>
          </w:tcPr>
          <w:p w:rsidRPr="00A431E0" w:rsidR="00A431E0" w:rsidP="00A431E0" w:rsidRDefault="00C633E2">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677</w:t>
            </w:r>
          </w:p>
        </w:tc>
        <w:tc>
          <w:tcPr>
            <w:tcW w:w="1160" w:type="dxa"/>
            <w:tcBorders>
              <w:top w:val="nil"/>
              <w:left w:val="nil"/>
              <w:bottom w:val="dotted" w:color="auto" w:sz="4" w:space="0"/>
              <w:right w:val="dashed" w:color="auto" w:sz="8" w:space="0"/>
            </w:tcBorders>
            <w:shd w:val="clear" w:color="auto" w:fill="auto"/>
            <w:vAlign w:val="center"/>
            <w:hideMark/>
          </w:tcPr>
          <w:p w:rsidRPr="00A431E0" w:rsidR="00A431E0" w:rsidP="00A431E0" w:rsidRDefault="009B36D5">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0</w:t>
            </w:r>
          </w:p>
        </w:tc>
        <w:tc>
          <w:tcPr>
            <w:tcW w:w="1140" w:type="dxa"/>
            <w:tcBorders>
              <w:top w:val="nil"/>
              <w:left w:val="nil"/>
              <w:bottom w:val="dotted" w:color="auto" w:sz="4" w:space="0"/>
              <w:right w:val="single" w:color="auto" w:sz="8" w:space="0"/>
            </w:tcBorders>
            <w:shd w:val="clear" w:color="auto" w:fill="auto"/>
            <w:vAlign w:val="center"/>
            <w:hideMark/>
          </w:tcPr>
          <w:p w:rsidRPr="00A431E0" w:rsidR="00A431E0" w:rsidP="00A431E0" w:rsidRDefault="00C633E2">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7172</w:t>
            </w:r>
          </w:p>
        </w:tc>
        <w:tc>
          <w:tcPr>
            <w:tcW w:w="1180" w:type="dxa"/>
            <w:tcBorders>
              <w:top w:val="nil"/>
              <w:left w:val="nil"/>
              <w:bottom w:val="dotted" w:color="auto" w:sz="4" w:space="0"/>
              <w:right w:val="dashed" w:color="auto" w:sz="8" w:space="0"/>
            </w:tcBorders>
            <w:shd w:val="clear" w:color="auto" w:fill="auto"/>
            <w:vAlign w:val="center"/>
            <w:hideMark/>
          </w:tcPr>
          <w:p w:rsidRPr="00A431E0" w:rsidR="00A431E0" w:rsidP="00A431E0" w:rsidRDefault="009B36D5">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0</w:t>
            </w:r>
          </w:p>
        </w:tc>
        <w:tc>
          <w:tcPr>
            <w:tcW w:w="1240" w:type="dxa"/>
            <w:tcBorders>
              <w:top w:val="nil"/>
              <w:left w:val="nil"/>
              <w:bottom w:val="dotted" w:color="auto" w:sz="4" w:space="0"/>
              <w:right w:val="single" w:color="auto" w:sz="8" w:space="0"/>
            </w:tcBorders>
            <w:shd w:val="clear" w:color="auto" w:fill="auto"/>
            <w:vAlign w:val="center"/>
            <w:hideMark/>
          </w:tcPr>
          <w:p w:rsidRPr="00A431E0" w:rsidR="00A431E0" w:rsidP="00A431E0" w:rsidRDefault="00C633E2">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598</w:t>
            </w:r>
          </w:p>
        </w:tc>
        <w:tc>
          <w:tcPr>
            <w:tcW w:w="4070" w:type="dxa"/>
            <w:tcBorders>
              <w:top w:val="nil"/>
              <w:left w:val="nil"/>
              <w:bottom w:val="dotted" w:color="auto" w:sz="4" w:space="0"/>
              <w:right w:val="single" w:color="auto" w:sz="8" w:space="0"/>
            </w:tcBorders>
            <w:shd w:val="clear" w:color="auto" w:fill="auto"/>
            <w:vAlign w:val="center"/>
            <w:hideMark/>
          </w:tcPr>
          <w:p w:rsidRPr="00D80D2D" w:rsidR="00A431E0" w:rsidP="00A431E0" w:rsidRDefault="00F102A4">
            <w:pPr>
              <w:widowControl/>
              <w:autoSpaceDE/>
              <w:autoSpaceDN/>
              <w:adjustRightInd/>
              <w:rPr>
                <w:rFonts w:ascii="Calibri" w:hAnsi="Calibri" w:cs="Calibri"/>
                <w:color w:val="000000"/>
                <w:sz w:val="16"/>
                <w:szCs w:val="16"/>
              </w:rPr>
            </w:pPr>
            <w:r w:rsidRPr="00D80D2D">
              <w:rPr>
                <w:rFonts w:ascii="Calibri" w:hAnsi="Calibri" w:cs="Calibri"/>
                <w:color w:val="222222"/>
                <w:sz w:val="16"/>
                <w:szCs w:val="16"/>
                <w:shd w:val="clear" w:color="auto" w:fill="FFFFFF"/>
              </w:rPr>
              <w:t>Adjusted to remove VMS requirements as they are captured in 0648-0202.</w:t>
            </w:r>
          </w:p>
        </w:tc>
      </w:tr>
      <w:tr w:rsidRPr="00A431E0" w:rsidR="00A431E0" w:rsidTr="006E6EC7">
        <w:trPr>
          <w:trHeight w:val="980"/>
        </w:trPr>
        <w:tc>
          <w:tcPr>
            <w:tcW w:w="2680" w:type="dxa"/>
            <w:tcBorders>
              <w:top w:val="nil"/>
              <w:left w:val="single" w:color="auto" w:sz="8" w:space="0"/>
              <w:bottom w:val="single" w:color="auto" w:sz="4" w:space="0"/>
              <w:right w:val="single" w:color="auto" w:sz="4" w:space="0"/>
            </w:tcBorders>
            <w:shd w:val="clear" w:color="auto" w:fill="auto"/>
            <w:vAlign w:val="center"/>
            <w:hideMark/>
          </w:tcPr>
          <w:p w:rsidRPr="00A431E0" w:rsidR="00A431E0" w:rsidP="00A431E0" w:rsidRDefault="00A431E0">
            <w:pPr>
              <w:widowControl/>
              <w:autoSpaceDE/>
              <w:autoSpaceDN/>
              <w:adjustRightInd/>
              <w:rPr>
                <w:rFonts w:ascii="Calibri" w:hAnsi="Calibri" w:cs="Calibri"/>
                <w:color w:val="000000"/>
                <w:sz w:val="16"/>
                <w:szCs w:val="16"/>
              </w:rPr>
            </w:pPr>
            <w:r w:rsidRPr="00A431E0">
              <w:rPr>
                <w:rFonts w:ascii="Calibri" w:hAnsi="Calibri" w:cs="Calibri"/>
                <w:color w:val="000000"/>
                <w:sz w:val="16"/>
                <w:szCs w:val="16"/>
              </w:rPr>
              <w:t>VMS: Trip Declarations, Power-Down Codes &amp; Polling Fees</w:t>
            </w:r>
          </w:p>
        </w:tc>
        <w:tc>
          <w:tcPr>
            <w:tcW w:w="1200" w:type="dxa"/>
            <w:tcBorders>
              <w:top w:val="nil"/>
              <w:left w:val="nil"/>
              <w:bottom w:val="dotted" w:color="auto" w:sz="4" w:space="0"/>
              <w:right w:val="dashed" w:color="auto" w:sz="8" w:space="0"/>
            </w:tcBorders>
            <w:shd w:val="clear" w:color="auto" w:fill="auto"/>
            <w:vAlign w:val="center"/>
            <w:hideMark/>
          </w:tcPr>
          <w:p w:rsidRPr="00A431E0" w:rsidR="00A431E0" w:rsidP="00A431E0" w:rsidRDefault="009B36D5">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0</w:t>
            </w:r>
          </w:p>
        </w:tc>
        <w:tc>
          <w:tcPr>
            <w:tcW w:w="1180" w:type="dxa"/>
            <w:tcBorders>
              <w:top w:val="nil"/>
              <w:left w:val="nil"/>
              <w:bottom w:val="dotted" w:color="auto" w:sz="4" w:space="0"/>
              <w:right w:val="single" w:color="auto" w:sz="8" w:space="0"/>
            </w:tcBorders>
            <w:shd w:val="clear" w:color="auto" w:fill="auto"/>
            <w:vAlign w:val="center"/>
            <w:hideMark/>
          </w:tcPr>
          <w:p w:rsidRPr="00A431E0" w:rsidR="00A431E0" w:rsidP="00A431E0" w:rsidRDefault="00A431E0">
            <w:pPr>
              <w:widowControl/>
              <w:autoSpaceDE/>
              <w:autoSpaceDN/>
              <w:adjustRightInd/>
              <w:jc w:val="center"/>
              <w:rPr>
                <w:rFonts w:ascii="Calibri" w:hAnsi="Calibri" w:cs="Calibri"/>
                <w:color w:val="000000"/>
                <w:sz w:val="16"/>
                <w:szCs w:val="16"/>
              </w:rPr>
            </w:pPr>
            <w:r w:rsidRPr="00A431E0">
              <w:rPr>
                <w:rFonts w:ascii="Calibri" w:hAnsi="Calibri" w:cs="Calibri"/>
                <w:color w:val="000000"/>
                <w:sz w:val="16"/>
                <w:szCs w:val="16"/>
              </w:rPr>
              <w:t>783</w:t>
            </w:r>
          </w:p>
        </w:tc>
        <w:tc>
          <w:tcPr>
            <w:tcW w:w="1160" w:type="dxa"/>
            <w:tcBorders>
              <w:top w:val="nil"/>
              <w:left w:val="nil"/>
              <w:bottom w:val="dotted" w:color="auto" w:sz="4" w:space="0"/>
              <w:right w:val="dashed" w:color="auto" w:sz="8" w:space="0"/>
            </w:tcBorders>
            <w:shd w:val="clear" w:color="auto" w:fill="auto"/>
            <w:vAlign w:val="center"/>
            <w:hideMark/>
          </w:tcPr>
          <w:p w:rsidRPr="00A431E0" w:rsidR="00A431E0" w:rsidP="00A431E0" w:rsidRDefault="009B36D5">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0</w:t>
            </w:r>
          </w:p>
        </w:tc>
        <w:tc>
          <w:tcPr>
            <w:tcW w:w="1140" w:type="dxa"/>
            <w:tcBorders>
              <w:top w:val="nil"/>
              <w:left w:val="nil"/>
              <w:bottom w:val="dotted" w:color="auto" w:sz="4" w:space="0"/>
              <w:right w:val="single" w:color="auto" w:sz="8" w:space="0"/>
            </w:tcBorders>
            <w:shd w:val="clear" w:color="auto" w:fill="auto"/>
            <w:vAlign w:val="center"/>
            <w:hideMark/>
          </w:tcPr>
          <w:p w:rsidRPr="00A431E0" w:rsidR="00A431E0" w:rsidP="00A431E0" w:rsidRDefault="00A431E0">
            <w:pPr>
              <w:widowControl/>
              <w:autoSpaceDE/>
              <w:autoSpaceDN/>
              <w:adjustRightInd/>
              <w:jc w:val="center"/>
              <w:rPr>
                <w:rFonts w:ascii="Calibri" w:hAnsi="Calibri" w:cs="Calibri"/>
                <w:color w:val="000000"/>
                <w:sz w:val="16"/>
                <w:szCs w:val="16"/>
              </w:rPr>
            </w:pPr>
            <w:r w:rsidRPr="00A431E0">
              <w:rPr>
                <w:rFonts w:ascii="Calibri" w:hAnsi="Calibri" w:cs="Calibri"/>
                <w:color w:val="000000"/>
                <w:sz w:val="16"/>
                <w:szCs w:val="16"/>
              </w:rPr>
              <w:t>12950</w:t>
            </w:r>
          </w:p>
        </w:tc>
        <w:tc>
          <w:tcPr>
            <w:tcW w:w="1180" w:type="dxa"/>
            <w:tcBorders>
              <w:top w:val="nil"/>
              <w:left w:val="nil"/>
              <w:bottom w:val="dotted" w:color="auto" w:sz="4" w:space="0"/>
              <w:right w:val="dashed" w:color="auto" w:sz="8" w:space="0"/>
            </w:tcBorders>
            <w:shd w:val="clear" w:color="auto" w:fill="auto"/>
            <w:vAlign w:val="center"/>
            <w:hideMark/>
          </w:tcPr>
          <w:p w:rsidRPr="00A431E0" w:rsidR="00A431E0" w:rsidP="00A431E0" w:rsidRDefault="009130B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0</w:t>
            </w:r>
          </w:p>
        </w:tc>
        <w:tc>
          <w:tcPr>
            <w:tcW w:w="1240" w:type="dxa"/>
            <w:tcBorders>
              <w:top w:val="nil"/>
              <w:left w:val="nil"/>
              <w:bottom w:val="dotted" w:color="auto" w:sz="4" w:space="0"/>
              <w:right w:val="single" w:color="auto" w:sz="8" w:space="0"/>
            </w:tcBorders>
            <w:shd w:val="clear" w:color="auto" w:fill="auto"/>
            <w:vAlign w:val="center"/>
            <w:hideMark/>
          </w:tcPr>
          <w:p w:rsidRPr="00A431E0" w:rsidR="00A431E0" w:rsidP="00A431E0" w:rsidRDefault="00C633E2">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432</w:t>
            </w:r>
          </w:p>
        </w:tc>
        <w:tc>
          <w:tcPr>
            <w:tcW w:w="4070" w:type="dxa"/>
            <w:tcBorders>
              <w:top w:val="nil"/>
              <w:left w:val="nil"/>
              <w:bottom w:val="dotted" w:color="auto" w:sz="4" w:space="0"/>
              <w:right w:val="single" w:color="auto" w:sz="8" w:space="0"/>
            </w:tcBorders>
            <w:shd w:val="clear" w:color="auto" w:fill="auto"/>
            <w:vAlign w:val="center"/>
            <w:hideMark/>
          </w:tcPr>
          <w:p w:rsidRPr="00D80D2D" w:rsidR="00A431E0" w:rsidP="00A431E0" w:rsidRDefault="00F102A4">
            <w:pPr>
              <w:widowControl/>
              <w:autoSpaceDE/>
              <w:autoSpaceDN/>
              <w:adjustRightInd/>
              <w:rPr>
                <w:rFonts w:ascii="Calibri" w:hAnsi="Calibri" w:cs="Calibri"/>
                <w:color w:val="000000"/>
                <w:sz w:val="16"/>
                <w:szCs w:val="16"/>
              </w:rPr>
            </w:pPr>
            <w:r w:rsidRPr="00D80D2D">
              <w:rPr>
                <w:rFonts w:ascii="Calibri" w:hAnsi="Calibri" w:cs="Calibri"/>
                <w:color w:val="222222"/>
                <w:sz w:val="16"/>
                <w:szCs w:val="16"/>
                <w:shd w:val="clear" w:color="auto" w:fill="FFFFFF"/>
              </w:rPr>
              <w:t>Adjusted to remove VMS requirements as they are captured in 0648-0202.</w:t>
            </w:r>
          </w:p>
        </w:tc>
      </w:tr>
      <w:tr w:rsidRPr="00A431E0" w:rsidR="00A431E0" w:rsidTr="006E6EC7">
        <w:trPr>
          <w:trHeight w:val="890"/>
        </w:trPr>
        <w:tc>
          <w:tcPr>
            <w:tcW w:w="2680" w:type="dxa"/>
            <w:tcBorders>
              <w:top w:val="nil"/>
              <w:left w:val="single" w:color="auto" w:sz="8" w:space="0"/>
              <w:bottom w:val="single" w:color="auto" w:sz="4" w:space="0"/>
              <w:right w:val="single" w:color="auto" w:sz="4" w:space="0"/>
            </w:tcBorders>
            <w:shd w:val="clear" w:color="auto" w:fill="auto"/>
            <w:vAlign w:val="center"/>
            <w:hideMark/>
          </w:tcPr>
          <w:p w:rsidRPr="00A431E0" w:rsidR="00A431E0" w:rsidP="00A431E0" w:rsidRDefault="00A431E0">
            <w:pPr>
              <w:widowControl/>
              <w:autoSpaceDE/>
              <w:autoSpaceDN/>
              <w:adjustRightInd/>
              <w:rPr>
                <w:rFonts w:ascii="Calibri" w:hAnsi="Calibri" w:cs="Calibri"/>
                <w:color w:val="000000"/>
                <w:sz w:val="16"/>
                <w:szCs w:val="16"/>
              </w:rPr>
            </w:pPr>
            <w:r w:rsidRPr="00A431E0">
              <w:rPr>
                <w:rFonts w:ascii="Calibri" w:hAnsi="Calibri" w:cs="Calibri"/>
                <w:color w:val="000000"/>
                <w:sz w:val="16"/>
                <w:szCs w:val="16"/>
              </w:rPr>
              <w:t>VMS Catch Report</w:t>
            </w:r>
          </w:p>
        </w:tc>
        <w:tc>
          <w:tcPr>
            <w:tcW w:w="1200" w:type="dxa"/>
            <w:tcBorders>
              <w:top w:val="nil"/>
              <w:left w:val="nil"/>
              <w:bottom w:val="single" w:color="auto" w:sz="4" w:space="0"/>
              <w:right w:val="dashed" w:color="auto" w:sz="8" w:space="0"/>
            </w:tcBorders>
            <w:shd w:val="clear" w:color="auto" w:fill="auto"/>
            <w:vAlign w:val="center"/>
            <w:hideMark/>
          </w:tcPr>
          <w:p w:rsidRPr="00A431E0" w:rsidR="00A431E0" w:rsidP="00A431E0" w:rsidRDefault="009B36D5">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0</w:t>
            </w:r>
          </w:p>
        </w:tc>
        <w:tc>
          <w:tcPr>
            <w:tcW w:w="1180" w:type="dxa"/>
            <w:tcBorders>
              <w:top w:val="nil"/>
              <w:left w:val="nil"/>
              <w:bottom w:val="single" w:color="auto" w:sz="4" w:space="0"/>
              <w:right w:val="single" w:color="auto" w:sz="8" w:space="0"/>
            </w:tcBorders>
            <w:shd w:val="clear" w:color="auto" w:fill="auto"/>
            <w:vAlign w:val="center"/>
            <w:hideMark/>
          </w:tcPr>
          <w:p w:rsidRPr="00A431E0" w:rsidR="00A431E0" w:rsidP="00A431E0" w:rsidRDefault="00A431E0">
            <w:pPr>
              <w:widowControl/>
              <w:autoSpaceDE/>
              <w:autoSpaceDN/>
              <w:adjustRightInd/>
              <w:jc w:val="center"/>
              <w:rPr>
                <w:rFonts w:ascii="Calibri" w:hAnsi="Calibri" w:cs="Calibri"/>
                <w:color w:val="000000"/>
                <w:sz w:val="16"/>
                <w:szCs w:val="16"/>
              </w:rPr>
            </w:pPr>
            <w:r w:rsidRPr="00A431E0">
              <w:rPr>
                <w:rFonts w:ascii="Calibri" w:hAnsi="Calibri" w:cs="Calibri"/>
                <w:color w:val="000000"/>
                <w:sz w:val="16"/>
                <w:szCs w:val="16"/>
              </w:rPr>
              <w:t>547</w:t>
            </w:r>
          </w:p>
        </w:tc>
        <w:tc>
          <w:tcPr>
            <w:tcW w:w="1160" w:type="dxa"/>
            <w:tcBorders>
              <w:top w:val="nil"/>
              <w:left w:val="nil"/>
              <w:bottom w:val="single" w:color="auto" w:sz="4" w:space="0"/>
              <w:right w:val="dashed" w:color="auto" w:sz="8" w:space="0"/>
            </w:tcBorders>
            <w:shd w:val="clear" w:color="auto" w:fill="auto"/>
            <w:vAlign w:val="center"/>
            <w:hideMark/>
          </w:tcPr>
          <w:p w:rsidRPr="00A431E0" w:rsidR="00A431E0" w:rsidP="00A431E0" w:rsidRDefault="009B36D5">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0</w:t>
            </w:r>
          </w:p>
        </w:tc>
        <w:tc>
          <w:tcPr>
            <w:tcW w:w="1140" w:type="dxa"/>
            <w:tcBorders>
              <w:top w:val="nil"/>
              <w:left w:val="nil"/>
              <w:bottom w:val="single" w:color="auto" w:sz="4" w:space="0"/>
              <w:right w:val="single" w:color="auto" w:sz="8" w:space="0"/>
            </w:tcBorders>
            <w:shd w:val="clear" w:color="auto" w:fill="auto"/>
            <w:vAlign w:val="center"/>
            <w:hideMark/>
          </w:tcPr>
          <w:p w:rsidRPr="00A431E0" w:rsidR="00A431E0" w:rsidP="00A431E0" w:rsidRDefault="00A431E0">
            <w:pPr>
              <w:widowControl/>
              <w:autoSpaceDE/>
              <w:autoSpaceDN/>
              <w:adjustRightInd/>
              <w:jc w:val="center"/>
              <w:rPr>
                <w:rFonts w:ascii="Calibri" w:hAnsi="Calibri" w:cs="Calibri"/>
                <w:color w:val="000000"/>
                <w:sz w:val="16"/>
                <w:szCs w:val="16"/>
              </w:rPr>
            </w:pPr>
            <w:r w:rsidRPr="00A431E0">
              <w:rPr>
                <w:rFonts w:ascii="Calibri" w:hAnsi="Calibri" w:cs="Calibri"/>
                <w:color w:val="000000"/>
                <w:sz w:val="16"/>
                <w:szCs w:val="16"/>
              </w:rPr>
              <w:t>25000</w:t>
            </w:r>
          </w:p>
        </w:tc>
        <w:tc>
          <w:tcPr>
            <w:tcW w:w="1180" w:type="dxa"/>
            <w:tcBorders>
              <w:top w:val="nil"/>
              <w:left w:val="nil"/>
              <w:bottom w:val="single" w:color="auto" w:sz="4" w:space="0"/>
              <w:right w:val="dashed" w:color="auto" w:sz="8" w:space="0"/>
            </w:tcBorders>
            <w:shd w:val="clear" w:color="auto" w:fill="auto"/>
            <w:vAlign w:val="center"/>
            <w:hideMark/>
          </w:tcPr>
          <w:p w:rsidRPr="00A431E0" w:rsidR="00A431E0" w:rsidP="00A431E0" w:rsidRDefault="009130B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0</w:t>
            </w:r>
          </w:p>
        </w:tc>
        <w:tc>
          <w:tcPr>
            <w:tcW w:w="1240" w:type="dxa"/>
            <w:tcBorders>
              <w:top w:val="nil"/>
              <w:left w:val="nil"/>
              <w:bottom w:val="single" w:color="auto" w:sz="4" w:space="0"/>
              <w:right w:val="single" w:color="auto" w:sz="8" w:space="0"/>
            </w:tcBorders>
            <w:shd w:val="clear" w:color="auto" w:fill="auto"/>
            <w:vAlign w:val="center"/>
            <w:hideMark/>
          </w:tcPr>
          <w:p w:rsidRPr="00A431E0" w:rsidR="00A431E0" w:rsidP="00A431E0" w:rsidRDefault="009130B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833</w:t>
            </w:r>
          </w:p>
        </w:tc>
        <w:tc>
          <w:tcPr>
            <w:tcW w:w="4070" w:type="dxa"/>
            <w:tcBorders>
              <w:top w:val="nil"/>
              <w:left w:val="nil"/>
              <w:bottom w:val="single" w:color="auto" w:sz="4" w:space="0"/>
              <w:right w:val="single" w:color="auto" w:sz="8" w:space="0"/>
            </w:tcBorders>
            <w:shd w:val="clear" w:color="auto" w:fill="auto"/>
            <w:vAlign w:val="center"/>
            <w:hideMark/>
          </w:tcPr>
          <w:p w:rsidRPr="00D80D2D" w:rsidR="00A431E0" w:rsidP="00A431E0" w:rsidRDefault="00F102A4">
            <w:pPr>
              <w:widowControl/>
              <w:autoSpaceDE/>
              <w:autoSpaceDN/>
              <w:adjustRightInd/>
              <w:rPr>
                <w:rFonts w:ascii="Calibri" w:hAnsi="Calibri" w:cs="Calibri"/>
                <w:color w:val="000000"/>
                <w:sz w:val="16"/>
                <w:szCs w:val="16"/>
              </w:rPr>
            </w:pPr>
            <w:r w:rsidRPr="00D80D2D">
              <w:rPr>
                <w:rFonts w:ascii="Calibri" w:hAnsi="Calibri" w:cs="Calibri"/>
                <w:color w:val="222222"/>
                <w:sz w:val="16"/>
                <w:szCs w:val="16"/>
                <w:shd w:val="clear" w:color="auto" w:fill="FFFFFF"/>
              </w:rPr>
              <w:t>Adjusted to remove VMS requirements as they are captured in 0648-0202.</w:t>
            </w:r>
          </w:p>
        </w:tc>
      </w:tr>
      <w:tr w:rsidRPr="00A431E0" w:rsidR="00A431E0" w:rsidTr="008A6F80">
        <w:trPr>
          <w:trHeight w:val="350"/>
        </w:trPr>
        <w:tc>
          <w:tcPr>
            <w:tcW w:w="2680" w:type="dxa"/>
            <w:tcBorders>
              <w:top w:val="single" w:color="auto" w:sz="4" w:space="0"/>
              <w:left w:val="single" w:color="auto" w:sz="4" w:space="0"/>
              <w:bottom w:val="single" w:color="auto" w:sz="4" w:space="0"/>
              <w:right w:val="single" w:color="auto" w:sz="4" w:space="0"/>
            </w:tcBorders>
            <w:shd w:val="clear" w:color="000000" w:fill="BDD6EE"/>
            <w:vAlign w:val="center"/>
            <w:hideMark/>
          </w:tcPr>
          <w:p w:rsidRPr="00A431E0" w:rsidR="00A431E0" w:rsidP="00A431E0" w:rsidRDefault="00A431E0">
            <w:pPr>
              <w:widowControl/>
              <w:autoSpaceDE/>
              <w:autoSpaceDN/>
              <w:adjustRightInd/>
              <w:jc w:val="center"/>
              <w:rPr>
                <w:rFonts w:ascii="Calibri" w:hAnsi="Calibri" w:cs="Calibri"/>
                <w:b/>
                <w:bCs/>
                <w:color w:val="000000"/>
                <w:sz w:val="16"/>
                <w:szCs w:val="16"/>
              </w:rPr>
            </w:pPr>
            <w:r w:rsidRPr="00A431E0">
              <w:rPr>
                <w:rFonts w:ascii="Calibri" w:hAnsi="Calibri" w:cs="Calibri"/>
                <w:b/>
                <w:bCs/>
                <w:color w:val="000000"/>
                <w:sz w:val="16"/>
                <w:szCs w:val="16"/>
              </w:rPr>
              <w:t>Total for Collection</w:t>
            </w:r>
          </w:p>
        </w:tc>
        <w:tc>
          <w:tcPr>
            <w:tcW w:w="1200" w:type="dxa"/>
            <w:tcBorders>
              <w:top w:val="single" w:color="auto" w:sz="4" w:space="0"/>
              <w:left w:val="single" w:color="auto" w:sz="4" w:space="0"/>
              <w:bottom w:val="single" w:color="auto" w:sz="4" w:space="0"/>
              <w:right w:val="single" w:color="auto" w:sz="4" w:space="0"/>
            </w:tcBorders>
            <w:shd w:val="clear" w:color="auto" w:fill="000000"/>
            <w:vAlign w:val="center"/>
            <w:hideMark/>
          </w:tcPr>
          <w:p w:rsidRPr="00A431E0" w:rsidR="00A431E0" w:rsidP="00A431E0" w:rsidRDefault="00A431E0">
            <w:pPr>
              <w:widowControl/>
              <w:autoSpaceDE/>
              <w:autoSpaceDN/>
              <w:adjustRightInd/>
              <w:jc w:val="center"/>
              <w:rPr>
                <w:rFonts w:ascii="Calibri" w:hAnsi="Calibri" w:cs="Calibri"/>
                <w:b/>
                <w:bCs/>
                <w:color w:val="000000"/>
                <w:sz w:val="16"/>
                <w:szCs w:val="16"/>
              </w:rPr>
            </w:pPr>
            <w:r w:rsidRPr="00A431E0">
              <w:rPr>
                <w:rFonts w:ascii="Calibri" w:hAnsi="Calibri" w:cs="Calibri"/>
                <w:b/>
                <w:bCs/>
                <w:color w:val="000000"/>
                <w:sz w:val="16"/>
                <w:szCs w:val="16"/>
              </w:rPr>
              <w:t> </w:t>
            </w:r>
          </w:p>
        </w:tc>
        <w:tc>
          <w:tcPr>
            <w:tcW w:w="1180" w:type="dxa"/>
            <w:tcBorders>
              <w:top w:val="single" w:color="auto" w:sz="4" w:space="0"/>
              <w:left w:val="single" w:color="auto" w:sz="4" w:space="0"/>
              <w:bottom w:val="single" w:color="auto" w:sz="4" w:space="0"/>
              <w:right w:val="single" w:color="auto" w:sz="4" w:space="0"/>
            </w:tcBorders>
            <w:shd w:val="clear" w:color="auto" w:fill="000000"/>
            <w:vAlign w:val="center"/>
            <w:hideMark/>
          </w:tcPr>
          <w:p w:rsidRPr="00A431E0" w:rsidR="00A431E0" w:rsidP="00A431E0" w:rsidRDefault="00A431E0">
            <w:pPr>
              <w:widowControl/>
              <w:autoSpaceDE/>
              <w:autoSpaceDN/>
              <w:adjustRightInd/>
              <w:jc w:val="center"/>
              <w:rPr>
                <w:rFonts w:ascii="Calibri" w:hAnsi="Calibri" w:cs="Calibri"/>
                <w:b/>
                <w:bCs/>
                <w:color w:val="000000"/>
                <w:sz w:val="16"/>
                <w:szCs w:val="16"/>
              </w:rPr>
            </w:pPr>
            <w:r w:rsidRPr="00A431E0">
              <w:rPr>
                <w:rFonts w:ascii="Calibri" w:hAnsi="Calibri" w:cs="Calibri"/>
                <w:b/>
                <w:bCs/>
                <w:color w:val="000000"/>
                <w:sz w:val="16"/>
                <w:szCs w:val="16"/>
              </w:rPr>
              <w:t> </w:t>
            </w:r>
          </w:p>
        </w:tc>
        <w:tc>
          <w:tcPr>
            <w:tcW w:w="1160" w:type="dxa"/>
            <w:tcBorders>
              <w:top w:val="single" w:color="auto" w:sz="4" w:space="0"/>
              <w:left w:val="single" w:color="auto" w:sz="4" w:space="0"/>
              <w:bottom w:val="single" w:color="auto" w:sz="4" w:space="0"/>
              <w:right w:val="single" w:color="auto" w:sz="4" w:space="0"/>
            </w:tcBorders>
            <w:shd w:val="clear" w:color="000000" w:fill="BDD6EE"/>
            <w:vAlign w:val="center"/>
            <w:hideMark/>
          </w:tcPr>
          <w:p w:rsidRPr="00A431E0" w:rsidR="00A431E0" w:rsidP="009B36D5" w:rsidRDefault="007A1E11">
            <w:pPr>
              <w:widowControl/>
              <w:autoSpaceDE/>
              <w:autoSpaceDN/>
              <w:adjustRightInd/>
              <w:jc w:val="center"/>
              <w:rPr>
                <w:rFonts w:ascii="Calibri" w:hAnsi="Calibri" w:cs="Calibri"/>
                <w:b/>
                <w:bCs/>
                <w:color w:val="000000"/>
                <w:sz w:val="16"/>
                <w:szCs w:val="16"/>
              </w:rPr>
            </w:pPr>
            <w:r>
              <w:rPr>
                <w:rFonts w:ascii="Calibri" w:hAnsi="Calibri" w:cs="Calibri"/>
                <w:b/>
                <w:bCs/>
                <w:color w:val="000000"/>
                <w:sz w:val="16"/>
                <w:szCs w:val="16"/>
              </w:rPr>
              <w:t>804</w:t>
            </w:r>
          </w:p>
        </w:tc>
        <w:tc>
          <w:tcPr>
            <w:tcW w:w="1140" w:type="dxa"/>
            <w:tcBorders>
              <w:top w:val="single" w:color="auto" w:sz="4" w:space="0"/>
              <w:left w:val="single" w:color="auto" w:sz="4" w:space="0"/>
              <w:bottom w:val="single" w:color="auto" w:sz="4" w:space="0"/>
              <w:right w:val="single" w:color="auto" w:sz="4" w:space="0"/>
            </w:tcBorders>
            <w:shd w:val="clear" w:color="000000" w:fill="BDD6EE"/>
            <w:vAlign w:val="center"/>
            <w:hideMark/>
          </w:tcPr>
          <w:p w:rsidRPr="00A431E0" w:rsidR="00A431E0" w:rsidP="00A431E0" w:rsidRDefault="00316CF9">
            <w:pPr>
              <w:widowControl/>
              <w:autoSpaceDE/>
              <w:autoSpaceDN/>
              <w:adjustRightInd/>
              <w:jc w:val="center"/>
              <w:rPr>
                <w:rFonts w:ascii="Calibri" w:hAnsi="Calibri" w:cs="Calibri"/>
                <w:b/>
                <w:bCs/>
                <w:color w:val="000000"/>
                <w:sz w:val="16"/>
                <w:szCs w:val="16"/>
              </w:rPr>
            </w:pPr>
            <w:r>
              <w:rPr>
                <w:rFonts w:ascii="Calibri" w:hAnsi="Calibri" w:cs="Calibri"/>
                <w:b/>
                <w:bCs/>
                <w:color w:val="000000"/>
                <w:sz w:val="16"/>
                <w:szCs w:val="16"/>
              </w:rPr>
              <w:t>45,926</w:t>
            </w:r>
            <w:r w:rsidRPr="00A431E0" w:rsidR="00A431E0">
              <w:rPr>
                <w:rFonts w:ascii="Calibri" w:hAnsi="Calibri" w:cs="Calibri"/>
                <w:b/>
                <w:bCs/>
                <w:color w:val="000000"/>
                <w:sz w:val="16"/>
                <w:szCs w:val="16"/>
              </w:rPr>
              <w:t> </w:t>
            </w:r>
          </w:p>
        </w:tc>
        <w:tc>
          <w:tcPr>
            <w:tcW w:w="1180" w:type="dxa"/>
            <w:tcBorders>
              <w:top w:val="single" w:color="auto" w:sz="4" w:space="0"/>
              <w:left w:val="single" w:color="auto" w:sz="4" w:space="0"/>
              <w:bottom w:val="single" w:color="auto" w:sz="4" w:space="0"/>
              <w:right w:val="single" w:color="auto" w:sz="4" w:space="0"/>
            </w:tcBorders>
            <w:shd w:val="clear" w:color="000000" w:fill="BDD6EE"/>
            <w:vAlign w:val="center"/>
            <w:hideMark/>
          </w:tcPr>
          <w:p w:rsidRPr="00A431E0" w:rsidR="00A431E0" w:rsidP="00A431E0" w:rsidRDefault="007A1E11">
            <w:pPr>
              <w:widowControl/>
              <w:autoSpaceDE/>
              <w:autoSpaceDN/>
              <w:adjustRightInd/>
              <w:jc w:val="center"/>
              <w:rPr>
                <w:rFonts w:ascii="Calibri" w:hAnsi="Calibri" w:cs="Calibri"/>
                <w:b/>
                <w:bCs/>
                <w:color w:val="000000"/>
                <w:sz w:val="16"/>
                <w:szCs w:val="16"/>
              </w:rPr>
            </w:pPr>
            <w:r>
              <w:rPr>
                <w:rFonts w:ascii="Calibri" w:hAnsi="Calibri" w:cs="Calibri"/>
                <w:b/>
                <w:bCs/>
                <w:color w:val="000000"/>
                <w:sz w:val="16"/>
                <w:szCs w:val="16"/>
              </w:rPr>
              <w:t>980</w:t>
            </w:r>
          </w:p>
        </w:tc>
        <w:tc>
          <w:tcPr>
            <w:tcW w:w="1240" w:type="dxa"/>
            <w:tcBorders>
              <w:top w:val="single" w:color="auto" w:sz="4" w:space="0"/>
              <w:left w:val="single" w:color="auto" w:sz="4" w:space="0"/>
              <w:bottom w:val="single" w:color="auto" w:sz="4" w:space="0"/>
              <w:right w:val="single" w:color="auto" w:sz="4" w:space="0"/>
            </w:tcBorders>
            <w:shd w:val="clear" w:color="000000" w:fill="BDD6EE"/>
            <w:vAlign w:val="center"/>
            <w:hideMark/>
          </w:tcPr>
          <w:p w:rsidRPr="00A431E0" w:rsidR="00A431E0" w:rsidP="00A431E0" w:rsidRDefault="00316CF9">
            <w:pPr>
              <w:widowControl/>
              <w:autoSpaceDE/>
              <w:autoSpaceDN/>
              <w:adjustRightInd/>
              <w:jc w:val="center"/>
              <w:rPr>
                <w:rFonts w:ascii="Calibri" w:hAnsi="Calibri" w:cs="Calibri"/>
                <w:b/>
                <w:bCs/>
                <w:color w:val="000000"/>
                <w:sz w:val="16"/>
                <w:szCs w:val="16"/>
              </w:rPr>
            </w:pPr>
            <w:r>
              <w:rPr>
                <w:rFonts w:ascii="Calibri" w:hAnsi="Calibri" w:cs="Calibri"/>
                <w:b/>
                <w:bCs/>
                <w:color w:val="000000"/>
                <w:sz w:val="16"/>
                <w:szCs w:val="16"/>
              </w:rPr>
              <w:t>2,843</w:t>
            </w:r>
            <w:r w:rsidRPr="00A431E0" w:rsidR="00A431E0">
              <w:rPr>
                <w:rFonts w:ascii="Calibri" w:hAnsi="Calibri" w:cs="Calibri"/>
                <w:b/>
                <w:bCs/>
                <w:color w:val="000000"/>
                <w:sz w:val="16"/>
                <w:szCs w:val="16"/>
              </w:rPr>
              <w:t> </w:t>
            </w:r>
          </w:p>
        </w:tc>
        <w:tc>
          <w:tcPr>
            <w:tcW w:w="4070" w:type="dxa"/>
            <w:tcBorders>
              <w:top w:val="single" w:color="auto" w:sz="4" w:space="0"/>
              <w:left w:val="single" w:color="auto" w:sz="4" w:space="0"/>
              <w:bottom w:val="single" w:color="auto" w:sz="4" w:space="0"/>
              <w:right w:val="single" w:color="auto" w:sz="4" w:space="0"/>
            </w:tcBorders>
            <w:shd w:val="clear" w:color="000000" w:fill="BDD6EE"/>
            <w:vAlign w:val="center"/>
            <w:hideMark/>
          </w:tcPr>
          <w:p w:rsidRPr="00A431E0" w:rsidR="00A431E0" w:rsidP="00A431E0" w:rsidRDefault="00A431E0">
            <w:pPr>
              <w:widowControl/>
              <w:autoSpaceDE/>
              <w:autoSpaceDN/>
              <w:adjustRightInd/>
              <w:jc w:val="center"/>
              <w:rPr>
                <w:rFonts w:ascii="Calibri" w:hAnsi="Calibri" w:cs="Calibri"/>
                <w:b/>
                <w:bCs/>
                <w:color w:val="000000"/>
                <w:sz w:val="16"/>
                <w:szCs w:val="16"/>
              </w:rPr>
            </w:pPr>
            <w:r w:rsidRPr="00A431E0">
              <w:rPr>
                <w:rFonts w:ascii="Calibri" w:hAnsi="Calibri" w:cs="Calibri"/>
                <w:b/>
                <w:bCs/>
                <w:color w:val="000000"/>
                <w:sz w:val="16"/>
                <w:szCs w:val="16"/>
              </w:rPr>
              <w:t> </w:t>
            </w:r>
          </w:p>
        </w:tc>
      </w:tr>
      <w:tr w:rsidRPr="00A431E0" w:rsidR="00A431E0" w:rsidTr="008A6F80">
        <w:trPr>
          <w:trHeight w:val="350"/>
        </w:trPr>
        <w:tc>
          <w:tcPr>
            <w:tcW w:w="2680" w:type="dxa"/>
            <w:tcBorders>
              <w:top w:val="single" w:color="auto" w:sz="4" w:space="0"/>
              <w:left w:val="single" w:color="auto" w:sz="4" w:space="0"/>
              <w:bottom w:val="single" w:color="auto" w:sz="4" w:space="0"/>
              <w:right w:val="single" w:color="auto" w:sz="4" w:space="0"/>
            </w:tcBorders>
            <w:shd w:val="clear" w:color="000000" w:fill="BDD6EE"/>
            <w:vAlign w:val="center"/>
          </w:tcPr>
          <w:p w:rsidRPr="00A431E0" w:rsidR="00A431E0" w:rsidP="00A431E0" w:rsidRDefault="00A431E0">
            <w:pPr>
              <w:widowControl/>
              <w:autoSpaceDE/>
              <w:autoSpaceDN/>
              <w:adjustRightInd/>
              <w:jc w:val="center"/>
              <w:rPr>
                <w:rFonts w:ascii="Calibri" w:hAnsi="Calibri" w:cs="Calibri"/>
                <w:b/>
                <w:bCs/>
                <w:color w:val="000000"/>
                <w:sz w:val="16"/>
                <w:szCs w:val="16"/>
              </w:rPr>
            </w:pPr>
          </w:p>
        </w:tc>
        <w:tc>
          <w:tcPr>
            <w:tcW w:w="1200" w:type="dxa"/>
            <w:tcBorders>
              <w:top w:val="single" w:color="auto" w:sz="4" w:space="0"/>
              <w:left w:val="single" w:color="auto" w:sz="4" w:space="0"/>
              <w:bottom w:val="single" w:color="auto" w:sz="4" w:space="0"/>
              <w:right w:val="single" w:color="auto" w:sz="4" w:space="0"/>
            </w:tcBorders>
            <w:shd w:val="clear" w:color="auto" w:fill="000000"/>
            <w:vAlign w:val="center"/>
          </w:tcPr>
          <w:p w:rsidRPr="00A431E0" w:rsidR="00A431E0" w:rsidP="00A431E0" w:rsidRDefault="00A431E0">
            <w:pPr>
              <w:widowControl/>
              <w:autoSpaceDE/>
              <w:autoSpaceDN/>
              <w:adjustRightInd/>
              <w:jc w:val="center"/>
              <w:rPr>
                <w:rFonts w:ascii="Calibri" w:hAnsi="Calibri" w:cs="Calibri"/>
                <w:b/>
                <w:bCs/>
                <w:color w:val="000000"/>
                <w:sz w:val="16"/>
                <w:szCs w:val="16"/>
              </w:rPr>
            </w:pPr>
          </w:p>
        </w:tc>
        <w:tc>
          <w:tcPr>
            <w:tcW w:w="1180" w:type="dxa"/>
            <w:tcBorders>
              <w:top w:val="single" w:color="auto" w:sz="4" w:space="0"/>
              <w:left w:val="single" w:color="auto" w:sz="4" w:space="0"/>
              <w:bottom w:val="single" w:color="auto" w:sz="4" w:space="0"/>
              <w:right w:val="single" w:color="auto" w:sz="4" w:space="0"/>
            </w:tcBorders>
            <w:shd w:val="clear" w:color="auto" w:fill="000000"/>
            <w:vAlign w:val="center"/>
          </w:tcPr>
          <w:p w:rsidRPr="00A431E0" w:rsidR="00A431E0" w:rsidP="00A431E0" w:rsidRDefault="00A431E0">
            <w:pPr>
              <w:widowControl/>
              <w:autoSpaceDE/>
              <w:autoSpaceDN/>
              <w:adjustRightInd/>
              <w:jc w:val="center"/>
              <w:rPr>
                <w:rFonts w:ascii="Calibri" w:hAnsi="Calibri" w:cs="Calibri"/>
                <w:b/>
                <w:bCs/>
                <w:color w:val="000000"/>
                <w:sz w:val="16"/>
                <w:szCs w:val="16"/>
              </w:rPr>
            </w:pPr>
          </w:p>
        </w:tc>
        <w:tc>
          <w:tcPr>
            <w:tcW w:w="2300" w:type="dxa"/>
            <w:gridSpan w:val="2"/>
            <w:tcBorders>
              <w:top w:val="single" w:color="auto" w:sz="4" w:space="0"/>
              <w:left w:val="single" w:color="auto" w:sz="4" w:space="0"/>
              <w:bottom w:val="single" w:color="auto" w:sz="4" w:space="0"/>
              <w:right w:val="single" w:color="auto" w:sz="4" w:space="0"/>
            </w:tcBorders>
            <w:shd w:val="clear" w:color="auto" w:fill="FBE4D5"/>
            <w:vAlign w:val="center"/>
          </w:tcPr>
          <w:p w:rsidR="00A431E0" w:rsidP="00A431E0" w:rsidRDefault="007A1E11">
            <w:pPr>
              <w:widowControl/>
              <w:autoSpaceDE/>
              <w:autoSpaceDN/>
              <w:adjustRightInd/>
              <w:jc w:val="center"/>
              <w:rPr>
                <w:rFonts w:ascii="Calibri" w:hAnsi="Calibri" w:cs="Calibri"/>
                <w:b/>
                <w:bCs/>
                <w:color w:val="000000"/>
                <w:sz w:val="16"/>
                <w:szCs w:val="16"/>
              </w:rPr>
            </w:pPr>
            <w:r>
              <w:rPr>
                <w:rFonts w:ascii="Calibri" w:hAnsi="Calibri" w:cs="Calibri"/>
                <w:b/>
                <w:bCs/>
                <w:color w:val="000000"/>
                <w:sz w:val="16"/>
                <w:szCs w:val="16"/>
              </w:rPr>
              <w:t>-45,122</w:t>
            </w:r>
          </w:p>
        </w:tc>
        <w:tc>
          <w:tcPr>
            <w:tcW w:w="2420" w:type="dxa"/>
            <w:gridSpan w:val="2"/>
            <w:tcBorders>
              <w:top w:val="single" w:color="auto" w:sz="4" w:space="0"/>
              <w:left w:val="single" w:color="auto" w:sz="4" w:space="0"/>
              <w:bottom w:val="single" w:color="auto" w:sz="4" w:space="0"/>
              <w:right w:val="single" w:color="auto" w:sz="4" w:space="0"/>
            </w:tcBorders>
            <w:shd w:val="clear" w:color="auto" w:fill="FBE4D5"/>
            <w:vAlign w:val="center"/>
          </w:tcPr>
          <w:p w:rsidR="00A431E0" w:rsidP="00A431E0" w:rsidRDefault="007A1E11">
            <w:pPr>
              <w:widowControl/>
              <w:autoSpaceDE/>
              <w:autoSpaceDN/>
              <w:adjustRightInd/>
              <w:jc w:val="center"/>
              <w:rPr>
                <w:rFonts w:ascii="Calibri" w:hAnsi="Calibri" w:cs="Calibri"/>
                <w:b/>
                <w:bCs/>
                <w:color w:val="000000"/>
                <w:sz w:val="16"/>
                <w:szCs w:val="16"/>
              </w:rPr>
            </w:pPr>
            <w:r>
              <w:rPr>
                <w:rFonts w:ascii="Calibri" w:hAnsi="Calibri" w:cs="Calibri"/>
                <w:b/>
                <w:bCs/>
                <w:color w:val="000000"/>
                <w:sz w:val="16"/>
                <w:szCs w:val="16"/>
              </w:rPr>
              <w:t>-1,863</w:t>
            </w:r>
          </w:p>
        </w:tc>
        <w:tc>
          <w:tcPr>
            <w:tcW w:w="4070" w:type="dxa"/>
            <w:tcBorders>
              <w:top w:val="single" w:color="auto" w:sz="4" w:space="0"/>
              <w:left w:val="single" w:color="auto" w:sz="4" w:space="0"/>
              <w:bottom w:val="single" w:color="auto" w:sz="4" w:space="0"/>
              <w:right w:val="single" w:color="auto" w:sz="4" w:space="0"/>
            </w:tcBorders>
            <w:shd w:val="clear" w:color="000000" w:fill="BDD6EE"/>
            <w:vAlign w:val="center"/>
          </w:tcPr>
          <w:p w:rsidRPr="00A431E0" w:rsidR="00A431E0" w:rsidP="00A431E0" w:rsidRDefault="00A431E0">
            <w:pPr>
              <w:widowControl/>
              <w:autoSpaceDE/>
              <w:autoSpaceDN/>
              <w:adjustRightInd/>
              <w:jc w:val="center"/>
              <w:rPr>
                <w:rFonts w:ascii="Calibri" w:hAnsi="Calibri" w:cs="Calibri"/>
                <w:b/>
                <w:bCs/>
                <w:color w:val="000000"/>
                <w:sz w:val="16"/>
                <w:szCs w:val="16"/>
              </w:rPr>
            </w:pPr>
          </w:p>
        </w:tc>
      </w:tr>
    </w:tbl>
    <w:p w:rsidR="00846518" w:rsidP="00CE5215" w:rsidRDefault="00846518">
      <w:pPr>
        <w:rPr>
          <w:sz w:val="24"/>
          <w:szCs w:val="24"/>
        </w:rPr>
      </w:pPr>
    </w:p>
    <w:tbl>
      <w:tblPr>
        <w:tblW w:w="13850" w:type="dxa"/>
        <w:tblInd w:w="118" w:type="dxa"/>
        <w:tblLook w:val="04A0" w:firstRow="1" w:lastRow="0" w:firstColumn="1" w:lastColumn="0" w:noHBand="0" w:noVBand="1"/>
      </w:tblPr>
      <w:tblGrid>
        <w:gridCol w:w="3140"/>
        <w:gridCol w:w="1170"/>
        <w:gridCol w:w="1440"/>
        <w:gridCol w:w="1530"/>
        <w:gridCol w:w="1440"/>
        <w:gridCol w:w="5130"/>
      </w:tblGrid>
      <w:tr w:rsidRPr="00A77F3A" w:rsidR="00A77F3A" w:rsidTr="00A77F3A">
        <w:trPr>
          <w:trHeight w:val="315"/>
        </w:trPr>
        <w:tc>
          <w:tcPr>
            <w:tcW w:w="3140" w:type="dxa"/>
            <w:vMerge w:val="restart"/>
            <w:tcBorders>
              <w:top w:val="single" w:color="auto" w:sz="8" w:space="0"/>
              <w:left w:val="single" w:color="auto" w:sz="8" w:space="0"/>
              <w:bottom w:val="nil"/>
              <w:right w:val="single" w:color="auto" w:sz="8" w:space="0"/>
            </w:tcBorders>
            <w:shd w:val="clear" w:color="000000" w:fill="5B9BD5"/>
            <w:vAlign w:val="center"/>
            <w:hideMark/>
          </w:tcPr>
          <w:p w:rsidRPr="00A77F3A" w:rsidR="00A77F3A" w:rsidP="00A77F3A" w:rsidRDefault="00A77F3A">
            <w:pPr>
              <w:widowControl/>
              <w:autoSpaceDE/>
              <w:autoSpaceDN/>
              <w:adjustRightInd/>
              <w:jc w:val="center"/>
              <w:rPr>
                <w:rFonts w:ascii="Calibri" w:hAnsi="Calibri" w:cs="Calibri"/>
                <w:b/>
                <w:bCs/>
                <w:color w:val="000000"/>
                <w:sz w:val="16"/>
                <w:szCs w:val="16"/>
              </w:rPr>
            </w:pPr>
            <w:r w:rsidRPr="00A77F3A">
              <w:rPr>
                <w:rFonts w:ascii="Calibri" w:hAnsi="Calibri" w:cs="Calibri"/>
                <w:b/>
                <w:bCs/>
                <w:color w:val="000000"/>
                <w:sz w:val="16"/>
                <w:szCs w:val="16"/>
              </w:rPr>
              <w:t>Information Collection</w:t>
            </w:r>
          </w:p>
        </w:tc>
        <w:tc>
          <w:tcPr>
            <w:tcW w:w="2610" w:type="dxa"/>
            <w:gridSpan w:val="2"/>
            <w:tcBorders>
              <w:top w:val="single" w:color="auto" w:sz="8" w:space="0"/>
              <w:left w:val="nil"/>
              <w:bottom w:val="single" w:color="auto" w:sz="8" w:space="0"/>
              <w:right w:val="single" w:color="000000" w:sz="8" w:space="0"/>
            </w:tcBorders>
            <w:shd w:val="clear" w:color="000000" w:fill="5B9BD5"/>
            <w:vAlign w:val="center"/>
            <w:hideMark/>
          </w:tcPr>
          <w:p w:rsidRPr="00A77F3A" w:rsidR="00A77F3A" w:rsidP="00A77F3A" w:rsidRDefault="00A77F3A">
            <w:pPr>
              <w:widowControl/>
              <w:autoSpaceDE/>
              <w:autoSpaceDN/>
              <w:adjustRightInd/>
              <w:jc w:val="center"/>
              <w:rPr>
                <w:rFonts w:ascii="Calibri" w:hAnsi="Calibri" w:cs="Calibri"/>
                <w:b/>
                <w:bCs/>
                <w:color w:val="000000"/>
                <w:sz w:val="16"/>
                <w:szCs w:val="16"/>
              </w:rPr>
            </w:pPr>
            <w:r w:rsidRPr="00A77F3A">
              <w:rPr>
                <w:rFonts w:ascii="Calibri" w:hAnsi="Calibri" w:cs="Calibri"/>
                <w:b/>
                <w:bCs/>
                <w:color w:val="000000"/>
                <w:sz w:val="16"/>
                <w:szCs w:val="16"/>
              </w:rPr>
              <w:t>Labor Costs</w:t>
            </w:r>
          </w:p>
        </w:tc>
        <w:tc>
          <w:tcPr>
            <w:tcW w:w="2970" w:type="dxa"/>
            <w:gridSpan w:val="2"/>
            <w:tcBorders>
              <w:top w:val="single" w:color="auto" w:sz="8" w:space="0"/>
              <w:left w:val="nil"/>
              <w:bottom w:val="single" w:color="auto" w:sz="8" w:space="0"/>
              <w:right w:val="single" w:color="000000" w:sz="8" w:space="0"/>
            </w:tcBorders>
            <w:shd w:val="clear" w:color="000000" w:fill="5B9BD5"/>
            <w:vAlign w:val="center"/>
            <w:hideMark/>
          </w:tcPr>
          <w:p w:rsidRPr="00A77F3A" w:rsidR="00A77F3A" w:rsidP="00A77F3A" w:rsidRDefault="00A77F3A">
            <w:pPr>
              <w:widowControl/>
              <w:autoSpaceDE/>
              <w:autoSpaceDN/>
              <w:adjustRightInd/>
              <w:jc w:val="center"/>
              <w:rPr>
                <w:rFonts w:ascii="Calibri" w:hAnsi="Calibri" w:cs="Calibri"/>
                <w:b/>
                <w:bCs/>
                <w:color w:val="000000"/>
                <w:sz w:val="16"/>
                <w:szCs w:val="16"/>
              </w:rPr>
            </w:pPr>
            <w:r w:rsidRPr="00A77F3A">
              <w:rPr>
                <w:rFonts w:ascii="Calibri" w:hAnsi="Calibri" w:cs="Calibri"/>
                <w:b/>
                <w:bCs/>
                <w:color w:val="000000"/>
                <w:sz w:val="16"/>
                <w:szCs w:val="16"/>
              </w:rPr>
              <w:t>Miscellaneous Costs</w:t>
            </w:r>
          </w:p>
        </w:tc>
        <w:tc>
          <w:tcPr>
            <w:tcW w:w="5130"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A77F3A" w:rsidR="00A77F3A" w:rsidP="00A77F3A" w:rsidRDefault="00A77F3A">
            <w:pPr>
              <w:widowControl/>
              <w:autoSpaceDE/>
              <w:autoSpaceDN/>
              <w:adjustRightInd/>
              <w:jc w:val="center"/>
              <w:rPr>
                <w:rFonts w:ascii="Calibri" w:hAnsi="Calibri" w:cs="Calibri"/>
                <w:b/>
                <w:bCs/>
                <w:color w:val="000000"/>
                <w:sz w:val="16"/>
                <w:szCs w:val="16"/>
              </w:rPr>
            </w:pPr>
            <w:r w:rsidRPr="00A77F3A">
              <w:rPr>
                <w:rFonts w:ascii="Calibri" w:hAnsi="Calibri" w:cs="Calibri"/>
                <w:b/>
                <w:bCs/>
                <w:color w:val="000000"/>
                <w:sz w:val="16"/>
                <w:szCs w:val="16"/>
              </w:rPr>
              <w:t>Reason for change or adjustment</w:t>
            </w:r>
          </w:p>
        </w:tc>
      </w:tr>
      <w:tr w:rsidRPr="00A77F3A" w:rsidR="00A77F3A" w:rsidTr="00A77F3A">
        <w:trPr>
          <w:trHeight w:val="223"/>
        </w:trPr>
        <w:tc>
          <w:tcPr>
            <w:tcW w:w="3140" w:type="dxa"/>
            <w:vMerge/>
            <w:tcBorders>
              <w:top w:val="single" w:color="auto" w:sz="8" w:space="0"/>
              <w:left w:val="single" w:color="auto" w:sz="8" w:space="0"/>
              <w:bottom w:val="nil"/>
              <w:right w:val="single" w:color="auto" w:sz="8" w:space="0"/>
            </w:tcBorders>
            <w:vAlign w:val="center"/>
            <w:hideMark/>
          </w:tcPr>
          <w:p w:rsidRPr="00A77F3A" w:rsidR="00A77F3A" w:rsidP="00A77F3A" w:rsidRDefault="00A77F3A">
            <w:pPr>
              <w:widowControl/>
              <w:autoSpaceDE/>
              <w:autoSpaceDN/>
              <w:adjustRightInd/>
              <w:rPr>
                <w:rFonts w:ascii="Calibri" w:hAnsi="Calibri" w:cs="Calibri"/>
                <w:b/>
                <w:bCs/>
                <w:color w:val="000000"/>
                <w:sz w:val="16"/>
                <w:szCs w:val="16"/>
              </w:rPr>
            </w:pPr>
          </w:p>
        </w:tc>
        <w:tc>
          <w:tcPr>
            <w:tcW w:w="1170" w:type="dxa"/>
            <w:tcBorders>
              <w:top w:val="nil"/>
              <w:left w:val="nil"/>
              <w:bottom w:val="single" w:color="auto" w:sz="8" w:space="0"/>
              <w:right w:val="dashed" w:color="auto" w:sz="8" w:space="0"/>
            </w:tcBorders>
            <w:shd w:val="clear" w:color="000000" w:fill="FBE4D5"/>
            <w:vAlign w:val="center"/>
            <w:hideMark/>
          </w:tcPr>
          <w:p w:rsidRPr="00A77F3A" w:rsidR="00A77F3A" w:rsidP="00A77F3A" w:rsidRDefault="00A77F3A">
            <w:pPr>
              <w:widowControl/>
              <w:autoSpaceDE/>
              <w:autoSpaceDN/>
              <w:adjustRightInd/>
              <w:jc w:val="center"/>
              <w:rPr>
                <w:rFonts w:ascii="Calibri" w:hAnsi="Calibri" w:cs="Calibri"/>
                <w:color w:val="000000"/>
                <w:sz w:val="16"/>
                <w:szCs w:val="16"/>
              </w:rPr>
            </w:pPr>
            <w:r w:rsidRPr="00A77F3A">
              <w:rPr>
                <w:rFonts w:ascii="Calibri" w:hAnsi="Calibri" w:cs="Calibri"/>
                <w:color w:val="000000"/>
                <w:sz w:val="16"/>
                <w:szCs w:val="16"/>
              </w:rPr>
              <w:t>Current</w:t>
            </w:r>
          </w:p>
        </w:tc>
        <w:tc>
          <w:tcPr>
            <w:tcW w:w="1440" w:type="dxa"/>
            <w:tcBorders>
              <w:top w:val="nil"/>
              <w:left w:val="nil"/>
              <w:bottom w:val="single" w:color="auto" w:sz="8" w:space="0"/>
              <w:right w:val="single" w:color="auto" w:sz="8" w:space="0"/>
            </w:tcBorders>
            <w:shd w:val="clear" w:color="000000" w:fill="FBE4D5"/>
            <w:vAlign w:val="center"/>
            <w:hideMark/>
          </w:tcPr>
          <w:p w:rsidRPr="00A77F3A" w:rsidR="00A77F3A" w:rsidP="00A77F3A" w:rsidRDefault="00A77F3A">
            <w:pPr>
              <w:widowControl/>
              <w:autoSpaceDE/>
              <w:autoSpaceDN/>
              <w:adjustRightInd/>
              <w:jc w:val="center"/>
              <w:rPr>
                <w:rFonts w:ascii="Calibri" w:hAnsi="Calibri" w:cs="Calibri"/>
                <w:color w:val="000000"/>
                <w:sz w:val="16"/>
                <w:szCs w:val="16"/>
              </w:rPr>
            </w:pPr>
            <w:r w:rsidRPr="00A77F3A">
              <w:rPr>
                <w:rFonts w:ascii="Calibri" w:hAnsi="Calibri" w:cs="Calibri"/>
                <w:color w:val="000000"/>
                <w:sz w:val="16"/>
                <w:szCs w:val="16"/>
              </w:rPr>
              <w:t>Previous</w:t>
            </w:r>
          </w:p>
        </w:tc>
        <w:tc>
          <w:tcPr>
            <w:tcW w:w="1530" w:type="dxa"/>
            <w:tcBorders>
              <w:top w:val="nil"/>
              <w:left w:val="nil"/>
              <w:bottom w:val="single" w:color="auto" w:sz="8" w:space="0"/>
              <w:right w:val="dashed" w:color="auto" w:sz="8" w:space="0"/>
            </w:tcBorders>
            <w:shd w:val="clear" w:color="000000" w:fill="FBE4D5"/>
            <w:vAlign w:val="center"/>
            <w:hideMark/>
          </w:tcPr>
          <w:p w:rsidRPr="00A77F3A" w:rsidR="00A77F3A" w:rsidP="00A77F3A" w:rsidRDefault="00A77F3A">
            <w:pPr>
              <w:widowControl/>
              <w:autoSpaceDE/>
              <w:autoSpaceDN/>
              <w:adjustRightInd/>
              <w:jc w:val="center"/>
              <w:rPr>
                <w:rFonts w:ascii="Calibri" w:hAnsi="Calibri" w:cs="Calibri"/>
                <w:color w:val="000000"/>
                <w:sz w:val="16"/>
                <w:szCs w:val="16"/>
              </w:rPr>
            </w:pPr>
            <w:r w:rsidRPr="00A77F3A">
              <w:rPr>
                <w:rFonts w:ascii="Calibri" w:hAnsi="Calibri" w:cs="Calibri"/>
                <w:color w:val="000000"/>
                <w:sz w:val="16"/>
                <w:szCs w:val="16"/>
              </w:rPr>
              <w:t>Current</w:t>
            </w:r>
          </w:p>
        </w:tc>
        <w:tc>
          <w:tcPr>
            <w:tcW w:w="1440" w:type="dxa"/>
            <w:tcBorders>
              <w:top w:val="nil"/>
              <w:left w:val="nil"/>
              <w:bottom w:val="single" w:color="auto" w:sz="8" w:space="0"/>
              <w:right w:val="single" w:color="auto" w:sz="8" w:space="0"/>
            </w:tcBorders>
            <w:shd w:val="clear" w:color="000000" w:fill="FBE4D5"/>
            <w:vAlign w:val="center"/>
            <w:hideMark/>
          </w:tcPr>
          <w:p w:rsidRPr="00A77F3A" w:rsidR="00A77F3A" w:rsidP="00A77F3A" w:rsidRDefault="00A77F3A">
            <w:pPr>
              <w:widowControl/>
              <w:autoSpaceDE/>
              <w:autoSpaceDN/>
              <w:adjustRightInd/>
              <w:jc w:val="center"/>
              <w:rPr>
                <w:rFonts w:ascii="Calibri" w:hAnsi="Calibri" w:cs="Calibri"/>
                <w:color w:val="000000"/>
                <w:sz w:val="16"/>
                <w:szCs w:val="16"/>
              </w:rPr>
            </w:pPr>
            <w:r w:rsidRPr="00A77F3A">
              <w:rPr>
                <w:rFonts w:ascii="Calibri" w:hAnsi="Calibri" w:cs="Calibri"/>
                <w:color w:val="000000"/>
                <w:sz w:val="16"/>
                <w:szCs w:val="16"/>
              </w:rPr>
              <w:t>Previous</w:t>
            </w:r>
          </w:p>
        </w:tc>
        <w:tc>
          <w:tcPr>
            <w:tcW w:w="5130" w:type="dxa"/>
            <w:vMerge/>
            <w:tcBorders>
              <w:top w:val="single" w:color="auto" w:sz="8" w:space="0"/>
              <w:left w:val="single" w:color="auto" w:sz="8" w:space="0"/>
              <w:bottom w:val="single" w:color="000000" w:sz="8" w:space="0"/>
              <w:right w:val="single" w:color="auto" w:sz="8" w:space="0"/>
            </w:tcBorders>
            <w:vAlign w:val="center"/>
            <w:hideMark/>
          </w:tcPr>
          <w:p w:rsidRPr="00A77F3A" w:rsidR="00A77F3A" w:rsidP="00A77F3A" w:rsidRDefault="00A77F3A">
            <w:pPr>
              <w:widowControl/>
              <w:autoSpaceDE/>
              <w:autoSpaceDN/>
              <w:adjustRightInd/>
              <w:rPr>
                <w:rFonts w:ascii="Calibri" w:hAnsi="Calibri" w:cs="Calibri"/>
                <w:b/>
                <w:bCs/>
                <w:color w:val="000000"/>
                <w:sz w:val="16"/>
                <w:szCs w:val="16"/>
              </w:rPr>
            </w:pPr>
          </w:p>
        </w:tc>
      </w:tr>
      <w:tr w:rsidRPr="00A77F3A" w:rsidR="00A77F3A" w:rsidTr="00314A8B">
        <w:trPr>
          <w:trHeight w:val="412"/>
        </w:trPr>
        <w:tc>
          <w:tcPr>
            <w:tcW w:w="3140" w:type="dxa"/>
            <w:tcBorders>
              <w:top w:val="single" w:color="auto" w:sz="4" w:space="0"/>
              <w:left w:val="single" w:color="auto" w:sz="8" w:space="0"/>
              <w:bottom w:val="single" w:color="auto" w:sz="4" w:space="0"/>
              <w:right w:val="single" w:color="auto" w:sz="4" w:space="0"/>
            </w:tcBorders>
            <w:shd w:val="clear" w:color="auto" w:fill="auto"/>
            <w:vAlign w:val="center"/>
            <w:hideMark/>
          </w:tcPr>
          <w:p w:rsidRPr="00A77F3A" w:rsidR="00A77F3A" w:rsidP="00A77F3A" w:rsidRDefault="00A77F3A">
            <w:pPr>
              <w:widowControl/>
              <w:autoSpaceDE/>
              <w:autoSpaceDN/>
              <w:adjustRightInd/>
              <w:rPr>
                <w:rFonts w:ascii="Calibri" w:hAnsi="Calibri" w:cs="Calibri"/>
                <w:color w:val="000000"/>
                <w:sz w:val="16"/>
                <w:szCs w:val="16"/>
              </w:rPr>
            </w:pPr>
            <w:r w:rsidRPr="00A77F3A">
              <w:rPr>
                <w:rFonts w:ascii="Calibri" w:hAnsi="Calibri" w:cs="Calibri"/>
                <w:color w:val="000000"/>
                <w:sz w:val="16"/>
                <w:szCs w:val="16"/>
              </w:rPr>
              <w:t>VMS Pre-Landing Notification Form</w:t>
            </w:r>
          </w:p>
        </w:tc>
        <w:tc>
          <w:tcPr>
            <w:tcW w:w="1170" w:type="dxa"/>
            <w:tcBorders>
              <w:top w:val="nil"/>
              <w:left w:val="nil"/>
              <w:bottom w:val="dotted" w:color="auto" w:sz="4" w:space="0"/>
              <w:right w:val="dashed" w:color="auto" w:sz="8" w:space="0"/>
            </w:tcBorders>
            <w:shd w:val="clear" w:color="auto" w:fill="FFFFFF"/>
            <w:vAlign w:val="center"/>
            <w:hideMark/>
          </w:tcPr>
          <w:p w:rsidRPr="000B42F3" w:rsidR="00A77F3A" w:rsidP="00A77F3A" w:rsidRDefault="00A77F3A">
            <w:pPr>
              <w:widowControl/>
              <w:autoSpaceDE/>
              <w:autoSpaceDN/>
              <w:adjustRightInd/>
              <w:jc w:val="center"/>
              <w:rPr>
                <w:rFonts w:ascii="Calibri" w:hAnsi="Calibri" w:cs="Calibri"/>
                <w:color w:val="000000"/>
                <w:sz w:val="16"/>
                <w:szCs w:val="16"/>
              </w:rPr>
            </w:pPr>
            <w:r w:rsidRPr="000B42F3">
              <w:rPr>
                <w:rFonts w:ascii="Calibri" w:hAnsi="Calibri" w:cs="Calibri"/>
                <w:color w:val="000000"/>
                <w:sz w:val="16"/>
                <w:szCs w:val="16"/>
              </w:rPr>
              <w:t> </w:t>
            </w:r>
            <w:r w:rsidRPr="000B42F3" w:rsidR="009B36D5">
              <w:rPr>
                <w:rFonts w:ascii="Calibri" w:hAnsi="Calibri" w:cs="Calibri"/>
                <w:color w:val="000000"/>
                <w:sz w:val="16"/>
                <w:szCs w:val="16"/>
              </w:rPr>
              <w:t>$0</w:t>
            </w:r>
          </w:p>
        </w:tc>
        <w:tc>
          <w:tcPr>
            <w:tcW w:w="1440" w:type="dxa"/>
            <w:tcBorders>
              <w:top w:val="nil"/>
              <w:left w:val="nil"/>
              <w:bottom w:val="dotted" w:color="auto" w:sz="4" w:space="0"/>
              <w:right w:val="single" w:color="auto" w:sz="8" w:space="0"/>
            </w:tcBorders>
            <w:shd w:val="clear" w:color="auto" w:fill="auto"/>
            <w:vAlign w:val="center"/>
            <w:hideMark/>
          </w:tcPr>
          <w:p w:rsidRPr="00A77F3A" w:rsidR="00A77F3A" w:rsidP="00A77F3A" w:rsidRDefault="00A77F3A">
            <w:pPr>
              <w:widowControl/>
              <w:autoSpaceDE/>
              <w:autoSpaceDN/>
              <w:adjustRightInd/>
              <w:jc w:val="center"/>
              <w:rPr>
                <w:rFonts w:ascii="Calibri" w:hAnsi="Calibri" w:cs="Calibri"/>
                <w:color w:val="000000"/>
                <w:sz w:val="16"/>
                <w:szCs w:val="16"/>
              </w:rPr>
            </w:pPr>
            <w:r w:rsidRPr="00A77F3A">
              <w:rPr>
                <w:rFonts w:ascii="Calibri" w:hAnsi="Calibri" w:cs="Calibri"/>
                <w:color w:val="000000"/>
                <w:sz w:val="16"/>
                <w:szCs w:val="16"/>
              </w:rPr>
              <w:t xml:space="preserve"> $                  8,970 </w:t>
            </w:r>
          </w:p>
        </w:tc>
        <w:tc>
          <w:tcPr>
            <w:tcW w:w="1530" w:type="dxa"/>
            <w:tcBorders>
              <w:top w:val="nil"/>
              <w:left w:val="nil"/>
              <w:bottom w:val="dotted" w:color="auto" w:sz="4" w:space="0"/>
              <w:right w:val="dashed" w:color="auto" w:sz="8" w:space="0"/>
            </w:tcBorders>
            <w:shd w:val="clear" w:color="auto" w:fill="auto"/>
            <w:vAlign w:val="center"/>
            <w:hideMark/>
          </w:tcPr>
          <w:p w:rsidRPr="00A77F3A" w:rsidR="00A77F3A" w:rsidP="008E00E6" w:rsidRDefault="00A77F3A">
            <w:pPr>
              <w:widowControl/>
              <w:autoSpaceDE/>
              <w:autoSpaceDN/>
              <w:adjustRightInd/>
              <w:rPr>
                <w:rFonts w:ascii="Calibri" w:hAnsi="Calibri" w:cs="Calibri"/>
                <w:color w:val="000000"/>
                <w:sz w:val="16"/>
                <w:szCs w:val="16"/>
              </w:rPr>
            </w:pPr>
            <w:r w:rsidRPr="00A77F3A">
              <w:rPr>
                <w:rFonts w:ascii="Calibri" w:hAnsi="Calibri" w:cs="Calibri"/>
                <w:color w:val="000000"/>
                <w:sz w:val="16"/>
                <w:szCs w:val="16"/>
              </w:rPr>
              <w:t xml:space="preserve">$                 </w:t>
            </w:r>
            <w:r w:rsidR="008E00E6">
              <w:rPr>
                <w:rFonts w:ascii="Calibri" w:hAnsi="Calibri" w:cs="Calibri"/>
                <w:color w:val="000000"/>
                <w:sz w:val="16"/>
                <w:szCs w:val="16"/>
              </w:rPr>
              <w:t xml:space="preserve">           </w:t>
            </w:r>
            <w:r w:rsidRPr="00A77F3A">
              <w:rPr>
                <w:rFonts w:ascii="Calibri" w:hAnsi="Calibri" w:cs="Calibri"/>
                <w:color w:val="000000"/>
                <w:sz w:val="16"/>
                <w:szCs w:val="16"/>
              </w:rPr>
              <w:t xml:space="preserve">   </w:t>
            </w:r>
            <w:r w:rsidR="009B36D5">
              <w:rPr>
                <w:rFonts w:ascii="Calibri" w:hAnsi="Calibri" w:cs="Calibri"/>
                <w:color w:val="000000"/>
                <w:sz w:val="16"/>
                <w:szCs w:val="16"/>
              </w:rPr>
              <w:t>0</w:t>
            </w:r>
          </w:p>
        </w:tc>
        <w:tc>
          <w:tcPr>
            <w:tcW w:w="1440" w:type="dxa"/>
            <w:tcBorders>
              <w:top w:val="nil"/>
              <w:left w:val="nil"/>
              <w:bottom w:val="dotted" w:color="auto" w:sz="4" w:space="0"/>
              <w:right w:val="single" w:color="auto" w:sz="8" w:space="0"/>
            </w:tcBorders>
            <w:shd w:val="clear" w:color="auto" w:fill="auto"/>
            <w:vAlign w:val="center"/>
            <w:hideMark/>
          </w:tcPr>
          <w:p w:rsidRPr="00A77F3A" w:rsidR="00A77F3A" w:rsidP="00A77F3A" w:rsidRDefault="00A77F3A">
            <w:pPr>
              <w:widowControl/>
              <w:autoSpaceDE/>
              <w:autoSpaceDN/>
              <w:adjustRightInd/>
              <w:jc w:val="center"/>
              <w:rPr>
                <w:rFonts w:ascii="Calibri" w:hAnsi="Calibri" w:cs="Calibri"/>
                <w:color w:val="000000"/>
                <w:sz w:val="16"/>
                <w:szCs w:val="16"/>
              </w:rPr>
            </w:pPr>
            <w:r w:rsidRPr="00A77F3A">
              <w:rPr>
                <w:rFonts w:ascii="Calibri" w:hAnsi="Calibri" w:cs="Calibri"/>
                <w:color w:val="000000"/>
                <w:sz w:val="16"/>
                <w:szCs w:val="16"/>
              </w:rPr>
              <w:t xml:space="preserve"> $                   5,666 </w:t>
            </w:r>
          </w:p>
        </w:tc>
        <w:tc>
          <w:tcPr>
            <w:tcW w:w="5130" w:type="dxa"/>
            <w:tcBorders>
              <w:top w:val="nil"/>
              <w:left w:val="nil"/>
              <w:bottom w:val="dotted" w:color="auto" w:sz="4" w:space="0"/>
              <w:right w:val="single" w:color="auto" w:sz="8" w:space="0"/>
            </w:tcBorders>
            <w:shd w:val="clear" w:color="auto" w:fill="auto"/>
            <w:vAlign w:val="center"/>
            <w:hideMark/>
          </w:tcPr>
          <w:p w:rsidRPr="00D80D2D" w:rsidR="00A77F3A" w:rsidP="00A77F3A" w:rsidRDefault="00F102A4">
            <w:pPr>
              <w:widowControl/>
              <w:autoSpaceDE/>
              <w:autoSpaceDN/>
              <w:adjustRightInd/>
              <w:rPr>
                <w:rFonts w:ascii="Calibri" w:hAnsi="Calibri" w:cs="Calibri"/>
                <w:color w:val="000000"/>
                <w:sz w:val="16"/>
                <w:szCs w:val="16"/>
              </w:rPr>
            </w:pPr>
            <w:r w:rsidRPr="00D80D2D">
              <w:rPr>
                <w:rFonts w:ascii="Calibri" w:hAnsi="Calibri" w:cs="Calibri"/>
                <w:color w:val="222222"/>
                <w:sz w:val="16"/>
                <w:szCs w:val="16"/>
                <w:shd w:val="clear" w:color="auto" w:fill="FFFFFF"/>
              </w:rPr>
              <w:t>Adjusted to remove VMS requirements as they are captured in 0648-0202.</w:t>
            </w:r>
          </w:p>
        </w:tc>
      </w:tr>
      <w:tr w:rsidRPr="00A77F3A" w:rsidR="00A77F3A" w:rsidTr="00314A8B">
        <w:trPr>
          <w:trHeight w:val="368"/>
        </w:trPr>
        <w:tc>
          <w:tcPr>
            <w:tcW w:w="3140" w:type="dxa"/>
            <w:tcBorders>
              <w:top w:val="nil"/>
              <w:left w:val="single" w:color="auto" w:sz="8" w:space="0"/>
              <w:bottom w:val="single" w:color="auto" w:sz="4" w:space="0"/>
              <w:right w:val="single" w:color="auto" w:sz="4" w:space="0"/>
            </w:tcBorders>
            <w:shd w:val="clear" w:color="auto" w:fill="auto"/>
            <w:vAlign w:val="center"/>
            <w:hideMark/>
          </w:tcPr>
          <w:p w:rsidRPr="00A77F3A" w:rsidR="00A77F3A" w:rsidP="00A77F3A" w:rsidRDefault="00A77F3A">
            <w:pPr>
              <w:widowControl/>
              <w:autoSpaceDE/>
              <w:autoSpaceDN/>
              <w:adjustRightInd/>
              <w:rPr>
                <w:rFonts w:ascii="Calibri" w:hAnsi="Calibri" w:cs="Calibri"/>
                <w:color w:val="000000"/>
                <w:sz w:val="16"/>
                <w:szCs w:val="16"/>
              </w:rPr>
            </w:pPr>
            <w:r w:rsidRPr="00A77F3A">
              <w:rPr>
                <w:rFonts w:ascii="Calibri" w:hAnsi="Calibri" w:cs="Calibri"/>
                <w:color w:val="000000"/>
                <w:sz w:val="16"/>
                <w:szCs w:val="16"/>
              </w:rPr>
              <w:t>VMS: Trip Declarations, Power-Down Codes &amp; Polling Fees</w:t>
            </w:r>
          </w:p>
        </w:tc>
        <w:tc>
          <w:tcPr>
            <w:tcW w:w="1170" w:type="dxa"/>
            <w:tcBorders>
              <w:top w:val="nil"/>
              <w:left w:val="nil"/>
              <w:bottom w:val="dotted" w:color="auto" w:sz="4" w:space="0"/>
              <w:right w:val="dashed" w:color="auto" w:sz="8" w:space="0"/>
            </w:tcBorders>
            <w:shd w:val="clear" w:color="auto" w:fill="FFFFFF"/>
            <w:vAlign w:val="center"/>
            <w:hideMark/>
          </w:tcPr>
          <w:p w:rsidRPr="000B42F3" w:rsidR="00A77F3A" w:rsidP="00A77F3A" w:rsidRDefault="00A77F3A">
            <w:pPr>
              <w:widowControl/>
              <w:autoSpaceDE/>
              <w:autoSpaceDN/>
              <w:adjustRightInd/>
              <w:jc w:val="center"/>
              <w:rPr>
                <w:rFonts w:ascii="Calibri" w:hAnsi="Calibri" w:cs="Calibri"/>
                <w:color w:val="000000"/>
                <w:sz w:val="16"/>
                <w:szCs w:val="16"/>
              </w:rPr>
            </w:pPr>
            <w:r w:rsidRPr="000B42F3">
              <w:rPr>
                <w:rFonts w:ascii="Calibri" w:hAnsi="Calibri" w:cs="Calibri"/>
                <w:color w:val="000000"/>
                <w:sz w:val="16"/>
                <w:szCs w:val="16"/>
              </w:rPr>
              <w:t> </w:t>
            </w:r>
            <w:r w:rsidRPr="000B42F3" w:rsidR="009B36D5">
              <w:rPr>
                <w:rFonts w:ascii="Calibri" w:hAnsi="Calibri" w:cs="Calibri"/>
                <w:color w:val="000000"/>
                <w:sz w:val="16"/>
                <w:szCs w:val="16"/>
              </w:rPr>
              <w:t>$0</w:t>
            </w:r>
          </w:p>
        </w:tc>
        <w:tc>
          <w:tcPr>
            <w:tcW w:w="1440" w:type="dxa"/>
            <w:tcBorders>
              <w:top w:val="nil"/>
              <w:left w:val="nil"/>
              <w:bottom w:val="dotted" w:color="auto" w:sz="4" w:space="0"/>
              <w:right w:val="single" w:color="auto" w:sz="8" w:space="0"/>
            </w:tcBorders>
            <w:shd w:val="clear" w:color="auto" w:fill="auto"/>
            <w:vAlign w:val="center"/>
            <w:hideMark/>
          </w:tcPr>
          <w:p w:rsidRPr="00A77F3A" w:rsidR="00A77F3A" w:rsidP="00A77F3A" w:rsidRDefault="00A77F3A">
            <w:pPr>
              <w:widowControl/>
              <w:autoSpaceDE/>
              <w:autoSpaceDN/>
              <w:adjustRightInd/>
              <w:jc w:val="center"/>
              <w:rPr>
                <w:rFonts w:ascii="Calibri" w:hAnsi="Calibri" w:cs="Calibri"/>
                <w:color w:val="000000"/>
                <w:sz w:val="16"/>
                <w:szCs w:val="16"/>
              </w:rPr>
            </w:pPr>
            <w:r w:rsidRPr="00A77F3A">
              <w:rPr>
                <w:rFonts w:ascii="Calibri" w:hAnsi="Calibri" w:cs="Calibri"/>
                <w:color w:val="000000"/>
                <w:sz w:val="16"/>
                <w:szCs w:val="16"/>
              </w:rPr>
              <w:t xml:space="preserve"> $                  6,480 </w:t>
            </w:r>
          </w:p>
        </w:tc>
        <w:tc>
          <w:tcPr>
            <w:tcW w:w="1530" w:type="dxa"/>
            <w:tcBorders>
              <w:top w:val="nil"/>
              <w:left w:val="nil"/>
              <w:bottom w:val="dotted" w:color="auto" w:sz="4" w:space="0"/>
              <w:right w:val="dashed" w:color="auto" w:sz="8" w:space="0"/>
            </w:tcBorders>
            <w:shd w:val="clear" w:color="auto" w:fill="auto"/>
            <w:vAlign w:val="center"/>
            <w:hideMark/>
          </w:tcPr>
          <w:p w:rsidRPr="00A77F3A" w:rsidR="00A77F3A" w:rsidP="008E00E6" w:rsidRDefault="00A77F3A">
            <w:pPr>
              <w:widowControl/>
              <w:autoSpaceDE/>
              <w:autoSpaceDN/>
              <w:adjustRightInd/>
              <w:rPr>
                <w:rFonts w:ascii="Calibri" w:hAnsi="Calibri" w:cs="Calibri"/>
                <w:color w:val="000000"/>
                <w:sz w:val="16"/>
                <w:szCs w:val="16"/>
              </w:rPr>
            </w:pPr>
            <w:r w:rsidRPr="00A77F3A">
              <w:rPr>
                <w:rFonts w:ascii="Calibri" w:hAnsi="Calibri" w:cs="Calibri"/>
                <w:color w:val="000000"/>
                <w:sz w:val="16"/>
                <w:szCs w:val="16"/>
              </w:rPr>
              <w:t xml:space="preserve">$             </w:t>
            </w:r>
            <w:r w:rsidR="008E00E6">
              <w:rPr>
                <w:rFonts w:ascii="Calibri" w:hAnsi="Calibri" w:cs="Calibri"/>
                <w:color w:val="000000"/>
                <w:sz w:val="16"/>
                <w:szCs w:val="16"/>
              </w:rPr>
              <w:t xml:space="preserve">                </w:t>
            </w:r>
            <w:r w:rsidRPr="00A77F3A">
              <w:rPr>
                <w:rFonts w:ascii="Calibri" w:hAnsi="Calibri" w:cs="Calibri"/>
                <w:color w:val="000000"/>
                <w:sz w:val="16"/>
                <w:szCs w:val="16"/>
              </w:rPr>
              <w:t xml:space="preserve"> </w:t>
            </w:r>
            <w:r w:rsidR="009B36D5">
              <w:rPr>
                <w:rFonts w:ascii="Calibri" w:hAnsi="Calibri" w:cs="Calibri"/>
                <w:color w:val="000000"/>
                <w:sz w:val="16"/>
                <w:szCs w:val="16"/>
              </w:rPr>
              <w:t xml:space="preserve"> 0</w:t>
            </w:r>
          </w:p>
        </w:tc>
        <w:tc>
          <w:tcPr>
            <w:tcW w:w="1440" w:type="dxa"/>
            <w:tcBorders>
              <w:top w:val="nil"/>
              <w:left w:val="nil"/>
              <w:bottom w:val="dotted" w:color="auto" w:sz="4" w:space="0"/>
              <w:right w:val="single" w:color="auto" w:sz="8" w:space="0"/>
            </w:tcBorders>
            <w:shd w:val="clear" w:color="auto" w:fill="auto"/>
            <w:vAlign w:val="center"/>
            <w:hideMark/>
          </w:tcPr>
          <w:p w:rsidRPr="00A77F3A" w:rsidR="00A77F3A" w:rsidP="00A77F3A" w:rsidRDefault="00C633E2">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 xml:space="preserve"> $             756,977</w:t>
            </w:r>
            <w:r w:rsidRPr="00A77F3A" w:rsidR="00A77F3A">
              <w:rPr>
                <w:rFonts w:ascii="Calibri" w:hAnsi="Calibri" w:cs="Calibri"/>
                <w:color w:val="000000"/>
                <w:sz w:val="16"/>
                <w:szCs w:val="16"/>
              </w:rPr>
              <w:t xml:space="preserve"> </w:t>
            </w:r>
          </w:p>
        </w:tc>
        <w:tc>
          <w:tcPr>
            <w:tcW w:w="5130" w:type="dxa"/>
            <w:tcBorders>
              <w:top w:val="nil"/>
              <w:left w:val="nil"/>
              <w:bottom w:val="dotted" w:color="auto" w:sz="4" w:space="0"/>
              <w:right w:val="single" w:color="auto" w:sz="8" w:space="0"/>
            </w:tcBorders>
            <w:shd w:val="clear" w:color="auto" w:fill="auto"/>
            <w:vAlign w:val="center"/>
            <w:hideMark/>
          </w:tcPr>
          <w:p w:rsidRPr="00D80D2D" w:rsidR="00A77F3A" w:rsidP="00A77F3A" w:rsidRDefault="00F102A4">
            <w:pPr>
              <w:widowControl/>
              <w:autoSpaceDE/>
              <w:autoSpaceDN/>
              <w:adjustRightInd/>
              <w:rPr>
                <w:rFonts w:ascii="Calibri" w:hAnsi="Calibri" w:cs="Calibri"/>
                <w:color w:val="000000"/>
                <w:sz w:val="16"/>
                <w:szCs w:val="16"/>
              </w:rPr>
            </w:pPr>
            <w:r w:rsidRPr="00D80D2D">
              <w:rPr>
                <w:rFonts w:ascii="Calibri" w:hAnsi="Calibri" w:cs="Calibri"/>
                <w:color w:val="222222"/>
                <w:sz w:val="16"/>
                <w:szCs w:val="16"/>
                <w:shd w:val="clear" w:color="auto" w:fill="FFFFFF"/>
              </w:rPr>
              <w:t>Adjusted to remove VMS requirements as they are captured in 0648-0202.</w:t>
            </w:r>
          </w:p>
        </w:tc>
      </w:tr>
      <w:tr w:rsidRPr="00A77F3A" w:rsidR="00A77F3A" w:rsidTr="00314A8B">
        <w:trPr>
          <w:trHeight w:val="503"/>
        </w:trPr>
        <w:tc>
          <w:tcPr>
            <w:tcW w:w="3140" w:type="dxa"/>
            <w:tcBorders>
              <w:top w:val="nil"/>
              <w:left w:val="single" w:color="auto" w:sz="8" w:space="0"/>
              <w:bottom w:val="single" w:color="auto" w:sz="4" w:space="0"/>
              <w:right w:val="single" w:color="auto" w:sz="4" w:space="0"/>
            </w:tcBorders>
            <w:shd w:val="clear" w:color="auto" w:fill="auto"/>
            <w:vAlign w:val="center"/>
            <w:hideMark/>
          </w:tcPr>
          <w:p w:rsidRPr="00A77F3A" w:rsidR="00A77F3A" w:rsidP="00A77F3A" w:rsidRDefault="00A77F3A">
            <w:pPr>
              <w:widowControl/>
              <w:autoSpaceDE/>
              <w:autoSpaceDN/>
              <w:adjustRightInd/>
              <w:rPr>
                <w:rFonts w:ascii="Calibri" w:hAnsi="Calibri" w:cs="Calibri"/>
                <w:color w:val="000000"/>
                <w:sz w:val="16"/>
                <w:szCs w:val="16"/>
              </w:rPr>
            </w:pPr>
            <w:r w:rsidRPr="00A77F3A">
              <w:rPr>
                <w:rFonts w:ascii="Calibri" w:hAnsi="Calibri" w:cs="Calibri"/>
                <w:color w:val="000000"/>
                <w:sz w:val="16"/>
                <w:szCs w:val="16"/>
              </w:rPr>
              <w:t>VMS Catch Report</w:t>
            </w:r>
          </w:p>
        </w:tc>
        <w:tc>
          <w:tcPr>
            <w:tcW w:w="1170" w:type="dxa"/>
            <w:tcBorders>
              <w:top w:val="nil"/>
              <w:left w:val="nil"/>
              <w:bottom w:val="dotted" w:color="auto" w:sz="4" w:space="0"/>
              <w:right w:val="dashed" w:color="auto" w:sz="8" w:space="0"/>
            </w:tcBorders>
            <w:shd w:val="clear" w:color="auto" w:fill="FFFFFF"/>
            <w:vAlign w:val="center"/>
            <w:hideMark/>
          </w:tcPr>
          <w:p w:rsidRPr="000B42F3" w:rsidR="00A77F3A" w:rsidP="00A77F3A" w:rsidRDefault="009B36D5">
            <w:pPr>
              <w:widowControl/>
              <w:autoSpaceDE/>
              <w:autoSpaceDN/>
              <w:adjustRightInd/>
              <w:jc w:val="center"/>
              <w:rPr>
                <w:rFonts w:ascii="Calibri" w:hAnsi="Calibri" w:cs="Calibri"/>
                <w:color w:val="000000"/>
                <w:sz w:val="16"/>
                <w:szCs w:val="16"/>
              </w:rPr>
            </w:pPr>
            <w:r w:rsidRPr="000B42F3">
              <w:rPr>
                <w:rFonts w:ascii="Calibri" w:hAnsi="Calibri" w:cs="Calibri"/>
                <w:color w:val="000000"/>
                <w:sz w:val="16"/>
                <w:szCs w:val="16"/>
              </w:rPr>
              <w:t>$0</w:t>
            </w:r>
            <w:r w:rsidRPr="000B42F3" w:rsidR="00A77F3A">
              <w:rPr>
                <w:rFonts w:ascii="Calibri" w:hAnsi="Calibri" w:cs="Calibri"/>
                <w:color w:val="000000"/>
                <w:sz w:val="16"/>
                <w:szCs w:val="16"/>
              </w:rPr>
              <w:t> </w:t>
            </w:r>
          </w:p>
        </w:tc>
        <w:tc>
          <w:tcPr>
            <w:tcW w:w="1440" w:type="dxa"/>
            <w:tcBorders>
              <w:top w:val="nil"/>
              <w:left w:val="nil"/>
              <w:bottom w:val="dotted" w:color="auto" w:sz="4" w:space="0"/>
              <w:right w:val="single" w:color="auto" w:sz="8" w:space="0"/>
            </w:tcBorders>
            <w:shd w:val="clear" w:color="auto" w:fill="auto"/>
            <w:vAlign w:val="center"/>
            <w:hideMark/>
          </w:tcPr>
          <w:p w:rsidRPr="00A77F3A" w:rsidR="00A77F3A" w:rsidP="00A77F3A" w:rsidRDefault="00A77F3A">
            <w:pPr>
              <w:widowControl/>
              <w:autoSpaceDE/>
              <w:autoSpaceDN/>
              <w:adjustRightInd/>
              <w:jc w:val="center"/>
              <w:rPr>
                <w:rFonts w:ascii="Calibri" w:hAnsi="Calibri" w:cs="Calibri"/>
                <w:color w:val="000000"/>
                <w:sz w:val="16"/>
                <w:szCs w:val="16"/>
              </w:rPr>
            </w:pPr>
            <w:r w:rsidRPr="00A77F3A">
              <w:rPr>
                <w:rFonts w:ascii="Calibri" w:hAnsi="Calibri" w:cs="Calibri"/>
                <w:color w:val="000000"/>
                <w:sz w:val="16"/>
                <w:szCs w:val="16"/>
              </w:rPr>
              <w:t xml:space="preserve"> $               12,495 </w:t>
            </w:r>
          </w:p>
        </w:tc>
        <w:tc>
          <w:tcPr>
            <w:tcW w:w="1530" w:type="dxa"/>
            <w:tcBorders>
              <w:top w:val="nil"/>
              <w:left w:val="nil"/>
              <w:bottom w:val="dotted" w:color="auto" w:sz="4" w:space="0"/>
              <w:right w:val="dashed" w:color="auto" w:sz="8" w:space="0"/>
            </w:tcBorders>
            <w:shd w:val="clear" w:color="auto" w:fill="auto"/>
            <w:vAlign w:val="center"/>
            <w:hideMark/>
          </w:tcPr>
          <w:p w:rsidRPr="00A77F3A" w:rsidR="00A77F3A" w:rsidP="008E00E6" w:rsidRDefault="00A77F3A">
            <w:pPr>
              <w:widowControl/>
              <w:autoSpaceDE/>
              <w:autoSpaceDN/>
              <w:adjustRightInd/>
              <w:rPr>
                <w:rFonts w:ascii="Calibri" w:hAnsi="Calibri" w:cs="Calibri"/>
                <w:color w:val="000000"/>
                <w:sz w:val="16"/>
                <w:szCs w:val="16"/>
              </w:rPr>
            </w:pPr>
            <w:r w:rsidRPr="00A77F3A">
              <w:rPr>
                <w:rFonts w:ascii="Calibri" w:hAnsi="Calibri" w:cs="Calibri"/>
                <w:color w:val="000000"/>
                <w:sz w:val="16"/>
                <w:szCs w:val="16"/>
              </w:rPr>
              <w:t xml:space="preserve">$                 </w:t>
            </w:r>
            <w:r w:rsidR="008E00E6">
              <w:rPr>
                <w:rFonts w:ascii="Calibri" w:hAnsi="Calibri" w:cs="Calibri"/>
                <w:color w:val="000000"/>
                <w:sz w:val="16"/>
                <w:szCs w:val="16"/>
              </w:rPr>
              <w:t xml:space="preserve">              </w:t>
            </w:r>
            <w:r w:rsidR="009B36D5">
              <w:rPr>
                <w:rFonts w:ascii="Calibri" w:hAnsi="Calibri" w:cs="Calibri"/>
                <w:color w:val="000000"/>
                <w:sz w:val="16"/>
                <w:szCs w:val="16"/>
              </w:rPr>
              <w:t>0</w:t>
            </w:r>
          </w:p>
        </w:tc>
        <w:tc>
          <w:tcPr>
            <w:tcW w:w="1440" w:type="dxa"/>
            <w:tcBorders>
              <w:top w:val="nil"/>
              <w:left w:val="nil"/>
              <w:bottom w:val="dotted" w:color="auto" w:sz="4" w:space="0"/>
              <w:right w:val="single" w:color="auto" w:sz="8" w:space="0"/>
            </w:tcBorders>
            <w:shd w:val="clear" w:color="auto" w:fill="auto"/>
            <w:vAlign w:val="center"/>
            <w:hideMark/>
          </w:tcPr>
          <w:p w:rsidRPr="00A77F3A" w:rsidR="00A77F3A" w:rsidP="00A77F3A" w:rsidRDefault="00A77F3A">
            <w:pPr>
              <w:widowControl/>
              <w:autoSpaceDE/>
              <w:autoSpaceDN/>
              <w:adjustRightInd/>
              <w:jc w:val="center"/>
              <w:rPr>
                <w:rFonts w:ascii="Calibri" w:hAnsi="Calibri" w:cs="Calibri"/>
                <w:color w:val="000000"/>
                <w:sz w:val="16"/>
                <w:szCs w:val="16"/>
              </w:rPr>
            </w:pPr>
            <w:r w:rsidRPr="00A77F3A">
              <w:rPr>
                <w:rFonts w:ascii="Calibri" w:hAnsi="Calibri" w:cs="Calibri"/>
                <w:color w:val="000000"/>
                <w:sz w:val="16"/>
                <w:szCs w:val="16"/>
              </w:rPr>
              <w:t xml:space="preserve"> $                19,750 </w:t>
            </w:r>
          </w:p>
        </w:tc>
        <w:tc>
          <w:tcPr>
            <w:tcW w:w="5130" w:type="dxa"/>
            <w:tcBorders>
              <w:top w:val="nil"/>
              <w:left w:val="nil"/>
              <w:bottom w:val="dotted" w:color="auto" w:sz="4" w:space="0"/>
              <w:right w:val="single" w:color="auto" w:sz="8" w:space="0"/>
            </w:tcBorders>
            <w:shd w:val="clear" w:color="auto" w:fill="auto"/>
            <w:vAlign w:val="center"/>
            <w:hideMark/>
          </w:tcPr>
          <w:p w:rsidRPr="00D80D2D" w:rsidR="00A77F3A" w:rsidP="00A77F3A" w:rsidRDefault="00F102A4">
            <w:pPr>
              <w:widowControl/>
              <w:autoSpaceDE/>
              <w:autoSpaceDN/>
              <w:adjustRightInd/>
              <w:rPr>
                <w:rFonts w:ascii="Calibri" w:hAnsi="Calibri" w:cs="Calibri"/>
                <w:color w:val="000000"/>
                <w:sz w:val="16"/>
                <w:szCs w:val="16"/>
              </w:rPr>
            </w:pPr>
            <w:r w:rsidRPr="00D80D2D">
              <w:rPr>
                <w:rFonts w:ascii="Calibri" w:hAnsi="Calibri" w:cs="Calibri"/>
                <w:color w:val="222222"/>
                <w:sz w:val="16"/>
                <w:szCs w:val="16"/>
                <w:shd w:val="clear" w:color="auto" w:fill="FFFFFF"/>
              </w:rPr>
              <w:t>Adjusted to remove VMS requirements as they are captured in 0648-0202.</w:t>
            </w:r>
          </w:p>
        </w:tc>
      </w:tr>
      <w:tr w:rsidRPr="00A77F3A" w:rsidR="00A77F3A" w:rsidTr="00314A8B">
        <w:trPr>
          <w:trHeight w:val="440"/>
        </w:trPr>
        <w:tc>
          <w:tcPr>
            <w:tcW w:w="3140" w:type="dxa"/>
            <w:tcBorders>
              <w:top w:val="nil"/>
              <w:left w:val="single" w:color="auto" w:sz="8" w:space="0"/>
              <w:bottom w:val="single" w:color="auto" w:sz="4" w:space="0"/>
              <w:right w:val="single" w:color="auto" w:sz="4" w:space="0"/>
            </w:tcBorders>
            <w:shd w:val="clear" w:color="auto" w:fill="auto"/>
            <w:vAlign w:val="bottom"/>
            <w:hideMark/>
          </w:tcPr>
          <w:p w:rsidRPr="00A77F3A" w:rsidR="00A77F3A" w:rsidP="00A77F3A" w:rsidRDefault="00A77F3A">
            <w:pPr>
              <w:widowControl/>
              <w:autoSpaceDE/>
              <w:autoSpaceDN/>
              <w:adjustRightInd/>
              <w:rPr>
                <w:rFonts w:ascii="Calibri" w:hAnsi="Calibri" w:cs="Calibri"/>
                <w:color w:val="000000"/>
                <w:sz w:val="16"/>
                <w:szCs w:val="16"/>
              </w:rPr>
            </w:pPr>
            <w:r w:rsidRPr="00A77F3A">
              <w:rPr>
                <w:rFonts w:ascii="Calibri" w:hAnsi="Calibri" w:cs="Calibri"/>
                <w:color w:val="000000"/>
                <w:sz w:val="16"/>
                <w:szCs w:val="16"/>
              </w:rPr>
              <w:t>Quota Transfer Application (temporary &amp; permanent)</w:t>
            </w:r>
          </w:p>
        </w:tc>
        <w:tc>
          <w:tcPr>
            <w:tcW w:w="1170" w:type="dxa"/>
            <w:tcBorders>
              <w:top w:val="nil"/>
              <w:left w:val="nil"/>
              <w:bottom w:val="dotted" w:color="auto" w:sz="4" w:space="0"/>
              <w:right w:val="dashed" w:color="auto" w:sz="8" w:space="0"/>
            </w:tcBorders>
            <w:shd w:val="clear" w:color="auto" w:fill="FFFFFF"/>
            <w:vAlign w:val="center"/>
            <w:hideMark/>
          </w:tcPr>
          <w:p w:rsidRPr="000B42F3" w:rsidR="00A77F3A" w:rsidP="00A77F3A" w:rsidRDefault="004B4365">
            <w:pPr>
              <w:widowControl/>
              <w:autoSpaceDE/>
              <w:autoSpaceDN/>
              <w:adjustRightInd/>
              <w:jc w:val="center"/>
              <w:rPr>
                <w:rFonts w:ascii="Calibri" w:hAnsi="Calibri" w:cs="Calibri"/>
                <w:color w:val="000000"/>
                <w:sz w:val="16"/>
                <w:szCs w:val="16"/>
              </w:rPr>
            </w:pPr>
            <w:r w:rsidRPr="000B42F3">
              <w:rPr>
                <w:rFonts w:ascii="Calibri" w:hAnsi="Calibri" w:cs="Calibri"/>
                <w:color w:val="000000"/>
                <w:sz w:val="16"/>
                <w:szCs w:val="16"/>
              </w:rPr>
              <w:t>$708</w:t>
            </w:r>
            <w:r w:rsidRPr="000B42F3" w:rsidR="00A77F3A">
              <w:rPr>
                <w:rFonts w:ascii="Calibri" w:hAnsi="Calibri" w:cs="Calibri"/>
                <w:color w:val="000000"/>
                <w:sz w:val="16"/>
                <w:szCs w:val="16"/>
              </w:rPr>
              <w:t> </w:t>
            </w:r>
          </w:p>
        </w:tc>
        <w:tc>
          <w:tcPr>
            <w:tcW w:w="1440" w:type="dxa"/>
            <w:tcBorders>
              <w:top w:val="nil"/>
              <w:left w:val="nil"/>
              <w:bottom w:val="dotted" w:color="auto" w:sz="4" w:space="0"/>
              <w:right w:val="single" w:color="auto" w:sz="8" w:space="0"/>
            </w:tcBorders>
            <w:shd w:val="clear" w:color="auto" w:fill="auto"/>
            <w:vAlign w:val="center"/>
            <w:hideMark/>
          </w:tcPr>
          <w:p w:rsidRPr="00A77F3A" w:rsidR="00A77F3A" w:rsidP="00A77F3A" w:rsidRDefault="00A77F3A">
            <w:pPr>
              <w:widowControl/>
              <w:autoSpaceDE/>
              <w:autoSpaceDN/>
              <w:adjustRightInd/>
              <w:jc w:val="center"/>
              <w:rPr>
                <w:rFonts w:ascii="Calibri" w:hAnsi="Calibri" w:cs="Calibri"/>
                <w:color w:val="000000"/>
                <w:sz w:val="16"/>
                <w:szCs w:val="16"/>
              </w:rPr>
            </w:pPr>
            <w:r w:rsidRPr="00A77F3A">
              <w:rPr>
                <w:rFonts w:ascii="Calibri" w:hAnsi="Calibri" w:cs="Calibri"/>
                <w:color w:val="000000"/>
                <w:sz w:val="16"/>
                <w:szCs w:val="16"/>
              </w:rPr>
              <w:t xml:space="preserve"> $                      525 </w:t>
            </w:r>
          </w:p>
        </w:tc>
        <w:tc>
          <w:tcPr>
            <w:tcW w:w="1530" w:type="dxa"/>
            <w:tcBorders>
              <w:top w:val="nil"/>
              <w:left w:val="nil"/>
              <w:bottom w:val="dotted" w:color="auto" w:sz="4" w:space="0"/>
              <w:right w:val="dashed" w:color="auto" w:sz="8" w:space="0"/>
            </w:tcBorders>
            <w:shd w:val="clear" w:color="auto" w:fill="auto"/>
            <w:vAlign w:val="center"/>
            <w:hideMark/>
          </w:tcPr>
          <w:p w:rsidRPr="00A77F3A" w:rsidR="00A77F3A" w:rsidP="008E00E6" w:rsidRDefault="00A77F3A">
            <w:pPr>
              <w:widowControl/>
              <w:autoSpaceDE/>
              <w:autoSpaceDN/>
              <w:adjustRightInd/>
              <w:jc w:val="right"/>
              <w:rPr>
                <w:rFonts w:ascii="Calibri" w:hAnsi="Calibri" w:cs="Calibri"/>
                <w:color w:val="000000"/>
                <w:sz w:val="16"/>
                <w:szCs w:val="16"/>
              </w:rPr>
            </w:pPr>
            <w:r w:rsidRPr="00A77F3A">
              <w:rPr>
                <w:rFonts w:ascii="Calibri" w:hAnsi="Calibri" w:cs="Calibri"/>
                <w:color w:val="000000"/>
                <w:sz w:val="16"/>
                <w:szCs w:val="16"/>
              </w:rPr>
              <w:t>$                         273</w:t>
            </w:r>
          </w:p>
        </w:tc>
        <w:tc>
          <w:tcPr>
            <w:tcW w:w="1440" w:type="dxa"/>
            <w:tcBorders>
              <w:top w:val="nil"/>
              <w:left w:val="nil"/>
              <w:bottom w:val="dotted" w:color="auto" w:sz="4" w:space="0"/>
              <w:right w:val="single" w:color="auto" w:sz="8" w:space="0"/>
            </w:tcBorders>
            <w:shd w:val="clear" w:color="auto" w:fill="auto"/>
            <w:vAlign w:val="center"/>
            <w:hideMark/>
          </w:tcPr>
          <w:p w:rsidRPr="00A77F3A" w:rsidR="00A77F3A" w:rsidP="00A77F3A" w:rsidRDefault="00A77F3A">
            <w:pPr>
              <w:widowControl/>
              <w:autoSpaceDE/>
              <w:autoSpaceDN/>
              <w:adjustRightInd/>
              <w:jc w:val="center"/>
              <w:rPr>
                <w:rFonts w:ascii="Calibri" w:hAnsi="Calibri" w:cs="Calibri"/>
                <w:color w:val="000000"/>
                <w:sz w:val="16"/>
                <w:szCs w:val="16"/>
              </w:rPr>
            </w:pPr>
            <w:r w:rsidRPr="00A77F3A">
              <w:rPr>
                <w:rFonts w:ascii="Calibri" w:hAnsi="Calibri" w:cs="Calibri"/>
                <w:color w:val="000000"/>
                <w:sz w:val="16"/>
                <w:szCs w:val="16"/>
              </w:rPr>
              <w:t xml:space="preserve"> $                       248 </w:t>
            </w:r>
          </w:p>
        </w:tc>
        <w:tc>
          <w:tcPr>
            <w:tcW w:w="5130" w:type="dxa"/>
            <w:tcBorders>
              <w:top w:val="nil"/>
              <w:left w:val="nil"/>
              <w:bottom w:val="dotted" w:color="auto" w:sz="4" w:space="0"/>
              <w:right w:val="single" w:color="auto" w:sz="8" w:space="0"/>
            </w:tcBorders>
            <w:shd w:val="clear" w:color="auto" w:fill="auto"/>
            <w:vAlign w:val="center"/>
            <w:hideMark/>
          </w:tcPr>
          <w:p w:rsidRPr="00D80D2D" w:rsidR="00A77F3A" w:rsidP="00A77F3A" w:rsidRDefault="00A77F3A">
            <w:pPr>
              <w:widowControl/>
              <w:autoSpaceDE/>
              <w:autoSpaceDN/>
              <w:adjustRightInd/>
              <w:rPr>
                <w:rFonts w:ascii="Calibri" w:hAnsi="Calibri" w:cs="Calibri"/>
                <w:color w:val="000000"/>
                <w:sz w:val="16"/>
                <w:szCs w:val="16"/>
              </w:rPr>
            </w:pPr>
            <w:r w:rsidRPr="00D80D2D">
              <w:rPr>
                <w:rFonts w:ascii="Calibri" w:hAnsi="Calibri" w:cs="Calibri"/>
                <w:color w:val="000000"/>
                <w:sz w:val="16"/>
                <w:szCs w:val="16"/>
              </w:rPr>
              <w:t>Increase in postage costs.  Increase in Labor Costs due to more accurate assessment using BLS Occupational Employment Data</w:t>
            </w:r>
          </w:p>
        </w:tc>
      </w:tr>
      <w:tr w:rsidRPr="00A77F3A" w:rsidR="00A77F3A" w:rsidTr="00314A8B">
        <w:trPr>
          <w:trHeight w:val="368"/>
        </w:trPr>
        <w:tc>
          <w:tcPr>
            <w:tcW w:w="3140" w:type="dxa"/>
            <w:tcBorders>
              <w:top w:val="nil"/>
              <w:left w:val="single" w:color="auto" w:sz="8" w:space="0"/>
              <w:bottom w:val="single" w:color="auto" w:sz="4" w:space="0"/>
              <w:right w:val="single" w:color="auto" w:sz="4" w:space="0"/>
            </w:tcBorders>
            <w:shd w:val="clear" w:color="auto" w:fill="auto"/>
            <w:vAlign w:val="center"/>
            <w:hideMark/>
          </w:tcPr>
          <w:p w:rsidRPr="00A77F3A" w:rsidR="00A77F3A" w:rsidP="00A77F3A" w:rsidRDefault="00A77F3A">
            <w:pPr>
              <w:widowControl/>
              <w:autoSpaceDE/>
              <w:autoSpaceDN/>
              <w:adjustRightInd/>
              <w:rPr>
                <w:rFonts w:ascii="Calibri" w:hAnsi="Calibri" w:cs="Calibri"/>
                <w:color w:val="000000"/>
                <w:sz w:val="16"/>
                <w:szCs w:val="16"/>
              </w:rPr>
            </w:pPr>
            <w:r w:rsidRPr="00A77F3A">
              <w:rPr>
                <w:rFonts w:ascii="Calibri" w:hAnsi="Calibri" w:cs="Calibri"/>
                <w:color w:val="000000"/>
                <w:sz w:val="16"/>
                <w:szCs w:val="16"/>
              </w:rPr>
              <w:t>Trip Exchange Request</w:t>
            </w:r>
            <w:r w:rsidR="0050569C">
              <w:rPr>
                <w:rFonts w:ascii="Calibri" w:hAnsi="Calibri" w:cs="Calibri"/>
                <w:color w:val="000000"/>
                <w:sz w:val="16"/>
                <w:szCs w:val="16"/>
              </w:rPr>
              <w:t xml:space="preserve"> (full time &amp; part time)</w:t>
            </w:r>
          </w:p>
        </w:tc>
        <w:tc>
          <w:tcPr>
            <w:tcW w:w="1170" w:type="dxa"/>
            <w:tcBorders>
              <w:top w:val="nil"/>
              <w:left w:val="nil"/>
              <w:bottom w:val="dotted" w:color="auto" w:sz="4" w:space="0"/>
              <w:right w:val="dashed" w:color="auto" w:sz="8" w:space="0"/>
            </w:tcBorders>
            <w:shd w:val="clear" w:color="auto" w:fill="FFFFFF"/>
            <w:vAlign w:val="center"/>
            <w:hideMark/>
          </w:tcPr>
          <w:p w:rsidRPr="000B42F3" w:rsidR="00A77F3A" w:rsidP="00A77F3A" w:rsidRDefault="00A77F3A">
            <w:pPr>
              <w:widowControl/>
              <w:autoSpaceDE/>
              <w:autoSpaceDN/>
              <w:adjustRightInd/>
              <w:jc w:val="center"/>
              <w:rPr>
                <w:rFonts w:ascii="Calibri" w:hAnsi="Calibri" w:cs="Calibri"/>
                <w:color w:val="000000"/>
                <w:sz w:val="16"/>
                <w:szCs w:val="16"/>
              </w:rPr>
            </w:pPr>
            <w:r w:rsidRPr="000B42F3">
              <w:rPr>
                <w:rFonts w:ascii="Calibri" w:hAnsi="Calibri" w:cs="Calibri"/>
                <w:color w:val="000000"/>
                <w:sz w:val="16"/>
                <w:szCs w:val="16"/>
              </w:rPr>
              <w:t> </w:t>
            </w:r>
            <w:r w:rsidRPr="000B42F3" w:rsidR="004B4365">
              <w:rPr>
                <w:rFonts w:ascii="Calibri" w:hAnsi="Calibri" w:cs="Calibri"/>
                <w:color w:val="000000"/>
                <w:sz w:val="16"/>
                <w:szCs w:val="16"/>
              </w:rPr>
              <w:t>$911</w:t>
            </w:r>
          </w:p>
        </w:tc>
        <w:tc>
          <w:tcPr>
            <w:tcW w:w="1440" w:type="dxa"/>
            <w:tcBorders>
              <w:top w:val="nil"/>
              <w:left w:val="nil"/>
              <w:bottom w:val="dotted" w:color="auto" w:sz="4" w:space="0"/>
              <w:right w:val="single" w:color="auto" w:sz="8" w:space="0"/>
            </w:tcBorders>
            <w:shd w:val="clear" w:color="auto" w:fill="auto"/>
            <w:vAlign w:val="center"/>
            <w:hideMark/>
          </w:tcPr>
          <w:p w:rsidRPr="00A77F3A" w:rsidR="00A77F3A" w:rsidP="00A77F3A" w:rsidRDefault="00A77F3A">
            <w:pPr>
              <w:widowControl/>
              <w:autoSpaceDE/>
              <w:autoSpaceDN/>
              <w:adjustRightInd/>
              <w:jc w:val="center"/>
              <w:rPr>
                <w:rFonts w:ascii="Calibri" w:hAnsi="Calibri" w:cs="Calibri"/>
                <w:color w:val="000000"/>
                <w:sz w:val="16"/>
                <w:szCs w:val="16"/>
              </w:rPr>
            </w:pPr>
            <w:r w:rsidRPr="00A77F3A">
              <w:rPr>
                <w:rFonts w:ascii="Calibri" w:hAnsi="Calibri" w:cs="Calibri"/>
                <w:color w:val="000000"/>
                <w:sz w:val="16"/>
                <w:szCs w:val="16"/>
              </w:rPr>
              <w:t xml:space="preserve"> $                      675 </w:t>
            </w:r>
          </w:p>
        </w:tc>
        <w:tc>
          <w:tcPr>
            <w:tcW w:w="1530" w:type="dxa"/>
            <w:tcBorders>
              <w:top w:val="nil"/>
              <w:left w:val="nil"/>
              <w:bottom w:val="dotted" w:color="auto" w:sz="4" w:space="0"/>
              <w:right w:val="dashed" w:color="auto" w:sz="8" w:space="0"/>
            </w:tcBorders>
            <w:shd w:val="clear" w:color="auto" w:fill="auto"/>
            <w:vAlign w:val="center"/>
            <w:hideMark/>
          </w:tcPr>
          <w:p w:rsidRPr="00A77F3A" w:rsidR="00A77F3A" w:rsidP="008E00E6" w:rsidRDefault="009B36D5">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                            99</w:t>
            </w:r>
          </w:p>
        </w:tc>
        <w:tc>
          <w:tcPr>
            <w:tcW w:w="1440" w:type="dxa"/>
            <w:tcBorders>
              <w:top w:val="nil"/>
              <w:left w:val="nil"/>
              <w:bottom w:val="dotted" w:color="auto" w:sz="4" w:space="0"/>
              <w:right w:val="single" w:color="auto" w:sz="8" w:space="0"/>
            </w:tcBorders>
            <w:shd w:val="clear" w:color="auto" w:fill="auto"/>
            <w:vAlign w:val="center"/>
            <w:hideMark/>
          </w:tcPr>
          <w:p w:rsidRPr="00A77F3A" w:rsidR="00A77F3A" w:rsidP="00A77F3A" w:rsidRDefault="00A77F3A">
            <w:pPr>
              <w:widowControl/>
              <w:autoSpaceDE/>
              <w:autoSpaceDN/>
              <w:adjustRightInd/>
              <w:jc w:val="center"/>
              <w:rPr>
                <w:rFonts w:ascii="Calibri" w:hAnsi="Calibri" w:cs="Calibri"/>
                <w:color w:val="000000"/>
                <w:sz w:val="16"/>
                <w:szCs w:val="16"/>
              </w:rPr>
            </w:pPr>
            <w:r w:rsidRPr="00A77F3A">
              <w:rPr>
                <w:rFonts w:ascii="Calibri" w:hAnsi="Calibri" w:cs="Calibri"/>
                <w:color w:val="000000"/>
                <w:sz w:val="16"/>
                <w:szCs w:val="16"/>
              </w:rPr>
              <w:t> </w:t>
            </w:r>
            <w:r w:rsidR="009B36D5">
              <w:rPr>
                <w:rFonts w:ascii="Calibri" w:hAnsi="Calibri" w:cs="Calibri"/>
                <w:color w:val="000000"/>
                <w:sz w:val="16"/>
                <w:szCs w:val="16"/>
              </w:rPr>
              <w:t xml:space="preserve">$                          98 </w:t>
            </w:r>
          </w:p>
        </w:tc>
        <w:tc>
          <w:tcPr>
            <w:tcW w:w="5130" w:type="dxa"/>
            <w:tcBorders>
              <w:top w:val="nil"/>
              <w:left w:val="nil"/>
              <w:bottom w:val="dotted" w:color="auto" w:sz="4" w:space="0"/>
              <w:right w:val="single" w:color="auto" w:sz="8" w:space="0"/>
            </w:tcBorders>
            <w:shd w:val="clear" w:color="auto" w:fill="auto"/>
            <w:vAlign w:val="center"/>
            <w:hideMark/>
          </w:tcPr>
          <w:p w:rsidRPr="00D80D2D" w:rsidR="00A77F3A" w:rsidP="00A77F3A" w:rsidRDefault="00A77F3A">
            <w:pPr>
              <w:widowControl/>
              <w:autoSpaceDE/>
              <w:autoSpaceDN/>
              <w:adjustRightInd/>
              <w:rPr>
                <w:rFonts w:ascii="Calibri" w:hAnsi="Calibri" w:cs="Calibri"/>
                <w:color w:val="000000"/>
                <w:sz w:val="16"/>
                <w:szCs w:val="16"/>
              </w:rPr>
            </w:pPr>
            <w:r w:rsidRPr="00D80D2D">
              <w:rPr>
                <w:rFonts w:ascii="Calibri" w:hAnsi="Calibri" w:cs="Calibri"/>
                <w:color w:val="000000"/>
                <w:sz w:val="16"/>
                <w:szCs w:val="16"/>
              </w:rPr>
              <w:t>Increase in Labor Costs due to more accurate assessment using BLS Occupational Employment Data</w:t>
            </w:r>
          </w:p>
        </w:tc>
      </w:tr>
      <w:tr w:rsidRPr="00A77F3A" w:rsidR="00A77F3A" w:rsidTr="00314A8B">
        <w:trPr>
          <w:trHeight w:val="413"/>
        </w:trPr>
        <w:tc>
          <w:tcPr>
            <w:tcW w:w="3140" w:type="dxa"/>
            <w:tcBorders>
              <w:top w:val="nil"/>
              <w:left w:val="single" w:color="auto" w:sz="8" w:space="0"/>
              <w:bottom w:val="single" w:color="auto" w:sz="4" w:space="0"/>
              <w:right w:val="single" w:color="auto" w:sz="4" w:space="0"/>
            </w:tcBorders>
            <w:shd w:val="clear" w:color="auto" w:fill="auto"/>
            <w:vAlign w:val="center"/>
            <w:hideMark/>
          </w:tcPr>
          <w:p w:rsidRPr="00A77F3A" w:rsidR="00A77F3A" w:rsidP="00A77F3A" w:rsidRDefault="00A77F3A">
            <w:pPr>
              <w:widowControl/>
              <w:autoSpaceDE/>
              <w:autoSpaceDN/>
              <w:adjustRightInd/>
              <w:rPr>
                <w:rFonts w:ascii="Calibri" w:hAnsi="Calibri" w:cs="Calibri"/>
                <w:color w:val="000000"/>
                <w:sz w:val="16"/>
                <w:szCs w:val="16"/>
              </w:rPr>
            </w:pPr>
            <w:r w:rsidRPr="00A77F3A">
              <w:rPr>
                <w:rFonts w:ascii="Calibri" w:hAnsi="Calibri" w:cs="Calibri"/>
                <w:color w:val="000000"/>
                <w:sz w:val="16"/>
                <w:szCs w:val="16"/>
              </w:rPr>
              <w:t>Sector Proposals &amp; Operation</w:t>
            </w:r>
          </w:p>
        </w:tc>
        <w:tc>
          <w:tcPr>
            <w:tcW w:w="1170" w:type="dxa"/>
            <w:tcBorders>
              <w:top w:val="nil"/>
              <w:left w:val="nil"/>
              <w:bottom w:val="dotted" w:color="auto" w:sz="4" w:space="0"/>
              <w:right w:val="dashed" w:color="auto" w:sz="8" w:space="0"/>
            </w:tcBorders>
            <w:shd w:val="clear" w:color="auto" w:fill="FFFFFF"/>
            <w:vAlign w:val="center"/>
            <w:hideMark/>
          </w:tcPr>
          <w:p w:rsidRPr="000B42F3" w:rsidR="00A77F3A" w:rsidP="00A77F3A" w:rsidRDefault="004B4365">
            <w:pPr>
              <w:widowControl/>
              <w:autoSpaceDE/>
              <w:autoSpaceDN/>
              <w:adjustRightInd/>
              <w:jc w:val="center"/>
              <w:rPr>
                <w:rFonts w:ascii="Calibri" w:hAnsi="Calibri" w:cs="Calibri"/>
                <w:color w:val="000000"/>
                <w:sz w:val="16"/>
                <w:szCs w:val="16"/>
              </w:rPr>
            </w:pPr>
            <w:r w:rsidRPr="000B42F3">
              <w:rPr>
                <w:rFonts w:ascii="Calibri" w:hAnsi="Calibri" w:cs="Calibri"/>
                <w:color w:val="000000"/>
                <w:sz w:val="16"/>
                <w:szCs w:val="16"/>
              </w:rPr>
              <w:t>$16,430</w:t>
            </w:r>
            <w:r w:rsidRPr="000B42F3" w:rsidR="00A77F3A">
              <w:rPr>
                <w:rFonts w:ascii="Calibri" w:hAnsi="Calibri" w:cs="Calibri"/>
                <w:color w:val="000000"/>
                <w:sz w:val="16"/>
                <w:szCs w:val="16"/>
              </w:rPr>
              <w:t> </w:t>
            </w:r>
          </w:p>
        </w:tc>
        <w:tc>
          <w:tcPr>
            <w:tcW w:w="1440" w:type="dxa"/>
            <w:tcBorders>
              <w:top w:val="nil"/>
              <w:left w:val="nil"/>
              <w:bottom w:val="dotted" w:color="auto" w:sz="4" w:space="0"/>
              <w:right w:val="single" w:color="auto" w:sz="8" w:space="0"/>
            </w:tcBorders>
            <w:shd w:val="clear" w:color="auto" w:fill="auto"/>
            <w:vAlign w:val="center"/>
            <w:hideMark/>
          </w:tcPr>
          <w:p w:rsidRPr="00A77F3A" w:rsidR="00A77F3A" w:rsidP="00A77F3A" w:rsidRDefault="00A77F3A">
            <w:pPr>
              <w:widowControl/>
              <w:autoSpaceDE/>
              <w:autoSpaceDN/>
              <w:adjustRightInd/>
              <w:jc w:val="center"/>
              <w:rPr>
                <w:rFonts w:ascii="Calibri" w:hAnsi="Calibri" w:cs="Calibri"/>
                <w:color w:val="000000"/>
                <w:sz w:val="16"/>
                <w:szCs w:val="16"/>
              </w:rPr>
            </w:pPr>
            <w:r w:rsidRPr="00A77F3A">
              <w:rPr>
                <w:rFonts w:ascii="Calibri" w:hAnsi="Calibri" w:cs="Calibri"/>
                <w:color w:val="000000"/>
                <w:sz w:val="16"/>
                <w:szCs w:val="16"/>
              </w:rPr>
              <w:t xml:space="preserve"> $                  7,500 </w:t>
            </w:r>
          </w:p>
        </w:tc>
        <w:tc>
          <w:tcPr>
            <w:tcW w:w="1530" w:type="dxa"/>
            <w:tcBorders>
              <w:top w:val="nil"/>
              <w:left w:val="nil"/>
              <w:bottom w:val="dotted" w:color="auto" w:sz="4" w:space="0"/>
              <w:right w:val="dashed" w:color="auto" w:sz="8" w:space="0"/>
            </w:tcBorders>
            <w:shd w:val="clear" w:color="auto" w:fill="auto"/>
            <w:vAlign w:val="center"/>
            <w:hideMark/>
          </w:tcPr>
          <w:p w:rsidRPr="00A77F3A" w:rsidR="00A77F3A" w:rsidP="00A77F3A" w:rsidRDefault="00A77F3A">
            <w:pPr>
              <w:widowControl/>
              <w:autoSpaceDE/>
              <w:autoSpaceDN/>
              <w:adjustRightInd/>
              <w:jc w:val="center"/>
              <w:rPr>
                <w:rFonts w:ascii="Calibri" w:hAnsi="Calibri" w:cs="Calibri"/>
                <w:color w:val="000000"/>
                <w:sz w:val="16"/>
                <w:szCs w:val="16"/>
              </w:rPr>
            </w:pPr>
            <w:r w:rsidRPr="00A77F3A">
              <w:rPr>
                <w:rFonts w:ascii="Calibri" w:hAnsi="Calibri" w:cs="Calibri"/>
                <w:color w:val="000000"/>
                <w:sz w:val="16"/>
                <w:szCs w:val="16"/>
              </w:rPr>
              <w:t> </w:t>
            </w:r>
          </w:p>
        </w:tc>
        <w:tc>
          <w:tcPr>
            <w:tcW w:w="1440" w:type="dxa"/>
            <w:tcBorders>
              <w:top w:val="nil"/>
              <w:left w:val="nil"/>
              <w:bottom w:val="dotted" w:color="auto" w:sz="4" w:space="0"/>
              <w:right w:val="single" w:color="auto" w:sz="8" w:space="0"/>
            </w:tcBorders>
            <w:shd w:val="clear" w:color="auto" w:fill="auto"/>
            <w:vAlign w:val="center"/>
            <w:hideMark/>
          </w:tcPr>
          <w:p w:rsidRPr="00A77F3A" w:rsidR="00A77F3A" w:rsidP="00A77F3A" w:rsidRDefault="00A77F3A">
            <w:pPr>
              <w:widowControl/>
              <w:autoSpaceDE/>
              <w:autoSpaceDN/>
              <w:adjustRightInd/>
              <w:jc w:val="center"/>
              <w:rPr>
                <w:rFonts w:ascii="Calibri" w:hAnsi="Calibri" w:cs="Calibri"/>
                <w:color w:val="000000"/>
                <w:sz w:val="16"/>
                <w:szCs w:val="16"/>
              </w:rPr>
            </w:pPr>
            <w:r w:rsidRPr="00A77F3A">
              <w:rPr>
                <w:rFonts w:ascii="Calibri" w:hAnsi="Calibri" w:cs="Calibri"/>
                <w:color w:val="000000"/>
                <w:sz w:val="16"/>
                <w:szCs w:val="16"/>
              </w:rPr>
              <w:t> </w:t>
            </w:r>
          </w:p>
        </w:tc>
        <w:tc>
          <w:tcPr>
            <w:tcW w:w="5130" w:type="dxa"/>
            <w:tcBorders>
              <w:top w:val="nil"/>
              <w:left w:val="nil"/>
              <w:bottom w:val="dotted" w:color="auto" w:sz="4" w:space="0"/>
              <w:right w:val="single" w:color="auto" w:sz="8" w:space="0"/>
            </w:tcBorders>
            <w:shd w:val="clear" w:color="auto" w:fill="auto"/>
            <w:vAlign w:val="center"/>
            <w:hideMark/>
          </w:tcPr>
          <w:p w:rsidRPr="00D80D2D" w:rsidR="00A77F3A" w:rsidP="00A77F3A" w:rsidRDefault="00A77F3A">
            <w:pPr>
              <w:widowControl/>
              <w:autoSpaceDE/>
              <w:autoSpaceDN/>
              <w:adjustRightInd/>
              <w:rPr>
                <w:rFonts w:ascii="Calibri" w:hAnsi="Calibri" w:cs="Calibri"/>
                <w:color w:val="000000"/>
                <w:sz w:val="16"/>
                <w:szCs w:val="16"/>
              </w:rPr>
            </w:pPr>
            <w:r w:rsidRPr="00D80D2D">
              <w:rPr>
                <w:rFonts w:ascii="Calibri" w:hAnsi="Calibri" w:cs="Calibri"/>
                <w:color w:val="000000"/>
                <w:sz w:val="16"/>
                <w:szCs w:val="16"/>
              </w:rPr>
              <w:t>Increase in Labor Costs due to more accurate assessment using BLS Occupational Employment Data</w:t>
            </w:r>
          </w:p>
        </w:tc>
      </w:tr>
      <w:tr w:rsidRPr="00A77F3A" w:rsidR="00A77F3A" w:rsidTr="00314A8B">
        <w:trPr>
          <w:trHeight w:val="422"/>
        </w:trPr>
        <w:tc>
          <w:tcPr>
            <w:tcW w:w="3140" w:type="dxa"/>
            <w:tcBorders>
              <w:top w:val="nil"/>
              <w:left w:val="single" w:color="auto" w:sz="8" w:space="0"/>
              <w:bottom w:val="nil"/>
              <w:right w:val="single" w:color="auto" w:sz="4" w:space="0"/>
            </w:tcBorders>
            <w:shd w:val="clear" w:color="auto" w:fill="auto"/>
            <w:vAlign w:val="center"/>
            <w:hideMark/>
          </w:tcPr>
          <w:p w:rsidRPr="00A77F3A" w:rsidR="00A77F3A" w:rsidP="00A77F3A" w:rsidRDefault="00A77F3A">
            <w:pPr>
              <w:widowControl/>
              <w:autoSpaceDE/>
              <w:autoSpaceDN/>
              <w:adjustRightInd/>
              <w:rPr>
                <w:rFonts w:ascii="Calibri" w:hAnsi="Calibri" w:cs="Calibri"/>
                <w:color w:val="000000"/>
                <w:sz w:val="16"/>
                <w:szCs w:val="16"/>
              </w:rPr>
            </w:pPr>
            <w:r w:rsidRPr="00A77F3A">
              <w:rPr>
                <w:rFonts w:ascii="Calibri" w:hAnsi="Calibri" w:cs="Calibri"/>
                <w:color w:val="000000"/>
                <w:sz w:val="16"/>
                <w:szCs w:val="16"/>
              </w:rPr>
              <w:t>Cost Recovery</w:t>
            </w:r>
          </w:p>
        </w:tc>
        <w:tc>
          <w:tcPr>
            <w:tcW w:w="1170" w:type="dxa"/>
            <w:tcBorders>
              <w:top w:val="nil"/>
              <w:left w:val="nil"/>
              <w:bottom w:val="nil"/>
              <w:right w:val="dashed" w:color="auto" w:sz="8" w:space="0"/>
            </w:tcBorders>
            <w:shd w:val="clear" w:color="auto" w:fill="FFFFFF"/>
            <w:vAlign w:val="center"/>
            <w:hideMark/>
          </w:tcPr>
          <w:p w:rsidRPr="000B42F3" w:rsidR="00A77F3A" w:rsidP="00A77F3A" w:rsidRDefault="00A77F3A">
            <w:pPr>
              <w:widowControl/>
              <w:autoSpaceDE/>
              <w:autoSpaceDN/>
              <w:adjustRightInd/>
              <w:jc w:val="center"/>
              <w:rPr>
                <w:rFonts w:ascii="Calibri" w:hAnsi="Calibri" w:cs="Calibri"/>
                <w:color w:val="000000"/>
                <w:sz w:val="16"/>
                <w:szCs w:val="16"/>
              </w:rPr>
            </w:pPr>
            <w:r w:rsidRPr="000B42F3">
              <w:rPr>
                <w:rFonts w:ascii="Calibri" w:hAnsi="Calibri" w:cs="Calibri"/>
                <w:color w:val="000000"/>
                <w:sz w:val="16"/>
                <w:szCs w:val="16"/>
              </w:rPr>
              <w:t> </w:t>
            </w:r>
            <w:r w:rsidRPr="000B42F3" w:rsidR="004B4365">
              <w:rPr>
                <w:rFonts w:ascii="Calibri" w:hAnsi="Calibri" w:cs="Calibri"/>
                <w:color w:val="000000"/>
                <w:sz w:val="16"/>
                <w:szCs w:val="16"/>
              </w:rPr>
              <w:t>$8,100</w:t>
            </w:r>
          </w:p>
        </w:tc>
        <w:tc>
          <w:tcPr>
            <w:tcW w:w="1440" w:type="dxa"/>
            <w:tcBorders>
              <w:top w:val="nil"/>
              <w:left w:val="nil"/>
              <w:bottom w:val="nil"/>
              <w:right w:val="single" w:color="auto" w:sz="8" w:space="0"/>
            </w:tcBorders>
            <w:shd w:val="clear" w:color="auto" w:fill="auto"/>
            <w:vAlign w:val="center"/>
            <w:hideMark/>
          </w:tcPr>
          <w:p w:rsidRPr="00A77F3A" w:rsidR="00A77F3A" w:rsidP="00A77F3A" w:rsidRDefault="00A77F3A">
            <w:pPr>
              <w:widowControl/>
              <w:autoSpaceDE/>
              <w:autoSpaceDN/>
              <w:adjustRightInd/>
              <w:jc w:val="center"/>
              <w:rPr>
                <w:rFonts w:ascii="Calibri" w:hAnsi="Calibri" w:cs="Calibri"/>
                <w:color w:val="000000"/>
                <w:sz w:val="16"/>
                <w:szCs w:val="16"/>
              </w:rPr>
            </w:pPr>
            <w:r w:rsidRPr="00A77F3A">
              <w:rPr>
                <w:rFonts w:ascii="Calibri" w:hAnsi="Calibri" w:cs="Calibri"/>
                <w:color w:val="000000"/>
                <w:sz w:val="16"/>
                <w:szCs w:val="16"/>
              </w:rPr>
              <w:t xml:space="preserve"> $                  6,000 </w:t>
            </w:r>
          </w:p>
        </w:tc>
        <w:tc>
          <w:tcPr>
            <w:tcW w:w="1530" w:type="dxa"/>
            <w:tcBorders>
              <w:top w:val="nil"/>
              <w:left w:val="nil"/>
              <w:bottom w:val="nil"/>
              <w:right w:val="dashed" w:color="auto" w:sz="8" w:space="0"/>
            </w:tcBorders>
            <w:shd w:val="clear" w:color="auto" w:fill="auto"/>
            <w:vAlign w:val="center"/>
            <w:hideMark/>
          </w:tcPr>
          <w:p w:rsidRPr="00A77F3A" w:rsidR="00A77F3A" w:rsidP="00A77F3A" w:rsidRDefault="00A77F3A">
            <w:pPr>
              <w:widowControl/>
              <w:autoSpaceDE/>
              <w:autoSpaceDN/>
              <w:adjustRightInd/>
              <w:jc w:val="center"/>
              <w:rPr>
                <w:rFonts w:ascii="Calibri" w:hAnsi="Calibri" w:cs="Calibri"/>
                <w:color w:val="000000"/>
                <w:sz w:val="16"/>
                <w:szCs w:val="16"/>
              </w:rPr>
            </w:pPr>
            <w:r w:rsidRPr="00A77F3A">
              <w:rPr>
                <w:rFonts w:ascii="Calibri" w:hAnsi="Calibri" w:cs="Calibri"/>
                <w:color w:val="000000"/>
                <w:sz w:val="16"/>
                <w:szCs w:val="16"/>
              </w:rPr>
              <w:t> </w:t>
            </w:r>
          </w:p>
        </w:tc>
        <w:tc>
          <w:tcPr>
            <w:tcW w:w="1440" w:type="dxa"/>
            <w:tcBorders>
              <w:top w:val="nil"/>
              <w:left w:val="nil"/>
              <w:bottom w:val="nil"/>
              <w:right w:val="single" w:color="auto" w:sz="8" w:space="0"/>
            </w:tcBorders>
            <w:shd w:val="clear" w:color="auto" w:fill="auto"/>
            <w:vAlign w:val="center"/>
            <w:hideMark/>
          </w:tcPr>
          <w:p w:rsidRPr="00A77F3A" w:rsidR="00A77F3A" w:rsidP="00A77F3A" w:rsidRDefault="00A77F3A">
            <w:pPr>
              <w:widowControl/>
              <w:autoSpaceDE/>
              <w:autoSpaceDN/>
              <w:adjustRightInd/>
              <w:jc w:val="center"/>
              <w:rPr>
                <w:rFonts w:ascii="Calibri" w:hAnsi="Calibri" w:cs="Calibri"/>
                <w:color w:val="000000"/>
                <w:sz w:val="16"/>
                <w:szCs w:val="16"/>
              </w:rPr>
            </w:pPr>
            <w:r w:rsidRPr="00A77F3A">
              <w:rPr>
                <w:rFonts w:ascii="Calibri" w:hAnsi="Calibri" w:cs="Calibri"/>
                <w:color w:val="000000"/>
                <w:sz w:val="16"/>
                <w:szCs w:val="16"/>
              </w:rPr>
              <w:t> </w:t>
            </w:r>
          </w:p>
        </w:tc>
        <w:tc>
          <w:tcPr>
            <w:tcW w:w="5130" w:type="dxa"/>
            <w:tcBorders>
              <w:top w:val="nil"/>
              <w:left w:val="nil"/>
              <w:bottom w:val="nil"/>
              <w:right w:val="single" w:color="auto" w:sz="8" w:space="0"/>
            </w:tcBorders>
            <w:shd w:val="clear" w:color="auto" w:fill="auto"/>
            <w:vAlign w:val="center"/>
            <w:hideMark/>
          </w:tcPr>
          <w:p w:rsidRPr="00D80D2D" w:rsidR="00A77F3A" w:rsidP="00A77F3A" w:rsidRDefault="00A77F3A">
            <w:pPr>
              <w:widowControl/>
              <w:autoSpaceDE/>
              <w:autoSpaceDN/>
              <w:adjustRightInd/>
              <w:rPr>
                <w:rFonts w:ascii="Calibri" w:hAnsi="Calibri" w:cs="Calibri"/>
                <w:color w:val="000000"/>
                <w:sz w:val="16"/>
                <w:szCs w:val="16"/>
              </w:rPr>
            </w:pPr>
            <w:r w:rsidRPr="00D80D2D">
              <w:rPr>
                <w:rFonts w:ascii="Calibri" w:hAnsi="Calibri" w:cs="Calibri"/>
                <w:color w:val="000000"/>
                <w:sz w:val="16"/>
                <w:szCs w:val="16"/>
              </w:rPr>
              <w:t>Increase in Labor Costs due to more accurate assessment using BLS Occupational Employment Data</w:t>
            </w:r>
          </w:p>
        </w:tc>
      </w:tr>
      <w:tr w:rsidRPr="00A77F3A" w:rsidR="00A77F3A" w:rsidTr="00314A8B">
        <w:trPr>
          <w:trHeight w:val="250"/>
        </w:trPr>
        <w:tc>
          <w:tcPr>
            <w:tcW w:w="3140" w:type="dxa"/>
            <w:tcBorders>
              <w:top w:val="single" w:color="auto" w:sz="8" w:space="0"/>
              <w:left w:val="single" w:color="auto" w:sz="8" w:space="0"/>
              <w:bottom w:val="single" w:color="auto" w:sz="8" w:space="0"/>
              <w:right w:val="single" w:color="auto" w:sz="8" w:space="0"/>
            </w:tcBorders>
            <w:shd w:val="clear" w:color="000000" w:fill="BDD6EE"/>
            <w:vAlign w:val="center"/>
            <w:hideMark/>
          </w:tcPr>
          <w:p w:rsidRPr="00A77F3A" w:rsidR="00A77F3A" w:rsidP="00A77F3A" w:rsidRDefault="00A77F3A">
            <w:pPr>
              <w:widowControl/>
              <w:autoSpaceDE/>
              <w:autoSpaceDN/>
              <w:adjustRightInd/>
              <w:jc w:val="center"/>
              <w:rPr>
                <w:rFonts w:ascii="Calibri" w:hAnsi="Calibri" w:cs="Calibri"/>
                <w:b/>
                <w:bCs/>
                <w:color w:val="000000"/>
                <w:sz w:val="16"/>
                <w:szCs w:val="16"/>
              </w:rPr>
            </w:pPr>
            <w:r w:rsidRPr="00A77F3A">
              <w:rPr>
                <w:rFonts w:ascii="Calibri" w:hAnsi="Calibri" w:cs="Calibri"/>
                <w:b/>
                <w:bCs/>
                <w:color w:val="000000"/>
                <w:sz w:val="16"/>
                <w:szCs w:val="16"/>
              </w:rPr>
              <w:t>Total for Collection</w:t>
            </w:r>
          </w:p>
        </w:tc>
        <w:tc>
          <w:tcPr>
            <w:tcW w:w="1170" w:type="dxa"/>
            <w:tcBorders>
              <w:top w:val="single" w:color="auto" w:sz="8" w:space="0"/>
              <w:left w:val="nil"/>
              <w:bottom w:val="single" w:color="auto" w:sz="8" w:space="0"/>
              <w:right w:val="dashed" w:color="auto" w:sz="8" w:space="0"/>
            </w:tcBorders>
            <w:shd w:val="clear" w:color="auto" w:fill="FFFFFF"/>
            <w:vAlign w:val="center"/>
            <w:hideMark/>
          </w:tcPr>
          <w:p w:rsidRPr="000B42F3" w:rsidR="00A77F3A" w:rsidP="00A77F3A" w:rsidRDefault="00A77F3A">
            <w:pPr>
              <w:widowControl/>
              <w:autoSpaceDE/>
              <w:autoSpaceDN/>
              <w:adjustRightInd/>
              <w:jc w:val="center"/>
              <w:rPr>
                <w:rFonts w:ascii="Calibri" w:hAnsi="Calibri" w:cs="Calibri"/>
                <w:b/>
                <w:bCs/>
                <w:color w:val="000000"/>
                <w:sz w:val="16"/>
                <w:szCs w:val="16"/>
              </w:rPr>
            </w:pPr>
            <w:r w:rsidRPr="000B42F3">
              <w:rPr>
                <w:rFonts w:ascii="Calibri" w:hAnsi="Calibri" w:cs="Calibri"/>
                <w:b/>
                <w:bCs/>
                <w:color w:val="000000"/>
                <w:sz w:val="16"/>
                <w:szCs w:val="16"/>
              </w:rPr>
              <w:t> </w:t>
            </w:r>
            <w:r w:rsidRPr="000B42F3" w:rsidR="00CC1F9B">
              <w:rPr>
                <w:rFonts w:ascii="Calibri" w:hAnsi="Calibri" w:cs="Calibri"/>
                <w:b/>
                <w:bCs/>
                <w:color w:val="000000"/>
                <w:sz w:val="16"/>
                <w:szCs w:val="16"/>
              </w:rPr>
              <w:t>$26,149</w:t>
            </w:r>
          </w:p>
        </w:tc>
        <w:tc>
          <w:tcPr>
            <w:tcW w:w="1440" w:type="dxa"/>
            <w:tcBorders>
              <w:top w:val="single" w:color="auto" w:sz="8" w:space="0"/>
              <w:left w:val="nil"/>
              <w:bottom w:val="single" w:color="auto" w:sz="8" w:space="0"/>
              <w:right w:val="single" w:color="auto" w:sz="8" w:space="0"/>
            </w:tcBorders>
            <w:shd w:val="clear" w:color="000000" w:fill="BDD6EE"/>
            <w:vAlign w:val="center"/>
            <w:hideMark/>
          </w:tcPr>
          <w:p w:rsidRPr="00A77F3A" w:rsidR="00A77F3A" w:rsidP="00A77F3A" w:rsidRDefault="00A77F3A">
            <w:pPr>
              <w:widowControl/>
              <w:autoSpaceDE/>
              <w:autoSpaceDN/>
              <w:adjustRightInd/>
              <w:jc w:val="center"/>
              <w:rPr>
                <w:rFonts w:ascii="Calibri" w:hAnsi="Calibri" w:cs="Calibri"/>
                <w:b/>
                <w:bCs/>
                <w:color w:val="000000"/>
                <w:sz w:val="16"/>
                <w:szCs w:val="16"/>
              </w:rPr>
            </w:pPr>
            <w:r w:rsidRPr="00A77F3A">
              <w:rPr>
                <w:rFonts w:ascii="Calibri" w:hAnsi="Calibri" w:cs="Calibri"/>
                <w:b/>
                <w:bCs/>
                <w:color w:val="000000"/>
                <w:sz w:val="16"/>
                <w:szCs w:val="16"/>
              </w:rPr>
              <w:t xml:space="preserve"> $               42,645 </w:t>
            </w:r>
          </w:p>
        </w:tc>
        <w:tc>
          <w:tcPr>
            <w:tcW w:w="1530" w:type="dxa"/>
            <w:tcBorders>
              <w:top w:val="single" w:color="auto" w:sz="8" w:space="0"/>
              <w:left w:val="nil"/>
              <w:bottom w:val="single" w:color="auto" w:sz="8" w:space="0"/>
              <w:right w:val="dashed" w:color="auto" w:sz="8" w:space="0"/>
            </w:tcBorders>
            <w:shd w:val="clear" w:color="000000" w:fill="BDD6EE"/>
            <w:vAlign w:val="center"/>
            <w:hideMark/>
          </w:tcPr>
          <w:p w:rsidRPr="00A77F3A" w:rsidR="00A77F3A" w:rsidP="00CC1F9B" w:rsidRDefault="00A77F3A">
            <w:pPr>
              <w:widowControl/>
              <w:autoSpaceDE/>
              <w:autoSpaceDN/>
              <w:adjustRightInd/>
              <w:jc w:val="center"/>
              <w:rPr>
                <w:rFonts w:ascii="Calibri" w:hAnsi="Calibri" w:cs="Calibri"/>
                <w:b/>
                <w:bCs/>
                <w:color w:val="000000"/>
                <w:sz w:val="16"/>
                <w:szCs w:val="16"/>
              </w:rPr>
            </w:pPr>
            <w:r w:rsidRPr="00A77F3A">
              <w:rPr>
                <w:rFonts w:ascii="Calibri" w:hAnsi="Calibri" w:cs="Calibri"/>
                <w:b/>
                <w:bCs/>
                <w:color w:val="000000"/>
                <w:sz w:val="16"/>
                <w:szCs w:val="16"/>
              </w:rPr>
              <w:t xml:space="preserve"> $              </w:t>
            </w:r>
            <w:r w:rsidR="007A1E11">
              <w:rPr>
                <w:rFonts w:ascii="Calibri" w:hAnsi="Calibri" w:cs="Calibri"/>
                <w:b/>
                <w:bCs/>
                <w:color w:val="000000"/>
                <w:sz w:val="16"/>
                <w:szCs w:val="16"/>
              </w:rPr>
              <w:t>380</w:t>
            </w:r>
          </w:p>
        </w:tc>
        <w:tc>
          <w:tcPr>
            <w:tcW w:w="1440" w:type="dxa"/>
            <w:tcBorders>
              <w:top w:val="single" w:color="auto" w:sz="8" w:space="0"/>
              <w:left w:val="nil"/>
              <w:bottom w:val="single" w:color="auto" w:sz="8" w:space="0"/>
              <w:right w:val="single" w:color="auto" w:sz="8" w:space="0"/>
            </w:tcBorders>
            <w:shd w:val="clear" w:color="000000" w:fill="BDD6EE"/>
            <w:vAlign w:val="center"/>
            <w:hideMark/>
          </w:tcPr>
          <w:p w:rsidRPr="00A77F3A" w:rsidR="00A77F3A" w:rsidP="00EF143E" w:rsidRDefault="00A77F3A">
            <w:pPr>
              <w:widowControl/>
              <w:autoSpaceDE/>
              <w:autoSpaceDN/>
              <w:adjustRightInd/>
              <w:jc w:val="center"/>
              <w:rPr>
                <w:rFonts w:ascii="Calibri" w:hAnsi="Calibri" w:cs="Calibri"/>
                <w:b/>
                <w:bCs/>
                <w:color w:val="000000"/>
                <w:sz w:val="16"/>
                <w:szCs w:val="16"/>
              </w:rPr>
            </w:pPr>
            <w:r w:rsidRPr="00A77F3A">
              <w:rPr>
                <w:rFonts w:ascii="Calibri" w:hAnsi="Calibri" w:cs="Calibri"/>
                <w:b/>
                <w:bCs/>
                <w:color w:val="000000"/>
                <w:sz w:val="16"/>
                <w:szCs w:val="16"/>
              </w:rPr>
              <w:t xml:space="preserve"> $             </w:t>
            </w:r>
            <w:r w:rsidR="00316CF9">
              <w:rPr>
                <w:rFonts w:ascii="Calibri" w:hAnsi="Calibri" w:cs="Calibri"/>
                <w:b/>
                <w:bCs/>
                <w:color w:val="000000"/>
                <w:sz w:val="16"/>
                <w:szCs w:val="16"/>
              </w:rPr>
              <w:t>782,747</w:t>
            </w:r>
            <w:r w:rsidRPr="00A77F3A">
              <w:rPr>
                <w:rFonts w:ascii="Calibri" w:hAnsi="Calibri" w:cs="Calibri"/>
                <w:b/>
                <w:bCs/>
                <w:color w:val="000000"/>
                <w:sz w:val="16"/>
                <w:szCs w:val="16"/>
              </w:rPr>
              <w:t xml:space="preserve"> </w:t>
            </w:r>
          </w:p>
        </w:tc>
        <w:tc>
          <w:tcPr>
            <w:tcW w:w="5130" w:type="dxa"/>
            <w:tcBorders>
              <w:top w:val="single" w:color="auto" w:sz="8" w:space="0"/>
              <w:left w:val="nil"/>
              <w:bottom w:val="single" w:color="auto" w:sz="8" w:space="0"/>
              <w:right w:val="single" w:color="auto" w:sz="8" w:space="0"/>
            </w:tcBorders>
            <w:shd w:val="clear" w:color="000000" w:fill="BDD6EE"/>
            <w:vAlign w:val="center"/>
            <w:hideMark/>
          </w:tcPr>
          <w:p w:rsidRPr="00A77F3A" w:rsidR="00A77F3A" w:rsidP="00A77F3A" w:rsidRDefault="00A77F3A">
            <w:pPr>
              <w:widowControl/>
              <w:autoSpaceDE/>
              <w:autoSpaceDN/>
              <w:adjustRightInd/>
              <w:jc w:val="center"/>
              <w:rPr>
                <w:rFonts w:ascii="Calibri" w:hAnsi="Calibri" w:cs="Calibri"/>
                <w:b/>
                <w:bCs/>
                <w:color w:val="000000"/>
                <w:sz w:val="16"/>
                <w:szCs w:val="16"/>
              </w:rPr>
            </w:pPr>
            <w:r w:rsidRPr="00A77F3A">
              <w:rPr>
                <w:rFonts w:ascii="Calibri" w:hAnsi="Calibri" w:cs="Calibri"/>
                <w:b/>
                <w:bCs/>
                <w:color w:val="000000"/>
                <w:sz w:val="16"/>
                <w:szCs w:val="16"/>
              </w:rPr>
              <w:t> </w:t>
            </w:r>
          </w:p>
        </w:tc>
      </w:tr>
      <w:tr w:rsidRPr="00A77F3A" w:rsidR="00A77F3A" w:rsidTr="00A77F3A">
        <w:trPr>
          <w:trHeight w:val="315"/>
        </w:trPr>
        <w:tc>
          <w:tcPr>
            <w:tcW w:w="3140" w:type="dxa"/>
            <w:tcBorders>
              <w:top w:val="nil"/>
              <w:left w:val="single" w:color="auto" w:sz="8" w:space="0"/>
              <w:bottom w:val="single" w:color="auto" w:sz="8" w:space="0"/>
              <w:right w:val="single" w:color="auto" w:sz="4" w:space="0"/>
            </w:tcBorders>
            <w:shd w:val="clear" w:color="auto" w:fill="auto"/>
            <w:noWrap/>
            <w:vAlign w:val="bottom"/>
            <w:hideMark/>
          </w:tcPr>
          <w:p w:rsidRPr="00A77F3A" w:rsidR="00A77F3A" w:rsidP="00A77F3A" w:rsidRDefault="00A77F3A">
            <w:pPr>
              <w:widowControl/>
              <w:autoSpaceDE/>
              <w:autoSpaceDN/>
              <w:adjustRightInd/>
              <w:rPr>
                <w:rFonts w:ascii="Calibri" w:hAnsi="Calibri" w:cs="Calibri"/>
                <w:color w:val="000000"/>
                <w:sz w:val="22"/>
                <w:szCs w:val="22"/>
              </w:rPr>
            </w:pPr>
            <w:r w:rsidRPr="00A77F3A">
              <w:rPr>
                <w:rFonts w:ascii="Calibri" w:hAnsi="Calibri" w:cs="Calibri"/>
                <w:color w:val="000000"/>
                <w:sz w:val="22"/>
                <w:szCs w:val="22"/>
              </w:rPr>
              <w:t> </w:t>
            </w:r>
          </w:p>
        </w:tc>
        <w:tc>
          <w:tcPr>
            <w:tcW w:w="2610" w:type="dxa"/>
            <w:gridSpan w:val="2"/>
            <w:tcBorders>
              <w:top w:val="single" w:color="auto" w:sz="8" w:space="0"/>
              <w:left w:val="nil"/>
              <w:bottom w:val="single" w:color="auto" w:sz="8" w:space="0"/>
              <w:right w:val="single" w:color="000000" w:sz="4" w:space="0"/>
            </w:tcBorders>
            <w:shd w:val="clear" w:color="000000" w:fill="FCE4D6"/>
            <w:noWrap/>
            <w:vAlign w:val="bottom"/>
            <w:hideMark/>
          </w:tcPr>
          <w:p w:rsidRPr="00A77F3A" w:rsidR="00A77F3A" w:rsidP="00A77F3A" w:rsidRDefault="00A77F3A">
            <w:pPr>
              <w:widowControl/>
              <w:autoSpaceDE/>
              <w:autoSpaceDN/>
              <w:adjustRightInd/>
              <w:jc w:val="center"/>
              <w:rPr>
                <w:rFonts w:ascii="Calibri" w:hAnsi="Calibri" w:cs="Calibri"/>
                <w:color w:val="000000"/>
                <w:sz w:val="22"/>
                <w:szCs w:val="22"/>
              </w:rPr>
            </w:pPr>
            <w:r w:rsidRPr="00A77F3A">
              <w:rPr>
                <w:rFonts w:ascii="Calibri" w:hAnsi="Calibri" w:cs="Calibri"/>
                <w:color w:val="000000"/>
                <w:sz w:val="22"/>
                <w:szCs w:val="22"/>
              </w:rPr>
              <w:t> </w:t>
            </w:r>
            <w:r w:rsidR="0077759F">
              <w:rPr>
                <w:rFonts w:ascii="Calibri" w:hAnsi="Calibri" w:cs="Calibri"/>
                <w:color w:val="000000"/>
                <w:sz w:val="22"/>
                <w:szCs w:val="22"/>
              </w:rPr>
              <w:t>$             -16,496</w:t>
            </w:r>
          </w:p>
        </w:tc>
        <w:tc>
          <w:tcPr>
            <w:tcW w:w="2970" w:type="dxa"/>
            <w:gridSpan w:val="2"/>
            <w:tcBorders>
              <w:top w:val="single" w:color="auto" w:sz="8" w:space="0"/>
              <w:left w:val="nil"/>
              <w:bottom w:val="single" w:color="auto" w:sz="8" w:space="0"/>
              <w:right w:val="single" w:color="000000" w:sz="4" w:space="0"/>
            </w:tcBorders>
            <w:shd w:val="clear" w:color="000000" w:fill="FCE4D6"/>
            <w:noWrap/>
            <w:vAlign w:val="bottom"/>
            <w:hideMark/>
          </w:tcPr>
          <w:p w:rsidR="007A1E11" w:rsidP="00CC1F9B" w:rsidRDefault="00A77F3A">
            <w:pPr>
              <w:widowControl/>
              <w:autoSpaceDE/>
              <w:autoSpaceDN/>
              <w:adjustRightInd/>
              <w:jc w:val="center"/>
              <w:rPr>
                <w:rFonts w:ascii="Calibri" w:hAnsi="Calibri" w:cs="Calibri"/>
                <w:color w:val="000000"/>
                <w:sz w:val="22"/>
                <w:szCs w:val="22"/>
              </w:rPr>
            </w:pPr>
            <w:r w:rsidRPr="00A77F3A">
              <w:rPr>
                <w:rFonts w:ascii="Calibri" w:hAnsi="Calibri" w:cs="Calibri"/>
                <w:color w:val="000000"/>
                <w:sz w:val="22"/>
                <w:szCs w:val="22"/>
              </w:rPr>
              <w:t xml:space="preserve"> $             </w:t>
            </w:r>
            <w:r w:rsidR="005E16BD">
              <w:rPr>
                <w:rFonts w:ascii="Calibri" w:hAnsi="Calibri" w:cs="Calibri"/>
                <w:color w:val="000000"/>
                <w:sz w:val="22"/>
                <w:szCs w:val="22"/>
              </w:rPr>
              <w:t>-782,368</w:t>
            </w:r>
            <w:r w:rsidRPr="00A77F3A">
              <w:rPr>
                <w:rFonts w:ascii="Calibri" w:hAnsi="Calibri" w:cs="Calibri"/>
                <w:color w:val="000000"/>
                <w:sz w:val="22"/>
                <w:szCs w:val="22"/>
              </w:rPr>
              <w:t xml:space="preserve">      </w:t>
            </w:r>
          </w:p>
          <w:p w:rsidR="007A1E11" w:rsidP="00CC1F9B" w:rsidRDefault="007A1E11">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(+26 adjustment)</w:t>
            </w:r>
          </w:p>
          <w:p w:rsidRPr="00A77F3A" w:rsidR="00A77F3A" w:rsidP="00CC1F9B" w:rsidRDefault="007A1E11">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(-782,393 change)</w:t>
            </w:r>
            <w:r w:rsidRPr="00A77F3A" w:rsidR="00A77F3A">
              <w:rPr>
                <w:rFonts w:ascii="Calibri" w:hAnsi="Calibri" w:cs="Calibri"/>
                <w:color w:val="000000"/>
                <w:sz w:val="22"/>
                <w:szCs w:val="22"/>
              </w:rPr>
              <w:t xml:space="preserve">          </w:t>
            </w:r>
          </w:p>
        </w:tc>
        <w:tc>
          <w:tcPr>
            <w:tcW w:w="5130" w:type="dxa"/>
            <w:tcBorders>
              <w:top w:val="nil"/>
              <w:left w:val="nil"/>
              <w:bottom w:val="single" w:color="auto" w:sz="8" w:space="0"/>
              <w:right w:val="single" w:color="auto" w:sz="8" w:space="0"/>
            </w:tcBorders>
            <w:shd w:val="clear" w:color="auto" w:fill="auto"/>
            <w:noWrap/>
            <w:vAlign w:val="bottom"/>
            <w:hideMark/>
          </w:tcPr>
          <w:p w:rsidRPr="00A77F3A" w:rsidR="00A77F3A" w:rsidP="00A77F3A" w:rsidRDefault="00A77F3A">
            <w:pPr>
              <w:widowControl/>
              <w:autoSpaceDE/>
              <w:autoSpaceDN/>
              <w:adjustRightInd/>
              <w:rPr>
                <w:rFonts w:ascii="Calibri" w:hAnsi="Calibri" w:cs="Calibri"/>
                <w:color w:val="000000"/>
                <w:sz w:val="22"/>
                <w:szCs w:val="22"/>
              </w:rPr>
            </w:pPr>
            <w:r w:rsidRPr="00A77F3A">
              <w:rPr>
                <w:rFonts w:ascii="Calibri" w:hAnsi="Calibri" w:cs="Calibri"/>
                <w:color w:val="000000"/>
                <w:sz w:val="22"/>
                <w:szCs w:val="22"/>
              </w:rPr>
              <w:t> </w:t>
            </w:r>
          </w:p>
        </w:tc>
      </w:tr>
    </w:tbl>
    <w:p w:rsidR="00BC62B5" w:rsidP="00CE5215" w:rsidRDefault="00BC62B5">
      <w:pPr>
        <w:rPr>
          <w:b/>
          <w:bCs/>
          <w:sz w:val="24"/>
          <w:szCs w:val="24"/>
        </w:rPr>
        <w:sectPr w:rsidR="00BC62B5" w:rsidSect="00A77F3A">
          <w:footnotePr>
            <w:numRestart w:val="eachSect"/>
          </w:footnotePr>
          <w:endnotePr>
            <w:numFmt w:val="decimal"/>
          </w:endnotePr>
          <w:pgSz w:w="15840" w:h="12240" w:orient="landscape"/>
          <w:pgMar w:top="900" w:right="900" w:bottom="990" w:left="810" w:header="720" w:footer="720" w:gutter="0"/>
          <w:cols w:space="720"/>
          <w:docGrid w:linePitch="272"/>
        </w:sectPr>
      </w:pPr>
    </w:p>
    <w:p w:rsidRPr="00BD7237" w:rsidR="00684E0F" w:rsidP="00684E0F" w:rsidRDefault="00856B90">
      <w:pPr>
        <w:pStyle w:val="ListParagraph"/>
        <w:tabs>
          <w:tab w:val="left" w:pos="360"/>
        </w:tabs>
        <w:spacing w:before="80"/>
        <w:ind w:left="0" w:firstLine="0"/>
        <w:rPr>
          <w:rFonts w:cs="Times New Roman"/>
          <w:b/>
          <w:szCs w:val="24"/>
        </w:rPr>
      </w:pPr>
      <w:r>
        <w:rPr>
          <w:b/>
          <w:bCs/>
          <w:szCs w:val="24"/>
        </w:rPr>
        <w:lastRenderedPageBreak/>
        <w:t>16</w:t>
      </w:r>
      <w:r w:rsidRPr="00B65A1A" w:rsidR="00CE5215">
        <w:rPr>
          <w:b/>
          <w:bCs/>
          <w:szCs w:val="24"/>
        </w:rPr>
        <w:t xml:space="preserve">.  </w:t>
      </w:r>
      <w:r w:rsidRPr="00BD7237" w:rsidR="00684E0F">
        <w:rPr>
          <w:rFonts w:cs="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B65A1A" w:rsidR="00CE5215" w:rsidP="00CE5215" w:rsidRDefault="00CE5215">
      <w:pPr>
        <w:rPr>
          <w:sz w:val="24"/>
          <w:szCs w:val="24"/>
        </w:rPr>
      </w:pPr>
    </w:p>
    <w:p w:rsidRPr="00B65A1A" w:rsidR="00CE5215" w:rsidP="00CE5215" w:rsidRDefault="00CE5215">
      <w:pPr>
        <w:rPr>
          <w:sz w:val="24"/>
          <w:szCs w:val="24"/>
        </w:rPr>
      </w:pPr>
      <w:r w:rsidRPr="00B65A1A">
        <w:rPr>
          <w:sz w:val="24"/>
          <w:szCs w:val="24"/>
        </w:rPr>
        <w:t>The results from this collection may be used in scientific, management, technical or general information publications such as the Fisheries of the United States, which follows prescribed statistical tabulations and summary table format, and the annual Stock Assessment and Fishery Evaluation Report prepared by the N</w:t>
      </w:r>
      <w:r w:rsidR="00386DAD">
        <w:rPr>
          <w:sz w:val="24"/>
          <w:szCs w:val="24"/>
        </w:rPr>
        <w:t xml:space="preserve">ew </w:t>
      </w:r>
      <w:r w:rsidRPr="00B65A1A">
        <w:rPr>
          <w:sz w:val="24"/>
          <w:szCs w:val="24"/>
        </w:rPr>
        <w:t>E</w:t>
      </w:r>
      <w:r w:rsidR="00386DAD">
        <w:rPr>
          <w:sz w:val="24"/>
          <w:szCs w:val="24"/>
        </w:rPr>
        <w:t xml:space="preserve">ngland </w:t>
      </w:r>
      <w:r w:rsidRPr="00B65A1A">
        <w:rPr>
          <w:sz w:val="24"/>
          <w:szCs w:val="24"/>
        </w:rPr>
        <w:t>F</w:t>
      </w:r>
      <w:r w:rsidR="00386DAD">
        <w:rPr>
          <w:sz w:val="24"/>
          <w:szCs w:val="24"/>
        </w:rPr>
        <w:t xml:space="preserve">ishery </w:t>
      </w:r>
      <w:r w:rsidRPr="00B65A1A">
        <w:rPr>
          <w:sz w:val="24"/>
          <w:szCs w:val="24"/>
        </w:rPr>
        <w:t>M</w:t>
      </w:r>
      <w:r w:rsidR="00386DAD">
        <w:rPr>
          <w:sz w:val="24"/>
          <w:szCs w:val="24"/>
        </w:rPr>
        <w:t xml:space="preserve">anagement </w:t>
      </w:r>
      <w:r w:rsidRPr="00B65A1A">
        <w:rPr>
          <w:sz w:val="24"/>
          <w:szCs w:val="24"/>
        </w:rPr>
        <w:t>C</w:t>
      </w:r>
      <w:r w:rsidR="00386DAD">
        <w:rPr>
          <w:sz w:val="24"/>
          <w:szCs w:val="24"/>
        </w:rPr>
        <w:t>ouncil</w:t>
      </w:r>
      <w:r w:rsidRPr="00B65A1A">
        <w:rPr>
          <w:sz w:val="24"/>
          <w:szCs w:val="24"/>
        </w:rPr>
        <w:t xml:space="preserve"> for the </w:t>
      </w:r>
      <w:r w:rsidR="00626163">
        <w:rPr>
          <w:sz w:val="24"/>
          <w:szCs w:val="24"/>
        </w:rPr>
        <w:t>scallop</w:t>
      </w:r>
      <w:r w:rsidRPr="00B65A1A">
        <w:rPr>
          <w:sz w:val="24"/>
          <w:szCs w:val="24"/>
        </w:rPr>
        <w:t xml:space="preserve"> fishery.  Data obtained from this collection would be available to the public upon request in summary form only.  Furthermore, data are available to </w:t>
      </w:r>
      <w:r w:rsidR="00F11A43">
        <w:rPr>
          <w:sz w:val="24"/>
          <w:szCs w:val="24"/>
        </w:rPr>
        <w:t>NMFS</w:t>
      </w:r>
      <w:r w:rsidRPr="00B65A1A">
        <w:rPr>
          <w:sz w:val="24"/>
          <w:szCs w:val="24"/>
        </w:rPr>
        <w:t xml:space="preserve"> employees in detailed form on a need-to-know basis only.</w:t>
      </w:r>
    </w:p>
    <w:p w:rsidRPr="00F91E93" w:rsidR="00CE5215" w:rsidP="00CE5215" w:rsidRDefault="00CE5215">
      <w:pPr>
        <w:rPr>
          <w:i/>
          <w:sz w:val="24"/>
          <w:szCs w:val="24"/>
        </w:rPr>
      </w:pPr>
    </w:p>
    <w:p w:rsidRPr="00BD7237" w:rsidR="00684E0F" w:rsidP="00684E0F" w:rsidRDefault="00856B90">
      <w:pPr>
        <w:pStyle w:val="ListParagraph"/>
        <w:tabs>
          <w:tab w:val="left" w:pos="360"/>
        </w:tabs>
        <w:spacing w:before="80"/>
        <w:ind w:left="0" w:firstLine="0"/>
        <w:rPr>
          <w:rFonts w:cs="Times New Roman"/>
          <w:b/>
          <w:szCs w:val="24"/>
        </w:rPr>
      </w:pPr>
      <w:r>
        <w:rPr>
          <w:b/>
          <w:bCs/>
          <w:szCs w:val="24"/>
        </w:rPr>
        <w:t>17</w:t>
      </w:r>
      <w:r w:rsidRPr="00B65A1A" w:rsidR="00CE5215">
        <w:rPr>
          <w:b/>
          <w:bCs/>
          <w:szCs w:val="24"/>
        </w:rPr>
        <w:t xml:space="preserve">.  </w:t>
      </w:r>
      <w:r w:rsidRPr="00BD7237" w:rsidR="00684E0F">
        <w:rPr>
          <w:rFonts w:cs="Times New Roman"/>
          <w:b/>
          <w:szCs w:val="24"/>
        </w:rPr>
        <w:t>If seeking approval to not display the expiration date for OMB approval of the information collection, explain the reasons that display would be inappropriate.</w:t>
      </w:r>
    </w:p>
    <w:p w:rsidRPr="00B65A1A" w:rsidR="00CE5215" w:rsidP="00CE5215" w:rsidRDefault="00CE5215">
      <w:pPr>
        <w:rPr>
          <w:sz w:val="24"/>
          <w:szCs w:val="24"/>
        </w:rPr>
      </w:pPr>
    </w:p>
    <w:p w:rsidR="00F461DE" w:rsidP="00CE5215" w:rsidRDefault="00745866">
      <w:pPr>
        <w:rPr>
          <w:sz w:val="24"/>
          <w:szCs w:val="24"/>
        </w:rPr>
      </w:pPr>
      <w:r>
        <w:rPr>
          <w:sz w:val="24"/>
          <w:szCs w:val="24"/>
        </w:rPr>
        <w:t xml:space="preserve">The agency plans to display the expiration date for OMB approval of the information collection on all instruments. </w:t>
      </w:r>
    </w:p>
    <w:p w:rsidRPr="00B65A1A" w:rsidR="00CE5215" w:rsidP="00CE5215" w:rsidRDefault="00CE5215">
      <w:pPr>
        <w:rPr>
          <w:sz w:val="24"/>
          <w:szCs w:val="24"/>
        </w:rPr>
      </w:pPr>
      <w:bookmarkStart w:name="_GoBack" w:id="2"/>
      <w:bookmarkEnd w:id="2"/>
    </w:p>
    <w:p w:rsidRPr="00BD7237" w:rsidR="00684E0F" w:rsidP="00684E0F" w:rsidRDefault="00856B90">
      <w:pPr>
        <w:pStyle w:val="ListParagraph"/>
        <w:tabs>
          <w:tab w:val="left" w:pos="360"/>
        </w:tabs>
        <w:spacing w:before="80"/>
        <w:ind w:left="0" w:firstLine="0"/>
        <w:rPr>
          <w:rFonts w:cs="Times New Roman"/>
          <w:b/>
          <w:szCs w:val="24"/>
        </w:rPr>
      </w:pPr>
      <w:r>
        <w:rPr>
          <w:b/>
          <w:bCs/>
          <w:szCs w:val="24"/>
        </w:rPr>
        <w:t>18</w:t>
      </w:r>
      <w:r w:rsidRPr="00B65A1A" w:rsidR="00CE5215">
        <w:rPr>
          <w:b/>
          <w:bCs/>
          <w:szCs w:val="24"/>
        </w:rPr>
        <w:t xml:space="preserve">.  </w:t>
      </w:r>
      <w:r w:rsidRPr="00BD7237" w:rsidR="00684E0F">
        <w:rPr>
          <w:rFonts w:cs="Times New Roman"/>
          <w:b/>
          <w:szCs w:val="24"/>
        </w:rPr>
        <w:t>Explain each exception to the certification statement identified in “Certification for Paperwork Reduction Act Submissions."</w:t>
      </w:r>
    </w:p>
    <w:p w:rsidRPr="00B65A1A" w:rsidR="00CE5215" w:rsidP="00CE5215" w:rsidRDefault="00CE5215">
      <w:pPr>
        <w:rPr>
          <w:sz w:val="24"/>
          <w:szCs w:val="24"/>
        </w:rPr>
      </w:pPr>
    </w:p>
    <w:p w:rsidR="00CE5215" w:rsidP="00CE5215" w:rsidRDefault="004F1172">
      <w:pPr>
        <w:rPr>
          <w:sz w:val="24"/>
          <w:szCs w:val="24"/>
        </w:rPr>
      </w:pPr>
      <w:r w:rsidRPr="004F1172">
        <w:rPr>
          <w:sz w:val="24"/>
          <w:szCs w:val="24"/>
        </w:rPr>
        <w:t>There are no exceptions for compliance with provisions in the certification statement.</w:t>
      </w:r>
    </w:p>
    <w:p w:rsidRPr="00B65A1A" w:rsidR="004B3952" w:rsidP="00CE5215" w:rsidRDefault="004B3952">
      <w:pPr>
        <w:rPr>
          <w:sz w:val="24"/>
          <w:szCs w:val="24"/>
        </w:rPr>
      </w:pPr>
      <w:r>
        <w:rPr>
          <w:sz w:val="24"/>
          <w:szCs w:val="24"/>
        </w:rPr>
        <w:t xml:space="preserve">The agency certifies compliance with </w:t>
      </w:r>
      <w:r w:rsidRPr="006536BC">
        <w:rPr>
          <w:i/>
          <w:color w:val="000000"/>
          <w:sz w:val="24"/>
          <w:szCs w:val="24"/>
        </w:rPr>
        <w:t>5 CFR 1320.9</w:t>
      </w:r>
      <w:r>
        <w:rPr>
          <w:sz w:val="24"/>
          <w:szCs w:val="24"/>
        </w:rPr>
        <w:t xml:space="preserve"> and the related provisions of 5 CFR 1320.8(b</w:t>
      </w:r>
      <w:proofErr w:type="gramStart"/>
      <w:r>
        <w:rPr>
          <w:sz w:val="24"/>
          <w:szCs w:val="24"/>
        </w:rPr>
        <w:t>)(</w:t>
      </w:r>
      <w:proofErr w:type="gramEnd"/>
      <w:r>
        <w:rPr>
          <w:sz w:val="24"/>
          <w:szCs w:val="24"/>
        </w:rPr>
        <w:t>3).</w:t>
      </w:r>
    </w:p>
    <w:p w:rsidR="00CE5215" w:rsidP="00CE5215" w:rsidRDefault="00CE5215">
      <w:pPr>
        <w:rPr>
          <w:sz w:val="24"/>
          <w:szCs w:val="24"/>
        </w:rPr>
      </w:pPr>
    </w:p>
    <w:p w:rsidRPr="00B65A1A" w:rsidR="00224043" w:rsidP="00CE5215" w:rsidRDefault="00224043">
      <w:pPr>
        <w:rPr>
          <w:sz w:val="24"/>
          <w:szCs w:val="24"/>
        </w:rPr>
      </w:pPr>
    </w:p>
    <w:p w:rsidRPr="00B65A1A" w:rsidR="00CE5215" w:rsidP="00CE5215" w:rsidRDefault="00CE5215">
      <w:pPr>
        <w:rPr>
          <w:sz w:val="24"/>
          <w:szCs w:val="24"/>
        </w:rPr>
      </w:pPr>
      <w:r w:rsidRPr="00B65A1A">
        <w:rPr>
          <w:b/>
          <w:sz w:val="24"/>
          <w:szCs w:val="24"/>
        </w:rPr>
        <w:t>B.  COLLECTIONS OF INFORMATION EMPLOYING STATISTICAL METHODS</w:t>
      </w:r>
    </w:p>
    <w:p w:rsidRPr="00B65A1A" w:rsidR="00CE5215" w:rsidP="00CE5215" w:rsidRDefault="00CE5215">
      <w:pPr>
        <w:rPr>
          <w:sz w:val="24"/>
          <w:szCs w:val="24"/>
        </w:rPr>
      </w:pPr>
    </w:p>
    <w:p w:rsidRPr="00B65A1A" w:rsidR="00CE5215" w:rsidP="00CE5215" w:rsidRDefault="00CE5215">
      <w:pPr>
        <w:rPr>
          <w:sz w:val="24"/>
          <w:szCs w:val="24"/>
        </w:rPr>
      </w:pPr>
      <w:r w:rsidRPr="00B65A1A">
        <w:rPr>
          <w:sz w:val="24"/>
          <w:szCs w:val="24"/>
        </w:rPr>
        <w:t>No statistical methods are employed in the information collection procedures.</w:t>
      </w:r>
    </w:p>
    <w:p w:rsidRPr="00384C09" w:rsidR="008C3497" w:rsidP="00CC7AE6" w:rsidRDefault="008C3497">
      <w:pPr>
        <w:rPr>
          <w:sz w:val="24"/>
          <w:szCs w:val="24"/>
        </w:rPr>
      </w:pPr>
    </w:p>
    <w:p w:rsidR="00842E3C" w:rsidP="00277EAB" w:rsidRDefault="00842E3C">
      <w:pPr>
        <w:rPr>
          <w:sz w:val="24"/>
          <w:szCs w:val="24"/>
        </w:rPr>
      </w:pPr>
    </w:p>
    <w:sectPr w:rsidR="00842E3C" w:rsidSect="00277EAB">
      <w:footnotePr>
        <w:numRestart w:val="eachSect"/>
      </w:footnotePr>
      <w:endnotePr>
        <w:numFmt w:val="decimal"/>
      </w:endnotePr>
      <w:pgSz w:w="12240" w:h="15840"/>
      <w:pgMar w:top="1440" w:right="1440" w:bottom="108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6676" w:rsidRDefault="00596676">
      <w:r>
        <w:separator/>
      </w:r>
    </w:p>
  </w:endnote>
  <w:endnote w:type="continuationSeparator" w:id="0">
    <w:p w:rsidR="00596676" w:rsidRDefault="00596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5AC" w:rsidRDefault="009005AC" w:rsidP="00224043">
    <w:pPr>
      <w:pStyle w:val="Footer"/>
      <w:framePr w:w="576" w:wrap="auto" w:vAnchor="page" w:hAnchor="page" w:x="5545" w:y="15121"/>
      <w:jc w:val="center"/>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684E0F">
      <w:rPr>
        <w:rStyle w:val="PageNumber"/>
        <w:noProof/>
        <w:sz w:val="24"/>
        <w:szCs w:val="24"/>
      </w:rPr>
      <w:t>9</w:t>
    </w:r>
    <w:r>
      <w:rPr>
        <w:rStyle w:val="PageNumber"/>
        <w:sz w:val="24"/>
        <w:szCs w:val="24"/>
      </w:rPr>
      <w:fldChar w:fldCharType="end"/>
    </w:r>
  </w:p>
  <w:p w:rsidR="009005AC" w:rsidRDefault="009005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6676" w:rsidRDefault="00596676">
      <w:r>
        <w:separator/>
      </w:r>
    </w:p>
  </w:footnote>
  <w:footnote w:type="continuationSeparator" w:id="0">
    <w:p w:rsidR="00596676" w:rsidRDefault="005966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307F7"/>
    <w:multiLevelType w:val="hybridMultilevel"/>
    <w:tmpl w:val="AF1426F8"/>
    <w:lvl w:ilvl="0" w:tplc="BAF0F82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4E5A2E"/>
    <w:multiLevelType w:val="hybridMultilevel"/>
    <w:tmpl w:val="B29692C6"/>
    <w:lvl w:ilvl="0" w:tplc="B92073FE">
      <w:start w:val="1"/>
      <w:numFmt w:val="bullet"/>
      <w:lvlText w:val="□"/>
      <w:lvlJc w:val="left"/>
      <w:pPr>
        <w:tabs>
          <w:tab w:val="num" w:pos="1440"/>
        </w:tabs>
        <w:ind w:left="1440" w:hanging="360"/>
      </w:pPr>
      <w:rPr>
        <w:rFonts w:ascii="Courier New" w:hAnsi="Courier New"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E7E1C11"/>
    <w:multiLevelType w:val="multilevel"/>
    <w:tmpl w:val="69402B40"/>
    <w:lvl w:ilvl="0">
      <w:start w:val="1"/>
      <w:numFmt w:val="bullet"/>
      <w:lvlText w:val="-"/>
      <w:lvlJc w:val="left"/>
      <w:pPr>
        <w:tabs>
          <w:tab w:val="num" w:pos="420"/>
        </w:tabs>
        <w:ind w:left="420" w:hanging="360"/>
      </w:pPr>
      <w:rPr>
        <w:rFonts w:ascii="Times New Roman" w:eastAsia="Times New Roman" w:hAnsi="Times New Roman" w:cs="Times New Roman" w:hint="default"/>
      </w:rPr>
    </w:lvl>
    <w:lvl w:ilvl="1">
      <w:start w:val="1"/>
      <w:numFmt w:val="bullet"/>
      <w:lvlText w:val="o"/>
      <w:lvlJc w:val="left"/>
      <w:pPr>
        <w:tabs>
          <w:tab w:val="num" w:pos="1140"/>
        </w:tabs>
        <w:ind w:left="1140" w:hanging="360"/>
      </w:pPr>
      <w:rPr>
        <w:rFonts w:ascii="Courier New" w:hAnsi="Courier New" w:cs="Courier New" w:hint="default"/>
      </w:rPr>
    </w:lvl>
    <w:lvl w:ilvl="2">
      <w:start w:val="1"/>
      <w:numFmt w:val="bullet"/>
      <w:lvlText w:val=""/>
      <w:lvlJc w:val="left"/>
      <w:pPr>
        <w:tabs>
          <w:tab w:val="num" w:pos="1860"/>
        </w:tabs>
        <w:ind w:left="1860" w:hanging="360"/>
      </w:pPr>
      <w:rPr>
        <w:rFonts w:ascii="Wingdings" w:hAnsi="Wingdings" w:hint="default"/>
      </w:rPr>
    </w:lvl>
    <w:lvl w:ilvl="3">
      <w:start w:val="1"/>
      <w:numFmt w:val="bullet"/>
      <w:lvlText w:val=""/>
      <w:lvlJc w:val="left"/>
      <w:pPr>
        <w:tabs>
          <w:tab w:val="num" w:pos="2580"/>
        </w:tabs>
        <w:ind w:left="2580" w:hanging="360"/>
      </w:pPr>
      <w:rPr>
        <w:rFonts w:ascii="Symbol" w:hAnsi="Symbol" w:hint="default"/>
      </w:rPr>
    </w:lvl>
    <w:lvl w:ilvl="4">
      <w:start w:val="1"/>
      <w:numFmt w:val="bullet"/>
      <w:lvlText w:val="o"/>
      <w:lvlJc w:val="left"/>
      <w:pPr>
        <w:tabs>
          <w:tab w:val="num" w:pos="3300"/>
        </w:tabs>
        <w:ind w:left="3300" w:hanging="360"/>
      </w:pPr>
      <w:rPr>
        <w:rFonts w:ascii="Courier New" w:hAnsi="Courier New" w:cs="Courier New" w:hint="default"/>
      </w:rPr>
    </w:lvl>
    <w:lvl w:ilvl="5">
      <w:start w:val="1"/>
      <w:numFmt w:val="bullet"/>
      <w:lvlText w:val=""/>
      <w:lvlJc w:val="left"/>
      <w:pPr>
        <w:tabs>
          <w:tab w:val="num" w:pos="4020"/>
        </w:tabs>
        <w:ind w:left="4020" w:hanging="360"/>
      </w:pPr>
      <w:rPr>
        <w:rFonts w:ascii="Wingdings" w:hAnsi="Wingdings" w:hint="default"/>
      </w:rPr>
    </w:lvl>
    <w:lvl w:ilvl="6">
      <w:start w:val="1"/>
      <w:numFmt w:val="bullet"/>
      <w:lvlText w:val=""/>
      <w:lvlJc w:val="left"/>
      <w:pPr>
        <w:tabs>
          <w:tab w:val="num" w:pos="4740"/>
        </w:tabs>
        <w:ind w:left="4740" w:hanging="360"/>
      </w:pPr>
      <w:rPr>
        <w:rFonts w:ascii="Symbol" w:hAnsi="Symbol" w:hint="default"/>
      </w:rPr>
    </w:lvl>
    <w:lvl w:ilvl="7">
      <w:start w:val="1"/>
      <w:numFmt w:val="bullet"/>
      <w:lvlText w:val="o"/>
      <w:lvlJc w:val="left"/>
      <w:pPr>
        <w:tabs>
          <w:tab w:val="num" w:pos="5460"/>
        </w:tabs>
        <w:ind w:left="5460" w:hanging="360"/>
      </w:pPr>
      <w:rPr>
        <w:rFonts w:ascii="Courier New" w:hAnsi="Courier New" w:cs="Courier New" w:hint="default"/>
      </w:rPr>
    </w:lvl>
    <w:lvl w:ilvl="8">
      <w:start w:val="1"/>
      <w:numFmt w:val="bullet"/>
      <w:lvlText w:val=""/>
      <w:lvlJc w:val="left"/>
      <w:pPr>
        <w:tabs>
          <w:tab w:val="num" w:pos="6180"/>
        </w:tabs>
        <w:ind w:left="6180" w:hanging="360"/>
      </w:pPr>
      <w:rPr>
        <w:rFonts w:ascii="Wingdings" w:hAnsi="Wingdings" w:hint="default"/>
      </w:rPr>
    </w:lvl>
  </w:abstractNum>
  <w:abstractNum w:abstractNumId="3" w15:restartNumberingAfterBreak="0">
    <w:nsid w:val="137D4624"/>
    <w:multiLevelType w:val="hybridMultilevel"/>
    <w:tmpl w:val="4F90AC02"/>
    <w:lvl w:ilvl="0" w:tplc="499C4962">
      <w:numFmt w:val="bullet"/>
      <w:lvlText w:val=""/>
      <w:lvlJc w:val="left"/>
      <w:pPr>
        <w:ind w:left="469" w:hanging="360"/>
      </w:pPr>
      <w:rPr>
        <w:rFonts w:ascii="Symbol" w:eastAsia="Symbol" w:hAnsi="Symbol" w:cs="Symbol" w:hint="default"/>
        <w:color w:val="2F5496"/>
        <w:w w:val="99"/>
        <w:sz w:val="20"/>
        <w:szCs w:val="20"/>
        <w:lang w:val="en-US" w:eastAsia="en-US" w:bidi="en-US"/>
      </w:rPr>
    </w:lvl>
    <w:lvl w:ilvl="1" w:tplc="8FE23A48">
      <w:numFmt w:val="bullet"/>
      <w:lvlText w:val="•"/>
      <w:lvlJc w:val="left"/>
      <w:pPr>
        <w:ind w:left="713" w:hanging="360"/>
      </w:pPr>
      <w:rPr>
        <w:rFonts w:hint="default"/>
        <w:lang w:val="en-US" w:eastAsia="en-US" w:bidi="en-US"/>
      </w:rPr>
    </w:lvl>
    <w:lvl w:ilvl="2" w:tplc="2B5A7776">
      <w:numFmt w:val="bullet"/>
      <w:lvlText w:val="•"/>
      <w:lvlJc w:val="left"/>
      <w:pPr>
        <w:ind w:left="966" w:hanging="360"/>
      </w:pPr>
      <w:rPr>
        <w:rFonts w:hint="default"/>
        <w:lang w:val="en-US" w:eastAsia="en-US" w:bidi="en-US"/>
      </w:rPr>
    </w:lvl>
    <w:lvl w:ilvl="3" w:tplc="45D67E3E">
      <w:numFmt w:val="bullet"/>
      <w:lvlText w:val="•"/>
      <w:lvlJc w:val="left"/>
      <w:pPr>
        <w:ind w:left="1219" w:hanging="360"/>
      </w:pPr>
      <w:rPr>
        <w:rFonts w:hint="default"/>
        <w:lang w:val="en-US" w:eastAsia="en-US" w:bidi="en-US"/>
      </w:rPr>
    </w:lvl>
    <w:lvl w:ilvl="4" w:tplc="A64C6412">
      <w:numFmt w:val="bullet"/>
      <w:lvlText w:val="•"/>
      <w:lvlJc w:val="left"/>
      <w:pPr>
        <w:ind w:left="1472" w:hanging="360"/>
      </w:pPr>
      <w:rPr>
        <w:rFonts w:hint="default"/>
        <w:lang w:val="en-US" w:eastAsia="en-US" w:bidi="en-US"/>
      </w:rPr>
    </w:lvl>
    <w:lvl w:ilvl="5" w:tplc="5B74E2C8">
      <w:numFmt w:val="bullet"/>
      <w:lvlText w:val="•"/>
      <w:lvlJc w:val="left"/>
      <w:pPr>
        <w:ind w:left="1725" w:hanging="360"/>
      </w:pPr>
      <w:rPr>
        <w:rFonts w:hint="default"/>
        <w:lang w:val="en-US" w:eastAsia="en-US" w:bidi="en-US"/>
      </w:rPr>
    </w:lvl>
    <w:lvl w:ilvl="6" w:tplc="D498806C">
      <w:numFmt w:val="bullet"/>
      <w:lvlText w:val="•"/>
      <w:lvlJc w:val="left"/>
      <w:pPr>
        <w:ind w:left="1978" w:hanging="360"/>
      </w:pPr>
      <w:rPr>
        <w:rFonts w:hint="default"/>
        <w:lang w:val="en-US" w:eastAsia="en-US" w:bidi="en-US"/>
      </w:rPr>
    </w:lvl>
    <w:lvl w:ilvl="7" w:tplc="21DEA0AA">
      <w:numFmt w:val="bullet"/>
      <w:lvlText w:val="•"/>
      <w:lvlJc w:val="left"/>
      <w:pPr>
        <w:ind w:left="2231" w:hanging="360"/>
      </w:pPr>
      <w:rPr>
        <w:rFonts w:hint="default"/>
        <w:lang w:val="en-US" w:eastAsia="en-US" w:bidi="en-US"/>
      </w:rPr>
    </w:lvl>
    <w:lvl w:ilvl="8" w:tplc="0DACD6F0">
      <w:numFmt w:val="bullet"/>
      <w:lvlText w:val="•"/>
      <w:lvlJc w:val="left"/>
      <w:pPr>
        <w:ind w:left="2484" w:hanging="360"/>
      </w:pPr>
      <w:rPr>
        <w:rFonts w:hint="default"/>
        <w:lang w:val="en-US" w:eastAsia="en-US" w:bidi="en-US"/>
      </w:rPr>
    </w:lvl>
  </w:abstractNum>
  <w:abstractNum w:abstractNumId="4" w15:restartNumberingAfterBreak="0">
    <w:nsid w:val="144D10D4"/>
    <w:multiLevelType w:val="hybridMultilevel"/>
    <w:tmpl w:val="709CA4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DFD1A90"/>
    <w:multiLevelType w:val="hybridMultilevel"/>
    <w:tmpl w:val="9492419E"/>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1882A656">
      <w:numFmt w:val="bullet"/>
      <w:lvlText w:val=""/>
      <w:lvlJc w:val="left"/>
      <w:pPr>
        <w:ind w:left="1120" w:hanging="360"/>
      </w:pPr>
      <w:rPr>
        <w:rFonts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abstractNum w:abstractNumId="6" w15:restartNumberingAfterBreak="0">
    <w:nsid w:val="2BC55EC3"/>
    <w:multiLevelType w:val="hybridMultilevel"/>
    <w:tmpl w:val="74683DC8"/>
    <w:lvl w:ilvl="0" w:tplc="B92073FE">
      <w:start w:val="1"/>
      <w:numFmt w:val="bullet"/>
      <w:lvlText w:val="□"/>
      <w:lvlJc w:val="left"/>
      <w:pPr>
        <w:tabs>
          <w:tab w:val="num" w:pos="1440"/>
        </w:tabs>
        <w:ind w:left="1440" w:hanging="360"/>
      </w:pPr>
      <w:rPr>
        <w:rFonts w:ascii="Courier New" w:hAnsi="Courier New"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D8C1FD2"/>
    <w:multiLevelType w:val="hybridMultilevel"/>
    <w:tmpl w:val="0324CE8C"/>
    <w:lvl w:ilvl="0" w:tplc="BAF0F82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A769A7"/>
    <w:multiLevelType w:val="hybridMultilevel"/>
    <w:tmpl w:val="6400DA9E"/>
    <w:lvl w:ilvl="0" w:tplc="0409000F">
      <w:start w:val="1"/>
      <w:numFmt w:val="decimal"/>
      <w:lvlText w:val="%1."/>
      <w:lvlJc w:val="left"/>
      <w:pPr>
        <w:tabs>
          <w:tab w:val="num" w:pos="720"/>
        </w:tabs>
        <w:ind w:left="720" w:hanging="360"/>
      </w:pPr>
      <w:rPr>
        <w:rFonts w:hint="default"/>
      </w:rPr>
    </w:lvl>
    <w:lvl w:ilvl="1" w:tplc="904C3F74">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242D47"/>
    <w:multiLevelType w:val="hybridMultilevel"/>
    <w:tmpl w:val="587620B4"/>
    <w:lvl w:ilvl="0" w:tplc="B92073FE">
      <w:start w:val="1"/>
      <w:numFmt w:val="bullet"/>
      <w:lvlText w:val="□"/>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5430445"/>
    <w:multiLevelType w:val="hybridMultilevel"/>
    <w:tmpl w:val="6FBE6740"/>
    <w:lvl w:ilvl="0" w:tplc="2EC817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56B76EE"/>
    <w:multiLevelType w:val="hybridMultilevel"/>
    <w:tmpl w:val="D34EE340"/>
    <w:lvl w:ilvl="0" w:tplc="D1344348">
      <w:numFmt w:val="bullet"/>
      <w:lvlText w:val=""/>
      <w:lvlJc w:val="left"/>
      <w:pPr>
        <w:ind w:left="469" w:hanging="360"/>
      </w:pPr>
      <w:rPr>
        <w:rFonts w:ascii="Symbol" w:eastAsia="Symbol" w:hAnsi="Symbol" w:cs="Symbol" w:hint="default"/>
        <w:color w:val="2F5496"/>
        <w:w w:val="99"/>
        <w:sz w:val="20"/>
        <w:szCs w:val="20"/>
        <w:lang w:val="en-US" w:eastAsia="en-US" w:bidi="en-US"/>
      </w:rPr>
    </w:lvl>
    <w:lvl w:ilvl="1" w:tplc="7220AA70">
      <w:numFmt w:val="bullet"/>
      <w:lvlText w:val="•"/>
      <w:lvlJc w:val="left"/>
      <w:pPr>
        <w:ind w:left="713" w:hanging="360"/>
      </w:pPr>
      <w:rPr>
        <w:rFonts w:hint="default"/>
        <w:lang w:val="en-US" w:eastAsia="en-US" w:bidi="en-US"/>
      </w:rPr>
    </w:lvl>
    <w:lvl w:ilvl="2" w:tplc="3DC63060">
      <w:numFmt w:val="bullet"/>
      <w:lvlText w:val="•"/>
      <w:lvlJc w:val="left"/>
      <w:pPr>
        <w:ind w:left="966" w:hanging="360"/>
      </w:pPr>
      <w:rPr>
        <w:rFonts w:hint="default"/>
        <w:lang w:val="en-US" w:eastAsia="en-US" w:bidi="en-US"/>
      </w:rPr>
    </w:lvl>
    <w:lvl w:ilvl="3" w:tplc="6316DEFA">
      <w:numFmt w:val="bullet"/>
      <w:lvlText w:val="•"/>
      <w:lvlJc w:val="left"/>
      <w:pPr>
        <w:ind w:left="1219" w:hanging="360"/>
      </w:pPr>
      <w:rPr>
        <w:rFonts w:hint="default"/>
        <w:lang w:val="en-US" w:eastAsia="en-US" w:bidi="en-US"/>
      </w:rPr>
    </w:lvl>
    <w:lvl w:ilvl="4" w:tplc="B7DE6028">
      <w:numFmt w:val="bullet"/>
      <w:lvlText w:val="•"/>
      <w:lvlJc w:val="left"/>
      <w:pPr>
        <w:ind w:left="1472" w:hanging="360"/>
      </w:pPr>
      <w:rPr>
        <w:rFonts w:hint="default"/>
        <w:lang w:val="en-US" w:eastAsia="en-US" w:bidi="en-US"/>
      </w:rPr>
    </w:lvl>
    <w:lvl w:ilvl="5" w:tplc="620281C8">
      <w:numFmt w:val="bullet"/>
      <w:lvlText w:val="•"/>
      <w:lvlJc w:val="left"/>
      <w:pPr>
        <w:ind w:left="1725" w:hanging="360"/>
      </w:pPr>
      <w:rPr>
        <w:rFonts w:hint="default"/>
        <w:lang w:val="en-US" w:eastAsia="en-US" w:bidi="en-US"/>
      </w:rPr>
    </w:lvl>
    <w:lvl w:ilvl="6" w:tplc="6886366C">
      <w:numFmt w:val="bullet"/>
      <w:lvlText w:val="•"/>
      <w:lvlJc w:val="left"/>
      <w:pPr>
        <w:ind w:left="1978" w:hanging="360"/>
      </w:pPr>
      <w:rPr>
        <w:rFonts w:hint="default"/>
        <w:lang w:val="en-US" w:eastAsia="en-US" w:bidi="en-US"/>
      </w:rPr>
    </w:lvl>
    <w:lvl w:ilvl="7" w:tplc="140A0CA4">
      <w:numFmt w:val="bullet"/>
      <w:lvlText w:val="•"/>
      <w:lvlJc w:val="left"/>
      <w:pPr>
        <w:ind w:left="2231" w:hanging="360"/>
      </w:pPr>
      <w:rPr>
        <w:rFonts w:hint="default"/>
        <w:lang w:val="en-US" w:eastAsia="en-US" w:bidi="en-US"/>
      </w:rPr>
    </w:lvl>
    <w:lvl w:ilvl="8" w:tplc="565C5912">
      <w:numFmt w:val="bullet"/>
      <w:lvlText w:val="•"/>
      <w:lvlJc w:val="left"/>
      <w:pPr>
        <w:ind w:left="2484" w:hanging="360"/>
      </w:pPr>
      <w:rPr>
        <w:rFonts w:hint="default"/>
        <w:lang w:val="en-US" w:eastAsia="en-US" w:bidi="en-US"/>
      </w:rPr>
    </w:lvl>
  </w:abstractNum>
  <w:abstractNum w:abstractNumId="12" w15:restartNumberingAfterBreak="0">
    <w:nsid w:val="50761429"/>
    <w:multiLevelType w:val="hybridMultilevel"/>
    <w:tmpl w:val="87F07CBC"/>
    <w:lvl w:ilvl="0" w:tplc="BAF0F822">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4E1712"/>
    <w:multiLevelType w:val="hybridMultilevel"/>
    <w:tmpl w:val="69402B40"/>
    <w:lvl w:ilvl="0" w:tplc="B49657B6">
      <w:start w:val="1"/>
      <w:numFmt w:val="bullet"/>
      <w:lvlText w:val="-"/>
      <w:lvlJc w:val="left"/>
      <w:pPr>
        <w:tabs>
          <w:tab w:val="num" w:pos="420"/>
        </w:tabs>
        <w:ind w:left="420" w:hanging="360"/>
      </w:pPr>
      <w:rPr>
        <w:rFonts w:ascii="Times New Roman" w:eastAsia="Times New Roman" w:hAnsi="Times New Roman" w:cs="Times New Roman" w:hint="default"/>
      </w:rPr>
    </w:lvl>
    <w:lvl w:ilvl="1" w:tplc="04090003">
      <w:start w:val="1"/>
      <w:numFmt w:val="bullet"/>
      <w:lvlText w:val="o"/>
      <w:lvlJc w:val="left"/>
      <w:pPr>
        <w:tabs>
          <w:tab w:val="num" w:pos="1140"/>
        </w:tabs>
        <w:ind w:left="1140" w:hanging="360"/>
      </w:pPr>
      <w:rPr>
        <w:rFonts w:ascii="Courier New" w:hAnsi="Courier New" w:cs="Courier New" w:hint="default"/>
      </w:rPr>
    </w:lvl>
    <w:lvl w:ilvl="2" w:tplc="04090005">
      <w:start w:val="1"/>
      <w:numFmt w:val="bullet"/>
      <w:lvlText w:val=""/>
      <w:lvlJc w:val="left"/>
      <w:pPr>
        <w:tabs>
          <w:tab w:val="num" w:pos="1860"/>
        </w:tabs>
        <w:ind w:left="1860" w:hanging="360"/>
      </w:pPr>
      <w:rPr>
        <w:rFonts w:ascii="Wingdings" w:hAnsi="Wingdings" w:hint="default"/>
      </w:rPr>
    </w:lvl>
    <w:lvl w:ilvl="3" w:tplc="0409000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4" w15:restartNumberingAfterBreak="0">
    <w:nsid w:val="5F3C5D2C"/>
    <w:multiLevelType w:val="hybridMultilevel"/>
    <w:tmpl w:val="58D8BE2E"/>
    <w:lvl w:ilvl="0" w:tplc="C2B65C46">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627F626D"/>
    <w:multiLevelType w:val="multilevel"/>
    <w:tmpl w:val="626423D2"/>
    <w:lvl w:ilvl="0">
      <w:start w:val="1"/>
      <w:numFmt w:val="bullet"/>
      <w:lvlText w:val="-"/>
      <w:lvlJc w:val="left"/>
      <w:pPr>
        <w:tabs>
          <w:tab w:val="num" w:pos="420"/>
        </w:tabs>
        <w:ind w:left="420" w:hanging="360"/>
      </w:pPr>
      <w:rPr>
        <w:rFonts w:ascii="Times New Roman" w:eastAsia="Times New Roman" w:hAnsi="Times New Roman" w:cs="Times New Roman" w:hint="default"/>
      </w:rPr>
    </w:lvl>
    <w:lvl w:ilvl="1">
      <w:start w:val="1"/>
      <w:numFmt w:val="bullet"/>
      <w:lvlText w:val="o"/>
      <w:lvlJc w:val="left"/>
      <w:pPr>
        <w:tabs>
          <w:tab w:val="num" w:pos="1140"/>
        </w:tabs>
        <w:ind w:left="1140" w:hanging="360"/>
      </w:pPr>
      <w:rPr>
        <w:rFonts w:ascii="Courier New" w:hAnsi="Courier New" w:cs="Courier New" w:hint="default"/>
      </w:rPr>
    </w:lvl>
    <w:lvl w:ilvl="2">
      <w:start w:val="1"/>
      <w:numFmt w:val="bullet"/>
      <w:lvlText w:val=""/>
      <w:lvlJc w:val="left"/>
      <w:pPr>
        <w:tabs>
          <w:tab w:val="num" w:pos="1860"/>
        </w:tabs>
        <w:ind w:left="1860" w:hanging="360"/>
      </w:pPr>
      <w:rPr>
        <w:rFonts w:ascii="Wingdings" w:hAnsi="Wingdings" w:hint="default"/>
      </w:rPr>
    </w:lvl>
    <w:lvl w:ilvl="3">
      <w:start w:val="1"/>
      <w:numFmt w:val="bullet"/>
      <w:lvlText w:val=""/>
      <w:lvlJc w:val="left"/>
      <w:pPr>
        <w:tabs>
          <w:tab w:val="num" w:pos="2580"/>
        </w:tabs>
        <w:ind w:left="2580" w:hanging="360"/>
      </w:pPr>
      <w:rPr>
        <w:rFonts w:ascii="Symbol" w:hAnsi="Symbol" w:hint="default"/>
      </w:rPr>
    </w:lvl>
    <w:lvl w:ilvl="4">
      <w:start w:val="1"/>
      <w:numFmt w:val="decimal"/>
      <w:lvlText w:val="(%5)"/>
      <w:lvlJc w:val="left"/>
      <w:pPr>
        <w:tabs>
          <w:tab w:val="num" w:pos="3300"/>
        </w:tabs>
        <w:ind w:left="3300" w:hanging="360"/>
      </w:pPr>
      <w:rPr>
        <w:rFonts w:hint="default"/>
      </w:rPr>
    </w:lvl>
    <w:lvl w:ilvl="5">
      <w:start w:val="5"/>
      <w:numFmt w:val="decimal"/>
      <w:lvlText w:val="%6."/>
      <w:lvlJc w:val="left"/>
      <w:pPr>
        <w:tabs>
          <w:tab w:val="num" w:pos="4020"/>
        </w:tabs>
        <w:ind w:left="4020" w:hanging="360"/>
      </w:pPr>
      <w:rPr>
        <w:rFonts w:hint="default"/>
      </w:rPr>
    </w:lvl>
    <w:lvl w:ilvl="6" w:tentative="1">
      <w:start w:val="1"/>
      <w:numFmt w:val="bullet"/>
      <w:lvlText w:val=""/>
      <w:lvlJc w:val="left"/>
      <w:pPr>
        <w:tabs>
          <w:tab w:val="num" w:pos="4740"/>
        </w:tabs>
        <w:ind w:left="4740" w:hanging="360"/>
      </w:pPr>
      <w:rPr>
        <w:rFonts w:ascii="Symbol" w:hAnsi="Symbol" w:hint="default"/>
      </w:rPr>
    </w:lvl>
    <w:lvl w:ilvl="7" w:tentative="1">
      <w:start w:val="1"/>
      <w:numFmt w:val="bullet"/>
      <w:lvlText w:val="o"/>
      <w:lvlJc w:val="left"/>
      <w:pPr>
        <w:tabs>
          <w:tab w:val="num" w:pos="5460"/>
        </w:tabs>
        <w:ind w:left="5460" w:hanging="360"/>
      </w:pPr>
      <w:rPr>
        <w:rFonts w:ascii="Courier New" w:hAnsi="Courier New" w:cs="Courier New" w:hint="default"/>
      </w:rPr>
    </w:lvl>
    <w:lvl w:ilvl="8" w:tentative="1">
      <w:start w:val="1"/>
      <w:numFmt w:val="bullet"/>
      <w:lvlText w:val=""/>
      <w:lvlJc w:val="left"/>
      <w:pPr>
        <w:tabs>
          <w:tab w:val="num" w:pos="6180"/>
        </w:tabs>
        <w:ind w:left="6180" w:hanging="360"/>
      </w:pPr>
      <w:rPr>
        <w:rFonts w:ascii="Wingdings" w:hAnsi="Wingdings" w:hint="default"/>
      </w:rPr>
    </w:lvl>
  </w:abstractNum>
  <w:abstractNum w:abstractNumId="16" w15:restartNumberingAfterBreak="0">
    <w:nsid w:val="62B51168"/>
    <w:multiLevelType w:val="hybridMultilevel"/>
    <w:tmpl w:val="65DC0CE8"/>
    <w:lvl w:ilvl="0" w:tplc="0409000F">
      <w:start w:val="1"/>
      <w:numFmt w:val="decimal"/>
      <w:lvlText w:val="%1."/>
      <w:lvlJc w:val="left"/>
      <w:pPr>
        <w:tabs>
          <w:tab w:val="num" w:pos="360"/>
        </w:tabs>
        <w:ind w:left="360" w:hanging="360"/>
      </w:pPr>
      <w:rPr>
        <w:rFonts w:hint="default"/>
      </w:rPr>
    </w:lvl>
    <w:lvl w:ilvl="1" w:tplc="7B9A62EA">
      <w:start w:val="1"/>
      <w:numFmt w:val="bullet"/>
      <w:lvlText w:val="-"/>
      <w:lvlJc w:val="left"/>
      <w:pPr>
        <w:tabs>
          <w:tab w:val="num" w:pos="1080"/>
        </w:tabs>
        <w:ind w:left="1080" w:hanging="360"/>
      </w:pPr>
      <w:rPr>
        <w:rFonts w:ascii="Times New Roman" w:eastAsia="Times New Roman" w:hAnsi="Times New Roman" w:cs="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696F074C"/>
    <w:multiLevelType w:val="hybridMultilevel"/>
    <w:tmpl w:val="24A8A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1A3C0A"/>
    <w:multiLevelType w:val="hybridMultilevel"/>
    <w:tmpl w:val="F4AAE3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AB96601"/>
    <w:multiLevelType w:val="hybridMultilevel"/>
    <w:tmpl w:val="F5DA639C"/>
    <w:lvl w:ilvl="0" w:tplc="B9E633C8">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7DA15228"/>
    <w:multiLevelType w:val="hybridMultilevel"/>
    <w:tmpl w:val="559A5C4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12"/>
  </w:num>
  <w:num w:numId="3">
    <w:abstractNumId w:val="7"/>
  </w:num>
  <w:num w:numId="4">
    <w:abstractNumId w:val="19"/>
  </w:num>
  <w:num w:numId="5">
    <w:abstractNumId w:val="14"/>
  </w:num>
  <w:num w:numId="6">
    <w:abstractNumId w:val="2"/>
  </w:num>
  <w:num w:numId="7">
    <w:abstractNumId w:val="15"/>
  </w:num>
  <w:num w:numId="8">
    <w:abstractNumId w:val="9"/>
  </w:num>
  <w:num w:numId="9">
    <w:abstractNumId w:val="1"/>
  </w:num>
  <w:num w:numId="10">
    <w:abstractNumId w:val="6"/>
  </w:num>
  <w:num w:numId="11">
    <w:abstractNumId w:val="18"/>
  </w:num>
  <w:num w:numId="12">
    <w:abstractNumId w:val="16"/>
  </w:num>
  <w:num w:numId="13">
    <w:abstractNumId w:val="0"/>
  </w:num>
  <w:num w:numId="14">
    <w:abstractNumId w:val="8"/>
  </w:num>
  <w:num w:numId="15">
    <w:abstractNumId w:val="20"/>
  </w:num>
  <w:num w:numId="16">
    <w:abstractNumId w:val="17"/>
  </w:num>
  <w:num w:numId="17">
    <w:abstractNumId w:val="4"/>
  </w:num>
  <w:num w:numId="18">
    <w:abstractNumId w:val="10"/>
  </w:num>
  <w:num w:numId="19">
    <w:abstractNumId w:val="3"/>
  </w:num>
  <w:num w:numId="20">
    <w:abstractNumId w:val="11"/>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289"/>
    <w:rsid w:val="00000D69"/>
    <w:rsid w:val="000012A9"/>
    <w:rsid w:val="00002C45"/>
    <w:rsid w:val="00002E54"/>
    <w:rsid w:val="00002FE3"/>
    <w:rsid w:val="00010BA3"/>
    <w:rsid w:val="00011689"/>
    <w:rsid w:val="00012C39"/>
    <w:rsid w:val="00013075"/>
    <w:rsid w:val="00015EC7"/>
    <w:rsid w:val="000217F6"/>
    <w:rsid w:val="00022B4C"/>
    <w:rsid w:val="000235DB"/>
    <w:rsid w:val="00026310"/>
    <w:rsid w:val="00026F9B"/>
    <w:rsid w:val="00030C73"/>
    <w:rsid w:val="000323AC"/>
    <w:rsid w:val="0003474E"/>
    <w:rsid w:val="000370C5"/>
    <w:rsid w:val="00041067"/>
    <w:rsid w:val="000420DE"/>
    <w:rsid w:val="00043464"/>
    <w:rsid w:val="00043CE2"/>
    <w:rsid w:val="00043D44"/>
    <w:rsid w:val="00044045"/>
    <w:rsid w:val="000449DE"/>
    <w:rsid w:val="0006174C"/>
    <w:rsid w:val="0006189E"/>
    <w:rsid w:val="00061EF8"/>
    <w:rsid w:val="0006381D"/>
    <w:rsid w:val="000650B5"/>
    <w:rsid w:val="00072091"/>
    <w:rsid w:val="00072EEB"/>
    <w:rsid w:val="00074551"/>
    <w:rsid w:val="00075D4F"/>
    <w:rsid w:val="00082A3E"/>
    <w:rsid w:val="0008508F"/>
    <w:rsid w:val="0009052E"/>
    <w:rsid w:val="00094353"/>
    <w:rsid w:val="00096009"/>
    <w:rsid w:val="000A2654"/>
    <w:rsid w:val="000A360D"/>
    <w:rsid w:val="000B42F3"/>
    <w:rsid w:val="000C0EBA"/>
    <w:rsid w:val="000C1DD4"/>
    <w:rsid w:val="000C245B"/>
    <w:rsid w:val="000C5161"/>
    <w:rsid w:val="000D01C1"/>
    <w:rsid w:val="000D10F9"/>
    <w:rsid w:val="000D1B8F"/>
    <w:rsid w:val="000D1F19"/>
    <w:rsid w:val="000D3453"/>
    <w:rsid w:val="000D6760"/>
    <w:rsid w:val="000E5786"/>
    <w:rsid w:val="000E5A69"/>
    <w:rsid w:val="000F0D5B"/>
    <w:rsid w:val="000F49B0"/>
    <w:rsid w:val="00101D95"/>
    <w:rsid w:val="0011286B"/>
    <w:rsid w:val="0011350B"/>
    <w:rsid w:val="00115042"/>
    <w:rsid w:val="001243E3"/>
    <w:rsid w:val="00127A13"/>
    <w:rsid w:val="00127A6A"/>
    <w:rsid w:val="001305B2"/>
    <w:rsid w:val="001375EA"/>
    <w:rsid w:val="0014362E"/>
    <w:rsid w:val="00144E3C"/>
    <w:rsid w:val="001544F7"/>
    <w:rsid w:val="001563AE"/>
    <w:rsid w:val="001615C9"/>
    <w:rsid w:val="00161C58"/>
    <w:rsid w:val="00162FC3"/>
    <w:rsid w:val="0016551E"/>
    <w:rsid w:val="0016585B"/>
    <w:rsid w:val="00171D47"/>
    <w:rsid w:val="00171D5D"/>
    <w:rsid w:val="00173266"/>
    <w:rsid w:val="001750DE"/>
    <w:rsid w:val="001775E6"/>
    <w:rsid w:val="00177EA3"/>
    <w:rsid w:val="00190E4F"/>
    <w:rsid w:val="0019159C"/>
    <w:rsid w:val="00196548"/>
    <w:rsid w:val="0019668C"/>
    <w:rsid w:val="001A0AFA"/>
    <w:rsid w:val="001A0E1A"/>
    <w:rsid w:val="001A1E8F"/>
    <w:rsid w:val="001A50EC"/>
    <w:rsid w:val="001A526A"/>
    <w:rsid w:val="001B0162"/>
    <w:rsid w:val="001B0CD8"/>
    <w:rsid w:val="001B1B95"/>
    <w:rsid w:val="001B35F8"/>
    <w:rsid w:val="001B3ADB"/>
    <w:rsid w:val="001B3FDE"/>
    <w:rsid w:val="001B4BFB"/>
    <w:rsid w:val="001B5A2C"/>
    <w:rsid w:val="001B5B10"/>
    <w:rsid w:val="001C3CA5"/>
    <w:rsid w:val="001D03C8"/>
    <w:rsid w:val="001D1DBB"/>
    <w:rsid w:val="001D361B"/>
    <w:rsid w:val="001D3F30"/>
    <w:rsid w:val="001D4ED4"/>
    <w:rsid w:val="001E1AF8"/>
    <w:rsid w:val="001E547C"/>
    <w:rsid w:val="001E79FE"/>
    <w:rsid w:val="001F4BFE"/>
    <w:rsid w:val="001F5BC8"/>
    <w:rsid w:val="0020086A"/>
    <w:rsid w:val="0020548A"/>
    <w:rsid w:val="00205C10"/>
    <w:rsid w:val="002060DF"/>
    <w:rsid w:val="002128F8"/>
    <w:rsid w:val="00213A01"/>
    <w:rsid w:val="002171CC"/>
    <w:rsid w:val="00224043"/>
    <w:rsid w:val="00226738"/>
    <w:rsid w:val="00231E8C"/>
    <w:rsid w:val="002339BA"/>
    <w:rsid w:val="00234609"/>
    <w:rsid w:val="00234915"/>
    <w:rsid w:val="002369AA"/>
    <w:rsid w:val="00244228"/>
    <w:rsid w:val="0024470E"/>
    <w:rsid w:val="00246B70"/>
    <w:rsid w:val="00251E57"/>
    <w:rsid w:val="0025751A"/>
    <w:rsid w:val="00267A55"/>
    <w:rsid w:val="00272D20"/>
    <w:rsid w:val="0027472D"/>
    <w:rsid w:val="002761FF"/>
    <w:rsid w:val="002772F0"/>
    <w:rsid w:val="00277EAB"/>
    <w:rsid w:val="002811B4"/>
    <w:rsid w:val="002812FE"/>
    <w:rsid w:val="00281707"/>
    <w:rsid w:val="00282F88"/>
    <w:rsid w:val="00283CC6"/>
    <w:rsid w:val="00284401"/>
    <w:rsid w:val="00284C9D"/>
    <w:rsid w:val="00286910"/>
    <w:rsid w:val="00287EDE"/>
    <w:rsid w:val="00290371"/>
    <w:rsid w:val="002A0CF3"/>
    <w:rsid w:val="002A2E4E"/>
    <w:rsid w:val="002A6AD8"/>
    <w:rsid w:val="002B10EB"/>
    <w:rsid w:val="002B1FED"/>
    <w:rsid w:val="002B27F4"/>
    <w:rsid w:val="002B34D4"/>
    <w:rsid w:val="002B356B"/>
    <w:rsid w:val="002B3A90"/>
    <w:rsid w:val="002B443E"/>
    <w:rsid w:val="002B6C3F"/>
    <w:rsid w:val="002C3916"/>
    <w:rsid w:val="002C42BA"/>
    <w:rsid w:val="002C5A48"/>
    <w:rsid w:val="002D688A"/>
    <w:rsid w:val="002E5688"/>
    <w:rsid w:val="002E6D70"/>
    <w:rsid w:val="00303046"/>
    <w:rsid w:val="00314A8B"/>
    <w:rsid w:val="00315768"/>
    <w:rsid w:val="00316350"/>
    <w:rsid w:val="00316CF9"/>
    <w:rsid w:val="00320727"/>
    <w:rsid w:val="00323782"/>
    <w:rsid w:val="00330F46"/>
    <w:rsid w:val="00331661"/>
    <w:rsid w:val="00333106"/>
    <w:rsid w:val="003343C7"/>
    <w:rsid w:val="003362A2"/>
    <w:rsid w:val="003406AA"/>
    <w:rsid w:val="00344C4A"/>
    <w:rsid w:val="003463E0"/>
    <w:rsid w:val="00350082"/>
    <w:rsid w:val="003506BD"/>
    <w:rsid w:val="00351CD5"/>
    <w:rsid w:val="00353ABB"/>
    <w:rsid w:val="003558E2"/>
    <w:rsid w:val="00355C54"/>
    <w:rsid w:val="00355C78"/>
    <w:rsid w:val="00357F74"/>
    <w:rsid w:val="0036100C"/>
    <w:rsid w:val="00361E41"/>
    <w:rsid w:val="0036635F"/>
    <w:rsid w:val="003739D4"/>
    <w:rsid w:val="00375467"/>
    <w:rsid w:val="003808D4"/>
    <w:rsid w:val="00381204"/>
    <w:rsid w:val="0038355A"/>
    <w:rsid w:val="00384C09"/>
    <w:rsid w:val="00386DAD"/>
    <w:rsid w:val="00390407"/>
    <w:rsid w:val="003915E4"/>
    <w:rsid w:val="00392E60"/>
    <w:rsid w:val="00393236"/>
    <w:rsid w:val="003A7E69"/>
    <w:rsid w:val="003B6170"/>
    <w:rsid w:val="003C16E9"/>
    <w:rsid w:val="003C6B33"/>
    <w:rsid w:val="003D1289"/>
    <w:rsid w:val="003D1B83"/>
    <w:rsid w:val="003D4483"/>
    <w:rsid w:val="003E00A8"/>
    <w:rsid w:val="003E0302"/>
    <w:rsid w:val="003E0B07"/>
    <w:rsid w:val="003F426C"/>
    <w:rsid w:val="003F7180"/>
    <w:rsid w:val="004053E4"/>
    <w:rsid w:val="00405CA9"/>
    <w:rsid w:val="004103C6"/>
    <w:rsid w:val="00413F3E"/>
    <w:rsid w:val="00416194"/>
    <w:rsid w:val="00422161"/>
    <w:rsid w:val="004227DA"/>
    <w:rsid w:val="00422FA7"/>
    <w:rsid w:val="00424974"/>
    <w:rsid w:val="004268E5"/>
    <w:rsid w:val="00430BD0"/>
    <w:rsid w:val="0043140F"/>
    <w:rsid w:val="004379CC"/>
    <w:rsid w:val="00440B04"/>
    <w:rsid w:val="00441510"/>
    <w:rsid w:val="00442461"/>
    <w:rsid w:val="00443E7F"/>
    <w:rsid w:val="00446770"/>
    <w:rsid w:val="00451DB3"/>
    <w:rsid w:val="004524D9"/>
    <w:rsid w:val="00452E72"/>
    <w:rsid w:val="00452F6A"/>
    <w:rsid w:val="00453FB0"/>
    <w:rsid w:val="0046613F"/>
    <w:rsid w:val="00466D38"/>
    <w:rsid w:val="00466F94"/>
    <w:rsid w:val="00467E02"/>
    <w:rsid w:val="004723E7"/>
    <w:rsid w:val="00473FA4"/>
    <w:rsid w:val="00474805"/>
    <w:rsid w:val="00475AC2"/>
    <w:rsid w:val="00476FD8"/>
    <w:rsid w:val="00477B98"/>
    <w:rsid w:val="0048494A"/>
    <w:rsid w:val="004A13E4"/>
    <w:rsid w:val="004B1C60"/>
    <w:rsid w:val="004B2771"/>
    <w:rsid w:val="004B3952"/>
    <w:rsid w:val="004B4344"/>
    <w:rsid w:val="004B4365"/>
    <w:rsid w:val="004C00A6"/>
    <w:rsid w:val="004C3066"/>
    <w:rsid w:val="004D2D37"/>
    <w:rsid w:val="004D2D70"/>
    <w:rsid w:val="004D3FE1"/>
    <w:rsid w:val="004D5148"/>
    <w:rsid w:val="004D5CAD"/>
    <w:rsid w:val="004E2A49"/>
    <w:rsid w:val="004E5A7C"/>
    <w:rsid w:val="004F1172"/>
    <w:rsid w:val="004F122B"/>
    <w:rsid w:val="004F2F3A"/>
    <w:rsid w:val="004F47C7"/>
    <w:rsid w:val="005017AD"/>
    <w:rsid w:val="00501EBF"/>
    <w:rsid w:val="00505558"/>
    <w:rsid w:val="0050569C"/>
    <w:rsid w:val="00506631"/>
    <w:rsid w:val="005114F5"/>
    <w:rsid w:val="0051340A"/>
    <w:rsid w:val="005141CA"/>
    <w:rsid w:val="0051703B"/>
    <w:rsid w:val="005176CE"/>
    <w:rsid w:val="005255CA"/>
    <w:rsid w:val="0053094B"/>
    <w:rsid w:val="0053100E"/>
    <w:rsid w:val="00533209"/>
    <w:rsid w:val="005400E9"/>
    <w:rsid w:val="005416C1"/>
    <w:rsid w:val="00544D80"/>
    <w:rsid w:val="00545D6E"/>
    <w:rsid w:val="00546C30"/>
    <w:rsid w:val="0055312B"/>
    <w:rsid w:val="005536B5"/>
    <w:rsid w:val="00560036"/>
    <w:rsid w:val="00565B4E"/>
    <w:rsid w:val="00573A33"/>
    <w:rsid w:val="00574601"/>
    <w:rsid w:val="00577759"/>
    <w:rsid w:val="00580351"/>
    <w:rsid w:val="00582287"/>
    <w:rsid w:val="005829B1"/>
    <w:rsid w:val="00582B9E"/>
    <w:rsid w:val="00583491"/>
    <w:rsid w:val="00584AA7"/>
    <w:rsid w:val="005850D3"/>
    <w:rsid w:val="00586C7D"/>
    <w:rsid w:val="005909D8"/>
    <w:rsid w:val="00592E34"/>
    <w:rsid w:val="00596676"/>
    <w:rsid w:val="00597451"/>
    <w:rsid w:val="005A032F"/>
    <w:rsid w:val="005A08CD"/>
    <w:rsid w:val="005A6AC8"/>
    <w:rsid w:val="005C1A50"/>
    <w:rsid w:val="005C1D98"/>
    <w:rsid w:val="005C603E"/>
    <w:rsid w:val="005D2742"/>
    <w:rsid w:val="005D777B"/>
    <w:rsid w:val="005D7A8B"/>
    <w:rsid w:val="005D7FAB"/>
    <w:rsid w:val="005E16BD"/>
    <w:rsid w:val="005E2723"/>
    <w:rsid w:val="005E40CB"/>
    <w:rsid w:val="005E4EAC"/>
    <w:rsid w:val="005F02DC"/>
    <w:rsid w:val="005F0D9A"/>
    <w:rsid w:val="005F54AB"/>
    <w:rsid w:val="005F59F4"/>
    <w:rsid w:val="006017E9"/>
    <w:rsid w:val="00601E8F"/>
    <w:rsid w:val="00604928"/>
    <w:rsid w:val="0060559A"/>
    <w:rsid w:val="006103CB"/>
    <w:rsid w:val="006110AC"/>
    <w:rsid w:val="00611D99"/>
    <w:rsid w:val="006136D6"/>
    <w:rsid w:val="006140AE"/>
    <w:rsid w:val="0062030C"/>
    <w:rsid w:val="006239C9"/>
    <w:rsid w:val="00623FA0"/>
    <w:rsid w:val="00624E15"/>
    <w:rsid w:val="00626163"/>
    <w:rsid w:val="00626719"/>
    <w:rsid w:val="00630520"/>
    <w:rsid w:val="00630A00"/>
    <w:rsid w:val="00630BE7"/>
    <w:rsid w:val="00631FD6"/>
    <w:rsid w:val="006328A7"/>
    <w:rsid w:val="00634A39"/>
    <w:rsid w:val="006407C1"/>
    <w:rsid w:val="00642555"/>
    <w:rsid w:val="0064284C"/>
    <w:rsid w:val="00644FA3"/>
    <w:rsid w:val="006463A9"/>
    <w:rsid w:val="00652179"/>
    <w:rsid w:val="006536BC"/>
    <w:rsid w:val="00654CD5"/>
    <w:rsid w:val="00654DCE"/>
    <w:rsid w:val="006628F8"/>
    <w:rsid w:val="0066295D"/>
    <w:rsid w:val="00662D01"/>
    <w:rsid w:val="00664546"/>
    <w:rsid w:val="006720C7"/>
    <w:rsid w:val="00672F28"/>
    <w:rsid w:val="006740EC"/>
    <w:rsid w:val="00675C64"/>
    <w:rsid w:val="00681EF9"/>
    <w:rsid w:val="006827E5"/>
    <w:rsid w:val="00683376"/>
    <w:rsid w:val="00684E0F"/>
    <w:rsid w:val="006876D9"/>
    <w:rsid w:val="0069117D"/>
    <w:rsid w:val="006921DA"/>
    <w:rsid w:val="006921FA"/>
    <w:rsid w:val="00692938"/>
    <w:rsid w:val="00693192"/>
    <w:rsid w:val="00693C41"/>
    <w:rsid w:val="00696555"/>
    <w:rsid w:val="0069751E"/>
    <w:rsid w:val="00697F46"/>
    <w:rsid w:val="006A08C3"/>
    <w:rsid w:val="006A0F70"/>
    <w:rsid w:val="006A7CE6"/>
    <w:rsid w:val="006B19EE"/>
    <w:rsid w:val="006B544C"/>
    <w:rsid w:val="006B77D7"/>
    <w:rsid w:val="006B7D05"/>
    <w:rsid w:val="006C1AA3"/>
    <w:rsid w:val="006C3F4F"/>
    <w:rsid w:val="006C3F76"/>
    <w:rsid w:val="006C4745"/>
    <w:rsid w:val="006C6803"/>
    <w:rsid w:val="006C7BFE"/>
    <w:rsid w:val="006D1E02"/>
    <w:rsid w:val="006D3AEB"/>
    <w:rsid w:val="006D3BF8"/>
    <w:rsid w:val="006D5230"/>
    <w:rsid w:val="006D5C06"/>
    <w:rsid w:val="006E07AD"/>
    <w:rsid w:val="006E18D0"/>
    <w:rsid w:val="006E1FA0"/>
    <w:rsid w:val="006E6EC7"/>
    <w:rsid w:val="006E7A54"/>
    <w:rsid w:val="006F0B1C"/>
    <w:rsid w:val="006F0ED6"/>
    <w:rsid w:val="006F2CDE"/>
    <w:rsid w:val="006F3F34"/>
    <w:rsid w:val="006F4603"/>
    <w:rsid w:val="006F7604"/>
    <w:rsid w:val="006F77DB"/>
    <w:rsid w:val="007010BF"/>
    <w:rsid w:val="00702C16"/>
    <w:rsid w:val="00703634"/>
    <w:rsid w:val="007149CC"/>
    <w:rsid w:val="0071664D"/>
    <w:rsid w:val="007202F0"/>
    <w:rsid w:val="00720CEB"/>
    <w:rsid w:val="007224B1"/>
    <w:rsid w:val="00723227"/>
    <w:rsid w:val="00724BFF"/>
    <w:rsid w:val="007253E7"/>
    <w:rsid w:val="00725EBC"/>
    <w:rsid w:val="00730C78"/>
    <w:rsid w:val="00732BC3"/>
    <w:rsid w:val="00733722"/>
    <w:rsid w:val="00733AA5"/>
    <w:rsid w:val="007374E0"/>
    <w:rsid w:val="007413D0"/>
    <w:rsid w:val="00743056"/>
    <w:rsid w:val="00744F8C"/>
    <w:rsid w:val="007456B8"/>
    <w:rsid w:val="00745866"/>
    <w:rsid w:val="00747FEE"/>
    <w:rsid w:val="0075359B"/>
    <w:rsid w:val="00754A32"/>
    <w:rsid w:val="00755C97"/>
    <w:rsid w:val="007653D0"/>
    <w:rsid w:val="00765B29"/>
    <w:rsid w:val="0076623E"/>
    <w:rsid w:val="007678C5"/>
    <w:rsid w:val="00771515"/>
    <w:rsid w:val="00773CAA"/>
    <w:rsid w:val="0077759F"/>
    <w:rsid w:val="00782324"/>
    <w:rsid w:val="00782A62"/>
    <w:rsid w:val="007830DC"/>
    <w:rsid w:val="00783F2C"/>
    <w:rsid w:val="00784C37"/>
    <w:rsid w:val="007861DA"/>
    <w:rsid w:val="007866E3"/>
    <w:rsid w:val="00793BE8"/>
    <w:rsid w:val="007A09CB"/>
    <w:rsid w:val="007A1E11"/>
    <w:rsid w:val="007A363A"/>
    <w:rsid w:val="007A4132"/>
    <w:rsid w:val="007A4899"/>
    <w:rsid w:val="007A5286"/>
    <w:rsid w:val="007A741C"/>
    <w:rsid w:val="007B27F7"/>
    <w:rsid w:val="007B3649"/>
    <w:rsid w:val="007B4BE0"/>
    <w:rsid w:val="007B56A6"/>
    <w:rsid w:val="007E1D78"/>
    <w:rsid w:val="007E26A7"/>
    <w:rsid w:val="007E3F69"/>
    <w:rsid w:val="007E4CCB"/>
    <w:rsid w:val="007E529A"/>
    <w:rsid w:val="007F5EBC"/>
    <w:rsid w:val="007F7259"/>
    <w:rsid w:val="00804628"/>
    <w:rsid w:val="00806EDA"/>
    <w:rsid w:val="00812204"/>
    <w:rsid w:val="008218C4"/>
    <w:rsid w:val="00822113"/>
    <w:rsid w:val="008231E0"/>
    <w:rsid w:val="00823601"/>
    <w:rsid w:val="0082389D"/>
    <w:rsid w:val="0082485E"/>
    <w:rsid w:val="0082521E"/>
    <w:rsid w:val="00836D0E"/>
    <w:rsid w:val="00842591"/>
    <w:rsid w:val="00842E3C"/>
    <w:rsid w:val="00842FFB"/>
    <w:rsid w:val="00843B18"/>
    <w:rsid w:val="00844376"/>
    <w:rsid w:val="00845927"/>
    <w:rsid w:val="00846518"/>
    <w:rsid w:val="0084792A"/>
    <w:rsid w:val="00850C2C"/>
    <w:rsid w:val="00851EEC"/>
    <w:rsid w:val="00854712"/>
    <w:rsid w:val="008560C0"/>
    <w:rsid w:val="00856B90"/>
    <w:rsid w:val="008603B8"/>
    <w:rsid w:val="00862AB5"/>
    <w:rsid w:val="00864338"/>
    <w:rsid w:val="008649FE"/>
    <w:rsid w:val="00864C8E"/>
    <w:rsid w:val="0086536F"/>
    <w:rsid w:val="00866671"/>
    <w:rsid w:val="008714C3"/>
    <w:rsid w:val="008730E6"/>
    <w:rsid w:val="008739D1"/>
    <w:rsid w:val="008801F9"/>
    <w:rsid w:val="00881A69"/>
    <w:rsid w:val="00885179"/>
    <w:rsid w:val="00890B0B"/>
    <w:rsid w:val="00890BC1"/>
    <w:rsid w:val="00891251"/>
    <w:rsid w:val="0089135A"/>
    <w:rsid w:val="008924D6"/>
    <w:rsid w:val="00895596"/>
    <w:rsid w:val="008A0045"/>
    <w:rsid w:val="008A1664"/>
    <w:rsid w:val="008A3293"/>
    <w:rsid w:val="008A5EED"/>
    <w:rsid w:val="008A6F80"/>
    <w:rsid w:val="008B1A58"/>
    <w:rsid w:val="008B28AB"/>
    <w:rsid w:val="008B5306"/>
    <w:rsid w:val="008B5AC9"/>
    <w:rsid w:val="008B5CEE"/>
    <w:rsid w:val="008C22F3"/>
    <w:rsid w:val="008C3497"/>
    <w:rsid w:val="008C35E3"/>
    <w:rsid w:val="008C3C56"/>
    <w:rsid w:val="008C4249"/>
    <w:rsid w:val="008C71B4"/>
    <w:rsid w:val="008D0223"/>
    <w:rsid w:val="008D3F7E"/>
    <w:rsid w:val="008D53C5"/>
    <w:rsid w:val="008E00E6"/>
    <w:rsid w:val="008E4DB1"/>
    <w:rsid w:val="008E50CB"/>
    <w:rsid w:val="008E762A"/>
    <w:rsid w:val="008F52B8"/>
    <w:rsid w:val="008F547C"/>
    <w:rsid w:val="008F5D31"/>
    <w:rsid w:val="008F6120"/>
    <w:rsid w:val="009005AC"/>
    <w:rsid w:val="00904794"/>
    <w:rsid w:val="009130BB"/>
    <w:rsid w:val="00914212"/>
    <w:rsid w:val="00915C87"/>
    <w:rsid w:val="00924778"/>
    <w:rsid w:val="0093200C"/>
    <w:rsid w:val="009332C4"/>
    <w:rsid w:val="00933A67"/>
    <w:rsid w:val="0093481D"/>
    <w:rsid w:val="009371A6"/>
    <w:rsid w:val="00937837"/>
    <w:rsid w:val="00937CD6"/>
    <w:rsid w:val="00941C75"/>
    <w:rsid w:val="00942552"/>
    <w:rsid w:val="00951168"/>
    <w:rsid w:val="00955F2F"/>
    <w:rsid w:val="00963C4E"/>
    <w:rsid w:val="00970B9A"/>
    <w:rsid w:val="009724AB"/>
    <w:rsid w:val="00972D9A"/>
    <w:rsid w:val="00980CB9"/>
    <w:rsid w:val="009824AD"/>
    <w:rsid w:val="009845D6"/>
    <w:rsid w:val="00984656"/>
    <w:rsid w:val="00985017"/>
    <w:rsid w:val="00995D9B"/>
    <w:rsid w:val="00995F9F"/>
    <w:rsid w:val="009970F7"/>
    <w:rsid w:val="00997926"/>
    <w:rsid w:val="009A045D"/>
    <w:rsid w:val="009A4A24"/>
    <w:rsid w:val="009B12CC"/>
    <w:rsid w:val="009B36D5"/>
    <w:rsid w:val="009B566D"/>
    <w:rsid w:val="009B7AD8"/>
    <w:rsid w:val="009C4C9E"/>
    <w:rsid w:val="009C56C8"/>
    <w:rsid w:val="009C6EBD"/>
    <w:rsid w:val="009D08FE"/>
    <w:rsid w:val="009D3355"/>
    <w:rsid w:val="009E30AA"/>
    <w:rsid w:val="009E5F66"/>
    <w:rsid w:val="009E641F"/>
    <w:rsid w:val="009E65E2"/>
    <w:rsid w:val="009E6C86"/>
    <w:rsid w:val="009E741E"/>
    <w:rsid w:val="009F021C"/>
    <w:rsid w:val="009F0625"/>
    <w:rsid w:val="009F319D"/>
    <w:rsid w:val="009F5A22"/>
    <w:rsid w:val="009F72DC"/>
    <w:rsid w:val="00A07FDD"/>
    <w:rsid w:val="00A108E3"/>
    <w:rsid w:val="00A10FAD"/>
    <w:rsid w:val="00A14767"/>
    <w:rsid w:val="00A17CFE"/>
    <w:rsid w:val="00A22B0F"/>
    <w:rsid w:val="00A2773B"/>
    <w:rsid w:val="00A33C9F"/>
    <w:rsid w:val="00A3614C"/>
    <w:rsid w:val="00A366AE"/>
    <w:rsid w:val="00A40CF7"/>
    <w:rsid w:val="00A41C04"/>
    <w:rsid w:val="00A431E0"/>
    <w:rsid w:val="00A446B4"/>
    <w:rsid w:val="00A45A73"/>
    <w:rsid w:val="00A46EBA"/>
    <w:rsid w:val="00A52A39"/>
    <w:rsid w:val="00A5739A"/>
    <w:rsid w:val="00A621D3"/>
    <w:rsid w:val="00A63847"/>
    <w:rsid w:val="00A63CC6"/>
    <w:rsid w:val="00A65A92"/>
    <w:rsid w:val="00A6743C"/>
    <w:rsid w:val="00A677E9"/>
    <w:rsid w:val="00A71F59"/>
    <w:rsid w:val="00A72C1B"/>
    <w:rsid w:val="00A738DF"/>
    <w:rsid w:val="00A77F3A"/>
    <w:rsid w:val="00A84BEC"/>
    <w:rsid w:val="00A86556"/>
    <w:rsid w:val="00A86A0D"/>
    <w:rsid w:val="00A86E9C"/>
    <w:rsid w:val="00A87072"/>
    <w:rsid w:val="00A871E8"/>
    <w:rsid w:val="00A96F4C"/>
    <w:rsid w:val="00AA2558"/>
    <w:rsid w:val="00AA4BDB"/>
    <w:rsid w:val="00AA4E78"/>
    <w:rsid w:val="00AA5861"/>
    <w:rsid w:val="00AA58E9"/>
    <w:rsid w:val="00AA60A9"/>
    <w:rsid w:val="00AA723C"/>
    <w:rsid w:val="00AB3648"/>
    <w:rsid w:val="00AB4155"/>
    <w:rsid w:val="00AC448D"/>
    <w:rsid w:val="00AD2AAF"/>
    <w:rsid w:val="00AD47F5"/>
    <w:rsid w:val="00AE44A8"/>
    <w:rsid w:val="00AE521D"/>
    <w:rsid w:val="00AE7124"/>
    <w:rsid w:val="00AE7982"/>
    <w:rsid w:val="00AF09CD"/>
    <w:rsid w:val="00AF10C2"/>
    <w:rsid w:val="00AF15D7"/>
    <w:rsid w:val="00AF4C84"/>
    <w:rsid w:val="00B00E36"/>
    <w:rsid w:val="00B04317"/>
    <w:rsid w:val="00B05A72"/>
    <w:rsid w:val="00B07014"/>
    <w:rsid w:val="00B10306"/>
    <w:rsid w:val="00B10B19"/>
    <w:rsid w:val="00B116FF"/>
    <w:rsid w:val="00B11BB0"/>
    <w:rsid w:val="00B13C5B"/>
    <w:rsid w:val="00B161DC"/>
    <w:rsid w:val="00B174AD"/>
    <w:rsid w:val="00B20938"/>
    <w:rsid w:val="00B21E0F"/>
    <w:rsid w:val="00B21FB5"/>
    <w:rsid w:val="00B23405"/>
    <w:rsid w:val="00B35C1C"/>
    <w:rsid w:val="00B36F8E"/>
    <w:rsid w:val="00B37649"/>
    <w:rsid w:val="00B45A6F"/>
    <w:rsid w:val="00B65A1A"/>
    <w:rsid w:val="00B72EA4"/>
    <w:rsid w:val="00B733B3"/>
    <w:rsid w:val="00B7486E"/>
    <w:rsid w:val="00B8234D"/>
    <w:rsid w:val="00B868C5"/>
    <w:rsid w:val="00B91933"/>
    <w:rsid w:val="00B92924"/>
    <w:rsid w:val="00B94BCD"/>
    <w:rsid w:val="00B96887"/>
    <w:rsid w:val="00BA108C"/>
    <w:rsid w:val="00BA708A"/>
    <w:rsid w:val="00BA7181"/>
    <w:rsid w:val="00BB28F0"/>
    <w:rsid w:val="00BB76BA"/>
    <w:rsid w:val="00BC23DE"/>
    <w:rsid w:val="00BC3C9C"/>
    <w:rsid w:val="00BC3D88"/>
    <w:rsid w:val="00BC4AB9"/>
    <w:rsid w:val="00BC62B5"/>
    <w:rsid w:val="00BC6661"/>
    <w:rsid w:val="00BC6AE5"/>
    <w:rsid w:val="00BD1FFA"/>
    <w:rsid w:val="00BD2F21"/>
    <w:rsid w:val="00BD3720"/>
    <w:rsid w:val="00BD4A11"/>
    <w:rsid w:val="00BD583F"/>
    <w:rsid w:val="00BD6025"/>
    <w:rsid w:val="00BD6A2B"/>
    <w:rsid w:val="00BE1380"/>
    <w:rsid w:val="00BE2D5A"/>
    <w:rsid w:val="00BE4392"/>
    <w:rsid w:val="00BE5868"/>
    <w:rsid w:val="00BF0A17"/>
    <w:rsid w:val="00BF1D78"/>
    <w:rsid w:val="00BF3892"/>
    <w:rsid w:val="00BF700F"/>
    <w:rsid w:val="00BF7165"/>
    <w:rsid w:val="00BF7B8E"/>
    <w:rsid w:val="00C04DA7"/>
    <w:rsid w:val="00C1195F"/>
    <w:rsid w:val="00C12160"/>
    <w:rsid w:val="00C13071"/>
    <w:rsid w:val="00C138F4"/>
    <w:rsid w:val="00C141D5"/>
    <w:rsid w:val="00C15CF6"/>
    <w:rsid w:val="00C16124"/>
    <w:rsid w:val="00C161FF"/>
    <w:rsid w:val="00C2294C"/>
    <w:rsid w:val="00C23FBF"/>
    <w:rsid w:val="00C36B53"/>
    <w:rsid w:val="00C44915"/>
    <w:rsid w:val="00C510A7"/>
    <w:rsid w:val="00C51B5B"/>
    <w:rsid w:val="00C52EFC"/>
    <w:rsid w:val="00C6293F"/>
    <w:rsid w:val="00C633E2"/>
    <w:rsid w:val="00C655AA"/>
    <w:rsid w:val="00C66147"/>
    <w:rsid w:val="00C70500"/>
    <w:rsid w:val="00C7320A"/>
    <w:rsid w:val="00C73FAA"/>
    <w:rsid w:val="00C75B95"/>
    <w:rsid w:val="00C814C4"/>
    <w:rsid w:val="00C819C1"/>
    <w:rsid w:val="00C81B81"/>
    <w:rsid w:val="00C839A9"/>
    <w:rsid w:val="00C8491D"/>
    <w:rsid w:val="00C84E15"/>
    <w:rsid w:val="00C956D3"/>
    <w:rsid w:val="00C9711E"/>
    <w:rsid w:val="00CA0A53"/>
    <w:rsid w:val="00CB098F"/>
    <w:rsid w:val="00CB2D10"/>
    <w:rsid w:val="00CB3706"/>
    <w:rsid w:val="00CB3D7E"/>
    <w:rsid w:val="00CC183F"/>
    <w:rsid w:val="00CC1E42"/>
    <w:rsid w:val="00CC1F9B"/>
    <w:rsid w:val="00CC48CD"/>
    <w:rsid w:val="00CC59F0"/>
    <w:rsid w:val="00CC7AE6"/>
    <w:rsid w:val="00CD1F0D"/>
    <w:rsid w:val="00CD6D98"/>
    <w:rsid w:val="00CE1C77"/>
    <w:rsid w:val="00CE5215"/>
    <w:rsid w:val="00CF3CDC"/>
    <w:rsid w:val="00CF6937"/>
    <w:rsid w:val="00D01324"/>
    <w:rsid w:val="00D02775"/>
    <w:rsid w:val="00D0493D"/>
    <w:rsid w:val="00D04D42"/>
    <w:rsid w:val="00D05B3E"/>
    <w:rsid w:val="00D073BA"/>
    <w:rsid w:val="00D12EB7"/>
    <w:rsid w:val="00D2032F"/>
    <w:rsid w:val="00D2109A"/>
    <w:rsid w:val="00D231BF"/>
    <w:rsid w:val="00D34BBC"/>
    <w:rsid w:val="00D35D5A"/>
    <w:rsid w:val="00D360A8"/>
    <w:rsid w:val="00D365C1"/>
    <w:rsid w:val="00D36C00"/>
    <w:rsid w:val="00D40C83"/>
    <w:rsid w:val="00D45F8E"/>
    <w:rsid w:val="00D52D7A"/>
    <w:rsid w:val="00D61AC7"/>
    <w:rsid w:val="00D63B2E"/>
    <w:rsid w:val="00D65130"/>
    <w:rsid w:val="00D70EBF"/>
    <w:rsid w:val="00D72BBF"/>
    <w:rsid w:val="00D738B6"/>
    <w:rsid w:val="00D7393E"/>
    <w:rsid w:val="00D74996"/>
    <w:rsid w:val="00D74F1F"/>
    <w:rsid w:val="00D80D2D"/>
    <w:rsid w:val="00D815C5"/>
    <w:rsid w:val="00D86F41"/>
    <w:rsid w:val="00D9291D"/>
    <w:rsid w:val="00DA37C5"/>
    <w:rsid w:val="00DA4BAD"/>
    <w:rsid w:val="00DB2412"/>
    <w:rsid w:val="00DB769E"/>
    <w:rsid w:val="00DC69D8"/>
    <w:rsid w:val="00DD45FB"/>
    <w:rsid w:val="00DD4840"/>
    <w:rsid w:val="00DD4DA2"/>
    <w:rsid w:val="00DD6F3D"/>
    <w:rsid w:val="00DE288F"/>
    <w:rsid w:val="00DE3A08"/>
    <w:rsid w:val="00DE66CA"/>
    <w:rsid w:val="00DE7F91"/>
    <w:rsid w:val="00DF0799"/>
    <w:rsid w:val="00DF0B13"/>
    <w:rsid w:val="00DF3F06"/>
    <w:rsid w:val="00DF5FBE"/>
    <w:rsid w:val="00DF73EE"/>
    <w:rsid w:val="00E04924"/>
    <w:rsid w:val="00E13ABF"/>
    <w:rsid w:val="00E15B25"/>
    <w:rsid w:val="00E174F5"/>
    <w:rsid w:val="00E214E1"/>
    <w:rsid w:val="00E2170D"/>
    <w:rsid w:val="00E225CD"/>
    <w:rsid w:val="00E240B6"/>
    <w:rsid w:val="00E248FE"/>
    <w:rsid w:val="00E27079"/>
    <w:rsid w:val="00E276A5"/>
    <w:rsid w:val="00E31DB3"/>
    <w:rsid w:val="00E3487D"/>
    <w:rsid w:val="00E369F8"/>
    <w:rsid w:val="00E36CAE"/>
    <w:rsid w:val="00E377AE"/>
    <w:rsid w:val="00E4365A"/>
    <w:rsid w:val="00E44C39"/>
    <w:rsid w:val="00E51BB0"/>
    <w:rsid w:val="00E544C1"/>
    <w:rsid w:val="00E564BC"/>
    <w:rsid w:val="00E61D26"/>
    <w:rsid w:val="00E6446A"/>
    <w:rsid w:val="00E679D4"/>
    <w:rsid w:val="00E71DEC"/>
    <w:rsid w:val="00E7231E"/>
    <w:rsid w:val="00E72D3D"/>
    <w:rsid w:val="00E77A70"/>
    <w:rsid w:val="00E879A8"/>
    <w:rsid w:val="00E920D9"/>
    <w:rsid w:val="00E92EBD"/>
    <w:rsid w:val="00E93E1A"/>
    <w:rsid w:val="00EA0AD8"/>
    <w:rsid w:val="00EA26A2"/>
    <w:rsid w:val="00EA2FBE"/>
    <w:rsid w:val="00EA59B7"/>
    <w:rsid w:val="00EA7D3F"/>
    <w:rsid w:val="00EB0253"/>
    <w:rsid w:val="00EB218A"/>
    <w:rsid w:val="00EB3ACD"/>
    <w:rsid w:val="00EB3D6B"/>
    <w:rsid w:val="00EC2D40"/>
    <w:rsid w:val="00EC3F2F"/>
    <w:rsid w:val="00EC5710"/>
    <w:rsid w:val="00EC6B7A"/>
    <w:rsid w:val="00ED41FC"/>
    <w:rsid w:val="00ED6290"/>
    <w:rsid w:val="00ED7638"/>
    <w:rsid w:val="00ED7668"/>
    <w:rsid w:val="00EE0CE2"/>
    <w:rsid w:val="00EE18A5"/>
    <w:rsid w:val="00EE1FD4"/>
    <w:rsid w:val="00EE5179"/>
    <w:rsid w:val="00EE5FBB"/>
    <w:rsid w:val="00EF058F"/>
    <w:rsid w:val="00EF0BD1"/>
    <w:rsid w:val="00EF0C5C"/>
    <w:rsid w:val="00EF143E"/>
    <w:rsid w:val="00EF25B6"/>
    <w:rsid w:val="00EF37FD"/>
    <w:rsid w:val="00EF3906"/>
    <w:rsid w:val="00EF578C"/>
    <w:rsid w:val="00EF6853"/>
    <w:rsid w:val="00EF6AD8"/>
    <w:rsid w:val="00F01225"/>
    <w:rsid w:val="00F02EEB"/>
    <w:rsid w:val="00F039BB"/>
    <w:rsid w:val="00F05AD1"/>
    <w:rsid w:val="00F102A4"/>
    <w:rsid w:val="00F11A43"/>
    <w:rsid w:val="00F12EBD"/>
    <w:rsid w:val="00F13BCE"/>
    <w:rsid w:val="00F20469"/>
    <w:rsid w:val="00F21594"/>
    <w:rsid w:val="00F221B4"/>
    <w:rsid w:val="00F25254"/>
    <w:rsid w:val="00F31AC6"/>
    <w:rsid w:val="00F32C31"/>
    <w:rsid w:val="00F33C07"/>
    <w:rsid w:val="00F40827"/>
    <w:rsid w:val="00F43ABE"/>
    <w:rsid w:val="00F461DE"/>
    <w:rsid w:val="00F46228"/>
    <w:rsid w:val="00F475C3"/>
    <w:rsid w:val="00F47756"/>
    <w:rsid w:val="00F531E2"/>
    <w:rsid w:val="00F53868"/>
    <w:rsid w:val="00F54466"/>
    <w:rsid w:val="00F55446"/>
    <w:rsid w:val="00F63090"/>
    <w:rsid w:val="00F64BFE"/>
    <w:rsid w:val="00F71348"/>
    <w:rsid w:val="00F736FA"/>
    <w:rsid w:val="00F762F1"/>
    <w:rsid w:val="00F767CD"/>
    <w:rsid w:val="00F77E17"/>
    <w:rsid w:val="00F81E2E"/>
    <w:rsid w:val="00F8701D"/>
    <w:rsid w:val="00F9183F"/>
    <w:rsid w:val="00F91E93"/>
    <w:rsid w:val="00F92ACD"/>
    <w:rsid w:val="00F9384E"/>
    <w:rsid w:val="00F974D9"/>
    <w:rsid w:val="00FA087A"/>
    <w:rsid w:val="00FB013E"/>
    <w:rsid w:val="00FB1E6F"/>
    <w:rsid w:val="00FB3651"/>
    <w:rsid w:val="00FB41F8"/>
    <w:rsid w:val="00FB69D1"/>
    <w:rsid w:val="00FB78BB"/>
    <w:rsid w:val="00FC2B0D"/>
    <w:rsid w:val="00FC3615"/>
    <w:rsid w:val="00FC45F4"/>
    <w:rsid w:val="00FC4828"/>
    <w:rsid w:val="00FC6104"/>
    <w:rsid w:val="00FC6E26"/>
    <w:rsid w:val="00FD0204"/>
    <w:rsid w:val="00FD11FE"/>
    <w:rsid w:val="00FD274B"/>
    <w:rsid w:val="00FE1632"/>
    <w:rsid w:val="00FE53CC"/>
    <w:rsid w:val="00FF07B7"/>
    <w:rsid w:val="00FF1D6B"/>
    <w:rsid w:val="00FF2DB5"/>
    <w:rsid w:val="00FF4A1C"/>
    <w:rsid w:val="00FF584A"/>
    <w:rsid w:val="00FF676A"/>
    <w:rsid w:val="00FF6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E1C7CD"/>
  <w15:chartTrackingRefBased/>
  <w15:docId w15:val="{E7B58B16-F189-4651-8213-867554862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style>
  <w:style w:type="paragraph" w:styleId="Heading1">
    <w:name w:val="heading 1"/>
    <w:basedOn w:val="Normal"/>
    <w:next w:val="Normal"/>
    <w:qFormat/>
    <w:rsid w:val="00026F9B"/>
    <w:pPr>
      <w:keepNext/>
      <w:outlineLvl w:val="0"/>
    </w:pPr>
    <w:rPr>
      <w:b/>
      <w:sz w:val="24"/>
    </w:rPr>
  </w:style>
  <w:style w:type="paragraph" w:styleId="Heading3">
    <w:name w:val="heading 3"/>
    <w:basedOn w:val="Normal"/>
    <w:next w:val="Normal"/>
    <w:qFormat/>
    <w:rsid w:val="001A1E8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customStyle="1" w:styleId="moz-txt-underscore">
    <w:name w:val="moz-txt-underscore"/>
    <w:basedOn w:val="DefaultParagraphFont"/>
    <w:rsid w:val="006C7BFE"/>
  </w:style>
  <w:style w:type="character" w:customStyle="1" w:styleId="moz-txt-tag">
    <w:name w:val="moz-txt-tag"/>
    <w:basedOn w:val="DefaultParagraphFont"/>
    <w:rsid w:val="006C7BFE"/>
  </w:style>
  <w:style w:type="paragraph" w:styleId="BodyText">
    <w:name w:val="Body Text"/>
    <w:basedOn w:val="Normal"/>
    <w:rsid w:val="00026F9B"/>
    <w:rPr>
      <w:sz w:val="24"/>
    </w:rPr>
  </w:style>
  <w:style w:type="paragraph" w:styleId="BodyTextIndent2">
    <w:name w:val="Body Text Indent 2"/>
    <w:basedOn w:val="Normal"/>
    <w:rsid w:val="00F55446"/>
    <w:pPr>
      <w:spacing w:after="120" w:line="480" w:lineRule="auto"/>
      <w:ind w:left="360"/>
    </w:pPr>
  </w:style>
  <w:style w:type="paragraph" w:styleId="BodyTextIndent">
    <w:name w:val="Body Text Indent"/>
    <w:basedOn w:val="Normal"/>
    <w:rsid w:val="00F55446"/>
    <w:pPr>
      <w:widowControl/>
      <w:autoSpaceDE/>
      <w:autoSpaceDN/>
      <w:adjustRightInd/>
      <w:spacing w:after="120"/>
      <w:ind w:left="360"/>
    </w:pPr>
    <w:rPr>
      <w:sz w:val="24"/>
      <w:szCs w:val="24"/>
    </w:rPr>
  </w:style>
  <w:style w:type="character" w:styleId="Hyperlink">
    <w:name w:val="Hyperlink"/>
    <w:rsid w:val="007253E7"/>
    <w:rPr>
      <w:color w:val="0000FF"/>
      <w:u w:val="single"/>
    </w:rPr>
  </w:style>
  <w:style w:type="paragraph" w:styleId="List2">
    <w:name w:val="List 2"/>
    <w:basedOn w:val="Normal"/>
    <w:rsid w:val="006F2CDE"/>
    <w:pPr>
      <w:widowControl/>
      <w:autoSpaceDE/>
      <w:autoSpaceDN/>
      <w:adjustRightInd/>
      <w:ind w:left="720" w:hanging="360"/>
    </w:pPr>
    <w:rPr>
      <w:sz w:val="22"/>
      <w:szCs w:val="24"/>
    </w:rPr>
  </w:style>
  <w:style w:type="paragraph" w:styleId="BalloonText">
    <w:name w:val="Balloon Text"/>
    <w:basedOn w:val="Normal"/>
    <w:semiHidden/>
    <w:rsid w:val="00B10B19"/>
    <w:rPr>
      <w:rFonts w:ascii="Tahoma" w:hAnsi="Tahoma" w:cs="Tahoma"/>
      <w:sz w:val="16"/>
      <w:szCs w:val="16"/>
    </w:rPr>
  </w:style>
  <w:style w:type="character" w:styleId="CommentReference">
    <w:name w:val="annotation reference"/>
    <w:semiHidden/>
    <w:rsid w:val="00E2170D"/>
    <w:rPr>
      <w:sz w:val="16"/>
      <w:szCs w:val="16"/>
    </w:rPr>
  </w:style>
  <w:style w:type="paragraph" w:styleId="CommentText">
    <w:name w:val="annotation text"/>
    <w:basedOn w:val="Normal"/>
    <w:semiHidden/>
    <w:rsid w:val="00E2170D"/>
  </w:style>
  <w:style w:type="paragraph" w:styleId="CommentSubject">
    <w:name w:val="annotation subject"/>
    <w:basedOn w:val="CommentText"/>
    <w:next w:val="CommentText"/>
    <w:semiHidden/>
    <w:rsid w:val="00E2170D"/>
    <w:rPr>
      <w:b/>
      <w:bCs/>
    </w:rPr>
  </w:style>
  <w:style w:type="character" w:styleId="FollowedHyperlink">
    <w:name w:val="FollowedHyperlink"/>
    <w:uiPriority w:val="99"/>
    <w:semiHidden/>
    <w:unhideWhenUsed/>
    <w:rsid w:val="00B20938"/>
    <w:rPr>
      <w:color w:val="954F72"/>
      <w:u w:val="single"/>
    </w:rPr>
  </w:style>
  <w:style w:type="paragraph" w:customStyle="1" w:styleId="TableParagraph">
    <w:name w:val="Table Paragraph"/>
    <w:basedOn w:val="Normal"/>
    <w:uiPriority w:val="1"/>
    <w:qFormat/>
    <w:rsid w:val="00355C54"/>
    <w:pPr>
      <w:adjustRightInd/>
    </w:pPr>
    <w:rPr>
      <w:rFonts w:ascii="Arial" w:eastAsia="Arial" w:hAnsi="Arial" w:cs="Arial"/>
      <w:sz w:val="22"/>
      <w:szCs w:val="22"/>
      <w:lang w:bidi="en-US"/>
    </w:rPr>
  </w:style>
  <w:style w:type="paragraph" w:styleId="ListParagraph">
    <w:name w:val="List Paragraph"/>
    <w:basedOn w:val="Normal"/>
    <w:uiPriority w:val="1"/>
    <w:qFormat/>
    <w:rsid w:val="00684E0F"/>
    <w:pPr>
      <w:adjustRightInd/>
      <w:spacing w:before="161"/>
      <w:ind w:left="1120" w:hanging="360"/>
    </w:pPr>
    <w:rPr>
      <w:rFonts w:eastAsiaTheme="minorHAnsi" w:cstheme="minorBid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5436746">
      <w:bodyDiv w:val="1"/>
      <w:marLeft w:val="0"/>
      <w:marRight w:val="0"/>
      <w:marTop w:val="0"/>
      <w:marBottom w:val="0"/>
      <w:divBdr>
        <w:top w:val="none" w:sz="0" w:space="0" w:color="auto"/>
        <w:left w:val="none" w:sz="0" w:space="0" w:color="auto"/>
        <w:bottom w:val="none" w:sz="0" w:space="0" w:color="auto"/>
        <w:right w:val="none" w:sz="0" w:space="0" w:color="auto"/>
      </w:divBdr>
    </w:div>
    <w:div w:id="751851503">
      <w:bodyDiv w:val="1"/>
      <w:marLeft w:val="0"/>
      <w:marRight w:val="0"/>
      <w:marTop w:val="0"/>
      <w:marBottom w:val="0"/>
      <w:divBdr>
        <w:top w:val="none" w:sz="0" w:space="0" w:color="auto"/>
        <w:left w:val="none" w:sz="0" w:space="0" w:color="auto"/>
        <w:bottom w:val="none" w:sz="0" w:space="0" w:color="auto"/>
        <w:right w:val="none" w:sz="0" w:space="0" w:color="auto"/>
      </w:divBdr>
    </w:div>
    <w:div w:id="832993237">
      <w:bodyDiv w:val="1"/>
      <w:marLeft w:val="0"/>
      <w:marRight w:val="0"/>
      <w:marTop w:val="0"/>
      <w:marBottom w:val="0"/>
      <w:divBdr>
        <w:top w:val="none" w:sz="0" w:space="0" w:color="auto"/>
        <w:left w:val="none" w:sz="0" w:space="0" w:color="auto"/>
        <w:bottom w:val="none" w:sz="0" w:space="0" w:color="auto"/>
        <w:right w:val="none" w:sz="0" w:space="0" w:color="auto"/>
      </w:divBdr>
    </w:div>
    <w:div w:id="875850269">
      <w:bodyDiv w:val="1"/>
      <w:marLeft w:val="0"/>
      <w:marRight w:val="0"/>
      <w:marTop w:val="0"/>
      <w:marBottom w:val="0"/>
      <w:divBdr>
        <w:top w:val="none" w:sz="0" w:space="0" w:color="auto"/>
        <w:left w:val="none" w:sz="0" w:space="0" w:color="auto"/>
        <w:bottom w:val="none" w:sz="0" w:space="0" w:color="auto"/>
        <w:right w:val="none" w:sz="0" w:space="0" w:color="auto"/>
      </w:divBdr>
    </w:div>
    <w:div w:id="984550750">
      <w:bodyDiv w:val="1"/>
      <w:marLeft w:val="0"/>
      <w:marRight w:val="0"/>
      <w:marTop w:val="0"/>
      <w:marBottom w:val="0"/>
      <w:divBdr>
        <w:top w:val="none" w:sz="0" w:space="0" w:color="auto"/>
        <w:left w:val="none" w:sz="0" w:space="0" w:color="auto"/>
        <w:bottom w:val="none" w:sz="0" w:space="0" w:color="auto"/>
        <w:right w:val="none" w:sz="0" w:space="0" w:color="auto"/>
      </w:divBdr>
    </w:div>
    <w:div w:id="1889146558">
      <w:bodyDiv w:val="1"/>
      <w:marLeft w:val="0"/>
      <w:marRight w:val="0"/>
      <w:marTop w:val="0"/>
      <w:marBottom w:val="0"/>
      <w:divBdr>
        <w:top w:val="none" w:sz="0" w:space="0" w:color="auto"/>
        <w:left w:val="none" w:sz="0" w:space="0" w:color="auto"/>
        <w:bottom w:val="none" w:sz="0" w:space="0" w:color="auto"/>
        <w:right w:val="none" w:sz="0" w:space="0" w:color="auto"/>
      </w:divBdr>
    </w:div>
    <w:div w:id="206406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mfs.noaa.gov/msa2005/docs/MSA_amended_msa%20_20070112_FINAL.pdf" TargetMode="External"/><Relationship Id="rId13" Type="http://schemas.openxmlformats.org/officeDocument/2006/relationships/hyperlink" Target="https://www.bls.gov/bls/blswage.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rporateservices.noaa.gov/ames/administrative_orders/chapter_216/216-100.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fws.gov/informationquality/section515.html" TargetMode="External"/><Relationship Id="rId4" Type="http://schemas.openxmlformats.org/officeDocument/2006/relationships/settings" Target="settings.xml"/><Relationship Id="rId9" Type="http://schemas.openxmlformats.org/officeDocument/2006/relationships/hyperlink" Target="http://www.pay.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E04F7F-ABC1-4122-A674-228C4E0F3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10</Pages>
  <Words>3736</Words>
  <Characters>21296</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24983</CharactersWithSpaces>
  <SharedDoc>false</SharedDoc>
  <HLinks>
    <vt:vector size="30" baseType="variant">
      <vt:variant>
        <vt:i4>3080236</vt:i4>
      </vt:variant>
      <vt:variant>
        <vt:i4>20</vt:i4>
      </vt:variant>
      <vt:variant>
        <vt:i4>0</vt:i4>
      </vt:variant>
      <vt:variant>
        <vt:i4>5</vt:i4>
      </vt:variant>
      <vt:variant>
        <vt:lpwstr>https://www.bls.gov/bls/blswage.htm</vt:lpwstr>
      </vt:variant>
      <vt:variant>
        <vt:lpwstr/>
      </vt:variant>
      <vt:variant>
        <vt:i4>7798847</vt:i4>
      </vt:variant>
      <vt:variant>
        <vt:i4>17</vt:i4>
      </vt:variant>
      <vt:variant>
        <vt:i4>0</vt:i4>
      </vt:variant>
      <vt:variant>
        <vt:i4>5</vt:i4>
      </vt:variant>
      <vt:variant>
        <vt:lpwstr>http://www.corporateservices.noaa.gov/ames/administrative_orders/chapter_216/216-100.html</vt:lpwstr>
      </vt:variant>
      <vt:variant>
        <vt:lpwstr/>
      </vt:variant>
      <vt:variant>
        <vt:i4>852034</vt:i4>
      </vt:variant>
      <vt:variant>
        <vt:i4>10</vt:i4>
      </vt:variant>
      <vt:variant>
        <vt:i4>0</vt:i4>
      </vt:variant>
      <vt:variant>
        <vt:i4>5</vt:i4>
      </vt:variant>
      <vt:variant>
        <vt:lpwstr>http://www.fws.gov/informationquality/section515.html</vt:lpwstr>
      </vt:variant>
      <vt:variant>
        <vt:lpwstr/>
      </vt:variant>
      <vt:variant>
        <vt:i4>3342448</vt:i4>
      </vt:variant>
      <vt:variant>
        <vt:i4>5</vt:i4>
      </vt:variant>
      <vt:variant>
        <vt:i4>0</vt:i4>
      </vt:variant>
      <vt:variant>
        <vt:i4>5</vt:i4>
      </vt:variant>
      <vt:variant>
        <vt:lpwstr>http://www.pay.gov/</vt:lpwstr>
      </vt:variant>
      <vt:variant>
        <vt:lpwstr/>
      </vt:variant>
      <vt:variant>
        <vt:i4>7012390</vt:i4>
      </vt:variant>
      <vt:variant>
        <vt:i4>2</vt:i4>
      </vt:variant>
      <vt:variant>
        <vt:i4>0</vt:i4>
      </vt:variant>
      <vt:variant>
        <vt:i4>5</vt:i4>
      </vt:variant>
      <vt:variant>
        <vt:lpwstr>http://www.nmfs.noaa.gov/msa2005/docs/MSA_amended_msa _20070112_FINAL.pdf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Richard Roberts</dc:creator>
  <cp:keywords/>
  <cp:lastModifiedBy>Janet.Peery</cp:lastModifiedBy>
  <cp:revision>4</cp:revision>
  <cp:lastPrinted>2015-01-28T19:07:00Z</cp:lastPrinted>
  <dcterms:created xsi:type="dcterms:W3CDTF">2020-06-16T14:04:00Z</dcterms:created>
  <dcterms:modified xsi:type="dcterms:W3CDTF">2020-06-16T16:13:00Z</dcterms:modified>
</cp:coreProperties>
</file>