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2450A" w:rsidR="00C307CB" w:rsidP="00D3003A" w:rsidRDefault="00C307CB">
      <w:pPr>
        <w:jc w:val="center"/>
      </w:pPr>
      <w:bookmarkStart w:name="_GoBack" w:id="0"/>
      <w:bookmarkEnd w:id="0"/>
      <w:r w:rsidRPr="00F2450A">
        <w:t>Justification</w:t>
      </w:r>
    </w:p>
    <w:p w:rsidRPr="00F2450A" w:rsidR="00C307CB" w:rsidP="00D3003A" w:rsidRDefault="008B40E8">
      <w:pPr>
        <w:jc w:val="center"/>
      </w:pPr>
      <w:r w:rsidRPr="00F2450A">
        <w:rPr>
          <w:b/>
        </w:rPr>
        <w:t>Designation of Contact Officials</w:t>
      </w:r>
    </w:p>
    <w:p w:rsidRPr="00F2450A" w:rsidR="00C307CB" w:rsidP="00D3003A" w:rsidRDefault="00C307CB">
      <w:pPr>
        <w:jc w:val="center"/>
      </w:pPr>
      <w:r w:rsidRPr="00F2450A">
        <w:t xml:space="preserve">RRB Form </w:t>
      </w:r>
      <w:r w:rsidRPr="00F2450A" w:rsidR="008B40E8">
        <w:t>G-117a</w:t>
      </w:r>
    </w:p>
    <w:p w:rsidRPr="00F2450A" w:rsidR="00C307CB" w:rsidRDefault="00C307CB">
      <w:pPr>
        <w:jc w:val="both"/>
      </w:pPr>
    </w:p>
    <w:p w:rsidRPr="00F2450A" w:rsidR="008B40E8" w:rsidP="00CA1ECF" w:rsidRDefault="00C307CB">
      <w:pPr>
        <w:numPr>
          <w:ilvl w:val="0"/>
          <w:numId w:val="10"/>
        </w:numPr>
        <w:tabs>
          <w:tab w:val="left" w:pos="540"/>
          <w:tab w:val="left" w:pos="756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  <w:u w:val="single"/>
        </w:rPr>
        <w:t>Circumstances of information collection</w:t>
      </w:r>
      <w:r w:rsidRPr="00F2450A">
        <w:rPr>
          <w:rFonts w:cs="Arial"/>
          <w:szCs w:val="24"/>
        </w:rPr>
        <w:t xml:space="preserve"> </w:t>
      </w:r>
      <w:r w:rsidRPr="00F2450A" w:rsidR="00D3003A">
        <w:rPr>
          <w:rFonts w:cs="Arial"/>
          <w:szCs w:val="24"/>
        </w:rPr>
        <w:t>-</w:t>
      </w:r>
      <w:r w:rsidRPr="00F2450A">
        <w:rPr>
          <w:rFonts w:cs="Arial"/>
          <w:szCs w:val="24"/>
        </w:rPr>
        <w:t xml:space="preserve"> </w:t>
      </w:r>
      <w:r w:rsidRPr="00F2450A" w:rsidR="008B40E8">
        <w:rPr>
          <w:rFonts w:cs="Arial"/>
          <w:szCs w:val="24"/>
        </w:rPr>
        <w:t xml:space="preserve">Section 7(b)(6) of the Railroad Retirement Act </w:t>
      </w:r>
      <w:r w:rsidRPr="00F2450A" w:rsidR="00BB527E">
        <w:rPr>
          <w:rFonts w:cs="Arial"/>
          <w:szCs w:val="24"/>
        </w:rPr>
        <w:t>(RRA)</w:t>
      </w:r>
      <w:r w:rsidR="00862E54">
        <w:rPr>
          <w:rFonts w:cs="Arial"/>
          <w:szCs w:val="24"/>
        </w:rPr>
        <w:t xml:space="preserve"> </w:t>
      </w:r>
      <w:r w:rsidR="00014013">
        <w:rPr>
          <w:rFonts w:cs="Arial"/>
          <w:szCs w:val="24"/>
        </w:rPr>
        <w:t>(45 U.S.C.231)</w:t>
      </w:r>
      <w:r w:rsidRPr="00F2450A" w:rsidR="00BB527E">
        <w:rPr>
          <w:rFonts w:cs="Arial"/>
          <w:szCs w:val="24"/>
        </w:rPr>
        <w:t xml:space="preserve"> </w:t>
      </w:r>
      <w:r w:rsidRPr="00F2450A" w:rsidR="008B40E8">
        <w:rPr>
          <w:rFonts w:cs="Arial"/>
          <w:szCs w:val="24"/>
        </w:rPr>
        <w:t xml:space="preserve">gives the </w:t>
      </w:r>
      <w:r w:rsidRPr="00F2450A" w:rsidR="00BB527E">
        <w:rPr>
          <w:rFonts w:cs="Arial"/>
          <w:szCs w:val="24"/>
        </w:rPr>
        <w:t>Railroad Retirement Board (</w:t>
      </w:r>
      <w:r w:rsidRPr="00F2450A" w:rsidR="008B40E8">
        <w:rPr>
          <w:rFonts w:cs="Arial"/>
          <w:szCs w:val="24"/>
        </w:rPr>
        <w:t>RRB</w:t>
      </w:r>
      <w:r w:rsidRPr="00F2450A" w:rsidR="00BB527E">
        <w:rPr>
          <w:rFonts w:cs="Arial"/>
          <w:szCs w:val="24"/>
        </w:rPr>
        <w:t>)</w:t>
      </w:r>
      <w:r w:rsidRPr="00F2450A" w:rsidR="008B40E8">
        <w:rPr>
          <w:rFonts w:cs="Arial"/>
          <w:szCs w:val="24"/>
        </w:rPr>
        <w:t xml:space="preserve"> the authority to require railroad employers to furnish information and records </w:t>
      </w:r>
      <w:r w:rsidRPr="00F2450A" w:rsidR="00BB527E">
        <w:rPr>
          <w:rFonts w:cs="Arial"/>
          <w:szCs w:val="24"/>
        </w:rPr>
        <w:t xml:space="preserve">that are </w:t>
      </w:r>
      <w:r w:rsidRPr="00F2450A" w:rsidR="008B40E8">
        <w:rPr>
          <w:rFonts w:cs="Arial"/>
          <w:szCs w:val="24"/>
        </w:rPr>
        <w:t xml:space="preserve">necessary for the administration of the Act. </w:t>
      </w:r>
      <w:r w:rsidRPr="00F2450A" w:rsidR="00CA1ECF">
        <w:rPr>
          <w:rFonts w:cs="Arial"/>
          <w:szCs w:val="24"/>
        </w:rPr>
        <w:t xml:space="preserve"> </w:t>
      </w:r>
      <w:r w:rsidRPr="00F2450A" w:rsidR="008B40E8">
        <w:rPr>
          <w:rFonts w:cs="Arial"/>
          <w:szCs w:val="24"/>
        </w:rPr>
        <w:t>Further, Section 9 of the RRA and Section 6 of the R</w:t>
      </w:r>
      <w:r w:rsidRPr="00F2450A" w:rsidR="00BB527E">
        <w:rPr>
          <w:rFonts w:cs="Arial"/>
          <w:szCs w:val="24"/>
        </w:rPr>
        <w:t>ailroad Unemployment Insurance Act (R</w:t>
      </w:r>
      <w:r w:rsidRPr="00F2450A" w:rsidR="008B40E8">
        <w:rPr>
          <w:rFonts w:cs="Arial"/>
          <w:szCs w:val="24"/>
        </w:rPr>
        <w:t>UIA</w:t>
      </w:r>
      <w:r w:rsidRPr="00F2450A" w:rsidR="00BB527E">
        <w:rPr>
          <w:rFonts w:cs="Arial"/>
          <w:szCs w:val="24"/>
        </w:rPr>
        <w:t>)</w:t>
      </w:r>
      <w:r w:rsidRPr="00F2450A" w:rsidR="008B40E8">
        <w:rPr>
          <w:rFonts w:cs="Arial"/>
          <w:szCs w:val="24"/>
        </w:rPr>
        <w:t xml:space="preserve"> requires railroad employers to file reports of compensation of employees. </w:t>
      </w:r>
      <w:r w:rsidRPr="00F2450A" w:rsidR="00CA1ECF">
        <w:rPr>
          <w:rFonts w:cs="Arial"/>
          <w:szCs w:val="24"/>
        </w:rPr>
        <w:t xml:space="preserve"> </w:t>
      </w:r>
      <w:r w:rsidRPr="00F2450A" w:rsidR="008B40E8">
        <w:rPr>
          <w:rFonts w:cs="Arial"/>
          <w:szCs w:val="24"/>
        </w:rPr>
        <w:t xml:space="preserve">This information serves as the basis for calculating retirement, disability, and survivor awards as well as the payment of unemployment and sickness benefits. </w:t>
      </w:r>
    </w:p>
    <w:p w:rsidRPr="00F2450A" w:rsidR="008B40E8" w:rsidRDefault="008B40E8">
      <w:pPr>
        <w:jc w:val="both"/>
        <w:rPr>
          <w:rFonts w:cs="Arial"/>
          <w:szCs w:val="24"/>
        </w:rPr>
      </w:pPr>
    </w:p>
    <w:p w:rsidRPr="00F2450A" w:rsidR="008B40E8" w:rsidP="00CA1ECF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2.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Purposes of collecting/consequences of not collecting the information</w:t>
      </w:r>
      <w:r w:rsidRPr="00F2450A">
        <w:rPr>
          <w:rFonts w:cs="Arial"/>
          <w:szCs w:val="24"/>
        </w:rPr>
        <w:t xml:space="preserve"> - </w:t>
      </w:r>
      <w:r w:rsidRPr="00F2450A" w:rsidR="008B40E8">
        <w:rPr>
          <w:rFonts w:cs="Arial"/>
          <w:szCs w:val="24"/>
        </w:rPr>
        <w:t xml:space="preserve">Coordination between railroad employers and the RRB is essential for the RRB </w:t>
      </w:r>
      <w:proofErr w:type="gramStart"/>
      <w:r w:rsidRPr="00F2450A" w:rsidR="008B40E8">
        <w:rPr>
          <w:rFonts w:cs="Arial"/>
          <w:szCs w:val="24"/>
        </w:rPr>
        <w:t>to properly administer</w:t>
      </w:r>
      <w:proofErr w:type="gramEnd"/>
      <w:r w:rsidRPr="00F2450A" w:rsidR="008B40E8">
        <w:rPr>
          <w:rFonts w:cs="Arial"/>
          <w:szCs w:val="24"/>
        </w:rPr>
        <w:t xml:space="preserve"> the payment of benefits under the RRA and the RUIA. </w:t>
      </w:r>
      <w:r w:rsidRPr="00F2450A" w:rsidR="00CA1ECF">
        <w:rPr>
          <w:rFonts w:cs="Arial"/>
          <w:szCs w:val="24"/>
        </w:rPr>
        <w:t xml:space="preserve"> </w:t>
      </w:r>
      <w:r w:rsidRPr="00F2450A" w:rsidR="008B40E8">
        <w:rPr>
          <w:rFonts w:cs="Arial"/>
          <w:szCs w:val="24"/>
        </w:rPr>
        <w:t xml:space="preserve">In order to enhance timely coordination activity, the RRB </w:t>
      </w:r>
      <w:r w:rsidRPr="00F2450A" w:rsidR="00DB16A2">
        <w:rPr>
          <w:rFonts w:cs="Arial"/>
          <w:szCs w:val="24"/>
        </w:rPr>
        <w:t xml:space="preserve">utilizes </w:t>
      </w:r>
      <w:r w:rsidRPr="00F2450A" w:rsidR="008B40E8">
        <w:rPr>
          <w:rFonts w:cs="Arial"/>
          <w:szCs w:val="24"/>
        </w:rPr>
        <w:t xml:space="preserve">Form G-117a, Designation of Contact Officials.  </w:t>
      </w:r>
    </w:p>
    <w:p w:rsidRPr="00F2450A" w:rsidR="008B40E8" w:rsidP="00CA1ECF" w:rsidRDefault="008B40E8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8B40E8" w:rsidP="00CA1ECF" w:rsidRDefault="008B40E8">
      <w:pPr>
        <w:tabs>
          <w:tab w:val="left" w:pos="540"/>
        </w:tabs>
        <w:ind w:left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 xml:space="preserve">Form G-117a </w:t>
      </w:r>
      <w:proofErr w:type="gramStart"/>
      <w:r w:rsidRPr="00F2450A" w:rsidR="00DB16A2">
        <w:rPr>
          <w:rFonts w:cs="Arial"/>
          <w:szCs w:val="24"/>
        </w:rPr>
        <w:t xml:space="preserve">is </w:t>
      </w:r>
      <w:r w:rsidRPr="00F2450A">
        <w:rPr>
          <w:rFonts w:cs="Arial"/>
          <w:szCs w:val="24"/>
        </w:rPr>
        <w:t>used</w:t>
      </w:r>
      <w:proofErr w:type="gramEnd"/>
      <w:r w:rsidRPr="00F2450A">
        <w:rPr>
          <w:rFonts w:cs="Arial"/>
          <w:szCs w:val="24"/>
        </w:rPr>
        <w:t xml:space="preserve"> by railroad employers to notify the RRB of the official designated to coordinate various functions under the RRA and the RUIA with agency staff.  </w:t>
      </w:r>
      <w:r w:rsidRPr="00F2450A" w:rsidR="00AC4454">
        <w:rPr>
          <w:rFonts w:cs="Arial"/>
          <w:szCs w:val="24"/>
        </w:rPr>
        <w:t>T</w:t>
      </w:r>
      <w:r w:rsidRPr="00F2450A">
        <w:rPr>
          <w:rFonts w:cs="Arial"/>
          <w:szCs w:val="24"/>
        </w:rPr>
        <w:t>he form provide</w:t>
      </w:r>
      <w:r w:rsidRPr="00F2450A" w:rsidR="00AC4454">
        <w:rPr>
          <w:rFonts w:cs="Arial"/>
          <w:szCs w:val="24"/>
        </w:rPr>
        <w:t>s</w:t>
      </w:r>
      <w:r w:rsidRPr="00F2450A">
        <w:rPr>
          <w:rFonts w:cs="Arial"/>
          <w:szCs w:val="24"/>
        </w:rPr>
        <w:t xml:space="preserve"> the RRB with the name, title, address, phone number, facsimile number, and E-mail address of the contact.</w:t>
      </w:r>
      <w:r w:rsidRPr="00F2450A" w:rsidR="00CA4714">
        <w:rPr>
          <w:rFonts w:cs="Arial"/>
          <w:szCs w:val="24"/>
        </w:rPr>
        <w:t xml:space="preserve">  Completion is voluntary. </w:t>
      </w:r>
    </w:p>
    <w:p w:rsidRPr="00F2450A" w:rsidR="00574940" w:rsidP="00CA1ECF" w:rsidRDefault="00574940">
      <w:pPr>
        <w:tabs>
          <w:tab w:val="left" w:pos="540"/>
        </w:tabs>
        <w:ind w:left="540"/>
        <w:jc w:val="both"/>
        <w:rPr>
          <w:rFonts w:cs="Arial"/>
          <w:szCs w:val="24"/>
        </w:rPr>
      </w:pPr>
    </w:p>
    <w:p w:rsidRPr="00F2450A" w:rsidR="00574940" w:rsidP="00CA1ECF" w:rsidRDefault="00574940">
      <w:pPr>
        <w:tabs>
          <w:tab w:val="left" w:pos="540"/>
        </w:tabs>
        <w:ind w:left="540"/>
        <w:jc w:val="both"/>
        <w:rPr>
          <w:rFonts w:cs="Arial"/>
          <w:b/>
          <w:szCs w:val="24"/>
        </w:rPr>
      </w:pPr>
      <w:r w:rsidRPr="00F2450A">
        <w:rPr>
          <w:rFonts w:cs="Arial"/>
          <w:b/>
          <w:szCs w:val="24"/>
        </w:rPr>
        <w:t xml:space="preserve">The RRB proposes no changes to Form G-117a. </w:t>
      </w:r>
    </w:p>
    <w:p w:rsidRPr="00F2450A" w:rsidR="00C307CB" w:rsidP="00CA1ECF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3.</w:t>
      </w:r>
      <w:r w:rsidRPr="00F2450A" w:rsidR="00936B84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Planned use of improved information technology or technical/legal impediments to further burden reduction</w:t>
      </w:r>
      <w:r w:rsidRPr="00F2450A" w:rsidR="00D3003A">
        <w:rPr>
          <w:rFonts w:cs="Arial"/>
          <w:szCs w:val="24"/>
        </w:rPr>
        <w:t xml:space="preserve"> -</w:t>
      </w:r>
      <w:r w:rsidRPr="00F2450A" w:rsidR="00B60A60">
        <w:rPr>
          <w:rFonts w:cs="Arial"/>
          <w:szCs w:val="24"/>
        </w:rPr>
        <w:t xml:space="preserve"> </w:t>
      </w:r>
      <w:r w:rsidR="006B66CA">
        <w:rPr>
          <w:rFonts w:cs="Arial"/>
          <w:szCs w:val="24"/>
        </w:rPr>
        <w:t>The</w:t>
      </w:r>
      <w:r w:rsidRPr="00F2450A" w:rsidR="003B065A">
        <w:rPr>
          <w:rFonts w:cs="Arial"/>
          <w:szCs w:val="24"/>
        </w:rPr>
        <w:t xml:space="preserve"> </w:t>
      </w:r>
      <w:r w:rsidRPr="00F2450A" w:rsidR="00F26F98">
        <w:rPr>
          <w:rFonts w:cs="Arial"/>
          <w:szCs w:val="24"/>
        </w:rPr>
        <w:t>Form G-117a</w:t>
      </w:r>
      <w:r w:rsidRPr="00F2450A" w:rsidR="002427BD">
        <w:rPr>
          <w:rFonts w:cs="Arial"/>
          <w:szCs w:val="24"/>
        </w:rPr>
        <w:t xml:space="preserve"> is available for downloading from the RRB’s website at </w:t>
      </w:r>
      <w:r w:rsidRPr="00F2450A" w:rsidR="0010042C">
        <w:rPr>
          <w:rFonts w:cs="Arial"/>
          <w:szCs w:val="24"/>
        </w:rPr>
        <w:fldChar w:fldCharType="begin"/>
      </w:r>
      <w:r w:rsidRPr="00F2450A" w:rsidR="0010042C">
        <w:rPr>
          <w:rFonts w:cs="Arial"/>
          <w:szCs w:val="24"/>
        </w:rPr>
        <w:instrText xml:space="preserve"> HYPERLINK "http://www.rrb.gov/pdf/AandT/g117a.pdf" </w:instrText>
      </w:r>
      <w:r w:rsidRPr="00F2450A" w:rsidR="0010042C">
        <w:rPr>
          <w:rFonts w:cs="Arial"/>
          <w:szCs w:val="24"/>
        </w:rPr>
      </w:r>
      <w:r w:rsidRPr="00F2450A" w:rsidR="0010042C">
        <w:rPr>
          <w:rFonts w:cs="Arial"/>
          <w:szCs w:val="24"/>
        </w:rPr>
        <w:fldChar w:fldCharType="separate"/>
      </w:r>
      <w:r w:rsidRPr="00F2450A" w:rsidR="002427BD">
        <w:rPr>
          <w:rStyle w:val="Hyperlink"/>
          <w:rFonts w:cs="Arial"/>
          <w:szCs w:val="24"/>
        </w:rPr>
        <w:t>http://ww</w:t>
      </w:r>
      <w:r w:rsidRPr="00F2450A" w:rsidR="002427BD">
        <w:rPr>
          <w:rStyle w:val="Hyperlink"/>
          <w:rFonts w:cs="Arial"/>
          <w:szCs w:val="24"/>
        </w:rPr>
        <w:t>w</w:t>
      </w:r>
      <w:r w:rsidRPr="00F2450A" w:rsidR="002427BD">
        <w:rPr>
          <w:rStyle w:val="Hyperlink"/>
          <w:rFonts w:cs="Arial"/>
          <w:szCs w:val="24"/>
        </w:rPr>
        <w:t>.rrb.g</w:t>
      </w:r>
      <w:r w:rsidRPr="00F2450A" w:rsidR="002427BD">
        <w:rPr>
          <w:rStyle w:val="Hyperlink"/>
          <w:rFonts w:cs="Arial"/>
          <w:szCs w:val="24"/>
        </w:rPr>
        <w:t>o</w:t>
      </w:r>
      <w:r w:rsidRPr="00F2450A" w:rsidR="002427BD">
        <w:rPr>
          <w:rStyle w:val="Hyperlink"/>
          <w:rFonts w:cs="Arial"/>
          <w:szCs w:val="24"/>
        </w:rPr>
        <w:t>v</w:t>
      </w:r>
      <w:r w:rsidRPr="00F2450A" w:rsidR="002427BD">
        <w:rPr>
          <w:rStyle w:val="Hyperlink"/>
          <w:rFonts w:cs="Arial"/>
          <w:szCs w:val="24"/>
        </w:rPr>
        <w:t>/</w:t>
      </w:r>
      <w:r w:rsidRPr="00F2450A" w:rsidR="002427BD">
        <w:rPr>
          <w:rStyle w:val="Hyperlink"/>
          <w:rFonts w:cs="Arial"/>
          <w:szCs w:val="24"/>
        </w:rPr>
        <w:t>pd</w:t>
      </w:r>
      <w:r w:rsidRPr="00F2450A" w:rsidR="002427BD">
        <w:rPr>
          <w:rStyle w:val="Hyperlink"/>
          <w:rFonts w:cs="Arial"/>
          <w:szCs w:val="24"/>
        </w:rPr>
        <w:t>f</w:t>
      </w:r>
      <w:r w:rsidRPr="00F2450A" w:rsidR="002427BD">
        <w:rPr>
          <w:rStyle w:val="Hyperlink"/>
          <w:rFonts w:cs="Arial"/>
          <w:szCs w:val="24"/>
        </w:rPr>
        <w:t>/A</w:t>
      </w:r>
      <w:r w:rsidRPr="00F2450A" w:rsidR="002427BD">
        <w:rPr>
          <w:rStyle w:val="Hyperlink"/>
          <w:rFonts w:cs="Arial"/>
          <w:szCs w:val="24"/>
        </w:rPr>
        <w:t>a</w:t>
      </w:r>
      <w:r w:rsidRPr="00F2450A" w:rsidR="002427BD">
        <w:rPr>
          <w:rStyle w:val="Hyperlink"/>
          <w:rFonts w:cs="Arial"/>
          <w:szCs w:val="24"/>
        </w:rPr>
        <w:t>n</w:t>
      </w:r>
      <w:r w:rsidRPr="00F2450A" w:rsidR="002427BD">
        <w:rPr>
          <w:rStyle w:val="Hyperlink"/>
          <w:rFonts w:cs="Arial"/>
          <w:szCs w:val="24"/>
        </w:rPr>
        <w:t>d</w:t>
      </w:r>
      <w:r w:rsidRPr="00F2450A" w:rsidR="002427BD">
        <w:rPr>
          <w:rStyle w:val="Hyperlink"/>
          <w:rFonts w:cs="Arial"/>
          <w:szCs w:val="24"/>
        </w:rPr>
        <w:t>T</w:t>
      </w:r>
      <w:r w:rsidRPr="00F2450A" w:rsidR="002427BD">
        <w:rPr>
          <w:rStyle w:val="Hyperlink"/>
          <w:rFonts w:cs="Arial"/>
          <w:szCs w:val="24"/>
        </w:rPr>
        <w:t>/g117a.pdf</w:t>
      </w:r>
      <w:r w:rsidRPr="00F2450A" w:rsidR="0010042C">
        <w:rPr>
          <w:rFonts w:cs="Arial"/>
          <w:szCs w:val="24"/>
        </w:rPr>
        <w:fldChar w:fldCharType="end"/>
      </w:r>
      <w:r w:rsidRPr="00F2450A" w:rsidR="002427BD">
        <w:rPr>
          <w:rFonts w:cs="Arial"/>
          <w:szCs w:val="24"/>
        </w:rPr>
        <w:t xml:space="preserve">.  </w:t>
      </w:r>
    </w:p>
    <w:p w:rsidRPr="00F2450A" w:rsidR="008B40E8" w:rsidP="00D3003A" w:rsidRDefault="008B40E8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4.</w:t>
      </w:r>
      <w:r w:rsidRPr="00F2450A" w:rsidR="00DB16A2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Efforts to identify duplication</w:t>
      </w:r>
      <w:r w:rsidRPr="00F2450A">
        <w:rPr>
          <w:rFonts w:cs="Arial"/>
          <w:szCs w:val="24"/>
        </w:rPr>
        <w:t xml:space="preserve"> </w:t>
      </w:r>
      <w:r w:rsidR="00A35A31">
        <w:rPr>
          <w:rFonts w:cs="Arial"/>
          <w:szCs w:val="24"/>
        </w:rPr>
        <w:t>–</w:t>
      </w:r>
      <w:r w:rsidRPr="00F2450A">
        <w:rPr>
          <w:rFonts w:cs="Arial"/>
          <w:szCs w:val="24"/>
        </w:rPr>
        <w:t xml:space="preserve"> </w:t>
      </w:r>
      <w:r w:rsidRPr="00862E54" w:rsidR="00A35A31">
        <w:rPr>
          <w:rFonts w:cs="Arial"/>
          <w:szCs w:val="24"/>
        </w:rPr>
        <w:t xml:space="preserve">To our knowledge, this </w:t>
      </w:r>
      <w:r w:rsidRPr="00862E54">
        <w:rPr>
          <w:rFonts w:cs="Arial"/>
          <w:szCs w:val="24"/>
        </w:rPr>
        <w:t>information collection does not duplicate any</w:t>
      </w:r>
      <w:r w:rsidRPr="00862E54" w:rsidR="00936B84">
        <w:rPr>
          <w:rFonts w:cs="Arial"/>
          <w:szCs w:val="24"/>
        </w:rPr>
        <w:t xml:space="preserve"> </w:t>
      </w:r>
      <w:r w:rsidRPr="00862E54">
        <w:rPr>
          <w:rFonts w:cs="Arial"/>
          <w:szCs w:val="24"/>
        </w:rPr>
        <w:t>other information collection</w:t>
      </w:r>
      <w:r w:rsidRPr="00862E54" w:rsidR="00A35A31">
        <w:rPr>
          <w:rFonts w:cs="Arial"/>
          <w:szCs w:val="24"/>
        </w:rPr>
        <w:t xml:space="preserve"> or another agency uses a form similar to Form G-117a</w:t>
      </w:r>
      <w:r w:rsidRPr="00862E54">
        <w:rPr>
          <w:rFonts w:cs="Arial"/>
          <w:szCs w:val="24"/>
        </w:rPr>
        <w:t>.</w:t>
      </w:r>
      <w:r w:rsidRPr="00F2450A">
        <w:rPr>
          <w:rFonts w:cs="Arial"/>
          <w:szCs w:val="24"/>
        </w:rPr>
        <w:t xml:space="preserve"> 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5.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Small business respondents</w:t>
      </w:r>
      <w:r w:rsidRPr="00F2450A">
        <w:rPr>
          <w:rFonts w:cs="Arial"/>
          <w:szCs w:val="24"/>
        </w:rPr>
        <w:t xml:space="preserve"> - N.A.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6.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Consequences of less frequent collection</w:t>
      </w:r>
      <w:r w:rsidRPr="00F2450A">
        <w:rPr>
          <w:rFonts w:cs="Arial"/>
          <w:szCs w:val="24"/>
        </w:rPr>
        <w:t xml:space="preserve"> </w:t>
      </w:r>
      <w:r w:rsidRPr="00F2450A" w:rsidR="00D3003A">
        <w:rPr>
          <w:rFonts w:cs="Arial"/>
          <w:szCs w:val="24"/>
        </w:rPr>
        <w:t>-</w:t>
      </w:r>
      <w:r w:rsidRPr="00F2450A">
        <w:rPr>
          <w:rFonts w:cs="Arial"/>
          <w:szCs w:val="24"/>
        </w:rPr>
        <w:t xml:space="preserve"> </w:t>
      </w:r>
      <w:r w:rsidRPr="00F2450A" w:rsidR="00B60A60">
        <w:rPr>
          <w:rFonts w:cs="Arial"/>
          <w:szCs w:val="24"/>
        </w:rPr>
        <w:t>Completion is voluntary.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7.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 xml:space="preserve">Special </w:t>
      </w:r>
      <w:r w:rsidRPr="00F2450A" w:rsidR="003B065A">
        <w:rPr>
          <w:rFonts w:cs="Arial"/>
          <w:szCs w:val="24"/>
          <w:u w:val="single"/>
        </w:rPr>
        <w:t>c</w:t>
      </w:r>
      <w:r w:rsidRPr="00F2450A">
        <w:rPr>
          <w:rFonts w:cs="Arial"/>
          <w:szCs w:val="24"/>
          <w:u w:val="single"/>
        </w:rPr>
        <w:t>ircumstances</w:t>
      </w:r>
      <w:r w:rsidRPr="00F2450A">
        <w:rPr>
          <w:rFonts w:cs="Arial"/>
          <w:szCs w:val="24"/>
        </w:rPr>
        <w:t xml:space="preserve"> - N.A.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8.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Consultations outside the agency</w:t>
      </w:r>
      <w:r w:rsidRPr="00F2450A">
        <w:rPr>
          <w:rFonts w:cs="Arial"/>
          <w:szCs w:val="24"/>
        </w:rPr>
        <w:t xml:space="preserve"> - In accordance with </w:t>
      </w:r>
      <w:proofErr w:type="gramStart"/>
      <w:r w:rsidRPr="00F2450A">
        <w:rPr>
          <w:rFonts w:cs="Arial"/>
          <w:szCs w:val="24"/>
        </w:rPr>
        <w:t>5</w:t>
      </w:r>
      <w:proofErr w:type="gramEnd"/>
      <w:r w:rsidRPr="00F2450A">
        <w:rPr>
          <w:rFonts w:cs="Arial"/>
          <w:szCs w:val="24"/>
        </w:rPr>
        <w:t xml:space="preserve"> CFR 1320.8(d), comments were invited from the public regarding the information collection.  The notice to the public </w:t>
      </w:r>
      <w:proofErr w:type="gramStart"/>
      <w:r w:rsidRPr="00F2450A">
        <w:rPr>
          <w:rFonts w:cs="Arial"/>
          <w:szCs w:val="24"/>
        </w:rPr>
        <w:t>was published</w:t>
      </w:r>
      <w:proofErr w:type="gramEnd"/>
      <w:r w:rsidRPr="00F2450A">
        <w:rPr>
          <w:rFonts w:cs="Arial"/>
          <w:szCs w:val="24"/>
        </w:rPr>
        <w:t xml:space="preserve"> on page </w:t>
      </w:r>
      <w:r w:rsidR="005F38A9">
        <w:rPr>
          <w:rFonts w:cs="Arial"/>
          <w:szCs w:val="24"/>
        </w:rPr>
        <w:t>8896</w:t>
      </w:r>
      <w:r w:rsidRPr="00F2450A">
        <w:rPr>
          <w:rFonts w:cs="Arial"/>
          <w:szCs w:val="24"/>
        </w:rPr>
        <w:t xml:space="preserve"> of </w:t>
      </w:r>
      <w:r w:rsidRPr="00F2450A" w:rsidR="005F38A9">
        <w:rPr>
          <w:rFonts w:cs="Arial"/>
          <w:szCs w:val="24"/>
        </w:rPr>
        <w:t>the</w:t>
      </w:r>
      <w:r w:rsidR="005F38A9">
        <w:rPr>
          <w:rFonts w:cs="Arial"/>
          <w:szCs w:val="24"/>
        </w:rPr>
        <w:t xml:space="preserve"> February 18, 2020</w:t>
      </w:r>
      <w:r w:rsidRPr="00F2450A" w:rsidR="00DB16A2">
        <w:rPr>
          <w:rFonts w:cs="Arial"/>
          <w:szCs w:val="24"/>
        </w:rPr>
        <w:t xml:space="preserve">, </w:t>
      </w:r>
      <w:r w:rsidRPr="00F2450A">
        <w:rPr>
          <w:rFonts w:cs="Arial"/>
          <w:szCs w:val="24"/>
          <w:u w:val="single"/>
        </w:rPr>
        <w:t>Federal Register</w:t>
      </w:r>
      <w:r w:rsidRPr="00F2450A">
        <w:rPr>
          <w:rFonts w:cs="Arial"/>
          <w:szCs w:val="24"/>
        </w:rPr>
        <w:t xml:space="preserve">.  No comments or requests for additional information </w:t>
      </w:r>
      <w:proofErr w:type="gramStart"/>
      <w:r w:rsidRPr="00F2450A">
        <w:rPr>
          <w:rFonts w:cs="Arial"/>
          <w:szCs w:val="24"/>
        </w:rPr>
        <w:t>were received</w:t>
      </w:r>
      <w:proofErr w:type="gramEnd"/>
      <w:r w:rsidRPr="00F2450A">
        <w:rPr>
          <w:rFonts w:cs="Arial"/>
          <w:szCs w:val="24"/>
        </w:rPr>
        <w:t>.</w:t>
      </w:r>
    </w:p>
    <w:p w:rsidRPr="00F2450A" w:rsidR="001E3790" w:rsidP="00D3003A" w:rsidRDefault="001E3790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9.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Payments or gifts to respondents</w:t>
      </w:r>
      <w:r w:rsidRPr="00F2450A">
        <w:rPr>
          <w:rFonts w:cs="Arial"/>
          <w:szCs w:val="24"/>
        </w:rPr>
        <w:t xml:space="preserve"> - None</w:t>
      </w:r>
    </w:p>
    <w:p w:rsidRPr="00F2450A" w:rsidR="00C307CB" w:rsidP="00CA1ECF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10.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Confidentiality</w:t>
      </w:r>
      <w:r w:rsidRPr="00F2450A">
        <w:rPr>
          <w:rFonts w:cs="Arial"/>
          <w:szCs w:val="24"/>
        </w:rPr>
        <w:t xml:space="preserve"> </w:t>
      </w:r>
      <w:r w:rsidRPr="00F2450A" w:rsidR="00D3003A">
        <w:rPr>
          <w:rFonts w:cs="Arial"/>
          <w:szCs w:val="24"/>
        </w:rPr>
        <w:t>-</w:t>
      </w:r>
      <w:r w:rsidRPr="00F2450A">
        <w:rPr>
          <w:rFonts w:cs="Arial"/>
          <w:szCs w:val="24"/>
        </w:rPr>
        <w:t xml:space="preserve"> </w:t>
      </w:r>
      <w:r w:rsidRPr="006B66CA" w:rsidR="00F26F98">
        <w:rPr>
          <w:rFonts w:cs="Arial"/>
          <w:szCs w:val="24"/>
        </w:rPr>
        <w:t>N.A</w:t>
      </w:r>
      <w:r w:rsidRPr="006B66CA" w:rsidR="003F69F8">
        <w:rPr>
          <w:rFonts w:cs="Arial"/>
          <w:szCs w:val="24"/>
        </w:rPr>
        <w:t>.</w:t>
      </w:r>
    </w:p>
    <w:p w:rsidRPr="00F2450A" w:rsidR="00C307CB" w:rsidP="00CA1ECF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11.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Sensitive questions</w:t>
      </w:r>
      <w:r w:rsidRPr="00F2450A">
        <w:rPr>
          <w:rFonts w:cs="Arial"/>
          <w:szCs w:val="24"/>
        </w:rPr>
        <w:t xml:space="preserve"> - N.A.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numPr>
          <w:ilvl w:val="0"/>
          <w:numId w:val="8"/>
        </w:numPr>
        <w:tabs>
          <w:tab w:val="clear" w:pos="1080"/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  <w:u w:val="single"/>
        </w:rPr>
        <w:t>Estimate of respondent burden</w:t>
      </w:r>
      <w:r w:rsidRPr="00F2450A">
        <w:rPr>
          <w:rFonts w:cs="Arial"/>
          <w:szCs w:val="24"/>
        </w:rPr>
        <w:t xml:space="preserve"> </w:t>
      </w:r>
      <w:r w:rsidRPr="00F2450A" w:rsidR="00945B91">
        <w:rPr>
          <w:rFonts w:cs="Arial"/>
          <w:szCs w:val="24"/>
        </w:rPr>
        <w:t xml:space="preserve">- The </w:t>
      </w:r>
      <w:r w:rsidRPr="00F2450A" w:rsidR="00DB16A2">
        <w:rPr>
          <w:rFonts w:cs="Arial"/>
          <w:szCs w:val="24"/>
        </w:rPr>
        <w:t xml:space="preserve">estimated burden for the collection is unchanged as </w:t>
      </w:r>
      <w:r w:rsidRPr="00F2450A" w:rsidR="00DB16A2">
        <w:rPr>
          <w:rFonts w:cs="Arial"/>
          <w:szCs w:val="24"/>
        </w:rPr>
        <w:lastRenderedPageBreak/>
        <w:t>follows.</w:t>
      </w:r>
    </w:p>
    <w:p w:rsidR="00862E54" w:rsidP="009E43A2" w:rsidRDefault="00862E54">
      <w:pPr>
        <w:ind w:left="540" w:right="-90"/>
        <w:jc w:val="center"/>
        <w:rPr>
          <w:rFonts w:cs="Arial"/>
          <w:b/>
          <w:szCs w:val="24"/>
          <w:u w:val="single"/>
        </w:rPr>
      </w:pPr>
    </w:p>
    <w:p w:rsidRPr="00F2450A" w:rsidR="00C307CB" w:rsidP="009E43A2" w:rsidRDefault="00945B91">
      <w:pPr>
        <w:ind w:left="540" w:right="-90"/>
        <w:jc w:val="center"/>
        <w:rPr>
          <w:rFonts w:cs="Arial"/>
          <w:b/>
          <w:szCs w:val="24"/>
          <w:u w:val="single"/>
        </w:rPr>
      </w:pPr>
      <w:r w:rsidRPr="00F2450A">
        <w:rPr>
          <w:rFonts w:cs="Arial"/>
          <w:b/>
          <w:szCs w:val="24"/>
          <w:u w:val="single"/>
        </w:rPr>
        <w:t xml:space="preserve">Current </w:t>
      </w:r>
      <w:r w:rsidRPr="00F2450A" w:rsidR="00F26F98">
        <w:rPr>
          <w:rFonts w:cs="Arial"/>
          <w:b/>
          <w:szCs w:val="24"/>
          <w:u w:val="single"/>
        </w:rPr>
        <w:t>B</w:t>
      </w:r>
      <w:r w:rsidRPr="00F2450A" w:rsidR="00C307CB">
        <w:rPr>
          <w:rFonts w:cs="Arial"/>
          <w:b/>
          <w:szCs w:val="24"/>
          <w:u w:val="single"/>
        </w:rPr>
        <w:t>urden</w:t>
      </w:r>
    </w:p>
    <w:p w:rsidRPr="00F2450A" w:rsidR="00995DF0" w:rsidP="00D3003A" w:rsidRDefault="00995DF0">
      <w:pPr>
        <w:tabs>
          <w:tab w:val="center" w:pos="4680"/>
        </w:tabs>
        <w:jc w:val="both"/>
        <w:rPr>
          <w:rFonts w:cs="Arial"/>
          <w:b/>
          <w:szCs w:val="24"/>
          <w:u w:val="single"/>
        </w:rPr>
      </w:pPr>
    </w:p>
    <w:tbl>
      <w:tblPr>
        <w:tblW w:w="0" w:type="auto"/>
        <w:tblInd w:w="108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49"/>
        <w:gridCol w:w="2379"/>
        <w:gridCol w:w="1966"/>
        <w:gridCol w:w="2168"/>
      </w:tblGrid>
      <w:tr w:rsidRPr="00F2450A" w:rsidR="00995DF0" w:rsidTr="00862E54">
        <w:trPr>
          <w:trHeight w:val="500" w:hRule="exact"/>
        </w:trPr>
        <w:tc>
          <w:tcPr>
            <w:tcW w:w="2772" w:type="dxa"/>
            <w:vAlign w:val="center"/>
          </w:tcPr>
          <w:p w:rsidRPr="00F2450A" w:rsidR="00995DF0" w:rsidP="00CA1ECF" w:rsidRDefault="00995DF0">
            <w:pPr>
              <w:tabs>
                <w:tab w:val="center" w:pos="4680"/>
              </w:tabs>
              <w:jc w:val="center"/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 xml:space="preserve">Form </w:t>
            </w:r>
            <w:r w:rsidRPr="00F2450A" w:rsidR="00CA1ECF">
              <w:rPr>
                <w:rFonts w:cs="Arial"/>
                <w:szCs w:val="24"/>
              </w:rPr>
              <w:t>Number</w:t>
            </w:r>
          </w:p>
        </w:tc>
        <w:tc>
          <w:tcPr>
            <w:tcW w:w="2448" w:type="dxa"/>
            <w:vAlign w:val="center"/>
          </w:tcPr>
          <w:p w:rsidRPr="00F2450A" w:rsidR="00995DF0" w:rsidP="00CA1ECF" w:rsidRDefault="00995DF0">
            <w:pPr>
              <w:tabs>
                <w:tab w:val="center" w:pos="4680"/>
              </w:tabs>
              <w:jc w:val="center"/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>A</w:t>
            </w:r>
            <w:r w:rsidRPr="00F2450A" w:rsidR="00CA1ECF">
              <w:rPr>
                <w:rFonts w:cs="Arial"/>
                <w:szCs w:val="24"/>
              </w:rPr>
              <w:t>nnual Responses</w:t>
            </w:r>
          </w:p>
        </w:tc>
        <w:tc>
          <w:tcPr>
            <w:tcW w:w="2016" w:type="dxa"/>
            <w:vAlign w:val="center"/>
          </w:tcPr>
          <w:p w:rsidRPr="00F2450A" w:rsidR="00995DF0" w:rsidP="00CA1ECF" w:rsidRDefault="00995DF0">
            <w:pPr>
              <w:tabs>
                <w:tab w:val="center" w:pos="4680"/>
              </w:tabs>
              <w:jc w:val="center"/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>Time (Min</w:t>
            </w:r>
            <w:r w:rsidRPr="00F2450A" w:rsidR="00CA1ECF">
              <w:rPr>
                <w:rFonts w:cs="Arial"/>
                <w:szCs w:val="24"/>
              </w:rPr>
              <w:t>utes</w:t>
            </w:r>
            <w:r w:rsidRPr="00F2450A">
              <w:rPr>
                <w:rFonts w:cs="Arial"/>
                <w:szCs w:val="24"/>
              </w:rPr>
              <w:t>)</w:t>
            </w:r>
            <w:r w:rsidR="00014013">
              <w:rPr>
                <w:rFonts w:cs="Arial"/>
                <w:szCs w:val="24"/>
              </w:rPr>
              <w:t>1/</w:t>
            </w:r>
          </w:p>
        </w:tc>
        <w:tc>
          <w:tcPr>
            <w:tcW w:w="2232" w:type="dxa"/>
            <w:vAlign w:val="center"/>
          </w:tcPr>
          <w:p w:rsidRPr="00F2450A" w:rsidR="00995DF0" w:rsidP="00CA1ECF" w:rsidRDefault="00995DF0">
            <w:pPr>
              <w:tabs>
                <w:tab w:val="center" w:pos="4680"/>
              </w:tabs>
              <w:jc w:val="center"/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 xml:space="preserve">Burden </w:t>
            </w:r>
            <w:r w:rsidRPr="00F2450A" w:rsidR="00CA1ECF">
              <w:rPr>
                <w:rFonts w:cs="Arial"/>
                <w:szCs w:val="24"/>
              </w:rPr>
              <w:t>(</w:t>
            </w:r>
            <w:r w:rsidRPr="00F2450A">
              <w:rPr>
                <w:rFonts w:cs="Arial"/>
                <w:szCs w:val="24"/>
              </w:rPr>
              <w:t>Hours</w:t>
            </w:r>
            <w:r w:rsidRPr="00F2450A" w:rsidR="00CA1ECF">
              <w:rPr>
                <w:rFonts w:cs="Arial"/>
                <w:szCs w:val="24"/>
              </w:rPr>
              <w:t>)</w:t>
            </w:r>
          </w:p>
        </w:tc>
      </w:tr>
      <w:tr w:rsidRPr="00F2450A" w:rsidR="00995DF0" w:rsidTr="00862E54">
        <w:trPr>
          <w:trHeight w:val="500" w:hRule="exact"/>
        </w:trPr>
        <w:tc>
          <w:tcPr>
            <w:tcW w:w="2772" w:type="dxa"/>
            <w:vAlign w:val="center"/>
          </w:tcPr>
          <w:p w:rsidRPr="00F2450A" w:rsidR="00995DF0" w:rsidP="00862E54" w:rsidRDefault="00995DF0">
            <w:pPr>
              <w:tabs>
                <w:tab w:val="center" w:pos="4680"/>
              </w:tabs>
              <w:ind w:left="342"/>
              <w:jc w:val="center"/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>G-117a</w:t>
            </w:r>
          </w:p>
        </w:tc>
        <w:tc>
          <w:tcPr>
            <w:tcW w:w="2448" w:type="dxa"/>
            <w:vAlign w:val="center"/>
          </w:tcPr>
          <w:p w:rsidRPr="00F2450A" w:rsidR="00995DF0" w:rsidP="003B065A" w:rsidRDefault="003B065A">
            <w:pPr>
              <w:tabs>
                <w:tab w:val="right" w:pos="1260"/>
              </w:tabs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ab/>
            </w:r>
            <w:r w:rsidRPr="00F2450A" w:rsidR="00995DF0">
              <w:rPr>
                <w:rFonts w:cs="Arial"/>
                <w:szCs w:val="24"/>
              </w:rPr>
              <w:t>100</w:t>
            </w:r>
          </w:p>
        </w:tc>
        <w:tc>
          <w:tcPr>
            <w:tcW w:w="2016" w:type="dxa"/>
            <w:vAlign w:val="center"/>
          </w:tcPr>
          <w:p w:rsidRPr="00F2450A" w:rsidR="00995DF0" w:rsidP="003B065A" w:rsidRDefault="003B065A">
            <w:pPr>
              <w:tabs>
                <w:tab w:val="right" w:pos="1062"/>
              </w:tabs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ab/>
            </w:r>
            <w:r w:rsidRPr="00F2450A" w:rsidR="00995DF0">
              <w:rPr>
                <w:rFonts w:cs="Arial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Pr="00F2450A" w:rsidR="00995DF0" w:rsidP="003B065A" w:rsidRDefault="003B065A">
            <w:pPr>
              <w:tabs>
                <w:tab w:val="right" w:pos="1116"/>
              </w:tabs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ab/>
            </w:r>
            <w:r w:rsidRPr="00F2450A" w:rsidR="00995DF0">
              <w:rPr>
                <w:rFonts w:cs="Arial"/>
                <w:szCs w:val="24"/>
              </w:rPr>
              <w:t>25</w:t>
            </w:r>
          </w:p>
        </w:tc>
      </w:tr>
      <w:tr w:rsidRPr="00F2450A" w:rsidR="00995DF0" w:rsidTr="00862E54">
        <w:trPr>
          <w:trHeight w:val="500" w:hRule="exact"/>
        </w:trPr>
        <w:tc>
          <w:tcPr>
            <w:tcW w:w="2772" w:type="dxa"/>
            <w:vAlign w:val="center"/>
          </w:tcPr>
          <w:p w:rsidRPr="00F2450A" w:rsidR="00995DF0" w:rsidP="006F3B6D" w:rsidRDefault="00995DF0">
            <w:pPr>
              <w:tabs>
                <w:tab w:val="center" w:pos="4680"/>
              </w:tabs>
              <w:jc w:val="center"/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>Total</w:t>
            </w:r>
          </w:p>
        </w:tc>
        <w:tc>
          <w:tcPr>
            <w:tcW w:w="2448" w:type="dxa"/>
            <w:vAlign w:val="center"/>
          </w:tcPr>
          <w:p w:rsidRPr="00F2450A" w:rsidR="00995DF0" w:rsidP="003B065A" w:rsidRDefault="003B065A">
            <w:pPr>
              <w:tabs>
                <w:tab w:val="right" w:pos="1260"/>
              </w:tabs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ab/>
            </w:r>
            <w:r w:rsidRPr="00F2450A" w:rsidR="00995DF0">
              <w:rPr>
                <w:rFonts w:cs="Arial"/>
                <w:szCs w:val="24"/>
              </w:rPr>
              <w:t>100</w:t>
            </w:r>
          </w:p>
        </w:tc>
        <w:tc>
          <w:tcPr>
            <w:tcW w:w="2016" w:type="dxa"/>
            <w:vAlign w:val="center"/>
          </w:tcPr>
          <w:p w:rsidRPr="00F2450A" w:rsidR="00995DF0" w:rsidP="003B065A" w:rsidRDefault="00995DF0">
            <w:pPr>
              <w:tabs>
                <w:tab w:val="right" w:pos="1260"/>
              </w:tabs>
              <w:rPr>
                <w:rFonts w:cs="Arial"/>
                <w:szCs w:val="24"/>
              </w:rPr>
            </w:pPr>
          </w:p>
        </w:tc>
        <w:tc>
          <w:tcPr>
            <w:tcW w:w="2232" w:type="dxa"/>
            <w:vAlign w:val="center"/>
          </w:tcPr>
          <w:p w:rsidRPr="00F2450A" w:rsidR="00995DF0" w:rsidP="003B065A" w:rsidRDefault="003B065A">
            <w:pPr>
              <w:tabs>
                <w:tab w:val="right" w:pos="1116"/>
              </w:tabs>
              <w:rPr>
                <w:rFonts w:cs="Arial"/>
                <w:szCs w:val="24"/>
              </w:rPr>
            </w:pPr>
            <w:r w:rsidRPr="00F2450A">
              <w:rPr>
                <w:rFonts w:cs="Arial"/>
                <w:szCs w:val="24"/>
              </w:rPr>
              <w:tab/>
            </w:r>
            <w:r w:rsidRPr="00F2450A" w:rsidR="00995DF0">
              <w:rPr>
                <w:rFonts w:cs="Arial"/>
                <w:szCs w:val="24"/>
              </w:rPr>
              <w:t>25</w:t>
            </w:r>
          </w:p>
        </w:tc>
      </w:tr>
    </w:tbl>
    <w:p w:rsidRPr="00F2450A" w:rsidR="00995DF0" w:rsidP="00F255C3" w:rsidRDefault="00F255C3">
      <w:pPr>
        <w:tabs>
          <w:tab w:val="center" w:pos="4680"/>
        </w:tabs>
        <w:jc w:val="both"/>
        <w:rPr>
          <w:rFonts w:cs="Arial"/>
          <w:b/>
          <w:szCs w:val="24"/>
          <w:u w:val="single"/>
        </w:rPr>
      </w:pPr>
      <w:r>
        <w:rPr>
          <w:rFonts w:cs="Arial"/>
          <w:szCs w:val="22"/>
          <w:u w:val="single"/>
        </w:rPr>
        <w:tab/>
      </w:r>
      <w:proofErr w:type="gramStart"/>
      <w:r w:rsidRPr="005E0F78">
        <w:rPr>
          <w:rFonts w:cs="Arial"/>
          <w:szCs w:val="22"/>
          <w:u w:val="single"/>
        </w:rPr>
        <w:t>1</w:t>
      </w:r>
      <w:r w:rsidRPr="005E0F78">
        <w:rPr>
          <w:rFonts w:cs="Arial"/>
          <w:szCs w:val="22"/>
        </w:rPr>
        <w:t>/The</w:t>
      </w:r>
      <w:proofErr w:type="gramEnd"/>
      <w:r w:rsidRPr="005E0F78">
        <w:rPr>
          <w:rFonts w:cs="Arial"/>
          <w:szCs w:val="22"/>
        </w:rPr>
        <w:t xml:space="preserve"> RRB has been collecting the information on these forms since OMB approved the information collection.  Based on a sampling done when the form </w:t>
      </w:r>
      <w:proofErr w:type="gramStart"/>
      <w:r w:rsidRPr="005E0F78">
        <w:rPr>
          <w:rFonts w:cs="Arial"/>
          <w:szCs w:val="22"/>
        </w:rPr>
        <w:t>was originally created</w:t>
      </w:r>
      <w:proofErr w:type="gramEnd"/>
      <w:r w:rsidRPr="005E0F78">
        <w:rPr>
          <w:rFonts w:cs="Arial"/>
          <w:szCs w:val="22"/>
        </w:rPr>
        <w:t>, the office calculated the estimated time, which includes time for getting the needed data and reviewing the completed form</w:t>
      </w:r>
    </w:p>
    <w:p w:rsidR="00F255C3" w:rsidP="00D3003A" w:rsidRDefault="00F255C3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DB16A2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1</w:t>
      </w:r>
      <w:r w:rsidRPr="00F2450A" w:rsidR="00C307CB">
        <w:rPr>
          <w:rFonts w:cs="Arial"/>
          <w:szCs w:val="24"/>
        </w:rPr>
        <w:t>3.</w:t>
      </w:r>
      <w:r w:rsidRPr="00F2450A" w:rsidR="00C307CB">
        <w:rPr>
          <w:rFonts w:cs="Arial"/>
          <w:szCs w:val="24"/>
        </w:rPr>
        <w:tab/>
      </w:r>
      <w:r w:rsidRPr="00F2450A" w:rsidR="00C307CB">
        <w:rPr>
          <w:rFonts w:cs="Arial"/>
          <w:szCs w:val="24"/>
          <w:u w:val="single"/>
        </w:rPr>
        <w:t>Estimated annual cost to respondents or record keepers</w:t>
      </w:r>
      <w:r w:rsidRPr="00F2450A" w:rsidR="00C307CB">
        <w:rPr>
          <w:rFonts w:cs="Arial"/>
          <w:szCs w:val="24"/>
        </w:rPr>
        <w:t xml:space="preserve"> - N.A.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14.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Estimated cost to Federal Government</w:t>
      </w:r>
      <w:r w:rsidRPr="00F2450A">
        <w:rPr>
          <w:rFonts w:cs="Arial"/>
          <w:szCs w:val="24"/>
        </w:rPr>
        <w:t xml:space="preserve"> - N.A.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15.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Explanation for change in burden</w:t>
      </w:r>
      <w:r w:rsidRPr="00F2450A" w:rsidR="00D3003A">
        <w:rPr>
          <w:rFonts w:cs="Arial"/>
          <w:szCs w:val="24"/>
        </w:rPr>
        <w:t xml:space="preserve"> -</w:t>
      </w:r>
      <w:r w:rsidRPr="00F2450A" w:rsidR="00B60A60">
        <w:rPr>
          <w:rFonts w:cs="Arial"/>
          <w:szCs w:val="24"/>
        </w:rPr>
        <w:t xml:space="preserve"> N.A</w:t>
      </w:r>
      <w:r w:rsidRPr="00F2450A">
        <w:rPr>
          <w:rFonts w:cs="Arial"/>
          <w:szCs w:val="24"/>
        </w:rPr>
        <w:t>.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16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Time schedule for data collection and publication</w:t>
      </w:r>
      <w:r w:rsidRPr="00F2450A">
        <w:rPr>
          <w:rFonts w:cs="Arial"/>
          <w:szCs w:val="24"/>
        </w:rPr>
        <w:t xml:space="preserve"> - N.A.</w:t>
      </w:r>
    </w:p>
    <w:p w:rsidRPr="00F2450A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</w:p>
    <w:p w:rsidR="000332E2" w:rsidP="000332E2" w:rsidRDefault="00C307CB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  <w:r w:rsidRPr="00F2450A">
        <w:rPr>
          <w:rFonts w:cs="Arial"/>
          <w:szCs w:val="24"/>
        </w:rPr>
        <w:t>17.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Request not display OMB expiration date</w:t>
      </w:r>
      <w:r w:rsidRPr="00F2450A">
        <w:rPr>
          <w:rFonts w:cs="Arial"/>
          <w:szCs w:val="24"/>
        </w:rPr>
        <w:t xml:space="preserve"> - </w:t>
      </w:r>
      <w:r w:rsidRPr="00DB1B3F" w:rsidR="00F255C3">
        <w:rPr>
          <w:rFonts w:cs="Arial"/>
        </w:rPr>
        <w:t>The</w:t>
      </w:r>
      <w:r w:rsidRPr="00DB1B3F" w:rsidR="00F255C3">
        <w:rPr>
          <w:rFonts w:cs="Arial"/>
          <w:szCs w:val="22"/>
        </w:rPr>
        <w:t xml:space="preserve"> RRB started an extensive multi-year IT Modernization Initiative at the beginning of Fiscal Year 2019 to transform our operations into the 21</w:t>
      </w:r>
      <w:r w:rsidRPr="00DB1B3F" w:rsidR="00F255C3">
        <w:rPr>
          <w:rFonts w:cs="Arial"/>
          <w:szCs w:val="22"/>
          <w:vertAlign w:val="superscript"/>
        </w:rPr>
        <w:t>st</w:t>
      </w:r>
      <w:r w:rsidRPr="00DB1B3F" w:rsidR="00F255C3">
        <w:rPr>
          <w:rFonts w:cs="Arial"/>
          <w:szCs w:val="22"/>
        </w:rPr>
        <w:t xml:space="preserve"> Century using multiple contractor services to improve mission performance, expand service capabilities, and strengthen </w:t>
      </w:r>
      <w:r w:rsidRPr="00862E54" w:rsidR="00F255C3">
        <w:rPr>
          <w:rFonts w:cs="Arial"/>
          <w:szCs w:val="22"/>
        </w:rPr>
        <w:t xml:space="preserve">cybersecurity.  In addition, we received a new Chief Information Officer (CIO) on September 2, 2019 who is reviewing our estimated project timeline milestone dates.  </w:t>
      </w:r>
      <w:r w:rsidRPr="00862E54" w:rsidR="000332E2">
        <w:rPr>
          <w:rFonts w:cs="Arial"/>
          <w:szCs w:val="22"/>
        </w:rPr>
        <w:t>We provided OMB with a revised consolidated project timeline.</w:t>
      </w:r>
      <w:r w:rsidRPr="000B211B" w:rsidR="000332E2">
        <w:rPr>
          <w:rFonts w:cs="Arial"/>
          <w:szCs w:val="22"/>
        </w:rPr>
        <w:t xml:space="preserve"> </w:t>
      </w:r>
    </w:p>
    <w:p w:rsidRPr="00DB1B3F" w:rsidR="00F255C3" w:rsidP="000332E2" w:rsidRDefault="00F255C3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F255C3" w:rsidP="00F255C3" w:rsidRDefault="00F255C3">
      <w:pPr>
        <w:tabs>
          <w:tab w:val="left" w:pos="-1440"/>
          <w:tab w:val="left" w:pos="540"/>
        </w:tabs>
        <w:ind w:left="540"/>
        <w:jc w:val="both"/>
        <w:rPr>
          <w:rFonts w:cs="Arial"/>
        </w:rPr>
      </w:pPr>
      <w:r w:rsidRPr="00DB1B3F">
        <w:rPr>
          <w:rFonts w:cs="Arial"/>
        </w:rPr>
        <w:t xml:space="preserve">Given that the forms in this collection </w:t>
      </w:r>
      <w:proofErr w:type="gramStart"/>
      <w:r w:rsidRPr="00DB1B3F">
        <w:rPr>
          <w:rFonts w:cs="Arial"/>
        </w:rPr>
        <w:t>are seldom revised</w:t>
      </w:r>
      <w:proofErr w:type="gramEnd"/>
      <w:r w:rsidRPr="00DB1B3F">
        <w:rPr>
          <w:rFonts w:cs="Arial"/>
        </w:rPr>
        <w:t>; the costs associated with redrafting, reprinting, and distributing forms in order to keep the appropriate OMB expiration date in place; and our desire to reevaluate after the completion of the modernization project,</w:t>
      </w:r>
      <w:r w:rsidRPr="00DB1B3F">
        <w:rPr>
          <w:rFonts w:cs="Arial"/>
          <w:b/>
        </w:rPr>
        <w:t xml:space="preserve"> </w:t>
      </w:r>
      <w:r w:rsidRPr="00DB1B3F">
        <w:rPr>
          <w:rFonts w:cs="Arial"/>
          <w:b/>
          <w:u w:val="single"/>
        </w:rPr>
        <w:t>the RRB requests the authority to not display the expiration date on the forms</w:t>
      </w:r>
      <w:r w:rsidRPr="00DB1B3F">
        <w:rPr>
          <w:rFonts w:cs="Arial"/>
        </w:rPr>
        <w:t>.</w:t>
      </w:r>
    </w:p>
    <w:p w:rsidRPr="00F2450A" w:rsidR="00C307CB" w:rsidP="00862E54" w:rsidRDefault="00C307CB">
      <w:pPr>
        <w:tabs>
          <w:tab w:val="left" w:pos="-1440"/>
          <w:tab w:val="left" w:pos="540"/>
        </w:tabs>
        <w:jc w:val="both"/>
        <w:rPr>
          <w:rFonts w:cs="Arial"/>
          <w:szCs w:val="24"/>
        </w:rPr>
      </w:pPr>
    </w:p>
    <w:p w:rsidRPr="00CA1ECF" w:rsidR="00C307CB" w:rsidP="00D3003A" w:rsidRDefault="00C307CB">
      <w:pPr>
        <w:tabs>
          <w:tab w:val="left" w:pos="540"/>
        </w:tabs>
        <w:ind w:left="540" w:hanging="540"/>
        <w:jc w:val="both"/>
        <w:rPr>
          <w:rFonts w:cs="Arial"/>
          <w:szCs w:val="24"/>
        </w:rPr>
      </w:pPr>
      <w:r w:rsidRPr="00F2450A">
        <w:rPr>
          <w:rFonts w:cs="Arial"/>
          <w:szCs w:val="24"/>
        </w:rPr>
        <w:t>18.</w:t>
      </w:r>
      <w:r w:rsidRPr="00F2450A">
        <w:rPr>
          <w:rFonts w:cs="Arial"/>
          <w:szCs w:val="24"/>
        </w:rPr>
        <w:tab/>
      </w:r>
      <w:r w:rsidRPr="00F2450A">
        <w:rPr>
          <w:rFonts w:cs="Arial"/>
          <w:szCs w:val="24"/>
          <w:u w:val="single"/>
        </w:rPr>
        <w:t>Exceptions to Certification Statement</w:t>
      </w:r>
      <w:r w:rsidRPr="00F2450A">
        <w:rPr>
          <w:rFonts w:cs="Arial"/>
          <w:szCs w:val="24"/>
        </w:rPr>
        <w:t xml:space="preserve"> - None</w:t>
      </w:r>
    </w:p>
    <w:sectPr w:rsidRPr="00CA1ECF" w:rsidR="00C307CB" w:rsidSect="00D3003A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B5" w:rsidRDefault="006C41B5">
      <w:r>
        <w:separator/>
      </w:r>
    </w:p>
  </w:endnote>
  <w:endnote w:type="continuationSeparator" w:id="0">
    <w:p w:rsidR="006C41B5" w:rsidRDefault="006C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7E" w:rsidRDefault="00BB527E">
    <w:pPr>
      <w:spacing w:line="240" w:lineRule="exact"/>
    </w:pPr>
  </w:p>
  <w:p w:rsidR="00BB527E" w:rsidRPr="00AC4454" w:rsidRDefault="00BB527E">
    <w:pPr>
      <w:framePr w:w="9361" w:wrap="notBeside" w:vAnchor="text" w:hAnchor="text" w:x="1" w:y="1"/>
      <w:jc w:val="center"/>
    </w:pPr>
    <w:r w:rsidRPr="00AC4454">
      <w:t>-</w:t>
    </w:r>
    <w:r w:rsidRPr="00AC4454">
      <w:fldChar w:fldCharType="begin"/>
    </w:r>
    <w:r w:rsidRPr="00AC4454">
      <w:instrText xml:space="preserve">PAGE </w:instrText>
    </w:r>
    <w:r w:rsidRPr="00AC4454">
      <w:fldChar w:fldCharType="separate"/>
    </w:r>
    <w:r w:rsidR="00692D43">
      <w:rPr>
        <w:noProof/>
      </w:rPr>
      <w:t>2</w:t>
    </w:r>
    <w:r w:rsidRPr="00AC4454">
      <w:fldChar w:fldCharType="end"/>
    </w:r>
    <w:r w:rsidRPr="00AC4454">
      <w:t>-</w:t>
    </w:r>
  </w:p>
  <w:p w:rsidR="00BB527E" w:rsidRDefault="00BB5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B5" w:rsidRDefault="006C41B5">
      <w:r>
        <w:separator/>
      </w:r>
    </w:p>
  </w:footnote>
  <w:footnote w:type="continuationSeparator" w:id="0">
    <w:p w:rsidR="006C41B5" w:rsidRDefault="006C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7E" w:rsidRPr="00AC4454" w:rsidRDefault="00BB527E">
    <w:pPr>
      <w:tabs>
        <w:tab w:val="right" w:pos="9360"/>
      </w:tabs>
      <w:jc w:val="both"/>
    </w:pPr>
    <w:r>
      <w:tab/>
    </w:r>
    <w:r w:rsidRPr="00AC4454">
      <w:t xml:space="preserve">OMB </w:t>
    </w:r>
    <w:r>
      <w:t xml:space="preserve">No. </w:t>
    </w:r>
    <w:r w:rsidRPr="00AC4454">
      <w:t>3220-</w:t>
    </w:r>
    <w:r>
      <w:t>0200</w:t>
    </w:r>
  </w:p>
  <w:p w:rsidR="00BB527E" w:rsidRPr="00CA1ECF" w:rsidRDefault="00BB527E" w:rsidP="00AC4454">
    <w:pPr>
      <w:tabs>
        <w:tab w:val="right" w:pos="9360"/>
      </w:tabs>
      <w:jc w:val="both"/>
      <w:rPr>
        <w:rFonts w:cs="Arial"/>
        <w:szCs w:val="24"/>
      </w:rPr>
    </w:pPr>
    <w:r w:rsidRPr="00CA1ECF">
      <w:rPr>
        <w:rFonts w:cs="Arial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107DB"/>
    <w:multiLevelType w:val="hybridMultilevel"/>
    <w:tmpl w:val="04AA40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66634"/>
    <w:multiLevelType w:val="hybridMultilevel"/>
    <w:tmpl w:val="54A83FA6"/>
    <w:lvl w:ilvl="0" w:tplc="ED08D06C">
      <w:start w:val="2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946D9C"/>
    <w:multiLevelType w:val="hybridMultilevel"/>
    <w:tmpl w:val="7D70AC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81A25"/>
    <w:multiLevelType w:val="hybridMultilevel"/>
    <w:tmpl w:val="CCE4F2DC"/>
    <w:lvl w:ilvl="0" w:tplc="A1E8F306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245BB6"/>
    <w:multiLevelType w:val="singleLevel"/>
    <w:tmpl w:val="9AC89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6" w15:restartNumberingAfterBreak="0">
    <w:nsid w:val="58D36D10"/>
    <w:multiLevelType w:val="hybridMultilevel"/>
    <w:tmpl w:val="BA887EBE"/>
    <w:lvl w:ilvl="0" w:tplc="9F66A61C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A42615"/>
    <w:multiLevelType w:val="hybridMultilevel"/>
    <w:tmpl w:val="36F496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E8879BA"/>
    <w:multiLevelType w:val="hybridMultilevel"/>
    <w:tmpl w:val="7FA09F20"/>
    <w:lvl w:ilvl="0" w:tplc="835CC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1440" w:hanging="720"/>
        </w:pPr>
        <w:rPr>
          <w:rFonts w:ascii="WP MathA" w:hAnsi="WP MathA" w:hint="default"/>
        </w:rPr>
      </w:lvl>
    </w:lvlOverride>
  </w:num>
  <w:num w:numId="2">
    <w:abstractNumId w:val="0"/>
    <w:lvlOverride w:ilvl="0">
      <w:lvl w:ilvl="0">
        <w:numFmt w:val="bullet"/>
        <w:lvlText w:val=""/>
        <w:legacy w:legacy="1" w:legacySpace="0" w:legacyIndent="5760"/>
        <w:lvlJc w:val="left"/>
        <w:pPr>
          <w:ind w:left="6480" w:hanging="5760"/>
        </w:pPr>
        <w:rPr>
          <w:rFonts w:ascii="WP MathA" w:hAnsi="WP MathA" w:hint="default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E8"/>
    <w:rsid w:val="00014013"/>
    <w:rsid w:val="000332E2"/>
    <w:rsid w:val="0004571F"/>
    <w:rsid w:val="00074BAD"/>
    <w:rsid w:val="000E2CE7"/>
    <w:rsid w:val="000F64B4"/>
    <w:rsid w:val="0010042C"/>
    <w:rsid w:val="001B32BE"/>
    <w:rsid w:val="001E3790"/>
    <w:rsid w:val="002427BD"/>
    <w:rsid w:val="0025344F"/>
    <w:rsid w:val="0025729E"/>
    <w:rsid w:val="00257F57"/>
    <w:rsid w:val="002676D5"/>
    <w:rsid w:val="00277975"/>
    <w:rsid w:val="0028073A"/>
    <w:rsid w:val="0034405F"/>
    <w:rsid w:val="00365E39"/>
    <w:rsid w:val="003A00EF"/>
    <w:rsid w:val="003B065A"/>
    <w:rsid w:val="003F69F8"/>
    <w:rsid w:val="004166D0"/>
    <w:rsid w:val="0050289F"/>
    <w:rsid w:val="00574940"/>
    <w:rsid w:val="005F38A9"/>
    <w:rsid w:val="00622499"/>
    <w:rsid w:val="0068033A"/>
    <w:rsid w:val="00692D43"/>
    <w:rsid w:val="006B66CA"/>
    <w:rsid w:val="006C2208"/>
    <w:rsid w:val="006C41B5"/>
    <w:rsid w:val="006F3B6D"/>
    <w:rsid w:val="00707DE0"/>
    <w:rsid w:val="007173C5"/>
    <w:rsid w:val="00862E54"/>
    <w:rsid w:val="008A6971"/>
    <w:rsid w:val="008B3400"/>
    <w:rsid w:val="008B40E8"/>
    <w:rsid w:val="008C7F8B"/>
    <w:rsid w:val="00936B84"/>
    <w:rsid w:val="00945B91"/>
    <w:rsid w:val="00995DF0"/>
    <w:rsid w:val="009B39F2"/>
    <w:rsid w:val="009E43A2"/>
    <w:rsid w:val="00A1609A"/>
    <w:rsid w:val="00A35A31"/>
    <w:rsid w:val="00A36864"/>
    <w:rsid w:val="00AC4454"/>
    <w:rsid w:val="00AD68F3"/>
    <w:rsid w:val="00B21A1B"/>
    <w:rsid w:val="00B60A60"/>
    <w:rsid w:val="00BB527E"/>
    <w:rsid w:val="00C307CB"/>
    <w:rsid w:val="00C35D59"/>
    <w:rsid w:val="00C3729A"/>
    <w:rsid w:val="00CA1ECF"/>
    <w:rsid w:val="00CA4714"/>
    <w:rsid w:val="00D3003A"/>
    <w:rsid w:val="00DB16A2"/>
    <w:rsid w:val="00DF10BB"/>
    <w:rsid w:val="00E077D7"/>
    <w:rsid w:val="00E56F1A"/>
    <w:rsid w:val="00E95D07"/>
    <w:rsid w:val="00EA5639"/>
    <w:rsid w:val="00F2450A"/>
    <w:rsid w:val="00F255C3"/>
    <w:rsid w:val="00F2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E7189F-1B14-4BED-87DA-D71CED3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3A"/>
    <w:pPr>
      <w:widowControl w:val="0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CG Times" w:hAnsi="CG Times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-1440"/>
      </w:tabs>
      <w:ind w:left="720"/>
      <w:jc w:val="both"/>
    </w:pPr>
    <w:rPr>
      <w:rFonts w:ascii="CG Times" w:hAnsi="CG Times"/>
    </w:rPr>
  </w:style>
  <w:style w:type="paragraph" w:styleId="BodyTextIndent2">
    <w:name w:val="Body Text Indent 2"/>
    <w:basedOn w:val="Normal"/>
    <w:pPr>
      <w:tabs>
        <w:tab w:val="left" w:pos="-1440"/>
      </w:tabs>
      <w:ind w:left="1080"/>
      <w:jc w:val="both"/>
    </w:pPr>
    <w:rPr>
      <w:rFonts w:ascii="CG Times" w:hAnsi="CG Times"/>
    </w:rPr>
  </w:style>
  <w:style w:type="paragraph" w:styleId="BodyTextIndent3">
    <w:name w:val="Body Text Indent 3"/>
    <w:basedOn w:val="Normal"/>
    <w:pPr>
      <w:ind w:left="1080" w:hanging="360"/>
      <w:jc w:val="both"/>
    </w:pPr>
    <w:rPr>
      <w:rFonts w:ascii="CG Times" w:hAnsi="CG Times"/>
    </w:rPr>
  </w:style>
  <w:style w:type="table" w:styleId="TableGrid">
    <w:name w:val="Table Grid"/>
    <w:basedOn w:val="TableNormal"/>
    <w:rsid w:val="00995D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27BD"/>
    <w:rPr>
      <w:color w:val="0000FF"/>
      <w:u w:val="single"/>
    </w:rPr>
  </w:style>
  <w:style w:type="character" w:styleId="FollowedHyperlink">
    <w:name w:val="FollowedHyperlink"/>
    <w:rsid w:val="002427BD"/>
    <w:rPr>
      <w:color w:val="800080"/>
      <w:u w:val="single"/>
    </w:rPr>
  </w:style>
  <w:style w:type="character" w:styleId="CommentReference">
    <w:name w:val="annotation reference"/>
    <w:rsid w:val="000140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013"/>
    <w:rPr>
      <w:sz w:val="20"/>
    </w:rPr>
  </w:style>
  <w:style w:type="character" w:customStyle="1" w:styleId="CommentTextChar">
    <w:name w:val="Comment Text Char"/>
    <w:link w:val="CommentText"/>
    <w:rsid w:val="0001401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014013"/>
    <w:rPr>
      <w:b/>
      <w:bCs/>
    </w:rPr>
  </w:style>
  <w:style w:type="character" w:customStyle="1" w:styleId="CommentSubjectChar">
    <w:name w:val="Comment Subject Char"/>
    <w:link w:val="CommentSubject"/>
    <w:rsid w:val="00014013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3394</Characters>
  <Application>Microsoft Office Word</Application>
  <DocSecurity>0</DocSecurity>
  <Lines>93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Micron Electronics, Inc.</Company>
  <LinksUpToDate>false</LinksUpToDate>
  <CharactersWithSpaces>3991</CharactersWithSpaces>
  <SharedDoc>false</SharedDoc>
  <HLinks>
    <vt:vector size="6" baseType="variant">
      <vt:variant>
        <vt:i4>6684769</vt:i4>
      </vt:variant>
      <vt:variant>
        <vt:i4>0</vt:i4>
      </vt:variant>
      <vt:variant>
        <vt:i4>0</vt:i4>
      </vt:variant>
      <vt:variant>
        <vt:i4>5</vt:i4>
      </vt:variant>
      <vt:variant>
        <vt:lpwstr>http://www.rrb.gov/pdf/AandT/g117a.pdf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BDP-230</dc:creator>
  <cp:keywords/>
  <cp:lastModifiedBy>Tucker, Kennisha</cp:lastModifiedBy>
  <cp:revision>3</cp:revision>
  <cp:lastPrinted>2016-11-29T23:16:00Z</cp:lastPrinted>
  <dcterms:created xsi:type="dcterms:W3CDTF">2020-05-22T15:44:00Z</dcterms:created>
  <dcterms:modified xsi:type="dcterms:W3CDTF">2020-05-22T15:45:00Z</dcterms:modified>
</cp:coreProperties>
</file>