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2494C" w:rsidR="00A47BB8" w:rsidP="00905941" w:rsidRDefault="00C93183" w14:paraId="54093746" w14:textId="77777777">
      <w:pPr>
        <w:pStyle w:val="Heading1"/>
      </w:pPr>
      <w:r w:rsidRPr="0032494C">
        <w:t>Section A.  Justification</w:t>
      </w:r>
    </w:p>
    <w:p w:rsidRPr="0032494C" w:rsidR="008E341D" w:rsidP="006C7470" w:rsidRDefault="008E341D" w14:paraId="7456FB0D"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rsidRPr="0032494C" w:rsidR="006C7470" w:rsidP="006C7470" w:rsidRDefault="006C7470" w14:paraId="61AD62F0" w14:textId="7C8483E4">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u w:val="single"/>
        </w:rPr>
      </w:pPr>
      <w:r w:rsidRPr="0032494C">
        <w:rPr>
          <w:rFonts w:ascii="Calibri" w:hAnsi="Calibri" w:cs="Calibri"/>
          <w:b/>
          <w:sz w:val="22"/>
          <w:szCs w:val="22"/>
          <w:u w:val="single"/>
        </w:rPr>
        <w:t>A.1. Necessity of the Information Collection</w:t>
      </w:r>
    </w:p>
    <w:p w:rsidRPr="0032494C" w:rsidR="00112C3E" w:rsidP="00553DA2" w:rsidRDefault="00112C3E" w14:paraId="0EA5EE97" w14:textId="0C0487D2">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i/>
          <w:color w:val="000000" w:themeColor="text1"/>
          <w:sz w:val="22"/>
          <w:szCs w:val="22"/>
          <w:lang w:bidi="en-US"/>
        </w:rPr>
      </w:pPr>
      <w:r w:rsidRPr="0032494C">
        <w:rPr>
          <w:rFonts w:ascii="Calibri" w:hAnsi="Calibri" w:cs="Calibri"/>
          <w:b/>
          <w:i/>
          <w:color w:val="000000" w:themeColor="text1"/>
          <w:sz w:val="22"/>
          <w:szCs w:val="22"/>
          <w:lang w:bidi="en-US"/>
        </w:rPr>
        <w:t>Project background and overview</w:t>
      </w:r>
    </w:p>
    <w:p w:rsidR="008C3BD4" w:rsidP="00553DA2" w:rsidRDefault="008C3BD4" w14:paraId="207BA4A7"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themeColor="text1"/>
          <w:sz w:val="22"/>
          <w:szCs w:val="22"/>
          <w:lang w:bidi="en-US"/>
        </w:rPr>
      </w:pPr>
    </w:p>
    <w:p w:rsidR="002D1599" w:rsidP="00553DA2" w:rsidRDefault="008C3BD4" w14:paraId="33972403" w14:textId="7C49B14B">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themeColor="text1"/>
          <w:sz w:val="22"/>
          <w:szCs w:val="22"/>
          <w:lang w:bidi="en-US"/>
        </w:rPr>
      </w:pPr>
      <w:r>
        <w:rPr>
          <w:rFonts w:ascii="Calibri" w:hAnsi="Calibri" w:cs="Calibri"/>
          <w:color w:val="000000" w:themeColor="text1"/>
          <w:sz w:val="22"/>
          <w:szCs w:val="22"/>
          <w:lang w:bidi="en-US"/>
        </w:rPr>
        <w:t xml:space="preserve">The </w:t>
      </w:r>
      <w:r w:rsidRPr="008C30E6" w:rsidR="009007E0">
        <w:rPr>
          <w:rFonts w:ascii="Calibri" w:hAnsi="Calibri" w:cs="Calibri"/>
          <w:color w:val="000000" w:themeColor="text1"/>
          <w:sz w:val="22"/>
          <w:szCs w:val="22"/>
          <w:lang w:bidi="en-US"/>
        </w:rPr>
        <w:t>Building a National Network of Museums and Libraries for School Readiness</w:t>
      </w:r>
      <w:r>
        <w:rPr>
          <w:rFonts w:ascii="Calibri" w:hAnsi="Calibri" w:cs="Calibri"/>
          <w:color w:val="000000" w:themeColor="text1"/>
          <w:sz w:val="22"/>
          <w:szCs w:val="22"/>
          <w:lang w:bidi="en-US"/>
        </w:rPr>
        <w:t xml:space="preserve"> </w:t>
      </w:r>
      <w:r w:rsidR="00734710">
        <w:rPr>
          <w:rFonts w:ascii="Calibri" w:hAnsi="Calibri" w:cs="Calibri"/>
          <w:color w:val="000000" w:themeColor="text1"/>
          <w:sz w:val="22"/>
          <w:szCs w:val="22"/>
          <w:lang w:bidi="en-US"/>
        </w:rPr>
        <w:t>P</w:t>
      </w:r>
      <w:r w:rsidR="003702C7">
        <w:rPr>
          <w:rFonts w:ascii="Calibri" w:hAnsi="Calibri" w:cs="Calibri"/>
          <w:color w:val="000000" w:themeColor="text1"/>
          <w:sz w:val="22"/>
          <w:szCs w:val="22"/>
          <w:lang w:bidi="en-US"/>
        </w:rPr>
        <w:t xml:space="preserve">roject </w:t>
      </w:r>
      <w:r>
        <w:rPr>
          <w:rFonts w:ascii="Calibri" w:hAnsi="Calibri" w:cs="Calibri"/>
          <w:color w:val="000000" w:themeColor="text1"/>
          <w:sz w:val="22"/>
          <w:szCs w:val="22"/>
          <w:lang w:bidi="en-US"/>
        </w:rPr>
        <w:t>(</w:t>
      </w:r>
      <w:r w:rsidR="003702C7">
        <w:rPr>
          <w:rFonts w:ascii="Calibri" w:hAnsi="Calibri" w:cs="Calibri"/>
          <w:color w:val="000000" w:themeColor="text1"/>
          <w:sz w:val="22"/>
          <w:szCs w:val="22"/>
          <w:lang w:bidi="en-US"/>
        </w:rPr>
        <w:t xml:space="preserve">hereafter designated </w:t>
      </w:r>
      <w:r w:rsidR="00817202">
        <w:rPr>
          <w:rFonts w:ascii="Calibri" w:hAnsi="Calibri" w:cs="Calibri"/>
          <w:color w:val="000000" w:themeColor="text1"/>
          <w:sz w:val="22"/>
          <w:szCs w:val="22"/>
          <w:lang w:bidi="en-US"/>
        </w:rPr>
        <w:t xml:space="preserve">the </w:t>
      </w:r>
      <w:r>
        <w:rPr>
          <w:rFonts w:ascii="Calibri" w:hAnsi="Calibri" w:cs="Calibri"/>
          <w:color w:val="000000" w:themeColor="text1"/>
          <w:sz w:val="22"/>
          <w:szCs w:val="22"/>
          <w:lang w:bidi="en-US"/>
        </w:rPr>
        <w:t>SRP)</w:t>
      </w:r>
      <w:r w:rsidRPr="008C30E6" w:rsidR="009007E0">
        <w:rPr>
          <w:rFonts w:ascii="Calibri" w:hAnsi="Calibri" w:cs="Calibri"/>
          <w:color w:val="000000" w:themeColor="text1"/>
          <w:sz w:val="22"/>
          <w:szCs w:val="22"/>
          <w:lang w:bidi="en-US"/>
        </w:rPr>
        <w:t xml:space="preserve"> is an expression of the mission of </w:t>
      </w:r>
      <w:r w:rsidR="009007E0">
        <w:rPr>
          <w:rFonts w:ascii="Calibri" w:hAnsi="Calibri" w:cs="Calibri"/>
          <w:color w:val="000000" w:themeColor="text1"/>
          <w:sz w:val="22"/>
          <w:szCs w:val="22"/>
          <w:lang w:bidi="en-US"/>
        </w:rPr>
        <w:t xml:space="preserve">the </w:t>
      </w:r>
      <w:r w:rsidRPr="0032494C" w:rsidR="009007E0">
        <w:rPr>
          <w:rFonts w:ascii="Calibri" w:hAnsi="Calibri" w:cs="Calibri"/>
          <w:color w:val="000000" w:themeColor="text1"/>
          <w:sz w:val="22"/>
          <w:szCs w:val="22"/>
          <w:lang w:bidi="en-US"/>
        </w:rPr>
        <w:t>Institute of Museum and Library Services</w:t>
      </w:r>
      <w:r w:rsidRPr="008C30E6" w:rsidR="009007E0">
        <w:rPr>
          <w:rFonts w:ascii="Calibri" w:hAnsi="Calibri" w:cs="Calibri"/>
          <w:color w:val="000000" w:themeColor="text1"/>
          <w:sz w:val="22"/>
          <w:szCs w:val="22"/>
          <w:lang w:bidi="en-US"/>
        </w:rPr>
        <w:t xml:space="preserve"> </w:t>
      </w:r>
      <w:r w:rsidR="00DB3D57">
        <w:rPr>
          <w:rFonts w:ascii="Calibri" w:hAnsi="Calibri" w:cs="Calibri"/>
          <w:color w:val="000000" w:themeColor="text1"/>
          <w:sz w:val="22"/>
          <w:szCs w:val="22"/>
          <w:lang w:bidi="en-US"/>
        </w:rPr>
        <w:t xml:space="preserve">(IMLS) </w:t>
      </w:r>
      <w:r w:rsidRPr="008C30E6" w:rsidR="009007E0">
        <w:rPr>
          <w:rFonts w:ascii="Calibri" w:hAnsi="Calibri" w:cs="Calibri"/>
          <w:color w:val="000000" w:themeColor="text1"/>
          <w:sz w:val="22"/>
          <w:szCs w:val="22"/>
          <w:lang w:bidi="en-US"/>
        </w:rPr>
        <w:t>to “</w:t>
      </w:r>
      <w:r w:rsidRPr="00EA3532" w:rsidR="00EA3532">
        <w:rPr>
          <w:rFonts w:ascii="Calibri" w:hAnsi="Calibri" w:cs="Calibri"/>
          <w:color w:val="000000" w:themeColor="text1"/>
          <w:sz w:val="22"/>
          <w:szCs w:val="22"/>
          <w:lang w:bidi="en-US"/>
        </w:rPr>
        <w:t>advance, support, and empower America's museums, libraries, and related organizations through grantmaking, research, and policy development.</w:t>
      </w:r>
      <w:r w:rsidRPr="008C30E6" w:rsidR="009007E0">
        <w:rPr>
          <w:rFonts w:ascii="Calibri" w:hAnsi="Calibri" w:cs="Calibri"/>
          <w:color w:val="000000" w:themeColor="text1"/>
          <w:sz w:val="22"/>
          <w:szCs w:val="22"/>
          <w:lang w:bidi="en-US"/>
        </w:rPr>
        <w:t xml:space="preserve">” </w:t>
      </w:r>
      <w:r w:rsidR="00DB3D57">
        <w:rPr>
          <w:rFonts w:ascii="Calibri" w:hAnsi="Calibri" w:cs="Calibri"/>
          <w:color w:val="000000" w:themeColor="text1"/>
          <w:sz w:val="22"/>
          <w:szCs w:val="22"/>
          <w:lang w:bidi="en-US"/>
        </w:rPr>
        <w:t>IMLS</w:t>
      </w:r>
      <w:r w:rsidRPr="0032494C" w:rsidR="006C7470">
        <w:rPr>
          <w:rFonts w:ascii="Calibri" w:hAnsi="Calibri" w:cs="Calibri"/>
          <w:color w:val="000000" w:themeColor="text1"/>
          <w:sz w:val="22"/>
          <w:szCs w:val="22"/>
          <w:lang w:bidi="en-US"/>
        </w:rPr>
        <w:t xml:space="preserve"> </w:t>
      </w:r>
      <w:r w:rsidR="00B117F8">
        <w:rPr>
          <w:rFonts w:ascii="Calibri" w:hAnsi="Calibri" w:cs="Calibri"/>
          <w:color w:val="000000" w:themeColor="text1"/>
          <w:sz w:val="22"/>
          <w:szCs w:val="22"/>
          <w:lang w:bidi="en-US"/>
        </w:rPr>
        <w:t>is f</w:t>
      </w:r>
      <w:r w:rsidRPr="0032494C" w:rsidR="006C7470">
        <w:rPr>
          <w:rFonts w:ascii="Calibri" w:hAnsi="Calibri" w:cs="Calibri"/>
          <w:color w:val="000000" w:themeColor="text1"/>
          <w:sz w:val="22"/>
          <w:szCs w:val="22"/>
          <w:lang w:bidi="en-US"/>
        </w:rPr>
        <w:t>und</w:t>
      </w:r>
      <w:r w:rsidR="00B117F8">
        <w:rPr>
          <w:rFonts w:ascii="Calibri" w:hAnsi="Calibri" w:cs="Calibri"/>
          <w:color w:val="000000" w:themeColor="text1"/>
          <w:sz w:val="22"/>
          <w:szCs w:val="22"/>
          <w:lang w:bidi="en-US"/>
        </w:rPr>
        <w:t>ing</w:t>
      </w:r>
      <w:r w:rsidRPr="0032494C" w:rsidR="006C7470">
        <w:rPr>
          <w:rFonts w:ascii="Calibri" w:hAnsi="Calibri" w:cs="Calibri"/>
          <w:color w:val="000000" w:themeColor="text1"/>
          <w:sz w:val="22"/>
          <w:szCs w:val="22"/>
          <w:lang w:bidi="en-US"/>
        </w:rPr>
        <w:t xml:space="preserve"> the Boston Children’s Museum</w:t>
      </w:r>
      <w:r w:rsidRPr="0032494C" w:rsidR="00D00544">
        <w:rPr>
          <w:rFonts w:ascii="Calibri" w:hAnsi="Calibri" w:cs="Calibri"/>
          <w:color w:val="000000" w:themeColor="text1"/>
          <w:sz w:val="22"/>
          <w:szCs w:val="22"/>
          <w:lang w:bidi="en-US"/>
        </w:rPr>
        <w:t xml:space="preserve"> (BCM)</w:t>
      </w:r>
      <w:r w:rsidR="0016085C">
        <w:rPr>
          <w:rFonts w:ascii="Calibri" w:hAnsi="Calibri" w:cs="Calibri"/>
          <w:color w:val="000000" w:themeColor="text1"/>
          <w:sz w:val="22"/>
          <w:szCs w:val="22"/>
          <w:lang w:bidi="en-US"/>
        </w:rPr>
        <w:t xml:space="preserve"> </w:t>
      </w:r>
      <w:r w:rsidR="00B117F8">
        <w:rPr>
          <w:rFonts w:ascii="Calibri" w:hAnsi="Calibri" w:cs="Calibri"/>
          <w:color w:val="000000" w:themeColor="text1"/>
          <w:sz w:val="22"/>
          <w:szCs w:val="22"/>
          <w:lang w:bidi="en-US"/>
        </w:rPr>
        <w:t xml:space="preserve">a second time in order </w:t>
      </w:r>
      <w:r w:rsidR="0016085C">
        <w:rPr>
          <w:rFonts w:ascii="Calibri" w:hAnsi="Calibri" w:cs="Calibri"/>
          <w:color w:val="000000" w:themeColor="text1"/>
          <w:sz w:val="22"/>
          <w:szCs w:val="22"/>
          <w:lang w:bidi="en-US"/>
        </w:rPr>
        <w:t>to</w:t>
      </w:r>
      <w:r>
        <w:rPr>
          <w:rFonts w:ascii="Calibri" w:hAnsi="Calibri" w:cs="Calibri"/>
          <w:color w:val="000000" w:themeColor="text1"/>
          <w:sz w:val="22"/>
          <w:szCs w:val="22"/>
          <w:lang w:bidi="en-US"/>
        </w:rPr>
        <w:t xml:space="preserve"> </w:t>
      </w:r>
      <w:r w:rsidR="005B0C1A">
        <w:rPr>
          <w:rFonts w:ascii="Calibri" w:hAnsi="Calibri" w:cs="Calibri"/>
          <w:color w:val="000000" w:themeColor="text1"/>
          <w:sz w:val="22"/>
          <w:szCs w:val="22"/>
          <w:lang w:bidi="en-US"/>
        </w:rPr>
        <w:t>scal</w:t>
      </w:r>
      <w:r w:rsidR="00B117F8">
        <w:rPr>
          <w:rFonts w:ascii="Calibri" w:hAnsi="Calibri" w:cs="Calibri"/>
          <w:color w:val="000000" w:themeColor="text1"/>
          <w:sz w:val="22"/>
          <w:szCs w:val="22"/>
          <w:lang w:bidi="en-US"/>
        </w:rPr>
        <w:t>e the SRP</w:t>
      </w:r>
      <w:r w:rsidR="005B0C1A">
        <w:rPr>
          <w:rFonts w:ascii="Calibri" w:hAnsi="Calibri" w:cs="Calibri"/>
          <w:color w:val="000000" w:themeColor="text1"/>
          <w:sz w:val="22"/>
          <w:szCs w:val="22"/>
          <w:lang w:bidi="en-US"/>
        </w:rPr>
        <w:t xml:space="preserve"> into </w:t>
      </w:r>
      <w:r w:rsidR="00615B5C">
        <w:rPr>
          <w:rFonts w:ascii="Calibri" w:hAnsi="Calibri" w:cs="Calibri"/>
          <w:color w:val="000000" w:themeColor="text1"/>
          <w:sz w:val="22"/>
          <w:szCs w:val="22"/>
          <w:lang w:bidi="en-US"/>
        </w:rPr>
        <w:t xml:space="preserve">three </w:t>
      </w:r>
      <w:r w:rsidRPr="0032494C" w:rsidR="0071160C">
        <w:rPr>
          <w:rFonts w:ascii="Calibri" w:hAnsi="Calibri" w:cs="Calibri"/>
          <w:color w:val="000000" w:themeColor="text1"/>
          <w:sz w:val="22"/>
          <w:szCs w:val="22"/>
          <w:lang w:bidi="en-US"/>
        </w:rPr>
        <w:t>new states</w:t>
      </w:r>
      <w:r w:rsidR="00D80663">
        <w:rPr>
          <w:rFonts w:ascii="Calibri" w:hAnsi="Calibri" w:cs="Calibri"/>
          <w:color w:val="000000" w:themeColor="text1"/>
          <w:sz w:val="22"/>
          <w:szCs w:val="22"/>
          <w:lang w:bidi="en-US"/>
        </w:rPr>
        <w:t xml:space="preserve">, </w:t>
      </w:r>
      <w:r w:rsidR="00635DFD">
        <w:rPr>
          <w:rFonts w:ascii="Calibri" w:hAnsi="Calibri" w:cs="Calibri"/>
          <w:color w:val="000000" w:themeColor="text1"/>
          <w:sz w:val="22"/>
          <w:szCs w:val="22"/>
          <w:lang w:bidi="en-US"/>
        </w:rPr>
        <w:t xml:space="preserve">for a total of </w:t>
      </w:r>
      <w:r w:rsidR="00D80663">
        <w:rPr>
          <w:rFonts w:ascii="Calibri" w:hAnsi="Calibri" w:cs="Calibri"/>
          <w:color w:val="000000" w:themeColor="text1"/>
          <w:sz w:val="22"/>
          <w:szCs w:val="22"/>
          <w:lang w:bidi="en-US"/>
        </w:rPr>
        <w:t>six</w:t>
      </w:r>
      <w:r w:rsidRPr="0032494C" w:rsidR="00DF57B8">
        <w:rPr>
          <w:rFonts w:ascii="Calibri" w:hAnsi="Calibri" w:cs="Calibri"/>
          <w:color w:val="000000" w:themeColor="text1"/>
          <w:sz w:val="22"/>
          <w:szCs w:val="22"/>
          <w:lang w:bidi="en-US"/>
        </w:rPr>
        <w:t>.</w:t>
      </w:r>
      <w:r w:rsidRPr="0032494C" w:rsidR="005C14ED">
        <w:rPr>
          <w:rFonts w:ascii="Calibri" w:hAnsi="Calibri" w:cs="Calibri"/>
          <w:color w:val="000000" w:themeColor="text1"/>
          <w:sz w:val="22"/>
          <w:szCs w:val="22"/>
          <w:lang w:bidi="en-US"/>
        </w:rPr>
        <w:t xml:space="preserve"> </w:t>
      </w:r>
      <w:r w:rsidR="005718AC">
        <w:rPr>
          <w:rFonts w:ascii="Calibri" w:hAnsi="Calibri" w:cs="Calibri"/>
          <w:color w:val="000000" w:themeColor="text1"/>
          <w:sz w:val="22"/>
          <w:szCs w:val="22"/>
          <w:lang w:bidi="en-US"/>
        </w:rPr>
        <w:t xml:space="preserve">The </w:t>
      </w:r>
      <w:r w:rsidR="00FC0BAA">
        <w:rPr>
          <w:rFonts w:ascii="Calibri" w:hAnsi="Calibri" w:cs="Calibri"/>
          <w:color w:val="000000" w:themeColor="text1"/>
          <w:sz w:val="22"/>
          <w:szCs w:val="22"/>
          <w:lang w:bidi="en-US"/>
        </w:rPr>
        <w:t>SRP’s goal is</w:t>
      </w:r>
      <w:r w:rsidRPr="0032494C" w:rsidR="005C14ED">
        <w:rPr>
          <w:rFonts w:ascii="Calibri" w:hAnsi="Calibri" w:cs="Calibri"/>
          <w:color w:val="000000" w:themeColor="text1"/>
          <w:sz w:val="22"/>
          <w:szCs w:val="22"/>
          <w:lang w:bidi="en-US"/>
        </w:rPr>
        <w:t xml:space="preserve"> to amplify the strength of organizations serving </w:t>
      </w:r>
      <w:r w:rsidR="00B117F8">
        <w:rPr>
          <w:rFonts w:ascii="Calibri" w:hAnsi="Calibri" w:cs="Calibri"/>
          <w:color w:val="000000" w:themeColor="text1"/>
          <w:sz w:val="22"/>
          <w:szCs w:val="22"/>
          <w:lang w:bidi="en-US"/>
        </w:rPr>
        <w:t xml:space="preserve">early </w:t>
      </w:r>
      <w:r w:rsidR="00385E87">
        <w:rPr>
          <w:rFonts w:ascii="Calibri" w:hAnsi="Calibri" w:cs="Calibri"/>
          <w:color w:val="000000" w:themeColor="text1"/>
          <w:sz w:val="22"/>
          <w:szCs w:val="22"/>
          <w:lang w:bidi="en-US"/>
        </w:rPr>
        <w:t>learners</w:t>
      </w:r>
      <w:r w:rsidRPr="0032494C" w:rsidR="005C14ED">
        <w:rPr>
          <w:rFonts w:ascii="Calibri" w:hAnsi="Calibri" w:cs="Calibri"/>
          <w:color w:val="000000" w:themeColor="text1"/>
          <w:sz w:val="22"/>
          <w:szCs w:val="22"/>
          <w:lang w:bidi="en-US"/>
        </w:rPr>
        <w:t xml:space="preserve"> and </w:t>
      </w:r>
      <w:r w:rsidR="00B117F8">
        <w:rPr>
          <w:rFonts w:ascii="Calibri" w:hAnsi="Calibri" w:cs="Calibri"/>
          <w:color w:val="000000" w:themeColor="text1"/>
          <w:sz w:val="22"/>
          <w:szCs w:val="22"/>
          <w:lang w:bidi="en-US"/>
        </w:rPr>
        <w:t xml:space="preserve">their </w:t>
      </w:r>
      <w:r w:rsidRPr="0032494C" w:rsidR="005C14ED">
        <w:rPr>
          <w:rFonts w:ascii="Calibri" w:hAnsi="Calibri" w:cs="Calibri"/>
          <w:color w:val="000000" w:themeColor="text1"/>
          <w:sz w:val="22"/>
          <w:szCs w:val="22"/>
          <w:lang w:bidi="en-US"/>
        </w:rPr>
        <w:t xml:space="preserve">families by forming </w:t>
      </w:r>
      <w:r w:rsidRPr="0032494C" w:rsidR="006B7BF5">
        <w:rPr>
          <w:rFonts w:ascii="Calibri" w:hAnsi="Calibri" w:cs="Calibri"/>
          <w:color w:val="000000" w:themeColor="text1"/>
          <w:sz w:val="22"/>
          <w:szCs w:val="22"/>
          <w:lang w:bidi="en-US"/>
        </w:rPr>
        <w:t xml:space="preserve">networks </w:t>
      </w:r>
      <w:r w:rsidRPr="0032494C" w:rsidR="00583ED6">
        <w:rPr>
          <w:rFonts w:ascii="Calibri" w:hAnsi="Calibri" w:cs="Calibri"/>
          <w:color w:val="000000" w:themeColor="text1"/>
          <w:sz w:val="22"/>
          <w:szCs w:val="22"/>
          <w:lang w:bidi="en-US"/>
        </w:rPr>
        <w:t xml:space="preserve">between and across these organizations. In doing so, this project </w:t>
      </w:r>
      <w:r w:rsidR="009C4906">
        <w:rPr>
          <w:rFonts w:ascii="Calibri" w:hAnsi="Calibri" w:cs="Calibri"/>
          <w:color w:val="000000" w:themeColor="text1"/>
          <w:sz w:val="22"/>
          <w:szCs w:val="22"/>
          <w:lang w:bidi="en-US"/>
        </w:rPr>
        <w:t>will</w:t>
      </w:r>
      <w:r w:rsidR="00F63BBD">
        <w:rPr>
          <w:rFonts w:ascii="Calibri" w:hAnsi="Calibri" w:cs="Calibri"/>
          <w:color w:val="000000" w:themeColor="text1"/>
          <w:sz w:val="22"/>
          <w:szCs w:val="22"/>
          <w:lang w:bidi="en-US"/>
        </w:rPr>
        <w:t xml:space="preserve"> </w:t>
      </w:r>
      <w:r w:rsidR="000B0A6B">
        <w:rPr>
          <w:rFonts w:ascii="Calibri" w:hAnsi="Calibri" w:cs="Calibri"/>
          <w:color w:val="000000" w:themeColor="text1"/>
          <w:sz w:val="22"/>
          <w:szCs w:val="22"/>
          <w:lang w:bidi="en-US"/>
        </w:rPr>
        <w:t xml:space="preserve">prepare museum, </w:t>
      </w:r>
      <w:r w:rsidR="00F63BBD">
        <w:rPr>
          <w:rFonts w:ascii="Calibri" w:hAnsi="Calibri" w:cs="Calibri"/>
          <w:color w:val="000000" w:themeColor="text1"/>
          <w:sz w:val="22"/>
          <w:szCs w:val="22"/>
          <w:lang w:bidi="en-US"/>
        </w:rPr>
        <w:t>library</w:t>
      </w:r>
      <w:r w:rsidR="00766656">
        <w:rPr>
          <w:rFonts w:ascii="Calibri" w:hAnsi="Calibri" w:cs="Calibri"/>
          <w:color w:val="000000" w:themeColor="text1"/>
          <w:sz w:val="22"/>
          <w:szCs w:val="22"/>
          <w:lang w:bidi="en-US"/>
        </w:rPr>
        <w:t>,</w:t>
      </w:r>
      <w:r w:rsidR="000B0A6B">
        <w:rPr>
          <w:rFonts w:ascii="Calibri" w:hAnsi="Calibri" w:cs="Calibri"/>
          <w:color w:val="000000" w:themeColor="text1"/>
          <w:sz w:val="22"/>
          <w:szCs w:val="22"/>
          <w:lang w:bidi="en-US"/>
        </w:rPr>
        <w:t xml:space="preserve"> and </w:t>
      </w:r>
      <w:r w:rsidR="0034419C">
        <w:rPr>
          <w:rFonts w:ascii="Calibri" w:hAnsi="Calibri" w:cs="Calibri"/>
          <w:color w:val="000000" w:themeColor="text1"/>
          <w:sz w:val="22"/>
          <w:szCs w:val="22"/>
          <w:lang w:bidi="en-US"/>
        </w:rPr>
        <w:t>o</w:t>
      </w:r>
      <w:r w:rsidR="000B0A6B">
        <w:rPr>
          <w:rFonts w:ascii="Calibri" w:hAnsi="Calibri" w:cs="Calibri"/>
          <w:color w:val="000000" w:themeColor="text1"/>
          <w:sz w:val="22"/>
          <w:szCs w:val="22"/>
          <w:lang w:bidi="en-US"/>
        </w:rPr>
        <w:t xml:space="preserve">ther informal </w:t>
      </w:r>
      <w:r w:rsidR="0034419C">
        <w:rPr>
          <w:rFonts w:ascii="Calibri" w:hAnsi="Calibri" w:cs="Calibri"/>
          <w:color w:val="000000" w:themeColor="text1"/>
          <w:sz w:val="22"/>
          <w:szCs w:val="22"/>
          <w:lang w:bidi="en-US"/>
        </w:rPr>
        <w:t xml:space="preserve">early childhood education practitioners </w:t>
      </w:r>
      <w:r w:rsidRPr="0032494C" w:rsidR="00455D57">
        <w:rPr>
          <w:rFonts w:ascii="Calibri" w:hAnsi="Calibri" w:cs="Calibri"/>
          <w:color w:val="000000" w:themeColor="text1"/>
          <w:sz w:val="22"/>
          <w:szCs w:val="22"/>
          <w:lang w:bidi="en-US"/>
        </w:rPr>
        <w:t xml:space="preserve">to </w:t>
      </w:r>
      <w:r w:rsidR="00D05648">
        <w:rPr>
          <w:rFonts w:ascii="Calibri" w:hAnsi="Calibri" w:cs="Calibri"/>
          <w:color w:val="000000" w:themeColor="text1"/>
          <w:sz w:val="22"/>
          <w:szCs w:val="22"/>
          <w:lang w:bidi="en-US"/>
        </w:rPr>
        <w:t>ensure</w:t>
      </w:r>
      <w:r w:rsidRPr="0032494C" w:rsidR="00D05648">
        <w:rPr>
          <w:rFonts w:ascii="Calibri" w:hAnsi="Calibri" w:cs="Calibri"/>
          <w:color w:val="000000" w:themeColor="text1"/>
          <w:sz w:val="22"/>
          <w:szCs w:val="22"/>
          <w:lang w:bidi="en-US"/>
        </w:rPr>
        <w:t xml:space="preserve"> </w:t>
      </w:r>
      <w:r w:rsidRPr="0032494C" w:rsidR="005C14ED">
        <w:rPr>
          <w:rFonts w:ascii="Calibri" w:hAnsi="Calibri" w:cs="Calibri"/>
          <w:color w:val="000000" w:themeColor="text1"/>
          <w:sz w:val="22"/>
          <w:szCs w:val="22"/>
          <w:lang w:bidi="en-US"/>
        </w:rPr>
        <w:t xml:space="preserve">children in </w:t>
      </w:r>
      <w:r w:rsidRPr="0032494C" w:rsidR="00455D57">
        <w:rPr>
          <w:rFonts w:ascii="Calibri" w:hAnsi="Calibri" w:cs="Calibri"/>
          <w:color w:val="000000" w:themeColor="text1"/>
          <w:sz w:val="22"/>
          <w:szCs w:val="22"/>
          <w:lang w:bidi="en-US"/>
        </w:rPr>
        <w:t xml:space="preserve">all </w:t>
      </w:r>
      <w:r w:rsidRPr="0032494C" w:rsidR="005C14ED">
        <w:rPr>
          <w:rFonts w:ascii="Calibri" w:hAnsi="Calibri" w:cs="Calibri"/>
          <w:color w:val="000000" w:themeColor="text1"/>
          <w:sz w:val="22"/>
          <w:szCs w:val="22"/>
          <w:lang w:bidi="en-US"/>
        </w:rPr>
        <w:t>regions, regardless of socio-economic or linguistic background, hav</w:t>
      </w:r>
      <w:r w:rsidR="00B204C4">
        <w:rPr>
          <w:rFonts w:ascii="Calibri" w:hAnsi="Calibri" w:cs="Calibri"/>
          <w:color w:val="000000" w:themeColor="text1"/>
          <w:sz w:val="22"/>
          <w:szCs w:val="22"/>
          <w:lang w:bidi="en-US"/>
        </w:rPr>
        <w:t>e</w:t>
      </w:r>
      <w:r w:rsidRPr="0032494C" w:rsidR="005C14ED">
        <w:rPr>
          <w:rFonts w:ascii="Calibri" w:hAnsi="Calibri" w:cs="Calibri"/>
          <w:color w:val="000000" w:themeColor="text1"/>
          <w:sz w:val="22"/>
          <w:szCs w:val="22"/>
          <w:lang w:bidi="en-US"/>
        </w:rPr>
        <w:t xml:space="preserve"> the skills needed to enter school prepared for success. </w:t>
      </w:r>
    </w:p>
    <w:p w:rsidR="002D1599" w:rsidP="00553DA2" w:rsidRDefault="002D1599" w14:paraId="5A86C7E6"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themeColor="text1"/>
          <w:sz w:val="22"/>
          <w:szCs w:val="22"/>
          <w:lang w:bidi="en-US"/>
        </w:rPr>
      </w:pPr>
    </w:p>
    <w:p w:rsidR="001666B5" w:rsidRDefault="001666B5" w14:paraId="6968D5CA" w14:textId="336EE81C">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themeColor="text1"/>
          <w:sz w:val="22"/>
          <w:szCs w:val="22"/>
          <w:lang w:bidi="en-US"/>
        </w:rPr>
      </w:pPr>
      <w:r w:rsidRPr="008C30E6">
        <w:rPr>
          <w:rFonts w:ascii="Calibri" w:hAnsi="Calibri" w:cs="Calibri"/>
          <w:color w:val="000000" w:themeColor="text1"/>
          <w:sz w:val="22"/>
          <w:szCs w:val="22"/>
          <w:lang w:bidi="en-US"/>
        </w:rPr>
        <w:t>IMLS has leveraged the ability of museums and libraries to promote early learning at the community, state, and national levels and as part of inter-agency initiatives</w:t>
      </w:r>
      <w:r w:rsidR="001D3A09">
        <w:rPr>
          <w:rFonts w:ascii="Calibri" w:hAnsi="Calibri" w:cs="Calibri"/>
          <w:color w:val="000000" w:themeColor="text1"/>
          <w:sz w:val="22"/>
          <w:szCs w:val="22"/>
          <w:lang w:bidi="en-US"/>
        </w:rPr>
        <w:t xml:space="preserve"> for many years</w:t>
      </w:r>
      <w:r w:rsidRPr="008C30E6">
        <w:rPr>
          <w:rFonts w:ascii="Calibri" w:hAnsi="Calibri" w:cs="Calibri"/>
          <w:color w:val="000000" w:themeColor="text1"/>
          <w:sz w:val="22"/>
          <w:szCs w:val="22"/>
          <w:lang w:bidi="en-US"/>
        </w:rPr>
        <w:t xml:space="preserve">. </w:t>
      </w:r>
      <w:r w:rsidR="000E0B42">
        <w:rPr>
          <w:rFonts w:ascii="Calibri" w:hAnsi="Calibri" w:cs="Calibri"/>
          <w:color w:val="000000" w:themeColor="text1"/>
          <w:sz w:val="22"/>
          <w:szCs w:val="22"/>
          <w:lang w:bidi="en-US"/>
        </w:rPr>
        <w:t xml:space="preserve">This project </w:t>
      </w:r>
      <w:r w:rsidRPr="0032494C" w:rsidR="000E0B42">
        <w:rPr>
          <w:rFonts w:ascii="Calibri" w:hAnsi="Calibri" w:cs="Calibri"/>
          <w:color w:val="000000" w:themeColor="text1"/>
          <w:sz w:val="22"/>
          <w:szCs w:val="22"/>
          <w:lang w:bidi="en-US"/>
        </w:rPr>
        <w:t xml:space="preserve">strongly </w:t>
      </w:r>
      <w:r w:rsidR="00B20D06">
        <w:rPr>
          <w:rFonts w:ascii="Calibri" w:hAnsi="Calibri" w:cs="Calibri"/>
          <w:color w:val="000000" w:themeColor="text1"/>
          <w:sz w:val="22"/>
          <w:szCs w:val="22"/>
          <w:lang w:bidi="en-US"/>
        </w:rPr>
        <w:t>aligns</w:t>
      </w:r>
      <w:r w:rsidR="000E0B42">
        <w:rPr>
          <w:rFonts w:ascii="Calibri" w:hAnsi="Calibri" w:cs="Calibri"/>
          <w:color w:val="000000" w:themeColor="text1"/>
          <w:sz w:val="22"/>
          <w:szCs w:val="22"/>
          <w:lang w:bidi="en-US"/>
        </w:rPr>
        <w:t xml:space="preserve"> </w:t>
      </w:r>
      <w:r w:rsidR="00D63599">
        <w:rPr>
          <w:rFonts w:ascii="Calibri" w:hAnsi="Calibri" w:cs="Calibri"/>
          <w:color w:val="000000" w:themeColor="text1"/>
          <w:sz w:val="22"/>
          <w:szCs w:val="22"/>
          <w:lang w:bidi="en-US"/>
        </w:rPr>
        <w:t xml:space="preserve">IMLS’s legacy of supporting early learning </w:t>
      </w:r>
      <w:r w:rsidRPr="723A0852" w:rsidR="19C2064C">
        <w:rPr>
          <w:rFonts w:ascii="Calibri" w:hAnsi="Calibri" w:cs="Calibri"/>
          <w:color w:val="000000" w:themeColor="text1"/>
          <w:sz w:val="22"/>
          <w:szCs w:val="22"/>
          <w:lang w:bidi="en-US"/>
        </w:rPr>
        <w:t xml:space="preserve">with one of the goals in </w:t>
      </w:r>
      <w:r w:rsidR="00D63599">
        <w:rPr>
          <w:rFonts w:ascii="Calibri" w:hAnsi="Calibri" w:cs="Calibri"/>
          <w:color w:val="000000" w:themeColor="text1"/>
          <w:sz w:val="22"/>
          <w:szCs w:val="22"/>
          <w:lang w:bidi="en-US"/>
        </w:rPr>
        <w:t xml:space="preserve">its </w:t>
      </w:r>
      <w:r w:rsidR="00456701">
        <w:rPr>
          <w:rFonts w:ascii="Calibri" w:hAnsi="Calibri" w:cs="Calibri"/>
          <w:color w:val="000000" w:themeColor="text1"/>
          <w:sz w:val="22"/>
          <w:szCs w:val="22"/>
          <w:lang w:bidi="en-US"/>
        </w:rPr>
        <w:t>current</w:t>
      </w:r>
      <w:r w:rsidR="00D63599">
        <w:rPr>
          <w:rFonts w:ascii="Calibri" w:hAnsi="Calibri" w:cs="Calibri"/>
          <w:color w:val="000000" w:themeColor="text1"/>
          <w:sz w:val="22"/>
          <w:szCs w:val="22"/>
          <w:lang w:bidi="en-US"/>
        </w:rPr>
        <w:t xml:space="preserve"> strategic plan</w:t>
      </w:r>
      <w:r w:rsidR="00B20D06">
        <w:rPr>
          <w:rFonts w:ascii="Calibri" w:hAnsi="Calibri" w:cs="Calibri"/>
          <w:color w:val="000000" w:themeColor="text1"/>
          <w:sz w:val="22"/>
          <w:szCs w:val="22"/>
          <w:lang w:bidi="en-US"/>
        </w:rPr>
        <w:t xml:space="preserve">, </w:t>
      </w:r>
      <w:hyperlink w:history="1" r:id="rId11">
        <w:r w:rsidRPr="00B20D06" w:rsidR="00B20D06">
          <w:rPr>
            <w:rStyle w:val="Hyperlink"/>
            <w:rFonts w:ascii="Calibri" w:hAnsi="Calibri" w:cs="Calibri"/>
            <w:sz w:val="22"/>
            <w:szCs w:val="22"/>
            <w:lang w:bidi="en-US"/>
          </w:rPr>
          <w:t>Transforming Communities</w:t>
        </w:r>
      </w:hyperlink>
      <w:r w:rsidRPr="723A0852" w:rsidR="19A06266">
        <w:rPr>
          <w:rStyle w:val="Hyperlink"/>
          <w:rFonts w:ascii="Calibri" w:hAnsi="Calibri" w:cs="Calibri"/>
          <w:sz w:val="22"/>
          <w:szCs w:val="22"/>
          <w:lang w:bidi="en-US"/>
        </w:rPr>
        <w:t xml:space="preserve">: </w:t>
      </w:r>
      <w:r w:rsidRPr="723A0852" w:rsidR="000E0B42">
        <w:rPr>
          <w:rFonts w:ascii="Calibri" w:hAnsi="Calibri" w:cs="Calibri"/>
          <w:color w:val="000000" w:themeColor="text1"/>
          <w:sz w:val="22"/>
          <w:szCs w:val="22"/>
          <w:lang w:bidi="en-US"/>
        </w:rPr>
        <w:t>build</w:t>
      </w:r>
      <w:r w:rsidRPr="723A0852" w:rsidR="6164AF0C">
        <w:rPr>
          <w:rFonts w:ascii="Calibri" w:hAnsi="Calibri" w:cs="Calibri"/>
          <w:color w:val="000000" w:themeColor="text1"/>
          <w:sz w:val="22"/>
          <w:szCs w:val="22"/>
          <w:lang w:bidi="en-US"/>
        </w:rPr>
        <w:t>ing</w:t>
      </w:r>
      <w:r w:rsidR="00917AE7">
        <w:rPr>
          <w:rFonts w:ascii="Calibri" w:hAnsi="Calibri" w:cs="Calibri"/>
          <w:color w:val="000000" w:themeColor="text1"/>
          <w:sz w:val="22"/>
          <w:szCs w:val="22"/>
          <w:lang w:bidi="en-US"/>
        </w:rPr>
        <w:t xml:space="preserve"> the </w:t>
      </w:r>
      <w:r w:rsidRPr="0032494C" w:rsidR="000E0B42">
        <w:rPr>
          <w:rFonts w:ascii="Calibri" w:hAnsi="Calibri" w:cs="Calibri"/>
          <w:color w:val="000000" w:themeColor="text1"/>
          <w:sz w:val="22"/>
          <w:szCs w:val="22"/>
          <w:lang w:bidi="en-US"/>
        </w:rPr>
        <w:t xml:space="preserve">capacity </w:t>
      </w:r>
      <w:r w:rsidR="00917AE7">
        <w:rPr>
          <w:rFonts w:ascii="Calibri" w:hAnsi="Calibri" w:cs="Calibri"/>
          <w:color w:val="000000" w:themeColor="text1"/>
          <w:sz w:val="22"/>
          <w:szCs w:val="22"/>
          <w:lang w:bidi="en-US"/>
        </w:rPr>
        <w:t>of</w:t>
      </w:r>
      <w:r w:rsidRPr="0032494C" w:rsidR="000E0B42">
        <w:rPr>
          <w:rFonts w:ascii="Calibri" w:hAnsi="Calibri" w:cs="Calibri"/>
          <w:color w:val="000000" w:themeColor="text1"/>
          <w:sz w:val="22"/>
          <w:szCs w:val="22"/>
          <w:lang w:bidi="en-US"/>
        </w:rPr>
        <w:t xml:space="preserve"> museums and libraries</w:t>
      </w:r>
      <w:r w:rsidR="000E0B42">
        <w:rPr>
          <w:rFonts w:ascii="Calibri" w:hAnsi="Calibri" w:cs="Calibri"/>
          <w:color w:val="000000" w:themeColor="text1"/>
          <w:sz w:val="22"/>
          <w:szCs w:val="22"/>
          <w:lang w:bidi="en-US"/>
        </w:rPr>
        <w:t xml:space="preserve"> to improve the well-being of their communities</w:t>
      </w:r>
      <w:r w:rsidR="003B7B3A">
        <w:rPr>
          <w:rFonts w:ascii="Calibri" w:hAnsi="Calibri" w:cs="Calibri"/>
          <w:color w:val="000000" w:themeColor="text1"/>
          <w:sz w:val="22"/>
          <w:szCs w:val="22"/>
          <w:lang w:bidi="en-US"/>
        </w:rPr>
        <w:t xml:space="preserve">. </w:t>
      </w:r>
    </w:p>
    <w:p w:rsidR="001666B5" w:rsidP="001666B5" w:rsidRDefault="001666B5" w14:paraId="77BB3068"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themeColor="text1"/>
          <w:sz w:val="22"/>
          <w:szCs w:val="22"/>
          <w:lang w:bidi="en-US"/>
        </w:rPr>
      </w:pPr>
    </w:p>
    <w:p w:rsidR="00EB4999" w:rsidP="00553DA2" w:rsidRDefault="00766656" w14:paraId="6371265C" w14:textId="517CFE9E">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themeColor="text1"/>
          <w:sz w:val="22"/>
          <w:szCs w:val="22"/>
          <w:lang w:bidi="en-US"/>
        </w:rPr>
      </w:pPr>
      <w:r>
        <w:rPr>
          <w:rFonts w:ascii="Calibri" w:hAnsi="Calibri" w:cs="Calibri"/>
          <w:color w:val="000000" w:themeColor="text1"/>
          <w:sz w:val="22"/>
          <w:szCs w:val="22"/>
          <w:lang w:bidi="en-US"/>
        </w:rPr>
        <w:t>Promoting</w:t>
      </w:r>
      <w:r w:rsidRPr="39EAF3DE" w:rsidR="007766A3">
        <w:rPr>
          <w:rFonts w:ascii="Calibri" w:hAnsi="Calibri" w:cs="Calibri"/>
          <w:color w:val="000000" w:themeColor="text1"/>
          <w:sz w:val="22"/>
          <w:szCs w:val="22"/>
          <w:lang w:bidi="en-US"/>
        </w:rPr>
        <w:t xml:space="preserve"> </w:t>
      </w:r>
      <w:r w:rsidR="001B2A0B">
        <w:rPr>
          <w:rFonts w:ascii="Calibri" w:hAnsi="Calibri" w:cs="Calibri"/>
          <w:color w:val="000000" w:themeColor="text1"/>
          <w:sz w:val="22"/>
          <w:szCs w:val="22"/>
          <w:lang w:bidi="en-US"/>
        </w:rPr>
        <w:t>l</w:t>
      </w:r>
      <w:r w:rsidRPr="39EAF3DE" w:rsidR="007766A3">
        <w:rPr>
          <w:rFonts w:ascii="Calibri" w:hAnsi="Calibri" w:cs="Calibri"/>
          <w:color w:val="000000" w:themeColor="text1"/>
          <w:sz w:val="22"/>
          <w:szCs w:val="22"/>
          <w:lang w:bidi="en-US"/>
        </w:rPr>
        <w:t xml:space="preserve">ifelong </w:t>
      </w:r>
      <w:r w:rsidR="001B2A0B">
        <w:rPr>
          <w:rFonts w:ascii="Calibri" w:hAnsi="Calibri" w:cs="Calibri"/>
          <w:color w:val="000000" w:themeColor="text1"/>
          <w:sz w:val="22"/>
          <w:szCs w:val="22"/>
          <w:lang w:bidi="en-US"/>
        </w:rPr>
        <w:t>l</w:t>
      </w:r>
      <w:r w:rsidRPr="39EAF3DE" w:rsidR="007766A3">
        <w:rPr>
          <w:rFonts w:ascii="Calibri" w:hAnsi="Calibri" w:cs="Calibri"/>
          <w:color w:val="000000" w:themeColor="text1"/>
          <w:sz w:val="22"/>
          <w:szCs w:val="22"/>
          <w:lang w:bidi="en-US"/>
        </w:rPr>
        <w:t>earning has been and continues to be one of IMLS’</w:t>
      </w:r>
      <w:r w:rsidRPr="39EAF3DE" w:rsidR="1792AB42">
        <w:rPr>
          <w:rFonts w:ascii="Calibri" w:hAnsi="Calibri" w:cs="Calibri"/>
          <w:color w:val="000000" w:themeColor="text1"/>
          <w:sz w:val="22"/>
          <w:szCs w:val="22"/>
          <w:lang w:bidi="en-US"/>
        </w:rPr>
        <w:t>s</w:t>
      </w:r>
      <w:r w:rsidRPr="39EAF3DE" w:rsidR="007766A3">
        <w:rPr>
          <w:rFonts w:ascii="Calibri" w:hAnsi="Calibri" w:cs="Calibri"/>
          <w:color w:val="000000" w:themeColor="text1"/>
          <w:sz w:val="22"/>
          <w:szCs w:val="22"/>
          <w:lang w:bidi="en-US"/>
        </w:rPr>
        <w:t xml:space="preserve"> strategic plan goals</w:t>
      </w:r>
      <w:r w:rsidR="00E74DA5">
        <w:rPr>
          <w:rFonts w:ascii="Calibri" w:hAnsi="Calibri" w:cs="Calibri"/>
          <w:color w:val="000000" w:themeColor="text1"/>
          <w:sz w:val="22"/>
          <w:szCs w:val="22"/>
          <w:lang w:bidi="en-US"/>
        </w:rPr>
        <w:t>,</w:t>
      </w:r>
      <w:r w:rsidRPr="39EAF3DE" w:rsidR="00492099">
        <w:rPr>
          <w:rFonts w:ascii="Calibri" w:hAnsi="Calibri" w:cs="Calibri"/>
          <w:color w:val="000000" w:themeColor="text1"/>
          <w:sz w:val="22"/>
          <w:szCs w:val="22"/>
          <w:lang w:bidi="en-US"/>
        </w:rPr>
        <w:t xml:space="preserve"> and this project supports that </w:t>
      </w:r>
      <w:r w:rsidRPr="39EAF3DE" w:rsidR="0059358C">
        <w:rPr>
          <w:rFonts w:ascii="Calibri" w:hAnsi="Calibri" w:cs="Calibri"/>
          <w:color w:val="000000" w:themeColor="text1"/>
          <w:sz w:val="22"/>
          <w:szCs w:val="22"/>
          <w:lang w:bidi="en-US"/>
        </w:rPr>
        <w:t>goal</w:t>
      </w:r>
      <w:r w:rsidRPr="39EAF3DE" w:rsidR="007766A3">
        <w:rPr>
          <w:rFonts w:ascii="Calibri" w:hAnsi="Calibri" w:cs="Calibri"/>
          <w:color w:val="000000" w:themeColor="text1"/>
          <w:sz w:val="22"/>
          <w:szCs w:val="22"/>
          <w:lang w:bidi="en-US"/>
        </w:rPr>
        <w:t>.</w:t>
      </w:r>
      <w:r w:rsidRPr="39EAF3DE" w:rsidR="0059358C">
        <w:rPr>
          <w:rFonts w:ascii="Calibri" w:hAnsi="Calibri" w:cs="Calibri"/>
          <w:color w:val="000000" w:themeColor="text1"/>
          <w:sz w:val="22"/>
          <w:szCs w:val="22"/>
          <w:lang w:bidi="en-US"/>
        </w:rPr>
        <w:t xml:space="preserve"> I</w:t>
      </w:r>
      <w:r w:rsidRPr="39EAF3DE" w:rsidR="007766A3">
        <w:rPr>
          <w:rFonts w:ascii="Calibri" w:hAnsi="Calibri" w:cs="Calibri"/>
          <w:color w:val="000000" w:themeColor="text1"/>
          <w:sz w:val="22"/>
          <w:szCs w:val="22"/>
          <w:lang w:bidi="en-US"/>
        </w:rPr>
        <w:t>t is our objective to enable and empower museums and libraries to facilitate development of various literacies</w:t>
      </w:r>
      <w:r w:rsidR="00F1554E">
        <w:rPr>
          <w:rFonts w:ascii="Calibri" w:hAnsi="Calibri" w:cs="Calibri"/>
          <w:color w:val="000000" w:themeColor="text1"/>
          <w:sz w:val="22"/>
          <w:szCs w:val="22"/>
          <w:lang w:bidi="en-US"/>
        </w:rPr>
        <w:t>, including</w:t>
      </w:r>
      <w:r w:rsidRPr="39EAF3DE" w:rsidR="007766A3">
        <w:rPr>
          <w:rFonts w:ascii="Calibri" w:hAnsi="Calibri" w:cs="Calibri"/>
          <w:color w:val="000000" w:themeColor="text1"/>
          <w:sz w:val="22"/>
          <w:szCs w:val="22"/>
          <w:lang w:bidi="en-US"/>
        </w:rPr>
        <w:t xml:space="preserve"> early childhood literacies</w:t>
      </w:r>
      <w:r w:rsidR="00F1554E">
        <w:rPr>
          <w:rFonts w:ascii="Calibri" w:hAnsi="Calibri" w:cs="Calibri"/>
          <w:color w:val="000000" w:themeColor="text1"/>
          <w:sz w:val="22"/>
          <w:szCs w:val="22"/>
          <w:lang w:bidi="en-US"/>
        </w:rPr>
        <w:t>,</w:t>
      </w:r>
      <w:r w:rsidRPr="39EAF3DE" w:rsidR="007766A3">
        <w:rPr>
          <w:rFonts w:ascii="Calibri" w:hAnsi="Calibri" w:cs="Calibri"/>
          <w:color w:val="000000" w:themeColor="text1"/>
          <w:sz w:val="22"/>
          <w:szCs w:val="22"/>
          <w:lang w:bidi="en-US"/>
        </w:rPr>
        <w:t xml:space="preserve"> and </w:t>
      </w:r>
      <w:r w:rsidR="00FC421B">
        <w:rPr>
          <w:rFonts w:ascii="Calibri" w:hAnsi="Calibri" w:cs="Calibri"/>
          <w:color w:val="000000" w:themeColor="text1"/>
          <w:sz w:val="22"/>
          <w:szCs w:val="22"/>
          <w:lang w:bidi="en-US"/>
        </w:rPr>
        <w:t xml:space="preserve">to </w:t>
      </w:r>
      <w:r w:rsidRPr="39EAF3DE" w:rsidR="007766A3">
        <w:rPr>
          <w:rFonts w:ascii="Calibri" w:hAnsi="Calibri" w:cs="Calibri"/>
          <w:color w:val="000000" w:themeColor="text1"/>
          <w:sz w:val="22"/>
          <w:szCs w:val="22"/>
          <w:lang w:bidi="en-US"/>
        </w:rPr>
        <w:t xml:space="preserve">provide resources and tools to families and childcare givers to nurture these literacies in early learners. </w:t>
      </w:r>
      <w:r w:rsidRPr="39EAF3DE" w:rsidR="004A5FE6">
        <w:rPr>
          <w:rFonts w:ascii="Calibri" w:hAnsi="Calibri" w:cs="Calibri"/>
          <w:color w:val="000000" w:themeColor="text1"/>
          <w:sz w:val="22"/>
          <w:szCs w:val="22"/>
          <w:lang w:bidi="en-US"/>
        </w:rPr>
        <w:t>IMLS has supported early childhood initiatives, research studies</w:t>
      </w:r>
      <w:r w:rsidRPr="723A0852" w:rsidR="4A50BFAB">
        <w:rPr>
          <w:rFonts w:ascii="Calibri" w:hAnsi="Calibri" w:cs="Calibri"/>
          <w:color w:val="000000" w:themeColor="text1"/>
          <w:sz w:val="22"/>
          <w:szCs w:val="22"/>
          <w:lang w:bidi="en-US"/>
        </w:rPr>
        <w:t>,</w:t>
      </w:r>
      <w:r w:rsidRPr="39EAF3DE" w:rsidR="004A5FE6">
        <w:rPr>
          <w:rFonts w:ascii="Calibri" w:hAnsi="Calibri" w:cs="Calibri"/>
          <w:color w:val="000000" w:themeColor="text1"/>
          <w:sz w:val="22"/>
          <w:szCs w:val="22"/>
          <w:lang w:bidi="en-US"/>
        </w:rPr>
        <w:t xml:space="preserve"> and publications </w:t>
      </w:r>
      <w:r w:rsidR="007A201D">
        <w:rPr>
          <w:rFonts w:ascii="Calibri" w:hAnsi="Calibri" w:cs="Calibri"/>
          <w:color w:val="000000" w:themeColor="text1"/>
          <w:sz w:val="22"/>
          <w:szCs w:val="22"/>
          <w:lang w:bidi="en-US"/>
        </w:rPr>
        <w:t xml:space="preserve">involving </w:t>
      </w:r>
      <w:r w:rsidRPr="39EAF3DE" w:rsidR="004A5FE6">
        <w:rPr>
          <w:rFonts w:ascii="Calibri" w:hAnsi="Calibri" w:cs="Calibri"/>
          <w:color w:val="000000" w:themeColor="text1"/>
          <w:sz w:val="22"/>
          <w:szCs w:val="22"/>
          <w:lang w:bidi="en-US"/>
        </w:rPr>
        <w:t>within-sector and cross-sector partnerships for more than a decade</w:t>
      </w:r>
      <w:r w:rsidRPr="39EAF3DE" w:rsidR="75BF2B91">
        <w:rPr>
          <w:rFonts w:ascii="Calibri" w:hAnsi="Calibri" w:cs="Calibri"/>
          <w:color w:val="000000" w:themeColor="text1"/>
          <w:sz w:val="22"/>
          <w:szCs w:val="22"/>
          <w:lang w:bidi="en-US"/>
        </w:rPr>
        <w:t xml:space="preserve">. </w:t>
      </w:r>
      <w:r w:rsidR="00511FD5">
        <w:rPr>
          <w:rFonts w:ascii="Calibri" w:hAnsi="Calibri" w:cs="Calibri"/>
          <w:color w:val="000000" w:themeColor="text1"/>
          <w:sz w:val="22"/>
          <w:szCs w:val="22"/>
          <w:lang w:bidi="en-US"/>
        </w:rPr>
        <w:t xml:space="preserve">As </w:t>
      </w:r>
      <w:r w:rsidR="00F6407A">
        <w:rPr>
          <w:rFonts w:ascii="Calibri" w:hAnsi="Calibri" w:cs="Calibri"/>
          <w:color w:val="000000" w:themeColor="text1"/>
          <w:sz w:val="22"/>
          <w:szCs w:val="22"/>
          <w:lang w:bidi="en-US"/>
        </w:rPr>
        <w:t>m</w:t>
      </w:r>
      <w:r w:rsidRPr="39EAF3DE" w:rsidR="004A5FE6">
        <w:rPr>
          <w:rFonts w:ascii="Calibri" w:hAnsi="Calibri" w:cs="Calibri"/>
          <w:color w:val="000000" w:themeColor="text1"/>
          <w:sz w:val="22"/>
          <w:szCs w:val="22"/>
          <w:lang w:bidi="en-US"/>
        </w:rPr>
        <w:t xml:space="preserve">useums and </w:t>
      </w:r>
      <w:r w:rsidR="00F6407A">
        <w:rPr>
          <w:rFonts w:ascii="Calibri" w:hAnsi="Calibri" w:cs="Calibri"/>
          <w:color w:val="000000" w:themeColor="text1"/>
          <w:sz w:val="22"/>
          <w:szCs w:val="22"/>
          <w:lang w:bidi="en-US"/>
        </w:rPr>
        <w:t>l</w:t>
      </w:r>
      <w:r w:rsidRPr="39EAF3DE" w:rsidR="004A5FE6">
        <w:rPr>
          <w:rFonts w:ascii="Calibri" w:hAnsi="Calibri" w:cs="Calibri"/>
          <w:color w:val="000000" w:themeColor="text1"/>
          <w:sz w:val="22"/>
          <w:szCs w:val="22"/>
          <w:lang w:bidi="en-US"/>
        </w:rPr>
        <w:t xml:space="preserve">ibraries </w:t>
      </w:r>
      <w:r w:rsidR="001B28AA">
        <w:rPr>
          <w:rFonts w:ascii="Calibri" w:hAnsi="Calibri" w:cs="Calibri"/>
          <w:color w:val="000000" w:themeColor="text1"/>
          <w:sz w:val="22"/>
          <w:szCs w:val="22"/>
          <w:lang w:bidi="en-US"/>
        </w:rPr>
        <w:t xml:space="preserve">become </w:t>
      </w:r>
      <w:r w:rsidR="0021245E">
        <w:rPr>
          <w:rFonts w:ascii="Calibri" w:hAnsi="Calibri" w:cs="Calibri"/>
          <w:color w:val="000000" w:themeColor="text1"/>
          <w:sz w:val="22"/>
          <w:szCs w:val="22"/>
          <w:lang w:bidi="en-US"/>
        </w:rPr>
        <w:t>more active in</w:t>
      </w:r>
      <w:r w:rsidRPr="39EAF3DE" w:rsidR="004A5FE6">
        <w:rPr>
          <w:rFonts w:ascii="Calibri" w:hAnsi="Calibri" w:cs="Calibri"/>
          <w:color w:val="000000" w:themeColor="text1"/>
          <w:sz w:val="22"/>
          <w:szCs w:val="22"/>
          <w:lang w:bidi="en-US"/>
        </w:rPr>
        <w:t xml:space="preserve"> </w:t>
      </w:r>
      <w:r w:rsidR="00202E25">
        <w:rPr>
          <w:rFonts w:ascii="Calibri" w:hAnsi="Calibri" w:cs="Calibri"/>
          <w:color w:val="000000" w:themeColor="text1"/>
          <w:sz w:val="22"/>
          <w:szCs w:val="22"/>
          <w:lang w:bidi="en-US"/>
        </w:rPr>
        <w:t xml:space="preserve">these types of </w:t>
      </w:r>
      <w:r w:rsidRPr="39EAF3DE" w:rsidR="004A5FE6">
        <w:rPr>
          <w:rFonts w:ascii="Calibri" w:hAnsi="Calibri" w:cs="Calibri"/>
          <w:color w:val="000000" w:themeColor="text1"/>
          <w:sz w:val="22"/>
          <w:szCs w:val="22"/>
          <w:lang w:bidi="en-US"/>
        </w:rPr>
        <w:t xml:space="preserve">community </w:t>
      </w:r>
      <w:r w:rsidR="0021245E">
        <w:rPr>
          <w:rFonts w:ascii="Calibri" w:hAnsi="Calibri" w:cs="Calibri"/>
          <w:color w:val="000000" w:themeColor="text1"/>
          <w:sz w:val="22"/>
          <w:szCs w:val="22"/>
          <w:lang w:bidi="en-US"/>
        </w:rPr>
        <w:t>efforts</w:t>
      </w:r>
      <w:r w:rsidR="00FE4AFA">
        <w:rPr>
          <w:rFonts w:ascii="Calibri" w:hAnsi="Calibri" w:cs="Calibri"/>
          <w:color w:val="000000" w:themeColor="text1"/>
          <w:sz w:val="22"/>
          <w:szCs w:val="22"/>
          <w:lang w:bidi="en-US"/>
        </w:rPr>
        <w:t xml:space="preserve">, IMLS will </w:t>
      </w:r>
      <w:r w:rsidR="00C00067">
        <w:rPr>
          <w:rFonts w:ascii="Calibri" w:hAnsi="Calibri" w:cs="Calibri"/>
          <w:color w:val="000000" w:themeColor="text1"/>
          <w:sz w:val="22"/>
          <w:szCs w:val="22"/>
          <w:lang w:bidi="en-US"/>
        </w:rPr>
        <w:t xml:space="preserve">continue to support </w:t>
      </w:r>
      <w:r w:rsidR="00AE0EA3">
        <w:rPr>
          <w:rFonts w:ascii="Calibri" w:hAnsi="Calibri" w:cs="Calibri"/>
          <w:color w:val="000000" w:themeColor="text1"/>
          <w:sz w:val="22"/>
          <w:szCs w:val="22"/>
          <w:lang w:bidi="en-US"/>
        </w:rPr>
        <w:t xml:space="preserve">them as they </w:t>
      </w:r>
      <w:r w:rsidRPr="39EAF3DE" w:rsidR="004A5FE6">
        <w:rPr>
          <w:rFonts w:ascii="Calibri" w:hAnsi="Calibri" w:cs="Calibri"/>
          <w:color w:val="000000" w:themeColor="text1"/>
          <w:sz w:val="22"/>
          <w:szCs w:val="22"/>
          <w:lang w:bidi="en-US"/>
        </w:rPr>
        <w:t xml:space="preserve">drive positive change </w:t>
      </w:r>
      <w:r w:rsidR="00C24997">
        <w:rPr>
          <w:rFonts w:ascii="Calibri" w:hAnsi="Calibri" w:cs="Calibri"/>
          <w:color w:val="000000" w:themeColor="text1"/>
          <w:sz w:val="22"/>
          <w:szCs w:val="22"/>
          <w:lang w:bidi="en-US"/>
        </w:rPr>
        <w:t xml:space="preserve">using </w:t>
      </w:r>
      <w:r w:rsidRPr="39EAF3DE" w:rsidR="004A5FE6">
        <w:rPr>
          <w:rFonts w:ascii="Calibri" w:hAnsi="Calibri" w:cs="Calibri"/>
          <w:color w:val="000000" w:themeColor="text1"/>
          <w:sz w:val="22"/>
          <w:szCs w:val="22"/>
          <w:lang w:bidi="en-US"/>
        </w:rPr>
        <w:t xml:space="preserve">informal learning experience and </w:t>
      </w:r>
      <w:r w:rsidR="00467088">
        <w:rPr>
          <w:rFonts w:ascii="Calibri" w:hAnsi="Calibri" w:cs="Calibri"/>
          <w:color w:val="000000" w:themeColor="text1"/>
          <w:sz w:val="22"/>
          <w:szCs w:val="22"/>
          <w:lang w:bidi="en-US"/>
        </w:rPr>
        <w:t xml:space="preserve">professional development techniques like the </w:t>
      </w:r>
      <w:r w:rsidR="007A201D">
        <w:rPr>
          <w:rFonts w:ascii="Calibri" w:hAnsi="Calibri" w:cs="Calibri"/>
          <w:color w:val="000000" w:themeColor="text1"/>
          <w:sz w:val="22"/>
          <w:szCs w:val="22"/>
          <w:lang w:bidi="en-US"/>
        </w:rPr>
        <w:t>“</w:t>
      </w:r>
      <w:r w:rsidRPr="39EAF3DE" w:rsidR="004A5FE6">
        <w:rPr>
          <w:rFonts w:ascii="Calibri" w:hAnsi="Calibri" w:cs="Calibri"/>
          <w:color w:val="000000" w:themeColor="text1"/>
          <w:sz w:val="22"/>
          <w:szCs w:val="22"/>
          <w:lang w:bidi="en-US"/>
        </w:rPr>
        <w:t>train the trainer</w:t>
      </w:r>
      <w:r w:rsidR="007A201D">
        <w:rPr>
          <w:rFonts w:ascii="Calibri" w:hAnsi="Calibri" w:cs="Calibri"/>
          <w:color w:val="000000" w:themeColor="text1"/>
          <w:sz w:val="22"/>
          <w:szCs w:val="22"/>
          <w:lang w:bidi="en-US"/>
        </w:rPr>
        <w:t>”</w:t>
      </w:r>
      <w:r w:rsidRPr="39EAF3DE" w:rsidR="004A5FE6">
        <w:rPr>
          <w:rFonts w:ascii="Calibri" w:hAnsi="Calibri" w:cs="Calibri"/>
          <w:color w:val="000000" w:themeColor="text1"/>
          <w:sz w:val="22"/>
          <w:szCs w:val="22"/>
          <w:lang w:bidi="en-US"/>
        </w:rPr>
        <w:t xml:space="preserve"> </w:t>
      </w:r>
      <w:r w:rsidRPr="39EAF3DE" w:rsidR="00467088">
        <w:rPr>
          <w:rFonts w:ascii="Calibri" w:hAnsi="Calibri" w:cs="Calibri"/>
          <w:color w:val="000000" w:themeColor="text1"/>
          <w:sz w:val="22"/>
          <w:szCs w:val="22"/>
          <w:lang w:bidi="en-US"/>
        </w:rPr>
        <w:t>approaches</w:t>
      </w:r>
      <w:r w:rsidR="00467088">
        <w:rPr>
          <w:rFonts w:ascii="Calibri" w:hAnsi="Calibri" w:cs="Calibri"/>
          <w:color w:val="000000" w:themeColor="text1"/>
          <w:sz w:val="22"/>
          <w:szCs w:val="22"/>
          <w:lang w:bidi="en-US"/>
        </w:rPr>
        <w:t xml:space="preserve"> used in SRP</w:t>
      </w:r>
      <w:r w:rsidRPr="39EAF3DE" w:rsidR="004A5FE6">
        <w:rPr>
          <w:rFonts w:ascii="Calibri" w:hAnsi="Calibri" w:cs="Calibri"/>
          <w:color w:val="000000" w:themeColor="text1"/>
          <w:sz w:val="22"/>
          <w:szCs w:val="22"/>
          <w:lang w:bidi="en-US"/>
        </w:rPr>
        <w:t xml:space="preserve">. </w:t>
      </w:r>
    </w:p>
    <w:p w:rsidR="007A201D" w:rsidP="00553DA2" w:rsidRDefault="007A201D" w14:paraId="136CDED1"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themeColor="text1"/>
          <w:sz w:val="22"/>
          <w:szCs w:val="22"/>
          <w:lang w:bidi="en-US"/>
        </w:rPr>
      </w:pPr>
    </w:p>
    <w:p w:rsidRPr="0032494C" w:rsidR="009249C3" w:rsidP="009249C3" w:rsidRDefault="009249C3" w14:paraId="62B19EBB" w14:textId="50A380C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themeColor="text1"/>
          <w:sz w:val="22"/>
          <w:szCs w:val="22"/>
          <w:lang w:bidi="en-US"/>
        </w:rPr>
      </w:pPr>
      <w:r w:rsidRPr="0032494C">
        <w:rPr>
          <w:rFonts w:ascii="Calibri" w:hAnsi="Calibri" w:cs="Calibri"/>
          <w:color w:val="000000" w:themeColor="text1"/>
          <w:sz w:val="22"/>
          <w:szCs w:val="22"/>
          <w:lang w:bidi="en-US"/>
        </w:rPr>
        <w:t>Under the leadership of children's museums and libraries, the</w:t>
      </w:r>
      <w:r w:rsidRPr="00734710" w:rsidR="00841B30">
        <w:rPr>
          <w:rFonts w:ascii="Calibri" w:hAnsi="Calibri" w:cs="Calibri"/>
          <w:sz w:val="22"/>
          <w:szCs w:val="22"/>
          <w:lang w:bidi="en-US"/>
        </w:rPr>
        <w:t>se</w:t>
      </w:r>
      <w:r w:rsidRPr="00734710">
        <w:rPr>
          <w:rFonts w:ascii="Calibri" w:hAnsi="Calibri" w:cs="Calibri"/>
          <w:sz w:val="22"/>
          <w:szCs w:val="22"/>
          <w:lang w:bidi="en-US"/>
        </w:rPr>
        <w:t xml:space="preserve"> </w:t>
      </w:r>
      <w:r w:rsidRPr="0032494C">
        <w:rPr>
          <w:rFonts w:ascii="Calibri" w:hAnsi="Calibri" w:cs="Calibri"/>
          <w:color w:val="000000" w:themeColor="text1"/>
          <w:sz w:val="22"/>
          <w:szCs w:val="22"/>
          <w:lang w:bidi="en-US"/>
        </w:rPr>
        <w:t>statewide partnerships help to forge connections and strengthen existing networks of museums, libraries, community organizations, and early care and education provider networks; build professional capacity for implementing high-quality informal learning experiences for children across the state; and foster family engagement and learning, especially among hard-to-reach and underserved families.</w:t>
      </w:r>
    </w:p>
    <w:p w:rsidRPr="0032494C" w:rsidR="007710B5" w:rsidP="005C14ED" w:rsidRDefault="007710B5" w14:paraId="3925C47E" w14:textId="77777777">
      <w:pPr>
        <w:rPr>
          <w:rFonts w:ascii="Calibri" w:hAnsi="Calibri" w:cs="Calibri"/>
          <w:color w:val="000000" w:themeColor="text1"/>
          <w:sz w:val="22"/>
          <w:szCs w:val="22"/>
          <w:lang w:bidi="en-US"/>
        </w:rPr>
      </w:pPr>
    </w:p>
    <w:p w:rsidRPr="0032494C" w:rsidR="006B7BF5" w:rsidP="005C14ED" w:rsidRDefault="00F0068F" w14:paraId="34149417" w14:textId="4E667D84">
      <w:pPr>
        <w:rPr>
          <w:rFonts w:ascii="Calibri" w:hAnsi="Calibri" w:cs="Calibri"/>
          <w:color w:val="000000" w:themeColor="text1"/>
          <w:sz w:val="22"/>
          <w:szCs w:val="22"/>
          <w:lang w:bidi="en-US"/>
        </w:rPr>
      </w:pPr>
      <w:r w:rsidRPr="0032494C">
        <w:rPr>
          <w:rFonts w:ascii="Calibri" w:hAnsi="Calibri" w:cs="Calibri"/>
          <w:color w:val="000000" w:themeColor="text1"/>
          <w:sz w:val="22"/>
          <w:szCs w:val="22"/>
          <w:lang w:bidi="en-US"/>
        </w:rPr>
        <w:t>As displayed in</w:t>
      </w:r>
      <w:r w:rsidRPr="0032494C" w:rsidR="00954779">
        <w:rPr>
          <w:rFonts w:ascii="Calibri" w:hAnsi="Calibri" w:cs="Calibri"/>
          <w:color w:val="000000" w:themeColor="text1"/>
          <w:sz w:val="22"/>
          <w:szCs w:val="22"/>
          <w:lang w:bidi="en-US"/>
        </w:rPr>
        <w:t xml:space="preserve"> </w:t>
      </w:r>
      <w:r w:rsidRPr="0032494C" w:rsidR="00954779">
        <w:rPr>
          <w:rFonts w:ascii="Calibri" w:hAnsi="Calibri" w:cs="Calibri"/>
          <w:color w:val="000000" w:themeColor="text1"/>
          <w:sz w:val="22"/>
          <w:szCs w:val="22"/>
          <w:lang w:bidi="en-US"/>
        </w:rPr>
        <w:fldChar w:fldCharType="begin"/>
      </w:r>
      <w:r w:rsidRPr="0032494C" w:rsidR="00954779">
        <w:rPr>
          <w:rFonts w:ascii="Calibri" w:hAnsi="Calibri" w:cs="Calibri"/>
          <w:color w:val="000000" w:themeColor="text1"/>
          <w:sz w:val="22"/>
          <w:szCs w:val="22"/>
          <w:lang w:bidi="en-US"/>
        </w:rPr>
        <w:instrText xml:space="preserve"> REF _Ref36112808 \h </w:instrText>
      </w:r>
      <w:r w:rsidR="0032494C">
        <w:rPr>
          <w:rFonts w:ascii="Calibri" w:hAnsi="Calibri" w:cs="Calibri"/>
          <w:color w:val="000000" w:themeColor="text1"/>
          <w:sz w:val="22"/>
          <w:szCs w:val="22"/>
          <w:lang w:bidi="en-US"/>
        </w:rPr>
        <w:instrText xml:space="preserve"> \* MERGEFORMAT </w:instrText>
      </w:r>
      <w:r w:rsidRPr="0032494C" w:rsidR="00954779">
        <w:rPr>
          <w:rFonts w:ascii="Calibri" w:hAnsi="Calibri" w:cs="Calibri"/>
          <w:color w:val="000000" w:themeColor="text1"/>
          <w:sz w:val="22"/>
          <w:szCs w:val="22"/>
          <w:lang w:bidi="en-US"/>
        </w:rPr>
      </w:r>
      <w:r w:rsidRPr="0032494C" w:rsidR="00954779">
        <w:rPr>
          <w:rFonts w:ascii="Calibri" w:hAnsi="Calibri" w:cs="Calibri"/>
          <w:color w:val="000000" w:themeColor="text1"/>
          <w:sz w:val="22"/>
          <w:szCs w:val="22"/>
          <w:lang w:bidi="en-US"/>
        </w:rPr>
        <w:fldChar w:fldCharType="separate"/>
      </w:r>
      <w:r w:rsidRPr="0032494C" w:rsidR="008F225B">
        <w:rPr>
          <w:rFonts w:ascii="Calibri" w:hAnsi="Calibri" w:cs="Calibri"/>
          <w:b/>
          <w:sz w:val="22"/>
          <w:szCs w:val="22"/>
        </w:rPr>
        <w:t xml:space="preserve">Table </w:t>
      </w:r>
      <w:r w:rsidR="008F225B">
        <w:rPr>
          <w:rFonts w:ascii="Calibri" w:hAnsi="Calibri" w:cs="Calibri"/>
          <w:b/>
          <w:noProof/>
          <w:sz w:val="22"/>
          <w:szCs w:val="22"/>
        </w:rPr>
        <w:t>1</w:t>
      </w:r>
      <w:r w:rsidRPr="0032494C" w:rsidR="00954779">
        <w:rPr>
          <w:rFonts w:ascii="Calibri" w:hAnsi="Calibri" w:cs="Calibri"/>
          <w:color w:val="000000" w:themeColor="text1"/>
          <w:sz w:val="22"/>
          <w:szCs w:val="22"/>
          <w:lang w:bidi="en-US"/>
        </w:rPr>
        <w:fldChar w:fldCharType="end"/>
      </w:r>
      <w:r w:rsidRPr="0032494C">
        <w:rPr>
          <w:rFonts w:ascii="Calibri" w:hAnsi="Calibri" w:cs="Calibri"/>
          <w:color w:val="000000" w:themeColor="text1"/>
          <w:sz w:val="22"/>
          <w:szCs w:val="22"/>
          <w:lang w:bidi="en-US"/>
        </w:rPr>
        <w:t xml:space="preserve">, </w:t>
      </w:r>
      <w:r w:rsidRPr="0032494C" w:rsidR="006B7BF5">
        <w:rPr>
          <w:rFonts w:ascii="Calibri" w:hAnsi="Calibri" w:cs="Calibri"/>
          <w:color w:val="000000" w:themeColor="text1"/>
          <w:sz w:val="22"/>
          <w:szCs w:val="22"/>
          <w:lang w:bidi="en-US"/>
        </w:rPr>
        <w:t>there were existing networks in three states</w:t>
      </w:r>
      <w:r w:rsidRPr="0032494C" w:rsidR="005E7FEC">
        <w:rPr>
          <w:rFonts w:ascii="Calibri" w:hAnsi="Calibri" w:cs="Calibri"/>
          <w:color w:val="000000" w:themeColor="text1"/>
          <w:sz w:val="22"/>
          <w:szCs w:val="22"/>
          <w:lang w:bidi="en-US"/>
        </w:rPr>
        <w:t xml:space="preserve"> prior to this </w:t>
      </w:r>
      <w:r w:rsidR="00734710">
        <w:rPr>
          <w:rFonts w:ascii="Calibri" w:hAnsi="Calibri" w:cs="Calibri"/>
          <w:color w:val="000000" w:themeColor="text1"/>
          <w:sz w:val="22"/>
          <w:szCs w:val="22"/>
          <w:lang w:bidi="en-US"/>
        </w:rPr>
        <w:t>cooperative agreement</w:t>
      </w:r>
      <w:r w:rsidRPr="0032494C" w:rsidR="006B7BF5">
        <w:rPr>
          <w:rFonts w:ascii="Calibri" w:hAnsi="Calibri" w:cs="Calibri"/>
          <w:color w:val="000000" w:themeColor="text1"/>
          <w:sz w:val="22"/>
          <w:szCs w:val="22"/>
          <w:lang w:bidi="en-US"/>
        </w:rPr>
        <w:t>: Massachusetts (establish</w:t>
      </w:r>
      <w:r w:rsidR="00B204C4">
        <w:rPr>
          <w:rFonts w:ascii="Calibri" w:hAnsi="Calibri" w:cs="Calibri"/>
          <w:color w:val="000000" w:themeColor="text1"/>
          <w:sz w:val="22"/>
          <w:szCs w:val="22"/>
          <w:lang w:bidi="en-US"/>
        </w:rPr>
        <w:t>ed</w:t>
      </w:r>
      <w:r w:rsidRPr="0032494C" w:rsidR="006B7BF5">
        <w:rPr>
          <w:rFonts w:ascii="Calibri" w:hAnsi="Calibri" w:cs="Calibri"/>
          <w:color w:val="000000" w:themeColor="text1"/>
          <w:sz w:val="22"/>
          <w:szCs w:val="22"/>
          <w:lang w:bidi="en-US"/>
        </w:rPr>
        <w:t xml:space="preserve"> in 2016)</w:t>
      </w:r>
      <w:r w:rsidR="00B204C4">
        <w:rPr>
          <w:rFonts w:ascii="Calibri" w:hAnsi="Calibri" w:cs="Calibri"/>
          <w:color w:val="000000" w:themeColor="text1"/>
          <w:sz w:val="22"/>
          <w:szCs w:val="22"/>
          <w:lang w:bidi="en-US"/>
        </w:rPr>
        <w:t xml:space="preserve"> and Virgin</w:t>
      </w:r>
      <w:r w:rsidR="009351AC">
        <w:rPr>
          <w:rFonts w:ascii="Calibri" w:hAnsi="Calibri" w:cs="Calibri"/>
          <w:color w:val="000000" w:themeColor="text1"/>
          <w:sz w:val="22"/>
          <w:szCs w:val="22"/>
          <w:lang w:bidi="en-US"/>
        </w:rPr>
        <w:t>i</w:t>
      </w:r>
      <w:r w:rsidR="00B204C4">
        <w:rPr>
          <w:rFonts w:ascii="Calibri" w:hAnsi="Calibri" w:cs="Calibri"/>
          <w:color w:val="000000" w:themeColor="text1"/>
          <w:sz w:val="22"/>
          <w:szCs w:val="22"/>
          <w:lang w:bidi="en-US"/>
        </w:rPr>
        <w:t>a and South Carolina (established in 2018)</w:t>
      </w:r>
      <w:r w:rsidRPr="0032494C">
        <w:rPr>
          <w:rFonts w:ascii="Calibri" w:hAnsi="Calibri" w:cs="Calibri"/>
          <w:color w:val="000000" w:themeColor="text1"/>
          <w:sz w:val="22"/>
          <w:szCs w:val="22"/>
          <w:lang w:bidi="en-US"/>
        </w:rPr>
        <w:t>.</w:t>
      </w:r>
      <w:r w:rsidRPr="0032494C" w:rsidR="006B7BF5">
        <w:rPr>
          <w:rFonts w:ascii="Calibri" w:hAnsi="Calibri" w:cs="Calibri"/>
          <w:color w:val="000000" w:themeColor="text1"/>
          <w:sz w:val="22"/>
          <w:szCs w:val="22"/>
          <w:lang w:bidi="en-US"/>
        </w:rPr>
        <w:t xml:space="preserve"> </w:t>
      </w:r>
      <w:r w:rsidRPr="0032494C" w:rsidR="005C14ED">
        <w:rPr>
          <w:rFonts w:ascii="Calibri" w:hAnsi="Calibri" w:cs="Calibri"/>
          <w:color w:val="000000" w:themeColor="text1"/>
          <w:sz w:val="22"/>
          <w:szCs w:val="22"/>
          <w:lang w:bidi="en-US"/>
        </w:rPr>
        <w:t xml:space="preserve">Over </w:t>
      </w:r>
      <w:r w:rsidRPr="0032494C" w:rsidR="006B7BF5">
        <w:rPr>
          <w:rFonts w:ascii="Calibri" w:hAnsi="Calibri" w:cs="Calibri"/>
          <w:color w:val="000000" w:themeColor="text1"/>
          <w:sz w:val="22"/>
          <w:szCs w:val="22"/>
          <w:lang w:bidi="en-US"/>
        </w:rPr>
        <w:t xml:space="preserve">the </w:t>
      </w:r>
      <w:r w:rsidRPr="0032494C" w:rsidR="005C14ED">
        <w:rPr>
          <w:rFonts w:ascii="Calibri" w:hAnsi="Calibri" w:cs="Calibri"/>
          <w:color w:val="000000" w:themeColor="text1"/>
          <w:sz w:val="22"/>
          <w:szCs w:val="22"/>
          <w:lang w:bidi="en-US"/>
        </w:rPr>
        <w:t>three years</w:t>
      </w:r>
      <w:r w:rsidRPr="0032494C" w:rsidR="006B7BF5">
        <w:rPr>
          <w:rFonts w:ascii="Calibri" w:hAnsi="Calibri" w:cs="Calibri"/>
          <w:color w:val="000000" w:themeColor="text1"/>
          <w:sz w:val="22"/>
          <w:szCs w:val="22"/>
          <w:lang w:bidi="en-US"/>
        </w:rPr>
        <w:t xml:space="preserve"> of </w:t>
      </w:r>
      <w:r w:rsidR="004B794C">
        <w:rPr>
          <w:rFonts w:ascii="Calibri" w:hAnsi="Calibri" w:cs="Calibri"/>
          <w:color w:val="000000" w:themeColor="text1"/>
          <w:sz w:val="22"/>
          <w:szCs w:val="22"/>
          <w:lang w:bidi="en-US"/>
        </w:rPr>
        <w:t>the</w:t>
      </w:r>
      <w:r w:rsidRPr="0032494C" w:rsidR="004B794C">
        <w:rPr>
          <w:rFonts w:ascii="Calibri" w:hAnsi="Calibri" w:cs="Calibri"/>
          <w:color w:val="000000" w:themeColor="text1"/>
          <w:sz w:val="22"/>
          <w:szCs w:val="22"/>
          <w:lang w:bidi="en-US"/>
        </w:rPr>
        <w:t xml:space="preserve"> </w:t>
      </w:r>
      <w:r w:rsidRPr="0032494C" w:rsidR="006B7BF5">
        <w:rPr>
          <w:rFonts w:ascii="Calibri" w:hAnsi="Calibri" w:cs="Calibri"/>
          <w:color w:val="000000" w:themeColor="text1"/>
          <w:sz w:val="22"/>
          <w:szCs w:val="22"/>
          <w:lang w:bidi="en-US"/>
        </w:rPr>
        <w:t>SRP</w:t>
      </w:r>
      <w:r w:rsidRPr="0032494C" w:rsidR="005C14ED">
        <w:rPr>
          <w:rFonts w:ascii="Calibri" w:hAnsi="Calibri" w:cs="Calibri"/>
          <w:color w:val="000000" w:themeColor="text1"/>
          <w:sz w:val="22"/>
          <w:szCs w:val="22"/>
          <w:lang w:bidi="en-US"/>
        </w:rPr>
        <w:t xml:space="preserve">, </w:t>
      </w:r>
      <w:r w:rsidRPr="0032494C" w:rsidR="006B7BF5">
        <w:rPr>
          <w:rFonts w:ascii="Calibri" w:hAnsi="Calibri" w:cs="Calibri"/>
          <w:color w:val="000000" w:themeColor="text1"/>
          <w:sz w:val="22"/>
          <w:szCs w:val="22"/>
          <w:lang w:bidi="en-US"/>
        </w:rPr>
        <w:t xml:space="preserve">Boston Children’s Museum </w:t>
      </w:r>
      <w:r w:rsidRPr="0032494C" w:rsidR="00553DA2">
        <w:rPr>
          <w:rFonts w:ascii="Calibri" w:hAnsi="Calibri" w:cs="Calibri"/>
          <w:color w:val="000000" w:themeColor="text1"/>
          <w:sz w:val="22"/>
          <w:szCs w:val="22"/>
          <w:lang w:bidi="en-US"/>
        </w:rPr>
        <w:t xml:space="preserve">will </w:t>
      </w:r>
      <w:r w:rsidRPr="0032494C" w:rsidR="006B7BF5">
        <w:rPr>
          <w:rFonts w:ascii="Calibri" w:hAnsi="Calibri" w:cs="Calibri"/>
          <w:color w:val="000000" w:themeColor="text1"/>
          <w:sz w:val="22"/>
          <w:szCs w:val="22"/>
          <w:lang w:bidi="en-US"/>
        </w:rPr>
        <w:t>complete the following activities:</w:t>
      </w:r>
    </w:p>
    <w:p w:rsidRPr="0032494C" w:rsidR="006B7BF5" w:rsidP="006B7BF5" w:rsidRDefault="005C14ED" w14:paraId="3E612FDB" w14:textId="6B2F28C6">
      <w:pPr>
        <w:pStyle w:val="ListParagraph"/>
        <w:numPr>
          <w:ilvl w:val="0"/>
          <w:numId w:val="9"/>
        </w:numPr>
        <w:rPr>
          <w:rFonts w:cs="Calibri"/>
          <w:color w:val="000000" w:themeColor="text1"/>
          <w:lang w:bidi="en-US"/>
        </w:rPr>
      </w:pPr>
      <w:r w:rsidRPr="0032494C">
        <w:rPr>
          <w:rFonts w:cs="Calibri"/>
          <w:color w:val="000000" w:themeColor="text1"/>
          <w:lang w:bidi="en-US"/>
        </w:rPr>
        <w:t xml:space="preserve">maintain and continuously improve </w:t>
      </w:r>
      <w:r w:rsidRPr="0032494C" w:rsidR="006B7BF5">
        <w:rPr>
          <w:rFonts w:cs="Calibri"/>
          <w:color w:val="000000" w:themeColor="text1"/>
          <w:lang w:bidi="en-US"/>
        </w:rPr>
        <w:t xml:space="preserve">the current </w:t>
      </w:r>
      <w:r w:rsidRPr="0032494C">
        <w:rPr>
          <w:rFonts w:cs="Calibri"/>
          <w:color w:val="000000" w:themeColor="text1"/>
          <w:lang w:bidi="en-US"/>
        </w:rPr>
        <w:t xml:space="preserve">existing network in Massachusetts; </w:t>
      </w:r>
    </w:p>
    <w:p w:rsidRPr="0032494C" w:rsidR="00C5547A" w:rsidP="009249C3" w:rsidRDefault="005C14ED" w14:paraId="1138A485" w14:textId="0E8010AC">
      <w:pPr>
        <w:pStyle w:val="ListParagraph"/>
        <w:numPr>
          <w:ilvl w:val="0"/>
          <w:numId w:val="9"/>
        </w:numPr>
        <w:rPr>
          <w:rFonts w:cs="Calibri"/>
          <w:color w:val="000000" w:themeColor="text1"/>
          <w:lang w:bidi="en-US"/>
        </w:rPr>
      </w:pPr>
      <w:r w:rsidRPr="0032494C">
        <w:rPr>
          <w:rFonts w:cs="Calibri"/>
          <w:color w:val="000000" w:themeColor="text1"/>
          <w:lang w:bidi="en-US"/>
        </w:rPr>
        <w:t>scale existing efforts in South Carolina and Virginia</w:t>
      </w:r>
      <w:r w:rsidRPr="0032494C" w:rsidR="00E218B5">
        <w:rPr>
          <w:rFonts w:cs="Calibri"/>
          <w:color w:val="000000" w:themeColor="text1"/>
          <w:lang w:bidi="en-US"/>
        </w:rPr>
        <w:t>;</w:t>
      </w:r>
      <w:r w:rsidRPr="0032494C">
        <w:rPr>
          <w:rFonts w:cs="Calibri"/>
          <w:color w:val="000000" w:themeColor="text1"/>
          <w:lang w:bidi="en-US"/>
        </w:rPr>
        <w:t xml:space="preserve"> </w:t>
      </w:r>
    </w:p>
    <w:p w:rsidRPr="0032494C" w:rsidR="00B704C5" w:rsidP="00E218B5" w:rsidRDefault="005C14ED" w14:paraId="30007DBB" w14:textId="71BE6454">
      <w:pPr>
        <w:pStyle w:val="ListParagraph"/>
        <w:numPr>
          <w:ilvl w:val="0"/>
          <w:numId w:val="9"/>
        </w:numPr>
        <w:rPr>
          <w:rFonts w:cs="Calibri"/>
          <w:color w:val="000000" w:themeColor="text1"/>
          <w:lang w:bidi="en-US"/>
        </w:rPr>
      </w:pPr>
      <w:r w:rsidRPr="0032494C">
        <w:rPr>
          <w:rFonts w:cs="Calibri"/>
          <w:color w:val="000000" w:themeColor="text1"/>
          <w:lang w:bidi="en-US"/>
        </w:rPr>
        <w:lastRenderedPageBreak/>
        <w:t xml:space="preserve">pilot </w:t>
      </w:r>
      <w:r w:rsidRPr="0032494C" w:rsidR="00C5547A">
        <w:rPr>
          <w:rFonts w:cs="Calibri"/>
          <w:color w:val="000000" w:themeColor="text1"/>
          <w:lang w:bidi="en-US"/>
        </w:rPr>
        <w:t xml:space="preserve">new </w:t>
      </w:r>
      <w:r w:rsidRPr="0032494C">
        <w:rPr>
          <w:rFonts w:cs="Calibri"/>
          <w:color w:val="000000" w:themeColor="text1"/>
          <w:lang w:bidi="en-US"/>
        </w:rPr>
        <w:t xml:space="preserve">networks in </w:t>
      </w:r>
      <w:r w:rsidRPr="0032494C" w:rsidR="00553DA2">
        <w:rPr>
          <w:rFonts w:cs="Calibri"/>
          <w:color w:val="000000" w:themeColor="text1"/>
          <w:lang w:bidi="en-US"/>
        </w:rPr>
        <w:t>Iowa, Mississippi, and New Mexico</w:t>
      </w:r>
      <w:r w:rsidRPr="0032494C">
        <w:rPr>
          <w:rFonts w:cs="Calibri"/>
          <w:color w:val="000000" w:themeColor="text1"/>
          <w:lang w:bidi="en-US"/>
        </w:rPr>
        <w:t xml:space="preserve"> in collaboration with</w:t>
      </w:r>
      <w:r w:rsidR="0078498C">
        <w:rPr>
          <w:rFonts w:cs="Calibri"/>
          <w:color w:val="000000" w:themeColor="text1"/>
          <w:lang w:bidi="en-US"/>
        </w:rPr>
        <w:t xml:space="preserve"> BUILD, a national</w:t>
      </w:r>
      <w:r w:rsidRPr="0078498C" w:rsidR="0078498C">
        <w:rPr>
          <w:rFonts w:cs="Calibri"/>
          <w:color w:val="000000" w:themeColor="text1"/>
          <w:lang w:bidi="en-US"/>
        </w:rPr>
        <w:t xml:space="preserve"> Initiative support</w:t>
      </w:r>
      <w:r w:rsidR="0078498C">
        <w:rPr>
          <w:rFonts w:cs="Calibri"/>
          <w:color w:val="000000" w:themeColor="text1"/>
          <w:lang w:bidi="en-US"/>
        </w:rPr>
        <w:t>ing</w:t>
      </w:r>
      <w:r w:rsidRPr="0078498C" w:rsidR="0078498C">
        <w:rPr>
          <w:rFonts w:cs="Calibri"/>
          <w:color w:val="000000" w:themeColor="text1"/>
          <w:lang w:bidi="en-US"/>
        </w:rPr>
        <w:t xml:space="preserve"> state leaders' efforts to develop a comprehensive early childhood system tailored to the needs of their state's young children</w:t>
      </w:r>
      <w:r w:rsidRPr="0032494C">
        <w:rPr>
          <w:rFonts w:cs="Calibri"/>
          <w:color w:val="000000" w:themeColor="text1"/>
          <w:lang w:bidi="en-US"/>
        </w:rPr>
        <w:t xml:space="preserve">; and </w:t>
      </w:r>
    </w:p>
    <w:p w:rsidRPr="0032494C" w:rsidR="00B704C5" w:rsidP="00E218B5" w:rsidRDefault="005C14ED" w14:paraId="17FFBB2B" w14:textId="25082BDC">
      <w:pPr>
        <w:pStyle w:val="ListParagraph"/>
        <w:numPr>
          <w:ilvl w:val="0"/>
          <w:numId w:val="9"/>
        </w:numPr>
        <w:rPr>
          <w:rFonts w:cs="Calibri"/>
          <w:color w:val="000000" w:themeColor="text1"/>
          <w:lang w:bidi="en-US"/>
        </w:rPr>
      </w:pPr>
      <w:r w:rsidRPr="0032494C">
        <w:rPr>
          <w:rFonts w:cs="Calibri"/>
          <w:color w:val="000000" w:themeColor="text1"/>
          <w:lang w:bidi="en-US"/>
        </w:rPr>
        <w:t>develop sustainability mechanisms for the network within and among the</w:t>
      </w:r>
      <w:r w:rsidR="00B204C4">
        <w:rPr>
          <w:rFonts w:cs="Calibri"/>
          <w:color w:val="000000" w:themeColor="text1"/>
          <w:lang w:bidi="en-US"/>
        </w:rPr>
        <w:t>se six</w:t>
      </w:r>
      <w:r w:rsidRPr="0032494C">
        <w:rPr>
          <w:rFonts w:cs="Calibri"/>
          <w:color w:val="000000" w:themeColor="text1"/>
          <w:lang w:bidi="en-US"/>
        </w:rPr>
        <w:t xml:space="preserve"> states. </w:t>
      </w:r>
    </w:p>
    <w:p w:rsidRPr="00766656" w:rsidR="00F0068F" w:rsidP="00734710" w:rsidRDefault="00807805" w14:paraId="454F5ADC" w14:textId="699494EE">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rPr>
      </w:pPr>
      <w:r w:rsidRPr="0032494C">
        <w:rPr>
          <w:rFonts w:ascii="Calibri" w:hAnsi="Calibri" w:cs="Calibri"/>
          <w:color w:val="000000" w:themeColor="text1"/>
          <w:lang w:bidi="en-US"/>
        </w:rPr>
        <w:t xml:space="preserve"> </w:t>
      </w:r>
      <w:r w:rsidRPr="0032494C" w:rsidR="006B1987">
        <w:rPr>
          <w:rFonts w:ascii="Calibri" w:hAnsi="Calibri" w:cs="Calibri"/>
          <w:b/>
          <w:sz w:val="22"/>
          <w:szCs w:val="22"/>
        </w:rPr>
        <w:t xml:space="preserve">Table </w:t>
      </w:r>
      <w:r w:rsidRPr="0032494C" w:rsidR="006B1987">
        <w:rPr>
          <w:rFonts w:ascii="Calibri" w:hAnsi="Calibri" w:cs="Calibri"/>
          <w:b/>
          <w:sz w:val="22"/>
          <w:szCs w:val="22"/>
        </w:rPr>
        <w:fldChar w:fldCharType="begin"/>
      </w:r>
      <w:r w:rsidRPr="0032494C" w:rsidR="006B1987">
        <w:rPr>
          <w:rFonts w:ascii="Calibri" w:hAnsi="Calibri" w:cs="Calibri"/>
          <w:b/>
          <w:sz w:val="22"/>
          <w:szCs w:val="22"/>
        </w:rPr>
        <w:instrText xml:space="preserve"> SEQ Table \* ARABIC </w:instrText>
      </w:r>
      <w:r w:rsidRPr="0032494C" w:rsidR="006B1987">
        <w:rPr>
          <w:rFonts w:ascii="Calibri" w:hAnsi="Calibri" w:cs="Calibri"/>
          <w:b/>
          <w:sz w:val="22"/>
          <w:szCs w:val="22"/>
        </w:rPr>
        <w:fldChar w:fldCharType="separate"/>
      </w:r>
      <w:r w:rsidR="006B1987">
        <w:rPr>
          <w:rFonts w:ascii="Calibri" w:hAnsi="Calibri" w:cs="Calibri"/>
          <w:b/>
          <w:noProof/>
          <w:sz w:val="22"/>
          <w:szCs w:val="22"/>
        </w:rPr>
        <w:t>1</w:t>
      </w:r>
      <w:r w:rsidRPr="0032494C" w:rsidR="006B1987">
        <w:rPr>
          <w:rFonts w:ascii="Calibri" w:hAnsi="Calibri" w:cs="Calibri"/>
          <w:b/>
          <w:sz w:val="22"/>
          <w:szCs w:val="22"/>
        </w:rPr>
        <w:fldChar w:fldCharType="end"/>
      </w:r>
      <w:r w:rsidRPr="0032494C" w:rsidR="006B1987">
        <w:rPr>
          <w:rFonts w:ascii="Calibri" w:hAnsi="Calibri" w:cs="Calibri"/>
          <w:b/>
          <w:sz w:val="22"/>
          <w:szCs w:val="22"/>
        </w:rPr>
        <w:t>. State Network Rollout Timeline</w:t>
      </w:r>
    </w:p>
    <w:tbl>
      <w:tblPr>
        <w:tblStyle w:val="TableGrid"/>
        <w:tblpPr w:leftFromText="180" w:rightFromText="180" w:vertAnchor="text" w:horzAnchor="margin" w:tblpY="186"/>
        <w:tblW w:w="0" w:type="auto"/>
        <w:tblLook w:val="04A0" w:firstRow="1" w:lastRow="0" w:firstColumn="1" w:lastColumn="0" w:noHBand="0" w:noVBand="1"/>
      </w:tblPr>
      <w:tblGrid>
        <w:gridCol w:w="1075"/>
        <w:gridCol w:w="1710"/>
        <w:gridCol w:w="1440"/>
      </w:tblGrid>
      <w:tr w:rsidRPr="0032494C" w:rsidR="00807805" w:rsidTr="00807805" w14:paraId="604A7929" w14:textId="77777777">
        <w:trPr>
          <w:trHeight w:val="304"/>
        </w:trPr>
        <w:tc>
          <w:tcPr>
            <w:tcW w:w="1075" w:type="dxa"/>
            <w:shd w:val="clear" w:color="auto" w:fill="F2F2F2" w:themeFill="background1" w:themeFillShade="F2"/>
          </w:tcPr>
          <w:p w:rsidRPr="0032494C" w:rsidR="00807805" w:rsidP="00807805" w:rsidRDefault="00807805" w14:paraId="11FCE8F4" w14:textId="77777777">
            <w:pPr>
              <w:rPr>
                <w:rFonts w:ascii="Calibri" w:hAnsi="Calibri" w:cs="Calibri"/>
                <w:b/>
                <w:color w:val="000000" w:themeColor="text1"/>
                <w:sz w:val="20"/>
                <w:szCs w:val="20"/>
                <w:lang w:bidi="en-US"/>
              </w:rPr>
            </w:pPr>
          </w:p>
        </w:tc>
        <w:tc>
          <w:tcPr>
            <w:tcW w:w="1710" w:type="dxa"/>
            <w:shd w:val="clear" w:color="auto" w:fill="F2F2F2" w:themeFill="background1" w:themeFillShade="F2"/>
            <w:vAlign w:val="bottom"/>
          </w:tcPr>
          <w:p w:rsidRPr="0032494C" w:rsidR="00807805" w:rsidP="00807805" w:rsidRDefault="00807805" w14:paraId="2E8180A7"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 xml:space="preserve">State </w:t>
            </w:r>
          </w:p>
        </w:tc>
        <w:tc>
          <w:tcPr>
            <w:tcW w:w="1440" w:type="dxa"/>
            <w:shd w:val="clear" w:color="auto" w:fill="F2F2F2" w:themeFill="background1" w:themeFillShade="F2"/>
            <w:vAlign w:val="bottom"/>
          </w:tcPr>
          <w:p w:rsidRPr="0032494C" w:rsidR="00807805" w:rsidP="00807805" w:rsidRDefault="00807805" w14:paraId="3931605C" w14:textId="77777777">
            <w:pPr>
              <w:jc w:val="cente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Year</w:t>
            </w:r>
          </w:p>
          <w:p w:rsidRPr="0032494C" w:rsidR="00807805" w:rsidP="00807805" w:rsidRDefault="00807805" w14:paraId="364A6D28" w14:textId="77777777">
            <w:pPr>
              <w:jc w:val="cente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Established</w:t>
            </w:r>
          </w:p>
        </w:tc>
      </w:tr>
      <w:tr w:rsidRPr="0032494C" w:rsidR="00807805" w:rsidTr="00807805" w14:paraId="256F94A2" w14:textId="77777777">
        <w:trPr>
          <w:trHeight w:val="399"/>
        </w:trPr>
        <w:tc>
          <w:tcPr>
            <w:tcW w:w="1075" w:type="dxa"/>
            <w:shd w:val="clear" w:color="auto" w:fill="F2F2F2" w:themeFill="background1" w:themeFillShade="F2"/>
            <w:vAlign w:val="center"/>
          </w:tcPr>
          <w:p w:rsidRPr="0032494C" w:rsidR="00807805" w:rsidP="00807805" w:rsidRDefault="00807805" w14:paraId="24170DBC"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Cohort 1</w:t>
            </w:r>
          </w:p>
        </w:tc>
        <w:tc>
          <w:tcPr>
            <w:tcW w:w="1710" w:type="dxa"/>
            <w:vAlign w:val="center"/>
          </w:tcPr>
          <w:p w:rsidRPr="0032494C" w:rsidR="00807805" w:rsidP="00807805" w:rsidRDefault="00807805" w14:paraId="2376B818"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Massachusetts</w:t>
            </w:r>
          </w:p>
        </w:tc>
        <w:tc>
          <w:tcPr>
            <w:tcW w:w="1440" w:type="dxa"/>
            <w:vAlign w:val="center"/>
          </w:tcPr>
          <w:p w:rsidRPr="0032494C" w:rsidR="00807805" w:rsidP="00807805" w:rsidRDefault="00807805" w14:paraId="1C813F8C" w14:textId="77777777">
            <w:pPr>
              <w:jc w:val="cente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2016</w:t>
            </w:r>
          </w:p>
        </w:tc>
      </w:tr>
      <w:tr w:rsidRPr="0032494C" w:rsidR="00807805" w:rsidTr="00807805" w14:paraId="1D489426" w14:textId="77777777">
        <w:trPr>
          <w:trHeight w:val="399"/>
        </w:trPr>
        <w:tc>
          <w:tcPr>
            <w:tcW w:w="1075" w:type="dxa"/>
            <w:vMerge w:val="restart"/>
            <w:shd w:val="clear" w:color="auto" w:fill="F2F2F2" w:themeFill="background1" w:themeFillShade="F2"/>
            <w:vAlign w:val="center"/>
          </w:tcPr>
          <w:p w:rsidRPr="0032494C" w:rsidR="00807805" w:rsidP="00807805" w:rsidRDefault="00807805" w14:paraId="44A5DC39"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Cohort 2</w:t>
            </w:r>
          </w:p>
        </w:tc>
        <w:tc>
          <w:tcPr>
            <w:tcW w:w="1710" w:type="dxa"/>
            <w:vAlign w:val="center"/>
          </w:tcPr>
          <w:p w:rsidRPr="0032494C" w:rsidR="00807805" w:rsidP="00807805" w:rsidRDefault="00807805" w14:paraId="29FE5A97"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Virginia</w:t>
            </w:r>
          </w:p>
        </w:tc>
        <w:tc>
          <w:tcPr>
            <w:tcW w:w="1440" w:type="dxa"/>
            <w:vAlign w:val="center"/>
          </w:tcPr>
          <w:p w:rsidRPr="0032494C" w:rsidR="00807805" w:rsidP="00807805" w:rsidRDefault="00807805" w14:paraId="1DE60B34" w14:textId="77777777">
            <w:pPr>
              <w:jc w:val="cente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2018</w:t>
            </w:r>
          </w:p>
        </w:tc>
      </w:tr>
      <w:tr w:rsidRPr="0032494C" w:rsidR="00807805" w:rsidTr="00807805" w14:paraId="3CB33A9D" w14:textId="77777777">
        <w:trPr>
          <w:trHeight w:val="399"/>
        </w:trPr>
        <w:tc>
          <w:tcPr>
            <w:tcW w:w="1075" w:type="dxa"/>
            <w:vMerge/>
            <w:shd w:val="clear" w:color="auto" w:fill="F2F2F2" w:themeFill="background1" w:themeFillShade="F2"/>
            <w:vAlign w:val="center"/>
          </w:tcPr>
          <w:p w:rsidRPr="0032494C" w:rsidR="00807805" w:rsidP="00807805" w:rsidRDefault="00807805" w14:paraId="04682982" w14:textId="77777777">
            <w:pPr>
              <w:rPr>
                <w:rFonts w:ascii="Calibri" w:hAnsi="Calibri" w:cs="Calibri"/>
                <w:color w:val="000000" w:themeColor="text1"/>
                <w:sz w:val="20"/>
                <w:szCs w:val="20"/>
                <w:lang w:bidi="en-US"/>
              </w:rPr>
            </w:pPr>
          </w:p>
        </w:tc>
        <w:tc>
          <w:tcPr>
            <w:tcW w:w="1710" w:type="dxa"/>
            <w:vAlign w:val="center"/>
          </w:tcPr>
          <w:p w:rsidRPr="0032494C" w:rsidR="00807805" w:rsidP="00807805" w:rsidRDefault="00807805" w14:paraId="2B0D2071"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South Carolina</w:t>
            </w:r>
          </w:p>
        </w:tc>
        <w:tc>
          <w:tcPr>
            <w:tcW w:w="1440" w:type="dxa"/>
            <w:vAlign w:val="center"/>
          </w:tcPr>
          <w:p w:rsidRPr="0032494C" w:rsidR="00807805" w:rsidP="00807805" w:rsidRDefault="00807805" w14:paraId="31A25C14" w14:textId="77777777">
            <w:pPr>
              <w:jc w:val="cente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2018</w:t>
            </w:r>
          </w:p>
        </w:tc>
      </w:tr>
      <w:tr w:rsidRPr="0032494C" w:rsidR="00807805" w:rsidTr="00807805" w14:paraId="6867CF14" w14:textId="77777777">
        <w:trPr>
          <w:trHeight w:val="399"/>
        </w:trPr>
        <w:tc>
          <w:tcPr>
            <w:tcW w:w="1075" w:type="dxa"/>
            <w:vMerge w:val="restart"/>
            <w:shd w:val="clear" w:color="auto" w:fill="F2F2F2" w:themeFill="background1" w:themeFillShade="F2"/>
            <w:vAlign w:val="center"/>
          </w:tcPr>
          <w:p w:rsidRPr="0032494C" w:rsidR="00807805" w:rsidP="00807805" w:rsidRDefault="00807805" w14:paraId="42DC8096"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Cohort 3</w:t>
            </w:r>
          </w:p>
        </w:tc>
        <w:tc>
          <w:tcPr>
            <w:tcW w:w="1710" w:type="dxa"/>
            <w:vAlign w:val="center"/>
          </w:tcPr>
          <w:p w:rsidRPr="0032494C" w:rsidR="00807805" w:rsidP="00807805" w:rsidRDefault="00807805" w14:paraId="203DD562"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Iowa</w:t>
            </w:r>
          </w:p>
        </w:tc>
        <w:tc>
          <w:tcPr>
            <w:tcW w:w="1440" w:type="dxa"/>
            <w:vAlign w:val="center"/>
          </w:tcPr>
          <w:p w:rsidRPr="0032494C" w:rsidR="00807805" w:rsidP="00807805" w:rsidRDefault="00807805" w14:paraId="7F2FD0BD" w14:textId="77777777">
            <w:pPr>
              <w:jc w:val="cente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2020</w:t>
            </w:r>
          </w:p>
        </w:tc>
      </w:tr>
      <w:tr w:rsidRPr="0032494C" w:rsidR="00807805" w:rsidTr="00807805" w14:paraId="58FF66A7" w14:textId="77777777">
        <w:trPr>
          <w:trHeight w:val="399"/>
        </w:trPr>
        <w:tc>
          <w:tcPr>
            <w:tcW w:w="1075" w:type="dxa"/>
            <w:vMerge/>
            <w:shd w:val="clear" w:color="auto" w:fill="F2F2F2" w:themeFill="background1" w:themeFillShade="F2"/>
            <w:vAlign w:val="center"/>
          </w:tcPr>
          <w:p w:rsidRPr="0032494C" w:rsidR="00807805" w:rsidP="00807805" w:rsidRDefault="00807805" w14:paraId="71802C2C" w14:textId="77777777">
            <w:pPr>
              <w:rPr>
                <w:rFonts w:ascii="Calibri" w:hAnsi="Calibri" w:cs="Calibri"/>
                <w:color w:val="000000" w:themeColor="text1"/>
                <w:sz w:val="20"/>
                <w:szCs w:val="20"/>
                <w:lang w:bidi="en-US"/>
              </w:rPr>
            </w:pPr>
          </w:p>
        </w:tc>
        <w:tc>
          <w:tcPr>
            <w:tcW w:w="1710" w:type="dxa"/>
            <w:vAlign w:val="center"/>
          </w:tcPr>
          <w:p w:rsidRPr="0032494C" w:rsidR="00807805" w:rsidP="00807805" w:rsidRDefault="00807805" w14:paraId="5D2B8221"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Mississippi</w:t>
            </w:r>
          </w:p>
        </w:tc>
        <w:tc>
          <w:tcPr>
            <w:tcW w:w="1440" w:type="dxa"/>
            <w:vAlign w:val="center"/>
          </w:tcPr>
          <w:p w:rsidRPr="0032494C" w:rsidR="00807805" w:rsidP="00807805" w:rsidRDefault="00807805" w14:paraId="692C066D" w14:textId="77777777">
            <w:pPr>
              <w:jc w:val="cente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2020</w:t>
            </w:r>
          </w:p>
        </w:tc>
      </w:tr>
      <w:tr w:rsidRPr="0032494C" w:rsidR="00807805" w:rsidTr="00807805" w14:paraId="1CAF2186" w14:textId="77777777">
        <w:trPr>
          <w:trHeight w:val="399"/>
        </w:trPr>
        <w:tc>
          <w:tcPr>
            <w:tcW w:w="1075" w:type="dxa"/>
            <w:vMerge/>
            <w:shd w:val="clear" w:color="auto" w:fill="F2F2F2" w:themeFill="background1" w:themeFillShade="F2"/>
            <w:vAlign w:val="center"/>
          </w:tcPr>
          <w:p w:rsidRPr="0032494C" w:rsidR="00807805" w:rsidP="00807805" w:rsidRDefault="00807805" w14:paraId="5911F373" w14:textId="77777777">
            <w:pPr>
              <w:rPr>
                <w:rFonts w:ascii="Calibri" w:hAnsi="Calibri" w:cs="Calibri"/>
                <w:color w:val="000000" w:themeColor="text1"/>
                <w:sz w:val="20"/>
                <w:szCs w:val="20"/>
                <w:lang w:bidi="en-US"/>
              </w:rPr>
            </w:pPr>
          </w:p>
        </w:tc>
        <w:tc>
          <w:tcPr>
            <w:tcW w:w="1710" w:type="dxa"/>
            <w:vAlign w:val="center"/>
          </w:tcPr>
          <w:p w:rsidRPr="0032494C" w:rsidR="00807805" w:rsidP="00807805" w:rsidRDefault="00807805" w14:paraId="20B57A5D"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New Mexico</w:t>
            </w:r>
          </w:p>
        </w:tc>
        <w:tc>
          <w:tcPr>
            <w:tcW w:w="1440" w:type="dxa"/>
            <w:vAlign w:val="center"/>
          </w:tcPr>
          <w:p w:rsidRPr="0032494C" w:rsidR="00807805" w:rsidP="00807805" w:rsidRDefault="00807805" w14:paraId="6D2417BA" w14:textId="77777777">
            <w:pPr>
              <w:jc w:val="cente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2020</w:t>
            </w:r>
          </w:p>
        </w:tc>
      </w:tr>
    </w:tbl>
    <w:p w:rsidR="00807805" w:rsidP="009260C7" w:rsidRDefault="00807805" w14:paraId="672A3794" w14:textId="59A325BF">
      <w:pPr>
        <w:ind w:left="360"/>
        <w:rPr>
          <w:rFonts w:ascii="Calibri" w:hAnsi="Calibri" w:cs="Calibri"/>
          <w:color w:val="000000" w:themeColor="text1"/>
          <w:lang w:bidi="en-US"/>
        </w:rPr>
      </w:pPr>
    </w:p>
    <w:p w:rsidR="00807805" w:rsidP="009260C7" w:rsidRDefault="00807805" w14:paraId="62EBE953" w14:textId="32005C4D">
      <w:pPr>
        <w:ind w:left="360"/>
        <w:rPr>
          <w:rFonts w:ascii="Calibri" w:hAnsi="Calibri" w:cs="Calibri"/>
          <w:color w:val="000000" w:themeColor="text1"/>
          <w:lang w:bidi="en-US"/>
        </w:rPr>
      </w:pPr>
    </w:p>
    <w:p w:rsidR="00807805" w:rsidP="009260C7" w:rsidRDefault="00807805" w14:paraId="52E1C59F" w14:textId="26D62F17">
      <w:pPr>
        <w:ind w:left="360"/>
        <w:rPr>
          <w:rFonts w:ascii="Calibri" w:hAnsi="Calibri" w:cs="Calibri"/>
          <w:color w:val="000000" w:themeColor="text1"/>
          <w:lang w:bidi="en-US"/>
        </w:rPr>
      </w:pPr>
    </w:p>
    <w:p w:rsidR="00807805" w:rsidP="009260C7" w:rsidRDefault="00807805" w14:paraId="01D93D55" w14:textId="2D43A2EC">
      <w:pPr>
        <w:ind w:left="360"/>
        <w:rPr>
          <w:rFonts w:ascii="Calibri" w:hAnsi="Calibri" w:cs="Calibri"/>
          <w:color w:val="000000" w:themeColor="text1"/>
          <w:lang w:bidi="en-US"/>
        </w:rPr>
      </w:pPr>
    </w:p>
    <w:p w:rsidR="00807805" w:rsidP="009260C7" w:rsidRDefault="00807805" w14:paraId="16CDFE0F" w14:textId="0AEFCEC4">
      <w:pPr>
        <w:ind w:left="360"/>
        <w:rPr>
          <w:rFonts w:ascii="Calibri" w:hAnsi="Calibri" w:cs="Calibri"/>
          <w:color w:val="000000" w:themeColor="text1"/>
          <w:lang w:bidi="en-US"/>
        </w:rPr>
      </w:pPr>
    </w:p>
    <w:p w:rsidR="00807805" w:rsidP="009260C7" w:rsidRDefault="00807805" w14:paraId="2CDBF4E5" w14:textId="0D41C80E">
      <w:pPr>
        <w:ind w:left="360"/>
        <w:rPr>
          <w:rFonts w:ascii="Calibri" w:hAnsi="Calibri" w:cs="Calibri"/>
          <w:color w:val="000000" w:themeColor="text1"/>
          <w:lang w:bidi="en-US"/>
        </w:rPr>
      </w:pPr>
    </w:p>
    <w:p w:rsidR="00807805" w:rsidP="009260C7" w:rsidRDefault="00807805" w14:paraId="2FA467E6" w14:textId="64C31025">
      <w:pPr>
        <w:ind w:left="360"/>
        <w:rPr>
          <w:rFonts w:ascii="Calibri" w:hAnsi="Calibri" w:cs="Calibri"/>
          <w:color w:val="000000" w:themeColor="text1"/>
          <w:lang w:bidi="en-US"/>
        </w:rPr>
      </w:pPr>
    </w:p>
    <w:p w:rsidR="00807805" w:rsidP="009260C7" w:rsidRDefault="00807805" w14:paraId="2A4F3AE7" w14:textId="4D0D0537">
      <w:pPr>
        <w:ind w:left="360"/>
        <w:rPr>
          <w:rFonts w:ascii="Calibri" w:hAnsi="Calibri" w:cs="Calibri"/>
          <w:color w:val="000000" w:themeColor="text1"/>
          <w:lang w:bidi="en-US"/>
        </w:rPr>
      </w:pPr>
    </w:p>
    <w:p w:rsidR="00807805" w:rsidP="009260C7" w:rsidRDefault="00807805" w14:paraId="078DDF3C" w14:textId="70C4BDBF">
      <w:pPr>
        <w:ind w:left="360"/>
        <w:rPr>
          <w:rFonts w:ascii="Calibri" w:hAnsi="Calibri" w:cs="Calibri"/>
          <w:color w:val="000000" w:themeColor="text1"/>
          <w:lang w:bidi="en-US"/>
        </w:rPr>
      </w:pPr>
    </w:p>
    <w:p w:rsidR="00807805" w:rsidP="009260C7" w:rsidRDefault="00807805" w14:paraId="46B030E9" w14:textId="34DD0884">
      <w:pPr>
        <w:ind w:left="360"/>
        <w:rPr>
          <w:rFonts w:ascii="Calibri" w:hAnsi="Calibri" w:cs="Calibri"/>
          <w:color w:val="000000" w:themeColor="text1"/>
          <w:lang w:bidi="en-US"/>
        </w:rPr>
      </w:pPr>
    </w:p>
    <w:p w:rsidR="00807805" w:rsidP="009260C7" w:rsidRDefault="00807805" w14:paraId="1E9C8A65" w14:textId="6B960642">
      <w:pPr>
        <w:ind w:left="360"/>
        <w:rPr>
          <w:rFonts w:ascii="Calibri" w:hAnsi="Calibri" w:cs="Calibri"/>
          <w:color w:val="000000" w:themeColor="text1"/>
          <w:lang w:bidi="en-US"/>
        </w:rPr>
      </w:pPr>
    </w:p>
    <w:p w:rsidRPr="0032494C" w:rsidR="00D41F5E" w:rsidP="00D41F5E" w:rsidRDefault="00D41F5E" w14:paraId="7DF70D4D" w14:textId="77777777">
      <w:pPr>
        <w:rPr>
          <w:rFonts w:ascii="Calibri" w:hAnsi="Calibri" w:cs="Calibri"/>
          <w:color w:val="000000" w:themeColor="text1"/>
          <w:lang w:bidi="en-US"/>
        </w:rPr>
      </w:pPr>
    </w:p>
    <w:p w:rsidRPr="0032494C" w:rsidR="00C94A3B" w:rsidP="00B704C5" w:rsidRDefault="00B204C4" w14:paraId="4F565809" w14:textId="19342EE6">
      <w:pPr>
        <w:rPr>
          <w:rFonts w:ascii="Calibri" w:hAnsi="Calibri" w:cs="Calibri"/>
          <w:color w:val="000000" w:themeColor="text1"/>
          <w:sz w:val="22"/>
          <w:szCs w:val="22"/>
          <w:lang w:bidi="en-US"/>
        </w:rPr>
      </w:pPr>
      <w:r w:rsidRPr="39EAF3DE">
        <w:rPr>
          <w:rFonts w:ascii="Calibri" w:hAnsi="Calibri" w:cs="Calibri"/>
          <w:color w:val="000000" w:themeColor="text1"/>
          <w:sz w:val="22"/>
          <w:szCs w:val="22"/>
          <w:lang w:bidi="en-US"/>
        </w:rPr>
        <w:t xml:space="preserve">This project’s </w:t>
      </w:r>
      <w:r w:rsidRPr="39EAF3DE" w:rsidR="005C14ED">
        <w:rPr>
          <w:rFonts w:ascii="Calibri" w:hAnsi="Calibri" w:cs="Calibri"/>
          <w:color w:val="000000" w:themeColor="text1"/>
          <w:sz w:val="22"/>
          <w:szCs w:val="22"/>
          <w:lang w:bidi="en-US"/>
        </w:rPr>
        <w:t>vision is that, as more states become involved in</w:t>
      </w:r>
      <w:r w:rsidRPr="39EAF3DE" w:rsidR="006B7BF5">
        <w:rPr>
          <w:rFonts w:ascii="Calibri" w:hAnsi="Calibri" w:cs="Calibri"/>
          <w:color w:val="000000" w:themeColor="text1"/>
          <w:sz w:val="22"/>
          <w:szCs w:val="22"/>
          <w:lang w:bidi="en-US"/>
        </w:rPr>
        <w:t xml:space="preserve"> this</w:t>
      </w:r>
      <w:r w:rsidRPr="39EAF3DE" w:rsidR="005C14ED">
        <w:rPr>
          <w:rFonts w:ascii="Calibri" w:hAnsi="Calibri" w:cs="Calibri"/>
          <w:color w:val="000000" w:themeColor="text1"/>
          <w:sz w:val="22"/>
          <w:szCs w:val="22"/>
          <w:lang w:bidi="en-US"/>
        </w:rPr>
        <w:t xml:space="preserve"> SRP, national meetings and regular communication will shape a nationwide coalition of skilled informal educators</w:t>
      </w:r>
      <w:r w:rsidRPr="39EAF3DE" w:rsidR="00620F89">
        <w:rPr>
          <w:rFonts w:ascii="Calibri" w:hAnsi="Calibri" w:cs="Calibri"/>
          <w:color w:val="000000" w:themeColor="text1"/>
          <w:sz w:val="22"/>
          <w:szCs w:val="22"/>
          <w:lang w:bidi="en-US"/>
        </w:rPr>
        <w:t xml:space="preserve"> from </w:t>
      </w:r>
      <w:r w:rsidRPr="39EAF3DE" w:rsidR="00565F85">
        <w:rPr>
          <w:rFonts w:ascii="Calibri" w:hAnsi="Calibri" w:cs="Calibri"/>
          <w:color w:val="000000" w:themeColor="text1"/>
          <w:sz w:val="22"/>
          <w:szCs w:val="22"/>
          <w:lang w:bidi="en-US"/>
        </w:rPr>
        <w:t>organizations</w:t>
      </w:r>
      <w:r w:rsidRPr="39EAF3DE" w:rsidR="00620F89">
        <w:rPr>
          <w:rFonts w:ascii="Calibri" w:hAnsi="Calibri" w:cs="Calibri"/>
          <w:color w:val="000000" w:themeColor="text1"/>
          <w:sz w:val="22"/>
          <w:szCs w:val="22"/>
          <w:lang w:bidi="en-US"/>
        </w:rPr>
        <w:t xml:space="preserve"> such </w:t>
      </w:r>
      <w:r w:rsidRPr="39EAF3DE" w:rsidR="1AD61FBB">
        <w:rPr>
          <w:rFonts w:ascii="Calibri" w:hAnsi="Calibri" w:cs="Calibri"/>
          <w:color w:val="000000" w:themeColor="text1"/>
          <w:sz w:val="22"/>
          <w:szCs w:val="22"/>
          <w:lang w:bidi="en-US"/>
        </w:rPr>
        <w:t xml:space="preserve">as </w:t>
      </w:r>
      <w:r w:rsidRPr="39EAF3DE" w:rsidR="00620F89">
        <w:rPr>
          <w:rFonts w:ascii="Calibri" w:hAnsi="Calibri" w:cs="Calibri"/>
          <w:color w:val="000000" w:themeColor="text1"/>
          <w:sz w:val="22"/>
          <w:szCs w:val="22"/>
          <w:lang w:bidi="en-US"/>
        </w:rPr>
        <w:t>museums, libraries, and community</w:t>
      </w:r>
      <w:r w:rsidRPr="39EAF3DE" w:rsidR="09A85B83">
        <w:rPr>
          <w:rFonts w:ascii="Calibri" w:hAnsi="Calibri" w:cs="Calibri"/>
          <w:color w:val="000000" w:themeColor="text1"/>
          <w:sz w:val="22"/>
          <w:szCs w:val="22"/>
          <w:lang w:bidi="en-US"/>
        </w:rPr>
        <w:t>-</w:t>
      </w:r>
      <w:r w:rsidRPr="39EAF3DE" w:rsidR="00620F89">
        <w:rPr>
          <w:rFonts w:ascii="Calibri" w:hAnsi="Calibri" w:cs="Calibri"/>
          <w:color w:val="000000" w:themeColor="text1"/>
          <w:sz w:val="22"/>
          <w:szCs w:val="22"/>
          <w:lang w:bidi="en-US"/>
        </w:rPr>
        <w:t>based after</w:t>
      </w:r>
      <w:r w:rsidRPr="39EAF3DE" w:rsidR="6615F1CD">
        <w:rPr>
          <w:rFonts w:ascii="Calibri" w:hAnsi="Calibri" w:cs="Calibri"/>
          <w:color w:val="000000" w:themeColor="text1"/>
          <w:sz w:val="22"/>
          <w:szCs w:val="22"/>
          <w:lang w:bidi="en-US"/>
        </w:rPr>
        <w:t>-</w:t>
      </w:r>
      <w:r w:rsidRPr="39EAF3DE" w:rsidR="00620F89">
        <w:rPr>
          <w:rFonts w:ascii="Calibri" w:hAnsi="Calibri" w:cs="Calibri"/>
          <w:color w:val="000000" w:themeColor="text1"/>
          <w:sz w:val="22"/>
          <w:szCs w:val="22"/>
          <w:lang w:bidi="en-US"/>
        </w:rPr>
        <w:t>school programs</w:t>
      </w:r>
      <w:r w:rsidRPr="39EAF3DE" w:rsidR="005C14ED">
        <w:rPr>
          <w:rFonts w:ascii="Calibri" w:hAnsi="Calibri" w:cs="Calibri"/>
          <w:color w:val="000000" w:themeColor="text1"/>
          <w:sz w:val="22"/>
          <w:szCs w:val="22"/>
          <w:lang w:bidi="en-US"/>
        </w:rPr>
        <w:t xml:space="preserve"> whose goal </w:t>
      </w:r>
      <w:r w:rsidR="006B1987">
        <w:rPr>
          <w:rFonts w:ascii="Calibri" w:hAnsi="Calibri" w:cs="Calibri"/>
          <w:color w:val="000000" w:themeColor="text1"/>
          <w:sz w:val="22"/>
          <w:szCs w:val="22"/>
          <w:lang w:bidi="en-US"/>
        </w:rPr>
        <w:t xml:space="preserve">it </w:t>
      </w:r>
      <w:r w:rsidRPr="39EAF3DE" w:rsidR="005C14ED">
        <w:rPr>
          <w:rFonts w:ascii="Calibri" w:hAnsi="Calibri" w:cs="Calibri"/>
          <w:color w:val="000000" w:themeColor="text1"/>
          <w:sz w:val="22"/>
          <w:szCs w:val="22"/>
          <w:lang w:bidi="en-US"/>
        </w:rPr>
        <w:t>is to prepare children and families for school. By the end of three years, there will be six statewide networks in sustaining mode nationwide.</w:t>
      </w:r>
      <w:r w:rsidRPr="39EAF3DE" w:rsidR="007F17C0">
        <w:rPr>
          <w:rFonts w:ascii="Calibri" w:hAnsi="Calibri" w:cs="Calibri"/>
          <w:color w:val="000000" w:themeColor="text1"/>
          <w:sz w:val="22"/>
          <w:szCs w:val="22"/>
          <w:lang w:bidi="en-US"/>
        </w:rPr>
        <w:t xml:space="preserve"> </w:t>
      </w:r>
    </w:p>
    <w:p w:rsidRPr="0032494C" w:rsidR="0090698C" w:rsidP="005C14ED" w:rsidRDefault="0090698C" w14:paraId="4E4B5B3F" w14:textId="02EC4463">
      <w:pPr>
        <w:rPr>
          <w:rFonts w:ascii="Calibri" w:hAnsi="Calibri" w:cs="Calibri"/>
          <w:color w:val="000000" w:themeColor="text1"/>
          <w:sz w:val="22"/>
          <w:szCs w:val="22"/>
          <w:lang w:bidi="en-US"/>
        </w:rPr>
      </w:pPr>
    </w:p>
    <w:p w:rsidRPr="0032494C" w:rsidR="00380D7B" w:rsidP="005C14ED" w:rsidRDefault="00380D7B" w14:paraId="3D082C0F" w14:textId="68A67EC4">
      <w:pPr>
        <w:rPr>
          <w:rFonts w:ascii="Calibri" w:hAnsi="Calibri" w:cs="Calibri"/>
          <w:color w:val="000000" w:themeColor="text1"/>
          <w:sz w:val="22"/>
          <w:szCs w:val="22"/>
          <w:lang w:bidi="en-US"/>
        </w:rPr>
      </w:pPr>
      <w:r w:rsidRPr="0032494C">
        <w:rPr>
          <w:rFonts w:ascii="Calibri" w:hAnsi="Calibri" w:cs="Calibri"/>
          <w:color w:val="000000" w:themeColor="text1"/>
          <w:sz w:val="22"/>
          <w:szCs w:val="22"/>
          <w:lang w:bidi="en-US"/>
        </w:rPr>
        <w:t xml:space="preserve">Note that throughout this document, we refer to </w:t>
      </w:r>
      <w:r w:rsidRPr="0032494C" w:rsidR="007B74FC">
        <w:rPr>
          <w:rFonts w:ascii="Calibri" w:hAnsi="Calibri" w:cs="Calibri"/>
          <w:color w:val="000000" w:themeColor="text1"/>
          <w:sz w:val="22"/>
          <w:szCs w:val="22"/>
          <w:lang w:bidi="en-US"/>
        </w:rPr>
        <w:t>four key stakeholder groups</w:t>
      </w:r>
      <w:r w:rsidRPr="0032494C">
        <w:rPr>
          <w:rFonts w:ascii="Calibri" w:hAnsi="Calibri" w:cs="Calibri"/>
          <w:color w:val="000000" w:themeColor="text1"/>
          <w:sz w:val="22"/>
          <w:szCs w:val="22"/>
          <w:lang w:bidi="en-US"/>
        </w:rPr>
        <w:t xml:space="preserve"> that participate in the School Readiness through Partnerships model:</w:t>
      </w:r>
    </w:p>
    <w:p w:rsidRPr="0032494C" w:rsidR="00380D7B" w:rsidP="00380D7B" w:rsidRDefault="00380D7B" w14:paraId="0CB0669E" w14:textId="3ED2ECCA">
      <w:pPr>
        <w:pStyle w:val="ListParagraph"/>
        <w:numPr>
          <w:ilvl w:val="0"/>
          <w:numId w:val="12"/>
        </w:numPr>
        <w:rPr>
          <w:rFonts w:cs="Calibri"/>
          <w:color w:val="000000" w:themeColor="text1"/>
          <w:lang w:bidi="en-US"/>
        </w:rPr>
      </w:pPr>
      <w:r w:rsidRPr="0032494C">
        <w:rPr>
          <w:rFonts w:cs="Calibri"/>
          <w:b/>
          <w:color w:val="000000" w:themeColor="text1"/>
          <w:lang w:bidi="en-US"/>
        </w:rPr>
        <w:t>Hub leader</w:t>
      </w:r>
      <w:r w:rsidRPr="0032494C" w:rsidR="007B74FC">
        <w:rPr>
          <w:rFonts w:cs="Calibri"/>
          <w:b/>
          <w:color w:val="000000" w:themeColor="text1"/>
          <w:lang w:bidi="en-US"/>
        </w:rPr>
        <w:t xml:space="preserve"> organizations</w:t>
      </w:r>
      <w:r w:rsidRPr="0032494C">
        <w:rPr>
          <w:rFonts w:cs="Calibri"/>
          <w:b/>
          <w:color w:val="000000" w:themeColor="text1"/>
          <w:lang w:bidi="en-US"/>
        </w:rPr>
        <w:t>.</w:t>
      </w:r>
      <w:r w:rsidRPr="0032494C">
        <w:rPr>
          <w:rFonts w:cs="Calibri"/>
          <w:color w:val="000000" w:themeColor="text1"/>
          <w:lang w:bidi="en-US"/>
        </w:rPr>
        <w:t xml:space="preserve"> </w:t>
      </w:r>
      <w:r w:rsidRPr="0032494C" w:rsidR="00911FB6">
        <w:rPr>
          <w:rFonts w:cs="Calibri"/>
          <w:color w:val="000000" w:themeColor="text1"/>
          <w:lang w:bidi="en-US"/>
        </w:rPr>
        <w:t>The c</w:t>
      </w:r>
      <w:r w:rsidRPr="0032494C">
        <w:rPr>
          <w:rFonts w:cs="Calibri"/>
          <w:color w:val="000000" w:themeColor="text1"/>
          <w:lang w:bidi="en-US"/>
        </w:rPr>
        <w:t>hildren’s museum</w:t>
      </w:r>
      <w:r w:rsidR="00C15B61">
        <w:rPr>
          <w:rFonts w:cs="Calibri"/>
          <w:color w:val="000000" w:themeColor="text1"/>
          <w:lang w:bidi="en-US"/>
        </w:rPr>
        <w:t>s</w:t>
      </w:r>
      <w:r w:rsidRPr="0032494C">
        <w:rPr>
          <w:rFonts w:cs="Calibri"/>
          <w:color w:val="000000" w:themeColor="text1"/>
          <w:lang w:bidi="en-US"/>
        </w:rPr>
        <w:t xml:space="preserve"> or </w:t>
      </w:r>
      <w:r w:rsidRPr="0032494C" w:rsidR="00C15B61">
        <w:rPr>
          <w:rFonts w:cs="Calibri"/>
          <w:color w:val="000000" w:themeColor="text1"/>
          <w:lang w:bidi="en-US"/>
        </w:rPr>
        <w:t>librar</w:t>
      </w:r>
      <w:r w:rsidR="00C15B61">
        <w:rPr>
          <w:rFonts w:cs="Calibri"/>
          <w:color w:val="000000" w:themeColor="text1"/>
          <w:lang w:bidi="en-US"/>
        </w:rPr>
        <w:t>ies</w:t>
      </w:r>
      <w:r w:rsidRPr="0032494C" w:rsidR="00C15B61">
        <w:rPr>
          <w:rFonts w:cs="Calibri"/>
          <w:color w:val="000000" w:themeColor="text1"/>
          <w:lang w:bidi="en-US"/>
        </w:rPr>
        <w:t xml:space="preserve"> </w:t>
      </w:r>
      <w:r w:rsidRPr="0032494C">
        <w:rPr>
          <w:rFonts w:cs="Calibri"/>
          <w:color w:val="000000" w:themeColor="text1"/>
          <w:lang w:bidi="en-US"/>
        </w:rPr>
        <w:t>that serve as the leader</w:t>
      </w:r>
      <w:r w:rsidR="00C15B61">
        <w:rPr>
          <w:rFonts w:cs="Calibri"/>
          <w:color w:val="000000" w:themeColor="text1"/>
          <w:lang w:bidi="en-US"/>
        </w:rPr>
        <w:t>s</w:t>
      </w:r>
      <w:r w:rsidRPr="0032494C">
        <w:rPr>
          <w:rFonts w:cs="Calibri"/>
          <w:color w:val="000000" w:themeColor="text1"/>
          <w:lang w:bidi="en-US"/>
        </w:rPr>
        <w:t xml:space="preserve"> of </w:t>
      </w:r>
      <w:r w:rsidRPr="0032494C" w:rsidR="00EE6735">
        <w:rPr>
          <w:rFonts w:cs="Calibri"/>
          <w:color w:val="000000" w:themeColor="text1"/>
          <w:lang w:bidi="en-US"/>
        </w:rPr>
        <w:t>networks within states</w:t>
      </w:r>
    </w:p>
    <w:p w:rsidRPr="0032494C" w:rsidR="00380D7B" w:rsidP="00380D7B" w:rsidRDefault="00380D7B" w14:paraId="112DAD27" w14:textId="69F9D71C">
      <w:pPr>
        <w:pStyle w:val="ListParagraph"/>
        <w:numPr>
          <w:ilvl w:val="0"/>
          <w:numId w:val="12"/>
        </w:numPr>
        <w:rPr>
          <w:rFonts w:cs="Calibri"/>
          <w:b/>
          <w:color w:val="000000" w:themeColor="text1"/>
          <w:lang w:bidi="en-US"/>
        </w:rPr>
      </w:pPr>
      <w:r w:rsidRPr="0032494C">
        <w:rPr>
          <w:rFonts w:cs="Calibri"/>
          <w:b/>
          <w:color w:val="000000" w:themeColor="text1"/>
          <w:lang w:bidi="en-US"/>
        </w:rPr>
        <w:t>Key partner</w:t>
      </w:r>
      <w:r w:rsidRPr="0032494C" w:rsidR="007B74FC">
        <w:rPr>
          <w:rFonts w:cs="Calibri"/>
          <w:b/>
          <w:color w:val="000000" w:themeColor="text1"/>
          <w:lang w:bidi="en-US"/>
        </w:rPr>
        <w:t xml:space="preserve"> organizations</w:t>
      </w:r>
      <w:r w:rsidRPr="0032494C">
        <w:rPr>
          <w:rFonts w:cs="Calibri"/>
          <w:b/>
          <w:color w:val="000000" w:themeColor="text1"/>
          <w:lang w:bidi="en-US"/>
        </w:rPr>
        <w:t xml:space="preserve">. </w:t>
      </w:r>
      <w:r w:rsidRPr="0032494C">
        <w:rPr>
          <w:rFonts w:cs="Calibri"/>
          <w:color w:val="000000" w:themeColor="text1"/>
          <w:lang w:bidi="en-US"/>
        </w:rPr>
        <w:t xml:space="preserve">Organizations that are currently partnering </w:t>
      </w:r>
      <w:r w:rsidRPr="0032494C" w:rsidR="00EE6735">
        <w:rPr>
          <w:rFonts w:cs="Calibri"/>
          <w:color w:val="000000" w:themeColor="text1"/>
          <w:lang w:bidi="en-US"/>
        </w:rPr>
        <w:t xml:space="preserve">with </w:t>
      </w:r>
      <w:r w:rsidRPr="0032494C" w:rsidR="00AF47CA">
        <w:rPr>
          <w:rFonts w:cs="Calibri"/>
          <w:color w:val="000000" w:themeColor="text1"/>
          <w:lang w:bidi="en-US"/>
        </w:rPr>
        <w:t>h</w:t>
      </w:r>
      <w:r w:rsidRPr="0032494C" w:rsidR="00EE6735">
        <w:rPr>
          <w:rFonts w:cs="Calibri"/>
          <w:color w:val="000000" w:themeColor="text1"/>
          <w:lang w:bidi="en-US"/>
        </w:rPr>
        <w:t xml:space="preserve">ub leaders </w:t>
      </w:r>
      <w:r w:rsidRPr="0032494C">
        <w:rPr>
          <w:rFonts w:cs="Calibri"/>
          <w:color w:val="000000" w:themeColor="text1"/>
          <w:lang w:bidi="en-US"/>
        </w:rPr>
        <w:t>as a result of previous grants</w:t>
      </w:r>
    </w:p>
    <w:p w:rsidRPr="0032494C" w:rsidR="00380D7B" w:rsidP="00380D7B" w:rsidRDefault="00380D7B" w14:paraId="14D02226" w14:textId="3CD2C498">
      <w:pPr>
        <w:pStyle w:val="ListParagraph"/>
        <w:numPr>
          <w:ilvl w:val="0"/>
          <w:numId w:val="12"/>
        </w:numPr>
        <w:rPr>
          <w:rFonts w:cs="Calibri"/>
          <w:b/>
          <w:color w:val="000000" w:themeColor="text1"/>
          <w:lang w:bidi="en-US"/>
        </w:rPr>
      </w:pPr>
      <w:r w:rsidRPr="0032494C">
        <w:rPr>
          <w:rFonts w:cs="Calibri"/>
          <w:b/>
          <w:color w:val="000000" w:themeColor="text1"/>
          <w:lang w:bidi="en-US"/>
        </w:rPr>
        <w:t xml:space="preserve">Collaborating organizations. </w:t>
      </w:r>
      <w:r w:rsidRPr="0032494C" w:rsidR="007B74FC">
        <w:rPr>
          <w:rFonts w:cs="Calibri"/>
          <w:color w:val="000000" w:themeColor="text1"/>
          <w:lang w:bidi="en-US"/>
        </w:rPr>
        <w:t>O</w:t>
      </w:r>
      <w:r w:rsidRPr="0032494C">
        <w:rPr>
          <w:rFonts w:cs="Calibri"/>
          <w:color w:val="000000" w:themeColor="text1"/>
          <w:lang w:bidi="en-US"/>
        </w:rPr>
        <w:t xml:space="preserve">rganizations </w:t>
      </w:r>
      <w:r w:rsidRPr="0032494C" w:rsidR="00911FB6">
        <w:rPr>
          <w:rFonts w:cs="Calibri"/>
          <w:color w:val="000000" w:themeColor="text1"/>
          <w:lang w:bidi="en-US"/>
        </w:rPr>
        <w:t xml:space="preserve">that </w:t>
      </w:r>
      <w:r w:rsidRPr="0032494C" w:rsidR="00EE6735">
        <w:rPr>
          <w:rFonts w:cs="Calibri"/>
          <w:color w:val="000000" w:themeColor="text1"/>
          <w:lang w:bidi="en-US"/>
        </w:rPr>
        <w:t xml:space="preserve">will </w:t>
      </w:r>
      <w:r w:rsidRPr="0032494C" w:rsidR="007B74FC">
        <w:rPr>
          <w:rFonts w:cs="Calibri"/>
          <w:color w:val="000000" w:themeColor="text1"/>
          <w:lang w:bidi="en-US"/>
        </w:rPr>
        <w:t xml:space="preserve">join partnerships with </w:t>
      </w:r>
      <w:r w:rsidRPr="0032494C" w:rsidR="00AF47CA">
        <w:rPr>
          <w:rFonts w:cs="Calibri"/>
          <w:color w:val="000000" w:themeColor="text1"/>
          <w:lang w:bidi="en-US"/>
        </w:rPr>
        <w:t>h</w:t>
      </w:r>
      <w:r w:rsidRPr="0032494C" w:rsidR="007B74FC">
        <w:rPr>
          <w:rFonts w:cs="Calibri"/>
          <w:color w:val="000000" w:themeColor="text1"/>
          <w:lang w:bidi="en-US"/>
        </w:rPr>
        <w:t xml:space="preserve">ub leaders and key partners </w:t>
      </w:r>
      <w:r w:rsidRPr="0032494C" w:rsidR="00911FB6">
        <w:rPr>
          <w:rFonts w:cs="Calibri"/>
          <w:color w:val="000000" w:themeColor="text1"/>
          <w:lang w:bidi="en-US"/>
        </w:rPr>
        <w:t xml:space="preserve">as a </w:t>
      </w:r>
      <w:r w:rsidRPr="0032494C">
        <w:rPr>
          <w:rFonts w:cs="Calibri"/>
          <w:color w:val="000000" w:themeColor="text1"/>
          <w:lang w:bidi="en-US"/>
        </w:rPr>
        <w:t xml:space="preserve">result </w:t>
      </w:r>
      <w:r w:rsidRPr="0032494C" w:rsidR="00911FB6">
        <w:rPr>
          <w:rFonts w:cs="Calibri"/>
          <w:color w:val="000000" w:themeColor="text1"/>
          <w:lang w:bidi="en-US"/>
        </w:rPr>
        <w:t xml:space="preserve">of </w:t>
      </w:r>
      <w:r w:rsidRPr="0032494C">
        <w:rPr>
          <w:rFonts w:cs="Calibri"/>
          <w:color w:val="000000" w:themeColor="text1"/>
          <w:lang w:bidi="en-US"/>
        </w:rPr>
        <w:t>this current grant</w:t>
      </w:r>
    </w:p>
    <w:p w:rsidRPr="0032494C" w:rsidR="007B74FC" w:rsidP="00380D7B" w:rsidRDefault="007B74FC" w14:paraId="77494855" w14:textId="7CCCD26F">
      <w:pPr>
        <w:pStyle w:val="ListParagraph"/>
        <w:numPr>
          <w:ilvl w:val="0"/>
          <w:numId w:val="12"/>
        </w:numPr>
        <w:rPr>
          <w:rFonts w:cs="Calibri"/>
          <w:b/>
          <w:color w:val="000000" w:themeColor="text1"/>
          <w:lang w:bidi="en-US"/>
        </w:rPr>
      </w:pPr>
      <w:r w:rsidRPr="0032494C">
        <w:rPr>
          <w:rFonts w:cs="Calibri"/>
          <w:b/>
          <w:color w:val="000000" w:themeColor="text1"/>
          <w:lang w:bidi="en-US"/>
        </w:rPr>
        <w:t xml:space="preserve">Families. </w:t>
      </w:r>
      <w:r w:rsidRPr="0032494C">
        <w:rPr>
          <w:rFonts w:cs="Calibri"/>
          <w:color w:val="000000" w:themeColor="text1"/>
          <w:lang w:bidi="en-US"/>
        </w:rPr>
        <w:t>Families</w:t>
      </w:r>
      <w:r w:rsidRPr="0032494C">
        <w:rPr>
          <w:rFonts w:cs="Calibri"/>
          <w:b/>
          <w:color w:val="000000" w:themeColor="text1"/>
          <w:lang w:bidi="en-US"/>
        </w:rPr>
        <w:t xml:space="preserve"> </w:t>
      </w:r>
      <w:r w:rsidRPr="0032494C">
        <w:rPr>
          <w:rFonts w:cs="Calibri"/>
          <w:color w:val="000000" w:themeColor="text1"/>
          <w:lang w:bidi="en-US"/>
        </w:rPr>
        <w:t xml:space="preserve">with young children who participate in activities through </w:t>
      </w:r>
      <w:r w:rsidRPr="0032494C" w:rsidR="00AF47CA">
        <w:rPr>
          <w:rFonts w:cs="Calibri"/>
          <w:color w:val="000000" w:themeColor="text1"/>
          <w:lang w:bidi="en-US"/>
        </w:rPr>
        <w:t>h</w:t>
      </w:r>
      <w:r w:rsidRPr="0032494C">
        <w:rPr>
          <w:rFonts w:cs="Calibri"/>
          <w:color w:val="000000" w:themeColor="text1"/>
          <w:lang w:bidi="en-US"/>
        </w:rPr>
        <w:t>ub leader, key partner, and/or collaborating organizations</w:t>
      </w:r>
    </w:p>
    <w:p w:rsidRPr="0032494C" w:rsidR="006C7470" w:rsidP="006C7470" w:rsidRDefault="00112C3E" w14:paraId="0BBBD82D" w14:textId="0670630A">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themeColor="text1"/>
          <w:sz w:val="22"/>
          <w:szCs w:val="22"/>
          <w:lang w:bidi="en-US"/>
        </w:rPr>
      </w:pPr>
      <w:r w:rsidRPr="0032494C">
        <w:rPr>
          <w:rFonts w:ascii="Calibri" w:hAnsi="Calibri" w:cs="Calibri"/>
          <w:b/>
          <w:i/>
          <w:color w:val="000000" w:themeColor="text1"/>
          <w:sz w:val="22"/>
          <w:szCs w:val="22"/>
          <w:lang w:bidi="en-US"/>
        </w:rPr>
        <w:t>External Evaluation</w:t>
      </w:r>
    </w:p>
    <w:p w:rsidRPr="0032494C" w:rsidR="008A26B8" w:rsidP="00EE1E50" w:rsidRDefault="006C7470" w14:paraId="2A1B7483" w14:textId="0A3DF753">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themeColor="text1"/>
          <w:sz w:val="22"/>
          <w:szCs w:val="22"/>
          <w:lang w:bidi="en-US"/>
        </w:rPr>
      </w:pPr>
      <w:r w:rsidRPr="0032494C">
        <w:rPr>
          <w:rFonts w:ascii="Calibri" w:hAnsi="Calibri" w:cs="Calibri"/>
          <w:color w:val="000000" w:themeColor="text1"/>
          <w:sz w:val="22"/>
          <w:szCs w:val="22"/>
          <w:lang w:bidi="en-US"/>
        </w:rPr>
        <w:t xml:space="preserve">The Education Development Center (EDC) will serve as the third-party evaluator for the project, documenting the progress and </w:t>
      </w:r>
      <w:r w:rsidRPr="0032494C" w:rsidR="00C26CE8">
        <w:rPr>
          <w:rFonts w:ascii="Calibri" w:hAnsi="Calibri" w:cs="Calibri"/>
          <w:color w:val="000000" w:themeColor="text1"/>
          <w:sz w:val="22"/>
          <w:szCs w:val="22"/>
          <w:lang w:bidi="en-US"/>
        </w:rPr>
        <w:t xml:space="preserve">understanding the process of how the </w:t>
      </w:r>
      <w:r w:rsidRPr="0032494C" w:rsidR="007F17C0">
        <w:rPr>
          <w:rFonts w:ascii="Calibri" w:hAnsi="Calibri" w:cs="Calibri"/>
          <w:color w:val="000000" w:themeColor="text1"/>
          <w:sz w:val="22"/>
          <w:szCs w:val="22"/>
          <w:lang w:bidi="en-US"/>
        </w:rPr>
        <w:t xml:space="preserve">School Readiness through Partnerships </w:t>
      </w:r>
      <w:r w:rsidRPr="0032494C">
        <w:rPr>
          <w:rFonts w:ascii="Calibri" w:hAnsi="Calibri" w:cs="Calibri"/>
          <w:color w:val="000000" w:themeColor="text1"/>
          <w:sz w:val="22"/>
          <w:szCs w:val="22"/>
          <w:lang w:bidi="en-US"/>
        </w:rPr>
        <w:t>model build</w:t>
      </w:r>
      <w:r w:rsidRPr="0032494C" w:rsidR="00C26CE8">
        <w:rPr>
          <w:rFonts w:ascii="Calibri" w:hAnsi="Calibri" w:cs="Calibri"/>
          <w:color w:val="000000" w:themeColor="text1"/>
          <w:sz w:val="22"/>
          <w:szCs w:val="22"/>
          <w:lang w:bidi="en-US"/>
        </w:rPr>
        <w:t>s</w:t>
      </w:r>
      <w:r w:rsidRPr="0032494C">
        <w:rPr>
          <w:rFonts w:ascii="Calibri" w:hAnsi="Calibri" w:cs="Calibri"/>
          <w:color w:val="000000" w:themeColor="text1"/>
          <w:sz w:val="22"/>
          <w:szCs w:val="22"/>
          <w:lang w:bidi="en-US"/>
        </w:rPr>
        <w:t xml:space="preserve"> institution</w:t>
      </w:r>
      <w:r w:rsidRPr="0032494C" w:rsidR="00C26CE8">
        <w:rPr>
          <w:rFonts w:ascii="Calibri" w:hAnsi="Calibri" w:cs="Calibri"/>
          <w:color w:val="000000" w:themeColor="text1"/>
          <w:sz w:val="22"/>
          <w:szCs w:val="22"/>
          <w:lang w:bidi="en-US"/>
        </w:rPr>
        <w:t>s’</w:t>
      </w:r>
      <w:r w:rsidRPr="0032494C">
        <w:rPr>
          <w:rFonts w:ascii="Calibri" w:hAnsi="Calibri" w:cs="Calibri"/>
          <w:color w:val="000000" w:themeColor="text1"/>
          <w:sz w:val="22"/>
          <w:szCs w:val="22"/>
          <w:lang w:bidi="en-US"/>
        </w:rPr>
        <w:t xml:space="preserve"> readiness to serve all families in their regions</w:t>
      </w:r>
      <w:r w:rsidRPr="0032494C" w:rsidR="007F17C0">
        <w:rPr>
          <w:rFonts w:ascii="Calibri" w:hAnsi="Calibri" w:cs="Calibri"/>
          <w:color w:val="000000" w:themeColor="text1"/>
          <w:sz w:val="22"/>
          <w:szCs w:val="22"/>
          <w:lang w:bidi="en-US"/>
        </w:rPr>
        <w:t>, and ultimately gain</w:t>
      </w:r>
      <w:r w:rsidR="00B204C4">
        <w:rPr>
          <w:rFonts w:ascii="Calibri" w:hAnsi="Calibri" w:cs="Calibri"/>
          <w:color w:val="000000" w:themeColor="text1"/>
          <w:sz w:val="22"/>
          <w:szCs w:val="22"/>
          <w:lang w:bidi="en-US"/>
        </w:rPr>
        <w:t>ing</w:t>
      </w:r>
      <w:r w:rsidRPr="0032494C" w:rsidR="007F17C0">
        <w:rPr>
          <w:rFonts w:ascii="Calibri" w:hAnsi="Calibri" w:cs="Calibri"/>
          <w:color w:val="000000" w:themeColor="text1"/>
          <w:sz w:val="22"/>
          <w:szCs w:val="22"/>
          <w:lang w:bidi="en-US"/>
        </w:rPr>
        <w:t xml:space="preserve"> insight</w:t>
      </w:r>
      <w:r w:rsidR="00B204C4">
        <w:rPr>
          <w:rFonts w:ascii="Calibri" w:hAnsi="Calibri" w:cs="Calibri"/>
          <w:color w:val="000000" w:themeColor="text1"/>
          <w:sz w:val="22"/>
          <w:szCs w:val="22"/>
          <w:lang w:bidi="en-US"/>
        </w:rPr>
        <w:t>s</w:t>
      </w:r>
      <w:r w:rsidRPr="0032494C" w:rsidR="007F17C0">
        <w:rPr>
          <w:rFonts w:ascii="Calibri" w:hAnsi="Calibri" w:cs="Calibri"/>
          <w:color w:val="000000" w:themeColor="text1"/>
          <w:sz w:val="22"/>
          <w:szCs w:val="22"/>
          <w:lang w:bidi="en-US"/>
        </w:rPr>
        <w:t xml:space="preserve"> into what is necessary to support scale-up </w:t>
      </w:r>
      <w:r w:rsidRPr="0032494C" w:rsidR="008A26B8">
        <w:rPr>
          <w:rFonts w:ascii="Calibri" w:hAnsi="Calibri" w:cs="Calibri"/>
          <w:color w:val="000000" w:themeColor="text1"/>
          <w:sz w:val="22"/>
          <w:szCs w:val="22"/>
          <w:lang w:bidi="en-US"/>
        </w:rPr>
        <w:t>of these networks across the country</w:t>
      </w:r>
      <w:r w:rsidRPr="0032494C">
        <w:rPr>
          <w:rFonts w:ascii="Calibri" w:hAnsi="Calibri" w:cs="Calibri"/>
          <w:color w:val="000000" w:themeColor="text1"/>
          <w:sz w:val="22"/>
          <w:szCs w:val="22"/>
          <w:lang w:bidi="en-US"/>
        </w:rPr>
        <w:t xml:space="preserve">. The proposed evaluation is budgeted </w:t>
      </w:r>
      <w:r w:rsidRPr="005E79C7">
        <w:rPr>
          <w:rFonts w:ascii="Calibri" w:hAnsi="Calibri" w:cs="Calibri"/>
          <w:color w:val="000000" w:themeColor="text1"/>
          <w:sz w:val="22"/>
          <w:szCs w:val="22"/>
          <w:lang w:bidi="en-US"/>
        </w:rPr>
        <w:t>at $68,699.</w:t>
      </w:r>
      <w:r w:rsidRPr="0032494C">
        <w:rPr>
          <w:rFonts w:ascii="Calibri" w:hAnsi="Calibri" w:cs="Calibri"/>
          <w:color w:val="000000" w:themeColor="text1"/>
          <w:sz w:val="22"/>
          <w:szCs w:val="22"/>
          <w:lang w:bidi="en-US"/>
        </w:rPr>
        <w:t xml:space="preserve"> The proposed evaluation will accomplish </w:t>
      </w:r>
      <w:r w:rsidRPr="0032494C" w:rsidR="008921DA">
        <w:rPr>
          <w:rFonts w:ascii="Calibri" w:hAnsi="Calibri" w:cs="Calibri"/>
          <w:color w:val="000000" w:themeColor="text1"/>
          <w:sz w:val="22"/>
          <w:szCs w:val="22"/>
          <w:lang w:bidi="en-US"/>
        </w:rPr>
        <w:t xml:space="preserve">the </w:t>
      </w:r>
      <w:r w:rsidRPr="0032494C">
        <w:rPr>
          <w:rFonts w:ascii="Calibri" w:hAnsi="Calibri" w:cs="Calibri"/>
          <w:color w:val="000000" w:themeColor="text1"/>
          <w:sz w:val="22"/>
          <w:szCs w:val="22"/>
          <w:lang w:bidi="en-US"/>
        </w:rPr>
        <w:t>three key goals</w:t>
      </w:r>
      <w:r w:rsidRPr="0032494C" w:rsidR="008921DA">
        <w:rPr>
          <w:rFonts w:ascii="Calibri" w:hAnsi="Calibri" w:cs="Calibri"/>
          <w:color w:val="000000" w:themeColor="text1"/>
          <w:sz w:val="22"/>
          <w:szCs w:val="22"/>
          <w:lang w:bidi="en-US"/>
        </w:rPr>
        <w:t xml:space="preserve"> below.</w:t>
      </w:r>
    </w:p>
    <w:p w:rsidRPr="0032494C" w:rsidR="006B5FE9" w:rsidP="008A26B8" w:rsidRDefault="008921DA" w14:paraId="456C96C3" w14:textId="5C430BDE">
      <w:pPr>
        <w:pStyle w:val="ListParagraph"/>
        <w:widowControl w:val="0"/>
        <w:numPr>
          <w:ilvl w:val="0"/>
          <w:numId w:val="10"/>
        </w:num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alibri"/>
          <w:bCs/>
          <w:w w:val="95"/>
        </w:rPr>
      </w:pPr>
      <w:r w:rsidRPr="0032494C">
        <w:rPr>
          <w:rFonts w:cs="Calibri"/>
          <w:b/>
          <w:color w:val="000000" w:themeColor="text1"/>
          <w:lang w:bidi="en-US"/>
        </w:rPr>
        <w:t xml:space="preserve">Goal </w:t>
      </w:r>
      <w:r w:rsidRPr="0032494C" w:rsidR="00AF47CA">
        <w:rPr>
          <w:rFonts w:cs="Calibri"/>
          <w:b/>
          <w:color w:val="000000" w:themeColor="text1"/>
          <w:lang w:bidi="en-US"/>
        </w:rPr>
        <w:t>1</w:t>
      </w:r>
      <w:r w:rsidRPr="0032494C">
        <w:rPr>
          <w:rFonts w:cs="Calibri"/>
          <w:b/>
          <w:color w:val="000000" w:themeColor="text1"/>
          <w:lang w:bidi="en-US"/>
        </w:rPr>
        <w:t xml:space="preserve">. </w:t>
      </w:r>
      <w:r w:rsidRPr="0032494C">
        <w:rPr>
          <w:rFonts w:cs="Calibri"/>
          <w:color w:val="000000" w:themeColor="text1"/>
          <w:lang w:bidi="en-US"/>
        </w:rPr>
        <w:t>I</w:t>
      </w:r>
      <w:r w:rsidRPr="0032494C" w:rsidR="006C7470">
        <w:rPr>
          <w:rFonts w:cs="Calibri"/>
          <w:color w:val="000000" w:themeColor="text1"/>
          <w:lang w:bidi="en-US"/>
        </w:rPr>
        <w:t>dentify institutional capacities and cross-organizational relationships that support model outreach, implementation, and sustainability</w:t>
      </w:r>
      <w:r w:rsidRPr="0032494C" w:rsidR="00380D7B">
        <w:rPr>
          <w:rFonts w:cs="Calibri"/>
          <w:color w:val="000000" w:themeColor="text1"/>
          <w:lang w:bidi="en-US"/>
        </w:rPr>
        <w:t xml:space="preserve"> in order to understand elements and processes that are central to forming</w:t>
      </w:r>
      <w:r w:rsidRPr="0032494C" w:rsidR="00DD26ED">
        <w:rPr>
          <w:rFonts w:cs="Calibri"/>
          <w:color w:val="000000" w:themeColor="text1"/>
          <w:lang w:bidi="en-US"/>
        </w:rPr>
        <w:t xml:space="preserve">, </w:t>
      </w:r>
      <w:r w:rsidRPr="0032494C" w:rsidR="00380D7B">
        <w:rPr>
          <w:rFonts w:cs="Calibri"/>
          <w:color w:val="000000" w:themeColor="text1"/>
          <w:lang w:bidi="en-US"/>
        </w:rPr>
        <w:t>sustaining</w:t>
      </w:r>
      <w:r w:rsidRPr="0032494C" w:rsidR="00DD26ED">
        <w:rPr>
          <w:rFonts w:cs="Calibri"/>
          <w:color w:val="000000" w:themeColor="text1"/>
          <w:lang w:bidi="en-US"/>
        </w:rPr>
        <w:t>, and scaling-up</w:t>
      </w:r>
      <w:r w:rsidRPr="0032494C" w:rsidR="00380D7B">
        <w:rPr>
          <w:rFonts w:cs="Calibri"/>
          <w:color w:val="000000" w:themeColor="text1"/>
          <w:lang w:bidi="en-US"/>
        </w:rPr>
        <w:t xml:space="preserve"> </w:t>
      </w:r>
      <w:r w:rsidRPr="0032494C" w:rsidR="00DD26ED">
        <w:rPr>
          <w:rFonts w:cs="Calibri"/>
          <w:color w:val="000000" w:themeColor="text1"/>
          <w:lang w:bidi="en-US"/>
        </w:rPr>
        <w:t>the network model to all states.</w:t>
      </w:r>
    </w:p>
    <w:p w:rsidRPr="0032494C" w:rsidR="006B5FE9" w:rsidP="008A26B8" w:rsidRDefault="008921DA" w14:paraId="0C0EACD8" w14:textId="460BE744">
      <w:pPr>
        <w:pStyle w:val="ListParagraph"/>
        <w:widowControl w:val="0"/>
        <w:numPr>
          <w:ilvl w:val="0"/>
          <w:numId w:val="10"/>
        </w:num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alibri"/>
          <w:bCs/>
          <w:w w:val="95"/>
        </w:rPr>
      </w:pPr>
      <w:r w:rsidRPr="0032494C">
        <w:rPr>
          <w:rFonts w:cs="Calibri"/>
          <w:b/>
          <w:color w:val="000000" w:themeColor="text1"/>
          <w:lang w:bidi="en-US"/>
        </w:rPr>
        <w:t xml:space="preserve">Goal </w:t>
      </w:r>
      <w:r w:rsidRPr="0032494C" w:rsidR="00AF47CA">
        <w:rPr>
          <w:rFonts w:cs="Calibri"/>
          <w:b/>
          <w:color w:val="000000" w:themeColor="text1"/>
          <w:lang w:bidi="en-US"/>
        </w:rPr>
        <w:t>2</w:t>
      </w:r>
      <w:r w:rsidR="00162157">
        <w:rPr>
          <w:rFonts w:cs="Calibri"/>
          <w:b/>
          <w:color w:val="000000" w:themeColor="text1"/>
          <w:lang w:bidi="en-US"/>
        </w:rPr>
        <w:t>.</w:t>
      </w:r>
      <w:r w:rsidRPr="0032494C">
        <w:rPr>
          <w:rFonts w:cs="Calibri"/>
          <w:b/>
          <w:color w:val="000000" w:themeColor="text1"/>
          <w:lang w:bidi="en-US"/>
        </w:rPr>
        <w:t xml:space="preserve"> </w:t>
      </w:r>
      <w:r w:rsidRPr="0032494C">
        <w:rPr>
          <w:rFonts w:cs="Calibri"/>
          <w:color w:val="000000" w:themeColor="text1"/>
          <w:lang w:bidi="en-US"/>
        </w:rPr>
        <w:t>I</w:t>
      </w:r>
      <w:r w:rsidRPr="0032494C" w:rsidR="00C8232E">
        <w:rPr>
          <w:rFonts w:cs="Calibri"/>
          <w:color w:val="000000" w:themeColor="text1"/>
          <w:lang w:bidi="en-US"/>
        </w:rPr>
        <w:t xml:space="preserve">dentify the </w:t>
      </w:r>
      <w:r w:rsidRPr="0032494C" w:rsidR="000A4AA3">
        <w:rPr>
          <w:rFonts w:cs="Calibri"/>
          <w:color w:val="000000" w:themeColor="text1"/>
          <w:lang w:bidi="en-US"/>
        </w:rPr>
        <w:t xml:space="preserve">ways in </w:t>
      </w:r>
      <w:r w:rsidRPr="0032494C" w:rsidR="00C8232E">
        <w:rPr>
          <w:rFonts w:cs="Calibri"/>
          <w:color w:val="000000" w:themeColor="text1"/>
          <w:lang w:bidi="en-US"/>
        </w:rPr>
        <w:t xml:space="preserve">which </w:t>
      </w:r>
      <w:r w:rsidRPr="0032494C" w:rsidR="006C7470">
        <w:rPr>
          <w:rFonts w:cs="Calibri"/>
          <w:color w:val="000000" w:themeColor="text1"/>
          <w:lang w:bidi="en-US"/>
        </w:rPr>
        <w:t xml:space="preserve">the </w:t>
      </w:r>
      <w:r w:rsidRPr="0032494C" w:rsidR="000A4AA3">
        <w:rPr>
          <w:rFonts w:cs="Calibri"/>
          <w:color w:val="000000" w:themeColor="text1"/>
          <w:lang w:bidi="en-US"/>
        </w:rPr>
        <w:t xml:space="preserve">network </w:t>
      </w:r>
      <w:r w:rsidRPr="0032494C" w:rsidR="006C7470">
        <w:rPr>
          <w:rFonts w:cs="Calibri"/>
          <w:color w:val="000000" w:themeColor="text1"/>
          <w:lang w:bidi="en-US"/>
        </w:rPr>
        <w:t xml:space="preserve">model </w:t>
      </w:r>
      <w:r w:rsidRPr="0032494C" w:rsidR="000A4AA3">
        <w:rPr>
          <w:rFonts w:cs="Calibri"/>
          <w:color w:val="000000" w:themeColor="text1"/>
          <w:lang w:bidi="en-US"/>
        </w:rPr>
        <w:t xml:space="preserve">prepares and supports </w:t>
      </w:r>
      <w:r w:rsidRPr="0032494C" w:rsidR="00AC3A5E">
        <w:rPr>
          <w:rFonts w:cs="Calibri"/>
          <w:color w:val="000000" w:themeColor="text1"/>
          <w:lang w:bidi="en-US"/>
        </w:rPr>
        <w:t>h</w:t>
      </w:r>
      <w:r w:rsidRPr="0032494C" w:rsidR="006C7470">
        <w:rPr>
          <w:rFonts w:cs="Calibri"/>
          <w:color w:val="000000" w:themeColor="text1"/>
          <w:lang w:bidi="en-US"/>
        </w:rPr>
        <w:t xml:space="preserve">ub leaders, key </w:t>
      </w:r>
      <w:r w:rsidRPr="0032494C" w:rsidR="006C7470">
        <w:rPr>
          <w:rFonts w:cs="Calibri"/>
          <w:color w:val="000000" w:themeColor="text1"/>
          <w:lang w:bidi="en-US"/>
        </w:rPr>
        <w:lastRenderedPageBreak/>
        <w:t>partners, collaborating organizations</w:t>
      </w:r>
      <w:r w:rsidRPr="0032494C" w:rsidR="006B18A8">
        <w:rPr>
          <w:rFonts w:cs="Calibri"/>
          <w:color w:val="000000" w:themeColor="text1"/>
          <w:lang w:bidi="en-US"/>
        </w:rPr>
        <w:t>, and families</w:t>
      </w:r>
      <w:r w:rsidRPr="0032494C">
        <w:rPr>
          <w:rFonts w:cs="Calibri"/>
          <w:color w:val="000000" w:themeColor="text1"/>
          <w:lang w:bidi="en-US"/>
        </w:rPr>
        <w:t xml:space="preserve"> </w:t>
      </w:r>
      <w:r w:rsidRPr="0032494C" w:rsidR="004966A5">
        <w:rPr>
          <w:rFonts w:cs="Calibri"/>
          <w:color w:val="000000" w:themeColor="text1"/>
          <w:lang w:bidi="en-US"/>
        </w:rPr>
        <w:t xml:space="preserve">in </w:t>
      </w:r>
      <w:r w:rsidRPr="0032494C" w:rsidR="000A4AA3">
        <w:rPr>
          <w:rFonts w:cs="Calibri"/>
          <w:color w:val="000000" w:themeColor="text1"/>
          <w:lang w:bidi="en-US"/>
        </w:rPr>
        <w:t>promoting academic readiness among young children</w:t>
      </w:r>
      <w:r w:rsidRPr="0032494C">
        <w:rPr>
          <w:rFonts w:cs="Calibri"/>
          <w:color w:val="000000" w:themeColor="text1"/>
          <w:lang w:bidi="en-US"/>
        </w:rPr>
        <w:t>.</w:t>
      </w:r>
    </w:p>
    <w:p w:rsidRPr="0032494C" w:rsidR="00AF47CA" w:rsidP="001E7871" w:rsidRDefault="00AF47CA" w14:paraId="7D8D0A5F" w14:textId="0F494F1F">
      <w:pPr>
        <w:pStyle w:val="ListParagraph"/>
        <w:widowControl w:val="0"/>
        <w:numPr>
          <w:ilvl w:val="0"/>
          <w:numId w:val="10"/>
        </w:num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alibri"/>
          <w:bCs/>
          <w:w w:val="95"/>
        </w:rPr>
      </w:pPr>
      <w:r w:rsidRPr="0032494C">
        <w:rPr>
          <w:rFonts w:cs="Calibri"/>
          <w:b/>
          <w:color w:val="000000" w:themeColor="text1"/>
          <w:lang w:bidi="en-US"/>
        </w:rPr>
        <w:t xml:space="preserve">Goal 3. </w:t>
      </w:r>
      <w:r w:rsidRPr="0032494C">
        <w:rPr>
          <w:rFonts w:cs="Calibri"/>
          <w:color w:val="000000" w:themeColor="text1"/>
          <w:lang w:bidi="en-US"/>
        </w:rPr>
        <w:t>Document project activities and implementation of the network model to ensure that the project is on schedule and that activities are being implemented as intended by IMLS and BCM.</w:t>
      </w:r>
    </w:p>
    <w:p w:rsidRPr="0032494C" w:rsidR="00EE1E50" w:rsidP="006C7470" w:rsidRDefault="00C93183" w14:paraId="5F5A48E4" w14:textId="76DB03B4">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themeColor="text1"/>
          <w:sz w:val="22"/>
          <w:szCs w:val="22"/>
          <w:lang w:bidi="en-US"/>
        </w:rPr>
      </w:pPr>
      <w:r w:rsidRPr="0032494C">
        <w:rPr>
          <w:rFonts w:ascii="Calibri" w:hAnsi="Calibri" w:cs="Calibri"/>
          <w:bCs/>
          <w:w w:val="95"/>
          <w:sz w:val="22"/>
          <w:szCs w:val="22"/>
        </w:rPr>
        <w:t>T</w:t>
      </w:r>
      <w:r w:rsidRPr="0032494C" w:rsidR="00AC6AF6">
        <w:rPr>
          <w:rFonts w:ascii="Calibri" w:hAnsi="Calibri" w:cs="Calibri"/>
          <w:color w:val="000000" w:themeColor="text1"/>
          <w:sz w:val="22"/>
          <w:szCs w:val="22"/>
          <w:lang w:bidi="en-US"/>
        </w:rPr>
        <w:t>h</w:t>
      </w:r>
      <w:r w:rsidRPr="0032494C" w:rsidR="00EE1E50">
        <w:rPr>
          <w:rFonts w:ascii="Calibri" w:hAnsi="Calibri" w:cs="Calibri"/>
          <w:color w:val="000000" w:themeColor="text1"/>
          <w:sz w:val="22"/>
          <w:szCs w:val="22"/>
          <w:lang w:bidi="en-US"/>
        </w:rPr>
        <w:t xml:space="preserve">is evaluation does NOT seek to </w:t>
      </w:r>
      <w:r w:rsidRPr="0032494C" w:rsidR="003E4C89">
        <w:rPr>
          <w:rFonts w:ascii="Calibri" w:hAnsi="Calibri" w:cs="Calibri"/>
          <w:color w:val="000000" w:themeColor="text1"/>
          <w:sz w:val="22"/>
          <w:szCs w:val="22"/>
          <w:lang w:bidi="en-US"/>
        </w:rPr>
        <w:t xml:space="preserve">explore or come to </w:t>
      </w:r>
      <w:r w:rsidRPr="0032494C" w:rsidR="00EE1E50">
        <w:rPr>
          <w:rFonts w:ascii="Calibri" w:hAnsi="Calibri" w:cs="Calibri"/>
          <w:color w:val="000000" w:themeColor="text1"/>
          <w:sz w:val="22"/>
          <w:szCs w:val="22"/>
          <w:lang w:bidi="en-US"/>
        </w:rPr>
        <w:t>any conclusions about the extent to which the SRP impact</w:t>
      </w:r>
      <w:r w:rsidRPr="0032494C" w:rsidR="003E4C89">
        <w:rPr>
          <w:rFonts w:ascii="Calibri" w:hAnsi="Calibri" w:cs="Calibri"/>
          <w:color w:val="000000" w:themeColor="text1"/>
          <w:sz w:val="22"/>
          <w:szCs w:val="22"/>
          <w:lang w:bidi="en-US"/>
        </w:rPr>
        <w:t>s</w:t>
      </w:r>
      <w:r w:rsidRPr="0032494C" w:rsidR="00EE1E50">
        <w:rPr>
          <w:rFonts w:ascii="Calibri" w:hAnsi="Calibri" w:cs="Calibri"/>
          <w:color w:val="000000" w:themeColor="text1"/>
          <w:sz w:val="22"/>
          <w:szCs w:val="22"/>
          <w:lang w:bidi="en-US"/>
        </w:rPr>
        <w:t xml:space="preserve"> children</w:t>
      </w:r>
      <w:r w:rsidRPr="0032494C" w:rsidR="00F5224C">
        <w:rPr>
          <w:rFonts w:ascii="Calibri" w:hAnsi="Calibri" w:cs="Calibri"/>
          <w:color w:val="000000" w:themeColor="text1"/>
          <w:sz w:val="22"/>
          <w:szCs w:val="22"/>
          <w:lang w:bidi="en-US"/>
        </w:rPr>
        <w:t xml:space="preserve">. </w:t>
      </w:r>
    </w:p>
    <w:p w:rsidRPr="0032494C" w:rsidR="006C7470" w:rsidP="006C7470" w:rsidRDefault="006C7470" w14:paraId="5FCF02A5"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i/>
          <w:color w:val="000000" w:themeColor="text1"/>
          <w:sz w:val="22"/>
          <w:szCs w:val="22"/>
          <w:lang w:bidi="en-US"/>
        </w:rPr>
      </w:pPr>
    </w:p>
    <w:p w:rsidRPr="0032494C" w:rsidR="006C7470" w:rsidP="006C7470" w:rsidRDefault="006C7470" w14:paraId="23A54FCE" w14:textId="289205AB">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i/>
          <w:color w:val="000000" w:themeColor="text1"/>
          <w:sz w:val="22"/>
          <w:szCs w:val="22"/>
          <w:lang w:bidi="en-US"/>
        </w:rPr>
      </w:pPr>
      <w:r w:rsidRPr="0032494C">
        <w:rPr>
          <w:rFonts w:ascii="Calibri" w:hAnsi="Calibri" w:cs="Calibri"/>
          <w:b/>
          <w:bCs/>
          <w:i/>
          <w:color w:val="000000" w:themeColor="text1"/>
          <w:sz w:val="22"/>
          <w:szCs w:val="22"/>
          <w:lang w:bidi="en-US"/>
        </w:rPr>
        <w:t>About IMLS</w:t>
      </w:r>
      <w:r w:rsidRPr="0032494C" w:rsidR="000F080F">
        <w:rPr>
          <w:rFonts w:ascii="Calibri" w:hAnsi="Calibri" w:cs="Calibri"/>
          <w:b/>
          <w:bCs/>
          <w:i/>
          <w:color w:val="000000" w:themeColor="text1"/>
          <w:sz w:val="22"/>
          <w:szCs w:val="22"/>
          <w:lang w:bidi="en-US"/>
        </w:rPr>
        <w:t xml:space="preserve"> </w:t>
      </w:r>
    </w:p>
    <w:p w:rsidR="001270DA" w:rsidP="001270DA" w:rsidRDefault="0094389E" w14:paraId="023A1186" w14:textId="35F20C59">
      <w:pPr>
        <w:pStyle w:val="paragraph"/>
        <w:spacing w:before="0" w:beforeAutospacing="0" w:after="0" w:afterAutospacing="0"/>
        <w:textAlignment w:val="baseline"/>
        <w:rPr>
          <w:rFonts w:ascii="Segoe UI" w:hAnsi="Segoe UI" w:cs="Segoe UI"/>
          <w:sz w:val="18"/>
          <w:szCs w:val="18"/>
        </w:rPr>
      </w:pPr>
      <w:r w:rsidRPr="0032494C">
        <w:rPr>
          <w:rFonts w:ascii="Calibri" w:hAnsi="Calibri" w:cs="Calibri"/>
          <w:color w:val="000000" w:themeColor="text1"/>
          <w:sz w:val="22"/>
          <w:szCs w:val="22"/>
          <w:lang w:bidi="en-US"/>
        </w:rPr>
        <w:t xml:space="preserve">IMLS is the primary source of federal support for the nation's libraries and museums. It advances, supports, and empowers America’s museums, libraries, and related organizations through grant making, research, and policy development. IMLS envisions a nation where museums and libraries work together to transform the lives of individuals and communities. </w:t>
      </w:r>
    </w:p>
    <w:p w:rsidR="001270DA" w:rsidP="001270DA" w:rsidRDefault="001270DA" w14:paraId="08BEF6CF" w14:textId="6E9A81B3">
      <w:pPr>
        <w:pStyle w:val="paragraph"/>
        <w:spacing w:before="0" w:beforeAutospacing="0" w:after="0" w:afterAutospacing="0"/>
        <w:textAlignment w:val="baseline"/>
        <w:rPr>
          <w:rFonts w:ascii="Segoe UI" w:hAnsi="Segoe UI" w:cs="Segoe UI"/>
          <w:sz w:val="18"/>
          <w:szCs w:val="18"/>
        </w:rPr>
      </w:pPr>
    </w:p>
    <w:p w:rsidR="001270DA" w:rsidP="39EAF3DE" w:rsidRDefault="001270DA" w14:paraId="210F0E5D" w14:textId="37F78CD4">
      <w:pPr>
        <w:pStyle w:val="paragraph"/>
        <w:spacing w:before="0" w:beforeAutospacing="0" w:after="0" w:afterAutospacing="0"/>
        <w:textAlignment w:val="baseline"/>
        <w:rPr>
          <w:rFonts w:ascii="Segoe UI" w:hAnsi="Segoe UI" w:cs="Segoe UI"/>
          <w:sz w:val="18"/>
          <w:szCs w:val="18"/>
        </w:rPr>
      </w:pPr>
      <w:r w:rsidRPr="39EAF3DE">
        <w:rPr>
          <w:rStyle w:val="normaltextrun"/>
          <w:rFonts w:ascii="Corbel" w:hAnsi="Corbel" w:cs="Segoe UI"/>
          <w:sz w:val="22"/>
          <w:szCs w:val="22"/>
        </w:rPr>
        <w:t>IMLS conducts data collection,</w:t>
      </w:r>
      <w:r w:rsidRPr="39EAF3DE">
        <w:rPr>
          <w:rStyle w:val="apple-converted-space"/>
          <w:rFonts w:ascii="Corbel" w:hAnsi="Corbel" w:cs="Segoe UI"/>
          <w:sz w:val="22"/>
          <w:szCs w:val="22"/>
        </w:rPr>
        <w:t> </w:t>
      </w:r>
      <w:r w:rsidRPr="39EAF3DE">
        <w:rPr>
          <w:rStyle w:val="normaltextrun"/>
          <w:rFonts w:ascii="Corbel" w:hAnsi="Corbel" w:cs="Segoe UI"/>
          <w:sz w:val="22"/>
          <w:szCs w:val="22"/>
        </w:rPr>
        <w:t>analysis</w:t>
      </w:r>
      <w:r w:rsidR="000F512A">
        <w:rPr>
          <w:rStyle w:val="normaltextrun"/>
          <w:rFonts w:ascii="Corbel" w:hAnsi="Corbel" w:cs="Segoe UI"/>
          <w:sz w:val="22"/>
          <w:szCs w:val="22"/>
        </w:rPr>
        <w:t>,</w:t>
      </w:r>
      <w:r w:rsidRPr="39EAF3DE">
        <w:rPr>
          <w:rStyle w:val="normaltextrun"/>
          <w:rFonts w:ascii="Corbel" w:hAnsi="Corbel" w:cs="Segoe UI"/>
          <w:sz w:val="22"/>
          <w:szCs w:val="22"/>
        </w:rPr>
        <w:t xml:space="preserve"> and</w:t>
      </w:r>
      <w:r w:rsidRPr="39EAF3DE">
        <w:rPr>
          <w:rStyle w:val="apple-converted-space"/>
          <w:rFonts w:ascii="Corbel" w:hAnsi="Corbel" w:cs="Segoe UI"/>
          <w:sz w:val="22"/>
          <w:szCs w:val="22"/>
        </w:rPr>
        <w:t> </w:t>
      </w:r>
      <w:r w:rsidRPr="000F512A">
        <w:rPr>
          <w:rStyle w:val="normaltextrun"/>
          <w:rFonts w:ascii="Corbel" w:hAnsi="Corbel" w:cs="Segoe UI"/>
          <w:sz w:val="22"/>
          <w:szCs w:val="22"/>
        </w:rPr>
        <w:t>evaluation</w:t>
      </w:r>
      <w:r w:rsidRPr="000F512A">
        <w:rPr>
          <w:rStyle w:val="apple-converted-space"/>
          <w:rFonts w:ascii="Corbel" w:hAnsi="Corbel" w:cs="Segoe UI"/>
          <w:sz w:val="22"/>
          <w:szCs w:val="22"/>
        </w:rPr>
        <w:t> </w:t>
      </w:r>
      <w:r w:rsidRPr="39EAF3DE">
        <w:rPr>
          <w:rStyle w:val="normaltextrun"/>
          <w:rFonts w:ascii="Corbel" w:hAnsi="Corbel" w:cs="Segoe UI"/>
          <w:sz w:val="22"/>
          <w:szCs w:val="22"/>
        </w:rPr>
        <w:t xml:space="preserve">of its </w:t>
      </w:r>
      <w:r w:rsidRPr="39EAF3DE" w:rsidR="1FCDC8FC">
        <w:rPr>
          <w:rStyle w:val="normaltextrun"/>
          <w:rFonts w:ascii="Corbel" w:hAnsi="Corbel" w:cs="Segoe UI"/>
          <w:sz w:val="22"/>
          <w:szCs w:val="22"/>
        </w:rPr>
        <w:t xml:space="preserve">grant </w:t>
      </w:r>
      <w:r w:rsidRPr="39EAF3DE">
        <w:rPr>
          <w:rStyle w:val="normaltextrun"/>
          <w:rFonts w:ascii="Corbel" w:hAnsi="Corbel" w:cs="Segoe UI"/>
          <w:sz w:val="22"/>
          <w:szCs w:val="22"/>
        </w:rPr>
        <w:t>programs</w:t>
      </w:r>
      <w:r w:rsidRPr="39EAF3DE">
        <w:rPr>
          <w:rStyle w:val="apple-converted-space"/>
          <w:rFonts w:ascii="Corbel" w:hAnsi="Corbel" w:cs="Segoe UI"/>
          <w:sz w:val="22"/>
          <w:szCs w:val="22"/>
        </w:rPr>
        <w:t> </w:t>
      </w:r>
      <w:r w:rsidRPr="39EAF3DE">
        <w:rPr>
          <w:rStyle w:val="normaltextrun"/>
          <w:rFonts w:ascii="Corbel" w:hAnsi="Corbel" w:cs="Segoe UI"/>
          <w:sz w:val="22"/>
          <w:szCs w:val="22"/>
        </w:rPr>
        <w:t>and</w:t>
      </w:r>
      <w:r w:rsidRPr="39EAF3DE">
        <w:rPr>
          <w:rStyle w:val="apple-converted-space"/>
          <w:rFonts w:ascii="Corbel" w:hAnsi="Corbel" w:cs="Segoe UI"/>
          <w:sz w:val="22"/>
          <w:szCs w:val="22"/>
        </w:rPr>
        <w:t> </w:t>
      </w:r>
      <w:r w:rsidRPr="39EAF3DE">
        <w:rPr>
          <w:rStyle w:val="normaltextrun"/>
          <w:rFonts w:ascii="Corbel" w:hAnsi="Corbel" w:cs="Segoe UI"/>
          <w:sz w:val="22"/>
          <w:szCs w:val="22"/>
        </w:rPr>
        <w:t>field engagement efforts</w:t>
      </w:r>
      <w:r w:rsidRPr="39EAF3DE">
        <w:rPr>
          <w:rStyle w:val="apple-converted-space"/>
          <w:rFonts w:ascii="Corbel" w:hAnsi="Corbel" w:cs="Segoe UI"/>
          <w:sz w:val="22"/>
          <w:szCs w:val="22"/>
        </w:rPr>
        <w:t> </w:t>
      </w:r>
      <w:r w:rsidRPr="39EAF3DE">
        <w:rPr>
          <w:rStyle w:val="normaltextrun"/>
          <w:rFonts w:ascii="Corbel" w:hAnsi="Corbel" w:cs="Segoe UI"/>
          <w:sz w:val="22"/>
          <w:szCs w:val="22"/>
        </w:rPr>
        <w:t>with the</w:t>
      </w:r>
      <w:r w:rsidRPr="39EAF3DE">
        <w:rPr>
          <w:rStyle w:val="apple-converted-space"/>
          <w:rFonts w:ascii="Corbel" w:hAnsi="Corbel" w:cs="Segoe UI"/>
          <w:sz w:val="22"/>
          <w:szCs w:val="22"/>
        </w:rPr>
        <w:t> </w:t>
      </w:r>
      <w:r w:rsidRPr="39EAF3DE">
        <w:rPr>
          <w:rStyle w:val="normaltextrun"/>
          <w:rFonts w:ascii="Corbel" w:hAnsi="Corbel" w:cs="Segoe UI"/>
          <w:sz w:val="22"/>
          <w:szCs w:val="22"/>
        </w:rPr>
        <w:t>overall</w:t>
      </w:r>
      <w:r w:rsidRPr="39EAF3DE">
        <w:rPr>
          <w:rStyle w:val="apple-converted-space"/>
          <w:rFonts w:ascii="Corbel" w:hAnsi="Corbel" w:cs="Segoe UI"/>
          <w:sz w:val="22"/>
          <w:szCs w:val="22"/>
        </w:rPr>
        <w:t> </w:t>
      </w:r>
      <w:r w:rsidRPr="39EAF3DE">
        <w:rPr>
          <w:rStyle w:val="normaltextrun"/>
          <w:rFonts w:ascii="Corbel" w:hAnsi="Corbel" w:cs="Segoe UI"/>
          <w:sz w:val="22"/>
          <w:szCs w:val="22"/>
        </w:rPr>
        <w:t>goal of continuous</w:t>
      </w:r>
      <w:r w:rsidRPr="39EAF3DE">
        <w:rPr>
          <w:rStyle w:val="apple-converted-space"/>
          <w:rFonts w:ascii="Corbel" w:hAnsi="Corbel" w:cs="Segoe UI"/>
          <w:sz w:val="22"/>
          <w:szCs w:val="22"/>
        </w:rPr>
        <w:t> </w:t>
      </w:r>
      <w:r w:rsidRPr="39EAF3DE">
        <w:rPr>
          <w:rStyle w:val="normaltextrun"/>
          <w:rFonts w:ascii="Corbel" w:hAnsi="Corbel" w:cs="Segoe UI"/>
          <w:sz w:val="22"/>
          <w:szCs w:val="22"/>
        </w:rPr>
        <w:t xml:space="preserve">improvement. </w:t>
      </w:r>
      <w:r w:rsidRPr="39EAF3DE" w:rsidR="009351AC">
        <w:rPr>
          <w:rStyle w:val="normaltextrun"/>
          <w:rFonts w:ascii="Corbel" w:hAnsi="Corbel" w:cs="Segoe UI"/>
          <w:sz w:val="22"/>
          <w:szCs w:val="22"/>
        </w:rPr>
        <w:t xml:space="preserve">This </w:t>
      </w:r>
      <w:r w:rsidRPr="39EAF3DE">
        <w:rPr>
          <w:rStyle w:val="normaltextrun"/>
          <w:rFonts w:ascii="Corbel" w:hAnsi="Corbel" w:cs="Segoe UI"/>
          <w:sz w:val="22"/>
          <w:szCs w:val="22"/>
        </w:rPr>
        <w:t>data collection is authorized by 20 U.S.C. § 9108 (Policy research,</w:t>
      </w:r>
      <w:r w:rsidRPr="39EAF3DE">
        <w:rPr>
          <w:rStyle w:val="apple-converted-space"/>
          <w:rFonts w:ascii="Corbel" w:hAnsi="Corbel" w:cs="Segoe UI"/>
          <w:sz w:val="22"/>
          <w:szCs w:val="22"/>
        </w:rPr>
        <w:t> </w:t>
      </w:r>
      <w:r w:rsidRPr="39EAF3DE">
        <w:rPr>
          <w:rStyle w:val="normaltextrun"/>
          <w:rFonts w:ascii="Corbel" w:hAnsi="Corbel" w:cs="Segoe UI"/>
          <w:sz w:val="22"/>
          <w:szCs w:val="22"/>
        </w:rPr>
        <w:t>data collection,</w:t>
      </w:r>
      <w:r w:rsidRPr="39EAF3DE">
        <w:rPr>
          <w:rStyle w:val="apple-converted-space"/>
          <w:rFonts w:ascii="Corbel" w:hAnsi="Corbel" w:cs="Segoe UI"/>
          <w:sz w:val="22"/>
          <w:szCs w:val="22"/>
        </w:rPr>
        <w:t> </w:t>
      </w:r>
      <w:r w:rsidRPr="000F512A">
        <w:rPr>
          <w:rStyle w:val="normaltextrun"/>
          <w:rFonts w:ascii="Corbel" w:hAnsi="Corbel" w:cs="Segoe UI"/>
          <w:sz w:val="22"/>
          <w:szCs w:val="22"/>
        </w:rPr>
        <w:t>analysis and modeling, evaluation,</w:t>
      </w:r>
      <w:r w:rsidR="000F512A">
        <w:rPr>
          <w:rStyle w:val="apple-converted-space"/>
          <w:rFonts w:ascii="Corbel" w:hAnsi="Corbel" w:cs="Segoe UI"/>
          <w:sz w:val="22"/>
          <w:szCs w:val="22"/>
        </w:rPr>
        <w:t xml:space="preserve"> </w:t>
      </w:r>
      <w:r w:rsidRPr="39EAF3DE">
        <w:rPr>
          <w:rStyle w:val="normaltextrun"/>
          <w:rFonts w:ascii="Corbel" w:hAnsi="Corbel" w:cs="Segoe UI"/>
          <w:sz w:val="22"/>
          <w:szCs w:val="22"/>
        </w:rPr>
        <w:t>and dissemination).</w:t>
      </w:r>
      <w:r w:rsidRPr="39EAF3DE">
        <w:rPr>
          <w:rStyle w:val="eop"/>
          <w:rFonts w:ascii="Corbel" w:hAnsi="Corbel" w:cs="Segoe UI"/>
          <w:sz w:val="22"/>
          <w:szCs w:val="22"/>
        </w:rPr>
        <w:t> </w:t>
      </w:r>
    </w:p>
    <w:p w:rsidRPr="0032494C" w:rsidR="006C7470" w:rsidP="006C7470" w:rsidRDefault="006C7470" w14:paraId="6EB071F3" w14:textId="3DC63D1F">
      <w:pPr>
        <w:widowControl w:val="0"/>
        <w:autoSpaceDE w:val="0"/>
        <w:autoSpaceDN w:val="0"/>
        <w:adjustRightInd w:val="0"/>
        <w:rPr>
          <w:rFonts w:ascii="Calibri" w:hAnsi="Calibri" w:eastAsia="Calibri" w:cs="Calibri"/>
          <w:color w:val="7030A0"/>
          <w:sz w:val="22"/>
          <w:szCs w:val="22"/>
        </w:rPr>
      </w:pPr>
    </w:p>
    <w:p w:rsidRPr="0032494C" w:rsidR="006C7470" w:rsidP="006C7470" w:rsidRDefault="006C7470" w14:paraId="021075FC" w14:textId="04F040EC">
      <w:pPr>
        <w:widowControl w:val="0"/>
        <w:autoSpaceDE w:val="0"/>
        <w:autoSpaceDN w:val="0"/>
        <w:adjustRightInd w:val="0"/>
        <w:rPr>
          <w:rFonts w:ascii="Calibri" w:hAnsi="Calibri" w:eastAsia="Calibri" w:cs="Calibri"/>
          <w:b/>
          <w:i/>
          <w:color w:val="000000" w:themeColor="text1"/>
          <w:sz w:val="22"/>
          <w:szCs w:val="22"/>
        </w:rPr>
      </w:pPr>
      <w:r w:rsidRPr="0032494C">
        <w:rPr>
          <w:rFonts w:ascii="Calibri" w:hAnsi="Calibri" w:eastAsia="Calibri" w:cs="Calibri"/>
          <w:b/>
          <w:i/>
          <w:color w:val="000000" w:themeColor="text1"/>
          <w:sz w:val="22"/>
          <w:szCs w:val="22"/>
        </w:rPr>
        <w:t>About Boston Children’s Museum</w:t>
      </w:r>
      <w:r w:rsidRPr="0032494C" w:rsidR="000F080F">
        <w:rPr>
          <w:rFonts w:ascii="Calibri" w:hAnsi="Calibri" w:eastAsia="Calibri" w:cs="Calibri"/>
          <w:b/>
          <w:i/>
          <w:color w:val="000000" w:themeColor="text1"/>
          <w:sz w:val="22"/>
          <w:szCs w:val="22"/>
        </w:rPr>
        <w:t xml:space="preserve"> </w:t>
      </w:r>
    </w:p>
    <w:p w:rsidRPr="0032494C" w:rsidR="006C7470" w:rsidP="006C7470" w:rsidRDefault="006C7470" w14:paraId="4C8AFE04" w14:textId="2790F874">
      <w:pPr>
        <w:pStyle w:val="NormalWeb"/>
        <w:shd w:val="clear" w:color="auto" w:fill="FFFFFF"/>
        <w:spacing w:before="0" w:beforeAutospacing="0" w:after="240" w:afterAutospacing="0"/>
        <w:rPr>
          <w:rFonts w:ascii="Calibri" w:hAnsi="Calibri" w:cs="Calibri"/>
          <w:color w:val="333333"/>
          <w:sz w:val="22"/>
          <w:szCs w:val="22"/>
        </w:rPr>
      </w:pPr>
      <w:r w:rsidRPr="0032494C">
        <w:rPr>
          <w:rFonts w:ascii="Calibri" w:hAnsi="Calibri" w:cs="Calibri"/>
          <w:color w:val="333333"/>
          <w:sz w:val="22"/>
          <w:szCs w:val="22"/>
        </w:rPr>
        <w:t xml:space="preserve">Founded in 1913, Boston Children’s Museum is one of the oldest and most influential children’s museums in the world. The Museum’s exhibits and programs emphasize hands-on engagement and learning through experience, employing play as a tool to spark the inherent creativity, curiosity, and imagination of children. Designed for children and families, Museum exhibits focus on science, culture, environmental awareness, health </w:t>
      </w:r>
      <w:r w:rsidR="00EA4CFF">
        <w:rPr>
          <w:rFonts w:ascii="Calibri" w:hAnsi="Calibri" w:cs="Calibri"/>
          <w:color w:val="333333"/>
          <w:sz w:val="22"/>
          <w:szCs w:val="22"/>
        </w:rPr>
        <w:t>and</w:t>
      </w:r>
      <w:r w:rsidRPr="0032494C">
        <w:rPr>
          <w:rFonts w:ascii="Calibri" w:hAnsi="Calibri" w:cs="Calibri"/>
          <w:color w:val="333333"/>
          <w:sz w:val="22"/>
          <w:szCs w:val="22"/>
        </w:rPr>
        <w:t xml:space="preserve"> fitness, and the arts. In addition to extensive child-centered exhibits, Museum educators develop numerous programs and activities that address literacy, performing arts, science and math, visual arts, cultures, and health and wellness. As one of the largest children’s museums in the world, Boston Children’s Museum also provides museum consulting services and creates award winning traveling exhibits, staff training curriculum, and exhibit kits for Museum professionals.</w:t>
      </w:r>
    </w:p>
    <w:p w:rsidRPr="0032494C" w:rsidR="006C7470" w:rsidP="006C7470" w:rsidRDefault="006C7470" w14:paraId="0B3FC583" w14:textId="0FF7625F">
      <w:pPr>
        <w:pStyle w:val="NormalWeb"/>
        <w:shd w:val="clear" w:color="auto" w:fill="FFFFFF"/>
        <w:spacing w:before="0" w:beforeAutospacing="0" w:after="0" w:afterAutospacing="0"/>
        <w:rPr>
          <w:rFonts w:ascii="Calibri" w:hAnsi="Calibri" w:cs="Calibri"/>
          <w:b/>
          <w:i/>
          <w:color w:val="333333"/>
          <w:sz w:val="22"/>
          <w:szCs w:val="22"/>
        </w:rPr>
      </w:pPr>
      <w:r w:rsidRPr="0032494C">
        <w:rPr>
          <w:rFonts w:ascii="Calibri" w:hAnsi="Calibri" w:cs="Calibri"/>
          <w:b/>
          <w:i/>
          <w:color w:val="333333"/>
          <w:sz w:val="22"/>
          <w:szCs w:val="22"/>
        </w:rPr>
        <w:t xml:space="preserve">About </w:t>
      </w:r>
      <w:r w:rsidRPr="00FE1339" w:rsidR="00FE1339">
        <w:rPr>
          <w:rFonts w:ascii="Calibri" w:hAnsi="Calibri" w:cs="Calibri"/>
          <w:b/>
          <w:i/>
          <w:color w:val="333333"/>
          <w:sz w:val="22"/>
          <w:szCs w:val="22"/>
        </w:rPr>
        <w:t xml:space="preserve">Education Development Center, Inc. </w:t>
      </w:r>
    </w:p>
    <w:p w:rsidRPr="0032494C" w:rsidR="006C7470" w:rsidP="006C7470" w:rsidRDefault="006C7470" w14:paraId="2888E5D8" w14:textId="705D3EEE">
      <w:pPr>
        <w:rPr>
          <w:rFonts w:ascii="Calibri" w:hAnsi="Calibri" w:cs="Calibri" w:eastAsiaTheme="minorHAnsi"/>
          <w:sz w:val="22"/>
          <w:szCs w:val="22"/>
        </w:rPr>
      </w:pPr>
      <w:r w:rsidRPr="0032494C">
        <w:rPr>
          <w:rFonts w:ascii="Calibri" w:hAnsi="Calibri" w:cs="Calibri"/>
          <w:sz w:val="22"/>
          <w:szCs w:val="22"/>
        </w:rPr>
        <w:t xml:space="preserve">Education Development Center, Inc. (EDC) is a nonprofit international research and development organization dedicated to improving the quality, effectiveness, and equity of education throughout the United States and in more than 50 other countries. Founded in 1958, the company is acknowledged as a leader in efforts to solve a wide range of educational, health, and social problems and is recognized for the high quality of </w:t>
      </w:r>
      <w:r w:rsidR="00EA4CFF">
        <w:rPr>
          <w:rFonts w:ascii="Calibri" w:hAnsi="Calibri" w:cs="Calibri"/>
          <w:sz w:val="22"/>
          <w:szCs w:val="22"/>
        </w:rPr>
        <w:t>its</w:t>
      </w:r>
      <w:r w:rsidRPr="0032494C" w:rsidR="00EA4CFF">
        <w:rPr>
          <w:rFonts w:ascii="Calibri" w:hAnsi="Calibri" w:cs="Calibri"/>
          <w:sz w:val="22"/>
          <w:szCs w:val="22"/>
        </w:rPr>
        <w:t xml:space="preserve"> </w:t>
      </w:r>
      <w:r w:rsidRPr="0032494C">
        <w:rPr>
          <w:rFonts w:ascii="Calibri" w:hAnsi="Calibri" w:cs="Calibri"/>
          <w:sz w:val="22"/>
          <w:szCs w:val="22"/>
        </w:rPr>
        <w:t xml:space="preserve">training, technical assistance, program and product development, evaluation research, and organizational development. </w:t>
      </w:r>
    </w:p>
    <w:p w:rsidRPr="0032494C" w:rsidR="0094389E" w:rsidP="006C7470" w:rsidRDefault="0094389E" w14:paraId="2A213D68" w14:textId="77777777">
      <w:pPr>
        <w:widowControl w:val="0"/>
        <w:autoSpaceDE w:val="0"/>
        <w:autoSpaceDN w:val="0"/>
        <w:adjustRightInd w:val="0"/>
        <w:rPr>
          <w:rFonts w:ascii="Calibri" w:hAnsi="Calibri" w:eastAsia="Calibri" w:cs="Calibri"/>
          <w:b/>
          <w:i/>
          <w:color w:val="000000" w:themeColor="text1"/>
          <w:sz w:val="22"/>
          <w:szCs w:val="22"/>
        </w:rPr>
      </w:pPr>
    </w:p>
    <w:p w:rsidRPr="0032494C" w:rsidR="00033E9F" w:rsidP="006C7470" w:rsidRDefault="0094389E" w14:paraId="67C97157" w14:textId="77777777">
      <w:pPr>
        <w:widowControl w:val="0"/>
        <w:autoSpaceDE w:val="0"/>
        <w:autoSpaceDN w:val="0"/>
        <w:adjustRightInd w:val="0"/>
        <w:rPr>
          <w:rFonts w:ascii="Calibri" w:hAnsi="Calibri" w:eastAsia="Calibri" w:cs="Calibri"/>
          <w:b/>
          <w:i/>
          <w:color w:val="000000" w:themeColor="text1"/>
          <w:sz w:val="22"/>
          <w:szCs w:val="22"/>
        </w:rPr>
      </w:pPr>
      <w:r w:rsidRPr="0032494C">
        <w:rPr>
          <w:rFonts w:ascii="Calibri" w:hAnsi="Calibri" w:eastAsia="Calibri" w:cs="Calibri"/>
          <w:b/>
          <w:i/>
          <w:color w:val="000000" w:themeColor="text1"/>
          <w:sz w:val="22"/>
          <w:szCs w:val="22"/>
        </w:rPr>
        <w:t>Prior related stud</w:t>
      </w:r>
      <w:r w:rsidRPr="0032494C" w:rsidR="00E70C8C">
        <w:rPr>
          <w:rFonts w:ascii="Calibri" w:hAnsi="Calibri" w:eastAsia="Calibri" w:cs="Calibri"/>
          <w:b/>
          <w:i/>
          <w:color w:val="000000" w:themeColor="text1"/>
          <w:sz w:val="22"/>
          <w:szCs w:val="22"/>
        </w:rPr>
        <w:t xml:space="preserve">ies </w:t>
      </w:r>
    </w:p>
    <w:p w:rsidRPr="0032494C" w:rsidR="0094389E" w:rsidP="006C7470" w:rsidRDefault="003E4C89" w14:paraId="49B0F000" w14:textId="6710865B">
      <w:pPr>
        <w:widowControl w:val="0"/>
        <w:autoSpaceDE w:val="0"/>
        <w:autoSpaceDN w:val="0"/>
        <w:adjustRightInd w:val="0"/>
        <w:rPr>
          <w:rFonts w:ascii="Calibri" w:hAnsi="Calibri" w:eastAsia="Calibri" w:cs="Calibri"/>
          <w:i/>
          <w:color w:val="000000" w:themeColor="text1"/>
          <w:sz w:val="22"/>
          <w:szCs w:val="22"/>
        </w:rPr>
      </w:pPr>
      <w:r w:rsidRPr="0032494C">
        <w:rPr>
          <w:rFonts w:ascii="Calibri" w:hAnsi="Calibri" w:eastAsia="Calibri" w:cs="Calibri"/>
          <w:color w:val="000000" w:themeColor="text1"/>
          <w:sz w:val="22"/>
          <w:szCs w:val="22"/>
        </w:rPr>
        <w:t>The e</w:t>
      </w:r>
      <w:r w:rsidRPr="0032494C" w:rsidR="00EC19B8">
        <w:rPr>
          <w:rFonts w:ascii="Calibri" w:hAnsi="Calibri" w:eastAsia="Calibri" w:cs="Calibri"/>
          <w:color w:val="000000" w:themeColor="text1"/>
          <w:sz w:val="22"/>
          <w:szCs w:val="22"/>
        </w:rPr>
        <w:t xml:space="preserve">valuation </w:t>
      </w:r>
      <w:r w:rsidRPr="0032494C">
        <w:rPr>
          <w:rFonts w:ascii="Calibri" w:hAnsi="Calibri" w:eastAsia="Calibri" w:cs="Calibri"/>
          <w:color w:val="000000" w:themeColor="text1"/>
          <w:sz w:val="22"/>
          <w:szCs w:val="22"/>
        </w:rPr>
        <w:t xml:space="preserve">of </w:t>
      </w:r>
      <w:r w:rsidRPr="0032494C" w:rsidR="003D4DD2">
        <w:rPr>
          <w:rFonts w:ascii="Calibri" w:hAnsi="Calibri" w:eastAsia="Calibri" w:cs="Calibri"/>
          <w:color w:val="000000" w:themeColor="text1"/>
          <w:sz w:val="22"/>
          <w:szCs w:val="22"/>
        </w:rPr>
        <w:t xml:space="preserve">BCM’s </w:t>
      </w:r>
      <w:r w:rsidRPr="0032494C">
        <w:rPr>
          <w:rFonts w:ascii="Calibri" w:hAnsi="Calibri" w:eastAsia="Calibri" w:cs="Calibri"/>
          <w:color w:val="000000" w:themeColor="text1"/>
          <w:sz w:val="22"/>
          <w:szCs w:val="22"/>
        </w:rPr>
        <w:t xml:space="preserve">previous </w:t>
      </w:r>
      <w:r w:rsidRPr="0032494C" w:rsidR="00C26257">
        <w:rPr>
          <w:rFonts w:ascii="Calibri" w:hAnsi="Calibri" w:eastAsia="Calibri" w:cs="Calibri"/>
          <w:color w:val="000000" w:themeColor="text1"/>
          <w:sz w:val="22"/>
          <w:szCs w:val="22"/>
        </w:rPr>
        <w:t>IMLS</w:t>
      </w:r>
      <w:r w:rsidR="00174704">
        <w:rPr>
          <w:rFonts w:ascii="Calibri" w:hAnsi="Calibri" w:eastAsia="Calibri" w:cs="Calibri"/>
          <w:color w:val="000000" w:themeColor="text1"/>
          <w:sz w:val="22"/>
          <w:szCs w:val="22"/>
        </w:rPr>
        <w:t>-funded</w:t>
      </w:r>
      <w:r w:rsidRPr="0032494C" w:rsidR="00C26257">
        <w:rPr>
          <w:rFonts w:ascii="Calibri" w:hAnsi="Calibri" w:eastAsia="Calibri" w:cs="Calibri"/>
          <w:color w:val="000000" w:themeColor="text1"/>
          <w:sz w:val="22"/>
          <w:szCs w:val="22"/>
        </w:rPr>
        <w:t xml:space="preserve"> work </w:t>
      </w:r>
      <w:r w:rsidRPr="0032494C" w:rsidR="00EC19B8">
        <w:rPr>
          <w:rFonts w:ascii="Calibri" w:hAnsi="Calibri" w:eastAsia="Calibri" w:cs="Calibri"/>
          <w:color w:val="000000" w:themeColor="text1"/>
          <w:sz w:val="22"/>
          <w:szCs w:val="22"/>
        </w:rPr>
        <w:t xml:space="preserve">focused </w:t>
      </w:r>
      <w:r w:rsidRPr="0032494C" w:rsidR="003D4DD2">
        <w:rPr>
          <w:rFonts w:ascii="Calibri" w:hAnsi="Calibri" w:eastAsia="Calibri" w:cs="Calibri"/>
          <w:color w:val="000000" w:themeColor="text1"/>
          <w:sz w:val="22"/>
          <w:szCs w:val="22"/>
        </w:rPr>
        <w:t xml:space="preserve">primarily </w:t>
      </w:r>
      <w:r w:rsidRPr="0032494C" w:rsidR="00EC19B8">
        <w:rPr>
          <w:rFonts w:ascii="Calibri" w:hAnsi="Calibri" w:eastAsia="Calibri" w:cs="Calibri"/>
          <w:color w:val="000000" w:themeColor="text1"/>
          <w:sz w:val="22"/>
          <w:szCs w:val="22"/>
        </w:rPr>
        <w:t xml:space="preserve">on assessing </w:t>
      </w:r>
      <w:r w:rsidRPr="0032494C" w:rsidR="00C26257">
        <w:rPr>
          <w:rFonts w:ascii="Calibri" w:hAnsi="Calibri" w:eastAsia="Calibri" w:cs="Calibri"/>
          <w:color w:val="000000" w:themeColor="text1"/>
          <w:sz w:val="22"/>
          <w:szCs w:val="22"/>
        </w:rPr>
        <w:t xml:space="preserve">the individual </w:t>
      </w:r>
      <w:r w:rsidRPr="0032494C" w:rsidR="00EC19B8">
        <w:rPr>
          <w:rFonts w:ascii="Calibri" w:hAnsi="Calibri" w:eastAsia="Calibri" w:cs="Calibri"/>
          <w:color w:val="000000" w:themeColor="text1"/>
          <w:sz w:val="22"/>
          <w:szCs w:val="22"/>
        </w:rPr>
        <w:t>products</w:t>
      </w:r>
      <w:r w:rsidRPr="0032494C" w:rsidR="00C26257">
        <w:rPr>
          <w:rFonts w:ascii="Calibri" w:hAnsi="Calibri" w:eastAsia="Calibri" w:cs="Calibri"/>
          <w:color w:val="000000" w:themeColor="text1"/>
          <w:sz w:val="22"/>
          <w:szCs w:val="22"/>
        </w:rPr>
        <w:t xml:space="preserve"> and social networks that resulted from </w:t>
      </w:r>
      <w:r w:rsidRPr="0032494C" w:rsidR="00C93183">
        <w:rPr>
          <w:rFonts w:ascii="Calibri" w:hAnsi="Calibri" w:eastAsia="Calibri" w:cs="Calibri"/>
          <w:color w:val="000000" w:themeColor="text1"/>
          <w:sz w:val="22"/>
          <w:szCs w:val="22"/>
        </w:rPr>
        <w:t>previous</w:t>
      </w:r>
      <w:r w:rsidRPr="0032494C" w:rsidR="00C26257">
        <w:rPr>
          <w:rFonts w:ascii="Calibri" w:hAnsi="Calibri" w:eastAsia="Calibri" w:cs="Calibri"/>
          <w:color w:val="000000" w:themeColor="text1"/>
          <w:sz w:val="22"/>
          <w:szCs w:val="22"/>
        </w:rPr>
        <w:t xml:space="preserve"> </w:t>
      </w:r>
      <w:r w:rsidRPr="0032494C" w:rsidR="00E172A4">
        <w:rPr>
          <w:rFonts w:ascii="Calibri" w:hAnsi="Calibri" w:eastAsia="Calibri" w:cs="Calibri"/>
          <w:color w:val="000000" w:themeColor="text1"/>
          <w:sz w:val="22"/>
          <w:szCs w:val="22"/>
        </w:rPr>
        <w:t xml:space="preserve">grants. </w:t>
      </w:r>
      <w:r w:rsidRPr="0032494C" w:rsidR="00C26257">
        <w:rPr>
          <w:rFonts w:ascii="Calibri" w:hAnsi="Calibri" w:eastAsia="Calibri" w:cs="Calibri"/>
          <w:color w:val="000000" w:themeColor="text1"/>
          <w:sz w:val="22"/>
          <w:szCs w:val="22"/>
        </w:rPr>
        <w:t>Findings from the</w:t>
      </w:r>
      <w:r w:rsidRPr="0032494C" w:rsidR="00C93183">
        <w:rPr>
          <w:rFonts w:ascii="Calibri" w:hAnsi="Calibri" w:eastAsia="Calibri" w:cs="Calibri"/>
          <w:color w:val="000000" w:themeColor="text1"/>
          <w:sz w:val="22"/>
          <w:szCs w:val="22"/>
        </w:rPr>
        <w:t>se</w:t>
      </w:r>
      <w:r w:rsidRPr="0032494C" w:rsidR="00C26257">
        <w:rPr>
          <w:rFonts w:ascii="Calibri" w:hAnsi="Calibri" w:eastAsia="Calibri" w:cs="Calibri"/>
          <w:color w:val="000000" w:themeColor="text1"/>
          <w:sz w:val="22"/>
          <w:szCs w:val="22"/>
        </w:rPr>
        <w:t xml:space="preserve"> evaluations informed the refinement of the products and increased understanding of what networks and network connections in </w:t>
      </w:r>
      <w:r w:rsidRPr="0032494C" w:rsidR="00C93183">
        <w:rPr>
          <w:rFonts w:ascii="Calibri" w:hAnsi="Calibri" w:eastAsia="Calibri" w:cs="Calibri"/>
          <w:color w:val="000000" w:themeColor="text1"/>
          <w:sz w:val="22"/>
          <w:szCs w:val="22"/>
        </w:rPr>
        <w:t xml:space="preserve">the SRP </w:t>
      </w:r>
      <w:r w:rsidRPr="0032494C" w:rsidR="00C26257">
        <w:rPr>
          <w:rFonts w:ascii="Calibri" w:hAnsi="Calibri" w:eastAsia="Calibri" w:cs="Calibri"/>
          <w:color w:val="000000" w:themeColor="text1"/>
          <w:sz w:val="22"/>
          <w:szCs w:val="22"/>
        </w:rPr>
        <w:t xml:space="preserve">model look like. These evaluations also offered more informal feedback on </w:t>
      </w:r>
      <w:r w:rsidRPr="0032494C" w:rsidR="00E172A4">
        <w:rPr>
          <w:rFonts w:ascii="Calibri" w:hAnsi="Calibri" w:eastAsia="Calibri" w:cs="Calibri"/>
          <w:color w:val="000000" w:themeColor="text1"/>
          <w:sz w:val="22"/>
          <w:szCs w:val="22"/>
        </w:rPr>
        <w:t xml:space="preserve">the experiences </w:t>
      </w:r>
      <w:r w:rsidRPr="0032494C" w:rsidR="00EC19B8">
        <w:rPr>
          <w:rFonts w:ascii="Calibri" w:hAnsi="Calibri" w:eastAsia="Calibri" w:cs="Calibri"/>
          <w:color w:val="000000" w:themeColor="text1"/>
          <w:sz w:val="22"/>
          <w:szCs w:val="22"/>
        </w:rPr>
        <w:t xml:space="preserve">of </w:t>
      </w:r>
      <w:r w:rsidRPr="0032494C" w:rsidR="00AC3A5E">
        <w:rPr>
          <w:rFonts w:ascii="Calibri" w:hAnsi="Calibri" w:eastAsia="Calibri" w:cs="Calibri"/>
          <w:color w:val="000000" w:themeColor="text1"/>
          <w:sz w:val="22"/>
          <w:szCs w:val="22"/>
        </w:rPr>
        <w:t>h</w:t>
      </w:r>
      <w:r w:rsidRPr="0032494C" w:rsidR="00EC19B8">
        <w:rPr>
          <w:rFonts w:ascii="Calibri" w:hAnsi="Calibri" w:eastAsia="Calibri" w:cs="Calibri"/>
          <w:color w:val="000000" w:themeColor="text1"/>
          <w:sz w:val="22"/>
          <w:szCs w:val="22"/>
        </w:rPr>
        <w:t>ub leader organizations</w:t>
      </w:r>
      <w:r w:rsidRPr="0032494C" w:rsidR="00C26257">
        <w:rPr>
          <w:rFonts w:ascii="Calibri" w:hAnsi="Calibri" w:eastAsia="Calibri" w:cs="Calibri"/>
          <w:color w:val="000000" w:themeColor="text1"/>
          <w:sz w:val="22"/>
          <w:szCs w:val="22"/>
        </w:rPr>
        <w:t xml:space="preserve">, which BCM has used to better support participants. </w:t>
      </w:r>
      <w:r w:rsidRPr="0032494C" w:rsidR="00EC19B8">
        <w:rPr>
          <w:rFonts w:ascii="Calibri" w:hAnsi="Calibri" w:eastAsia="Calibri" w:cs="Calibri"/>
          <w:color w:val="000000" w:themeColor="text1"/>
          <w:sz w:val="22"/>
          <w:szCs w:val="22"/>
        </w:rPr>
        <w:t xml:space="preserve">However, </w:t>
      </w:r>
      <w:r w:rsidRPr="0032494C" w:rsidR="000B615F">
        <w:rPr>
          <w:rFonts w:ascii="Calibri" w:hAnsi="Calibri" w:eastAsia="Calibri" w:cs="Calibri"/>
          <w:color w:val="000000" w:themeColor="text1"/>
          <w:sz w:val="22"/>
          <w:szCs w:val="22"/>
        </w:rPr>
        <w:t>because the focus of these evaluations was on specific products, there has been no systematic collection</w:t>
      </w:r>
      <w:r w:rsidRPr="0032494C" w:rsidR="00C26257">
        <w:rPr>
          <w:rFonts w:ascii="Calibri" w:hAnsi="Calibri" w:eastAsia="Calibri" w:cs="Calibri"/>
          <w:color w:val="000000" w:themeColor="text1"/>
          <w:sz w:val="22"/>
          <w:szCs w:val="22"/>
        </w:rPr>
        <w:t xml:space="preserve"> or analysis</w:t>
      </w:r>
      <w:r w:rsidRPr="0032494C" w:rsidR="000B615F">
        <w:rPr>
          <w:rFonts w:ascii="Calibri" w:hAnsi="Calibri" w:eastAsia="Calibri" w:cs="Calibri"/>
          <w:color w:val="000000" w:themeColor="text1"/>
          <w:sz w:val="22"/>
          <w:szCs w:val="22"/>
        </w:rPr>
        <w:t xml:space="preserve"> of data that addresses</w:t>
      </w:r>
      <w:r w:rsidRPr="0032494C" w:rsidR="009568FD">
        <w:rPr>
          <w:rFonts w:ascii="Calibri" w:hAnsi="Calibri" w:eastAsia="Calibri" w:cs="Calibri"/>
          <w:color w:val="000000" w:themeColor="text1"/>
          <w:sz w:val="22"/>
          <w:szCs w:val="22"/>
        </w:rPr>
        <w:t xml:space="preserve"> </w:t>
      </w:r>
      <w:r w:rsidRPr="0032494C" w:rsidR="00C26257">
        <w:rPr>
          <w:rFonts w:ascii="Calibri" w:hAnsi="Calibri" w:eastAsia="Calibri" w:cs="Calibri"/>
          <w:color w:val="000000" w:themeColor="text1"/>
          <w:sz w:val="22"/>
          <w:szCs w:val="22"/>
        </w:rPr>
        <w:t>the goals of this particular project</w:t>
      </w:r>
      <w:r w:rsidRPr="0032494C" w:rsidR="00187517">
        <w:rPr>
          <w:rFonts w:ascii="Calibri" w:hAnsi="Calibri" w:eastAsia="Calibri" w:cs="Calibri"/>
          <w:color w:val="000000" w:themeColor="text1"/>
          <w:sz w:val="22"/>
          <w:szCs w:val="22"/>
        </w:rPr>
        <w:t>.</w:t>
      </w:r>
      <w:r w:rsidRPr="0032494C" w:rsidR="00C02B6B">
        <w:rPr>
          <w:rFonts w:ascii="Calibri" w:hAnsi="Calibri" w:eastAsia="Calibri" w:cs="Calibri"/>
          <w:color w:val="000000" w:themeColor="text1"/>
          <w:sz w:val="22"/>
          <w:szCs w:val="22"/>
        </w:rPr>
        <w:t xml:space="preserve"> Through the current evaluation, we aim to explore and identify a set </w:t>
      </w:r>
      <w:r w:rsidRPr="0032494C" w:rsidR="00C02B6B">
        <w:rPr>
          <w:rFonts w:ascii="Calibri" w:hAnsi="Calibri" w:cs="Calibri"/>
          <w:color w:val="000000"/>
          <w:sz w:val="22"/>
          <w:szCs w:val="22"/>
        </w:rPr>
        <w:t xml:space="preserve">processes and principles for establishing and sustaining networks </w:t>
      </w:r>
      <w:r w:rsidRPr="0032494C" w:rsidR="00C02B6B">
        <w:rPr>
          <w:rFonts w:ascii="Calibri" w:hAnsi="Calibri" w:cs="Calibri"/>
          <w:color w:val="000000"/>
          <w:sz w:val="22"/>
          <w:szCs w:val="22"/>
        </w:rPr>
        <w:lastRenderedPageBreak/>
        <w:t>across libraries and museums</w:t>
      </w:r>
      <w:r w:rsidRPr="0032494C" w:rsidR="000F4379">
        <w:rPr>
          <w:rFonts w:ascii="Calibri" w:hAnsi="Calibri" w:cs="Calibri"/>
          <w:color w:val="000000"/>
          <w:sz w:val="22"/>
          <w:szCs w:val="22"/>
        </w:rPr>
        <w:t>.</w:t>
      </w:r>
    </w:p>
    <w:p w:rsidRPr="0032494C" w:rsidR="0003259B" w:rsidP="006C7470" w:rsidRDefault="0003259B" w14:paraId="6A845350" w14:textId="77777777">
      <w:pPr>
        <w:widowControl w:val="0"/>
        <w:autoSpaceDE w:val="0"/>
        <w:autoSpaceDN w:val="0"/>
        <w:adjustRightInd w:val="0"/>
        <w:rPr>
          <w:rFonts w:ascii="Calibri" w:hAnsi="Calibri" w:eastAsia="Calibri" w:cs="Calibri"/>
          <w:b/>
          <w:i/>
          <w:color w:val="7030A0"/>
          <w:sz w:val="22"/>
          <w:szCs w:val="22"/>
        </w:rPr>
      </w:pPr>
    </w:p>
    <w:p w:rsidRPr="00766656" w:rsidR="00452B2C" w:rsidP="005640B7" w:rsidRDefault="0051554A" w14:paraId="720719AD" w14:textId="6FF38937">
      <w:pPr>
        <w:keepNext/>
        <w:keepLines/>
        <w:autoSpaceDE w:val="0"/>
        <w:autoSpaceDN w:val="0"/>
        <w:adjustRightInd w:val="0"/>
        <w:rPr>
          <w:rFonts w:ascii="Calibri" w:hAnsi="Calibri" w:eastAsia="Calibri" w:cs="Calibri"/>
          <w:b/>
          <w:i/>
          <w:sz w:val="22"/>
          <w:szCs w:val="22"/>
        </w:rPr>
      </w:pPr>
      <w:r w:rsidRPr="00766656">
        <w:rPr>
          <w:rFonts w:ascii="Calibri" w:hAnsi="Calibri" w:eastAsia="Calibri" w:cs="Calibri"/>
          <w:b/>
          <w:i/>
          <w:sz w:val="22"/>
          <w:szCs w:val="22"/>
        </w:rPr>
        <w:t xml:space="preserve">Why is it being </w:t>
      </w:r>
      <w:r w:rsidRPr="00766656" w:rsidR="00F36191">
        <w:rPr>
          <w:rFonts w:ascii="Calibri" w:hAnsi="Calibri" w:eastAsia="Calibri" w:cs="Calibri"/>
          <w:b/>
          <w:i/>
          <w:sz w:val="22"/>
          <w:szCs w:val="22"/>
        </w:rPr>
        <w:t>scaled?</w:t>
      </w:r>
    </w:p>
    <w:p w:rsidRPr="0032494C" w:rsidR="006C7470" w:rsidP="005640B7" w:rsidRDefault="006C7470" w14:paraId="76B51152" w14:textId="1A77214B">
      <w:pPr>
        <w:keepNext/>
        <w:keepLines/>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themeColor="text1"/>
          <w:sz w:val="22"/>
          <w:szCs w:val="22"/>
          <w:lang w:bidi="en-US"/>
        </w:rPr>
      </w:pPr>
      <w:r w:rsidRPr="0032494C">
        <w:rPr>
          <w:rFonts w:ascii="Calibri" w:hAnsi="Calibri" w:cs="Calibri"/>
          <w:color w:val="000000" w:themeColor="text1"/>
          <w:sz w:val="22"/>
          <w:szCs w:val="22"/>
          <w:lang w:bidi="en-US"/>
        </w:rPr>
        <w:t>With the current IMLS N</w:t>
      </w:r>
      <w:r w:rsidR="00AE4E28">
        <w:rPr>
          <w:rFonts w:ascii="Calibri" w:hAnsi="Calibri" w:cs="Calibri"/>
          <w:color w:val="000000" w:themeColor="text1"/>
          <w:sz w:val="22"/>
          <w:szCs w:val="22"/>
          <w:lang w:bidi="en-US"/>
        </w:rPr>
        <w:t xml:space="preserve">ational </w:t>
      </w:r>
      <w:r w:rsidRPr="0032494C">
        <w:rPr>
          <w:rFonts w:ascii="Calibri" w:hAnsi="Calibri" w:cs="Calibri"/>
          <w:color w:val="000000" w:themeColor="text1"/>
          <w:sz w:val="22"/>
          <w:szCs w:val="22"/>
          <w:lang w:bidi="en-US"/>
        </w:rPr>
        <w:t>L</w:t>
      </w:r>
      <w:r w:rsidR="00AE4E28">
        <w:rPr>
          <w:rFonts w:ascii="Calibri" w:hAnsi="Calibri" w:cs="Calibri"/>
          <w:color w:val="000000" w:themeColor="text1"/>
          <w:sz w:val="22"/>
          <w:szCs w:val="22"/>
          <w:lang w:bidi="en-US"/>
        </w:rPr>
        <w:t xml:space="preserve">eadership </w:t>
      </w:r>
      <w:r w:rsidRPr="0032494C">
        <w:rPr>
          <w:rFonts w:ascii="Calibri" w:hAnsi="Calibri" w:cs="Calibri"/>
          <w:color w:val="000000" w:themeColor="text1"/>
          <w:sz w:val="22"/>
          <w:szCs w:val="22"/>
          <w:lang w:bidi="en-US"/>
        </w:rPr>
        <w:t>G</w:t>
      </w:r>
      <w:r w:rsidR="000F512A">
        <w:rPr>
          <w:rFonts w:ascii="Calibri" w:hAnsi="Calibri" w:cs="Calibri"/>
          <w:color w:val="000000" w:themeColor="text1"/>
          <w:sz w:val="22"/>
          <w:szCs w:val="22"/>
          <w:lang w:bidi="en-US"/>
        </w:rPr>
        <w:t>rant for Museums</w:t>
      </w:r>
      <w:r w:rsidRPr="0032494C">
        <w:rPr>
          <w:rFonts w:ascii="Calibri" w:hAnsi="Calibri" w:cs="Calibri"/>
          <w:color w:val="000000" w:themeColor="text1"/>
          <w:sz w:val="22"/>
          <w:szCs w:val="22"/>
          <w:lang w:bidi="en-US"/>
        </w:rPr>
        <w:t xml:space="preserve"> grant (MG-20-15-0057-15), BCM has successfully pilot</w:t>
      </w:r>
      <w:r w:rsidR="00EA3532">
        <w:rPr>
          <w:rFonts w:ascii="Calibri" w:hAnsi="Calibri" w:cs="Calibri"/>
          <w:color w:val="000000" w:themeColor="text1"/>
          <w:sz w:val="22"/>
          <w:szCs w:val="22"/>
          <w:lang w:bidi="en-US"/>
        </w:rPr>
        <w:t>-</w:t>
      </w:r>
      <w:r w:rsidRPr="0032494C">
        <w:rPr>
          <w:rFonts w:ascii="Calibri" w:hAnsi="Calibri" w:cs="Calibri"/>
          <w:color w:val="000000" w:themeColor="text1"/>
          <w:sz w:val="22"/>
          <w:szCs w:val="22"/>
          <w:lang w:bidi="en-US"/>
        </w:rPr>
        <w:t>tested its Massachusetts network model in South Carolina and Virginia. Working with the BUILD Initiative, BCM has conducted webinars to introduce the state teams to the SRP capacity</w:t>
      </w:r>
      <w:r w:rsidR="00EA3532">
        <w:rPr>
          <w:rFonts w:ascii="Calibri" w:hAnsi="Calibri" w:cs="Calibri"/>
          <w:color w:val="000000" w:themeColor="text1"/>
          <w:sz w:val="22"/>
          <w:szCs w:val="22"/>
          <w:lang w:bidi="en-US"/>
        </w:rPr>
        <w:t>-</w:t>
      </w:r>
      <w:r w:rsidRPr="0032494C">
        <w:rPr>
          <w:rFonts w:ascii="Calibri" w:hAnsi="Calibri" w:cs="Calibri"/>
          <w:color w:val="000000" w:themeColor="text1"/>
          <w:sz w:val="22"/>
          <w:szCs w:val="22"/>
          <w:lang w:bidi="en-US"/>
        </w:rPr>
        <w:t xml:space="preserve">building process and is designing, prototyping, and evaluating new program ideas, activities, and materials for replication and dissemination. Through </w:t>
      </w:r>
      <w:r w:rsidR="00EA3532">
        <w:rPr>
          <w:rFonts w:ascii="Calibri" w:hAnsi="Calibri" w:cs="Calibri"/>
          <w:color w:val="000000" w:themeColor="text1"/>
          <w:sz w:val="22"/>
          <w:szCs w:val="22"/>
          <w:lang w:bidi="en-US"/>
        </w:rPr>
        <w:t xml:space="preserve">the </w:t>
      </w:r>
      <w:r w:rsidRPr="00734710">
        <w:rPr>
          <w:rFonts w:ascii="Calibri" w:hAnsi="Calibri" w:cs="Calibri"/>
          <w:iCs/>
          <w:color w:val="000000" w:themeColor="text1"/>
          <w:sz w:val="22"/>
          <w:szCs w:val="22"/>
          <w:lang w:bidi="en-US"/>
        </w:rPr>
        <w:t>Building a National Network of Museums and Libraries for School Readiness</w:t>
      </w:r>
      <w:r w:rsidRPr="00734710" w:rsidR="00473E18">
        <w:rPr>
          <w:rFonts w:ascii="Calibri" w:hAnsi="Calibri" w:cs="Calibri"/>
          <w:iCs/>
          <w:color w:val="000000" w:themeColor="text1"/>
          <w:sz w:val="22"/>
          <w:szCs w:val="22"/>
          <w:lang w:bidi="en-US"/>
        </w:rPr>
        <w:t xml:space="preserve"> Project</w:t>
      </w:r>
      <w:r w:rsidRPr="0032494C">
        <w:rPr>
          <w:rFonts w:ascii="Calibri" w:hAnsi="Calibri" w:cs="Calibri"/>
          <w:i/>
          <w:color w:val="000000" w:themeColor="text1"/>
          <w:sz w:val="22"/>
          <w:szCs w:val="22"/>
          <w:lang w:bidi="en-US"/>
        </w:rPr>
        <w:t>,</w:t>
      </w:r>
      <w:r w:rsidRPr="0032494C">
        <w:rPr>
          <w:rFonts w:ascii="Calibri" w:hAnsi="Calibri" w:cs="Calibri"/>
          <w:color w:val="000000" w:themeColor="text1"/>
          <w:sz w:val="22"/>
          <w:szCs w:val="22"/>
          <w:lang w:bidi="en-US"/>
        </w:rPr>
        <w:t xml:space="preserve"> BCM and BUILD will continue to refine the partnership model for expansion to additional state teams in Iowa, Mississippi, and New Mexico as part of this cooperative agreement. Going forward, the BCM materials </w:t>
      </w:r>
      <w:r w:rsidRPr="0032494C" w:rsidR="00D5744A">
        <w:rPr>
          <w:rFonts w:ascii="Calibri" w:hAnsi="Calibri" w:cs="Calibri"/>
          <w:color w:val="000000" w:themeColor="text1"/>
          <w:sz w:val="22"/>
          <w:szCs w:val="22"/>
          <w:lang w:bidi="en-US"/>
        </w:rPr>
        <w:t xml:space="preserve">are intended to </w:t>
      </w:r>
      <w:r w:rsidRPr="0032494C">
        <w:rPr>
          <w:rFonts w:ascii="Calibri" w:hAnsi="Calibri" w:cs="Calibri"/>
          <w:color w:val="000000" w:themeColor="text1"/>
          <w:sz w:val="22"/>
          <w:szCs w:val="22"/>
          <w:lang w:bidi="en-US"/>
        </w:rPr>
        <w:t xml:space="preserve">inspire partners to develop their own programs and practices. </w:t>
      </w:r>
    </w:p>
    <w:p w:rsidRPr="0032494C" w:rsidR="006C7470" w:rsidP="006C7470" w:rsidRDefault="006C7470" w14:paraId="1B66738C"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rsidRPr="0032494C" w:rsidR="006C7470" w:rsidP="006C7470" w:rsidRDefault="006C7470" w14:paraId="446B85F8" w14:textId="50750EC6">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u w:val="single"/>
        </w:rPr>
      </w:pPr>
      <w:r w:rsidRPr="0032494C">
        <w:rPr>
          <w:rFonts w:ascii="Calibri" w:hAnsi="Calibri" w:cs="Calibri"/>
          <w:b/>
          <w:sz w:val="22"/>
          <w:szCs w:val="22"/>
          <w:u w:val="single"/>
        </w:rPr>
        <w:t>A.2. Purposes and Uses of the Data</w:t>
      </w:r>
    </w:p>
    <w:p w:rsidR="00F133F8" w:rsidP="006C7470" w:rsidRDefault="006C7470" w14:paraId="23F15FFD" w14:textId="35668D3B">
      <w:pPr>
        <w:rPr>
          <w:rFonts w:ascii="Calibri" w:hAnsi="Calibri" w:cs="Calibri"/>
          <w:color w:val="000000" w:themeColor="text1"/>
          <w:sz w:val="22"/>
          <w:szCs w:val="22"/>
          <w:lang w:bidi="en-US"/>
        </w:rPr>
      </w:pPr>
      <w:r w:rsidRPr="0032494C">
        <w:rPr>
          <w:rFonts w:ascii="Calibri" w:hAnsi="Calibri" w:cs="Calibri"/>
          <w:sz w:val="22"/>
          <w:szCs w:val="22"/>
        </w:rPr>
        <w:t xml:space="preserve">The Education Development Center will conduct an evaluation of </w:t>
      </w:r>
      <w:r w:rsidRPr="00734710">
        <w:rPr>
          <w:rFonts w:ascii="Calibri" w:hAnsi="Calibri" w:eastAsia="Calibri" w:cs="Calibri"/>
          <w:iCs/>
          <w:color w:val="000000" w:themeColor="text1"/>
          <w:sz w:val="22"/>
          <w:szCs w:val="22"/>
        </w:rPr>
        <w:t xml:space="preserve">the </w:t>
      </w:r>
      <w:r w:rsidRPr="00734710">
        <w:rPr>
          <w:rFonts w:ascii="Calibri" w:hAnsi="Calibri" w:cs="Calibri"/>
          <w:iCs/>
          <w:color w:val="000000" w:themeColor="text1"/>
          <w:sz w:val="22"/>
          <w:szCs w:val="22"/>
          <w:lang w:bidi="en-US"/>
        </w:rPr>
        <w:t xml:space="preserve">Building a National Network of Museums and Libraries for School Readiness </w:t>
      </w:r>
      <w:r w:rsidRPr="00734710" w:rsidR="009155F7">
        <w:rPr>
          <w:rFonts w:ascii="Calibri" w:hAnsi="Calibri" w:cs="Calibri"/>
          <w:iCs/>
          <w:color w:val="000000" w:themeColor="text1"/>
          <w:sz w:val="22"/>
          <w:szCs w:val="22"/>
          <w:lang w:bidi="en-US"/>
        </w:rPr>
        <w:t>Project</w:t>
      </w:r>
      <w:r w:rsidRPr="00734710">
        <w:rPr>
          <w:rFonts w:ascii="Calibri" w:hAnsi="Calibri" w:cs="Calibri"/>
          <w:iCs/>
          <w:color w:val="000000" w:themeColor="text1"/>
          <w:sz w:val="22"/>
          <w:szCs w:val="22"/>
          <w:lang w:bidi="en-US"/>
        </w:rPr>
        <w:t xml:space="preserve"> </w:t>
      </w:r>
      <w:r w:rsidRPr="0032494C">
        <w:rPr>
          <w:rFonts w:ascii="Calibri" w:hAnsi="Calibri" w:cs="Calibri"/>
          <w:color w:val="000000" w:themeColor="text1"/>
          <w:sz w:val="22"/>
          <w:szCs w:val="22"/>
          <w:lang w:bidi="en-US"/>
        </w:rPr>
        <w:t xml:space="preserve">(SRP) </w:t>
      </w:r>
      <w:r w:rsidRPr="0032494C" w:rsidR="00DD26ED">
        <w:rPr>
          <w:rFonts w:ascii="Calibri" w:hAnsi="Calibri" w:cs="Calibri"/>
          <w:color w:val="000000" w:themeColor="text1"/>
          <w:sz w:val="22"/>
          <w:szCs w:val="22"/>
          <w:lang w:bidi="en-US"/>
        </w:rPr>
        <w:t xml:space="preserve">in order to document project progress and to identify factors and processes that are key to establishing and sustaining these networks in six states, as well as to inform the scale-up of networks to all 50 states. </w:t>
      </w:r>
      <w:r w:rsidRPr="000F314B" w:rsidR="000F314B">
        <w:rPr>
          <w:rFonts w:ascii="Calibri" w:hAnsi="Calibri" w:cs="Calibri"/>
          <w:color w:val="000000" w:themeColor="text1"/>
          <w:sz w:val="22"/>
          <w:szCs w:val="22"/>
          <w:lang w:bidi="en-US"/>
        </w:rPr>
        <w:t xml:space="preserve">This </w:t>
      </w:r>
      <w:r w:rsidR="00063BF5">
        <w:rPr>
          <w:rFonts w:ascii="Calibri" w:hAnsi="Calibri" w:cs="Calibri"/>
          <w:color w:val="000000" w:themeColor="text1"/>
          <w:sz w:val="22"/>
          <w:szCs w:val="22"/>
          <w:lang w:bidi="en-US"/>
        </w:rPr>
        <w:t>scale-up</w:t>
      </w:r>
      <w:r w:rsidRPr="000F314B" w:rsidR="000F314B">
        <w:rPr>
          <w:rFonts w:ascii="Calibri" w:hAnsi="Calibri" w:cs="Calibri"/>
          <w:color w:val="000000" w:themeColor="text1"/>
          <w:sz w:val="22"/>
          <w:szCs w:val="22"/>
          <w:lang w:bidi="en-US"/>
        </w:rPr>
        <w:t xml:space="preserve"> </w:t>
      </w:r>
      <w:r w:rsidR="00063BF5">
        <w:rPr>
          <w:rFonts w:ascii="Calibri" w:hAnsi="Calibri" w:cs="Calibri"/>
          <w:color w:val="000000" w:themeColor="text1"/>
          <w:sz w:val="22"/>
          <w:szCs w:val="22"/>
          <w:lang w:bidi="en-US"/>
        </w:rPr>
        <w:t xml:space="preserve">will inform </w:t>
      </w:r>
      <w:r w:rsidRPr="723A0852" w:rsidR="5020D764">
        <w:rPr>
          <w:rFonts w:ascii="Calibri" w:hAnsi="Calibri" w:cs="Calibri"/>
          <w:color w:val="000000" w:themeColor="text1"/>
          <w:sz w:val="22"/>
          <w:szCs w:val="22"/>
          <w:lang w:bidi="en-US"/>
        </w:rPr>
        <w:t xml:space="preserve">whether </w:t>
      </w:r>
      <w:r w:rsidR="00063BF5">
        <w:rPr>
          <w:rFonts w:ascii="Calibri" w:hAnsi="Calibri" w:cs="Calibri"/>
          <w:color w:val="000000" w:themeColor="text1"/>
          <w:sz w:val="22"/>
          <w:szCs w:val="22"/>
          <w:lang w:bidi="en-US"/>
        </w:rPr>
        <w:t xml:space="preserve">and how IMLS will support </w:t>
      </w:r>
      <w:r w:rsidRPr="000F314B" w:rsidR="000F314B">
        <w:rPr>
          <w:rFonts w:ascii="Calibri" w:hAnsi="Calibri" w:cs="Calibri"/>
          <w:color w:val="000000" w:themeColor="text1"/>
          <w:sz w:val="22"/>
          <w:szCs w:val="22"/>
          <w:lang w:bidi="en-US"/>
        </w:rPr>
        <w:t xml:space="preserve">further expansion </w:t>
      </w:r>
      <w:r w:rsidR="00063BF5">
        <w:rPr>
          <w:rFonts w:ascii="Calibri" w:hAnsi="Calibri" w:cs="Calibri"/>
          <w:color w:val="000000" w:themeColor="text1"/>
          <w:sz w:val="22"/>
          <w:szCs w:val="22"/>
          <w:lang w:bidi="en-US"/>
        </w:rPr>
        <w:t>in</w:t>
      </w:r>
      <w:r w:rsidRPr="000F314B" w:rsidR="000F314B">
        <w:rPr>
          <w:rFonts w:ascii="Calibri" w:hAnsi="Calibri" w:cs="Calibri"/>
          <w:color w:val="000000" w:themeColor="text1"/>
          <w:sz w:val="22"/>
          <w:szCs w:val="22"/>
          <w:lang w:bidi="en-US"/>
        </w:rPr>
        <w:t>to more states in the future. The primary goal of this evaluation is formative in nature and will allow the grantees to improve their practices and tools so that the future iteration of this network model might be stronger and informed by lessons learned</w:t>
      </w:r>
      <w:r w:rsidR="00F133F8">
        <w:rPr>
          <w:rFonts w:ascii="Calibri" w:hAnsi="Calibri" w:cs="Calibri"/>
          <w:color w:val="000000" w:themeColor="text1"/>
          <w:sz w:val="22"/>
          <w:szCs w:val="22"/>
          <w:lang w:bidi="en-US"/>
        </w:rPr>
        <w:t xml:space="preserve"> from the evaluation</w:t>
      </w:r>
      <w:r w:rsidRPr="000F314B" w:rsidR="000F314B">
        <w:rPr>
          <w:rFonts w:ascii="Calibri" w:hAnsi="Calibri" w:cs="Calibri"/>
          <w:color w:val="000000" w:themeColor="text1"/>
          <w:sz w:val="22"/>
          <w:szCs w:val="22"/>
          <w:lang w:bidi="en-US"/>
        </w:rPr>
        <w:t xml:space="preserve">. </w:t>
      </w:r>
    </w:p>
    <w:p w:rsidR="00F133F8" w:rsidP="006C7470" w:rsidRDefault="00F133F8" w14:paraId="51F98802" w14:textId="77777777">
      <w:pPr>
        <w:rPr>
          <w:rFonts w:ascii="Calibri" w:hAnsi="Calibri" w:cs="Calibri"/>
          <w:color w:val="000000" w:themeColor="text1"/>
          <w:sz w:val="22"/>
          <w:szCs w:val="22"/>
          <w:lang w:bidi="en-US"/>
        </w:rPr>
      </w:pPr>
    </w:p>
    <w:p w:rsidRPr="0032494C" w:rsidR="007C2063" w:rsidP="39EAF3DE" w:rsidRDefault="000F314B" w14:paraId="465CFB92" w14:textId="38F6DA33">
      <w:pPr>
        <w:rPr>
          <w:rFonts w:ascii="Calibri" w:hAnsi="Calibri" w:cs="Calibri"/>
          <w:color w:val="000000" w:themeColor="text1"/>
          <w:sz w:val="22"/>
          <w:szCs w:val="22"/>
          <w:lang w:bidi="en-US"/>
        </w:rPr>
      </w:pPr>
      <w:r w:rsidRPr="39EAF3DE">
        <w:rPr>
          <w:rFonts w:ascii="Calibri" w:hAnsi="Calibri" w:cs="Calibri"/>
          <w:color w:val="000000" w:themeColor="text1"/>
          <w:sz w:val="22"/>
          <w:szCs w:val="22"/>
          <w:lang w:bidi="en-US"/>
        </w:rPr>
        <w:t xml:space="preserve">Moreover, the information gathered through this project will be used to improve IMLS’s own practices as it relates to addressing the opportunities and challenges facing children’s museums and libraries in reaching populations who have not historically benefited from the rich informal learning experiences these institutions provide. We will use the evaluation findings to generate illustrative case studies with qualitative data that will, along with the learnings gained through individual work with state teams, inform </w:t>
      </w:r>
      <w:r w:rsidRPr="39EAF3DE" w:rsidR="007F2451">
        <w:rPr>
          <w:rFonts w:ascii="Calibri" w:hAnsi="Calibri" w:cs="Calibri"/>
          <w:color w:val="000000" w:themeColor="text1"/>
          <w:sz w:val="22"/>
          <w:szCs w:val="22"/>
          <w:lang w:bidi="en-US"/>
        </w:rPr>
        <w:t xml:space="preserve">future </w:t>
      </w:r>
      <w:r w:rsidRPr="39EAF3DE">
        <w:rPr>
          <w:rFonts w:ascii="Calibri" w:hAnsi="Calibri" w:cs="Calibri"/>
          <w:color w:val="000000" w:themeColor="text1"/>
          <w:sz w:val="22"/>
          <w:szCs w:val="22"/>
          <w:lang w:bidi="en-US"/>
        </w:rPr>
        <w:t>scaling up efforts. As with any and all N</w:t>
      </w:r>
      <w:r w:rsidRPr="39EAF3DE" w:rsidR="007F2451">
        <w:rPr>
          <w:rFonts w:ascii="Calibri" w:hAnsi="Calibri" w:cs="Calibri"/>
          <w:color w:val="000000" w:themeColor="text1"/>
          <w:sz w:val="22"/>
          <w:szCs w:val="22"/>
          <w:lang w:bidi="en-US"/>
        </w:rPr>
        <w:t>ational Leadership Grant</w:t>
      </w:r>
      <w:r w:rsidR="00734710">
        <w:rPr>
          <w:rFonts w:ascii="Calibri" w:hAnsi="Calibri" w:cs="Calibri"/>
          <w:color w:val="000000" w:themeColor="text1"/>
          <w:sz w:val="22"/>
          <w:szCs w:val="22"/>
          <w:lang w:bidi="en-US"/>
        </w:rPr>
        <w:t>s for Museums</w:t>
      </w:r>
      <w:r w:rsidRPr="39EAF3DE">
        <w:rPr>
          <w:rFonts w:ascii="Calibri" w:hAnsi="Calibri" w:cs="Calibri"/>
          <w:color w:val="000000" w:themeColor="text1"/>
          <w:sz w:val="22"/>
          <w:szCs w:val="22"/>
          <w:lang w:bidi="en-US"/>
        </w:rPr>
        <w:t xml:space="preserve"> projects, the lessons </w:t>
      </w:r>
      <w:r w:rsidRPr="39EAF3DE" w:rsidDel="00F919A0">
        <w:rPr>
          <w:rFonts w:ascii="Calibri" w:hAnsi="Calibri" w:cs="Calibri"/>
          <w:color w:val="000000" w:themeColor="text1"/>
          <w:sz w:val="22"/>
          <w:szCs w:val="22"/>
          <w:lang w:bidi="en-US"/>
        </w:rPr>
        <w:t>learned</w:t>
      </w:r>
      <w:r w:rsidRPr="39EAF3DE" w:rsidR="00F919A0">
        <w:rPr>
          <w:rFonts w:ascii="Calibri" w:hAnsi="Calibri" w:cs="Calibri"/>
          <w:color w:val="000000" w:themeColor="text1"/>
          <w:sz w:val="22"/>
          <w:szCs w:val="22"/>
          <w:lang w:bidi="en-US"/>
        </w:rPr>
        <w:t>,</w:t>
      </w:r>
      <w:r w:rsidRPr="39EAF3DE">
        <w:rPr>
          <w:rFonts w:ascii="Calibri" w:hAnsi="Calibri" w:cs="Calibri"/>
          <w:color w:val="000000" w:themeColor="text1"/>
          <w:sz w:val="22"/>
          <w:szCs w:val="22"/>
          <w:lang w:bidi="en-US"/>
        </w:rPr>
        <w:t xml:space="preserve"> and final reports will be </w:t>
      </w:r>
      <w:r w:rsidRPr="39EAF3DE" w:rsidR="004B3920">
        <w:rPr>
          <w:rFonts w:ascii="Calibri" w:hAnsi="Calibri" w:cs="Calibri"/>
          <w:color w:val="000000" w:themeColor="text1"/>
          <w:sz w:val="22"/>
          <w:szCs w:val="22"/>
          <w:lang w:bidi="en-US"/>
        </w:rPr>
        <w:t xml:space="preserve">made </w:t>
      </w:r>
      <w:r w:rsidRPr="39EAF3DE">
        <w:rPr>
          <w:rFonts w:ascii="Calibri" w:hAnsi="Calibri" w:cs="Calibri"/>
          <w:color w:val="000000" w:themeColor="text1"/>
          <w:sz w:val="22"/>
          <w:szCs w:val="22"/>
          <w:lang w:bidi="en-US"/>
        </w:rPr>
        <w:t>publicly available</w:t>
      </w:r>
      <w:r w:rsidRPr="39EAF3DE" w:rsidR="004B3920">
        <w:rPr>
          <w:rFonts w:ascii="Calibri" w:hAnsi="Calibri" w:cs="Calibri"/>
          <w:color w:val="000000" w:themeColor="text1"/>
          <w:sz w:val="22"/>
          <w:szCs w:val="22"/>
          <w:lang w:bidi="en-US"/>
        </w:rPr>
        <w:t xml:space="preserve"> and</w:t>
      </w:r>
      <w:r w:rsidRPr="39EAF3DE">
        <w:rPr>
          <w:rFonts w:ascii="Calibri" w:hAnsi="Calibri" w:cs="Calibri"/>
          <w:color w:val="000000" w:themeColor="text1"/>
          <w:sz w:val="22"/>
          <w:szCs w:val="22"/>
          <w:lang w:bidi="en-US"/>
        </w:rPr>
        <w:t xml:space="preserve"> </w:t>
      </w:r>
      <w:r w:rsidRPr="723A0852" w:rsidR="3215C399">
        <w:rPr>
          <w:rFonts w:ascii="Calibri" w:hAnsi="Calibri" w:cs="Calibri"/>
          <w:color w:val="000000" w:themeColor="text1"/>
          <w:sz w:val="22"/>
          <w:szCs w:val="22"/>
          <w:lang w:bidi="en-US"/>
        </w:rPr>
        <w:t xml:space="preserve">disseminated </w:t>
      </w:r>
      <w:r w:rsidRPr="39EAF3DE">
        <w:rPr>
          <w:rFonts w:ascii="Calibri" w:hAnsi="Calibri" w:cs="Calibri"/>
          <w:color w:val="000000" w:themeColor="text1"/>
          <w:sz w:val="22"/>
          <w:szCs w:val="22"/>
          <w:lang w:bidi="en-US"/>
        </w:rPr>
        <w:t>through blogs, articles and conference presentations.</w:t>
      </w:r>
      <w:r w:rsidRPr="39EAF3DE" w:rsidR="00C30B57">
        <w:rPr>
          <w:rFonts w:ascii="Calibri" w:hAnsi="Calibri" w:cs="Calibri"/>
          <w:color w:val="000000" w:themeColor="text1"/>
          <w:sz w:val="22"/>
          <w:szCs w:val="22"/>
          <w:lang w:bidi="en-US"/>
        </w:rPr>
        <w:t xml:space="preserve"> </w:t>
      </w:r>
    </w:p>
    <w:p w:rsidRPr="0032494C" w:rsidR="007C2063" w:rsidP="39EAF3DE" w:rsidRDefault="007C2063" w14:paraId="32E4B601" w14:textId="74FAE533">
      <w:pPr>
        <w:rPr>
          <w:rFonts w:ascii="Calibri" w:hAnsi="Calibri" w:cs="Calibri"/>
          <w:color w:val="000000" w:themeColor="text1"/>
          <w:sz w:val="22"/>
          <w:szCs w:val="22"/>
          <w:lang w:bidi="en-US"/>
        </w:rPr>
      </w:pPr>
    </w:p>
    <w:p w:rsidRPr="0032494C" w:rsidR="007C2063" w:rsidP="006C7470" w:rsidRDefault="00DD26ED" w14:paraId="42211922" w14:textId="34E3CB54">
      <w:pPr>
        <w:rPr>
          <w:rFonts w:ascii="Calibri" w:hAnsi="Calibri" w:cs="Calibri"/>
          <w:color w:val="000000" w:themeColor="text1"/>
          <w:sz w:val="22"/>
          <w:szCs w:val="22"/>
          <w:lang w:bidi="en-US"/>
        </w:rPr>
      </w:pPr>
      <w:r w:rsidRPr="39EAF3DE">
        <w:rPr>
          <w:rFonts w:ascii="Calibri" w:hAnsi="Calibri" w:cs="Calibri"/>
          <w:color w:val="000000" w:themeColor="text1"/>
          <w:sz w:val="22"/>
          <w:szCs w:val="22"/>
          <w:lang w:bidi="en-US"/>
        </w:rPr>
        <w:t>T</w:t>
      </w:r>
      <w:r w:rsidRPr="39EAF3DE" w:rsidR="007C2063">
        <w:rPr>
          <w:rFonts w:ascii="Calibri" w:hAnsi="Calibri" w:cs="Calibri"/>
          <w:color w:val="000000" w:themeColor="text1"/>
          <w:sz w:val="22"/>
          <w:szCs w:val="22"/>
          <w:lang w:bidi="en-US"/>
        </w:rPr>
        <w:t>he following goals</w:t>
      </w:r>
      <w:r w:rsidRPr="39EAF3DE">
        <w:rPr>
          <w:rFonts w:ascii="Calibri" w:hAnsi="Calibri" w:cs="Calibri"/>
          <w:color w:val="000000" w:themeColor="text1"/>
          <w:sz w:val="22"/>
          <w:szCs w:val="22"/>
          <w:lang w:bidi="en-US"/>
        </w:rPr>
        <w:t xml:space="preserve"> will guide the evaluation</w:t>
      </w:r>
      <w:r w:rsidRPr="39EAF3DE" w:rsidR="006C7470">
        <w:rPr>
          <w:rFonts w:ascii="Calibri" w:hAnsi="Calibri" w:cs="Calibri"/>
          <w:color w:val="000000" w:themeColor="text1"/>
          <w:sz w:val="22"/>
          <w:szCs w:val="22"/>
          <w:lang w:bidi="en-US"/>
        </w:rPr>
        <w:t xml:space="preserve">: </w:t>
      </w:r>
    </w:p>
    <w:p w:rsidRPr="0032494C" w:rsidR="004966A5" w:rsidP="004966A5" w:rsidRDefault="004966A5" w14:paraId="648EAB90" w14:textId="723C7957">
      <w:pPr>
        <w:pStyle w:val="ListParagraph"/>
        <w:widowControl w:val="0"/>
        <w:numPr>
          <w:ilvl w:val="0"/>
          <w:numId w:val="10"/>
        </w:num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alibri"/>
          <w:bCs/>
          <w:w w:val="95"/>
        </w:rPr>
      </w:pPr>
      <w:r w:rsidRPr="0032494C">
        <w:rPr>
          <w:rFonts w:cs="Calibri"/>
          <w:b/>
          <w:color w:val="000000" w:themeColor="text1"/>
          <w:lang w:bidi="en-US"/>
        </w:rPr>
        <w:t xml:space="preserve">Goal </w:t>
      </w:r>
      <w:r w:rsidRPr="0032494C" w:rsidR="00AF47CA">
        <w:rPr>
          <w:rFonts w:cs="Calibri"/>
          <w:b/>
          <w:color w:val="000000" w:themeColor="text1"/>
          <w:lang w:bidi="en-US"/>
        </w:rPr>
        <w:t>1</w:t>
      </w:r>
      <w:r w:rsidRPr="0032494C">
        <w:rPr>
          <w:rFonts w:cs="Calibri"/>
          <w:b/>
          <w:color w:val="000000" w:themeColor="text1"/>
          <w:lang w:bidi="en-US"/>
        </w:rPr>
        <w:t xml:space="preserve">. </w:t>
      </w:r>
      <w:r w:rsidRPr="0032494C">
        <w:rPr>
          <w:rFonts w:cs="Calibri"/>
          <w:color w:val="000000" w:themeColor="text1"/>
          <w:lang w:bidi="en-US"/>
        </w:rPr>
        <w:t>Identify institutional capacities and cross-organizational relationships that support model outreach, implementation, and sustainability in order to understand elements and processes that are central to forming</w:t>
      </w:r>
      <w:r w:rsidRPr="0032494C" w:rsidR="00DD26ED">
        <w:rPr>
          <w:rFonts w:cs="Calibri"/>
          <w:color w:val="000000" w:themeColor="text1"/>
          <w:lang w:bidi="en-US"/>
        </w:rPr>
        <w:t xml:space="preserve">, </w:t>
      </w:r>
      <w:r w:rsidRPr="0032494C">
        <w:rPr>
          <w:rFonts w:cs="Calibri"/>
          <w:color w:val="000000" w:themeColor="text1"/>
          <w:lang w:bidi="en-US"/>
        </w:rPr>
        <w:t>sustaining</w:t>
      </w:r>
      <w:r w:rsidRPr="0032494C" w:rsidR="00DD26ED">
        <w:rPr>
          <w:rFonts w:cs="Calibri"/>
          <w:color w:val="000000" w:themeColor="text1"/>
          <w:lang w:bidi="en-US"/>
        </w:rPr>
        <w:t>, and scaling-up</w:t>
      </w:r>
      <w:r w:rsidRPr="0032494C">
        <w:rPr>
          <w:rFonts w:cs="Calibri"/>
          <w:color w:val="000000" w:themeColor="text1"/>
          <w:lang w:bidi="en-US"/>
        </w:rPr>
        <w:t xml:space="preserve"> the network</w:t>
      </w:r>
      <w:r w:rsidRPr="0032494C" w:rsidR="00DD26ED">
        <w:rPr>
          <w:rFonts w:cs="Calibri"/>
          <w:color w:val="000000" w:themeColor="text1"/>
          <w:lang w:bidi="en-US"/>
        </w:rPr>
        <w:t xml:space="preserve"> model in all states</w:t>
      </w:r>
      <w:r w:rsidRPr="0032494C">
        <w:rPr>
          <w:rFonts w:cs="Calibri"/>
          <w:color w:val="000000" w:themeColor="text1"/>
          <w:lang w:bidi="en-US"/>
        </w:rPr>
        <w:t>.</w:t>
      </w:r>
    </w:p>
    <w:p w:rsidRPr="0032494C" w:rsidR="00714682" w:rsidP="00714682" w:rsidRDefault="004966A5" w14:paraId="2C3FB43E" w14:textId="040E624C">
      <w:pPr>
        <w:pStyle w:val="ListParagraph"/>
        <w:widowControl w:val="0"/>
        <w:numPr>
          <w:ilvl w:val="0"/>
          <w:numId w:val="10"/>
        </w:num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alibri"/>
          <w:bCs/>
          <w:w w:val="95"/>
        </w:rPr>
      </w:pPr>
      <w:r w:rsidRPr="0032494C">
        <w:rPr>
          <w:rFonts w:cs="Calibri"/>
          <w:b/>
          <w:color w:val="000000" w:themeColor="text1"/>
          <w:lang w:bidi="en-US"/>
        </w:rPr>
        <w:t xml:space="preserve">Goal </w:t>
      </w:r>
      <w:r w:rsidRPr="0032494C" w:rsidR="00AF47CA">
        <w:rPr>
          <w:rFonts w:cs="Calibri"/>
          <w:b/>
          <w:color w:val="000000" w:themeColor="text1"/>
          <w:lang w:bidi="en-US"/>
        </w:rPr>
        <w:t>2</w:t>
      </w:r>
      <w:r w:rsidR="00F111D0">
        <w:rPr>
          <w:rFonts w:cs="Calibri"/>
          <w:b/>
          <w:color w:val="000000" w:themeColor="text1"/>
          <w:lang w:bidi="en-US"/>
        </w:rPr>
        <w:t>.</w:t>
      </w:r>
      <w:r w:rsidRPr="0032494C">
        <w:rPr>
          <w:rFonts w:cs="Calibri"/>
          <w:b/>
          <w:color w:val="000000" w:themeColor="text1"/>
          <w:lang w:bidi="en-US"/>
        </w:rPr>
        <w:t xml:space="preserve"> </w:t>
      </w:r>
      <w:r w:rsidRPr="0032494C">
        <w:rPr>
          <w:rFonts w:cs="Calibri"/>
          <w:color w:val="000000" w:themeColor="text1"/>
          <w:lang w:bidi="en-US"/>
        </w:rPr>
        <w:t xml:space="preserve">Identify the ways in </w:t>
      </w:r>
      <w:r w:rsidR="005640B7">
        <w:rPr>
          <w:rFonts w:cs="Calibri"/>
          <w:color w:val="000000" w:themeColor="text1"/>
          <w:lang w:bidi="en-US"/>
        </w:rPr>
        <w:t xml:space="preserve">which the network </w:t>
      </w:r>
      <w:r w:rsidRPr="0032494C">
        <w:rPr>
          <w:rFonts w:cs="Calibri"/>
          <w:color w:val="000000" w:themeColor="text1"/>
          <w:lang w:bidi="en-US"/>
        </w:rPr>
        <w:t xml:space="preserve">model prepares and supports </w:t>
      </w:r>
      <w:r w:rsidRPr="0032494C" w:rsidR="00DD26ED">
        <w:rPr>
          <w:rFonts w:cs="Calibri"/>
          <w:color w:val="000000" w:themeColor="text1"/>
          <w:lang w:bidi="en-US"/>
        </w:rPr>
        <w:t>h</w:t>
      </w:r>
      <w:r w:rsidRPr="0032494C">
        <w:rPr>
          <w:rFonts w:cs="Calibri"/>
          <w:color w:val="000000" w:themeColor="text1"/>
          <w:lang w:bidi="en-US"/>
        </w:rPr>
        <w:t>ub leaders, key partners, collaborating organizations, and families in promoting academic readiness among young children.</w:t>
      </w:r>
    </w:p>
    <w:p w:rsidRPr="0032494C" w:rsidR="00B057AA" w:rsidP="00714682" w:rsidRDefault="00AF47CA" w14:paraId="5DBEA17E" w14:textId="32EF954F">
      <w:pPr>
        <w:pStyle w:val="ListParagraph"/>
        <w:widowControl w:val="0"/>
        <w:numPr>
          <w:ilvl w:val="0"/>
          <w:numId w:val="10"/>
        </w:num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alibri"/>
          <w:bCs/>
          <w:w w:val="95"/>
        </w:rPr>
      </w:pPr>
      <w:r w:rsidRPr="0032494C">
        <w:rPr>
          <w:rFonts w:cs="Calibri"/>
          <w:b/>
          <w:color w:val="000000" w:themeColor="text1"/>
          <w:lang w:bidi="en-US"/>
        </w:rPr>
        <w:t xml:space="preserve">Goal 3. </w:t>
      </w:r>
      <w:r w:rsidRPr="0032494C">
        <w:rPr>
          <w:rFonts w:cs="Calibri"/>
          <w:color w:val="000000" w:themeColor="text1"/>
          <w:lang w:bidi="en-US"/>
        </w:rPr>
        <w:t>Document project activities and implementation of the network model to ensure that the project is on schedule and that activities are being implemented as intended by IMLS and BCM.</w:t>
      </w:r>
    </w:p>
    <w:p w:rsidRPr="0032494C" w:rsidR="006C7470" w:rsidP="009F668C" w:rsidRDefault="006C7470" w14:paraId="3E0DFF20" w14:textId="788A72D3">
      <w:pPr>
        <w:rPr>
          <w:rFonts w:ascii="Calibri" w:hAnsi="Calibri" w:cs="Calibri"/>
          <w:sz w:val="22"/>
          <w:szCs w:val="22"/>
        </w:rPr>
      </w:pPr>
      <w:r w:rsidRPr="0032494C">
        <w:rPr>
          <w:rFonts w:ascii="Calibri" w:hAnsi="Calibri" w:cs="Calibri"/>
          <w:color w:val="000000" w:themeColor="text1"/>
          <w:sz w:val="22"/>
          <w:szCs w:val="22"/>
          <w:lang w:bidi="en-US"/>
        </w:rPr>
        <w:t xml:space="preserve">The </w:t>
      </w:r>
      <w:r w:rsidRPr="0032494C" w:rsidR="00DD26ED">
        <w:rPr>
          <w:rFonts w:ascii="Calibri" w:hAnsi="Calibri" w:cs="Calibri"/>
          <w:color w:val="000000" w:themeColor="text1"/>
          <w:sz w:val="22"/>
          <w:szCs w:val="22"/>
          <w:lang w:bidi="en-US"/>
        </w:rPr>
        <w:t xml:space="preserve">following </w:t>
      </w:r>
      <w:r w:rsidRPr="0032494C">
        <w:rPr>
          <w:rFonts w:ascii="Calibri" w:hAnsi="Calibri" w:cs="Calibri"/>
          <w:color w:val="000000" w:themeColor="text1"/>
          <w:sz w:val="22"/>
          <w:szCs w:val="22"/>
          <w:lang w:bidi="en-US"/>
        </w:rPr>
        <w:t>evaluation questions will guide this work:</w:t>
      </w:r>
    </w:p>
    <w:p w:rsidRPr="0032494C" w:rsidR="006C7470" w:rsidP="006C7470" w:rsidRDefault="006C7470" w14:paraId="3A01435F" w14:textId="15E937CD">
      <w:pPr>
        <w:pStyle w:val="ListParagraph"/>
        <w:widowControl w:val="0"/>
        <w:numPr>
          <w:ilvl w:val="0"/>
          <w:numId w:val="1"/>
        </w:numPr>
        <w:autoSpaceDE w:val="0"/>
        <w:autoSpaceDN w:val="0"/>
        <w:spacing w:before="1" w:after="0" w:line="240" w:lineRule="auto"/>
        <w:contextualSpacing w:val="0"/>
        <w:rPr>
          <w:rFonts w:cs="Calibri" w:eastAsiaTheme="minorHAnsi"/>
          <w:color w:val="000000" w:themeColor="text1"/>
          <w:lang w:bidi="en-US"/>
        </w:rPr>
      </w:pPr>
      <w:r w:rsidRPr="0032494C">
        <w:rPr>
          <w:rFonts w:cs="Calibri" w:eastAsiaTheme="minorHAnsi"/>
          <w:color w:val="000000" w:themeColor="text1"/>
          <w:lang w:bidi="en-US"/>
        </w:rPr>
        <w:t>EQ1: What resources, institutional structures, and cross-organizational relationships support the successful implementation of the existing network model?</w:t>
      </w:r>
      <w:r w:rsidRPr="0032494C" w:rsidR="00FF5D1F">
        <w:rPr>
          <w:rFonts w:cs="Calibri" w:eastAsiaTheme="minorHAnsi"/>
          <w:color w:val="000000" w:themeColor="text1"/>
          <w:lang w:bidi="en-US"/>
        </w:rPr>
        <w:t xml:space="preserve"> </w:t>
      </w:r>
      <w:r w:rsidRPr="0032494C" w:rsidR="00FA3219">
        <w:rPr>
          <w:rFonts w:cs="Calibri" w:eastAsiaTheme="minorHAnsi"/>
          <w:color w:val="000000" w:themeColor="text1"/>
          <w:lang w:bidi="en-US"/>
        </w:rPr>
        <w:t xml:space="preserve">(Goal </w:t>
      </w:r>
      <w:r w:rsidRPr="0032494C" w:rsidR="0018493C">
        <w:rPr>
          <w:rFonts w:cs="Calibri" w:eastAsiaTheme="minorHAnsi"/>
          <w:color w:val="000000" w:themeColor="text1"/>
          <w:lang w:bidi="en-US"/>
        </w:rPr>
        <w:t>1</w:t>
      </w:r>
      <w:r w:rsidRPr="0032494C" w:rsidR="00AF47CA">
        <w:rPr>
          <w:rFonts w:cs="Calibri" w:eastAsiaTheme="minorHAnsi"/>
          <w:color w:val="000000" w:themeColor="text1"/>
          <w:lang w:bidi="en-US"/>
        </w:rPr>
        <w:t>)</w:t>
      </w:r>
    </w:p>
    <w:p w:rsidRPr="0032494C" w:rsidR="006C7470" w:rsidP="006C7470" w:rsidRDefault="006C7470" w14:paraId="5D8257B2" w14:textId="1E245CF0">
      <w:pPr>
        <w:pStyle w:val="ListParagraph"/>
        <w:widowControl w:val="0"/>
        <w:numPr>
          <w:ilvl w:val="0"/>
          <w:numId w:val="1"/>
        </w:numPr>
        <w:autoSpaceDE w:val="0"/>
        <w:autoSpaceDN w:val="0"/>
        <w:spacing w:before="1" w:after="0" w:line="240" w:lineRule="auto"/>
        <w:contextualSpacing w:val="0"/>
        <w:rPr>
          <w:rFonts w:cs="Calibri" w:eastAsiaTheme="minorHAnsi"/>
          <w:color w:val="000000" w:themeColor="text1"/>
          <w:lang w:bidi="en-US"/>
        </w:rPr>
      </w:pPr>
      <w:r w:rsidRPr="0032494C">
        <w:rPr>
          <w:rFonts w:cs="Calibri" w:eastAsiaTheme="minorHAnsi"/>
          <w:color w:val="000000" w:themeColor="text1"/>
          <w:lang w:bidi="en-US"/>
        </w:rPr>
        <w:t xml:space="preserve">EQ2: How do hub leaders, key partners, and collaborating organizations implement the network model? In what ways do they adapt the model to fit their individual contexts and needs, and </w:t>
      </w:r>
      <w:r w:rsidRPr="0032494C">
        <w:rPr>
          <w:rFonts w:cs="Calibri" w:eastAsiaTheme="minorHAnsi"/>
          <w:color w:val="000000" w:themeColor="text1"/>
          <w:lang w:bidi="en-US"/>
        </w:rPr>
        <w:lastRenderedPageBreak/>
        <w:t>what successes and challenges do they experience?</w:t>
      </w:r>
      <w:r w:rsidRPr="0032494C" w:rsidR="00AF47CA">
        <w:rPr>
          <w:rFonts w:cs="Calibri" w:eastAsiaTheme="minorHAnsi"/>
          <w:color w:val="000000" w:themeColor="text1"/>
          <w:lang w:bidi="en-US"/>
        </w:rPr>
        <w:t xml:space="preserve"> (Goal </w:t>
      </w:r>
      <w:r w:rsidRPr="0032494C" w:rsidR="0018493C">
        <w:rPr>
          <w:rFonts w:cs="Calibri" w:eastAsiaTheme="minorHAnsi"/>
          <w:color w:val="000000" w:themeColor="text1"/>
          <w:lang w:bidi="en-US"/>
        </w:rPr>
        <w:t>1</w:t>
      </w:r>
      <w:r w:rsidRPr="0032494C" w:rsidR="00AF47CA">
        <w:rPr>
          <w:rFonts w:cs="Calibri" w:eastAsiaTheme="minorHAnsi"/>
          <w:color w:val="000000" w:themeColor="text1"/>
          <w:lang w:bidi="en-US"/>
        </w:rPr>
        <w:t>)</w:t>
      </w:r>
    </w:p>
    <w:p w:rsidRPr="0032494C" w:rsidR="006C7470" w:rsidP="006C7470" w:rsidRDefault="006C7470" w14:paraId="6C6B2CBD" w14:textId="22FCF536">
      <w:pPr>
        <w:pStyle w:val="ListParagraph"/>
        <w:widowControl w:val="0"/>
        <w:numPr>
          <w:ilvl w:val="0"/>
          <w:numId w:val="1"/>
        </w:numPr>
        <w:autoSpaceDE w:val="0"/>
        <w:autoSpaceDN w:val="0"/>
        <w:spacing w:before="1" w:after="0" w:line="240" w:lineRule="auto"/>
        <w:contextualSpacing w:val="0"/>
        <w:rPr>
          <w:rFonts w:cs="Calibri" w:eastAsiaTheme="minorHAnsi"/>
          <w:color w:val="000000" w:themeColor="text1"/>
          <w:lang w:bidi="en-US"/>
        </w:rPr>
      </w:pPr>
      <w:r w:rsidRPr="0032494C">
        <w:rPr>
          <w:rFonts w:cs="Calibri" w:eastAsiaTheme="minorHAnsi"/>
          <w:color w:val="000000" w:themeColor="text1"/>
          <w:lang w:bidi="en-US"/>
        </w:rPr>
        <w:t>EQ3: How do hub leaders, key partners, and collaborating organizations reach families with informal learning opportunities, especially those not currently using museums and libraries? What are the barriers for accessing museums and libraries?</w:t>
      </w:r>
      <w:r w:rsidRPr="0032494C" w:rsidR="00AF47CA">
        <w:rPr>
          <w:rFonts w:cs="Calibri" w:eastAsiaTheme="minorHAnsi"/>
          <w:color w:val="000000" w:themeColor="text1"/>
          <w:lang w:bidi="en-US"/>
        </w:rPr>
        <w:t xml:space="preserve"> (Goal </w:t>
      </w:r>
      <w:r w:rsidRPr="0032494C" w:rsidR="0018493C">
        <w:rPr>
          <w:rFonts w:cs="Calibri" w:eastAsiaTheme="minorHAnsi"/>
          <w:color w:val="000000" w:themeColor="text1"/>
          <w:lang w:bidi="en-US"/>
        </w:rPr>
        <w:t>1</w:t>
      </w:r>
      <w:r w:rsidRPr="0032494C" w:rsidR="00AF47CA">
        <w:rPr>
          <w:rFonts w:cs="Calibri" w:eastAsiaTheme="minorHAnsi"/>
          <w:color w:val="000000" w:themeColor="text1"/>
          <w:lang w:bidi="en-US"/>
        </w:rPr>
        <w:t>)</w:t>
      </w:r>
    </w:p>
    <w:p w:rsidRPr="0032494C" w:rsidR="006C7470" w:rsidP="0045640F" w:rsidRDefault="006C7470" w14:paraId="66A05022" w14:textId="79107C61">
      <w:pPr>
        <w:pStyle w:val="ListParagraph"/>
        <w:widowControl w:val="0"/>
        <w:numPr>
          <w:ilvl w:val="0"/>
          <w:numId w:val="1"/>
        </w:numPr>
        <w:autoSpaceDE w:val="0"/>
        <w:autoSpaceDN w:val="0"/>
        <w:spacing w:before="1" w:after="0" w:line="240" w:lineRule="auto"/>
        <w:contextualSpacing w:val="0"/>
        <w:rPr>
          <w:rFonts w:cs="Calibri" w:eastAsiaTheme="minorHAnsi"/>
          <w:color w:val="000000" w:themeColor="text1"/>
          <w:lang w:bidi="en-US"/>
        </w:rPr>
      </w:pPr>
      <w:r w:rsidRPr="0032494C">
        <w:rPr>
          <w:rFonts w:cs="Calibri" w:eastAsiaTheme="minorHAnsi"/>
          <w:color w:val="000000" w:themeColor="text1"/>
          <w:lang w:bidi="en-US"/>
        </w:rPr>
        <w:t xml:space="preserve">EQ4: What strategies and activities do hub leaders, key partners, and collaborating organizations view as </w:t>
      </w:r>
      <w:r w:rsidRPr="0032494C" w:rsidR="0045640F">
        <w:rPr>
          <w:rFonts w:cs="Calibri" w:eastAsiaTheme="minorHAnsi"/>
          <w:color w:val="000000" w:themeColor="text1"/>
          <w:lang w:bidi="en-US"/>
        </w:rPr>
        <w:t>optimal to sustain</w:t>
      </w:r>
      <w:r w:rsidRPr="0032494C" w:rsidR="00DD26ED">
        <w:rPr>
          <w:rFonts w:cs="Calibri" w:eastAsiaTheme="minorHAnsi"/>
          <w:color w:val="000000" w:themeColor="text1"/>
          <w:lang w:bidi="en-US"/>
        </w:rPr>
        <w:t>ing</w:t>
      </w:r>
      <w:r w:rsidRPr="0032494C" w:rsidR="0045640F">
        <w:rPr>
          <w:rFonts w:cs="Calibri" w:eastAsiaTheme="minorHAnsi"/>
          <w:color w:val="000000" w:themeColor="text1"/>
          <w:lang w:bidi="en-US"/>
        </w:rPr>
        <w:t xml:space="preserve"> existing networks and exponentially </w:t>
      </w:r>
      <w:r w:rsidRPr="0032494C">
        <w:rPr>
          <w:rFonts w:cs="Calibri" w:eastAsiaTheme="minorHAnsi"/>
          <w:color w:val="000000" w:themeColor="text1"/>
          <w:lang w:bidi="en-US"/>
        </w:rPr>
        <w:t>grow</w:t>
      </w:r>
      <w:r w:rsidRPr="0032494C" w:rsidR="00DD26ED">
        <w:rPr>
          <w:rFonts w:cs="Calibri" w:eastAsiaTheme="minorHAnsi"/>
          <w:color w:val="000000" w:themeColor="text1"/>
          <w:lang w:bidi="en-US"/>
        </w:rPr>
        <w:t>ing</w:t>
      </w:r>
      <w:r w:rsidRPr="0032494C" w:rsidR="0045640F">
        <w:rPr>
          <w:rFonts w:cs="Calibri" w:eastAsiaTheme="minorHAnsi"/>
          <w:color w:val="000000" w:themeColor="text1"/>
          <w:lang w:bidi="en-US"/>
        </w:rPr>
        <w:t xml:space="preserve"> and adapt</w:t>
      </w:r>
      <w:r w:rsidRPr="0032494C" w:rsidR="00DD26ED">
        <w:rPr>
          <w:rFonts w:cs="Calibri" w:eastAsiaTheme="minorHAnsi"/>
          <w:color w:val="000000" w:themeColor="text1"/>
          <w:lang w:bidi="en-US"/>
        </w:rPr>
        <w:t>ing</w:t>
      </w:r>
      <w:r w:rsidRPr="0032494C">
        <w:rPr>
          <w:rFonts w:cs="Calibri" w:eastAsiaTheme="minorHAnsi"/>
          <w:color w:val="000000" w:themeColor="text1"/>
          <w:lang w:bidi="en-US"/>
        </w:rPr>
        <w:t xml:space="preserve"> the network model </w:t>
      </w:r>
      <w:r w:rsidRPr="0032494C" w:rsidR="0045640F">
        <w:rPr>
          <w:rFonts w:cs="Calibri" w:eastAsiaTheme="minorHAnsi"/>
          <w:color w:val="000000" w:themeColor="text1"/>
          <w:lang w:bidi="en-US"/>
        </w:rPr>
        <w:t>to all 50 states</w:t>
      </w:r>
      <w:r w:rsidRPr="0032494C">
        <w:rPr>
          <w:rFonts w:cs="Calibri" w:eastAsiaTheme="minorHAnsi"/>
          <w:color w:val="000000" w:themeColor="text1"/>
          <w:lang w:bidi="en-US"/>
        </w:rPr>
        <w:t xml:space="preserve">? </w:t>
      </w:r>
      <w:r w:rsidRPr="0032494C" w:rsidR="0045640F">
        <w:rPr>
          <w:rFonts w:cs="Calibri"/>
        </w:rPr>
        <w:t xml:space="preserve">What are some key challenges including internal and external factors that will make it difficult for the current model to sustain and grow? </w:t>
      </w:r>
      <w:r w:rsidRPr="0032494C" w:rsidR="00AF47CA">
        <w:rPr>
          <w:rFonts w:cs="Calibri"/>
        </w:rPr>
        <w:t xml:space="preserve">(Goal </w:t>
      </w:r>
      <w:r w:rsidRPr="0032494C" w:rsidR="0018493C">
        <w:rPr>
          <w:rFonts w:cs="Calibri"/>
        </w:rPr>
        <w:t>1</w:t>
      </w:r>
      <w:r w:rsidRPr="0032494C" w:rsidR="00AF47CA">
        <w:rPr>
          <w:rFonts w:cs="Calibri"/>
        </w:rPr>
        <w:t>)</w:t>
      </w:r>
    </w:p>
    <w:p w:rsidRPr="0032494C" w:rsidR="006C7470" w:rsidP="0045640F" w:rsidRDefault="006C7470" w14:paraId="2F2F23C3" w14:textId="5B067E64">
      <w:pPr>
        <w:pStyle w:val="ListParagraph"/>
        <w:widowControl w:val="0"/>
        <w:numPr>
          <w:ilvl w:val="0"/>
          <w:numId w:val="1"/>
        </w:numPr>
        <w:autoSpaceDE w:val="0"/>
        <w:autoSpaceDN w:val="0"/>
        <w:spacing w:before="1" w:after="0" w:line="240" w:lineRule="auto"/>
        <w:contextualSpacing w:val="0"/>
        <w:rPr>
          <w:rFonts w:cs="Calibri" w:eastAsiaTheme="minorHAnsi"/>
          <w:color w:val="000000" w:themeColor="text1"/>
          <w:lang w:bidi="en-US"/>
        </w:rPr>
      </w:pPr>
      <w:r w:rsidRPr="0032494C">
        <w:rPr>
          <w:rFonts w:cs="Calibri" w:eastAsiaTheme="minorHAnsi"/>
          <w:color w:val="000000" w:themeColor="text1"/>
          <w:lang w:bidi="en-US"/>
        </w:rPr>
        <w:t xml:space="preserve">EQ5: </w:t>
      </w:r>
      <w:r w:rsidR="000F5ADB">
        <w:rPr>
          <w:rFonts w:cs="Calibri" w:eastAsiaTheme="minorHAnsi"/>
          <w:color w:val="000000" w:themeColor="text1"/>
          <w:lang w:bidi="en-US"/>
        </w:rPr>
        <w:t xml:space="preserve">What do </w:t>
      </w:r>
      <w:r w:rsidRPr="0032494C">
        <w:rPr>
          <w:rFonts w:cs="Calibri" w:eastAsiaTheme="minorHAnsi"/>
          <w:color w:val="000000" w:themeColor="text1"/>
          <w:lang w:bidi="en-US"/>
        </w:rPr>
        <w:t xml:space="preserve">hub leaders, key partners, and collaborating organizations </w:t>
      </w:r>
      <w:r w:rsidR="000F5ADB">
        <w:rPr>
          <w:rFonts w:cs="Calibri" w:eastAsiaTheme="minorHAnsi"/>
          <w:color w:val="000000" w:themeColor="text1"/>
          <w:lang w:bidi="en-US"/>
        </w:rPr>
        <w:t xml:space="preserve">view as key factors for school readiness, and what aspects of the network model do they see as supporting their </w:t>
      </w:r>
      <w:r w:rsidRPr="0032494C">
        <w:rPr>
          <w:rFonts w:cs="Calibri" w:eastAsiaTheme="minorHAnsi"/>
          <w:color w:val="000000" w:themeColor="text1"/>
          <w:lang w:bidi="en-US"/>
        </w:rPr>
        <w:t>institution</w:t>
      </w:r>
      <w:r w:rsidR="000F5ADB">
        <w:rPr>
          <w:rFonts w:cs="Calibri" w:eastAsiaTheme="minorHAnsi"/>
          <w:color w:val="000000" w:themeColor="text1"/>
          <w:lang w:bidi="en-US"/>
        </w:rPr>
        <w:t>s’</w:t>
      </w:r>
      <w:r w:rsidRPr="0032494C">
        <w:rPr>
          <w:rFonts w:cs="Calibri" w:eastAsiaTheme="minorHAnsi"/>
          <w:color w:val="000000" w:themeColor="text1"/>
          <w:lang w:bidi="en-US"/>
        </w:rPr>
        <w:t xml:space="preserve"> capacities </w:t>
      </w:r>
      <w:r w:rsidR="000F5ADB">
        <w:rPr>
          <w:rFonts w:cs="Calibri" w:eastAsiaTheme="minorHAnsi"/>
          <w:color w:val="000000" w:themeColor="text1"/>
          <w:lang w:bidi="en-US"/>
        </w:rPr>
        <w:t xml:space="preserve">for </w:t>
      </w:r>
      <w:r w:rsidRPr="0032494C">
        <w:rPr>
          <w:rFonts w:cs="Calibri" w:eastAsiaTheme="minorHAnsi"/>
          <w:color w:val="000000" w:themeColor="text1"/>
          <w:lang w:bidi="en-US"/>
        </w:rPr>
        <w:t>support</w:t>
      </w:r>
      <w:r w:rsidR="000F5ADB">
        <w:rPr>
          <w:rFonts w:cs="Calibri" w:eastAsiaTheme="minorHAnsi"/>
          <w:color w:val="000000" w:themeColor="text1"/>
          <w:lang w:bidi="en-US"/>
        </w:rPr>
        <w:t>ing</w:t>
      </w:r>
      <w:r w:rsidRPr="0032494C">
        <w:rPr>
          <w:rFonts w:cs="Calibri" w:eastAsiaTheme="minorHAnsi"/>
          <w:color w:val="000000" w:themeColor="text1"/>
          <w:lang w:bidi="en-US"/>
        </w:rPr>
        <w:t xml:space="preserve"> school readiness</w:t>
      </w:r>
      <w:r w:rsidR="00917832">
        <w:rPr>
          <w:rFonts w:cs="Calibri" w:eastAsiaTheme="minorHAnsi"/>
          <w:color w:val="000000" w:themeColor="text1"/>
          <w:lang w:bidi="en-US"/>
        </w:rPr>
        <w:t xml:space="preserve">? </w:t>
      </w:r>
      <w:r w:rsidRPr="0032494C" w:rsidR="0045640F">
        <w:rPr>
          <w:rFonts w:cs="Calibri"/>
        </w:rPr>
        <w:t>(Goal 2)</w:t>
      </w:r>
    </w:p>
    <w:p w:rsidRPr="0032494C" w:rsidR="003510B1" w:rsidP="00790779" w:rsidRDefault="006C7470" w14:paraId="23F9DD41" w14:textId="3A44DECF">
      <w:pPr>
        <w:pStyle w:val="ListParagraph"/>
        <w:widowControl w:val="0"/>
        <w:numPr>
          <w:ilvl w:val="0"/>
          <w:numId w:val="1"/>
        </w:numPr>
        <w:autoSpaceDE w:val="0"/>
        <w:autoSpaceDN w:val="0"/>
        <w:spacing w:before="1" w:after="0" w:line="240" w:lineRule="auto"/>
        <w:contextualSpacing w:val="0"/>
        <w:rPr>
          <w:rFonts w:cs="Calibri" w:eastAsiaTheme="minorHAnsi"/>
          <w:color w:val="000000" w:themeColor="text1"/>
          <w:lang w:bidi="en-US"/>
        </w:rPr>
      </w:pPr>
      <w:r w:rsidRPr="0032494C">
        <w:rPr>
          <w:rFonts w:cs="Calibri" w:eastAsiaTheme="minorHAnsi"/>
          <w:color w:val="000000" w:themeColor="text1"/>
          <w:lang w:bidi="en-US"/>
        </w:rPr>
        <w:t>EQ6: In what ways</w:t>
      </w:r>
      <w:r w:rsidRPr="0032494C" w:rsidR="00DD26ED">
        <w:rPr>
          <w:rFonts w:cs="Calibri" w:eastAsiaTheme="minorHAnsi"/>
          <w:color w:val="000000" w:themeColor="text1"/>
          <w:lang w:bidi="en-US"/>
        </w:rPr>
        <w:t>, if any,</w:t>
      </w:r>
      <w:r w:rsidRPr="0032494C">
        <w:rPr>
          <w:rFonts w:cs="Calibri" w:eastAsiaTheme="minorHAnsi"/>
          <w:color w:val="000000" w:themeColor="text1"/>
          <w:lang w:bidi="en-US"/>
        </w:rPr>
        <w:t xml:space="preserve"> do families </w:t>
      </w:r>
      <w:r w:rsidRPr="0032494C" w:rsidR="00EE46BE">
        <w:rPr>
          <w:rFonts w:cs="Calibri" w:eastAsiaTheme="minorHAnsi"/>
          <w:color w:val="000000" w:themeColor="text1"/>
          <w:lang w:bidi="en-US"/>
        </w:rPr>
        <w:t xml:space="preserve">view </w:t>
      </w:r>
      <w:r w:rsidRPr="0032494C" w:rsidR="0045640F">
        <w:rPr>
          <w:rFonts w:cs="Calibri" w:eastAsiaTheme="minorHAnsi"/>
          <w:color w:val="000000" w:themeColor="text1"/>
          <w:lang w:bidi="en-US"/>
        </w:rPr>
        <w:t xml:space="preserve">organizations </w:t>
      </w:r>
      <w:r w:rsidRPr="0032494C" w:rsidR="00EE46BE">
        <w:rPr>
          <w:rFonts w:cs="Calibri" w:eastAsiaTheme="minorHAnsi"/>
          <w:color w:val="000000" w:themeColor="text1"/>
          <w:lang w:bidi="en-US"/>
        </w:rPr>
        <w:t>with</w:t>
      </w:r>
      <w:r w:rsidRPr="0032494C" w:rsidR="0045640F">
        <w:rPr>
          <w:rFonts w:cs="Calibri" w:eastAsiaTheme="minorHAnsi"/>
          <w:color w:val="000000" w:themeColor="text1"/>
          <w:lang w:bidi="en-US"/>
        </w:rPr>
        <w:t xml:space="preserve">in state networks </w:t>
      </w:r>
      <w:r w:rsidRPr="0032494C">
        <w:rPr>
          <w:rFonts w:cs="Calibri" w:eastAsiaTheme="minorHAnsi"/>
          <w:color w:val="000000" w:themeColor="text1"/>
          <w:lang w:bidi="en-US"/>
        </w:rPr>
        <w:t xml:space="preserve">as supporting </w:t>
      </w:r>
      <w:r w:rsidRPr="0032494C" w:rsidR="000419AF">
        <w:rPr>
          <w:rFonts w:cs="Calibri" w:eastAsiaTheme="minorHAnsi"/>
          <w:color w:val="000000" w:themeColor="text1"/>
          <w:lang w:bidi="en-US"/>
        </w:rPr>
        <w:t xml:space="preserve">their </w:t>
      </w:r>
      <w:r w:rsidRPr="0032494C" w:rsidR="0045640F">
        <w:rPr>
          <w:rFonts w:cs="Calibri" w:eastAsiaTheme="minorHAnsi"/>
          <w:color w:val="000000" w:themeColor="text1"/>
          <w:lang w:bidi="en-US"/>
        </w:rPr>
        <w:t xml:space="preserve">young </w:t>
      </w:r>
      <w:r w:rsidRPr="0032494C">
        <w:rPr>
          <w:rFonts w:cs="Calibri" w:eastAsiaTheme="minorHAnsi"/>
          <w:color w:val="000000" w:themeColor="text1"/>
          <w:lang w:bidi="en-US"/>
        </w:rPr>
        <w:t xml:space="preserve">children's </w:t>
      </w:r>
      <w:r w:rsidRPr="0032494C" w:rsidR="000419AF">
        <w:rPr>
          <w:rFonts w:cs="Calibri" w:eastAsiaTheme="minorHAnsi"/>
          <w:color w:val="000000" w:themeColor="text1"/>
          <w:lang w:bidi="en-US"/>
        </w:rPr>
        <w:t xml:space="preserve">school </w:t>
      </w:r>
      <w:r w:rsidRPr="0032494C">
        <w:rPr>
          <w:rFonts w:cs="Calibri" w:eastAsiaTheme="minorHAnsi"/>
          <w:color w:val="000000" w:themeColor="text1"/>
          <w:lang w:bidi="en-US"/>
        </w:rPr>
        <w:t>readiness?</w:t>
      </w:r>
      <w:r w:rsidRPr="0032494C">
        <w:rPr>
          <w:rFonts w:cs="Calibri"/>
        </w:rPr>
        <w:t xml:space="preserve"> </w:t>
      </w:r>
      <w:r w:rsidRPr="0032494C" w:rsidR="000419AF">
        <w:rPr>
          <w:rFonts w:cs="Calibri"/>
        </w:rPr>
        <w:t xml:space="preserve"> </w:t>
      </w:r>
      <w:r w:rsidRPr="0032494C" w:rsidR="0045640F">
        <w:rPr>
          <w:rFonts w:cs="Calibri"/>
        </w:rPr>
        <w:t>(Goal 2)</w:t>
      </w:r>
    </w:p>
    <w:p w:rsidRPr="00766656" w:rsidR="008F225B" w:rsidP="00766656" w:rsidRDefault="00AF47CA" w14:paraId="1D1B1738" w14:textId="7F2484E3">
      <w:pPr>
        <w:pStyle w:val="ListParagraph"/>
        <w:widowControl w:val="0"/>
        <w:numPr>
          <w:ilvl w:val="0"/>
          <w:numId w:val="1"/>
        </w:numPr>
        <w:autoSpaceDE w:val="0"/>
        <w:autoSpaceDN w:val="0"/>
        <w:spacing w:before="1" w:after="0" w:line="240" w:lineRule="auto"/>
        <w:contextualSpacing w:val="0"/>
        <w:rPr>
          <w:lang w:bidi="en-US"/>
        </w:rPr>
      </w:pPr>
      <w:r w:rsidRPr="005C7B6A">
        <w:rPr>
          <w:rFonts w:cs="Calibri" w:eastAsiaTheme="minorHAnsi"/>
          <w:color w:val="000000" w:themeColor="text1"/>
          <w:lang w:bidi="en-US"/>
        </w:rPr>
        <w:t>EQ7. To what extent is the project on schedule and are activities being implemented as intended? (Goal 3)</w:t>
      </w:r>
    </w:p>
    <w:p w:rsidR="008F225B" w:rsidP="008F225B" w:rsidRDefault="008F225B" w14:paraId="57364AF8" w14:textId="58E7004E">
      <w:pPr>
        <w:pStyle w:val="ListParagraph"/>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before="1" w:after="0" w:line="240" w:lineRule="auto"/>
        <w:contextualSpacing w:val="0"/>
        <w:rPr>
          <w:rFonts w:cs="Calibri"/>
        </w:rPr>
      </w:pPr>
    </w:p>
    <w:p w:rsidRPr="00E8221C" w:rsidR="006C7470" w:rsidP="00766656" w:rsidRDefault="006C7470" w14:paraId="5BBDE965" w14:textId="7DB9A6E4">
      <w:pPr>
        <w:pStyle w:val="ListParagraph"/>
        <w:widowControl w:val="0"/>
        <w:autoSpaceDE w:val="0"/>
        <w:autoSpaceDN w:val="0"/>
        <w:spacing w:before="1" w:after="0" w:line="240" w:lineRule="auto"/>
        <w:ind w:left="0"/>
        <w:contextualSpacing w:val="0"/>
        <w:rPr>
          <w:color w:val="000000" w:themeColor="text1"/>
        </w:rPr>
      </w:pPr>
      <w:r w:rsidRPr="00E8221C">
        <w:rPr>
          <w:rFonts w:eastAsia="Avenir"/>
          <w:color w:val="000000" w:themeColor="text1"/>
        </w:rPr>
        <w:t xml:space="preserve">To address these questions EDC will use a mixed-methods design, pairing quantitative survey data with qualitative interview data. </w:t>
      </w:r>
      <w:r w:rsidRPr="00E8221C">
        <w:rPr>
          <w:color w:val="000000" w:themeColor="text1"/>
        </w:rPr>
        <w:t xml:space="preserve">We summarize data collection methods in </w:t>
      </w:r>
      <w:r w:rsidRPr="00E8221C" w:rsidR="00954779">
        <w:rPr>
          <w:color w:val="000000" w:themeColor="text1"/>
        </w:rPr>
        <w:fldChar w:fldCharType="begin"/>
      </w:r>
      <w:r w:rsidRPr="00E8221C" w:rsidR="00954779">
        <w:rPr>
          <w:color w:val="000000" w:themeColor="text1"/>
        </w:rPr>
        <w:instrText xml:space="preserve"> REF _Ref36112828 \h </w:instrText>
      </w:r>
      <w:r w:rsidRPr="00E8221C" w:rsidR="006C43DC">
        <w:rPr>
          <w:color w:val="000000" w:themeColor="text1"/>
        </w:rPr>
        <w:instrText xml:space="preserve"> \* MERGEFORMAT </w:instrText>
      </w:r>
      <w:r w:rsidRPr="00E8221C" w:rsidR="00954779">
        <w:rPr>
          <w:color w:val="000000" w:themeColor="text1"/>
        </w:rPr>
      </w:r>
      <w:r w:rsidRPr="00E8221C" w:rsidR="00954779">
        <w:rPr>
          <w:color w:val="000000" w:themeColor="text1"/>
        </w:rPr>
        <w:fldChar w:fldCharType="separate"/>
      </w:r>
      <w:r w:rsidRPr="00766656" w:rsidR="008F225B">
        <w:rPr>
          <w:color w:val="000000" w:themeColor="text1"/>
        </w:rPr>
        <w:t xml:space="preserve">Table </w:t>
      </w:r>
      <w:r w:rsidRPr="00766656" w:rsidR="008F225B">
        <w:rPr>
          <w:noProof/>
          <w:color w:val="000000" w:themeColor="text1"/>
        </w:rPr>
        <w:t>2</w:t>
      </w:r>
      <w:r w:rsidRPr="00E8221C" w:rsidR="00954779">
        <w:rPr>
          <w:color w:val="000000" w:themeColor="text1"/>
        </w:rPr>
        <w:fldChar w:fldCharType="end"/>
      </w:r>
      <w:r w:rsidRPr="00E8221C">
        <w:rPr>
          <w:color w:val="000000" w:themeColor="text1"/>
        </w:rPr>
        <w:t xml:space="preserve">. </w:t>
      </w:r>
      <w:r w:rsidRPr="00E8221C" w:rsidR="00516F68">
        <w:rPr>
          <w:color w:val="000000" w:themeColor="text1"/>
        </w:rPr>
        <w:t xml:space="preserve">In addition to the data collection activities in </w:t>
      </w:r>
      <w:r w:rsidRPr="00E8221C" w:rsidR="00954779">
        <w:rPr>
          <w:color w:val="000000" w:themeColor="text1"/>
        </w:rPr>
        <w:fldChar w:fldCharType="begin"/>
      </w:r>
      <w:r w:rsidRPr="00E8221C" w:rsidR="00954779">
        <w:rPr>
          <w:color w:val="000000" w:themeColor="text1"/>
        </w:rPr>
        <w:instrText xml:space="preserve"> REF _Ref36112828 \h </w:instrText>
      </w:r>
      <w:r w:rsidRPr="00E8221C" w:rsidR="006C43DC">
        <w:rPr>
          <w:color w:val="000000" w:themeColor="text1"/>
        </w:rPr>
        <w:instrText xml:space="preserve"> \* MERGEFORMAT </w:instrText>
      </w:r>
      <w:r w:rsidRPr="00E8221C" w:rsidR="00954779">
        <w:rPr>
          <w:color w:val="000000" w:themeColor="text1"/>
        </w:rPr>
      </w:r>
      <w:r w:rsidRPr="00E8221C" w:rsidR="00954779">
        <w:rPr>
          <w:color w:val="000000" w:themeColor="text1"/>
        </w:rPr>
        <w:fldChar w:fldCharType="separate"/>
      </w:r>
      <w:r w:rsidRPr="00766656" w:rsidR="008F225B">
        <w:rPr>
          <w:color w:val="000000" w:themeColor="text1"/>
        </w:rPr>
        <w:t xml:space="preserve">Table </w:t>
      </w:r>
      <w:r w:rsidRPr="00766656" w:rsidR="008F225B">
        <w:rPr>
          <w:noProof/>
          <w:color w:val="000000" w:themeColor="text1"/>
        </w:rPr>
        <w:t>2</w:t>
      </w:r>
      <w:r w:rsidRPr="00E8221C" w:rsidR="00954779">
        <w:rPr>
          <w:color w:val="000000" w:themeColor="text1"/>
        </w:rPr>
        <w:fldChar w:fldCharType="end"/>
      </w:r>
      <w:r w:rsidRPr="00E8221C" w:rsidR="00516F68">
        <w:rPr>
          <w:color w:val="000000" w:themeColor="text1"/>
        </w:rPr>
        <w:t xml:space="preserve">, EDC will </w:t>
      </w:r>
      <w:r w:rsidRPr="00E8221C" w:rsidR="00AE61DD">
        <w:rPr>
          <w:color w:val="000000" w:themeColor="text1"/>
        </w:rPr>
        <w:t xml:space="preserve">address EQ7 by </w:t>
      </w:r>
      <w:r w:rsidRPr="00E8221C" w:rsidR="00516F68">
        <w:rPr>
          <w:color w:val="000000" w:themeColor="text1"/>
        </w:rPr>
        <w:t>document</w:t>
      </w:r>
      <w:r w:rsidRPr="00E8221C" w:rsidR="00AE61DD">
        <w:rPr>
          <w:color w:val="000000" w:themeColor="text1"/>
        </w:rPr>
        <w:t>ing</w:t>
      </w:r>
      <w:r w:rsidRPr="00E8221C" w:rsidR="00516F68">
        <w:rPr>
          <w:color w:val="000000" w:themeColor="text1"/>
        </w:rPr>
        <w:t xml:space="preserve"> BCM’s progress in carrying out the project activities. </w:t>
      </w:r>
      <w:r w:rsidRPr="00E8221C" w:rsidR="00825F57">
        <w:rPr>
          <w:color w:val="000000" w:themeColor="text1"/>
        </w:rPr>
        <w:t xml:space="preserve">Note that there are no data collection activities associated with EQ7; rather, EDC will address this evaluation question through updates from BCM via email </w:t>
      </w:r>
      <w:r w:rsidRPr="00E8221C" w:rsidR="00FF777C">
        <w:rPr>
          <w:color w:val="000000" w:themeColor="text1"/>
        </w:rPr>
        <w:t xml:space="preserve">correspondence </w:t>
      </w:r>
      <w:r w:rsidRPr="00E8221C" w:rsidR="00825F57">
        <w:rPr>
          <w:color w:val="000000" w:themeColor="text1"/>
        </w:rPr>
        <w:t xml:space="preserve">and status meetings. </w:t>
      </w:r>
    </w:p>
    <w:p w:rsidRPr="0032494C" w:rsidR="00E900C4" w:rsidP="006C7470" w:rsidRDefault="00E900C4" w14:paraId="395AF511"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rPr>
      </w:pPr>
    </w:p>
    <w:p w:rsidRPr="0032494C" w:rsidR="006C7470" w:rsidP="006C7470" w:rsidRDefault="006C7470" w14:paraId="32C00E74" w14:textId="22B89486">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bookmarkStart w:name="_Ref36112828" w:id="0"/>
      <w:r w:rsidRPr="0032494C">
        <w:rPr>
          <w:rFonts w:ascii="Calibri" w:hAnsi="Calibri" w:cs="Calibri"/>
          <w:b/>
          <w:sz w:val="22"/>
          <w:szCs w:val="22"/>
        </w:rPr>
        <w:t xml:space="preserve">Table </w:t>
      </w:r>
      <w:r w:rsidRPr="0032494C">
        <w:rPr>
          <w:rFonts w:ascii="Calibri" w:hAnsi="Calibri" w:cs="Calibri"/>
          <w:b/>
          <w:sz w:val="22"/>
          <w:szCs w:val="22"/>
        </w:rPr>
        <w:fldChar w:fldCharType="begin"/>
      </w:r>
      <w:r w:rsidRPr="0032494C">
        <w:rPr>
          <w:rFonts w:ascii="Calibri" w:hAnsi="Calibri" w:cs="Calibri"/>
          <w:b/>
          <w:sz w:val="22"/>
          <w:szCs w:val="22"/>
        </w:rPr>
        <w:instrText xml:space="preserve"> SEQ Table \* ARABIC </w:instrText>
      </w:r>
      <w:r w:rsidRPr="0032494C">
        <w:rPr>
          <w:rFonts w:ascii="Calibri" w:hAnsi="Calibri" w:cs="Calibri"/>
          <w:b/>
          <w:sz w:val="22"/>
          <w:szCs w:val="22"/>
        </w:rPr>
        <w:fldChar w:fldCharType="separate"/>
      </w:r>
      <w:r w:rsidR="008F225B">
        <w:rPr>
          <w:rFonts w:ascii="Calibri" w:hAnsi="Calibri" w:cs="Calibri"/>
          <w:b/>
          <w:noProof/>
          <w:sz w:val="22"/>
          <w:szCs w:val="22"/>
        </w:rPr>
        <w:t>2</w:t>
      </w:r>
      <w:r w:rsidRPr="0032494C">
        <w:rPr>
          <w:rFonts w:ascii="Calibri" w:hAnsi="Calibri" w:cs="Calibri"/>
          <w:b/>
          <w:sz w:val="22"/>
          <w:szCs w:val="22"/>
        </w:rPr>
        <w:fldChar w:fldCharType="end"/>
      </w:r>
      <w:bookmarkEnd w:id="0"/>
      <w:r w:rsidRPr="0032494C">
        <w:rPr>
          <w:rFonts w:ascii="Calibri" w:hAnsi="Calibri" w:cs="Calibri"/>
          <w:b/>
          <w:sz w:val="22"/>
          <w:szCs w:val="22"/>
        </w:rPr>
        <w:t>. Summary of Data Collection Activities</w:t>
      </w:r>
    </w:p>
    <w:tbl>
      <w:tblPr>
        <w:tblStyle w:val="TableGrid"/>
        <w:tblW w:w="9715" w:type="dxa"/>
        <w:tblLook w:val="04A0" w:firstRow="1" w:lastRow="0" w:firstColumn="1" w:lastColumn="0" w:noHBand="0" w:noVBand="1"/>
      </w:tblPr>
      <w:tblGrid>
        <w:gridCol w:w="988"/>
        <w:gridCol w:w="1678"/>
        <w:gridCol w:w="934"/>
        <w:gridCol w:w="3415"/>
        <w:gridCol w:w="1350"/>
        <w:gridCol w:w="1350"/>
      </w:tblGrid>
      <w:tr w:rsidRPr="0032494C" w:rsidR="006C7470" w:rsidTr="00516F68" w14:paraId="6A6B7E64" w14:textId="77777777">
        <w:trPr>
          <w:trHeight w:val="512"/>
        </w:trPr>
        <w:tc>
          <w:tcPr>
            <w:tcW w:w="988" w:type="dxa"/>
            <w:shd w:val="clear" w:color="auto" w:fill="767171" w:themeFill="background2" w:themeFillShade="80"/>
            <w:vAlign w:val="bottom"/>
          </w:tcPr>
          <w:p w:rsidRPr="0032494C" w:rsidR="006C7470" w:rsidP="009007F4" w:rsidRDefault="00B05317" w14:paraId="0CF7543B" w14:textId="25FFD5FD">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FFFFFF" w:themeColor="background1"/>
                <w:sz w:val="20"/>
                <w:szCs w:val="20"/>
              </w:rPr>
            </w:pPr>
            <w:r w:rsidRPr="0032494C">
              <w:rPr>
                <w:rFonts w:ascii="Calibri" w:hAnsi="Calibri" w:cs="Calibri"/>
                <w:color w:val="FFFFFF" w:themeColor="background1"/>
                <w:sz w:val="20"/>
                <w:szCs w:val="20"/>
              </w:rPr>
              <w:t>Method</w:t>
            </w:r>
          </w:p>
        </w:tc>
        <w:tc>
          <w:tcPr>
            <w:tcW w:w="1678" w:type="dxa"/>
            <w:shd w:val="clear" w:color="auto" w:fill="767171" w:themeFill="background2" w:themeFillShade="80"/>
            <w:vAlign w:val="bottom"/>
          </w:tcPr>
          <w:p w:rsidRPr="0032494C" w:rsidR="006C7470" w:rsidP="009007F4" w:rsidRDefault="006C7470" w14:paraId="076717FB"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FFFFFF" w:themeColor="background1"/>
                <w:sz w:val="20"/>
                <w:szCs w:val="20"/>
              </w:rPr>
            </w:pPr>
            <w:r w:rsidRPr="0032494C">
              <w:rPr>
                <w:rFonts w:ascii="Calibri" w:hAnsi="Calibri" w:cs="Calibri"/>
                <w:color w:val="FFFFFF" w:themeColor="background1"/>
                <w:sz w:val="20"/>
                <w:szCs w:val="20"/>
              </w:rPr>
              <w:t>Collection method</w:t>
            </w:r>
          </w:p>
        </w:tc>
        <w:tc>
          <w:tcPr>
            <w:tcW w:w="934" w:type="dxa"/>
            <w:shd w:val="clear" w:color="auto" w:fill="767171" w:themeFill="background2" w:themeFillShade="80"/>
            <w:vAlign w:val="bottom"/>
          </w:tcPr>
          <w:p w:rsidRPr="0032494C" w:rsidR="006C7470" w:rsidP="009007F4" w:rsidRDefault="006C7470" w14:paraId="190FA2AC"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FFFFFF" w:themeColor="background1"/>
                <w:sz w:val="20"/>
                <w:szCs w:val="20"/>
              </w:rPr>
            </w:pPr>
            <w:r w:rsidRPr="0032494C">
              <w:rPr>
                <w:rFonts w:ascii="Calibri" w:hAnsi="Calibri" w:cs="Calibri"/>
                <w:color w:val="FFFFFF" w:themeColor="background1"/>
                <w:sz w:val="20"/>
                <w:szCs w:val="20"/>
              </w:rPr>
              <w:t>Timeline</w:t>
            </w:r>
          </w:p>
        </w:tc>
        <w:tc>
          <w:tcPr>
            <w:tcW w:w="3415" w:type="dxa"/>
            <w:shd w:val="clear" w:color="auto" w:fill="767171" w:themeFill="background2" w:themeFillShade="80"/>
            <w:vAlign w:val="bottom"/>
          </w:tcPr>
          <w:p w:rsidRPr="0032494C" w:rsidR="006C7470" w:rsidP="009007F4" w:rsidRDefault="006C7470" w14:paraId="07E05397" w14:textId="4DF43F41">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FFFFFF" w:themeColor="background1"/>
                <w:sz w:val="20"/>
                <w:szCs w:val="20"/>
              </w:rPr>
            </w:pPr>
            <w:r w:rsidRPr="0032494C">
              <w:rPr>
                <w:rFonts w:ascii="Calibri" w:hAnsi="Calibri" w:cs="Calibri"/>
                <w:color w:val="FFFFFF" w:themeColor="background1"/>
                <w:sz w:val="20"/>
                <w:szCs w:val="20"/>
              </w:rPr>
              <w:t>Participant</w:t>
            </w:r>
            <w:r w:rsidRPr="0032494C" w:rsidR="00B05317">
              <w:rPr>
                <w:rFonts w:ascii="Calibri" w:hAnsi="Calibri" w:cs="Calibri"/>
                <w:color w:val="FFFFFF" w:themeColor="background1"/>
                <w:sz w:val="20"/>
                <w:szCs w:val="20"/>
              </w:rPr>
              <w:t xml:space="preserve"> Group(s)</w:t>
            </w:r>
          </w:p>
        </w:tc>
        <w:tc>
          <w:tcPr>
            <w:tcW w:w="1350" w:type="dxa"/>
            <w:shd w:val="clear" w:color="auto" w:fill="767171" w:themeFill="background2" w:themeFillShade="80"/>
            <w:vAlign w:val="bottom"/>
          </w:tcPr>
          <w:p w:rsidRPr="0032494C" w:rsidR="006C7470" w:rsidP="009007F4" w:rsidRDefault="006C7470" w14:paraId="43F376B0"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FFFFFF" w:themeColor="background1"/>
                <w:sz w:val="20"/>
                <w:szCs w:val="20"/>
              </w:rPr>
            </w:pPr>
            <w:r w:rsidRPr="0032494C">
              <w:rPr>
                <w:rFonts w:ascii="Calibri" w:hAnsi="Calibri" w:cs="Calibri"/>
                <w:color w:val="FFFFFF" w:themeColor="background1"/>
                <w:sz w:val="20"/>
                <w:szCs w:val="20"/>
              </w:rPr>
              <w:t>Sample</w:t>
            </w:r>
          </w:p>
        </w:tc>
        <w:tc>
          <w:tcPr>
            <w:tcW w:w="1350" w:type="dxa"/>
            <w:shd w:val="clear" w:color="auto" w:fill="767171" w:themeFill="background2" w:themeFillShade="80"/>
            <w:vAlign w:val="bottom"/>
          </w:tcPr>
          <w:p w:rsidRPr="0032494C" w:rsidR="006C7470" w:rsidP="009007F4" w:rsidRDefault="006C7470" w14:paraId="6E1D0591" w14:textId="62826450">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FFFFFF" w:themeColor="background1"/>
                <w:sz w:val="20"/>
                <w:szCs w:val="20"/>
              </w:rPr>
            </w:pPr>
            <w:r w:rsidRPr="0032494C">
              <w:rPr>
                <w:rFonts w:ascii="Calibri" w:hAnsi="Calibri" w:cs="Calibri"/>
                <w:color w:val="FFFFFF" w:themeColor="background1"/>
                <w:sz w:val="20"/>
                <w:szCs w:val="20"/>
              </w:rPr>
              <w:t>Evaluation Question</w:t>
            </w:r>
          </w:p>
        </w:tc>
      </w:tr>
      <w:tr w:rsidRPr="0032494C" w:rsidR="00780787" w:rsidTr="00516F68" w14:paraId="54493CD5" w14:textId="77777777">
        <w:trPr>
          <w:trHeight w:val="602"/>
        </w:trPr>
        <w:tc>
          <w:tcPr>
            <w:tcW w:w="988" w:type="dxa"/>
            <w:vAlign w:val="center"/>
          </w:tcPr>
          <w:p w:rsidRPr="0032494C" w:rsidR="00780787" w:rsidP="009007F4" w:rsidRDefault="00780787" w14:paraId="06D49914" w14:textId="5226F1FF">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Document review</w:t>
            </w:r>
          </w:p>
        </w:tc>
        <w:tc>
          <w:tcPr>
            <w:tcW w:w="1678" w:type="dxa"/>
            <w:vAlign w:val="center"/>
          </w:tcPr>
          <w:p w:rsidRPr="0032494C" w:rsidR="00780787" w:rsidP="009007F4" w:rsidRDefault="00780787" w14:paraId="250137C9" w14:textId="1BB9A96A">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 xml:space="preserve">Review of reports and documentation from previous </w:t>
            </w:r>
            <w:r w:rsidRPr="0032494C" w:rsidR="00B00373">
              <w:rPr>
                <w:rFonts w:ascii="Calibri" w:hAnsi="Calibri" w:cs="Calibri"/>
                <w:sz w:val="18"/>
                <w:szCs w:val="18"/>
              </w:rPr>
              <w:t>grants that funded existing network model</w:t>
            </w:r>
          </w:p>
        </w:tc>
        <w:tc>
          <w:tcPr>
            <w:tcW w:w="934" w:type="dxa"/>
            <w:vAlign w:val="center"/>
          </w:tcPr>
          <w:p w:rsidRPr="0032494C" w:rsidR="00780787" w:rsidP="009007F4" w:rsidRDefault="00780787" w14:paraId="3AC5D13E" w14:textId="621C4365">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Year 1</w:t>
            </w:r>
          </w:p>
        </w:tc>
        <w:tc>
          <w:tcPr>
            <w:tcW w:w="3415" w:type="dxa"/>
            <w:vAlign w:val="center"/>
          </w:tcPr>
          <w:p w:rsidRPr="0032494C" w:rsidR="00780787" w:rsidP="009007F4" w:rsidRDefault="00780787" w14:paraId="51F90C57" w14:textId="760382E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n/a</w:t>
            </w:r>
          </w:p>
        </w:tc>
        <w:tc>
          <w:tcPr>
            <w:tcW w:w="1350" w:type="dxa"/>
            <w:vAlign w:val="center"/>
          </w:tcPr>
          <w:p w:rsidRPr="0032494C" w:rsidR="00780787" w:rsidP="009007F4" w:rsidRDefault="00780787" w14:paraId="5A5B571F" w14:textId="2DF59D43">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n/a</w:t>
            </w:r>
          </w:p>
        </w:tc>
        <w:tc>
          <w:tcPr>
            <w:tcW w:w="1350" w:type="dxa"/>
            <w:vAlign w:val="center"/>
          </w:tcPr>
          <w:p w:rsidRPr="0032494C" w:rsidR="00780787" w:rsidP="009007F4" w:rsidRDefault="00780787" w14:paraId="7D2A2137" w14:textId="2CEF713A">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EQ1</w:t>
            </w:r>
          </w:p>
        </w:tc>
      </w:tr>
      <w:tr w:rsidRPr="0032494C" w:rsidR="006C7470" w:rsidTr="00516F68" w14:paraId="30ED3C4B" w14:textId="77777777">
        <w:trPr>
          <w:trHeight w:val="602"/>
        </w:trPr>
        <w:tc>
          <w:tcPr>
            <w:tcW w:w="988" w:type="dxa"/>
            <w:vAlign w:val="center"/>
          </w:tcPr>
          <w:p w:rsidRPr="0032494C" w:rsidR="006C7470" w:rsidP="009007F4" w:rsidRDefault="006C7470" w14:paraId="38DC9FC4"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Interview</w:t>
            </w:r>
          </w:p>
        </w:tc>
        <w:tc>
          <w:tcPr>
            <w:tcW w:w="1678" w:type="dxa"/>
            <w:vAlign w:val="center"/>
          </w:tcPr>
          <w:p w:rsidRPr="0032494C" w:rsidR="006C7470" w:rsidP="009007F4" w:rsidRDefault="006C7470" w14:paraId="02E9E917"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Video conferencing app (e.g., Zoom)</w:t>
            </w:r>
          </w:p>
        </w:tc>
        <w:tc>
          <w:tcPr>
            <w:tcW w:w="934" w:type="dxa"/>
            <w:vAlign w:val="center"/>
          </w:tcPr>
          <w:p w:rsidRPr="0032494C" w:rsidR="006C7470" w:rsidP="009007F4" w:rsidRDefault="006C7470" w14:paraId="629FC463"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Year 1</w:t>
            </w:r>
          </w:p>
        </w:tc>
        <w:tc>
          <w:tcPr>
            <w:tcW w:w="3415" w:type="dxa"/>
            <w:vAlign w:val="center"/>
          </w:tcPr>
          <w:p w:rsidRPr="0032494C" w:rsidR="006C7470" w:rsidP="009007F4" w:rsidRDefault="006C7470" w14:paraId="263DEA2D" w14:textId="69427D0C">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 xml:space="preserve">Staff from </w:t>
            </w:r>
            <w:r w:rsidRPr="0032494C" w:rsidR="00AC3A5E">
              <w:rPr>
                <w:rFonts w:ascii="Calibri" w:hAnsi="Calibri" w:cs="Calibri"/>
                <w:sz w:val="18"/>
                <w:szCs w:val="18"/>
              </w:rPr>
              <w:t>h</w:t>
            </w:r>
            <w:r w:rsidRPr="0032494C">
              <w:rPr>
                <w:rFonts w:ascii="Calibri" w:hAnsi="Calibri" w:cs="Calibri"/>
                <w:sz w:val="18"/>
                <w:szCs w:val="18"/>
              </w:rPr>
              <w:t>ub leader organizations</w:t>
            </w:r>
          </w:p>
        </w:tc>
        <w:tc>
          <w:tcPr>
            <w:tcW w:w="1350" w:type="dxa"/>
            <w:vAlign w:val="center"/>
          </w:tcPr>
          <w:p w:rsidRPr="0032494C" w:rsidR="006C7470" w:rsidP="009007F4" w:rsidRDefault="006C7470" w14:paraId="304D9385"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 xml:space="preserve">3 </w:t>
            </w:r>
          </w:p>
        </w:tc>
        <w:tc>
          <w:tcPr>
            <w:tcW w:w="1350" w:type="dxa"/>
            <w:vAlign w:val="center"/>
          </w:tcPr>
          <w:p w:rsidRPr="0032494C" w:rsidR="006C7470" w:rsidP="009007F4" w:rsidRDefault="006C7470" w14:paraId="2B21209F" w14:textId="0002E49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EQ1, EQ2</w:t>
            </w:r>
            <w:r w:rsidRPr="0032494C" w:rsidR="00ED4AD9">
              <w:rPr>
                <w:rFonts w:ascii="Calibri" w:hAnsi="Calibri" w:cs="Calibri"/>
                <w:sz w:val="18"/>
                <w:szCs w:val="18"/>
              </w:rPr>
              <w:t xml:space="preserve">, </w:t>
            </w:r>
            <w:r w:rsidRPr="0032494C" w:rsidR="00083D69">
              <w:rPr>
                <w:rFonts w:ascii="Calibri" w:hAnsi="Calibri" w:cs="Calibri"/>
                <w:sz w:val="18"/>
                <w:szCs w:val="18"/>
              </w:rPr>
              <w:t xml:space="preserve">EQ3, </w:t>
            </w:r>
            <w:r w:rsidRPr="0032494C" w:rsidR="00ED4AD9">
              <w:rPr>
                <w:rFonts w:ascii="Calibri" w:hAnsi="Calibri" w:cs="Calibri"/>
                <w:sz w:val="18"/>
                <w:szCs w:val="18"/>
              </w:rPr>
              <w:t>EQ4, EQ5</w:t>
            </w:r>
          </w:p>
        </w:tc>
      </w:tr>
      <w:tr w:rsidRPr="0032494C" w:rsidR="006C7470" w:rsidTr="00516F68" w14:paraId="54351357" w14:textId="77777777">
        <w:trPr>
          <w:trHeight w:val="440"/>
        </w:trPr>
        <w:tc>
          <w:tcPr>
            <w:tcW w:w="988" w:type="dxa"/>
            <w:vMerge w:val="restart"/>
            <w:shd w:val="clear" w:color="auto" w:fill="D9D9D9" w:themeFill="background1" w:themeFillShade="D9"/>
            <w:vAlign w:val="center"/>
          </w:tcPr>
          <w:p w:rsidRPr="0032494C" w:rsidR="006C7470" w:rsidP="009007F4" w:rsidRDefault="006C7470" w14:paraId="182EDC7F"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Survey</w:t>
            </w:r>
          </w:p>
        </w:tc>
        <w:tc>
          <w:tcPr>
            <w:tcW w:w="1678" w:type="dxa"/>
            <w:vMerge w:val="restart"/>
            <w:shd w:val="clear" w:color="auto" w:fill="D9D9D9" w:themeFill="background1" w:themeFillShade="D9"/>
            <w:vAlign w:val="center"/>
          </w:tcPr>
          <w:p w:rsidRPr="0032494C" w:rsidR="006C7470" w:rsidP="009007F4" w:rsidRDefault="006C7470" w14:paraId="58CDA00B"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Web-based survey tool (e.g., Qualtrics)</w:t>
            </w:r>
          </w:p>
        </w:tc>
        <w:tc>
          <w:tcPr>
            <w:tcW w:w="934" w:type="dxa"/>
            <w:vMerge w:val="restart"/>
            <w:shd w:val="clear" w:color="auto" w:fill="D9D9D9" w:themeFill="background1" w:themeFillShade="D9"/>
            <w:vAlign w:val="center"/>
          </w:tcPr>
          <w:p w:rsidRPr="0032494C" w:rsidR="006C7470" w:rsidP="009007F4" w:rsidRDefault="006C7470" w14:paraId="6381B0C4"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Year 1</w:t>
            </w:r>
          </w:p>
        </w:tc>
        <w:tc>
          <w:tcPr>
            <w:tcW w:w="3415" w:type="dxa"/>
            <w:shd w:val="clear" w:color="auto" w:fill="D9D9D9" w:themeFill="background1" w:themeFillShade="D9"/>
            <w:vAlign w:val="center"/>
          </w:tcPr>
          <w:p w:rsidRPr="0032494C" w:rsidR="006C7470" w:rsidP="009007F4" w:rsidRDefault="006C7470" w14:paraId="01674931" w14:textId="6B913C8D">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 xml:space="preserve">Staff from </w:t>
            </w:r>
            <w:r w:rsidRPr="0032494C" w:rsidR="00AC3A5E">
              <w:rPr>
                <w:rFonts w:ascii="Calibri" w:hAnsi="Calibri" w:cs="Calibri"/>
                <w:sz w:val="18"/>
                <w:szCs w:val="18"/>
              </w:rPr>
              <w:t>h</w:t>
            </w:r>
            <w:r w:rsidRPr="0032494C">
              <w:rPr>
                <w:rFonts w:ascii="Calibri" w:hAnsi="Calibri" w:cs="Calibri"/>
                <w:sz w:val="18"/>
                <w:szCs w:val="18"/>
              </w:rPr>
              <w:t xml:space="preserve">ub leader organizations </w:t>
            </w:r>
          </w:p>
        </w:tc>
        <w:tc>
          <w:tcPr>
            <w:tcW w:w="1350" w:type="dxa"/>
            <w:shd w:val="clear" w:color="auto" w:fill="D9D9D9" w:themeFill="background1" w:themeFillShade="D9"/>
            <w:vAlign w:val="center"/>
          </w:tcPr>
          <w:p w:rsidRPr="0032494C" w:rsidR="006C7470" w:rsidP="009007F4" w:rsidRDefault="00444A44" w14:paraId="726F852F" w14:textId="461FCA81">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Pr>
                <w:rFonts w:ascii="Calibri" w:hAnsi="Calibri" w:cs="Calibri"/>
                <w:sz w:val="18"/>
                <w:szCs w:val="18"/>
              </w:rPr>
              <w:t>All</w:t>
            </w:r>
            <w:r w:rsidRPr="0032494C">
              <w:rPr>
                <w:rFonts w:ascii="Calibri" w:hAnsi="Calibri" w:cs="Calibri"/>
                <w:sz w:val="18"/>
                <w:szCs w:val="18"/>
              </w:rPr>
              <w:t xml:space="preserve"> </w:t>
            </w:r>
          </w:p>
        </w:tc>
        <w:tc>
          <w:tcPr>
            <w:tcW w:w="1350" w:type="dxa"/>
            <w:vMerge w:val="restart"/>
            <w:shd w:val="clear" w:color="auto" w:fill="D9D9D9" w:themeFill="background1" w:themeFillShade="D9"/>
            <w:vAlign w:val="center"/>
          </w:tcPr>
          <w:p w:rsidRPr="0032494C" w:rsidR="006C7470" w:rsidP="009007F4" w:rsidRDefault="006C7470" w14:paraId="3B55589B"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EQ1, EQ2; EQ5</w:t>
            </w:r>
          </w:p>
        </w:tc>
      </w:tr>
      <w:tr w:rsidRPr="0032494C" w:rsidR="006C7470" w:rsidTr="00516F68" w14:paraId="5E312908" w14:textId="77777777">
        <w:trPr>
          <w:trHeight w:val="440"/>
        </w:trPr>
        <w:tc>
          <w:tcPr>
            <w:tcW w:w="988" w:type="dxa"/>
            <w:vMerge/>
            <w:vAlign w:val="center"/>
          </w:tcPr>
          <w:p w:rsidRPr="0032494C" w:rsidR="006C7470" w:rsidP="009007F4" w:rsidRDefault="006C7470" w14:paraId="1333D310"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c>
          <w:tcPr>
            <w:tcW w:w="1678" w:type="dxa"/>
            <w:vMerge/>
            <w:shd w:val="clear" w:color="auto" w:fill="D9D9D9" w:themeFill="background1" w:themeFillShade="D9"/>
            <w:vAlign w:val="center"/>
          </w:tcPr>
          <w:p w:rsidRPr="0032494C" w:rsidR="006C7470" w:rsidP="009007F4" w:rsidRDefault="006C7470" w14:paraId="4634DA37"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c>
          <w:tcPr>
            <w:tcW w:w="934" w:type="dxa"/>
            <w:vMerge/>
            <w:shd w:val="clear" w:color="auto" w:fill="D9D9D9" w:themeFill="background1" w:themeFillShade="D9"/>
            <w:vAlign w:val="center"/>
          </w:tcPr>
          <w:p w:rsidRPr="0032494C" w:rsidR="006C7470" w:rsidP="009007F4" w:rsidRDefault="006C7470" w14:paraId="74A43BCE"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c>
          <w:tcPr>
            <w:tcW w:w="3415" w:type="dxa"/>
            <w:shd w:val="clear" w:color="auto" w:fill="D9D9D9" w:themeFill="background1" w:themeFillShade="D9"/>
            <w:vAlign w:val="center"/>
          </w:tcPr>
          <w:p w:rsidRPr="0032494C" w:rsidR="006C7470" w:rsidP="009007F4" w:rsidRDefault="006C7470" w14:paraId="5B974725"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Staff from key partner organizations</w:t>
            </w:r>
          </w:p>
        </w:tc>
        <w:tc>
          <w:tcPr>
            <w:tcW w:w="1350" w:type="dxa"/>
            <w:shd w:val="clear" w:color="auto" w:fill="D9D9D9" w:themeFill="background1" w:themeFillShade="D9"/>
            <w:vAlign w:val="center"/>
          </w:tcPr>
          <w:p w:rsidRPr="0032494C" w:rsidR="006C7470" w:rsidP="009007F4" w:rsidRDefault="00444A44" w14:paraId="55913347" w14:textId="4D652680">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Pr>
                <w:rFonts w:ascii="Calibri" w:hAnsi="Calibri" w:cs="Calibri"/>
                <w:sz w:val="18"/>
                <w:szCs w:val="18"/>
              </w:rPr>
              <w:t>All</w:t>
            </w:r>
          </w:p>
        </w:tc>
        <w:tc>
          <w:tcPr>
            <w:tcW w:w="1350" w:type="dxa"/>
            <w:vMerge/>
            <w:vAlign w:val="center"/>
          </w:tcPr>
          <w:p w:rsidRPr="0032494C" w:rsidR="006C7470" w:rsidP="009007F4" w:rsidRDefault="006C7470" w14:paraId="3E6906A8"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r>
      <w:tr w:rsidRPr="0032494C" w:rsidR="006C7470" w:rsidTr="00516F68" w14:paraId="08CA589E" w14:textId="77777777">
        <w:trPr>
          <w:trHeight w:val="674"/>
        </w:trPr>
        <w:tc>
          <w:tcPr>
            <w:tcW w:w="988" w:type="dxa"/>
            <w:vMerge w:val="restart"/>
            <w:vAlign w:val="center"/>
          </w:tcPr>
          <w:p w:rsidRPr="0032494C" w:rsidR="006C7470" w:rsidP="009007F4" w:rsidRDefault="006C7470" w14:paraId="1EFFF51F"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Interview</w:t>
            </w:r>
          </w:p>
        </w:tc>
        <w:tc>
          <w:tcPr>
            <w:tcW w:w="1678" w:type="dxa"/>
            <w:vMerge w:val="restart"/>
            <w:vAlign w:val="center"/>
          </w:tcPr>
          <w:p w:rsidRPr="0032494C" w:rsidR="006C7470" w:rsidP="009007F4" w:rsidRDefault="006C7470" w14:paraId="5C6B583D"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Video conferencing app (e.g., Zoom)</w:t>
            </w:r>
          </w:p>
        </w:tc>
        <w:tc>
          <w:tcPr>
            <w:tcW w:w="934" w:type="dxa"/>
            <w:vMerge w:val="restart"/>
            <w:vAlign w:val="center"/>
          </w:tcPr>
          <w:p w:rsidRPr="0032494C" w:rsidR="006C7470" w:rsidP="009007F4" w:rsidRDefault="006C7470" w14:paraId="1D24FBEC"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Year 2, Year 3</w:t>
            </w:r>
          </w:p>
        </w:tc>
        <w:tc>
          <w:tcPr>
            <w:tcW w:w="3415" w:type="dxa"/>
            <w:vAlign w:val="center"/>
          </w:tcPr>
          <w:p w:rsidRPr="0032494C" w:rsidR="006C7470" w:rsidP="009007F4" w:rsidRDefault="006C7470" w14:paraId="2EE14575" w14:textId="1514CB8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 xml:space="preserve">Staff from </w:t>
            </w:r>
            <w:r w:rsidRPr="0032494C" w:rsidR="00AC3A5E">
              <w:rPr>
                <w:rFonts w:ascii="Calibri" w:hAnsi="Calibri" w:cs="Calibri"/>
                <w:sz w:val="18"/>
                <w:szCs w:val="18"/>
              </w:rPr>
              <w:t>h</w:t>
            </w:r>
            <w:r w:rsidRPr="0032494C">
              <w:rPr>
                <w:rFonts w:ascii="Calibri" w:hAnsi="Calibri" w:cs="Calibri"/>
                <w:sz w:val="18"/>
                <w:szCs w:val="18"/>
              </w:rPr>
              <w:t xml:space="preserve">ub leader organizations </w:t>
            </w:r>
          </w:p>
        </w:tc>
        <w:tc>
          <w:tcPr>
            <w:tcW w:w="1350" w:type="dxa"/>
            <w:vAlign w:val="center"/>
          </w:tcPr>
          <w:p w:rsidRPr="0032494C" w:rsidR="006C7470" w:rsidP="009007F4" w:rsidRDefault="006C7470" w14:paraId="1332603D"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 xml:space="preserve">8 per year; </w:t>
            </w:r>
          </w:p>
          <w:p w:rsidRPr="0032494C" w:rsidR="006C7470" w:rsidP="009007F4" w:rsidRDefault="006C7470" w14:paraId="0EA2C99F"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16 total</w:t>
            </w:r>
          </w:p>
        </w:tc>
        <w:tc>
          <w:tcPr>
            <w:tcW w:w="1350" w:type="dxa"/>
            <w:vMerge w:val="restart"/>
            <w:vAlign w:val="center"/>
          </w:tcPr>
          <w:p w:rsidRPr="0032494C" w:rsidR="006C7470" w:rsidP="009007F4" w:rsidRDefault="006C7470" w14:paraId="161D9ADA"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EQ2, EQ3, EQ4, EQ5</w:t>
            </w:r>
          </w:p>
        </w:tc>
      </w:tr>
      <w:tr w:rsidRPr="0032494C" w:rsidR="006C7470" w:rsidTr="00516F68" w14:paraId="112E8143" w14:textId="77777777">
        <w:trPr>
          <w:trHeight w:val="620"/>
        </w:trPr>
        <w:tc>
          <w:tcPr>
            <w:tcW w:w="988" w:type="dxa"/>
            <w:vMerge/>
            <w:vAlign w:val="center"/>
          </w:tcPr>
          <w:p w:rsidRPr="0032494C" w:rsidR="006C7470" w:rsidP="009007F4" w:rsidRDefault="006C7470" w14:paraId="55B65A72"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c>
          <w:tcPr>
            <w:tcW w:w="1678" w:type="dxa"/>
            <w:vMerge/>
            <w:vAlign w:val="center"/>
          </w:tcPr>
          <w:p w:rsidRPr="0032494C" w:rsidR="006C7470" w:rsidP="009007F4" w:rsidRDefault="006C7470" w14:paraId="4FB8B855"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c>
          <w:tcPr>
            <w:tcW w:w="934" w:type="dxa"/>
            <w:vMerge/>
            <w:vAlign w:val="center"/>
          </w:tcPr>
          <w:p w:rsidRPr="0032494C" w:rsidR="006C7470" w:rsidP="009007F4" w:rsidRDefault="006C7470" w14:paraId="7C846473"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c>
          <w:tcPr>
            <w:tcW w:w="3415" w:type="dxa"/>
            <w:vAlign w:val="center"/>
          </w:tcPr>
          <w:p w:rsidRPr="0032494C" w:rsidR="006C7470" w:rsidP="009007F4" w:rsidRDefault="006C7470" w14:paraId="7E0E8C3B"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Staff from key partner organizations</w:t>
            </w:r>
          </w:p>
        </w:tc>
        <w:tc>
          <w:tcPr>
            <w:tcW w:w="1350" w:type="dxa"/>
            <w:vAlign w:val="center"/>
          </w:tcPr>
          <w:p w:rsidRPr="0032494C" w:rsidR="006C7470" w:rsidP="009007F4" w:rsidRDefault="006C7470" w14:paraId="0F26A866"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 xml:space="preserve">6 per year; </w:t>
            </w:r>
          </w:p>
          <w:p w:rsidRPr="0032494C" w:rsidR="006C7470" w:rsidP="009007F4" w:rsidRDefault="006C7470" w14:paraId="5917195C"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12 total</w:t>
            </w:r>
          </w:p>
        </w:tc>
        <w:tc>
          <w:tcPr>
            <w:tcW w:w="1350" w:type="dxa"/>
            <w:vMerge/>
            <w:vAlign w:val="center"/>
          </w:tcPr>
          <w:p w:rsidRPr="0032494C" w:rsidR="006C7470" w:rsidP="009007F4" w:rsidRDefault="006C7470" w14:paraId="6634C320"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r>
      <w:tr w:rsidRPr="0032494C" w:rsidR="006C7470" w:rsidTr="00516F68" w14:paraId="2C76A06C" w14:textId="77777777">
        <w:trPr>
          <w:trHeight w:val="710"/>
        </w:trPr>
        <w:tc>
          <w:tcPr>
            <w:tcW w:w="988" w:type="dxa"/>
            <w:vMerge/>
            <w:vAlign w:val="center"/>
          </w:tcPr>
          <w:p w:rsidRPr="0032494C" w:rsidR="006C7470" w:rsidP="009007F4" w:rsidRDefault="006C7470" w14:paraId="4021AAA0"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c>
          <w:tcPr>
            <w:tcW w:w="1678" w:type="dxa"/>
            <w:vMerge/>
            <w:vAlign w:val="center"/>
          </w:tcPr>
          <w:p w:rsidRPr="0032494C" w:rsidR="006C7470" w:rsidP="009007F4" w:rsidRDefault="006C7470" w14:paraId="669B9A4F"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c>
          <w:tcPr>
            <w:tcW w:w="934" w:type="dxa"/>
            <w:vMerge/>
            <w:vAlign w:val="center"/>
          </w:tcPr>
          <w:p w:rsidRPr="0032494C" w:rsidR="006C7470" w:rsidP="009007F4" w:rsidRDefault="006C7470" w14:paraId="7A7BAEE6"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c>
          <w:tcPr>
            <w:tcW w:w="3415" w:type="dxa"/>
            <w:vAlign w:val="center"/>
          </w:tcPr>
          <w:p w:rsidRPr="0032494C" w:rsidR="006C7470" w:rsidP="009007F4" w:rsidRDefault="006C7470" w14:paraId="75F1A477"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Staff from collaborating organizations</w:t>
            </w:r>
          </w:p>
        </w:tc>
        <w:tc>
          <w:tcPr>
            <w:tcW w:w="1350" w:type="dxa"/>
            <w:vAlign w:val="center"/>
          </w:tcPr>
          <w:p w:rsidRPr="0032494C" w:rsidR="006C7470" w:rsidP="009007F4" w:rsidRDefault="006C7470" w14:paraId="523F4D42"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 xml:space="preserve">6 per year; </w:t>
            </w:r>
          </w:p>
          <w:p w:rsidRPr="0032494C" w:rsidR="006C7470" w:rsidP="009007F4" w:rsidRDefault="006C7470" w14:paraId="6183C9B2"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12 total</w:t>
            </w:r>
          </w:p>
        </w:tc>
        <w:tc>
          <w:tcPr>
            <w:tcW w:w="1350" w:type="dxa"/>
            <w:vMerge/>
            <w:vAlign w:val="center"/>
          </w:tcPr>
          <w:p w:rsidRPr="0032494C" w:rsidR="006C7470" w:rsidP="009007F4" w:rsidRDefault="006C7470" w14:paraId="17DDA103"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r>
      <w:tr w:rsidRPr="0032494C" w:rsidR="006C7470" w:rsidTr="00516F68" w14:paraId="3B59626C" w14:textId="77777777">
        <w:trPr>
          <w:trHeight w:val="380"/>
        </w:trPr>
        <w:tc>
          <w:tcPr>
            <w:tcW w:w="988" w:type="dxa"/>
            <w:vMerge w:val="restart"/>
            <w:shd w:val="clear" w:color="auto" w:fill="D9D9D9" w:themeFill="background1" w:themeFillShade="D9"/>
            <w:vAlign w:val="center"/>
          </w:tcPr>
          <w:p w:rsidRPr="0032494C" w:rsidR="006C7470" w:rsidP="009007F4" w:rsidRDefault="00444A44" w14:paraId="5DF508C7" w14:textId="11F6DB10">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Pr>
                <w:rFonts w:ascii="Calibri" w:hAnsi="Calibri" w:cs="Calibri"/>
                <w:sz w:val="18"/>
                <w:szCs w:val="18"/>
              </w:rPr>
              <w:t>S</w:t>
            </w:r>
            <w:r w:rsidRPr="0032494C" w:rsidR="006C7470">
              <w:rPr>
                <w:rFonts w:ascii="Calibri" w:hAnsi="Calibri" w:cs="Calibri"/>
                <w:sz w:val="18"/>
                <w:szCs w:val="18"/>
              </w:rPr>
              <w:t>urvey</w:t>
            </w:r>
          </w:p>
        </w:tc>
        <w:tc>
          <w:tcPr>
            <w:tcW w:w="1678" w:type="dxa"/>
            <w:vMerge w:val="restart"/>
            <w:shd w:val="clear" w:color="auto" w:fill="D9D9D9" w:themeFill="background1" w:themeFillShade="D9"/>
            <w:vAlign w:val="center"/>
          </w:tcPr>
          <w:p w:rsidRPr="0032494C" w:rsidR="006C7470" w:rsidP="009007F4" w:rsidRDefault="006C7470" w14:paraId="1C5EA751"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Web-based survey tool (e.g., Qualtrics)</w:t>
            </w:r>
          </w:p>
        </w:tc>
        <w:tc>
          <w:tcPr>
            <w:tcW w:w="934" w:type="dxa"/>
            <w:vMerge w:val="restart"/>
            <w:shd w:val="clear" w:color="auto" w:fill="D9D9D9" w:themeFill="background1" w:themeFillShade="D9"/>
            <w:vAlign w:val="center"/>
          </w:tcPr>
          <w:p w:rsidRPr="0032494C" w:rsidR="006C7470" w:rsidP="009007F4" w:rsidRDefault="006C7470" w14:paraId="76458CEA"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Year 2, Year 3</w:t>
            </w:r>
          </w:p>
        </w:tc>
        <w:tc>
          <w:tcPr>
            <w:tcW w:w="3415" w:type="dxa"/>
            <w:shd w:val="clear" w:color="auto" w:fill="D9D9D9" w:themeFill="background1" w:themeFillShade="D9"/>
            <w:vAlign w:val="center"/>
          </w:tcPr>
          <w:p w:rsidRPr="0032494C" w:rsidR="006C7470" w:rsidP="009007F4" w:rsidRDefault="006C7470" w14:paraId="653BD994" w14:textId="79A548AF">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 xml:space="preserve">Staff from </w:t>
            </w:r>
            <w:r w:rsidRPr="0032494C" w:rsidR="00AC3A5E">
              <w:rPr>
                <w:rFonts w:ascii="Calibri" w:hAnsi="Calibri" w:cs="Calibri"/>
                <w:sz w:val="18"/>
                <w:szCs w:val="18"/>
              </w:rPr>
              <w:t>h</w:t>
            </w:r>
            <w:r w:rsidRPr="0032494C">
              <w:rPr>
                <w:rFonts w:ascii="Calibri" w:hAnsi="Calibri" w:cs="Calibri"/>
                <w:sz w:val="18"/>
                <w:szCs w:val="18"/>
              </w:rPr>
              <w:t xml:space="preserve">ub leader organizations </w:t>
            </w:r>
          </w:p>
        </w:tc>
        <w:tc>
          <w:tcPr>
            <w:tcW w:w="1350" w:type="dxa"/>
            <w:vMerge w:val="restart"/>
            <w:shd w:val="clear" w:color="auto" w:fill="D9D9D9" w:themeFill="background1" w:themeFillShade="D9"/>
            <w:vAlign w:val="center"/>
          </w:tcPr>
          <w:p w:rsidRPr="0032494C" w:rsidR="006C7470" w:rsidP="009007F4" w:rsidRDefault="006C7470" w14:paraId="4416E43F"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~40 per year; 80 total*</w:t>
            </w:r>
          </w:p>
        </w:tc>
        <w:tc>
          <w:tcPr>
            <w:tcW w:w="1350" w:type="dxa"/>
            <w:vMerge w:val="restart"/>
            <w:shd w:val="clear" w:color="auto" w:fill="D9D9D9" w:themeFill="background1" w:themeFillShade="D9"/>
            <w:vAlign w:val="center"/>
          </w:tcPr>
          <w:p w:rsidRPr="0032494C" w:rsidR="006C7470" w:rsidP="009007F4" w:rsidRDefault="006C7470" w14:paraId="3D3F2ACA"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EQ2, EQ5</w:t>
            </w:r>
          </w:p>
        </w:tc>
      </w:tr>
      <w:tr w:rsidRPr="0032494C" w:rsidR="006C7470" w:rsidTr="00516F68" w14:paraId="45ADB47F" w14:textId="77777777">
        <w:trPr>
          <w:trHeight w:val="378"/>
        </w:trPr>
        <w:tc>
          <w:tcPr>
            <w:tcW w:w="988" w:type="dxa"/>
            <w:vMerge/>
            <w:shd w:val="clear" w:color="auto" w:fill="D9D9D9" w:themeFill="background1" w:themeFillShade="D9"/>
            <w:vAlign w:val="center"/>
          </w:tcPr>
          <w:p w:rsidRPr="0032494C" w:rsidR="006C7470" w:rsidP="009007F4" w:rsidRDefault="006C7470" w14:paraId="6F21974F"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c>
          <w:tcPr>
            <w:tcW w:w="1678" w:type="dxa"/>
            <w:vMerge/>
            <w:shd w:val="clear" w:color="auto" w:fill="D9D9D9" w:themeFill="background1" w:themeFillShade="D9"/>
            <w:vAlign w:val="center"/>
          </w:tcPr>
          <w:p w:rsidRPr="0032494C" w:rsidR="006C7470" w:rsidP="009007F4" w:rsidRDefault="006C7470" w14:paraId="76B695E0"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c>
          <w:tcPr>
            <w:tcW w:w="934" w:type="dxa"/>
            <w:vMerge/>
            <w:shd w:val="clear" w:color="auto" w:fill="D9D9D9" w:themeFill="background1" w:themeFillShade="D9"/>
            <w:vAlign w:val="center"/>
          </w:tcPr>
          <w:p w:rsidRPr="0032494C" w:rsidR="006C7470" w:rsidP="009007F4" w:rsidRDefault="006C7470" w14:paraId="55A0AD08"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c>
          <w:tcPr>
            <w:tcW w:w="3415" w:type="dxa"/>
            <w:shd w:val="clear" w:color="auto" w:fill="D9D9D9" w:themeFill="background1" w:themeFillShade="D9"/>
            <w:vAlign w:val="center"/>
          </w:tcPr>
          <w:p w:rsidRPr="0032494C" w:rsidR="006C7470" w:rsidP="009007F4" w:rsidRDefault="006C7470" w14:paraId="101AF316"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Staff from key partner organizations</w:t>
            </w:r>
          </w:p>
        </w:tc>
        <w:tc>
          <w:tcPr>
            <w:tcW w:w="1350" w:type="dxa"/>
            <w:vMerge/>
            <w:shd w:val="clear" w:color="auto" w:fill="D9D9D9" w:themeFill="background1" w:themeFillShade="D9"/>
            <w:vAlign w:val="center"/>
          </w:tcPr>
          <w:p w:rsidRPr="0032494C" w:rsidR="006C7470" w:rsidP="009007F4" w:rsidRDefault="006C7470" w14:paraId="74EC4B09"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c>
          <w:tcPr>
            <w:tcW w:w="1350" w:type="dxa"/>
            <w:vMerge/>
            <w:shd w:val="clear" w:color="auto" w:fill="D9D9D9" w:themeFill="background1" w:themeFillShade="D9"/>
            <w:vAlign w:val="center"/>
          </w:tcPr>
          <w:p w:rsidRPr="0032494C" w:rsidR="006C7470" w:rsidP="009007F4" w:rsidRDefault="006C7470" w14:paraId="28079361"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r>
      <w:tr w:rsidRPr="0032494C" w:rsidR="006C7470" w:rsidTr="00516F68" w14:paraId="7EEB6344" w14:textId="77777777">
        <w:trPr>
          <w:trHeight w:val="378"/>
        </w:trPr>
        <w:tc>
          <w:tcPr>
            <w:tcW w:w="988" w:type="dxa"/>
            <w:vMerge/>
            <w:shd w:val="clear" w:color="auto" w:fill="D9D9D9" w:themeFill="background1" w:themeFillShade="D9"/>
            <w:vAlign w:val="center"/>
          </w:tcPr>
          <w:p w:rsidRPr="0032494C" w:rsidR="006C7470" w:rsidP="009007F4" w:rsidRDefault="006C7470" w14:paraId="33F2582F"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c>
          <w:tcPr>
            <w:tcW w:w="1678" w:type="dxa"/>
            <w:vMerge/>
            <w:shd w:val="clear" w:color="auto" w:fill="D9D9D9" w:themeFill="background1" w:themeFillShade="D9"/>
            <w:vAlign w:val="center"/>
          </w:tcPr>
          <w:p w:rsidRPr="0032494C" w:rsidR="006C7470" w:rsidP="009007F4" w:rsidRDefault="006C7470" w14:paraId="732DDA10"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c>
          <w:tcPr>
            <w:tcW w:w="934" w:type="dxa"/>
            <w:vMerge/>
            <w:shd w:val="clear" w:color="auto" w:fill="D9D9D9" w:themeFill="background1" w:themeFillShade="D9"/>
            <w:vAlign w:val="center"/>
          </w:tcPr>
          <w:p w:rsidRPr="0032494C" w:rsidR="006C7470" w:rsidP="009007F4" w:rsidRDefault="006C7470" w14:paraId="41139398"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c>
          <w:tcPr>
            <w:tcW w:w="3415" w:type="dxa"/>
            <w:shd w:val="clear" w:color="auto" w:fill="D9D9D9" w:themeFill="background1" w:themeFillShade="D9"/>
            <w:vAlign w:val="center"/>
          </w:tcPr>
          <w:p w:rsidRPr="0032494C" w:rsidR="006C7470" w:rsidP="009007F4" w:rsidRDefault="006C7470" w14:paraId="27120AC2"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Staff from collaborating organizations</w:t>
            </w:r>
          </w:p>
        </w:tc>
        <w:tc>
          <w:tcPr>
            <w:tcW w:w="1350" w:type="dxa"/>
            <w:vMerge/>
            <w:shd w:val="clear" w:color="auto" w:fill="D9D9D9" w:themeFill="background1" w:themeFillShade="D9"/>
            <w:vAlign w:val="center"/>
          </w:tcPr>
          <w:p w:rsidRPr="0032494C" w:rsidR="006C7470" w:rsidP="009007F4" w:rsidRDefault="006C7470" w14:paraId="7A337476"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c>
          <w:tcPr>
            <w:tcW w:w="1350" w:type="dxa"/>
            <w:vMerge/>
            <w:shd w:val="clear" w:color="auto" w:fill="D9D9D9" w:themeFill="background1" w:themeFillShade="D9"/>
            <w:vAlign w:val="center"/>
          </w:tcPr>
          <w:p w:rsidRPr="0032494C" w:rsidR="006C7470" w:rsidP="009007F4" w:rsidRDefault="006C7470" w14:paraId="2307D7B8"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tc>
      </w:tr>
      <w:tr w:rsidRPr="0032494C" w:rsidR="006C7470" w:rsidTr="00516F68" w14:paraId="50DF0722" w14:textId="77777777">
        <w:trPr>
          <w:trHeight w:val="638"/>
        </w:trPr>
        <w:tc>
          <w:tcPr>
            <w:tcW w:w="988" w:type="dxa"/>
            <w:shd w:val="clear" w:color="auto" w:fill="auto"/>
            <w:vAlign w:val="center"/>
          </w:tcPr>
          <w:p w:rsidRPr="0032494C" w:rsidR="006C7470" w:rsidP="009007F4" w:rsidRDefault="006C7470" w14:paraId="274C151A"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Focus* group</w:t>
            </w:r>
          </w:p>
        </w:tc>
        <w:tc>
          <w:tcPr>
            <w:tcW w:w="1678" w:type="dxa"/>
            <w:shd w:val="clear" w:color="auto" w:fill="auto"/>
            <w:vAlign w:val="center"/>
          </w:tcPr>
          <w:p w:rsidRPr="0032494C" w:rsidR="006C7470" w:rsidP="009007F4" w:rsidRDefault="006C7470" w14:paraId="2CD2416A"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In-person</w:t>
            </w:r>
          </w:p>
        </w:tc>
        <w:tc>
          <w:tcPr>
            <w:tcW w:w="934" w:type="dxa"/>
            <w:shd w:val="clear" w:color="auto" w:fill="auto"/>
            <w:vAlign w:val="center"/>
          </w:tcPr>
          <w:p w:rsidRPr="0032494C" w:rsidR="006C7470" w:rsidP="009007F4" w:rsidRDefault="006C7470" w14:paraId="1924577A"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Year 2, Year 3</w:t>
            </w:r>
          </w:p>
        </w:tc>
        <w:tc>
          <w:tcPr>
            <w:tcW w:w="3415" w:type="dxa"/>
            <w:shd w:val="clear" w:color="auto" w:fill="auto"/>
            <w:vAlign w:val="center"/>
          </w:tcPr>
          <w:p w:rsidRPr="0032494C" w:rsidR="006C7470" w:rsidP="009007F4" w:rsidRDefault="006C7470" w14:paraId="223CA03D" w14:textId="5E3DC8CD">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 xml:space="preserve">Adult from family participating in </w:t>
            </w:r>
            <w:r w:rsidR="009155F7">
              <w:rPr>
                <w:rFonts w:ascii="Calibri" w:hAnsi="Calibri" w:cs="Calibri"/>
                <w:sz w:val="18"/>
                <w:szCs w:val="18"/>
              </w:rPr>
              <w:t xml:space="preserve">the </w:t>
            </w:r>
            <w:r w:rsidRPr="0032494C">
              <w:rPr>
                <w:rFonts w:ascii="Calibri" w:hAnsi="Calibri" w:cs="Calibri"/>
                <w:sz w:val="18"/>
                <w:szCs w:val="18"/>
              </w:rPr>
              <w:t>SRP through hub</w:t>
            </w:r>
            <w:r w:rsidR="00B4602C">
              <w:rPr>
                <w:rFonts w:ascii="Calibri" w:hAnsi="Calibri" w:cs="Calibri"/>
                <w:sz w:val="18"/>
                <w:szCs w:val="18"/>
              </w:rPr>
              <w:t xml:space="preserve">, </w:t>
            </w:r>
            <w:r w:rsidRPr="0032494C">
              <w:rPr>
                <w:rFonts w:ascii="Calibri" w:hAnsi="Calibri" w:cs="Calibri"/>
                <w:sz w:val="18"/>
                <w:szCs w:val="18"/>
              </w:rPr>
              <w:t>partner</w:t>
            </w:r>
            <w:r w:rsidR="00B4602C">
              <w:rPr>
                <w:rFonts w:ascii="Calibri" w:hAnsi="Calibri" w:cs="Calibri"/>
                <w:sz w:val="18"/>
                <w:szCs w:val="18"/>
              </w:rPr>
              <w:t xml:space="preserve">, and collaborating </w:t>
            </w:r>
            <w:r w:rsidRPr="0032494C">
              <w:rPr>
                <w:rFonts w:ascii="Calibri" w:hAnsi="Calibri" w:cs="Calibri"/>
                <w:sz w:val="18"/>
                <w:szCs w:val="18"/>
              </w:rPr>
              <w:t xml:space="preserve">organizations </w:t>
            </w:r>
          </w:p>
        </w:tc>
        <w:tc>
          <w:tcPr>
            <w:tcW w:w="1350" w:type="dxa"/>
            <w:shd w:val="clear" w:color="auto" w:fill="auto"/>
            <w:vAlign w:val="center"/>
          </w:tcPr>
          <w:p w:rsidRPr="0032494C" w:rsidR="006C7470" w:rsidP="009007F4" w:rsidRDefault="006C7470" w14:paraId="0ADC117D"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 xml:space="preserve"> 240 participants per year; 480 total **</w:t>
            </w:r>
          </w:p>
        </w:tc>
        <w:tc>
          <w:tcPr>
            <w:tcW w:w="1350" w:type="dxa"/>
            <w:shd w:val="clear" w:color="auto" w:fill="auto"/>
            <w:vAlign w:val="center"/>
          </w:tcPr>
          <w:p w:rsidRPr="0032494C" w:rsidR="006C7470" w:rsidP="009007F4" w:rsidRDefault="006C7470" w14:paraId="3797AD45"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EQ6</w:t>
            </w:r>
          </w:p>
        </w:tc>
      </w:tr>
      <w:tr w:rsidRPr="0032494C" w:rsidR="006C7470" w:rsidTr="00516F68" w14:paraId="5F289C86" w14:textId="77777777">
        <w:trPr>
          <w:trHeight w:val="1583"/>
        </w:trPr>
        <w:tc>
          <w:tcPr>
            <w:tcW w:w="9715" w:type="dxa"/>
            <w:gridSpan w:val="6"/>
            <w:shd w:val="clear" w:color="auto" w:fill="auto"/>
            <w:vAlign w:val="center"/>
          </w:tcPr>
          <w:p w:rsidRPr="0032494C" w:rsidR="006C7470" w:rsidP="009007F4" w:rsidRDefault="006C7470" w14:paraId="17217FBE" w14:textId="56446313">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szCs w:val="20"/>
              </w:rPr>
            </w:pPr>
            <w:r w:rsidRPr="0032494C">
              <w:rPr>
                <w:rFonts w:ascii="Calibri" w:hAnsi="Calibri" w:cs="Calibri"/>
                <w:sz w:val="18"/>
                <w:szCs w:val="18"/>
              </w:rPr>
              <w:t xml:space="preserve">*The Year 2 and Year 3 survey will be administered to a representative from each organization participating in the network. We do not yet know the final number of participating </w:t>
            </w:r>
            <w:r w:rsidRPr="0032494C" w:rsidDel="004A1C7E">
              <w:rPr>
                <w:rFonts w:ascii="Calibri" w:hAnsi="Calibri" w:cs="Calibri"/>
                <w:sz w:val="18"/>
                <w:szCs w:val="18"/>
              </w:rPr>
              <w:t>organizations</w:t>
            </w:r>
            <w:r w:rsidRPr="0032494C" w:rsidR="004A1C7E">
              <w:rPr>
                <w:rFonts w:ascii="Calibri" w:hAnsi="Calibri" w:cs="Calibri"/>
                <w:sz w:val="18"/>
                <w:szCs w:val="18"/>
              </w:rPr>
              <w:t xml:space="preserve"> but</w:t>
            </w:r>
            <w:r w:rsidRPr="0032494C">
              <w:rPr>
                <w:rFonts w:ascii="Calibri" w:hAnsi="Calibri" w:cs="Calibri"/>
                <w:sz w:val="18"/>
                <w:szCs w:val="18"/>
              </w:rPr>
              <w:t xml:space="preserve"> estimate it will approximately 40.</w:t>
            </w:r>
          </w:p>
          <w:p w:rsidRPr="0032494C" w:rsidR="006C7470" w:rsidP="009007F4" w:rsidRDefault="006C7470" w14:paraId="7B2E4E12"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szCs w:val="20"/>
              </w:rPr>
            </w:pPr>
          </w:p>
          <w:p w:rsidRPr="0032494C" w:rsidR="006C7470" w:rsidP="009007F4" w:rsidRDefault="006C7470" w14:paraId="3A7615A1" w14:textId="5CA7B4A9">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 xml:space="preserve">**The EDC evaluation team will conduct four focus groups (two in Year 2; two in Year 3). During the Year 2 national meeting, EDC will provide a focus group training to </w:t>
            </w:r>
            <w:r w:rsidRPr="0032494C" w:rsidR="00AC3A5E">
              <w:rPr>
                <w:rFonts w:ascii="Calibri" w:hAnsi="Calibri" w:cs="Calibri"/>
                <w:sz w:val="18"/>
                <w:szCs w:val="18"/>
              </w:rPr>
              <w:t>h</w:t>
            </w:r>
            <w:r w:rsidRPr="0032494C">
              <w:rPr>
                <w:rFonts w:ascii="Calibri" w:hAnsi="Calibri" w:cs="Calibri"/>
                <w:sz w:val="18"/>
                <w:szCs w:val="18"/>
              </w:rPr>
              <w:t>ub and partner organizations, who will conduct their own focus groups. Across six states, we anticipate there will be a total of 30 focus groups per year (60 total), with approximately 8 participants per focus group.</w:t>
            </w:r>
          </w:p>
        </w:tc>
      </w:tr>
    </w:tbl>
    <w:p w:rsidRPr="0032494C" w:rsidR="006C7470" w:rsidP="006C7470" w:rsidRDefault="006C7470" w14:paraId="3409B51F"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rPr>
      </w:pPr>
    </w:p>
    <w:p w:rsidRPr="0032494C" w:rsidR="006C7470" w:rsidP="006C7470" w:rsidRDefault="006C7470" w14:paraId="73762413" w14:textId="3BC8F67D">
      <w:pPr>
        <w:spacing w:after="160"/>
        <w:rPr>
          <w:rFonts w:ascii="Calibri" w:hAnsi="Calibri" w:eastAsia="Avenir" w:cs="Calibri"/>
          <w:sz w:val="22"/>
          <w:szCs w:val="22"/>
        </w:rPr>
      </w:pPr>
      <w:r w:rsidRPr="0032494C">
        <w:rPr>
          <w:rFonts w:ascii="Calibri" w:hAnsi="Calibri" w:eastAsia="Avenir" w:cs="Calibri"/>
          <w:b/>
          <w:sz w:val="22"/>
          <w:szCs w:val="22"/>
        </w:rPr>
        <w:t xml:space="preserve">Year 1. </w:t>
      </w:r>
      <w:r w:rsidRPr="0032494C">
        <w:rPr>
          <w:rFonts w:ascii="Calibri" w:hAnsi="Calibri" w:eastAsia="Avenir" w:cs="Calibri"/>
          <w:sz w:val="22"/>
          <w:szCs w:val="22"/>
        </w:rPr>
        <w:t xml:space="preserve">The </w:t>
      </w:r>
      <w:r w:rsidRPr="0032494C">
        <w:rPr>
          <w:rFonts w:ascii="Calibri" w:hAnsi="Calibri" w:eastAsia="Avenir" w:cs="Calibri"/>
          <w:color w:val="000000" w:themeColor="text1"/>
          <w:sz w:val="22"/>
          <w:szCs w:val="22"/>
        </w:rPr>
        <w:t xml:space="preserve">research team will interview staff from current hub leader organizations in Massachusetts, Virginia, and South Carolina (n=3; one per state) to begin to identify resources, institutional structures, and cross-organizational relationships that support implementation and </w:t>
      </w:r>
      <w:r w:rsidR="0013312E">
        <w:rPr>
          <w:rFonts w:ascii="Calibri" w:hAnsi="Calibri" w:eastAsia="Avenir" w:cs="Calibri"/>
          <w:color w:val="000000" w:themeColor="text1"/>
          <w:sz w:val="22"/>
          <w:szCs w:val="22"/>
        </w:rPr>
        <w:t xml:space="preserve">to understand </w:t>
      </w:r>
      <w:r w:rsidRPr="0032494C">
        <w:rPr>
          <w:rFonts w:ascii="Calibri" w:hAnsi="Calibri" w:eastAsia="Avenir" w:cs="Calibri"/>
          <w:color w:val="000000" w:themeColor="text1"/>
          <w:sz w:val="22"/>
          <w:szCs w:val="22"/>
        </w:rPr>
        <w:t>how participants implement the existing model (EQ1, EQ2)</w:t>
      </w:r>
      <w:r w:rsidRPr="0032494C" w:rsidR="00083D69">
        <w:rPr>
          <w:rFonts w:ascii="Calibri" w:hAnsi="Calibri" w:eastAsia="Avenir" w:cs="Calibri"/>
          <w:sz w:val="22"/>
          <w:szCs w:val="22"/>
        </w:rPr>
        <w:t xml:space="preserve">, </w:t>
      </w:r>
      <w:r w:rsidRPr="0032494C" w:rsidR="00ED4AD9">
        <w:rPr>
          <w:rFonts w:ascii="Calibri" w:hAnsi="Calibri" w:eastAsia="Avenir" w:cs="Calibri"/>
          <w:sz w:val="22"/>
          <w:szCs w:val="22"/>
        </w:rPr>
        <w:t xml:space="preserve">strategies they use to reach families (EQ3); ideas for sustaining the network model (EQ4); and </w:t>
      </w:r>
      <w:r w:rsidR="005A3ED9">
        <w:rPr>
          <w:rFonts w:ascii="Calibri" w:hAnsi="Calibri" w:eastAsia="Avenir" w:cs="Calibri"/>
          <w:sz w:val="22"/>
          <w:szCs w:val="22"/>
        </w:rPr>
        <w:t>how the network supports participating organizations in promoting academic readiness</w:t>
      </w:r>
      <w:r w:rsidRPr="0032494C" w:rsidR="00ED4AD9">
        <w:rPr>
          <w:rFonts w:ascii="Calibri" w:hAnsi="Calibri" w:eastAsia="Avenir" w:cs="Calibri"/>
          <w:sz w:val="22"/>
          <w:szCs w:val="22"/>
        </w:rPr>
        <w:t xml:space="preserve"> (EQ5)</w:t>
      </w:r>
      <w:r w:rsidRPr="0032494C">
        <w:rPr>
          <w:rFonts w:ascii="Calibri" w:hAnsi="Calibri" w:eastAsia="Avenir" w:cs="Calibri"/>
          <w:color w:val="000000" w:themeColor="text1"/>
          <w:sz w:val="22"/>
          <w:szCs w:val="22"/>
        </w:rPr>
        <w:t xml:space="preserve">. EDC will also work with Boston Children’s Museum to administer a survey to </w:t>
      </w:r>
      <w:r w:rsidR="005A3ED9">
        <w:rPr>
          <w:rFonts w:ascii="Calibri" w:hAnsi="Calibri" w:eastAsia="Avenir" w:cs="Calibri"/>
          <w:color w:val="000000" w:themeColor="text1"/>
          <w:sz w:val="22"/>
          <w:szCs w:val="22"/>
        </w:rPr>
        <w:t xml:space="preserve">existing </w:t>
      </w:r>
      <w:r w:rsidRPr="0032494C">
        <w:rPr>
          <w:rFonts w:ascii="Calibri" w:hAnsi="Calibri" w:eastAsia="Avenir" w:cs="Calibri"/>
          <w:color w:val="000000" w:themeColor="text1"/>
          <w:sz w:val="22"/>
          <w:szCs w:val="22"/>
        </w:rPr>
        <w:t xml:space="preserve">hub </w:t>
      </w:r>
      <w:r w:rsidR="00B4602C">
        <w:rPr>
          <w:rFonts w:ascii="Calibri" w:hAnsi="Calibri" w:eastAsia="Avenir" w:cs="Calibri"/>
          <w:color w:val="000000" w:themeColor="text1"/>
          <w:sz w:val="22"/>
          <w:szCs w:val="22"/>
        </w:rPr>
        <w:t>l</w:t>
      </w:r>
      <w:r w:rsidRPr="0032494C">
        <w:rPr>
          <w:rFonts w:ascii="Calibri" w:hAnsi="Calibri" w:eastAsia="Avenir" w:cs="Calibri"/>
          <w:color w:val="000000" w:themeColor="text1"/>
          <w:sz w:val="22"/>
          <w:szCs w:val="22"/>
        </w:rPr>
        <w:t>eader</w:t>
      </w:r>
      <w:r w:rsidRPr="0032494C">
        <w:rPr>
          <w:rFonts w:ascii="Calibri" w:hAnsi="Calibri" w:eastAsia="Avenir" w:cs="Calibri"/>
          <w:sz w:val="22"/>
          <w:szCs w:val="22"/>
        </w:rPr>
        <w:t xml:space="preserve"> and key partner organizations to understand their current practices around promoting school readiness, particularly through local community engagement and coordination with other partner organizations (EQ1, EQ2), and </w:t>
      </w:r>
      <w:r w:rsidR="005A3ED9">
        <w:rPr>
          <w:rFonts w:ascii="Calibri" w:hAnsi="Calibri" w:eastAsia="Avenir" w:cs="Calibri"/>
          <w:sz w:val="22"/>
          <w:szCs w:val="22"/>
        </w:rPr>
        <w:t>how participating in the network helps organizations promote academic readiness (EQ5)</w:t>
      </w:r>
      <w:r w:rsidRPr="0032494C">
        <w:rPr>
          <w:rFonts w:ascii="Calibri" w:hAnsi="Calibri" w:eastAsia="Avenir" w:cs="Calibri"/>
          <w:sz w:val="22"/>
          <w:szCs w:val="22"/>
        </w:rPr>
        <w:t>.</w:t>
      </w:r>
      <w:r w:rsidRPr="0032494C" w:rsidR="00197EF5">
        <w:rPr>
          <w:rFonts w:ascii="Calibri" w:hAnsi="Calibri" w:eastAsia="Avenir" w:cs="Calibri"/>
          <w:sz w:val="22"/>
          <w:szCs w:val="22"/>
        </w:rPr>
        <w:t xml:space="preserve"> </w:t>
      </w:r>
    </w:p>
    <w:p w:rsidRPr="0032494C" w:rsidR="006C7470" w:rsidP="006C7470" w:rsidRDefault="006C7470" w14:paraId="1652E77D" w14:textId="325638EA">
      <w:pPr>
        <w:spacing w:after="160"/>
        <w:rPr>
          <w:rFonts w:ascii="Calibri" w:hAnsi="Calibri" w:eastAsia="Avenir" w:cs="Calibri"/>
          <w:sz w:val="22"/>
          <w:szCs w:val="22"/>
        </w:rPr>
      </w:pPr>
      <w:r w:rsidRPr="0032494C">
        <w:rPr>
          <w:rFonts w:ascii="Calibri" w:hAnsi="Calibri" w:eastAsia="Avenir" w:cs="Calibri"/>
          <w:b/>
          <w:sz w:val="22"/>
          <w:szCs w:val="22"/>
        </w:rPr>
        <w:lastRenderedPageBreak/>
        <w:t>Years 2 and 3.</w:t>
      </w:r>
      <w:r w:rsidRPr="0032494C">
        <w:rPr>
          <w:rFonts w:ascii="Calibri" w:hAnsi="Calibri" w:eastAsia="Avenir" w:cs="Calibri"/>
          <w:sz w:val="22"/>
          <w:szCs w:val="22"/>
        </w:rPr>
        <w:t xml:space="preserve"> The evaluation team will continue to document project activities in Year 2 and Year 3. Additionally, each year EDC will conduct an interview study with subsets of hub leader organizations (n=8 each year; 16 total over two years), key partner organizations (n=6 each year; 12 total over two years) and collaborating organizations (n=6 each year; 12 total over two years). Note that our plan is for the participants in the Year 1 interviews to also participate in the Year 2 and Year 3 interviews (they are included in the estimated sample sizes above). These interviews will be conducted via video conferencing applications (e.g., Zoom) and will allow us to gain in-depth insight into how hub leader, key partner, and collaborating organizations are implementing the network model and the successes and challenges they face (EQ2); strategies they use to reach families (EQ3); ideas for sustaining the network model (EQ4); and </w:t>
      </w:r>
      <w:r w:rsidR="000A07DB">
        <w:rPr>
          <w:rFonts w:ascii="Calibri" w:hAnsi="Calibri" w:eastAsia="Avenir" w:cs="Calibri"/>
          <w:sz w:val="22"/>
          <w:szCs w:val="22"/>
        </w:rPr>
        <w:t xml:space="preserve">the aspects of </w:t>
      </w:r>
      <w:r w:rsidR="005A3ED9">
        <w:rPr>
          <w:rFonts w:ascii="Calibri" w:hAnsi="Calibri" w:eastAsia="Avenir" w:cs="Calibri"/>
          <w:sz w:val="22"/>
          <w:szCs w:val="22"/>
        </w:rPr>
        <w:t xml:space="preserve">the network model </w:t>
      </w:r>
      <w:r w:rsidR="000A07DB">
        <w:rPr>
          <w:rFonts w:ascii="Calibri" w:hAnsi="Calibri" w:eastAsia="Avenir" w:cs="Calibri"/>
          <w:sz w:val="22"/>
          <w:szCs w:val="22"/>
        </w:rPr>
        <w:t xml:space="preserve">that </w:t>
      </w:r>
      <w:r w:rsidR="005A3ED9">
        <w:rPr>
          <w:rFonts w:ascii="Calibri" w:hAnsi="Calibri" w:eastAsia="Avenir" w:cs="Calibri"/>
          <w:sz w:val="22"/>
          <w:szCs w:val="22"/>
        </w:rPr>
        <w:t>help their organization promote academic readiness</w:t>
      </w:r>
      <w:r w:rsidRPr="0032494C">
        <w:rPr>
          <w:rFonts w:ascii="Calibri" w:hAnsi="Calibri" w:eastAsia="Avenir" w:cs="Calibri"/>
          <w:sz w:val="22"/>
          <w:szCs w:val="22"/>
        </w:rPr>
        <w:t xml:space="preserve"> (EQ5). We will also administer an online survey to all hub leader, key partner, and collaborating organizations (n=~40 per year; ~80 total). The survey will provide higher-level insight into model implementation (EQ2) and will </w:t>
      </w:r>
      <w:r w:rsidR="005A3ED9">
        <w:rPr>
          <w:rFonts w:ascii="Calibri" w:hAnsi="Calibri" w:eastAsia="Avenir" w:cs="Calibri"/>
          <w:sz w:val="22"/>
          <w:szCs w:val="22"/>
        </w:rPr>
        <w:t xml:space="preserve">probe </w:t>
      </w:r>
      <w:r w:rsidR="000A07DB">
        <w:rPr>
          <w:rFonts w:ascii="Calibri" w:hAnsi="Calibri" w:eastAsia="Avenir" w:cs="Calibri"/>
          <w:sz w:val="22"/>
          <w:szCs w:val="22"/>
        </w:rPr>
        <w:t xml:space="preserve">what factors organizations view as key to school readiness and which aspects of the </w:t>
      </w:r>
      <w:r w:rsidR="005A3ED9">
        <w:rPr>
          <w:rFonts w:ascii="Calibri" w:hAnsi="Calibri" w:eastAsia="Avenir" w:cs="Calibri"/>
          <w:sz w:val="22"/>
          <w:szCs w:val="22"/>
        </w:rPr>
        <w:t xml:space="preserve">model support their organization in promoting </w:t>
      </w:r>
      <w:r w:rsidR="000A07DB">
        <w:rPr>
          <w:rFonts w:ascii="Calibri" w:hAnsi="Calibri" w:eastAsia="Avenir" w:cs="Calibri"/>
          <w:sz w:val="22"/>
          <w:szCs w:val="22"/>
        </w:rPr>
        <w:t xml:space="preserve">school </w:t>
      </w:r>
      <w:r w:rsidR="005A3ED9">
        <w:rPr>
          <w:rFonts w:ascii="Calibri" w:hAnsi="Calibri" w:eastAsia="Avenir" w:cs="Calibri"/>
          <w:sz w:val="22"/>
          <w:szCs w:val="22"/>
        </w:rPr>
        <w:t xml:space="preserve">readiness </w:t>
      </w:r>
      <w:r w:rsidRPr="0032494C">
        <w:rPr>
          <w:rFonts w:ascii="Calibri" w:hAnsi="Calibri" w:eastAsia="Avenir" w:cs="Calibri"/>
          <w:sz w:val="22"/>
          <w:szCs w:val="22"/>
        </w:rPr>
        <w:t xml:space="preserve">(EQ5). The survey will include performance measures from the IMLS Notice of Funding Opportunities (Goal 2: Build Capacity), the Year 1 survey, and items that the evaluation team develops as a result of findings from the Year 1 survey and interviews. To better understand </w:t>
      </w:r>
      <w:r w:rsidR="005A3ED9">
        <w:rPr>
          <w:rFonts w:ascii="Calibri" w:hAnsi="Calibri" w:eastAsia="Avenir" w:cs="Calibri"/>
          <w:sz w:val="22"/>
          <w:szCs w:val="22"/>
        </w:rPr>
        <w:t xml:space="preserve">how </w:t>
      </w:r>
      <w:r w:rsidRPr="0032494C">
        <w:rPr>
          <w:rFonts w:ascii="Calibri" w:hAnsi="Calibri" w:eastAsia="Avenir" w:cs="Calibri"/>
          <w:sz w:val="22"/>
          <w:szCs w:val="22"/>
        </w:rPr>
        <w:t>families</w:t>
      </w:r>
      <w:r w:rsidR="005A3ED9">
        <w:rPr>
          <w:rFonts w:ascii="Calibri" w:hAnsi="Calibri" w:eastAsia="Avenir" w:cs="Calibri"/>
          <w:sz w:val="22"/>
          <w:szCs w:val="22"/>
        </w:rPr>
        <w:t xml:space="preserve">’ experiences with participating organizations </w:t>
      </w:r>
      <w:r w:rsidRPr="0032494C">
        <w:rPr>
          <w:rFonts w:ascii="Calibri" w:hAnsi="Calibri" w:eastAsia="Avenir" w:cs="Calibri"/>
          <w:sz w:val="22"/>
          <w:szCs w:val="22"/>
        </w:rPr>
        <w:t>(EQ6), the evaluation will include focus groups with families from a subset of hub leader</w:t>
      </w:r>
      <w:r w:rsidR="00B4602C">
        <w:rPr>
          <w:rFonts w:ascii="Calibri" w:hAnsi="Calibri" w:eastAsia="Avenir" w:cs="Calibri"/>
          <w:sz w:val="22"/>
          <w:szCs w:val="22"/>
        </w:rPr>
        <w:t xml:space="preserve">, </w:t>
      </w:r>
      <w:r w:rsidRPr="0032494C">
        <w:rPr>
          <w:rFonts w:ascii="Calibri" w:hAnsi="Calibri" w:eastAsia="Avenir" w:cs="Calibri"/>
          <w:sz w:val="22"/>
          <w:szCs w:val="22"/>
        </w:rPr>
        <w:t>key partner</w:t>
      </w:r>
      <w:r w:rsidR="00B4602C">
        <w:rPr>
          <w:rFonts w:ascii="Calibri" w:hAnsi="Calibri" w:eastAsia="Avenir" w:cs="Calibri"/>
          <w:sz w:val="22"/>
          <w:szCs w:val="22"/>
        </w:rPr>
        <w:t>, and collaborating</w:t>
      </w:r>
      <w:r w:rsidRPr="0032494C">
        <w:rPr>
          <w:rFonts w:ascii="Calibri" w:hAnsi="Calibri" w:eastAsia="Avenir" w:cs="Calibri"/>
          <w:sz w:val="22"/>
          <w:szCs w:val="22"/>
        </w:rPr>
        <w:t xml:space="preserve"> organizations. The evaluation team will conduct </w:t>
      </w:r>
      <w:r w:rsidR="00E8221C">
        <w:rPr>
          <w:rFonts w:ascii="Calibri" w:hAnsi="Calibri" w:eastAsia="Avenir" w:cs="Calibri"/>
          <w:sz w:val="22"/>
          <w:szCs w:val="22"/>
        </w:rPr>
        <w:t xml:space="preserve">four </w:t>
      </w:r>
      <w:r w:rsidRPr="0032494C">
        <w:rPr>
          <w:rFonts w:ascii="Calibri" w:hAnsi="Calibri" w:eastAsia="Avenir" w:cs="Calibri"/>
          <w:sz w:val="22"/>
          <w:szCs w:val="22"/>
        </w:rPr>
        <w:t xml:space="preserve">focus groups </w:t>
      </w:r>
      <w:r w:rsidR="00E8221C">
        <w:rPr>
          <w:rFonts w:ascii="Calibri" w:hAnsi="Calibri" w:eastAsia="Avenir" w:cs="Calibri"/>
          <w:sz w:val="22"/>
          <w:szCs w:val="22"/>
        </w:rPr>
        <w:t xml:space="preserve">(two in Year 2, two in Year 3) </w:t>
      </w:r>
      <w:r w:rsidRPr="0032494C">
        <w:rPr>
          <w:rFonts w:ascii="Calibri" w:hAnsi="Calibri" w:eastAsia="Avenir" w:cs="Calibri"/>
          <w:sz w:val="22"/>
          <w:szCs w:val="22"/>
        </w:rPr>
        <w:t>and will lead a workshop during the national meeting to train staff from hub leader</w:t>
      </w:r>
      <w:r w:rsidR="00B4602C">
        <w:rPr>
          <w:rFonts w:ascii="Calibri" w:hAnsi="Calibri" w:eastAsia="Avenir" w:cs="Calibri"/>
          <w:sz w:val="22"/>
          <w:szCs w:val="22"/>
        </w:rPr>
        <w:t xml:space="preserve">, </w:t>
      </w:r>
      <w:r w:rsidRPr="0032494C">
        <w:rPr>
          <w:rFonts w:ascii="Calibri" w:hAnsi="Calibri" w:eastAsia="Avenir" w:cs="Calibri"/>
          <w:sz w:val="22"/>
          <w:szCs w:val="22"/>
        </w:rPr>
        <w:t>key partner</w:t>
      </w:r>
      <w:r w:rsidR="00B4602C">
        <w:rPr>
          <w:rFonts w:ascii="Calibri" w:hAnsi="Calibri" w:eastAsia="Avenir" w:cs="Calibri"/>
          <w:sz w:val="22"/>
          <w:szCs w:val="22"/>
        </w:rPr>
        <w:t>, and collaborating</w:t>
      </w:r>
      <w:r w:rsidRPr="0032494C">
        <w:rPr>
          <w:rFonts w:ascii="Calibri" w:hAnsi="Calibri" w:eastAsia="Avenir" w:cs="Calibri"/>
          <w:sz w:val="22"/>
          <w:szCs w:val="22"/>
        </w:rPr>
        <w:t xml:space="preserve"> organizations on how to conduct their own focus groups. The project team anticipates there will be approximately five</w:t>
      </w:r>
      <w:r w:rsidRPr="0032494C">
        <w:rPr>
          <w:rFonts w:ascii="Calibri" w:hAnsi="Calibri" w:cs="Calibri"/>
          <w:sz w:val="22"/>
          <w:szCs w:val="22"/>
        </w:rPr>
        <w:t xml:space="preserve"> focus groups per state (~30 focus groups per year; ~60 in total). Each focus group will have approximately 8 participants (240 participants per year; 480 total).</w:t>
      </w:r>
    </w:p>
    <w:p w:rsidRPr="0032494C" w:rsidR="006C7470" w:rsidP="006C7470" w:rsidRDefault="006C7470" w14:paraId="0587602F"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rsidRPr="0032494C" w:rsidR="006C7470" w:rsidP="006C7470" w:rsidRDefault="006C7470" w14:paraId="7F2EA610"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u w:val="single"/>
        </w:rPr>
      </w:pPr>
      <w:r w:rsidRPr="0032494C">
        <w:rPr>
          <w:rFonts w:ascii="Calibri" w:hAnsi="Calibri" w:cs="Calibri"/>
          <w:b/>
          <w:sz w:val="22"/>
          <w:szCs w:val="22"/>
          <w:u w:val="single"/>
        </w:rPr>
        <w:t>A.3. Use of Information Technology</w:t>
      </w:r>
    </w:p>
    <w:p w:rsidRPr="0032494C" w:rsidR="006C7470" w:rsidP="006C7470" w:rsidRDefault="006C7470" w14:paraId="3BA5B105" w14:textId="22B894E4">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 xml:space="preserve">As displayed in </w:t>
      </w:r>
      <w:r w:rsidRPr="0032494C" w:rsidR="00954779">
        <w:rPr>
          <w:rFonts w:ascii="Calibri" w:hAnsi="Calibri" w:cs="Calibri"/>
          <w:sz w:val="22"/>
          <w:szCs w:val="22"/>
        </w:rPr>
        <w:fldChar w:fldCharType="begin"/>
      </w:r>
      <w:r w:rsidRPr="0032494C" w:rsidR="00954779">
        <w:rPr>
          <w:rFonts w:ascii="Calibri" w:hAnsi="Calibri" w:cs="Calibri"/>
          <w:sz w:val="22"/>
          <w:szCs w:val="22"/>
        </w:rPr>
        <w:instrText xml:space="preserve"> REF _Ref36112828 \h </w:instrText>
      </w:r>
      <w:r w:rsidR="0032494C">
        <w:rPr>
          <w:rFonts w:ascii="Calibri" w:hAnsi="Calibri" w:cs="Calibri"/>
          <w:sz w:val="22"/>
          <w:szCs w:val="22"/>
        </w:rPr>
        <w:instrText xml:space="preserve"> \* MERGEFORMAT </w:instrText>
      </w:r>
      <w:r w:rsidRPr="0032494C" w:rsidR="00954779">
        <w:rPr>
          <w:rFonts w:ascii="Calibri" w:hAnsi="Calibri" w:cs="Calibri"/>
          <w:sz w:val="22"/>
          <w:szCs w:val="22"/>
        </w:rPr>
      </w:r>
      <w:r w:rsidRPr="0032494C" w:rsidR="00954779">
        <w:rPr>
          <w:rFonts w:ascii="Calibri" w:hAnsi="Calibri" w:cs="Calibri"/>
          <w:sz w:val="22"/>
          <w:szCs w:val="22"/>
        </w:rPr>
        <w:fldChar w:fldCharType="separate"/>
      </w:r>
      <w:r w:rsidRPr="0032494C" w:rsidR="008F225B">
        <w:rPr>
          <w:rFonts w:ascii="Calibri" w:hAnsi="Calibri" w:cs="Calibri"/>
          <w:b/>
          <w:sz w:val="22"/>
          <w:szCs w:val="22"/>
        </w:rPr>
        <w:t xml:space="preserve">Table </w:t>
      </w:r>
      <w:r w:rsidR="008F225B">
        <w:rPr>
          <w:rFonts w:ascii="Calibri" w:hAnsi="Calibri" w:cs="Calibri"/>
          <w:b/>
          <w:noProof/>
          <w:sz w:val="22"/>
          <w:szCs w:val="22"/>
        </w:rPr>
        <w:t>2</w:t>
      </w:r>
      <w:r w:rsidRPr="0032494C" w:rsidR="00954779">
        <w:rPr>
          <w:rFonts w:ascii="Calibri" w:hAnsi="Calibri" w:cs="Calibri"/>
          <w:sz w:val="22"/>
          <w:szCs w:val="22"/>
        </w:rPr>
        <w:fldChar w:fldCharType="end"/>
      </w:r>
      <w:r w:rsidRPr="0032494C">
        <w:rPr>
          <w:rFonts w:ascii="Calibri" w:hAnsi="Calibri" w:cs="Calibri"/>
          <w:sz w:val="22"/>
          <w:szCs w:val="22"/>
        </w:rPr>
        <w:t xml:space="preserve">, the interviews will be conducted via a videoconferencing app such as Zoom. If the interviewee is unable to access or use a videoconferencing app, we will conduct the interview via telephone. The interviews will be conducted at a time that is convenient for the interviewee. Focus groups will be conducted in-person and scheduled at a time when families are already participating in an activity at a hub, partner, or collaborating organization. </w:t>
      </w:r>
      <w:r w:rsidR="00E8221C">
        <w:rPr>
          <w:rFonts w:ascii="Calibri" w:hAnsi="Calibri" w:cs="Calibri"/>
          <w:sz w:val="22"/>
          <w:szCs w:val="22"/>
        </w:rPr>
        <w:t xml:space="preserve">If we are unable to conduct focus groups in person due to </w:t>
      </w:r>
      <w:r w:rsidR="00DF3DB5">
        <w:rPr>
          <w:rFonts w:ascii="Calibri" w:hAnsi="Calibri" w:cs="Calibri"/>
          <w:sz w:val="22"/>
          <w:szCs w:val="22"/>
        </w:rPr>
        <w:t>COVID-19</w:t>
      </w:r>
      <w:r w:rsidR="00E8221C">
        <w:rPr>
          <w:rFonts w:ascii="Calibri" w:hAnsi="Calibri" w:cs="Calibri"/>
          <w:sz w:val="22"/>
          <w:szCs w:val="22"/>
        </w:rPr>
        <w:t xml:space="preserve"> and/or unforeseeable events, we will use</w:t>
      </w:r>
      <w:r w:rsidR="00FC73C4">
        <w:rPr>
          <w:rFonts w:ascii="Calibri" w:hAnsi="Calibri" w:cs="Calibri"/>
          <w:sz w:val="22"/>
          <w:szCs w:val="22"/>
        </w:rPr>
        <w:t xml:space="preserve"> a</w:t>
      </w:r>
      <w:r w:rsidR="00E8221C">
        <w:rPr>
          <w:rFonts w:ascii="Calibri" w:hAnsi="Calibri" w:cs="Calibri"/>
          <w:sz w:val="22"/>
          <w:szCs w:val="22"/>
        </w:rPr>
        <w:t xml:space="preserve"> videoconferencing app such as Zoom to </w:t>
      </w:r>
      <w:r w:rsidR="00FC73C4">
        <w:rPr>
          <w:rFonts w:ascii="Calibri" w:hAnsi="Calibri" w:cs="Calibri"/>
          <w:sz w:val="22"/>
          <w:szCs w:val="22"/>
        </w:rPr>
        <w:t>conduct individual interviews with families.</w:t>
      </w:r>
      <w:r w:rsidR="00E8221C">
        <w:rPr>
          <w:rFonts w:ascii="Calibri" w:hAnsi="Calibri" w:cs="Calibri"/>
          <w:sz w:val="22"/>
          <w:szCs w:val="22"/>
        </w:rPr>
        <w:t xml:space="preserve"> </w:t>
      </w:r>
      <w:r w:rsidRPr="0032494C">
        <w:rPr>
          <w:rFonts w:ascii="Calibri" w:hAnsi="Calibri" w:cs="Calibri"/>
          <w:sz w:val="22"/>
          <w:szCs w:val="22"/>
        </w:rPr>
        <w:t xml:space="preserve">Interviews and focus groups will be audio recorded and transcribed. Prior to the interviews and focus groups, the evaluation team will collect consent forms from participants. This will include consent to be audio recorded. The audio recording will be transcribed by a professional transcription service. The audio recordings and transcripts will be shared between the evaluation team and the transcriber using a secure site. </w:t>
      </w:r>
    </w:p>
    <w:p w:rsidRPr="0032494C" w:rsidR="006C7470" w:rsidP="006C7470" w:rsidRDefault="006C7470" w14:paraId="5E84D45F"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rsidRPr="0032494C" w:rsidR="006C7470" w:rsidP="006C7470" w:rsidRDefault="006C7470" w14:paraId="28D42C43"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 xml:space="preserve">To reduce paperwork, the evaluation team will administer an online survey to staff from hub, partner, and collaborating organizations. The survey will be administered through a web-based survey tool such as Qualtrics survey software. To ease burden and facilitate completion, the survey format will allow respondents to complete the survey using a computer or a smartphone. A link to the survey will be shared via email. Paper copies of the survey will be provided to staff unable to complete the online survey. EDC will work with Boston Children’s Museum to ensure the list of respondents’ email addresses is valid. Prior to beginning the survey, respondents will provide consent to participate forms. </w:t>
      </w:r>
    </w:p>
    <w:p w:rsidRPr="0032494C" w:rsidR="006C7470" w:rsidP="006C7470" w:rsidRDefault="006C7470" w14:paraId="6EB2C175"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rsidRPr="0032494C" w:rsidR="006C7470" w:rsidP="006C7470" w:rsidRDefault="006C7470" w14:paraId="5AB48B68" w14:textId="77777777">
      <w:pPr>
        <w:pStyle w:val="Heading8"/>
        <w:rPr>
          <w:rFonts w:ascii="Calibri" w:hAnsi="Calibri" w:cs="Calibri"/>
          <w:b/>
          <w:sz w:val="22"/>
          <w:szCs w:val="22"/>
          <w:u w:val="single"/>
        </w:rPr>
      </w:pPr>
      <w:r w:rsidRPr="0032494C">
        <w:rPr>
          <w:rFonts w:ascii="Calibri" w:hAnsi="Calibri" w:cs="Calibri"/>
          <w:b/>
          <w:sz w:val="22"/>
          <w:szCs w:val="22"/>
          <w:u w:val="single"/>
        </w:rPr>
        <w:lastRenderedPageBreak/>
        <w:t xml:space="preserve">A.4. Efforts to Identify Duplication </w:t>
      </w:r>
    </w:p>
    <w:p w:rsidRPr="0032494C" w:rsidR="006C7470" w:rsidP="006C7470" w:rsidRDefault="006C7470" w14:paraId="5B54EFD1" w14:textId="0D7611CE">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 xml:space="preserve">This evaluation will generate findings specific to the model of </w:t>
      </w:r>
      <w:r w:rsidRPr="00DF3DB5">
        <w:rPr>
          <w:rFonts w:ascii="Calibri" w:hAnsi="Calibri" w:cs="Calibri"/>
          <w:iCs/>
          <w:color w:val="000000" w:themeColor="text1"/>
          <w:sz w:val="22"/>
          <w:szCs w:val="22"/>
          <w:lang w:bidi="en-US"/>
        </w:rPr>
        <w:t xml:space="preserve">Building a National Network of Museums and Libraries for School Readiness </w:t>
      </w:r>
      <w:r w:rsidRPr="00DF3DB5" w:rsidR="009155F7">
        <w:rPr>
          <w:rFonts w:ascii="Calibri" w:hAnsi="Calibri" w:cs="Calibri"/>
          <w:iCs/>
          <w:color w:val="000000" w:themeColor="text1"/>
          <w:sz w:val="22"/>
          <w:szCs w:val="22"/>
          <w:lang w:bidi="en-US"/>
        </w:rPr>
        <w:t>Project</w:t>
      </w:r>
      <w:r w:rsidRPr="0032494C">
        <w:rPr>
          <w:rFonts w:ascii="Calibri" w:hAnsi="Calibri" w:cs="Calibri"/>
          <w:i/>
          <w:color w:val="000000" w:themeColor="text1"/>
          <w:sz w:val="22"/>
          <w:szCs w:val="22"/>
          <w:lang w:bidi="en-US"/>
        </w:rPr>
        <w:t xml:space="preserve"> </w:t>
      </w:r>
      <w:r w:rsidRPr="0032494C">
        <w:rPr>
          <w:rFonts w:ascii="Calibri" w:hAnsi="Calibri" w:cs="Calibri"/>
          <w:color w:val="000000" w:themeColor="text1"/>
          <w:sz w:val="22"/>
          <w:szCs w:val="22"/>
          <w:lang w:bidi="en-US"/>
        </w:rPr>
        <w:t>(SRP).</w:t>
      </w:r>
      <w:r w:rsidRPr="0032494C">
        <w:rPr>
          <w:rFonts w:ascii="Calibri" w:hAnsi="Calibri" w:cs="Calibri"/>
          <w:sz w:val="22"/>
          <w:szCs w:val="22"/>
        </w:rPr>
        <w:t xml:space="preserve"> This is a new data collection effort and the data to be collected are not otherwise available.</w:t>
      </w:r>
    </w:p>
    <w:p w:rsidRPr="0032494C" w:rsidR="006C7470" w:rsidP="006C7470" w:rsidRDefault="006C7470" w14:paraId="6481195D"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rsidRPr="0032494C" w:rsidR="006C7470" w:rsidP="00714682" w:rsidRDefault="006C7470" w14:paraId="47B6E8F7"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u w:val="single"/>
        </w:rPr>
      </w:pPr>
      <w:r w:rsidRPr="0032494C">
        <w:rPr>
          <w:rFonts w:ascii="Calibri" w:hAnsi="Calibri" w:cs="Calibri"/>
          <w:b/>
          <w:sz w:val="22"/>
          <w:szCs w:val="22"/>
          <w:u w:val="single"/>
        </w:rPr>
        <w:t xml:space="preserve">A.5. Methods Used to Minimize Burden on Small Businesses </w:t>
      </w:r>
    </w:p>
    <w:p w:rsidRPr="0032494C" w:rsidR="006C7470" w:rsidP="00714682" w:rsidRDefault="006C7470" w14:paraId="4F141FF3"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 xml:space="preserve">Data collectors will inform all potential participants from all sites that their participation is strictly voluntary. Furthermore, data collectors will inform participants that they may withdraw from the evaluation at any time for any reason with no consequence. </w:t>
      </w:r>
    </w:p>
    <w:p w:rsidRPr="0032494C" w:rsidR="006C7470" w:rsidP="006C7470" w:rsidRDefault="006C7470" w14:paraId="521A8D69"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rsidRPr="0032494C" w:rsidR="006C7470" w:rsidP="006C7470" w:rsidRDefault="006C7470" w14:paraId="5FAFD0B5"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u w:val="single"/>
        </w:rPr>
      </w:pPr>
      <w:r w:rsidRPr="0032494C">
        <w:rPr>
          <w:rFonts w:ascii="Calibri" w:hAnsi="Calibri" w:cs="Calibri"/>
          <w:b/>
          <w:sz w:val="22"/>
          <w:szCs w:val="22"/>
          <w:u w:val="single"/>
        </w:rPr>
        <w:t>A.6. Consequences of Less Frequent Data Collection</w:t>
      </w:r>
    </w:p>
    <w:p w:rsidRPr="0032494C" w:rsidR="006C7470" w:rsidP="006C7470" w:rsidRDefault="005941C5" w14:paraId="3B97A726" w14:textId="7F48FC8F">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Pr>
          <w:rFonts w:ascii="Calibri" w:hAnsi="Calibri" w:cs="Calibri"/>
          <w:color w:val="000000" w:themeColor="text1"/>
          <w:sz w:val="22"/>
          <w:szCs w:val="22"/>
          <w:lang w:bidi="en-US"/>
        </w:rPr>
        <w:t>No other evaluation or data collection activities are investigating this effort. I</w:t>
      </w:r>
      <w:r w:rsidR="00D55E5D">
        <w:rPr>
          <w:rFonts w:ascii="Calibri" w:hAnsi="Calibri" w:cs="Calibri"/>
          <w:color w:val="000000" w:themeColor="text1"/>
          <w:sz w:val="22"/>
          <w:szCs w:val="22"/>
          <w:lang w:bidi="en-US"/>
        </w:rPr>
        <w:t xml:space="preserve">f we were not to collect the </w:t>
      </w:r>
      <w:r>
        <w:rPr>
          <w:rFonts w:ascii="Calibri" w:hAnsi="Calibri" w:cs="Calibri"/>
          <w:color w:val="000000" w:themeColor="text1"/>
          <w:sz w:val="22"/>
          <w:szCs w:val="22"/>
          <w:lang w:bidi="en-US"/>
        </w:rPr>
        <w:t xml:space="preserve">proposed </w:t>
      </w:r>
      <w:r w:rsidR="00D55E5D">
        <w:rPr>
          <w:rFonts w:ascii="Calibri" w:hAnsi="Calibri" w:cs="Calibri"/>
          <w:color w:val="000000" w:themeColor="text1"/>
          <w:sz w:val="22"/>
          <w:szCs w:val="22"/>
          <w:lang w:bidi="en-US"/>
        </w:rPr>
        <w:t xml:space="preserve">data or if we </w:t>
      </w:r>
      <w:r w:rsidR="00F824BE">
        <w:rPr>
          <w:rFonts w:ascii="Calibri" w:hAnsi="Calibri" w:cs="Calibri"/>
          <w:color w:val="000000" w:themeColor="text1"/>
          <w:sz w:val="22"/>
          <w:szCs w:val="22"/>
          <w:lang w:bidi="en-US"/>
        </w:rPr>
        <w:t xml:space="preserve">were to </w:t>
      </w:r>
      <w:r w:rsidR="00D55E5D">
        <w:rPr>
          <w:rFonts w:ascii="Calibri" w:hAnsi="Calibri" w:cs="Calibri"/>
          <w:color w:val="000000" w:themeColor="text1"/>
          <w:sz w:val="22"/>
          <w:szCs w:val="22"/>
          <w:lang w:bidi="en-US"/>
        </w:rPr>
        <w:t xml:space="preserve">reduce the frequency of data collection, </w:t>
      </w:r>
      <w:r>
        <w:rPr>
          <w:rFonts w:ascii="Calibri" w:hAnsi="Calibri" w:cs="Calibri"/>
          <w:color w:val="000000" w:themeColor="text1"/>
          <w:sz w:val="22"/>
          <w:szCs w:val="22"/>
          <w:lang w:bidi="en-US"/>
        </w:rPr>
        <w:t xml:space="preserve">developers and </w:t>
      </w:r>
      <w:r w:rsidR="00D55E5D">
        <w:rPr>
          <w:rFonts w:ascii="Calibri" w:hAnsi="Calibri" w:cs="Calibri"/>
          <w:color w:val="000000" w:themeColor="text1"/>
          <w:sz w:val="22"/>
          <w:szCs w:val="22"/>
          <w:lang w:bidi="en-US"/>
        </w:rPr>
        <w:t xml:space="preserve">decisionmakers </w:t>
      </w:r>
      <w:r w:rsidR="005A05C6">
        <w:rPr>
          <w:rFonts w:ascii="Calibri" w:hAnsi="Calibri" w:cs="Calibri"/>
          <w:color w:val="000000" w:themeColor="text1"/>
          <w:sz w:val="22"/>
          <w:szCs w:val="22"/>
          <w:lang w:bidi="en-US"/>
        </w:rPr>
        <w:t xml:space="preserve">would </w:t>
      </w:r>
      <w:r>
        <w:rPr>
          <w:rFonts w:ascii="Calibri" w:hAnsi="Calibri" w:cs="Calibri"/>
          <w:color w:val="000000" w:themeColor="text1"/>
          <w:sz w:val="22"/>
          <w:szCs w:val="22"/>
          <w:lang w:bidi="en-US"/>
        </w:rPr>
        <w:t xml:space="preserve">miss out on valuable </w:t>
      </w:r>
      <w:r w:rsidR="00F824BE">
        <w:rPr>
          <w:rFonts w:ascii="Calibri" w:hAnsi="Calibri" w:cs="Calibri"/>
          <w:color w:val="000000" w:themeColor="text1"/>
          <w:sz w:val="22"/>
          <w:szCs w:val="22"/>
          <w:lang w:bidi="en-US"/>
        </w:rPr>
        <w:t xml:space="preserve">insight into </w:t>
      </w:r>
      <w:r w:rsidRPr="0032494C" w:rsidR="00F824BE">
        <w:rPr>
          <w:rFonts w:ascii="Calibri" w:hAnsi="Calibri" w:cs="Calibri"/>
          <w:color w:val="000000" w:themeColor="text1"/>
          <w:sz w:val="22"/>
          <w:szCs w:val="22"/>
          <w:lang w:bidi="en-US"/>
        </w:rPr>
        <w:t xml:space="preserve">what is necessary to support scale-up of these networks across the country. </w:t>
      </w:r>
      <w:r w:rsidRPr="0032494C" w:rsidR="006C7470">
        <w:rPr>
          <w:rFonts w:ascii="Calibri" w:hAnsi="Calibri" w:cs="Calibri"/>
          <w:color w:val="000000" w:themeColor="text1"/>
          <w:sz w:val="22"/>
          <w:szCs w:val="22"/>
          <w:lang w:bidi="en-US"/>
        </w:rPr>
        <w:t xml:space="preserve">In order to meet </w:t>
      </w:r>
      <w:r w:rsidR="00F824BE">
        <w:rPr>
          <w:rFonts w:ascii="Calibri" w:hAnsi="Calibri" w:cs="Calibri"/>
          <w:color w:val="000000" w:themeColor="text1"/>
          <w:sz w:val="22"/>
          <w:szCs w:val="22"/>
          <w:lang w:bidi="en-US"/>
        </w:rPr>
        <w:t>the evaluation</w:t>
      </w:r>
      <w:r w:rsidR="00893526">
        <w:rPr>
          <w:rFonts w:ascii="Calibri" w:hAnsi="Calibri" w:cs="Calibri"/>
          <w:color w:val="000000" w:themeColor="text1"/>
          <w:sz w:val="22"/>
          <w:szCs w:val="22"/>
          <w:lang w:bidi="en-US"/>
        </w:rPr>
        <w:t xml:space="preserve"> </w:t>
      </w:r>
      <w:r w:rsidRPr="0032494C" w:rsidR="006C7470">
        <w:rPr>
          <w:rFonts w:ascii="Calibri" w:hAnsi="Calibri" w:cs="Calibri"/>
          <w:color w:val="000000" w:themeColor="text1"/>
          <w:sz w:val="22"/>
          <w:szCs w:val="22"/>
          <w:lang w:bidi="en-US"/>
        </w:rPr>
        <w:t xml:space="preserve">goals, we will need to collect data from hub leaders, partner organizations, and collaborating organizations each year of the project when this information is still fresh to staff and families from each organization.  </w:t>
      </w:r>
    </w:p>
    <w:p w:rsidRPr="0032494C" w:rsidR="006C7470" w:rsidP="006C7470" w:rsidRDefault="006C7470" w14:paraId="43F44268" w14:textId="33BE5482">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u w:val="single"/>
        </w:rPr>
      </w:pPr>
    </w:p>
    <w:p w:rsidRPr="0032494C" w:rsidR="006C7470" w:rsidP="006C7470" w:rsidRDefault="006C7470" w14:paraId="0CA47550"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u w:val="single"/>
        </w:rPr>
      </w:pPr>
      <w:r w:rsidRPr="0032494C">
        <w:rPr>
          <w:rFonts w:ascii="Calibri" w:hAnsi="Calibri" w:cs="Calibri"/>
          <w:b/>
          <w:sz w:val="22"/>
          <w:szCs w:val="22"/>
          <w:u w:val="single"/>
        </w:rPr>
        <w:t>A.7. Special Circumstances</w:t>
      </w:r>
    </w:p>
    <w:p w:rsidRPr="0032494C" w:rsidR="006C7470" w:rsidP="006C7470" w:rsidRDefault="006C7470" w14:paraId="1C353643"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No special circumstances require the collection to be conducted in a manner inconsistent with the guidelines in 5 CFR 1320.6.</w:t>
      </w:r>
    </w:p>
    <w:p w:rsidRPr="0032494C" w:rsidR="006C7470" w:rsidP="006C7470" w:rsidRDefault="006C7470" w14:paraId="406F64A8"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rsidRPr="00766656" w:rsidR="006C7470" w:rsidP="006C7470" w:rsidRDefault="006C7470" w14:paraId="0C756357"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u w:val="single"/>
        </w:rPr>
      </w:pPr>
      <w:r w:rsidRPr="00766656">
        <w:rPr>
          <w:rFonts w:ascii="Calibri" w:hAnsi="Calibri" w:cs="Calibri"/>
          <w:b/>
          <w:sz w:val="22"/>
          <w:szCs w:val="22"/>
          <w:u w:val="single"/>
        </w:rPr>
        <w:t>A.8. Consultations Outside the Agency</w:t>
      </w:r>
    </w:p>
    <w:p w:rsidRPr="0032494C" w:rsidR="006C7470" w:rsidP="006C7470" w:rsidRDefault="006C7470" w14:paraId="0E70C013"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u w:val="single"/>
        </w:rPr>
      </w:pPr>
      <w:r w:rsidRPr="0032494C">
        <w:rPr>
          <w:rFonts w:ascii="Calibri" w:hAnsi="Calibri" w:cs="Calibri"/>
          <w:sz w:val="22"/>
          <w:szCs w:val="22"/>
          <w:u w:val="single"/>
        </w:rPr>
        <w:t>Public comments solicited through Federal Register</w:t>
      </w:r>
    </w:p>
    <w:p w:rsidRPr="0032494C" w:rsidR="006C7470" w:rsidP="006C7470" w:rsidRDefault="6A710662" w14:paraId="1685469D" w14:textId="18CAACB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 xml:space="preserve">IMLS published a Notice of Proposed Information Collection Request for Comments on the Federal Register on November 4, 2019 (FR vol. 84, No. 213, pgs. 59422-59423). Written comments </w:t>
      </w:r>
      <w:r w:rsidR="0072250C">
        <w:rPr>
          <w:rFonts w:ascii="Calibri" w:hAnsi="Calibri" w:cs="Calibri"/>
          <w:sz w:val="22"/>
          <w:szCs w:val="22"/>
        </w:rPr>
        <w:t>were to</w:t>
      </w:r>
      <w:r w:rsidRPr="0032494C" w:rsidR="0072250C">
        <w:rPr>
          <w:rFonts w:ascii="Calibri" w:hAnsi="Calibri" w:cs="Calibri"/>
          <w:sz w:val="22"/>
          <w:szCs w:val="22"/>
        </w:rPr>
        <w:t xml:space="preserve"> </w:t>
      </w:r>
      <w:r w:rsidRPr="0032494C">
        <w:rPr>
          <w:rFonts w:ascii="Calibri" w:hAnsi="Calibri" w:cs="Calibri"/>
          <w:sz w:val="22"/>
          <w:szCs w:val="22"/>
        </w:rPr>
        <w:t>be submitted to the Office of Grants Policy and Management, Institute of Museum and Library Services on or before December 31, 2019.</w:t>
      </w:r>
      <w:r w:rsidR="003B3FAD">
        <w:rPr>
          <w:rFonts w:ascii="Calibri" w:hAnsi="Calibri" w:cs="Calibri"/>
          <w:sz w:val="22"/>
          <w:szCs w:val="22"/>
        </w:rPr>
        <w:t xml:space="preserve"> One comment was received and </w:t>
      </w:r>
      <w:r w:rsidR="001F599C">
        <w:rPr>
          <w:rFonts w:ascii="Calibri" w:hAnsi="Calibri" w:cs="Calibri"/>
          <w:sz w:val="22"/>
          <w:szCs w:val="22"/>
        </w:rPr>
        <w:t>acknowledged</w:t>
      </w:r>
      <w:r w:rsidR="003B3FAD">
        <w:rPr>
          <w:rFonts w:ascii="Calibri" w:hAnsi="Calibri" w:cs="Calibri"/>
          <w:sz w:val="22"/>
          <w:szCs w:val="22"/>
        </w:rPr>
        <w:t>.</w:t>
      </w:r>
    </w:p>
    <w:p w:rsidRPr="0032494C" w:rsidR="008D67EA" w:rsidP="006C7470" w:rsidRDefault="008D67EA" w14:paraId="557B48E6"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rsidRPr="0032494C" w:rsidR="006C7470" w:rsidP="006C7470" w:rsidRDefault="006C7470" w14:paraId="24124874"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u w:val="single"/>
        </w:rPr>
      </w:pPr>
      <w:r w:rsidRPr="0032494C">
        <w:rPr>
          <w:rFonts w:ascii="Calibri" w:hAnsi="Calibri" w:cs="Calibri"/>
          <w:sz w:val="22"/>
          <w:szCs w:val="22"/>
          <w:u w:val="single"/>
        </w:rPr>
        <w:t>Consultants outside the agency</w:t>
      </w:r>
    </w:p>
    <w:p w:rsidRPr="0032494C" w:rsidR="006C7470" w:rsidP="006C7470" w:rsidRDefault="006C7470" w14:paraId="6C7261E1"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IMLS has closely consulted with Boston Children’s Museum and the external evaluator, Education Development Center, in the development of the evaluation plan, data collection, and instruments.</w:t>
      </w:r>
    </w:p>
    <w:p w:rsidRPr="0032494C" w:rsidR="006C7470" w:rsidP="006C7470" w:rsidRDefault="006C7470" w14:paraId="7B21E979"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rsidRPr="0032494C" w:rsidR="003B3FAD" w:rsidP="006C7470" w:rsidRDefault="006C7470" w14:paraId="1037C08B" w14:textId="446E520E">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u w:val="single"/>
        </w:rPr>
      </w:pPr>
      <w:r w:rsidRPr="0032494C">
        <w:rPr>
          <w:rFonts w:ascii="Calibri" w:hAnsi="Calibri" w:cs="Calibri"/>
          <w:b/>
          <w:sz w:val="22"/>
          <w:szCs w:val="22"/>
          <w:u w:val="single"/>
        </w:rPr>
        <w:t>A.9. Payments or Gifts to Respondents</w:t>
      </w:r>
    </w:p>
    <w:p w:rsidR="003B3FAD" w:rsidP="003B3FAD" w:rsidRDefault="003B3FAD" w14:paraId="45E24F2A"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ormaltextrun"/>
          <w:rFonts w:ascii="Corbel" w:hAnsi="Corbel" w:cs="Segoe UI"/>
          <w:sz w:val="22"/>
          <w:szCs w:val="22"/>
        </w:rPr>
      </w:pPr>
      <w:r>
        <w:rPr>
          <w:rStyle w:val="normaltextrun"/>
          <w:rFonts w:ascii="Corbel" w:hAnsi="Corbel" w:cs="Segoe UI"/>
          <w:sz w:val="22"/>
          <w:szCs w:val="22"/>
        </w:rPr>
        <w:t>There are no payments or gifts to respondents.</w:t>
      </w:r>
    </w:p>
    <w:p w:rsidRPr="0032494C" w:rsidR="006C7470" w:rsidP="003B3FAD" w:rsidRDefault="006C7470" w14:paraId="57CA10EF"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32494C" w:rsidR="006C7470" w:rsidP="006C7470" w:rsidRDefault="006C7470" w14:paraId="7DF8914A"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u w:val="single"/>
        </w:rPr>
      </w:pPr>
      <w:r w:rsidRPr="0032494C">
        <w:rPr>
          <w:rFonts w:ascii="Calibri" w:hAnsi="Calibri" w:cs="Calibri"/>
          <w:b/>
          <w:sz w:val="22"/>
          <w:szCs w:val="22"/>
          <w:u w:val="single"/>
        </w:rPr>
        <w:t>A.10. Assurance of Confidentiality</w:t>
      </w:r>
    </w:p>
    <w:p w:rsidRPr="0032494C" w:rsidR="006C7470" w:rsidP="006C7470" w:rsidRDefault="006C7470" w14:paraId="43EAB660" w14:textId="51C9BB2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 xml:space="preserve">All data collection activities will be submitted for approval by the Institutional Review </w:t>
      </w:r>
      <w:r w:rsidR="003B3FAD">
        <w:rPr>
          <w:rFonts w:ascii="Calibri" w:hAnsi="Calibri" w:cs="Calibri"/>
          <w:sz w:val="22"/>
          <w:szCs w:val="22"/>
        </w:rPr>
        <w:t>B</w:t>
      </w:r>
      <w:r w:rsidRPr="0032494C">
        <w:rPr>
          <w:rFonts w:ascii="Calibri" w:hAnsi="Calibri" w:cs="Calibri"/>
          <w:sz w:val="22"/>
          <w:szCs w:val="22"/>
        </w:rPr>
        <w:t>oard at Education Development Center. Per EDC’s IRB, data collection will strictly follow 45</w:t>
      </w:r>
      <w:r w:rsidR="003B3FAD">
        <w:rPr>
          <w:rFonts w:ascii="Calibri" w:hAnsi="Calibri" w:cs="Calibri"/>
          <w:sz w:val="22"/>
          <w:szCs w:val="22"/>
        </w:rPr>
        <w:t xml:space="preserve"> CFR </w:t>
      </w:r>
      <w:r w:rsidRPr="0032494C">
        <w:rPr>
          <w:rFonts w:ascii="Calibri" w:hAnsi="Calibri" w:cs="Calibri"/>
          <w:sz w:val="22"/>
          <w:szCs w:val="22"/>
        </w:rPr>
        <w:t xml:space="preserve">46 </w:t>
      </w:r>
      <w:r w:rsidR="003B3FAD">
        <w:rPr>
          <w:rFonts w:ascii="Calibri" w:hAnsi="Calibri" w:cs="Calibri"/>
          <w:sz w:val="22"/>
          <w:szCs w:val="22"/>
        </w:rPr>
        <w:t>(</w:t>
      </w:r>
      <w:r w:rsidRPr="0032494C">
        <w:rPr>
          <w:rFonts w:ascii="Calibri" w:hAnsi="Calibri" w:cs="Calibri"/>
          <w:sz w:val="22"/>
          <w:szCs w:val="22"/>
        </w:rPr>
        <w:t xml:space="preserve">Protection of Human Subjects). Any personally identifiable data collected (e.g., respondent name) will be removed prior to analysis. </w:t>
      </w:r>
    </w:p>
    <w:p w:rsidRPr="0032494C" w:rsidR="006C7470" w:rsidP="006C7470" w:rsidRDefault="006C7470" w14:paraId="1E634955"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rsidRPr="0032494C" w:rsidR="006C7470" w:rsidP="006C7470" w:rsidRDefault="006C7470" w14:paraId="68A94A21" w14:textId="4E52FE0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 xml:space="preserve">In order to ensure that individual responses cannot be traced back to respondents in any publications that result from this work, data will be presented in the aggregate. Furthermore, any cells with less than three cases will be suppressed. </w:t>
      </w:r>
      <w:r w:rsidR="003B3FAD">
        <w:rPr>
          <w:rFonts w:ascii="Calibri" w:hAnsi="Calibri" w:cs="Calibri"/>
          <w:sz w:val="22"/>
          <w:szCs w:val="22"/>
        </w:rPr>
        <w:t>Q</w:t>
      </w:r>
      <w:r w:rsidRPr="0032494C">
        <w:rPr>
          <w:rFonts w:ascii="Calibri" w:hAnsi="Calibri" w:cs="Calibri"/>
          <w:sz w:val="22"/>
          <w:szCs w:val="22"/>
        </w:rPr>
        <w:t xml:space="preserve">ualitative data </w:t>
      </w:r>
      <w:r w:rsidR="003B3FAD">
        <w:rPr>
          <w:rFonts w:ascii="Calibri" w:hAnsi="Calibri" w:cs="Calibri"/>
          <w:sz w:val="22"/>
          <w:szCs w:val="22"/>
        </w:rPr>
        <w:t xml:space="preserve">will be reported </w:t>
      </w:r>
      <w:r w:rsidRPr="0032494C">
        <w:rPr>
          <w:rFonts w:ascii="Calibri" w:hAnsi="Calibri" w:cs="Calibri"/>
          <w:sz w:val="22"/>
          <w:szCs w:val="22"/>
        </w:rPr>
        <w:t xml:space="preserve">thematically. Identifiable data will be removed prior to coding. </w:t>
      </w:r>
    </w:p>
    <w:p w:rsidRPr="0032494C" w:rsidR="006C7470" w:rsidP="006C7470" w:rsidRDefault="006C7470" w14:paraId="418DD17E"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rPr>
      </w:pPr>
    </w:p>
    <w:p w:rsidRPr="0032494C" w:rsidR="006C7470" w:rsidP="006C7470" w:rsidRDefault="006C7470" w14:paraId="78AAB220"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u w:val="single"/>
        </w:rPr>
      </w:pPr>
      <w:r w:rsidRPr="0032494C">
        <w:rPr>
          <w:rFonts w:ascii="Calibri" w:hAnsi="Calibri" w:cs="Calibri"/>
          <w:b/>
          <w:sz w:val="22"/>
          <w:szCs w:val="22"/>
          <w:u w:val="single"/>
        </w:rPr>
        <w:lastRenderedPageBreak/>
        <w:t>A.11. Justification for Sensitive Questions</w:t>
      </w:r>
    </w:p>
    <w:p w:rsidRPr="0032494C" w:rsidR="006C7470" w:rsidP="006C7470" w:rsidRDefault="006C7470" w14:paraId="47807048" w14:textId="74C9DAB9">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 xml:space="preserve">To understand the backgrounds of staff facilitating </w:t>
      </w:r>
      <w:r w:rsidR="009155F7">
        <w:rPr>
          <w:rFonts w:ascii="Calibri" w:hAnsi="Calibri" w:cs="Calibri"/>
          <w:sz w:val="22"/>
          <w:szCs w:val="22"/>
        </w:rPr>
        <w:t xml:space="preserve">the </w:t>
      </w:r>
      <w:r w:rsidRPr="0032494C">
        <w:rPr>
          <w:rFonts w:ascii="Calibri" w:hAnsi="Calibri" w:cs="Calibri"/>
          <w:sz w:val="22"/>
          <w:szCs w:val="22"/>
        </w:rPr>
        <w:t xml:space="preserve">SRP, the survey will include demographic and background questions, such as highest level of education completed. </w:t>
      </w:r>
      <w:r w:rsidR="004F5839">
        <w:rPr>
          <w:rFonts w:ascii="Calibri" w:hAnsi="Calibri" w:cs="Calibri"/>
          <w:sz w:val="22"/>
          <w:szCs w:val="22"/>
        </w:rPr>
        <w:t xml:space="preserve">Survey </w:t>
      </w:r>
      <w:r w:rsidR="008021CE">
        <w:rPr>
          <w:rFonts w:ascii="Calibri" w:hAnsi="Calibri" w:cs="Calibri"/>
          <w:sz w:val="22"/>
          <w:szCs w:val="22"/>
        </w:rPr>
        <w:t>respondents</w:t>
      </w:r>
      <w:r w:rsidR="004F5839">
        <w:rPr>
          <w:rFonts w:ascii="Calibri" w:hAnsi="Calibri" w:cs="Calibri"/>
          <w:sz w:val="22"/>
          <w:szCs w:val="22"/>
        </w:rPr>
        <w:t xml:space="preserve"> will have the option </w:t>
      </w:r>
      <w:r w:rsidR="008021CE">
        <w:rPr>
          <w:rFonts w:ascii="Calibri" w:hAnsi="Calibri" w:cs="Calibri"/>
          <w:sz w:val="22"/>
          <w:szCs w:val="22"/>
        </w:rPr>
        <w:t>to</w:t>
      </w:r>
      <w:r w:rsidR="004F5839">
        <w:rPr>
          <w:rFonts w:ascii="Calibri" w:hAnsi="Calibri" w:cs="Calibri"/>
          <w:sz w:val="22"/>
          <w:szCs w:val="22"/>
        </w:rPr>
        <w:t xml:space="preserve"> </w:t>
      </w:r>
      <w:r w:rsidR="008021CE">
        <w:rPr>
          <w:rFonts w:ascii="Calibri" w:hAnsi="Calibri" w:cs="Calibri"/>
          <w:sz w:val="22"/>
          <w:szCs w:val="22"/>
        </w:rPr>
        <w:t xml:space="preserve">skip </w:t>
      </w:r>
      <w:r w:rsidR="004F5839">
        <w:rPr>
          <w:rFonts w:ascii="Calibri" w:hAnsi="Calibri" w:cs="Calibri"/>
          <w:sz w:val="22"/>
          <w:szCs w:val="22"/>
        </w:rPr>
        <w:t>these questions</w:t>
      </w:r>
      <w:r w:rsidR="008021CE">
        <w:rPr>
          <w:rFonts w:ascii="Calibri" w:hAnsi="Calibri" w:cs="Calibri"/>
          <w:sz w:val="22"/>
          <w:szCs w:val="22"/>
        </w:rPr>
        <w:t xml:space="preserve">. </w:t>
      </w:r>
      <w:r w:rsidR="004F5839">
        <w:rPr>
          <w:rFonts w:ascii="Calibri" w:hAnsi="Calibri" w:cs="Calibri"/>
          <w:sz w:val="22"/>
          <w:szCs w:val="22"/>
        </w:rPr>
        <w:t xml:space="preserve">Prior to taking the survey, participants will sign a consent form that outlines </w:t>
      </w:r>
      <w:r w:rsidR="00454EBD">
        <w:rPr>
          <w:rFonts w:ascii="Calibri" w:hAnsi="Calibri" w:cs="Calibri"/>
          <w:sz w:val="22"/>
          <w:szCs w:val="22"/>
        </w:rPr>
        <w:t xml:space="preserve">their </w:t>
      </w:r>
      <w:r w:rsidR="004F5839">
        <w:rPr>
          <w:rFonts w:ascii="Calibri" w:hAnsi="Calibri" w:cs="Calibri"/>
          <w:sz w:val="22"/>
          <w:szCs w:val="22"/>
        </w:rPr>
        <w:t>right</w:t>
      </w:r>
      <w:r w:rsidR="00454EBD">
        <w:rPr>
          <w:rFonts w:ascii="Calibri" w:hAnsi="Calibri" w:cs="Calibri"/>
          <w:sz w:val="22"/>
          <w:szCs w:val="22"/>
        </w:rPr>
        <w:t>s</w:t>
      </w:r>
      <w:r w:rsidR="004F5839">
        <w:rPr>
          <w:rFonts w:ascii="Calibri" w:hAnsi="Calibri" w:cs="Calibri"/>
          <w:sz w:val="22"/>
          <w:szCs w:val="22"/>
        </w:rPr>
        <w:t xml:space="preserve"> as research participant</w:t>
      </w:r>
      <w:r w:rsidR="008021CE">
        <w:rPr>
          <w:rFonts w:ascii="Calibri" w:hAnsi="Calibri" w:cs="Calibri"/>
          <w:sz w:val="22"/>
          <w:szCs w:val="22"/>
        </w:rPr>
        <w:t>s</w:t>
      </w:r>
      <w:r w:rsidR="00454EBD">
        <w:rPr>
          <w:rFonts w:ascii="Calibri" w:hAnsi="Calibri" w:cs="Calibri"/>
          <w:sz w:val="22"/>
          <w:szCs w:val="22"/>
        </w:rPr>
        <w:t xml:space="preserve">, including the options to </w:t>
      </w:r>
      <w:r w:rsidR="004F5839">
        <w:rPr>
          <w:rFonts w:ascii="Calibri" w:hAnsi="Calibri" w:cs="Calibri"/>
          <w:sz w:val="22"/>
          <w:szCs w:val="22"/>
        </w:rPr>
        <w:t>skip questions and to withdraw from the study</w:t>
      </w:r>
      <w:r w:rsidR="00454EBD">
        <w:rPr>
          <w:rFonts w:ascii="Calibri" w:hAnsi="Calibri" w:cs="Calibri"/>
          <w:sz w:val="22"/>
          <w:szCs w:val="22"/>
        </w:rPr>
        <w:t xml:space="preserve"> at any time</w:t>
      </w:r>
      <w:r w:rsidR="004F5839">
        <w:rPr>
          <w:rFonts w:ascii="Calibri" w:hAnsi="Calibri" w:cs="Calibri"/>
          <w:sz w:val="22"/>
          <w:szCs w:val="22"/>
        </w:rPr>
        <w:t xml:space="preserve"> with no consequence. </w:t>
      </w:r>
      <w:r w:rsidRPr="0032494C">
        <w:rPr>
          <w:rFonts w:ascii="Calibri" w:hAnsi="Calibri" w:cs="Calibri"/>
          <w:sz w:val="22"/>
          <w:szCs w:val="22"/>
        </w:rPr>
        <w:t>The survey will not include any other type of sensitive questions.</w:t>
      </w:r>
    </w:p>
    <w:p w:rsidRPr="0032494C" w:rsidR="006C7470" w:rsidP="006C7470" w:rsidRDefault="006C7470" w14:paraId="25606156"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rsidRPr="0032494C" w:rsidR="006C7470" w:rsidP="006C7470" w:rsidRDefault="006C7470" w14:paraId="7D82D84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u w:val="single"/>
        </w:rPr>
      </w:pPr>
      <w:r w:rsidRPr="0032494C">
        <w:rPr>
          <w:rFonts w:ascii="Calibri" w:hAnsi="Calibri" w:cs="Calibri"/>
          <w:b/>
          <w:sz w:val="22"/>
          <w:szCs w:val="22"/>
          <w:u w:val="single"/>
        </w:rPr>
        <w:t xml:space="preserve">A.12. Estimates of Hour Burden to Respondents/Table </w:t>
      </w:r>
    </w:p>
    <w:p w:rsidRPr="0032494C" w:rsidR="006C7470" w:rsidP="006C7470" w:rsidRDefault="006C7470" w14:paraId="1FB063A1" w14:textId="77777777">
      <w:pPr>
        <w:pStyle w:val="Caption"/>
        <w:keepNext/>
        <w:spacing w:after="120"/>
        <w:rPr>
          <w:rFonts w:ascii="Calibri" w:hAnsi="Calibri" w:cs="Calibri"/>
          <w:b/>
          <w:i w:val="0"/>
          <w:sz w:val="22"/>
          <w:szCs w:val="22"/>
        </w:rPr>
      </w:pPr>
    </w:p>
    <w:p w:rsidRPr="0032494C" w:rsidR="006C7470" w:rsidP="006C7470" w:rsidRDefault="006C7470" w14:paraId="4CEADBBF" w14:textId="6DA95310">
      <w:pPr>
        <w:pStyle w:val="Caption"/>
        <w:keepNext/>
        <w:spacing w:after="120"/>
        <w:rPr>
          <w:rFonts w:ascii="Calibri" w:hAnsi="Calibri" w:cs="Calibri"/>
          <w:b/>
          <w:i w:val="0"/>
          <w:sz w:val="22"/>
          <w:szCs w:val="22"/>
        </w:rPr>
      </w:pPr>
      <w:bookmarkStart w:name="_Ref36113020" w:id="1"/>
      <w:r w:rsidRPr="0032494C">
        <w:rPr>
          <w:rFonts w:ascii="Calibri" w:hAnsi="Calibri" w:cs="Calibri"/>
          <w:b/>
          <w:i w:val="0"/>
          <w:sz w:val="22"/>
          <w:szCs w:val="22"/>
        </w:rPr>
        <w:t xml:space="preserve">Table </w:t>
      </w:r>
      <w:r w:rsidRPr="0032494C">
        <w:rPr>
          <w:rFonts w:ascii="Calibri" w:hAnsi="Calibri" w:cs="Calibri"/>
          <w:b/>
          <w:i w:val="0"/>
          <w:sz w:val="22"/>
          <w:szCs w:val="22"/>
        </w:rPr>
        <w:fldChar w:fldCharType="begin"/>
      </w:r>
      <w:r w:rsidRPr="0032494C">
        <w:rPr>
          <w:rFonts w:ascii="Calibri" w:hAnsi="Calibri" w:cs="Calibri"/>
          <w:b/>
          <w:i w:val="0"/>
          <w:sz w:val="22"/>
          <w:szCs w:val="22"/>
        </w:rPr>
        <w:instrText xml:space="preserve"> SEQ Table \* ARABIC </w:instrText>
      </w:r>
      <w:r w:rsidRPr="0032494C">
        <w:rPr>
          <w:rFonts w:ascii="Calibri" w:hAnsi="Calibri" w:cs="Calibri"/>
          <w:b/>
          <w:i w:val="0"/>
          <w:sz w:val="22"/>
          <w:szCs w:val="22"/>
        </w:rPr>
        <w:fldChar w:fldCharType="separate"/>
      </w:r>
      <w:r w:rsidR="008F225B">
        <w:rPr>
          <w:rFonts w:ascii="Calibri" w:hAnsi="Calibri" w:cs="Calibri"/>
          <w:b/>
          <w:i w:val="0"/>
          <w:noProof/>
          <w:sz w:val="22"/>
          <w:szCs w:val="22"/>
        </w:rPr>
        <w:t>3</w:t>
      </w:r>
      <w:r w:rsidRPr="0032494C">
        <w:rPr>
          <w:rFonts w:ascii="Calibri" w:hAnsi="Calibri" w:cs="Calibri"/>
          <w:b/>
          <w:i w:val="0"/>
          <w:sz w:val="22"/>
          <w:szCs w:val="22"/>
        </w:rPr>
        <w:fldChar w:fldCharType="end"/>
      </w:r>
      <w:bookmarkEnd w:id="1"/>
      <w:r w:rsidRPr="0032494C">
        <w:rPr>
          <w:rFonts w:ascii="Calibri" w:hAnsi="Calibri" w:cs="Calibri"/>
          <w:b/>
          <w:i w:val="0"/>
          <w:sz w:val="22"/>
          <w:szCs w:val="22"/>
        </w:rPr>
        <w:t>. Estimates of Hour Burden to Respondents</w:t>
      </w:r>
    </w:p>
    <w:tbl>
      <w:tblPr>
        <w:tblStyle w:val="TableGrid"/>
        <w:tblW w:w="9085" w:type="dxa"/>
        <w:tblLook w:val="04A0" w:firstRow="1" w:lastRow="0" w:firstColumn="1" w:lastColumn="0" w:noHBand="0" w:noVBand="1"/>
      </w:tblPr>
      <w:tblGrid>
        <w:gridCol w:w="985"/>
        <w:gridCol w:w="1124"/>
        <w:gridCol w:w="1336"/>
        <w:gridCol w:w="1336"/>
        <w:gridCol w:w="1259"/>
        <w:gridCol w:w="1490"/>
        <w:gridCol w:w="1555"/>
      </w:tblGrid>
      <w:tr w:rsidRPr="0032494C" w:rsidR="006C7470" w:rsidTr="001E7871" w14:paraId="331CE47B" w14:textId="77777777">
        <w:trPr>
          <w:trHeight w:val="109"/>
        </w:trPr>
        <w:tc>
          <w:tcPr>
            <w:tcW w:w="985" w:type="dxa"/>
            <w:shd w:val="clear" w:color="auto" w:fill="767171" w:themeFill="background2" w:themeFillShade="80"/>
            <w:vAlign w:val="bottom"/>
          </w:tcPr>
          <w:p w:rsidRPr="0032494C" w:rsidR="006C7470" w:rsidP="009007F4" w:rsidRDefault="006C7470" w14:paraId="68FD1A6E"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FFFFFF" w:themeColor="background1"/>
                <w:sz w:val="18"/>
                <w:szCs w:val="18"/>
              </w:rPr>
            </w:pPr>
          </w:p>
        </w:tc>
        <w:tc>
          <w:tcPr>
            <w:tcW w:w="1124" w:type="dxa"/>
            <w:shd w:val="clear" w:color="auto" w:fill="767171" w:themeFill="background2" w:themeFillShade="80"/>
            <w:vAlign w:val="bottom"/>
          </w:tcPr>
          <w:p w:rsidRPr="0032494C" w:rsidR="006C7470" w:rsidP="009007F4" w:rsidRDefault="006C7470" w14:paraId="50EBEB51"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FFFFFF" w:themeColor="background1"/>
                <w:sz w:val="18"/>
                <w:szCs w:val="18"/>
              </w:rPr>
            </w:pPr>
            <w:r w:rsidRPr="0032494C">
              <w:rPr>
                <w:rFonts w:ascii="Calibri" w:hAnsi="Calibri" w:cs="Calibri"/>
                <w:color w:val="FFFFFF" w:themeColor="background1"/>
                <w:sz w:val="18"/>
                <w:szCs w:val="18"/>
              </w:rPr>
              <w:t>Data</w:t>
            </w:r>
          </w:p>
        </w:tc>
        <w:tc>
          <w:tcPr>
            <w:tcW w:w="1336" w:type="dxa"/>
            <w:shd w:val="clear" w:color="auto" w:fill="767171" w:themeFill="background2" w:themeFillShade="80"/>
            <w:vAlign w:val="bottom"/>
          </w:tcPr>
          <w:p w:rsidRPr="0032494C" w:rsidR="006C7470" w:rsidP="009007F4" w:rsidRDefault="006C7470" w14:paraId="05AF57D9"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FFFFFF" w:themeColor="background1"/>
                <w:sz w:val="18"/>
                <w:szCs w:val="18"/>
              </w:rPr>
            </w:pPr>
            <w:r w:rsidRPr="0032494C">
              <w:rPr>
                <w:rFonts w:ascii="Calibri" w:hAnsi="Calibri" w:cs="Calibri"/>
                <w:color w:val="FFFFFF" w:themeColor="background1"/>
                <w:sz w:val="18"/>
                <w:szCs w:val="18"/>
              </w:rPr>
              <w:t>Participant group</w:t>
            </w:r>
          </w:p>
        </w:tc>
        <w:tc>
          <w:tcPr>
            <w:tcW w:w="1336" w:type="dxa"/>
            <w:shd w:val="clear" w:color="auto" w:fill="767171" w:themeFill="background2" w:themeFillShade="80"/>
            <w:vAlign w:val="bottom"/>
          </w:tcPr>
          <w:p w:rsidRPr="0032494C" w:rsidR="006C7470" w:rsidP="009007F4" w:rsidRDefault="006C7470" w14:paraId="32C9D602"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FFFFFF" w:themeColor="background1"/>
                <w:sz w:val="18"/>
                <w:szCs w:val="18"/>
              </w:rPr>
            </w:pPr>
            <w:r w:rsidRPr="0032494C">
              <w:rPr>
                <w:rFonts w:ascii="Calibri" w:hAnsi="Calibri" w:cs="Calibri"/>
                <w:color w:val="FFFFFF" w:themeColor="background1"/>
                <w:sz w:val="18"/>
                <w:szCs w:val="18"/>
              </w:rPr>
              <w:t>Estimated # of respondents</w:t>
            </w:r>
          </w:p>
        </w:tc>
        <w:tc>
          <w:tcPr>
            <w:tcW w:w="1259" w:type="dxa"/>
            <w:shd w:val="clear" w:color="auto" w:fill="767171" w:themeFill="background2" w:themeFillShade="80"/>
            <w:vAlign w:val="bottom"/>
          </w:tcPr>
          <w:p w:rsidRPr="0032494C" w:rsidR="006C7470" w:rsidP="009007F4" w:rsidRDefault="006C7470" w14:paraId="0423CAB8"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FFFFFF" w:themeColor="background1"/>
                <w:sz w:val="18"/>
                <w:szCs w:val="18"/>
              </w:rPr>
            </w:pPr>
            <w:r w:rsidRPr="0032494C">
              <w:rPr>
                <w:rFonts w:ascii="Calibri" w:hAnsi="Calibri" w:cs="Calibri"/>
                <w:color w:val="FFFFFF" w:themeColor="background1"/>
                <w:sz w:val="18"/>
                <w:szCs w:val="18"/>
              </w:rPr>
              <w:t>Frequency of response</w:t>
            </w:r>
          </w:p>
        </w:tc>
        <w:tc>
          <w:tcPr>
            <w:tcW w:w="1490" w:type="dxa"/>
            <w:shd w:val="clear" w:color="auto" w:fill="767171" w:themeFill="background2" w:themeFillShade="80"/>
            <w:vAlign w:val="bottom"/>
          </w:tcPr>
          <w:p w:rsidRPr="0032494C" w:rsidR="006C7470" w:rsidP="009007F4" w:rsidRDefault="006C7470" w14:paraId="6C24ACF6"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FFFFFF" w:themeColor="background1"/>
                <w:sz w:val="18"/>
                <w:szCs w:val="18"/>
              </w:rPr>
            </w:pPr>
            <w:r w:rsidRPr="0032494C">
              <w:rPr>
                <w:rFonts w:ascii="Calibri" w:hAnsi="Calibri" w:cs="Calibri"/>
                <w:color w:val="FFFFFF" w:themeColor="background1"/>
                <w:sz w:val="18"/>
                <w:szCs w:val="18"/>
              </w:rPr>
              <w:t>Estimated response time</w:t>
            </w:r>
          </w:p>
        </w:tc>
        <w:tc>
          <w:tcPr>
            <w:tcW w:w="1555" w:type="dxa"/>
            <w:shd w:val="clear" w:color="auto" w:fill="767171" w:themeFill="background2" w:themeFillShade="80"/>
            <w:vAlign w:val="bottom"/>
          </w:tcPr>
          <w:p w:rsidRPr="0032494C" w:rsidR="006C7470" w:rsidP="009007F4" w:rsidRDefault="006C7470" w14:paraId="560C5B71"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FFFFFF" w:themeColor="background1"/>
                <w:sz w:val="18"/>
                <w:szCs w:val="18"/>
              </w:rPr>
            </w:pPr>
            <w:r w:rsidRPr="0032494C">
              <w:rPr>
                <w:rFonts w:ascii="Calibri" w:hAnsi="Calibri" w:cs="Calibri"/>
                <w:color w:val="FFFFFF" w:themeColor="background1"/>
                <w:sz w:val="18"/>
                <w:szCs w:val="18"/>
              </w:rPr>
              <w:t>Estimated total burden hours</w:t>
            </w:r>
          </w:p>
        </w:tc>
      </w:tr>
      <w:tr w:rsidRPr="0032494C" w:rsidR="006C7470" w:rsidTr="001E7871" w14:paraId="58FDBB7F" w14:textId="77777777">
        <w:trPr>
          <w:trHeight w:val="449"/>
        </w:trPr>
        <w:tc>
          <w:tcPr>
            <w:tcW w:w="985" w:type="dxa"/>
            <w:vAlign w:val="center"/>
          </w:tcPr>
          <w:p w:rsidRPr="0032494C" w:rsidR="006C7470" w:rsidP="009007F4" w:rsidRDefault="006C7470" w14:paraId="767601C5"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Year 1</w:t>
            </w:r>
          </w:p>
        </w:tc>
        <w:tc>
          <w:tcPr>
            <w:tcW w:w="1124" w:type="dxa"/>
            <w:vAlign w:val="center"/>
          </w:tcPr>
          <w:p w:rsidRPr="0032494C" w:rsidR="006C7470" w:rsidP="009007F4" w:rsidRDefault="006C7470" w14:paraId="282EE086"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Interview</w:t>
            </w:r>
          </w:p>
        </w:tc>
        <w:tc>
          <w:tcPr>
            <w:tcW w:w="1336" w:type="dxa"/>
          </w:tcPr>
          <w:p w:rsidRPr="0032494C" w:rsidR="006C7470" w:rsidP="009007F4" w:rsidRDefault="006C7470" w14:paraId="29683532"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Museum employees</w:t>
            </w:r>
          </w:p>
        </w:tc>
        <w:tc>
          <w:tcPr>
            <w:tcW w:w="1336" w:type="dxa"/>
            <w:shd w:val="clear" w:color="auto" w:fill="auto"/>
            <w:vAlign w:val="center"/>
          </w:tcPr>
          <w:p w:rsidRPr="0032494C" w:rsidR="006C7470" w:rsidP="009007F4" w:rsidRDefault="006C7470" w14:paraId="1DCD81B4"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highlight w:val="green"/>
              </w:rPr>
            </w:pPr>
            <w:r w:rsidRPr="0032494C">
              <w:rPr>
                <w:rFonts w:ascii="Calibri" w:hAnsi="Calibri" w:cs="Calibri"/>
                <w:sz w:val="18"/>
                <w:szCs w:val="18"/>
              </w:rPr>
              <w:t>3</w:t>
            </w:r>
          </w:p>
        </w:tc>
        <w:tc>
          <w:tcPr>
            <w:tcW w:w="1259" w:type="dxa"/>
            <w:vAlign w:val="center"/>
          </w:tcPr>
          <w:p w:rsidRPr="0032494C" w:rsidR="006C7470" w:rsidP="009007F4" w:rsidRDefault="006C7470" w14:paraId="6FF59541"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1</w:t>
            </w:r>
          </w:p>
        </w:tc>
        <w:tc>
          <w:tcPr>
            <w:tcW w:w="1490" w:type="dxa"/>
            <w:vAlign w:val="center"/>
          </w:tcPr>
          <w:p w:rsidRPr="0032494C" w:rsidR="006C7470" w:rsidP="009007F4" w:rsidRDefault="006C7470" w14:paraId="3B6BC7AA"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1 hour</w:t>
            </w:r>
          </w:p>
        </w:tc>
        <w:tc>
          <w:tcPr>
            <w:tcW w:w="1555" w:type="dxa"/>
            <w:shd w:val="clear" w:color="auto" w:fill="auto"/>
            <w:vAlign w:val="center"/>
          </w:tcPr>
          <w:p w:rsidRPr="0032494C" w:rsidR="006C7470" w:rsidP="009007F4" w:rsidRDefault="006C7470" w14:paraId="30D791B6"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3 hours</w:t>
            </w:r>
          </w:p>
        </w:tc>
      </w:tr>
      <w:tr w:rsidRPr="0032494C" w:rsidR="006C7470" w:rsidTr="001E7871" w14:paraId="2D64E6C4" w14:textId="77777777">
        <w:trPr>
          <w:trHeight w:val="359"/>
        </w:trPr>
        <w:tc>
          <w:tcPr>
            <w:tcW w:w="985" w:type="dxa"/>
            <w:shd w:val="clear" w:color="auto" w:fill="D9D9D9" w:themeFill="background1" w:themeFillShade="D9"/>
            <w:vAlign w:val="center"/>
          </w:tcPr>
          <w:p w:rsidRPr="0032494C" w:rsidR="006C7470" w:rsidP="009007F4" w:rsidRDefault="006C7470" w14:paraId="190EE2D0"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Year 1</w:t>
            </w:r>
          </w:p>
        </w:tc>
        <w:tc>
          <w:tcPr>
            <w:tcW w:w="1124" w:type="dxa"/>
            <w:shd w:val="clear" w:color="auto" w:fill="D9D9D9" w:themeFill="background1" w:themeFillShade="D9"/>
            <w:vAlign w:val="center"/>
          </w:tcPr>
          <w:p w:rsidRPr="0032494C" w:rsidR="006C7470" w:rsidP="009007F4" w:rsidRDefault="006C7470" w14:paraId="6B1FF9B6"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Survey</w:t>
            </w:r>
          </w:p>
        </w:tc>
        <w:tc>
          <w:tcPr>
            <w:tcW w:w="1336" w:type="dxa"/>
            <w:shd w:val="clear" w:color="auto" w:fill="D9D9D9" w:themeFill="background1" w:themeFillShade="D9"/>
          </w:tcPr>
          <w:p w:rsidRPr="0032494C" w:rsidR="006C7470" w:rsidP="009007F4" w:rsidRDefault="006C7470" w14:paraId="44BBA524"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Museum employees</w:t>
            </w:r>
          </w:p>
        </w:tc>
        <w:tc>
          <w:tcPr>
            <w:tcW w:w="1336" w:type="dxa"/>
            <w:shd w:val="clear" w:color="auto" w:fill="D9D9D9" w:themeFill="background1" w:themeFillShade="D9"/>
            <w:vAlign w:val="center"/>
          </w:tcPr>
          <w:p w:rsidRPr="0032494C" w:rsidR="006C7470" w:rsidP="009007F4" w:rsidRDefault="006C7470" w14:paraId="6DBB30D0"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6</w:t>
            </w:r>
          </w:p>
        </w:tc>
        <w:tc>
          <w:tcPr>
            <w:tcW w:w="1259" w:type="dxa"/>
            <w:shd w:val="clear" w:color="auto" w:fill="D9D9D9" w:themeFill="background1" w:themeFillShade="D9"/>
            <w:vAlign w:val="center"/>
          </w:tcPr>
          <w:p w:rsidRPr="0032494C" w:rsidR="006C7470" w:rsidP="009007F4" w:rsidRDefault="006C7470" w14:paraId="414C9A7E"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1</w:t>
            </w:r>
          </w:p>
        </w:tc>
        <w:tc>
          <w:tcPr>
            <w:tcW w:w="1490" w:type="dxa"/>
            <w:shd w:val="clear" w:color="auto" w:fill="D9D9D9" w:themeFill="background1" w:themeFillShade="D9"/>
            <w:vAlign w:val="center"/>
          </w:tcPr>
          <w:p w:rsidRPr="0032494C" w:rsidR="006C7470" w:rsidP="009007F4" w:rsidRDefault="006C7470" w14:paraId="32CFA239"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0.5 hour</w:t>
            </w:r>
          </w:p>
        </w:tc>
        <w:tc>
          <w:tcPr>
            <w:tcW w:w="1555" w:type="dxa"/>
            <w:shd w:val="clear" w:color="auto" w:fill="D9D9D9" w:themeFill="background1" w:themeFillShade="D9"/>
            <w:vAlign w:val="center"/>
          </w:tcPr>
          <w:p w:rsidRPr="0032494C" w:rsidR="006C7470" w:rsidP="009007F4" w:rsidRDefault="006C7470" w14:paraId="628F455D"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3 hours</w:t>
            </w:r>
          </w:p>
        </w:tc>
      </w:tr>
      <w:tr w:rsidRPr="0032494C" w:rsidR="006C7470" w:rsidTr="001E7871" w14:paraId="6C9D3CE7" w14:textId="77777777">
        <w:trPr>
          <w:trHeight w:val="359"/>
        </w:trPr>
        <w:tc>
          <w:tcPr>
            <w:tcW w:w="985" w:type="dxa"/>
            <w:shd w:val="clear" w:color="auto" w:fill="auto"/>
            <w:vAlign w:val="center"/>
          </w:tcPr>
          <w:p w:rsidRPr="0032494C" w:rsidR="006C7470" w:rsidP="009007F4" w:rsidRDefault="006C7470" w14:paraId="12F5A8D9"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Year 2 &amp; Year 3</w:t>
            </w:r>
          </w:p>
        </w:tc>
        <w:tc>
          <w:tcPr>
            <w:tcW w:w="1124" w:type="dxa"/>
            <w:shd w:val="clear" w:color="auto" w:fill="auto"/>
            <w:vAlign w:val="center"/>
          </w:tcPr>
          <w:p w:rsidRPr="0032494C" w:rsidR="006C7470" w:rsidP="009007F4" w:rsidRDefault="006C7470" w14:paraId="755B56C9"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 xml:space="preserve">Survey </w:t>
            </w:r>
          </w:p>
        </w:tc>
        <w:tc>
          <w:tcPr>
            <w:tcW w:w="1336" w:type="dxa"/>
          </w:tcPr>
          <w:p w:rsidRPr="0032494C" w:rsidR="006C7470" w:rsidP="009007F4" w:rsidRDefault="006C7470" w14:paraId="4C1D4193"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Museum employees</w:t>
            </w:r>
          </w:p>
        </w:tc>
        <w:tc>
          <w:tcPr>
            <w:tcW w:w="1336" w:type="dxa"/>
            <w:shd w:val="clear" w:color="auto" w:fill="auto"/>
            <w:vAlign w:val="center"/>
          </w:tcPr>
          <w:p w:rsidRPr="0032494C" w:rsidR="006C7470" w:rsidP="009007F4" w:rsidRDefault="006C7470" w14:paraId="19697541"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40*</w:t>
            </w:r>
          </w:p>
        </w:tc>
        <w:tc>
          <w:tcPr>
            <w:tcW w:w="1259" w:type="dxa"/>
            <w:vAlign w:val="center"/>
          </w:tcPr>
          <w:p w:rsidRPr="0032494C" w:rsidR="006C7470" w:rsidP="009007F4" w:rsidRDefault="006C7470" w14:paraId="7DC3F1B6"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2</w:t>
            </w:r>
          </w:p>
        </w:tc>
        <w:tc>
          <w:tcPr>
            <w:tcW w:w="1490" w:type="dxa"/>
            <w:shd w:val="clear" w:color="auto" w:fill="auto"/>
            <w:vAlign w:val="center"/>
          </w:tcPr>
          <w:p w:rsidRPr="0032494C" w:rsidR="006C7470" w:rsidP="009007F4" w:rsidRDefault="006C7470" w14:paraId="611CCEAC"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0.5 hour</w:t>
            </w:r>
          </w:p>
        </w:tc>
        <w:tc>
          <w:tcPr>
            <w:tcW w:w="1555" w:type="dxa"/>
            <w:shd w:val="clear" w:color="auto" w:fill="auto"/>
            <w:vAlign w:val="center"/>
          </w:tcPr>
          <w:p w:rsidRPr="0032494C" w:rsidR="006C7470" w:rsidP="009007F4" w:rsidRDefault="006C7470" w14:paraId="29318A8E"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40 hours</w:t>
            </w:r>
          </w:p>
        </w:tc>
      </w:tr>
      <w:tr w:rsidRPr="0032494C" w:rsidR="006C7470" w:rsidTr="001E7871" w14:paraId="453DCBB8" w14:textId="77777777">
        <w:trPr>
          <w:trHeight w:val="432"/>
        </w:trPr>
        <w:tc>
          <w:tcPr>
            <w:tcW w:w="985" w:type="dxa"/>
            <w:shd w:val="clear" w:color="auto" w:fill="D9D9D9" w:themeFill="background1" w:themeFillShade="D9"/>
            <w:vAlign w:val="center"/>
          </w:tcPr>
          <w:p w:rsidRPr="0032494C" w:rsidR="006C7470" w:rsidP="009007F4" w:rsidRDefault="006C7470" w14:paraId="67366985"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Year 2 &amp; Year 3</w:t>
            </w:r>
          </w:p>
        </w:tc>
        <w:tc>
          <w:tcPr>
            <w:tcW w:w="1124" w:type="dxa"/>
            <w:shd w:val="clear" w:color="auto" w:fill="D9D9D9" w:themeFill="background1" w:themeFillShade="D9"/>
            <w:vAlign w:val="center"/>
          </w:tcPr>
          <w:p w:rsidRPr="0032494C" w:rsidR="006C7470" w:rsidP="009007F4" w:rsidRDefault="006C7470" w14:paraId="2D7AFA0B"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Interview</w:t>
            </w:r>
          </w:p>
        </w:tc>
        <w:tc>
          <w:tcPr>
            <w:tcW w:w="1336" w:type="dxa"/>
            <w:shd w:val="clear" w:color="auto" w:fill="D9D9D9" w:themeFill="background1" w:themeFillShade="D9"/>
          </w:tcPr>
          <w:p w:rsidRPr="0032494C" w:rsidR="006C7470" w:rsidP="009007F4" w:rsidRDefault="006C7470" w14:paraId="61D752F5"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Museum employees</w:t>
            </w:r>
          </w:p>
        </w:tc>
        <w:tc>
          <w:tcPr>
            <w:tcW w:w="1336" w:type="dxa"/>
            <w:shd w:val="clear" w:color="auto" w:fill="D9D9D9" w:themeFill="background1" w:themeFillShade="D9"/>
            <w:vAlign w:val="center"/>
          </w:tcPr>
          <w:p w:rsidRPr="0032494C" w:rsidR="006C7470" w:rsidP="009007F4" w:rsidRDefault="006C7470" w14:paraId="1C966E7A"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20</w:t>
            </w:r>
          </w:p>
        </w:tc>
        <w:tc>
          <w:tcPr>
            <w:tcW w:w="1259" w:type="dxa"/>
            <w:shd w:val="clear" w:color="auto" w:fill="D9D9D9" w:themeFill="background1" w:themeFillShade="D9"/>
            <w:vAlign w:val="center"/>
          </w:tcPr>
          <w:p w:rsidRPr="0032494C" w:rsidR="006C7470" w:rsidP="009007F4" w:rsidRDefault="006C7470" w14:paraId="52190042"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2</w:t>
            </w:r>
          </w:p>
        </w:tc>
        <w:tc>
          <w:tcPr>
            <w:tcW w:w="1490" w:type="dxa"/>
            <w:shd w:val="clear" w:color="auto" w:fill="D9D9D9" w:themeFill="background1" w:themeFillShade="D9"/>
            <w:vAlign w:val="center"/>
          </w:tcPr>
          <w:p w:rsidRPr="0032494C" w:rsidR="006C7470" w:rsidP="009007F4" w:rsidRDefault="006C7470" w14:paraId="242BB7D3"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1 hour</w:t>
            </w:r>
          </w:p>
        </w:tc>
        <w:tc>
          <w:tcPr>
            <w:tcW w:w="1555" w:type="dxa"/>
            <w:shd w:val="clear" w:color="auto" w:fill="D9D9D9" w:themeFill="background1" w:themeFillShade="D9"/>
            <w:vAlign w:val="center"/>
          </w:tcPr>
          <w:p w:rsidRPr="0032494C" w:rsidR="006C7470" w:rsidP="009007F4" w:rsidRDefault="006C7470" w14:paraId="3C37D6F2"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40 hours</w:t>
            </w:r>
          </w:p>
        </w:tc>
      </w:tr>
      <w:tr w:rsidRPr="0032494C" w:rsidR="006C7470" w:rsidTr="001E7871" w14:paraId="50130545" w14:textId="77777777">
        <w:trPr>
          <w:trHeight w:val="431"/>
        </w:trPr>
        <w:tc>
          <w:tcPr>
            <w:tcW w:w="985" w:type="dxa"/>
            <w:shd w:val="clear" w:color="auto" w:fill="auto"/>
            <w:vAlign w:val="center"/>
          </w:tcPr>
          <w:p w:rsidRPr="0032494C" w:rsidR="006C7470" w:rsidP="009007F4" w:rsidRDefault="006C7470" w14:paraId="6EBD2875"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Year 2 &amp; Year 3</w:t>
            </w:r>
          </w:p>
        </w:tc>
        <w:tc>
          <w:tcPr>
            <w:tcW w:w="1124" w:type="dxa"/>
            <w:shd w:val="clear" w:color="auto" w:fill="auto"/>
            <w:vAlign w:val="center"/>
          </w:tcPr>
          <w:p w:rsidRPr="0032494C" w:rsidR="006C7470" w:rsidP="009007F4" w:rsidRDefault="006C7470" w14:paraId="69C60FCE"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Focus group</w:t>
            </w:r>
          </w:p>
        </w:tc>
        <w:tc>
          <w:tcPr>
            <w:tcW w:w="1336" w:type="dxa"/>
          </w:tcPr>
          <w:p w:rsidRPr="0032494C" w:rsidR="006C7470" w:rsidP="009007F4" w:rsidRDefault="006C7470" w14:paraId="6E59430D"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Adult from participating families</w:t>
            </w:r>
          </w:p>
        </w:tc>
        <w:tc>
          <w:tcPr>
            <w:tcW w:w="1336" w:type="dxa"/>
            <w:shd w:val="clear" w:color="auto" w:fill="auto"/>
            <w:vAlign w:val="center"/>
          </w:tcPr>
          <w:p w:rsidRPr="0032494C" w:rsidR="006C7470" w:rsidP="009007F4" w:rsidRDefault="006C7470" w14:paraId="716E352B"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480</w:t>
            </w:r>
          </w:p>
        </w:tc>
        <w:tc>
          <w:tcPr>
            <w:tcW w:w="1259" w:type="dxa"/>
            <w:vAlign w:val="center"/>
          </w:tcPr>
          <w:p w:rsidRPr="0032494C" w:rsidR="006C7470" w:rsidP="009007F4" w:rsidRDefault="006C7470" w14:paraId="2BFA9EBF"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1</w:t>
            </w:r>
          </w:p>
        </w:tc>
        <w:tc>
          <w:tcPr>
            <w:tcW w:w="1490" w:type="dxa"/>
            <w:shd w:val="clear" w:color="auto" w:fill="auto"/>
            <w:vAlign w:val="center"/>
          </w:tcPr>
          <w:p w:rsidRPr="0032494C" w:rsidR="006C7470" w:rsidP="009007F4" w:rsidRDefault="006C7470" w14:paraId="48A8BD0F"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1.5 hours</w:t>
            </w:r>
          </w:p>
        </w:tc>
        <w:tc>
          <w:tcPr>
            <w:tcW w:w="1555" w:type="dxa"/>
            <w:shd w:val="clear" w:color="auto" w:fill="auto"/>
            <w:vAlign w:val="center"/>
          </w:tcPr>
          <w:p w:rsidRPr="0032494C" w:rsidR="006C7470" w:rsidP="009007F4" w:rsidRDefault="006C7470" w14:paraId="0C69C0B8"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720 hours</w:t>
            </w:r>
          </w:p>
        </w:tc>
      </w:tr>
      <w:tr w:rsidRPr="0032494C" w:rsidR="006C7470" w:rsidTr="001E7871" w14:paraId="7A978B35" w14:textId="77777777">
        <w:trPr>
          <w:trHeight w:val="440"/>
        </w:trPr>
        <w:tc>
          <w:tcPr>
            <w:tcW w:w="2109" w:type="dxa"/>
            <w:gridSpan w:val="2"/>
            <w:shd w:val="clear" w:color="auto" w:fill="auto"/>
            <w:vAlign w:val="center"/>
          </w:tcPr>
          <w:p w:rsidRPr="0032494C" w:rsidR="006C7470" w:rsidP="009007F4" w:rsidRDefault="006C7470" w14:paraId="04BE0B47"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18"/>
                <w:szCs w:val="18"/>
              </w:rPr>
            </w:pPr>
            <w:r w:rsidRPr="0032494C">
              <w:rPr>
                <w:rFonts w:ascii="Calibri" w:hAnsi="Calibri" w:cs="Calibri"/>
                <w:b/>
                <w:sz w:val="18"/>
                <w:szCs w:val="18"/>
              </w:rPr>
              <w:t>TOTAL</w:t>
            </w:r>
          </w:p>
        </w:tc>
        <w:tc>
          <w:tcPr>
            <w:tcW w:w="1336" w:type="dxa"/>
          </w:tcPr>
          <w:p w:rsidRPr="0032494C" w:rsidR="006C7470" w:rsidP="009007F4" w:rsidRDefault="006C7470" w14:paraId="09C342CA"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18"/>
                <w:szCs w:val="18"/>
              </w:rPr>
            </w:pPr>
            <w:r w:rsidRPr="0032494C">
              <w:rPr>
                <w:rFonts w:ascii="Calibri" w:hAnsi="Calibri" w:cs="Calibri"/>
                <w:b/>
                <w:sz w:val="18"/>
                <w:szCs w:val="18"/>
              </w:rPr>
              <w:t>-</w:t>
            </w:r>
          </w:p>
        </w:tc>
        <w:tc>
          <w:tcPr>
            <w:tcW w:w="1336" w:type="dxa"/>
            <w:shd w:val="clear" w:color="auto" w:fill="auto"/>
            <w:vAlign w:val="center"/>
          </w:tcPr>
          <w:p w:rsidRPr="0032494C" w:rsidR="006C7470" w:rsidP="009007F4" w:rsidRDefault="006C7470" w14:paraId="22E6085D"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18"/>
                <w:szCs w:val="18"/>
              </w:rPr>
            </w:pPr>
            <w:r w:rsidRPr="0032494C">
              <w:rPr>
                <w:rFonts w:ascii="Calibri" w:hAnsi="Calibri" w:cs="Calibri"/>
                <w:b/>
                <w:sz w:val="18"/>
                <w:szCs w:val="18"/>
              </w:rPr>
              <w:t>520**</w:t>
            </w:r>
          </w:p>
        </w:tc>
        <w:tc>
          <w:tcPr>
            <w:tcW w:w="1259" w:type="dxa"/>
            <w:shd w:val="clear" w:color="auto" w:fill="auto"/>
            <w:vAlign w:val="center"/>
          </w:tcPr>
          <w:p w:rsidRPr="0032494C" w:rsidR="006C7470" w:rsidP="009007F4" w:rsidRDefault="006C7470" w14:paraId="6DDBAE7A"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w:t>
            </w:r>
          </w:p>
        </w:tc>
        <w:tc>
          <w:tcPr>
            <w:tcW w:w="1490" w:type="dxa"/>
            <w:shd w:val="clear" w:color="auto" w:fill="auto"/>
            <w:vAlign w:val="center"/>
          </w:tcPr>
          <w:p w:rsidRPr="0032494C" w:rsidR="006C7470" w:rsidP="009007F4" w:rsidRDefault="006C7470" w14:paraId="1FC15E3B"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w:t>
            </w:r>
          </w:p>
        </w:tc>
        <w:tc>
          <w:tcPr>
            <w:tcW w:w="1555" w:type="dxa"/>
            <w:shd w:val="clear" w:color="auto" w:fill="auto"/>
            <w:vAlign w:val="center"/>
          </w:tcPr>
          <w:p w:rsidRPr="0032494C" w:rsidR="006C7470" w:rsidP="009007F4" w:rsidRDefault="006C7470" w14:paraId="5848C417"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b/>
                <w:sz w:val="18"/>
                <w:szCs w:val="18"/>
              </w:rPr>
              <w:t>806 hours</w:t>
            </w:r>
          </w:p>
        </w:tc>
      </w:tr>
      <w:tr w:rsidRPr="0032494C" w:rsidR="006C7470" w:rsidTr="00EF671D" w14:paraId="367A2AA7" w14:textId="77777777">
        <w:trPr>
          <w:trHeight w:val="1430"/>
        </w:trPr>
        <w:tc>
          <w:tcPr>
            <w:tcW w:w="9085" w:type="dxa"/>
            <w:gridSpan w:val="7"/>
          </w:tcPr>
          <w:p w:rsidRPr="0032494C" w:rsidR="006C7470" w:rsidP="009007F4" w:rsidRDefault="006C7470" w14:paraId="22C45CD4"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*The Year 2 and Year 3 survey will be administered to a representative from each organization participating in the network. We do not yet know the final number of participating organizations, but estimate it will approximately 40.</w:t>
            </w:r>
          </w:p>
          <w:p w:rsidRPr="0032494C" w:rsidR="006C7470" w:rsidP="009007F4" w:rsidRDefault="006C7470" w14:paraId="6229EC22"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p>
          <w:p w:rsidRPr="0032494C" w:rsidR="006C7470" w:rsidP="009007F4" w:rsidRDefault="006C7470" w14:paraId="7D54BA40" w14:textId="77777777">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32494C">
              <w:rPr>
                <w:rFonts w:ascii="Calibri" w:hAnsi="Calibri" w:cs="Calibri"/>
                <w:sz w:val="18"/>
                <w:szCs w:val="18"/>
              </w:rPr>
              <w:t xml:space="preserve">**We estimate 520 </w:t>
            </w:r>
            <w:r w:rsidRPr="0032494C">
              <w:rPr>
                <w:rFonts w:ascii="Calibri" w:hAnsi="Calibri" w:cs="Calibri"/>
                <w:b/>
                <w:i/>
                <w:sz w:val="18"/>
                <w:szCs w:val="18"/>
              </w:rPr>
              <w:t xml:space="preserve">unique </w:t>
            </w:r>
            <w:r w:rsidRPr="0032494C">
              <w:rPr>
                <w:rFonts w:ascii="Calibri" w:hAnsi="Calibri" w:cs="Calibri"/>
                <w:sz w:val="18"/>
                <w:szCs w:val="18"/>
              </w:rPr>
              <w:t>participants. There are 480 unique focus group participants (~240 in Year 2; ~240  Year 3). There are 40 unique participants in the interviews and surveys: the same person will complete both the survey and the interview each year.</w:t>
            </w:r>
          </w:p>
        </w:tc>
      </w:tr>
    </w:tbl>
    <w:p w:rsidRPr="0032494C" w:rsidR="006C7470" w:rsidP="006C7470" w:rsidRDefault="006C7470" w14:paraId="07C316D2" w14:textId="77777777">
      <w:pPr>
        <w:rPr>
          <w:rFonts w:ascii="Calibri" w:hAnsi="Calibri" w:cs="Calibri"/>
        </w:rPr>
      </w:pPr>
    </w:p>
    <w:p w:rsidRPr="0032494C" w:rsidR="00954779" w:rsidP="00954779" w:rsidRDefault="006C7470" w14:paraId="6315B63F" w14:textId="45191E1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u w:val="single"/>
        </w:rPr>
      </w:pPr>
      <w:r w:rsidRPr="0032494C">
        <w:rPr>
          <w:rFonts w:ascii="Calibri" w:hAnsi="Calibri" w:cs="Calibri"/>
          <w:b/>
          <w:sz w:val="22"/>
          <w:szCs w:val="22"/>
          <w:u w:val="single"/>
        </w:rPr>
        <w:t>A.13. Estimates of Cost Burden to Respondents</w:t>
      </w:r>
    </w:p>
    <w:p w:rsidRPr="0032494C" w:rsidR="00AC51EB" w:rsidP="00AC51EB" w:rsidRDefault="00AC51EB" w14:paraId="2374ECD4" w14:textId="6EB82E8C">
      <w:pPr>
        <w:rPr>
          <w:rFonts w:ascii="Calibri" w:hAnsi="Calibri" w:cs="Calibri"/>
          <w:color w:val="000000" w:themeColor="text1"/>
          <w:sz w:val="22"/>
          <w:szCs w:val="22"/>
        </w:rPr>
      </w:pPr>
      <w:r w:rsidRPr="0032494C">
        <w:rPr>
          <w:rFonts w:ascii="Calibri" w:hAnsi="Calibri" w:cs="Calibri"/>
          <w:color w:val="000000" w:themeColor="text1"/>
          <w:sz w:val="22"/>
          <w:szCs w:val="22"/>
        </w:rPr>
        <w:t xml:space="preserve">The estimated total burden hours are 806 hours (see </w:t>
      </w:r>
      <w:r w:rsidRPr="0032494C">
        <w:rPr>
          <w:rFonts w:ascii="Calibri" w:hAnsi="Calibri" w:cs="Calibri"/>
          <w:color w:val="000000" w:themeColor="text1"/>
          <w:sz w:val="22"/>
          <w:szCs w:val="22"/>
        </w:rPr>
        <w:fldChar w:fldCharType="begin"/>
      </w:r>
      <w:r w:rsidRPr="0032494C">
        <w:rPr>
          <w:rFonts w:ascii="Calibri" w:hAnsi="Calibri" w:cs="Calibri"/>
          <w:color w:val="000000" w:themeColor="text1"/>
          <w:sz w:val="22"/>
          <w:szCs w:val="22"/>
        </w:rPr>
        <w:instrText xml:space="preserve"> REF _Ref36113020 \h  \* MERGEFORMAT </w:instrText>
      </w:r>
      <w:r w:rsidRPr="0032494C">
        <w:rPr>
          <w:rFonts w:ascii="Calibri" w:hAnsi="Calibri" w:cs="Calibri"/>
          <w:color w:val="000000" w:themeColor="text1"/>
          <w:sz w:val="22"/>
          <w:szCs w:val="22"/>
        </w:rPr>
      </w:r>
      <w:r w:rsidRPr="0032494C">
        <w:rPr>
          <w:rFonts w:ascii="Calibri" w:hAnsi="Calibri" w:cs="Calibri"/>
          <w:color w:val="000000" w:themeColor="text1"/>
          <w:sz w:val="22"/>
          <w:szCs w:val="22"/>
        </w:rPr>
        <w:fldChar w:fldCharType="separate"/>
      </w:r>
      <w:r w:rsidRPr="0032494C" w:rsidR="008F225B">
        <w:rPr>
          <w:rFonts w:ascii="Calibri" w:hAnsi="Calibri" w:cs="Calibri"/>
          <w:b/>
          <w:sz w:val="22"/>
          <w:szCs w:val="22"/>
        </w:rPr>
        <w:t xml:space="preserve">Table </w:t>
      </w:r>
      <w:r w:rsidRPr="00DF3DB5" w:rsidR="008F225B">
        <w:rPr>
          <w:rFonts w:ascii="Calibri" w:hAnsi="Calibri" w:cs="Calibri"/>
          <w:b/>
          <w:noProof/>
          <w:sz w:val="22"/>
          <w:szCs w:val="22"/>
        </w:rPr>
        <w:t>3</w:t>
      </w:r>
      <w:r w:rsidRPr="0032494C">
        <w:rPr>
          <w:rFonts w:ascii="Calibri" w:hAnsi="Calibri" w:cs="Calibri"/>
          <w:color w:val="000000" w:themeColor="text1"/>
          <w:sz w:val="22"/>
          <w:szCs w:val="22"/>
        </w:rPr>
        <w:fldChar w:fldCharType="end"/>
      </w:r>
      <w:r w:rsidRPr="0032494C">
        <w:rPr>
          <w:rFonts w:ascii="Calibri" w:hAnsi="Calibri" w:cs="Calibri"/>
          <w:color w:val="000000" w:themeColor="text1"/>
          <w:sz w:val="22"/>
          <w:szCs w:val="22"/>
        </w:rPr>
        <w:t xml:space="preserve"> above).</w:t>
      </w:r>
      <w:r w:rsidRPr="0032494C">
        <w:rPr>
          <w:rStyle w:val="apple-converted-space"/>
          <w:rFonts w:ascii="Calibri" w:hAnsi="Calibri" w:cs="Calibri" w:eastAsiaTheme="majorEastAsia"/>
          <w:color w:val="000000" w:themeColor="text1"/>
          <w:sz w:val="22"/>
          <w:szCs w:val="22"/>
        </w:rPr>
        <w:t xml:space="preserve"> Below </w:t>
      </w:r>
      <w:r w:rsidR="00B5405D">
        <w:rPr>
          <w:rStyle w:val="apple-converted-space"/>
          <w:rFonts w:ascii="Calibri" w:hAnsi="Calibri" w:cs="Calibri" w:eastAsiaTheme="majorEastAsia"/>
          <w:color w:val="000000" w:themeColor="text1"/>
          <w:sz w:val="22"/>
          <w:szCs w:val="22"/>
        </w:rPr>
        <w:t>are</w:t>
      </w:r>
      <w:r w:rsidRPr="0032494C">
        <w:rPr>
          <w:rStyle w:val="apple-converted-space"/>
          <w:rFonts w:ascii="Calibri" w:hAnsi="Calibri" w:cs="Calibri" w:eastAsiaTheme="majorEastAsia"/>
          <w:color w:val="000000" w:themeColor="text1"/>
          <w:sz w:val="22"/>
          <w:szCs w:val="22"/>
        </w:rPr>
        <w:t xml:space="preserve"> the burden estimates for each data collection point.</w:t>
      </w:r>
    </w:p>
    <w:p w:rsidRPr="0032494C" w:rsidR="00954779" w:rsidP="00954779" w:rsidRDefault="00954779" w14:paraId="6FA3146A" w14:textId="2288EFAA">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u w:val="single"/>
        </w:rPr>
      </w:pPr>
    </w:p>
    <w:p w:rsidRPr="0032494C" w:rsidR="00954779" w:rsidP="00954779" w:rsidRDefault="00954779" w14:paraId="77DDCB40" w14:textId="164B407A">
      <w:pPr>
        <w:pStyle w:val="Caption"/>
        <w:keepNext/>
        <w:spacing w:after="0"/>
        <w:rPr>
          <w:rFonts w:ascii="Calibri" w:hAnsi="Calibri" w:cs="Calibri"/>
          <w:b/>
          <w:i w:val="0"/>
          <w:sz w:val="22"/>
          <w:szCs w:val="22"/>
        </w:rPr>
      </w:pPr>
      <w:r w:rsidRPr="0032494C">
        <w:rPr>
          <w:rFonts w:ascii="Calibri" w:hAnsi="Calibri" w:cs="Calibri"/>
          <w:b/>
          <w:i w:val="0"/>
          <w:sz w:val="22"/>
          <w:szCs w:val="22"/>
        </w:rPr>
        <w:t xml:space="preserve">Table </w:t>
      </w:r>
      <w:r w:rsidRPr="0032494C">
        <w:rPr>
          <w:rFonts w:ascii="Calibri" w:hAnsi="Calibri" w:cs="Calibri"/>
          <w:b/>
          <w:i w:val="0"/>
          <w:sz w:val="22"/>
          <w:szCs w:val="22"/>
        </w:rPr>
        <w:fldChar w:fldCharType="begin"/>
      </w:r>
      <w:r w:rsidRPr="0032494C">
        <w:rPr>
          <w:rFonts w:ascii="Calibri" w:hAnsi="Calibri" w:cs="Calibri"/>
          <w:b/>
          <w:i w:val="0"/>
          <w:sz w:val="22"/>
          <w:szCs w:val="22"/>
        </w:rPr>
        <w:instrText xml:space="preserve"> SEQ Table \* ARABIC </w:instrText>
      </w:r>
      <w:r w:rsidRPr="0032494C">
        <w:rPr>
          <w:rFonts w:ascii="Calibri" w:hAnsi="Calibri" w:cs="Calibri"/>
          <w:b/>
          <w:i w:val="0"/>
          <w:sz w:val="22"/>
          <w:szCs w:val="22"/>
        </w:rPr>
        <w:fldChar w:fldCharType="separate"/>
      </w:r>
      <w:r w:rsidR="008F225B">
        <w:rPr>
          <w:rFonts w:ascii="Calibri" w:hAnsi="Calibri" w:cs="Calibri"/>
          <w:b/>
          <w:i w:val="0"/>
          <w:noProof/>
          <w:sz w:val="22"/>
          <w:szCs w:val="22"/>
        </w:rPr>
        <w:t>4</w:t>
      </w:r>
      <w:r w:rsidRPr="0032494C">
        <w:rPr>
          <w:rFonts w:ascii="Calibri" w:hAnsi="Calibri" w:cs="Calibri"/>
          <w:b/>
          <w:i w:val="0"/>
          <w:sz w:val="22"/>
          <w:szCs w:val="22"/>
        </w:rPr>
        <w:fldChar w:fldCharType="end"/>
      </w:r>
      <w:r w:rsidRPr="0032494C">
        <w:rPr>
          <w:rFonts w:ascii="Calibri" w:hAnsi="Calibri" w:cs="Calibri"/>
          <w:b/>
          <w:i w:val="0"/>
          <w:sz w:val="22"/>
          <w:szCs w:val="22"/>
        </w:rPr>
        <w:t>. Estimates of Cost Burden to Respondents: All Years</w:t>
      </w:r>
    </w:p>
    <w:tbl>
      <w:tblPr>
        <w:tblW w:w="9371" w:type="dxa"/>
        <w:tblInd w:w="5" w:type="dxa"/>
        <w:tblLook w:val="04A0" w:firstRow="1" w:lastRow="0" w:firstColumn="1" w:lastColumn="0" w:noHBand="0" w:noVBand="1"/>
      </w:tblPr>
      <w:tblGrid>
        <w:gridCol w:w="1944"/>
        <w:gridCol w:w="1156"/>
        <w:gridCol w:w="1220"/>
        <w:gridCol w:w="1300"/>
        <w:gridCol w:w="1151"/>
        <w:gridCol w:w="1300"/>
        <w:gridCol w:w="1300"/>
      </w:tblGrid>
      <w:tr w:rsidRPr="00954779" w:rsidR="00954779" w:rsidTr="00AC51EB" w14:paraId="0CEA38F1" w14:textId="77777777">
        <w:trPr>
          <w:trHeight w:val="1060"/>
        </w:trPr>
        <w:tc>
          <w:tcPr>
            <w:tcW w:w="1944" w:type="dxa"/>
            <w:tcBorders>
              <w:top w:val="single" w:color="7F7F7F" w:themeColor="text1" w:themeTint="80" w:sz="4" w:space="0"/>
              <w:left w:val="single" w:color="auto" w:sz="4" w:space="0"/>
              <w:bottom w:val="single" w:color="auto" w:sz="4" w:space="0"/>
              <w:right w:val="single" w:color="auto" w:sz="4" w:space="0"/>
            </w:tcBorders>
            <w:shd w:val="clear" w:color="000000" w:fill="E7E6E6"/>
            <w:noWrap/>
            <w:vAlign w:val="bottom"/>
            <w:hideMark/>
          </w:tcPr>
          <w:p w:rsidRPr="00954779" w:rsidR="00954779" w:rsidP="00954779" w:rsidRDefault="00954779" w14:paraId="0646F5F6" w14:textId="77777777">
            <w:pPr>
              <w:rPr>
                <w:rFonts w:ascii="Calibri" w:hAnsi="Calibri" w:cs="Calibri"/>
                <w:color w:val="000000"/>
                <w:sz w:val="18"/>
                <w:szCs w:val="18"/>
              </w:rPr>
            </w:pPr>
            <w:r w:rsidRPr="00954779">
              <w:rPr>
                <w:rFonts w:ascii="Calibri" w:hAnsi="Calibri" w:cs="Calibri"/>
                <w:color w:val="000000"/>
                <w:sz w:val="18"/>
                <w:szCs w:val="18"/>
              </w:rPr>
              <w:t> </w:t>
            </w:r>
          </w:p>
        </w:tc>
        <w:tc>
          <w:tcPr>
            <w:tcW w:w="1156" w:type="dxa"/>
            <w:tcBorders>
              <w:top w:val="single" w:color="7F7F7F" w:themeColor="text1" w:themeTint="80" w:sz="4" w:space="0"/>
              <w:left w:val="nil"/>
              <w:bottom w:val="single" w:color="auto" w:sz="4" w:space="0"/>
              <w:right w:val="single" w:color="auto" w:sz="4" w:space="0"/>
            </w:tcBorders>
            <w:shd w:val="clear" w:color="000000" w:fill="E7E6E6"/>
            <w:vAlign w:val="bottom"/>
            <w:hideMark/>
          </w:tcPr>
          <w:p w:rsidRPr="00954779" w:rsidR="00954779" w:rsidP="00954779" w:rsidRDefault="00954779" w14:paraId="6B56839B" w14:textId="77777777">
            <w:pPr>
              <w:rPr>
                <w:rFonts w:ascii="Calibri" w:hAnsi="Calibri" w:cs="Calibri"/>
                <w:b/>
                <w:bCs/>
                <w:color w:val="000000"/>
                <w:sz w:val="18"/>
                <w:szCs w:val="18"/>
              </w:rPr>
            </w:pPr>
            <w:r w:rsidRPr="00954779">
              <w:rPr>
                <w:rFonts w:ascii="Calibri" w:hAnsi="Calibri" w:cs="Calibri"/>
                <w:b/>
                <w:bCs/>
                <w:color w:val="000000"/>
                <w:sz w:val="18"/>
                <w:szCs w:val="18"/>
              </w:rPr>
              <w:t>Mean hourly wage</w:t>
            </w:r>
          </w:p>
        </w:tc>
        <w:tc>
          <w:tcPr>
            <w:tcW w:w="1220" w:type="dxa"/>
            <w:tcBorders>
              <w:top w:val="single" w:color="7F7F7F" w:themeColor="text1" w:themeTint="80" w:sz="4" w:space="0"/>
              <w:left w:val="nil"/>
              <w:bottom w:val="single" w:color="auto" w:sz="4" w:space="0"/>
              <w:right w:val="single" w:color="auto" w:sz="4" w:space="0"/>
            </w:tcBorders>
            <w:shd w:val="clear" w:color="000000" w:fill="E7E6E6"/>
            <w:vAlign w:val="bottom"/>
            <w:hideMark/>
          </w:tcPr>
          <w:p w:rsidRPr="00954779" w:rsidR="00954779" w:rsidP="00954779" w:rsidRDefault="00954779" w14:paraId="7103B5B6" w14:textId="71E21B70">
            <w:pPr>
              <w:rPr>
                <w:rFonts w:ascii="Calibri" w:hAnsi="Calibri" w:cs="Calibri"/>
                <w:b/>
                <w:bCs/>
                <w:color w:val="000000"/>
                <w:sz w:val="18"/>
                <w:szCs w:val="18"/>
              </w:rPr>
            </w:pPr>
            <w:r w:rsidRPr="0032494C">
              <w:rPr>
                <w:rFonts w:ascii="Calibri" w:hAnsi="Calibri" w:cs="Calibri"/>
                <w:b/>
                <w:bCs/>
                <w:color w:val="000000"/>
                <w:sz w:val="18"/>
                <w:szCs w:val="18"/>
              </w:rPr>
              <w:t>Estimated</w:t>
            </w:r>
            <w:r w:rsidRPr="00954779">
              <w:rPr>
                <w:rFonts w:ascii="Calibri" w:hAnsi="Calibri" w:cs="Calibri"/>
                <w:b/>
                <w:bCs/>
                <w:color w:val="000000"/>
                <w:sz w:val="18"/>
                <w:szCs w:val="18"/>
              </w:rPr>
              <w:t xml:space="preserve"> </w:t>
            </w:r>
            <w:r w:rsidRPr="00954779">
              <w:rPr>
                <w:rFonts w:ascii="Calibri" w:hAnsi="Calibri" w:cs="Calibri"/>
                <w:b/>
                <w:bCs/>
                <w:color w:val="000000"/>
                <w:sz w:val="18"/>
                <w:szCs w:val="18"/>
              </w:rPr>
              <w:br/>
              <w:t xml:space="preserve">response time </w:t>
            </w:r>
            <w:r w:rsidRPr="00954779">
              <w:rPr>
                <w:rFonts w:ascii="Calibri" w:hAnsi="Calibri" w:cs="Calibri"/>
                <w:b/>
                <w:bCs/>
                <w:color w:val="000000"/>
                <w:sz w:val="18"/>
                <w:szCs w:val="18"/>
              </w:rPr>
              <w:br/>
              <w:t>(in hrs)</w:t>
            </w:r>
          </w:p>
        </w:tc>
        <w:tc>
          <w:tcPr>
            <w:tcW w:w="1300" w:type="dxa"/>
            <w:tcBorders>
              <w:top w:val="single" w:color="7F7F7F" w:themeColor="text1" w:themeTint="80" w:sz="4" w:space="0"/>
              <w:left w:val="nil"/>
              <w:bottom w:val="single" w:color="auto" w:sz="4" w:space="0"/>
              <w:right w:val="single" w:color="auto" w:sz="4" w:space="0"/>
            </w:tcBorders>
            <w:shd w:val="clear" w:color="000000" w:fill="E7E6E6"/>
            <w:vAlign w:val="bottom"/>
            <w:hideMark/>
          </w:tcPr>
          <w:p w:rsidRPr="00954779" w:rsidR="00954779" w:rsidP="00954779" w:rsidRDefault="00954779" w14:paraId="365EF03E" w14:textId="77777777">
            <w:pPr>
              <w:rPr>
                <w:rFonts w:ascii="Calibri" w:hAnsi="Calibri" w:cs="Calibri"/>
                <w:b/>
                <w:bCs/>
                <w:color w:val="000000"/>
                <w:sz w:val="18"/>
                <w:szCs w:val="18"/>
              </w:rPr>
            </w:pPr>
            <w:r w:rsidRPr="00954779">
              <w:rPr>
                <w:rFonts w:ascii="Calibri" w:hAnsi="Calibri" w:cs="Calibri"/>
                <w:b/>
                <w:bCs/>
                <w:color w:val="000000"/>
                <w:sz w:val="18"/>
                <w:szCs w:val="18"/>
              </w:rPr>
              <w:t>Average</w:t>
            </w:r>
            <w:r w:rsidRPr="00954779">
              <w:rPr>
                <w:rFonts w:ascii="Calibri" w:hAnsi="Calibri" w:cs="Calibri"/>
                <w:b/>
                <w:bCs/>
                <w:color w:val="000000"/>
                <w:sz w:val="18"/>
                <w:szCs w:val="18"/>
              </w:rPr>
              <w:br/>
              <w:t>cost per respondent</w:t>
            </w:r>
          </w:p>
        </w:tc>
        <w:tc>
          <w:tcPr>
            <w:tcW w:w="1151" w:type="dxa"/>
            <w:tcBorders>
              <w:top w:val="single" w:color="7F7F7F" w:themeColor="text1" w:themeTint="80" w:sz="4" w:space="0"/>
              <w:left w:val="nil"/>
              <w:bottom w:val="single" w:color="auto" w:sz="4" w:space="0"/>
              <w:right w:val="single" w:color="auto" w:sz="4" w:space="0"/>
            </w:tcBorders>
            <w:shd w:val="clear" w:color="000000" w:fill="E7E6E6"/>
            <w:vAlign w:val="bottom"/>
            <w:hideMark/>
          </w:tcPr>
          <w:p w:rsidRPr="00954779" w:rsidR="00954779" w:rsidP="00954779" w:rsidRDefault="00954779" w14:paraId="73334E5E" w14:textId="77777777">
            <w:pPr>
              <w:rPr>
                <w:rFonts w:ascii="Calibri" w:hAnsi="Calibri" w:cs="Calibri"/>
                <w:b/>
                <w:bCs/>
                <w:color w:val="000000"/>
                <w:sz w:val="18"/>
                <w:szCs w:val="18"/>
              </w:rPr>
            </w:pPr>
            <w:r w:rsidRPr="00954779">
              <w:rPr>
                <w:rFonts w:ascii="Calibri" w:hAnsi="Calibri" w:cs="Calibri"/>
                <w:b/>
                <w:bCs/>
                <w:color w:val="000000"/>
                <w:sz w:val="18"/>
                <w:szCs w:val="18"/>
              </w:rPr>
              <w:t># of respondents</w:t>
            </w:r>
          </w:p>
        </w:tc>
        <w:tc>
          <w:tcPr>
            <w:tcW w:w="1300" w:type="dxa"/>
            <w:tcBorders>
              <w:top w:val="single" w:color="7F7F7F" w:themeColor="text1" w:themeTint="80" w:sz="4" w:space="0"/>
              <w:left w:val="nil"/>
              <w:bottom w:val="single" w:color="auto" w:sz="4" w:space="0"/>
              <w:right w:val="single" w:color="auto" w:sz="4" w:space="0"/>
            </w:tcBorders>
            <w:shd w:val="clear" w:color="000000" w:fill="E7E6E6"/>
            <w:vAlign w:val="bottom"/>
            <w:hideMark/>
          </w:tcPr>
          <w:p w:rsidRPr="00954779" w:rsidR="00954779" w:rsidP="00954779" w:rsidRDefault="00954779" w14:paraId="12524FCE" w14:textId="77777777">
            <w:pPr>
              <w:rPr>
                <w:rFonts w:ascii="Calibri" w:hAnsi="Calibri" w:cs="Calibri"/>
                <w:b/>
                <w:bCs/>
                <w:color w:val="000000"/>
                <w:sz w:val="18"/>
                <w:szCs w:val="18"/>
              </w:rPr>
            </w:pPr>
            <w:r w:rsidRPr="00954779">
              <w:rPr>
                <w:rFonts w:ascii="Calibri" w:hAnsi="Calibri" w:cs="Calibri"/>
                <w:b/>
                <w:bCs/>
                <w:color w:val="000000"/>
                <w:sz w:val="18"/>
                <w:szCs w:val="18"/>
              </w:rPr>
              <w:t>Estimated burden</w:t>
            </w:r>
          </w:p>
        </w:tc>
        <w:tc>
          <w:tcPr>
            <w:tcW w:w="1300" w:type="dxa"/>
            <w:tcBorders>
              <w:top w:val="single" w:color="7F7F7F" w:themeColor="text1" w:themeTint="80" w:sz="4" w:space="0"/>
              <w:left w:val="nil"/>
              <w:bottom w:val="single" w:color="auto" w:sz="4" w:space="0"/>
              <w:right w:val="single" w:color="auto" w:sz="4" w:space="0"/>
            </w:tcBorders>
            <w:shd w:val="clear" w:color="000000" w:fill="E7E6E6"/>
            <w:vAlign w:val="bottom"/>
            <w:hideMark/>
          </w:tcPr>
          <w:p w:rsidRPr="00954779" w:rsidR="00954779" w:rsidP="00954779" w:rsidRDefault="00954779" w14:paraId="7ACC5BC9" w14:textId="77777777">
            <w:pPr>
              <w:rPr>
                <w:rFonts w:ascii="Calibri" w:hAnsi="Calibri" w:cs="Calibri"/>
                <w:b/>
                <w:bCs/>
                <w:color w:val="000000"/>
                <w:sz w:val="18"/>
                <w:szCs w:val="18"/>
              </w:rPr>
            </w:pPr>
            <w:r w:rsidRPr="00954779">
              <w:rPr>
                <w:rFonts w:ascii="Calibri" w:hAnsi="Calibri" w:cs="Calibri"/>
                <w:b/>
                <w:bCs/>
                <w:color w:val="000000"/>
                <w:sz w:val="18"/>
                <w:szCs w:val="18"/>
              </w:rPr>
              <w:t>Total estimated burden</w:t>
            </w:r>
          </w:p>
        </w:tc>
      </w:tr>
      <w:tr w:rsidRPr="00954779" w:rsidR="00954779" w:rsidTr="00AC51EB" w14:paraId="4F26A548" w14:textId="77777777">
        <w:trPr>
          <w:trHeight w:val="340"/>
        </w:trPr>
        <w:tc>
          <w:tcPr>
            <w:tcW w:w="1944" w:type="dxa"/>
            <w:vMerge w:val="restart"/>
            <w:tcBorders>
              <w:top w:val="nil"/>
              <w:left w:val="single" w:color="auto" w:sz="4" w:space="0"/>
              <w:bottom w:val="single" w:color="000000" w:sz="4" w:space="0"/>
              <w:right w:val="single" w:color="auto" w:sz="4" w:space="0"/>
            </w:tcBorders>
            <w:shd w:val="clear" w:color="000000" w:fill="E7E6E6"/>
            <w:noWrap/>
            <w:vAlign w:val="center"/>
            <w:hideMark/>
          </w:tcPr>
          <w:p w:rsidRPr="00954779" w:rsidR="00954779" w:rsidP="00954779" w:rsidRDefault="00954779" w14:paraId="1097200A" w14:textId="77777777">
            <w:pPr>
              <w:rPr>
                <w:rFonts w:ascii="Calibri" w:hAnsi="Calibri" w:cs="Calibri"/>
                <w:b/>
                <w:bCs/>
                <w:color w:val="000000"/>
                <w:sz w:val="18"/>
                <w:szCs w:val="18"/>
              </w:rPr>
            </w:pPr>
            <w:r w:rsidRPr="00954779">
              <w:rPr>
                <w:rFonts w:ascii="Calibri" w:hAnsi="Calibri" w:cs="Calibri"/>
                <w:b/>
                <w:bCs/>
                <w:color w:val="000000"/>
                <w:sz w:val="18"/>
                <w:szCs w:val="18"/>
              </w:rPr>
              <w:t>Museum Employees</w:t>
            </w:r>
          </w:p>
        </w:tc>
        <w:tc>
          <w:tcPr>
            <w:tcW w:w="1156" w:type="dxa"/>
            <w:vMerge w:val="restart"/>
            <w:tcBorders>
              <w:top w:val="nil"/>
              <w:left w:val="single" w:color="auto" w:sz="4" w:space="0"/>
              <w:bottom w:val="single" w:color="000000" w:sz="4" w:space="0"/>
              <w:right w:val="single" w:color="auto" w:sz="4" w:space="0"/>
            </w:tcBorders>
            <w:shd w:val="clear" w:color="auto" w:fill="auto"/>
            <w:vAlign w:val="center"/>
            <w:hideMark/>
          </w:tcPr>
          <w:p w:rsidRPr="00954779" w:rsidR="00954779" w:rsidP="00954779" w:rsidRDefault="00954779" w14:paraId="10B4D2BD" w14:textId="77777777">
            <w:pPr>
              <w:rPr>
                <w:rFonts w:ascii="Calibri" w:hAnsi="Calibri" w:cs="Calibri"/>
                <w:color w:val="000000"/>
                <w:sz w:val="18"/>
                <w:szCs w:val="18"/>
              </w:rPr>
            </w:pPr>
            <w:r w:rsidRPr="00954779">
              <w:rPr>
                <w:rFonts w:ascii="Calibri" w:hAnsi="Calibri" w:cs="Calibri"/>
                <w:color w:val="000000"/>
                <w:sz w:val="18"/>
                <w:szCs w:val="18"/>
              </w:rPr>
              <w:t xml:space="preserve">$25.61 </w:t>
            </w:r>
          </w:p>
        </w:tc>
        <w:tc>
          <w:tcPr>
            <w:tcW w:w="1220" w:type="dxa"/>
            <w:tcBorders>
              <w:top w:val="nil"/>
              <w:left w:val="nil"/>
              <w:bottom w:val="single" w:color="auto" w:sz="4" w:space="0"/>
              <w:right w:val="single" w:color="auto" w:sz="4" w:space="0"/>
            </w:tcBorders>
            <w:shd w:val="clear" w:color="auto" w:fill="auto"/>
            <w:vAlign w:val="bottom"/>
            <w:hideMark/>
          </w:tcPr>
          <w:p w:rsidRPr="00954779" w:rsidR="00954779" w:rsidP="00954779" w:rsidRDefault="00954779" w14:paraId="04054B7F" w14:textId="77777777">
            <w:pPr>
              <w:rPr>
                <w:rFonts w:ascii="Calibri" w:hAnsi="Calibri" w:cs="Calibri"/>
                <w:color w:val="000000"/>
                <w:sz w:val="18"/>
                <w:szCs w:val="18"/>
              </w:rPr>
            </w:pPr>
            <w:r w:rsidRPr="00954779">
              <w:rPr>
                <w:rFonts w:ascii="Calibri" w:hAnsi="Calibri" w:cs="Calibri"/>
                <w:color w:val="000000"/>
                <w:sz w:val="18"/>
                <w:szCs w:val="18"/>
              </w:rPr>
              <w:t>0.5</w:t>
            </w:r>
          </w:p>
        </w:tc>
        <w:tc>
          <w:tcPr>
            <w:tcW w:w="1300" w:type="dxa"/>
            <w:tcBorders>
              <w:top w:val="nil"/>
              <w:left w:val="nil"/>
              <w:bottom w:val="single" w:color="auto" w:sz="4" w:space="0"/>
              <w:right w:val="single" w:color="auto" w:sz="4" w:space="0"/>
            </w:tcBorders>
            <w:shd w:val="clear" w:color="auto" w:fill="auto"/>
            <w:vAlign w:val="center"/>
            <w:hideMark/>
          </w:tcPr>
          <w:p w:rsidRPr="00954779" w:rsidR="00954779" w:rsidP="00954779" w:rsidRDefault="00954779" w14:paraId="5A2DE867" w14:textId="77777777">
            <w:pPr>
              <w:rPr>
                <w:rFonts w:ascii="Calibri" w:hAnsi="Calibri" w:cs="Calibri"/>
                <w:color w:val="000000"/>
                <w:sz w:val="18"/>
                <w:szCs w:val="18"/>
              </w:rPr>
            </w:pPr>
            <w:r w:rsidRPr="00954779">
              <w:rPr>
                <w:rFonts w:ascii="Calibri" w:hAnsi="Calibri" w:cs="Calibri"/>
                <w:color w:val="000000"/>
                <w:sz w:val="18"/>
                <w:szCs w:val="18"/>
              </w:rPr>
              <w:t xml:space="preserve">$12.81 </w:t>
            </w:r>
          </w:p>
        </w:tc>
        <w:tc>
          <w:tcPr>
            <w:tcW w:w="1151" w:type="dxa"/>
            <w:tcBorders>
              <w:top w:val="nil"/>
              <w:left w:val="nil"/>
              <w:bottom w:val="single" w:color="auto" w:sz="4" w:space="0"/>
              <w:right w:val="single" w:color="auto" w:sz="4" w:space="0"/>
            </w:tcBorders>
            <w:shd w:val="clear" w:color="auto" w:fill="auto"/>
            <w:vAlign w:val="bottom"/>
            <w:hideMark/>
          </w:tcPr>
          <w:p w:rsidRPr="00954779" w:rsidR="00954779" w:rsidP="00954779" w:rsidRDefault="00954779" w14:paraId="2E39AA22" w14:textId="77777777">
            <w:pPr>
              <w:rPr>
                <w:rFonts w:ascii="Calibri" w:hAnsi="Calibri" w:cs="Calibri"/>
                <w:color w:val="000000"/>
                <w:sz w:val="18"/>
                <w:szCs w:val="18"/>
              </w:rPr>
            </w:pPr>
            <w:r w:rsidRPr="00954779">
              <w:rPr>
                <w:rFonts w:ascii="Calibri" w:hAnsi="Calibri" w:cs="Calibri"/>
                <w:color w:val="000000"/>
                <w:sz w:val="18"/>
                <w:szCs w:val="18"/>
              </w:rPr>
              <w:t>86</w:t>
            </w:r>
          </w:p>
        </w:tc>
        <w:tc>
          <w:tcPr>
            <w:tcW w:w="1300" w:type="dxa"/>
            <w:tcBorders>
              <w:top w:val="nil"/>
              <w:left w:val="nil"/>
              <w:bottom w:val="single" w:color="auto" w:sz="4" w:space="0"/>
              <w:right w:val="single" w:color="auto" w:sz="4" w:space="0"/>
            </w:tcBorders>
            <w:shd w:val="clear" w:color="auto" w:fill="auto"/>
            <w:vAlign w:val="center"/>
            <w:hideMark/>
          </w:tcPr>
          <w:p w:rsidRPr="00954779" w:rsidR="00954779" w:rsidP="00954779" w:rsidRDefault="00954779" w14:paraId="7540B7B6" w14:textId="77777777">
            <w:pPr>
              <w:rPr>
                <w:rFonts w:ascii="Calibri" w:hAnsi="Calibri" w:cs="Calibri"/>
                <w:color w:val="000000"/>
                <w:sz w:val="18"/>
                <w:szCs w:val="18"/>
              </w:rPr>
            </w:pPr>
            <w:r w:rsidRPr="00954779">
              <w:rPr>
                <w:rFonts w:ascii="Calibri" w:hAnsi="Calibri" w:cs="Calibri"/>
                <w:color w:val="000000"/>
                <w:sz w:val="18"/>
                <w:szCs w:val="18"/>
              </w:rPr>
              <w:t xml:space="preserve">$1,101.23 </w:t>
            </w:r>
          </w:p>
        </w:tc>
        <w:tc>
          <w:tcPr>
            <w:tcW w:w="1300"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Pr="00954779" w:rsidR="00954779" w:rsidP="00954779" w:rsidRDefault="00954779" w14:paraId="4ED4A765" w14:textId="77777777">
            <w:pPr>
              <w:jc w:val="center"/>
              <w:rPr>
                <w:rFonts w:ascii="Calibri" w:hAnsi="Calibri" w:cs="Calibri"/>
                <w:color w:val="000000"/>
                <w:sz w:val="18"/>
                <w:szCs w:val="18"/>
              </w:rPr>
            </w:pPr>
            <w:r w:rsidRPr="00954779">
              <w:rPr>
                <w:rFonts w:ascii="Calibri" w:hAnsi="Calibri" w:cs="Calibri"/>
                <w:color w:val="000000"/>
                <w:sz w:val="18"/>
                <w:szCs w:val="18"/>
              </w:rPr>
              <w:t xml:space="preserve">$2,202.46 </w:t>
            </w:r>
          </w:p>
        </w:tc>
      </w:tr>
      <w:tr w:rsidRPr="00954779" w:rsidR="00954779" w:rsidTr="00AC51EB" w14:paraId="2E1CD2E5" w14:textId="77777777">
        <w:trPr>
          <w:trHeight w:val="260"/>
        </w:trPr>
        <w:tc>
          <w:tcPr>
            <w:tcW w:w="1944" w:type="dxa"/>
            <w:vMerge/>
            <w:tcBorders>
              <w:top w:val="nil"/>
              <w:left w:val="single" w:color="auto" w:sz="4" w:space="0"/>
              <w:bottom w:val="single" w:color="000000" w:sz="4" w:space="0"/>
              <w:right w:val="single" w:color="auto" w:sz="4" w:space="0"/>
            </w:tcBorders>
            <w:vAlign w:val="center"/>
            <w:hideMark/>
          </w:tcPr>
          <w:p w:rsidRPr="00954779" w:rsidR="00954779" w:rsidP="00954779" w:rsidRDefault="00954779" w14:paraId="189FA1F6" w14:textId="77777777">
            <w:pPr>
              <w:rPr>
                <w:rFonts w:ascii="Calibri" w:hAnsi="Calibri" w:cs="Calibri"/>
                <w:b/>
                <w:bCs/>
                <w:color w:val="000000"/>
                <w:sz w:val="18"/>
                <w:szCs w:val="18"/>
              </w:rPr>
            </w:pPr>
          </w:p>
        </w:tc>
        <w:tc>
          <w:tcPr>
            <w:tcW w:w="1156" w:type="dxa"/>
            <w:vMerge/>
            <w:tcBorders>
              <w:top w:val="nil"/>
              <w:left w:val="single" w:color="auto" w:sz="4" w:space="0"/>
              <w:bottom w:val="single" w:color="000000" w:sz="4" w:space="0"/>
              <w:right w:val="single" w:color="auto" w:sz="4" w:space="0"/>
            </w:tcBorders>
            <w:vAlign w:val="center"/>
            <w:hideMark/>
          </w:tcPr>
          <w:p w:rsidRPr="00954779" w:rsidR="00954779" w:rsidP="00954779" w:rsidRDefault="00954779" w14:paraId="3F1515F0" w14:textId="77777777">
            <w:pPr>
              <w:rPr>
                <w:rFonts w:ascii="Calibri" w:hAnsi="Calibri" w:cs="Calibri"/>
                <w:color w:val="000000"/>
                <w:sz w:val="18"/>
                <w:szCs w:val="18"/>
              </w:rPr>
            </w:pPr>
          </w:p>
        </w:tc>
        <w:tc>
          <w:tcPr>
            <w:tcW w:w="1220" w:type="dxa"/>
            <w:tcBorders>
              <w:top w:val="nil"/>
              <w:left w:val="nil"/>
              <w:bottom w:val="single" w:color="auto" w:sz="4" w:space="0"/>
              <w:right w:val="single" w:color="auto" w:sz="4" w:space="0"/>
            </w:tcBorders>
            <w:shd w:val="clear" w:color="auto" w:fill="auto"/>
            <w:vAlign w:val="bottom"/>
            <w:hideMark/>
          </w:tcPr>
          <w:p w:rsidRPr="00954779" w:rsidR="00954779" w:rsidP="00954779" w:rsidRDefault="00954779" w14:paraId="26F75B2D" w14:textId="77777777">
            <w:pPr>
              <w:rPr>
                <w:rFonts w:ascii="Calibri" w:hAnsi="Calibri" w:cs="Calibri"/>
                <w:color w:val="000000"/>
                <w:sz w:val="18"/>
                <w:szCs w:val="18"/>
              </w:rPr>
            </w:pPr>
            <w:r w:rsidRPr="00954779">
              <w:rPr>
                <w:rFonts w:ascii="Calibri" w:hAnsi="Calibri" w:cs="Calibri"/>
                <w:color w:val="000000"/>
                <w:sz w:val="18"/>
                <w:szCs w:val="18"/>
              </w:rPr>
              <w:t>1</w:t>
            </w:r>
          </w:p>
        </w:tc>
        <w:tc>
          <w:tcPr>
            <w:tcW w:w="1300" w:type="dxa"/>
            <w:tcBorders>
              <w:top w:val="nil"/>
              <w:left w:val="nil"/>
              <w:bottom w:val="single" w:color="auto" w:sz="4" w:space="0"/>
              <w:right w:val="single" w:color="auto" w:sz="4" w:space="0"/>
            </w:tcBorders>
            <w:shd w:val="clear" w:color="auto" w:fill="auto"/>
            <w:vAlign w:val="center"/>
            <w:hideMark/>
          </w:tcPr>
          <w:p w:rsidRPr="00954779" w:rsidR="00954779" w:rsidP="00954779" w:rsidRDefault="00954779" w14:paraId="7A718FA8" w14:textId="77777777">
            <w:pPr>
              <w:rPr>
                <w:rFonts w:ascii="Calibri" w:hAnsi="Calibri" w:cs="Calibri"/>
                <w:color w:val="000000"/>
                <w:sz w:val="18"/>
                <w:szCs w:val="18"/>
              </w:rPr>
            </w:pPr>
            <w:r w:rsidRPr="00954779">
              <w:rPr>
                <w:rFonts w:ascii="Calibri" w:hAnsi="Calibri" w:cs="Calibri"/>
                <w:color w:val="000000"/>
                <w:sz w:val="18"/>
                <w:szCs w:val="18"/>
              </w:rPr>
              <w:t xml:space="preserve">$25.61 </w:t>
            </w:r>
          </w:p>
        </w:tc>
        <w:tc>
          <w:tcPr>
            <w:tcW w:w="1151" w:type="dxa"/>
            <w:tcBorders>
              <w:top w:val="nil"/>
              <w:left w:val="nil"/>
              <w:bottom w:val="single" w:color="auto" w:sz="4" w:space="0"/>
              <w:right w:val="single" w:color="auto" w:sz="4" w:space="0"/>
            </w:tcBorders>
            <w:shd w:val="clear" w:color="auto" w:fill="auto"/>
            <w:vAlign w:val="bottom"/>
            <w:hideMark/>
          </w:tcPr>
          <w:p w:rsidRPr="00954779" w:rsidR="00954779" w:rsidP="00954779" w:rsidRDefault="00954779" w14:paraId="71A116B7" w14:textId="77777777">
            <w:pPr>
              <w:rPr>
                <w:rFonts w:ascii="Calibri" w:hAnsi="Calibri" w:cs="Calibri"/>
                <w:color w:val="000000"/>
                <w:sz w:val="18"/>
                <w:szCs w:val="18"/>
              </w:rPr>
            </w:pPr>
            <w:r w:rsidRPr="00954779">
              <w:rPr>
                <w:rFonts w:ascii="Calibri" w:hAnsi="Calibri" w:cs="Calibri"/>
                <w:color w:val="000000"/>
                <w:sz w:val="18"/>
                <w:szCs w:val="18"/>
              </w:rPr>
              <w:t>43</w:t>
            </w:r>
          </w:p>
        </w:tc>
        <w:tc>
          <w:tcPr>
            <w:tcW w:w="1300" w:type="dxa"/>
            <w:tcBorders>
              <w:top w:val="nil"/>
              <w:left w:val="nil"/>
              <w:bottom w:val="single" w:color="auto" w:sz="4" w:space="0"/>
              <w:right w:val="single" w:color="auto" w:sz="4" w:space="0"/>
            </w:tcBorders>
            <w:shd w:val="clear" w:color="auto" w:fill="auto"/>
            <w:vAlign w:val="center"/>
            <w:hideMark/>
          </w:tcPr>
          <w:p w:rsidRPr="00954779" w:rsidR="00954779" w:rsidP="00954779" w:rsidRDefault="00954779" w14:paraId="4BF15FE5" w14:textId="77777777">
            <w:pPr>
              <w:rPr>
                <w:rFonts w:ascii="Calibri" w:hAnsi="Calibri" w:cs="Calibri"/>
                <w:color w:val="000000"/>
                <w:sz w:val="18"/>
                <w:szCs w:val="18"/>
              </w:rPr>
            </w:pPr>
            <w:r w:rsidRPr="00954779">
              <w:rPr>
                <w:rFonts w:ascii="Calibri" w:hAnsi="Calibri" w:cs="Calibri"/>
                <w:color w:val="000000"/>
                <w:sz w:val="18"/>
                <w:szCs w:val="18"/>
              </w:rPr>
              <w:t xml:space="preserve">$1,101.23 </w:t>
            </w:r>
          </w:p>
        </w:tc>
        <w:tc>
          <w:tcPr>
            <w:tcW w:w="1300" w:type="dxa"/>
            <w:vMerge/>
            <w:tcBorders>
              <w:top w:val="nil"/>
              <w:left w:val="single" w:color="auto" w:sz="4" w:space="0"/>
              <w:bottom w:val="single" w:color="000000" w:sz="4" w:space="0"/>
              <w:right w:val="single" w:color="auto" w:sz="4" w:space="0"/>
            </w:tcBorders>
            <w:vAlign w:val="center"/>
            <w:hideMark/>
          </w:tcPr>
          <w:p w:rsidRPr="00954779" w:rsidR="00954779" w:rsidP="00954779" w:rsidRDefault="00954779" w14:paraId="05F89FF3" w14:textId="77777777">
            <w:pPr>
              <w:rPr>
                <w:rFonts w:ascii="Calibri" w:hAnsi="Calibri" w:cs="Calibri"/>
                <w:color w:val="000000"/>
                <w:sz w:val="18"/>
                <w:szCs w:val="18"/>
              </w:rPr>
            </w:pPr>
          </w:p>
        </w:tc>
      </w:tr>
      <w:tr w:rsidRPr="00954779" w:rsidR="00954779" w:rsidTr="00AC51EB" w14:paraId="32CDE535" w14:textId="77777777">
        <w:trPr>
          <w:trHeight w:val="480"/>
        </w:trPr>
        <w:tc>
          <w:tcPr>
            <w:tcW w:w="1944" w:type="dxa"/>
            <w:tcBorders>
              <w:top w:val="nil"/>
              <w:left w:val="single" w:color="auto" w:sz="4" w:space="0"/>
              <w:bottom w:val="nil"/>
              <w:right w:val="nil"/>
            </w:tcBorders>
            <w:shd w:val="clear" w:color="000000" w:fill="E7E6E6"/>
            <w:noWrap/>
            <w:vAlign w:val="center"/>
            <w:hideMark/>
          </w:tcPr>
          <w:p w:rsidRPr="00954779" w:rsidR="00954779" w:rsidP="00954779" w:rsidRDefault="00954779" w14:paraId="22D355B6" w14:textId="77777777">
            <w:pPr>
              <w:rPr>
                <w:rFonts w:ascii="Calibri" w:hAnsi="Calibri" w:cs="Calibri"/>
                <w:b/>
                <w:bCs/>
                <w:color w:val="000000"/>
                <w:sz w:val="18"/>
                <w:szCs w:val="18"/>
              </w:rPr>
            </w:pPr>
            <w:r w:rsidRPr="00954779">
              <w:rPr>
                <w:rFonts w:ascii="Calibri" w:hAnsi="Calibri" w:cs="Calibri"/>
                <w:b/>
                <w:bCs/>
                <w:color w:val="000000"/>
                <w:sz w:val="18"/>
                <w:szCs w:val="18"/>
              </w:rPr>
              <w:t>Families</w:t>
            </w:r>
          </w:p>
        </w:tc>
        <w:tc>
          <w:tcPr>
            <w:tcW w:w="1156" w:type="dxa"/>
            <w:tcBorders>
              <w:top w:val="nil"/>
              <w:left w:val="single" w:color="auto" w:sz="4" w:space="0"/>
              <w:bottom w:val="single" w:color="auto" w:sz="4" w:space="0"/>
              <w:right w:val="single" w:color="auto" w:sz="4" w:space="0"/>
            </w:tcBorders>
            <w:shd w:val="clear" w:color="auto" w:fill="auto"/>
            <w:vAlign w:val="center"/>
            <w:hideMark/>
          </w:tcPr>
          <w:p w:rsidRPr="00954779" w:rsidR="00954779" w:rsidP="00954779" w:rsidRDefault="00954779" w14:paraId="208BFBA3" w14:textId="77777777">
            <w:pPr>
              <w:rPr>
                <w:rFonts w:ascii="Calibri" w:hAnsi="Calibri" w:cs="Calibri"/>
                <w:color w:val="000000"/>
                <w:sz w:val="18"/>
                <w:szCs w:val="18"/>
              </w:rPr>
            </w:pPr>
            <w:r w:rsidRPr="00954779">
              <w:rPr>
                <w:rFonts w:ascii="Calibri" w:hAnsi="Calibri" w:cs="Calibri"/>
                <w:color w:val="000000"/>
                <w:sz w:val="18"/>
                <w:szCs w:val="18"/>
              </w:rPr>
              <w:t xml:space="preserve">$24.98 </w:t>
            </w:r>
          </w:p>
        </w:tc>
        <w:tc>
          <w:tcPr>
            <w:tcW w:w="1220" w:type="dxa"/>
            <w:tcBorders>
              <w:top w:val="nil"/>
              <w:left w:val="nil"/>
              <w:bottom w:val="single" w:color="auto" w:sz="4" w:space="0"/>
              <w:right w:val="single" w:color="auto" w:sz="4" w:space="0"/>
            </w:tcBorders>
            <w:shd w:val="clear" w:color="auto" w:fill="auto"/>
            <w:vAlign w:val="center"/>
            <w:hideMark/>
          </w:tcPr>
          <w:p w:rsidRPr="00954779" w:rsidR="00954779" w:rsidP="00954779" w:rsidRDefault="00954779" w14:paraId="354171DC" w14:textId="77777777">
            <w:pPr>
              <w:rPr>
                <w:rFonts w:ascii="Calibri" w:hAnsi="Calibri" w:cs="Calibri"/>
                <w:color w:val="000000"/>
                <w:sz w:val="18"/>
                <w:szCs w:val="18"/>
              </w:rPr>
            </w:pPr>
            <w:r w:rsidRPr="00954779">
              <w:rPr>
                <w:rFonts w:ascii="Calibri" w:hAnsi="Calibri" w:cs="Calibri"/>
                <w:color w:val="000000"/>
                <w:sz w:val="18"/>
                <w:szCs w:val="18"/>
              </w:rPr>
              <w:t>1.5</w:t>
            </w:r>
          </w:p>
        </w:tc>
        <w:tc>
          <w:tcPr>
            <w:tcW w:w="1300" w:type="dxa"/>
            <w:tcBorders>
              <w:top w:val="nil"/>
              <w:left w:val="nil"/>
              <w:bottom w:val="single" w:color="auto" w:sz="4" w:space="0"/>
              <w:right w:val="single" w:color="auto" w:sz="4" w:space="0"/>
            </w:tcBorders>
            <w:shd w:val="clear" w:color="auto" w:fill="auto"/>
            <w:vAlign w:val="center"/>
            <w:hideMark/>
          </w:tcPr>
          <w:p w:rsidRPr="00954779" w:rsidR="00954779" w:rsidP="00954779" w:rsidRDefault="00954779" w14:paraId="2AB9D000" w14:textId="77777777">
            <w:pPr>
              <w:rPr>
                <w:rFonts w:ascii="Calibri" w:hAnsi="Calibri" w:cs="Calibri"/>
                <w:color w:val="000000"/>
                <w:sz w:val="18"/>
                <w:szCs w:val="18"/>
              </w:rPr>
            </w:pPr>
            <w:r w:rsidRPr="00954779">
              <w:rPr>
                <w:rFonts w:ascii="Calibri" w:hAnsi="Calibri" w:cs="Calibri"/>
                <w:color w:val="000000"/>
                <w:sz w:val="18"/>
                <w:szCs w:val="18"/>
              </w:rPr>
              <w:t xml:space="preserve">$37.47 </w:t>
            </w:r>
          </w:p>
        </w:tc>
        <w:tc>
          <w:tcPr>
            <w:tcW w:w="1151" w:type="dxa"/>
            <w:tcBorders>
              <w:top w:val="nil"/>
              <w:left w:val="nil"/>
              <w:bottom w:val="single" w:color="auto" w:sz="4" w:space="0"/>
              <w:right w:val="single" w:color="auto" w:sz="4" w:space="0"/>
            </w:tcBorders>
            <w:shd w:val="clear" w:color="auto" w:fill="auto"/>
            <w:vAlign w:val="center"/>
            <w:hideMark/>
          </w:tcPr>
          <w:p w:rsidRPr="00954779" w:rsidR="00954779" w:rsidP="00954779" w:rsidRDefault="00954779" w14:paraId="356D69FD" w14:textId="77777777">
            <w:pPr>
              <w:rPr>
                <w:rFonts w:ascii="Calibri" w:hAnsi="Calibri" w:cs="Calibri"/>
                <w:color w:val="000000"/>
                <w:sz w:val="18"/>
                <w:szCs w:val="18"/>
              </w:rPr>
            </w:pPr>
            <w:r w:rsidRPr="00954779">
              <w:rPr>
                <w:rFonts w:ascii="Calibri" w:hAnsi="Calibri" w:cs="Calibri"/>
                <w:color w:val="000000"/>
                <w:sz w:val="18"/>
                <w:szCs w:val="18"/>
              </w:rPr>
              <w:t>480</w:t>
            </w:r>
          </w:p>
        </w:tc>
        <w:tc>
          <w:tcPr>
            <w:tcW w:w="1300" w:type="dxa"/>
            <w:tcBorders>
              <w:top w:val="nil"/>
              <w:left w:val="nil"/>
              <w:bottom w:val="single" w:color="auto" w:sz="4" w:space="0"/>
              <w:right w:val="single" w:color="auto" w:sz="4" w:space="0"/>
            </w:tcBorders>
            <w:shd w:val="clear" w:color="auto" w:fill="auto"/>
            <w:noWrap/>
            <w:vAlign w:val="center"/>
            <w:hideMark/>
          </w:tcPr>
          <w:p w:rsidRPr="00954779" w:rsidR="00954779" w:rsidP="00954779" w:rsidRDefault="00954779" w14:paraId="4187EE85" w14:textId="77777777">
            <w:pPr>
              <w:rPr>
                <w:rFonts w:ascii="Calibri" w:hAnsi="Calibri" w:cs="Calibri"/>
                <w:color w:val="000000"/>
                <w:sz w:val="18"/>
                <w:szCs w:val="18"/>
              </w:rPr>
            </w:pPr>
            <w:r w:rsidRPr="00954779">
              <w:rPr>
                <w:rFonts w:ascii="Calibri" w:hAnsi="Calibri" w:cs="Calibri"/>
                <w:color w:val="000000"/>
                <w:sz w:val="18"/>
                <w:szCs w:val="18"/>
              </w:rPr>
              <w:t xml:space="preserve">$17,985.60 </w:t>
            </w:r>
          </w:p>
        </w:tc>
        <w:tc>
          <w:tcPr>
            <w:tcW w:w="1300" w:type="dxa"/>
            <w:tcBorders>
              <w:top w:val="nil"/>
              <w:left w:val="nil"/>
              <w:bottom w:val="single" w:color="auto" w:sz="4" w:space="0"/>
              <w:right w:val="single" w:color="auto" w:sz="4" w:space="0"/>
            </w:tcBorders>
            <w:shd w:val="clear" w:color="auto" w:fill="auto"/>
            <w:noWrap/>
            <w:vAlign w:val="center"/>
            <w:hideMark/>
          </w:tcPr>
          <w:p w:rsidRPr="00954779" w:rsidR="00954779" w:rsidP="00954779" w:rsidRDefault="00954779" w14:paraId="16D63577" w14:textId="77777777">
            <w:pPr>
              <w:jc w:val="center"/>
              <w:rPr>
                <w:rFonts w:ascii="Calibri" w:hAnsi="Calibri" w:cs="Calibri"/>
                <w:color w:val="000000"/>
                <w:sz w:val="18"/>
                <w:szCs w:val="18"/>
              </w:rPr>
            </w:pPr>
            <w:r w:rsidRPr="00954779">
              <w:rPr>
                <w:rFonts w:ascii="Calibri" w:hAnsi="Calibri" w:cs="Calibri"/>
                <w:color w:val="000000"/>
                <w:sz w:val="18"/>
                <w:szCs w:val="18"/>
              </w:rPr>
              <w:t xml:space="preserve">$17,985.60 </w:t>
            </w:r>
          </w:p>
        </w:tc>
      </w:tr>
      <w:tr w:rsidRPr="00954779" w:rsidR="00954779" w:rsidTr="00AC51EB" w14:paraId="70328EE3" w14:textId="77777777">
        <w:trPr>
          <w:trHeight w:val="320"/>
        </w:trPr>
        <w:tc>
          <w:tcPr>
            <w:tcW w:w="8071" w:type="dxa"/>
            <w:gridSpan w:val="6"/>
            <w:tcBorders>
              <w:top w:val="single" w:color="auto" w:sz="4" w:space="0"/>
              <w:left w:val="single" w:color="auto" w:sz="4" w:space="0"/>
              <w:bottom w:val="single" w:color="auto" w:sz="4" w:space="0"/>
              <w:right w:val="single" w:color="auto" w:sz="4" w:space="0"/>
            </w:tcBorders>
            <w:shd w:val="clear" w:color="000000" w:fill="E7E6E6"/>
            <w:noWrap/>
            <w:vAlign w:val="center"/>
            <w:hideMark/>
          </w:tcPr>
          <w:p w:rsidRPr="00954779" w:rsidR="00954779" w:rsidP="00954779" w:rsidRDefault="00954779" w14:paraId="1FDEE6F7" w14:textId="77777777">
            <w:pPr>
              <w:rPr>
                <w:rFonts w:ascii="Calibri" w:hAnsi="Calibri" w:cs="Calibri"/>
                <w:b/>
                <w:bCs/>
                <w:color w:val="000000"/>
                <w:sz w:val="18"/>
                <w:szCs w:val="18"/>
              </w:rPr>
            </w:pPr>
            <w:r w:rsidRPr="00954779">
              <w:rPr>
                <w:rFonts w:ascii="Calibri" w:hAnsi="Calibri" w:cs="Calibri"/>
                <w:b/>
                <w:bCs/>
                <w:color w:val="000000"/>
                <w:sz w:val="18"/>
                <w:szCs w:val="18"/>
              </w:rPr>
              <w:t>TOTAL BURDEN</w:t>
            </w:r>
          </w:p>
        </w:tc>
        <w:tc>
          <w:tcPr>
            <w:tcW w:w="1300" w:type="dxa"/>
            <w:tcBorders>
              <w:top w:val="nil"/>
              <w:left w:val="nil"/>
              <w:bottom w:val="single" w:color="auto" w:sz="4" w:space="0"/>
              <w:right w:val="single" w:color="auto" w:sz="4" w:space="0"/>
            </w:tcBorders>
            <w:shd w:val="clear" w:color="000000" w:fill="E7E6E6"/>
            <w:noWrap/>
            <w:vAlign w:val="center"/>
            <w:hideMark/>
          </w:tcPr>
          <w:p w:rsidRPr="00954779" w:rsidR="00954779" w:rsidP="00954779" w:rsidRDefault="00954779" w14:paraId="105D8E8E" w14:textId="77777777">
            <w:pPr>
              <w:jc w:val="center"/>
              <w:rPr>
                <w:rFonts w:ascii="Calibri" w:hAnsi="Calibri" w:cs="Calibri"/>
                <w:b/>
                <w:bCs/>
                <w:color w:val="000000"/>
                <w:sz w:val="18"/>
                <w:szCs w:val="18"/>
              </w:rPr>
            </w:pPr>
            <w:r w:rsidRPr="00954779">
              <w:rPr>
                <w:rFonts w:ascii="Calibri" w:hAnsi="Calibri" w:cs="Calibri"/>
                <w:b/>
                <w:bCs/>
                <w:color w:val="000000"/>
                <w:sz w:val="18"/>
                <w:szCs w:val="18"/>
              </w:rPr>
              <w:t xml:space="preserve">$20,188.06 </w:t>
            </w:r>
          </w:p>
        </w:tc>
      </w:tr>
    </w:tbl>
    <w:p w:rsidRPr="0032494C" w:rsidR="00954779" w:rsidP="00954779" w:rsidRDefault="00954779" w14:paraId="7A5F0F24"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u w:val="single"/>
        </w:rPr>
      </w:pPr>
    </w:p>
    <w:p w:rsidRPr="0032494C" w:rsidR="006C7470" w:rsidP="006C7470" w:rsidRDefault="006C7470" w14:paraId="76979881" w14:textId="6FCC401F">
      <w:pPr>
        <w:rPr>
          <w:rFonts w:ascii="Calibri" w:hAnsi="Calibri" w:cs="Calibri"/>
          <w:b/>
          <w:sz w:val="22"/>
          <w:szCs w:val="22"/>
        </w:rPr>
      </w:pPr>
    </w:p>
    <w:p w:rsidRPr="0032494C" w:rsidR="00954779" w:rsidP="006C7470" w:rsidRDefault="00954779" w14:paraId="09C4D2BC" w14:textId="77777777">
      <w:pPr>
        <w:rPr>
          <w:rFonts w:ascii="Calibri" w:hAnsi="Calibri" w:cs="Calibri"/>
          <w:b/>
          <w:sz w:val="22"/>
          <w:szCs w:val="22"/>
        </w:rPr>
      </w:pPr>
    </w:p>
    <w:p w:rsidRPr="0032494C" w:rsidR="006C7470" w:rsidP="006C7470" w:rsidRDefault="006C7470" w14:paraId="30C28B45" w14:textId="77777777">
      <w:pPr>
        <w:rPr>
          <w:rFonts w:ascii="Calibri" w:hAnsi="Calibri" w:cs="Calibri"/>
          <w:b/>
          <w:sz w:val="22"/>
          <w:szCs w:val="22"/>
        </w:rPr>
      </w:pPr>
      <w:r w:rsidRPr="0032494C">
        <w:rPr>
          <w:rFonts w:ascii="Calibri" w:hAnsi="Calibri" w:cs="Calibri"/>
          <w:b/>
          <w:sz w:val="22"/>
          <w:szCs w:val="22"/>
        </w:rPr>
        <w:t>Burden estimate (Year 1 interview)</w:t>
      </w:r>
    </w:p>
    <w:p w:rsidRPr="0032494C" w:rsidR="006C7470" w:rsidP="006C7470" w:rsidRDefault="006C7470" w14:paraId="32659A07" w14:textId="77777777">
      <w:pPr>
        <w:rPr>
          <w:rFonts w:ascii="Calibri" w:hAnsi="Calibri" w:cs="Calibri"/>
          <w:sz w:val="22"/>
          <w:szCs w:val="22"/>
        </w:rPr>
      </w:pPr>
      <w:r w:rsidRPr="0032494C">
        <w:rPr>
          <w:rFonts w:ascii="Calibri" w:hAnsi="Calibri" w:cs="Calibri"/>
          <w:sz w:val="22"/>
          <w:szCs w:val="22"/>
        </w:rPr>
        <w:t xml:space="preserve">Estimated # of participants:  </w:t>
      </w:r>
      <w:r w:rsidRPr="0032494C">
        <w:rPr>
          <w:rFonts w:ascii="Calibri" w:hAnsi="Calibri" w:cs="Calibri"/>
          <w:sz w:val="22"/>
          <w:szCs w:val="22"/>
        </w:rPr>
        <w:tab/>
      </w:r>
      <w:r w:rsidRPr="00F674B8">
        <w:rPr>
          <w:rFonts w:ascii="Calibri" w:hAnsi="Calibri" w:cs="Calibri"/>
          <w:sz w:val="22"/>
          <w:szCs w:val="22"/>
        </w:rPr>
        <w:t>3</w:t>
      </w:r>
    </w:p>
    <w:p w:rsidRPr="0032494C" w:rsidR="006C7470" w:rsidP="006C7470" w:rsidRDefault="006C7470" w14:paraId="7ED2CEB6" w14:textId="77777777">
      <w:pPr>
        <w:rPr>
          <w:rFonts w:ascii="Calibri" w:hAnsi="Calibri" w:cs="Calibri"/>
          <w:sz w:val="22"/>
          <w:szCs w:val="22"/>
        </w:rPr>
      </w:pPr>
    </w:p>
    <w:p w:rsidRPr="0032494C" w:rsidR="006C7470" w:rsidP="006C7470" w:rsidRDefault="006C7470" w14:paraId="785129F4" w14:textId="77777777">
      <w:pPr>
        <w:rPr>
          <w:rFonts w:ascii="Calibri" w:hAnsi="Calibri" w:cs="Calibri"/>
          <w:sz w:val="22"/>
          <w:szCs w:val="22"/>
        </w:rPr>
      </w:pPr>
      <w:r w:rsidRPr="0032494C">
        <w:rPr>
          <w:rFonts w:ascii="Calibri" w:hAnsi="Calibri" w:cs="Calibri"/>
          <w:sz w:val="22"/>
          <w:szCs w:val="22"/>
        </w:rPr>
        <w:t>Frequency:</w:t>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t>1x</w:t>
      </w:r>
    </w:p>
    <w:p w:rsidRPr="0032494C" w:rsidR="006C7470" w:rsidP="006C7470" w:rsidRDefault="006C7470" w14:paraId="5CC36FFF" w14:textId="77777777">
      <w:pPr>
        <w:rPr>
          <w:rFonts w:ascii="Calibri" w:hAnsi="Calibri" w:cs="Calibri"/>
          <w:sz w:val="22"/>
          <w:szCs w:val="22"/>
        </w:rPr>
      </w:pPr>
    </w:p>
    <w:p w:rsidRPr="0032494C" w:rsidR="006C7470" w:rsidP="006C7470" w:rsidRDefault="006C7470" w14:paraId="50AC7B4D" w14:textId="60847C08">
      <w:pPr>
        <w:ind w:left="2880" w:hanging="2880"/>
        <w:rPr>
          <w:rFonts w:ascii="Calibri" w:hAnsi="Calibri" w:cs="Calibri"/>
          <w:sz w:val="22"/>
          <w:szCs w:val="22"/>
        </w:rPr>
      </w:pPr>
      <w:r w:rsidRPr="0032494C">
        <w:rPr>
          <w:rFonts w:ascii="Calibri" w:hAnsi="Calibri" w:cs="Calibri"/>
          <w:sz w:val="22"/>
          <w:szCs w:val="22"/>
        </w:rPr>
        <w:t>Mean Hourly Wage:</w:t>
      </w:r>
      <w:r w:rsidRPr="0032494C">
        <w:rPr>
          <w:rFonts w:ascii="Calibri" w:hAnsi="Calibri" w:cs="Calibri"/>
          <w:sz w:val="22"/>
          <w:szCs w:val="22"/>
        </w:rPr>
        <w:tab/>
        <w:t>$25.61</w:t>
      </w:r>
      <w:r w:rsidRPr="0032494C">
        <w:rPr>
          <w:rFonts w:ascii="Calibri" w:hAnsi="Calibri" w:cs="Calibri"/>
          <w:color w:val="000000" w:themeColor="text1"/>
          <w:sz w:val="22"/>
          <w:szCs w:val="22"/>
        </w:rPr>
        <w:t xml:space="preserve"> (Bureau of Labor Statistics</w:t>
      </w:r>
      <w:r w:rsidRPr="0032494C" w:rsidR="0035405B">
        <w:rPr>
          <w:rStyle w:val="FootnoteReference"/>
          <w:rFonts w:ascii="Calibri" w:hAnsi="Calibri" w:cs="Calibri"/>
          <w:color w:val="000000" w:themeColor="text1"/>
          <w:sz w:val="22"/>
          <w:szCs w:val="22"/>
        </w:rPr>
        <w:footnoteReference w:id="2"/>
      </w:r>
      <w:r w:rsidRPr="0032494C">
        <w:rPr>
          <w:rFonts w:ascii="Calibri" w:hAnsi="Calibri" w:cs="Calibri"/>
          <w:color w:val="000000" w:themeColor="text1"/>
          <w:sz w:val="22"/>
          <w:szCs w:val="22"/>
        </w:rPr>
        <w:t xml:space="preserve"> mean hourly wage of a museum employee</w:t>
      </w:r>
      <w:r w:rsidRPr="0032494C" w:rsidR="00B73C58">
        <w:rPr>
          <w:rFonts w:ascii="Calibri" w:hAnsi="Calibri" w:cs="Calibri"/>
          <w:color w:val="000000" w:themeColor="text1"/>
          <w:sz w:val="22"/>
          <w:szCs w:val="22"/>
        </w:rPr>
        <w:t>)</w:t>
      </w:r>
      <w:r w:rsidRPr="0032494C">
        <w:rPr>
          <w:rFonts w:ascii="Calibri" w:hAnsi="Calibri" w:cs="Calibri"/>
          <w:sz w:val="22"/>
          <w:szCs w:val="22"/>
        </w:rPr>
        <w:t xml:space="preserve"> </w:t>
      </w:r>
    </w:p>
    <w:p w:rsidRPr="0032494C" w:rsidR="006C7470" w:rsidP="006C7470" w:rsidRDefault="006C7470" w14:paraId="040327DF" w14:textId="77777777">
      <w:pPr>
        <w:rPr>
          <w:rFonts w:ascii="Calibri" w:hAnsi="Calibri" w:cs="Calibri"/>
          <w:sz w:val="22"/>
          <w:szCs w:val="22"/>
        </w:rPr>
      </w:pPr>
    </w:p>
    <w:p w:rsidRPr="0032494C" w:rsidR="006C7470" w:rsidP="006C7470" w:rsidRDefault="006C7470" w14:paraId="081D42E6" w14:textId="77777777">
      <w:pPr>
        <w:rPr>
          <w:rFonts w:ascii="Calibri" w:hAnsi="Calibri" w:cs="Calibri"/>
          <w:sz w:val="22"/>
          <w:szCs w:val="22"/>
        </w:rPr>
      </w:pPr>
      <w:r w:rsidRPr="0032494C">
        <w:rPr>
          <w:rFonts w:ascii="Calibri" w:hAnsi="Calibri" w:cs="Calibri"/>
          <w:sz w:val="22"/>
          <w:szCs w:val="22"/>
        </w:rPr>
        <w:t>Estimated response time:</w:t>
      </w:r>
      <w:r w:rsidRPr="0032494C">
        <w:rPr>
          <w:rFonts w:ascii="Calibri" w:hAnsi="Calibri" w:cs="Calibri"/>
          <w:sz w:val="22"/>
          <w:szCs w:val="22"/>
        </w:rPr>
        <w:tab/>
        <w:t>Hours x # of Respondents x Frequency</w:t>
      </w:r>
    </w:p>
    <w:p w:rsidRPr="0032494C" w:rsidR="006C7470" w:rsidP="006C7470" w:rsidRDefault="006C7470" w14:paraId="659C1D76" w14:textId="77777777">
      <w:pPr>
        <w:rPr>
          <w:rFonts w:ascii="Calibri" w:hAnsi="Calibri" w:cs="Calibri"/>
          <w:sz w:val="22"/>
          <w:szCs w:val="22"/>
        </w:rPr>
      </w:pP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t>[1 hour x 3 x 1 = 3 hours]</w:t>
      </w:r>
    </w:p>
    <w:p w:rsidRPr="0032494C" w:rsidR="006C7470" w:rsidP="006C7470" w:rsidRDefault="006C7470" w14:paraId="312322A4" w14:textId="77777777">
      <w:pPr>
        <w:rPr>
          <w:rFonts w:ascii="Calibri" w:hAnsi="Calibri" w:cs="Calibri"/>
          <w:sz w:val="22"/>
          <w:szCs w:val="22"/>
        </w:rPr>
      </w:pPr>
    </w:p>
    <w:p w:rsidRPr="0032494C" w:rsidR="006C7470" w:rsidP="006C7470" w:rsidRDefault="006C7470" w14:paraId="2BF4C133" w14:textId="77777777">
      <w:pPr>
        <w:rPr>
          <w:rFonts w:ascii="Calibri" w:hAnsi="Calibri" w:cs="Calibri"/>
          <w:sz w:val="22"/>
          <w:szCs w:val="22"/>
        </w:rPr>
      </w:pPr>
      <w:r w:rsidRPr="0032494C">
        <w:rPr>
          <w:rFonts w:ascii="Calibri" w:hAnsi="Calibri" w:cs="Calibri"/>
          <w:sz w:val="22"/>
          <w:szCs w:val="22"/>
        </w:rPr>
        <w:t>Estimated cost/respondent:</w:t>
      </w:r>
      <w:r w:rsidRPr="0032494C">
        <w:rPr>
          <w:rFonts w:ascii="Calibri" w:hAnsi="Calibri" w:cs="Calibri"/>
          <w:sz w:val="22"/>
          <w:szCs w:val="22"/>
        </w:rPr>
        <w:tab/>
        <w:t xml:space="preserve">Hours x Frequency x Mean Hourly Wage of Respondent </w:t>
      </w:r>
    </w:p>
    <w:p w:rsidRPr="0032494C" w:rsidR="006C7470" w:rsidP="006C7470" w:rsidRDefault="006C7470" w14:paraId="67A49046" w14:textId="77777777">
      <w:pPr>
        <w:rPr>
          <w:rFonts w:ascii="Calibri" w:hAnsi="Calibri" w:cs="Calibri"/>
          <w:color w:val="000000" w:themeColor="text1"/>
          <w:sz w:val="22"/>
          <w:szCs w:val="22"/>
        </w:rPr>
      </w:pP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t>[1 hour x 1 x $</w:t>
      </w:r>
      <w:r w:rsidRPr="0032494C">
        <w:rPr>
          <w:rFonts w:ascii="Calibri" w:hAnsi="Calibri" w:cs="Calibri"/>
          <w:color w:val="000000" w:themeColor="text1"/>
          <w:sz w:val="22"/>
          <w:szCs w:val="22"/>
        </w:rPr>
        <w:t>25.61=$25.61]</w:t>
      </w:r>
    </w:p>
    <w:p w:rsidRPr="0032494C" w:rsidR="006C7470" w:rsidP="006C7470" w:rsidRDefault="006C7470" w14:paraId="2F3FC9F6" w14:textId="77777777">
      <w:pPr>
        <w:rPr>
          <w:rFonts w:ascii="Calibri" w:hAnsi="Calibri" w:cs="Calibri"/>
          <w:sz w:val="22"/>
          <w:szCs w:val="22"/>
        </w:rPr>
      </w:pPr>
    </w:p>
    <w:p w:rsidRPr="0032494C" w:rsidR="006C7470" w:rsidP="006C7470" w:rsidRDefault="006C7470" w14:paraId="3D33B7DC" w14:textId="77777777">
      <w:pPr>
        <w:rPr>
          <w:rFonts w:ascii="Calibri" w:hAnsi="Calibri" w:cs="Calibri"/>
          <w:sz w:val="22"/>
          <w:szCs w:val="22"/>
        </w:rPr>
      </w:pPr>
      <w:r w:rsidRPr="0032494C">
        <w:rPr>
          <w:rFonts w:ascii="Calibri" w:hAnsi="Calibri" w:cs="Calibri"/>
          <w:sz w:val="22"/>
          <w:szCs w:val="22"/>
        </w:rPr>
        <w:t>Estimated total burden:</w:t>
      </w:r>
      <w:r w:rsidRPr="0032494C">
        <w:rPr>
          <w:rFonts w:ascii="Calibri" w:hAnsi="Calibri" w:cs="Calibri"/>
          <w:sz w:val="22"/>
          <w:szCs w:val="22"/>
        </w:rPr>
        <w:tab/>
      </w:r>
      <w:r w:rsidRPr="0032494C">
        <w:rPr>
          <w:rFonts w:ascii="Calibri" w:hAnsi="Calibri" w:cs="Calibri"/>
          <w:sz w:val="22"/>
          <w:szCs w:val="22"/>
        </w:rPr>
        <w:tab/>
        <w:t>Hours x # of Respondents x Frequency x Mean Hourly Wage</w:t>
      </w:r>
    </w:p>
    <w:p w:rsidRPr="0032494C" w:rsidR="006C7470" w:rsidP="006C7470" w:rsidRDefault="006C7470" w14:paraId="0421566E" w14:textId="7FDEE1D3">
      <w:pPr>
        <w:rPr>
          <w:rFonts w:ascii="Calibri" w:hAnsi="Calibri" w:cs="Calibri"/>
          <w:sz w:val="22"/>
          <w:szCs w:val="22"/>
        </w:rPr>
      </w:pP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r>
      <w:r w:rsidRPr="00C208B9">
        <w:rPr>
          <w:rFonts w:ascii="Calibri" w:hAnsi="Calibri" w:cs="Calibri"/>
          <w:sz w:val="22"/>
          <w:szCs w:val="22"/>
        </w:rPr>
        <w:t>[1 hour x 3 x 1 x $25.61= $</w:t>
      </w:r>
      <w:r w:rsidRPr="00EF671D" w:rsidR="00B73C58">
        <w:rPr>
          <w:rFonts w:ascii="Calibri" w:hAnsi="Calibri" w:cs="Calibri"/>
          <w:sz w:val="22"/>
          <w:szCs w:val="22"/>
        </w:rPr>
        <w:t>76.83</w:t>
      </w:r>
      <w:r w:rsidRPr="00C208B9">
        <w:rPr>
          <w:rFonts w:ascii="Calibri" w:hAnsi="Calibri" w:cs="Calibri"/>
          <w:sz w:val="22"/>
          <w:szCs w:val="22"/>
        </w:rPr>
        <w:t>]</w:t>
      </w:r>
    </w:p>
    <w:p w:rsidRPr="0032494C" w:rsidR="006C7470" w:rsidP="006C7470" w:rsidRDefault="006C7470" w14:paraId="0DFD75D5" w14:textId="77777777">
      <w:pPr>
        <w:rPr>
          <w:rFonts w:ascii="Calibri" w:hAnsi="Calibri" w:cs="Calibri"/>
          <w:sz w:val="22"/>
          <w:szCs w:val="22"/>
        </w:rPr>
      </w:pPr>
    </w:p>
    <w:p w:rsidRPr="0032494C" w:rsidR="006C7470" w:rsidP="006C7470" w:rsidRDefault="006C7470" w14:paraId="4F9E24E0" w14:textId="77777777">
      <w:pPr>
        <w:rPr>
          <w:rFonts w:ascii="Calibri" w:hAnsi="Calibri" w:cs="Calibri"/>
          <w:sz w:val="22"/>
          <w:szCs w:val="22"/>
        </w:rPr>
      </w:pPr>
      <w:r w:rsidRPr="0032494C">
        <w:rPr>
          <w:rFonts w:ascii="Calibri" w:hAnsi="Calibri" w:cs="Calibri"/>
          <w:sz w:val="22"/>
          <w:szCs w:val="22"/>
        </w:rPr>
        <w:t>Annualized costs to respondents for the one-time, one-hour interview is estimated at $153.66.</w:t>
      </w:r>
    </w:p>
    <w:p w:rsidRPr="0032494C" w:rsidR="006C7470" w:rsidP="006C7470" w:rsidRDefault="006C7470" w14:paraId="00F97D92" w14:textId="77777777">
      <w:pPr>
        <w:rPr>
          <w:rFonts w:ascii="Calibri" w:hAnsi="Calibri" w:cs="Calibri"/>
          <w:sz w:val="22"/>
          <w:szCs w:val="22"/>
        </w:rPr>
      </w:pPr>
    </w:p>
    <w:p w:rsidRPr="0032494C" w:rsidR="006C7470" w:rsidP="006C7470" w:rsidRDefault="006C7470" w14:paraId="7E52F57E" w14:textId="77777777">
      <w:pPr>
        <w:rPr>
          <w:rFonts w:ascii="Calibri" w:hAnsi="Calibri" w:cs="Calibri"/>
          <w:b/>
          <w:sz w:val="22"/>
          <w:szCs w:val="22"/>
        </w:rPr>
      </w:pPr>
      <w:r w:rsidRPr="0032494C">
        <w:rPr>
          <w:rFonts w:ascii="Calibri" w:hAnsi="Calibri" w:cs="Calibri"/>
          <w:b/>
          <w:sz w:val="22"/>
          <w:szCs w:val="22"/>
        </w:rPr>
        <w:t>Burden estimate: Year 1 survey</w:t>
      </w:r>
    </w:p>
    <w:p w:rsidRPr="0032494C" w:rsidR="006C7470" w:rsidP="006C7470" w:rsidRDefault="006C7470" w14:paraId="4FA0F077" w14:textId="77777777">
      <w:pPr>
        <w:rPr>
          <w:rFonts w:ascii="Calibri" w:hAnsi="Calibri" w:cs="Calibri"/>
          <w:sz w:val="22"/>
          <w:szCs w:val="22"/>
        </w:rPr>
      </w:pPr>
      <w:r w:rsidRPr="0032494C">
        <w:rPr>
          <w:rFonts w:ascii="Calibri" w:hAnsi="Calibri" w:cs="Calibri"/>
          <w:sz w:val="22"/>
          <w:szCs w:val="22"/>
        </w:rPr>
        <w:t xml:space="preserve">Estimated # of participants:  </w:t>
      </w:r>
      <w:r w:rsidRPr="0032494C">
        <w:rPr>
          <w:rFonts w:ascii="Calibri" w:hAnsi="Calibri" w:cs="Calibri"/>
          <w:sz w:val="22"/>
          <w:szCs w:val="22"/>
        </w:rPr>
        <w:tab/>
      </w:r>
      <w:r w:rsidRPr="00C208B9">
        <w:rPr>
          <w:rFonts w:ascii="Calibri" w:hAnsi="Calibri" w:cs="Calibri"/>
          <w:sz w:val="22"/>
          <w:szCs w:val="22"/>
        </w:rPr>
        <w:t>6</w:t>
      </w:r>
    </w:p>
    <w:p w:rsidRPr="0032494C" w:rsidR="006C7470" w:rsidP="006C7470" w:rsidRDefault="006C7470" w14:paraId="6C35D6D3" w14:textId="77777777">
      <w:pPr>
        <w:rPr>
          <w:rFonts w:ascii="Calibri" w:hAnsi="Calibri" w:cs="Calibri"/>
          <w:sz w:val="22"/>
          <w:szCs w:val="22"/>
        </w:rPr>
      </w:pPr>
    </w:p>
    <w:p w:rsidRPr="0032494C" w:rsidR="006C7470" w:rsidP="006C7470" w:rsidRDefault="006C7470" w14:paraId="687F556F" w14:textId="77777777">
      <w:pPr>
        <w:rPr>
          <w:rFonts w:ascii="Calibri" w:hAnsi="Calibri" w:cs="Calibri"/>
          <w:sz w:val="22"/>
          <w:szCs w:val="22"/>
        </w:rPr>
      </w:pPr>
      <w:r w:rsidRPr="0032494C">
        <w:rPr>
          <w:rFonts w:ascii="Calibri" w:hAnsi="Calibri" w:cs="Calibri"/>
          <w:sz w:val="22"/>
          <w:szCs w:val="22"/>
        </w:rPr>
        <w:t xml:space="preserve">Frequency: </w:t>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t xml:space="preserve">1x </w:t>
      </w:r>
    </w:p>
    <w:p w:rsidRPr="0032494C" w:rsidR="006C7470" w:rsidP="006C7470" w:rsidRDefault="006C7470" w14:paraId="77FD7C08" w14:textId="77777777">
      <w:pPr>
        <w:rPr>
          <w:rFonts w:ascii="Calibri" w:hAnsi="Calibri" w:cs="Calibri"/>
          <w:sz w:val="22"/>
          <w:szCs w:val="22"/>
        </w:rPr>
      </w:pPr>
    </w:p>
    <w:p w:rsidRPr="0032494C" w:rsidR="006C7470" w:rsidP="006C7470" w:rsidRDefault="006C7470" w14:paraId="528C30A6" w14:textId="77777777">
      <w:pPr>
        <w:ind w:left="2880" w:hanging="2880"/>
        <w:rPr>
          <w:rFonts w:ascii="Calibri" w:hAnsi="Calibri" w:cs="Calibri"/>
          <w:sz w:val="22"/>
          <w:szCs w:val="22"/>
        </w:rPr>
      </w:pPr>
      <w:r w:rsidRPr="0032494C">
        <w:rPr>
          <w:rFonts w:ascii="Calibri" w:hAnsi="Calibri" w:cs="Calibri"/>
          <w:sz w:val="22"/>
          <w:szCs w:val="22"/>
        </w:rPr>
        <w:t>Mean Hourly Wage:</w:t>
      </w:r>
      <w:r w:rsidRPr="0032494C">
        <w:rPr>
          <w:rFonts w:ascii="Calibri" w:hAnsi="Calibri" w:cs="Calibri"/>
          <w:sz w:val="22"/>
          <w:szCs w:val="22"/>
        </w:rPr>
        <w:tab/>
        <w:t>$25.61</w:t>
      </w:r>
      <w:r w:rsidRPr="0032494C">
        <w:rPr>
          <w:rFonts w:ascii="Calibri" w:hAnsi="Calibri" w:cs="Calibri"/>
          <w:color w:val="000000" w:themeColor="text1"/>
          <w:sz w:val="22"/>
          <w:szCs w:val="22"/>
        </w:rPr>
        <w:t xml:space="preserve"> (Bureau of Labor Statistics mean hourly wage of a museum employee</w:t>
      </w:r>
      <w:r w:rsidRPr="0032494C">
        <w:rPr>
          <w:rFonts w:ascii="Calibri" w:hAnsi="Calibri" w:cs="Calibri"/>
          <w:sz w:val="22"/>
          <w:szCs w:val="22"/>
        </w:rPr>
        <w:t xml:space="preserve"> </w:t>
      </w:r>
    </w:p>
    <w:p w:rsidRPr="0032494C" w:rsidR="006C7470" w:rsidP="006C7470" w:rsidRDefault="006C7470" w14:paraId="67331FF4" w14:textId="77777777">
      <w:pPr>
        <w:rPr>
          <w:rFonts w:ascii="Calibri" w:hAnsi="Calibri" w:cs="Calibri"/>
          <w:sz w:val="22"/>
          <w:szCs w:val="22"/>
        </w:rPr>
      </w:pPr>
    </w:p>
    <w:p w:rsidRPr="0032494C" w:rsidR="006C7470" w:rsidP="006C7470" w:rsidRDefault="006C7470" w14:paraId="2F5DB0B4" w14:textId="77777777">
      <w:pPr>
        <w:rPr>
          <w:rFonts w:ascii="Calibri" w:hAnsi="Calibri" w:cs="Calibri"/>
          <w:sz w:val="22"/>
          <w:szCs w:val="22"/>
        </w:rPr>
      </w:pPr>
      <w:r w:rsidRPr="0032494C">
        <w:rPr>
          <w:rFonts w:ascii="Calibri" w:hAnsi="Calibri" w:cs="Calibri"/>
          <w:sz w:val="22"/>
          <w:szCs w:val="22"/>
        </w:rPr>
        <w:t>Estimated response time:</w:t>
      </w:r>
      <w:r w:rsidRPr="0032494C">
        <w:rPr>
          <w:rFonts w:ascii="Calibri" w:hAnsi="Calibri" w:cs="Calibri"/>
          <w:sz w:val="22"/>
          <w:szCs w:val="22"/>
        </w:rPr>
        <w:tab/>
        <w:t>Hours x # of Respondents x Frequency</w:t>
      </w:r>
    </w:p>
    <w:p w:rsidRPr="0032494C" w:rsidR="006C7470" w:rsidP="006C7470" w:rsidRDefault="006C7470" w14:paraId="3850B3CC" w14:textId="77777777">
      <w:pPr>
        <w:rPr>
          <w:rFonts w:ascii="Calibri" w:hAnsi="Calibri" w:cs="Calibri"/>
          <w:sz w:val="22"/>
          <w:szCs w:val="22"/>
        </w:rPr>
      </w:pP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t>[0.5 hours x 6 x 1 = 3 hours]</w:t>
      </w:r>
    </w:p>
    <w:p w:rsidRPr="0032494C" w:rsidR="006C7470" w:rsidP="006C7470" w:rsidRDefault="006C7470" w14:paraId="0B0E5AC0" w14:textId="77777777">
      <w:pPr>
        <w:rPr>
          <w:rFonts w:ascii="Calibri" w:hAnsi="Calibri" w:cs="Calibri"/>
          <w:sz w:val="22"/>
          <w:szCs w:val="22"/>
        </w:rPr>
      </w:pPr>
    </w:p>
    <w:p w:rsidRPr="0032494C" w:rsidR="006C7470" w:rsidP="006C7470" w:rsidRDefault="006C7470" w14:paraId="40BC2FB9" w14:textId="77777777">
      <w:pPr>
        <w:rPr>
          <w:rFonts w:ascii="Calibri" w:hAnsi="Calibri" w:cs="Calibri"/>
          <w:color w:val="000000" w:themeColor="text1"/>
          <w:sz w:val="22"/>
          <w:szCs w:val="22"/>
        </w:rPr>
      </w:pPr>
      <w:r w:rsidRPr="0032494C">
        <w:rPr>
          <w:rFonts w:ascii="Calibri" w:hAnsi="Calibri" w:cs="Calibri"/>
          <w:sz w:val="22"/>
          <w:szCs w:val="22"/>
        </w:rPr>
        <w:t>Estimated cost/respondent:</w:t>
      </w:r>
      <w:r w:rsidRPr="0032494C">
        <w:rPr>
          <w:rFonts w:ascii="Calibri" w:hAnsi="Calibri" w:cs="Calibri"/>
          <w:sz w:val="22"/>
          <w:szCs w:val="22"/>
        </w:rPr>
        <w:tab/>
        <w:t>Hours x Frequency x Mean Hourly Wage of Respondent</w:t>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t>[0.5 hours x 1 x $</w:t>
      </w:r>
      <w:r w:rsidRPr="0032494C">
        <w:rPr>
          <w:rFonts w:ascii="Calibri" w:hAnsi="Calibri" w:cs="Calibri"/>
          <w:color w:val="000000" w:themeColor="text1"/>
          <w:sz w:val="22"/>
          <w:szCs w:val="22"/>
        </w:rPr>
        <w:t>25.61=$]</w:t>
      </w:r>
    </w:p>
    <w:p w:rsidRPr="0032494C" w:rsidR="006C7470" w:rsidP="006C7470" w:rsidRDefault="006C7470" w14:paraId="0E7F99FC" w14:textId="77777777">
      <w:pPr>
        <w:rPr>
          <w:rFonts w:ascii="Calibri" w:hAnsi="Calibri" w:cs="Calibri"/>
          <w:sz w:val="22"/>
          <w:szCs w:val="22"/>
        </w:rPr>
      </w:pPr>
    </w:p>
    <w:p w:rsidRPr="0032494C" w:rsidR="006C7470" w:rsidP="006C7470" w:rsidRDefault="006C7470" w14:paraId="504320DA" w14:textId="77777777">
      <w:pPr>
        <w:rPr>
          <w:rFonts w:ascii="Calibri" w:hAnsi="Calibri" w:cs="Calibri"/>
          <w:sz w:val="22"/>
          <w:szCs w:val="22"/>
        </w:rPr>
      </w:pPr>
      <w:r w:rsidRPr="0032494C">
        <w:rPr>
          <w:rFonts w:ascii="Calibri" w:hAnsi="Calibri" w:cs="Calibri"/>
          <w:sz w:val="22"/>
          <w:szCs w:val="22"/>
        </w:rPr>
        <w:t>Estimated total burden:</w:t>
      </w:r>
      <w:r w:rsidRPr="0032494C">
        <w:rPr>
          <w:rFonts w:ascii="Calibri" w:hAnsi="Calibri" w:cs="Calibri"/>
          <w:sz w:val="22"/>
          <w:szCs w:val="22"/>
        </w:rPr>
        <w:tab/>
      </w:r>
      <w:r w:rsidRPr="0032494C">
        <w:rPr>
          <w:rFonts w:ascii="Calibri" w:hAnsi="Calibri" w:cs="Calibri"/>
          <w:sz w:val="22"/>
          <w:szCs w:val="22"/>
        </w:rPr>
        <w:tab/>
        <w:t>Hours x # of Respondents x Frequency x Mean Hourly Wage</w:t>
      </w:r>
    </w:p>
    <w:p w:rsidRPr="0032494C" w:rsidR="006C7470" w:rsidP="006C7470" w:rsidRDefault="006C7470" w14:paraId="3A502FE6" w14:textId="248A4B26">
      <w:pPr>
        <w:rPr>
          <w:rFonts w:ascii="Calibri" w:hAnsi="Calibri" w:cs="Calibri"/>
          <w:sz w:val="22"/>
          <w:szCs w:val="22"/>
        </w:rPr>
      </w:pP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r>
      <w:r w:rsidRPr="00C208B9">
        <w:rPr>
          <w:rFonts w:ascii="Calibri" w:hAnsi="Calibri" w:cs="Calibri"/>
          <w:sz w:val="22"/>
          <w:szCs w:val="22"/>
        </w:rPr>
        <w:t>[0.5 hours x 6 x 1 x $25.61= $</w:t>
      </w:r>
      <w:r w:rsidRPr="00EF671D" w:rsidR="00B73C58">
        <w:rPr>
          <w:rFonts w:ascii="Calibri" w:hAnsi="Calibri" w:cs="Calibri"/>
          <w:sz w:val="22"/>
          <w:szCs w:val="22"/>
        </w:rPr>
        <w:t>153.66</w:t>
      </w:r>
      <w:r w:rsidRPr="00C208B9">
        <w:rPr>
          <w:rFonts w:ascii="Calibri" w:hAnsi="Calibri" w:cs="Calibri"/>
          <w:sz w:val="22"/>
          <w:szCs w:val="22"/>
        </w:rPr>
        <w:t>]</w:t>
      </w:r>
    </w:p>
    <w:p w:rsidRPr="0032494C" w:rsidR="006C7470" w:rsidP="006C7470" w:rsidRDefault="006C7470" w14:paraId="314A6931" w14:textId="77777777">
      <w:pPr>
        <w:rPr>
          <w:rFonts w:ascii="Calibri" w:hAnsi="Calibri" w:cs="Calibri"/>
          <w:sz w:val="22"/>
          <w:szCs w:val="22"/>
        </w:rPr>
      </w:pPr>
    </w:p>
    <w:p w:rsidRPr="0032494C" w:rsidR="006C7470" w:rsidP="006C7470" w:rsidRDefault="006C7470" w14:paraId="0EB24017" w14:textId="77777777">
      <w:pPr>
        <w:rPr>
          <w:rFonts w:ascii="Calibri" w:hAnsi="Calibri" w:cs="Calibri"/>
          <w:sz w:val="22"/>
          <w:szCs w:val="22"/>
        </w:rPr>
      </w:pPr>
      <w:r w:rsidRPr="0032494C">
        <w:rPr>
          <w:rFonts w:ascii="Calibri" w:hAnsi="Calibri" w:cs="Calibri"/>
          <w:sz w:val="22"/>
          <w:szCs w:val="22"/>
        </w:rPr>
        <w:t>Annualized costs to respondents for the one-time, 30-minute Year 1 survey is estimated at $76.83.</w:t>
      </w:r>
    </w:p>
    <w:p w:rsidRPr="0032494C" w:rsidR="006C7470" w:rsidP="006C7470" w:rsidRDefault="006C7470" w14:paraId="67516A2D" w14:textId="77777777">
      <w:pPr>
        <w:rPr>
          <w:rFonts w:ascii="Calibri" w:hAnsi="Calibri" w:cs="Calibri"/>
          <w:sz w:val="22"/>
          <w:szCs w:val="22"/>
        </w:rPr>
      </w:pPr>
    </w:p>
    <w:p w:rsidRPr="0032494C" w:rsidR="006C7470" w:rsidP="006C7470" w:rsidRDefault="006C7470" w14:paraId="3963268D" w14:textId="77777777">
      <w:pPr>
        <w:rPr>
          <w:rFonts w:ascii="Calibri" w:hAnsi="Calibri" w:cs="Calibri"/>
          <w:b/>
          <w:sz w:val="22"/>
          <w:szCs w:val="22"/>
        </w:rPr>
      </w:pPr>
      <w:r w:rsidRPr="0032494C">
        <w:rPr>
          <w:rFonts w:ascii="Calibri" w:hAnsi="Calibri" w:cs="Calibri"/>
          <w:b/>
          <w:sz w:val="22"/>
          <w:szCs w:val="22"/>
        </w:rPr>
        <w:t>Burden estimate: Year 2 &amp; Year 3 interviews</w:t>
      </w:r>
    </w:p>
    <w:p w:rsidRPr="0032494C" w:rsidR="006C7470" w:rsidP="006C7470" w:rsidRDefault="006C7470" w14:paraId="2BCABFC6" w14:textId="77777777">
      <w:pPr>
        <w:rPr>
          <w:rFonts w:ascii="Calibri" w:hAnsi="Calibri" w:cs="Calibri"/>
          <w:sz w:val="22"/>
          <w:szCs w:val="22"/>
        </w:rPr>
      </w:pPr>
      <w:r w:rsidRPr="0032494C">
        <w:rPr>
          <w:rFonts w:ascii="Calibri" w:hAnsi="Calibri" w:cs="Calibri"/>
          <w:sz w:val="22"/>
          <w:szCs w:val="22"/>
        </w:rPr>
        <w:t xml:space="preserve">Estimated # of participants:  </w:t>
      </w:r>
      <w:r w:rsidRPr="0032494C">
        <w:rPr>
          <w:rFonts w:ascii="Calibri" w:hAnsi="Calibri" w:cs="Calibri"/>
          <w:sz w:val="22"/>
          <w:szCs w:val="22"/>
        </w:rPr>
        <w:tab/>
        <w:t>20</w:t>
      </w:r>
    </w:p>
    <w:p w:rsidRPr="0032494C" w:rsidR="006C7470" w:rsidP="006C7470" w:rsidRDefault="006C7470" w14:paraId="1C2BCC86" w14:textId="77777777">
      <w:pPr>
        <w:rPr>
          <w:rFonts w:ascii="Calibri" w:hAnsi="Calibri" w:cs="Calibri"/>
          <w:sz w:val="22"/>
          <w:szCs w:val="22"/>
        </w:rPr>
      </w:pPr>
    </w:p>
    <w:p w:rsidRPr="0032494C" w:rsidR="006C7470" w:rsidP="006C7470" w:rsidRDefault="006C7470" w14:paraId="5751EFFE" w14:textId="77777777">
      <w:pPr>
        <w:rPr>
          <w:rFonts w:ascii="Calibri" w:hAnsi="Calibri" w:cs="Calibri"/>
          <w:sz w:val="22"/>
          <w:szCs w:val="22"/>
        </w:rPr>
      </w:pPr>
      <w:r w:rsidRPr="0032494C">
        <w:rPr>
          <w:rFonts w:ascii="Calibri" w:hAnsi="Calibri" w:cs="Calibri"/>
          <w:sz w:val="22"/>
          <w:szCs w:val="22"/>
        </w:rPr>
        <w:t xml:space="preserve">Frequency: </w:t>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t>2 interviews (one in Year 1, one in Year 2)</w:t>
      </w:r>
    </w:p>
    <w:p w:rsidRPr="0032494C" w:rsidR="006C7470" w:rsidP="006C7470" w:rsidRDefault="006C7470" w14:paraId="7D70CFC4" w14:textId="77777777">
      <w:pPr>
        <w:rPr>
          <w:rFonts w:ascii="Calibri" w:hAnsi="Calibri" w:cs="Calibri"/>
          <w:sz w:val="22"/>
          <w:szCs w:val="22"/>
        </w:rPr>
      </w:pPr>
    </w:p>
    <w:p w:rsidRPr="0032494C" w:rsidR="006C7470" w:rsidP="006C7470" w:rsidRDefault="006C7470" w14:paraId="6BDF9301" w14:textId="77777777">
      <w:pPr>
        <w:ind w:left="2880" w:hanging="2880"/>
        <w:rPr>
          <w:rFonts w:ascii="Calibri" w:hAnsi="Calibri" w:cs="Calibri"/>
          <w:sz w:val="22"/>
          <w:szCs w:val="22"/>
        </w:rPr>
      </w:pPr>
      <w:r w:rsidRPr="0032494C">
        <w:rPr>
          <w:rFonts w:ascii="Calibri" w:hAnsi="Calibri" w:cs="Calibri"/>
          <w:sz w:val="22"/>
          <w:szCs w:val="22"/>
        </w:rPr>
        <w:lastRenderedPageBreak/>
        <w:t>Mean Hourly Wage:</w:t>
      </w:r>
      <w:r w:rsidRPr="0032494C">
        <w:rPr>
          <w:rFonts w:ascii="Calibri" w:hAnsi="Calibri" w:cs="Calibri"/>
          <w:sz w:val="22"/>
          <w:szCs w:val="22"/>
        </w:rPr>
        <w:tab/>
        <w:t>$25.61</w:t>
      </w:r>
      <w:r w:rsidRPr="0032494C">
        <w:rPr>
          <w:rFonts w:ascii="Calibri" w:hAnsi="Calibri" w:cs="Calibri"/>
          <w:color w:val="000000" w:themeColor="text1"/>
          <w:sz w:val="22"/>
          <w:szCs w:val="22"/>
        </w:rPr>
        <w:t xml:space="preserve"> (Bureau of Labor Statistics mean hourly wage of a museum employee)</w:t>
      </w:r>
      <w:r w:rsidRPr="0032494C">
        <w:rPr>
          <w:rFonts w:ascii="Calibri" w:hAnsi="Calibri" w:cs="Calibri"/>
          <w:sz w:val="22"/>
          <w:szCs w:val="22"/>
        </w:rPr>
        <w:t xml:space="preserve"> </w:t>
      </w:r>
    </w:p>
    <w:p w:rsidRPr="0032494C" w:rsidR="006C7470" w:rsidP="006C7470" w:rsidRDefault="006C7470" w14:paraId="7B17707D" w14:textId="77777777">
      <w:pPr>
        <w:rPr>
          <w:rFonts w:ascii="Calibri" w:hAnsi="Calibri" w:cs="Calibri"/>
          <w:sz w:val="22"/>
          <w:szCs w:val="22"/>
        </w:rPr>
      </w:pPr>
    </w:p>
    <w:p w:rsidRPr="0032494C" w:rsidR="006C7470" w:rsidP="006C7470" w:rsidRDefault="006C7470" w14:paraId="4D43779A" w14:textId="77777777">
      <w:pPr>
        <w:rPr>
          <w:rFonts w:ascii="Calibri" w:hAnsi="Calibri" w:cs="Calibri"/>
          <w:sz w:val="22"/>
          <w:szCs w:val="22"/>
        </w:rPr>
      </w:pPr>
      <w:r w:rsidRPr="0032494C">
        <w:rPr>
          <w:rFonts w:ascii="Calibri" w:hAnsi="Calibri" w:cs="Calibri"/>
          <w:sz w:val="22"/>
          <w:szCs w:val="22"/>
        </w:rPr>
        <w:t>Estimated response time:</w:t>
      </w:r>
      <w:r w:rsidRPr="0032494C">
        <w:rPr>
          <w:rFonts w:ascii="Calibri" w:hAnsi="Calibri" w:cs="Calibri"/>
          <w:sz w:val="22"/>
          <w:szCs w:val="22"/>
        </w:rPr>
        <w:tab/>
        <w:t>Hours x # of Respondents x Frequency</w:t>
      </w:r>
    </w:p>
    <w:p w:rsidRPr="0032494C" w:rsidR="006C7470" w:rsidP="006C7470" w:rsidRDefault="006C7470" w14:paraId="30502317" w14:textId="77777777">
      <w:pPr>
        <w:rPr>
          <w:rFonts w:ascii="Calibri" w:hAnsi="Calibri" w:cs="Calibri"/>
          <w:sz w:val="22"/>
          <w:szCs w:val="22"/>
        </w:rPr>
      </w:pP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t>[1 hour x 20 x 2 = 40 hours]</w:t>
      </w:r>
    </w:p>
    <w:p w:rsidRPr="0032494C" w:rsidR="006C7470" w:rsidP="006C7470" w:rsidRDefault="006C7470" w14:paraId="0D5F0286" w14:textId="77777777">
      <w:pPr>
        <w:rPr>
          <w:rFonts w:ascii="Calibri" w:hAnsi="Calibri" w:cs="Calibri"/>
          <w:sz w:val="22"/>
          <w:szCs w:val="22"/>
        </w:rPr>
      </w:pPr>
    </w:p>
    <w:p w:rsidRPr="0032494C" w:rsidR="006C7470" w:rsidP="006C7470" w:rsidRDefault="006C7470" w14:paraId="10F08801" w14:textId="77777777">
      <w:pPr>
        <w:rPr>
          <w:rFonts w:ascii="Calibri" w:hAnsi="Calibri" w:cs="Calibri"/>
          <w:sz w:val="22"/>
          <w:szCs w:val="22"/>
        </w:rPr>
      </w:pPr>
      <w:r w:rsidRPr="0032494C">
        <w:rPr>
          <w:rFonts w:ascii="Calibri" w:hAnsi="Calibri" w:cs="Calibri"/>
          <w:sz w:val="22"/>
          <w:szCs w:val="22"/>
        </w:rPr>
        <w:t>Estimated cost/respondent:</w:t>
      </w:r>
      <w:r w:rsidRPr="0032494C">
        <w:rPr>
          <w:rFonts w:ascii="Calibri" w:hAnsi="Calibri" w:cs="Calibri"/>
          <w:sz w:val="22"/>
          <w:szCs w:val="22"/>
        </w:rPr>
        <w:tab/>
        <w:t xml:space="preserve">Hours x Frequency x Mean Hourly Wage of Respondent </w:t>
      </w:r>
    </w:p>
    <w:p w:rsidRPr="0032494C" w:rsidR="006C7470" w:rsidP="006C7470" w:rsidRDefault="006C7470" w14:paraId="769E401D" w14:textId="77777777">
      <w:pPr>
        <w:rPr>
          <w:rFonts w:ascii="Calibri" w:hAnsi="Calibri" w:cs="Calibri"/>
          <w:color w:val="000000" w:themeColor="text1"/>
          <w:sz w:val="22"/>
          <w:szCs w:val="22"/>
        </w:rPr>
      </w:pP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t>[1 hour x 2 x $</w:t>
      </w:r>
      <w:r w:rsidRPr="0032494C">
        <w:rPr>
          <w:rFonts w:ascii="Calibri" w:hAnsi="Calibri" w:cs="Calibri"/>
          <w:color w:val="000000" w:themeColor="text1"/>
          <w:sz w:val="22"/>
          <w:szCs w:val="22"/>
        </w:rPr>
        <w:t>25.61=$51.22]</w:t>
      </w:r>
    </w:p>
    <w:p w:rsidRPr="0032494C" w:rsidR="006C7470" w:rsidP="006C7470" w:rsidRDefault="006C7470" w14:paraId="300E89C1" w14:textId="77777777">
      <w:pPr>
        <w:rPr>
          <w:rFonts w:ascii="Calibri" w:hAnsi="Calibri" w:cs="Calibri"/>
          <w:sz w:val="22"/>
          <w:szCs w:val="22"/>
        </w:rPr>
      </w:pPr>
    </w:p>
    <w:p w:rsidRPr="0032494C" w:rsidR="006C7470" w:rsidP="006C7470" w:rsidRDefault="006C7470" w14:paraId="38C77646" w14:textId="77777777">
      <w:pPr>
        <w:rPr>
          <w:rFonts w:ascii="Calibri" w:hAnsi="Calibri" w:cs="Calibri"/>
          <w:sz w:val="22"/>
          <w:szCs w:val="22"/>
        </w:rPr>
      </w:pPr>
      <w:r w:rsidRPr="0032494C">
        <w:rPr>
          <w:rFonts w:ascii="Calibri" w:hAnsi="Calibri" w:cs="Calibri"/>
          <w:sz w:val="22"/>
          <w:szCs w:val="22"/>
        </w:rPr>
        <w:t>Estimated total burden:</w:t>
      </w:r>
      <w:r w:rsidRPr="0032494C">
        <w:rPr>
          <w:rFonts w:ascii="Calibri" w:hAnsi="Calibri" w:cs="Calibri"/>
          <w:sz w:val="22"/>
          <w:szCs w:val="22"/>
        </w:rPr>
        <w:tab/>
        <w:t>Hours x # of Respondents x Frequency x Mean Hourly Wage</w:t>
      </w:r>
    </w:p>
    <w:p w:rsidRPr="0032494C" w:rsidR="006C7470" w:rsidP="006C7470" w:rsidRDefault="006C7470" w14:paraId="57112801" w14:textId="77777777">
      <w:pPr>
        <w:rPr>
          <w:rFonts w:ascii="Calibri" w:hAnsi="Calibri" w:cs="Calibri"/>
          <w:sz w:val="22"/>
          <w:szCs w:val="22"/>
        </w:rPr>
      </w:pP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t>[1 hour x 20 x 2 x $25.61= $1,024.40]</w:t>
      </w:r>
    </w:p>
    <w:p w:rsidRPr="0032494C" w:rsidR="006C7470" w:rsidP="006C7470" w:rsidRDefault="006C7470" w14:paraId="4838A0A1" w14:textId="77777777">
      <w:pPr>
        <w:rPr>
          <w:rFonts w:ascii="Calibri" w:hAnsi="Calibri" w:cs="Calibri"/>
          <w:sz w:val="22"/>
          <w:szCs w:val="22"/>
        </w:rPr>
      </w:pPr>
    </w:p>
    <w:p w:rsidRPr="0032494C" w:rsidR="006C7470" w:rsidP="006C7470" w:rsidRDefault="006C7470" w14:paraId="3F771A67" w14:textId="77777777">
      <w:pPr>
        <w:rPr>
          <w:rFonts w:ascii="Calibri" w:hAnsi="Calibri" w:cs="Calibri"/>
          <w:sz w:val="22"/>
          <w:szCs w:val="22"/>
        </w:rPr>
      </w:pPr>
      <w:r w:rsidRPr="0032494C">
        <w:rPr>
          <w:rFonts w:ascii="Calibri" w:hAnsi="Calibri" w:cs="Calibri"/>
          <w:sz w:val="22"/>
          <w:szCs w:val="22"/>
        </w:rPr>
        <w:t>Annualized costs to respondents for completing two, one-hour interviews (one in Year 1, one in Year 2) is estimated at $1,024.40.</w:t>
      </w:r>
    </w:p>
    <w:p w:rsidRPr="0032494C" w:rsidR="006C7470" w:rsidP="006C7470" w:rsidRDefault="006C7470" w14:paraId="573CBA0F" w14:textId="77777777">
      <w:pPr>
        <w:rPr>
          <w:rFonts w:ascii="Calibri" w:hAnsi="Calibri" w:cs="Calibri"/>
          <w:sz w:val="22"/>
          <w:szCs w:val="22"/>
        </w:rPr>
      </w:pPr>
    </w:p>
    <w:p w:rsidRPr="0032494C" w:rsidR="006C7470" w:rsidP="006C7470" w:rsidRDefault="006C7470" w14:paraId="4FBAA6B8" w14:textId="77777777">
      <w:pPr>
        <w:rPr>
          <w:rFonts w:ascii="Calibri" w:hAnsi="Calibri" w:cs="Calibri"/>
          <w:b/>
          <w:sz w:val="22"/>
          <w:szCs w:val="22"/>
        </w:rPr>
      </w:pPr>
      <w:r w:rsidRPr="0032494C">
        <w:rPr>
          <w:rFonts w:ascii="Calibri" w:hAnsi="Calibri" w:cs="Calibri"/>
          <w:b/>
          <w:sz w:val="22"/>
          <w:szCs w:val="22"/>
        </w:rPr>
        <w:t>Burden estimate: Year 2 &amp; Year 3 surveys</w:t>
      </w:r>
    </w:p>
    <w:p w:rsidRPr="0032494C" w:rsidR="006C7470" w:rsidP="006C7470" w:rsidRDefault="006C7470" w14:paraId="469AAF72" w14:textId="77777777">
      <w:pPr>
        <w:rPr>
          <w:rFonts w:ascii="Calibri" w:hAnsi="Calibri" w:cs="Calibri"/>
          <w:sz w:val="22"/>
          <w:szCs w:val="22"/>
        </w:rPr>
      </w:pPr>
      <w:r w:rsidRPr="0032494C">
        <w:rPr>
          <w:rFonts w:ascii="Calibri" w:hAnsi="Calibri" w:cs="Calibri"/>
          <w:sz w:val="22"/>
          <w:szCs w:val="22"/>
        </w:rPr>
        <w:t xml:space="preserve">Estimated # of participants: </w:t>
      </w:r>
      <w:r w:rsidRPr="0032494C">
        <w:rPr>
          <w:rFonts w:ascii="Calibri" w:hAnsi="Calibri" w:cs="Calibri"/>
          <w:sz w:val="22"/>
          <w:szCs w:val="22"/>
        </w:rPr>
        <w:tab/>
        <w:t xml:space="preserve">40  </w:t>
      </w:r>
    </w:p>
    <w:p w:rsidRPr="0032494C" w:rsidR="006C7470" w:rsidP="006C7470" w:rsidRDefault="006C7470" w14:paraId="374970A5" w14:textId="77777777">
      <w:pPr>
        <w:rPr>
          <w:rFonts w:ascii="Calibri" w:hAnsi="Calibri" w:cs="Calibri"/>
          <w:sz w:val="22"/>
          <w:szCs w:val="22"/>
        </w:rPr>
      </w:pPr>
    </w:p>
    <w:p w:rsidRPr="0032494C" w:rsidR="006C7470" w:rsidP="006C7470" w:rsidRDefault="006C7470" w14:paraId="177347AE" w14:textId="77777777">
      <w:pPr>
        <w:rPr>
          <w:rFonts w:ascii="Calibri" w:hAnsi="Calibri" w:cs="Calibri"/>
          <w:sz w:val="22"/>
          <w:szCs w:val="22"/>
        </w:rPr>
      </w:pPr>
      <w:r w:rsidRPr="0032494C">
        <w:rPr>
          <w:rFonts w:ascii="Calibri" w:hAnsi="Calibri" w:cs="Calibri"/>
          <w:sz w:val="22"/>
          <w:szCs w:val="22"/>
        </w:rPr>
        <w:t xml:space="preserve">Frequency: </w:t>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t>2 (one in Year 1, one in Year 2)</w:t>
      </w:r>
    </w:p>
    <w:p w:rsidRPr="0032494C" w:rsidR="006C7470" w:rsidP="006C7470" w:rsidRDefault="006C7470" w14:paraId="3C919A9B" w14:textId="77777777">
      <w:pPr>
        <w:rPr>
          <w:rFonts w:ascii="Calibri" w:hAnsi="Calibri" w:cs="Calibri"/>
          <w:sz w:val="22"/>
          <w:szCs w:val="22"/>
        </w:rPr>
      </w:pPr>
    </w:p>
    <w:p w:rsidRPr="0032494C" w:rsidR="006C7470" w:rsidP="006C7470" w:rsidRDefault="006C7470" w14:paraId="38E4EF38" w14:textId="77777777">
      <w:pPr>
        <w:ind w:left="2880" w:hanging="2880"/>
        <w:rPr>
          <w:rFonts w:ascii="Calibri" w:hAnsi="Calibri" w:cs="Calibri"/>
          <w:sz w:val="22"/>
          <w:szCs w:val="22"/>
        </w:rPr>
      </w:pPr>
      <w:r w:rsidRPr="0032494C">
        <w:rPr>
          <w:rFonts w:ascii="Calibri" w:hAnsi="Calibri" w:cs="Calibri"/>
          <w:sz w:val="22"/>
          <w:szCs w:val="22"/>
        </w:rPr>
        <w:t>Mean Hourly Wage:</w:t>
      </w:r>
      <w:r w:rsidRPr="0032494C">
        <w:rPr>
          <w:rFonts w:ascii="Calibri" w:hAnsi="Calibri" w:cs="Calibri"/>
          <w:sz w:val="22"/>
          <w:szCs w:val="22"/>
        </w:rPr>
        <w:tab/>
        <w:t>$25.61</w:t>
      </w:r>
      <w:r w:rsidRPr="0032494C">
        <w:rPr>
          <w:rFonts w:ascii="Calibri" w:hAnsi="Calibri" w:cs="Calibri"/>
          <w:color w:val="000000" w:themeColor="text1"/>
          <w:sz w:val="22"/>
          <w:szCs w:val="22"/>
        </w:rPr>
        <w:t xml:space="preserve"> (Bureau of Labor Statistics mean hourly wage of a museum employee)</w:t>
      </w:r>
      <w:r w:rsidRPr="0032494C">
        <w:rPr>
          <w:rFonts w:ascii="Calibri" w:hAnsi="Calibri" w:cs="Calibri"/>
          <w:sz w:val="22"/>
          <w:szCs w:val="22"/>
        </w:rPr>
        <w:t xml:space="preserve"> </w:t>
      </w:r>
    </w:p>
    <w:p w:rsidRPr="0032494C" w:rsidR="006C7470" w:rsidP="006C7470" w:rsidRDefault="006C7470" w14:paraId="41BA190D" w14:textId="77777777">
      <w:pPr>
        <w:rPr>
          <w:rFonts w:ascii="Calibri" w:hAnsi="Calibri" w:cs="Calibri"/>
          <w:sz w:val="22"/>
          <w:szCs w:val="22"/>
        </w:rPr>
      </w:pPr>
    </w:p>
    <w:p w:rsidRPr="0032494C" w:rsidR="006C7470" w:rsidP="006C7470" w:rsidRDefault="006C7470" w14:paraId="1B5FDC2B" w14:textId="77777777">
      <w:pPr>
        <w:rPr>
          <w:rFonts w:ascii="Calibri" w:hAnsi="Calibri" w:cs="Calibri"/>
          <w:sz w:val="22"/>
          <w:szCs w:val="22"/>
        </w:rPr>
      </w:pPr>
      <w:r w:rsidRPr="0032494C">
        <w:rPr>
          <w:rFonts w:ascii="Calibri" w:hAnsi="Calibri" w:cs="Calibri"/>
          <w:sz w:val="22"/>
          <w:szCs w:val="22"/>
        </w:rPr>
        <w:t>Estimated response time:</w:t>
      </w:r>
      <w:r w:rsidRPr="0032494C">
        <w:rPr>
          <w:rFonts w:ascii="Calibri" w:hAnsi="Calibri" w:cs="Calibri"/>
          <w:sz w:val="22"/>
          <w:szCs w:val="22"/>
        </w:rPr>
        <w:tab/>
        <w:t xml:space="preserve">Hours </w:t>
      </w:r>
      <w:r w:rsidRPr="0032494C">
        <w:rPr>
          <w:rFonts w:ascii="Calibri" w:hAnsi="Calibri" w:cs="Calibri"/>
          <w:sz w:val="22"/>
          <w:szCs w:val="22"/>
        </w:rPr>
        <w:tab/>
        <w:t>x # of Respondents x Frequency</w:t>
      </w:r>
    </w:p>
    <w:p w:rsidRPr="0032494C" w:rsidR="006C7470" w:rsidP="006C7470" w:rsidRDefault="006C7470" w14:paraId="478E2C4C" w14:textId="77777777">
      <w:pPr>
        <w:rPr>
          <w:rFonts w:ascii="Calibri" w:hAnsi="Calibri" w:cs="Calibri"/>
          <w:sz w:val="22"/>
          <w:szCs w:val="22"/>
        </w:rPr>
      </w:pP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t>[0.5 hours x 40 x 2 = 40 hours]</w:t>
      </w:r>
    </w:p>
    <w:p w:rsidRPr="0032494C" w:rsidR="006C7470" w:rsidP="006C7470" w:rsidRDefault="006C7470" w14:paraId="34462ECF" w14:textId="77777777">
      <w:pPr>
        <w:rPr>
          <w:rFonts w:ascii="Calibri" w:hAnsi="Calibri" w:cs="Calibri"/>
          <w:sz w:val="22"/>
          <w:szCs w:val="22"/>
        </w:rPr>
      </w:pPr>
    </w:p>
    <w:p w:rsidRPr="0032494C" w:rsidR="006C7470" w:rsidP="006C7470" w:rsidRDefault="006C7470" w14:paraId="037E94D1" w14:textId="77777777">
      <w:pPr>
        <w:rPr>
          <w:rFonts w:ascii="Calibri" w:hAnsi="Calibri" w:cs="Calibri"/>
          <w:sz w:val="22"/>
          <w:szCs w:val="22"/>
        </w:rPr>
      </w:pPr>
      <w:r w:rsidRPr="0032494C">
        <w:rPr>
          <w:rFonts w:ascii="Calibri" w:hAnsi="Calibri" w:cs="Calibri"/>
          <w:sz w:val="22"/>
          <w:szCs w:val="22"/>
        </w:rPr>
        <w:t>Estimated cost/respondent:</w:t>
      </w:r>
      <w:r w:rsidRPr="0032494C">
        <w:rPr>
          <w:rFonts w:ascii="Calibri" w:hAnsi="Calibri" w:cs="Calibri"/>
          <w:sz w:val="22"/>
          <w:szCs w:val="22"/>
        </w:rPr>
        <w:tab/>
        <w:t xml:space="preserve">Hours x Frequency x Mean Hourly Wage of Respondent </w:t>
      </w:r>
    </w:p>
    <w:p w:rsidRPr="0032494C" w:rsidR="006C7470" w:rsidP="006C7470" w:rsidRDefault="006C7470" w14:paraId="2A1FD2B2" w14:textId="77777777">
      <w:pPr>
        <w:rPr>
          <w:rFonts w:ascii="Calibri" w:hAnsi="Calibri" w:cs="Calibri"/>
          <w:color w:val="000000" w:themeColor="text1"/>
          <w:sz w:val="22"/>
          <w:szCs w:val="22"/>
        </w:rPr>
      </w:pP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t>[0.5 hours x 2 x $</w:t>
      </w:r>
      <w:r w:rsidRPr="0032494C">
        <w:rPr>
          <w:rFonts w:ascii="Calibri" w:hAnsi="Calibri" w:cs="Calibri"/>
          <w:color w:val="000000" w:themeColor="text1"/>
          <w:sz w:val="22"/>
          <w:szCs w:val="22"/>
        </w:rPr>
        <w:t>25.61=$25.61]</w:t>
      </w:r>
    </w:p>
    <w:p w:rsidRPr="0032494C" w:rsidR="006C7470" w:rsidP="006C7470" w:rsidRDefault="006C7470" w14:paraId="21E2B60E" w14:textId="77777777">
      <w:pPr>
        <w:rPr>
          <w:rFonts w:ascii="Calibri" w:hAnsi="Calibri" w:cs="Calibri"/>
          <w:sz w:val="22"/>
          <w:szCs w:val="22"/>
        </w:rPr>
      </w:pPr>
    </w:p>
    <w:p w:rsidRPr="0032494C" w:rsidR="006C7470" w:rsidP="006C7470" w:rsidRDefault="006C7470" w14:paraId="116F0431" w14:textId="77777777">
      <w:pPr>
        <w:rPr>
          <w:rFonts w:ascii="Calibri" w:hAnsi="Calibri" w:cs="Calibri"/>
          <w:sz w:val="22"/>
          <w:szCs w:val="22"/>
        </w:rPr>
      </w:pPr>
      <w:r w:rsidRPr="0032494C">
        <w:rPr>
          <w:rFonts w:ascii="Calibri" w:hAnsi="Calibri" w:cs="Calibri"/>
          <w:sz w:val="22"/>
          <w:szCs w:val="22"/>
        </w:rPr>
        <w:t>Estimated total burden:</w:t>
      </w:r>
      <w:r w:rsidRPr="0032494C">
        <w:rPr>
          <w:rFonts w:ascii="Calibri" w:hAnsi="Calibri" w:cs="Calibri"/>
          <w:sz w:val="22"/>
          <w:szCs w:val="22"/>
        </w:rPr>
        <w:tab/>
        <w:t>Hours x # of Respondents x Frequency x Mean Hourly Wage</w:t>
      </w:r>
    </w:p>
    <w:p w:rsidRPr="0032494C" w:rsidR="006C7470" w:rsidP="006C7470" w:rsidRDefault="006C7470" w14:paraId="6B007BC1" w14:textId="77777777">
      <w:pPr>
        <w:rPr>
          <w:rFonts w:ascii="Calibri" w:hAnsi="Calibri" w:cs="Calibri"/>
          <w:sz w:val="22"/>
          <w:szCs w:val="22"/>
        </w:rPr>
      </w:pP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t>[0.5 hours x 40 x 2 x $25.61 = $1,024.40]</w:t>
      </w:r>
    </w:p>
    <w:p w:rsidRPr="0032494C" w:rsidR="006C7470" w:rsidP="006C7470" w:rsidRDefault="006C7470" w14:paraId="0C987E8C" w14:textId="77777777">
      <w:pPr>
        <w:rPr>
          <w:rFonts w:ascii="Calibri" w:hAnsi="Calibri" w:cs="Calibri"/>
          <w:sz w:val="22"/>
          <w:szCs w:val="22"/>
        </w:rPr>
      </w:pPr>
    </w:p>
    <w:p w:rsidRPr="0032494C" w:rsidR="006C7470" w:rsidP="006C7470" w:rsidRDefault="006C7470" w14:paraId="513B75D5" w14:textId="77777777">
      <w:pPr>
        <w:rPr>
          <w:rFonts w:ascii="Calibri" w:hAnsi="Calibri" w:cs="Calibri"/>
          <w:sz w:val="22"/>
          <w:szCs w:val="22"/>
        </w:rPr>
      </w:pPr>
      <w:r w:rsidRPr="0032494C">
        <w:rPr>
          <w:rFonts w:ascii="Calibri" w:hAnsi="Calibri" w:cs="Calibri"/>
          <w:sz w:val="22"/>
          <w:szCs w:val="22"/>
        </w:rPr>
        <w:t>Annualized costs to respondents for completing two, 30-minute surveys (one in Year 1, one in Year 2) is estimated at $1,024.40.</w:t>
      </w:r>
    </w:p>
    <w:p w:rsidRPr="0032494C" w:rsidR="006C7470" w:rsidP="006C7470" w:rsidRDefault="006C7470" w14:paraId="71245653" w14:textId="77777777">
      <w:pPr>
        <w:rPr>
          <w:rFonts w:ascii="Calibri" w:hAnsi="Calibri" w:cs="Calibri"/>
          <w:sz w:val="22"/>
          <w:szCs w:val="22"/>
        </w:rPr>
      </w:pPr>
    </w:p>
    <w:p w:rsidRPr="0032494C" w:rsidR="006C7470" w:rsidP="006C7470" w:rsidRDefault="006C7470" w14:paraId="1A10A837" w14:textId="77777777">
      <w:pPr>
        <w:rPr>
          <w:rFonts w:ascii="Calibri" w:hAnsi="Calibri" w:cs="Calibri"/>
          <w:b/>
          <w:sz w:val="22"/>
          <w:szCs w:val="22"/>
        </w:rPr>
      </w:pPr>
      <w:r w:rsidRPr="0032494C">
        <w:rPr>
          <w:rFonts w:ascii="Calibri" w:hAnsi="Calibri" w:cs="Calibri"/>
          <w:b/>
          <w:sz w:val="22"/>
          <w:szCs w:val="22"/>
        </w:rPr>
        <w:t>Burden estimate (Year 2 &amp; Year 3 focus groups with families)</w:t>
      </w:r>
    </w:p>
    <w:p w:rsidRPr="0032494C" w:rsidR="006C7470" w:rsidP="006C7470" w:rsidRDefault="006C7470" w14:paraId="0C11F56A" w14:textId="77777777">
      <w:pPr>
        <w:rPr>
          <w:rFonts w:ascii="Calibri" w:hAnsi="Calibri" w:cs="Calibri"/>
          <w:sz w:val="22"/>
          <w:szCs w:val="22"/>
        </w:rPr>
      </w:pPr>
      <w:r w:rsidRPr="0032494C">
        <w:rPr>
          <w:rFonts w:ascii="Calibri" w:hAnsi="Calibri" w:cs="Calibri"/>
          <w:sz w:val="22"/>
          <w:szCs w:val="22"/>
        </w:rPr>
        <w:t># of estimated participants:</w:t>
      </w:r>
      <w:r w:rsidRPr="0032494C">
        <w:rPr>
          <w:rFonts w:ascii="Calibri" w:hAnsi="Calibri" w:cs="Calibri"/>
          <w:sz w:val="22"/>
          <w:szCs w:val="22"/>
        </w:rPr>
        <w:tab/>
        <w:t>480</w:t>
      </w:r>
    </w:p>
    <w:p w:rsidRPr="0032494C" w:rsidR="006C7470" w:rsidP="006C7470" w:rsidRDefault="006C7470" w14:paraId="28009629" w14:textId="77777777">
      <w:pPr>
        <w:rPr>
          <w:rFonts w:ascii="Calibri" w:hAnsi="Calibri" w:cs="Calibri"/>
          <w:sz w:val="22"/>
          <w:szCs w:val="22"/>
        </w:rPr>
      </w:pPr>
    </w:p>
    <w:p w:rsidRPr="0032494C" w:rsidR="006C7470" w:rsidP="006C7470" w:rsidRDefault="006C7470" w14:paraId="398D74A4" w14:textId="77777777">
      <w:pPr>
        <w:rPr>
          <w:rFonts w:ascii="Calibri" w:hAnsi="Calibri" w:cs="Calibri"/>
          <w:sz w:val="22"/>
          <w:szCs w:val="22"/>
        </w:rPr>
      </w:pPr>
      <w:r w:rsidRPr="0032494C">
        <w:rPr>
          <w:rFonts w:ascii="Calibri" w:hAnsi="Calibri" w:cs="Calibri"/>
          <w:sz w:val="22"/>
          <w:szCs w:val="22"/>
        </w:rPr>
        <w:t xml:space="preserve">Frequency: </w:t>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t xml:space="preserve">1x (participants will be different each year) </w:t>
      </w:r>
    </w:p>
    <w:p w:rsidRPr="0032494C" w:rsidR="006C7470" w:rsidP="006C7470" w:rsidRDefault="006C7470" w14:paraId="02C097F1" w14:textId="77777777">
      <w:pPr>
        <w:rPr>
          <w:rFonts w:ascii="Calibri" w:hAnsi="Calibri" w:cs="Calibri"/>
          <w:sz w:val="22"/>
          <w:szCs w:val="22"/>
        </w:rPr>
      </w:pPr>
    </w:p>
    <w:p w:rsidRPr="0032494C" w:rsidR="006C7470" w:rsidP="006C7470" w:rsidRDefault="006C7470" w14:paraId="31919C4B" w14:textId="72165F0E">
      <w:pPr>
        <w:ind w:left="2880" w:hanging="2880"/>
        <w:rPr>
          <w:rFonts w:ascii="Calibri" w:hAnsi="Calibri" w:cs="Calibri"/>
          <w:sz w:val="22"/>
          <w:szCs w:val="22"/>
        </w:rPr>
      </w:pPr>
      <w:r w:rsidRPr="0032494C">
        <w:rPr>
          <w:rFonts w:ascii="Calibri" w:hAnsi="Calibri" w:cs="Calibri"/>
          <w:sz w:val="22"/>
          <w:szCs w:val="22"/>
        </w:rPr>
        <w:t xml:space="preserve">Mean Hourly Wage: </w:t>
      </w:r>
      <w:r w:rsidRPr="0032494C">
        <w:rPr>
          <w:rFonts w:ascii="Calibri" w:hAnsi="Calibri" w:cs="Calibri"/>
          <w:sz w:val="22"/>
          <w:szCs w:val="22"/>
        </w:rPr>
        <w:tab/>
        <w:t>$24.98 (mean hourly wage for all occupations from Bureau of Labor Statistics</w:t>
      </w:r>
      <w:r w:rsidRPr="0032494C" w:rsidR="0035405B">
        <w:rPr>
          <w:rStyle w:val="FootnoteReference"/>
          <w:rFonts w:ascii="Calibri" w:hAnsi="Calibri" w:cs="Calibri"/>
          <w:sz w:val="22"/>
          <w:szCs w:val="22"/>
        </w:rPr>
        <w:footnoteReference w:id="3"/>
      </w:r>
      <w:r w:rsidRPr="0032494C">
        <w:rPr>
          <w:rFonts w:ascii="Calibri" w:hAnsi="Calibri" w:cs="Calibri"/>
          <w:sz w:val="22"/>
          <w:szCs w:val="22"/>
        </w:rPr>
        <w:t xml:space="preserve">) </w:t>
      </w:r>
    </w:p>
    <w:p w:rsidRPr="0032494C" w:rsidR="006C7470" w:rsidP="006C7470" w:rsidRDefault="006C7470" w14:paraId="3A25B560" w14:textId="77777777">
      <w:pPr>
        <w:rPr>
          <w:rFonts w:ascii="Calibri" w:hAnsi="Calibri" w:cs="Calibri"/>
          <w:sz w:val="22"/>
          <w:szCs w:val="22"/>
        </w:rPr>
      </w:pPr>
    </w:p>
    <w:p w:rsidRPr="0032494C" w:rsidR="006C7470" w:rsidP="006C7470" w:rsidRDefault="006C7470" w14:paraId="53AC0355" w14:textId="77777777">
      <w:pPr>
        <w:rPr>
          <w:rFonts w:ascii="Calibri" w:hAnsi="Calibri" w:cs="Calibri"/>
          <w:sz w:val="22"/>
          <w:szCs w:val="22"/>
        </w:rPr>
      </w:pPr>
      <w:r w:rsidRPr="0032494C">
        <w:rPr>
          <w:rFonts w:ascii="Calibri" w:hAnsi="Calibri" w:cs="Calibri"/>
          <w:sz w:val="22"/>
          <w:szCs w:val="22"/>
        </w:rPr>
        <w:t>Estimated response time:</w:t>
      </w:r>
      <w:r w:rsidRPr="0032494C">
        <w:rPr>
          <w:rFonts w:ascii="Calibri" w:hAnsi="Calibri" w:cs="Calibri"/>
          <w:sz w:val="22"/>
          <w:szCs w:val="22"/>
        </w:rPr>
        <w:tab/>
        <w:t>Hours x # of Respondents x Frequency</w:t>
      </w:r>
    </w:p>
    <w:p w:rsidRPr="0032494C" w:rsidR="006C7470" w:rsidP="006C7470" w:rsidRDefault="006C7470" w14:paraId="0908BD75" w14:textId="77777777">
      <w:pPr>
        <w:rPr>
          <w:rFonts w:ascii="Calibri" w:hAnsi="Calibri" w:cs="Calibri"/>
          <w:sz w:val="22"/>
          <w:szCs w:val="22"/>
        </w:rPr>
      </w:pP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t>[1.5 hours x 480 x 1 = 720 hours]</w:t>
      </w:r>
    </w:p>
    <w:p w:rsidRPr="0032494C" w:rsidR="006C7470" w:rsidP="006C7470" w:rsidRDefault="006C7470" w14:paraId="2F58E25C" w14:textId="77777777">
      <w:pPr>
        <w:rPr>
          <w:rFonts w:ascii="Calibri" w:hAnsi="Calibri" w:cs="Calibri"/>
          <w:sz w:val="22"/>
          <w:szCs w:val="22"/>
        </w:rPr>
      </w:pPr>
    </w:p>
    <w:p w:rsidRPr="0032494C" w:rsidR="006C7470" w:rsidP="006C7470" w:rsidRDefault="006C7470" w14:paraId="7FF0A761" w14:textId="77777777">
      <w:pPr>
        <w:rPr>
          <w:rFonts w:ascii="Calibri" w:hAnsi="Calibri" w:cs="Calibri"/>
          <w:sz w:val="22"/>
          <w:szCs w:val="22"/>
        </w:rPr>
      </w:pPr>
      <w:r w:rsidRPr="0032494C">
        <w:rPr>
          <w:rFonts w:ascii="Calibri" w:hAnsi="Calibri" w:cs="Calibri"/>
          <w:sz w:val="22"/>
          <w:szCs w:val="22"/>
        </w:rPr>
        <w:t>Estimated cost/respondent:</w:t>
      </w:r>
      <w:r w:rsidRPr="0032494C">
        <w:rPr>
          <w:rFonts w:ascii="Calibri" w:hAnsi="Calibri" w:cs="Calibri"/>
          <w:sz w:val="22"/>
          <w:szCs w:val="22"/>
        </w:rPr>
        <w:tab/>
        <w:t xml:space="preserve">Hours x Frequency x Mean Hourly Wage of Respondent </w:t>
      </w:r>
    </w:p>
    <w:p w:rsidRPr="0032494C" w:rsidR="006C7470" w:rsidP="006C7470" w:rsidRDefault="006C7470" w14:paraId="4E522AC6" w14:textId="77777777">
      <w:pPr>
        <w:rPr>
          <w:rFonts w:ascii="Calibri" w:hAnsi="Calibri" w:cs="Calibri"/>
          <w:color w:val="000000" w:themeColor="text1"/>
          <w:sz w:val="22"/>
          <w:szCs w:val="22"/>
        </w:rPr>
      </w:pP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t>[1.5 hours x 1 x $</w:t>
      </w:r>
      <w:r w:rsidRPr="0032494C">
        <w:rPr>
          <w:rFonts w:ascii="Calibri" w:hAnsi="Calibri" w:cs="Calibri"/>
          <w:color w:val="000000" w:themeColor="text1"/>
          <w:sz w:val="22"/>
          <w:szCs w:val="22"/>
        </w:rPr>
        <w:t>24.98=$37.47]</w:t>
      </w:r>
    </w:p>
    <w:p w:rsidRPr="0032494C" w:rsidR="006C7470" w:rsidP="006C7470" w:rsidRDefault="006C7470" w14:paraId="413FD58E" w14:textId="77777777">
      <w:pPr>
        <w:rPr>
          <w:rFonts w:ascii="Calibri" w:hAnsi="Calibri" w:cs="Calibri"/>
          <w:sz w:val="22"/>
          <w:szCs w:val="22"/>
        </w:rPr>
      </w:pPr>
    </w:p>
    <w:p w:rsidRPr="0032494C" w:rsidR="006C7470" w:rsidP="006C7470" w:rsidRDefault="006C7470" w14:paraId="48F08A71" w14:textId="77777777">
      <w:pPr>
        <w:rPr>
          <w:rFonts w:ascii="Calibri" w:hAnsi="Calibri" w:cs="Calibri"/>
          <w:sz w:val="22"/>
          <w:szCs w:val="22"/>
        </w:rPr>
      </w:pPr>
      <w:r w:rsidRPr="0032494C">
        <w:rPr>
          <w:rFonts w:ascii="Calibri" w:hAnsi="Calibri" w:cs="Calibri"/>
          <w:sz w:val="22"/>
          <w:szCs w:val="22"/>
        </w:rPr>
        <w:t>Estimated total burden:</w:t>
      </w:r>
      <w:r w:rsidRPr="0032494C">
        <w:rPr>
          <w:rFonts w:ascii="Calibri" w:hAnsi="Calibri" w:cs="Calibri"/>
          <w:sz w:val="22"/>
          <w:szCs w:val="22"/>
        </w:rPr>
        <w:tab/>
        <w:t>Hours x # of Respondents x Frequency x Mean Hourly Wage</w:t>
      </w:r>
    </w:p>
    <w:p w:rsidRPr="0032494C" w:rsidR="006C7470" w:rsidP="006C7470" w:rsidRDefault="006C7470" w14:paraId="4EFBF36E" w14:textId="77777777">
      <w:pPr>
        <w:rPr>
          <w:rFonts w:ascii="Calibri" w:hAnsi="Calibri" w:cs="Calibri"/>
          <w:sz w:val="22"/>
          <w:szCs w:val="22"/>
        </w:rPr>
      </w:pP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r>
      <w:r w:rsidRPr="0032494C">
        <w:rPr>
          <w:rFonts w:ascii="Calibri" w:hAnsi="Calibri" w:cs="Calibri"/>
          <w:sz w:val="22"/>
          <w:szCs w:val="22"/>
        </w:rPr>
        <w:tab/>
        <w:t>[1.5 hours x 480 x 1 x $24.98= $17,985.60]</w:t>
      </w:r>
    </w:p>
    <w:p w:rsidRPr="0032494C" w:rsidR="006C7470" w:rsidP="006C7470" w:rsidRDefault="006C7470" w14:paraId="32B6AFC2" w14:textId="77777777">
      <w:pPr>
        <w:rPr>
          <w:rFonts w:ascii="Calibri" w:hAnsi="Calibri" w:cs="Calibri"/>
          <w:sz w:val="22"/>
          <w:szCs w:val="22"/>
        </w:rPr>
      </w:pPr>
    </w:p>
    <w:p w:rsidRPr="005E79C7" w:rsidR="006C7470" w:rsidP="006C7470" w:rsidRDefault="006C7470" w14:paraId="2581756D" w14:textId="77777777">
      <w:pPr>
        <w:rPr>
          <w:rFonts w:ascii="Calibri" w:hAnsi="Calibri" w:cs="Calibri"/>
          <w:sz w:val="22"/>
          <w:szCs w:val="22"/>
        </w:rPr>
      </w:pPr>
      <w:r w:rsidRPr="005E79C7">
        <w:rPr>
          <w:rFonts w:ascii="Calibri" w:hAnsi="Calibri" w:cs="Calibri"/>
          <w:sz w:val="22"/>
          <w:szCs w:val="22"/>
        </w:rPr>
        <w:t>Annualized costs to respondents for the one-time, 90-minute focus group is estimated at $17,985.60.</w:t>
      </w:r>
    </w:p>
    <w:p w:rsidRPr="005E79C7" w:rsidR="006C7470" w:rsidP="006C7470" w:rsidRDefault="006C7470" w14:paraId="19A0B6E8" w14:textId="77777777">
      <w:pPr>
        <w:rPr>
          <w:rFonts w:ascii="Calibri" w:hAnsi="Calibri" w:cs="Calibri"/>
          <w:sz w:val="22"/>
          <w:szCs w:val="22"/>
        </w:rPr>
      </w:pPr>
    </w:p>
    <w:p w:rsidRPr="005E79C7" w:rsidR="006C7470" w:rsidP="006C7470" w:rsidRDefault="00811BE1" w14:paraId="57E54B92" w14:textId="64B0505C">
      <w:pPr>
        <w:rPr>
          <w:rFonts w:ascii="Calibri" w:hAnsi="Calibri" w:cs="Calibri"/>
          <w:b/>
          <w:bCs/>
          <w:color w:val="000000"/>
          <w:sz w:val="22"/>
          <w:szCs w:val="22"/>
        </w:rPr>
      </w:pPr>
      <w:r w:rsidRPr="005E79C7">
        <w:rPr>
          <w:rFonts w:ascii="Calibri" w:hAnsi="Calibri" w:cs="Calibri"/>
          <w:b/>
          <w:bCs/>
          <w:color w:val="000000"/>
          <w:sz w:val="22"/>
          <w:szCs w:val="22"/>
        </w:rPr>
        <w:t>The annualized costs to respondents across all data collection activities and years is $20,188.06</w:t>
      </w:r>
    </w:p>
    <w:p w:rsidRPr="005E79C7" w:rsidR="00811BE1" w:rsidP="006C7470" w:rsidRDefault="00811BE1" w14:paraId="5B07D4AD" w14:textId="77777777">
      <w:pPr>
        <w:rPr>
          <w:rFonts w:ascii="Calibri" w:hAnsi="Calibri" w:cs="Calibri"/>
          <w:sz w:val="22"/>
          <w:szCs w:val="22"/>
        </w:rPr>
      </w:pPr>
    </w:p>
    <w:p w:rsidRPr="005E79C7" w:rsidR="006C7470" w:rsidP="00713DF1" w:rsidRDefault="05561802" w14:paraId="3E482E2C" w14:textId="77777777">
      <w:pPr>
        <w:rPr>
          <w:rFonts w:ascii="Calibri" w:hAnsi="Calibri" w:cs="Calibri"/>
          <w:b/>
          <w:bCs/>
          <w:sz w:val="22"/>
          <w:szCs w:val="22"/>
          <w:u w:val="single"/>
        </w:rPr>
      </w:pPr>
      <w:r w:rsidRPr="005E79C7">
        <w:rPr>
          <w:rFonts w:ascii="Calibri" w:hAnsi="Calibri" w:cs="Calibri"/>
          <w:b/>
          <w:bCs/>
          <w:sz w:val="22"/>
          <w:szCs w:val="22"/>
          <w:u w:val="single"/>
        </w:rPr>
        <w:t>A.14. Estimates of Cost to Federal Government</w:t>
      </w:r>
    </w:p>
    <w:p w:rsidRPr="0032494C" w:rsidR="006C7470" w:rsidP="006C7470" w:rsidRDefault="05561802" w14:paraId="722024F9" w14:textId="3EE5E21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The annualized cost to IMLS is estimated at $</w:t>
      </w:r>
      <w:r w:rsidR="009F1CF1">
        <w:rPr>
          <w:rFonts w:ascii="Calibri" w:hAnsi="Calibri" w:cs="Calibri"/>
          <w:sz w:val="22"/>
          <w:szCs w:val="22"/>
        </w:rPr>
        <w:t>18,000</w:t>
      </w:r>
      <w:r w:rsidRPr="0032494C">
        <w:rPr>
          <w:rFonts w:ascii="Calibri" w:hAnsi="Calibri" w:cs="Calibri"/>
          <w:sz w:val="22"/>
          <w:szCs w:val="22"/>
        </w:rPr>
        <w:t xml:space="preserve"> based on </w:t>
      </w:r>
      <w:r w:rsidR="009F1CF1">
        <w:rPr>
          <w:rFonts w:ascii="Calibri" w:hAnsi="Calibri" w:cs="Calibri"/>
          <w:sz w:val="22"/>
          <w:szCs w:val="22"/>
        </w:rPr>
        <w:t>300</w:t>
      </w:r>
      <w:r w:rsidRPr="0032494C">
        <w:rPr>
          <w:rFonts w:ascii="Calibri" w:hAnsi="Calibri" w:cs="Calibri"/>
          <w:sz w:val="22"/>
          <w:szCs w:val="22"/>
        </w:rPr>
        <w:t xml:space="preserve"> hours at $</w:t>
      </w:r>
      <w:r w:rsidR="009F1CF1">
        <w:rPr>
          <w:rFonts w:ascii="Calibri" w:hAnsi="Calibri" w:cs="Calibri"/>
          <w:sz w:val="22"/>
          <w:szCs w:val="22"/>
        </w:rPr>
        <w:t>60.00</w:t>
      </w:r>
      <w:r w:rsidRPr="0032494C">
        <w:rPr>
          <w:rFonts w:ascii="Calibri" w:hAnsi="Calibri" w:cs="Calibri"/>
          <w:sz w:val="22"/>
          <w:szCs w:val="22"/>
        </w:rPr>
        <w:t xml:space="preserve"> for IMLS Museum Services Staff and $</w:t>
      </w:r>
      <w:r w:rsidR="009F1CF1">
        <w:rPr>
          <w:rFonts w:ascii="Calibri" w:hAnsi="Calibri" w:cs="Calibri"/>
          <w:sz w:val="22"/>
          <w:szCs w:val="22"/>
        </w:rPr>
        <w:t>17,700</w:t>
      </w:r>
      <w:r w:rsidRPr="0032494C">
        <w:rPr>
          <w:rFonts w:ascii="Calibri" w:hAnsi="Calibri" w:cs="Calibri"/>
          <w:sz w:val="22"/>
          <w:szCs w:val="22"/>
        </w:rPr>
        <w:t xml:space="preserve"> based on </w:t>
      </w:r>
      <w:r w:rsidR="009F1CF1">
        <w:rPr>
          <w:rFonts w:ascii="Calibri" w:hAnsi="Calibri" w:cs="Calibri"/>
          <w:sz w:val="22"/>
          <w:szCs w:val="22"/>
        </w:rPr>
        <w:t>300</w:t>
      </w:r>
      <w:r w:rsidRPr="0032494C" w:rsidR="009F1CF1">
        <w:rPr>
          <w:rFonts w:ascii="Calibri" w:hAnsi="Calibri" w:cs="Calibri"/>
          <w:sz w:val="22"/>
          <w:szCs w:val="22"/>
        </w:rPr>
        <w:t xml:space="preserve"> </w:t>
      </w:r>
      <w:r w:rsidRPr="0032494C">
        <w:rPr>
          <w:rFonts w:ascii="Calibri" w:hAnsi="Calibri" w:cs="Calibri"/>
          <w:sz w:val="22"/>
          <w:szCs w:val="22"/>
        </w:rPr>
        <w:t xml:space="preserve">hours </w:t>
      </w:r>
      <w:r w:rsidR="009F1CF1">
        <w:rPr>
          <w:rFonts w:ascii="Calibri" w:hAnsi="Calibri" w:cs="Calibri"/>
          <w:sz w:val="22"/>
          <w:szCs w:val="22"/>
        </w:rPr>
        <w:t xml:space="preserve">at $59.00 </w:t>
      </w:r>
      <w:r w:rsidRPr="0032494C">
        <w:rPr>
          <w:rFonts w:ascii="Calibri" w:hAnsi="Calibri" w:cs="Calibri"/>
          <w:sz w:val="22"/>
          <w:szCs w:val="22"/>
        </w:rPr>
        <w:t xml:space="preserve">for IMLS </w:t>
      </w:r>
      <w:r w:rsidR="00DD75EF">
        <w:rPr>
          <w:rFonts w:ascii="Calibri" w:hAnsi="Calibri" w:cs="Calibri"/>
          <w:sz w:val="22"/>
          <w:szCs w:val="22"/>
        </w:rPr>
        <w:t>ODIS</w:t>
      </w:r>
      <w:r w:rsidRPr="0032494C" w:rsidR="00DD75EF">
        <w:rPr>
          <w:rFonts w:ascii="Calibri" w:hAnsi="Calibri" w:cs="Calibri"/>
          <w:sz w:val="22"/>
          <w:szCs w:val="22"/>
        </w:rPr>
        <w:t xml:space="preserve"> </w:t>
      </w:r>
      <w:r w:rsidRPr="0032494C">
        <w:rPr>
          <w:rFonts w:ascii="Calibri" w:hAnsi="Calibri" w:cs="Calibri"/>
          <w:sz w:val="22"/>
          <w:szCs w:val="22"/>
        </w:rPr>
        <w:t xml:space="preserve">staff. </w:t>
      </w:r>
    </w:p>
    <w:p w:rsidRPr="0032494C" w:rsidR="006C7470" w:rsidP="006C7470" w:rsidRDefault="006C7470" w14:paraId="5637603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rsidRPr="0032494C" w:rsidR="006C7470" w:rsidP="006C7470" w:rsidRDefault="006C7470" w14:paraId="2573E0B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u w:val="single"/>
        </w:rPr>
      </w:pPr>
      <w:r w:rsidRPr="0032494C">
        <w:rPr>
          <w:rFonts w:ascii="Calibri" w:hAnsi="Calibri" w:cs="Calibri"/>
          <w:b/>
          <w:sz w:val="22"/>
          <w:szCs w:val="22"/>
          <w:u w:val="single"/>
        </w:rPr>
        <w:t>A.15. Reason for Program Changes or Cost Adjustments</w:t>
      </w:r>
    </w:p>
    <w:p w:rsidRPr="0032494C" w:rsidR="006C7470" w:rsidP="006C7470" w:rsidRDefault="006C7470" w14:paraId="697FF304" w14:textId="5B36C328">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This is a new submission. There are no program changes or cost adjustments.</w:t>
      </w:r>
    </w:p>
    <w:p w:rsidRPr="0032494C" w:rsidR="006C7470" w:rsidP="006C7470" w:rsidRDefault="006C7470" w14:paraId="6C9ABEEF"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rsidRPr="0032494C" w:rsidR="006C7470" w:rsidP="006C7470" w:rsidRDefault="006C7470" w14:paraId="76522FF3" w14:textId="32D9065E">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u w:val="single"/>
        </w:rPr>
      </w:pPr>
      <w:r w:rsidRPr="0032494C">
        <w:rPr>
          <w:rFonts w:ascii="Calibri" w:hAnsi="Calibri" w:cs="Calibri"/>
          <w:b/>
          <w:sz w:val="22"/>
          <w:szCs w:val="22"/>
          <w:u w:val="single"/>
        </w:rPr>
        <w:t>A.16. Project Schedule</w:t>
      </w:r>
    </w:p>
    <w:p w:rsidRPr="00EF671D" w:rsidR="00BF052E" w:rsidP="00DF3DB5" w:rsidRDefault="002A67C5" w14:paraId="17E63122" w14:textId="5F12B99D">
      <w:pPr>
        <w:pStyle w:val="Caption"/>
        <w:keepNext/>
        <w:spacing w:after="120"/>
        <w:rPr>
          <w:rFonts w:ascii="Calibri" w:hAnsi="Calibri" w:cs="Calibri"/>
          <w:i w:val="0"/>
          <w:color w:val="000000" w:themeColor="text1"/>
          <w:sz w:val="22"/>
          <w:szCs w:val="22"/>
        </w:rPr>
      </w:pPr>
      <w:r w:rsidRPr="00EF671D">
        <w:rPr>
          <w:rFonts w:ascii="Calibri" w:hAnsi="Calibri" w:cs="Calibri"/>
          <w:i w:val="0"/>
          <w:color w:val="000000" w:themeColor="text1"/>
          <w:sz w:val="22"/>
          <w:szCs w:val="22"/>
        </w:rPr>
        <w:fldChar w:fldCharType="begin"/>
      </w:r>
      <w:r w:rsidRPr="00EF671D">
        <w:rPr>
          <w:rFonts w:ascii="Calibri" w:hAnsi="Calibri" w:cs="Calibri"/>
          <w:i w:val="0"/>
          <w:color w:val="000000" w:themeColor="text1"/>
          <w:sz w:val="22"/>
          <w:szCs w:val="22"/>
        </w:rPr>
        <w:instrText xml:space="preserve"> REF _Ref36113163 \h </w:instrText>
      </w:r>
      <w:r w:rsidRPr="00EF671D" w:rsidR="0032494C">
        <w:rPr>
          <w:rFonts w:ascii="Calibri" w:hAnsi="Calibri" w:cs="Calibri"/>
          <w:i w:val="0"/>
          <w:color w:val="000000" w:themeColor="text1"/>
          <w:sz w:val="22"/>
          <w:szCs w:val="22"/>
        </w:rPr>
        <w:instrText xml:space="preserve"> \* MERGEFORMAT </w:instrText>
      </w:r>
      <w:r w:rsidRPr="00EF671D">
        <w:rPr>
          <w:rFonts w:ascii="Calibri" w:hAnsi="Calibri" w:cs="Calibri"/>
          <w:i w:val="0"/>
          <w:color w:val="000000" w:themeColor="text1"/>
          <w:sz w:val="22"/>
          <w:szCs w:val="22"/>
        </w:rPr>
      </w:r>
      <w:r w:rsidRPr="00EF671D">
        <w:rPr>
          <w:rFonts w:ascii="Calibri" w:hAnsi="Calibri" w:cs="Calibri"/>
          <w:i w:val="0"/>
          <w:color w:val="000000" w:themeColor="text1"/>
          <w:sz w:val="22"/>
          <w:szCs w:val="22"/>
        </w:rPr>
        <w:fldChar w:fldCharType="separate"/>
      </w:r>
      <w:r w:rsidRPr="00EF671D" w:rsidR="007823FA">
        <w:rPr>
          <w:rFonts w:ascii="Calibri" w:hAnsi="Calibri" w:cs="Calibri"/>
          <w:b/>
          <w:i w:val="0"/>
          <w:color w:val="000000" w:themeColor="text1"/>
          <w:sz w:val="22"/>
          <w:szCs w:val="22"/>
        </w:rPr>
        <w:t xml:space="preserve">Table </w:t>
      </w:r>
      <w:r w:rsidR="007823FA">
        <w:rPr>
          <w:rFonts w:ascii="Calibri" w:hAnsi="Calibri" w:cs="Calibri"/>
          <w:b/>
          <w:i w:val="0"/>
          <w:noProof/>
          <w:color w:val="000000" w:themeColor="text1"/>
          <w:sz w:val="22"/>
          <w:szCs w:val="22"/>
        </w:rPr>
        <w:t>5</w:t>
      </w:r>
      <w:r w:rsidRPr="00EF671D">
        <w:rPr>
          <w:rFonts w:ascii="Calibri" w:hAnsi="Calibri" w:cs="Calibri"/>
          <w:i w:val="0"/>
          <w:color w:val="000000" w:themeColor="text1"/>
          <w:sz w:val="22"/>
          <w:szCs w:val="22"/>
        </w:rPr>
        <w:fldChar w:fldCharType="end"/>
      </w:r>
      <w:r w:rsidRPr="00EF671D" w:rsidR="00BF052E">
        <w:rPr>
          <w:rFonts w:ascii="Calibri" w:hAnsi="Calibri" w:cs="Calibri"/>
          <w:i w:val="0"/>
          <w:color w:val="000000" w:themeColor="text1"/>
          <w:sz w:val="22"/>
          <w:szCs w:val="22"/>
        </w:rPr>
        <w:t xml:space="preserve"> displays the anticipated project schedule. This schedule assumes the work has secured approval from IMLS and OMB.</w:t>
      </w:r>
    </w:p>
    <w:p w:rsidRPr="00EF671D" w:rsidR="006C7470" w:rsidP="006C7470" w:rsidRDefault="006C7470" w14:paraId="00DCD5FC" w14:textId="6C67ADA0">
      <w:pPr>
        <w:pStyle w:val="Caption"/>
        <w:keepNext/>
        <w:spacing w:after="120"/>
        <w:ind w:left="90"/>
        <w:rPr>
          <w:rFonts w:ascii="Calibri" w:hAnsi="Calibri" w:cs="Calibri"/>
          <w:b/>
          <w:i w:val="0"/>
          <w:color w:val="000000" w:themeColor="text1"/>
          <w:sz w:val="22"/>
          <w:szCs w:val="22"/>
        </w:rPr>
      </w:pPr>
      <w:bookmarkStart w:name="_Ref36113163" w:id="2"/>
      <w:r w:rsidRPr="00EF671D">
        <w:rPr>
          <w:rFonts w:ascii="Calibri" w:hAnsi="Calibri" w:cs="Calibri"/>
          <w:b/>
          <w:i w:val="0"/>
          <w:color w:val="000000" w:themeColor="text1"/>
          <w:sz w:val="22"/>
          <w:szCs w:val="22"/>
        </w:rPr>
        <w:t xml:space="preserve">Table </w:t>
      </w:r>
      <w:r w:rsidRPr="00EF671D">
        <w:rPr>
          <w:rFonts w:ascii="Calibri" w:hAnsi="Calibri" w:cs="Calibri"/>
          <w:b/>
          <w:i w:val="0"/>
          <w:color w:val="000000" w:themeColor="text1"/>
          <w:sz w:val="22"/>
          <w:szCs w:val="22"/>
        </w:rPr>
        <w:fldChar w:fldCharType="begin"/>
      </w:r>
      <w:r w:rsidRPr="00EF671D">
        <w:rPr>
          <w:rFonts w:ascii="Calibri" w:hAnsi="Calibri" w:cs="Calibri"/>
          <w:b/>
          <w:i w:val="0"/>
          <w:color w:val="000000" w:themeColor="text1"/>
          <w:sz w:val="22"/>
          <w:szCs w:val="22"/>
        </w:rPr>
        <w:instrText xml:space="preserve"> SEQ Table \* ARABIC </w:instrText>
      </w:r>
      <w:r w:rsidRPr="00EF671D">
        <w:rPr>
          <w:rFonts w:ascii="Calibri" w:hAnsi="Calibri" w:cs="Calibri"/>
          <w:b/>
          <w:i w:val="0"/>
          <w:color w:val="000000" w:themeColor="text1"/>
          <w:sz w:val="22"/>
          <w:szCs w:val="22"/>
        </w:rPr>
        <w:fldChar w:fldCharType="separate"/>
      </w:r>
      <w:r w:rsidR="008F225B">
        <w:rPr>
          <w:rFonts w:ascii="Calibri" w:hAnsi="Calibri" w:cs="Calibri"/>
          <w:b/>
          <w:i w:val="0"/>
          <w:noProof/>
          <w:color w:val="000000" w:themeColor="text1"/>
          <w:sz w:val="22"/>
          <w:szCs w:val="22"/>
        </w:rPr>
        <w:t>5</w:t>
      </w:r>
      <w:r w:rsidRPr="00EF671D">
        <w:rPr>
          <w:rFonts w:ascii="Calibri" w:hAnsi="Calibri" w:cs="Calibri"/>
          <w:b/>
          <w:i w:val="0"/>
          <w:color w:val="000000" w:themeColor="text1"/>
          <w:sz w:val="22"/>
          <w:szCs w:val="22"/>
        </w:rPr>
        <w:fldChar w:fldCharType="end"/>
      </w:r>
      <w:bookmarkEnd w:id="2"/>
      <w:r w:rsidRPr="00EF671D">
        <w:rPr>
          <w:rFonts w:ascii="Calibri" w:hAnsi="Calibri" w:cs="Calibri"/>
          <w:b/>
          <w:i w:val="0"/>
          <w:color w:val="000000" w:themeColor="text1"/>
          <w:sz w:val="22"/>
          <w:szCs w:val="22"/>
        </w:rPr>
        <w:t>. Project Schedule</w:t>
      </w:r>
    </w:p>
    <w:tbl>
      <w:tblPr>
        <w:tblW w:w="100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21"/>
        <w:gridCol w:w="5689"/>
      </w:tblGrid>
      <w:tr w:rsidRPr="0032494C" w:rsidR="006C7470" w:rsidTr="00EF671D" w14:paraId="3C27C024" w14:textId="77777777">
        <w:trPr>
          <w:trHeight w:val="275"/>
        </w:trPr>
        <w:tc>
          <w:tcPr>
            <w:tcW w:w="4321" w:type="dxa"/>
            <w:shd w:val="clear" w:color="auto" w:fill="808080" w:themeFill="background1" w:themeFillShade="80"/>
          </w:tcPr>
          <w:p w:rsidRPr="0032494C" w:rsidR="006C7470" w:rsidP="009007F4" w:rsidRDefault="006C7470" w14:paraId="3309E3A3"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b/>
                <w:color w:val="FFFFFF" w:themeColor="background1"/>
                <w:sz w:val="22"/>
                <w:szCs w:val="22"/>
              </w:rPr>
            </w:pPr>
            <w:r w:rsidRPr="0032494C">
              <w:rPr>
                <w:rFonts w:ascii="Calibri" w:hAnsi="Calibri" w:cs="Calibri"/>
                <w:b/>
                <w:color w:val="FFFFFF" w:themeColor="background1"/>
                <w:sz w:val="22"/>
                <w:szCs w:val="22"/>
              </w:rPr>
              <w:t>Project activity</w:t>
            </w:r>
          </w:p>
        </w:tc>
        <w:tc>
          <w:tcPr>
            <w:tcW w:w="5689" w:type="dxa"/>
            <w:shd w:val="clear" w:color="auto" w:fill="808080" w:themeFill="background1" w:themeFillShade="80"/>
          </w:tcPr>
          <w:p w:rsidRPr="0032494C" w:rsidR="006C7470" w:rsidP="009007F4" w:rsidRDefault="006C7470" w14:paraId="1D6EBBCF"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b/>
                <w:color w:val="FFFFFF" w:themeColor="background1"/>
                <w:sz w:val="22"/>
                <w:szCs w:val="22"/>
              </w:rPr>
            </w:pPr>
            <w:r w:rsidRPr="0032494C">
              <w:rPr>
                <w:rFonts w:ascii="Calibri" w:hAnsi="Calibri" w:cs="Calibri"/>
                <w:b/>
                <w:color w:val="FFFFFF" w:themeColor="background1"/>
                <w:sz w:val="22"/>
                <w:szCs w:val="22"/>
              </w:rPr>
              <w:t>Timeframe</w:t>
            </w:r>
          </w:p>
        </w:tc>
      </w:tr>
      <w:tr w:rsidRPr="0032494C" w:rsidR="006C7470" w:rsidTr="00EF671D" w14:paraId="425F641E" w14:textId="77777777">
        <w:trPr>
          <w:trHeight w:val="410"/>
        </w:trPr>
        <w:tc>
          <w:tcPr>
            <w:tcW w:w="4321" w:type="dxa"/>
            <w:shd w:val="clear" w:color="auto" w:fill="D9D9D9" w:themeFill="background1" w:themeFillShade="D9"/>
            <w:vAlign w:val="center"/>
          </w:tcPr>
          <w:p w:rsidRPr="0032494C" w:rsidR="006C7470" w:rsidP="009007F4" w:rsidRDefault="006C7470" w14:paraId="5C02EF4B"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Seek OMB clearance</w:t>
            </w:r>
          </w:p>
        </w:tc>
        <w:tc>
          <w:tcPr>
            <w:tcW w:w="5689" w:type="dxa"/>
            <w:shd w:val="clear" w:color="auto" w:fill="D9D9D9" w:themeFill="background1" w:themeFillShade="D9"/>
            <w:vAlign w:val="center"/>
          </w:tcPr>
          <w:p w:rsidRPr="0032494C" w:rsidR="006C7470" w:rsidP="009007F4" w:rsidRDefault="006C7470" w14:paraId="77A2FA0B" w14:textId="7956947A">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December–</w:t>
            </w:r>
            <w:r w:rsidR="00766656">
              <w:rPr>
                <w:rFonts w:ascii="Calibri" w:hAnsi="Calibri" w:cs="Calibri"/>
                <w:sz w:val="22"/>
                <w:szCs w:val="22"/>
              </w:rPr>
              <w:t>September</w:t>
            </w:r>
            <w:r w:rsidRPr="0032494C">
              <w:rPr>
                <w:rFonts w:ascii="Calibri" w:hAnsi="Calibri" w:cs="Calibri"/>
                <w:sz w:val="22"/>
                <w:szCs w:val="22"/>
              </w:rPr>
              <w:t xml:space="preserve"> 2020</w:t>
            </w:r>
          </w:p>
        </w:tc>
      </w:tr>
      <w:tr w:rsidRPr="0032494C" w:rsidR="006C7470" w:rsidTr="00EF671D" w14:paraId="285DE026" w14:textId="77777777">
        <w:trPr>
          <w:trHeight w:val="410"/>
        </w:trPr>
        <w:tc>
          <w:tcPr>
            <w:tcW w:w="4321" w:type="dxa"/>
            <w:shd w:val="clear" w:color="auto" w:fill="D9D9D9" w:themeFill="background1" w:themeFillShade="D9"/>
            <w:vAlign w:val="center"/>
          </w:tcPr>
          <w:p w:rsidRPr="0032494C" w:rsidR="006C7470" w:rsidP="009007F4" w:rsidRDefault="006C7470" w14:paraId="6090B0EF"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Secure IRB approval</w:t>
            </w:r>
          </w:p>
        </w:tc>
        <w:tc>
          <w:tcPr>
            <w:tcW w:w="5689" w:type="dxa"/>
            <w:shd w:val="clear" w:color="auto" w:fill="D9D9D9" w:themeFill="background1" w:themeFillShade="D9"/>
            <w:vAlign w:val="center"/>
          </w:tcPr>
          <w:p w:rsidRPr="0032494C" w:rsidR="006C7470" w:rsidP="009007F4" w:rsidRDefault="006C7470" w14:paraId="29E09917"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February 2020</w:t>
            </w:r>
          </w:p>
        </w:tc>
      </w:tr>
      <w:tr w:rsidRPr="0032494C" w:rsidR="006C7470" w:rsidTr="00EF671D" w14:paraId="3DFB4EBD" w14:textId="77777777">
        <w:trPr>
          <w:trHeight w:val="410"/>
        </w:trPr>
        <w:tc>
          <w:tcPr>
            <w:tcW w:w="4321" w:type="dxa"/>
            <w:shd w:val="clear" w:color="auto" w:fill="D9D9D9" w:themeFill="background1" w:themeFillShade="D9"/>
            <w:vAlign w:val="center"/>
          </w:tcPr>
          <w:p w:rsidRPr="0032494C" w:rsidR="006C7470" w:rsidP="009007F4" w:rsidRDefault="006C7470" w14:paraId="346CCEA6"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Develop Year 1 survey protocol</w:t>
            </w:r>
          </w:p>
        </w:tc>
        <w:tc>
          <w:tcPr>
            <w:tcW w:w="5689" w:type="dxa"/>
            <w:shd w:val="clear" w:color="auto" w:fill="D9D9D9" w:themeFill="background1" w:themeFillShade="D9"/>
            <w:vAlign w:val="center"/>
          </w:tcPr>
          <w:p w:rsidRPr="0032494C" w:rsidR="006C7470" w:rsidP="009007F4" w:rsidRDefault="006C7470" w14:paraId="4D407CA9"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December 2019</w:t>
            </w:r>
          </w:p>
        </w:tc>
      </w:tr>
      <w:tr w:rsidRPr="0032494C" w:rsidR="006C7470" w:rsidTr="00EF671D" w14:paraId="7FCE23F6" w14:textId="77777777">
        <w:trPr>
          <w:trHeight w:val="410"/>
        </w:trPr>
        <w:tc>
          <w:tcPr>
            <w:tcW w:w="4321" w:type="dxa"/>
            <w:shd w:val="clear" w:color="auto" w:fill="D9D9D9" w:themeFill="background1" w:themeFillShade="D9"/>
            <w:vAlign w:val="center"/>
          </w:tcPr>
          <w:p w:rsidRPr="0032494C" w:rsidR="006C7470" w:rsidP="009007F4" w:rsidRDefault="006C7470" w14:paraId="6D087F5A"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highlight w:val="green"/>
              </w:rPr>
            </w:pPr>
            <w:r w:rsidRPr="0032494C">
              <w:rPr>
                <w:rFonts w:ascii="Calibri" w:hAnsi="Calibri" w:cs="Calibri"/>
                <w:sz w:val="22"/>
                <w:szCs w:val="22"/>
              </w:rPr>
              <w:t>Develop interview protocol</w:t>
            </w:r>
          </w:p>
        </w:tc>
        <w:tc>
          <w:tcPr>
            <w:tcW w:w="5689" w:type="dxa"/>
            <w:shd w:val="clear" w:color="auto" w:fill="D9D9D9" w:themeFill="background1" w:themeFillShade="D9"/>
            <w:vAlign w:val="center"/>
          </w:tcPr>
          <w:p w:rsidRPr="0032494C" w:rsidR="006C7470" w:rsidP="009007F4" w:rsidRDefault="006C7470" w14:paraId="7A0A7F9A"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December 2019</w:t>
            </w:r>
          </w:p>
        </w:tc>
      </w:tr>
      <w:tr w:rsidRPr="0032494C" w:rsidR="006C7470" w:rsidTr="00EF671D" w14:paraId="4E951532" w14:textId="77777777">
        <w:trPr>
          <w:trHeight w:val="410"/>
        </w:trPr>
        <w:tc>
          <w:tcPr>
            <w:tcW w:w="4321" w:type="dxa"/>
            <w:shd w:val="clear" w:color="auto" w:fill="D9D9D9" w:themeFill="background1" w:themeFillShade="D9"/>
            <w:vAlign w:val="center"/>
          </w:tcPr>
          <w:p w:rsidRPr="0032494C" w:rsidR="006C7470" w:rsidP="009007F4" w:rsidRDefault="006C7470" w14:paraId="22469FA9"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highlight w:val="green"/>
              </w:rPr>
            </w:pPr>
            <w:r w:rsidRPr="0032494C">
              <w:rPr>
                <w:rFonts w:ascii="Calibri" w:hAnsi="Calibri" w:cs="Calibri"/>
                <w:sz w:val="22"/>
                <w:szCs w:val="22"/>
              </w:rPr>
              <w:t>Develop focus group protocol</w:t>
            </w:r>
          </w:p>
        </w:tc>
        <w:tc>
          <w:tcPr>
            <w:tcW w:w="5689" w:type="dxa"/>
            <w:shd w:val="clear" w:color="auto" w:fill="D9D9D9" w:themeFill="background1" w:themeFillShade="D9"/>
            <w:vAlign w:val="center"/>
          </w:tcPr>
          <w:p w:rsidRPr="0032494C" w:rsidR="006C7470" w:rsidP="009007F4" w:rsidRDefault="006C7470" w14:paraId="0A67E3A6"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December 2019</w:t>
            </w:r>
          </w:p>
        </w:tc>
      </w:tr>
      <w:tr w:rsidRPr="0032494C" w:rsidR="006C7470" w:rsidTr="00EF671D" w14:paraId="5CCA3DB1" w14:textId="77777777">
        <w:trPr>
          <w:trHeight w:val="410"/>
        </w:trPr>
        <w:tc>
          <w:tcPr>
            <w:tcW w:w="4321" w:type="dxa"/>
            <w:shd w:val="clear" w:color="auto" w:fill="D9D9D9" w:themeFill="background1" w:themeFillShade="D9"/>
            <w:vAlign w:val="center"/>
          </w:tcPr>
          <w:p w:rsidRPr="0032494C" w:rsidR="006C7470" w:rsidP="009007F4" w:rsidRDefault="006C7470" w14:paraId="485AFA5A" w14:textId="6F16E1C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highlight w:val="green"/>
              </w:rPr>
            </w:pPr>
            <w:r w:rsidRPr="0032494C">
              <w:rPr>
                <w:rFonts w:ascii="Calibri" w:hAnsi="Calibri" w:cs="Calibri"/>
                <w:sz w:val="22"/>
                <w:szCs w:val="22"/>
              </w:rPr>
              <w:t xml:space="preserve">Interview staff from </w:t>
            </w:r>
            <w:r w:rsidRPr="0032494C" w:rsidR="00AC3A5E">
              <w:rPr>
                <w:rFonts w:ascii="Calibri" w:hAnsi="Calibri" w:cs="Calibri"/>
                <w:sz w:val="22"/>
                <w:szCs w:val="22"/>
              </w:rPr>
              <w:t>h</w:t>
            </w:r>
            <w:r w:rsidRPr="0032494C">
              <w:rPr>
                <w:rFonts w:ascii="Calibri" w:hAnsi="Calibri" w:cs="Calibri"/>
                <w:sz w:val="22"/>
                <w:szCs w:val="22"/>
              </w:rPr>
              <w:t>ub leader orgs</w:t>
            </w:r>
            <w:r w:rsidRPr="0032494C" w:rsidR="0059555E">
              <w:rPr>
                <w:rFonts w:ascii="Calibri" w:hAnsi="Calibri" w:cs="Calibri"/>
                <w:sz w:val="22"/>
                <w:szCs w:val="22"/>
              </w:rPr>
              <w:t>*</w:t>
            </w:r>
          </w:p>
        </w:tc>
        <w:tc>
          <w:tcPr>
            <w:tcW w:w="5689" w:type="dxa"/>
            <w:shd w:val="clear" w:color="auto" w:fill="D9D9D9" w:themeFill="background1" w:themeFillShade="D9"/>
            <w:vAlign w:val="center"/>
          </w:tcPr>
          <w:p w:rsidRPr="0032494C" w:rsidR="006C7470" w:rsidP="009007F4" w:rsidRDefault="00766656" w14:paraId="65432AB5" w14:textId="38B18A36">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Pr>
                <w:rFonts w:ascii="Calibri" w:hAnsi="Calibri" w:cs="Calibri"/>
                <w:sz w:val="22"/>
                <w:szCs w:val="22"/>
              </w:rPr>
              <w:t>October</w:t>
            </w:r>
            <w:r w:rsidRPr="0032494C" w:rsidR="00644D06">
              <w:rPr>
                <w:rFonts w:ascii="Calibri" w:hAnsi="Calibri" w:cs="Calibri"/>
                <w:sz w:val="22"/>
                <w:szCs w:val="22"/>
              </w:rPr>
              <w:t xml:space="preserve"> </w:t>
            </w:r>
            <w:r w:rsidRPr="0032494C" w:rsidR="006C7470">
              <w:rPr>
                <w:rFonts w:ascii="Calibri" w:hAnsi="Calibri" w:cs="Calibri"/>
                <w:sz w:val="22"/>
                <w:szCs w:val="22"/>
              </w:rPr>
              <w:t>2020</w:t>
            </w:r>
          </w:p>
        </w:tc>
      </w:tr>
      <w:tr w:rsidRPr="0032494C" w:rsidR="006C7470" w:rsidTr="00EF671D" w14:paraId="3F4FEB3F" w14:textId="77777777">
        <w:trPr>
          <w:trHeight w:val="410"/>
        </w:trPr>
        <w:tc>
          <w:tcPr>
            <w:tcW w:w="4321" w:type="dxa"/>
            <w:shd w:val="clear" w:color="auto" w:fill="D9D9D9" w:themeFill="background1" w:themeFillShade="D9"/>
            <w:vAlign w:val="center"/>
          </w:tcPr>
          <w:p w:rsidRPr="0032494C" w:rsidR="006C7470" w:rsidP="009007F4" w:rsidRDefault="006C7470" w14:paraId="55AD8445" w14:textId="720C62F3">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highlight w:val="green"/>
              </w:rPr>
            </w:pPr>
            <w:r w:rsidRPr="0032494C">
              <w:rPr>
                <w:rFonts w:ascii="Calibri" w:hAnsi="Calibri" w:cs="Calibri"/>
                <w:sz w:val="22"/>
                <w:szCs w:val="22"/>
              </w:rPr>
              <w:t xml:space="preserve">Administer </w:t>
            </w:r>
            <w:r w:rsidR="005A3ED9">
              <w:rPr>
                <w:rFonts w:ascii="Calibri" w:hAnsi="Calibri" w:cs="Calibri"/>
                <w:sz w:val="22"/>
                <w:szCs w:val="22"/>
              </w:rPr>
              <w:t>Year 1</w:t>
            </w:r>
            <w:r w:rsidRPr="0032494C" w:rsidR="005A3ED9">
              <w:rPr>
                <w:rFonts w:ascii="Calibri" w:hAnsi="Calibri" w:cs="Calibri"/>
                <w:sz w:val="22"/>
                <w:szCs w:val="22"/>
              </w:rPr>
              <w:t xml:space="preserve"> </w:t>
            </w:r>
            <w:r w:rsidRPr="0032494C">
              <w:rPr>
                <w:rFonts w:ascii="Calibri" w:hAnsi="Calibri" w:cs="Calibri"/>
                <w:sz w:val="22"/>
                <w:szCs w:val="22"/>
              </w:rPr>
              <w:t>survey</w:t>
            </w:r>
          </w:p>
        </w:tc>
        <w:tc>
          <w:tcPr>
            <w:tcW w:w="5689" w:type="dxa"/>
            <w:shd w:val="clear" w:color="auto" w:fill="D9D9D9" w:themeFill="background1" w:themeFillShade="D9"/>
            <w:vAlign w:val="center"/>
          </w:tcPr>
          <w:p w:rsidRPr="0032494C" w:rsidR="006C7470" w:rsidP="009007F4" w:rsidRDefault="00766656" w14:paraId="7CB82427" w14:textId="5F2CE77F">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Pr>
                <w:rFonts w:ascii="Calibri" w:hAnsi="Calibri" w:cs="Calibri"/>
                <w:sz w:val="22"/>
                <w:szCs w:val="22"/>
              </w:rPr>
              <w:t>October</w:t>
            </w:r>
            <w:r w:rsidRPr="0032494C" w:rsidR="006C7470">
              <w:rPr>
                <w:rFonts w:ascii="Calibri" w:hAnsi="Calibri" w:cs="Calibri"/>
                <w:sz w:val="22"/>
                <w:szCs w:val="22"/>
              </w:rPr>
              <w:t>-</w:t>
            </w:r>
            <w:r>
              <w:rPr>
                <w:rFonts w:ascii="Calibri" w:hAnsi="Calibri" w:cs="Calibri"/>
                <w:sz w:val="22"/>
                <w:szCs w:val="22"/>
              </w:rPr>
              <w:t>November</w:t>
            </w:r>
            <w:r w:rsidRPr="0032494C" w:rsidR="006C7470">
              <w:rPr>
                <w:rFonts w:ascii="Calibri" w:hAnsi="Calibri" w:cs="Calibri"/>
                <w:sz w:val="22"/>
                <w:szCs w:val="22"/>
              </w:rPr>
              <w:t xml:space="preserve"> 2020</w:t>
            </w:r>
          </w:p>
        </w:tc>
      </w:tr>
      <w:tr w:rsidRPr="0032494C" w:rsidR="006C7470" w:rsidTr="00EF671D" w14:paraId="183B5E91" w14:textId="77777777">
        <w:trPr>
          <w:trHeight w:val="410"/>
        </w:trPr>
        <w:tc>
          <w:tcPr>
            <w:tcW w:w="4321" w:type="dxa"/>
            <w:shd w:val="clear" w:color="auto" w:fill="D9D9D9" w:themeFill="background1" w:themeFillShade="D9"/>
            <w:vAlign w:val="center"/>
          </w:tcPr>
          <w:p w:rsidRPr="0032494C" w:rsidR="006C7470" w:rsidP="009007F4" w:rsidRDefault="006C7470" w14:paraId="7800AC1F"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Clean and analyze data</w:t>
            </w:r>
          </w:p>
        </w:tc>
        <w:tc>
          <w:tcPr>
            <w:tcW w:w="5689" w:type="dxa"/>
            <w:shd w:val="clear" w:color="auto" w:fill="D9D9D9" w:themeFill="background1" w:themeFillShade="D9"/>
            <w:vAlign w:val="center"/>
          </w:tcPr>
          <w:p w:rsidRPr="0032494C" w:rsidR="006C7470" w:rsidP="009007F4" w:rsidRDefault="00766656" w14:paraId="4CD8121A" w14:textId="0AFF3C8F">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Pr>
                <w:rFonts w:ascii="Calibri" w:hAnsi="Calibri" w:cs="Calibri"/>
                <w:sz w:val="22"/>
                <w:szCs w:val="22"/>
              </w:rPr>
              <w:t>November</w:t>
            </w:r>
            <w:r w:rsidR="00A36FCA">
              <w:rPr>
                <w:rFonts w:ascii="Calibri" w:hAnsi="Calibri" w:cs="Calibri"/>
                <w:sz w:val="22"/>
                <w:szCs w:val="22"/>
              </w:rPr>
              <w:t>-December</w:t>
            </w:r>
            <w:r w:rsidRPr="0032494C" w:rsidR="006C7470">
              <w:rPr>
                <w:rFonts w:ascii="Calibri" w:hAnsi="Calibri" w:cs="Calibri"/>
                <w:sz w:val="22"/>
                <w:szCs w:val="22"/>
              </w:rPr>
              <w:t xml:space="preserve"> 2020</w:t>
            </w:r>
          </w:p>
        </w:tc>
      </w:tr>
      <w:tr w:rsidRPr="0032494C" w:rsidR="006C7470" w:rsidTr="00EF671D" w14:paraId="7F1AAC3D" w14:textId="77777777">
        <w:trPr>
          <w:trHeight w:val="410"/>
        </w:trPr>
        <w:tc>
          <w:tcPr>
            <w:tcW w:w="4321" w:type="dxa"/>
            <w:shd w:val="clear" w:color="auto" w:fill="D9D9D9" w:themeFill="background1" w:themeFillShade="D9"/>
            <w:vAlign w:val="center"/>
          </w:tcPr>
          <w:p w:rsidRPr="0032494C" w:rsidR="006C7470" w:rsidP="009007F4" w:rsidRDefault="006C7470" w14:paraId="43466F17"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Submit Year 1 Evaluation Report</w:t>
            </w:r>
          </w:p>
        </w:tc>
        <w:tc>
          <w:tcPr>
            <w:tcW w:w="5689" w:type="dxa"/>
            <w:shd w:val="clear" w:color="auto" w:fill="D9D9D9" w:themeFill="background1" w:themeFillShade="D9"/>
            <w:vAlign w:val="center"/>
          </w:tcPr>
          <w:p w:rsidRPr="0032494C" w:rsidR="006C7470" w:rsidP="009007F4" w:rsidRDefault="00766656" w14:paraId="0020A305" w14:textId="36192B8E">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Pr>
                <w:rFonts w:ascii="Calibri" w:hAnsi="Calibri" w:cs="Calibri"/>
                <w:sz w:val="22"/>
                <w:szCs w:val="22"/>
              </w:rPr>
              <w:t>December</w:t>
            </w:r>
            <w:r w:rsidRPr="0032494C" w:rsidR="006C7470">
              <w:rPr>
                <w:rFonts w:ascii="Calibri" w:hAnsi="Calibri" w:cs="Calibri"/>
                <w:sz w:val="22"/>
                <w:szCs w:val="22"/>
              </w:rPr>
              <w:t xml:space="preserve"> 2020</w:t>
            </w:r>
          </w:p>
        </w:tc>
      </w:tr>
      <w:tr w:rsidRPr="0032494C" w:rsidR="00A36FCA" w:rsidTr="00EF671D" w14:paraId="5E3B8A46" w14:textId="77777777">
        <w:trPr>
          <w:trHeight w:val="410"/>
        </w:trPr>
        <w:tc>
          <w:tcPr>
            <w:tcW w:w="4321" w:type="dxa"/>
            <w:shd w:val="clear" w:color="auto" w:fill="D9D9D9" w:themeFill="background1" w:themeFillShade="D9"/>
            <w:vAlign w:val="center"/>
          </w:tcPr>
          <w:p w:rsidRPr="0032494C" w:rsidR="00A36FCA" w:rsidP="00A36FCA" w:rsidRDefault="00A36FCA" w14:paraId="5BBEF06D" w14:textId="2AE4CC5D">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Revise/update Year 1 survey for use in Years 2 and 3</w:t>
            </w:r>
          </w:p>
        </w:tc>
        <w:tc>
          <w:tcPr>
            <w:tcW w:w="5689" w:type="dxa"/>
            <w:shd w:val="clear" w:color="auto" w:fill="D9D9D9" w:themeFill="background1" w:themeFillShade="D9"/>
            <w:vAlign w:val="center"/>
          </w:tcPr>
          <w:p w:rsidR="00A36FCA" w:rsidP="00A36FCA" w:rsidRDefault="00A36FCA" w14:paraId="471A7D09" w14:textId="2EE98242">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Pr>
                <w:rFonts w:ascii="Calibri" w:hAnsi="Calibri" w:cs="Calibri"/>
                <w:sz w:val="22"/>
                <w:szCs w:val="22"/>
              </w:rPr>
              <w:t>January 2021</w:t>
            </w:r>
          </w:p>
        </w:tc>
      </w:tr>
      <w:tr w:rsidRPr="0032494C" w:rsidR="00A36FCA" w:rsidTr="00EF671D" w14:paraId="421737C7" w14:textId="77777777">
        <w:trPr>
          <w:trHeight w:val="410"/>
        </w:trPr>
        <w:tc>
          <w:tcPr>
            <w:tcW w:w="4321" w:type="dxa"/>
            <w:shd w:val="clear" w:color="auto" w:fill="auto"/>
            <w:vAlign w:val="center"/>
          </w:tcPr>
          <w:p w:rsidRPr="0032494C" w:rsidR="00A36FCA" w:rsidP="00A36FCA" w:rsidRDefault="00A36FCA" w14:paraId="49E97F64" w14:textId="74B94306">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 xml:space="preserve">Interview staff from hub, partner, and collaborating orgs  </w:t>
            </w:r>
          </w:p>
        </w:tc>
        <w:tc>
          <w:tcPr>
            <w:tcW w:w="5689" w:type="dxa"/>
            <w:shd w:val="clear" w:color="auto" w:fill="auto"/>
            <w:vAlign w:val="center"/>
          </w:tcPr>
          <w:p w:rsidR="00A36FCA" w:rsidP="00A36FCA" w:rsidRDefault="00A36FCA" w14:paraId="147F02D8" w14:textId="7EA8B52F">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Februar</w:t>
            </w:r>
            <w:r>
              <w:rPr>
                <w:rFonts w:ascii="Calibri" w:hAnsi="Calibri" w:cs="Calibri"/>
                <w:sz w:val="22"/>
                <w:szCs w:val="22"/>
              </w:rPr>
              <w:t>y-</w:t>
            </w:r>
            <w:r w:rsidRPr="0032494C">
              <w:rPr>
                <w:rFonts w:ascii="Calibri" w:hAnsi="Calibri" w:cs="Calibri"/>
                <w:sz w:val="22"/>
                <w:szCs w:val="22"/>
              </w:rPr>
              <w:t>March 2021</w:t>
            </w:r>
          </w:p>
          <w:p w:rsidRPr="0032494C" w:rsidR="00A36FCA" w:rsidP="00A36FCA" w:rsidRDefault="00A36FCA" w14:paraId="1DC8F978" w14:textId="115F6A5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tc>
      </w:tr>
      <w:tr w:rsidRPr="0032494C" w:rsidR="00A36FCA" w:rsidTr="00EF671D" w14:paraId="05F9FD36" w14:textId="77777777">
        <w:trPr>
          <w:trHeight w:val="410"/>
        </w:trPr>
        <w:tc>
          <w:tcPr>
            <w:tcW w:w="4321" w:type="dxa"/>
            <w:shd w:val="clear" w:color="auto" w:fill="auto"/>
            <w:vAlign w:val="center"/>
          </w:tcPr>
          <w:p w:rsidRPr="0032494C" w:rsidR="00A36FCA" w:rsidP="00A36FCA" w:rsidRDefault="00A36FCA" w14:paraId="7A0D81E4" w14:textId="0008C4EB">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Conduct focus groups</w:t>
            </w:r>
          </w:p>
        </w:tc>
        <w:tc>
          <w:tcPr>
            <w:tcW w:w="5689" w:type="dxa"/>
            <w:shd w:val="clear" w:color="auto" w:fill="auto"/>
            <w:vAlign w:val="center"/>
          </w:tcPr>
          <w:p w:rsidRPr="0032494C" w:rsidR="00A36FCA" w:rsidP="00A36FCA" w:rsidRDefault="00A36FCA" w14:paraId="733CFE70" w14:textId="7659512D">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March</w:t>
            </w:r>
            <w:r>
              <w:rPr>
                <w:rFonts w:ascii="Calibri" w:hAnsi="Calibri" w:cs="Calibri"/>
                <w:sz w:val="22"/>
                <w:szCs w:val="22"/>
              </w:rPr>
              <w:t>-</w:t>
            </w:r>
            <w:r w:rsidRPr="0032494C">
              <w:rPr>
                <w:rFonts w:ascii="Calibri" w:hAnsi="Calibri" w:cs="Calibri"/>
                <w:sz w:val="22"/>
                <w:szCs w:val="22"/>
              </w:rPr>
              <w:t>May 2021</w:t>
            </w:r>
          </w:p>
        </w:tc>
      </w:tr>
      <w:tr w:rsidRPr="0032494C" w:rsidR="00A36FCA" w:rsidTr="00EF671D" w14:paraId="2904214F" w14:textId="77777777">
        <w:trPr>
          <w:trHeight w:val="410"/>
        </w:trPr>
        <w:tc>
          <w:tcPr>
            <w:tcW w:w="4321" w:type="dxa"/>
            <w:shd w:val="clear" w:color="auto" w:fill="auto"/>
            <w:vAlign w:val="center"/>
          </w:tcPr>
          <w:p w:rsidRPr="0032494C" w:rsidR="00A36FCA" w:rsidP="00A36FCA" w:rsidRDefault="00A36FCA" w14:paraId="2E19E31D" w14:textId="61A16939">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Administer Year 2 survey</w:t>
            </w:r>
          </w:p>
        </w:tc>
        <w:tc>
          <w:tcPr>
            <w:tcW w:w="5689" w:type="dxa"/>
            <w:shd w:val="clear" w:color="auto" w:fill="auto"/>
            <w:vAlign w:val="center"/>
          </w:tcPr>
          <w:p w:rsidRPr="0032494C" w:rsidR="00A36FCA" w:rsidP="00A36FCA" w:rsidRDefault="00A36FCA" w14:paraId="322AA4E1" w14:textId="687E685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Pr>
                <w:rFonts w:ascii="Calibri" w:hAnsi="Calibri" w:cs="Calibri"/>
                <w:sz w:val="22"/>
                <w:szCs w:val="22"/>
              </w:rPr>
              <w:t>May-</w:t>
            </w:r>
            <w:r w:rsidRPr="0032494C">
              <w:rPr>
                <w:rFonts w:ascii="Calibri" w:hAnsi="Calibri" w:cs="Calibri"/>
                <w:sz w:val="22"/>
                <w:szCs w:val="22"/>
              </w:rPr>
              <w:t>June 2021</w:t>
            </w:r>
          </w:p>
        </w:tc>
      </w:tr>
      <w:tr w:rsidRPr="0032494C" w:rsidR="00A36FCA" w:rsidTr="00EF671D" w14:paraId="2CEE1C0E" w14:textId="77777777">
        <w:trPr>
          <w:trHeight w:val="410"/>
        </w:trPr>
        <w:tc>
          <w:tcPr>
            <w:tcW w:w="4321" w:type="dxa"/>
            <w:shd w:val="clear" w:color="auto" w:fill="auto"/>
            <w:vAlign w:val="center"/>
          </w:tcPr>
          <w:p w:rsidRPr="0032494C" w:rsidR="00A36FCA" w:rsidP="00A36FCA" w:rsidRDefault="00A36FCA" w14:paraId="50E9BD20" w14:textId="5548CC99">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Clean and analyze data</w:t>
            </w:r>
          </w:p>
        </w:tc>
        <w:tc>
          <w:tcPr>
            <w:tcW w:w="5689" w:type="dxa"/>
            <w:shd w:val="clear" w:color="auto" w:fill="auto"/>
            <w:vAlign w:val="center"/>
          </w:tcPr>
          <w:p w:rsidRPr="0032494C" w:rsidR="00A36FCA" w:rsidP="00A36FCA" w:rsidRDefault="00A36FCA" w14:paraId="3209617F" w14:textId="5B8C1A3D">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June</w:t>
            </w:r>
            <w:r>
              <w:rPr>
                <w:rFonts w:ascii="Calibri" w:hAnsi="Calibri" w:cs="Calibri"/>
                <w:sz w:val="22"/>
                <w:szCs w:val="22"/>
              </w:rPr>
              <w:t>-July</w:t>
            </w:r>
            <w:r w:rsidRPr="0032494C">
              <w:rPr>
                <w:rFonts w:ascii="Calibri" w:hAnsi="Calibri" w:cs="Calibri"/>
                <w:sz w:val="22"/>
                <w:szCs w:val="22"/>
              </w:rPr>
              <w:t xml:space="preserve"> 2021</w:t>
            </w:r>
          </w:p>
        </w:tc>
      </w:tr>
      <w:tr w:rsidRPr="0032494C" w:rsidR="00A36FCA" w:rsidTr="00EF671D" w14:paraId="54903913" w14:textId="77777777">
        <w:trPr>
          <w:trHeight w:val="410"/>
        </w:trPr>
        <w:tc>
          <w:tcPr>
            <w:tcW w:w="4321" w:type="dxa"/>
            <w:shd w:val="clear" w:color="auto" w:fill="auto"/>
            <w:vAlign w:val="center"/>
          </w:tcPr>
          <w:p w:rsidRPr="0032494C" w:rsidR="00A36FCA" w:rsidP="00A36FCA" w:rsidRDefault="00A36FCA" w14:paraId="066830EA" w14:textId="302DEF1D">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lastRenderedPageBreak/>
              <w:t>Submit Year 2 Evaluation Report</w:t>
            </w:r>
          </w:p>
        </w:tc>
        <w:tc>
          <w:tcPr>
            <w:tcW w:w="5689" w:type="dxa"/>
            <w:shd w:val="clear" w:color="auto" w:fill="auto"/>
            <w:vAlign w:val="center"/>
          </w:tcPr>
          <w:p w:rsidRPr="0032494C" w:rsidR="00A36FCA" w:rsidP="00A36FCA" w:rsidRDefault="00A36FCA" w14:paraId="66292C2A" w14:textId="28D78FC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September 2021</w:t>
            </w:r>
          </w:p>
        </w:tc>
      </w:tr>
      <w:tr w:rsidRPr="0032494C" w:rsidR="00A36FCA" w:rsidTr="00EF671D" w14:paraId="2AA0BC96" w14:textId="77777777">
        <w:trPr>
          <w:trHeight w:val="410"/>
        </w:trPr>
        <w:tc>
          <w:tcPr>
            <w:tcW w:w="4321" w:type="dxa"/>
            <w:shd w:val="clear" w:color="auto" w:fill="D9D9D9" w:themeFill="background1" w:themeFillShade="D9"/>
            <w:vAlign w:val="center"/>
          </w:tcPr>
          <w:p w:rsidRPr="0032494C" w:rsidR="00A36FCA" w:rsidP="00A36FCA" w:rsidRDefault="00A36FCA" w14:paraId="7AC307E8" w14:textId="35C3A0ED">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 xml:space="preserve">Interview staff from hub, partner, and collaborating orgs  </w:t>
            </w:r>
          </w:p>
        </w:tc>
        <w:tc>
          <w:tcPr>
            <w:tcW w:w="5689" w:type="dxa"/>
            <w:shd w:val="clear" w:color="auto" w:fill="D9D9D9" w:themeFill="background1" w:themeFillShade="D9"/>
            <w:vAlign w:val="center"/>
          </w:tcPr>
          <w:p w:rsidRPr="0032494C" w:rsidR="00A36FCA" w:rsidP="00A36FCA" w:rsidRDefault="00A36FCA" w14:paraId="27134DE9" w14:textId="70B34AD6">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February</w:t>
            </w:r>
            <w:r>
              <w:rPr>
                <w:rFonts w:ascii="Calibri" w:hAnsi="Calibri" w:cs="Calibri"/>
                <w:sz w:val="22"/>
                <w:szCs w:val="22"/>
              </w:rPr>
              <w:t>-</w:t>
            </w:r>
            <w:r w:rsidRPr="0032494C">
              <w:rPr>
                <w:rFonts w:ascii="Calibri" w:hAnsi="Calibri" w:cs="Calibri"/>
                <w:sz w:val="22"/>
                <w:szCs w:val="22"/>
              </w:rPr>
              <w:t>March 2022</w:t>
            </w:r>
          </w:p>
        </w:tc>
      </w:tr>
      <w:tr w:rsidRPr="0032494C" w:rsidR="00A36FCA" w:rsidTr="00EF671D" w14:paraId="2BC28ACF" w14:textId="77777777">
        <w:trPr>
          <w:trHeight w:val="410"/>
        </w:trPr>
        <w:tc>
          <w:tcPr>
            <w:tcW w:w="4321" w:type="dxa"/>
            <w:shd w:val="clear" w:color="auto" w:fill="D9D9D9" w:themeFill="background1" w:themeFillShade="D9"/>
            <w:vAlign w:val="center"/>
          </w:tcPr>
          <w:p w:rsidRPr="0032494C" w:rsidR="00A36FCA" w:rsidP="00A36FCA" w:rsidRDefault="00A36FCA" w14:paraId="3A5BC09D" w14:textId="21098B43">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Conduct focus groups</w:t>
            </w:r>
          </w:p>
        </w:tc>
        <w:tc>
          <w:tcPr>
            <w:tcW w:w="5689" w:type="dxa"/>
            <w:shd w:val="clear" w:color="auto" w:fill="D9D9D9" w:themeFill="background1" w:themeFillShade="D9"/>
            <w:vAlign w:val="center"/>
          </w:tcPr>
          <w:p w:rsidRPr="0032494C" w:rsidR="00A36FCA" w:rsidP="00A36FCA" w:rsidRDefault="00A36FCA" w14:paraId="6CF91C60" w14:textId="764B119B">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March</w:t>
            </w:r>
            <w:r>
              <w:rPr>
                <w:rFonts w:ascii="Calibri" w:hAnsi="Calibri" w:cs="Calibri"/>
                <w:sz w:val="22"/>
                <w:szCs w:val="22"/>
              </w:rPr>
              <w:t>-</w:t>
            </w:r>
            <w:r w:rsidRPr="0032494C">
              <w:rPr>
                <w:rFonts w:ascii="Calibri" w:hAnsi="Calibri" w:cs="Calibri"/>
                <w:sz w:val="22"/>
                <w:szCs w:val="22"/>
              </w:rPr>
              <w:t>May 2022</w:t>
            </w:r>
          </w:p>
        </w:tc>
      </w:tr>
      <w:tr w:rsidRPr="0032494C" w:rsidR="00A36FCA" w:rsidTr="00EF671D" w14:paraId="1DEAFBF5" w14:textId="77777777">
        <w:trPr>
          <w:trHeight w:val="410"/>
        </w:trPr>
        <w:tc>
          <w:tcPr>
            <w:tcW w:w="4321" w:type="dxa"/>
            <w:shd w:val="clear" w:color="auto" w:fill="D9D9D9" w:themeFill="background1" w:themeFillShade="D9"/>
            <w:vAlign w:val="center"/>
          </w:tcPr>
          <w:p w:rsidRPr="0032494C" w:rsidR="00A36FCA" w:rsidP="00A36FCA" w:rsidRDefault="00A36FCA" w14:paraId="19B1DC07" w14:textId="6809F4D6">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Administer Year 3 survey</w:t>
            </w:r>
          </w:p>
        </w:tc>
        <w:tc>
          <w:tcPr>
            <w:tcW w:w="5689" w:type="dxa"/>
            <w:shd w:val="clear" w:color="auto" w:fill="D9D9D9" w:themeFill="background1" w:themeFillShade="D9"/>
            <w:vAlign w:val="center"/>
          </w:tcPr>
          <w:p w:rsidRPr="0032494C" w:rsidR="00A36FCA" w:rsidDel="00A36FCA" w:rsidP="00A36FCA" w:rsidRDefault="00A36FCA" w14:paraId="5752C8B7" w14:textId="6102A4B6">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June 2022</w:t>
            </w:r>
          </w:p>
        </w:tc>
      </w:tr>
      <w:tr w:rsidRPr="0032494C" w:rsidR="00A36FCA" w:rsidTr="00EF671D" w14:paraId="1B7AAAF3" w14:textId="77777777">
        <w:trPr>
          <w:trHeight w:val="410"/>
        </w:trPr>
        <w:tc>
          <w:tcPr>
            <w:tcW w:w="4321" w:type="dxa"/>
            <w:shd w:val="clear" w:color="auto" w:fill="D9D9D9" w:themeFill="background1" w:themeFillShade="D9"/>
            <w:vAlign w:val="center"/>
          </w:tcPr>
          <w:p w:rsidRPr="0032494C" w:rsidR="00A36FCA" w:rsidP="00A36FCA" w:rsidRDefault="00A36FCA" w14:paraId="1D65444C" w14:textId="088AB6B3">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Clean and analyze data</w:t>
            </w:r>
          </w:p>
        </w:tc>
        <w:tc>
          <w:tcPr>
            <w:tcW w:w="5689" w:type="dxa"/>
            <w:shd w:val="clear" w:color="auto" w:fill="D9D9D9" w:themeFill="background1" w:themeFillShade="D9"/>
            <w:vAlign w:val="center"/>
          </w:tcPr>
          <w:p w:rsidRPr="0032494C" w:rsidR="00A36FCA" w:rsidP="00A36FCA" w:rsidRDefault="00A36FCA" w14:paraId="50F9D559" w14:textId="38EF6E68">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Pr>
                <w:rFonts w:ascii="Calibri" w:hAnsi="Calibri" w:cs="Calibri"/>
                <w:sz w:val="22"/>
                <w:szCs w:val="22"/>
              </w:rPr>
              <w:t xml:space="preserve">June-July </w:t>
            </w:r>
            <w:r w:rsidRPr="0032494C">
              <w:rPr>
                <w:rFonts w:ascii="Calibri" w:hAnsi="Calibri" w:cs="Calibri"/>
                <w:sz w:val="22"/>
                <w:szCs w:val="22"/>
              </w:rPr>
              <w:t>2022</w:t>
            </w:r>
          </w:p>
        </w:tc>
      </w:tr>
      <w:tr w:rsidRPr="0032494C" w:rsidR="00A36FCA" w:rsidTr="00EF671D" w14:paraId="24A9606E" w14:textId="77777777">
        <w:trPr>
          <w:trHeight w:val="410"/>
        </w:trPr>
        <w:tc>
          <w:tcPr>
            <w:tcW w:w="4321" w:type="dxa"/>
            <w:shd w:val="clear" w:color="auto" w:fill="D9D9D9" w:themeFill="background1" w:themeFillShade="D9"/>
            <w:vAlign w:val="center"/>
          </w:tcPr>
          <w:p w:rsidRPr="0032494C" w:rsidR="00A36FCA" w:rsidP="00A36FCA" w:rsidRDefault="00A36FCA" w14:paraId="3B27888F" w14:textId="3C0E8CE6">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Submit Year 3 Final Evaluation Report</w:t>
            </w:r>
          </w:p>
        </w:tc>
        <w:tc>
          <w:tcPr>
            <w:tcW w:w="5689" w:type="dxa"/>
            <w:shd w:val="clear" w:color="auto" w:fill="D9D9D9" w:themeFill="background1" w:themeFillShade="D9"/>
            <w:vAlign w:val="center"/>
          </w:tcPr>
          <w:p w:rsidRPr="0032494C" w:rsidR="00A36FCA" w:rsidP="00A36FCA" w:rsidRDefault="00A36FCA" w14:paraId="76AEA2D3" w14:textId="546B5270">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September 2022</w:t>
            </w:r>
          </w:p>
        </w:tc>
      </w:tr>
      <w:tr w:rsidRPr="0032494C" w:rsidR="00A36FCA" w:rsidTr="00EF671D" w14:paraId="646A69DE" w14:textId="77777777">
        <w:trPr>
          <w:trHeight w:val="410"/>
        </w:trPr>
        <w:tc>
          <w:tcPr>
            <w:tcW w:w="10010" w:type="dxa"/>
            <w:gridSpan w:val="2"/>
            <w:shd w:val="clear" w:color="auto" w:fill="D9D9D9" w:themeFill="background1" w:themeFillShade="D9"/>
            <w:vAlign w:val="center"/>
          </w:tcPr>
          <w:p w:rsidRPr="0032494C" w:rsidR="00A36FCA" w:rsidP="00A36FCA" w:rsidRDefault="00A36FCA" w14:paraId="2126B13E" w14:textId="2119DD0B">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w:t>
            </w:r>
            <w:r>
              <w:rPr>
                <w:rFonts w:ascii="Calibri" w:hAnsi="Calibri" w:cs="Calibri"/>
                <w:sz w:val="22"/>
                <w:szCs w:val="22"/>
              </w:rPr>
              <w:t xml:space="preserve">The sample size for these interviews is below 10 (n=3) </w:t>
            </w:r>
          </w:p>
        </w:tc>
      </w:tr>
    </w:tbl>
    <w:p w:rsidRPr="0032494C" w:rsidR="00E93757" w:rsidP="006C7470" w:rsidRDefault="00E93757" w14:paraId="2AD34AE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rsidRPr="0032494C" w:rsidR="006C7470" w:rsidP="006C7470" w:rsidRDefault="006C7470" w14:paraId="2F44B3E4" w14:textId="77777777">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u w:val="single"/>
        </w:rPr>
      </w:pPr>
      <w:r w:rsidRPr="0032494C">
        <w:rPr>
          <w:rFonts w:ascii="Calibri" w:hAnsi="Calibri" w:cs="Calibri"/>
          <w:b/>
          <w:sz w:val="22"/>
          <w:szCs w:val="22"/>
          <w:u w:val="single"/>
        </w:rPr>
        <w:t>A.17. Request to Not Display Expiration Date</w:t>
      </w:r>
    </w:p>
    <w:p w:rsidRPr="0032494C" w:rsidR="006C7470" w:rsidP="006C7470" w:rsidRDefault="006C7470" w14:paraId="79B60E96" w14:textId="77777777">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32494C">
        <w:rPr>
          <w:rFonts w:ascii="Calibri" w:hAnsi="Calibri" w:cs="Calibri"/>
          <w:sz w:val="22"/>
          <w:szCs w:val="22"/>
        </w:rPr>
        <w:t>We are not requesting an exemption from the requirements to display the expiration date for OMB approval. All data collection materials and documentation will include the OMB approval number and expiration date.</w:t>
      </w:r>
    </w:p>
    <w:p w:rsidRPr="0032494C" w:rsidR="006C7470" w:rsidP="006C7470" w:rsidRDefault="006C7470" w14:paraId="585A8BC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rsidRPr="0032494C" w:rsidR="006C7470" w:rsidP="00974899" w:rsidRDefault="006C7470" w14:paraId="24B016F3" w14:textId="0B17457B">
      <w:pPr>
        <w:keepNext/>
        <w:keepLines/>
        <w:rPr>
          <w:rFonts w:ascii="Calibri" w:hAnsi="Calibri" w:cs="Calibri"/>
          <w:b/>
          <w:sz w:val="22"/>
          <w:szCs w:val="22"/>
          <w:u w:val="single"/>
        </w:rPr>
      </w:pPr>
      <w:r w:rsidRPr="0032494C">
        <w:rPr>
          <w:rFonts w:ascii="Calibri" w:hAnsi="Calibri" w:cs="Calibri"/>
          <w:b/>
          <w:sz w:val="22"/>
          <w:szCs w:val="22"/>
          <w:u w:val="single"/>
        </w:rPr>
        <w:t>A.18. Exceptions to the Certification</w:t>
      </w:r>
    </w:p>
    <w:p w:rsidRPr="0032494C" w:rsidR="006C7470" w:rsidP="00974899" w:rsidRDefault="006C7470" w14:paraId="004CDB97" w14:textId="16652BDB">
      <w:pPr>
        <w:keepNext/>
        <w:keepLines/>
        <w:rPr>
          <w:rFonts w:ascii="Calibri" w:hAnsi="Calibri" w:cs="Calibri"/>
          <w:sz w:val="22"/>
          <w:szCs w:val="22"/>
        </w:rPr>
      </w:pPr>
      <w:r w:rsidRPr="0032494C">
        <w:rPr>
          <w:rFonts w:ascii="Calibri" w:hAnsi="Calibri" w:cs="Calibri"/>
          <w:sz w:val="22"/>
          <w:szCs w:val="22"/>
        </w:rPr>
        <w:t xml:space="preserve">No exceptions to the certification statement apply to </w:t>
      </w:r>
      <w:r w:rsidRPr="0032494C">
        <w:rPr>
          <w:rFonts w:ascii="Calibri" w:hAnsi="Calibri" w:cs="Calibri"/>
          <w:color w:val="000000" w:themeColor="text1"/>
          <w:sz w:val="22"/>
          <w:szCs w:val="22"/>
          <w:lang w:bidi="en-US"/>
        </w:rPr>
        <w:t xml:space="preserve">the </w:t>
      </w:r>
      <w:r w:rsidRPr="000C313B">
        <w:rPr>
          <w:rFonts w:ascii="Calibri" w:hAnsi="Calibri" w:cs="Calibri"/>
          <w:iCs/>
          <w:color w:val="000000" w:themeColor="text1"/>
          <w:sz w:val="22"/>
          <w:szCs w:val="22"/>
          <w:lang w:bidi="en-US"/>
        </w:rPr>
        <w:t>Building a National Network of Museums and Libraries for School Readiness</w:t>
      </w:r>
      <w:r w:rsidRPr="000C313B" w:rsidR="0062433D">
        <w:rPr>
          <w:rFonts w:ascii="Calibri" w:hAnsi="Calibri" w:cs="Calibri"/>
          <w:iCs/>
          <w:color w:val="000000" w:themeColor="text1"/>
          <w:sz w:val="22"/>
          <w:szCs w:val="22"/>
          <w:lang w:bidi="en-US"/>
        </w:rPr>
        <w:t xml:space="preserve"> Project</w:t>
      </w:r>
      <w:r w:rsidRPr="0032494C">
        <w:rPr>
          <w:rFonts w:ascii="Calibri" w:hAnsi="Calibri" w:cs="Calibri"/>
          <w:i/>
          <w:color w:val="000000" w:themeColor="text1"/>
          <w:sz w:val="22"/>
          <w:szCs w:val="22"/>
          <w:lang w:bidi="en-US"/>
        </w:rPr>
        <w:t>.</w:t>
      </w:r>
    </w:p>
    <w:p w:rsidRPr="0032494C" w:rsidR="006C7470" w:rsidP="00905941" w:rsidRDefault="006C7470" w14:paraId="1F90D7DF" w14:textId="77777777">
      <w:pPr>
        <w:pStyle w:val="Heading1"/>
      </w:pPr>
      <w:r w:rsidRPr="0032494C">
        <w:t>Section B.  Description of Statistical Methodology</w:t>
      </w:r>
    </w:p>
    <w:p w:rsidRPr="0032494C" w:rsidR="006C7470" w:rsidP="006C7470" w:rsidRDefault="000C2281" w14:paraId="12B63958" w14:textId="51F37146">
      <w:pPr>
        <w:tabs>
          <w:tab w:val="left" w:pos="504"/>
        </w:tabs>
        <w:rPr>
          <w:rFonts w:ascii="Calibri" w:hAnsi="Calibri" w:cs="Calibri"/>
          <w:b/>
          <w:sz w:val="20"/>
        </w:rPr>
      </w:pPr>
      <w:r w:rsidRPr="0032494C">
        <w:rPr>
          <w:rFonts w:ascii="Calibri" w:hAnsi="Calibri" w:cs="Calibri"/>
          <w:b/>
          <w:sz w:val="20"/>
        </w:rPr>
        <w:t xml:space="preserve">Overview </w:t>
      </w:r>
    </w:p>
    <w:p w:rsidRPr="0032494C" w:rsidR="00F07493" w:rsidP="00F07493" w:rsidRDefault="00F07493" w14:paraId="3FC8206B" w14:textId="7AA2EF0D">
      <w:pPr>
        <w:rPr>
          <w:rFonts w:ascii="Calibri" w:hAnsi="Calibri" w:cs="Calibri"/>
          <w:color w:val="000000" w:themeColor="text1"/>
          <w:sz w:val="22"/>
          <w:szCs w:val="22"/>
          <w:lang w:bidi="en-US"/>
        </w:rPr>
      </w:pPr>
      <w:r w:rsidRPr="0032494C">
        <w:rPr>
          <w:rFonts w:ascii="Calibri" w:hAnsi="Calibri" w:cs="Calibri"/>
          <w:sz w:val="22"/>
          <w:szCs w:val="22"/>
        </w:rPr>
        <w:t xml:space="preserve">The Education Development Center will conduct an evaluation of </w:t>
      </w:r>
      <w:r w:rsidRPr="000C313B">
        <w:rPr>
          <w:rFonts w:ascii="Calibri" w:hAnsi="Calibri" w:eastAsia="Calibri" w:cs="Calibri"/>
          <w:iCs/>
          <w:color w:val="000000" w:themeColor="text1"/>
          <w:sz w:val="22"/>
          <w:szCs w:val="22"/>
        </w:rPr>
        <w:t xml:space="preserve">the </w:t>
      </w:r>
      <w:r w:rsidRPr="000C313B">
        <w:rPr>
          <w:rFonts w:ascii="Calibri" w:hAnsi="Calibri" w:cs="Calibri"/>
          <w:iCs/>
          <w:color w:val="000000" w:themeColor="text1"/>
          <w:sz w:val="22"/>
          <w:szCs w:val="22"/>
          <w:lang w:bidi="en-US"/>
        </w:rPr>
        <w:t xml:space="preserve">Building a National Network of Museums and Libraries for School Readiness </w:t>
      </w:r>
      <w:r w:rsidRPr="000C313B" w:rsidR="009155F7">
        <w:rPr>
          <w:rFonts w:ascii="Calibri" w:hAnsi="Calibri" w:cs="Calibri"/>
          <w:iCs/>
          <w:color w:val="000000" w:themeColor="text1"/>
          <w:sz w:val="22"/>
          <w:szCs w:val="22"/>
          <w:lang w:bidi="en-US"/>
        </w:rPr>
        <w:t>Project</w:t>
      </w:r>
      <w:r w:rsidRPr="0032494C">
        <w:rPr>
          <w:rFonts w:ascii="Calibri" w:hAnsi="Calibri" w:cs="Calibri"/>
          <w:i/>
          <w:color w:val="000000" w:themeColor="text1"/>
          <w:sz w:val="22"/>
          <w:szCs w:val="22"/>
          <w:lang w:bidi="en-US"/>
        </w:rPr>
        <w:t xml:space="preserve"> </w:t>
      </w:r>
      <w:r w:rsidRPr="0032494C">
        <w:rPr>
          <w:rFonts w:ascii="Calibri" w:hAnsi="Calibri" w:cs="Calibri"/>
          <w:color w:val="000000" w:themeColor="text1"/>
          <w:sz w:val="22"/>
          <w:szCs w:val="22"/>
          <w:lang w:bidi="en-US"/>
        </w:rPr>
        <w:t xml:space="preserve">(SRP) in order to document project progress and to identify factors and processes that are key to establishing and sustaining these networks in six states, as well as to inform the scale-up of networks to all 50 states. The following goals will guide the evaluation: </w:t>
      </w:r>
    </w:p>
    <w:p w:rsidRPr="0032494C" w:rsidR="00F07493" w:rsidP="00F07493" w:rsidRDefault="00F07493" w14:paraId="7B90875A" w14:textId="77777777">
      <w:pPr>
        <w:pStyle w:val="ListParagraph"/>
        <w:widowControl w:val="0"/>
        <w:numPr>
          <w:ilvl w:val="0"/>
          <w:numId w:val="10"/>
        </w:num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alibri"/>
          <w:bCs/>
          <w:w w:val="95"/>
        </w:rPr>
      </w:pPr>
      <w:r w:rsidRPr="0032494C">
        <w:rPr>
          <w:rFonts w:cs="Calibri"/>
          <w:b/>
          <w:color w:val="000000" w:themeColor="text1"/>
          <w:lang w:bidi="en-US"/>
        </w:rPr>
        <w:t xml:space="preserve">Goal 1. </w:t>
      </w:r>
      <w:r w:rsidRPr="0032494C">
        <w:rPr>
          <w:rFonts w:cs="Calibri"/>
          <w:color w:val="000000" w:themeColor="text1"/>
          <w:lang w:bidi="en-US"/>
        </w:rPr>
        <w:t>Identify institutional capacities and cross-organizational relationships that support model outreach, implementation, and sustainability in order to understand elements and processes that are central to forming, sustaining, and scaling-up the network model in all states.</w:t>
      </w:r>
    </w:p>
    <w:p w:rsidRPr="0032494C" w:rsidR="00F07493" w:rsidP="00F07493" w:rsidRDefault="00F07493" w14:paraId="72A589C5" w14:textId="1501966D">
      <w:pPr>
        <w:pStyle w:val="ListParagraph"/>
        <w:widowControl w:val="0"/>
        <w:numPr>
          <w:ilvl w:val="0"/>
          <w:numId w:val="10"/>
        </w:num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alibri"/>
          <w:bCs/>
          <w:w w:val="95"/>
        </w:rPr>
      </w:pPr>
      <w:r w:rsidRPr="0032494C">
        <w:rPr>
          <w:rFonts w:cs="Calibri"/>
          <w:b/>
          <w:color w:val="000000" w:themeColor="text1"/>
          <w:lang w:bidi="en-US"/>
        </w:rPr>
        <w:t>Goal 2</w:t>
      </w:r>
      <w:r w:rsidR="00405C27">
        <w:rPr>
          <w:rFonts w:cs="Calibri"/>
          <w:b/>
          <w:color w:val="000000" w:themeColor="text1"/>
          <w:lang w:bidi="en-US"/>
        </w:rPr>
        <w:t>.</w:t>
      </w:r>
      <w:r w:rsidRPr="0032494C">
        <w:rPr>
          <w:rFonts w:cs="Calibri"/>
          <w:b/>
          <w:color w:val="000000" w:themeColor="text1"/>
          <w:lang w:bidi="en-US"/>
        </w:rPr>
        <w:t xml:space="preserve"> </w:t>
      </w:r>
      <w:r w:rsidRPr="0032494C">
        <w:rPr>
          <w:rFonts w:cs="Calibri"/>
          <w:color w:val="000000" w:themeColor="text1"/>
          <w:lang w:bidi="en-US"/>
        </w:rPr>
        <w:t>Identify the ways in which the network model prepares and supports hub leaders, key partners, collaborating organizations, and families in promoting academic readiness among young children.</w:t>
      </w:r>
    </w:p>
    <w:p w:rsidRPr="0032494C" w:rsidR="00F07493" w:rsidP="00F07493" w:rsidRDefault="00F07493" w14:paraId="53A330FE" w14:textId="77777777">
      <w:pPr>
        <w:pStyle w:val="ListParagraph"/>
        <w:widowControl w:val="0"/>
        <w:numPr>
          <w:ilvl w:val="0"/>
          <w:numId w:val="10"/>
        </w:num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alibri"/>
          <w:bCs/>
          <w:w w:val="95"/>
        </w:rPr>
      </w:pPr>
      <w:r w:rsidRPr="0032494C">
        <w:rPr>
          <w:rFonts w:cs="Calibri"/>
          <w:b/>
          <w:color w:val="000000" w:themeColor="text1"/>
          <w:lang w:bidi="en-US"/>
        </w:rPr>
        <w:t xml:space="preserve">Goal 3. </w:t>
      </w:r>
      <w:r w:rsidRPr="0032494C">
        <w:rPr>
          <w:rFonts w:cs="Calibri"/>
          <w:color w:val="000000" w:themeColor="text1"/>
          <w:lang w:bidi="en-US"/>
        </w:rPr>
        <w:t>Document project activities and implementation of the network model to ensure that the project is on schedule and that activities are being implemented as intended by IMLS and BCM.</w:t>
      </w:r>
    </w:p>
    <w:p w:rsidRPr="0032494C" w:rsidR="00F07493" w:rsidP="00F07493" w:rsidRDefault="00F07493" w14:paraId="359C78BA" w14:textId="77777777">
      <w:pPr>
        <w:rPr>
          <w:rFonts w:ascii="Calibri" w:hAnsi="Calibri" w:cs="Calibri"/>
          <w:sz w:val="22"/>
          <w:szCs w:val="22"/>
        </w:rPr>
      </w:pPr>
      <w:r w:rsidRPr="0032494C">
        <w:rPr>
          <w:rFonts w:ascii="Calibri" w:hAnsi="Calibri" w:cs="Calibri"/>
          <w:color w:val="000000" w:themeColor="text1"/>
          <w:sz w:val="22"/>
          <w:szCs w:val="22"/>
          <w:lang w:bidi="en-US"/>
        </w:rPr>
        <w:t>The following evaluation questions will guide this work:</w:t>
      </w:r>
    </w:p>
    <w:p w:rsidRPr="0032494C" w:rsidR="00F07493" w:rsidP="00F07493" w:rsidRDefault="00F07493" w14:paraId="4ED05A66" w14:textId="77777777">
      <w:pPr>
        <w:pStyle w:val="ListParagraph"/>
        <w:widowControl w:val="0"/>
        <w:numPr>
          <w:ilvl w:val="0"/>
          <w:numId w:val="1"/>
        </w:numPr>
        <w:autoSpaceDE w:val="0"/>
        <w:autoSpaceDN w:val="0"/>
        <w:spacing w:before="1" w:after="0" w:line="240" w:lineRule="auto"/>
        <w:contextualSpacing w:val="0"/>
        <w:rPr>
          <w:rFonts w:cs="Calibri" w:eastAsiaTheme="minorHAnsi"/>
          <w:color w:val="000000" w:themeColor="text1"/>
          <w:lang w:bidi="en-US"/>
        </w:rPr>
      </w:pPr>
      <w:r w:rsidRPr="0032494C">
        <w:rPr>
          <w:rFonts w:cs="Calibri" w:eastAsiaTheme="minorHAnsi"/>
          <w:color w:val="000000" w:themeColor="text1"/>
          <w:lang w:bidi="en-US"/>
        </w:rPr>
        <w:t>EQ1: What resources, institutional structures, and cross-organizational relationships support the successful implementation of the existing network model? (Goal 1)</w:t>
      </w:r>
    </w:p>
    <w:p w:rsidRPr="0032494C" w:rsidR="00F07493" w:rsidP="00F07493" w:rsidRDefault="00F07493" w14:paraId="2A28EB4D" w14:textId="77777777">
      <w:pPr>
        <w:pStyle w:val="ListParagraph"/>
        <w:widowControl w:val="0"/>
        <w:numPr>
          <w:ilvl w:val="0"/>
          <w:numId w:val="1"/>
        </w:numPr>
        <w:autoSpaceDE w:val="0"/>
        <w:autoSpaceDN w:val="0"/>
        <w:spacing w:before="1" w:after="0" w:line="240" w:lineRule="auto"/>
        <w:contextualSpacing w:val="0"/>
        <w:rPr>
          <w:rFonts w:cs="Calibri" w:eastAsiaTheme="minorHAnsi"/>
          <w:color w:val="000000" w:themeColor="text1"/>
          <w:lang w:bidi="en-US"/>
        </w:rPr>
      </w:pPr>
      <w:r w:rsidRPr="0032494C">
        <w:rPr>
          <w:rFonts w:cs="Calibri" w:eastAsiaTheme="minorHAnsi"/>
          <w:color w:val="000000" w:themeColor="text1"/>
          <w:lang w:bidi="en-US"/>
        </w:rPr>
        <w:t>EQ2: How do hub leaders, key partners, and collaborating organizations implement the network model? In what ways do they adapt the model to fit their individual contexts and needs, and what successes and challenges do they experience? (Goal 1)</w:t>
      </w:r>
    </w:p>
    <w:p w:rsidRPr="0032494C" w:rsidR="00F07493" w:rsidP="00F07493" w:rsidRDefault="00F07493" w14:paraId="7ED7A031" w14:textId="77777777">
      <w:pPr>
        <w:pStyle w:val="ListParagraph"/>
        <w:widowControl w:val="0"/>
        <w:numPr>
          <w:ilvl w:val="0"/>
          <w:numId w:val="1"/>
        </w:numPr>
        <w:autoSpaceDE w:val="0"/>
        <w:autoSpaceDN w:val="0"/>
        <w:spacing w:before="1" w:after="0" w:line="240" w:lineRule="auto"/>
        <w:contextualSpacing w:val="0"/>
        <w:rPr>
          <w:rFonts w:cs="Calibri" w:eastAsiaTheme="minorHAnsi"/>
          <w:color w:val="000000" w:themeColor="text1"/>
          <w:lang w:bidi="en-US"/>
        </w:rPr>
      </w:pPr>
      <w:r w:rsidRPr="0032494C">
        <w:rPr>
          <w:rFonts w:cs="Calibri" w:eastAsiaTheme="minorHAnsi"/>
          <w:color w:val="000000" w:themeColor="text1"/>
          <w:lang w:bidi="en-US"/>
        </w:rPr>
        <w:t xml:space="preserve">EQ3: How do hub leaders, key partners, and collaborating organizations reach families with informal learning opportunities, especially those not currently using museums and libraries? </w:t>
      </w:r>
      <w:r w:rsidRPr="0032494C">
        <w:rPr>
          <w:rFonts w:cs="Calibri" w:eastAsiaTheme="minorHAnsi"/>
          <w:color w:val="000000" w:themeColor="text1"/>
          <w:lang w:bidi="en-US"/>
        </w:rPr>
        <w:lastRenderedPageBreak/>
        <w:t>What are the barriers for accessing museums and libraries? (Goal 1)</w:t>
      </w:r>
    </w:p>
    <w:p w:rsidRPr="0032494C" w:rsidR="00F07493" w:rsidP="00F07493" w:rsidRDefault="00F07493" w14:paraId="312972FC" w14:textId="77777777">
      <w:pPr>
        <w:pStyle w:val="ListParagraph"/>
        <w:widowControl w:val="0"/>
        <w:numPr>
          <w:ilvl w:val="0"/>
          <w:numId w:val="1"/>
        </w:numPr>
        <w:autoSpaceDE w:val="0"/>
        <w:autoSpaceDN w:val="0"/>
        <w:spacing w:before="1" w:after="0" w:line="240" w:lineRule="auto"/>
        <w:contextualSpacing w:val="0"/>
        <w:rPr>
          <w:rFonts w:cs="Calibri" w:eastAsiaTheme="minorHAnsi"/>
          <w:color w:val="000000" w:themeColor="text1"/>
          <w:lang w:bidi="en-US"/>
        </w:rPr>
      </w:pPr>
      <w:r w:rsidRPr="0032494C">
        <w:rPr>
          <w:rFonts w:cs="Calibri" w:eastAsiaTheme="minorHAnsi"/>
          <w:color w:val="000000" w:themeColor="text1"/>
          <w:lang w:bidi="en-US"/>
        </w:rPr>
        <w:t xml:space="preserve">EQ4: What strategies and activities do hub leaders, key partners, and collaborating organizations view as optimal to sustaining existing networks and exponentially growing and adapting the network model to all 50 states? </w:t>
      </w:r>
      <w:r w:rsidRPr="0032494C">
        <w:rPr>
          <w:rFonts w:cs="Calibri"/>
        </w:rPr>
        <w:t>What are some key challenges including internal and external factors that will make it difficult for the current model to sustain and grow? (Goal 1)</w:t>
      </w:r>
    </w:p>
    <w:p w:rsidRPr="000F5ADB" w:rsidR="000F5ADB" w:rsidP="000F5ADB" w:rsidRDefault="000F5ADB" w14:paraId="7E8284F6" w14:textId="152D6530">
      <w:pPr>
        <w:pStyle w:val="ListParagraph"/>
        <w:widowControl w:val="0"/>
        <w:numPr>
          <w:ilvl w:val="0"/>
          <w:numId w:val="1"/>
        </w:numPr>
        <w:autoSpaceDE w:val="0"/>
        <w:autoSpaceDN w:val="0"/>
        <w:spacing w:before="1" w:after="0" w:line="240" w:lineRule="auto"/>
        <w:contextualSpacing w:val="0"/>
        <w:rPr>
          <w:rFonts w:cs="Calibri" w:eastAsiaTheme="minorHAnsi"/>
          <w:color w:val="000000" w:themeColor="text1"/>
          <w:lang w:bidi="en-US"/>
        </w:rPr>
      </w:pPr>
      <w:r w:rsidRPr="000F5ADB">
        <w:rPr>
          <w:rFonts w:cs="Calibri" w:eastAsiaTheme="minorHAnsi"/>
          <w:color w:val="000000" w:themeColor="text1"/>
          <w:lang w:bidi="en-US"/>
        </w:rPr>
        <w:t xml:space="preserve">EQ5: What do hub leaders, key partners, and collaborating organizations view as key factors for school readiness, and what aspects of the network model do they see as supporting their institution’s capacities for supporting school readiness? </w:t>
      </w:r>
      <w:r w:rsidRPr="000F5ADB">
        <w:rPr>
          <w:rFonts w:cs="Calibri"/>
        </w:rPr>
        <w:t>(Goal 2)</w:t>
      </w:r>
    </w:p>
    <w:p w:rsidRPr="0032494C" w:rsidR="00F07493" w:rsidP="00F07493" w:rsidRDefault="00F07493" w14:paraId="3E4DCBFC" w14:textId="669172B5">
      <w:pPr>
        <w:pStyle w:val="ListParagraph"/>
        <w:widowControl w:val="0"/>
        <w:numPr>
          <w:ilvl w:val="0"/>
          <w:numId w:val="1"/>
        </w:numPr>
        <w:autoSpaceDE w:val="0"/>
        <w:autoSpaceDN w:val="0"/>
        <w:spacing w:before="1" w:after="0" w:line="240" w:lineRule="auto"/>
        <w:contextualSpacing w:val="0"/>
        <w:rPr>
          <w:rFonts w:cs="Calibri" w:eastAsiaTheme="minorHAnsi"/>
          <w:color w:val="000000" w:themeColor="text1"/>
          <w:lang w:bidi="en-US"/>
        </w:rPr>
      </w:pPr>
      <w:r w:rsidRPr="0032494C">
        <w:rPr>
          <w:rFonts w:cs="Calibri" w:eastAsiaTheme="minorHAnsi"/>
          <w:color w:val="000000" w:themeColor="text1"/>
          <w:lang w:bidi="en-US"/>
        </w:rPr>
        <w:t xml:space="preserve">EQ6: In what ways, if any, do families </w:t>
      </w:r>
      <w:r w:rsidRPr="0032494C" w:rsidR="000C313B">
        <w:rPr>
          <w:rFonts w:cs="Calibri" w:eastAsiaTheme="minorHAnsi"/>
          <w:color w:val="000000" w:themeColor="text1"/>
          <w:lang w:bidi="en-US"/>
        </w:rPr>
        <w:t>view organizations</w:t>
      </w:r>
      <w:r w:rsidRPr="0032494C">
        <w:rPr>
          <w:rFonts w:cs="Calibri" w:eastAsiaTheme="minorHAnsi"/>
          <w:color w:val="000000" w:themeColor="text1"/>
          <w:lang w:bidi="en-US"/>
        </w:rPr>
        <w:t xml:space="preserve"> within state networks as supporting their young children's school readiness?</w:t>
      </w:r>
      <w:r w:rsidRPr="0032494C">
        <w:rPr>
          <w:rFonts w:cs="Calibri"/>
        </w:rPr>
        <w:t xml:space="preserve">  (Goal 2)</w:t>
      </w:r>
    </w:p>
    <w:p w:rsidRPr="0032494C" w:rsidR="00F07493" w:rsidP="00F07493" w:rsidRDefault="00F07493" w14:paraId="49975E09" w14:textId="408D3FF4">
      <w:pPr>
        <w:pStyle w:val="ListParagraph"/>
        <w:widowControl w:val="0"/>
        <w:numPr>
          <w:ilvl w:val="0"/>
          <w:numId w:val="1"/>
        </w:numPr>
        <w:autoSpaceDE w:val="0"/>
        <w:autoSpaceDN w:val="0"/>
        <w:spacing w:before="1" w:after="0" w:line="240" w:lineRule="auto"/>
        <w:contextualSpacing w:val="0"/>
        <w:rPr>
          <w:rFonts w:cs="Calibri" w:eastAsiaTheme="minorHAnsi"/>
          <w:color w:val="000000" w:themeColor="text1"/>
          <w:lang w:bidi="en-US"/>
        </w:rPr>
      </w:pPr>
      <w:r w:rsidRPr="0032494C">
        <w:rPr>
          <w:rFonts w:cs="Calibri" w:eastAsiaTheme="minorHAnsi"/>
          <w:color w:val="000000" w:themeColor="text1"/>
          <w:lang w:bidi="en-US"/>
        </w:rPr>
        <w:t>EQ7</w:t>
      </w:r>
      <w:r w:rsidR="00F15635">
        <w:rPr>
          <w:rFonts w:cs="Calibri" w:eastAsiaTheme="minorHAnsi"/>
          <w:color w:val="000000" w:themeColor="text1"/>
          <w:lang w:bidi="en-US"/>
        </w:rPr>
        <w:t>:</w:t>
      </w:r>
      <w:r w:rsidRPr="0032494C">
        <w:rPr>
          <w:rFonts w:cs="Calibri" w:eastAsiaTheme="minorHAnsi"/>
          <w:color w:val="000000" w:themeColor="text1"/>
          <w:lang w:bidi="en-US"/>
        </w:rPr>
        <w:t xml:space="preserve"> To what extent is the project on schedule and are activities being implemented as intended? (Goal 3)</w:t>
      </w:r>
    </w:p>
    <w:p w:rsidRPr="0032494C" w:rsidR="00BB74D7" w:rsidP="00BB74D7" w:rsidRDefault="00BB74D7" w14:paraId="118FDD13"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rsidR="000C2281" w:rsidP="006C7470" w:rsidRDefault="00BB74D7" w14:paraId="2B8CC312" w14:textId="2F1E5B8C">
      <w:pPr>
        <w:tabs>
          <w:tab w:val="left" w:pos="504"/>
        </w:tabs>
        <w:rPr>
          <w:rFonts w:ascii="Calibri" w:hAnsi="Calibri" w:eastAsia="Avenir" w:cs="Calibri"/>
          <w:sz w:val="22"/>
          <w:szCs w:val="22"/>
        </w:rPr>
      </w:pPr>
      <w:r w:rsidRPr="0032494C">
        <w:rPr>
          <w:rFonts w:ascii="Calibri" w:hAnsi="Calibri" w:eastAsia="Avenir" w:cs="Calibri"/>
          <w:sz w:val="22"/>
          <w:szCs w:val="22"/>
        </w:rPr>
        <w:t>To address these questions</w:t>
      </w:r>
      <w:r w:rsidR="00C4669B">
        <w:rPr>
          <w:rFonts w:ascii="Calibri" w:hAnsi="Calibri" w:eastAsia="Avenir" w:cs="Calibri"/>
          <w:sz w:val="22"/>
          <w:szCs w:val="22"/>
        </w:rPr>
        <w:t>,</w:t>
      </w:r>
      <w:r w:rsidRPr="0032494C">
        <w:rPr>
          <w:rFonts w:ascii="Calibri" w:hAnsi="Calibri" w:eastAsia="Avenir" w:cs="Calibri"/>
          <w:sz w:val="22"/>
          <w:szCs w:val="22"/>
        </w:rPr>
        <w:t xml:space="preserve"> EDC will use a mixed-methods design, pairing quantitative survey data with qualitative interview data. </w:t>
      </w:r>
    </w:p>
    <w:p w:rsidRPr="0032494C" w:rsidR="00C4669B" w:rsidP="006C7470" w:rsidRDefault="00C4669B" w14:paraId="5AA961EB" w14:textId="77777777">
      <w:pPr>
        <w:tabs>
          <w:tab w:val="left" w:pos="504"/>
        </w:tabs>
        <w:rPr>
          <w:rFonts w:ascii="Calibri" w:hAnsi="Calibri" w:cs="Calibri"/>
          <w:b/>
          <w:sz w:val="20"/>
        </w:rPr>
      </w:pPr>
    </w:p>
    <w:p w:rsidRPr="0032494C" w:rsidR="006C7470" w:rsidP="00D672E3" w:rsidRDefault="006C7470" w14:paraId="73C290B9" w14:textId="77777777">
      <w:pPr>
        <w:keepNext/>
        <w:tabs>
          <w:tab w:val="left" w:pos="504"/>
        </w:tabs>
        <w:rPr>
          <w:rFonts w:ascii="Calibri" w:hAnsi="Calibri" w:cs="Calibri"/>
          <w:sz w:val="22"/>
          <w:szCs w:val="22"/>
          <w:u w:val="single"/>
        </w:rPr>
      </w:pPr>
      <w:r w:rsidRPr="0032494C">
        <w:rPr>
          <w:rFonts w:ascii="Calibri" w:hAnsi="Calibri" w:cs="Calibri"/>
          <w:b/>
          <w:sz w:val="22"/>
          <w:szCs w:val="22"/>
          <w:u w:val="single"/>
        </w:rPr>
        <w:t>B.1  Respondent Universe</w:t>
      </w:r>
    </w:p>
    <w:p w:rsidRPr="0032494C" w:rsidR="00560063" w:rsidP="00D672E3" w:rsidRDefault="006C7470" w14:paraId="139E72B8" w14:textId="1D6F6662">
      <w:pPr>
        <w:keepNext/>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themeColor="text1"/>
          <w:sz w:val="22"/>
          <w:szCs w:val="22"/>
          <w:lang w:bidi="en-US"/>
        </w:rPr>
      </w:pPr>
      <w:r w:rsidRPr="0032494C">
        <w:rPr>
          <w:rFonts w:ascii="Calibri" w:hAnsi="Calibri" w:cs="Calibri"/>
          <w:color w:val="000000" w:themeColor="text1"/>
          <w:sz w:val="22"/>
          <w:szCs w:val="22"/>
          <w:lang w:bidi="en-US"/>
        </w:rPr>
        <w:t xml:space="preserve">The program model for the </w:t>
      </w:r>
      <w:r w:rsidRPr="000C313B">
        <w:rPr>
          <w:rFonts w:ascii="Calibri" w:hAnsi="Calibri" w:cs="Calibri"/>
          <w:iCs/>
          <w:color w:val="000000" w:themeColor="text1"/>
          <w:sz w:val="22"/>
          <w:szCs w:val="22"/>
          <w:lang w:bidi="en-US"/>
        </w:rPr>
        <w:t xml:space="preserve">Building a National Network of Museums and Libraries for School Readiness </w:t>
      </w:r>
      <w:r w:rsidRPr="000C313B" w:rsidR="009155F7">
        <w:rPr>
          <w:rFonts w:ascii="Calibri" w:hAnsi="Calibri" w:cs="Calibri"/>
          <w:iCs/>
          <w:color w:val="000000" w:themeColor="text1"/>
          <w:sz w:val="22"/>
          <w:szCs w:val="22"/>
          <w:lang w:bidi="en-US"/>
        </w:rPr>
        <w:t xml:space="preserve">Project </w:t>
      </w:r>
      <w:r w:rsidRPr="0032494C">
        <w:rPr>
          <w:rFonts w:ascii="Calibri" w:hAnsi="Calibri" w:cs="Calibri"/>
          <w:color w:val="000000" w:themeColor="text1"/>
          <w:sz w:val="22"/>
          <w:szCs w:val="22"/>
          <w:lang w:bidi="en-US"/>
        </w:rPr>
        <w:t xml:space="preserve">(SRP) will be comprised of six state networks. Each network will include: (1) hub leaders (children’s museum or library that serves as the leader of the hub network); (2) key partners (organizations that hub leaders currently partner with); and (3) collaborating organizations (new partner organizations that result from this project). Part of the project work for </w:t>
      </w:r>
      <w:r w:rsidRPr="000C313B">
        <w:rPr>
          <w:rFonts w:ascii="Calibri" w:hAnsi="Calibri" w:cs="Calibri"/>
          <w:iCs/>
          <w:color w:val="000000" w:themeColor="text1"/>
          <w:sz w:val="22"/>
          <w:szCs w:val="22"/>
          <w:lang w:bidi="en-US"/>
        </w:rPr>
        <w:t xml:space="preserve">Building a National Network of Museums and Libraries for School Readiness </w:t>
      </w:r>
      <w:r w:rsidRPr="000C313B" w:rsidR="009155F7">
        <w:rPr>
          <w:rFonts w:ascii="Calibri" w:hAnsi="Calibri" w:cs="Calibri"/>
          <w:iCs/>
          <w:color w:val="000000" w:themeColor="text1"/>
          <w:sz w:val="22"/>
          <w:szCs w:val="22"/>
          <w:lang w:bidi="en-US"/>
        </w:rPr>
        <w:t>Project</w:t>
      </w:r>
      <w:r w:rsidRPr="0032494C">
        <w:rPr>
          <w:rFonts w:ascii="Calibri" w:hAnsi="Calibri" w:cs="Calibri"/>
          <w:i/>
          <w:color w:val="000000" w:themeColor="text1"/>
          <w:sz w:val="22"/>
          <w:szCs w:val="22"/>
          <w:lang w:bidi="en-US"/>
        </w:rPr>
        <w:t xml:space="preserve"> </w:t>
      </w:r>
      <w:r w:rsidRPr="0032494C">
        <w:rPr>
          <w:rFonts w:ascii="Calibri" w:hAnsi="Calibri" w:cs="Calibri"/>
          <w:color w:val="000000" w:themeColor="text1"/>
          <w:sz w:val="22"/>
          <w:szCs w:val="22"/>
          <w:lang w:bidi="en-US"/>
        </w:rPr>
        <w:t xml:space="preserve">(SRP) is recruiting new organizations to participate in both existing and new state networks. </w:t>
      </w:r>
    </w:p>
    <w:p w:rsidRPr="0032494C" w:rsidR="00560063" w:rsidP="00560063" w:rsidRDefault="00560063" w14:paraId="75C32D68"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eastAsia="Avenir" w:cs="Calibri"/>
          <w:sz w:val="22"/>
          <w:szCs w:val="22"/>
        </w:rPr>
      </w:pPr>
    </w:p>
    <w:p w:rsidRPr="0032494C" w:rsidR="00B00281" w:rsidP="00560063" w:rsidRDefault="00B00281" w14:paraId="16ED856F" w14:textId="68C75D76">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themeColor="text1"/>
          <w:sz w:val="22"/>
          <w:szCs w:val="22"/>
          <w:lang w:bidi="en-US"/>
        </w:rPr>
      </w:pPr>
      <w:r w:rsidRPr="0032494C">
        <w:rPr>
          <w:rFonts w:ascii="Calibri" w:hAnsi="Calibri" w:eastAsia="Avenir" w:cs="Calibri"/>
          <w:sz w:val="22"/>
          <w:szCs w:val="22"/>
        </w:rPr>
        <w:t>As shown in</w:t>
      </w:r>
      <w:r w:rsidRPr="0032494C" w:rsidR="001F2B3D">
        <w:rPr>
          <w:rFonts w:ascii="Calibri" w:hAnsi="Calibri" w:eastAsia="Avenir" w:cs="Calibri"/>
          <w:sz w:val="22"/>
          <w:szCs w:val="22"/>
        </w:rPr>
        <w:t xml:space="preserve"> </w:t>
      </w:r>
      <w:r w:rsidRPr="0032494C" w:rsidR="001F2B3D">
        <w:rPr>
          <w:rFonts w:ascii="Calibri" w:hAnsi="Calibri" w:eastAsia="Avenir" w:cs="Calibri"/>
          <w:sz w:val="22"/>
          <w:szCs w:val="22"/>
        </w:rPr>
        <w:fldChar w:fldCharType="begin"/>
      </w:r>
      <w:r w:rsidRPr="0032494C" w:rsidR="001F2B3D">
        <w:rPr>
          <w:rFonts w:ascii="Calibri" w:hAnsi="Calibri" w:eastAsia="Avenir" w:cs="Calibri"/>
          <w:sz w:val="22"/>
          <w:szCs w:val="22"/>
        </w:rPr>
        <w:instrText xml:space="preserve"> REF _Ref36113269 \h  \* MERGEFORMAT </w:instrText>
      </w:r>
      <w:r w:rsidRPr="0032494C" w:rsidR="001F2B3D">
        <w:rPr>
          <w:rFonts w:ascii="Calibri" w:hAnsi="Calibri" w:eastAsia="Avenir" w:cs="Calibri"/>
          <w:sz w:val="22"/>
          <w:szCs w:val="22"/>
        </w:rPr>
      </w:r>
      <w:r w:rsidRPr="0032494C" w:rsidR="001F2B3D">
        <w:rPr>
          <w:rFonts w:ascii="Calibri" w:hAnsi="Calibri" w:eastAsia="Avenir" w:cs="Calibri"/>
          <w:sz w:val="22"/>
          <w:szCs w:val="22"/>
        </w:rPr>
        <w:fldChar w:fldCharType="separate"/>
      </w:r>
      <w:r w:rsidRPr="000C313B" w:rsidR="008F225B">
        <w:rPr>
          <w:rFonts w:ascii="Calibri" w:hAnsi="Calibri" w:cs="Calibri"/>
          <w:sz w:val="22"/>
          <w:szCs w:val="22"/>
        </w:rPr>
        <w:t xml:space="preserve">Table </w:t>
      </w:r>
      <w:r w:rsidRPr="000C313B" w:rsidR="008F225B">
        <w:rPr>
          <w:rFonts w:ascii="Calibri" w:hAnsi="Calibri" w:cs="Calibri"/>
          <w:noProof/>
          <w:sz w:val="22"/>
          <w:szCs w:val="22"/>
        </w:rPr>
        <w:t>6</w:t>
      </w:r>
      <w:r w:rsidRPr="0032494C" w:rsidR="001F2B3D">
        <w:rPr>
          <w:rFonts w:ascii="Calibri" w:hAnsi="Calibri" w:eastAsia="Avenir" w:cs="Calibri"/>
          <w:sz w:val="22"/>
          <w:szCs w:val="22"/>
        </w:rPr>
        <w:fldChar w:fldCharType="end"/>
      </w:r>
      <w:r w:rsidRPr="0032494C">
        <w:rPr>
          <w:rFonts w:ascii="Calibri" w:hAnsi="Calibri" w:eastAsia="Avenir" w:cs="Calibri"/>
          <w:sz w:val="22"/>
          <w:szCs w:val="22"/>
        </w:rPr>
        <w:t>, each state network falls into one of three cohorts. Cohort 1 (Massachusetts) and Cohort 2 (Virginia and South Carolin</w:t>
      </w:r>
      <w:r w:rsidR="00864F0C">
        <w:rPr>
          <w:rFonts w:ascii="Calibri" w:hAnsi="Calibri" w:eastAsia="Avenir" w:cs="Calibri"/>
          <w:sz w:val="22"/>
          <w:szCs w:val="22"/>
        </w:rPr>
        <w:t>a</w:t>
      </w:r>
      <w:r w:rsidRPr="0032494C">
        <w:rPr>
          <w:rFonts w:ascii="Calibri" w:hAnsi="Calibri" w:eastAsia="Avenir" w:cs="Calibri"/>
          <w:sz w:val="22"/>
          <w:szCs w:val="22"/>
        </w:rPr>
        <w:t xml:space="preserve">) were established prior to this grant. Cohort 3 consists of the three states networks (Iowa, Mississippi, and New Mexico) that will be established through this grant. During Year 1 of this </w:t>
      </w:r>
      <w:r w:rsidRPr="0032494C" w:rsidR="000C313B">
        <w:rPr>
          <w:rFonts w:ascii="Calibri" w:hAnsi="Calibri" w:eastAsia="Avenir" w:cs="Calibri"/>
          <w:sz w:val="22"/>
          <w:szCs w:val="22"/>
        </w:rPr>
        <w:t>three-year</w:t>
      </w:r>
      <w:r w:rsidRPr="0032494C">
        <w:rPr>
          <w:rFonts w:ascii="Calibri" w:hAnsi="Calibri" w:eastAsia="Avenir" w:cs="Calibri"/>
          <w:sz w:val="22"/>
          <w:szCs w:val="22"/>
        </w:rPr>
        <w:t xml:space="preserve"> </w:t>
      </w:r>
      <w:r w:rsidR="000C313B">
        <w:rPr>
          <w:rFonts w:ascii="Calibri" w:hAnsi="Calibri" w:eastAsia="Avenir" w:cs="Calibri"/>
          <w:sz w:val="22"/>
          <w:szCs w:val="22"/>
        </w:rPr>
        <w:t>cooperative agreement</w:t>
      </w:r>
      <w:r w:rsidRPr="0032494C">
        <w:rPr>
          <w:rFonts w:ascii="Calibri" w:hAnsi="Calibri" w:eastAsia="Avenir" w:cs="Calibri"/>
          <w:sz w:val="22"/>
          <w:szCs w:val="22"/>
        </w:rPr>
        <w:t>, Boston Children’s Museum (BCM) will recruit and onboard hub leader and partner organizations for</w:t>
      </w:r>
      <w:r w:rsidRPr="0032494C" w:rsidR="00560063">
        <w:rPr>
          <w:rFonts w:ascii="Calibri" w:hAnsi="Calibri" w:eastAsia="Avenir" w:cs="Calibri"/>
          <w:sz w:val="22"/>
          <w:szCs w:val="22"/>
        </w:rPr>
        <w:t xml:space="preserve"> state networks in</w:t>
      </w:r>
      <w:r w:rsidRPr="0032494C">
        <w:rPr>
          <w:rFonts w:ascii="Calibri" w:hAnsi="Calibri" w:eastAsia="Avenir" w:cs="Calibri"/>
          <w:sz w:val="22"/>
          <w:szCs w:val="22"/>
        </w:rPr>
        <w:t xml:space="preserve"> Cohort 3</w:t>
      </w:r>
      <w:r w:rsidRPr="0032494C" w:rsidR="00560063">
        <w:rPr>
          <w:rFonts w:ascii="Calibri" w:hAnsi="Calibri" w:eastAsia="Avenir" w:cs="Calibri"/>
          <w:sz w:val="22"/>
          <w:szCs w:val="22"/>
        </w:rPr>
        <w:t>, as well new organizations for state networks in Cohort 1 and Cohort 2</w:t>
      </w:r>
      <w:r w:rsidRPr="0032494C">
        <w:rPr>
          <w:rFonts w:ascii="Calibri" w:hAnsi="Calibri" w:eastAsia="Avenir" w:cs="Calibri"/>
          <w:sz w:val="22"/>
          <w:szCs w:val="22"/>
        </w:rPr>
        <w:t xml:space="preserve">. Thus, in Year 1, the evaluation team will collect data from organizations in state networks that are </w:t>
      </w:r>
      <w:r w:rsidRPr="0032494C" w:rsidR="00560063">
        <w:rPr>
          <w:rFonts w:ascii="Calibri" w:hAnsi="Calibri" w:eastAsia="Avenir" w:cs="Calibri"/>
          <w:sz w:val="22"/>
          <w:szCs w:val="22"/>
        </w:rPr>
        <w:t xml:space="preserve">currently </w:t>
      </w:r>
      <w:r w:rsidRPr="0032494C">
        <w:rPr>
          <w:rFonts w:ascii="Calibri" w:hAnsi="Calibri" w:eastAsia="Avenir" w:cs="Calibri"/>
          <w:sz w:val="22"/>
          <w:szCs w:val="22"/>
        </w:rPr>
        <w:t xml:space="preserve">part of </w:t>
      </w:r>
      <w:r w:rsidRPr="0032494C" w:rsidR="00560063">
        <w:rPr>
          <w:rFonts w:ascii="Calibri" w:hAnsi="Calibri" w:eastAsia="Avenir" w:cs="Calibri"/>
          <w:sz w:val="22"/>
          <w:szCs w:val="22"/>
        </w:rPr>
        <w:t xml:space="preserve">the state networks in </w:t>
      </w:r>
      <w:r w:rsidRPr="0032494C">
        <w:rPr>
          <w:rFonts w:ascii="Calibri" w:hAnsi="Calibri" w:eastAsia="Avenir" w:cs="Calibri"/>
          <w:sz w:val="22"/>
          <w:szCs w:val="22"/>
        </w:rPr>
        <w:t xml:space="preserve">Cohort 1 and Cohort 2. In Year 2 and Year 3, the evaluation team will collect data from organizations in state networks </w:t>
      </w:r>
      <w:r w:rsidRPr="0032494C" w:rsidR="00560063">
        <w:rPr>
          <w:rFonts w:ascii="Calibri" w:hAnsi="Calibri" w:eastAsia="Avenir" w:cs="Calibri"/>
          <w:sz w:val="22"/>
          <w:szCs w:val="22"/>
        </w:rPr>
        <w:t xml:space="preserve">from all </w:t>
      </w:r>
      <w:r w:rsidRPr="0032494C">
        <w:rPr>
          <w:rFonts w:ascii="Calibri" w:hAnsi="Calibri" w:eastAsia="Avenir" w:cs="Calibri"/>
          <w:sz w:val="22"/>
          <w:szCs w:val="22"/>
        </w:rPr>
        <w:t xml:space="preserve">cohorts. </w:t>
      </w:r>
    </w:p>
    <w:p w:rsidRPr="0032494C" w:rsidR="00B00281" w:rsidP="00B00281" w:rsidRDefault="00B00281" w14:paraId="3124C00D" w14:textId="77777777">
      <w:pPr>
        <w:tabs>
          <w:tab w:val="left" w:pos="504"/>
        </w:tabs>
        <w:rPr>
          <w:rFonts w:ascii="Calibri" w:hAnsi="Calibri" w:cs="Calibri"/>
          <w:b/>
          <w:sz w:val="20"/>
        </w:rPr>
      </w:pPr>
    </w:p>
    <w:p w:rsidRPr="0032494C" w:rsidR="0010208A" w:rsidP="0010208A" w:rsidRDefault="0010208A" w14:paraId="467AB4E9" w14:textId="7F13E03B">
      <w:pPr>
        <w:pStyle w:val="Caption"/>
        <w:keepNext/>
        <w:spacing w:after="0"/>
        <w:rPr>
          <w:rFonts w:ascii="Calibri" w:hAnsi="Calibri" w:cs="Calibri"/>
          <w:b/>
          <w:i w:val="0"/>
          <w:sz w:val="22"/>
          <w:szCs w:val="22"/>
        </w:rPr>
      </w:pPr>
      <w:bookmarkStart w:name="_Ref36113269" w:id="3"/>
      <w:r w:rsidRPr="0032494C">
        <w:rPr>
          <w:rFonts w:ascii="Calibri" w:hAnsi="Calibri" w:cs="Calibri"/>
          <w:b/>
          <w:i w:val="0"/>
          <w:sz w:val="22"/>
          <w:szCs w:val="22"/>
        </w:rPr>
        <w:t xml:space="preserve">Table </w:t>
      </w:r>
      <w:r w:rsidRPr="0032494C">
        <w:rPr>
          <w:rFonts w:ascii="Calibri" w:hAnsi="Calibri" w:cs="Calibri"/>
          <w:b/>
          <w:i w:val="0"/>
          <w:sz w:val="22"/>
          <w:szCs w:val="22"/>
        </w:rPr>
        <w:fldChar w:fldCharType="begin"/>
      </w:r>
      <w:r w:rsidRPr="0032494C">
        <w:rPr>
          <w:rFonts w:ascii="Calibri" w:hAnsi="Calibri" w:cs="Calibri"/>
          <w:b/>
          <w:i w:val="0"/>
          <w:sz w:val="22"/>
          <w:szCs w:val="22"/>
        </w:rPr>
        <w:instrText xml:space="preserve"> SEQ Table \* ARABIC </w:instrText>
      </w:r>
      <w:r w:rsidRPr="0032494C">
        <w:rPr>
          <w:rFonts w:ascii="Calibri" w:hAnsi="Calibri" w:cs="Calibri"/>
          <w:b/>
          <w:i w:val="0"/>
          <w:sz w:val="22"/>
          <w:szCs w:val="22"/>
        </w:rPr>
        <w:fldChar w:fldCharType="separate"/>
      </w:r>
      <w:r w:rsidR="008F225B">
        <w:rPr>
          <w:rFonts w:ascii="Calibri" w:hAnsi="Calibri" w:cs="Calibri"/>
          <w:b/>
          <w:i w:val="0"/>
          <w:noProof/>
          <w:sz w:val="22"/>
          <w:szCs w:val="22"/>
        </w:rPr>
        <w:t>6</w:t>
      </w:r>
      <w:r w:rsidRPr="0032494C">
        <w:rPr>
          <w:rFonts w:ascii="Calibri" w:hAnsi="Calibri" w:cs="Calibri"/>
          <w:b/>
          <w:i w:val="0"/>
          <w:sz w:val="22"/>
          <w:szCs w:val="22"/>
        </w:rPr>
        <w:fldChar w:fldCharType="end"/>
      </w:r>
      <w:bookmarkEnd w:id="3"/>
      <w:r w:rsidRPr="0032494C">
        <w:rPr>
          <w:rFonts w:ascii="Calibri" w:hAnsi="Calibri" w:cs="Calibri"/>
          <w:b/>
          <w:i w:val="0"/>
          <w:sz w:val="22"/>
          <w:szCs w:val="22"/>
        </w:rPr>
        <w:t>. Timeline of State Network Rollout and Evaluation Activities</w:t>
      </w:r>
    </w:p>
    <w:tbl>
      <w:tblPr>
        <w:tblStyle w:val="TableGrid"/>
        <w:tblW w:w="0" w:type="auto"/>
        <w:tblLook w:val="04A0" w:firstRow="1" w:lastRow="0" w:firstColumn="1" w:lastColumn="0" w:noHBand="0" w:noVBand="1"/>
      </w:tblPr>
      <w:tblGrid>
        <w:gridCol w:w="1020"/>
        <w:gridCol w:w="1657"/>
        <w:gridCol w:w="1386"/>
        <w:gridCol w:w="1620"/>
      </w:tblGrid>
      <w:tr w:rsidRPr="0032494C" w:rsidR="00C71032" w:rsidTr="0046541C" w14:paraId="11672349" w14:textId="77777777">
        <w:trPr>
          <w:trHeight w:val="304"/>
        </w:trPr>
        <w:tc>
          <w:tcPr>
            <w:tcW w:w="1020" w:type="dxa"/>
            <w:shd w:val="clear" w:color="auto" w:fill="E7E6E6" w:themeFill="background2"/>
          </w:tcPr>
          <w:p w:rsidRPr="0032494C" w:rsidR="00C71032" w:rsidP="0035405B" w:rsidRDefault="00C71032" w14:paraId="196541FD" w14:textId="77777777">
            <w:pPr>
              <w:rPr>
                <w:rFonts w:ascii="Calibri" w:hAnsi="Calibri" w:cs="Calibri"/>
                <w:b/>
                <w:color w:val="000000" w:themeColor="text1"/>
                <w:sz w:val="20"/>
                <w:szCs w:val="20"/>
                <w:lang w:bidi="en-US"/>
              </w:rPr>
            </w:pPr>
          </w:p>
        </w:tc>
        <w:tc>
          <w:tcPr>
            <w:tcW w:w="1657" w:type="dxa"/>
            <w:shd w:val="clear" w:color="auto" w:fill="E7E6E6" w:themeFill="background2"/>
            <w:vAlign w:val="bottom"/>
          </w:tcPr>
          <w:p w:rsidRPr="0032494C" w:rsidR="00C71032" w:rsidP="0035405B" w:rsidRDefault="00C71032" w14:paraId="5CA139EF"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 xml:space="preserve">State </w:t>
            </w:r>
          </w:p>
        </w:tc>
        <w:tc>
          <w:tcPr>
            <w:tcW w:w="1386" w:type="dxa"/>
            <w:shd w:val="clear" w:color="auto" w:fill="E7E6E6" w:themeFill="background2"/>
            <w:vAlign w:val="bottom"/>
          </w:tcPr>
          <w:p w:rsidRPr="0032494C" w:rsidR="00C71032" w:rsidP="0035405B" w:rsidRDefault="00C71032" w14:paraId="30387A6A"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Year</w:t>
            </w:r>
          </w:p>
          <w:p w:rsidRPr="0032494C" w:rsidR="00C71032" w:rsidP="0035405B" w:rsidRDefault="00C71032" w14:paraId="01BD0044"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Established</w:t>
            </w:r>
          </w:p>
        </w:tc>
        <w:tc>
          <w:tcPr>
            <w:tcW w:w="1620" w:type="dxa"/>
            <w:shd w:val="clear" w:color="auto" w:fill="E7E6E6" w:themeFill="background2"/>
          </w:tcPr>
          <w:p w:rsidRPr="0032494C" w:rsidR="00C71032" w:rsidP="0035405B" w:rsidRDefault="00C71032" w14:paraId="25643C39" w14:textId="07793864">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Data collection</w:t>
            </w:r>
            <w:r w:rsidRPr="0032494C" w:rsidR="00964EFE">
              <w:rPr>
                <w:rFonts w:ascii="Calibri" w:hAnsi="Calibri" w:cs="Calibri"/>
                <w:color w:val="000000" w:themeColor="text1"/>
                <w:sz w:val="20"/>
                <w:szCs w:val="20"/>
                <w:lang w:bidi="en-US"/>
              </w:rPr>
              <w:t xml:space="preserve"> timeline</w:t>
            </w:r>
          </w:p>
        </w:tc>
      </w:tr>
      <w:tr w:rsidRPr="0032494C" w:rsidR="00C71032" w:rsidTr="0046541C" w14:paraId="65BBAA94" w14:textId="77777777">
        <w:trPr>
          <w:trHeight w:val="399"/>
        </w:trPr>
        <w:tc>
          <w:tcPr>
            <w:tcW w:w="1020" w:type="dxa"/>
            <w:shd w:val="clear" w:color="auto" w:fill="E7E6E6" w:themeFill="background2"/>
            <w:vAlign w:val="center"/>
          </w:tcPr>
          <w:p w:rsidRPr="0032494C" w:rsidR="00C71032" w:rsidP="0035405B" w:rsidRDefault="00C71032" w14:paraId="3CC1736C"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Cohort 1</w:t>
            </w:r>
          </w:p>
        </w:tc>
        <w:tc>
          <w:tcPr>
            <w:tcW w:w="1657" w:type="dxa"/>
            <w:vAlign w:val="center"/>
          </w:tcPr>
          <w:p w:rsidRPr="0032494C" w:rsidR="00C71032" w:rsidP="0035405B" w:rsidRDefault="00C71032" w14:paraId="6475D025"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Massachusetts</w:t>
            </w:r>
          </w:p>
        </w:tc>
        <w:tc>
          <w:tcPr>
            <w:tcW w:w="1386" w:type="dxa"/>
            <w:vAlign w:val="center"/>
          </w:tcPr>
          <w:p w:rsidRPr="0032494C" w:rsidR="00C71032" w:rsidP="0035405B" w:rsidRDefault="00C71032" w14:paraId="16BF1A73"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2016</w:t>
            </w:r>
          </w:p>
        </w:tc>
        <w:tc>
          <w:tcPr>
            <w:tcW w:w="1620" w:type="dxa"/>
            <w:vAlign w:val="center"/>
          </w:tcPr>
          <w:p w:rsidRPr="0032494C" w:rsidR="00C71032" w:rsidP="0035405B" w:rsidRDefault="00C71032" w14:paraId="3DFE742D"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Year 1 – Year 3</w:t>
            </w:r>
          </w:p>
        </w:tc>
      </w:tr>
      <w:tr w:rsidRPr="0032494C" w:rsidR="00C71032" w:rsidTr="0046541C" w14:paraId="21D20EEF" w14:textId="77777777">
        <w:trPr>
          <w:trHeight w:val="399"/>
        </w:trPr>
        <w:tc>
          <w:tcPr>
            <w:tcW w:w="1020" w:type="dxa"/>
            <w:vMerge w:val="restart"/>
            <w:shd w:val="clear" w:color="auto" w:fill="E7E6E6" w:themeFill="background2"/>
            <w:vAlign w:val="center"/>
          </w:tcPr>
          <w:p w:rsidRPr="0032494C" w:rsidR="00C71032" w:rsidP="0035405B" w:rsidRDefault="00C71032" w14:paraId="6B8BCD80"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Cohort 2</w:t>
            </w:r>
          </w:p>
        </w:tc>
        <w:tc>
          <w:tcPr>
            <w:tcW w:w="1657" w:type="dxa"/>
            <w:vAlign w:val="center"/>
          </w:tcPr>
          <w:p w:rsidRPr="0032494C" w:rsidR="00C71032" w:rsidP="0035405B" w:rsidRDefault="00C71032" w14:paraId="6D578A41"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Virginia</w:t>
            </w:r>
          </w:p>
        </w:tc>
        <w:tc>
          <w:tcPr>
            <w:tcW w:w="1386" w:type="dxa"/>
            <w:vAlign w:val="center"/>
          </w:tcPr>
          <w:p w:rsidRPr="0032494C" w:rsidR="00C71032" w:rsidP="0035405B" w:rsidRDefault="00C71032" w14:paraId="525FC909"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2018</w:t>
            </w:r>
          </w:p>
        </w:tc>
        <w:tc>
          <w:tcPr>
            <w:tcW w:w="1620" w:type="dxa"/>
            <w:vAlign w:val="center"/>
          </w:tcPr>
          <w:p w:rsidRPr="0032494C" w:rsidR="00C71032" w:rsidP="0035405B" w:rsidRDefault="00C71032" w14:paraId="69ACB614"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Year 1 – Year 3</w:t>
            </w:r>
          </w:p>
        </w:tc>
      </w:tr>
      <w:tr w:rsidRPr="0032494C" w:rsidR="00C71032" w:rsidTr="0046541C" w14:paraId="5AE7CB00" w14:textId="77777777">
        <w:trPr>
          <w:trHeight w:val="399"/>
        </w:trPr>
        <w:tc>
          <w:tcPr>
            <w:tcW w:w="1020" w:type="dxa"/>
            <w:vMerge/>
            <w:shd w:val="clear" w:color="auto" w:fill="E7E6E6" w:themeFill="background2"/>
            <w:vAlign w:val="center"/>
          </w:tcPr>
          <w:p w:rsidRPr="0032494C" w:rsidR="00C71032" w:rsidP="0035405B" w:rsidRDefault="00C71032" w14:paraId="1293AF5C" w14:textId="77777777">
            <w:pPr>
              <w:rPr>
                <w:rFonts w:ascii="Calibri" w:hAnsi="Calibri" w:cs="Calibri"/>
                <w:color w:val="000000" w:themeColor="text1"/>
                <w:sz w:val="20"/>
                <w:szCs w:val="20"/>
                <w:lang w:bidi="en-US"/>
              </w:rPr>
            </w:pPr>
          </w:p>
        </w:tc>
        <w:tc>
          <w:tcPr>
            <w:tcW w:w="1657" w:type="dxa"/>
            <w:vAlign w:val="center"/>
          </w:tcPr>
          <w:p w:rsidRPr="0032494C" w:rsidR="00C71032" w:rsidP="0035405B" w:rsidRDefault="00C71032" w14:paraId="46BB094E"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South Carolina</w:t>
            </w:r>
          </w:p>
        </w:tc>
        <w:tc>
          <w:tcPr>
            <w:tcW w:w="1386" w:type="dxa"/>
            <w:vAlign w:val="center"/>
          </w:tcPr>
          <w:p w:rsidRPr="0032494C" w:rsidR="00C71032" w:rsidP="0035405B" w:rsidRDefault="00C71032" w14:paraId="1060C79C"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2018</w:t>
            </w:r>
          </w:p>
        </w:tc>
        <w:tc>
          <w:tcPr>
            <w:tcW w:w="1620" w:type="dxa"/>
            <w:vAlign w:val="center"/>
          </w:tcPr>
          <w:p w:rsidRPr="0032494C" w:rsidR="00C71032" w:rsidP="0035405B" w:rsidRDefault="00C71032" w14:paraId="1C96A940"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Year 1 – Year 3</w:t>
            </w:r>
          </w:p>
        </w:tc>
      </w:tr>
      <w:tr w:rsidRPr="0032494C" w:rsidR="00C71032" w:rsidTr="0046541C" w14:paraId="505D89A2" w14:textId="77777777">
        <w:trPr>
          <w:trHeight w:val="399"/>
        </w:trPr>
        <w:tc>
          <w:tcPr>
            <w:tcW w:w="1020" w:type="dxa"/>
            <w:vMerge w:val="restart"/>
            <w:shd w:val="clear" w:color="auto" w:fill="E7E6E6" w:themeFill="background2"/>
            <w:vAlign w:val="center"/>
          </w:tcPr>
          <w:p w:rsidRPr="0032494C" w:rsidR="00C71032" w:rsidP="0035405B" w:rsidRDefault="00C71032" w14:paraId="0963952C"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Cohort 3</w:t>
            </w:r>
          </w:p>
        </w:tc>
        <w:tc>
          <w:tcPr>
            <w:tcW w:w="1657" w:type="dxa"/>
            <w:vAlign w:val="center"/>
          </w:tcPr>
          <w:p w:rsidRPr="0032494C" w:rsidR="00C71032" w:rsidP="0035405B" w:rsidRDefault="00C71032" w14:paraId="4C5E681D"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Iowa</w:t>
            </w:r>
          </w:p>
        </w:tc>
        <w:tc>
          <w:tcPr>
            <w:tcW w:w="1386" w:type="dxa"/>
            <w:vAlign w:val="center"/>
          </w:tcPr>
          <w:p w:rsidRPr="0032494C" w:rsidR="00C71032" w:rsidP="0035405B" w:rsidRDefault="00C71032" w14:paraId="5CCD040A"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2020-2021</w:t>
            </w:r>
          </w:p>
        </w:tc>
        <w:tc>
          <w:tcPr>
            <w:tcW w:w="1620" w:type="dxa"/>
            <w:vAlign w:val="center"/>
          </w:tcPr>
          <w:p w:rsidRPr="0032494C" w:rsidR="00C71032" w:rsidP="0035405B" w:rsidRDefault="00C71032" w14:paraId="46B95E25"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Year 2 – Year 3</w:t>
            </w:r>
          </w:p>
        </w:tc>
      </w:tr>
      <w:tr w:rsidRPr="0032494C" w:rsidR="00C71032" w:rsidTr="0046541C" w14:paraId="2EBF9EE1" w14:textId="77777777">
        <w:trPr>
          <w:trHeight w:val="399"/>
        </w:trPr>
        <w:tc>
          <w:tcPr>
            <w:tcW w:w="1020" w:type="dxa"/>
            <w:vMerge/>
            <w:shd w:val="clear" w:color="auto" w:fill="E7E6E6" w:themeFill="background2"/>
            <w:vAlign w:val="center"/>
          </w:tcPr>
          <w:p w:rsidRPr="0032494C" w:rsidR="00C71032" w:rsidP="0035405B" w:rsidRDefault="00C71032" w14:paraId="2F75DDAD" w14:textId="77777777">
            <w:pPr>
              <w:rPr>
                <w:rFonts w:ascii="Calibri" w:hAnsi="Calibri" w:cs="Calibri"/>
                <w:color w:val="000000" w:themeColor="text1"/>
                <w:sz w:val="20"/>
                <w:szCs w:val="20"/>
                <w:lang w:bidi="en-US"/>
              </w:rPr>
            </w:pPr>
          </w:p>
        </w:tc>
        <w:tc>
          <w:tcPr>
            <w:tcW w:w="1657" w:type="dxa"/>
            <w:vAlign w:val="center"/>
          </w:tcPr>
          <w:p w:rsidRPr="0032494C" w:rsidR="00C71032" w:rsidP="0035405B" w:rsidRDefault="00C71032" w14:paraId="57C5F6CF"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Mississippi</w:t>
            </w:r>
          </w:p>
        </w:tc>
        <w:tc>
          <w:tcPr>
            <w:tcW w:w="1386" w:type="dxa"/>
            <w:vAlign w:val="center"/>
          </w:tcPr>
          <w:p w:rsidRPr="0032494C" w:rsidR="00C71032" w:rsidP="0035405B" w:rsidRDefault="00C71032" w14:paraId="609A4F8B"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2020-2021</w:t>
            </w:r>
          </w:p>
        </w:tc>
        <w:tc>
          <w:tcPr>
            <w:tcW w:w="1620" w:type="dxa"/>
            <w:vAlign w:val="center"/>
          </w:tcPr>
          <w:p w:rsidRPr="0032494C" w:rsidR="00C71032" w:rsidP="0035405B" w:rsidRDefault="00C71032" w14:paraId="306506B8"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Year 2 – Year 3</w:t>
            </w:r>
          </w:p>
        </w:tc>
      </w:tr>
      <w:tr w:rsidRPr="0032494C" w:rsidR="00C71032" w:rsidTr="0046541C" w14:paraId="27AC5BFD" w14:textId="77777777">
        <w:trPr>
          <w:trHeight w:val="399"/>
        </w:trPr>
        <w:tc>
          <w:tcPr>
            <w:tcW w:w="1020" w:type="dxa"/>
            <w:vMerge/>
            <w:shd w:val="clear" w:color="auto" w:fill="E7E6E6" w:themeFill="background2"/>
            <w:vAlign w:val="center"/>
          </w:tcPr>
          <w:p w:rsidRPr="0032494C" w:rsidR="00C71032" w:rsidP="0035405B" w:rsidRDefault="00C71032" w14:paraId="083EF602" w14:textId="77777777">
            <w:pPr>
              <w:rPr>
                <w:rFonts w:ascii="Calibri" w:hAnsi="Calibri" w:cs="Calibri"/>
                <w:color w:val="000000" w:themeColor="text1"/>
                <w:sz w:val="20"/>
                <w:szCs w:val="20"/>
                <w:lang w:bidi="en-US"/>
              </w:rPr>
            </w:pPr>
          </w:p>
        </w:tc>
        <w:tc>
          <w:tcPr>
            <w:tcW w:w="1657" w:type="dxa"/>
            <w:vAlign w:val="center"/>
          </w:tcPr>
          <w:p w:rsidRPr="0032494C" w:rsidR="00C71032" w:rsidP="0035405B" w:rsidRDefault="00C71032" w14:paraId="72705D27"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New Mexico</w:t>
            </w:r>
          </w:p>
        </w:tc>
        <w:tc>
          <w:tcPr>
            <w:tcW w:w="1386" w:type="dxa"/>
            <w:vAlign w:val="center"/>
          </w:tcPr>
          <w:p w:rsidRPr="0032494C" w:rsidR="00C71032" w:rsidP="0035405B" w:rsidRDefault="00C71032" w14:paraId="5BB2845F"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2020-2021</w:t>
            </w:r>
          </w:p>
        </w:tc>
        <w:tc>
          <w:tcPr>
            <w:tcW w:w="1620" w:type="dxa"/>
            <w:vAlign w:val="center"/>
          </w:tcPr>
          <w:p w:rsidRPr="0032494C" w:rsidR="00C71032" w:rsidP="0035405B" w:rsidRDefault="00C71032" w14:paraId="42A74FC7" w14:textId="77777777">
            <w:pPr>
              <w:rPr>
                <w:rFonts w:ascii="Calibri" w:hAnsi="Calibri" w:cs="Calibri"/>
                <w:color w:val="000000" w:themeColor="text1"/>
                <w:sz w:val="20"/>
                <w:szCs w:val="20"/>
                <w:lang w:bidi="en-US"/>
              </w:rPr>
            </w:pPr>
            <w:r w:rsidRPr="0032494C">
              <w:rPr>
                <w:rFonts w:ascii="Calibri" w:hAnsi="Calibri" w:cs="Calibri"/>
                <w:color w:val="000000" w:themeColor="text1"/>
                <w:sz w:val="20"/>
                <w:szCs w:val="20"/>
                <w:lang w:bidi="en-US"/>
              </w:rPr>
              <w:t>Year 2 – Year 3</w:t>
            </w:r>
          </w:p>
        </w:tc>
      </w:tr>
    </w:tbl>
    <w:p w:rsidRPr="0032494C" w:rsidR="00B00281" w:rsidP="006C7470" w:rsidRDefault="00B00281" w14:paraId="73477D90"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themeColor="text1"/>
          <w:sz w:val="22"/>
          <w:szCs w:val="22"/>
          <w:lang w:bidi="en-US"/>
        </w:rPr>
      </w:pPr>
    </w:p>
    <w:p w:rsidRPr="0032494C" w:rsidR="000268AE" w:rsidP="006C7470" w:rsidRDefault="005E3BD5" w14:paraId="1E2E11A6" w14:textId="06614D83">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themeColor="text1"/>
          <w:sz w:val="22"/>
          <w:szCs w:val="22"/>
          <w:lang w:bidi="en-US"/>
        </w:rPr>
      </w:pPr>
      <w:r w:rsidRPr="0032494C">
        <w:rPr>
          <w:rFonts w:ascii="Calibri" w:hAnsi="Calibri" w:cs="Calibri"/>
          <w:color w:val="000000" w:themeColor="text1"/>
          <w:sz w:val="22"/>
          <w:szCs w:val="22"/>
          <w:lang w:bidi="en-US"/>
        </w:rPr>
        <w:lastRenderedPageBreak/>
        <w:t>The</w:t>
      </w:r>
      <w:r w:rsidRPr="0032494C" w:rsidR="006C7470">
        <w:rPr>
          <w:rFonts w:ascii="Calibri" w:hAnsi="Calibri" w:cs="Calibri"/>
          <w:color w:val="000000" w:themeColor="text1"/>
          <w:sz w:val="22"/>
          <w:szCs w:val="22"/>
          <w:lang w:bidi="en-US"/>
        </w:rPr>
        <w:t xml:space="preserve"> sample sizes we report here are based on an estimate of 40 total organizations spread across </w:t>
      </w:r>
      <w:r w:rsidRPr="0032494C">
        <w:rPr>
          <w:rFonts w:ascii="Calibri" w:hAnsi="Calibri" w:cs="Calibri"/>
          <w:color w:val="000000" w:themeColor="text1"/>
          <w:sz w:val="22"/>
          <w:szCs w:val="22"/>
          <w:lang w:bidi="en-US"/>
        </w:rPr>
        <w:t xml:space="preserve">the </w:t>
      </w:r>
      <w:r w:rsidRPr="0032494C" w:rsidR="006C7470">
        <w:rPr>
          <w:rFonts w:ascii="Calibri" w:hAnsi="Calibri" w:cs="Calibri"/>
          <w:color w:val="000000" w:themeColor="text1"/>
          <w:sz w:val="22"/>
          <w:szCs w:val="22"/>
          <w:lang w:bidi="en-US"/>
        </w:rPr>
        <w:t xml:space="preserve">six states networks. We estimate that each state network will include </w:t>
      </w:r>
      <w:r w:rsidRPr="0032494C" w:rsidR="006C7470">
        <w:rPr>
          <w:rFonts w:ascii="Calibri" w:hAnsi="Calibri" w:cs="Calibri"/>
          <w:b/>
          <w:i/>
          <w:color w:val="000000" w:themeColor="text1"/>
          <w:sz w:val="22"/>
          <w:szCs w:val="22"/>
          <w:lang w:bidi="en-US"/>
        </w:rPr>
        <w:t>at least</w:t>
      </w:r>
      <w:r w:rsidRPr="0032494C" w:rsidR="006C7470">
        <w:rPr>
          <w:rFonts w:ascii="Calibri" w:hAnsi="Calibri" w:cs="Calibri"/>
          <w:color w:val="000000" w:themeColor="text1"/>
          <w:sz w:val="22"/>
          <w:szCs w:val="22"/>
          <w:lang w:bidi="en-US"/>
        </w:rPr>
        <w:t xml:space="preserve"> one hub leader organization, one partner organization, and one collaborating organization. </w:t>
      </w:r>
      <w:r w:rsidRPr="0032494C" w:rsidR="003D098A">
        <w:rPr>
          <w:rFonts w:ascii="Calibri" w:hAnsi="Calibri" w:cs="Calibri"/>
          <w:color w:val="000000" w:themeColor="text1"/>
          <w:sz w:val="22"/>
          <w:szCs w:val="22"/>
          <w:lang w:bidi="en-US"/>
        </w:rPr>
        <w:t xml:space="preserve">Finally, we anticipate a respondent universe of families that visit and/or participate in programs at the organizations; however, because we do not yet know all of the organizations that will be participating, it is impossible to estimate that total possible universe of families. </w:t>
      </w:r>
      <w:r w:rsidRPr="0032494C" w:rsidR="000268AE">
        <w:rPr>
          <w:rFonts w:ascii="Calibri" w:hAnsi="Calibri" w:cs="Calibri"/>
          <w:color w:val="000000" w:themeColor="text1"/>
          <w:sz w:val="22"/>
          <w:szCs w:val="22"/>
          <w:lang w:bidi="en-US"/>
        </w:rPr>
        <w:t xml:space="preserve">Across this population, EDC will </w:t>
      </w:r>
      <w:r w:rsidRPr="0032494C" w:rsidR="003D098A">
        <w:rPr>
          <w:rFonts w:ascii="Calibri" w:hAnsi="Calibri" w:cs="Calibri"/>
          <w:color w:val="000000" w:themeColor="text1"/>
          <w:sz w:val="22"/>
          <w:szCs w:val="22"/>
          <w:lang w:bidi="en-US"/>
        </w:rPr>
        <w:t>complete the data collection activities</w:t>
      </w:r>
      <w:r w:rsidRPr="0032494C" w:rsidR="00AC0A71">
        <w:rPr>
          <w:rFonts w:ascii="Calibri" w:hAnsi="Calibri" w:cs="Calibri"/>
          <w:color w:val="000000" w:themeColor="text1"/>
          <w:sz w:val="22"/>
          <w:szCs w:val="22"/>
          <w:lang w:bidi="en-US"/>
        </w:rPr>
        <w:t xml:space="preserve"> below. </w:t>
      </w:r>
      <w:r w:rsidRPr="0032494C" w:rsidR="00AC0A71">
        <w:rPr>
          <w:rFonts w:ascii="Calibri" w:hAnsi="Calibri" w:cs="Calibri"/>
          <w:color w:val="000000" w:themeColor="text1"/>
          <w:sz w:val="22"/>
          <w:szCs w:val="22"/>
          <w:lang w:bidi="en-US"/>
        </w:rPr>
        <w:fldChar w:fldCharType="begin"/>
      </w:r>
      <w:r w:rsidRPr="0032494C" w:rsidR="00AC0A71">
        <w:rPr>
          <w:rFonts w:ascii="Calibri" w:hAnsi="Calibri" w:cs="Calibri"/>
          <w:color w:val="000000" w:themeColor="text1"/>
          <w:sz w:val="22"/>
          <w:szCs w:val="22"/>
          <w:lang w:bidi="en-US"/>
        </w:rPr>
        <w:instrText xml:space="preserve"> REF _Ref36113341 \h  \* MERGEFORMAT </w:instrText>
      </w:r>
      <w:r w:rsidRPr="0032494C" w:rsidR="00AC0A71">
        <w:rPr>
          <w:rFonts w:ascii="Calibri" w:hAnsi="Calibri" w:cs="Calibri"/>
          <w:color w:val="000000" w:themeColor="text1"/>
          <w:sz w:val="22"/>
          <w:szCs w:val="22"/>
          <w:lang w:bidi="en-US"/>
        </w:rPr>
      </w:r>
      <w:r w:rsidRPr="0032494C" w:rsidR="00AC0A71">
        <w:rPr>
          <w:rFonts w:ascii="Calibri" w:hAnsi="Calibri" w:cs="Calibri"/>
          <w:color w:val="000000" w:themeColor="text1"/>
          <w:sz w:val="22"/>
          <w:szCs w:val="22"/>
          <w:lang w:bidi="en-US"/>
        </w:rPr>
        <w:fldChar w:fldCharType="separate"/>
      </w:r>
      <w:r w:rsidRPr="000C313B" w:rsidR="008F225B">
        <w:rPr>
          <w:rFonts w:ascii="Calibri" w:hAnsi="Calibri" w:cs="Calibri"/>
          <w:sz w:val="22"/>
          <w:szCs w:val="22"/>
        </w:rPr>
        <w:t xml:space="preserve">Table </w:t>
      </w:r>
      <w:r w:rsidRPr="000C313B" w:rsidR="008F225B">
        <w:rPr>
          <w:rFonts w:ascii="Calibri" w:hAnsi="Calibri" w:cs="Calibri"/>
          <w:noProof/>
          <w:sz w:val="22"/>
          <w:szCs w:val="22"/>
        </w:rPr>
        <w:t>7</w:t>
      </w:r>
      <w:r w:rsidRPr="0032494C" w:rsidR="00AC0A71">
        <w:rPr>
          <w:rFonts w:ascii="Calibri" w:hAnsi="Calibri" w:cs="Calibri"/>
          <w:color w:val="000000" w:themeColor="text1"/>
          <w:sz w:val="22"/>
          <w:szCs w:val="22"/>
          <w:lang w:bidi="en-US"/>
        </w:rPr>
        <w:fldChar w:fldCharType="end"/>
      </w:r>
      <w:r w:rsidRPr="0032494C" w:rsidR="00AC0A71">
        <w:rPr>
          <w:rFonts w:ascii="Calibri" w:hAnsi="Calibri" w:cs="Calibri"/>
          <w:color w:val="000000" w:themeColor="text1"/>
          <w:sz w:val="22"/>
          <w:szCs w:val="22"/>
          <w:lang w:bidi="en-US"/>
        </w:rPr>
        <w:t xml:space="preserve"> summarizes each data collection activity. </w:t>
      </w:r>
    </w:p>
    <w:p w:rsidRPr="0032494C" w:rsidR="003D098A" w:rsidP="000268AE" w:rsidRDefault="000268AE" w14:paraId="67E3AEDA" w14:textId="77777777">
      <w:pPr>
        <w:pStyle w:val="ListParagraph"/>
        <w:widowControl w:val="0"/>
        <w:numPr>
          <w:ilvl w:val="0"/>
          <w:numId w:val="7"/>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Calibri"/>
          <w:color w:val="000000" w:themeColor="text1"/>
          <w:lang w:bidi="en-US"/>
        </w:rPr>
      </w:pPr>
      <w:r w:rsidRPr="0032494C">
        <w:rPr>
          <w:rFonts w:cs="Calibri"/>
          <w:color w:val="000000" w:themeColor="text1"/>
          <w:lang w:bidi="en-US"/>
        </w:rPr>
        <w:t>Year 1</w:t>
      </w:r>
    </w:p>
    <w:p w:rsidRPr="0032494C" w:rsidR="00E23C2C" w:rsidP="003D098A" w:rsidRDefault="00E23C2C" w14:paraId="10778501" w14:textId="441E57EA">
      <w:pPr>
        <w:pStyle w:val="ListParagraph"/>
        <w:widowControl w:val="0"/>
        <w:numPr>
          <w:ilvl w:val="1"/>
          <w:numId w:val="7"/>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Calibri"/>
          <w:color w:val="000000" w:themeColor="text1"/>
          <w:lang w:bidi="en-US"/>
        </w:rPr>
      </w:pPr>
      <w:r w:rsidRPr="0032494C">
        <w:rPr>
          <w:rFonts w:cs="Calibri"/>
          <w:color w:val="000000" w:themeColor="text1"/>
          <w:lang w:bidi="en-US"/>
        </w:rPr>
        <w:t xml:space="preserve">Document review of reports and documentation </w:t>
      </w:r>
      <w:r w:rsidRPr="0032494C" w:rsidR="00A44837">
        <w:rPr>
          <w:rFonts w:cs="Calibri"/>
          <w:color w:val="000000" w:themeColor="text1"/>
          <w:lang w:bidi="en-US"/>
        </w:rPr>
        <w:t xml:space="preserve">from the </w:t>
      </w:r>
      <w:r w:rsidRPr="0032494C">
        <w:rPr>
          <w:rFonts w:cs="Calibri"/>
          <w:color w:val="000000" w:themeColor="text1"/>
          <w:lang w:bidi="en-US"/>
        </w:rPr>
        <w:t>previous grants</w:t>
      </w:r>
      <w:r w:rsidRPr="0032494C" w:rsidR="00A44837">
        <w:rPr>
          <w:rFonts w:cs="Calibri"/>
          <w:color w:val="000000" w:themeColor="text1"/>
          <w:lang w:bidi="en-US"/>
        </w:rPr>
        <w:t xml:space="preserve"> that supported the SRP network model</w:t>
      </w:r>
    </w:p>
    <w:p w:rsidRPr="0032494C" w:rsidR="003D098A" w:rsidP="003D098A" w:rsidRDefault="003D098A" w14:paraId="3AE7B367" w14:textId="6C792697">
      <w:pPr>
        <w:pStyle w:val="ListParagraph"/>
        <w:widowControl w:val="0"/>
        <w:numPr>
          <w:ilvl w:val="1"/>
          <w:numId w:val="7"/>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Calibri"/>
          <w:color w:val="000000" w:themeColor="text1"/>
          <w:lang w:bidi="en-US"/>
        </w:rPr>
      </w:pPr>
      <w:r w:rsidRPr="0032494C">
        <w:rPr>
          <w:rFonts w:cs="Calibri"/>
          <w:color w:val="000000" w:themeColor="text1"/>
          <w:lang w:bidi="en-US"/>
        </w:rPr>
        <w:t xml:space="preserve">Interview </w:t>
      </w:r>
      <w:r w:rsidRPr="0032494C" w:rsidR="00FC58DE">
        <w:rPr>
          <w:rFonts w:cs="Calibri"/>
          <w:color w:val="000000" w:themeColor="text1"/>
          <w:lang w:bidi="en-US"/>
        </w:rPr>
        <w:t xml:space="preserve">staff lead at </w:t>
      </w:r>
      <w:r w:rsidR="00C208B9">
        <w:rPr>
          <w:rFonts w:cs="Calibri"/>
          <w:color w:val="000000" w:themeColor="text1"/>
          <w:lang w:bidi="en-US"/>
        </w:rPr>
        <w:t xml:space="preserve">each of the </w:t>
      </w:r>
      <w:r w:rsidRPr="0032494C" w:rsidR="00936C0C">
        <w:rPr>
          <w:rFonts w:cs="Calibri"/>
          <w:color w:val="000000" w:themeColor="text1"/>
          <w:lang w:bidi="en-US"/>
        </w:rPr>
        <w:t>three h</w:t>
      </w:r>
      <w:r w:rsidRPr="0032494C" w:rsidR="000268AE">
        <w:rPr>
          <w:rFonts w:cs="Calibri"/>
          <w:color w:val="000000" w:themeColor="text1"/>
          <w:lang w:bidi="en-US"/>
        </w:rPr>
        <w:t>ub leader sites</w:t>
      </w:r>
    </w:p>
    <w:p w:rsidRPr="0032494C" w:rsidR="00397F87" w:rsidP="000A579C" w:rsidRDefault="003D098A" w14:paraId="7DFD46E1" w14:textId="5730D930">
      <w:pPr>
        <w:pStyle w:val="ListParagraph"/>
        <w:widowControl w:val="0"/>
        <w:numPr>
          <w:ilvl w:val="1"/>
          <w:numId w:val="7"/>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Calibri"/>
          <w:color w:val="000000" w:themeColor="text1"/>
          <w:lang w:bidi="en-US"/>
        </w:rPr>
      </w:pPr>
      <w:r w:rsidRPr="0032494C">
        <w:rPr>
          <w:rFonts w:cs="Calibri"/>
          <w:color w:val="000000" w:themeColor="text1"/>
          <w:lang w:bidi="en-US"/>
        </w:rPr>
        <w:t>Survey</w:t>
      </w:r>
      <w:r w:rsidRPr="0032494C" w:rsidR="00974899">
        <w:rPr>
          <w:rFonts w:cs="Calibri"/>
          <w:color w:val="000000" w:themeColor="text1"/>
          <w:lang w:bidi="en-US"/>
        </w:rPr>
        <w:t xml:space="preserve"> </w:t>
      </w:r>
      <w:r w:rsidRPr="0032494C">
        <w:rPr>
          <w:rFonts w:cs="Calibri"/>
          <w:color w:val="000000" w:themeColor="text1"/>
          <w:lang w:bidi="en-US"/>
        </w:rPr>
        <w:t xml:space="preserve">staff lead at </w:t>
      </w:r>
      <w:r w:rsidR="00C208B9">
        <w:rPr>
          <w:rFonts w:cs="Calibri"/>
          <w:color w:val="000000" w:themeColor="text1"/>
          <w:lang w:bidi="en-US"/>
        </w:rPr>
        <w:t xml:space="preserve">each of </w:t>
      </w:r>
      <w:r w:rsidRPr="0032494C" w:rsidR="00936C0C">
        <w:rPr>
          <w:rFonts w:cs="Calibri"/>
          <w:color w:val="000000" w:themeColor="text1"/>
          <w:lang w:bidi="en-US"/>
        </w:rPr>
        <w:t>three h</w:t>
      </w:r>
      <w:r w:rsidRPr="0032494C">
        <w:rPr>
          <w:rFonts w:cs="Calibri"/>
          <w:color w:val="000000" w:themeColor="text1"/>
          <w:lang w:bidi="en-US"/>
        </w:rPr>
        <w:t xml:space="preserve">ub leader sites </w:t>
      </w:r>
      <w:r w:rsidRPr="0032494C" w:rsidR="00397F87">
        <w:rPr>
          <w:rFonts w:cs="Calibri"/>
          <w:color w:val="000000" w:themeColor="text1"/>
          <w:lang w:bidi="en-US"/>
        </w:rPr>
        <w:t xml:space="preserve">and </w:t>
      </w:r>
      <w:r w:rsidRPr="0032494C" w:rsidR="00974899">
        <w:rPr>
          <w:rFonts w:cs="Calibri"/>
          <w:color w:val="000000" w:themeColor="text1"/>
          <w:lang w:bidi="en-US"/>
        </w:rPr>
        <w:t xml:space="preserve">one </w:t>
      </w:r>
      <w:r w:rsidRPr="0032494C" w:rsidR="00397F87">
        <w:rPr>
          <w:rFonts w:cs="Calibri"/>
          <w:color w:val="000000" w:themeColor="text1"/>
          <w:lang w:bidi="en-US"/>
        </w:rPr>
        <w:t xml:space="preserve">staff lead at </w:t>
      </w:r>
      <w:r w:rsidR="00C208B9">
        <w:rPr>
          <w:rFonts w:cs="Calibri"/>
          <w:color w:val="000000" w:themeColor="text1"/>
          <w:lang w:bidi="en-US"/>
        </w:rPr>
        <w:t xml:space="preserve">each of </w:t>
      </w:r>
      <w:r w:rsidRPr="0032494C" w:rsidR="00936C0C">
        <w:rPr>
          <w:rFonts w:cs="Calibri"/>
          <w:color w:val="000000" w:themeColor="text1"/>
          <w:lang w:bidi="en-US"/>
        </w:rPr>
        <w:t xml:space="preserve">three </w:t>
      </w:r>
      <w:r w:rsidRPr="0032494C" w:rsidR="00397F87">
        <w:rPr>
          <w:rFonts w:cs="Calibri"/>
          <w:color w:val="000000" w:themeColor="text1"/>
          <w:lang w:bidi="en-US"/>
        </w:rPr>
        <w:t xml:space="preserve">key partner sites </w:t>
      </w:r>
    </w:p>
    <w:p w:rsidRPr="0032494C" w:rsidR="006C7470" w:rsidP="000268AE" w:rsidRDefault="00397F87" w14:paraId="0A370C69" w14:textId="425F1E23">
      <w:pPr>
        <w:pStyle w:val="ListParagraph"/>
        <w:widowControl w:val="0"/>
        <w:numPr>
          <w:ilvl w:val="0"/>
          <w:numId w:val="7"/>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Calibri"/>
          <w:color w:val="000000" w:themeColor="text1"/>
          <w:lang w:bidi="en-US"/>
        </w:rPr>
      </w:pPr>
      <w:r w:rsidRPr="0032494C">
        <w:rPr>
          <w:rFonts w:cs="Calibri"/>
          <w:color w:val="000000" w:themeColor="text1"/>
          <w:lang w:bidi="en-US"/>
        </w:rPr>
        <w:t>Year 2</w:t>
      </w:r>
    </w:p>
    <w:p w:rsidRPr="0032494C" w:rsidR="00397F87" w:rsidP="00397F87" w:rsidRDefault="00397F87" w14:paraId="5613F470" w14:textId="675F72A1">
      <w:pPr>
        <w:pStyle w:val="ListParagraph"/>
        <w:widowControl w:val="0"/>
        <w:numPr>
          <w:ilvl w:val="1"/>
          <w:numId w:val="7"/>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Calibri"/>
          <w:color w:val="000000" w:themeColor="text1"/>
          <w:lang w:bidi="en-US"/>
        </w:rPr>
      </w:pPr>
      <w:r w:rsidRPr="0032494C">
        <w:rPr>
          <w:rFonts w:cs="Calibri"/>
          <w:color w:val="000000" w:themeColor="text1"/>
          <w:lang w:bidi="en-US"/>
        </w:rPr>
        <w:t xml:space="preserve">Interview subset of staff leads (n=8) from </w:t>
      </w:r>
      <w:r w:rsidRPr="0032494C" w:rsidR="004A52C5">
        <w:rPr>
          <w:rFonts w:cs="Calibri"/>
          <w:color w:val="000000" w:themeColor="text1"/>
          <w:lang w:bidi="en-US"/>
        </w:rPr>
        <w:t>h</w:t>
      </w:r>
      <w:r w:rsidRPr="0032494C">
        <w:rPr>
          <w:rFonts w:cs="Calibri"/>
          <w:color w:val="000000" w:themeColor="text1"/>
          <w:lang w:bidi="en-US"/>
        </w:rPr>
        <w:t xml:space="preserve">ub leader sites, a subset of staff leads </w:t>
      </w:r>
      <w:r w:rsidRPr="0032494C" w:rsidR="00D37411">
        <w:rPr>
          <w:rFonts w:cs="Calibri"/>
          <w:color w:val="000000" w:themeColor="text1"/>
          <w:lang w:bidi="en-US"/>
        </w:rPr>
        <w:t xml:space="preserve">(n=6) </w:t>
      </w:r>
      <w:r w:rsidRPr="0032494C">
        <w:rPr>
          <w:rFonts w:cs="Calibri"/>
          <w:color w:val="000000" w:themeColor="text1"/>
          <w:lang w:bidi="en-US"/>
        </w:rPr>
        <w:t xml:space="preserve">from key partner sites, and a subset of staff leads </w:t>
      </w:r>
      <w:r w:rsidRPr="0032494C" w:rsidR="00D37411">
        <w:rPr>
          <w:rFonts w:cs="Calibri"/>
          <w:color w:val="000000" w:themeColor="text1"/>
          <w:lang w:bidi="en-US"/>
        </w:rPr>
        <w:t xml:space="preserve">(n=6) </w:t>
      </w:r>
      <w:r w:rsidRPr="0032494C">
        <w:rPr>
          <w:rFonts w:cs="Calibri"/>
          <w:color w:val="000000" w:themeColor="text1"/>
          <w:lang w:bidi="en-US"/>
        </w:rPr>
        <w:t>from collaborating sites</w:t>
      </w:r>
      <w:r w:rsidRPr="0032494C" w:rsidR="00D37411">
        <w:rPr>
          <w:rFonts w:cs="Calibri"/>
          <w:color w:val="000000" w:themeColor="text1"/>
          <w:lang w:bidi="en-US"/>
        </w:rPr>
        <w:t>.</w:t>
      </w:r>
    </w:p>
    <w:p w:rsidRPr="0032494C" w:rsidR="00815B1A" w:rsidP="00815B1A" w:rsidRDefault="00815B1A" w14:paraId="63AA6F62" w14:textId="75C32D68">
      <w:pPr>
        <w:pStyle w:val="ListParagraph"/>
        <w:widowControl w:val="0"/>
        <w:numPr>
          <w:ilvl w:val="1"/>
          <w:numId w:val="7"/>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Calibri"/>
          <w:color w:val="000000" w:themeColor="text1"/>
          <w:lang w:bidi="en-US"/>
        </w:rPr>
      </w:pPr>
      <w:r w:rsidRPr="0032494C">
        <w:rPr>
          <w:rFonts w:cs="Calibri"/>
          <w:color w:val="000000" w:themeColor="text1"/>
          <w:lang w:bidi="en-US"/>
        </w:rPr>
        <w:t xml:space="preserve">Survey staff leads at all </w:t>
      </w:r>
      <w:r w:rsidRPr="0032494C" w:rsidR="00AC3A5E">
        <w:rPr>
          <w:rFonts w:cs="Calibri"/>
          <w:color w:val="000000" w:themeColor="text1"/>
          <w:lang w:bidi="en-US"/>
        </w:rPr>
        <w:t>h</w:t>
      </w:r>
      <w:r w:rsidRPr="0032494C">
        <w:rPr>
          <w:rFonts w:cs="Calibri"/>
          <w:color w:val="000000" w:themeColor="text1"/>
          <w:lang w:bidi="en-US"/>
        </w:rPr>
        <w:t>ub leader sites, all key partner sites, and all collaborating sites. We do not yet know the final number of sites, but we estimate it will be about 40.</w:t>
      </w:r>
    </w:p>
    <w:p w:rsidRPr="0032494C" w:rsidR="00815B1A" w:rsidP="00815B1A" w:rsidRDefault="00815B1A" w14:paraId="18CC4A75" w14:textId="3925C47E">
      <w:pPr>
        <w:pStyle w:val="ListParagraph"/>
        <w:widowControl w:val="0"/>
        <w:numPr>
          <w:ilvl w:val="1"/>
          <w:numId w:val="7"/>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Calibri"/>
          <w:color w:val="000000" w:themeColor="text1"/>
          <w:lang w:bidi="en-US"/>
        </w:rPr>
      </w:pPr>
      <w:r w:rsidRPr="0032494C">
        <w:rPr>
          <w:rFonts w:cs="Calibri"/>
          <w:color w:val="000000" w:themeColor="text1"/>
          <w:lang w:bidi="en-US"/>
        </w:rPr>
        <w:t>Conduct focus groups</w:t>
      </w:r>
      <w:r w:rsidRPr="0032494C" w:rsidR="00042A46">
        <w:rPr>
          <w:rFonts w:cs="Calibri"/>
        </w:rPr>
        <w:t xml:space="preserve"> (n=2) During the Year 2 national meeting, EDC will provide a focus group training to </w:t>
      </w:r>
      <w:r w:rsidRPr="0032494C" w:rsidR="00AC3A5E">
        <w:rPr>
          <w:rFonts w:cs="Calibri"/>
        </w:rPr>
        <w:t>h</w:t>
      </w:r>
      <w:r w:rsidRPr="0032494C" w:rsidR="00042A46">
        <w:rPr>
          <w:rFonts w:cs="Calibri"/>
        </w:rPr>
        <w:t>ub and partner organizations, who will conduct their own focus groups. Across six states, we anticipate there will be a total of 30 focus groups per year (60 total), with approximately 8 participants per focus group.</w:t>
      </w:r>
    </w:p>
    <w:p w:rsidRPr="0032494C" w:rsidR="00D0185F" w:rsidP="00D0185F" w:rsidRDefault="00D0185F" w14:paraId="6866C10B" w14:textId="3EEBB27E">
      <w:pPr>
        <w:pStyle w:val="ListParagraph"/>
        <w:widowControl w:val="0"/>
        <w:numPr>
          <w:ilvl w:val="0"/>
          <w:numId w:val="7"/>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Calibri"/>
          <w:color w:val="000000" w:themeColor="text1"/>
          <w:lang w:bidi="en-US"/>
        </w:rPr>
      </w:pPr>
      <w:r w:rsidRPr="0032494C">
        <w:rPr>
          <w:rFonts w:cs="Calibri"/>
          <w:color w:val="000000" w:themeColor="text1"/>
          <w:lang w:bidi="en-US"/>
        </w:rPr>
        <w:t>Year 3</w:t>
      </w:r>
    </w:p>
    <w:p w:rsidRPr="0032494C" w:rsidR="00D0185F" w:rsidP="00D0185F" w:rsidRDefault="00D0185F" w14:paraId="7ED5624B" w14:textId="1DB13EC5">
      <w:pPr>
        <w:pStyle w:val="ListParagraph"/>
        <w:widowControl w:val="0"/>
        <w:numPr>
          <w:ilvl w:val="1"/>
          <w:numId w:val="7"/>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Calibri"/>
          <w:color w:val="000000" w:themeColor="text1"/>
          <w:lang w:bidi="en-US"/>
        </w:rPr>
      </w:pPr>
      <w:r w:rsidRPr="0032494C">
        <w:rPr>
          <w:rFonts w:cs="Calibri"/>
          <w:color w:val="000000" w:themeColor="text1"/>
          <w:lang w:bidi="en-US"/>
        </w:rPr>
        <w:t xml:space="preserve">Interview subset of staff leads (n=8) from </w:t>
      </w:r>
      <w:r w:rsidRPr="0032494C" w:rsidR="00AC3A5E">
        <w:rPr>
          <w:rFonts w:cs="Calibri"/>
          <w:color w:val="000000" w:themeColor="text1"/>
          <w:lang w:bidi="en-US"/>
        </w:rPr>
        <w:t>h</w:t>
      </w:r>
      <w:r w:rsidRPr="0032494C">
        <w:rPr>
          <w:rFonts w:cs="Calibri"/>
          <w:color w:val="000000" w:themeColor="text1"/>
          <w:lang w:bidi="en-US"/>
        </w:rPr>
        <w:t>ub leader sites, a subset of staff leads from key partner sites (n=6), and a subset of staff leads from collaborating sites (n=6)</w:t>
      </w:r>
    </w:p>
    <w:p w:rsidRPr="0032494C" w:rsidR="00D0185F" w:rsidP="00D0185F" w:rsidRDefault="00D0185F" w14:paraId="5B28CBAF" w14:textId="7B589E9C">
      <w:pPr>
        <w:pStyle w:val="ListParagraph"/>
        <w:widowControl w:val="0"/>
        <w:numPr>
          <w:ilvl w:val="1"/>
          <w:numId w:val="7"/>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Calibri"/>
          <w:color w:val="000000" w:themeColor="text1"/>
          <w:lang w:bidi="en-US"/>
        </w:rPr>
      </w:pPr>
      <w:r w:rsidRPr="0032494C">
        <w:rPr>
          <w:rFonts w:cs="Calibri"/>
          <w:color w:val="000000" w:themeColor="text1"/>
          <w:lang w:bidi="en-US"/>
        </w:rPr>
        <w:t xml:space="preserve">Survey staff leads at all </w:t>
      </w:r>
      <w:r w:rsidRPr="0032494C" w:rsidR="00AC3A5E">
        <w:rPr>
          <w:rFonts w:cs="Calibri"/>
          <w:color w:val="000000" w:themeColor="text1"/>
          <w:lang w:bidi="en-US"/>
        </w:rPr>
        <w:t>h</w:t>
      </w:r>
      <w:r w:rsidRPr="0032494C">
        <w:rPr>
          <w:rFonts w:cs="Calibri"/>
          <w:color w:val="000000" w:themeColor="text1"/>
          <w:lang w:bidi="en-US"/>
        </w:rPr>
        <w:t>ub leader sites, all key partner sites, and all collaborating sites. We do not yet know the final number of sites, but we estimate it will be about 40.</w:t>
      </w:r>
    </w:p>
    <w:p w:rsidRPr="0032494C" w:rsidR="006C7470" w:rsidP="00AD403C" w:rsidRDefault="00D0185F" w14:paraId="285864CE" w14:textId="6F8EBAE1">
      <w:pPr>
        <w:pStyle w:val="ListParagraph"/>
        <w:widowControl w:val="0"/>
        <w:numPr>
          <w:ilvl w:val="1"/>
          <w:numId w:val="7"/>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lang w:bidi="en-US"/>
        </w:rPr>
      </w:pPr>
      <w:r w:rsidRPr="0032494C">
        <w:rPr>
          <w:rFonts w:cs="Calibri"/>
          <w:color w:val="000000" w:themeColor="text1"/>
          <w:lang w:bidi="en-US"/>
        </w:rPr>
        <w:t>Conduct focus groups</w:t>
      </w:r>
      <w:r w:rsidRPr="0032494C">
        <w:rPr>
          <w:rFonts w:cs="Calibri"/>
        </w:rPr>
        <w:t xml:space="preserve"> (n=2</w:t>
      </w:r>
      <w:r w:rsidR="00AD403C">
        <w:rPr>
          <w:rFonts w:cs="Calibri"/>
        </w:rPr>
        <w:t xml:space="preserve"> focus groups; 16 participants in total</w:t>
      </w:r>
      <w:r w:rsidRPr="0032494C">
        <w:rPr>
          <w:rFonts w:cs="Calibri"/>
        </w:rPr>
        <w:t xml:space="preserve">) During the Year 2 national meeting, EDC will provide a focus group training to </w:t>
      </w:r>
      <w:r w:rsidRPr="0032494C" w:rsidR="00AC3A5E">
        <w:rPr>
          <w:rFonts w:cs="Calibri"/>
        </w:rPr>
        <w:t>h</w:t>
      </w:r>
      <w:r w:rsidRPr="0032494C">
        <w:rPr>
          <w:rFonts w:cs="Calibri"/>
        </w:rPr>
        <w:t>ub and partner organizations, who will conduct their own focus groups. Across six states, we anticipate there will be a total of 30 focus groups per year (</w:t>
      </w:r>
      <w:r w:rsidR="00833D23">
        <w:rPr>
          <w:rFonts w:cs="Calibri"/>
        </w:rPr>
        <w:t>n=</w:t>
      </w:r>
      <w:r w:rsidRPr="0032494C">
        <w:rPr>
          <w:rFonts w:cs="Calibri"/>
        </w:rPr>
        <w:t xml:space="preserve">60 </w:t>
      </w:r>
      <w:r w:rsidR="00AD403C">
        <w:rPr>
          <w:rFonts w:cs="Calibri"/>
        </w:rPr>
        <w:t xml:space="preserve">focus groups </w:t>
      </w:r>
      <w:r w:rsidRPr="0032494C">
        <w:rPr>
          <w:rFonts w:cs="Calibri"/>
        </w:rPr>
        <w:t>total), with approximately 8 participants per focus group</w:t>
      </w:r>
      <w:r w:rsidR="00AD403C">
        <w:rPr>
          <w:rFonts w:cs="Calibri"/>
        </w:rPr>
        <w:t xml:space="preserve"> (</w:t>
      </w:r>
      <w:r w:rsidR="00833D23">
        <w:rPr>
          <w:rFonts w:cs="Calibri"/>
        </w:rPr>
        <w:t>n=480 participants in total)</w:t>
      </w:r>
      <w:r w:rsidRPr="0032494C">
        <w:rPr>
          <w:rFonts w:cs="Calibri"/>
        </w:rPr>
        <w:t>.</w:t>
      </w:r>
    </w:p>
    <w:p w:rsidRPr="0032494C" w:rsidR="006C7470" w:rsidP="006C7470" w:rsidRDefault="006C7470" w14:paraId="75DF667F" w14:textId="65EDA979">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themeColor="text1"/>
          <w:sz w:val="22"/>
          <w:szCs w:val="22"/>
          <w:lang w:bidi="en-US"/>
        </w:rPr>
      </w:pPr>
    </w:p>
    <w:p w:rsidRPr="0032494C" w:rsidR="001F2B3D" w:rsidP="001F2B3D" w:rsidRDefault="001F2B3D" w14:paraId="7EB0C606" w14:textId="6C8DB16B">
      <w:pPr>
        <w:pStyle w:val="Caption"/>
        <w:keepNext/>
        <w:spacing w:after="0"/>
        <w:rPr>
          <w:rFonts w:ascii="Calibri" w:hAnsi="Calibri" w:cs="Calibri"/>
          <w:b/>
          <w:i w:val="0"/>
          <w:sz w:val="22"/>
          <w:szCs w:val="22"/>
        </w:rPr>
      </w:pPr>
      <w:bookmarkStart w:name="_Ref36113341" w:id="4"/>
      <w:r w:rsidRPr="0032494C">
        <w:rPr>
          <w:rFonts w:ascii="Calibri" w:hAnsi="Calibri" w:cs="Calibri"/>
          <w:b/>
          <w:i w:val="0"/>
          <w:sz w:val="22"/>
          <w:szCs w:val="22"/>
        </w:rPr>
        <w:t xml:space="preserve">Table </w:t>
      </w:r>
      <w:r w:rsidRPr="0032494C">
        <w:rPr>
          <w:rFonts w:ascii="Calibri" w:hAnsi="Calibri" w:cs="Calibri"/>
          <w:b/>
          <w:i w:val="0"/>
          <w:sz w:val="22"/>
          <w:szCs w:val="22"/>
        </w:rPr>
        <w:fldChar w:fldCharType="begin"/>
      </w:r>
      <w:r w:rsidRPr="0032494C">
        <w:rPr>
          <w:rFonts w:ascii="Calibri" w:hAnsi="Calibri" w:cs="Calibri"/>
          <w:b/>
          <w:i w:val="0"/>
          <w:sz w:val="22"/>
          <w:szCs w:val="22"/>
        </w:rPr>
        <w:instrText xml:space="preserve"> SEQ Table \* ARABIC </w:instrText>
      </w:r>
      <w:r w:rsidRPr="0032494C">
        <w:rPr>
          <w:rFonts w:ascii="Calibri" w:hAnsi="Calibri" w:cs="Calibri"/>
          <w:b/>
          <w:i w:val="0"/>
          <w:sz w:val="22"/>
          <w:szCs w:val="22"/>
        </w:rPr>
        <w:fldChar w:fldCharType="separate"/>
      </w:r>
      <w:r w:rsidR="008F225B">
        <w:rPr>
          <w:rFonts w:ascii="Calibri" w:hAnsi="Calibri" w:cs="Calibri"/>
          <w:b/>
          <w:i w:val="0"/>
          <w:noProof/>
          <w:sz w:val="22"/>
          <w:szCs w:val="22"/>
        </w:rPr>
        <w:t>7</w:t>
      </w:r>
      <w:r w:rsidRPr="0032494C">
        <w:rPr>
          <w:rFonts w:ascii="Calibri" w:hAnsi="Calibri" w:cs="Calibri"/>
          <w:b/>
          <w:i w:val="0"/>
          <w:sz w:val="22"/>
          <w:szCs w:val="22"/>
        </w:rPr>
        <w:fldChar w:fldCharType="end"/>
      </w:r>
      <w:bookmarkEnd w:id="4"/>
      <w:r w:rsidRPr="0032494C">
        <w:rPr>
          <w:rFonts w:ascii="Calibri" w:hAnsi="Calibri" w:cs="Calibri"/>
          <w:b/>
          <w:i w:val="0"/>
          <w:sz w:val="22"/>
          <w:szCs w:val="22"/>
        </w:rPr>
        <w:t>. Summary of Data Collection Activities</w:t>
      </w:r>
    </w:p>
    <w:tbl>
      <w:tblPr>
        <w:tblW w:w="10020" w:type="dxa"/>
        <w:tblLayout w:type="fixed"/>
        <w:tblCellMar>
          <w:left w:w="0" w:type="dxa"/>
          <w:right w:w="0" w:type="dxa"/>
        </w:tblCellMar>
        <w:tblLook w:val="04A0" w:firstRow="1" w:lastRow="0" w:firstColumn="1" w:lastColumn="0" w:noHBand="0" w:noVBand="1"/>
      </w:tblPr>
      <w:tblGrid>
        <w:gridCol w:w="1017"/>
        <w:gridCol w:w="1121"/>
        <w:gridCol w:w="2082"/>
        <w:gridCol w:w="2790"/>
        <w:gridCol w:w="1620"/>
        <w:gridCol w:w="1390"/>
      </w:tblGrid>
      <w:tr w:rsidRPr="0032494C" w:rsidR="00EB57A4" w:rsidTr="00993211" w14:paraId="75FF492E" w14:textId="77777777">
        <w:trPr>
          <w:cantSplit/>
          <w:trHeight w:val="390"/>
        </w:trPr>
        <w:tc>
          <w:tcPr>
            <w:tcW w:w="1017" w:type="dxa"/>
            <w:tcBorders>
              <w:top w:val="single" w:color="auto" w:sz="8" w:space="0"/>
              <w:left w:val="single" w:color="auto" w:sz="8" w:space="0"/>
              <w:bottom w:val="single" w:color="7F7F7F" w:themeColor="text1" w:themeTint="80" w:sz="4" w:space="0"/>
              <w:right w:val="single" w:color="7F7F7F" w:themeColor="text1" w:themeTint="80" w:sz="4" w:space="0"/>
            </w:tcBorders>
            <w:shd w:val="clear" w:color="auto" w:fill="767171" w:themeFill="background2" w:themeFillShade="80"/>
            <w:tcMar>
              <w:top w:w="0" w:type="dxa"/>
              <w:left w:w="108" w:type="dxa"/>
              <w:bottom w:w="0" w:type="dxa"/>
              <w:right w:w="108" w:type="dxa"/>
            </w:tcMar>
            <w:hideMark/>
          </w:tcPr>
          <w:p w:rsidRPr="0032494C" w:rsidR="00556ACC" w:rsidP="00556ACC" w:rsidRDefault="00556ACC" w14:paraId="52B2926A" w14:textId="745D3C3C">
            <w:pPr>
              <w:spacing w:line="233" w:lineRule="atLeast"/>
              <w:rPr>
                <w:rFonts w:ascii="Calibri" w:hAnsi="Calibri" w:cs="Calibri"/>
                <w:color w:val="FFFFFF" w:themeColor="background1"/>
                <w:sz w:val="22"/>
                <w:szCs w:val="22"/>
              </w:rPr>
            </w:pPr>
            <w:r w:rsidRPr="0032494C">
              <w:rPr>
                <w:rFonts w:ascii="Calibri" w:hAnsi="Calibri" w:cs="Calibri"/>
                <w:color w:val="FFFFFF" w:themeColor="background1"/>
                <w:sz w:val="16"/>
                <w:szCs w:val="16"/>
              </w:rPr>
              <w:t>Eval Question (Goal)</w:t>
            </w:r>
          </w:p>
        </w:tc>
        <w:tc>
          <w:tcPr>
            <w:tcW w:w="112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767171" w:themeFill="background2" w:themeFillShade="80"/>
          </w:tcPr>
          <w:p w:rsidRPr="0032494C" w:rsidR="00556ACC" w:rsidP="00556ACC" w:rsidRDefault="00556ACC" w14:paraId="676E641B" w14:textId="5BE28465">
            <w:pPr>
              <w:spacing w:line="233" w:lineRule="atLeast"/>
              <w:rPr>
                <w:rFonts w:ascii="Calibri" w:hAnsi="Calibri" w:cs="Calibri"/>
                <w:color w:val="FFFFFF" w:themeColor="background1"/>
                <w:sz w:val="16"/>
                <w:szCs w:val="16"/>
              </w:rPr>
            </w:pPr>
            <w:r w:rsidRPr="0032494C">
              <w:rPr>
                <w:rFonts w:ascii="Calibri" w:hAnsi="Calibri" w:cs="Calibri"/>
                <w:color w:val="FFFFFF" w:themeColor="background1"/>
                <w:sz w:val="16"/>
                <w:szCs w:val="16"/>
              </w:rPr>
              <w:t>Method</w:t>
            </w:r>
          </w:p>
        </w:tc>
        <w:tc>
          <w:tcPr>
            <w:tcW w:w="2082" w:type="dxa"/>
            <w:tcBorders>
              <w:top w:val="single" w:color="auto" w:sz="8" w:space="0"/>
              <w:left w:val="single" w:color="7F7F7F" w:themeColor="text1" w:themeTint="80" w:sz="4" w:space="0"/>
              <w:bottom w:val="single" w:color="7F7F7F" w:themeColor="text1" w:themeTint="80" w:sz="4" w:space="0"/>
              <w:right w:val="single" w:color="auto" w:sz="8" w:space="0"/>
            </w:tcBorders>
            <w:shd w:val="clear" w:color="auto" w:fill="767171" w:themeFill="background2" w:themeFillShade="80"/>
            <w:tcMar>
              <w:top w:w="0" w:type="dxa"/>
              <w:left w:w="108" w:type="dxa"/>
              <w:bottom w:w="0" w:type="dxa"/>
              <w:right w:w="108" w:type="dxa"/>
            </w:tcMar>
            <w:hideMark/>
          </w:tcPr>
          <w:p w:rsidRPr="0032494C" w:rsidR="00556ACC" w:rsidP="00556ACC" w:rsidRDefault="00556ACC" w14:paraId="27A7C3E0" w14:textId="415EA861">
            <w:pPr>
              <w:spacing w:line="233" w:lineRule="atLeast"/>
              <w:rPr>
                <w:rFonts w:ascii="Calibri" w:hAnsi="Calibri" w:cs="Calibri"/>
                <w:color w:val="FFFFFF" w:themeColor="background1"/>
                <w:sz w:val="22"/>
                <w:szCs w:val="22"/>
              </w:rPr>
            </w:pPr>
            <w:r w:rsidRPr="0032494C">
              <w:rPr>
                <w:rFonts w:ascii="Calibri" w:hAnsi="Calibri" w:cs="Calibri"/>
                <w:color w:val="FFFFFF" w:themeColor="background1"/>
                <w:sz w:val="16"/>
                <w:szCs w:val="16"/>
              </w:rPr>
              <w:t>Method</w:t>
            </w:r>
          </w:p>
        </w:tc>
        <w:tc>
          <w:tcPr>
            <w:tcW w:w="2790" w:type="dxa"/>
            <w:tcBorders>
              <w:top w:val="single" w:color="F2F2F2" w:themeColor="background1" w:themeShade="F2" w:sz="4" w:space="0"/>
              <w:left w:val="single" w:color="7F7F7F" w:themeColor="text1" w:themeTint="80" w:sz="4" w:space="0"/>
              <w:bottom w:val="single" w:color="7F7F7F" w:themeColor="text1" w:themeTint="80" w:sz="4" w:space="0"/>
              <w:right w:val="single" w:color="7F7F7F" w:themeColor="text1" w:themeTint="80" w:sz="4" w:space="0"/>
            </w:tcBorders>
            <w:shd w:val="clear" w:color="auto" w:fill="767171" w:themeFill="background2" w:themeFillShade="80"/>
            <w:tcMar>
              <w:top w:w="0" w:type="dxa"/>
              <w:left w:w="108" w:type="dxa"/>
              <w:bottom w:w="0" w:type="dxa"/>
              <w:right w:w="108" w:type="dxa"/>
            </w:tcMar>
            <w:hideMark/>
          </w:tcPr>
          <w:p w:rsidRPr="0032494C" w:rsidR="00556ACC" w:rsidP="00556ACC" w:rsidRDefault="00556ACC" w14:paraId="6A123A45" w14:textId="725EDF13">
            <w:pPr>
              <w:spacing w:line="233" w:lineRule="atLeast"/>
              <w:rPr>
                <w:rFonts w:ascii="Calibri" w:hAnsi="Calibri" w:cs="Calibri"/>
                <w:color w:val="FFFFFF" w:themeColor="background1"/>
                <w:sz w:val="22"/>
                <w:szCs w:val="22"/>
              </w:rPr>
            </w:pPr>
            <w:r w:rsidRPr="0032494C">
              <w:rPr>
                <w:rFonts w:ascii="Calibri" w:hAnsi="Calibri" w:cs="Calibri"/>
                <w:color w:val="FFFFFF" w:themeColor="background1"/>
                <w:sz w:val="16"/>
                <w:szCs w:val="16"/>
              </w:rPr>
              <w:t>Participant Group(s)*</w:t>
            </w:r>
          </w:p>
        </w:tc>
        <w:tc>
          <w:tcPr>
            <w:tcW w:w="1620" w:type="dxa"/>
            <w:tcBorders>
              <w:top w:val="single" w:color="auto" w:sz="8" w:space="0"/>
              <w:left w:val="single" w:color="7F7F7F" w:themeColor="text1" w:themeTint="80" w:sz="4" w:space="0"/>
              <w:bottom w:val="single" w:color="7F7F7F" w:themeColor="text1" w:themeTint="80" w:sz="4" w:space="0"/>
              <w:right w:val="single" w:color="auto" w:sz="8" w:space="0"/>
            </w:tcBorders>
            <w:shd w:val="clear" w:color="auto" w:fill="767171" w:themeFill="background2" w:themeFillShade="80"/>
            <w:tcMar>
              <w:top w:w="0" w:type="dxa"/>
              <w:left w:w="108" w:type="dxa"/>
              <w:bottom w:w="0" w:type="dxa"/>
              <w:right w:w="108" w:type="dxa"/>
            </w:tcMar>
            <w:hideMark/>
          </w:tcPr>
          <w:p w:rsidRPr="0032494C" w:rsidR="00556ACC" w:rsidP="00556ACC" w:rsidRDefault="00556ACC" w14:paraId="5852575C" w14:textId="06B84122">
            <w:pPr>
              <w:spacing w:line="233" w:lineRule="atLeast"/>
              <w:rPr>
                <w:rFonts w:ascii="Calibri" w:hAnsi="Calibri" w:cs="Calibri"/>
                <w:color w:val="FFFFFF" w:themeColor="background1"/>
                <w:sz w:val="22"/>
                <w:szCs w:val="22"/>
              </w:rPr>
            </w:pPr>
            <w:r w:rsidRPr="0032494C">
              <w:rPr>
                <w:rFonts w:ascii="Calibri" w:hAnsi="Calibri" w:cs="Calibri"/>
                <w:color w:val="FFFFFF" w:themeColor="background1"/>
                <w:sz w:val="16"/>
                <w:szCs w:val="16"/>
              </w:rPr>
              <w:t xml:space="preserve">Date of </w:t>
            </w:r>
            <w:r w:rsidRPr="0032494C" w:rsidR="00964EFE">
              <w:rPr>
                <w:rFonts w:ascii="Calibri" w:hAnsi="Calibri" w:cs="Calibri"/>
                <w:color w:val="FFFFFF" w:themeColor="background1"/>
                <w:sz w:val="16"/>
                <w:szCs w:val="16"/>
              </w:rPr>
              <w:t>Data Collection</w:t>
            </w:r>
          </w:p>
        </w:tc>
        <w:tc>
          <w:tcPr>
            <w:tcW w:w="1390" w:type="dxa"/>
            <w:tcBorders>
              <w:top w:val="single" w:color="auto" w:sz="8" w:space="0"/>
              <w:left w:val="nil"/>
              <w:bottom w:val="single" w:color="7F7F7F" w:themeColor="text1" w:themeTint="80" w:sz="4" w:space="0"/>
              <w:right w:val="single" w:color="auto" w:sz="8" w:space="0"/>
            </w:tcBorders>
            <w:shd w:val="clear" w:color="auto" w:fill="767171" w:themeFill="background2" w:themeFillShade="80"/>
            <w:tcMar>
              <w:top w:w="0" w:type="dxa"/>
              <w:left w:w="108" w:type="dxa"/>
              <w:bottom w:w="0" w:type="dxa"/>
              <w:right w:w="108" w:type="dxa"/>
            </w:tcMar>
            <w:hideMark/>
          </w:tcPr>
          <w:p w:rsidRPr="0032494C" w:rsidR="00556ACC" w:rsidP="00556ACC" w:rsidRDefault="00556ACC" w14:paraId="69EE4CA5" w14:textId="0C0D4F81">
            <w:pPr>
              <w:spacing w:line="233" w:lineRule="atLeast"/>
              <w:rPr>
                <w:rFonts w:ascii="Calibri" w:hAnsi="Calibri" w:cs="Calibri"/>
                <w:color w:val="FFFFFF" w:themeColor="background1"/>
                <w:sz w:val="22"/>
                <w:szCs w:val="22"/>
              </w:rPr>
            </w:pPr>
            <w:r w:rsidRPr="0032494C">
              <w:rPr>
                <w:rFonts w:ascii="Calibri" w:hAnsi="Calibri" w:cs="Calibri"/>
                <w:color w:val="FFFFFF" w:themeColor="background1"/>
                <w:sz w:val="16"/>
                <w:szCs w:val="16"/>
              </w:rPr>
              <w:t>Corresponding Question(s) from instruments**</w:t>
            </w:r>
          </w:p>
        </w:tc>
      </w:tr>
      <w:tr w:rsidRPr="0032494C" w:rsidR="00FD6FE3" w:rsidTr="00993211" w14:paraId="1AB122AC" w14:textId="77777777">
        <w:trPr>
          <w:cantSplit/>
          <w:trHeight w:val="356"/>
        </w:trPr>
        <w:tc>
          <w:tcPr>
            <w:tcW w:w="1017" w:type="dxa"/>
            <w:vMerge w:val="restart"/>
            <w:tcBorders>
              <w:top w:val="single" w:color="7F7F7F" w:themeColor="text1" w:themeTint="80" w:sz="4" w:space="0"/>
              <w:left w:val="single" w:color="7F7F7F" w:themeColor="text1" w:themeTint="80" w:sz="4" w:space="0"/>
              <w:right w:val="single" w:color="7F7F7F" w:themeColor="text1" w:themeTint="80" w:sz="4" w:space="0"/>
            </w:tcBorders>
            <w:tcMar>
              <w:top w:w="0" w:type="dxa"/>
              <w:left w:w="108" w:type="dxa"/>
              <w:bottom w:w="0" w:type="dxa"/>
              <w:right w:w="108" w:type="dxa"/>
            </w:tcMar>
            <w:vAlign w:val="center"/>
          </w:tcPr>
          <w:p w:rsidRPr="0032494C" w:rsidR="00FD6FE3" w:rsidP="00556ACC" w:rsidRDefault="00FD6FE3" w14:paraId="695818D9" w14:textId="77777777">
            <w:pPr>
              <w:spacing w:line="233" w:lineRule="atLeast"/>
              <w:rPr>
                <w:rFonts w:ascii="Calibri" w:hAnsi="Calibri" w:cs="Calibri"/>
                <w:color w:val="000000"/>
                <w:sz w:val="17"/>
                <w:szCs w:val="17"/>
              </w:rPr>
            </w:pPr>
            <w:r w:rsidRPr="0032494C">
              <w:rPr>
                <w:rFonts w:ascii="Calibri" w:hAnsi="Calibri" w:cs="Calibri"/>
                <w:color w:val="000000"/>
                <w:sz w:val="17"/>
                <w:szCs w:val="17"/>
              </w:rPr>
              <w:t xml:space="preserve">EQ1 </w:t>
            </w:r>
          </w:p>
          <w:p w:rsidRPr="0032494C" w:rsidR="00FD6FE3" w:rsidP="00556ACC" w:rsidRDefault="00FD6FE3" w14:paraId="4370F6B6" w14:textId="73BE3EFB">
            <w:pPr>
              <w:spacing w:line="233" w:lineRule="atLeast"/>
              <w:rPr>
                <w:rFonts w:ascii="Calibri" w:hAnsi="Calibri" w:cs="Calibri"/>
                <w:color w:val="000000"/>
                <w:sz w:val="17"/>
                <w:szCs w:val="17"/>
              </w:rPr>
            </w:pPr>
            <w:r w:rsidRPr="0032494C">
              <w:rPr>
                <w:rFonts w:ascii="Calibri" w:hAnsi="Calibri" w:cs="Calibri"/>
                <w:color w:val="000000"/>
                <w:sz w:val="17"/>
                <w:szCs w:val="17"/>
              </w:rPr>
              <w:t>(Goal 1)</w:t>
            </w:r>
          </w:p>
        </w:tc>
        <w:tc>
          <w:tcPr>
            <w:tcW w:w="112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vAlign w:val="center"/>
          </w:tcPr>
          <w:p w:rsidRPr="0032494C" w:rsidR="00FD6FE3" w:rsidP="00993211" w:rsidRDefault="009405A0" w14:paraId="4F0034F9" w14:textId="3103E72D">
            <w:pPr>
              <w:spacing w:line="233" w:lineRule="atLeast"/>
              <w:ind w:left="88"/>
              <w:rPr>
                <w:rFonts w:ascii="Calibri" w:hAnsi="Calibri" w:cs="Calibri"/>
                <w:color w:val="000000"/>
                <w:sz w:val="17"/>
                <w:szCs w:val="17"/>
              </w:rPr>
            </w:pPr>
            <w:r w:rsidRPr="0032494C">
              <w:rPr>
                <w:rFonts w:ascii="Calibri" w:hAnsi="Calibri" w:cs="Calibri"/>
                <w:color w:val="000000"/>
                <w:sz w:val="17"/>
                <w:szCs w:val="17"/>
              </w:rPr>
              <w:t>Document review</w:t>
            </w:r>
          </w:p>
        </w:tc>
        <w:tc>
          <w:tcPr>
            <w:tcW w:w="2082" w:type="dxa"/>
            <w:tcBorders>
              <w:top w:val="single" w:color="7F7F7F" w:themeColor="text1" w:themeTint="80" w:sz="4" w:space="0"/>
              <w:left w:val="single" w:color="7F7F7F" w:themeColor="text1" w:themeTint="80" w:sz="4" w:space="0"/>
              <w:right w:val="single" w:color="auto" w:sz="8" w:space="0"/>
            </w:tcBorders>
            <w:tcMar>
              <w:top w:w="0" w:type="dxa"/>
              <w:left w:w="108" w:type="dxa"/>
              <w:bottom w:w="0" w:type="dxa"/>
              <w:right w:w="108" w:type="dxa"/>
            </w:tcMar>
            <w:vAlign w:val="center"/>
          </w:tcPr>
          <w:p w:rsidRPr="0032494C" w:rsidR="00FD6FE3" w:rsidP="00556ACC" w:rsidRDefault="00EB57A4" w14:paraId="67DB0E20" w14:textId="733A3DF9">
            <w:pPr>
              <w:spacing w:line="233" w:lineRule="atLeast"/>
              <w:rPr>
                <w:rFonts w:ascii="Calibri" w:hAnsi="Calibri" w:cs="Calibri"/>
                <w:sz w:val="17"/>
                <w:szCs w:val="17"/>
              </w:rPr>
            </w:pPr>
            <w:r w:rsidRPr="0032494C">
              <w:rPr>
                <w:rFonts w:ascii="Calibri" w:hAnsi="Calibri" w:cs="Calibri"/>
                <w:sz w:val="18"/>
                <w:szCs w:val="18"/>
              </w:rPr>
              <w:t xml:space="preserve">Review of reports and documentation from previous grants </w:t>
            </w:r>
          </w:p>
        </w:tc>
        <w:tc>
          <w:tcPr>
            <w:tcW w:w="2790" w:type="dxa"/>
            <w:tcBorders>
              <w:top w:val="single" w:color="7F7F7F" w:themeColor="text1" w:themeTint="80" w:sz="4" w:space="0"/>
              <w:left w:val="single" w:color="7F7F7F" w:themeColor="text1" w:themeTint="80" w:sz="4" w:space="0"/>
              <w:bottom w:val="single" w:color="auto" w:sz="8" w:space="0"/>
              <w:right w:val="single" w:color="7F7F7F" w:themeColor="text1" w:themeTint="80" w:sz="4" w:space="0"/>
            </w:tcBorders>
            <w:tcMar>
              <w:top w:w="0" w:type="dxa"/>
              <w:left w:w="108" w:type="dxa"/>
              <w:bottom w:w="0" w:type="dxa"/>
              <w:right w:w="108" w:type="dxa"/>
            </w:tcMar>
            <w:vAlign w:val="center"/>
          </w:tcPr>
          <w:p w:rsidRPr="0032494C" w:rsidR="00FD6FE3" w:rsidP="00556ACC" w:rsidRDefault="00EB57A4" w14:paraId="475EFEA0" w14:textId="09AB5DBB">
            <w:pPr>
              <w:spacing w:line="233" w:lineRule="atLeast"/>
              <w:rPr>
                <w:rFonts w:ascii="Calibri" w:hAnsi="Calibri" w:cs="Calibri"/>
                <w:color w:val="000000"/>
                <w:sz w:val="17"/>
                <w:szCs w:val="17"/>
              </w:rPr>
            </w:pPr>
            <w:r w:rsidRPr="0032494C">
              <w:rPr>
                <w:rFonts w:ascii="Calibri" w:hAnsi="Calibri" w:cs="Calibri"/>
                <w:color w:val="000000"/>
                <w:sz w:val="17"/>
                <w:szCs w:val="17"/>
              </w:rPr>
              <w:t>n/a</w:t>
            </w:r>
          </w:p>
        </w:tc>
        <w:tc>
          <w:tcPr>
            <w:tcW w:w="1620" w:type="dxa"/>
            <w:tcBorders>
              <w:top w:val="single" w:color="7F7F7F" w:themeColor="text1" w:themeTint="80" w:sz="4" w:space="0"/>
              <w:left w:val="single" w:color="7F7F7F" w:themeColor="text1" w:themeTint="80" w:sz="4" w:space="0"/>
              <w:bottom w:val="single" w:color="auto" w:sz="8" w:space="0"/>
              <w:right w:val="single" w:color="auto" w:sz="8" w:space="0"/>
            </w:tcBorders>
            <w:tcMar>
              <w:top w:w="0" w:type="dxa"/>
              <w:left w:w="108" w:type="dxa"/>
              <w:bottom w:w="0" w:type="dxa"/>
              <w:right w:w="108" w:type="dxa"/>
            </w:tcMar>
            <w:vAlign w:val="center"/>
          </w:tcPr>
          <w:p w:rsidRPr="0032494C" w:rsidR="00FD6FE3" w:rsidP="00556ACC" w:rsidRDefault="00EB57A4" w14:paraId="1A00416D" w14:textId="1EB9D7FE">
            <w:pPr>
              <w:spacing w:line="233" w:lineRule="atLeast"/>
              <w:rPr>
                <w:rFonts w:ascii="Calibri" w:hAnsi="Calibri" w:cs="Calibri"/>
                <w:color w:val="000000"/>
                <w:sz w:val="17"/>
                <w:szCs w:val="17"/>
              </w:rPr>
            </w:pPr>
            <w:r w:rsidRPr="0032494C">
              <w:rPr>
                <w:rFonts w:ascii="Calibri" w:hAnsi="Calibri" w:cs="Calibri"/>
                <w:color w:val="000000"/>
                <w:sz w:val="17"/>
                <w:szCs w:val="17"/>
              </w:rPr>
              <w:t>Year 1</w:t>
            </w:r>
          </w:p>
        </w:tc>
        <w:tc>
          <w:tcPr>
            <w:tcW w:w="1390" w:type="dxa"/>
            <w:tcBorders>
              <w:top w:val="single" w:color="7F7F7F" w:themeColor="text1" w:themeTint="80" w:sz="4" w:space="0"/>
              <w:left w:val="nil"/>
              <w:bottom w:val="single" w:color="auto" w:sz="8" w:space="0"/>
              <w:right w:val="single" w:color="7F7F7F" w:themeColor="text1" w:themeTint="80" w:sz="4" w:space="0"/>
            </w:tcBorders>
            <w:tcMar>
              <w:top w:w="0" w:type="dxa"/>
              <w:left w:w="108" w:type="dxa"/>
              <w:bottom w:w="0" w:type="dxa"/>
              <w:right w:w="108" w:type="dxa"/>
            </w:tcMar>
            <w:vAlign w:val="center"/>
          </w:tcPr>
          <w:p w:rsidRPr="0032494C" w:rsidR="00FD6FE3" w:rsidP="00556ACC" w:rsidRDefault="00EB57A4" w14:paraId="5DC2F155" w14:textId="558C728A">
            <w:pPr>
              <w:spacing w:line="233" w:lineRule="atLeast"/>
              <w:rPr>
                <w:rFonts w:ascii="Calibri" w:hAnsi="Calibri" w:cs="Calibri"/>
                <w:color w:val="000000"/>
                <w:sz w:val="17"/>
                <w:szCs w:val="17"/>
              </w:rPr>
            </w:pPr>
            <w:r w:rsidRPr="0032494C">
              <w:rPr>
                <w:rFonts w:ascii="Calibri" w:hAnsi="Calibri" w:cs="Calibri"/>
                <w:color w:val="000000"/>
                <w:sz w:val="17"/>
                <w:szCs w:val="17"/>
              </w:rPr>
              <w:t>n/a</w:t>
            </w:r>
          </w:p>
        </w:tc>
      </w:tr>
      <w:tr w:rsidRPr="0032494C" w:rsidR="00FD6FE3" w:rsidTr="00993211" w14:paraId="3E947EA8" w14:textId="77777777">
        <w:trPr>
          <w:cantSplit/>
          <w:trHeight w:val="356"/>
        </w:trPr>
        <w:tc>
          <w:tcPr>
            <w:tcW w:w="1017" w:type="dxa"/>
            <w:vMerge/>
            <w:tcBorders>
              <w:left w:val="single" w:color="7F7F7F" w:themeColor="text1" w:themeTint="80" w:sz="4" w:space="0"/>
              <w:right w:val="single" w:color="7F7F7F" w:themeColor="text1" w:themeTint="80" w:sz="4" w:space="0"/>
            </w:tcBorders>
            <w:tcMar>
              <w:top w:w="0" w:type="dxa"/>
              <w:left w:w="108" w:type="dxa"/>
              <w:bottom w:w="0" w:type="dxa"/>
              <w:right w:w="108" w:type="dxa"/>
            </w:tcMar>
            <w:vAlign w:val="center"/>
            <w:hideMark/>
          </w:tcPr>
          <w:p w:rsidRPr="0032494C" w:rsidR="00FD6FE3" w:rsidP="00556ACC" w:rsidRDefault="00FD6FE3" w14:paraId="5DA7517C" w14:textId="4929F2E5">
            <w:pPr>
              <w:spacing w:line="233" w:lineRule="atLeast"/>
              <w:rPr>
                <w:rFonts w:ascii="Calibri" w:hAnsi="Calibri" w:cs="Calibri"/>
                <w:sz w:val="17"/>
                <w:szCs w:val="17"/>
              </w:rPr>
            </w:pPr>
          </w:p>
        </w:tc>
        <w:tc>
          <w:tcPr>
            <w:tcW w:w="112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vAlign w:val="center"/>
          </w:tcPr>
          <w:p w:rsidRPr="0032494C" w:rsidR="00FD6FE3" w:rsidP="00211111" w:rsidRDefault="00FD6FE3" w14:paraId="48EBEBBF" w14:textId="1BFDED63">
            <w:pPr>
              <w:spacing w:line="233" w:lineRule="atLeast"/>
              <w:ind w:left="84"/>
              <w:rPr>
                <w:rFonts w:ascii="Calibri" w:hAnsi="Calibri" w:cs="Calibri"/>
                <w:color w:val="000000"/>
                <w:sz w:val="17"/>
                <w:szCs w:val="17"/>
              </w:rPr>
            </w:pPr>
            <w:r w:rsidRPr="0032494C">
              <w:rPr>
                <w:rFonts w:ascii="Calibri" w:hAnsi="Calibri" w:cs="Calibri"/>
                <w:color w:val="000000"/>
                <w:sz w:val="17"/>
                <w:szCs w:val="17"/>
              </w:rPr>
              <w:t>Interview I</w:t>
            </w:r>
          </w:p>
        </w:tc>
        <w:tc>
          <w:tcPr>
            <w:tcW w:w="2082" w:type="dxa"/>
            <w:vMerge w:val="restart"/>
            <w:tcBorders>
              <w:top w:val="single" w:color="7F7F7F" w:themeColor="text1" w:themeTint="80" w:sz="4" w:space="0"/>
              <w:left w:val="single" w:color="7F7F7F" w:themeColor="text1" w:themeTint="80" w:sz="4" w:space="0"/>
              <w:right w:val="single" w:color="auto" w:sz="8" w:space="0"/>
            </w:tcBorders>
            <w:tcMar>
              <w:top w:w="0" w:type="dxa"/>
              <w:left w:w="108" w:type="dxa"/>
              <w:bottom w:w="0" w:type="dxa"/>
              <w:right w:w="108" w:type="dxa"/>
            </w:tcMar>
            <w:vAlign w:val="center"/>
          </w:tcPr>
          <w:p w:rsidRPr="0032494C" w:rsidR="00FD6FE3" w:rsidP="00556ACC" w:rsidRDefault="00FD6FE3" w14:paraId="4739491D" w14:textId="77777777">
            <w:pPr>
              <w:spacing w:line="233" w:lineRule="atLeast"/>
              <w:rPr>
                <w:rFonts w:ascii="Calibri" w:hAnsi="Calibri" w:cs="Calibri"/>
                <w:sz w:val="17"/>
                <w:szCs w:val="17"/>
              </w:rPr>
            </w:pPr>
            <w:r w:rsidRPr="0032494C">
              <w:rPr>
                <w:rFonts w:ascii="Calibri" w:hAnsi="Calibri" w:cs="Calibri"/>
                <w:sz w:val="17"/>
                <w:szCs w:val="17"/>
              </w:rPr>
              <w:t xml:space="preserve">Video conferencing app </w:t>
            </w:r>
          </w:p>
          <w:p w:rsidRPr="0032494C" w:rsidR="00FD6FE3" w:rsidP="00556ACC" w:rsidRDefault="00FD6FE3" w14:paraId="76EDF1E9" w14:textId="4B6A472C">
            <w:pPr>
              <w:spacing w:line="233" w:lineRule="atLeast"/>
              <w:rPr>
                <w:rFonts w:ascii="Calibri" w:hAnsi="Calibri" w:cs="Calibri"/>
                <w:sz w:val="17"/>
                <w:szCs w:val="17"/>
              </w:rPr>
            </w:pPr>
            <w:r w:rsidRPr="0032494C">
              <w:rPr>
                <w:rFonts w:ascii="Calibri" w:hAnsi="Calibri" w:cs="Calibri"/>
                <w:sz w:val="17"/>
                <w:szCs w:val="17"/>
              </w:rPr>
              <w:t>(e.g., Zoom)</w:t>
            </w:r>
          </w:p>
        </w:tc>
        <w:tc>
          <w:tcPr>
            <w:tcW w:w="2790" w:type="dxa"/>
            <w:tcBorders>
              <w:top w:val="single" w:color="7F7F7F" w:themeColor="text1" w:themeTint="80" w:sz="4" w:space="0"/>
              <w:left w:val="single" w:color="7F7F7F" w:themeColor="text1" w:themeTint="80" w:sz="4" w:space="0"/>
              <w:bottom w:val="single" w:color="auto" w:sz="8" w:space="0"/>
              <w:right w:val="single" w:color="7F7F7F" w:themeColor="text1" w:themeTint="80" w:sz="4" w:space="0"/>
            </w:tcBorders>
            <w:tcMar>
              <w:top w:w="0" w:type="dxa"/>
              <w:left w:w="108" w:type="dxa"/>
              <w:bottom w:w="0" w:type="dxa"/>
              <w:right w:w="108" w:type="dxa"/>
            </w:tcMar>
            <w:vAlign w:val="center"/>
            <w:hideMark/>
          </w:tcPr>
          <w:p w:rsidRPr="0032494C" w:rsidR="00FD6FE3" w:rsidP="00556ACC" w:rsidRDefault="00FD6FE3" w14:paraId="21667F1E" w14:textId="49E28E93">
            <w:pPr>
              <w:spacing w:line="233" w:lineRule="atLeast"/>
              <w:rPr>
                <w:rFonts w:ascii="Calibri" w:hAnsi="Calibri" w:cs="Calibri"/>
                <w:sz w:val="17"/>
                <w:szCs w:val="17"/>
              </w:rPr>
            </w:pPr>
            <w:r w:rsidRPr="0032494C">
              <w:rPr>
                <w:rFonts w:ascii="Calibri" w:hAnsi="Calibri" w:cs="Calibri"/>
                <w:color w:val="000000"/>
                <w:sz w:val="17"/>
                <w:szCs w:val="17"/>
              </w:rPr>
              <w:t>Staff from hub leader organizations</w:t>
            </w:r>
          </w:p>
        </w:tc>
        <w:tc>
          <w:tcPr>
            <w:tcW w:w="1620" w:type="dxa"/>
            <w:tcBorders>
              <w:top w:val="single" w:color="7F7F7F" w:themeColor="text1" w:themeTint="80" w:sz="4" w:space="0"/>
              <w:left w:val="single" w:color="7F7F7F" w:themeColor="text1" w:themeTint="80" w:sz="4" w:space="0"/>
              <w:bottom w:val="single" w:color="auto" w:sz="8" w:space="0"/>
              <w:right w:val="single" w:color="auto" w:sz="8" w:space="0"/>
            </w:tcBorders>
            <w:tcMar>
              <w:top w:w="0" w:type="dxa"/>
              <w:left w:w="108" w:type="dxa"/>
              <w:bottom w:w="0" w:type="dxa"/>
              <w:right w:w="108" w:type="dxa"/>
            </w:tcMar>
            <w:vAlign w:val="center"/>
            <w:hideMark/>
          </w:tcPr>
          <w:p w:rsidRPr="0032494C" w:rsidR="00FD6FE3" w:rsidP="00556ACC" w:rsidRDefault="00FD6FE3" w14:paraId="70C08170" w14:textId="157D83E8">
            <w:pPr>
              <w:spacing w:line="233" w:lineRule="atLeast"/>
              <w:rPr>
                <w:rFonts w:ascii="Calibri" w:hAnsi="Calibri" w:cs="Calibri"/>
                <w:color w:val="000000"/>
                <w:sz w:val="17"/>
                <w:szCs w:val="17"/>
              </w:rPr>
            </w:pPr>
            <w:r w:rsidRPr="0032494C">
              <w:rPr>
                <w:rFonts w:ascii="Calibri" w:hAnsi="Calibri" w:cs="Calibri"/>
                <w:color w:val="000000"/>
                <w:sz w:val="17"/>
                <w:szCs w:val="17"/>
              </w:rPr>
              <w:t xml:space="preserve">Year 1 – Year 3 </w:t>
            </w:r>
          </w:p>
          <w:p w:rsidRPr="0032494C" w:rsidR="00FD6FE3" w:rsidP="00556ACC" w:rsidRDefault="00FD6FE3" w14:paraId="742764F5" w14:textId="0B3A0AF0">
            <w:pPr>
              <w:spacing w:line="233" w:lineRule="atLeast"/>
              <w:rPr>
                <w:rFonts w:ascii="Calibri" w:hAnsi="Calibri" w:cs="Calibri"/>
                <w:color w:val="000000"/>
                <w:sz w:val="17"/>
                <w:szCs w:val="17"/>
              </w:rPr>
            </w:pPr>
          </w:p>
        </w:tc>
        <w:tc>
          <w:tcPr>
            <w:tcW w:w="1390" w:type="dxa"/>
            <w:tcBorders>
              <w:top w:val="single" w:color="7F7F7F" w:themeColor="text1" w:themeTint="80" w:sz="4" w:space="0"/>
              <w:left w:val="nil"/>
              <w:bottom w:val="single" w:color="auto" w:sz="8" w:space="0"/>
              <w:right w:val="single" w:color="7F7F7F" w:themeColor="text1" w:themeTint="80" w:sz="4" w:space="0"/>
            </w:tcBorders>
            <w:tcMar>
              <w:top w:w="0" w:type="dxa"/>
              <w:left w:w="108" w:type="dxa"/>
              <w:bottom w:w="0" w:type="dxa"/>
              <w:right w:w="108" w:type="dxa"/>
            </w:tcMar>
            <w:vAlign w:val="center"/>
            <w:hideMark/>
          </w:tcPr>
          <w:p w:rsidRPr="0032494C" w:rsidR="00FD6FE3" w:rsidP="00556ACC" w:rsidRDefault="00FD6FE3" w14:paraId="2658FAA6" w14:textId="1EC05436">
            <w:pPr>
              <w:spacing w:line="233" w:lineRule="atLeast"/>
              <w:rPr>
                <w:rFonts w:ascii="Calibri" w:hAnsi="Calibri" w:cs="Calibri"/>
                <w:sz w:val="17"/>
                <w:szCs w:val="17"/>
              </w:rPr>
            </w:pPr>
            <w:r w:rsidRPr="0032494C">
              <w:rPr>
                <w:rFonts w:ascii="Calibri" w:hAnsi="Calibri" w:cs="Calibri"/>
                <w:color w:val="000000"/>
                <w:sz w:val="17"/>
                <w:szCs w:val="17"/>
              </w:rPr>
              <w:t>Q4 - Q6; Q21 </w:t>
            </w:r>
          </w:p>
        </w:tc>
      </w:tr>
      <w:tr w:rsidRPr="0032494C" w:rsidR="00FD6FE3" w:rsidTr="00993211" w14:paraId="3AD4AC0F" w14:textId="77777777">
        <w:trPr>
          <w:cantSplit/>
          <w:trHeight w:val="203"/>
        </w:trPr>
        <w:tc>
          <w:tcPr>
            <w:tcW w:w="1017" w:type="dxa"/>
            <w:vMerge/>
            <w:tcBorders>
              <w:left w:val="single" w:color="7F7F7F" w:themeColor="text1" w:themeTint="80" w:sz="4" w:space="0"/>
              <w:right w:val="single" w:color="7F7F7F" w:themeColor="text1" w:themeTint="80" w:sz="4" w:space="0"/>
            </w:tcBorders>
            <w:tcMar>
              <w:top w:w="0" w:type="dxa"/>
              <w:left w:w="108" w:type="dxa"/>
              <w:bottom w:w="0" w:type="dxa"/>
              <w:right w:w="108" w:type="dxa"/>
            </w:tcMar>
            <w:vAlign w:val="center"/>
            <w:hideMark/>
          </w:tcPr>
          <w:p w:rsidRPr="0032494C" w:rsidR="00FD6FE3" w:rsidP="00556ACC" w:rsidRDefault="00FD6FE3" w14:paraId="61CBD064" w14:textId="740AF69F">
            <w:pPr>
              <w:spacing w:line="233" w:lineRule="atLeast"/>
              <w:rPr>
                <w:rFonts w:ascii="Calibri" w:hAnsi="Calibri" w:cs="Calibri"/>
                <w:sz w:val="17"/>
                <w:szCs w:val="17"/>
              </w:rPr>
            </w:pPr>
          </w:p>
        </w:tc>
        <w:tc>
          <w:tcPr>
            <w:tcW w:w="112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vAlign w:val="center"/>
          </w:tcPr>
          <w:p w:rsidRPr="0032494C" w:rsidR="00FD6FE3" w:rsidP="00211111" w:rsidRDefault="00FD6FE3" w14:paraId="62A088B5" w14:textId="7788A882">
            <w:pPr>
              <w:spacing w:line="233" w:lineRule="atLeast"/>
              <w:ind w:left="84"/>
              <w:rPr>
                <w:rFonts w:ascii="Calibri" w:hAnsi="Calibri" w:cs="Calibri"/>
                <w:color w:val="000000"/>
                <w:sz w:val="17"/>
                <w:szCs w:val="17"/>
              </w:rPr>
            </w:pPr>
            <w:r w:rsidRPr="0032494C">
              <w:rPr>
                <w:rFonts w:ascii="Calibri" w:hAnsi="Calibri" w:cs="Calibri"/>
                <w:color w:val="000000"/>
                <w:sz w:val="17"/>
                <w:szCs w:val="17"/>
              </w:rPr>
              <w:t>Interview II</w:t>
            </w:r>
          </w:p>
        </w:tc>
        <w:tc>
          <w:tcPr>
            <w:tcW w:w="2082" w:type="dxa"/>
            <w:vMerge/>
            <w:tcBorders>
              <w:left w:val="single" w:color="7F7F7F" w:themeColor="text1" w:themeTint="80" w:sz="4" w:space="0"/>
              <w:bottom w:val="single" w:color="auto" w:sz="8" w:space="0"/>
              <w:right w:val="single" w:color="auto" w:sz="8" w:space="0"/>
            </w:tcBorders>
            <w:tcMar>
              <w:top w:w="0" w:type="dxa"/>
              <w:left w:w="108" w:type="dxa"/>
              <w:bottom w:w="0" w:type="dxa"/>
              <w:right w:w="108" w:type="dxa"/>
            </w:tcMar>
            <w:vAlign w:val="center"/>
          </w:tcPr>
          <w:p w:rsidRPr="0032494C" w:rsidR="00FD6FE3" w:rsidP="00556ACC" w:rsidRDefault="00FD6FE3" w14:paraId="6306729A" w14:textId="2838ED57">
            <w:pPr>
              <w:spacing w:line="233" w:lineRule="atLeast"/>
              <w:rPr>
                <w:rFonts w:ascii="Calibri" w:hAnsi="Calibri" w:cs="Calibri"/>
                <w:sz w:val="17"/>
                <w:szCs w:val="17"/>
              </w:rPr>
            </w:pPr>
          </w:p>
        </w:tc>
        <w:tc>
          <w:tcPr>
            <w:tcW w:w="2790" w:type="dxa"/>
            <w:tcBorders>
              <w:top w:val="single" w:color="auto" w:sz="8" w:space="0"/>
              <w:left w:val="single" w:color="7F7F7F" w:themeColor="text1" w:themeTint="80" w:sz="4" w:space="0"/>
              <w:bottom w:val="single" w:color="auto" w:sz="8" w:space="0"/>
              <w:right w:val="single" w:color="7F7F7F" w:themeColor="text1" w:themeTint="80" w:sz="4" w:space="0"/>
            </w:tcBorders>
            <w:tcMar>
              <w:top w:w="0" w:type="dxa"/>
              <w:left w:w="108" w:type="dxa"/>
              <w:bottom w:w="0" w:type="dxa"/>
              <w:right w:w="108" w:type="dxa"/>
            </w:tcMar>
            <w:vAlign w:val="center"/>
            <w:hideMark/>
          </w:tcPr>
          <w:p w:rsidRPr="0032494C" w:rsidR="00FD6FE3" w:rsidP="00556ACC" w:rsidRDefault="00FD6FE3" w14:paraId="09677BD4" w14:textId="77285120">
            <w:pPr>
              <w:spacing w:line="233" w:lineRule="atLeast"/>
              <w:rPr>
                <w:rFonts w:ascii="Calibri" w:hAnsi="Calibri" w:cs="Calibri"/>
                <w:sz w:val="17"/>
                <w:szCs w:val="17"/>
              </w:rPr>
            </w:pPr>
            <w:r w:rsidRPr="0032494C">
              <w:rPr>
                <w:rFonts w:ascii="Calibri" w:hAnsi="Calibri" w:cs="Calibri"/>
                <w:color w:val="000000"/>
                <w:sz w:val="17"/>
                <w:szCs w:val="17"/>
              </w:rPr>
              <w:t xml:space="preserve">Staff from key partner/collaborating organizations </w:t>
            </w:r>
          </w:p>
        </w:tc>
        <w:tc>
          <w:tcPr>
            <w:tcW w:w="1620" w:type="dxa"/>
            <w:tcBorders>
              <w:top w:val="nil"/>
              <w:left w:val="single" w:color="7F7F7F" w:themeColor="text1" w:themeTint="80" w:sz="4" w:space="0"/>
              <w:bottom w:val="single" w:color="auto" w:sz="8" w:space="0"/>
              <w:right w:val="single" w:color="auto" w:sz="8" w:space="0"/>
            </w:tcBorders>
            <w:tcMar>
              <w:top w:w="0" w:type="dxa"/>
              <w:left w:w="108" w:type="dxa"/>
              <w:bottom w:w="0" w:type="dxa"/>
              <w:right w:w="108" w:type="dxa"/>
            </w:tcMar>
            <w:vAlign w:val="center"/>
            <w:hideMark/>
          </w:tcPr>
          <w:p w:rsidRPr="0032494C" w:rsidR="00FD6FE3" w:rsidP="00556ACC" w:rsidRDefault="00FD6FE3" w14:paraId="62062D7C" w14:textId="1A808DBB">
            <w:pPr>
              <w:spacing w:line="233" w:lineRule="atLeast"/>
              <w:rPr>
                <w:rFonts w:ascii="Calibri" w:hAnsi="Calibri" w:cs="Calibri"/>
                <w:color w:val="000000"/>
                <w:sz w:val="17"/>
                <w:szCs w:val="17"/>
              </w:rPr>
            </w:pPr>
            <w:r w:rsidRPr="0032494C">
              <w:rPr>
                <w:rFonts w:ascii="Calibri" w:hAnsi="Calibri" w:cs="Calibri"/>
                <w:color w:val="000000"/>
                <w:sz w:val="17"/>
                <w:szCs w:val="17"/>
              </w:rPr>
              <w:t xml:space="preserve">Year 2 – Year 3 </w:t>
            </w:r>
          </w:p>
        </w:tc>
        <w:tc>
          <w:tcPr>
            <w:tcW w:w="1390" w:type="dxa"/>
            <w:tcBorders>
              <w:top w:val="nil"/>
              <w:left w:val="nil"/>
              <w:bottom w:val="single" w:color="auto" w:sz="8" w:space="0"/>
              <w:right w:val="single" w:color="7F7F7F" w:themeColor="text1" w:themeTint="80" w:sz="4" w:space="0"/>
            </w:tcBorders>
            <w:tcMar>
              <w:top w:w="0" w:type="dxa"/>
              <w:left w:w="108" w:type="dxa"/>
              <w:bottom w:w="0" w:type="dxa"/>
              <w:right w:w="108" w:type="dxa"/>
            </w:tcMar>
            <w:vAlign w:val="center"/>
            <w:hideMark/>
          </w:tcPr>
          <w:p w:rsidRPr="0032494C" w:rsidR="00FD6FE3" w:rsidP="00556ACC" w:rsidRDefault="00FD6FE3" w14:paraId="220BD41A" w14:textId="7E0F3386">
            <w:pPr>
              <w:spacing w:line="233" w:lineRule="atLeast"/>
              <w:rPr>
                <w:rFonts w:ascii="Calibri" w:hAnsi="Calibri" w:cs="Calibri"/>
                <w:sz w:val="17"/>
                <w:szCs w:val="17"/>
              </w:rPr>
            </w:pPr>
            <w:r w:rsidRPr="0032494C">
              <w:rPr>
                <w:rFonts w:ascii="Calibri" w:hAnsi="Calibri" w:cs="Calibri"/>
                <w:color w:val="000000"/>
                <w:sz w:val="17"/>
                <w:szCs w:val="17"/>
              </w:rPr>
              <w:t>Q4 -Q6; Q20</w:t>
            </w:r>
          </w:p>
        </w:tc>
      </w:tr>
      <w:tr w:rsidRPr="0032494C" w:rsidR="00FD6FE3" w:rsidTr="00993211" w14:paraId="5F11BA7E" w14:textId="77777777">
        <w:trPr>
          <w:cantSplit/>
          <w:trHeight w:val="691"/>
        </w:trPr>
        <w:tc>
          <w:tcPr>
            <w:tcW w:w="1017" w:type="dxa"/>
            <w:vMerge/>
            <w:tcBorders>
              <w:left w:val="single" w:color="7F7F7F" w:themeColor="text1" w:themeTint="80" w:sz="4" w:space="0"/>
              <w:bottom w:val="single" w:color="7F7F7F" w:themeColor="text1" w:themeTint="80" w:sz="4" w:space="0"/>
              <w:right w:val="single" w:color="7F7F7F" w:themeColor="text1" w:themeTint="80" w:sz="4" w:space="0"/>
            </w:tcBorders>
            <w:tcMar>
              <w:top w:w="0" w:type="dxa"/>
              <w:left w:w="108" w:type="dxa"/>
              <w:bottom w:w="0" w:type="dxa"/>
              <w:right w:w="108" w:type="dxa"/>
            </w:tcMar>
            <w:vAlign w:val="center"/>
            <w:hideMark/>
          </w:tcPr>
          <w:p w:rsidRPr="0032494C" w:rsidR="00FD6FE3" w:rsidP="00556ACC" w:rsidRDefault="00FD6FE3" w14:paraId="0BD98149" w14:textId="5E4D1DBF">
            <w:pPr>
              <w:spacing w:line="233" w:lineRule="atLeast"/>
              <w:rPr>
                <w:rFonts w:ascii="Calibri" w:hAnsi="Calibri" w:cs="Calibri"/>
                <w:sz w:val="17"/>
                <w:szCs w:val="17"/>
              </w:rPr>
            </w:pPr>
          </w:p>
        </w:tc>
        <w:tc>
          <w:tcPr>
            <w:tcW w:w="112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vAlign w:val="center"/>
          </w:tcPr>
          <w:p w:rsidRPr="0032494C" w:rsidR="00FD6FE3" w:rsidP="00211111" w:rsidRDefault="00FD6FE3" w14:paraId="5775EED5" w14:textId="50B5703F">
            <w:pPr>
              <w:spacing w:line="233" w:lineRule="atLeast"/>
              <w:ind w:left="84"/>
              <w:rPr>
                <w:rFonts w:ascii="Calibri" w:hAnsi="Calibri" w:cs="Calibri"/>
                <w:color w:val="000000"/>
                <w:sz w:val="17"/>
                <w:szCs w:val="17"/>
              </w:rPr>
            </w:pPr>
            <w:r w:rsidRPr="0032494C">
              <w:rPr>
                <w:rFonts w:ascii="Calibri" w:hAnsi="Calibri" w:cs="Calibri"/>
                <w:color w:val="000000"/>
                <w:sz w:val="17"/>
                <w:szCs w:val="17"/>
              </w:rPr>
              <w:t>Survey I</w:t>
            </w:r>
          </w:p>
        </w:tc>
        <w:tc>
          <w:tcPr>
            <w:tcW w:w="2082" w:type="dxa"/>
            <w:tcBorders>
              <w:top w:val="nil"/>
              <w:left w:val="single" w:color="7F7F7F" w:themeColor="text1" w:themeTint="80" w:sz="4" w:space="0"/>
              <w:bottom w:val="single" w:color="7F7F7F" w:themeColor="text1" w:themeTint="80" w:sz="4" w:space="0"/>
              <w:right w:val="single" w:color="auto" w:sz="8" w:space="0"/>
            </w:tcBorders>
            <w:tcMar>
              <w:top w:w="0" w:type="dxa"/>
              <w:left w:w="108" w:type="dxa"/>
              <w:bottom w:w="0" w:type="dxa"/>
              <w:right w:w="108" w:type="dxa"/>
            </w:tcMar>
            <w:vAlign w:val="center"/>
          </w:tcPr>
          <w:p w:rsidRPr="0032494C" w:rsidR="00FD6FE3" w:rsidP="00556ACC" w:rsidRDefault="00FD6FE3" w14:paraId="32418C16" w14:textId="5D18789B">
            <w:pPr>
              <w:spacing w:line="233" w:lineRule="atLeast"/>
              <w:rPr>
                <w:rFonts w:ascii="Calibri" w:hAnsi="Calibri" w:cs="Calibri"/>
                <w:sz w:val="17"/>
                <w:szCs w:val="17"/>
              </w:rPr>
            </w:pPr>
            <w:r w:rsidRPr="0032494C">
              <w:rPr>
                <w:rFonts w:ascii="Calibri" w:hAnsi="Calibri" w:cs="Calibri"/>
                <w:sz w:val="17"/>
                <w:szCs w:val="17"/>
              </w:rPr>
              <w:t>Web-based survey tool (e.g., Qualtrics)</w:t>
            </w:r>
          </w:p>
        </w:tc>
        <w:tc>
          <w:tcPr>
            <w:tcW w:w="2790" w:type="dxa"/>
            <w:tcBorders>
              <w:top w:val="single" w:color="auto" w:sz="8" w:space="0"/>
              <w:left w:val="single" w:color="7F7F7F" w:themeColor="text1" w:themeTint="80" w:sz="4" w:space="0"/>
              <w:bottom w:val="single" w:color="7F7F7F" w:themeColor="text1" w:themeTint="80" w:sz="4" w:space="0"/>
              <w:right w:val="single" w:color="7F7F7F" w:themeColor="text1" w:themeTint="80" w:sz="4" w:space="0"/>
            </w:tcBorders>
            <w:tcMar>
              <w:top w:w="0" w:type="dxa"/>
              <w:left w:w="108" w:type="dxa"/>
              <w:bottom w:w="0" w:type="dxa"/>
              <w:right w:w="108" w:type="dxa"/>
            </w:tcMar>
            <w:vAlign w:val="center"/>
            <w:hideMark/>
          </w:tcPr>
          <w:p w:rsidRPr="0032494C" w:rsidR="00FD6FE3" w:rsidP="00556ACC" w:rsidRDefault="00FD6FE3" w14:paraId="17A7F52C" w14:textId="37820171">
            <w:pPr>
              <w:spacing w:line="233" w:lineRule="atLeast"/>
              <w:rPr>
                <w:rFonts w:ascii="Calibri" w:hAnsi="Calibri" w:cs="Calibri"/>
                <w:sz w:val="17"/>
                <w:szCs w:val="17"/>
              </w:rPr>
            </w:pPr>
            <w:r w:rsidRPr="0032494C">
              <w:rPr>
                <w:rFonts w:ascii="Calibri" w:hAnsi="Calibri" w:cs="Calibri"/>
                <w:color w:val="000000"/>
                <w:sz w:val="17"/>
                <w:szCs w:val="17"/>
              </w:rPr>
              <w:t>Staff from hub leader and key partner organizations</w:t>
            </w:r>
          </w:p>
        </w:tc>
        <w:tc>
          <w:tcPr>
            <w:tcW w:w="1620" w:type="dxa"/>
            <w:tcBorders>
              <w:top w:val="nil"/>
              <w:left w:val="single" w:color="7F7F7F" w:themeColor="text1" w:themeTint="80" w:sz="4" w:space="0"/>
              <w:bottom w:val="single" w:color="7F7F7F" w:themeColor="text1" w:themeTint="80" w:sz="4" w:space="0"/>
              <w:right w:val="single" w:color="auto" w:sz="8" w:space="0"/>
            </w:tcBorders>
            <w:tcMar>
              <w:top w:w="0" w:type="dxa"/>
              <w:left w:w="108" w:type="dxa"/>
              <w:bottom w:w="0" w:type="dxa"/>
              <w:right w:w="108" w:type="dxa"/>
            </w:tcMar>
            <w:vAlign w:val="center"/>
            <w:hideMark/>
          </w:tcPr>
          <w:p w:rsidRPr="0032494C" w:rsidR="00FD6FE3" w:rsidP="00556ACC" w:rsidRDefault="00FD6FE3" w14:paraId="21754FE9" w14:textId="779B6736">
            <w:pPr>
              <w:spacing w:line="233" w:lineRule="atLeast"/>
              <w:rPr>
                <w:rFonts w:ascii="Calibri" w:hAnsi="Calibri" w:cs="Calibri"/>
                <w:sz w:val="17"/>
                <w:szCs w:val="17"/>
              </w:rPr>
            </w:pPr>
            <w:r w:rsidRPr="0032494C">
              <w:rPr>
                <w:rFonts w:ascii="Calibri" w:hAnsi="Calibri" w:cs="Calibri"/>
                <w:color w:val="000000"/>
                <w:sz w:val="17"/>
                <w:szCs w:val="17"/>
              </w:rPr>
              <w:t> Year 1</w:t>
            </w:r>
          </w:p>
        </w:tc>
        <w:tc>
          <w:tcPr>
            <w:tcW w:w="1390" w:type="dxa"/>
            <w:tcBorders>
              <w:top w:val="nil"/>
              <w:left w:val="nil"/>
              <w:bottom w:val="single" w:color="7F7F7F" w:themeColor="text1" w:themeTint="80" w:sz="4" w:space="0"/>
              <w:right w:val="single" w:color="7F7F7F" w:themeColor="text1" w:themeTint="80" w:sz="4" w:space="0"/>
            </w:tcBorders>
            <w:tcMar>
              <w:top w:w="0" w:type="dxa"/>
              <w:left w:w="108" w:type="dxa"/>
              <w:bottom w:w="0" w:type="dxa"/>
              <w:right w:w="108" w:type="dxa"/>
            </w:tcMar>
            <w:vAlign w:val="center"/>
            <w:hideMark/>
          </w:tcPr>
          <w:p w:rsidRPr="0032494C" w:rsidR="00FD6FE3" w:rsidP="00556ACC" w:rsidRDefault="00FD6FE3" w14:paraId="2C875697" w14:textId="5B5798A1">
            <w:pPr>
              <w:spacing w:line="233" w:lineRule="atLeast"/>
              <w:rPr>
                <w:rFonts w:ascii="Calibri" w:hAnsi="Calibri" w:cs="Calibri"/>
                <w:sz w:val="17"/>
                <w:szCs w:val="17"/>
              </w:rPr>
            </w:pPr>
            <w:r w:rsidRPr="0032494C">
              <w:rPr>
                <w:rFonts w:ascii="Calibri" w:hAnsi="Calibri" w:cs="Calibri"/>
                <w:color w:val="000000"/>
                <w:sz w:val="17"/>
                <w:szCs w:val="17"/>
              </w:rPr>
              <w:t>Q1</w:t>
            </w:r>
            <w:r w:rsidR="00434BF7">
              <w:rPr>
                <w:rFonts w:ascii="Calibri" w:hAnsi="Calibri" w:cs="Calibri"/>
                <w:color w:val="000000"/>
                <w:sz w:val="17"/>
                <w:szCs w:val="17"/>
              </w:rPr>
              <w:t>0</w:t>
            </w:r>
          </w:p>
        </w:tc>
      </w:tr>
      <w:tr w:rsidRPr="0032494C" w:rsidR="00EB57A4" w:rsidTr="00EB57A4" w14:paraId="310D9535" w14:textId="77777777">
        <w:trPr>
          <w:cantSplit/>
          <w:trHeight w:val="302"/>
        </w:trPr>
        <w:tc>
          <w:tcPr>
            <w:tcW w:w="1017" w:type="dxa"/>
            <w:vMerge w:val="restart"/>
            <w:tcBorders>
              <w:top w:val="single" w:color="7F7F7F" w:themeColor="text1" w:themeTint="80" w:sz="4" w:space="0"/>
              <w:left w:val="single" w:color="auto" w:sz="8" w:space="0"/>
              <w:right w:val="single" w:color="7F7F7F" w:themeColor="text1" w:themeTint="80" w:sz="4" w:space="0"/>
            </w:tcBorders>
            <w:shd w:val="clear" w:color="auto" w:fill="E7E6E6" w:themeFill="background2"/>
            <w:tcMar>
              <w:top w:w="0" w:type="dxa"/>
              <w:left w:w="108" w:type="dxa"/>
              <w:bottom w:w="0" w:type="dxa"/>
              <w:right w:w="108" w:type="dxa"/>
            </w:tcMar>
            <w:vAlign w:val="center"/>
            <w:hideMark/>
          </w:tcPr>
          <w:p w:rsidRPr="0032494C" w:rsidR="007832C0" w:rsidP="00556ACC" w:rsidRDefault="007832C0" w14:paraId="034FF23A" w14:textId="77777777">
            <w:pPr>
              <w:spacing w:line="233" w:lineRule="atLeast"/>
              <w:rPr>
                <w:rFonts w:ascii="Calibri" w:hAnsi="Calibri" w:cs="Calibri"/>
                <w:color w:val="000000"/>
                <w:sz w:val="17"/>
                <w:szCs w:val="17"/>
              </w:rPr>
            </w:pPr>
            <w:r w:rsidRPr="0032494C">
              <w:rPr>
                <w:rFonts w:ascii="Calibri" w:hAnsi="Calibri" w:cs="Calibri"/>
                <w:color w:val="000000"/>
                <w:sz w:val="17"/>
                <w:szCs w:val="17"/>
              </w:rPr>
              <w:lastRenderedPageBreak/>
              <w:t xml:space="preserve">EQ2 </w:t>
            </w:r>
          </w:p>
          <w:p w:rsidRPr="0032494C" w:rsidR="007832C0" w:rsidP="00556ACC" w:rsidRDefault="007832C0" w14:paraId="462C533B" w14:textId="1962EDF8">
            <w:pPr>
              <w:spacing w:line="233" w:lineRule="atLeast"/>
              <w:rPr>
                <w:rFonts w:ascii="Calibri" w:hAnsi="Calibri" w:cs="Calibri"/>
                <w:sz w:val="17"/>
                <w:szCs w:val="17"/>
              </w:rPr>
            </w:pPr>
            <w:r w:rsidRPr="0032494C">
              <w:rPr>
                <w:rFonts w:ascii="Calibri" w:hAnsi="Calibri" w:cs="Calibri"/>
                <w:color w:val="000000"/>
                <w:sz w:val="17"/>
                <w:szCs w:val="17"/>
              </w:rPr>
              <w:t>(Goal 1)</w:t>
            </w:r>
          </w:p>
        </w:tc>
        <w:tc>
          <w:tcPr>
            <w:tcW w:w="112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7E6E6" w:themeFill="background2"/>
            <w:vAlign w:val="center"/>
          </w:tcPr>
          <w:p w:rsidRPr="0032494C" w:rsidR="007832C0" w:rsidP="00211111" w:rsidRDefault="007832C0" w14:paraId="710980CD" w14:textId="5BA005D0">
            <w:pPr>
              <w:spacing w:line="233" w:lineRule="atLeast"/>
              <w:ind w:left="84"/>
              <w:rPr>
                <w:rFonts w:ascii="Calibri" w:hAnsi="Calibri" w:cs="Calibri"/>
                <w:color w:val="000000"/>
                <w:sz w:val="17"/>
                <w:szCs w:val="17"/>
              </w:rPr>
            </w:pPr>
            <w:r w:rsidRPr="0032494C">
              <w:rPr>
                <w:rFonts w:ascii="Calibri" w:hAnsi="Calibri" w:cs="Calibri"/>
                <w:color w:val="000000"/>
                <w:sz w:val="17"/>
                <w:szCs w:val="17"/>
              </w:rPr>
              <w:t>Interview I</w:t>
            </w:r>
          </w:p>
        </w:tc>
        <w:tc>
          <w:tcPr>
            <w:tcW w:w="2082" w:type="dxa"/>
            <w:vMerge w:val="restart"/>
            <w:tcBorders>
              <w:top w:val="single" w:color="7F7F7F" w:themeColor="text1" w:themeTint="80" w:sz="4" w:space="0"/>
              <w:left w:val="single" w:color="7F7F7F" w:themeColor="text1" w:themeTint="80" w:sz="4" w:space="0"/>
              <w:right w:val="single" w:color="auto" w:sz="8" w:space="0"/>
            </w:tcBorders>
            <w:shd w:val="clear" w:color="auto" w:fill="E7E6E6" w:themeFill="background2"/>
            <w:tcMar>
              <w:top w:w="0" w:type="dxa"/>
              <w:left w:w="108" w:type="dxa"/>
              <w:bottom w:w="0" w:type="dxa"/>
              <w:right w:w="108" w:type="dxa"/>
            </w:tcMar>
            <w:vAlign w:val="center"/>
          </w:tcPr>
          <w:p w:rsidRPr="0032494C" w:rsidR="007832C0" w:rsidP="00556ACC" w:rsidRDefault="007832C0" w14:paraId="717E3BEC" w14:textId="77777777">
            <w:pPr>
              <w:spacing w:line="233" w:lineRule="atLeast"/>
              <w:rPr>
                <w:rFonts w:ascii="Calibri" w:hAnsi="Calibri" w:cs="Calibri"/>
                <w:sz w:val="17"/>
                <w:szCs w:val="17"/>
              </w:rPr>
            </w:pPr>
            <w:r w:rsidRPr="0032494C">
              <w:rPr>
                <w:rFonts w:ascii="Calibri" w:hAnsi="Calibri" w:cs="Calibri"/>
                <w:sz w:val="17"/>
                <w:szCs w:val="17"/>
              </w:rPr>
              <w:t xml:space="preserve">Video conferencing app </w:t>
            </w:r>
          </w:p>
          <w:p w:rsidRPr="0032494C" w:rsidR="007832C0" w:rsidP="00556ACC" w:rsidRDefault="007832C0" w14:paraId="2D81E802" w14:textId="614364C8">
            <w:pPr>
              <w:spacing w:line="233" w:lineRule="atLeast"/>
              <w:rPr>
                <w:rFonts w:ascii="Calibri" w:hAnsi="Calibri" w:cs="Calibri"/>
                <w:sz w:val="17"/>
                <w:szCs w:val="17"/>
              </w:rPr>
            </w:pPr>
            <w:r w:rsidRPr="0032494C">
              <w:rPr>
                <w:rFonts w:ascii="Calibri" w:hAnsi="Calibri" w:cs="Calibri"/>
                <w:sz w:val="17"/>
                <w:szCs w:val="17"/>
              </w:rPr>
              <w:t>(e.g., Zoom)</w:t>
            </w:r>
          </w:p>
        </w:tc>
        <w:tc>
          <w:tcPr>
            <w:tcW w:w="2790" w:type="dxa"/>
            <w:tcBorders>
              <w:top w:val="single" w:color="7F7F7F" w:themeColor="text1" w:themeTint="80" w:sz="4" w:space="0"/>
              <w:left w:val="single" w:color="7F7F7F" w:themeColor="text1" w:themeTint="80" w:sz="4" w:space="0"/>
              <w:bottom w:val="single" w:color="auto" w:sz="8" w:space="0"/>
              <w:right w:val="single" w:color="7F7F7F" w:themeColor="text1" w:themeTint="80" w:sz="4" w:space="0"/>
            </w:tcBorders>
            <w:shd w:val="clear" w:color="auto" w:fill="E7E6E6" w:themeFill="background2"/>
            <w:tcMar>
              <w:top w:w="0" w:type="dxa"/>
              <w:left w:w="108" w:type="dxa"/>
              <w:bottom w:w="0" w:type="dxa"/>
              <w:right w:w="108" w:type="dxa"/>
            </w:tcMar>
            <w:vAlign w:val="center"/>
            <w:hideMark/>
          </w:tcPr>
          <w:p w:rsidRPr="0032494C" w:rsidR="007832C0" w:rsidP="00556ACC" w:rsidRDefault="007832C0" w14:paraId="6BAE6BF1" w14:textId="0FEA33EB">
            <w:pPr>
              <w:spacing w:line="233" w:lineRule="atLeast"/>
              <w:rPr>
                <w:rFonts w:ascii="Calibri" w:hAnsi="Calibri" w:cs="Calibri"/>
                <w:sz w:val="17"/>
                <w:szCs w:val="17"/>
              </w:rPr>
            </w:pPr>
            <w:r w:rsidRPr="0032494C">
              <w:rPr>
                <w:rFonts w:ascii="Calibri" w:hAnsi="Calibri" w:cs="Calibri"/>
                <w:color w:val="000000"/>
                <w:sz w:val="17"/>
                <w:szCs w:val="17"/>
              </w:rPr>
              <w:t xml:space="preserve">Staff from </w:t>
            </w:r>
            <w:r w:rsidRPr="0032494C" w:rsidR="00AC3A5E">
              <w:rPr>
                <w:rFonts w:ascii="Calibri" w:hAnsi="Calibri" w:cs="Calibri"/>
                <w:color w:val="000000"/>
                <w:sz w:val="17"/>
                <w:szCs w:val="17"/>
              </w:rPr>
              <w:t>h</w:t>
            </w:r>
            <w:r w:rsidRPr="0032494C">
              <w:rPr>
                <w:rFonts w:ascii="Calibri" w:hAnsi="Calibri" w:cs="Calibri"/>
                <w:color w:val="000000"/>
                <w:sz w:val="17"/>
                <w:szCs w:val="17"/>
              </w:rPr>
              <w:t>ub leader organizations</w:t>
            </w:r>
          </w:p>
        </w:tc>
        <w:tc>
          <w:tcPr>
            <w:tcW w:w="1620" w:type="dxa"/>
            <w:tcBorders>
              <w:top w:val="single" w:color="7F7F7F" w:themeColor="text1" w:themeTint="80" w:sz="4" w:space="0"/>
              <w:left w:val="single" w:color="7F7F7F" w:themeColor="text1" w:themeTint="80" w:sz="4" w:space="0"/>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32494C" w:rsidR="007832C0" w:rsidP="00556ACC" w:rsidRDefault="007832C0" w14:paraId="545CF76B" w14:textId="77777777">
            <w:pPr>
              <w:spacing w:line="233" w:lineRule="atLeast"/>
              <w:rPr>
                <w:rFonts w:ascii="Calibri" w:hAnsi="Calibri" w:cs="Calibri"/>
                <w:color w:val="000000"/>
                <w:sz w:val="17"/>
                <w:szCs w:val="17"/>
              </w:rPr>
            </w:pPr>
            <w:r w:rsidRPr="0032494C">
              <w:rPr>
                <w:rFonts w:ascii="Calibri" w:hAnsi="Calibri" w:cs="Calibri"/>
                <w:color w:val="000000"/>
                <w:sz w:val="17"/>
                <w:szCs w:val="17"/>
              </w:rPr>
              <w:t xml:space="preserve">Year 1 – Year 3 </w:t>
            </w:r>
          </w:p>
          <w:p w:rsidRPr="0032494C" w:rsidR="007832C0" w:rsidP="00556ACC" w:rsidRDefault="007832C0" w14:paraId="1D6FE6E0" w14:textId="2C625B80">
            <w:pPr>
              <w:spacing w:line="233" w:lineRule="atLeast"/>
              <w:rPr>
                <w:rFonts w:ascii="Calibri" w:hAnsi="Calibri" w:cs="Calibri"/>
                <w:sz w:val="17"/>
                <w:szCs w:val="17"/>
              </w:rPr>
            </w:pPr>
          </w:p>
        </w:tc>
        <w:tc>
          <w:tcPr>
            <w:tcW w:w="1390" w:type="dxa"/>
            <w:tcBorders>
              <w:top w:val="single" w:color="7F7F7F" w:themeColor="text1" w:themeTint="80" w:sz="4" w:space="0"/>
              <w:left w:val="nil"/>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32494C" w:rsidR="007832C0" w:rsidP="00556ACC" w:rsidRDefault="007832C0" w14:paraId="68F8EF9F" w14:textId="6690CC91">
            <w:pPr>
              <w:spacing w:line="233" w:lineRule="atLeast"/>
              <w:rPr>
                <w:rFonts w:ascii="Calibri" w:hAnsi="Calibri" w:cs="Calibri"/>
                <w:sz w:val="17"/>
                <w:szCs w:val="17"/>
              </w:rPr>
            </w:pPr>
            <w:r w:rsidRPr="0032494C">
              <w:rPr>
                <w:rFonts w:ascii="Calibri" w:hAnsi="Calibri" w:cs="Calibri"/>
                <w:color w:val="000000"/>
                <w:sz w:val="17"/>
                <w:szCs w:val="17"/>
              </w:rPr>
              <w:t>Q2 - Q5; Q12; Q14; Q18</w:t>
            </w:r>
          </w:p>
        </w:tc>
      </w:tr>
      <w:tr w:rsidRPr="0032494C" w:rsidR="00EB57A4" w:rsidTr="00EB57A4" w14:paraId="2DEE21C3" w14:textId="77777777">
        <w:trPr>
          <w:cantSplit/>
          <w:trHeight w:val="439"/>
        </w:trPr>
        <w:tc>
          <w:tcPr>
            <w:tcW w:w="1017" w:type="dxa"/>
            <w:vMerge/>
            <w:tcBorders>
              <w:left w:val="single" w:color="auto" w:sz="8" w:space="0"/>
              <w:right w:val="single" w:color="7F7F7F" w:themeColor="text1" w:themeTint="80" w:sz="4" w:space="0"/>
            </w:tcBorders>
            <w:shd w:val="clear" w:color="auto" w:fill="E7E6E6" w:themeFill="background2"/>
            <w:tcMar>
              <w:top w:w="0" w:type="dxa"/>
              <w:left w:w="108" w:type="dxa"/>
              <w:bottom w:w="0" w:type="dxa"/>
              <w:right w:w="108" w:type="dxa"/>
            </w:tcMar>
            <w:vAlign w:val="center"/>
            <w:hideMark/>
          </w:tcPr>
          <w:p w:rsidRPr="0032494C" w:rsidR="007832C0" w:rsidP="00556ACC" w:rsidRDefault="007832C0" w14:paraId="7121E20D" w14:textId="6CD19CCA">
            <w:pPr>
              <w:spacing w:line="233" w:lineRule="atLeast"/>
              <w:rPr>
                <w:rFonts w:ascii="Calibri" w:hAnsi="Calibri" w:cs="Calibri"/>
                <w:sz w:val="17"/>
                <w:szCs w:val="17"/>
              </w:rPr>
            </w:pPr>
          </w:p>
        </w:tc>
        <w:tc>
          <w:tcPr>
            <w:tcW w:w="112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7E6E6" w:themeFill="background2"/>
            <w:vAlign w:val="center"/>
          </w:tcPr>
          <w:p w:rsidRPr="0032494C" w:rsidR="007832C0" w:rsidP="00211111" w:rsidRDefault="007832C0" w14:paraId="3AC9DC8B" w14:textId="250BF01B">
            <w:pPr>
              <w:spacing w:line="233" w:lineRule="atLeast"/>
              <w:ind w:left="84"/>
              <w:rPr>
                <w:rFonts w:ascii="Calibri" w:hAnsi="Calibri" w:cs="Calibri"/>
                <w:color w:val="000000"/>
                <w:sz w:val="17"/>
                <w:szCs w:val="17"/>
              </w:rPr>
            </w:pPr>
            <w:r w:rsidRPr="0032494C">
              <w:rPr>
                <w:rFonts w:ascii="Calibri" w:hAnsi="Calibri" w:cs="Calibri"/>
                <w:color w:val="000000"/>
                <w:sz w:val="17"/>
                <w:szCs w:val="17"/>
              </w:rPr>
              <w:t>Interview II</w:t>
            </w:r>
          </w:p>
        </w:tc>
        <w:tc>
          <w:tcPr>
            <w:tcW w:w="2082" w:type="dxa"/>
            <w:vMerge/>
            <w:tcBorders>
              <w:left w:val="single" w:color="7F7F7F" w:themeColor="text1" w:themeTint="80" w:sz="4" w:space="0"/>
              <w:bottom w:val="single" w:color="auto" w:sz="8" w:space="0"/>
              <w:right w:val="single" w:color="auto" w:sz="8" w:space="0"/>
            </w:tcBorders>
            <w:shd w:val="clear" w:color="auto" w:fill="E7E6E6" w:themeFill="background2"/>
            <w:tcMar>
              <w:top w:w="0" w:type="dxa"/>
              <w:left w:w="108" w:type="dxa"/>
              <w:bottom w:w="0" w:type="dxa"/>
              <w:right w:w="108" w:type="dxa"/>
            </w:tcMar>
            <w:vAlign w:val="center"/>
          </w:tcPr>
          <w:p w:rsidRPr="0032494C" w:rsidR="007832C0" w:rsidP="00556ACC" w:rsidRDefault="007832C0" w14:paraId="3BE9F7B9" w14:textId="0D18F6FA">
            <w:pPr>
              <w:spacing w:line="233" w:lineRule="atLeast"/>
              <w:rPr>
                <w:rFonts w:ascii="Calibri" w:hAnsi="Calibri" w:cs="Calibri"/>
                <w:sz w:val="17"/>
                <w:szCs w:val="17"/>
              </w:rPr>
            </w:pPr>
          </w:p>
        </w:tc>
        <w:tc>
          <w:tcPr>
            <w:tcW w:w="2790" w:type="dxa"/>
            <w:tcBorders>
              <w:top w:val="single" w:color="auto" w:sz="8" w:space="0"/>
              <w:left w:val="single" w:color="7F7F7F" w:themeColor="text1" w:themeTint="80" w:sz="4" w:space="0"/>
              <w:bottom w:val="single" w:color="auto" w:sz="8" w:space="0"/>
              <w:right w:val="single" w:color="7F7F7F" w:themeColor="text1" w:themeTint="80" w:sz="4" w:space="0"/>
            </w:tcBorders>
            <w:shd w:val="clear" w:color="auto" w:fill="E7E6E6" w:themeFill="background2"/>
            <w:tcMar>
              <w:top w:w="0" w:type="dxa"/>
              <w:left w:w="108" w:type="dxa"/>
              <w:bottom w:w="0" w:type="dxa"/>
              <w:right w:w="108" w:type="dxa"/>
            </w:tcMar>
            <w:vAlign w:val="center"/>
            <w:hideMark/>
          </w:tcPr>
          <w:p w:rsidRPr="0032494C" w:rsidR="007832C0" w:rsidP="00556ACC" w:rsidRDefault="007832C0" w14:paraId="19D1365F" w14:textId="41BE220F">
            <w:pPr>
              <w:spacing w:line="233" w:lineRule="atLeast"/>
              <w:rPr>
                <w:rFonts w:ascii="Calibri" w:hAnsi="Calibri" w:cs="Calibri"/>
                <w:sz w:val="17"/>
                <w:szCs w:val="17"/>
              </w:rPr>
            </w:pPr>
            <w:r w:rsidRPr="0032494C">
              <w:rPr>
                <w:rFonts w:ascii="Calibri" w:hAnsi="Calibri" w:cs="Calibri"/>
                <w:color w:val="000000"/>
                <w:sz w:val="17"/>
                <w:szCs w:val="17"/>
              </w:rPr>
              <w:t xml:space="preserve">Staff from key partner/collaborating organizations </w:t>
            </w:r>
          </w:p>
        </w:tc>
        <w:tc>
          <w:tcPr>
            <w:tcW w:w="1620" w:type="dxa"/>
            <w:tcBorders>
              <w:top w:val="nil"/>
              <w:left w:val="single" w:color="7F7F7F" w:themeColor="text1" w:themeTint="80" w:sz="4" w:space="0"/>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32494C" w:rsidR="007832C0" w:rsidP="00556ACC" w:rsidRDefault="007832C0" w14:paraId="0A1F9CE7" w14:textId="3A0AD3B8">
            <w:pPr>
              <w:spacing w:line="233" w:lineRule="atLeast"/>
              <w:rPr>
                <w:rFonts w:ascii="Calibri" w:hAnsi="Calibri" w:cs="Calibri"/>
                <w:sz w:val="17"/>
                <w:szCs w:val="17"/>
              </w:rPr>
            </w:pPr>
            <w:r w:rsidRPr="0032494C">
              <w:rPr>
                <w:rFonts w:ascii="Calibri" w:hAnsi="Calibri" w:cs="Calibri"/>
                <w:color w:val="000000"/>
                <w:sz w:val="17"/>
                <w:szCs w:val="17"/>
              </w:rPr>
              <w:t>Year 2 – Year 3</w:t>
            </w:r>
          </w:p>
        </w:tc>
        <w:tc>
          <w:tcPr>
            <w:tcW w:w="1390" w:type="dxa"/>
            <w:tcBorders>
              <w:top w:val="nil"/>
              <w:left w:val="nil"/>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32494C" w:rsidR="007832C0" w:rsidP="00556ACC" w:rsidRDefault="007832C0" w14:paraId="79D2FAD8" w14:textId="1A4140F1">
            <w:pPr>
              <w:spacing w:line="233" w:lineRule="atLeast"/>
              <w:rPr>
                <w:rFonts w:ascii="Calibri" w:hAnsi="Calibri" w:cs="Calibri"/>
                <w:sz w:val="17"/>
                <w:szCs w:val="17"/>
              </w:rPr>
            </w:pPr>
            <w:r w:rsidRPr="0032494C">
              <w:rPr>
                <w:rFonts w:ascii="Calibri" w:hAnsi="Calibri" w:cs="Calibri"/>
                <w:color w:val="000000"/>
                <w:sz w:val="17"/>
                <w:szCs w:val="17"/>
              </w:rPr>
              <w:t>Q2; Q4 - Q5; Q12; Q14; Q17 </w:t>
            </w:r>
          </w:p>
        </w:tc>
      </w:tr>
      <w:tr w:rsidRPr="0032494C" w:rsidR="007832C0" w:rsidTr="00833D23" w14:paraId="5BDC2A4E" w14:textId="77777777">
        <w:trPr>
          <w:cantSplit/>
          <w:trHeight w:val="186"/>
        </w:trPr>
        <w:tc>
          <w:tcPr>
            <w:tcW w:w="1017" w:type="dxa"/>
            <w:vMerge/>
            <w:tcBorders>
              <w:left w:val="single" w:color="auto" w:sz="8" w:space="0"/>
              <w:right w:val="single" w:color="7F7F7F" w:themeColor="text1" w:themeTint="80" w:sz="4" w:space="0"/>
            </w:tcBorders>
            <w:shd w:val="clear" w:color="auto" w:fill="E7E6E6" w:themeFill="background2"/>
            <w:tcMar>
              <w:top w:w="0" w:type="dxa"/>
              <w:left w:w="108" w:type="dxa"/>
              <w:bottom w:w="0" w:type="dxa"/>
              <w:right w:w="108" w:type="dxa"/>
            </w:tcMar>
            <w:vAlign w:val="center"/>
            <w:hideMark/>
          </w:tcPr>
          <w:p w:rsidRPr="0032494C" w:rsidR="007832C0" w:rsidP="00556ACC" w:rsidRDefault="007832C0" w14:paraId="239201E5" w14:textId="0F551C88">
            <w:pPr>
              <w:spacing w:line="233" w:lineRule="atLeast"/>
              <w:rPr>
                <w:rFonts w:ascii="Calibri" w:hAnsi="Calibri" w:cs="Calibri"/>
                <w:sz w:val="17"/>
                <w:szCs w:val="17"/>
              </w:rPr>
            </w:pPr>
          </w:p>
        </w:tc>
        <w:tc>
          <w:tcPr>
            <w:tcW w:w="112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7E6E6" w:themeFill="background2"/>
            <w:vAlign w:val="center"/>
          </w:tcPr>
          <w:p w:rsidRPr="0032494C" w:rsidR="007832C0" w:rsidP="00211111" w:rsidRDefault="007832C0" w14:paraId="4AB77F8B" w14:textId="5606F2BB">
            <w:pPr>
              <w:spacing w:line="233" w:lineRule="atLeast"/>
              <w:ind w:left="84"/>
              <w:rPr>
                <w:rFonts w:ascii="Calibri" w:hAnsi="Calibri" w:cs="Calibri"/>
                <w:color w:val="000000"/>
                <w:sz w:val="17"/>
                <w:szCs w:val="17"/>
              </w:rPr>
            </w:pPr>
            <w:r w:rsidRPr="0032494C">
              <w:rPr>
                <w:rFonts w:ascii="Calibri" w:hAnsi="Calibri" w:cs="Calibri"/>
                <w:color w:val="000000"/>
                <w:sz w:val="17"/>
                <w:szCs w:val="17"/>
              </w:rPr>
              <w:t>Survey I</w:t>
            </w:r>
          </w:p>
        </w:tc>
        <w:tc>
          <w:tcPr>
            <w:tcW w:w="2082" w:type="dxa"/>
            <w:vMerge w:val="restart"/>
            <w:tcBorders>
              <w:top w:val="nil"/>
              <w:left w:val="single" w:color="7F7F7F" w:themeColor="text1" w:themeTint="80" w:sz="4" w:space="0"/>
              <w:right w:val="single" w:color="auto" w:sz="8" w:space="0"/>
            </w:tcBorders>
            <w:shd w:val="clear" w:color="auto" w:fill="E7E6E6" w:themeFill="background2"/>
            <w:tcMar>
              <w:top w:w="0" w:type="dxa"/>
              <w:left w:w="108" w:type="dxa"/>
              <w:bottom w:w="0" w:type="dxa"/>
              <w:right w:w="108" w:type="dxa"/>
            </w:tcMar>
            <w:vAlign w:val="center"/>
          </w:tcPr>
          <w:p w:rsidRPr="0032494C" w:rsidR="007832C0" w:rsidP="00556ACC" w:rsidRDefault="003573E8" w14:paraId="335F6FAE" w14:textId="55FF7864">
            <w:pPr>
              <w:spacing w:line="233" w:lineRule="atLeast"/>
              <w:rPr>
                <w:rFonts w:ascii="Calibri" w:hAnsi="Calibri" w:cs="Calibri"/>
                <w:sz w:val="17"/>
                <w:szCs w:val="17"/>
              </w:rPr>
            </w:pPr>
            <w:r w:rsidRPr="0032494C">
              <w:rPr>
                <w:rFonts w:ascii="Calibri" w:hAnsi="Calibri" w:cs="Calibri"/>
                <w:sz w:val="17"/>
                <w:szCs w:val="17"/>
              </w:rPr>
              <w:t>Web-based survey tool (e.g., Qualtrics)</w:t>
            </w:r>
          </w:p>
        </w:tc>
        <w:tc>
          <w:tcPr>
            <w:tcW w:w="2790" w:type="dxa"/>
            <w:tcBorders>
              <w:top w:val="single" w:color="auto" w:sz="8" w:space="0"/>
              <w:left w:val="single" w:color="7F7F7F" w:themeColor="text1" w:themeTint="80" w:sz="4" w:space="0"/>
              <w:bottom w:val="single" w:color="auto" w:sz="8" w:space="0"/>
              <w:right w:val="single" w:color="7F7F7F" w:themeColor="text1" w:themeTint="80" w:sz="4" w:space="0"/>
            </w:tcBorders>
            <w:shd w:val="clear" w:color="auto" w:fill="E7E6E6" w:themeFill="background2"/>
            <w:tcMar>
              <w:top w:w="0" w:type="dxa"/>
              <w:left w:w="108" w:type="dxa"/>
              <w:bottom w:w="0" w:type="dxa"/>
              <w:right w:w="108" w:type="dxa"/>
            </w:tcMar>
            <w:vAlign w:val="center"/>
            <w:hideMark/>
          </w:tcPr>
          <w:p w:rsidRPr="0032494C" w:rsidR="007832C0" w:rsidP="00556ACC" w:rsidRDefault="007832C0" w14:paraId="6F4C369B" w14:textId="4B6A472C">
            <w:pPr>
              <w:spacing w:line="233" w:lineRule="atLeast"/>
              <w:rPr>
                <w:rFonts w:ascii="Calibri" w:hAnsi="Calibri" w:cs="Calibri"/>
                <w:sz w:val="17"/>
                <w:szCs w:val="17"/>
              </w:rPr>
            </w:pPr>
            <w:r w:rsidRPr="0032494C">
              <w:rPr>
                <w:rFonts w:ascii="Calibri" w:hAnsi="Calibri" w:cs="Calibri"/>
                <w:color w:val="000000"/>
                <w:sz w:val="17"/>
                <w:szCs w:val="17"/>
              </w:rPr>
              <w:t xml:space="preserve">Staff from </w:t>
            </w:r>
            <w:r w:rsidRPr="0032494C" w:rsidR="00AC3A5E">
              <w:rPr>
                <w:rFonts w:ascii="Calibri" w:hAnsi="Calibri" w:cs="Calibri"/>
                <w:color w:val="000000"/>
                <w:sz w:val="17"/>
                <w:szCs w:val="17"/>
              </w:rPr>
              <w:t>h</w:t>
            </w:r>
            <w:r w:rsidRPr="0032494C">
              <w:rPr>
                <w:rFonts w:ascii="Calibri" w:hAnsi="Calibri" w:cs="Calibri"/>
                <w:color w:val="000000"/>
                <w:sz w:val="17"/>
                <w:szCs w:val="17"/>
              </w:rPr>
              <w:t>ub leader and key partner organizations</w:t>
            </w:r>
          </w:p>
        </w:tc>
        <w:tc>
          <w:tcPr>
            <w:tcW w:w="1620" w:type="dxa"/>
            <w:tcBorders>
              <w:top w:val="nil"/>
              <w:left w:val="single" w:color="7F7F7F" w:themeColor="text1" w:themeTint="80" w:sz="4" w:space="0"/>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32494C" w:rsidR="007832C0" w:rsidP="00556ACC" w:rsidRDefault="007832C0" w14:paraId="59D7D4B0" w14:textId="6270993A">
            <w:pPr>
              <w:spacing w:line="233" w:lineRule="atLeast"/>
              <w:rPr>
                <w:rFonts w:ascii="Calibri" w:hAnsi="Calibri" w:cs="Calibri"/>
                <w:sz w:val="17"/>
                <w:szCs w:val="17"/>
              </w:rPr>
            </w:pPr>
            <w:r w:rsidRPr="0032494C">
              <w:rPr>
                <w:rFonts w:ascii="Calibri" w:hAnsi="Calibri" w:cs="Calibri"/>
                <w:color w:val="000000"/>
                <w:sz w:val="17"/>
                <w:szCs w:val="17"/>
              </w:rPr>
              <w:t> Year 1</w:t>
            </w:r>
          </w:p>
        </w:tc>
        <w:tc>
          <w:tcPr>
            <w:tcW w:w="1390" w:type="dxa"/>
            <w:tcBorders>
              <w:top w:val="nil"/>
              <w:left w:val="nil"/>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32494C" w:rsidR="007832C0" w:rsidP="00556ACC" w:rsidRDefault="007832C0" w14:paraId="480751DB" w14:textId="7ABF31B5">
            <w:pPr>
              <w:spacing w:line="233" w:lineRule="atLeast"/>
              <w:rPr>
                <w:rFonts w:ascii="Calibri" w:hAnsi="Calibri" w:cs="Calibri"/>
                <w:sz w:val="17"/>
                <w:szCs w:val="17"/>
              </w:rPr>
            </w:pPr>
            <w:r w:rsidRPr="0032494C">
              <w:rPr>
                <w:rFonts w:ascii="Calibri" w:hAnsi="Calibri" w:cs="Calibri"/>
                <w:color w:val="000000"/>
                <w:sz w:val="17"/>
                <w:szCs w:val="17"/>
              </w:rPr>
              <w:t> Q</w:t>
            </w:r>
            <w:r w:rsidR="00434BF7">
              <w:rPr>
                <w:rFonts w:ascii="Calibri" w:hAnsi="Calibri" w:cs="Calibri"/>
                <w:color w:val="000000"/>
                <w:sz w:val="17"/>
                <w:szCs w:val="17"/>
              </w:rPr>
              <w:t>9</w:t>
            </w:r>
            <w:r w:rsidRPr="0032494C">
              <w:rPr>
                <w:rFonts w:ascii="Calibri" w:hAnsi="Calibri" w:cs="Calibri"/>
                <w:color w:val="000000"/>
                <w:sz w:val="17"/>
                <w:szCs w:val="17"/>
              </w:rPr>
              <w:t xml:space="preserve"> - Q1</w:t>
            </w:r>
            <w:r w:rsidR="00C10685">
              <w:rPr>
                <w:rFonts w:ascii="Calibri" w:hAnsi="Calibri" w:cs="Calibri"/>
                <w:color w:val="000000"/>
                <w:sz w:val="17"/>
                <w:szCs w:val="17"/>
              </w:rPr>
              <w:t>3</w:t>
            </w:r>
            <w:r w:rsidRPr="0032494C">
              <w:rPr>
                <w:rFonts w:ascii="Calibri" w:hAnsi="Calibri" w:cs="Calibri"/>
                <w:color w:val="000000"/>
                <w:sz w:val="17"/>
                <w:szCs w:val="17"/>
              </w:rPr>
              <w:t>; Q</w:t>
            </w:r>
            <w:r w:rsidR="00C10685">
              <w:rPr>
                <w:rFonts w:ascii="Calibri" w:hAnsi="Calibri" w:cs="Calibri"/>
                <w:color w:val="000000"/>
                <w:sz w:val="17"/>
                <w:szCs w:val="17"/>
              </w:rPr>
              <w:t>18</w:t>
            </w:r>
          </w:p>
        </w:tc>
      </w:tr>
      <w:tr w:rsidRPr="0032494C" w:rsidR="007832C0" w:rsidTr="00833D23" w14:paraId="5581AF1F" w14:textId="77777777">
        <w:trPr>
          <w:cantSplit/>
          <w:trHeight w:val="203"/>
        </w:trPr>
        <w:tc>
          <w:tcPr>
            <w:tcW w:w="1017" w:type="dxa"/>
            <w:vMerge/>
            <w:tcBorders>
              <w:left w:val="single" w:color="auto" w:sz="8" w:space="0"/>
              <w:bottom w:val="single" w:color="1F4E79" w:themeColor="accent5" w:themeShade="80" w:sz="4" w:space="0"/>
              <w:right w:val="single" w:color="7F7F7F" w:themeColor="text1" w:themeTint="80" w:sz="4" w:space="0"/>
            </w:tcBorders>
            <w:shd w:val="clear" w:color="auto" w:fill="E7E6E6" w:themeFill="background2"/>
            <w:tcMar>
              <w:top w:w="0" w:type="dxa"/>
              <w:left w:w="108" w:type="dxa"/>
              <w:bottom w:w="0" w:type="dxa"/>
              <w:right w:w="108" w:type="dxa"/>
            </w:tcMar>
            <w:vAlign w:val="center"/>
            <w:hideMark/>
          </w:tcPr>
          <w:p w:rsidRPr="0032494C" w:rsidR="007832C0" w:rsidP="00556ACC" w:rsidRDefault="007832C0" w14:paraId="284FD3D2" w14:textId="6CC0AD41">
            <w:pPr>
              <w:spacing w:line="233" w:lineRule="atLeast"/>
              <w:rPr>
                <w:rFonts w:ascii="Calibri" w:hAnsi="Calibri" w:cs="Calibri"/>
                <w:sz w:val="17"/>
                <w:szCs w:val="17"/>
              </w:rPr>
            </w:pPr>
          </w:p>
        </w:tc>
        <w:tc>
          <w:tcPr>
            <w:tcW w:w="112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7E6E6" w:themeFill="background2"/>
            <w:vAlign w:val="center"/>
          </w:tcPr>
          <w:p w:rsidRPr="0032494C" w:rsidR="007832C0" w:rsidP="00211111" w:rsidRDefault="007832C0" w14:paraId="593C2AB5" w14:textId="639ACF3E">
            <w:pPr>
              <w:spacing w:line="233" w:lineRule="atLeast"/>
              <w:ind w:left="84"/>
              <w:rPr>
                <w:rFonts w:ascii="Calibri" w:hAnsi="Calibri" w:cs="Calibri"/>
                <w:color w:val="000000"/>
                <w:sz w:val="17"/>
                <w:szCs w:val="17"/>
              </w:rPr>
            </w:pPr>
            <w:r w:rsidRPr="0032494C">
              <w:rPr>
                <w:rFonts w:ascii="Calibri" w:hAnsi="Calibri" w:cs="Calibri"/>
                <w:color w:val="000000"/>
                <w:sz w:val="17"/>
                <w:szCs w:val="17"/>
              </w:rPr>
              <w:t>Survey II**</w:t>
            </w:r>
          </w:p>
        </w:tc>
        <w:tc>
          <w:tcPr>
            <w:tcW w:w="2082" w:type="dxa"/>
            <w:vMerge/>
            <w:tcBorders>
              <w:left w:val="single" w:color="7F7F7F" w:themeColor="text1" w:themeTint="80" w:sz="4" w:space="0"/>
              <w:bottom w:val="single" w:color="auto" w:sz="8" w:space="0"/>
              <w:right w:val="single" w:color="auto" w:sz="8" w:space="0"/>
            </w:tcBorders>
            <w:shd w:val="clear" w:color="auto" w:fill="E7E6E6" w:themeFill="background2"/>
            <w:tcMar>
              <w:top w:w="0" w:type="dxa"/>
              <w:left w:w="108" w:type="dxa"/>
              <w:bottom w:w="0" w:type="dxa"/>
              <w:right w:w="108" w:type="dxa"/>
            </w:tcMar>
            <w:vAlign w:val="center"/>
          </w:tcPr>
          <w:p w:rsidRPr="0032494C" w:rsidR="007832C0" w:rsidP="00556ACC" w:rsidRDefault="007832C0" w14:paraId="197DDED5" w14:textId="2EC49D48">
            <w:pPr>
              <w:spacing w:line="233" w:lineRule="atLeast"/>
              <w:rPr>
                <w:rFonts w:ascii="Calibri" w:hAnsi="Calibri" w:cs="Calibri"/>
                <w:sz w:val="17"/>
                <w:szCs w:val="17"/>
              </w:rPr>
            </w:pPr>
          </w:p>
        </w:tc>
        <w:tc>
          <w:tcPr>
            <w:tcW w:w="2790" w:type="dxa"/>
            <w:tcBorders>
              <w:top w:val="single" w:color="auto" w:sz="8" w:space="0"/>
              <w:left w:val="single" w:color="7F7F7F" w:themeColor="text1" w:themeTint="80" w:sz="4" w:space="0"/>
              <w:bottom w:val="single" w:color="auto" w:sz="8" w:space="0"/>
              <w:right w:val="single" w:color="7F7F7F" w:themeColor="text1" w:themeTint="80" w:sz="4" w:space="0"/>
            </w:tcBorders>
            <w:shd w:val="clear" w:color="auto" w:fill="E7E6E6" w:themeFill="background2"/>
            <w:tcMar>
              <w:top w:w="0" w:type="dxa"/>
              <w:left w:w="108" w:type="dxa"/>
              <w:bottom w:w="0" w:type="dxa"/>
              <w:right w:w="108" w:type="dxa"/>
            </w:tcMar>
            <w:vAlign w:val="center"/>
            <w:hideMark/>
          </w:tcPr>
          <w:p w:rsidRPr="0032494C" w:rsidR="007832C0" w:rsidP="00556ACC" w:rsidRDefault="007832C0" w14:paraId="0CDA460F" w14:textId="50EE81FE">
            <w:pPr>
              <w:spacing w:line="233" w:lineRule="atLeast"/>
              <w:rPr>
                <w:rFonts w:ascii="Calibri" w:hAnsi="Calibri" w:cs="Calibri"/>
                <w:sz w:val="17"/>
                <w:szCs w:val="17"/>
              </w:rPr>
            </w:pPr>
            <w:r w:rsidRPr="0032494C">
              <w:rPr>
                <w:rFonts w:ascii="Calibri" w:hAnsi="Calibri" w:cs="Calibri"/>
                <w:color w:val="000000"/>
                <w:sz w:val="17"/>
                <w:szCs w:val="17"/>
              </w:rPr>
              <w:t xml:space="preserve">Staff from </w:t>
            </w:r>
            <w:r w:rsidRPr="0032494C" w:rsidR="00AC3A5E">
              <w:rPr>
                <w:rFonts w:ascii="Calibri" w:hAnsi="Calibri" w:cs="Calibri"/>
                <w:color w:val="000000"/>
                <w:sz w:val="17"/>
                <w:szCs w:val="17"/>
              </w:rPr>
              <w:t>h</w:t>
            </w:r>
            <w:r w:rsidRPr="0032494C">
              <w:rPr>
                <w:rFonts w:ascii="Calibri" w:hAnsi="Calibri" w:cs="Calibri"/>
                <w:color w:val="000000"/>
                <w:sz w:val="17"/>
                <w:szCs w:val="17"/>
              </w:rPr>
              <w:t>ub leader and key partner/collaborating organizations</w:t>
            </w:r>
          </w:p>
        </w:tc>
        <w:tc>
          <w:tcPr>
            <w:tcW w:w="1620" w:type="dxa"/>
            <w:tcBorders>
              <w:top w:val="nil"/>
              <w:left w:val="single" w:color="7F7F7F" w:themeColor="text1" w:themeTint="80" w:sz="4" w:space="0"/>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32494C" w:rsidR="007832C0" w:rsidP="00556ACC" w:rsidRDefault="007832C0" w14:paraId="2CBE552A" w14:textId="47DB5630">
            <w:pPr>
              <w:spacing w:line="233" w:lineRule="atLeast"/>
              <w:rPr>
                <w:rFonts w:ascii="Calibri" w:hAnsi="Calibri" w:cs="Calibri"/>
                <w:sz w:val="17"/>
                <w:szCs w:val="17"/>
              </w:rPr>
            </w:pPr>
            <w:r w:rsidRPr="0032494C">
              <w:rPr>
                <w:rFonts w:ascii="Calibri" w:hAnsi="Calibri" w:cs="Calibri"/>
                <w:color w:val="000000"/>
                <w:sz w:val="17"/>
                <w:szCs w:val="17"/>
              </w:rPr>
              <w:t> Year 2 – Year 3</w:t>
            </w:r>
          </w:p>
        </w:tc>
        <w:tc>
          <w:tcPr>
            <w:tcW w:w="1390" w:type="dxa"/>
            <w:tcBorders>
              <w:top w:val="nil"/>
              <w:left w:val="nil"/>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32494C" w:rsidR="007832C0" w:rsidP="00556ACC" w:rsidRDefault="007832C0" w14:paraId="1CD5EA13" w14:textId="5B65529C">
            <w:pPr>
              <w:spacing w:line="233" w:lineRule="atLeast"/>
              <w:rPr>
                <w:rFonts w:ascii="Calibri" w:hAnsi="Calibri" w:cs="Calibri"/>
                <w:sz w:val="17"/>
                <w:szCs w:val="17"/>
              </w:rPr>
            </w:pPr>
            <w:r w:rsidRPr="0032494C">
              <w:rPr>
                <w:rFonts w:ascii="Calibri" w:hAnsi="Calibri" w:cs="Calibri"/>
                <w:color w:val="000000"/>
                <w:sz w:val="17"/>
                <w:szCs w:val="17"/>
              </w:rPr>
              <w:t> Q</w:t>
            </w:r>
            <w:r w:rsidR="00C10685">
              <w:rPr>
                <w:rFonts w:ascii="Calibri" w:hAnsi="Calibri" w:cs="Calibri"/>
                <w:color w:val="000000"/>
                <w:sz w:val="17"/>
                <w:szCs w:val="17"/>
              </w:rPr>
              <w:t>9</w:t>
            </w:r>
            <w:r w:rsidRPr="0032494C">
              <w:rPr>
                <w:rFonts w:ascii="Calibri" w:hAnsi="Calibri" w:cs="Calibri"/>
                <w:color w:val="000000"/>
                <w:sz w:val="17"/>
                <w:szCs w:val="17"/>
              </w:rPr>
              <w:t xml:space="preserve"> - Q1</w:t>
            </w:r>
            <w:r w:rsidR="00C10685">
              <w:rPr>
                <w:rFonts w:ascii="Calibri" w:hAnsi="Calibri" w:cs="Calibri"/>
                <w:color w:val="000000"/>
                <w:sz w:val="17"/>
                <w:szCs w:val="17"/>
              </w:rPr>
              <w:t>3</w:t>
            </w:r>
            <w:r w:rsidRPr="0032494C">
              <w:rPr>
                <w:rFonts w:ascii="Calibri" w:hAnsi="Calibri" w:cs="Calibri"/>
                <w:color w:val="000000"/>
                <w:sz w:val="17"/>
                <w:szCs w:val="17"/>
              </w:rPr>
              <w:t>; Q1</w:t>
            </w:r>
            <w:r w:rsidR="00C10685">
              <w:rPr>
                <w:rFonts w:ascii="Calibri" w:hAnsi="Calibri" w:cs="Calibri"/>
                <w:color w:val="000000"/>
                <w:sz w:val="17"/>
                <w:szCs w:val="17"/>
              </w:rPr>
              <w:t>8</w:t>
            </w:r>
          </w:p>
        </w:tc>
      </w:tr>
      <w:tr w:rsidRPr="0032494C" w:rsidR="00A601F0" w:rsidTr="00833D23" w14:paraId="704631B6" w14:textId="77777777">
        <w:trPr>
          <w:cantSplit/>
          <w:trHeight w:val="272"/>
        </w:trPr>
        <w:tc>
          <w:tcPr>
            <w:tcW w:w="1017" w:type="dxa"/>
            <w:vMerge w:val="restart"/>
            <w:tcBorders>
              <w:top w:val="single" w:color="1F4E79" w:themeColor="accent5" w:themeShade="80" w:sz="4" w:space="0"/>
              <w:left w:val="single" w:color="1F4E79" w:themeColor="accent5" w:themeShade="80" w:sz="4" w:space="0"/>
              <w:bottom w:val="single" w:color="1F4E79" w:themeColor="accent5" w:themeShade="80" w:sz="4" w:space="0"/>
              <w:right w:val="single" w:color="7F7F7F" w:themeColor="text1" w:themeTint="80" w:sz="4" w:space="0"/>
            </w:tcBorders>
            <w:tcMar>
              <w:top w:w="0" w:type="dxa"/>
              <w:left w:w="108" w:type="dxa"/>
              <w:bottom w:w="0" w:type="dxa"/>
              <w:right w:w="108" w:type="dxa"/>
            </w:tcMar>
            <w:vAlign w:val="center"/>
          </w:tcPr>
          <w:p w:rsidRPr="0032494C" w:rsidR="00A601F0" w:rsidP="00556ACC" w:rsidRDefault="00A601F0" w14:paraId="5B9D1300" w14:textId="77777777">
            <w:pPr>
              <w:spacing w:line="233" w:lineRule="atLeast"/>
              <w:rPr>
                <w:rFonts w:ascii="Calibri" w:hAnsi="Calibri" w:cs="Calibri"/>
                <w:color w:val="000000"/>
                <w:sz w:val="17"/>
                <w:szCs w:val="17"/>
              </w:rPr>
            </w:pPr>
            <w:r w:rsidRPr="0032494C">
              <w:rPr>
                <w:rFonts w:ascii="Calibri" w:hAnsi="Calibri" w:cs="Calibri"/>
                <w:color w:val="000000"/>
                <w:sz w:val="17"/>
                <w:szCs w:val="17"/>
              </w:rPr>
              <w:t xml:space="preserve">EQ3 </w:t>
            </w:r>
          </w:p>
          <w:p w:rsidRPr="0032494C" w:rsidR="00A601F0" w:rsidP="00556ACC" w:rsidRDefault="00A601F0" w14:paraId="1D1F7475" w14:textId="6AFF34E5">
            <w:pPr>
              <w:spacing w:line="233" w:lineRule="atLeast"/>
              <w:rPr>
                <w:rFonts w:ascii="Calibri" w:hAnsi="Calibri" w:cs="Calibri"/>
                <w:color w:val="000000"/>
                <w:sz w:val="17"/>
                <w:szCs w:val="17"/>
              </w:rPr>
            </w:pPr>
            <w:r w:rsidRPr="0032494C">
              <w:rPr>
                <w:rFonts w:ascii="Calibri" w:hAnsi="Calibri" w:cs="Calibri"/>
                <w:color w:val="000000"/>
                <w:sz w:val="17"/>
                <w:szCs w:val="17"/>
              </w:rPr>
              <w:t>(Goal 1)</w:t>
            </w:r>
          </w:p>
        </w:tc>
        <w:tc>
          <w:tcPr>
            <w:tcW w:w="112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vAlign w:val="center"/>
          </w:tcPr>
          <w:p w:rsidRPr="0032494C" w:rsidR="00A601F0" w:rsidP="00211111" w:rsidRDefault="00A601F0" w14:paraId="3A92F43C" w14:textId="450D5929">
            <w:pPr>
              <w:spacing w:line="233" w:lineRule="atLeast"/>
              <w:ind w:left="84"/>
              <w:rPr>
                <w:rFonts w:ascii="Calibri" w:hAnsi="Calibri" w:cs="Calibri"/>
                <w:color w:val="000000"/>
                <w:sz w:val="17"/>
                <w:szCs w:val="17"/>
              </w:rPr>
            </w:pPr>
            <w:r w:rsidRPr="0032494C">
              <w:rPr>
                <w:rFonts w:ascii="Calibri" w:hAnsi="Calibri" w:cs="Calibri"/>
                <w:color w:val="000000"/>
                <w:sz w:val="17"/>
                <w:szCs w:val="17"/>
              </w:rPr>
              <w:t>Interview I</w:t>
            </w:r>
          </w:p>
        </w:tc>
        <w:tc>
          <w:tcPr>
            <w:tcW w:w="2082" w:type="dxa"/>
            <w:vMerge w:val="restart"/>
            <w:tcBorders>
              <w:top w:val="nil"/>
              <w:left w:val="single" w:color="7F7F7F" w:themeColor="text1" w:themeTint="80" w:sz="4" w:space="0"/>
              <w:right w:val="single" w:color="auto" w:sz="8" w:space="0"/>
            </w:tcBorders>
            <w:tcMar>
              <w:top w:w="0" w:type="dxa"/>
              <w:left w:w="108" w:type="dxa"/>
              <w:bottom w:w="0" w:type="dxa"/>
              <w:right w:w="108" w:type="dxa"/>
            </w:tcMar>
            <w:vAlign w:val="center"/>
          </w:tcPr>
          <w:p w:rsidRPr="0032494C" w:rsidR="00A601F0" w:rsidP="00556ACC" w:rsidRDefault="00A601F0" w14:paraId="5EC93200" w14:textId="77777777">
            <w:pPr>
              <w:spacing w:line="233" w:lineRule="atLeast"/>
              <w:rPr>
                <w:rFonts w:ascii="Calibri" w:hAnsi="Calibri" w:cs="Calibri"/>
                <w:sz w:val="17"/>
                <w:szCs w:val="17"/>
              </w:rPr>
            </w:pPr>
            <w:r w:rsidRPr="0032494C">
              <w:rPr>
                <w:rFonts w:ascii="Calibri" w:hAnsi="Calibri" w:cs="Calibri"/>
                <w:sz w:val="17"/>
                <w:szCs w:val="17"/>
              </w:rPr>
              <w:t xml:space="preserve">Video conferencing app </w:t>
            </w:r>
          </w:p>
          <w:p w:rsidRPr="0032494C" w:rsidR="00A601F0" w:rsidP="00556ACC" w:rsidRDefault="00A601F0" w14:paraId="5AC35EC8" w14:textId="00DAA3C3">
            <w:pPr>
              <w:spacing w:line="233" w:lineRule="atLeast"/>
              <w:rPr>
                <w:rFonts w:ascii="Calibri" w:hAnsi="Calibri" w:cs="Calibri"/>
                <w:color w:val="000000"/>
                <w:sz w:val="17"/>
                <w:szCs w:val="17"/>
              </w:rPr>
            </w:pPr>
            <w:r w:rsidRPr="0032494C">
              <w:rPr>
                <w:rFonts w:ascii="Calibri" w:hAnsi="Calibri" w:cs="Calibri"/>
                <w:sz w:val="17"/>
                <w:szCs w:val="17"/>
              </w:rPr>
              <w:t>(e.g., Zoom)</w:t>
            </w:r>
          </w:p>
        </w:tc>
        <w:tc>
          <w:tcPr>
            <w:tcW w:w="2790" w:type="dxa"/>
            <w:tcBorders>
              <w:top w:val="single" w:color="auto" w:sz="8" w:space="0"/>
              <w:left w:val="single" w:color="7F7F7F" w:themeColor="text1" w:themeTint="80" w:sz="4" w:space="0"/>
              <w:bottom w:val="single" w:color="auto" w:sz="8" w:space="0"/>
              <w:right w:val="single" w:color="7F7F7F" w:themeColor="text1" w:themeTint="80" w:sz="4" w:space="0"/>
            </w:tcBorders>
            <w:tcMar>
              <w:top w:w="0" w:type="dxa"/>
              <w:left w:w="108" w:type="dxa"/>
              <w:bottom w:w="0" w:type="dxa"/>
              <w:right w:w="108" w:type="dxa"/>
            </w:tcMar>
            <w:vAlign w:val="center"/>
          </w:tcPr>
          <w:p w:rsidRPr="0032494C" w:rsidR="00A601F0" w:rsidP="00556ACC" w:rsidRDefault="00A601F0" w14:paraId="1417F3ED" w14:textId="01DBD396">
            <w:pPr>
              <w:spacing w:line="233" w:lineRule="atLeast"/>
              <w:rPr>
                <w:rFonts w:ascii="Calibri" w:hAnsi="Calibri" w:cs="Calibri"/>
                <w:sz w:val="17"/>
                <w:szCs w:val="17"/>
              </w:rPr>
            </w:pPr>
            <w:r w:rsidRPr="0032494C">
              <w:rPr>
                <w:rFonts w:ascii="Calibri" w:hAnsi="Calibri" w:cs="Calibri"/>
                <w:color w:val="000000"/>
                <w:sz w:val="17"/>
                <w:szCs w:val="17"/>
              </w:rPr>
              <w:t xml:space="preserve">Staff from </w:t>
            </w:r>
            <w:r w:rsidRPr="0032494C" w:rsidR="00AC3A5E">
              <w:rPr>
                <w:rFonts w:ascii="Calibri" w:hAnsi="Calibri" w:cs="Calibri"/>
                <w:color w:val="000000"/>
                <w:sz w:val="17"/>
                <w:szCs w:val="17"/>
              </w:rPr>
              <w:t>h</w:t>
            </w:r>
            <w:r w:rsidRPr="0032494C">
              <w:rPr>
                <w:rFonts w:ascii="Calibri" w:hAnsi="Calibri" w:cs="Calibri"/>
                <w:color w:val="000000"/>
                <w:sz w:val="17"/>
                <w:szCs w:val="17"/>
              </w:rPr>
              <w:t>ub leader organizations</w:t>
            </w:r>
          </w:p>
        </w:tc>
        <w:tc>
          <w:tcPr>
            <w:tcW w:w="1620" w:type="dxa"/>
            <w:tcBorders>
              <w:top w:val="nil"/>
              <w:left w:val="single" w:color="7F7F7F" w:themeColor="text1" w:themeTint="80" w:sz="4" w:space="0"/>
              <w:bottom w:val="single" w:color="auto" w:sz="8" w:space="0"/>
              <w:right w:val="single" w:color="auto" w:sz="8" w:space="0"/>
            </w:tcBorders>
            <w:tcMar>
              <w:top w:w="0" w:type="dxa"/>
              <w:left w:w="108" w:type="dxa"/>
              <w:bottom w:w="0" w:type="dxa"/>
              <w:right w:w="108" w:type="dxa"/>
            </w:tcMar>
            <w:vAlign w:val="center"/>
          </w:tcPr>
          <w:p w:rsidRPr="0032494C" w:rsidR="00A601F0" w:rsidP="00556ACC" w:rsidRDefault="00A601F0" w14:paraId="75F599B2" w14:textId="03E4D781">
            <w:pPr>
              <w:spacing w:line="233" w:lineRule="atLeast"/>
              <w:rPr>
                <w:rFonts w:ascii="Calibri" w:hAnsi="Calibri" w:cs="Calibri"/>
                <w:color w:val="000000"/>
                <w:sz w:val="17"/>
                <w:szCs w:val="17"/>
              </w:rPr>
            </w:pPr>
            <w:r w:rsidRPr="0032494C">
              <w:rPr>
                <w:rFonts w:ascii="Calibri" w:hAnsi="Calibri" w:cs="Calibri"/>
                <w:color w:val="000000"/>
                <w:sz w:val="17"/>
                <w:szCs w:val="17"/>
              </w:rPr>
              <w:t xml:space="preserve">Year 1 – Year 3 </w:t>
            </w:r>
          </w:p>
        </w:tc>
        <w:tc>
          <w:tcPr>
            <w:tcW w:w="139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2494C" w:rsidR="00A601F0" w:rsidP="00556ACC" w:rsidRDefault="00A601F0" w14:paraId="6A163042" w14:textId="0A04D62E">
            <w:pPr>
              <w:spacing w:line="233" w:lineRule="atLeast"/>
              <w:rPr>
                <w:rFonts w:ascii="Calibri" w:hAnsi="Calibri" w:cs="Calibri"/>
                <w:color w:val="000000"/>
                <w:sz w:val="17"/>
                <w:szCs w:val="17"/>
              </w:rPr>
            </w:pPr>
            <w:r w:rsidRPr="0032494C">
              <w:rPr>
                <w:rFonts w:ascii="Calibri" w:hAnsi="Calibri" w:cs="Calibri"/>
                <w:color w:val="000000"/>
                <w:sz w:val="17"/>
                <w:szCs w:val="17"/>
              </w:rPr>
              <w:t>Q9; Q11; Q15,</w:t>
            </w:r>
          </w:p>
        </w:tc>
      </w:tr>
      <w:tr w:rsidRPr="0032494C" w:rsidR="00A601F0" w:rsidTr="00833D23" w14:paraId="1CD8CDAA" w14:textId="77777777">
        <w:trPr>
          <w:cantSplit/>
          <w:trHeight w:val="186"/>
        </w:trPr>
        <w:tc>
          <w:tcPr>
            <w:tcW w:w="1017" w:type="dxa"/>
            <w:vMerge/>
            <w:tcBorders>
              <w:top w:val="single" w:color="1F4E79" w:themeColor="accent5" w:themeShade="80" w:sz="4" w:space="0"/>
              <w:left w:val="single" w:color="1F4E79" w:themeColor="accent5" w:themeShade="80" w:sz="4" w:space="0"/>
              <w:bottom w:val="single" w:color="1F4E79" w:themeColor="accent5" w:themeShade="80" w:sz="4" w:space="0"/>
              <w:right w:val="single" w:color="7F7F7F" w:themeColor="text1" w:themeTint="80" w:sz="4" w:space="0"/>
            </w:tcBorders>
            <w:tcMar>
              <w:top w:w="0" w:type="dxa"/>
              <w:left w:w="108" w:type="dxa"/>
              <w:bottom w:w="0" w:type="dxa"/>
              <w:right w:w="108" w:type="dxa"/>
            </w:tcMar>
            <w:vAlign w:val="center"/>
            <w:hideMark/>
          </w:tcPr>
          <w:p w:rsidRPr="0032494C" w:rsidR="00A601F0" w:rsidP="00556ACC" w:rsidRDefault="00A601F0" w14:paraId="6B281864" w14:textId="710FE846">
            <w:pPr>
              <w:spacing w:line="233" w:lineRule="atLeast"/>
              <w:rPr>
                <w:rFonts w:ascii="Calibri" w:hAnsi="Calibri" w:cs="Calibri"/>
                <w:sz w:val="17"/>
                <w:szCs w:val="17"/>
              </w:rPr>
            </w:pPr>
          </w:p>
        </w:tc>
        <w:tc>
          <w:tcPr>
            <w:tcW w:w="112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vAlign w:val="center"/>
          </w:tcPr>
          <w:p w:rsidRPr="0032494C" w:rsidR="00A601F0" w:rsidP="00211111" w:rsidRDefault="00A601F0" w14:paraId="35958422" w14:textId="2C22595B">
            <w:pPr>
              <w:spacing w:line="233" w:lineRule="atLeast"/>
              <w:ind w:left="84"/>
              <w:rPr>
                <w:rFonts w:ascii="Calibri" w:hAnsi="Calibri" w:cs="Calibri"/>
                <w:color w:val="000000"/>
                <w:sz w:val="17"/>
                <w:szCs w:val="17"/>
              </w:rPr>
            </w:pPr>
            <w:r w:rsidRPr="0032494C">
              <w:rPr>
                <w:rFonts w:ascii="Calibri" w:hAnsi="Calibri" w:cs="Calibri"/>
                <w:color w:val="000000"/>
                <w:sz w:val="17"/>
                <w:szCs w:val="17"/>
              </w:rPr>
              <w:t>Interview II</w:t>
            </w:r>
          </w:p>
        </w:tc>
        <w:tc>
          <w:tcPr>
            <w:tcW w:w="2082" w:type="dxa"/>
            <w:vMerge/>
            <w:tcBorders>
              <w:left w:val="single" w:color="7F7F7F" w:themeColor="text1" w:themeTint="80" w:sz="4" w:space="0"/>
              <w:bottom w:val="single" w:color="7F7F7F" w:themeColor="text1" w:themeTint="80" w:sz="4" w:space="0"/>
              <w:right w:val="single" w:color="auto" w:sz="8" w:space="0"/>
            </w:tcBorders>
            <w:tcMar>
              <w:top w:w="0" w:type="dxa"/>
              <w:left w:w="108" w:type="dxa"/>
              <w:bottom w:w="0" w:type="dxa"/>
              <w:right w:w="108" w:type="dxa"/>
            </w:tcMar>
            <w:vAlign w:val="center"/>
          </w:tcPr>
          <w:p w:rsidRPr="0032494C" w:rsidR="00A601F0" w:rsidP="00556ACC" w:rsidRDefault="00A601F0" w14:paraId="7C3CB640" w14:textId="78324515">
            <w:pPr>
              <w:spacing w:line="233" w:lineRule="atLeast"/>
              <w:rPr>
                <w:rFonts w:ascii="Calibri" w:hAnsi="Calibri" w:cs="Calibri"/>
                <w:sz w:val="17"/>
                <w:szCs w:val="17"/>
              </w:rPr>
            </w:pPr>
          </w:p>
        </w:tc>
        <w:tc>
          <w:tcPr>
            <w:tcW w:w="2790" w:type="dxa"/>
            <w:tcBorders>
              <w:top w:val="single" w:color="auto" w:sz="8" w:space="0"/>
              <w:left w:val="single" w:color="7F7F7F" w:themeColor="text1" w:themeTint="80" w:sz="4" w:space="0"/>
              <w:bottom w:val="single" w:color="auto" w:sz="8" w:space="0"/>
              <w:right w:val="single" w:color="7F7F7F" w:themeColor="text1" w:themeTint="80" w:sz="4" w:space="0"/>
            </w:tcBorders>
            <w:tcMar>
              <w:top w:w="0" w:type="dxa"/>
              <w:left w:w="108" w:type="dxa"/>
              <w:bottom w:w="0" w:type="dxa"/>
              <w:right w:w="108" w:type="dxa"/>
            </w:tcMar>
            <w:vAlign w:val="center"/>
            <w:hideMark/>
          </w:tcPr>
          <w:p w:rsidRPr="0032494C" w:rsidR="00A601F0" w:rsidP="00556ACC" w:rsidRDefault="00A601F0" w14:paraId="4028B441" w14:textId="4A1A06A2">
            <w:pPr>
              <w:spacing w:line="233" w:lineRule="atLeast"/>
              <w:rPr>
                <w:rFonts w:ascii="Calibri" w:hAnsi="Calibri" w:cs="Calibri"/>
                <w:sz w:val="17"/>
                <w:szCs w:val="17"/>
              </w:rPr>
            </w:pPr>
            <w:r w:rsidRPr="0032494C">
              <w:rPr>
                <w:rFonts w:ascii="Calibri" w:hAnsi="Calibri" w:cs="Calibri"/>
                <w:color w:val="000000"/>
                <w:sz w:val="17"/>
                <w:szCs w:val="17"/>
              </w:rPr>
              <w:t xml:space="preserve">Staff from key partner/collaborating organizations </w:t>
            </w:r>
          </w:p>
        </w:tc>
        <w:tc>
          <w:tcPr>
            <w:tcW w:w="1620" w:type="dxa"/>
            <w:tcBorders>
              <w:top w:val="nil"/>
              <w:left w:val="single" w:color="7F7F7F" w:themeColor="text1" w:themeTint="80" w:sz="4" w:space="0"/>
              <w:bottom w:val="single" w:color="auto" w:sz="8" w:space="0"/>
              <w:right w:val="single" w:color="auto" w:sz="8" w:space="0"/>
            </w:tcBorders>
            <w:tcMar>
              <w:top w:w="0" w:type="dxa"/>
              <w:left w:w="108" w:type="dxa"/>
              <w:bottom w:w="0" w:type="dxa"/>
              <w:right w:w="108" w:type="dxa"/>
            </w:tcMar>
            <w:vAlign w:val="center"/>
            <w:hideMark/>
          </w:tcPr>
          <w:p w:rsidRPr="0032494C" w:rsidR="00A601F0" w:rsidP="00556ACC" w:rsidRDefault="00A601F0" w14:paraId="7497F6F4" w14:textId="7EA06C25">
            <w:pPr>
              <w:spacing w:line="233" w:lineRule="atLeast"/>
              <w:rPr>
                <w:rFonts w:ascii="Calibri" w:hAnsi="Calibri" w:cs="Calibri"/>
                <w:sz w:val="17"/>
                <w:szCs w:val="17"/>
              </w:rPr>
            </w:pPr>
            <w:r w:rsidRPr="0032494C">
              <w:rPr>
                <w:rFonts w:ascii="Calibri" w:hAnsi="Calibri" w:cs="Calibri"/>
                <w:color w:val="000000"/>
                <w:sz w:val="17"/>
                <w:szCs w:val="17"/>
              </w:rPr>
              <w:t>Year 2 – Year 3</w:t>
            </w:r>
          </w:p>
        </w:tc>
        <w:tc>
          <w:tcPr>
            <w:tcW w:w="13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32494C" w:rsidR="00A601F0" w:rsidP="00556ACC" w:rsidRDefault="00A601F0" w14:paraId="04E9EA93" w14:textId="41DCF864">
            <w:pPr>
              <w:spacing w:line="233" w:lineRule="atLeast"/>
              <w:rPr>
                <w:rFonts w:ascii="Calibri" w:hAnsi="Calibri" w:cs="Calibri"/>
                <w:sz w:val="17"/>
                <w:szCs w:val="17"/>
              </w:rPr>
            </w:pPr>
            <w:r w:rsidRPr="0032494C">
              <w:rPr>
                <w:rFonts w:ascii="Calibri" w:hAnsi="Calibri" w:cs="Calibri"/>
                <w:color w:val="000000"/>
                <w:sz w:val="17"/>
                <w:szCs w:val="17"/>
              </w:rPr>
              <w:t> Q9; Q11; Q15</w:t>
            </w:r>
          </w:p>
        </w:tc>
      </w:tr>
      <w:tr w:rsidRPr="0032494C" w:rsidR="00A601F0" w:rsidTr="00833D23" w14:paraId="35816CD1" w14:textId="77777777">
        <w:trPr>
          <w:cantSplit/>
          <w:trHeight w:val="333"/>
        </w:trPr>
        <w:tc>
          <w:tcPr>
            <w:tcW w:w="1017" w:type="dxa"/>
            <w:vMerge w:val="restart"/>
            <w:tcBorders>
              <w:top w:val="single" w:color="1F4E79" w:themeColor="accent5" w:themeShade="80" w:sz="4" w:space="0"/>
              <w:left w:val="single" w:color="auto" w:sz="8" w:space="0"/>
              <w:right w:val="single" w:color="7F7F7F" w:themeColor="text1" w:themeTint="80" w:sz="4" w:space="0"/>
            </w:tcBorders>
            <w:shd w:val="clear" w:color="auto" w:fill="E7E6E6" w:themeFill="background2"/>
            <w:tcMar>
              <w:top w:w="0" w:type="dxa"/>
              <w:left w:w="108" w:type="dxa"/>
              <w:bottom w:w="0" w:type="dxa"/>
              <w:right w:w="108" w:type="dxa"/>
            </w:tcMar>
            <w:vAlign w:val="center"/>
            <w:hideMark/>
          </w:tcPr>
          <w:p w:rsidRPr="0032494C" w:rsidR="00A601F0" w:rsidP="00556ACC" w:rsidRDefault="00A601F0" w14:paraId="66A618F1" w14:textId="77777777">
            <w:pPr>
              <w:spacing w:line="233" w:lineRule="atLeast"/>
              <w:rPr>
                <w:rFonts w:ascii="Calibri" w:hAnsi="Calibri" w:cs="Calibri"/>
                <w:color w:val="000000"/>
                <w:sz w:val="17"/>
                <w:szCs w:val="17"/>
              </w:rPr>
            </w:pPr>
            <w:r w:rsidRPr="0032494C">
              <w:rPr>
                <w:rFonts w:ascii="Calibri" w:hAnsi="Calibri" w:cs="Calibri"/>
                <w:color w:val="000000"/>
                <w:sz w:val="17"/>
                <w:szCs w:val="17"/>
              </w:rPr>
              <w:t xml:space="preserve">EQ4 </w:t>
            </w:r>
          </w:p>
          <w:p w:rsidRPr="0032494C" w:rsidR="00A601F0" w:rsidP="00556ACC" w:rsidRDefault="00A601F0" w14:paraId="4456B871" w14:textId="3C821D2D">
            <w:pPr>
              <w:spacing w:line="233" w:lineRule="atLeast"/>
              <w:rPr>
                <w:rFonts w:ascii="Calibri" w:hAnsi="Calibri" w:cs="Calibri"/>
                <w:sz w:val="17"/>
                <w:szCs w:val="17"/>
              </w:rPr>
            </w:pPr>
            <w:r w:rsidRPr="0032494C">
              <w:rPr>
                <w:rFonts w:ascii="Calibri" w:hAnsi="Calibri" w:cs="Calibri"/>
                <w:color w:val="000000"/>
                <w:sz w:val="17"/>
                <w:szCs w:val="17"/>
              </w:rPr>
              <w:t>(Goal 1)</w:t>
            </w:r>
          </w:p>
        </w:tc>
        <w:tc>
          <w:tcPr>
            <w:tcW w:w="112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7E6E6" w:themeFill="background2"/>
            <w:vAlign w:val="center"/>
          </w:tcPr>
          <w:p w:rsidRPr="0032494C" w:rsidR="00A601F0" w:rsidP="00211111" w:rsidRDefault="00A601F0" w14:paraId="084A1AE9" w14:textId="3CCABB45">
            <w:pPr>
              <w:spacing w:line="233" w:lineRule="atLeast"/>
              <w:ind w:left="84"/>
              <w:rPr>
                <w:rFonts w:ascii="Calibri" w:hAnsi="Calibri" w:cs="Calibri"/>
                <w:color w:val="000000"/>
                <w:sz w:val="17"/>
                <w:szCs w:val="17"/>
              </w:rPr>
            </w:pPr>
            <w:r w:rsidRPr="0032494C">
              <w:rPr>
                <w:rFonts w:ascii="Calibri" w:hAnsi="Calibri" w:cs="Calibri"/>
                <w:color w:val="000000"/>
                <w:sz w:val="17"/>
                <w:szCs w:val="17"/>
              </w:rPr>
              <w:t>Interview I</w:t>
            </w:r>
          </w:p>
        </w:tc>
        <w:tc>
          <w:tcPr>
            <w:tcW w:w="2082" w:type="dxa"/>
            <w:vMerge w:val="restart"/>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7E6E6" w:themeFill="background2"/>
            <w:tcMar>
              <w:top w:w="0" w:type="dxa"/>
              <w:left w:w="108" w:type="dxa"/>
              <w:bottom w:w="0" w:type="dxa"/>
              <w:right w:w="108" w:type="dxa"/>
            </w:tcMar>
            <w:vAlign w:val="center"/>
          </w:tcPr>
          <w:p w:rsidRPr="0032494C" w:rsidR="00A601F0" w:rsidP="00A601F0" w:rsidRDefault="00A601F0" w14:paraId="6C96E9A4" w14:textId="77777777">
            <w:pPr>
              <w:spacing w:line="233" w:lineRule="atLeast"/>
              <w:rPr>
                <w:rFonts w:ascii="Calibri" w:hAnsi="Calibri" w:cs="Calibri"/>
                <w:sz w:val="17"/>
                <w:szCs w:val="17"/>
              </w:rPr>
            </w:pPr>
            <w:r w:rsidRPr="0032494C">
              <w:rPr>
                <w:rFonts w:ascii="Calibri" w:hAnsi="Calibri" w:cs="Calibri"/>
                <w:sz w:val="17"/>
                <w:szCs w:val="17"/>
              </w:rPr>
              <w:t xml:space="preserve">Video conferencing app </w:t>
            </w:r>
          </w:p>
          <w:p w:rsidRPr="0032494C" w:rsidR="00A601F0" w:rsidP="00A601F0" w:rsidRDefault="00A601F0" w14:paraId="4DEE9E0B" w14:textId="748E309C">
            <w:pPr>
              <w:spacing w:line="233" w:lineRule="atLeast"/>
              <w:rPr>
                <w:rFonts w:ascii="Calibri" w:hAnsi="Calibri" w:cs="Calibri"/>
                <w:sz w:val="17"/>
                <w:szCs w:val="17"/>
              </w:rPr>
            </w:pPr>
            <w:r w:rsidRPr="0032494C">
              <w:rPr>
                <w:rFonts w:ascii="Calibri" w:hAnsi="Calibri" w:cs="Calibri"/>
                <w:sz w:val="17"/>
                <w:szCs w:val="17"/>
              </w:rPr>
              <w:t>(e.g., Zoom)</w:t>
            </w:r>
          </w:p>
        </w:tc>
        <w:tc>
          <w:tcPr>
            <w:tcW w:w="2790" w:type="dxa"/>
            <w:tcBorders>
              <w:top w:val="single" w:color="auto" w:sz="8" w:space="0"/>
              <w:left w:val="single" w:color="7F7F7F" w:themeColor="text1" w:themeTint="80" w:sz="4" w:space="0"/>
              <w:bottom w:val="single" w:color="auto" w:sz="8" w:space="0"/>
              <w:right w:val="single" w:color="7F7F7F" w:themeColor="text1" w:themeTint="80" w:sz="4" w:space="0"/>
            </w:tcBorders>
            <w:shd w:val="clear" w:color="auto" w:fill="E7E6E6" w:themeFill="background2"/>
            <w:tcMar>
              <w:top w:w="0" w:type="dxa"/>
              <w:left w:w="108" w:type="dxa"/>
              <w:bottom w:w="0" w:type="dxa"/>
              <w:right w:w="108" w:type="dxa"/>
            </w:tcMar>
            <w:vAlign w:val="center"/>
            <w:hideMark/>
          </w:tcPr>
          <w:p w:rsidRPr="0032494C" w:rsidR="00A601F0" w:rsidP="00556ACC" w:rsidRDefault="00A601F0" w14:paraId="5631E16A" w14:textId="43BC6AE9">
            <w:pPr>
              <w:spacing w:line="233" w:lineRule="atLeast"/>
              <w:rPr>
                <w:rFonts w:ascii="Calibri" w:hAnsi="Calibri" w:cs="Calibri"/>
                <w:sz w:val="17"/>
                <w:szCs w:val="17"/>
              </w:rPr>
            </w:pPr>
            <w:r w:rsidRPr="0032494C">
              <w:rPr>
                <w:rFonts w:ascii="Calibri" w:hAnsi="Calibri" w:cs="Calibri"/>
                <w:color w:val="000000"/>
                <w:sz w:val="17"/>
                <w:szCs w:val="17"/>
              </w:rPr>
              <w:t xml:space="preserve">Staff from </w:t>
            </w:r>
            <w:r w:rsidRPr="0032494C" w:rsidR="00AC3A5E">
              <w:rPr>
                <w:rFonts w:ascii="Calibri" w:hAnsi="Calibri" w:cs="Calibri"/>
                <w:color w:val="000000"/>
                <w:sz w:val="17"/>
                <w:szCs w:val="17"/>
              </w:rPr>
              <w:t>h</w:t>
            </w:r>
            <w:r w:rsidRPr="0032494C">
              <w:rPr>
                <w:rFonts w:ascii="Calibri" w:hAnsi="Calibri" w:cs="Calibri"/>
                <w:color w:val="000000"/>
                <w:sz w:val="17"/>
                <w:szCs w:val="17"/>
              </w:rPr>
              <w:t>ub leader organizations</w:t>
            </w:r>
          </w:p>
        </w:tc>
        <w:tc>
          <w:tcPr>
            <w:tcW w:w="1620" w:type="dxa"/>
            <w:tcBorders>
              <w:top w:val="nil"/>
              <w:left w:val="single" w:color="7F7F7F" w:themeColor="text1" w:themeTint="80" w:sz="4" w:space="0"/>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32494C" w:rsidR="00A601F0" w:rsidP="00556ACC" w:rsidRDefault="00A601F0" w14:paraId="27F87FA5" w14:textId="77777777">
            <w:pPr>
              <w:spacing w:line="233" w:lineRule="atLeast"/>
              <w:rPr>
                <w:rFonts w:ascii="Calibri" w:hAnsi="Calibri" w:cs="Calibri"/>
                <w:color w:val="000000"/>
                <w:sz w:val="17"/>
                <w:szCs w:val="17"/>
              </w:rPr>
            </w:pPr>
            <w:r w:rsidRPr="0032494C">
              <w:rPr>
                <w:rFonts w:ascii="Calibri" w:hAnsi="Calibri" w:cs="Calibri"/>
                <w:color w:val="000000"/>
                <w:sz w:val="17"/>
                <w:szCs w:val="17"/>
              </w:rPr>
              <w:t xml:space="preserve">Year 1 – Year 3 </w:t>
            </w:r>
          </w:p>
          <w:p w:rsidRPr="0032494C" w:rsidR="00A601F0" w:rsidP="00556ACC" w:rsidRDefault="00A601F0" w14:paraId="52A17C0B" w14:textId="60B557DC">
            <w:pPr>
              <w:spacing w:line="233" w:lineRule="atLeast"/>
              <w:rPr>
                <w:rFonts w:ascii="Calibri" w:hAnsi="Calibri" w:cs="Calibri"/>
                <w:sz w:val="17"/>
                <w:szCs w:val="17"/>
              </w:rPr>
            </w:pPr>
          </w:p>
        </w:tc>
        <w:tc>
          <w:tcPr>
            <w:tcW w:w="1390" w:type="dxa"/>
            <w:tcBorders>
              <w:top w:val="nil"/>
              <w:left w:val="nil"/>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32494C" w:rsidR="00A601F0" w:rsidP="00556ACC" w:rsidRDefault="00A601F0" w14:paraId="1820985A" w14:textId="58EB7189">
            <w:pPr>
              <w:spacing w:line="233" w:lineRule="atLeast"/>
              <w:rPr>
                <w:rFonts w:ascii="Calibri" w:hAnsi="Calibri" w:cs="Calibri"/>
                <w:sz w:val="17"/>
                <w:szCs w:val="17"/>
              </w:rPr>
            </w:pPr>
            <w:r w:rsidRPr="0032494C">
              <w:rPr>
                <w:rFonts w:ascii="Calibri" w:hAnsi="Calibri" w:cs="Calibri"/>
                <w:color w:val="000000"/>
                <w:sz w:val="17"/>
                <w:szCs w:val="17"/>
              </w:rPr>
              <w:t> Q4 - Q5; Q19</w:t>
            </w:r>
          </w:p>
        </w:tc>
      </w:tr>
      <w:tr w:rsidRPr="0032494C" w:rsidR="00A601F0" w:rsidTr="00833D23" w14:paraId="2AD0D93C" w14:textId="77777777">
        <w:trPr>
          <w:cantSplit/>
          <w:trHeight w:val="203"/>
        </w:trPr>
        <w:tc>
          <w:tcPr>
            <w:tcW w:w="1017" w:type="dxa"/>
            <w:vMerge/>
            <w:tcBorders>
              <w:left w:val="single" w:color="auto" w:sz="8" w:space="0"/>
              <w:bottom w:val="single" w:color="auto" w:sz="8" w:space="0"/>
              <w:right w:val="single" w:color="7F7F7F" w:themeColor="text1" w:themeTint="80" w:sz="4" w:space="0"/>
            </w:tcBorders>
            <w:shd w:val="clear" w:color="auto" w:fill="E7E6E6" w:themeFill="background2"/>
            <w:tcMar>
              <w:top w:w="0" w:type="dxa"/>
              <w:left w:w="108" w:type="dxa"/>
              <w:bottom w:w="0" w:type="dxa"/>
              <w:right w:w="108" w:type="dxa"/>
            </w:tcMar>
            <w:vAlign w:val="center"/>
          </w:tcPr>
          <w:p w:rsidRPr="0032494C" w:rsidR="00A601F0" w:rsidP="00556ACC" w:rsidRDefault="00A601F0" w14:paraId="6FC12A15" w14:textId="77777777">
            <w:pPr>
              <w:spacing w:line="233" w:lineRule="atLeast"/>
              <w:rPr>
                <w:rFonts w:ascii="Calibri" w:hAnsi="Calibri" w:cs="Calibri"/>
                <w:color w:val="000000"/>
                <w:sz w:val="17"/>
                <w:szCs w:val="17"/>
              </w:rPr>
            </w:pPr>
          </w:p>
        </w:tc>
        <w:tc>
          <w:tcPr>
            <w:tcW w:w="112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7E6E6" w:themeFill="background2"/>
            <w:vAlign w:val="center"/>
          </w:tcPr>
          <w:p w:rsidRPr="0032494C" w:rsidR="00A601F0" w:rsidP="00211111" w:rsidRDefault="00A601F0" w14:paraId="2C9F2B00" w14:textId="487F1D48">
            <w:pPr>
              <w:spacing w:line="233" w:lineRule="atLeast"/>
              <w:ind w:left="84"/>
              <w:rPr>
                <w:rFonts w:ascii="Calibri" w:hAnsi="Calibri" w:cs="Calibri"/>
                <w:color w:val="000000"/>
                <w:sz w:val="17"/>
                <w:szCs w:val="17"/>
              </w:rPr>
            </w:pPr>
            <w:r w:rsidRPr="0032494C">
              <w:rPr>
                <w:rFonts w:ascii="Calibri" w:hAnsi="Calibri" w:cs="Calibri"/>
                <w:color w:val="000000"/>
                <w:sz w:val="17"/>
                <w:szCs w:val="17"/>
              </w:rPr>
              <w:t>Interview II</w:t>
            </w:r>
          </w:p>
        </w:tc>
        <w:tc>
          <w:tcPr>
            <w:tcW w:w="2082" w:type="dxa"/>
            <w:vMerge/>
            <w:tcBorders>
              <w:left w:val="single" w:color="7F7F7F" w:themeColor="text1" w:themeTint="80" w:sz="4" w:space="0"/>
              <w:bottom w:val="single" w:color="7F7F7F" w:themeColor="text1" w:themeTint="80" w:sz="4" w:space="0"/>
              <w:right w:val="single" w:color="7F7F7F" w:themeColor="text1" w:themeTint="80" w:sz="4" w:space="0"/>
            </w:tcBorders>
            <w:shd w:val="clear" w:color="auto" w:fill="E7E6E6" w:themeFill="background2"/>
            <w:tcMar>
              <w:top w:w="0" w:type="dxa"/>
              <w:left w:w="108" w:type="dxa"/>
              <w:bottom w:w="0" w:type="dxa"/>
              <w:right w:w="108" w:type="dxa"/>
            </w:tcMar>
            <w:vAlign w:val="center"/>
          </w:tcPr>
          <w:p w:rsidRPr="0032494C" w:rsidR="00A601F0" w:rsidP="00556ACC" w:rsidRDefault="00A601F0" w14:paraId="60785C24" w14:textId="4AD4F370">
            <w:pPr>
              <w:spacing w:line="233" w:lineRule="atLeast"/>
              <w:rPr>
                <w:rFonts w:ascii="Calibri" w:hAnsi="Calibri" w:cs="Calibri"/>
                <w:color w:val="000000"/>
                <w:sz w:val="17"/>
                <w:szCs w:val="17"/>
              </w:rPr>
            </w:pPr>
          </w:p>
        </w:tc>
        <w:tc>
          <w:tcPr>
            <w:tcW w:w="2790" w:type="dxa"/>
            <w:tcBorders>
              <w:top w:val="single" w:color="auto" w:sz="8" w:space="0"/>
              <w:left w:val="single" w:color="7F7F7F" w:themeColor="text1" w:themeTint="80" w:sz="4" w:space="0"/>
              <w:bottom w:val="single" w:color="auto" w:sz="8" w:space="0"/>
              <w:right w:val="single" w:color="7F7F7F" w:themeColor="text1" w:themeTint="80" w:sz="4" w:space="0"/>
            </w:tcBorders>
            <w:shd w:val="clear" w:color="auto" w:fill="E7E6E6" w:themeFill="background2"/>
            <w:tcMar>
              <w:top w:w="0" w:type="dxa"/>
              <w:left w:w="108" w:type="dxa"/>
              <w:bottom w:w="0" w:type="dxa"/>
              <w:right w:w="108" w:type="dxa"/>
            </w:tcMar>
            <w:vAlign w:val="center"/>
          </w:tcPr>
          <w:p w:rsidRPr="0032494C" w:rsidR="00A601F0" w:rsidP="00556ACC" w:rsidRDefault="00A601F0" w14:paraId="0473BC4E" w14:textId="5C611E08">
            <w:pPr>
              <w:spacing w:line="233" w:lineRule="atLeast"/>
              <w:rPr>
                <w:rFonts w:ascii="Calibri" w:hAnsi="Calibri" w:cs="Calibri"/>
                <w:sz w:val="17"/>
                <w:szCs w:val="17"/>
              </w:rPr>
            </w:pPr>
            <w:r w:rsidRPr="0032494C">
              <w:rPr>
                <w:rFonts w:ascii="Calibri" w:hAnsi="Calibri" w:cs="Calibri"/>
                <w:color w:val="000000"/>
                <w:sz w:val="17"/>
                <w:szCs w:val="17"/>
              </w:rPr>
              <w:t xml:space="preserve">Staff from key partner/collaborating organizations </w:t>
            </w:r>
          </w:p>
        </w:tc>
        <w:tc>
          <w:tcPr>
            <w:tcW w:w="1620" w:type="dxa"/>
            <w:tcBorders>
              <w:top w:val="nil"/>
              <w:left w:val="single" w:color="7F7F7F" w:themeColor="text1" w:themeTint="80" w:sz="4" w:space="0"/>
              <w:bottom w:val="single" w:color="auto" w:sz="8" w:space="0"/>
              <w:right w:val="single" w:color="auto" w:sz="8" w:space="0"/>
            </w:tcBorders>
            <w:shd w:val="clear" w:color="auto" w:fill="E7E6E6" w:themeFill="background2"/>
            <w:tcMar>
              <w:top w:w="0" w:type="dxa"/>
              <w:left w:w="108" w:type="dxa"/>
              <w:bottom w:w="0" w:type="dxa"/>
              <w:right w:w="108" w:type="dxa"/>
            </w:tcMar>
            <w:vAlign w:val="center"/>
          </w:tcPr>
          <w:p w:rsidRPr="0032494C" w:rsidR="00A601F0" w:rsidP="00556ACC" w:rsidRDefault="00A601F0" w14:paraId="670BAD0A" w14:textId="26902A97">
            <w:pPr>
              <w:spacing w:line="233" w:lineRule="atLeast"/>
              <w:rPr>
                <w:rFonts w:ascii="Calibri" w:hAnsi="Calibri" w:cs="Calibri"/>
                <w:color w:val="000000"/>
                <w:sz w:val="17"/>
                <w:szCs w:val="17"/>
              </w:rPr>
            </w:pPr>
            <w:r w:rsidRPr="0032494C">
              <w:rPr>
                <w:rFonts w:ascii="Calibri" w:hAnsi="Calibri" w:cs="Calibri"/>
                <w:color w:val="000000"/>
                <w:sz w:val="17"/>
                <w:szCs w:val="17"/>
              </w:rPr>
              <w:t>Year 2 – Year 3</w:t>
            </w:r>
          </w:p>
        </w:tc>
        <w:tc>
          <w:tcPr>
            <w:tcW w:w="1390" w:type="dxa"/>
            <w:tcBorders>
              <w:top w:val="nil"/>
              <w:left w:val="nil"/>
              <w:bottom w:val="single" w:color="auto" w:sz="8" w:space="0"/>
              <w:right w:val="single" w:color="auto" w:sz="8" w:space="0"/>
            </w:tcBorders>
            <w:shd w:val="clear" w:color="auto" w:fill="E7E6E6" w:themeFill="background2"/>
            <w:tcMar>
              <w:top w:w="0" w:type="dxa"/>
              <w:left w:w="108" w:type="dxa"/>
              <w:bottom w:w="0" w:type="dxa"/>
              <w:right w:w="108" w:type="dxa"/>
            </w:tcMar>
            <w:vAlign w:val="center"/>
          </w:tcPr>
          <w:p w:rsidRPr="0032494C" w:rsidR="00A601F0" w:rsidP="00556ACC" w:rsidRDefault="00A601F0" w14:paraId="45FA3505" w14:textId="3BFD925E">
            <w:pPr>
              <w:spacing w:line="233" w:lineRule="atLeast"/>
              <w:rPr>
                <w:rFonts w:ascii="Calibri" w:hAnsi="Calibri" w:cs="Calibri"/>
                <w:color w:val="000000"/>
                <w:sz w:val="17"/>
                <w:szCs w:val="17"/>
              </w:rPr>
            </w:pPr>
            <w:r w:rsidRPr="0032494C">
              <w:rPr>
                <w:rFonts w:ascii="Calibri" w:hAnsi="Calibri" w:cs="Calibri"/>
                <w:color w:val="000000"/>
                <w:sz w:val="17"/>
                <w:szCs w:val="17"/>
              </w:rPr>
              <w:t> Q4 - Q5; Q19</w:t>
            </w:r>
          </w:p>
        </w:tc>
      </w:tr>
      <w:tr w:rsidRPr="0032494C" w:rsidR="00A601F0" w:rsidTr="00833D23" w14:paraId="07FC7E1F" w14:textId="77777777">
        <w:trPr>
          <w:cantSplit/>
          <w:trHeight w:val="203"/>
        </w:trPr>
        <w:tc>
          <w:tcPr>
            <w:tcW w:w="1017" w:type="dxa"/>
            <w:vMerge w:val="restart"/>
            <w:tcBorders>
              <w:top w:val="nil"/>
              <w:left w:val="single" w:color="auto" w:sz="8" w:space="0"/>
              <w:right w:val="single" w:color="7F7F7F" w:themeColor="text1" w:themeTint="80" w:sz="4" w:space="0"/>
            </w:tcBorders>
            <w:tcMar>
              <w:top w:w="0" w:type="dxa"/>
              <w:left w:w="108" w:type="dxa"/>
              <w:bottom w:w="0" w:type="dxa"/>
              <w:right w:w="108" w:type="dxa"/>
            </w:tcMar>
            <w:vAlign w:val="center"/>
            <w:hideMark/>
          </w:tcPr>
          <w:p w:rsidRPr="0032494C" w:rsidR="00A601F0" w:rsidP="00556ACC" w:rsidRDefault="00A601F0" w14:paraId="1DB414DA" w14:textId="77777777">
            <w:pPr>
              <w:spacing w:line="233" w:lineRule="atLeast"/>
              <w:rPr>
                <w:rFonts w:ascii="Calibri" w:hAnsi="Calibri" w:cs="Calibri"/>
                <w:color w:val="000000"/>
                <w:sz w:val="17"/>
                <w:szCs w:val="17"/>
              </w:rPr>
            </w:pPr>
            <w:r w:rsidRPr="0032494C">
              <w:rPr>
                <w:rFonts w:ascii="Calibri" w:hAnsi="Calibri" w:cs="Calibri"/>
                <w:color w:val="000000"/>
                <w:sz w:val="17"/>
                <w:szCs w:val="17"/>
              </w:rPr>
              <w:t xml:space="preserve">EQ5 </w:t>
            </w:r>
          </w:p>
          <w:p w:rsidRPr="0032494C" w:rsidR="00A601F0" w:rsidP="00556ACC" w:rsidRDefault="00A601F0" w14:paraId="04ADE740" w14:textId="5E72777B">
            <w:pPr>
              <w:spacing w:line="233" w:lineRule="atLeast"/>
              <w:rPr>
                <w:rFonts w:ascii="Calibri" w:hAnsi="Calibri" w:cs="Calibri"/>
                <w:sz w:val="17"/>
                <w:szCs w:val="17"/>
              </w:rPr>
            </w:pPr>
            <w:r w:rsidRPr="0032494C">
              <w:rPr>
                <w:rFonts w:ascii="Calibri" w:hAnsi="Calibri" w:cs="Calibri"/>
                <w:color w:val="000000"/>
                <w:sz w:val="17"/>
                <w:szCs w:val="17"/>
              </w:rPr>
              <w:t>(Goal 2)</w:t>
            </w:r>
          </w:p>
          <w:p w:rsidRPr="0032494C" w:rsidR="00A601F0" w:rsidP="00556ACC" w:rsidRDefault="00A601F0" w14:paraId="413869A3" w14:textId="752E3BB9">
            <w:pPr>
              <w:spacing w:line="233" w:lineRule="atLeast"/>
              <w:rPr>
                <w:rFonts w:ascii="Calibri" w:hAnsi="Calibri" w:cs="Calibri"/>
                <w:sz w:val="17"/>
                <w:szCs w:val="17"/>
              </w:rPr>
            </w:pPr>
          </w:p>
        </w:tc>
        <w:tc>
          <w:tcPr>
            <w:tcW w:w="112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vAlign w:val="center"/>
          </w:tcPr>
          <w:p w:rsidRPr="0032494C" w:rsidR="00A601F0" w:rsidP="00211111" w:rsidRDefault="00A601F0" w14:paraId="76897000" w14:textId="4F933D7B">
            <w:pPr>
              <w:spacing w:line="233" w:lineRule="atLeast"/>
              <w:ind w:left="84"/>
              <w:rPr>
                <w:rFonts w:ascii="Calibri" w:hAnsi="Calibri" w:cs="Calibri"/>
                <w:color w:val="000000"/>
                <w:sz w:val="17"/>
                <w:szCs w:val="17"/>
              </w:rPr>
            </w:pPr>
            <w:r w:rsidRPr="0032494C">
              <w:rPr>
                <w:rFonts w:ascii="Calibri" w:hAnsi="Calibri" w:cs="Calibri"/>
                <w:color w:val="000000"/>
                <w:sz w:val="17"/>
                <w:szCs w:val="17"/>
              </w:rPr>
              <w:t>Interview I</w:t>
            </w:r>
          </w:p>
        </w:tc>
        <w:tc>
          <w:tcPr>
            <w:tcW w:w="2082" w:type="dxa"/>
            <w:vMerge w:val="restart"/>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auto"/>
            <w:tcMar>
              <w:top w:w="0" w:type="dxa"/>
              <w:left w:w="108" w:type="dxa"/>
              <w:bottom w:w="0" w:type="dxa"/>
              <w:right w:w="108" w:type="dxa"/>
            </w:tcMar>
            <w:vAlign w:val="center"/>
          </w:tcPr>
          <w:p w:rsidRPr="0032494C" w:rsidR="00A601F0" w:rsidP="00A601F0" w:rsidRDefault="00A601F0" w14:paraId="5C9D19CD" w14:textId="77777777">
            <w:pPr>
              <w:spacing w:line="233" w:lineRule="atLeast"/>
              <w:rPr>
                <w:rFonts w:ascii="Calibri" w:hAnsi="Calibri" w:cs="Calibri"/>
                <w:sz w:val="17"/>
                <w:szCs w:val="17"/>
              </w:rPr>
            </w:pPr>
            <w:r w:rsidRPr="0032494C">
              <w:rPr>
                <w:rFonts w:ascii="Calibri" w:hAnsi="Calibri" w:cs="Calibri"/>
                <w:sz w:val="17"/>
                <w:szCs w:val="17"/>
              </w:rPr>
              <w:t xml:space="preserve">Video conferencing app </w:t>
            </w:r>
          </w:p>
          <w:p w:rsidRPr="0032494C" w:rsidR="00A601F0" w:rsidP="00A601F0" w:rsidRDefault="00A601F0" w14:paraId="2C3978A5" w14:textId="11F3B926">
            <w:pPr>
              <w:spacing w:line="233" w:lineRule="atLeast"/>
              <w:rPr>
                <w:rFonts w:ascii="Calibri" w:hAnsi="Calibri" w:cs="Calibri"/>
                <w:sz w:val="17"/>
                <w:szCs w:val="17"/>
              </w:rPr>
            </w:pPr>
            <w:r w:rsidRPr="0032494C">
              <w:rPr>
                <w:rFonts w:ascii="Calibri" w:hAnsi="Calibri" w:cs="Calibri"/>
                <w:sz w:val="17"/>
                <w:szCs w:val="17"/>
              </w:rPr>
              <w:t>(e.g., Zoom)</w:t>
            </w:r>
          </w:p>
        </w:tc>
        <w:tc>
          <w:tcPr>
            <w:tcW w:w="2790" w:type="dxa"/>
            <w:tcBorders>
              <w:top w:val="single" w:color="auto" w:sz="8" w:space="0"/>
              <w:left w:val="single" w:color="7F7F7F" w:themeColor="text1" w:themeTint="80" w:sz="4" w:space="0"/>
              <w:bottom w:val="single" w:color="auto" w:sz="8" w:space="0"/>
              <w:right w:val="single" w:color="7F7F7F" w:themeColor="text1" w:themeTint="80" w:sz="4" w:space="0"/>
            </w:tcBorders>
            <w:tcMar>
              <w:top w:w="0" w:type="dxa"/>
              <w:left w:w="108" w:type="dxa"/>
              <w:bottom w:w="0" w:type="dxa"/>
              <w:right w:w="108" w:type="dxa"/>
            </w:tcMar>
            <w:vAlign w:val="center"/>
          </w:tcPr>
          <w:p w:rsidRPr="0032494C" w:rsidR="00A601F0" w:rsidP="00556ACC" w:rsidRDefault="00A601F0" w14:paraId="33D61108" w14:textId="62B9DDE9">
            <w:pPr>
              <w:spacing w:line="233" w:lineRule="atLeast"/>
              <w:rPr>
                <w:rFonts w:ascii="Calibri" w:hAnsi="Calibri" w:cs="Calibri"/>
                <w:sz w:val="17"/>
                <w:szCs w:val="17"/>
              </w:rPr>
            </w:pPr>
            <w:r w:rsidRPr="0032494C">
              <w:rPr>
                <w:rFonts w:ascii="Calibri" w:hAnsi="Calibri" w:cs="Calibri"/>
                <w:color w:val="000000"/>
                <w:sz w:val="17"/>
                <w:szCs w:val="17"/>
              </w:rPr>
              <w:t xml:space="preserve">Staff from </w:t>
            </w:r>
            <w:r w:rsidRPr="0032494C" w:rsidR="00AC3A5E">
              <w:rPr>
                <w:rFonts w:ascii="Calibri" w:hAnsi="Calibri" w:cs="Calibri"/>
                <w:color w:val="000000"/>
                <w:sz w:val="17"/>
                <w:szCs w:val="17"/>
              </w:rPr>
              <w:t>h</w:t>
            </w:r>
            <w:r w:rsidRPr="0032494C">
              <w:rPr>
                <w:rFonts w:ascii="Calibri" w:hAnsi="Calibri" w:cs="Calibri"/>
                <w:color w:val="000000"/>
                <w:sz w:val="17"/>
                <w:szCs w:val="17"/>
              </w:rPr>
              <w:t>ub leader organizations</w:t>
            </w:r>
          </w:p>
        </w:tc>
        <w:tc>
          <w:tcPr>
            <w:tcW w:w="1620" w:type="dxa"/>
            <w:tcBorders>
              <w:top w:val="nil"/>
              <w:left w:val="single" w:color="7F7F7F" w:themeColor="text1" w:themeTint="80" w:sz="4" w:space="0"/>
              <w:bottom w:val="single" w:color="auto" w:sz="8" w:space="0"/>
              <w:right w:val="single" w:color="auto" w:sz="8" w:space="0"/>
            </w:tcBorders>
            <w:tcMar>
              <w:top w:w="0" w:type="dxa"/>
              <w:left w:w="108" w:type="dxa"/>
              <w:bottom w:w="0" w:type="dxa"/>
              <w:right w:w="108" w:type="dxa"/>
            </w:tcMar>
            <w:vAlign w:val="center"/>
            <w:hideMark/>
          </w:tcPr>
          <w:p w:rsidRPr="0032494C" w:rsidR="00A601F0" w:rsidP="00556ACC" w:rsidRDefault="00A601F0" w14:paraId="36583780" w14:textId="049CE95A">
            <w:pPr>
              <w:spacing w:line="233" w:lineRule="atLeast"/>
              <w:rPr>
                <w:rFonts w:ascii="Calibri" w:hAnsi="Calibri" w:cs="Calibri"/>
                <w:sz w:val="17"/>
                <w:szCs w:val="17"/>
              </w:rPr>
            </w:pPr>
            <w:r w:rsidRPr="0032494C">
              <w:rPr>
                <w:rFonts w:ascii="Calibri" w:hAnsi="Calibri" w:cs="Calibri"/>
                <w:color w:val="000000"/>
                <w:sz w:val="17"/>
                <w:szCs w:val="17"/>
              </w:rPr>
              <w:t xml:space="preserve">Year 1 – Year 3 </w:t>
            </w:r>
          </w:p>
        </w:tc>
        <w:tc>
          <w:tcPr>
            <w:tcW w:w="13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32494C" w:rsidR="00A601F0" w:rsidP="00556ACC" w:rsidRDefault="00A601F0" w14:paraId="7155E9F0" w14:textId="7EBBA937">
            <w:pPr>
              <w:spacing w:line="233" w:lineRule="atLeast"/>
              <w:rPr>
                <w:rFonts w:ascii="Calibri" w:hAnsi="Calibri" w:cs="Calibri"/>
                <w:sz w:val="17"/>
                <w:szCs w:val="17"/>
              </w:rPr>
            </w:pPr>
            <w:r w:rsidRPr="0032494C">
              <w:rPr>
                <w:rFonts w:ascii="Calibri" w:hAnsi="Calibri" w:cs="Calibri"/>
                <w:color w:val="000000"/>
                <w:sz w:val="17"/>
                <w:szCs w:val="17"/>
              </w:rPr>
              <w:t> Q6; Q8 - Q9; Q11; Q13; Q16</w:t>
            </w:r>
          </w:p>
        </w:tc>
      </w:tr>
      <w:tr w:rsidRPr="0032494C" w:rsidR="00A601F0" w:rsidTr="00833D23" w14:paraId="058F8DEB" w14:textId="77777777">
        <w:trPr>
          <w:cantSplit/>
          <w:trHeight w:val="203"/>
        </w:trPr>
        <w:tc>
          <w:tcPr>
            <w:tcW w:w="1017" w:type="dxa"/>
            <w:vMerge/>
            <w:tcBorders>
              <w:left w:val="single" w:color="auto" w:sz="8" w:space="0"/>
              <w:right w:val="single" w:color="7F7F7F" w:themeColor="text1" w:themeTint="80" w:sz="4" w:space="0"/>
            </w:tcBorders>
            <w:tcMar>
              <w:top w:w="0" w:type="dxa"/>
              <w:left w:w="108" w:type="dxa"/>
              <w:bottom w:w="0" w:type="dxa"/>
              <w:right w:w="108" w:type="dxa"/>
            </w:tcMar>
            <w:vAlign w:val="center"/>
          </w:tcPr>
          <w:p w:rsidRPr="0032494C" w:rsidR="00A601F0" w:rsidP="00556ACC" w:rsidRDefault="00A601F0" w14:paraId="079840CD" w14:textId="638BC914">
            <w:pPr>
              <w:spacing w:line="233" w:lineRule="atLeast"/>
              <w:rPr>
                <w:rFonts w:ascii="Calibri" w:hAnsi="Calibri" w:cs="Calibri"/>
                <w:color w:val="000000"/>
                <w:sz w:val="17"/>
                <w:szCs w:val="17"/>
              </w:rPr>
            </w:pPr>
          </w:p>
        </w:tc>
        <w:tc>
          <w:tcPr>
            <w:tcW w:w="112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vAlign w:val="center"/>
          </w:tcPr>
          <w:p w:rsidRPr="0032494C" w:rsidR="00A601F0" w:rsidP="00211111" w:rsidRDefault="00A601F0" w14:paraId="75471991" w14:textId="5EAA67DB">
            <w:pPr>
              <w:spacing w:line="233" w:lineRule="atLeast"/>
              <w:ind w:left="84"/>
              <w:rPr>
                <w:rFonts w:ascii="Calibri" w:hAnsi="Calibri" w:cs="Calibri"/>
                <w:color w:val="000000"/>
                <w:sz w:val="17"/>
                <w:szCs w:val="17"/>
              </w:rPr>
            </w:pPr>
            <w:r w:rsidRPr="0032494C">
              <w:rPr>
                <w:rFonts w:ascii="Calibri" w:hAnsi="Calibri" w:cs="Calibri"/>
                <w:color w:val="000000"/>
                <w:sz w:val="17"/>
                <w:szCs w:val="17"/>
              </w:rPr>
              <w:t>Interview II</w:t>
            </w:r>
          </w:p>
        </w:tc>
        <w:tc>
          <w:tcPr>
            <w:tcW w:w="2082" w:type="dxa"/>
            <w:vMerge/>
            <w:tcBorders>
              <w:left w:val="single" w:color="7F7F7F" w:themeColor="text1" w:themeTint="80" w:sz="4" w:space="0"/>
              <w:bottom w:val="single" w:color="7F7F7F" w:themeColor="text1" w:themeTint="80" w:sz="4" w:space="0"/>
              <w:right w:val="single" w:color="7F7F7F" w:themeColor="text1" w:themeTint="80" w:sz="4" w:space="0"/>
            </w:tcBorders>
            <w:shd w:val="clear" w:color="auto" w:fill="auto"/>
            <w:tcMar>
              <w:top w:w="0" w:type="dxa"/>
              <w:left w:w="108" w:type="dxa"/>
              <w:bottom w:w="0" w:type="dxa"/>
              <w:right w:w="108" w:type="dxa"/>
            </w:tcMar>
            <w:vAlign w:val="center"/>
          </w:tcPr>
          <w:p w:rsidRPr="0032494C" w:rsidR="00A601F0" w:rsidP="00556ACC" w:rsidRDefault="00A601F0" w14:paraId="76FAAB59" w14:textId="22A43988">
            <w:pPr>
              <w:spacing w:line="233" w:lineRule="atLeast"/>
              <w:rPr>
                <w:rFonts w:ascii="Calibri" w:hAnsi="Calibri" w:cs="Calibri"/>
                <w:color w:val="000000"/>
                <w:sz w:val="17"/>
                <w:szCs w:val="17"/>
              </w:rPr>
            </w:pPr>
          </w:p>
        </w:tc>
        <w:tc>
          <w:tcPr>
            <w:tcW w:w="2790" w:type="dxa"/>
            <w:tcBorders>
              <w:top w:val="single" w:color="auto" w:sz="8" w:space="0"/>
              <w:left w:val="single" w:color="7F7F7F" w:themeColor="text1" w:themeTint="80" w:sz="4" w:space="0"/>
              <w:bottom w:val="single" w:color="auto" w:sz="8" w:space="0"/>
              <w:right w:val="single" w:color="7F7F7F" w:themeColor="text1" w:themeTint="80" w:sz="4" w:space="0"/>
            </w:tcBorders>
            <w:tcMar>
              <w:top w:w="0" w:type="dxa"/>
              <w:left w:w="108" w:type="dxa"/>
              <w:bottom w:w="0" w:type="dxa"/>
              <w:right w:w="108" w:type="dxa"/>
            </w:tcMar>
            <w:vAlign w:val="center"/>
          </w:tcPr>
          <w:p w:rsidRPr="0032494C" w:rsidR="00A601F0" w:rsidP="00556ACC" w:rsidRDefault="00A601F0" w14:paraId="098C5BFD" w14:textId="03A1E7B2">
            <w:pPr>
              <w:spacing w:line="233" w:lineRule="atLeast"/>
              <w:rPr>
                <w:rFonts w:ascii="Calibri" w:hAnsi="Calibri" w:cs="Calibri"/>
                <w:color w:val="000000"/>
                <w:sz w:val="17"/>
                <w:szCs w:val="17"/>
              </w:rPr>
            </w:pPr>
            <w:r w:rsidRPr="0032494C">
              <w:rPr>
                <w:rFonts w:ascii="Calibri" w:hAnsi="Calibri" w:cs="Calibri"/>
                <w:color w:val="000000"/>
                <w:sz w:val="17"/>
                <w:szCs w:val="17"/>
              </w:rPr>
              <w:t xml:space="preserve">Staff from key partner/collaborating organizations </w:t>
            </w:r>
          </w:p>
        </w:tc>
        <w:tc>
          <w:tcPr>
            <w:tcW w:w="1620" w:type="dxa"/>
            <w:tcBorders>
              <w:top w:val="nil"/>
              <w:left w:val="single" w:color="7F7F7F" w:themeColor="text1" w:themeTint="80" w:sz="4" w:space="0"/>
              <w:bottom w:val="single" w:color="auto" w:sz="8" w:space="0"/>
              <w:right w:val="single" w:color="auto" w:sz="8" w:space="0"/>
            </w:tcBorders>
            <w:tcMar>
              <w:top w:w="0" w:type="dxa"/>
              <w:left w:w="108" w:type="dxa"/>
              <w:bottom w:w="0" w:type="dxa"/>
              <w:right w:w="108" w:type="dxa"/>
            </w:tcMar>
            <w:vAlign w:val="center"/>
          </w:tcPr>
          <w:p w:rsidRPr="0032494C" w:rsidR="00A601F0" w:rsidP="00556ACC" w:rsidRDefault="00A601F0" w14:paraId="68B1A6B0" w14:textId="25C59685">
            <w:pPr>
              <w:spacing w:line="233" w:lineRule="atLeast"/>
              <w:rPr>
                <w:rFonts w:ascii="Calibri" w:hAnsi="Calibri" w:cs="Calibri"/>
                <w:color w:val="000000"/>
                <w:sz w:val="17"/>
                <w:szCs w:val="17"/>
              </w:rPr>
            </w:pPr>
            <w:r w:rsidRPr="0032494C">
              <w:rPr>
                <w:rFonts w:ascii="Calibri" w:hAnsi="Calibri" w:cs="Calibri"/>
                <w:color w:val="000000"/>
                <w:sz w:val="17"/>
                <w:szCs w:val="17"/>
              </w:rPr>
              <w:t>Year 2 – Year 3</w:t>
            </w:r>
          </w:p>
        </w:tc>
        <w:tc>
          <w:tcPr>
            <w:tcW w:w="139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2494C" w:rsidR="00A601F0" w:rsidP="00556ACC" w:rsidRDefault="00A601F0" w14:paraId="0254AD78" w14:textId="2A1D3DDE">
            <w:pPr>
              <w:spacing w:line="233" w:lineRule="atLeast"/>
              <w:rPr>
                <w:rFonts w:ascii="Calibri" w:hAnsi="Calibri" w:cs="Calibri"/>
                <w:color w:val="000000"/>
                <w:sz w:val="17"/>
                <w:szCs w:val="17"/>
              </w:rPr>
            </w:pPr>
            <w:r w:rsidRPr="0032494C">
              <w:rPr>
                <w:rFonts w:ascii="Calibri" w:hAnsi="Calibri" w:cs="Calibri"/>
                <w:color w:val="000000"/>
                <w:sz w:val="17"/>
                <w:szCs w:val="17"/>
              </w:rPr>
              <w:t>Q6 - Q7; Q11; Q13; Q16</w:t>
            </w:r>
          </w:p>
        </w:tc>
      </w:tr>
      <w:tr w:rsidRPr="0032494C" w:rsidR="00EB57A4" w:rsidTr="00EB57A4" w14:paraId="34C33300" w14:textId="77777777">
        <w:trPr>
          <w:cantSplit/>
          <w:trHeight w:val="186"/>
        </w:trPr>
        <w:tc>
          <w:tcPr>
            <w:tcW w:w="1017" w:type="dxa"/>
            <w:vMerge/>
            <w:tcBorders>
              <w:left w:val="single" w:color="auto" w:sz="8" w:space="0"/>
              <w:right w:val="single" w:color="7F7F7F" w:themeColor="text1" w:themeTint="80" w:sz="4" w:space="0"/>
            </w:tcBorders>
            <w:tcMar>
              <w:top w:w="0" w:type="dxa"/>
              <w:left w:w="108" w:type="dxa"/>
              <w:bottom w:w="0" w:type="dxa"/>
              <w:right w:w="108" w:type="dxa"/>
            </w:tcMar>
            <w:vAlign w:val="center"/>
            <w:hideMark/>
          </w:tcPr>
          <w:p w:rsidRPr="0032494C" w:rsidR="007832C0" w:rsidP="00556ACC" w:rsidRDefault="007832C0" w14:paraId="7C7F2E52" w14:textId="4191377C">
            <w:pPr>
              <w:spacing w:line="233" w:lineRule="atLeast"/>
              <w:rPr>
                <w:rFonts w:ascii="Calibri" w:hAnsi="Calibri" w:cs="Calibri"/>
                <w:sz w:val="17"/>
                <w:szCs w:val="17"/>
              </w:rPr>
            </w:pPr>
          </w:p>
        </w:tc>
        <w:tc>
          <w:tcPr>
            <w:tcW w:w="112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vAlign w:val="center"/>
          </w:tcPr>
          <w:p w:rsidRPr="0032494C" w:rsidR="007832C0" w:rsidP="00211111" w:rsidRDefault="007832C0" w14:paraId="572E6261" w14:textId="4A5F2409">
            <w:pPr>
              <w:spacing w:line="233" w:lineRule="atLeast"/>
              <w:ind w:left="84"/>
              <w:rPr>
                <w:rFonts w:ascii="Calibri" w:hAnsi="Calibri" w:cs="Calibri"/>
                <w:color w:val="000000"/>
                <w:sz w:val="17"/>
                <w:szCs w:val="17"/>
              </w:rPr>
            </w:pPr>
            <w:r w:rsidRPr="0032494C">
              <w:rPr>
                <w:rFonts w:ascii="Calibri" w:hAnsi="Calibri" w:cs="Calibri"/>
                <w:color w:val="000000"/>
                <w:sz w:val="17"/>
                <w:szCs w:val="17"/>
              </w:rPr>
              <w:t>Survey I</w:t>
            </w:r>
          </w:p>
        </w:tc>
        <w:tc>
          <w:tcPr>
            <w:tcW w:w="2082" w:type="dxa"/>
            <w:vMerge w:val="restart"/>
            <w:tcBorders>
              <w:top w:val="single" w:color="7F7F7F" w:themeColor="text1" w:themeTint="80" w:sz="4" w:space="0"/>
              <w:left w:val="single" w:color="7F7F7F" w:themeColor="text1" w:themeTint="80" w:sz="4" w:space="0"/>
              <w:right w:val="single" w:color="auto" w:sz="8" w:space="0"/>
            </w:tcBorders>
            <w:tcMar>
              <w:top w:w="0" w:type="dxa"/>
              <w:left w:w="108" w:type="dxa"/>
              <w:bottom w:w="0" w:type="dxa"/>
              <w:right w:w="108" w:type="dxa"/>
            </w:tcMar>
            <w:vAlign w:val="center"/>
          </w:tcPr>
          <w:p w:rsidRPr="0032494C" w:rsidR="007832C0" w:rsidP="00556ACC" w:rsidRDefault="007832C0" w14:paraId="3620EF6F" w14:textId="2C6AAB49">
            <w:pPr>
              <w:spacing w:line="233" w:lineRule="atLeast"/>
              <w:rPr>
                <w:rFonts w:ascii="Calibri" w:hAnsi="Calibri" w:cs="Calibri"/>
                <w:sz w:val="17"/>
                <w:szCs w:val="17"/>
              </w:rPr>
            </w:pPr>
            <w:r w:rsidRPr="0032494C">
              <w:rPr>
                <w:rFonts w:ascii="Calibri" w:hAnsi="Calibri" w:cs="Calibri"/>
                <w:sz w:val="17"/>
                <w:szCs w:val="17"/>
              </w:rPr>
              <w:t>Web-based survey tool (e.g., Qualtrics)</w:t>
            </w:r>
          </w:p>
        </w:tc>
        <w:tc>
          <w:tcPr>
            <w:tcW w:w="2790" w:type="dxa"/>
            <w:tcBorders>
              <w:top w:val="single" w:color="auto" w:sz="8" w:space="0"/>
              <w:left w:val="single" w:color="7F7F7F" w:themeColor="text1" w:themeTint="80" w:sz="4" w:space="0"/>
              <w:bottom w:val="single" w:color="auto" w:sz="8" w:space="0"/>
              <w:right w:val="single" w:color="7F7F7F" w:themeColor="text1" w:themeTint="80" w:sz="4" w:space="0"/>
            </w:tcBorders>
            <w:tcMar>
              <w:top w:w="0" w:type="dxa"/>
              <w:left w:w="108" w:type="dxa"/>
              <w:bottom w:w="0" w:type="dxa"/>
              <w:right w:w="108" w:type="dxa"/>
            </w:tcMar>
            <w:vAlign w:val="center"/>
            <w:hideMark/>
          </w:tcPr>
          <w:p w:rsidRPr="0032494C" w:rsidR="007832C0" w:rsidP="00556ACC" w:rsidRDefault="007832C0" w14:paraId="288E41AE" w14:textId="16B54EF0">
            <w:pPr>
              <w:spacing w:line="233" w:lineRule="atLeast"/>
              <w:rPr>
                <w:rFonts w:ascii="Calibri" w:hAnsi="Calibri" w:cs="Calibri"/>
                <w:sz w:val="17"/>
                <w:szCs w:val="17"/>
              </w:rPr>
            </w:pPr>
            <w:r w:rsidRPr="0032494C">
              <w:rPr>
                <w:rFonts w:ascii="Calibri" w:hAnsi="Calibri" w:cs="Calibri"/>
                <w:color w:val="000000"/>
                <w:sz w:val="17"/>
                <w:szCs w:val="17"/>
              </w:rPr>
              <w:t xml:space="preserve">Staff from </w:t>
            </w:r>
            <w:r w:rsidRPr="0032494C" w:rsidR="00AC3A5E">
              <w:rPr>
                <w:rFonts w:ascii="Calibri" w:hAnsi="Calibri" w:cs="Calibri"/>
                <w:color w:val="000000"/>
                <w:sz w:val="17"/>
                <w:szCs w:val="17"/>
              </w:rPr>
              <w:t>h</w:t>
            </w:r>
            <w:r w:rsidRPr="0032494C">
              <w:rPr>
                <w:rFonts w:ascii="Calibri" w:hAnsi="Calibri" w:cs="Calibri"/>
                <w:color w:val="000000"/>
                <w:sz w:val="17"/>
                <w:szCs w:val="17"/>
              </w:rPr>
              <w:t>ub leader and key partner organizations</w:t>
            </w:r>
          </w:p>
        </w:tc>
        <w:tc>
          <w:tcPr>
            <w:tcW w:w="1620" w:type="dxa"/>
            <w:tcBorders>
              <w:top w:val="nil"/>
              <w:left w:val="single" w:color="7F7F7F" w:themeColor="text1" w:themeTint="80" w:sz="4" w:space="0"/>
              <w:bottom w:val="single" w:color="auto" w:sz="8" w:space="0"/>
              <w:right w:val="single" w:color="auto" w:sz="8" w:space="0"/>
            </w:tcBorders>
            <w:tcMar>
              <w:top w:w="0" w:type="dxa"/>
              <w:left w:w="108" w:type="dxa"/>
              <w:bottom w:w="0" w:type="dxa"/>
              <w:right w:w="108" w:type="dxa"/>
            </w:tcMar>
            <w:vAlign w:val="center"/>
            <w:hideMark/>
          </w:tcPr>
          <w:p w:rsidRPr="0032494C" w:rsidR="007832C0" w:rsidP="00556ACC" w:rsidRDefault="007832C0" w14:paraId="747A6735" w14:textId="37D5B6E8">
            <w:pPr>
              <w:spacing w:line="233" w:lineRule="atLeast"/>
              <w:rPr>
                <w:rFonts w:ascii="Calibri" w:hAnsi="Calibri" w:cs="Calibri"/>
                <w:sz w:val="17"/>
                <w:szCs w:val="17"/>
              </w:rPr>
            </w:pPr>
            <w:r w:rsidRPr="0032494C">
              <w:rPr>
                <w:rFonts w:ascii="Calibri" w:hAnsi="Calibri" w:cs="Calibri"/>
                <w:color w:val="000000"/>
                <w:sz w:val="17"/>
                <w:szCs w:val="17"/>
              </w:rPr>
              <w:t> Year 1</w:t>
            </w:r>
          </w:p>
        </w:tc>
        <w:tc>
          <w:tcPr>
            <w:tcW w:w="13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32494C" w:rsidR="007832C0" w:rsidP="00556ACC" w:rsidRDefault="007832C0" w14:paraId="16D64289" w14:textId="45123077">
            <w:pPr>
              <w:spacing w:line="233" w:lineRule="atLeast"/>
              <w:rPr>
                <w:rFonts w:ascii="Calibri" w:hAnsi="Calibri" w:cs="Calibri"/>
                <w:sz w:val="17"/>
                <w:szCs w:val="17"/>
              </w:rPr>
            </w:pPr>
            <w:r w:rsidRPr="0032494C">
              <w:rPr>
                <w:rFonts w:ascii="Calibri" w:hAnsi="Calibri" w:cs="Calibri"/>
                <w:color w:val="000000"/>
                <w:sz w:val="17"/>
                <w:szCs w:val="17"/>
              </w:rPr>
              <w:t> Q1</w:t>
            </w:r>
            <w:r w:rsidR="00C10685">
              <w:rPr>
                <w:rFonts w:ascii="Calibri" w:hAnsi="Calibri" w:cs="Calibri"/>
                <w:color w:val="000000"/>
                <w:sz w:val="17"/>
                <w:szCs w:val="17"/>
              </w:rPr>
              <w:t>4</w:t>
            </w:r>
            <w:r w:rsidRPr="0032494C">
              <w:rPr>
                <w:rFonts w:ascii="Calibri" w:hAnsi="Calibri" w:cs="Calibri"/>
                <w:color w:val="000000"/>
                <w:sz w:val="17"/>
                <w:szCs w:val="17"/>
              </w:rPr>
              <w:t xml:space="preserve"> - Q1</w:t>
            </w:r>
            <w:r w:rsidR="00C10685">
              <w:rPr>
                <w:rFonts w:ascii="Calibri" w:hAnsi="Calibri" w:cs="Calibri"/>
                <w:color w:val="000000"/>
                <w:sz w:val="17"/>
                <w:szCs w:val="17"/>
              </w:rPr>
              <w:t>7</w:t>
            </w:r>
          </w:p>
        </w:tc>
      </w:tr>
      <w:tr w:rsidRPr="0032494C" w:rsidR="007832C0" w:rsidTr="00833D23" w14:paraId="5F72E6C3" w14:textId="77777777">
        <w:trPr>
          <w:cantSplit/>
          <w:trHeight w:val="203"/>
        </w:trPr>
        <w:tc>
          <w:tcPr>
            <w:tcW w:w="1017" w:type="dxa"/>
            <w:vMerge/>
            <w:tcBorders>
              <w:left w:val="single" w:color="auto" w:sz="8" w:space="0"/>
              <w:bottom w:val="single" w:color="auto" w:sz="8" w:space="0"/>
              <w:right w:val="single" w:color="7F7F7F" w:themeColor="text1" w:themeTint="80" w:sz="4" w:space="0"/>
            </w:tcBorders>
            <w:tcMar>
              <w:top w:w="0" w:type="dxa"/>
              <w:left w:w="108" w:type="dxa"/>
              <w:bottom w:w="0" w:type="dxa"/>
              <w:right w:w="108" w:type="dxa"/>
            </w:tcMar>
            <w:vAlign w:val="center"/>
            <w:hideMark/>
          </w:tcPr>
          <w:p w:rsidRPr="0032494C" w:rsidR="007832C0" w:rsidP="00556ACC" w:rsidRDefault="007832C0" w14:paraId="3F884770" w14:textId="7D149328">
            <w:pPr>
              <w:spacing w:line="233" w:lineRule="atLeast"/>
              <w:rPr>
                <w:rFonts w:ascii="Calibri" w:hAnsi="Calibri" w:cs="Calibri"/>
                <w:sz w:val="17"/>
                <w:szCs w:val="17"/>
              </w:rPr>
            </w:pPr>
          </w:p>
        </w:tc>
        <w:tc>
          <w:tcPr>
            <w:tcW w:w="112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vAlign w:val="center"/>
          </w:tcPr>
          <w:p w:rsidRPr="0032494C" w:rsidR="007832C0" w:rsidP="00211111" w:rsidRDefault="007832C0" w14:paraId="558ACDA7" w14:textId="3EF64131">
            <w:pPr>
              <w:spacing w:line="233" w:lineRule="atLeast"/>
              <w:ind w:left="84"/>
              <w:rPr>
                <w:rFonts w:ascii="Calibri" w:hAnsi="Calibri" w:cs="Calibri"/>
                <w:color w:val="000000"/>
                <w:sz w:val="17"/>
                <w:szCs w:val="17"/>
              </w:rPr>
            </w:pPr>
            <w:r w:rsidRPr="0032494C">
              <w:rPr>
                <w:rFonts w:ascii="Calibri" w:hAnsi="Calibri" w:cs="Calibri"/>
                <w:color w:val="000000"/>
                <w:sz w:val="17"/>
                <w:szCs w:val="17"/>
              </w:rPr>
              <w:t>Survey II**</w:t>
            </w:r>
          </w:p>
        </w:tc>
        <w:tc>
          <w:tcPr>
            <w:tcW w:w="2082" w:type="dxa"/>
            <w:vMerge/>
            <w:tcBorders>
              <w:left w:val="single" w:color="7F7F7F" w:themeColor="text1" w:themeTint="80" w:sz="4" w:space="0"/>
              <w:bottom w:val="single" w:color="auto" w:sz="8" w:space="0"/>
              <w:right w:val="single" w:color="auto" w:sz="8" w:space="0"/>
            </w:tcBorders>
            <w:tcMar>
              <w:top w:w="0" w:type="dxa"/>
              <w:left w:w="108" w:type="dxa"/>
              <w:bottom w:w="0" w:type="dxa"/>
              <w:right w:w="108" w:type="dxa"/>
            </w:tcMar>
            <w:vAlign w:val="center"/>
          </w:tcPr>
          <w:p w:rsidRPr="0032494C" w:rsidR="007832C0" w:rsidP="00556ACC" w:rsidRDefault="007832C0" w14:paraId="6A29759E" w14:textId="5C5DD927">
            <w:pPr>
              <w:spacing w:line="233" w:lineRule="atLeast"/>
              <w:rPr>
                <w:rFonts w:ascii="Calibri" w:hAnsi="Calibri" w:cs="Calibri"/>
                <w:sz w:val="17"/>
                <w:szCs w:val="17"/>
              </w:rPr>
            </w:pPr>
          </w:p>
        </w:tc>
        <w:tc>
          <w:tcPr>
            <w:tcW w:w="2790" w:type="dxa"/>
            <w:tcBorders>
              <w:top w:val="single" w:color="auto" w:sz="8" w:space="0"/>
              <w:left w:val="single" w:color="7F7F7F" w:themeColor="text1" w:themeTint="80" w:sz="4" w:space="0"/>
              <w:bottom w:val="single" w:color="auto" w:sz="8" w:space="0"/>
              <w:right w:val="single" w:color="7F7F7F" w:themeColor="text1" w:themeTint="80" w:sz="4" w:space="0"/>
            </w:tcBorders>
            <w:tcMar>
              <w:top w:w="0" w:type="dxa"/>
              <w:left w:w="108" w:type="dxa"/>
              <w:bottom w:w="0" w:type="dxa"/>
              <w:right w:w="108" w:type="dxa"/>
            </w:tcMar>
            <w:vAlign w:val="center"/>
            <w:hideMark/>
          </w:tcPr>
          <w:p w:rsidRPr="0032494C" w:rsidR="007832C0" w:rsidP="00556ACC" w:rsidRDefault="007832C0" w14:paraId="539217BF" w14:textId="15509211">
            <w:pPr>
              <w:spacing w:line="233" w:lineRule="atLeast"/>
              <w:rPr>
                <w:rFonts w:ascii="Calibri" w:hAnsi="Calibri" w:cs="Calibri"/>
                <w:sz w:val="17"/>
                <w:szCs w:val="17"/>
              </w:rPr>
            </w:pPr>
            <w:r w:rsidRPr="0032494C">
              <w:rPr>
                <w:rFonts w:ascii="Calibri" w:hAnsi="Calibri" w:cs="Calibri"/>
                <w:color w:val="000000"/>
                <w:sz w:val="17"/>
                <w:szCs w:val="17"/>
              </w:rPr>
              <w:t xml:space="preserve">Staff from </w:t>
            </w:r>
            <w:r w:rsidRPr="0032494C" w:rsidR="00AC3A5E">
              <w:rPr>
                <w:rFonts w:ascii="Calibri" w:hAnsi="Calibri" w:cs="Calibri"/>
                <w:color w:val="000000"/>
                <w:sz w:val="17"/>
                <w:szCs w:val="17"/>
              </w:rPr>
              <w:t>h</w:t>
            </w:r>
            <w:r w:rsidRPr="0032494C">
              <w:rPr>
                <w:rFonts w:ascii="Calibri" w:hAnsi="Calibri" w:cs="Calibri"/>
                <w:color w:val="000000"/>
                <w:sz w:val="17"/>
                <w:szCs w:val="17"/>
              </w:rPr>
              <w:t>ub leader and key partner/collaborating organizations</w:t>
            </w:r>
          </w:p>
        </w:tc>
        <w:tc>
          <w:tcPr>
            <w:tcW w:w="1620" w:type="dxa"/>
            <w:tcBorders>
              <w:top w:val="nil"/>
              <w:left w:val="single" w:color="7F7F7F" w:themeColor="text1" w:themeTint="80" w:sz="4" w:space="0"/>
              <w:bottom w:val="single" w:color="auto" w:sz="8" w:space="0"/>
              <w:right w:val="single" w:color="auto" w:sz="8" w:space="0"/>
            </w:tcBorders>
            <w:tcMar>
              <w:top w:w="0" w:type="dxa"/>
              <w:left w:w="108" w:type="dxa"/>
              <w:bottom w:w="0" w:type="dxa"/>
              <w:right w:w="108" w:type="dxa"/>
            </w:tcMar>
            <w:vAlign w:val="center"/>
            <w:hideMark/>
          </w:tcPr>
          <w:p w:rsidRPr="0032494C" w:rsidR="007832C0" w:rsidP="00556ACC" w:rsidRDefault="007832C0" w14:paraId="26A5E310" w14:textId="2B1E7504">
            <w:pPr>
              <w:spacing w:line="233" w:lineRule="atLeast"/>
              <w:rPr>
                <w:rFonts w:ascii="Calibri" w:hAnsi="Calibri" w:cs="Calibri"/>
                <w:sz w:val="17"/>
                <w:szCs w:val="17"/>
              </w:rPr>
            </w:pPr>
            <w:r w:rsidRPr="0032494C">
              <w:rPr>
                <w:rFonts w:ascii="Calibri" w:hAnsi="Calibri" w:cs="Calibri"/>
                <w:color w:val="000000"/>
                <w:sz w:val="17"/>
                <w:szCs w:val="17"/>
              </w:rPr>
              <w:t> Year 2 – Year 3</w:t>
            </w:r>
          </w:p>
        </w:tc>
        <w:tc>
          <w:tcPr>
            <w:tcW w:w="13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32494C" w:rsidR="007832C0" w:rsidP="00556ACC" w:rsidRDefault="007832C0" w14:paraId="4504AD23" w14:textId="72120F6A">
            <w:pPr>
              <w:spacing w:line="233" w:lineRule="atLeast"/>
              <w:rPr>
                <w:rFonts w:ascii="Calibri" w:hAnsi="Calibri" w:cs="Calibri"/>
                <w:sz w:val="17"/>
                <w:szCs w:val="17"/>
              </w:rPr>
            </w:pPr>
            <w:r w:rsidRPr="0032494C">
              <w:rPr>
                <w:rFonts w:ascii="Calibri" w:hAnsi="Calibri" w:cs="Calibri"/>
                <w:color w:val="000000"/>
                <w:sz w:val="17"/>
                <w:szCs w:val="17"/>
              </w:rPr>
              <w:t> Q1</w:t>
            </w:r>
            <w:r w:rsidR="00C10685">
              <w:rPr>
                <w:rFonts w:ascii="Calibri" w:hAnsi="Calibri" w:cs="Calibri"/>
                <w:color w:val="000000"/>
                <w:sz w:val="17"/>
                <w:szCs w:val="17"/>
              </w:rPr>
              <w:t>4</w:t>
            </w:r>
            <w:r w:rsidRPr="0032494C">
              <w:rPr>
                <w:rFonts w:ascii="Calibri" w:hAnsi="Calibri" w:cs="Calibri"/>
                <w:color w:val="000000"/>
                <w:sz w:val="17"/>
                <w:szCs w:val="17"/>
              </w:rPr>
              <w:t xml:space="preserve"> - Q1</w:t>
            </w:r>
            <w:r w:rsidR="00C10685">
              <w:rPr>
                <w:rFonts w:ascii="Calibri" w:hAnsi="Calibri" w:cs="Calibri"/>
                <w:color w:val="000000"/>
                <w:sz w:val="17"/>
                <w:szCs w:val="17"/>
              </w:rPr>
              <w:t>7</w:t>
            </w:r>
          </w:p>
        </w:tc>
      </w:tr>
      <w:tr w:rsidRPr="0032494C" w:rsidR="003A2C06" w:rsidTr="00EB57A4" w14:paraId="4D69E8DF" w14:textId="77777777">
        <w:trPr>
          <w:cantSplit/>
          <w:trHeight w:val="516"/>
        </w:trPr>
        <w:tc>
          <w:tcPr>
            <w:tcW w:w="1017" w:type="dxa"/>
            <w:tcBorders>
              <w:top w:val="nil"/>
              <w:left w:val="single" w:color="auto" w:sz="8" w:space="0"/>
              <w:bottom w:val="single" w:color="1F4E79" w:themeColor="accent5" w:themeShade="80" w:sz="4" w:space="0"/>
              <w:right w:val="single" w:color="7F7F7F" w:themeColor="text1" w:themeTint="80" w:sz="4" w:space="0"/>
            </w:tcBorders>
            <w:shd w:val="clear" w:color="auto" w:fill="E7E6E6" w:themeFill="background2"/>
            <w:tcMar>
              <w:top w:w="0" w:type="dxa"/>
              <w:left w:w="108" w:type="dxa"/>
              <w:bottom w:w="0" w:type="dxa"/>
              <w:right w:w="108" w:type="dxa"/>
            </w:tcMar>
            <w:vAlign w:val="center"/>
            <w:hideMark/>
          </w:tcPr>
          <w:p w:rsidRPr="0032494C" w:rsidR="00556ACC" w:rsidP="00556ACC" w:rsidRDefault="00556ACC" w14:paraId="35C3313D" w14:textId="77777777">
            <w:pPr>
              <w:spacing w:line="233" w:lineRule="atLeast"/>
              <w:rPr>
                <w:rFonts w:ascii="Calibri" w:hAnsi="Calibri" w:cs="Calibri"/>
                <w:color w:val="000000"/>
                <w:sz w:val="17"/>
                <w:szCs w:val="17"/>
              </w:rPr>
            </w:pPr>
            <w:r w:rsidRPr="0032494C">
              <w:rPr>
                <w:rFonts w:ascii="Calibri" w:hAnsi="Calibri" w:cs="Calibri"/>
                <w:color w:val="000000"/>
                <w:sz w:val="17"/>
                <w:szCs w:val="17"/>
              </w:rPr>
              <w:t>EQ6</w:t>
            </w:r>
          </w:p>
          <w:p w:rsidRPr="0032494C" w:rsidR="00556ACC" w:rsidP="00556ACC" w:rsidRDefault="00556ACC" w14:paraId="560BB8E1" w14:textId="2460E805">
            <w:pPr>
              <w:spacing w:line="233" w:lineRule="atLeast"/>
              <w:rPr>
                <w:rFonts w:ascii="Calibri" w:hAnsi="Calibri" w:cs="Calibri"/>
                <w:sz w:val="17"/>
                <w:szCs w:val="17"/>
              </w:rPr>
            </w:pPr>
            <w:r w:rsidRPr="0032494C">
              <w:rPr>
                <w:rFonts w:ascii="Calibri" w:hAnsi="Calibri" w:cs="Calibri"/>
                <w:sz w:val="17"/>
                <w:szCs w:val="17"/>
              </w:rPr>
              <w:t>(Goal 2)</w:t>
            </w:r>
          </w:p>
        </w:tc>
        <w:tc>
          <w:tcPr>
            <w:tcW w:w="112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7E6E6" w:themeFill="background2"/>
            <w:vAlign w:val="center"/>
          </w:tcPr>
          <w:p w:rsidRPr="0032494C" w:rsidR="00556ACC" w:rsidP="00211111" w:rsidRDefault="00556ACC" w14:paraId="2C379041" w14:textId="29B33FF0">
            <w:pPr>
              <w:spacing w:line="233" w:lineRule="atLeast"/>
              <w:ind w:left="84"/>
              <w:rPr>
                <w:rFonts w:ascii="Calibri" w:hAnsi="Calibri" w:cs="Calibri"/>
                <w:color w:val="000000"/>
                <w:sz w:val="17"/>
                <w:szCs w:val="17"/>
              </w:rPr>
            </w:pPr>
            <w:r w:rsidRPr="0032494C">
              <w:rPr>
                <w:rFonts w:ascii="Calibri" w:hAnsi="Calibri" w:cs="Calibri"/>
                <w:color w:val="000000"/>
                <w:sz w:val="17"/>
                <w:szCs w:val="17"/>
              </w:rPr>
              <w:t>Focus group</w:t>
            </w:r>
            <w:r w:rsidRPr="0032494C" w:rsidR="00A83D88">
              <w:rPr>
                <w:rFonts w:ascii="Calibri" w:hAnsi="Calibri" w:cs="Calibri"/>
                <w:color w:val="000000"/>
                <w:sz w:val="17"/>
                <w:szCs w:val="17"/>
              </w:rPr>
              <w:t>***</w:t>
            </w:r>
          </w:p>
        </w:tc>
        <w:tc>
          <w:tcPr>
            <w:tcW w:w="2082" w:type="dxa"/>
            <w:tcBorders>
              <w:top w:val="nil"/>
              <w:left w:val="single" w:color="7F7F7F" w:themeColor="text1" w:themeTint="80" w:sz="4" w:space="0"/>
              <w:bottom w:val="single" w:color="7F7F7F" w:themeColor="text1" w:themeTint="80" w:sz="4" w:space="0"/>
              <w:right w:val="single" w:color="auto" w:sz="8" w:space="0"/>
            </w:tcBorders>
            <w:shd w:val="clear" w:color="auto" w:fill="E7E6E6" w:themeFill="background2"/>
            <w:tcMar>
              <w:top w:w="0" w:type="dxa"/>
              <w:left w:w="108" w:type="dxa"/>
              <w:bottom w:w="0" w:type="dxa"/>
              <w:right w:w="108" w:type="dxa"/>
            </w:tcMar>
            <w:vAlign w:val="center"/>
          </w:tcPr>
          <w:p w:rsidRPr="0032494C" w:rsidR="00556ACC" w:rsidP="00556ACC" w:rsidRDefault="007832C0" w14:paraId="1AC07B1D" w14:textId="339FE2C0">
            <w:pPr>
              <w:spacing w:line="233" w:lineRule="atLeast"/>
              <w:rPr>
                <w:rFonts w:ascii="Calibri" w:hAnsi="Calibri" w:cs="Calibri"/>
                <w:sz w:val="17"/>
                <w:szCs w:val="17"/>
              </w:rPr>
            </w:pPr>
            <w:r w:rsidRPr="0032494C">
              <w:rPr>
                <w:rFonts w:ascii="Calibri" w:hAnsi="Calibri" w:cs="Calibri"/>
                <w:sz w:val="17"/>
                <w:szCs w:val="17"/>
              </w:rPr>
              <w:t>In-person</w:t>
            </w:r>
          </w:p>
        </w:tc>
        <w:tc>
          <w:tcPr>
            <w:tcW w:w="2790" w:type="dxa"/>
            <w:tcBorders>
              <w:top w:val="single" w:color="auto" w:sz="8" w:space="0"/>
              <w:left w:val="single" w:color="7F7F7F" w:themeColor="text1" w:themeTint="80" w:sz="4" w:space="0"/>
              <w:bottom w:val="single" w:color="7F7F7F" w:themeColor="text1" w:themeTint="80" w:sz="4" w:space="0"/>
              <w:right w:val="single" w:color="7F7F7F" w:themeColor="text1" w:themeTint="80" w:sz="4" w:space="0"/>
            </w:tcBorders>
            <w:shd w:val="clear" w:color="auto" w:fill="E7E6E6" w:themeFill="background2"/>
            <w:tcMar>
              <w:top w:w="0" w:type="dxa"/>
              <w:left w:w="108" w:type="dxa"/>
              <w:bottom w:w="0" w:type="dxa"/>
              <w:right w:w="108" w:type="dxa"/>
            </w:tcMar>
            <w:vAlign w:val="center"/>
            <w:hideMark/>
          </w:tcPr>
          <w:p w:rsidRPr="0032494C" w:rsidR="00556ACC" w:rsidP="00556ACC" w:rsidRDefault="00556ACC" w14:paraId="653FC62C" w14:textId="4E248F74">
            <w:pPr>
              <w:spacing w:line="233" w:lineRule="atLeast"/>
              <w:rPr>
                <w:rFonts w:ascii="Calibri" w:hAnsi="Calibri" w:cs="Calibri"/>
                <w:sz w:val="17"/>
                <w:szCs w:val="17"/>
              </w:rPr>
            </w:pPr>
            <w:r w:rsidRPr="0032494C">
              <w:rPr>
                <w:rFonts w:ascii="Calibri" w:hAnsi="Calibri" w:cs="Calibri"/>
                <w:sz w:val="17"/>
                <w:szCs w:val="17"/>
              </w:rPr>
              <w:t xml:space="preserve">Adult from family participating in </w:t>
            </w:r>
            <w:r w:rsidR="000E7E86">
              <w:rPr>
                <w:rFonts w:ascii="Calibri" w:hAnsi="Calibri" w:cs="Calibri"/>
                <w:sz w:val="17"/>
                <w:szCs w:val="17"/>
              </w:rPr>
              <w:t xml:space="preserve">the </w:t>
            </w:r>
            <w:r w:rsidRPr="0032494C">
              <w:rPr>
                <w:rFonts w:ascii="Calibri" w:hAnsi="Calibri" w:cs="Calibri"/>
                <w:sz w:val="17"/>
                <w:szCs w:val="17"/>
              </w:rPr>
              <w:t xml:space="preserve">SRP through hub and partner organizations </w:t>
            </w:r>
          </w:p>
        </w:tc>
        <w:tc>
          <w:tcPr>
            <w:tcW w:w="1620" w:type="dxa"/>
            <w:tcBorders>
              <w:top w:val="nil"/>
              <w:left w:val="single" w:color="7F7F7F" w:themeColor="text1" w:themeTint="80" w:sz="4" w:space="0"/>
              <w:bottom w:val="single" w:color="7F7F7F" w:themeColor="text1" w:themeTint="80" w:sz="4" w:space="0"/>
              <w:right w:val="single" w:color="auto" w:sz="8" w:space="0"/>
            </w:tcBorders>
            <w:shd w:val="clear" w:color="auto" w:fill="E7E6E6" w:themeFill="background2"/>
            <w:tcMar>
              <w:top w:w="0" w:type="dxa"/>
              <w:left w:w="108" w:type="dxa"/>
              <w:bottom w:w="0" w:type="dxa"/>
              <w:right w:w="108" w:type="dxa"/>
            </w:tcMar>
            <w:vAlign w:val="center"/>
            <w:hideMark/>
          </w:tcPr>
          <w:p w:rsidRPr="0032494C" w:rsidR="00556ACC" w:rsidP="00556ACC" w:rsidRDefault="00556ACC" w14:paraId="5AA2807E" w14:textId="6FC42CAC">
            <w:pPr>
              <w:spacing w:line="233" w:lineRule="atLeast"/>
              <w:rPr>
                <w:rFonts w:ascii="Calibri" w:hAnsi="Calibri" w:cs="Calibri"/>
                <w:sz w:val="17"/>
                <w:szCs w:val="17"/>
              </w:rPr>
            </w:pPr>
            <w:r w:rsidRPr="0032494C">
              <w:rPr>
                <w:rFonts w:ascii="Calibri" w:hAnsi="Calibri" w:cs="Calibri"/>
                <w:color w:val="000000"/>
                <w:sz w:val="17"/>
                <w:szCs w:val="17"/>
              </w:rPr>
              <w:t>Year 2 – Year 3</w:t>
            </w:r>
          </w:p>
        </w:tc>
        <w:tc>
          <w:tcPr>
            <w:tcW w:w="1390" w:type="dxa"/>
            <w:tcBorders>
              <w:top w:val="nil"/>
              <w:left w:val="nil"/>
              <w:bottom w:val="single" w:color="7F7F7F" w:themeColor="text1" w:themeTint="80" w:sz="4" w:space="0"/>
              <w:right w:val="single" w:color="auto" w:sz="8" w:space="0"/>
            </w:tcBorders>
            <w:shd w:val="clear" w:color="auto" w:fill="E7E6E6" w:themeFill="background2"/>
            <w:tcMar>
              <w:top w:w="0" w:type="dxa"/>
              <w:left w:w="108" w:type="dxa"/>
              <w:bottom w:w="0" w:type="dxa"/>
              <w:right w:w="108" w:type="dxa"/>
            </w:tcMar>
            <w:vAlign w:val="center"/>
            <w:hideMark/>
          </w:tcPr>
          <w:p w:rsidRPr="0032494C" w:rsidR="00556ACC" w:rsidP="00556ACC" w:rsidRDefault="00556ACC" w14:paraId="27283AF1" w14:textId="5F86C5C9">
            <w:pPr>
              <w:spacing w:line="233" w:lineRule="atLeast"/>
              <w:rPr>
                <w:rFonts w:ascii="Calibri" w:hAnsi="Calibri" w:cs="Calibri"/>
                <w:sz w:val="17"/>
                <w:szCs w:val="17"/>
              </w:rPr>
            </w:pPr>
            <w:r w:rsidRPr="0032494C">
              <w:rPr>
                <w:rFonts w:ascii="Calibri" w:hAnsi="Calibri" w:cs="Calibri"/>
                <w:color w:val="000000"/>
                <w:sz w:val="17"/>
                <w:szCs w:val="17"/>
              </w:rPr>
              <w:t xml:space="preserve">All </w:t>
            </w:r>
          </w:p>
        </w:tc>
      </w:tr>
      <w:tr w:rsidRPr="0032494C" w:rsidR="00556ACC" w:rsidTr="00833D23" w14:paraId="3504E934" w14:textId="77777777">
        <w:trPr>
          <w:cantSplit/>
          <w:trHeight w:val="263"/>
        </w:trPr>
        <w:tc>
          <w:tcPr>
            <w:tcW w:w="1017" w:type="dxa"/>
            <w:tcBorders>
              <w:top w:val="nil"/>
              <w:left w:val="single" w:color="auto" w:sz="8" w:space="0"/>
              <w:bottom w:val="single" w:color="1F4E79" w:themeColor="accent5" w:themeShade="80" w:sz="4" w:space="0"/>
              <w:right w:val="single" w:color="7F7F7F" w:themeColor="text1" w:themeTint="80" w:sz="4" w:space="0"/>
            </w:tcBorders>
            <w:tcMar>
              <w:top w:w="0" w:type="dxa"/>
              <w:left w:w="108" w:type="dxa"/>
              <w:bottom w:w="0" w:type="dxa"/>
              <w:right w:w="108" w:type="dxa"/>
            </w:tcMar>
            <w:vAlign w:val="center"/>
          </w:tcPr>
          <w:p w:rsidRPr="0032494C" w:rsidR="00556ACC" w:rsidP="002B2916" w:rsidRDefault="00556ACC" w14:paraId="42FA4781" w14:textId="77777777">
            <w:pPr>
              <w:spacing w:line="233" w:lineRule="atLeast"/>
              <w:rPr>
                <w:rFonts w:ascii="Calibri" w:hAnsi="Calibri" w:cs="Calibri"/>
                <w:color w:val="000000"/>
                <w:sz w:val="17"/>
                <w:szCs w:val="17"/>
              </w:rPr>
            </w:pPr>
            <w:r w:rsidRPr="0032494C">
              <w:rPr>
                <w:rFonts w:ascii="Calibri" w:hAnsi="Calibri" w:cs="Calibri"/>
                <w:color w:val="000000"/>
                <w:sz w:val="17"/>
                <w:szCs w:val="17"/>
              </w:rPr>
              <w:t>EQ7</w:t>
            </w:r>
          </w:p>
          <w:p w:rsidRPr="0032494C" w:rsidR="00556ACC" w:rsidP="002B2916" w:rsidRDefault="00556ACC" w14:paraId="66D7F3AB" w14:textId="767C1576">
            <w:pPr>
              <w:spacing w:line="233" w:lineRule="atLeast"/>
              <w:rPr>
                <w:rFonts w:ascii="Calibri" w:hAnsi="Calibri" w:cs="Calibri"/>
                <w:color w:val="000000"/>
                <w:sz w:val="17"/>
                <w:szCs w:val="17"/>
              </w:rPr>
            </w:pPr>
            <w:r w:rsidRPr="0032494C">
              <w:rPr>
                <w:rFonts w:ascii="Calibri" w:hAnsi="Calibri" w:cs="Calibri"/>
                <w:color w:val="000000"/>
                <w:sz w:val="17"/>
                <w:szCs w:val="17"/>
              </w:rPr>
              <w:t>(Goal 3)</w:t>
            </w:r>
          </w:p>
        </w:tc>
        <w:tc>
          <w:tcPr>
            <w:tcW w:w="9003" w:type="dxa"/>
            <w:gridSpan w:val="5"/>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Pr>
          <w:p w:rsidRPr="0032494C" w:rsidR="00556ACC" w:rsidP="005D0199" w:rsidRDefault="00556ACC" w14:paraId="2A05A12C" w14:textId="6D4E8847">
            <w:pPr>
              <w:spacing w:line="233" w:lineRule="atLeast"/>
              <w:jc w:val="center"/>
              <w:rPr>
                <w:rFonts w:ascii="Calibri" w:hAnsi="Calibri" w:cs="Calibri"/>
                <w:color w:val="000000"/>
                <w:sz w:val="17"/>
                <w:szCs w:val="17"/>
              </w:rPr>
            </w:pPr>
            <w:r w:rsidRPr="0032494C">
              <w:rPr>
                <w:rFonts w:ascii="Calibri" w:hAnsi="Calibri" w:cs="Calibri"/>
                <w:color w:val="000000"/>
                <w:sz w:val="17"/>
                <w:szCs w:val="17"/>
              </w:rPr>
              <w:t>n/a***</w:t>
            </w:r>
            <w:r w:rsidRPr="0032494C" w:rsidR="00A83D88">
              <w:rPr>
                <w:rFonts w:ascii="Calibri" w:hAnsi="Calibri" w:cs="Calibri"/>
                <w:color w:val="000000"/>
                <w:sz w:val="17"/>
                <w:szCs w:val="17"/>
              </w:rPr>
              <w:t>*</w:t>
            </w:r>
          </w:p>
        </w:tc>
      </w:tr>
      <w:tr w:rsidRPr="0032494C" w:rsidR="00556ACC" w:rsidTr="00833D23" w14:paraId="0A17F870" w14:textId="77777777">
        <w:trPr>
          <w:cantSplit/>
          <w:trHeight w:val="3230"/>
        </w:trPr>
        <w:tc>
          <w:tcPr>
            <w:tcW w:w="10020" w:type="dxa"/>
            <w:gridSpan w:val="6"/>
            <w:tcBorders>
              <w:top w:val="single" w:color="1F4E79" w:themeColor="accent5" w:themeShade="80" w:sz="4" w:space="0"/>
              <w:left w:val="single" w:color="1F4E79" w:themeColor="accent5" w:themeShade="80" w:sz="4" w:space="0"/>
              <w:bottom w:val="single" w:color="1F4E79" w:themeColor="accent5" w:themeShade="80" w:sz="4" w:space="0"/>
              <w:right w:val="single" w:color="1F4E79" w:themeColor="accent5" w:themeShade="80" w:sz="4" w:space="0"/>
            </w:tcBorders>
          </w:tcPr>
          <w:p w:rsidRPr="0032494C" w:rsidR="00556ACC" w:rsidP="009542E9" w:rsidRDefault="00556ACC" w14:paraId="5A5D25D3" w14:textId="2E24F96C">
            <w:pPr>
              <w:spacing w:line="233" w:lineRule="atLeast"/>
              <w:rPr>
                <w:rFonts w:ascii="Calibri" w:hAnsi="Calibri" w:cs="Calibri"/>
                <w:color w:val="000000" w:themeColor="text1"/>
                <w:sz w:val="16"/>
                <w:szCs w:val="16"/>
                <w:lang w:bidi="en-US"/>
              </w:rPr>
            </w:pPr>
            <w:r w:rsidRPr="0032494C">
              <w:rPr>
                <w:rFonts w:ascii="Calibri" w:hAnsi="Calibri" w:cs="Calibri"/>
                <w:b/>
                <w:color w:val="000000" w:themeColor="text1"/>
                <w:sz w:val="16"/>
                <w:szCs w:val="16"/>
                <w:lang w:bidi="en-US"/>
              </w:rPr>
              <w:t>*</w:t>
            </w:r>
            <w:r w:rsidRPr="0032494C">
              <w:rPr>
                <w:rFonts w:ascii="Calibri" w:hAnsi="Calibri" w:cs="Calibri"/>
                <w:b/>
                <w:color w:val="000000" w:themeColor="text1"/>
                <w:sz w:val="16"/>
                <w:szCs w:val="16"/>
                <w:u w:val="single"/>
                <w:lang w:bidi="en-US"/>
              </w:rPr>
              <w:t>Hub</w:t>
            </w:r>
            <w:r w:rsidRPr="0032494C">
              <w:rPr>
                <w:rFonts w:ascii="Calibri" w:hAnsi="Calibri" w:cs="Calibri"/>
                <w:color w:val="000000" w:themeColor="text1"/>
                <w:sz w:val="16"/>
                <w:szCs w:val="16"/>
                <w:lang w:bidi="en-US"/>
              </w:rPr>
              <w:t xml:space="preserve"> refers to the statewide partnerships between and across museums, libraries, community organizations, and early care and educator provider networks. </w:t>
            </w:r>
            <w:r w:rsidRPr="0032494C">
              <w:rPr>
                <w:rFonts w:ascii="Calibri" w:hAnsi="Calibri" w:cs="Calibri"/>
                <w:b/>
                <w:color w:val="000000" w:themeColor="text1"/>
                <w:sz w:val="16"/>
                <w:szCs w:val="16"/>
                <w:u w:val="single"/>
                <w:lang w:bidi="en-US"/>
              </w:rPr>
              <w:t>Hub leaders</w:t>
            </w:r>
            <w:r w:rsidRPr="0032494C">
              <w:rPr>
                <w:rFonts w:ascii="Calibri" w:hAnsi="Calibri" w:cs="Calibri"/>
                <w:color w:val="000000" w:themeColor="text1"/>
                <w:sz w:val="16"/>
                <w:szCs w:val="16"/>
                <w:u w:val="single"/>
                <w:lang w:bidi="en-US"/>
              </w:rPr>
              <w:t xml:space="preserve"> </w:t>
            </w:r>
            <w:r w:rsidRPr="0032494C">
              <w:rPr>
                <w:rFonts w:ascii="Calibri" w:hAnsi="Calibri" w:cs="Calibri"/>
                <w:color w:val="000000" w:themeColor="text1"/>
                <w:sz w:val="16"/>
                <w:szCs w:val="16"/>
                <w:lang w:bidi="en-US"/>
              </w:rPr>
              <w:t xml:space="preserve">are the children’s museum or library that serves as leader of the hub. </w:t>
            </w:r>
            <w:r w:rsidRPr="0032494C">
              <w:rPr>
                <w:rFonts w:ascii="Calibri" w:hAnsi="Calibri" w:cs="Calibri"/>
                <w:b/>
                <w:color w:val="000000" w:themeColor="text1"/>
                <w:sz w:val="16"/>
                <w:szCs w:val="16"/>
                <w:u w:val="single"/>
                <w:lang w:bidi="en-US"/>
              </w:rPr>
              <w:t xml:space="preserve">Key </w:t>
            </w:r>
            <w:r w:rsidRPr="0032494C" w:rsidR="000C313B">
              <w:rPr>
                <w:rFonts w:ascii="Calibri" w:hAnsi="Calibri" w:cs="Calibri"/>
                <w:b/>
                <w:color w:val="000000" w:themeColor="text1"/>
                <w:sz w:val="16"/>
                <w:szCs w:val="16"/>
                <w:u w:val="single"/>
                <w:lang w:bidi="en-US"/>
              </w:rPr>
              <w:t>partners</w:t>
            </w:r>
            <w:r w:rsidRPr="0032494C" w:rsidR="000C313B">
              <w:rPr>
                <w:rFonts w:ascii="Calibri" w:hAnsi="Calibri" w:cs="Calibri"/>
                <w:color w:val="000000" w:themeColor="text1"/>
                <w:sz w:val="16"/>
                <w:szCs w:val="16"/>
                <w:u w:val="single"/>
                <w:lang w:bidi="en-US"/>
              </w:rPr>
              <w:t xml:space="preserve"> </w:t>
            </w:r>
            <w:r w:rsidRPr="0032494C" w:rsidR="000C313B">
              <w:rPr>
                <w:rFonts w:ascii="Calibri" w:hAnsi="Calibri" w:cs="Calibri"/>
                <w:color w:val="000000" w:themeColor="text1"/>
                <w:sz w:val="16"/>
                <w:szCs w:val="16"/>
                <w:lang w:bidi="en-US"/>
              </w:rPr>
              <w:t>are</w:t>
            </w:r>
            <w:r w:rsidRPr="0032494C">
              <w:rPr>
                <w:rFonts w:ascii="Calibri" w:hAnsi="Calibri" w:cs="Calibri"/>
                <w:color w:val="000000" w:themeColor="text1"/>
                <w:sz w:val="16"/>
                <w:szCs w:val="16"/>
                <w:lang w:bidi="en-US"/>
              </w:rPr>
              <w:t xml:space="preserve"> organizations that hub leaders are </w:t>
            </w:r>
            <w:r w:rsidRPr="0032494C">
              <w:rPr>
                <w:rFonts w:ascii="Calibri" w:hAnsi="Calibri" w:cs="Calibri"/>
                <w:b/>
                <w:i/>
                <w:color w:val="000000" w:themeColor="text1"/>
                <w:sz w:val="16"/>
                <w:szCs w:val="16"/>
                <w:lang w:bidi="en-US"/>
              </w:rPr>
              <w:t>currently</w:t>
            </w:r>
            <w:r w:rsidRPr="0032494C">
              <w:rPr>
                <w:rFonts w:ascii="Calibri" w:hAnsi="Calibri" w:cs="Calibri"/>
                <w:color w:val="000000" w:themeColor="text1"/>
                <w:sz w:val="16"/>
                <w:szCs w:val="16"/>
                <w:lang w:bidi="en-US"/>
              </w:rPr>
              <w:t xml:space="preserve"> partnering with. </w:t>
            </w:r>
            <w:r w:rsidRPr="0032494C">
              <w:rPr>
                <w:rFonts w:ascii="Calibri" w:hAnsi="Calibri" w:cs="Calibri"/>
                <w:b/>
                <w:color w:val="000000" w:themeColor="text1"/>
                <w:sz w:val="16"/>
                <w:szCs w:val="16"/>
                <w:u w:val="single"/>
                <w:lang w:bidi="en-US"/>
              </w:rPr>
              <w:t>Collaborating organizations</w:t>
            </w:r>
            <w:r w:rsidRPr="0032494C">
              <w:rPr>
                <w:rFonts w:ascii="Calibri" w:hAnsi="Calibri" w:cs="Calibri"/>
                <w:color w:val="000000" w:themeColor="text1"/>
                <w:sz w:val="16"/>
                <w:szCs w:val="16"/>
                <w:lang w:bidi="en-US"/>
              </w:rPr>
              <w:t xml:space="preserve"> are </w:t>
            </w:r>
            <w:r w:rsidRPr="0032494C">
              <w:rPr>
                <w:rFonts w:ascii="Calibri" w:hAnsi="Calibri" w:cs="Calibri"/>
                <w:b/>
                <w:i/>
                <w:color w:val="000000" w:themeColor="text1"/>
                <w:sz w:val="16"/>
                <w:szCs w:val="16"/>
                <w:lang w:bidi="en-US"/>
              </w:rPr>
              <w:t>new</w:t>
            </w:r>
            <w:r w:rsidRPr="0032494C">
              <w:rPr>
                <w:rFonts w:ascii="Calibri" w:hAnsi="Calibri" w:cs="Calibri"/>
                <w:color w:val="000000" w:themeColor="text1"/>
                <w:sz w:val="16"/>
                <w:szCs w:val="16"/>
                <w:lang w:bidi="en-US"/>
              </w:rPr>
              <w:t xml:space="preserve"> </w:t>
            </w:r>
            <w:r w:rsidRPr="0032494C">
              <w:rPr>
                <w:rFonts w:ascii="Calibri" w:hAnsi="Calibri" w:cs="Calibri"/>
                <w:b/>
                <w:i/>
                <w:color w:val="000000" w:themeColor="text1"/>
                <w:sz w:val="16"/>
                <w:szCs w:val="16"/>
                <w:lang w:bidi="en-US"/>
              </w:rPr>
              <w:t>key partner</w:t>
            </w:r>
            <w:r w:rsidRPr="0032494C">
              <w:rPr>
                <w:rFonts w:ascii="Calibri" w:hAnsi="Calibri" w:cs="Calibri"/>
                <w:color w:val="000000" w:themeColor="text1"/>
                <w:sz w:val="16"/>
                <w:szCs w:val="16"/>
                <w:lang w:bidi="en-US"/>
              </w:rPr>
              <w:t xml:space="preserve"> organizations that join the hub as a result of this project</w:t>
            </w:r>
          </w:p>
          <w:p w:rsidRPr="0032494C" w:rsidR="00556ACC" w:rsidP="009542E9" w:rsidRDefault="00556ACC" w14:paraId="4FDA8F33" w14:textId="77777777">
            <w:pPr>
              <w:spacing w:line="233" w:lineRule="atLeast"/>
              <w:rPr>
                <w:rFonts w:ascii="Calibri" w:hAnsi="Calibri" w:cs="Calibri"/>
                <w:color w:val="000000" w:themeColor="text1"/>
                <w:sz w:val="16"/>
                <w:szCs w:val="16"/>
                <w:lang w:bidi="en-US"/>
              </w:rPr>
            </w:pPr>
          </w:p>
          <w:p w:rsidRPr="0032494C" w:rsidR="00556ACC" w:rsidP="009542E9" w:rsidRDefault="00556ACC" w14:paraId="1754BAE6" w14:textId="4010EF36">
            <w:pPr>
              <w:spacing w:line="233" w:lineRule="atLeast"/>
              <w:rPr>
                <w:rFonts w:ascii="Calibri" w:hAnsi="Calibri" w:cs="Calibri"/>
                <w:color w:val="000000"/>
                <w:sz w:val="16"/>
                <w:szCs w:val="16"/>
              </w:rPr>
            </w:pPr>
            <w:r w:rsidRPr="0032494C">
              <w:rPr>
                <w:rFonts w:ascii="Calibri" w:hAnsi="Calibri" w:cs="Calibri"/>
                <w:color w:val="000000"/>
                <w:sz w:val="16"/>
                <w:szCs w:val="16"/>
              </w:rPr>
              <w:t>**Survey II will include items from Survey I, along with additional items we develop as a result of findings from Year 1 data collection. For the purposes of this table, Survey II question #’s in the last column refer to question #’s from Survey I</w:t>
            </w:r>
          </w:p>
          <w:p w:rsidRPr="0032494C" w:rsidR="00891793" w:rsidP="009542E9" w:rsidRDefault="00891793" w14:paraId="64B5C7E7" w14:textId="77777777">
            <w:pPr>
              <w:spacing w:line="233" w:lineRule="atLeast"/>
              <w:rPr>
                <w:rFonts w:ascii="Calibri" w:hAnsi="Calibri" w:cs="Calibri"/>
                <w:color w:val="000000"/>
                <w:sz w:val="16"/>
                <w:szCs w:val="16"/>
              </w:rPr>
            </w:pPr>
          </w:p>
          <w:p w:rsidR="00556ACC" w:rsidP="009542E9" w:rsidRDefault="00A83D88" w14:paraId="6DB0762F" w14:textId="3504B673">
            <w:pPr>
              <w:spacing w:line="233" w:lineRule="atLeast"/>
              <w:rPr>
                <w:rFonts w:ascii="Calibri" w:hAnsi="Calibri" w:cs="Calibri"/>
                <w:sz w:val="16"/>
                <w:szCs w:val="16"/>
              </w:rPr>
            </w:pPr>
            <w:r w:rsidRPr="0032494C">
              <w:rPr>
                <w:rFonts w:ascii="Calibri" w:hAnsi="Calibri" w:cs="Calibri"/>
                <w:sz w:val="16"/>
                <w:szCs w:val="16"/>
              </w:rPr>
              <w:t>**</w:t>
            </w:r>
            <w:r w:rsidR="00864F0C">
              <w:rPr>
                <w:rFonts w:ascii="Calibri" w:hAnsi="Calibri" w:cs="Calibri"/>
                <w:sz w:val="16"/>
                <w:szCs w:val="16"/>
              </w:rPr>
              <w:t>*</w:t>
            </w:r>
            <w:r w:rsidRPr="0032494C">
              <w:rPr>
                <w:rFonts w:ascii="Calibri" w:hAnsi="Calibri" w:cs="Calibri"/>
                <w:sz w:val="16"/>
                <w:szCs w:val="16"/>
              </w:rPr>
              <w:t>The EDC evaluation team will conduct four focus groups (two in Year 2; two in Year 3). During the Year 2 national meeting, EDC will provide a focus group training to hub and partner organizations, who will conduct their own focus groups. Across six states, we anticipate there will be a total of 30 focus groups per year (60 total), with approximately 8 participants per focus group.</w:t>
            </w:r>
          </w:p>
          <w:p w:rsidRPr="0032494C" w:rsidR="00864F0C" w:rsidP="009542E9" w:rsidRDefault="00864F0C" w14:paraId="10D8369E" w14:textId="77777777">
            <w:pPr>
              <w:spacing w:line="233" w:lineRule="atLeast"/>
              <w:rPr>
                <w:rFonts w:ascii="Calibri" w:hAnsi="Calibri" w:cs="Calibri"/>
                <w:color w:val="000000" w:themeColor="text1"/>
                <w:sz w:val="16"/>
                <w:szCs w:val="16"/>
                <w:lang w:bidi="en-US"/>
              </w:rPr>
            </w:pPr>
          </w:p>
          <w:p w:rsidRPr="0032494C" w:rsidR="00556ACC" w:rsidP="009542E9" w:rsidRDefault="00556ACC" w14:paraId="743AAD51" w14:textId="2FECAF08">
            <w:pPr>
              <w:spacing w:line="233" w:lineRule="atLeast"/>
              <w:rPr>
                <w:rFonts w:ascii="Calibri" w:hAnsi="Calibri" w:cs="Calibri"/>
                <w:color w:val="000000" w:themeColor="text1"/>
                <w:sz w:val="16"/>
                <w:szCs w:val="16"/>
                <w:lang w:bidi="en-US"/>
              </w:rPr>
            </w:pPr>
            <w:r w:rsidRPr="0032494C">
              <w:rPr>
                <w:rFonts w:ascii="Calibri" w:hAnsi="Calibri" w:cs="Calibri"/>
                <w:color w:val="000000" w:themeColor="text1"/>
                <w:sz w:val="16"/>
                <w:szCs w:val="16"/>
                <w:lang w:bidi="en-US"/>
              </w:rPr>
              <w:t>***</w:t>
            </w:r>
            <w:r w:rsidRPr="0032494C" w:rsidR="00A83D88">
              <w:rPr>
                <w:rFonts w:ascii="Calibri" w:hAnsi="Calibri" w:cs="Calibri"/>
                <w:color w:val="000000" w:themeColor="text1"/>
                <w:sz w:val="16"/>
                <w:szCs w:val="16"/>
                <w:lang w:bidi="en-US"/>
              </w:rPr>
              <w:t>*</w:t>
            </w:r>
            <w:r w:rsidRPr="0032494C">
              <w:rPr>
                <w:rFonts w:ascii="Calibri" w:hAnsi="Calibri" w:cs="Calibri"/>
                <w:color w:val="000000" w:themeColor="text1"/>
                <w:sz w:val="16"/>
                <w:szCs w:val="16"/>
                <w:lang w:bidi="en-US"/>
              </w:rPr>
              <w:t xml:space="preserve">EDC will address EQ7 by documenting BCM’s progress in carrying out the project activities. Note that there are no data collection activities associated with EQ7; rather, EDC will address this evaluation questions through updates from BCM via email correspondence </w:t>
            </w:r>
          </w:p>
        </w:tc>
      </w:tr>
    </w:tbl>
    <w:p w:rsidR="007875BC" w:rsidP="006C7470" w:rsidRDefault="007875BC" w14:paraId="342CF6FB" w14:textId="77777777">
      <w:pPr>
        <w:tabs>
          <w:tab w:val="left" w:pos="504"/>
        </w:tabs>
        <w:rPr>
          <w:rFonts w:ascii="Calibri" w:hAnsi="Calibri" w:cs="Calibri"/>
          <w:b/>
          <w:sz w:val="22"/>
          <w:szCs w:val="22"/>
          <w:u w:val="single"/>
        </w:rPr>
      </w:pPr>
    </w:p>
    <w:p w:rsidRPr="0032494C" w:rsidR="006C7470" w:rsidP="006C7470" w:rsidRDefault="006C7470" w14:paraId="6FC83DB3" w14:textId="0F290838">
      <w:pPr>
        <w:tabs>
          <w:tab w:val="left" w:pos="504"/>
        </w:tabs>
        <w:rPr>
          <w:rFonts w:ascii="Calibri" w:hAnsi="Calibri" w:cs="Calibri"/>
          <w:b/>
          <w:sz w:val="22"/>
          <w:szCs w:val="22"/>
          <w:u w:val="single"/>
        </w:rPr>
      </w:pPr>
      <w:r w:rsidRPr="0032494C">
        <w:rPr>
          <w:rFonts w:ascii="Calibri" w:hAnsi="Calibri" w:cs="Calibri"/>
          <w:b/>
          <w:sz w:val="22"/>
          <w:szCs w:val="22"/>
          <w:u w:val="single"/>
        </w:rPr>
        <w:t>B.2. Potential Respondent Sampling and Selection Methods</w:t>
      </w:r>
    </w:p>
    <w:p w:rsidRPr="0032494C" w:rsidR="006C7470" w:rsidP="006C7470" w:rsidRDefault="003976BF" w14:paraId="6FF40046" w14:textId="098B0DCD">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themeColor="text1"/>
          <w:sz w:val="22"/>
          <w:szCs w:val="22"/>
          <w:lang w:bidi="en-US"/>
        </w:rPr>
      </w:pPr>
      <w:r w:rsidRPr="0032494C">
        <w:rPr>
          <w:rFonts w:ascii="Calibri" w:hAnsi="Calibri" w:cs="Calibri"/>
          <w:color w:val="000000" w:themeColor="text1"/>
          <w:sz w:val="22"/>
          <w:szCs w:val="22"/>
          <w:lang w:bidi="en-US"/>
        </w:rPr>
        <w:t xml:space="preserve">In order to </w:t>
      </w:r>
      <w:r w:rsidRPr="0032494C" w:rsidR="0012434A">
        <w:rPr>
          <w:rFonts w:ascii="Calibri" w:hAnsi="Calibri" w:cs="Calibri"/>
          <w:color w:val="000000" w:themeColor="text1"/>
          <w:sz w:val="22"/>
          <w:szCs w:val="22"/>
          <w:lang w:bidi="en-US"/>
        </w:rPr>
        <w:t>identify institutional capacities and cross-organizational relationships that support successful model implementation and to identify the ways in which the network model prepares and supports organizations and families in promoting academic readiness,  we</w:t>
      </w:r>
      <w:r w:rsidRPr="0032494C" w:rsidR="006C7470">
        <w:rPr>
          <w:rFonts w:ascii="Calibri" w:hAnsi="Calibri" w:cs="Calibri"/>
          <w:color w:val="000000" w:themeColor="text1"/>
          <w:sz w:val="22"/>
          <w:szCs w:val="22"/>
          <w:lang w:bidi="en-US"/>
        </w:rPr>
        <w:t xml:space="preserve"> will conduct annual surveys with a staff lead</w:t>
      </w:r>
      <w:r w:rsidRPr="0032494C" w:rsidR="00C71032">
        <w:rPr>
          <w:rFonts w:ascii="Calibri" w:hAnsi="Calibri" w:cs="Calibri"/>
          <w:color w:val="000000" w:themeColor="text1"/>
          <w:sz w:val="22"/>
          <w:szCs w:val="22"/>
          <w:lang w:bidi="en-US"/>
        </w:rPr>
        <w:t>s</w:t>
      </w:r>
      <w:r w:rsidRPr="0032494C" w:rsidR="006C7470">
        <w:rPr>
          <w:rFonts w:ascii="Calibri" w:hAnsi="Calibri" w:cs="Calibri"/>
          <w:color w:val="000000" w:themeColor="text1"/>
          <w:sz w:val="22"/>
          <w:szCs w:val="22"/>
          <w:lang w:bidi="en-US"/>
        </w:rPr>
        <w:t xml:space="preserve"> from ALL participating organizations (i.e., the entire universe of respondents). </w:t>
      </w:r>
      <w:r w:rsidRPr="0032494C" w:rsidR="0012434A">
        <w:rPr>
          <w:rFonts w:ascii="Calibri" w:hAnsi="Calibri" w:cs="Calibri"/>
          <w:color w:val="000000" w:themeColor="text1"/>
          <w:sz w:val="22"/>
          <w:szCs w:val="22"/>
          <w:lang w:bidi="en-US"/>
        </w:rPr>
        <w:t xml:space="preserve"> </w:t>
      </w:r>
      <w:r w:rsidRPr="0032494C" w:rsidR="00DA2DE3">
        <w:rPr>
          <w:rFonts w:ascii="Calibri" w:hAnsi="Calibri" w:cs="Calibri"/>
          <w:color w:val="000000" w:themeColor="text1"/>
          <w:sz w:val="22"/>
          <w:szCs w:val="22"/>
          <w:lang w:bidi="en-US"/>
        </w:rPr>
        <w:t xml:space="preserve">The </w:t>
      </w:r>
      <w:r w:rsidRPr="0032494C" w:rsidR="001E6D92">
        <w:rPr>
          <w:rFonts w:ascii="Calibri" w:hAnsi="Calibri" w:cs="Calibri"/>
          <w:color w:val="000000" w:themeColor="text1"/>
          <w:sz w:val="22"/>
          <w:szCs w:val="22"/>
          <w:lang w:bidi="en-US"/>
        </w:rPr>
        <w:t>universe of</w:t>
      </w:r>
      <w:r w:rsidRPr="0032494C" w:rsidR="00DA2DE3">
        <w:rPr>
          <w:rFonts w:ascii="Calibri" w:hAnsi="Calibri" w:cs="Calibri"/>
          <w:color w:val="000000" w:themeColor="text1"/>
          <w:sz w:val="22"/>
          <w:szCs w:val="22"/>
          <w:lang w:bidi="en-US"/>
        </w:rPr>
        <w:t xml:space="preserve"> Year 1</w:t>
      </w:r>
      <w:r w:rsidRPr="0032494C" w:rsidR="001E6D92">
        <w:rPr>
          <w:rFonts w:ascii="Calibri" w:hAnsi="Calibri" w:cs="Calibri"/>
          <w:color w:val="000000" w:themeColor="text1"/>
          <w:sz w:val="22"/>
          <w:szCs w:val="22"/>
          <w:lang w:bidi="en-US"/>
        </w:rPr>
        <w:t xml:space="preserve"> respondents </w:t>
      </w:r>
      <w:r w:rsidRPr="0032494C" w:rsidR="00DA2DE3">
        <w:rPr>
          <w:rFonts w:ascii="Calibri" w:hAnsi="Calibri" w:cs="Calibri"/>
          <w:color w:val="000000" w:themeColor="text1"/>
          <w:sz w:val="22"/>
          <w:szCs w:val="22"/>
          <w:lang w:bidi="en-US"/>
        </w:rPr>
        <w:t xml:space="preserve">will include </w:t>
      </w:r>
      <w:r w:rsidRPr="0032494C" w:rsidR="001E6D92">
        <w:rPr>
          <w:rFonts w:ascii="Calibri" w:hAnsi="Calibri" w:cs="Calibri"/>
          <w:color w:val="000000" w:themeColor="text1"/>
          <w:sz w:val="22"/>
          <w:szCs w:val="22"/>
          <w:lang w:bidi="en-US"/>
        </w:rPr>
        <w:t xml:space="preserve">organizations in </w:t>
      </w:r>
      <w:r w:rsidRPr="0032494C" w:rsidR="000B2872">
        <w:rPr>
          <w:rFonts w:ascii="Calibri" w:hAnsi="Calibri" w:cs="Calibri"/>
          <w:color w:val="000000" w:themeColor="text1"/>
          <w:sz w:val="22"/>
          <w:szCs w:val="22"/>
          <w:lang w:bidi="en-US"/>
        </w:rPr>
        <w:t xml:space="preserve">the </w:t>
      </w:r>
      <w:r w:rsidRPr="0032494C" w:rsidR="001E6D92">
        <w:rPr>
          <w:rFonts w:ascii="Calibri" w:hAnsi="Calibri" w:cs="Calibri"/>
          <w:color w:val="000000" w:themeColor="text1"/>
          <w:sz w:val="22"/>
          <w:szCs w:val="22"/>
          <w:lang w:bidi="en-US"/>
        </w:rPr>
        <w:t xml:space="preserve">state networks that are part of Cohort 1 and Cohort 2 (see </w:t>
      </w:r>
      <w:r w:rsidRPr="00E534DB" w:rsidR="001E6D92">
        <w:rPr>
          <w:rFonts w:ascii="Calibri" w:hAnsi="Calibri" w:cs="Calibri"/>
          <w:color w:val="000000" w:themeColor="text1"/>
          <w:sz w:val="22"/>
          <w:szCs w:val="22"/>
          <w:lang w:bidi="en-US"/>
        </w:rPr>
        <w:fldChar w:fldCharType="begin"/>
      </w:r>
      <w:r w:rsidRPr="00E534DB" w:rsidR="001E6D92">
        <w:rPr>
          <w:rFonts w:ascii="Calibri" w:hAnsi="Calibri" w:cs="Calibri"/>
          <w:color w:val="000000" w:themeColor="text1"/>
          <w:sz w:val="22"/>
          <w:szCs w:val="22"/>
          <w:lang w:bidi="en-US"/>
        </w:rPr>
        <w:instrText xml:space="preserve"> REF _Ref36104282 \h </w:instrText>
      </w:r>
      <w:r w:rsidRPr="00E534DB" w:rsidR="0032494C">
        <w:rPr>
          <w:rFonts w:ascii="Calibri" w:hAnsi="Calibri" w:cs="Calibri"/>
          <w:color w:val="000000" w:themeColor="text1"/>
          <w:sz w:val="22"/>
          <w:szCs w:val="22"/>
          <w:lang w:bidi="en-US"/>
        </w:rPr>
        <w:instrText xml:space="preserve"> \* MERGEFORMAT </w:instrText>
      </w:r>
      <w:r w:rsidRPr="00E534DB" w:rsidR="001E6D92">
        <w:rPr>
          <w:rFonts w:ascii="Calibri" w:hAnsi="Calibri" w:cs="Calibri"/>
          <w:color w:val="000000" w:themeColor="text1"/>
          <w:sz w:val="22"/>
          <w:szCs w:val="22"/>
          <w:lang w:bidi="en-US"/>
        </w:rPr>
      </w:r>
      <w:r w:rsidRPr="00E534DB" w:rsidR="001E6D92">
        <w:rPr>
          <w:rFonts w:ascii="Calibri" w:hAnsi="Calibri" w:cs="Calibri"/>
          <w:color w:val="000000" w:themeColor="text1"/>
          <w:sz w:val="22"/>
          <w:szCs w:val="22"/>
          <w:lang w:bidi="en-US"/>
        </w:rPr>
        <w:fldChar w:fldCharType="separate"/>
      </w:r>
      <w:r w:rsidRPr="00E534DB" w:rsidR="001E6D92">
        <w:rPr>
          <w:rFonts w:ascii="Calibri" w:hAnsi="Calibri" w:cs="Calibri"/>
          <w:sz w:val="22"/>
          <w:szCs w:val="22"/>
        </w:rPr>
        <w:t xml:space="preserve">Table </w:t>
      </w:r>
      <w:r w:rsidRPr="00E534DB" w:rsidR="001E6D92">
        <w:rPr>
          <w:rFonts w:ascii="Calibri" w:hAnsi="Calibri" w:cs="Calibri"/>
          <w:noProof/>
          <w:sz w:val="22"/>
          <w:szCs w:val="22"/>
        </w:rPr>
        <w:t>5</w:t>
      </w:r>
      <w:r w:rsidRPr="00E534DB" w:rsidR="001E6D92">
        <w:rPr>
          <w:rFonts w:ascii="Calibri" w:hAnsi="Calibri" w:cs="Calibri"/>
          <w:color w:val="000000" w:themeColor="text1"/>
          <w:sz w:val="22"/>
          <w:szCs w:val="22"/>
          <w:lang w:bidi="en-US"/>
        </w:rPr>
        <w:fldChar w:fldCharType="end"/>
      </w:r>
      <w:r w:rsidRPr="0032494C" w:rsidR="001E6D92">
        <w:rPr>
          <w:rFonts w:ascii="Calibri" w:hAnsi="Calibri" w:cs="Calibri"/>
          <w:color w:val="000000" w:themeColor="text1"/>
          <w:sz w:val="22"/>
          <w:szCs w:val="22"/>
          <w:lang w:bidi="en-US"/>
        </w:rPr>
        <w:t xml:space="preserve">). </w:t>
      </w:r>
      <w:r w:rsidRPr="0032494C" w:rsidR="00DA2DE3">
        <w:rPr>
          <w:rFonts w:ascii="Calibri" w:hAnsi="Calibri" w:cs="Calibri"/>
          <w:color w:val="000000" w:themeColor="text1"/>
          <w:sz w:val="22"/>
          <w:szCs w:val="22"/>
          <w:lang w:bidi="en-US"/>
        </w:rPr>
        <w:t xml:space="preserve">Organizations that are part of the Cohort 3 state networks will be </w:t>
      </w:r>
      <w:r w:rsidRPr="0032494C" w:rsidR="000B2872">
        <w:rPr>
          <w:rFonts w:ascii="Calibri" w:hAnsi="Calibri" w:cs="Calibri"/>
          <w:color w:val="000000" w:themeColor="text1"/>
          <w:sz w:val="22"/>
          <w:szCs w:val="22"/>
          <w:lang w:bidi="en-US"/>
        </w:rPr>
        <w:t xml:space="preserve">onboarded </w:t>
      </w:r>
      <w:r w:rsidRPr="0032494C" w:rsidR="00DA2DE3">
        <w:rPr>
          <w:rFonts w:ascii="Calibri" w:hAnsi="Calibri" w:cs="Calibri"/>
          <w:color w:val="000000" w:themeColor="text1"/>
          <w:sz w:val="22"/>
          <w:szCs w:val="22"/>
          <w:lang w:bidi="en-US"/>
        </w:rPr>
        <w:t xml:space="preserve">by Boston Children’s Museum </w:t>
      </w:r>
      <w:r w:rsidRPr="0032494C" w:rsidR="000B2872">
        <w:rPr>
          <w:rFonts w:ascii="Calibri" w:hAnsi="Calibri" w:cs="Calibri"/>
          <w:color w:val="000000" w:themeColor="text1"/>
          <w:sz w:val="22"/>
          <w:szCs w:val="22"/>
          <w:lang w:bidi="en-US"/>
        </w:rPr>
        <w:t xml:space="preserve">at the end of </w:t>
      </w:r>
      <w:r w:rsidRPr="0032494C" w:rsidR="00DA2DE3">
        <w:rPr>
          <w:rFonts w:ascii="Calibri" w:hAnsi="Calibri" w:cs="Calibri"/>
          <w:color w:val="000000" w:themeColor="text1"/>
          <w:sz w:val="22"/>
          <w:szCs w:val="22"/>
          <w:lang w:bidi="en-US"/>
        </w:rPr>
        <w:t>Year 1</w:t>
      </w:r>
      <w:r w:rsidRPr="0032494C" w:rsidR="000B2872">
        <w:rPr>
          <w:rFonts w:ascii="Calibri" w:hAnsi="Calibri" w:cs="Calibri"/>
          <w:color w:val="000000" w:themeColor="text1"/>
          <w:sz w:val="22"/>
          <w:szCs w:val="22"/>
          <w:lang w:bidi="en-US"/>
        </w:rPr>
        <w:t>,</w:t>
      </w:r>
      <w:r w:rsidRPr="0032494C" w:rsidR="00CE7284">
        <w:rPr>
          <w:rFonts w:ascii="Calibri" w:hAnsi="Calibri" w:cs="Calibri"/>
          <w:color w:val="000000" w:themeColor="text1"/>
          <w:sz w:val="22"/>
          <w:szCs w:val="22"/>
          <w:lang w:bidi="en-US"/>
        </w:rPr>
        <w:t xml:space="preserve"> and therefore </w:t>
      </w:r>
      <w:r w:rsidRPr="0032494C" w:rsidR="000B2872">
        <w:rPr>
          <w:rFonts w:ascii="Calibri" w:hAnsi="Calibri" w:cs="Calibri"/>
          <w:color w:val="000000" w:themeColor="text1"/>
          <w:sz w:val="22"/>
          <w:szCs w:val="22"/>
          <w:lang w:bidi="en-US"/>
        </w:rPr>
        <w:t xml:space="preserve">will </w:t>
      </w:r>
      <w:r w:rsidRPr="0032494C" w:rsidR="00CE7284">
        <w:rPr>
          <w:rFonts w:ascii="Calibri" w:hAnsi="Calibri" w:cs="Calibri"/>
          <w:color w:val="000000" w:themeColor="text1"/>
          <w:sz w:val="22"/>
          <w:szCs w:val="22"/>
          <w:lang w:bidi="en-US"/>
        </w:rPr>
        <w:t xml:space="preserve">not part of the Year 1 </w:t>
      </w:r>
      <w:r w:rsidRPr="0032494C" w:rsidR="000B2872">
        <w:rPr>
          <w:rFonts w:ascii="Calibri" w:hAnsi="Calibri" w:cs="Calibri"/>
          <w:color w:val="000000" w:themeColor="text1"/>
          <w:sz w:val="22"/>
          <w:szCs w:val="22"/>
          <w:lang w:bidi="en-US"/>
        </w:rPr>
        <w:t xml:space="preserve">respondent universe. </w:t>
      </w:r>
      <w:r w:rsidRPr="0032494C" w:rsidR="006971EE">
        <w:rPr>
          <w:rFonts w:ascii="Calibri" w:hAnsi="Calibri" w:cs="Calibri"/>
          <w:color w:val="000000" w:themeColor="text1"/>
          <w:sz w:val="22"/>
          <w:szCs w:val="22"/>
          <w:lang w:bidi="en-US"/>
        </w:rPr>
        <w:t>The u</w:t>
      </w:r>
      <w:r w:rsidRPr="0032494C" w:rsidR="00DA2DE3">
        <w:rPr>
          <w:rFonts w:ascii="Calibri" w:hAnsi="Calibri" w:cs="Calibri"/>
          <w:color w:val="000000" w:themeColor="text1"/>
          <w:sz w:val="22"/>
          <w:szCs w:val="22"/>
          <w:lang w:bidi="en-US"/>
        </w:rPr>
        <w:t>niverse of respondents in Year 2 and Year 3</w:t>
      </w:r>
      <w:r w:rsidRPr="0032494C" w:rsidR="006971EE">
        <w:rPr>
          <w:rFonts w:ascii="Calibri" w:hAnsi="Calibri" w:cs="Calibri"/>
          <w:color w:val="000000" w:themeColor="text1"/>
          <w:sz w:val="22"/>
          <w:szCs w:val="22"/>
          <w:lang w:bidi="en-US"/>
        </w:rPr>
        <w:t xml:space="preserve"> will include </w:t>
      </w:r>
      <w:r w:rsidRPr="0032494C" w:rsidR="00A63866">
        <w:rPr>
          <w:rFonts w:ascii="Calibri" w:hAnsi="Calibri" w:cs="Calibri"/>
          <w:color w:val="000000" w:themeColor="text1"/>
          <w:sz w:val="22"/>
          <w:szCs w:val="22"/>
          <w:lang w:bidi="en-US"/>
        </w:rPr>
        <w:t xml:space="preserve">organizations from all state networks </w:t>
      </w:r>
      <w:r w:rsidRPr="0032494C" w:rsidR="00A63866">
        <w:rPr>
          <w:rFonts w:ascii="Calibri" w:hAnsi="Calibri" w:cs="Calibri"/>
          <w:color w:val="000000" w:themeColor="text1"/>
          <w:sz w:val="22"/>
          <w:szCs w:val="22"/>
          <w:lang w:bidi="en-US"/>
        </w:rPr>
        <w:lastRenderedPageBreak/>
        <w:t>across all cohorts</w:t>
      </w:r>
      <w:r w:rsidRPr="0032494C" w:rsidR="00DA2DE3">
        <w:rPr>
          <w:rFonts w:ascii="Calibri" w:hAnsi="Calibri" w:cs="Calibri"/>
          <w:color w:val="000000" w:themeColor="text1"/>
          <w:sz w:val="22"/>
          <w:szCs w:val="22"/>
          <w:lang w:bidi="en-US"/>
        </w:rPr>
        <w:t xml:space="preserve">. </w:t>
      </w:r>
      <w:r w:rsidRPr="0032494C" w:rsidR="006C7470">
        <w:rPr>
          <w:rFonts w:ascii="Calibri" w:hAnsi="Calibri" w:cs="Calibri"/>
          <w:color w:val="000000" w:themeColor="text1"/>
          <w:sz w:val="22"/>
          <w:szCs w:val="22"/>
          <w:lang w:bidi="en-US"/>
        </w:rPr>
        <w:t xml:space="preserve">We will survey the same staff lead each year (assuming the staff lead has not left the organization or changed roles). Since we will be surveying </w:t>
      </w:r>
      <w:r w:rsidRPr="0032494C" w:rsidR="00AB2C91">
        <w:rPr>
          <w:rFonts w:ascii="Calibri" w:hAnsi="Calibri" w:cs="Calibri"/>
          <w:color w:val="000000" w:themeColor="text1"/>
          <w:sz w:val="22"/>
          <w:szCs w:val="22"/>
          <w:lang w:bidi="en-US"/>
        </w:rPr>
        <w:t xml:space="preserve">all staff leads in </w:t>
      </w:r>
      <w:r w:rsidRPr="0032494C" w:rsidR="006C7470">
        <w:rPr>
          <w:rFonts w:ascii="Calibri" w:hAnsi="Calibri" w:cs="Calibri"/>
          <w:color w:val="000000" w:themeColor="text1"/>
          <w:sz w:val="22"/>
          <w:szCs w:val="22"/>
          <w:lang w:bidi="en-US"/>
        </w:rPr>
        <w:t xml:space="preserve">all participating organizations, </w:t>
      </w:r>
      <w:r w:rsidRPr="0032494C" w:rsidR="00AB2C91">
        <w:rPr>
          <w:rFonts w:ascii="Calibri" w:hAnsi="Calibri" w:cs="Calibri"/>
          <w:color w:val="000000" w:themeColor="text1"/>
          <w:sz w:val="22"/>
          <w:szCs w:val="22"/>
          <w:lang w:bidi="en-US"/>
        </w:rPr>
        <w:t>sampling is unnecessary.</w:t>
      </w:r>
    </w:p>
    <w:p w:rsidRPr="0032494C" w:rsidR="006C7470" w:rsidP="006C7470" w:rsidRDefault="006C7470" w14:paraId="7EBB6E31"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themeColor="text1"/>
          <w:sz w:val="22"/>
          <w:szCs w:val="22"/>
          <w:lang w:bidi="en-US"/>
        </w:rPr>
      </w:pPr>
    </w:p>
    <w:p w:rsidRPr="0032494C" w:rsidR="006C7470" w:rsidP="006C7470" w:rsidRDefault="006C7470" w14:paraId="777F5C3D" w14:textId="33F3847C">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strike/>
          <w:color w:val="000000" w:themeColor="text1"/>
          <w:sz w:val="22"/>
          <w:szCs w:val="22"/>
          <w:lang w:bidi="en-US"/>
        </w:rPr>
      </w:pPr>
      <w:r w:rsidRPr="0032494C">
        <w:rPr>
          <w:rFonts w:ascii="Calibri" w:hAnsi="Calibri" w:cs="Calibri"/>
          <w:color w:val="000000" w:themeColor="text1"/>
          <w:sz w:val="22"/>
          <w:szCs w:val="22"/>
          <w:lang w:bidi="en-US"/>
        </w:rPr>
        <w:t>To capture variation in model implementation</w:t>
      </w:r>
      <w:r w:rsidRPr="0032494C" w:rsidR="005E05D4">
        <w:rPr>
          <w:rFonts w:ascii="Calibri" w:hAnsi="Calibri" w:cs="Calibri"/>
          <w:color w:val="000000" w:themeColor="text1"/>
          <w:sz w:val="22"/>
          <w:szCs w:val="22"/>
          <w:lang w:bidi="en-US"/>
        </w:rPr>
        <w:t xml:space="preserve"> and </w:t>
      </w:r>
      <w:r w:rsidRPr="0032494C">
        <w:rPr>
          <w:rFonts w:ascii="Calibri" w:hAnsi="Calibri" w:cs="Calibri"/>
          <w:color w:val="000000" w:themeColor="text1"/>
          <w:sz w:val="22"/>
          <w:szCs w:val="22"/>
          <w:lang w:bidi="en-US"/>
        </w:rPr>
        <w:t xml:space="preserve">experiences across state networks, local contexts, and program levels, </w:t>
      </w:r>
      <w:r w:rsidRPr="0032494C" w:rsidR="003924B7">
        <w:rPr>
          <w:rFonts w:ascii="Calibri" w:hAnsi="Calibri" w:cs="Calibri"/>
          <w:color w:val="000000" w:themeColor="text1"/>
          <w:sz w:val="22"/>
          <w:szCs w:val="22"/>
          <w:lang w:bidi="en-US"/>
        </w:rPr>
        <w:t xml:space="preserve">each year </w:t>
      </w:r>
      <w:r w:rsidRPr="0032494C">
        <w:rPr>
          <w:rFonts w:ascii="Calibri" w:hAnsi="Calibri" w:cs="Calibri"/>
          <w:color w:val="000000" w:themeColor="text1"/>
          <w:sz w:val="22"/>
          <w:szCs w:val="22"/>
          <w:lang w:bidi="en-US"/>
        </w:rPr>
        <w:t xml:space="preserve">we </w:t>
      </w:r>
      <w:r w:rsidRPr="0032494C" w:rsidR="00AB2C91">
        <w:rPr>
          <w:rFonts w:ascii="Calibri" w:hAnsi="Calibri" w:cs="Calibri"/>
          <w:color w:val="000000" w:themeColor="text1"/>
          <w:sz w:val="22"/>
          <w:szCs w:val="22"/>
          <w:lang w:bidi="en-US"/>
        </w:rPr>
        <w:t xml:space="preserve">also </w:t>
      </w:r>
      <w:r w:rsidRPr="0032494C">
        <w:rPr>
          <w:rFonts w:ascii="Calibri" w:hAnsi="Calibri" w:cs="Calibri"/>
          <w:color w:val="000000" w:themeColor="text1"/>
          <w:sz w:val="22"/>
          <w:szCs w:val="22"/>
          <w:lang w:bidi="en-US"/>
        </w:rPr>
        <w:t xml:space="preserve">will conduct </w:t>
      </w:r>
      <w:r w:rsidRPr="0032494C" w:rsidR="00736C9F">
        <w:rPr>
          <w:rFonts w:ascii="Calibri" w:hAnsi="Calibri" w:cs="Calibri"/>
          <w:color w:val="000000" w:themeColor="text1"/>
          <w:sz w:val="22"/>
          <w:szCs w:val="22"/>
          <w:lang w:bidi="en-US"/>
        </w:rPr>
        <w:t xml:space="preserve">semi-structured </w:t>
      </w:r>
      <w:r w:rsidRPr="0032494C">
        <w:rPr>
          <w:rFonts w:ascii="Calibri" w:hAnsi="Calibri" w:cs="Calibri"/>
          <w:color w:val="000000" w:themeColor="text1"/>
          <w:sz w:val="22"/>
          <w:szCs w:val="22"/>
          <w:lang w:bidi="en-US"/>
        </w:rPr>
        <w:t>interviews</w:t>
      </w:r>
      <w:r w:rsidRPr="0032494C" w:rsidR="00DB493B">
        <w:rPr>
          <w:rFonts w:ascii="Calibri" w:hAnsi="Calibri" w:cs="Calibri"/>
          <w:color w:val="000000" w:themeColor="text1"/>
          <w:sz w:val="22"/>
          <w:szCs w:val="22"/>
          <w:lang w:bidi="en-US"/>
        </w:rPr>
        <w:t xml:space="preserve"> with staff leads from </w:t>
      </w:r>
      <w:r w:rsidRPr="0032494C">
        <w:rPr>
          <w:rFonts w:ascii="Calibri" w:hAnsi="Calibri" w:cs="Calibri"/>
          <w:color w:val="000000" w:themeColor="text1"/>
          <w:sz w:val="22"/>
          <w:szCs w:val="22"/>
          <w:lang w:bidi="en-US"/>
        </w:rPr>
        <w:t xml:space="preserve"> </w:t>
      </w:r>
      <w:r w:rsidRPr="0032494C" w:rsidR="00DB493B">
        <w:rPr>
          <w:rFonts w:ascii="Calibri" w:hAnsi="Calibri" w:cs="Calibri"/>
          <w:color w:val="000000" w:themeColor="text1"/>
          <w:sz w:val="22"/>
          <w:szCs w:val="22"/>
          <w:lang w:bidi="en-US"/>
        </w:rPr>
        <w:t xml:space="preserve">a subset of </w:t>
      </w:r>
      <w:r w:rsidRPr="0032494C" w:rsidR="003924B7">
        <w:rPr>
          <w:rFonts w:ascii="Calibri" w:hAnsi="Calibri" w:cs="Calibri"/>
          <w:color w:val="000000" w:themeColor="text1"/>
          <w:sz w:val="22"/>
          <w:szCs w:val="22"/>
          <w:lang w:bidi="en-US"/>
        </w:rPr>
        <w:t xml:space="preserve">hub leader, key partner, and collaborating organizations across the state networks. </w:t>
      </w:r>
      <w:r w:rsidR="00444A44">
        <w:rPr>
          <w:rFonts w:ascii="Calibri" w:hAnsi="Calibri" w:cs="Calibri"/>
          <w:color w:val="000000" w:themeColor="text1"/>
          <w:sz w:val="22"/>
          <w:szCs w:val="22"/>
          <w:lang w:bidi="en-US"/>
        </w:rPr>
        <w:t xml:space="preserve">The sample frame for the Year 1 interviews (n=3) will consist of the staff leads at hub leader organizations in the </w:t>
      </w:r>
      <w:r w:rsidRPr="0032494C" w:rsidR="003924B7">
        <w:rPr>
          <w:rFonts w:ascii="Calibri" w:hAnsi="Calibri" w:cs="Calibri"/>
          <w:color w:val="000000" w:themeColor="text1"/>
          <w:sz w:val="22"/>
          <w:szCs w:val="22"/>
          <w:lang w:bidi="en-US"/>
        </w:rPr>
        <w:t xml:space="preserve">existing state networks (see Cohort 1 and Cohort 2 in </w:t>
      </w:r>
      <w:r w:rsidRPr="0032494C" w:rsidR="003924B7">
        <w:rPr>
          <w:rFonts w:ascii="Calibri" w:hAnsi="Calibri" w:cs="Calibri"/>
          <w:color w:val="000000" w:themeColor="text1"/>
          <w:sz w:val="22"/>
          <w:szCs w:val="22"/>
          <w:lang w:bidi="en-US"/>
        </w:rPr>
        <w:fldChar w:fldCharType="begin"/>
      </w:r>
      <w:r w:rsidRPr="0032494C" w:rsidR="003924B7">
        <w:rPr>
          <w:rFonts w:ascii="Calibri" w:hAnsi="Calibri" w:cs="Calibri"/>
          <w:color w:val="000000" w:themeColor="text1"/>
          <w:sz w:val="22"/>
          <w:szCs w:val="22"/>
          <w:lang w:bidi="en-US"/>
        </w:rPr>
        <w:instrText xml:space="preserve"> REF _Ref36104282 \h </w:instrText>
      </w:r>
      <w:r w:rsidRPr="0032494C" w:rsidR="0032494C">
        <w:rPr>
          <w:rFonts w:ascii="Calibri" w:hAnsi="Calibri" w:cs="Calibri"/>
          <w:color w:val="000000" w:themeColor="text1"/>
          <w:sz w:val="22"/>
          <w:szCs w:val="22"/>
          <w:lang w:bidi="en-US"/>
        </w:rPr>
        <w:instrText xml:space="preserve"> \* MERGEFORMAT </w:instrText>
      </w:r>
      <w:r w:rsidRPr="0032494C" w:rsidR="003924B7">
        <w:rPr>
          <w:rFonts w:ascii="Calibri" w:hAnsi="Calibri" w:cs="Calibri"/>
          <w:color w:val="000000" w:themeColor="text1"/>
          <w:sz w:val="22"/>
          <w:szCs w:val="22"/>
          <w:lang w:bidi="en-US"/>
        </w:rPr>
      </w:r>
      <w:r w:rsidRPr="0032494C" w:rsidR="003924B7">
        <w:rPr>
          <w:rFonts w:ascii="Calibri" w:hAnsi="Calibri" w:cs="Calibri"/>
          <w:color w:val="000000" w:themeColor="text1"/>
          <w:sz w:val="22"/>
          <w:szCs w:val="22"/>
          <w:lang w:bidi="en-US"/>
        </w:rPr>
        <w:fldChar w:fldCharType="separate"/>
      </w:r>
      <w:r w:rsidRPr="0032494C" w:rsidR="003924B7">
        <w:rPr>
          <w:rFonts w:ascii="Calibri" w:hAnsi="Calibri" w:cs="Calibri"/>
          <w:sz w:val="22"/>
          <w:szCs w:val="22"/>
        </w:rPr>
        <w:t xml:space="preserve">Table </w:t>
      </w:r>
      <w:r w:rsidRPr="0032494C" w:rsidR="003924B7">
        <w:rPr>
          <w:rFonts w:ascii="Calibri" w:hAnsi="Calibri" w:cs="Calibri"/>
          <w:noProof/>
          <w:sz w:val="22"/>
          <w:szCs w:val="22"/>
        </w:rPr>
        <w:t>5</w:t>
      </w:r>
      <w:r w:rsidRPr="0032494C" w:rsidR="003924B7">
        <w:rPr>
          <w:rFonts w:ascii="Calibri" w:hAnsi="Calibri" w:cs="Calibri"/>
          <w:color w:val="000000" w:themeColor="text1"/>
          <w:sz w:val="22"/>
          <w:szCs w:val="22"/>
          <w:lang w:bidi="en-US"/>
        </w:rPr>
        <w:fldChar w:fldCharType="end"/>
      </w:r>
      <w:r w:rsidRPr="0032494C" w:rsidR="003924B7">
        <w:rPr>
          <w:rFonts w:ascii="Calibri" w:hAnsi="Calibri" w:cs="Calibri"/>
          <w:color w:val="000000" w:themeColor="text1"/>
          <w:sz w:val="22"/>
          <w:szCs w:val="22"/>
          <w:lang w:bidi="en-US"/>
        </w:rPr>
        <w:t xml:space="preserve">). </w:t>
      </w:r>
      <w:r w:rsidRPr="0032494C" w:rsidR="00D52BDE">
        <w:rPr>
          <w:rFonts w:ascii="Calibri" w:hAnsi="Calibri" w:cs="Calibri"/>
          <w:color w:val="000000" w:themeColor="text1"/>
          <w:sz w:val="22"/>
          <w:szCs w:val="22"/>
          <w:lang w:bidi="en-US"/>
        </w:rPr>
        <w:t xml:space="preserve">In Year 2 and Year 3, </w:t>
      </w:r>
      <w:r w:rsidR="006514DC">
        <w:rPr>
          <w:rFonts w:ascii="Calibri" w:hAnsi="Calibri" w:cs="Calibri"/>
          <w:color w:val="000000" w:themeColor="text1"/>
          <w:sz w:val="22"/>
          <w:szCs w:val="22"/>
          <w:lang w:bidi="en-US"/>
        </w:rPr>
        <w:t xml:space="preserve">the sampling frame for the interviews </w:t>
      </w:r>
      <w:r w:rsidRPr="0032494C" w:rsidR="00D52BDE">
        <w:rPr>
          <w:rFonts w:ascii="Calibri" w:hAnsi="Calibri" w:cs="Calibri"/>
          <w:color w:val="000000" w:themeColor="text1"/>
          <w:sz w:val="22"/>
          <w:szCs w:val="22"/>
          <w:lang w:bidi="en-US"/>
        </w:rPr>
        <w:t xml:space="preserve">will </w:t>
      </w:r>
      <w:r w:rsidR="006514DC">
        <w:rPr>
          <w:rFonts w:ascii="Calibri" w:hAnsi="Calibri" w:cs="Calibri"/>
          <w:color w:val="000000" w:themeColor="text1"/>
          <w:sz w:val="22"/>
          <w:szCs w:val="22"/>
          <w:lang w:bidi="en-US"/>
        </w:rPr>
        <w:t xml:space="preserve">consist </w:t>
      </w:r>
      <w:r w:rsidR="00444A44">
        <w:rPr>
          <w:rFonts w:ascii="Calibri" w:hAnsi="Calibri" w:cs="Calibri"/>
          <w:color w:val="000000" w:themeColor="text1"/>
          <w:sz w:val="22"/>
          <w:szCs w:val="22"/>
          <w:lang w:bidi="en-US"/>
        </w:rPr>
        <w:t xml:space="preserve">of the staff leads from hub leader organizations (n=8 per year; 16 total), key partner organizations (n=6 per year; 12 total), and collaborating organizations (n=6 per year; 12 total) across all </w:t>
      </w:r>
      <w:r w:rsidRPr="0032494C" w:rsidR="00D52BDE">
        <w:rPr>
          <w:rFonts w:ascii="Calibri" w:hAnsi="Calibri" w:cs="Calibri"/>
          <w:color w:val="000000" w:themeColor="text1"/>
          <w:sz w:val="22"/>
          <w:szCs w:val="22"/>
          <w:lang w:bidi="en-US"/>
        </w:rPr>
        <w:t xml:space="preserve">state networks </w:t>
      </w:r>
      <w:r w:rsidR="00444A44">
        <w:rPr>
          <w:rFonts w:ascii="Calibri" w:hAnsi="Calibri" w:cs="Calibri"/>
          <w:color w:val="000000" w:themeColor="text1"/>
          <w:sz w:val="22"/>
          <w:szCs w:val="22"/>
          <w:lang w:bidi="en-US"/>
        </w:rPr>
        <w:t xml:space="preserve">and </w:t>
      </w:r>
      <w:r w:rsidRPr="0032494C" w:rsidR="00D52BDE">
        <w:rPr>
          <w:rFonts w:ascii="Calibri" w:hAnsi="Calibri" w:cs="Calibri"/>
          <w:color w:val="000000" w:themeColor="text1"/>
          <w:sz w:val="22"/>
          <w:szCs w:val="22"/>
          <w:lang w:bidi="en-US"/>
        </w:rPr>
        <w:t xml:space="preserve">cohorts. In Year </w:t>
      </w:r>
      <w:r w:rsidR="006514DC">
        <w:rPr>
          <w:rFonts w:ascii="Calibri" w:hAnsi="Calibri" w:cs="Calibri"/>
          <w:color w:val="000000" w:themeColor="text1"/>
          <w:sz w:val="22"/>
          <w:szCs w:val="22"/>
          <w:lang w:bidi="en-US"/>
        </w:rPr>
        <w:t xml:space="preserve">2 </w:t>
      </w:r>
      <w:r w:rsidRPr="0032494C" w:rsidR="00D52BDE">
        <w:rPr>
          <w:rFonts w:ascii="Calibri" w:hAnsi="Calibri" w:cs="Calibri"/>
          <w:color w:val="000000" w:themeColor="text1"/>
          <w:sz w:val="22"/>
          <w:szCs w:val="22"/>
          <w:lang w:bidi="en-US"/>
        </w:rPr>
        <w:t xml:space="preserve">and Year </w:t>
      </w:r>
      <w:r w:rsidR="006514DC">
        <w:rPr>
          <w:rFonts w:ascii="Calibri" w:hAnsi="Calibri" w:cs="Calibri"/>
          <w:color w:val="000000" w:themeColor="text1"/>
          <w:sz w:val="22"/>
          <w:szCs w:val="22"/>
          <w:lang w:bidi="en-US"/>
        </w:rPr>
        <w:t>3</w:t>
      </w:r>
      <w:r w:rsidRPr="0032494C" w:rsidR="00D52BDE">
        <w:rPr>
          <w:rFonts w:ascii="Calibri" w:hAnsi="Calibri" w:cs="Calibri"/>
          <w:color w:val="000000" w:themeColor="text1"/>
          <w:sz w:val="22"/>
          <w:szCs w:val="22"/>
          <w:lang w:bidi="en-US"/>
        </w:rPr>
        <w:t xml:space="preserve">, </w:t>
      </w:r>
      <w:r w:rsidRPr="0032494C">
        <w:rPr>
          <w:rFonts w:ascii="Calibri" w:hAnsi="Calibri" w:cs="Calibri"/>
          <w:color w:val="000000" w:themeColor="text1"/>
          <w:sz w:val="22"/>
          <w:szCs w:val="22"/>
          <w:lang w:bidi="en-US"/>
        </w:rPr>
        <w:t xml:space="preserve">focus groups </w:t>
      </w:r>
      <w:r w:rsidR="00B4602C">
        <w:rPr>
          <w:rFonts w:ascii="Calibri" w:hAnsi="Calibri" w:cs="Calibri"/>
          <w:color w:val="000000" w:themeColor="text1"/>
          <w:sz w:val="22"/>
          <w:szCs w:val="22"/>
          <w:lang w:bidi="en-US"/>
        </w:rPr>
        <w:t xml:space="preserve">will be conducted (n=30 focus groups per year; 60 </w:t>
      </w:r>
      <w:r w:rsidR="001B2F01">
        <w:rPr>
          <w:rFonts w:ascii="Calibri" w:hAnsi="Calibri" w:cs="Calibri"/>
          <w:color w:val="000000" w:themeColor="text1"/>
          <w:sz w:val="22"/>
          <w:szCs w:val="22"/>
          <w:lang w:bidi="en-US"/>
        </w:rPr>
        <w:t xml:space="preserve">focus groups </w:t>
      </w:r>
      <w:r w:rsidR="00B4602C">
        <w:rPr>
          <w:rFonts w:ascii="Calibri" w:hAnsi="Calibri" w:cs="Calibri"/>
          <w:color w:val="000000" w:themeColor="text1"/>
          <w:sz w:val="22"/>
          <w:szCs w:val="22"/>
          <w:lang w:bidi="en-US"/>
        </w:rPr>
        <w:t xml:space="preserve">total) </w:t>
      </w:r>
      <w:r w:rsidRPr="0032494C" w:rsidR="00D52BDE">
        <w:rPr>
          <w:rFonts w:ascii="Calibri" w:hAnsi="Calibri" w:cs="Calibri"/>
          <w:color w:val="000000" w:themeColor="text1"/>
          <w:sz w:val="22"/>
          <w:szCs w:val="22"/>
          <w:lang w:bidi="en-US"/>
        </w:rPr>
        <w:t>with</w:t>
      </w:r>
      <w:r w:rsidRPr="0032494C" w:rsidR="00C30202">
        <w:rPr>
          <w:rFonts w:ascii="Calibri" w:hAnsi="Calibri" w:cs="Calibri"/>
          <w:color w:val="000000" w:themeColor="text1"/>
          <w:sz w:val="22"/>
          <w:szCs w:val="22"/>
          <w:lang w:bidi="en-US"/>
        </w:rPr>
        <w:t xml:space="preserve"> a subset of</w:t>
      </w:r>
      <w:r w:rsidRPr="0032494C" w:rsidR="00D52BDE">
        <w:rPr>
          <w:rFonts w:ascii="Calibri" w:hAnsi="Calibri" w:cs="Calibri"/>
          <w:color w:val="000000" w:themeColor="text1"/>
          <w:sz w:val="22"/>
          <w:szCs w:val="22"/>
          <w:lang w:bidi="en-US"/>
        </w:rPr>
        <w:t xml:space="preserve"> families</w:t>
      </w:r>
      <w:r w:rsidR="00B4602C">
        <w:rPr>
          <w:rFonts w:ascii="Calibri" w:hAnsi="Calibri" w:cs="Calibri"/>
          <w:color w:val="000000" w:themeColor="text1"/>
          <w:sz w:val="22"/>
          <w:szCs w:val="22"/>
          <w:lang w:bidi="en-US"/>
        </w:rPr>
        <w:t xml:space="preserve"> (</w:t>
      </w:r>
      <w:r w:rsidR="001B2F01">
        <w:rPr>
          <w:rFonts w:ascii="Calibri" w:hAnsi="Calibri" w:cs="Calibri"/>
          <w:color w:val="000000" w:themeColor="text1"/>
          <w:sz w:val="22"/>
          <w:szCs w:val="22"/>
          <w:lang w:bidi="en-US"/>
        </w:rPr>
        <w:t>n=</w:t>
      </w:r>
      <w:r w:rsidR="00B4602C">
        <w:rPr>
          <w:rFonts w:ascii="Calibri" w:hAnsi="Calibri" w:cs="Calibri"/>
          <w:color w:val="000000" w:themeColor="text1"/>
          <w:sz w:val="22"/>
          <w:szCs w:val="22"/>
          <w:lang w:bidi="en-US"/>
        </w:rPr>
        <w:t xml:space="preserve">240 families per year; </w:t>
      </w:r>
      <w:r w:rsidR="001B2F01">
        <w:rPr>
          <w:rFonts w:ascii="Calibri" w:hAnsi="Calibri" w:cs="Calibri"/>
          <w:color w:val="000000" w:themeColor="text1"/>
          <w:sz w:val="22"/>
          <w:szCs w:val="22"/>
          <w:lang w:bidi="en-US"/>
        </w:rPr>
        <w:t>n=</w:t>
      </w:r>
      <w:r w:rsidR="00B4602C">
        <w:rPr>
          <w:rFonts w:ascii="Calibri" w:hAnsi="Calibri" w:cs="Calibri"/>
          <w:color w:val="000000" w:themeColor="text1"/>
          <w:sz w:val="22"/>
          <w:szCs w:val="22"/>
          <w:lang w:bidi="en-US"/>
        </w:rPr>
        <w:t xml:space="preserve">480 total). The sample frame will include families </w:t>
      </w:r>
      <w:r w:rsidRPr="0032494C" w:rsidR="00D52BDE">
        <w:rPr>
          <w:rFonts w:ascii="Calibri" w:hAnsi="Calibri" w:cs="Calibri"/>
          <w:color w:val="000000" w:themeColor="text1"/>
          <w:sz w:val="22"/>
          <w:szCs w:val="22"/>
          <w:lang w:bidi="en-US"/>
        </w:rPr>
        <w:t xml:space="preserve">who engage with hub leader, key partner, and collaborating </w:t>
      </w:r>
      <w:r w:rsidRPr="0032494C">
        <w:rPr>
          <w:rFonts w:ascii="Calibri" w:hAnsi="Calibri" w:cs="Calibri"/>
          <w:color w:val="000000" w:themeColor="text1"/>
          <w:sz w:val="22"/>
          <w:szCs w:val="22"/>
          <w:lang w:bidi="en-US"/>
        </w:rPr>
        <w:t>organizations</w:t>
      </w:r>
      <w:r w:rsidR="00B4602C">
        <w:rPr>
          <w:rFonts w:ascii="Calibri" w:hAnsi="Calibri" w:cs="Calibri"/>
          <w:color w:val="000000" w:themeColor="text1"/>
          <w:sz w:val="22"/>
          <w:szCs w:val="22"/>
          <w:lang w:bidi="en-US"/>
        </w:rPr>
        <w:t xml:space="preserve"> across all states and cohorts</w:t>
      </w:r>
      <w:r w:rsidR="00630283">
        <w:rPr>
          <w:rFonts w:ascii="Calibri" w:hAnsi="Calibri" w:cs="Calibri"/>
          <w:color w:val="000000" w:themeColor="text1"/>
          <w:sz w:val="22"/>
          <w:szCs w:val="22"/>
          <w:lang w:bidi="en-US"/>
        </w:rPr>
        <w:t xml:space="preserve">. </w:t>
      </w:r>
      <w:r w:rsidRPr="00B4602C" w:rsidR="00B4602C">
        <w:rPr>
          <w:rFonts w:ascii="Calibri" w:hAnsi="Calibri" w:cs="Calibri"/>
          <w:color w:val="000000" w:themeColor="text1"/>
          <w:sz w:val="22"/>
          <w:szCs w:val="22"/>
          <w:lang w:bidi="en-US"/>
        </w:rPr>
        <w:t xml:space="preserve">Note that </w:t>
      </w:r>
      <w:r w:rsidRPr="001B2F01" w:rsidR="00B4602C">
        <w:rPr>
          <w:rFonts w:ascii="Calibri" w:hAnsi="Calibri" w:cs="Calibri"/>
          <w:sz w:val="22"/>
          <w:szCs w:val="22"/>
        </w:rPr>
        <w:t xml:space="preserve">the EDC evaluation team will conduct four </w:t>
      </w:r>
      <w:r w:rsidR="00B4602C">
        <w:rPr>
          <w:rFonts w:ascii="Calibri" w:hAnsi="Calibri" w:cs="Calibri"/>
          <w:sz w:val="22"/>
          <w:szCs w:val="22"/>
        </w:rPr>
        <w:t xml:space="preserve">of the </w:t>
      </w:r>
      <w:r w:rsidRPr="001B2F01" w:rsidR="00B4602C">
        <w:rPr>
          <w:rFonts w:ascii="Calibri" w:hAnsi="Calibri" w:cs="Calibri"/>
          <w:sz w:val="22"/>
          <w:szCs w:val="22"/>
        </w:rPr>
        <w:t>focus groups (two in Year 2; two in Year 3). During the Year 2 national meeting, EDC will provide a focus group training to hub</w:t>
      </w:r>
      <w:r w:rsidR="00F82AA6">
        <w:rPr>
          <w:rFonts w:ascii="Calibri" w:hAnsi="Calibri" w:cs="Calibri"/>
          <w:sz w:val="22"/>
          <w:szCs w:val="22"/>
        </w:rPr>
        <w:t xml:space="preserve">, </w:t>
      </w:r>
      <w:r w:rsidRPr="001B2F01" w:rsidR="00B4602C">
        <w:rPr>
          <w:rFonts w:ascii="Calibri" w:hAnsi="Calibri" w:cs="Calibri"/>
          <w:sz w:val="22"/>
          <w:szCs w:val="22"/>
        </w:rPr>
        <w:t>partner</w:t>
      </w:r>
      <w:r w:rsidR="00F82AA6">
        <w:rPr>
          <w:rFonts w:ascii="Calibri" w:hAnsi="Calibri" w:cs="Calibri"/>
          <w:sz w:val="22"/>
          <w:szCs w:val="22"/>
        </w:rPr>
        <w:t>, and collaborating</w:t>
      </w:r>
      <w:r w:rsidRPr="001B2F01" w:rsidR="00B4602C">
        <w:rPr>
          <w:rFonts w:ascii="Calibri" w:hAnsi="Calibri" w:cs="Calibri"/>
          <w:sz w:val="22"/>
          <w:szCs w:val="22"/>
        </w:rPr>
        <w:t xml:space="preserve"> organizations, who will conduct their own focus groups</w:t>
      </w:r>
      <w:r w:rsidR="00B4602C">
        <w:rPr>
          <w:rFonts w:ascii="Calibri" w:hAnsi="Calibri" w:cs="Calibri"/>
          <w:sz w:val="22"/>
          <w:szCs w:val="22"/>
        </w:rPr>
        <w:t xml:space="preserve">. </w:t>
      </w:r>
      <w:r w:rsidRPr="001B2F01" w:rsidR="00B4602C">
        <w:rPr>
          <w:rFonts w:ascii="Calibri" w:hAnsi="Calibri" w:cs="Calibri"/>
          <w:sz w:val="22"/>
          <w:szCs w:val="22"/>
        </w:rPr>
        <w:t>Across six states, we anticipate there will be a total of 30 focus groups per year (60 total), with approximately 8 participants per focus group.</w:t>
      </w:r>
      <w:r w:rsidR="00B4602C">
        <w:rPr>
          <w:rFonts w:ascii="Calibri" w:hAnsi="Calibri" w:cs="Calibri"/>
          <w:sz w:val="22"/>
          <w:szCs w:val="22"/>
        </w:rPr>
        <w:t xml:space="preserve"> </w:t>
      </w:r>
      <w:r w:rsidRPr="0032494C">
        <w:rPr>
          <w:rFonts w:ascii="Calibri" w:hAnsi="Calibri" w:cs="Calibri"/>
          <w:color w:val="000000" w:themeColor="text1"/>
          <w:sz w:val="22"/>
          <w:szCs w:val="22"/>
          <w:lang w:bidi="en-US"/>
        </w:rPr>
        <w:t xml:space="preserve">To select </w:t>
      </w:r>
      <w:r w:rsidRPr="0032494C" w:rsidR="00C30202">
        <w:rPr>
          <w:rFonts w:ascii="Calibri" w:hAnsi="Calibri" w:cs="Calibri"/>
          <w:color w:val="000000" w:themeColor="text1"/>
          <w:sz w:val="22"/>
          <w:szCs w:val="22"/>
          <w:lang w:bidi="en-US"/>
        </w:rPr>
        <w:t xml:space="preserve">the </w:t>
      </w:r>
      <w:r w:rsidRPr="0032494C">
        <w:rPr>
          <w:rFonts w:ascii="Calibri" w:hAnsi="Calibri" w:cs="Calibri"/>
          <w:color w:val="000000" w:themeColor="text1"/>
          <w:sz w:val="22"/>
          <w:szCs w:val="22"/>
          <w:lang w:bidi="en-US"/>
        </w:rPr>
        <w:t>subset</w:t>
      </w:r>
      <w:r w:rsidRPr="0032494C" w:rsidR="00C30202">
        <w:rPr>
          <w:rFonts w:ascii="Calibri" w:hAnsi="Calibri" w:cs="Calibri"/>
          <w:color w:val="000000" w:themeColor="text1"/>
          <w:sz w:val="22"/>
          <w:szCs w:val="22"/>
          <w:lang w:bidi="en-US"/>
        </w:rPr>
        <w:t>s for the interviews and focus groups</w:t>
      </w:r>
      <w:r w:rsidRPr="0032494C">
        <w:rPr>
          <w:rFonts w:ascii="Calibri" w:hAnsi="Calibri" w:cs="Calibri"/>
          <w:color w:val="000000" w:themeColor="text1"/>
          <w:sz w:val="22"/>
          <w:szCs w:val="22"/>
          <w:lang w:bidi="en-US"/>
        </w:rPr>
        <w:t>, we will employ purposive sampling, specifically maximum variation sampling.</w:t>
      </w:r>
      <w:r w:rsidRPr="0032494C" w:rsidR="006720A1">
        <w:rPr>
          <w:rStyle w:val="FootnoteReference"/>
          <w:rFonts w:ascii="Calibri" w:hAnsi="Calibri" w:cs="Calibri"/>
          <w:color w:val="000000" w:themeColor="text1"/>
          <w:sz w:val="22"/>
          <w:szCs w:val="22"/>
          <w:lang w:bidi="en-US"/>
        </w:rPr>
        <w:footnoteReference w:id="4"/>
      </w:r>
      <w:r w:rsidRPr="0032494C">
        <w:rPr>
          <w:rFonts w:ascii="Calibri" w:hAnsi="Calibri" w:cs="Calibri"/>
          <w:color w:val="000000" w:themeColor="text1"/>
          <w:sz w:val="22"/>
          <w:szCs w:val="22"/>
          <w:lang w:bidi="en-US"/>
        </w:rPr>
        <w:t xml:space="preserve"> This sampling approach allows us to maximize the diversity of responses and learn about implementation across a heterogenous group of settings. </w:t>
      </w:r>
      <w:r w:rsidRPr="0032494C" w:rsidR="00D806E8">
        <w:rPr>
          <w:rFonts w:ascii="Calibri" w:hAnsi="Calibri" w:cs="Calibri"/>
          <w:color w:val="000000" w:themeColor="text1"/>
          <w:sz w:val="22"/>
          <w:szCs w:val="22"/>
          <w:lang w:bidi="en-US"/>
        </w:rPr>
        <w:t xml:space="preserve">Boston Children’s </w:t>
      </w:r>
      <w:r w:rsidRPr="0032494C" w:rsidR="00B14D3A">
        <w:rPr>
          <w:rFonts w:ascii="Calibri" w:hAnsi="Calibri" w:cs="Calibri"/>
          <w:color w:val="000000" w:themeColor="text1"/>
          <w:sz w:val="22"/>
          <w:szCs w:val="22"/>
          <w:lang w:bidi="en-US"/>
        </w:rPr>
        <w:t>Museum (BCM)</w:t>
      </w:r>
      <w:r w:rsidRPr="0032494C" w:rsidR="00D806E8">
        <w:rPr>
          <w:rFonts w:ascii="Calibri" w:hAnsi="Calibri" w:cs="Calibri"/>
          <w:color w:val="000000" w:themeColor="text1"/>
          <w:sz w:val="22"/>
          <w:szCs w:val="22"/>
          <w:lang w:bidi="en-US"/>
        </w:rPr>
        <w:t xml:space="preserve"> worked with IMLS to </w:t>
      </w:r>
      <w:r w:rsidRPr="0032494C" w:rsidR="00F44038">
        <w:rPr>
          <w:rFonts w:ascii="Calibri" w:hAnsi="Calibri" w:cs="Calibri"/>
          <w:color w:val="000000" w:themeColor="text1"/>
          <w:sz w:val="22"/>
          <w:szCs w:val="22"/>
          <w:lang w:bidi="en-US"/>
        </w:rPr>
        <w:t xml:space="preserve">identify </w:t>
      </w:r>
      <w:r w:rsidRPr="0032494C" w:rsidR="00B14D3A">
        <w:rPr>
          <w:rFonts w:ascii="Calibri" w:hAnsi="Calibri" w:cs="Calibri"/>
          <w:color w:val="000000" w:themeColor="text1"/>
          <w:sz w:val="22"/>
          <w:szCs w:val="22"/>
          <w:lang w:bidi="en-US"/>
        </w:rPr>
        <w:t xml:space="preserve">a new cohort of </w:t>
      </w:r>
      <w:r w:rsidRPr="0032494C" w:rsidR="00FA2349">
        <w:rPr>
          <w:rFonts w:ascii="Calibri" w:hAnsi="Calibri" w:cs="Calibri"/>
          <w:color w:val="000000" w:themeColor="text1"/>
          <w:sz w:val="22"/>
          <w:szCs w:val="22"/>
          <w:lang w:bidi="en-US"/>
        </w:rPr>
        <w:t xml:space="preserve">states </w:t>
      </w:r>
      <w:r w:rsidRPr="0032494C" w:rsidR="00B14D3A">
        <w:rPr>
          <w:rFonts w:ascii="Calibri" w:hAnsi="Calibri" w:cs="Calibri"/>
          <w:color w:val="000000" w:themeColor="text1"/>
          <w:sz w:val="22"/>
          <w:szCs w:val="22"/>
          <w:lang w:bidi="en-US"/>
        </w:rPr>
        <w:t xml:space="preserve">to implement </w:t>
      </w:r>
      <w:r w:rsidRPr="0032494C" w:rsidR="00FA2349">
        <w:rPr>
          <w:rFonts w:ascii="Calibri" w:hAnsi="Calibri" w:cs="Calibri"/>
          <w:color w:val="000000" w:themeColor="text1"/>
          <w:sz w:val="22"/>
          <w:szCs w:val="22"/>
          <w:lang w:bidi="en-US"/>
        </w:rPr>
        <w:t>the network</w:t>
      </w:r>
      <w:r w:rsidRPr="0032494C" w:rsidR="00B14D3A">
        <w:rPr>
          <w:rFonts w:ascii="Calibri" w:hAnsi="Calibri" w:cs="Calibri"/>
          <w:color w:val="000000" w:themeColor="text1"/>
          <w:sz w:val="22"/>
          <w:szCs w:val="22"/>
          <w:lang w:bidi="en-US"/>
        </w:rPr>
        <w:t xml:space="preserve"> model</w:t>
      </w:r>
      <w:r w:rsidRPr="0032494C" w:rsidR="00F44038">
        <w:rPr>
          <w:rFonts w:ascii="Calibri" w:hAnsi="Calibri" w:cs="Calibri"/>
          <w:color w:val="000000" w:themeColor="text1"/>
          <w:sz w:val="22"/>
          <w:szCs w:val="22"/>
          <w:lang w:bidi="en-US"/>
        </w:rPr>
        <w:t>.</w:t>
      </w:r>
      <w:r w:rsidRPr="0032494C" w:rsidR="00FA2349">
        <w:rPr>
          <w:rFonts w:ascii="Calibri" w:hAnsi="Calibri" w:cs="Calibri"/>
          <w:color w:val="000000" w:themeColor="text1"/>
          <w:sz w:val="22"/>
          <w:szCs w:val="22"/>
          <w:lang w:bidi="en-US"/>
        </w:rPr>
        <w:t xml:space="preserve"> </w:t>
      </w:r>
      <w:r w:rsidRPr="0032494C" w:rsidR="00B14D3A">
        <w:rPr>
          <w:rFonts w:ascii="Calibri" w:hAnsi="Calibri" w:cs="Calibri"/>
          <w:color w:val="000000" w:themeColor="text1"/>
          <w:sz w:val="22"/>
          <w:szCs w:val="22"/>
          <w:lang w:bidi="en-US"/>
        </w:rPr>
        <w:t xml:space="preserve">BCM and IMLS </w:t>
      </w:r>
      <w:r w:rsidRPr="0032494C" w:rsidR="00FA2349">
        <w:rPr>
          <w:rFonts w:ascii="Calibri" w:hAnsi="Calibri" w:cs="Calibri"/>
          <w:color w:val="000000" w:themeColor="text1"/>
          <w:sz w:val="22"/>
          <w:szCs w:val="22"/>
          <w:lang w:bidi="en-US"/>
        </w:rPr>
        <w:t xml:space="preserve">sought </w:t>
      </w:r>
      <w:r w:rsidRPr="0032494C" w:rsidR="00B14D3A">
        <w:rPr>
          <w:rFonts w:ascii="Calibri" w:hAnsi="Calibri" w:cs="Calibri"/>
          <w:color w:val="000000" w:themeColor="text1"/>
          <w:sz w:val="22"/>
          <w:szCs w:val="22"/>
          <w:lang w:bidi="en-US"/>
        </w:rPr>
        <w:t xml:space="preserve">states with </w:t>
      </w:r>
      <w:r w:rsidRPr="0032494C" w:rsidR="001818F1">
        <w:rPr>
          <w:rFonts w:ascii="Calibri" w:hAnsi="Calibri" w:cs="Calibri"/>
          <w:color w:val="000000" w:themeColor="text1"/>
          <w:sz w:val="22"/>
          <w:szCs w:val="22"/>
          <w:lang w:bidi="en-US"/>
        </w:rPr>
        <w:t xml:space="preserve">diversity related to geography, community type (urban, rural, tribal) and populations served (dual language households). EDC will select the sub-sample for interviews and focus groups based on these three characteristics, making sure the final sub-sample is representative of this diversity. </w:t>
      </w:r>
      <w:r w:rsidRPr="0032494C" w:rsidR="00790286">
        <w:rPr>
          <w:rFonts w:ascii="Calibri" w:hAnsi="Calibri" w:cs="Calibri"/>
          <w:color w:val="000000" w:themeColor="text1"/>
          <w:sz w:val="22"/>
          <w:szCs w:val="22"/>
          <w:lang w:bidi="en-US"/>
        </w:rPr>
        <w:t xml:space="preserve">We will make every effort to ensure that our interview sample </w:t>
      </w:r>
      <w:r w:rsidRPr="0032494C" w:rsidR="00E8593A">
        <w:rPr>
          <w:rFonts w:ascii="Calibri" w:hAnsi="Calibri" w:cs="Calibri"/>
          <w:color w:val="000000" w:themeColor="text1"/>
          <w:sz w:val="22"/>
          <w:szCs w:val="22"/>
          <w:lang w:bidi="en-US"/>
        </w:rPr>
        <w:t>is representative of these characteristics</w:t>
      </w:r>
      <w:r w:rsidRPr="0032494C" w:rsidR="00B1366D">
        <w:rPr>
          <w:rFonts w:ascii="Calibri" w:hAnsi="Calibri" w:cs="Calibri"/>
          <w:color w:val="000000" w:themeColor="text1"/>
          <w:sz w:val="22"/>
          <w:szCs w:val="22"/>
          <w:lang w:bidi="en-US"/>
        </w:rPr>
        <w:t>; however, t</w:t>
      </w:r>
      <w:r w:rsidRPr="0032494C" w:rsidR="00E8593A">
        <w:rPr>
          <w:rFonts w:ascii="Calibri" w:hAnsi="Calibri" w:cs="Calibri"/>
          <w:color w:val="000000" w:themeColor="text1"/>
          <w:sz w:val="22"/>
          <w:szCs w:val="22"/>
          <w:lang w:bidi="en-US"/>
        </w:rPr>
        <w:t xml:space="preserve">o account for </w:t>
      </w:r>
      <w:r w:rsidRPr="0032494C" w:rsidR="00354DB5">
        <w:rPr>
          <w:rFonts w:ascii="Calibri" w:hAnsi="Calibri" w:cs="Calibri"/>
          <w:color w:val="000000" w:themeColor="text1"/>
          <w:sz w:val="22"/>
          <w:szCs w:val="22"/>
          <w:lang w:bidi="en-US"/>
        </w:rPr>
        <w:t xml:space="preserve">the possibility of </w:t>
      </w:r>
      <w:r w:rsidRPr="0032494C" w:rsidR="00E8593A">
        <w:rPr>
          <w:rFonts w:ascii="Calibri" w:hAnsi="Calibri" w:cs="Calibri"/>
          <w:color w:val="000000" w:themeColor="text1"/>
          <w:sz w:val="22"/>
          <w:szCs w:val="22"/>
          <w:lang w:bidi="en-US"/>
        </w:rPr>
        <w:t xml:space="preserve">selection bias, we will compare </w:t>
      </w:r>
      <w:r w:rsidRPr="0032494C" w:rsidR="00790286">
        <w:rPr>
          <w:rFonts w:ascii="Calibri" w:hAnsi="Calibri" w:cs="Calibri"/>
          <w:color w:val="000000" w:themeColor="text1"/>
          <w:sz w:val="22"/>
          <w:szCs w:val="22"/>
          <w:lang w:bidi="en-US"/>
        </w:rPr>
        <w:t>the characteristics of any organization that opted not to participate in interviews with the characteristics of the organizations that did</w:t>
      </w:r>
      <w:r w:rsidRPr="0032494C" w:rsidR="00B1366D">
        <w:rPr>
          <w:rFonts w:ascii="Calibri" w:hAnsi="Calibri" w:cs="Calibri"/>
          <w:color w:val="000000" w:themeColor="text1"/>
          <w:sz w:val="22"/>
          <w:szCs w:val="22"/>
          <w:lang w:bidi="en-US"/>
        </w:rPr>
        <w:t>. All analysis and reporting will document the extent and nature of the</w:t>
      </w:r>
      <w:r w:rsidRPr="0032494C" w:rsidR="00C71A91">
        <w:rPr>
          <w:rFonts w:ascii="Calibri" w:hAnsi="Calibri" w:cs="Calibri"/>
          <w:color w:val="000000" w:themeColor="text1"/>
          <w:sz w:val="22"/>
          <w:szCs w:val="22"/>
          <w:lang w:bidi="en-US"/>
        </w:rPr>
        <w:t>se</w:t>
      </w:r>
      <w:r w:rsidRPr="0032494C" w:rsidR="00B1366D">
        <w:rPr>
          <w:rFonts w:ascii="Calibri" w:hAnsi="Calibri" w:cs="Calibri"/>
          <w:color w:val="000000" w:themeColor="text1"/>
          <w:sz w:val="22"/>
          <w:szCs w:val="22"/>
          <w:lang w:bidi="en-US"/>
        </w:rPr>
        <w:t xml:space="preserve"> differences.</w:t>
      </w:r>
    </w:p>
    <w:p w:rsidRPr="0032494C" w:rsidR="006C7470" w:rsidP="006C7470" w:rsidRDefault="006C7470" w14:paraId="6C027589"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themeColor="text1"/>
          <w:sz w:val="22"/>
          <w:szCs w:val="22"/>
          <w:lang w:bidi="en-US"/>
        </w:rPr>
      </w:pPr>
      <w:r w:rsidRPr="0032494C">
        <w:rPr>
          <w:rFonts w:ascii="Calibri" w:hAnsi="Calibri" w:cs="Calibri"/>
          <w:color w:val="000000" w:themeColor="text1"/>
          <w:sz w:val="22"/>
          <w:szCs w:val="22"/>
          <w:lang w:bidi="en-US"/>
        </w:rPr>
        <w:t xml:space="preserve"> </w:t>
      </w:r>
    </w:p>
    <w:p w:rsidRPr="0032494C" w:rsidR="006C7470" w:rsidP="006C7470" w:rsidRDefault="006C7470" w14:paraId="3563FFD5" w14:textId="77777777">
      <w:pPr>
        <w:tabs>
          <w:tab w:val="left" w:pos="504"/>
        </w:tabs>
        <w:rPr>
          <w:rFonts w:ascii="Calibri" w:hAnsi="Calibri" w:cs="Calibri"/>
          <w:b/>
          <w:u w:val="single"/>
        </w:rPr>
      </w:pPr>
      <w:bookmarkStart w:name="OLE_LINK1" w:id="5"/>
      <w:r w:rsidRPr="0032494C">
        <w:rPr>
          <w:rFonts w:ascii="Calibri" w:hAnsi="Calibri" w:cs="Calibri"/>
          <w:b/>
          <w:u w:val="single"/>
        </w:rPr>
        <w:t>B.3. Response Rates and Non-Responses</w:t>
      </w:r>
    </w:p>
    <w:p w:rsidRPr="0032494C" w:rsidR="006C7470" w:rsidP="006C7470" w:rsidRDefault="00094ECF" w14:paraId="585A59FB" w14:textId="6FC3FD68">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Calibri" w:hAnsi="Calibri" w:cs="Calibri"/>
          <w:b/>
          <w:color w:val="000000" w:themeColor="text1"/>
          <w:sz w:val="22"/>
          <w:szCs w:val="22"/>
          <w:lang w:bidi="en-US"/>
        </w:rPr>
      </w:pPr>
      <w:r w:rsidRPr="0032494C">
        <w:rPr>
          <w:rFonts w:ascii="Calibri" w:hAnsi="Calibri" w:cs="Calibri"/>
          <w:color w:val="000000" w:themeColor="text1"/>
          <w:sz w:val="22"/>
          <w:szCs w:val="22"/>
          <w:lang w:bidi="en-US"/>
        </w:rPr>
        <w:t>We anticipate high response rate</w:t>
      </w:r>
      <w:r w:rsidR="00864F0C">
        <w:rPr>
          <w:rFonts w:ascii="Calibri" w:hAnsi="Calibri" w:cs="Calibri"/>
          <w:color w:val="000000" w:themeColor="text1"/>
          <w:sz w:val="22"/>
          <w:szCs w:val="22"/>
          <w:lang w:bidi="en-US"/>
        </w:rPr>
        <w:t>s</w:t>
      </w:r>
      <w:r w:rsidRPr="0032494C">
        <w:rPr>
          <w:rFonts w:ascii="Calibri" w:hAnsi="Calibri" w:cs="Calibri"/>
          <w:color w:val="000000" w:themeColor="text1"/>
          <w:sz w:val="22"/>
          <w:szCs w:val="22"/>
          <w:lang w:bidi="en-US"/>
        </w:rPr>
        <w:t xml:space="preserve"> across all data collection activities </w:t>
      </w:r>
      <w:r w:rsidR="001113E6">
        <w:rPr>
          <w:rFonts w:ascii="Calibri" w:hAnsi="Calibri" w:cs="Calibri"/>
          <w:color w:val="000000" w:themeColor="text1"/>
          <w:sz w:val="22"/>
          <w:szCs w:val="22"/>
          <w:lang w:bidi="en-US"/>
        </w:rPr>
        <w:t xml:space="preserve">(between 85% and 100%) </w:t>
      </w:r>
      <w:r w:rsidRPr="0032494C">
        <w:rPr>
          <w:rFonts w:ascii="Calibri" w:hAnsi="Calibri" w:cs="Calibri"/>
          <w:color w:val="000000" w:themeColor="text1"/>
          <w:sz w:val="22"/>
          <w:szCs w:val="22"/>
          <w:lang w:bidi="en-US"/>
        </w:rPr>
        <w:t xml:space="preserve">given </w:t>
      </w:r>
      <w:r w:rsidRPr="0032494C" w:rsidR="00BF052E">
        <w:rPr>
          <w:rFonts w:ascii="Calibri" w:hAnsi="Calibri" w:cs="Calibri"/>
          <w:color w:val="000000" w:themeColor="text1"/>
          <w:sz w:val="22"/>
          <w:szCs w:val="22"/>
          <w:lang w:bidi="en-US"/>
        </w:rPr>
        <w:t>the</w:t>
      </w:r>
      <w:r w:rsidRPr="0032494C" w:rsidR="009D37AC">
        <w:rPr>
          <w:rFonts w:ascii="Calibri" w:hAnsi="Calibri" w:cs="Calibri"/>
          <w:color w:val="000000" w:themeColor="text1"/>
          <w:sz w:val="22"/>
          <w:szCs w:val="22"/>
          <w:lang w:bidi="en-US"/>
        </w:rPr>
        <w:t xml:space="preserve"> </w:t>
      </w:r>
      <w:r w:rsidRPr="0032494C" w:rsidR="00BF052E">
        <w:rPr>
          <w:rFonts w:ascii="Calibri" w:hAnsi="Calibri" w:cs="Calibri"/>
          <w:color w:val="000000" w:themeColor="text1"/>
          <w:sz w:val="22"/>
          <w:szCs w:val="22"/>
          <w:lang w:bidi="en-US"/>
        </w:rPr>
        <w:t>close working relationship between Boston Children’s Museum and the participating organizations</w:t>
      </w:r>
      <w:r w:rsidRPr="0032494C">
        <w:rPr>
          <w:rFonts w:ascii="Calibri" w:hAnsi="Calibri" w:cs="Calibri"/>
          <w:color w:val="000000" w:themeColor="text1"/>
          <w:sz w:val="22"/>
          <w:szCs w:val="22"/>
          <w:lang w:bidi="en-US"/>
        </w:rPr>
        <w:t xml:space="preserve"> and the small number of respondents.</w:t>
      </w:r>
      <w:r w:rsidRPr="0032494C" w:rsidR="006C7470">
        <w:rPr>
          <w:rFonts w:ascii="Calibri" w:hAnsi="Calibri" w:cs="Calibri"/>
          <w:color w:val="000000" w:themeColor="text1"/>
          <w:sz w:val="22"/>
          <w:szCs w:val="22"/>
          <w:lang w:bidi="en-US"/>
        </w:rPr>
        <w:t xml:space="preserve"> </w:t>
      </w:r>
      <w:r w:rsidR="00517D8C">
        <w:rPr>
          <w:rFonts w:ascii="Calibri" w:hAnsi="Calibri" w:cs="Calibri"/>
          <w:color w:val="000000" w:themeColor="text1"/>
          <w:sz w:val="22"/>
          <w:szCs w:val="22"/>
          <w:lang w:bidi="en-US"/>
        </w:rPr>
        <w:t xml:space="preserve">To reach these response rates, we will </w:t>
      </w:r>
      <w:r w:rsidR="00A80D8B">
        <w:rPr>
          <w:rFonts w:ascii="Calibri" w:hAnsi="Calibri" w:cs="Calibri"/>
          <w:color w:val="000000" w:themeColor="text1"/>
          <w:sz w:val="22"/>
          <w:szCs w:val="22"/>
          <w:lang w:bidi="en-US"/>
        </w:rPr>
        <w:t xml:space="preserve">follow recommendations </w:t>
      </w:r>
      <w:r w:rsidR="00517D8C">
        <w:rPr>
          <w:rFonts w:ascii="Calibri" w:hAnsi="Calibri" w:cs="Calibri"/>
          <w:color w:val="000000" w:themeColor="text1"/>
          <w:sz w:val="22"/>
          <w:szCs w:val="22"/>
          <w:lang w:bidi="en-US"/>
        </w:rPr>
        <w:t xml:space="preserve">from </w:t>
      </w:r>
      <w:r w:rsidR="002F2A14">
        <w:rPr>
          <w:rFonts w:ascii="Calibri" w:hAnsi="Calibri" w:cs="Calibri"/>
          <w:color w:val="000000" w:themeColor="text1"/>
          <w:sz w:val="22"/>
          <w:szCs w:val="22"/>
          <w:lang w:bidi="en-US"/>
        </w:rPr>
        <w:t xml:space="preserve">the </w:t>
      </w:r>
      <w:r w:rsidR="00517D8C">
        <w:rPr>
          <w:rFonts w:ascii="Calibri" w:hAnsi="Calibri" w:cs="Calibri"/>
          <w:color w:val="000000" w:themeColor="text1"/>
          <w:sz w:val="22"/>
          <w:szCs w:val="22"/>
          <w:lang w:bidi="en-US"/>
        </w:rPr>
        <w:t>literature</w:t>
      </w:r>
      <w:r w:rsidR="001113E6">
        <w:rPr>
          <w:rFonts w:ascii="Calibri" w:hAnsi="Calibri" w:cs="Calibri"/>
          <w:color w:val="000000" w:themeColor="text1"/>
          <w:sz w:val="22"/>
          <w:szCs w:val="22"/>
          <w:lang w:bidi="en-US"/>
        </w:rPr>
        <w:t>.</w:t>
      </w:r>
      <w:r w:rsidR="001113E6">
        <w:rPr>
          <w:rStyle w:val="FootnoteReference"/>
          <w:rFonts w:ascii="Calibri" w:hAnsi="Calibri" w:cs="Calibri"/>
          <w:color w:val="000000" w:themeColor="text1"/>
          <w:sz w:val="22"/>
          <w:szCs w:val="22"/>
          <w:lang w:bidi="en-US"/>
        </w:rPr>
        <w:footnoteReference w:id="5"/>
      </w:r>
      <w:r w:rsidRPr="0032494C" w:rsidR="00F41650">
        <w:rPr>
          <w:rFonts w:ascii="Calibri" w:hAnsi="Calibri" w:cs="Calibri"/>
          <w:sz w:val="22"/>
          <w:szCs w:val="22"/>
          <w:vertAlign w:val="superscript"/>
        </w:rPr>
        <w:t>,</w:t>
      </w:r>
      <w:r w:rsidR="00566AF5">
        <w:rPr>
          <w:rStyle w:val="FootnoteReference"/>
          <w:rFonts w:ascii="Calibri" w:hAnsi="Calibri" w:cs="Calibri"/>
          <w:color w:val="000000" w:themeColor="text1"/>
          <w:sz w:val="22"/>
          <w:szCs w:val="22"/>
          <w:lang w:bidi="en-US"/>
        </w:rPr>
        <w:footnoteReference w:id="6"/>
      </w:r>
      <w:r w:rsidR="002F2A14">
        <w:rPr>
          <w:rFonts w:ascii="Calibri" w:hAnsi="Calibri" w:cs="Calibri"/>
          <w:color w:val="000000" w:themeColor="text1"/>
          <w:sz w:val="22"/>
          <w:szCs w:val="22"/>
          <w:lang w:bidi="en-US"/>
        </w:rPr>
        <w:t xml:space="preserve"> </w:t>
      </w:r>
      <w:r w:rsidR="001113E6">
        <w:rPr>
          <w:rFonts w:ascii="Calibri" w:hAnsi="Calibri" w:cs="Calibri"/>
          <w:color w:val="000000" w:themeColor="text1"/>
          <w:sz w:val="22"/>
          <w:szCs w:val="22"/>
          <w:lang w:bidi="en-US"/>
        </w:rPr>
        <w:t>For example, t</w:t>
      </w:r>
      <w:r w:rsidRPr="0032494C" w:rsidR="006C7470">
        <w:rPr>
          <w:rFonts w:ascii="Calibri" w:hAnsi="Calibri" w:cs="Calibri"/>
          <w:color w:val="000000" w:themeColor="text1"/>
          <w:sz w:val="22"/>
          <w:szCs w:val="22"/>
          <w:lang w:bidi="en-US"/>
        </w:rPr>
        <w:t>o foster increased participation, Boston Children’s Museum and EDC will provide participating organizations with a detailed overview of evaluation activities at the yearly meetings, establish strong channels of communication, and provide adequate notification and time to complete each data collection activity.</w:t>
      </w:r>
      <w:r w:rsidRPr="0032494C" w:rsidR="002932CA">
        <w:rPr>
          <w:rFonts w:ascii="Calibri" w:hAnsi="Calibri" w:cs="Calibri"/>
          <w:color w:val="000000" w:themeColor="text1"/>
          <w:sz w:val="22"/>
          <w:szCs w:val="22"/>
          <w:lang w:bidi="en-US"/>
        </w:rPr>
        <w:t xml:space="preserve"> </w:t>
      </w:r>
      <w:r w:rsidRPr="0032494C" w:rsidR="00094623">
        <w:rPr>
          <w:rFonts w:ascii="Calibri" w:hAnsi="Calibri" w:cs="Calibri"/>
          <w:color w:val="000000" w:themeColor="text1"/>
          <w:sz w:val="22"/>
          <w:szCs w:val="22"/>
          <w:lang w:bidi="en-US"/>
        </w:rPr>
        <w:t>We recognize that m</w:t>
      </w:r>
      <w:r w:rsidRPr="0032494C" w:rsidR="002932CA">
        <w:rPr>
          <w:rFonts w:ascii="Calibri" w:hAnsi="Calibri" w:cs="Calibri"/>
          <w:color w:val="000000" w:themeColor="text1"/>
          <w:sz w:val="22"/>
          <w:szCs w:val="22"/>
          <w:lang w:bidi="en-US"/>
        </w:rPr>
        <w:t>issing data can undermin</w:t>
      </w:r>
      <w:r w:rsidRPr="0032494C" w:rsidR="00094623">
        <w:rPr>
          <w:rFonts w:ascii="Calibri" w:hAnsi="Calibri" w:cs="Calibri"/>
          <w:color w:val="000000" w:themeColor="text1"/>
          <w:sz w:val="22"/>
          <w:szCs w:val="22"/>
          <w:lang w:bidi="en-US"/>
        </w:rPr>
        <w:t>e</w:t>
      </w:r>
      <w:r w:rsidRPr="0032494C" w:rsidR="002932CA">
        <w:rPr>
          <w:rFonts w:ascii="Calibri" w:hAnsi="Calibri" w:cs="Calibri"/>
          <w:color w:val="000000" w:themeColor="text1"/>
          <w:sz w:val="22"/>
          <w:szCs w:val="22"/>
          <w:lang w:bidi="en-US"/>
        </w:rPr>
        <w:t xml:space="preserve"> the findings of an evaluation</w:t>
      </w:r>
      <w:r w:rsidRPr="0032494C" w:rsidR="00094623">
        <w:rPr>
          <w:rFonts w:ascii="Calibri" w:hAnsi="Calibri" w:cs="Calibri"/>
          <w:color w:val="000000" w:themeColor="text1"/>
          <w:sz w:val="22"/>
          <w:szCs w:val="22"/>
          <w:lang w:bidi="en-US"/>
        </w:rPr>
        <w:t>.</w:t>
      </w:r>
      <w:r w:rsidRPr="0032494C" w:rsidR="006C7470">
        <w:rPr>
          <w:rFonts w:ascii="Calibri" w:hAnsi="Calibri" w:cs="Calibri"/>
          <w:color w:val="000000" w:themeColor="text1"/>
          <w:sz w:val="22"/>
          <w:szCs w:val="22"/>
          <w:lang w:bidi="en-US"/>
        </w:rPr>
        <w:t xml:space="preserve"> </w:t>
      </w:r>
      <w:r w:rsidRPr="0032494C" w:rsidR="002932CA">
        <w:rPr>
          <w:rFonts w:ascii="Calibri" w:hAnsi="Calibri" w:cs="Calibri"/>
          <w:color w:val="000000" w:themeColor="text1"/>
          <w:sz w:val="22"/>
          <w:szCs w:val="22"/>
          <w:lang w:bidi="en-US"/>
        </w:rPr>
        <w:t xml:space="preserve">If the response rates </w:t>
      </w:r>
      <w:r w:rsidRPr="0032494C" w:rsidR="00094623">
        <w:rPr>
          <w:rFonts w:ascii="Calibri" w:hAnsi="Calibri" w:cs="Calibri"/>
          <w:color w:val="000000" w:themeColor="text1"/>
          <w:sz w:val="22"/>
          <w:szCs w:val="22"/>
          <w:lang w:bidi="en-US"/>
        </w:rPr>
        <w:t xml:space="preserve">to the survey </w:t>
      </w:r>
      <w:r w:rsidRPr="0032494C" w:rsidR="002932CA">
        <w:rPr>
          <w:rFonts w:ascii="Calibri" w:hAnsi="Calibri" w:cs="Calibri"/>
          <w:color w:val="000000" w:themeColor="text1"/>
          <w:sz w:val="22"/>
          <w:szCs w:val="22"/>
          <w:lang w:bidi="en-US"/>
        </w:rPr>
        <w:t>fall below 80%</w:t>
      </w:r>
      <w:r w:rsidRPr="0032494C" w:rsidR="00AB0E37">
        <w:rPr>
          <w:rFonts w:ascii="Calibri" w:hAnsi="Calibri" w:cs="Calibri"/>
          <w:color w:val="000000" w:themeColor="text1"/>
          <w:sz w:val="22"/>
          <w:szCs w:val="22"/>
          <w:lang w:bidi="en-US"/>
        </w:rPr>
        <w:t xml:space="preserve"> (response rate threshold recommended by OMB)</w:t>
      </w:r>
      <w:r w:rsidRPr="0032494C" w:rsidR="002932CA">
        <w:rPr>
          <w:rFonts w:ascii="Calibri" w:hAnsi="Calibri" w:cs="Calibri"/>
          <w:color w:val="000000" w:themeColor="text1"/>
          <w:sz w:val="22"/>
          <w:szCs w:val="22"/>
          <w:lang w:bidi="en-US"/>
        </w:rPr>
        <w:t>, we will conduct missing data analysis</w:t>
      </w:r>
      <w:r w:rsidRPr="0032494C" w:rsidR="00094623">
        <w:rPr>
          <w:rFonts w:ascii="Calibri" w:hAnsi="Calibri" w:cs="Calibri"/>
          <w:color w:val="000000" w:themeColor="text1"/>
          <w:sz w:val="22"/>
          <w:szCs w:val="22"/>
          <w:lang w:bidi="en-US"/>
        </w:rPr>
        <w:t xml:space="preserve"> to examine if the data are missing at random or if there are </w:t>
      </w:r>
      <w:r w:rsidRPr="0032494C" w:rsidR="00094623">
        <w:rPr>
          <w:rFonts w:ascii="Calibri" w:hAnsi="Calibri" w:cs="Calibri"/>
          <w:color w:val="000000" w:themeColor="text1"/>
          <w:sz w:val="22"/>
          <w:szCs w:val="22"/>
          <w:lang w:bidi="en-US"/>
        </w:rPr>
        <w:lastRenderedPageBreak/>
        <w:t xml:space="preserve">differences in the characteristics </w:t>
      </w:r>
      <w:r w:rsidRPr="0032494C" w:rsidR="00E10549">
        <w:rPr>
          <w:rFonts w:ascii="Calibri" w:hAnsi="Calibri" w:cs="Calibri"/>
          <w:color w:val="000000" w:themeColor="text1"/>
          <w:sz w:val="22"/>
          <w:szCs w:val="22"/>
          <w:lang w:bidi="en-US"/>
        </w:rPr>
        <w:t xml:space="preserve">between </w:t>
      </w:r>
      <w:r w:rsidRPr="0032494C" w:rsidR="00094623">
        <w:rPr>
          <w:rFonts w:ascii="Calibri" w:hAnsi="Calibri" w:cs="Calibri"/>
          <w:color w:val="000000" w:themeColor="text1"/>
          <w:sz w:val="22"/>
          <w:szCs w:val="22"/>
          <w:lang w:bidi="en-US"/>
        </w:rPr>
        <w:t xml:space="preserve">organizations </w:t>
      </w:r>
      <w:r w:rsidRPr="0032494C" w:rsidR="00E10549">
        <w:rPr>
          <w:rFonts w:ascii="Calibri" w:hAnsi="Calibri" w:cs="Calibri"/>
          <w:color w:val="000000" w:themeColor="text1"/>
          <w:sz w:val="22"/>
          <w:szCs w:val="22"/>
          <w:lang w:bidi="en-US"/>
        </w:rPr>
        <w:t xml:space="preserve">that </w:t>
      </w:r>
      <w:r w:rsidRPr="0032494C" w:rsidR="00094623">
        <w:rPr>
          <w:rFonts w:ascii="Calibri" w:hAnsi="Calibri" w:cs="Calibri"/>
          <w:color w:val="000000" w:themeColor="text1"/>
          <w:sz w:val="22"/>
          <w:szCs w:val="22"/>
          <w:lang w:bidi="en-US"/>
        </w:rPr>
        <w:t xml:space="preserve">responded and </w:t>
      </w:r>
      <w:r w:rsidRPr="0032494C" w:rsidR="00E10549">
        <w:rPr>
          <w:rFonts w:ascii="Calibri" w:hAnsi="Calibri" w:cs="Calibri"/>
          <w:color w:val="000000" w:themeColor="text1"/>
          <w:sz w:val="22"/>
          <w:szCs w:val="22"/>
          <w:lang w:bidi="en-US"/>
        </w:rPr>
        <w:t xml:space="preserve">those that </w:t>
      </w:r>
      <w:r w:rsidRPr="0032494C" w:rsidR="00094623">
        <w:rPr>
          <w:rFonts w:ascii="Calibri" w:hAnsi="Calibri" w:cs="Calibri"/>
          <w:color w:val="000000" w:themeColor="text1"/>
          <w:sz w:val="22"/>
          <w:szCs w:val="22"/>
          <w:lang w:bidi="en-US"/>
        </w:rPr>
        <w:t>did not respond</w:t>
      </w:r>
      <w:r w:rsidRPr="0032494C" w:rsidR="00AB0E37">
        <w:rPr>
          <w:rFonts w:ascii="Calibri" w:hAnsi="Calibri" w:cs="Calibri"/>
          <w:color w:val="000000" w:themeColor="text1"/>
          <w:sz w:val="22"/>
          <w:szCs w:val="22"/>
          <w:lang w:bidi="en-US"/>
        </w:rPr>
        <w:t xml:space="preserve">. </w:t>
      </w:r>
      <w:r w:rsidRPr="0032494C" w:rsidR="00E10549">
        <w:rPr>
          <w:rFonts w:ascii="Calibri" w:hAnsi="Calibri" w:cs="Calibri"/>
          <w:color w:val="000000" w:themeColor="text1"/>
          <w:sz w:val="22"/>
          <w:szCs w:val="22"/>
          <w:lang w:bidi="en-US"/>
        </w:rPr>
        <w:t>If we find that there are differences and that the data are not missing at random, we will select the appropriate procedures for handling missing (e.g., weighting).</w:t>
      </w:r>
    </w:p>
    <w:p w:rsidRPr="0032494C" w:rsidR="006C7470" w:rsidP="006C7470" w:rsidRDefault="006C7470" w14:paraId="1D3AD697" w14:textId="77777777">
      <w:pPr>
        <w:tabs>
          <w:tab w:val="left" w:pos="504"/>
        </w:tabs>
        <w:jc w:val="both"/>
        <w:rPr>
          <w:rFonts w:ascii="Calibri" w:hAnsi="Calibri" w:cs="Calibri"/>
        </w:rPr>
      </w:pPr>
    </w:p>
    <w:p w:rsidRPr="0032494C" w:rsidR="006C7470" w:rsidP="006C7470" w:rsidRDefault="006C7470" w14:paraId="7547219D" w14:textId="77777777">
      <w:pPr>
        <w:keepNext/>
        <w:keepLines/>
        <w:tabs>
          <w:tab w:val="left" w:pos="504"/>
        </w:tabs>
        <w:rPr>
          <w:rFonts w:ascii="Calibri" w:hAnsi="Calibri" w:cs="Calibri"/>
          <w:b/>
          <w:u w:val="single"/>
        </w:rPr>
      </w:pPr>
      <w:r w:rsidRPr="0032494C">
        <w:rPr>
          <w:rFonts w:ascii="Calibri" w:hAnsi="Calibri" w:cs="Calibri"/>
          <w:b/>
          <w:u w:val="single"/>
        </w:rPr>
        <w:t>B.4. Tests of Procedures and Methods</w:t>
      </w:r>
    </w:p>
    <w:p w:rsidRPr="0032494C" w:rsidR="006C7470" w:rsidP="006C7470" w:rsidRDefault="006C7470" w14:paraId="44E17E2B" w14:textId="333001A8">
      <w:pPr>
        <w:keepNext/>
        <w:keepLines/>
        <w:tabs>
          <w:tab w:val="left" w:pos="504"/>
        </w:tabs>
        <w:rPr>
          <w:rFonts w:ascii="Calibri" w:hAnsi="Calibri" w:cs="Calibri"/>
          <w:sz w:val="22"/>
          <w:szCs w:val="22"/>
        </w:rPr>
      </w:pPr>
      <w:r w:rsidRPr="0032494C">
        <w:rPr>
          <w:rFonts w:ascii="Calibri" w:hAnsi="Calibri" w:cs="Calibri"/>
          <w:sz w:val="22"/>
          <w:szCs w:val="22"/>
        </w:rPr>
        <w:t xml:space="preserve">In developing </w:t>
      </w:r>
      <w:r w:rsidRPr="0032494C" w:rsidR="00781F71">
        <w:rPr>
          <w:rFonts w:ascii="Calibri" w:hAnsi="Calibri" w:cs="Calibri"/>
          <w:sz w:val="22"/>
          <w:szCs w:val="22"/>
        </w:rPr>
        <w:t xml:space="preserve">semi-structured </w:t>
      </w:r>
      <w:r w:rsidRPr="0032494C">
        <w:rPr>
          <w:rFonts w:ascii="Calibri" w:hAnsi="Calibri" w:cs="Calibri"/>
          <w:sz w:val="22"/>
          <w:szCs w:val="22"/>
        </w:rPr>
        <w:t>instruments for the</w:t>
      </w:r>
      <w:r w:rsidRPr="0032494C" w:rsidR="005928CC">
        <w:rPr>
          <w:rFonts w:ascii="Calibri" w:hAnsi="Calibri" w:cs="Calibri"/>
          <w:sz w:val="22"/>
          <w:szCs w:val="22"/>
        </w:rPr>
        <w:t xml:space="preserve"> </w:t>
      </w:r>
      <w:r w:rsidRPr="0032494C">
        <w:rPr>
          <w:rFonts w:ascii="Calibri" w:hAnsi="Calibri" w:cs="Calibri"/>
          <w:sz w:val="22"/>
          <w:szCs w:val="22"/>
        </w:rPr>
        <w:t>interviews, focus group</w:t>
      </w:r>
      <w:r w:rsidRPr="0032494C" w:rsidR="005928CC">
        <w:rPr>
          <w:rFonts w:ascii="Calibri" w:hAnsi="Calibri" w:cs="Calibri"/>
          <w:sz w:val="22"/>
          <w:szCs w:val="22"/>
        </w:rPr>
        <w:t>s</w:t>
      </w:r>
      <w:r w:rsidRPr="0032494C">
        <w:rPr>
          <w:rFonts w:ascii="Calibri" w:hAnsi="Calibri" w:cs="Calibri"/>
          <w:sz w:val="22"/>
          <w:szCs w:val="22"/>
        </w:rPr>
        <w:t xml:space="preserve">, and Year 1 survey, we drew on and adapted items from existing instruments from current and previous work, creating new items as necessary. </w:t>
      </w:r>
      <w:r w:rsidRPr="0032494C" w:rsidR="002F7F65">
        <w:rPr>
          <w:rFonts w:ascii="Calibri" w:hAnsi="Calibri" w:cs="Calibri"/>
          <w:sz w:val="22"/>
          <w:szCs w:val="22"/>
        </w:rPr>
        <w:t>In developing the survey, we included the required performance measure items from IMLS</w:t>
      </w:r>
      <w:r w:rsidRPr="0032494C" w:rsidR="00A851F5">
        <w:rPr>
          <w:rFonts w:ascii="Calibri" w:hAnsi="Calibri" w:cs="Calibri"/>
          <w:sz w:val="22"/>
          <w:szCs w:val="22"/>
        </w:rPr>
        <w:t>.</w:t>
      </w:r>
      <w:r w:rsidRPr="0032494C" w:rsidR="002F7F65">
        <w:rPr>
          <w:rStyle w:val="FootnoteReference"/>
          <w:rFonts w:ascii="Calibri" w:hAnsi="Calibri" w:cs="Calibri"/>
          <w:sz w:val="22"/>
          <w:szCs w:val="22"/>
        </w:rPr>
        <w:footnoteReference w:id="7"/>
      </w:r>
      <w:r w:rsidRPr="0032494C" w:rsidR="002F7F65">
        <w:rPr>
          <w:rFonts w:ascii="Calibri" w:hAnsi="Calibri" w:cs="Calibri"/>
          <w:sz w:val="22"/>
          <w:szCs w:val="22"/>
        </w:rPr>
        <w:t xml:space="preserve"> </w:t>
      </w:r>
      <w:r w:rsidRPr="0032494C" w:rsidR="003C4D80">
        <w:rPr>
          <w:rFonts w:ascii="Calibri" w:hAnsi="Calibri" w:cs="Calibri"/>
          <w:sz w:val="22"/>
          <w:szCs w:val="22"/>
        </w:rPr>
        <w:t xml:space="preserve">Furthermore, </w:t>
      </w:r>
      <w:r w:rsidRPr="0032494C" w:rsidR="00A851F5">
        <w:rPr>
          <w:rFonts w:ascii="Calibri" w:hAnsi="Calibri" w:cs="Calibri"/>
          <w:sz w:val="22"/>
          <w:szCs w:val="22"/>
        </w:rPr>
        <w:t xml:space="preserve">we </w:t>
      </w:r>
      <w:r w:rsidRPr="0032494C" w:rsidR="00EF3092">
        <w:rPr>
          <w:rFonts w:ascii="Calibri" w:hAnsi="Calibri" w:cs="Calibri"/>
          <w:sz w:val="22"/>
          <w:szCs w:val="22"/>
        </w:rPr>
        <w:t xml:space="preserve">drew from </w:t>
      </w:r>
      <w:r w:rsidRPr="0032494C" w:rsidR="00A851F5">
        <w:rPr>
          <w:rFonts w:ascii="Calibri" w:hAnsi="Calibri" w:cs="Calibri"/>
          <w:sz w:val="22"/>
          <w:szCs w:val="22"/>
        </w:rPr>
        <w:t xml:space="preserve">literature related to </w:t>
      </w:r>
      <w:r w:rsidRPr="0032494C" w:rsidR="002F7F65">
        <w:rPr>
          <w:rFonts w:ascii="Calibri" w:hAnsi="Calibri" w:cs="Calibri"/>
          <w:sz w:val="22"/>
          <w:szCs w:val="22"/>
        </w:rPr>
        <w:t>emergence</w:t>
      </w:r>
      <w:r w:rsidRPr="0032494C" w:rsidR="00A851F5">
        <w:rPr>
          <w:rFonts w:ascii="Calibri" w:hAnsi="Calibri" w:cs="Calibri"/>
          <w:sz w:val="22"/>
          <w:szCs w:val="22"/>
        </w:rPr>
        <w:t>,</w:t>
      </w:r>
      <w:r w:rsidRPr="0032494C" w:rsidR="002F7F65">
        <w:rPr>
          <w:rStyle w:val="FootnoteReference"/>
          <w:rFonts w:ascii="Calibri" w:hAnsi="Calibri" w:cs="Calibri"/>
          <w:sz w:val="22"/>
          <w:szCs w:val="22"/>
        </w:rPr>
        <w:footnoteReference w:id="8"/>
      </w:r>
      <w:r w:rsidRPr="0032494C" w:rsidR="002F7F65">
        <w:rPr>
          <w:rFonts w:ascii="Calibri" w:hAnsi="Calibri" w:cs="Calibri"/>
          <w:sz w:val="22"/>
          <w:szCs w:val="22"/>
        </w:rPr>
        <w:t xml:space="preserve"> social innovation</w:t>
      </w:r>
      <w:r w:rsidRPr="0032494C" w:rsidR="00A851F5">
        <w:rPr>
          <w:rFonts w:ascii="Calibri" w:hAnsi="Calibri" w:cs="Calibri"/>
          <w:sz w:val="22"/>
          <w:szCs w:val="22"/>
        </w:rPr>
        <w:t>,</w:t>
      </w:r>
      <w:r w:rsidRPr="0032494C" w:rsidR="002F7F65">
        <w:rPr>
          <w:rStyle w:val="FootnoteReference"/>
          <w:rFonts w:ascii="Calibri" w:hAnsi="Calibri" w:cs="Calibri"/>
          <w:sz w:val="22"/>
          <w:szCs w:val="22"/>
        </w:rPr>
        <w:footnoteReference w:id="9"/>
      </w:r>
      <w:r w:rsidRPr="0032494C" w:rsidR="002F7F65">
        <w:rPr>
          <w:rFonts w:ascii="Calibri" w:hAnsi="Calibri" w:cs="Calibri"/>
          <w:sz w:val="22"/>
          <w:szCs w:val="22"/>
          <w:vertAlign w:val="superscript"/>
        </w:rPr>
        <w:t>,</w:t>
      </w:r>
      <w:r w:rsidRPr="0032494C" w:rsidR="002F7F65">
        <w:rPr>
          <w:rStyle w:val="FootnoteReference"/>
          <w:rFonts w:ascii="Calibri" w:hAnsi="Calibri" w:cs="Calibri"/>
          <w:sz w:val="22"/>
          <w:szCs w:val="22"/>
        </w:rPr>
        <w:footnoteReference w:id="10"/>
      </w:r>
      <w:r w:rsidRPr="0032494C" w:rsidR="00A851F5">
        <w:rPr>
          <w:rFonts w:ascii="Calibri" w:hAnsi="Calibri" w:cs="Calibri"/>
          <w:sz w:val="22"/>
          <w:szCs w:val="22"/>
        </w:rPr>
        <w:t xml:space="preserve"> social network analysis</w:t>
      </w:r>
      <w:r w:rsidRPr="0032494C" w:rsidR="00A851F5">
        <w:rPr>
          <w:rStyle w:val="FootnoteReference"/>
          <w:rFonts w:ascii="Calibri" w:hAnsi="Calibri" w:cs="Calibri"/>
          <w:sz w:val="22"/>
          <w:szCs w:val="22"/>
        </w:rPr>
        <w:footnoteReference w:id="11"/>
      </w:r>
      <w:r w:rsidRPr="0032494C" w:rsidR="00A851F5">
        <w:rPr>
          <w:rFonts w:ascii="Calibri" w:hAnsi="Calibri" w:cs="Calibri"/>
          <w:sz w:val="22"/>
          <w:szCs w:val="22"/>
          <w:vertAlign w:val="superscript"/>
        </w:rPr>
        <w:t>,</w:t>
      </w:r>
      <w:r w:rsidRPr="0032494C" w:rsidR="00A851F5">
        <w:rPr>
          <w:rStyle w:val="FootnoteReference"/>
          <w:rFonts w:ascii="Calibri" w:hAnsi="Calibri" w:cs="Calibri"/>
          <w:sz w:val="22"/>
          <w:szCs w:val="22"/>
        </w:rPr>
        <w:footnoteReference w:id="12"/>
      </w:r>
      <w:r w:rsidRPr="0032494C" w:rsidR="002F7F65">
        <w:rPr>
          <w:rFonts w:ascii="Calibri" w:hAnsi="Calibri" w:cs="Calibri"/>
          <w:sz w:val="22"/>
          <w:szCs w:val="22"/>
        </w:rPr>
        <w:t xml:space="preserve"> </w:t>
      </w:r>
      <w:r w:rsidRPr="0032494C" w:rsidR="00DC7CBB">
        <w:rPr>
          <w:rFonts w:ascii="Calibri" w:hAnsi="Calibri" w:cs="Calibri"/>
          <w:sz w:val="22"/>
          <w:szCs w:val="22"/>
        </w:rPr>
        <w:t>and social-emotional learning</w:t>
      </w:r>
      <w:r w:rsidR="00E766CE">
        <w:rPr>
          <w:rStyle w:val="FootnoteReference"/>
          <w:rFonts w:ascii="Calibri" w:hAnsi="Calibri" w:cs="Calibri"/>
          <w:sz w:val="22"/>
          <w:szCs w:val="22"/>
        </w:rPr>
        <w:footnoteReference w:id="13"/>
      </w:r>
      <w:r w:rsidRPr="0032494C" w:rsidR="00630F3C">
        <w:rPr>
          <w:rFonts w:ascii="Calibri" w:hAnsi="Calibri" w:cs="Calibri"/>
          <w:sz w:val="22"/>
          <w:szCs w:val="22"/>
          <w:vertAlign w:val="superscript"/>
        </w:rPr>
        <w:t>,</w:t>
      </w:r>
      <w:r w:rsidR="00630F3C">
        <w:rPr>
          <w:rStyle w:val="FootnoteReference"/>
          <w:rFonts w:ascii="Calibri" w:hAnsi="Calibri" w:cs="Calibri"/>
          <w:sz w:val="22"/>
          <w:szCs w:val="22"/>
        </w:rPr>
        <w:footnoteReference w:id="14"/>
      </w:r>
      <w:r w:rsidRPr="0032494C" w:rsidR="00DC7CBB">
        <w:rPr>
          <w:rFonts w:ascii="Calibri" w:hAnsi="Calibri" w:cs="Calibri"/>
          <w:sz w:val="22"/>
          <w:szCs w:val="22"/>
        </w:rPr>
        <w:t xml:space="preserve">. </w:t>
      </w:r>
      <w:r w:rsidRPr="0032494C">
        <w:rPr>
          <w:rFonts w:ascii="Calibri" w:hAnsi="Calibri" w:cs="Calibri"/>
          <w:sz w:val="22"/>
          <w:szCs w:val="22"/>
        </w:rPr>
        <w:t xml:space="preserve">EDC will use findings that emerge from the Year 1 interviews and survey to refine and revise the survey for Years 2 and 3. For example, we will likely do an analysis of open-ended items from the Year 1 survey to develop close-ended items for the revised survey. </w:t>
      </w:r>
    </w:p>
    <w:bookmarkEnd w:id="5"/>
    <w:p w:rsidRPr="0032494C" w:rsidR="006C7470" w:rsidP="006C7470" w:rsidRDefault="006C7470" w14:paraId="19B21476" w14:textId="77777777">
      <w:pPr>
        <w:tabs>
          <w:tab w:val="left" w:pos="504"/>
        </w:tabs>
        <w:jc w:val="both"/>
        <w:rPr>
          <w:rFonts w:ascii="Calibri" w:hAnsi="Calibri" w:cs="Calibri"/>
          <w:sz w:val="22"/>
          <w:szCs w:val="22"/>
        </w:rPr>
      </w:pPr>
    </w:p>
    <w:p w:rsidRPr="0032494C" w:rsidR="001D6F3E" w:rsidP="000D4735" w:rsidRDefault="006C7470" w14:paraId="7F1FFFFC" w14:textId="277C9280">
      <w:pPr>
        <w:rPr>
          <w:rFonts w:ascii="Calibri" w:hAnsi="Calibri" w:eastAsia="Avenir" w:cs="Calibri"/>
          <w:b/>
          <w:sz w:val="22"/>
          <w:szCs w:val="22"/>
        </w:rPr>
      </w:pPr>
      <w:r w:rsidRPr="0032494C">
        <w:rPr>
          <w:rFonts w:ascii="Calibri" w:hAnsi="Calibri" w:eastAsia="Avenir" w:cs="Calibri"/>
          <w:b/>
          <w:sz w:val="22"/>
          <w:szCs w:val="22"/>
        </w:rPr>
        <w:t xml:space="preserve">Data analysis </w:t>
      </w:r>
    </w:p>
    <w:p w:rsidRPr="0032494C" w:rsidR="001D6F3E" w:rsidP="006C7470" w:rsidRDefault="002F1D7D" w14:paraId="2500E6AB" w14:textId="14633FDA">
      <w:pPr>
        <w:spacing w:after="160"/>
        <w:rPr>
          <w:rFonts w:ascii="Calibri" w:hAnsi="Calibri" w:cs="Calibri"/>
          <w:color w:val="000000"/>
          <w:sz w:val="22"/>
          <w:szCs w:val="22"/>
        </w:rPr>
      </w:pPr>
      <w:r w:rsidRPr="0032494C">
        <w:rPr>
          <w:rFonts w:ascii="Calibri" w:hAnsi="Calibri" w:cs="Calibri"/>
          <w:b/>
          <w:color w:val="000000"/>
          <w:sz w:val="22"/>
          <w:szCs w:val="22"/>
        </w:rPr>
        <w:t xml:space="preserve">Analysis of </w:t>
      </w:r>
      <w:r w:rsidRPr="0032494C" w:rsidR="008E31C0">
        <w:rPr>
          <w:rFonts w:ascii="Calibri" w:hAnsi="Calibri" w:cs="Calibri"/>
          <w:b/>
          <w:color w:val="000000"/>
          <w:sz w:val="22"/>
          <w:szCs w:val="22"/>
        </w:rPr>
        <w:t>quantitative data</w:t>
      </w:r>
      <w:r w:rsidRPr="0032494C" w:rsidR="001D6F3E">
        <w:rPr>
          <w:rFonts w:ascii="Calibri" w:hAnsi="Calibri" w:cs="Calibri"/>
          <w:color w:val="000000"/>
          <w:sz w:val="22"/>
          <w:szCs w:val="22"/>
        </w:rPr>
        <w:t xml:space="preserve">. </w:t>
      </w:r>
      <w:r w:rsidRPr="0032494C" w:rsidR="00141138">
        <w:rPr>
          <w:rFonts w:ascii="Calibri" w:hAnsi="Calibri" w:cs="Calibri"/>
          <w:color w:val="000000"/>
          <w:sz w:val="22"/>
          <w:szCs w:val="22"/>
        </w:rPr>
        <w:t>We will use statistical software (such as STATA) to conduct descriptive analyses of close-ended survey items. After data have been cleaned, researchers will calculate means and standard deviations for continuous measures and frequency tables for discrete measures.</w:t>
      </w:r>
    </w:p>
    <w:p w:rsidRPr="0032494C" w:rsidR="006C7470" w:rsidP="006C7470" w:rsidRDefault="008E31C0" w14:paraId="5FC7A85D" w14:textId="3615FC0F">
      <w:pPr>
        <w:spacing w:after="160"/>
        <w:rPr>
          <w:rFonts w:ascii="Calibri" w:hAnsi="Calibri" w:eastAsia="Avenir" w:cs="Calibri"/>
          <w:sz w:val="22"/>
          <w:szCs w:val="22"/>
        </w:rPr>
      </w:pPr>
      <w:r w:rsidRPr="0032494C">
        <w:rPr>
          <w:rFonts w:ascii="Calibri" w:hAnsi="Calibri" w:cs="Calibri"/>
          <w:b/>
          <w:color w:val="000000"/>
          <w:sz w:val="22"/>
          <w:szCs w:val="22"/>
        </w:rPr>
        <w:t>Analysis of qualitative data</w:t>
      </w:r>
      <w:r w:rsidRPr="0032494C">
        <w:rPr>
          <w:rFonts w:ascii="Calibri" w:hAnsi="Calibri" w:cs="Calibri"/>
          <w:color w:val="000000"/>
          <w:sz w:val="22"/>
          <w:szCs w:val="22"/>
        </w:rPr>
        <w:t xml:space="preserve">. </w:t>
      </w:r>
      <w:r w:rsidRPr="0032494C" w:rsidR="006C7470">
        <w:rPr>
          <w:rFonts w:ascii="Calibri" w:hAnsi="Calibri" w:cs="Calibri"/>
          <w:color w:val="000000"/>
          <w:sz w:val="22"/>
          <w:szCs w:val="22"/>
        </w:rPr>
        <w:t xml:space="preserve">Data from </w:t>
      </w:r>
      <w:r w:rsidRPr="0032494C" w:rsidR="00E23C2C">
        <w:rPr>
          <w:rFonts w:ascii="Calibri" w:hAnsi="Calibri" w:cs="Calibri"/>
          <w:color w:val="000000"/>
          <w:sz w:val="22"/>
          <w:szCs w:val="22"/>
        </w:rPr>
        <w:t xml:space="preserve">the document review, </w:t>
      </w:r>
      <w:r w:rsidRPr="0032494C" w:rsidR="006C7470">
        <w:rPr>
          <w:rFonts w:ascii="Calibri" w:hAnsi="Calibri" w:cs="Calibri"/>
          <w:color w:val="000000"/>
          <w:sz w:val="22"/>
          <w:szCs w:val="22"/>
        </w:rPr>
        <w:t>interviews</w:t>
      </w:r>
      <w:r w:rsidRPr="0032494C" w:rsidR="00E23C2C">
        <w:rPr>
          <w:rFonts w:ascii="Calibri" w:hAnsi="Calibri" w:cs="Calibri"/>
          <w:color w:val="000000"/>
          <w:sz w:val="22"/>
          <w:szCs w:val="22"/>
        </w:rPr>
        <w:t>, and focus groups</w:t>
      </w:r>
      <w:r w:rsidRPr="0032494C" w:rsidR="006C7470">
        <w:rPr>
          <w:rFonts w:ascii="Calibri" w:hAnsi="Calibri" w:cs="Calibri"/>
          <w:color w:val="000000"/>
          <w:sz w:val="22"/>
          <w:szCs w:val="22"/>
        </w:rPr>
        <w:t xml:space="preserve"> will be transcribed and analyzed using qualitive coding software (such as Dedoose)</w:t>
      </w:r>
      <w:r w:rsidRPr="0032494C" w:rsidR="00383D07">
        <w:rPr>
          <w:rFonts w:ascii="Calibri" w:hAnsi="Calibri" w:cs="Calibri"/>
          <w:color w:val="000000"/>
          <w:sz w:val="22"/>
          <w:szCs w:val="22"/>
        </w:rPr>
        <w:t>. W</w:t>
      </w:r>
      <w:r w:rsidRPr="0032494C" w:rsidR="006C7470">
        <w:rPr>
          <w:rFonts w:ascii="Calibri" w:hAnsi="Calibri" w:cs="Calibri"/>
          <w:color w:val="000000"/>
          <w:sz w:val="22"/>
          <w:szCs w:val="22"/>
        </w:rPr>
        <w:t>e will conduct a</w:t>
      </w:r>
      <w:r w:rsidRPr="0032494C" w:rsidR="00383D07">
        <w:rPr>
          <w:rFonts w:ascii="Calibri" w:hAnsi="Calibri" w:cs="Calibri"/>
          <w:color w:val="000000"/>
          <w:sz w:val="22"/>
          <w:szCs w:val="22"/>
        </w:rPr>
        <w:t xml:space="preserve"> content analysis,  which is a systematic analytical technique that is particularly useful for analyzing text data.</w:t>
      </w:r>
      <w:r w:rsidRPr="0032494C" w:rsidR="00383D07">
        <w:rPr>
          <w:rStyle w:val="FootnoteReference"/>
          <w:rFonts w:ascii="Calibri" w:hAnsi="Calibri" w:cs="Calibri"/>
          <w:color w:val="000000"/>
          <w:sz w:val="22"/>
          <w:szCs w:val="22"/>
        </w:rPr>
        <w:footnoteReference w:id="15"/>
      </w:r>
      <w:r w:rsidRPr="0032494C" w:rsidR="00383D07">
        <w:rPr>
          <w:rFonts w:ascii="Calibri" w:hAnsi="Calibri" w:cs="Calibri"/>
          <w:color w:val="000000"/>
          <w:sz w:val="22"/>
          <w:szCs w:val="22"/>
        </w:rPr>
        <w:t xml:space="preserve"> Given that research on the processes and principles for establishing and sustaining networks across libraries and museums is limited, we will follow the conventional approach to content analysis. </w:t>
      </w:r>
      <w:r w:rsidRPr="0032494C" w:rsidR="004A3C2D">
        <w:rPr>
          <w:rFonts w:ascii="Calibri" w:hAnsi="Calibri" w:cs="Calibri"/>
          <w:color w:val="000000"/>
          <w:sz w:val="22"/>
          <w:szCs w:val="22"/>
        </w:rPr>
        <w:t xml:space="preserve">Using this </w:t>
      </w:r>
      <w:r w:rsidRPr="0032494C" w:rsidR="00383D07">
        <w:rPr>
          <w:rFonts w:ascii="Calibri" w:hAnsi="Calibri" w:cs="Calibri"/>
          <w:color w:val="000000"/>
          <w:sz w:val="22"/>
          <w:szCs w:val="22"/>
        </w:rPr>
        <w:t>inductive approach</w:t>
      </w:r>
      <w:r w:rsidRPr="0032494C" w:rsidR="004A3C2D">
        <w:rPr>
          <w:rFonts w:ascii="Calibri" w:hAnsi="Calibri" w:cs="Calibri"/>
          <w:color w:val="000000"/>
          <w:sz w:val="22"/>
          <w:szCs w:val="22"/>
        </w:rPr>
        <w:t xml:space="preserve">, </w:t>
      </w:r>
      <w:r w:rsidRPr="0032494C" w:rsidR="0050428A">
        <w:rPr>
          <w:rFonts w:ascii="Calibri" w:hAnsi="Calibri" w:cs="Calibri"/>
          <w:color w:val="000000"/>
          <w:sz w:val="22"/>
          <w:szCs w:val="22"/>
        </w:rPr>
        <w:t>two researchers</w:t>
      </w:r>
      <w:r w:rsidRPr="0032494C" w:rsidR="004A3C2D">
        <w:rPr>
          <w:rFonts w:ascii="Calibri" w:hAnsi="Calibri" w:cs="Calibri"/>
          <w:color w:val="000000"/>
          <w:sz w:val="22"/>
          <w:szCs w:val="22"/>
        </w:rPr>
        <w:t xml:space="preserve"> will engage in multiple reviews of the data</w:t>
      </w:r>
      <w:r w:rsidRPr="0032494C" w:rsidR="0050428A">
        <w:rPr>
          <w:rFonts w:ascii="Calibri" w:hAnsi="Calibri" w:cs="Calibri"/>
          <w:color w:val="000000"/>
          <w:sz w:val="22"/>
          <w:szCs w:val="22"/>
        </w:rPr>
        <w:t xml:space="preserve">. Through these initial reviews we will identify </w:t>
      </w:r>
      <w:r w:rsidRPr="0032494C" w:rsidR="001068B9">
        <w:rPr>
          <w:rFonts w:ascii="Calibri" w:hAnsi="Calibri" w:cs="Calibri"/>
          <w:color w:val="000000"/>
          <w:sz w:val="22"/>
          <w:szCs w:val="22"/>
        </w:rPr>
        <w:t xml:space="preserve">overarching themes </w:t>
      </w:r>
      <w:r w:rsidRPr="0032494C" w:rsidR="0050428A">
        <w:rPr>
          <w:rFonts w:ascii="Calibri" w:hAnsi="Calibri" w:cs="Calibri"/>
          <w:color w:val="000000"/>
          <w:sz w:val="22"/>
          <w:szCs w:val="22"/>
        </w:rPr>
        <w:t xml:space="preserve">related to our research questions and generate </w:t>
      </w:r>
      <w:r w:rsidRPr="0032494C" w:rsidR="001068B9">
        <w:rPr>
          <w:rFonts w:ascii="Calibri" w:hAnsi="Calibri" w:cs="Calibri"/>
          <w:color w:val="000000"/>
          <w:sz w:val="22"/>
          <w:szCs w:val="22"/>
        </w:rPr>
        <w:t>a coding scheme</w:t>
      </w:r>
      <w:r w:rsidRPr="0032494C" w:rsidR="0050428A">
        <w:rPr>
          <w:rFonts w:ascii="Calibri" w:hAnsi="Calibri" w:cs="Calibri"/>
          <w:color w:val="000000"/>
          <w:sz w:val="22"/>
          <w:szCs w:val="22"/>
        </w:rPr>
        <w:t xml:space="preserve"> that we will apply to the data during a second round of review</w:t>
      </w:r>
      <w:r w:rsidRPr="0032494C" w:rsidR="004A3C2D">
        <w:rPr>
          <w:rFonts w:ascii="Calibri" w:hAnsi="Calibri" w:cs="Calibri"/>
          <w:color w:val="000000"/>
          <w:sz w:val="22"/>
          <w:szCs w:val="22"/>
        </w:rPr>
        <w:t>.</w:t>
      </w:r>
      <w:r w:rsidRPr="0032494C" w:rsidR="001068B9">
        <w:rPr>
          <w:rFonts w:ascii="Calibri" w:hAnsi="Calibri" w:cs="Calibri"/>
          <w:color w:val="000000"/>
          <w:sz w:val="22"/>
          <w:szCs w:val="22"/>
        </w:rPr>
        <w:t xml:space="preserve"> </w:t>
      </w:r>
      <w:r w:rsidRPr="0032494C" w:rsidR="0050428A">
        <w:rPr>
          <w:rFonts w:ascii="Calibri" w:hAnsi="Calibri" w:cs="Calibri"/>
          <w:color w:val="000000"/>
          <w:sz w:val="22"/>
          <w:szCs w:val="22"/>
        </w:rPr>
        <w:t xml:space="preserve">To ensure consistency across coders, we will double-code a subset of data, discussing and resolving differences as necessary. </w:t>
      </w:r>
    </w:p>
    <w:p w:rsidRPr="0032494C" w:rsidR="006C7470" w:rsidP="006C7470" w:rsidRDefault="006C7470" w14:paraId="0992EC27" w14:textId="77777777">
      <w:pPr>
        <w:spacing w:after="160"/>
        <w:rPr>
          <w:rFonts w:ascii="Calibri" w:hAnsi="Calibri" w:eastAsia="Avenir" w:cs="Calibri"/>
          <w:sz w:val="22"/>
          <w:szCs w:val="22"/>
        </w:rPr>
      </w:pPr>
    </w:p>
    <w:p w:rsidRPr="0032494C" w:rsidR="006C7470" w:rsidP="006C7470" w:rsidRDefault="006C7470" w14:paraId="647A4B03" w14:textId="77777777">
      <w:pPr>
        <w:keepNext/>
        <w:keepLines/>
        <w:tabs>
          <w:tab w:val="left" w:pos="504"/>
        </w:tabs>
        <w:rPr>
          <w:rFonts w:ascii="Calibri" w:hAnsi="Calibri" w:cs="Calibri"/>
          <w:b/>
          <w:u w:val="single"/>
        </w:rPr>
      </w:pPr>
      <w:r w:rsidRPr="0032494C">
        <w:rPr>
          <w:rFonts w:ascii="Calibri" w:hAnsi="Calibri" w:cs="Calibri"/>
          <w:b/>
          <w:u w:val="single"/>
        </w:rPr>
        <w:lastRenderedPageBreak/>
        <w:t>B.5. Contact Information for Statistical or Design Consultants</w:t>
      </w:r>
    </w:p>
    <w:p w:rsidRPr="0032494C" w:rsidR="006C7470" w:rsidP="006C7470" w:rsidRDefault="006C7470" w14:paraId="429CB0CB" w14:textId="77777777">
      <w:pPr>
        <w:keepNext/>
        <w:keepLines/>
        <w:tabs>
          <w:tab w:val="left" w:pos="504"/>
        </w:tabs>
        <w:rPr>
          <w:rFonts w:ascii="Calibri" w:hAnsi="Calibri" w:cs="Calibri"/>
          <w:sz w:val="22"/>
          <w:szCs w:val="22"/>
        </w:rPr>
      </w:pPr>
    </w:p>
    <w:p w:rsidRPr="0032494C" w:rsidR="006C7470" w:rsidP="006C7470" w:rsidRDefault="006C7470" w14:paraId="10373B82" w14:textId="77777777">
      <w:pPr>
        <w:keepNext/>
        <w:keepLines/>
        <w:tabs>
          <w:tab w:val="left" w:pos="504"/>
        </w:tabs>
        <w:rPr>
          <w:rFonts w:ascii="Calibri" w:hAnsi="Calibri" w:cs="Calibri"/>
          <w:sz w:val="22"/>
          <w:szCs w:val="22"/>
          <w:u w:val="single"/>
        </w:rPr>
      </w:pPr>
      <w:r w:rsidRPr="0032494C">
        <w:rPr>
          <w:rFonts w:ascii="Calibri" w:hAnsi="Calibri" w:cs="Calibri"/>
          <w:sz w:val="22"/>
          <w:szCs w:val="22"/>
          <w:u w:val="single"/>
        </w:rPr>
        <w:t>EDC</w:t>
      </w:r>
    </w:p>
    <w:p w:rsidRPr="0032494C" w:rsidR="006C7470" w:rsidP="006C7470" w:rsidRDefault="006C7470" w14:paraId="31F2A2F3" w14:textId="63F59922">
      <w:pPr>
        <w:keepNext/>
        <w:keepLines/>
        <w:tabs>
          <w:tab w:val="left" w:pos="504"/>
        </w:tabs>
        <w:rPr>
          <w:rFonts w:ascii="Calibri" w:hAnsi="Calibri" w:cs="Calibri"/>
          <w:sz w:val="22"/>
          <w:szCs w:val="22"/>
        </w:rPr>
      </w:pPr>
      <w:r w:rsidRPr="0032494C">
        <w:rPr>
          <w:rFonts w:ascii="Calibri" w:hAnsi="Calibri" w:cs="Calibri"/>
          <w:sz w:val="22"/>
          <w:szCs w:val="22"/>
        </w:rPr>
        <w:t xml:space="preserve">Project Director: </w:t>
      </w:r>
      <w:r w:rsidRPr="00F23A5B">
        <w:rPr>
          <w:rFonts w:ascii="Calibri" w:hAnsi="Calibri" w:cs="Calibri"/>
          <w:sz w:val="22"/>
          <w:szCs w:val="22"/>
        </w:rPr>
        <w:t>Wendy Martin</w:t>
      </w:r>
      <w:r w:rsidRPr="00FE6B07">
        <w:rPr>
          <w:rFonts w:ascii="Calibri" w:hAnsi="Calibri" w:cs="Calibri"/>
          <w:sz w:val="22"/>
          <w:szCs w:val="22"/>
        </w:rPr>
        <w:t>,</w:t>
      </w:r>
      <w:r w:rsidRPr="0032494C">
        <w:rPr>
          <w:rFonts w:ascii="Calibri" w:hAnsi="Calibri" w:cs="Calibri"/>
          <w:sz w:val="22"/>
          <w:szCs w:val="22"/>
        </w:rPr>
        <w:t xml:space="preserve"> Research Scientist, </w:t>
      </w:r>
      <w:r w:rsidR="00F23A5B">
        <w:rPr>
          <w:rFonts w:ascii="Calibri" w:hAnsi="Calibri" w:cs="Calibri"/>
          <w:sz w:val="22"/>
          <w:szCs w:val="22"/>
        </w:rPr>
        <w:t>wmartin@edc.org</w:t>
      </w:r>
    </w:p>
    <w:p w:rsidRPr="0032494C" w:rsidR="006C7470" w:rsidP="006C7470" w:rsidRDefault="006C7470" w14:paraId="44620B02" w14:textId="4D08D1D3">
      <w:pPr>
        <w:rPr>
          <w:rFonts w:ascii="Calibri" w:hAnsi="Calibri" w:cs="Calibri"/>
          <w:sz w:val="22"/>
          <w:szCs w:val="22"/>
        </w:rPr>
      </w:pPr>
      <w:r w:rsidRPr="0032494C">
        <w:rPr>
          <w:rFonts w:ascii="Calibri" w:hAnsi="Calibri" w:cs="Calibri"/>
          <w:sz w:val="22"/>
          <w:szCs w:val="22"/>
        </w:rPr>
        <w:t xml:space="preserve">Project Lead: </w:t>
      </w:r>
      <w:r w:rsidRPr="00F23A5B">
        <w:rPr>
          <w:rFonts w:ascii="Calibri" w:hAnsi="Calibri" w:cs="Calibri"/>
          <w:sz w:val="22"/>
          <w:szCs w:val="22"/>
        </w:rPr>
        <w:t>Michelle Cerrone</w:t>
      </w:r>
      <w:r w:rsidRPr="00FE6B07">
        <w:rPr>
          <w:rFonts w:ascii="Calibri" w:hAnsi="Calibri" w:cs="Calibri"/>
          <w:sz w:val="22"/>
          <w:szCs w:val="22"/>
        </w:rPr>
        <w:t>,</w:t>
      </w:r>
      <w:r w:rsidRPr="0032494C">
        <w:rPr>
          <w:rFonts w:ascii="Calibri" w:hAnsi="Calibri" w:cs="Calibri"/>
          <w:sz w:val="22"/>
          <w:szCs w:val="22"/>
        </w:rPr>
        <w:t xml:space="preserve"> </w:t>
      </w:r>
      <w:r w:rsidRPr="0032494C" w:rsidR="00FD35A8">
        <w:rPr>
          <w:rFonts w:ascii="Calibri" w:hAnsi="Calibri" w:cs="Calibri"/>
          <w:sz w:val="22"/>
          <w:szCs w:val="22"/>
        </w:rPr>
        <w:t xml:space="preserve">Senior </w:t>
      </w:r>
      <w:r w:rsidRPr="0032494C">
        <w:rPr>
          <w:rFonts w:ascii="Calibri" w:hAnsi="Calibri" w:cs="Calibri"/>
          <w:sz w:val="22"/>
          <w:szCs w:val="22"/>
        </w:rPr>
        <w:t xml:space="preserve">Research Associate, </w:t>
      </w:r>
      <w:hyperlink w:history="1" r:id="rId12">
        <w:r w:rsidRPr="0032494C">
          <w:rPr>
            <w:rStyle w:val="Hyperlink"/>
            <w:rFonts w:ascii="Calibri" w:hAnsi="Calibri" w:cs="Calibri"/>
            <w:sz w:val="22"/>
            <w:szCs w:val="22"/>
          </w:rPr>
          <w:t>mcerrone@edc.org</w:t>
        </w:r>
      </w:hyperlink>
      <w:r w:rsidRPr="0032494C">
        <w:rPr>
          <w:rFonts w:ascii="Calibri" w:hAnsi="Calibri" w:cs="Calibri"/>
          <w:sz w:val="22"/>
          <w:szCs w:val="22"/>
        </w:rPr>
        <w:t xml:space="preserve"> </w:t>
      </w:r>
    </w:p>
    <w:p w:rsidRPr="0032494C" w:rsidR="006C7470" w:rsidP="006C7470" w:rsidRDefault="006C7470" w14:paraId="004D378D" w14:textId="77777777">
      <w:pPr>
        <w:rPr>
          <w:rFonts w:ascii="Calibri" w:hAnsi="Calibri" w:cs="Calibri"/>
          <w:sz w:val="22"/>
          <w:szCs w:val="22"/>
        </w:rPr>
      </w:pPr>
    </w:p>
    <w:p w:rsidRPr="00F23A5B" w:rsidR="006C7470" w:rsidP="006C7470" w:rsidRDefault="006C7470" w14:paraId="2D58DE50" w14:textId="77777777">
      <w:pPr>
        <w:rPr>
          <w:rFonts w:ascii="Calibri" w:hAnsi="Calibri" w:cs="Calibri"/>
          <w:sz w:val="22"/>
          <w:szCs w:val="22"/>
          <w:u w:val="single"/>
        </w:rPr>
      </w:pPr>
      <w:r w:rsidRPr="00F23A5B">
        <w:rPr>
          <w:rFonts w:ascii="Calibri" w:hAnsi="Calibri" w:cs="Calibri"/>
          <w:sz w:val="22"/>
          <w:szCs w:val="22"/>
          <w:u w:val="single"/>
        </w:rPr>
        <w:t>IMLS</w:t>
      </w:r>
    </w:p>
    <w:p w:rsidRPr="0032494C" w:rsidR="003C720D" w:rsidP="006C7470" w:rsidRDefault="006C7470" w14:paraId="59377819" w14:textId="5F044663">
      <w:pPr>
        <w:rPr>
          <w:rFonts w:ascii="Calibri" w:hAnsi="Calibri" w:cs="Calibri"/>
          <w:sz w:val="22"/>
          <w:szCs w:val="22"/>
        </w:rPr>
      </w:pPr>
      <w:r w:rsidRPr="0032494C">
        <w:rPr>
          <w:rFonts w:ascii="Calibri" w:hAnsi="Calibri" w:cs="Calibri"/>
          <w:sz w:val="22"/>
          <w:szCs w:val="22"/>
        </w:rPr>
        <w:t>Reagan Moore,</w:t>
      </w:r>
      <w:r w:rsidRPr="0032494C" w:rsidR="00F7226F">
        <w:rPr>
          <w:rFonts w:ascii="Calibri" w:hAnsi="Calibri" w:cs="Calibri"/>
          <w:sz w:val="22"/>
          <w:szCs w:val="22"/>
        </w:rPr>
        <w:t xml:space="preserve"> </w:t>
      </w:r>
      <w:r w:rsidR="000C313B">
        <w:rPr>
          <w:rFonts w:ascii="Calibri" w:hAnsi="Calibri" w:cs="Calibri"/>
          <w:sz w:val="22"/>
          <w:szCs w:val="22"/>
        </w:rPr>
        <w:t xml:space="preserve">Senior </w:t>
      </w:r>
      <w:r w:rsidRPr="00FE6B07" w:rsidR="00F7226F">
        <w:rPr>
          <w:rFonts w:ascii="Calibri" w:hAnsi="Calibri" w:cs="Calibri"/>
          <w:sz w:val="22"/>
          <w:szCs w:val="22"/>
        </w:rPr>
        <w:t>Program Officer</w:t>
      </w:r>
      <w:r w:rsidRPr="0032494C" w:rsidR="00F7226F">
        <w:rPr>
          <w:rFonts w:ascii="Calibri" w:hAnsi="Calibri" w:cs="Calibri"/>
          <w:sz w:val="22"/>
          <w:szCs w:val="22"/>
        </w:rPr>
        <w:t xml:space="preserve">, </w:t>
      </w:r>
      <w:hyperlink w:history="1" r:id="rId13">
        <w:r w:rsidRPr="001D075B" w:rsidR="00FE6B07">
          <w:rPr>
            <w:rStyle w:val="Hyperlink"/>
            <w:rFonts w:ascii="Calibri" w:hAnsi="Calibri" w:cs="Calibri"/>
            <w:sz w:val="22"/>
            <w:szCs w:val="22"/>
          </w:rPr>
          <w:t>RMoore@imls.gov</w:t>
        </w:r>
      </w:hyperlink>
      <w:r w:rsidR="00FE6B07">
        <w:rPr>
          <w:rFonts w:ascii="Calibri" w:hAnsi="Calibri" w:cs="Calibri"/>
          <w:sz w:val="22"/>
          <w:szCs w:val="22"/>
        </w:rPr>
        <w:t xml:space="preserve"> </w:t>
      </w:r>
    </w:p>
    <w:p w:rsidRPr="0032494C" w:rsidR="006C7470" w:rsidP="006C7470" w:rsidRDefault="006C7470" w14:paraId="77167E7B" w14:textId="2310D71A">
      <w:pPr>
        <w:rPr>
          <w:rFonts w:ascii="Calibri" w:hAnsi="Calibri" w:cs="Calibri"/>
          <w:sz w:val="22"/>
          <w:szCs w:val="22"/>
        </w:rPr>
      </w:pPr>
      <w:r w:rsidRPr="0032494C">
        <w:rPr>
          <w:rFonts w:ascii="Calibri" w:hAnsi="Calibri" w:cs="Calibri"/>
          <w:sz w:val="22"/>
          <w:szCs w:val="22"/>
        </w:rPr>
        <w:t xml:space="preserve">Marvin Carr, </w:t>
      </w:r>
      <w:r w:rsidRPr="00FE6B07" w:rsidR="00F7226F">
        <w:rPr>
          <w:rFonts w:ascii="Calibri" w:hAnsi="Calibri" w:cs="Calibri"/>
          <w:sz w:val="22"/>
          <w:szCs w:val="22"/>
        </w:rPr>
        <w:t>Evaluation Officer,</w:t>
      </w:r>
      <w:r w:rsidRPr="0032494C" w:rsidR="00F7226F">
        <w:rPr>
          <w:rFonts w:ascii="Calibri" w:hAnsi="Calibri" w:cs="Calibri"/>
          <w:sz w:val="22"/>
          <w:szCs w:val="22"/>
        </w:rPr>
        <w:t xml:space="preserve"> </w:t>
      </w:r>
      <w:hyperlink w:history="1" r:id="rId14">
        <w:r w:rsidRPr="001D075B" w:rsidR="00FE6B07">
          <w:rPr>
            <w:rStyle w:val="Hyperlink"/>
            <w:rFonts w:ascii="Calibri" w:hAnsi="Calibri" w:cs="Calibri"/>
            <w:sz w:val="22"/>
            <w:szCs w:val="22"/>
          </w:rPr>
          <w:t>MCarr@imls.gov</w:t>
        </w:r>
      </w:hyperlink>
      <w:r w:rsidR="00FE6B07">
        <w:rPr>
          <w:rFonts w:ascii="Calibri" w:hAnsi="Calibri" w:cs="Calibri"/>
          <w:sz w:val="22"/>
          <w:szCs w:val="22"/>
        </w:rPr>
        <w:t xml:space="preserve"> </w:t>
      </w:r>
    </w:p>
    <w:p w:rsidRPr="0032494C" w:rsidR="0073730F" w:rsidP="006C7470" w:rsidRDefault="0073730F" w14:paraId="46D8C637" w14:textId="62BA809E">
      <w:pPr>
        <w:rPr>
          <w:rFonts w:ascii="Calibri" w:hAnsi="Calibri" w:cs="Calibri"/>
        </w:rPr>
      </w:pPr>
    </w:p>
    <w:sectPr w:rsidRPr="0032494C" w:rsidR="0073730F" w:rsidSect="00C6279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3BCEF" w14:textId="77777777" w:rsidR="00015B9E" w:rsidRDefault="00015B9E" w:rsidP="00E92272">
      <w:r>
        <w:separator/>
      </w:r>
    </w:p>
  </w:endnote>
  <w:endnote w:type="continuationSeparator" w:id="0">
    <w:p w14:paraId="4BFC6508" w14:textId="77777777" w:rsidR="00015B9E" w:rsidRDefault="00015B9E" w:rsidP="00E92272">
      <w:r>
        <w:continuationSeparator/>
      </w:r>
    </w:p>
  </w:endnote>
  <w:endnote w:type="continuationNotice" w:id="1">
    <w:p w14:paraId="61B683D0" w14:textId="77777777" w:rsidR="00015B9E" w:rsidRDefault="00015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A00002EF" w:usb1="4000004B" w:usb2="00000000" w:usb3="00000000" w:csb0="0000009F" w:csb1="00000000"/>
  </w:font>
  <w:font w:name="Segoe UI">
    <w:panose1 w:val="020B0604020202020204"/>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venir">
    <w:altName w:val="Calibri"/>
    <w:panose1 w:val="02000503020000020003"/>
    <w:charset w:val="00"/>
    <w:family w:val="auto"/>
    <w:pitch w:val="variable"/>
    <w:sig w:usb0="800000AF" w:usb1="5000204A" w:usb2="00000000" w:usb3="00000000" w:csb0="0000009B"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69098" w14:textId="77777777" w:rsidR="00D80663" w:rsidRDefault="00D80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15AE2" w14:textId="77777777" w:rsidR="00015B9E" w:rsidRDefault="00015B9E" w:rsidP="00E92272">
      <w:r>
        <w:separator/>
      </w:r>
    </w:p>
  </w:footnote>
  <w:footnote w:type="continuationSeparator" w:id="0">
    <w:p w14:paraId="6E939D2F" w14:textId="77777777" w:rsidR="00015B9E" w:rsidRDefault="00015B9E" w:rsidP="00E92272">
      <w:r>
        <w:continuationSeparator/>
      </w:r>
    </w:p>
  </w:footnote>
  <w:footnote w:type="continuationNotice" w:id="1">
    <w:p w14:paraId="590D6DEB" w14:textId="77777777" w:rsidR="00015B9E" w:rsidRDefault="00015B9E"/>
  </w:footnote>
  <w:footnote w:id="2">
    <w:p w14:paraId="58768F46" w14:textId="77777777" w:rsidR="00D80663" w:rsidRPr="0035405B" w:rsidRDefault="00D80663" w:rsidP="0035405B">
      <w:pPr>
        <w:rPr>
          <w:rFonts w:ascii="Calibri" w:hAnsi="Calibri" w:cs="Calibri"/>
          <w:sz w:val="18"/>
          <w:szCs w:val="18"/>
        </w:rPr>
      </w:pPr>
      <w:r>
        <w:rPr>
          <w:rStyle w:val="FootnoteReference"/>
        </w:rPr>
        <w:footnoteRef/>
      </w:r>
      <w:r>
        <w:t xml:space="preserve"> </w:t>
      </w:r>
      <w:hyperlink r:id="rId1" w:anchor="00-0000" w:history="1">
        <w:r w:rsidRPr="0035405B">
          <w:rPr>
            <w:rStyle w:val="Hyperlink"/>
            <w:rFonts w:ascii="Calibri" w:eastAsiaTheme="majorEastAsia" w:hAnsi="Calibri" w:cs="Calibri"/>
            <w:sz w:val="18"/>
            <w:szCs w:val="18"/>
          </w:rPr>
          <w:t>https://www.bls.gov/oes/current/oes_nat.htm#00-0000</w:t>
        </w:r>
      </w:hyperlink>
    </w:p>
    <w:p w14:paraId="5597366A" w14:textId="5D28CA8A" w:rsidR="00D80663" w:rsidRDefault="00D80663">
      <w:pPr>
        <w:pStyle w:val="FootnoteText"/>
      </w:pPr>
    </w:p>
  </w:footnote>
  <w:footnote w:id="3">
    <w:p w14:paraId="5A2DF891" w14:textId="77777777" w:rsidR="00D80663" w:rsidRPr="0035405B" w:rsidRDefault="00D80663" w:rsidP="0035405B">
      <w:pPr>
        <w:rPr>
          <w:rStyle w:val="FootnoteReference"/>
        </w:rPr>
      </w:pPr>
      <w:r>
        <w:rPr>
          <w:rStyle w:val="FootnoteReference"/>
        </w:rPr>
        <w:footnoteRef/>
      </w:r>
      <w:r w:rsidRPr="0035405B">
        <w:rPr>
          <w:rStyle w:val="FootnoteReference"/>
        </w:rPr>
        <w:t xml:space="preserve"> </w:t>
      </w:r>
      <w:hyperlink r:id="rId2" w:anchor="00-0000" w:history="1">
        <w:r w:rsidRPr="0035405B">
          <w:rPr>
            <w:rStyle w:val="FootnoteReference"/>
          </w:rPr>
          <w:t>https://www.bls.gov/oes/current/oes_nat.htm#00-0000</w:t>
        </w:r>
      </w:hyperlink>
    </w:p>
    <w:p w14:paraId="5F49831C" w14:textId="4FD0C995" w:rsidR="00D80663" w:rsidRDefault="00D80663">
      <w:pPr>
        <w:pStyle w:val="FootnoteText"/>
      </w:pPr>
    </w:p>
  </w:footnote>
  <w:footnote w:id="4">
    <w:p w14:paraId="0A437C05" w14:textId="77777777" w:rsidR="00D80663" w:rsidRPr="006720A1" w:rsidRDefault="00D80663" w:rsidP="006720A1">
      <w:pPr>
        <w:rPr>
          <w:rFonts w:ascii="Calibri" w:hAnsi="Calibri" w:cs="Calibri"/>
          <w:sz w:val="18"/>
          <w:szCs w:val="18"/>
        </w:rPr>
      </w:pPr>
      <w:r>
        <w:rPr>
          <w:rStyle w:val="FootnoteReference"/>
        </w:rPr>
        <w:footnoteRef/>
      </w:r>
      <w:r>
        <w:t xml:space="preserve"> </w:t>
      </w:r>
      <w:r w:rsidRPr="006720A1">
        <w:rPr>
          <w:rFonts w:ascii="Calibri" w:hAnsi="Calibri" w:cs="Calibri"/>
          <w:color w:val="222222"/>
          <w:sz w:val="18"/>
          <w:szCs w:val="18"/>
          <w:shd w:val="clear" w:color="auto" w:fill="FFFFFF"/>
        </w:rPr>
        <w:t>Teddlie, C., &amp; Yu, F. (2007). Mixed methods sampling: A typology with examples. </w:t>
      </w:r>
      <w:r w:rsidRPr="006720A1">
        <w:rPr>
          <w:rFonts w:ascii="Calibri" w:hAnsi="Calibri" w:cs="Calibri"/>
          <w:i/>
          <w:iCs/>
          <w:color w:val="222222"/>
          <w:sz w:val="18"/>
          <w:szCs w:val="18"/>
          <w:shd w:val="clear" w:color="auto" w:fill="FFFFFF"/>
        </w:rPr>
        <w:t>Journal of mixed methods research</w:t>
      </w:r>
      <w:r w:rsidRPr="006720A1">
        <w:rPr>
          <w:rFonts w:ascii="Calibri" w:hAnsi="Calibri" w:cs="Calibri"/>
          <w:color w:val="222222"/>
          <w:sz w:val="18"/>
          <w:szCs w:val="18"/>
          <w:shd w:val="clear" w:color="auto" w:fill="FFFFFF"/>
        </w:rPr>
        <w:t>, </w:t>
      </w:r>
      <w:r w:rsidRPr="006720A1">
        <w:rPr>
          <w:rFonts w:ascii="Calibri" w:hAnsi="Calibri" w:cs="Calibri"/>
          <w:i/>
          <w:iCs/>
          <w:color w:val="222222"/>
          <w:sz w:val="18"/>
          <w:szCs w:val="18"/>
          <w:shd w:val="clear" w:color="auto" w:fill="FFFFFF"/>
        </w:rPr>
        <w:t>1</w:t>
      </w:r>
      <w:r w:rsidRPr="006720A1">
        <w:rPr>
          <w:rFonts w:ascii="Calibri" w:hAnsi="Calibri" w:cs="Calibri"/>
          <w:color w:val="222222"/>
          <w:sz w:val="18"/>
          <w:szCs w:val="18"/>
          <w:shd w:val="clear" w:color="auto" w:fill="FFFFFF"/>
        </w:rPr>
        <w:t>(1), 77-100.</w:t>
      </w:r>
    </w:p>
    <w:p w14:paraId="5F8EFF4B" w14:textId="615928F0" w:rsidR="00D80663" w:rsidRDefault="00D80663">
      <w:pPr>
        <w:pStyle w:val="FootnoteText"/>
      </w:pPr>
    </w:p>
  </w:footnote>
  <w:footnote w:id="5">
    <w:p w14:paraId="41CE8C72" w14:textId="3D62A74B" w:rsidR="00D80663" w:rsidRPr="001113E6" w:rsidRDefault="00D80663" w:rsidP="001113E6">
      <w:pPr>
        <w:rPr>
          <w:rFonts w:ascii="Calibri" w:hAnsi="Calibri"/>
          <w:sz w:val="18"/>
          <w:szCs w:val="18"/>
        </w:rPr>
      </w:pPr>
      <w:r w:rsidRPr="001113E6">
        <w:rPr>
          <w:rStyle w:val="FootnoteReference"/>
          <w:rFonts w:ascii="Calibri" w:hAnsi="Calibri"/>
          <w:sz w:val="18"/>
          <w:szCs w:val="18"/>
        </w:rPr>
        <w:footnoteRef/>
      </w:r>
      <w:r w:rsidRPr="001113E6">
        <w:rPr>
          <w:rFonts w:ascii="Calibri" w:hAnsi="Calibri"/>
          <w:sz w:val="18"/>
          <w:szCs w:val="18"/>
        </w:rPr>
        <w:t xml:space="preserve"> </w:t>
      </w:r>
      <w:r w:rsidRPr="001113E6">
        <w:rPr>
          <w:rFonts w:ascii="Calibri" w:hAnsi="Calibri" w:cs="Arial"/>
          <w:color w:val="222222"/>
          <w:sz w:val="18"/>
          <w:szCs w:val="18"/>
          <w:shd w:val="clear" w:color="auto" w:fill="FFFFFF"/>
        </w:rPr>
        <w:t>Dillman, D. A., Smyth, J. D., &amp; Christian, L. M. (2014). </w:t>
      </w:r>
      <w:r w:rsidRPr="001113E6">
        <w:rPr>
          <w:rFonts w:ascii="Calibri" w:hAnsi="Calibri" w:cs="Arial"/>
          <w:i/>
          <w:iCs/>
          <w:color w:val="222222"/>
          <w:sz w:val="18"/>
          <w:szCs w:val="18"/>
          <w:shd w:val="clear" w:color="auto" w:fill="FFFFFF"/>
        </w:rPr>
        <w:t>Internet, phone, mail, and mixed-mode surveys: the tailored design method</w:t>
      </w:r>
      <w:r w:rsidRPr="001113E6">
        <w:rPr>
          <w:rFonts w:ascii="Calibri" w:hAnsi="Calibri" w:cs="Arial"/>
          <w:color w:val="222222"/>
          <w:sz w:val="18"/>
          <w:szCs w:val="18"/>
          <w:shd w:val="clear" w:color="auto" w:fill="FFFFFF"/>
        </w:rPr>
        <w:t>. John Wiley &amp; Sons.</w:t>
      </w:r>
    </w:p>
  </w:footnote>
  <w:footnote w:id="6">
    <w:p w14:paraId="493BF1E0" w14:textId="6731A205" w:rsidR="00D80663" w:rsidRDefault="00D80663">
      <w:pPr>
        <w:pStyle w:val="FootnoteText"/>
      </w:pPr>
      <w:r>
        <w:rPr>
          <w:rStyle w:val="FootnoteReference"/>
        </w:rPr>
        <w:footnoteRef/>
      </w:r>
      <w:r>
        <w:t xml:space="preserve"> </w:t>
      </w:r>
      <w:r w:rsidRPr="00566AF5">
        <w:rPr>
          <w:rFonts w:ascii="Calibri" w:hAnsi="Calibri"/>
          <w:sz w:val="18"/>
          <w:szCs w:val="18"/>
        </w:rPr>
        <w:t>Monroe, M. C., &amp; Adams, D. C. (2012). Increasing response rates to web-based surveys. </w:t>
      </w:r>
      <w:r w:rsidRPr="00566AF5">
        <w:rPr>
          <w:rFonts w:ascii="Calibri" w:hAnsi="Calibri"/>
          <w:i/>
          <w:iCs/>
          <w:sz w:val="18"/>
          <w:szCs w:val="18"/>
        </w:rPr>
        <w:t>Journal of Extension</w:t>
      </w:r>
      <w:r w:rsidRPr="00566AF5">
        <w:rPr>
          <w:rFonts w:ascii="Calibri" w:hAnsi="Calibri"/>
          <w:sz w:val="18"/>
          <w:szCs w:val="18"/>
        </w:rPr>
        <w:t>, </w:t>
      </w:r>
      <w:r w:rsidRPr="00566AF5">
        <w:rPr>
          <w:rFonts w:ascii="Calibri" w:hAnsi="Calibri"/>
          <w:i/>
          <w:iCs/>
          <w:sz w:val="18"/>
          <w:szCs w:val="18"/>
        </w:rPr>
        <w:t>50</w:t>
      </w:r>
      <w:r w:rsidRPr="00566AF5">
        <w:rPr>
          <w:rFonts w:ascii="Calibri" w:hAnsi="Calibri"/>
          <w:sz w:val="18"/>
          <w:szCs w:val="18"/>
        </w:rPr>
        <w:t>(6), 6-7.</w:t>
      </w:r>
    </w:p>
  </w:footnote>
  <w:footnote w:id="7">
    <w:p w14:paraId="1E0666E6" w14:textId="7CEC13C7" w:rsidR="00D80663" w:rsidRPr="00143B4F" w:rsidRDefault="00D80663" w:rsidP="002F7F65">
      <w:pPr>
        <w:pStyle w:val="FootnoteText"/>
        <w:rPr>
          <w:rFonts w:ascii="Calibri" w:hAnsi="Calibri" w:cs="Calibri"/>
          <w:i/>
          <w:sz w:val="18"/>
          <w:szCs w:val="18"/>
        </w:rPr>
      </w:pPr>
      <w:r w:rsidRPr="00143B4F">
        <w:rPr>
          <w:rStyle w:val="FootnoteReference"/>
          <w:rFonts w:ascii="Calibri" w:hAnsi="Calibri" w:cs="Calibri"/>
          <w:sz w:val="18"/>
          <w:szCs w:val="18"/>
        </w:rPr>
        <w:footnoteRef/>
      </w:r>
      <w:r w:rsidRPr="00143B4F">
        <w:rPr>
          <w:rFonts w:ascii="Calibri" w:hAnsi="Calibri" w:cs="Calibri"/>
          <w:sz w:val="18"/>
          <w:szCs w:val="18"/>
        </w:rPr>
        <w:t xml:space="preserve"> Institute of Museum and Library Services (2019). </w:t>
      </w:r>
      <w:r w:rsidRPr="00143B4F">
        <w:rPr>
          <w:rFonts w:ascii="Calibri" w:hAnsi="Calibri" w:cs="Calibri"/>
          <w:i/>
          <w:sz w:val="18"/>
          <w:szCs w:val="18"/>
        </w:rPr>
        <w:t>National Leadership Grants for Museums: FY 2019 Notice of Funding Opportunity.</w:t>
      </w:r>
      <w:r w:rsidRPr="00143B4F">
        <w:rPr>
          <w:rFonts w:ascii="Calibri" w:eastAsiaTheme="minorHAnsi" w:hAnsi="Calibri" w:cs="Calibri"/>
          <w:color w:val="000000"/>
          <w:sz w:val="18"/>
          <w:szCs w:val="18"/>
        </w:rPr>
        <w:t xml:space="preserve"> </w:t>
      </w:r>
      <w:r w:rsidRPr="00143B4F">
        <w:rPr>
          <w:rFonts w:ascii="Calibri" w:hAnsi="Calibri" w:cs="Calibri"/>
          <w:sz w:val="18"/>
          <w:szCs w:val="18"/>
        </w:rPr>
        <w:t>(IMLS-CLR-D-0024). Retrieved from: https://reginfo.gov/public/do/DownloadDocument?objectID=84159201</w:t>
      </w:r>
    </w:p>
  </w:footnote>
  <w:footnote w:id="8">
    <w:p w14:paraId="06745371" w14:textId="592D4DF0" w:rsidR="00D80663" w:rsidRPr="00143B4F" w:rsidRDefault="00D80663">
      <w:pPr>
        <w:pStyle w:val="FootnoteText"/>
        <w:rPr>
          <w:rFonts w:ascii="Calibri" w:hAnsi="Calibri" w:cs="Calibri"/>
          <w:sz w:val="18"/>
          <w:szCs w:val="18"/>
        </w:rPr>
      </w:pPr>
      <w:r w:rsidRPr="00143B4F">
        <w:rPr>
          <w:rStyle w:val="FootnoteReference"/>
          <w:rFonts w:ascii="Calibri" w:hAnsi="Calibri" w:cs="Calibri"/>
          <w:sz w:val="18"/>
          <w:szCs w:val="18"/>
        </w:rPr>
        <w:footnoteRef/>
      </w:r>
      <w:r w:rsidRPr="00143B4F">
        <w:rPr>
          <w:rFonts w:ascii="Calibri" w:hAnsi="Calibri" w:cs="Calibri"/>
          <w:sz w:val="18"/>
          <w:szCs w:val="18"/>
        </w:rPr>
        <w:t xml:space="preserve"> Wheatley, M., &amp; Frieze, D. (2006). Lifecycle of Emergence–Using Emergence to Take Social Innovation to scale.[on-line]. </w:t>
      </w:r>
      <w:r w:rsidRPr="00143B4F">
        <w:rPr>
          <w:rFonts w:ascii="Calibri" w:hAnsi="Calibri" w:cs="Calibri"/>
          <w:i/>
          <w:iCs/>
          <w:sz w:val="18"/>
          <w:szCs w:val="18"/>
        </w:rPr>
        <w:t>Dostupnopreko: http://www. margaretwheatley. com/articles/emergence. html [11. 2. 2010.]</w:t>
      </w:r>
      <w:r w:rsidRPr="00143B4F">
        <w:rPr>
          <w:rFonts w:ascii="Calibri" w:hAnsi="Calibri" w:cs="Calibri"/>
          <w:sz w:val="18"/>
          <w:szCs w:val="18"/>
        </w:rPr>
        <w:t>.</w:t>
      </w:r>
    </w:p>
  </w:footnote>
  <w:footnote w:id="9">
    <w:p w14:paraId="514910B8" w14:textId="3A13DB56" w:rsidR="00D80663" w:rsidRPr="00143B4F" w:rsidRDefault="00D80663">
      <w:pPr>
        <w:pStyle w:val="FootnoteText"/>
        <w:rPr>
          <w:rFonts w:ascii="Calibri" w:hAnsi="Calibri" w:cs="Calibri"/>
          <w:sz w:val="18"/>
          <w:szCs w:val="18"/>
        </w:rPr>
      </w:pPr>
      <w:r w:rsidRPr="00143B4F">
        <w:rPr>
          <w:rStyle w:val="FootnoteReference"/>
          <w:rFonts w:ascii="Calibri" w:hAnsi="Calibri" w:cs="Calibri"/>
          <w:sz w:val="18"/>
          <w:szCs w:val="18"/>
        </w:rPr>
        <w:footnoteRef/>
      </w:r>
      <w:r w:rsidRPr="00143B4F">
        <w:rPr>
          <w:rFonts w:ascii="Calibri" w:hAnsi="Calibri" w:cs="Calibri"/>
          <w:sz w:val="18"/>
          <w:szCs w:val="18"/>
        </w:rPr>
        <w:t xml:space="preserve"> Ayob, N., Teasdale, S., &amp; Fagan, K. (2016). How social innovation ‘came to be’: Tracing the evolution of a contested concept. </w:t>
      </w:r>
      <w:r w:rsidRPr="00143B4F">
        <w:rPr>
          <w:rFonts w:ascii="Calibri" w:hAnsi="Calibri" w:cs="Calibri"/>
          <w:i/>
          <w:iCs/>
          <w:sz w:val="18"/>
          <w:szCs w:val="18"/>
        </w:rPr>
        <w:t>Journal of Social Policy</w:t>
      </w:r>
      <w:r w:rsidRPr="00143B4F">
        <w:rPr>
          <w:rFonts w:ascii="Calibri" w:hAnsi="Calibri" w:cs="Calibri"/>
          <w:sz w:val="18"/>
          <w:szCs w:val="18"/>
        </w:rPr>
        <w:t>, </w:t>
      </w:r>
      <w:r w:rsidRPr="00143B4F">
        <w:rPr>
          <w:rFonts w:ascii="Calibri" w:hAnsi="Calibri" w:cs="Calibri"/>
          <w:i/>
          <w:iCs/>
          <w:sz w:val="18"/>
          <w:szCs w:val="18"/>
        </w:rPr>
        <w:t>45</w:t>
      </w:r>
      <w:r w:rsidRPr="00143B4F">
        <w:rPr>
          <w:rFonts w:ascii="Calibri" w:hAnsi="Calibri" w:cs="Calibri"/>
          <w:sz w:val="18"/>
          <w:szCs w:val="18"/>
        </w:rPr>
        <w:t>(4), 635-653.</w:t>
      </w:r>
    </w:p>
  </w:footnote>
  <w:footnote w:id="10">
    <w:p w14:paraId="285F2DCF" w14:textId="77DDA309" w:rsidR="00D80663" w:rsidRPr="00143B4F" w:rsidRDefault="00D80663">
      <w:pPr>
        <w:pStyle w:val="FootnoteText"/>
        <w:rPr>
          <w:rFonts w:ascii="Calibri" w:hAnsi="Calibri" w:cs="Calibri"/>
          <w:sz w:val="18"/>
          <w:szCs w:val="18"/>
        </w:rPr>
      </w:pPr>
      <w:r w:rsidRPr="00143B4F">
        <w:rPr>
          <w:rStyle w:val="FootnoteReference"/>
          <w:rFonts w:ascii="Calibri" w:hAnsi="Calibri" w:cs="Calibri"/>
          <w:sz w:val="18"/>
          <w:szCs w:val="18"/>
        </w:rPr>
        <w:footnoteRef/>
      </w:r>
      <w:r w:rsidRPr="00143B4F">
        <w:rPr>
          <w:rFonts w:ascii="Calibri" w:hAnsi="Calibri" w:cs="Calibri"/>
          <w:sz w:val="18"/>
          <w:szCs w:val="18"/>
        </w:rPr>
        <w:t xml:space="preserve"> Mulgan, G., Tucker, S., Ali, R., &amp; Sanders, B. (2007). Social innovation: what it is, why it matters and how it can be accelerated.</w:t>
      </w:r>
    </w:p>
  </w:footnote>
  <w:footnote w:id="11">
    <w:p w14:paraId="483584B0" w14:textId="6E4D633B" w:rsidR="00D80663" w:rsidRPr="00143B4F" w:rsidRDefault="00D80663">
      <w:pPr>
        <w:pStyle w:val="FootnoteText"/>
        <w:rPr>
          <w:rFonts w:ascii="Calibri" w:hAnsi="Calibri" w:cs="Calibri"/>
          <w:sz w:val="18"/>
          <w:szCs w:val="18"/>
        </w:rPr>
      </w:pPr>
      <w:r w:rsidRPr="00143B4F">
        <w:rPr>
          <w:rStyle w:val="FootnoteReference"/>
          <w:rFonts w:ascii="Calibri" w:hAnsi="Calibri" w:cs="Calibri"/>
          <w:sz w:val="18"/>
          <w:szCs w:val="18"/>
        </w:rPr>
        <w:footnoteRef/>
      </w:r>
      <w:r w:rsidRPr="00143B4F">
        <w:rPr>
          <w:rFonts w:ascii="Calibri" w:hAnsi="Calibri" w:cs="Calibri"/>
          <w:sz w:val="18"/>
          <w:szCs w:val="18"/>
        </w:rPr>
        <w:t xml:space="preserve"> Carrington, P. J., Scott, J., &amp; Wasserman, S. (Eds). (2005). </w:t>
      </w:r>
      <w:r w:rsidRPr="00143B4F">
        <w:rPr>
          <w:rFonts w:ascii="Calibri" w:hAnsi="Calibri" w:cs="Calibri"/>
          <w:i/>
          <w:iCs/>
          <w:sz w:val="18"/>
          <w:szCs w:val="18"/>
        </w:rPr>
        <w:t>Models and methods in social network analysis</w:t>
      </w:r>
      <w:r w:rsidRPr="00143B4F">
        <w:rPr>
          <w:rFonts w:ascii="Calibri" w:hAnsi="Calibri" w:cs="Calibri"/>
          <w:sz w:val="18"/>
          <w:szCs w:val="18"/>
        </w:rPr>
        <w:t> (Vol. 28). Cambridge university press.</w:t>
      </w:r>
    </w:p>
  </w:footnote>
  <w:footnote w:id="12">
    <w:p w14:paraId="7B79C654" w14:textId="0F47D012" w:rsidR="00D80663" w:rsidRDefault="00D80663" w:rsidP="00E766CE">
      <w:pPr>
        <w:pStyle w:val="FootnoteText"/>
      </w:pPr>
      <w:r w:rsidRPr="00143B4F">
        <w:rPr>
          <w:rStyle w:val="FootnoteReference"/>
          <w:rFonts w:ascii="Calibri" w:hAnsi="Calibri" w:cs="Calibri"/>
          <w:sz w:val="18"/>
          <w:szCs w:val="18"/>
        </w:rPr>
        <w:footnoteRef/>
      </w:r>
      <w:r w:rsidRPr="00143B4F">
        <w:rPr>
          <w:rFonts w:ascii="Calibri" w:hAnsi="Calibri" w:cs="Calibri"/>
          <w:sz w:val="18"/>
          <w:szCs w:val="18"/>
        </w:rPr>
        <w:t xml:space="preserve"> Freeman, L. (2004). The development of social network analysis. </w:t>
      </w:r>
      <w:r w:rsidRPr="00143B4F">
        <w:rPr>
          <w:rFonts w:ascii="Calibri" w:hAnsi="Calibri" w:cs="Calibri"/>
          <w:i/>
          <w:iCs/>
          <w:sz w:val="18"/>
          <w:szCs w:val="18"/>
        </w:rPr>
        <w:t>A Study in the Sociology of Science</w:t>
      </w:r>
      <w:r w:rsidRPr="00143B4F">
        <w:rPr>
          <w:rFonts w:ascii="Calibri" w:hAnsi="Calibri" w:cs="Calibri"/>
          <w:sz w:val="18"/>
          <w:szCs w:val="18"/>
        </w:rPr>
        <w:t>, </w:t>
      </w:r>
      <w:r w:rsidRPr="00143B4F">
        <w:rPr>
          <w:rFonts w:ascii="Calibri" w:hAnsi="Calibri" w:cs="Calibri"/>
          <w:i/>
          <w:iCs/>
          <w:sz w:val="18"/>
          <w:szCs w:val="18"/>
        </w:rPr>
        <w:t>1</w:t>
      </w:r>
      <w:r w:rsidRPr="00143B4F">
        <w:rPr>
          <w:rFonts w:ascii="Calibri" w:hAnsi="Calibri" w:cs="Calibri"/>
          <w:sz w:val="18"/>
          <w:szCs w:val="18"/>
        </w:rPr>
        <w:t>, 687.</w:t>
      </w:r>
      <w:r>
        <w:tab/>
      </w:r>
    </w:p>
  </w:footnote>
  <w:footnote w:id="13">
    <w:p w14:paraId="488E3194" w14:textId="1B5A15BB" w:rsidR="00D80663" w:rsidRPr="00630F3C" w:rsidRDefault="00D80663">
      <w:pPr>
        <w:pStyle w:val="FootnoteText"/>
        <w:rPr>
          <w:rFonts w:ascii="Calibri" w:hAnsi="Calibri" w:cs="Arial"/>
          <w:sz w:val="18"/>
          <w:szCs w:val="18"/>
        </w:rPr>
      </w:pPr>
      <w:r w:rsidRPr="00E766CE">
        <w:rPr>
          <w:rStyle w:val="FootnoteReference"/>
          <w:rFonts w:ascii="Calibri" w:hAnsi="Calibri" w:cs="Arial"/>
          <w:sz w:val="18"/>
          <w:szCs w:val="18"/>
        </w:rPr>
        <w:footnoteRef/>
      </w:r>
      <w:r w:rsidRPr="00E766CE">
        <w:rPr>
          <w:rFonts w:ascii="Calibri" w:hAnsi="Calibri" w:cs="Arial"/>
          <w:sz w:val="18"/>
          <w:szCs w:val="18"/>
        </w:rPr>
        <w:t xml:space="preserve"> Catalano, R. F., Berglund, M. L., Ryan, J. A., Lonczak, H. S., &amp; Hawkins, J. D. (2004). Positive youth development in the United States: Research findings on evaluations of positive youth development programs. </w:t>
      </w:r>
      <w:r w:rsidRPr="00E766CE">
        <w:rPr>
          <w:rFonts w:ascii="Calibri" w:hAnsi="Calibri" w:cs="Arial"/>
          <w:i/>
          <w:iCs/>
          <w:sz w:val="18"/>
          <w:szCs w:val="18"/>
        </w:rPr>
        <w:t>The annals of the American academy of political and social science</w:t>
      </w:r>
      <w:r w:rsidRPr="00E766CE">
        <w:rPr>
          <w:rFonts w:ascii="Calibri" w:hAnsi="Calibri" w:cs="Arial"/>
          <w:sz w:val="18"/>
          <w:szCs w:val="18"/>
        </w:rPr>
        <w:t>, </w:t>
      </w:r>
      <w:r w:rsidRPr="00E766CE">
        <w:rPr>
          <w:rFonts w:ascii="Calibri" w:hAnsi="Calibri" w:cs="Arial"/>
          <w:i/>
          <w:iCs/>
          <w:sz w:val="18"/>
          <w:szCs w:val="18"/>
        </w:rPr>
        <w:t>591</w:t>
      </w:r>
      <w:r w:rsidRPr="00E766CE">
        <w:rPr>
          <w:rFonts w:ascii="Calibri" w:hAnsi="Calibri" w:cs="Arial"/>
          <w:sz w:val="18"/>
          <w:szCs w:val="18"/>
        </w:rPr>
        <w:t>(1), 98-124.</w:t>
      </w:r>
    </w:p>
  </w:footnote>
  <w:footnote w:id="14">
    <w:p w14:paraId="53BC587B" w14:textId="548A6039" w:rsidR="00D80663" w:rsidRPr="00630F3C" w:rsidRDefault="00D80663" w:rsidP="00630F3C">
      <w:pPr>
        <w:pStyle w:val="FootnoteText"/>
        <w:rPr>
          <w:rFonts w:ascii="Calibri" w:hAnsi="Calibri"/>
          <w:sz w:val="18"/>
          <w:szCs w:val="18"/>
        </w:rPr>
      </w:pPr>
      <w:r w:rsidRPr="00630F3C">
        <w:rPr>
          <w:rStyle w:val="FootnoteReference"/>
          <w:rFonts w:ascii="Calibri" w:hAnsi="Calibri"/>
          <w:sz w:val="18"/>
          <w:szCs w:val="18"/>
        </w:rPr>
        <w:footnoteRef/>
      </w:r>
      <w:r w:rsidRPr="00630F3C">
        <w:rPr>
          <w:rFonts w:ascii="Calibri" w:hAnsi="Calibri"/>
          <w:sz w:val="18"/>
          <w:szCs w:val="18"/>
        </w:rPr>
        <w:t xml:space="preserve"> Collaborative for Academic, Social, and Emotional Learning [CASEL]. (2005). Safe and sound: An educational leader’s guide to evidence-based social and emotional learning programs – Illinois edition. Chicago, IL.</w:t>
      </w:r>
    </w:p>
  </w:footnote>
  <w:footnote w:id="15">
    <w:p w14:paraId="11E9530E" w14:textId="77777777" w:rsidR="00D80663" w:rsidRPr="002377AA" w:rsidRDefault="00D80663" w:rsidP="00383D07">
      <w:pPr>
        <w:rPr>
          <w:rFonts w:ascii="Calibri" w:hAnsi="Calibri" w:cs="Calibri"/>
          <w:sz w:val="18"/>
          <w:szCs w:val="18"/>
        </w:rPr>
      </w:pPr>
      <w:r w:rsidRPr="002377AA">
        <w:rPr>
          <w:rStyle w:val="FootnoteReference"/>
          <w:rFonts w:ascii="Calibri" w:hAnsi="Calibri" w:cs="Calibri"/>
          <w:sz w:val="18"/>
          <w:szCs w:val="18"/>
        </w:rPr>
        <w:footnoteRef/>
      </w:r>
      <w:r w:rsidRPr="002377AA">
        <w:rPr>
          <w:rFonts w:ascii="Calibri" w:hAnsi="Calibri" w:cs="Calibri"/>
          <w:sz w:val="18"/>
          <w:szCs w:val="18"/>
        </w:rPr>
        <w:t xml:space="preserve"> </w:t>
      </w:r>
      <w:r w:rsidRPr="002377AA">
        <w:rPr>
          <w:rFonts w:ascii="Calibri" w:hAnsi="Calibri" w:cs="Calibri"/>
          <w:color w:val="222222"/>
          <w:sz w:val="18"/>
          <w:szCs w:val="18"/>
          <w:shd w:val="clear" w:color="auto" w:fill="FFFFFF"/>
        </w:rPr>
        <w:t>Hsieh, H. F., &amp; Shannon, S. E. (2005). Three approaches to qualitative content analysis. </w:t>
      </w:r>
      <w:r w:rsidRPr="002377AA">
        <w:rPr>
          <w:rFonts w:ascii="Calibri" w:hAnsi="Calibri" w:cs="Calibri"/>
          <w:i/>
          <w:iCs/>
          <w:color w:val="222222"/>
          <w:sz w:val="18"/>
          <w:szCs w:val="18"/>
          <w:shd w:val="clear" w:color="auto" w:fill="FFFFFF"/>
        </w:rPr>
        <w:t>Qualitative health research</w:t>
      </w:r>
      <w:r w:rsidRPr="002377AA">
        <w:rPr>
          <w:rFonts w:ascii="Calibri" w:hAnsi="Calibri" w:cs="Calibri"/>
          <w:color w:val="222222"/>
          <w:sz w:val="18"/>
          <w:szCs w:val="18"/>
          <w:shd w:val="clear" w:color="auto" w:fill="FFFFFF"/>
        </w:rPr>
        <w:t>, </w:t>
      </w:r>
      <w:r w:rsidRPr="002377AA">
        <w:rPr>
          <w:rFonts w:ascii="Calibri" w:hAnsi="Calibri" w:cs="Calibri"/>
          <w:i/>
          <w:iCs/>
          <w:color w:val="222222"/>
          <w:sz w:val="18"/>
          <w:szCs w:val="18"/>
          <w:shd w:val="clear" w:color="auto" w:fill="FFFFFF"/>
        </w:rPr>
        <w:t>15</w:t>
      </w:r>
      <w:r w:rsidRPr="002377AA">
        <w:rPr>
          <w:rFonts w:ascii="Calibri" w:hAnsi="Calibri" w:cs="Calibri"/>
          <w:color w:val="222222"/>
          <w:sz w:val="18"/>
          <w:szCs w:val="18"/>
          <w:shd w:val="clear" w:color="auto" w:fill="FFFFFF"/>
        </w:rPr>
        <w:t>(9), 1277-1288.</w:t>
      </w:r>
    </w:p>
    <w:p w14:paraId="432651A1" w14:textId="6686D32F" w:rsidR="00D80663" w:rsidRDefault="00D8066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BCD1C" w14:textId="77777777" w:rsidR="00D80663" w:rsidRDefault="00D80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B134C"/>
    <w:multiLevelType w:val="hybridMultilevel"/>
    <w:tmpl w:val="0300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374EA"/>
    <w:multiLevelType w:val="hybridMultilevel"/>
    <w:tmpl w:val="04C8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C4A88"/>
    <w:multiLevelType w:val="hybridMultilevel"/>
    <w:tmpl w:val="270A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C717C"/>
    <w:multiLevelType w:val="hybridMultilevel"/>
    <w:tmpl w:val="F87A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C033C"/>
    <w:multiLevelType w:val="hybridMultilevel"/>
    <w:tmpl w:val="E21E3258"/>
    <w:lvl w:ilvl="0" w:tplc="4BB85DE8">
      <w:start w:val="1"/>
      <w:numFmt w:val="decimal"/>
      <w:lvlText w:val="(%1)"/>
      <w:lvlJc w:val="left"/>
      <w:pPr>
        <w:ind w:left="720" w:hanging="360"/>
      </w:pPr>
      <w:rPr>
        <w:rFonts w:hint="default"/>
        <w:color w:val="000000" w:themeColor="text1"/>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22398"/>
    <w:multiLevelType w:val="hybridMultilevel"/>
    <w:tmpl w:val="4808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77B55"/>
    <w:multiLevelType w:val="hybridMultilevel"/>
    <w:tmpl w:val="6000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71BF3"/>
    <w:multiLevelType w:val="hybridMultilevel"/>
    <w:tmpl w:val="E1ECCC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849BB"/>
    <w:multiLevelType w:val="hybridMultilevel"/>
    <w:tmpl w:val="C316CA46"/>
    <w:lvl w:ilvl="0" w:tplc="70B096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F0F81"/>
    <w:multiLevelType w:val="hybridMultilevel"/>
    <w:tmpl w:val="DD02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FC1C32"/>
    <w:multiLevelType w:val="hybridMultilevel"/>
    <w:tmpl w:val="CAD6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C3F1B"/>
    <w:multiLevelType w:val="hybridMultilevel"/>
    <w:tmpl w:val="771044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22386E"/>
    <w:multiLevelType w:val="hybridMultilevel"/>
    <w:tmpl w:val="0FF44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677237"/>
    <w:multiLevelType w:val="hybridMultilevel"/>
    <w:tmpl w:val="FF6437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E67378"/>
    <w:multiLevelType w:val="hybridMultilevel"/>
    <w:tmpl w:val="0732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0"/>
  </w:num>
  <w:num w:numId="4">
    <w:abstractNumId w:val="3"/>
  </w:num>
  <w:num w:numId="5">
    <w:abstractNumId w:val="8"/>
  </w:num>
  <w:num w:numId="6">
    <w:abstractNumId w:val="7"/>
  </w:num>
  <w:num w:numId="7">
    <w:abstractNumId w:val="13"/>
  </w:num>
  <w:num w:numId="8">
    <w:abstractNumId w:val="11"/>
  </w:num>
  <w:num w:numId="9">
    <w:abstractNumId w:val="1"/>
  </w:num>
  <w:num w:numId="10">
    <w:abstractNumId w:val="5"/>
  </w:num>
  <w:num w:numId="11">
    <w:abstractNumId w:val="4"/>
  </w:num>
  <w:num w:numId="12">
    <w:abstractNumId w:val="6"/>
  </w:num>
  <w:num w:numId="13">
    <w:abstractNumId w:val="2"/>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65"/>
    <w:rsid w:val="00001DF7"/>
    <w:rsid w:val="00003BA3"/>
    <w:rsid w:val="0000489E"/>
    <w:rsid w:val="00006957"/>
    <w:rsid w:val="00010983"/>
    <w:rsid w:val="00014585"/>
    <w:rsid w:val="0001483B"/>
    <w:rsid w:val="00015B9E"/>
    <w:rsid w:val="00016FD3"/>
    <w:rsid w:val="000171CE"/>
    <w:rsid w:val="000172F7"/>
    <w:rsid w:val="00017513"/>
    <w:rsid w:val="000175FD"/>
    <w:rsid w:val="00021837"/>
    <w:rsid w:val="00023BC9"/>
    <w:rsid w:val="0002409F"/>
    <w:rsid w:val="000257AD"/>
    <w:rsid w:val="000261B3"/>
    <w:rsid w:val="00026648"/>
    <w:rsid w:val="000268AE"/>
    <w:rsid w:val="000272CB"/>
    <w:rsid w:val="00031553"/>
    <w:rsid w:val="00031678"/>
    <w:rsid w:val="00032055"/>
    <w:rsid w:val="0003259B"/>
    <w:rsid w:val="00033906"/>
    <w:rsid w:val="00033E9F"/>
    <w:rsid w:val="00034296"/>
    <w:rsid w:val="000364B5"/>
    <w:rsid w:val="000409EA"/>
    <w:rsid w:val="000419AF"/>
    <w:rsid w:val="000423F1"/>
    <w:rsid w:val="00042935"/>
    <w:rsid w:val="00042A46"/>
    <w:rsid w:val="0004342E"/>
    <w:rsid w:val="00044FB4"/>
    <w:rsid w:val="00047623"/>
    <w:rsid w:val="0005040A"/>
    <w:rsid w:val="0006148F"/>
    <w:rsid w:val="000617E7"/>
    <w:rsid w:val="0006266E"/>
    <w:rsid w:val="00063BF5"/>
    <w:rsid w:val="0006415F"/>
    <w:rsid w:val="0006681D"/>
    <w:rsid w:val="0006687C"/>
    <w:rsid w:val="00066F89"/>
    <w:rsid w:val="00070C70"/>
    <w:rsid w:val="00071250"/>
    <w:rsid w:val="00071FDB"/>
    <w:rsid w:val="000753D7"/>
    <w:rsid w:val="0007574A"/>
    <w:rsid w:val="00077135"/>
    <w:rsid w:val="00077DC3"/>
    <w:rsid w:val="00082851"/>
    <w:rsid w:val="00083146"/>
    <w:rsid w:val="00083D69"/>
    <w:rsid w:val="00085882"/>
    <w:rsid w:val="0008678D"/>
    <w:rsid w:val="00090A59"/>
    <w:rsid w:val="00091D8F"/>
    <w:rsid w:val="00094623"/>
    <w:rsid w:val="00094B44"/>
    <w:rsid w:val="00094ECF"/>
    <w:rsid w:val="00097A5D"/>
    <w:rsid w:val="000A07DB"/>
    <w:rsid w:val="000A152C"/>
    <w:rsid w:val="000A4AA3"/>
    <w:rsid w:val="000A579C"/>
    <w:rsid w:val="000A76E7"/>
    <w:rsid w:val="000B0A6B"/>
    <w:rsid w:val="000B1247"/>
    <w:rsid w:val="000B12EE"/>
    <w:rsid w:val="000B1619"/>
    <w:rsid w:val="000B168C"/>
    <w:rsid w:val="000B2068"/>
    <w:rsid w:val="000B2872"/>
    <w:rsid w:val="000B2C44"/>
    <w:rsid w:val="000B3566"/>
    <w:rsid w:val="000B391F"/>
    <w:rsid w:val="000B615F"/>
    <w:rsid w:val="000C13FE"/>
    <w:rsid w:val="000C2281"/>
    <w:rsid w:val="000C313B"/>
    <w:rsid w:val="000C3621"/>
    <w:rsid w:val="000C4D8A"/>
    <w:rsid w:val="000C6876"/>
    <w:rsid w:val="000D0B7F"/>
    <w:rsid w:val="000D1542"/>
    <w:rsid w:val="000D27A0"/>
    <w:rsid w:val="000D36D6"/>
    <w:rsid w:val="000D4735"/>
    <w:rsid w:val="000D4C48"/>
    <w:rsid w:val="000D6357"/>
    <w:rsid w:val="000D681A"/>
    <w:rsid w:val="000E0B42"/>
    <w:rsid w:val="000E33C0"/>
    <w:rsid w:val="000E3967"/>
    <w:rsid w:val="000E5E2F"/>
    <w:rsid w:val="000E618E"/>
    <w:rsid w:val="000E7E86"/>
    <w:rsid w:val="000F0108"/>
    <w:rsid w:val="000F010E"/>
    <w:rsid w:val="000F080F"/>
    <w:rsid w:val="000F13EE"/>
    <w:rsid w:val="000F284D"/>
    <w:rsid w:val="000F314B"/>
    <w:rsid w:val="000F32CD"/>
    <w:rsid w:val="000F3381"/>
    <w:rsid w:val="000F4379"/>
    <w:rsid w:val="000F4C4A"/>
    <w:rsid w:val="000F512A"/>
    <w:rsid w:val="000F5632"/>
    <w:rsid w:val="000F5ADB"/>
    <w:rsid w:val="000F5B13"/>
    <w:rsid w:val="000F6822"/>
    <w:rsid w:val="000F7CF3"/>
    <w:rsid w:val="000F7DDD"/>
    <w:rsid w:val="00101508"/>
    <w:rsid w:val="00101FA3"/>
    <w:rsid w:val="0010208A"/>
    <w:rsid w:val="001026AA"/>
    <w:rsid w:val="00104774"/>
    <w:rsid w:val="0010543F"/>
    <w:rsid w:val="0010628E"/>
    <w:rsid w:val="001068B9"/>
    <w:rsid w:val="00106EA3"/>
    <w:rsid w:val="001101D2"/>
    <w:rsid w:val="00110290"/>
    <w:rsid w:val="00110681"/>
    <w:rsid w:val="001113E6"/>
    <w:rsid w:val="001116B5"/>
    <w:rsid w:val="00111865"/>
    <w:rsid w:val="00112C3E"/>
    <w:rsid w:val="0012434A"/>
    <w:rsid w:val="001270DA"/>
    <w:rsid w:val="0013312E"/>
    <w:rsid w:val="00133751"/>
    <w:rsid w:val="00137582"/>
    <w:rsid w:val="00137EDA"/>
    <w:rsid w:val="00140D67"/>
    <w:rsid w:val="00140E16"/>
    <w:rsid w:val="00141138"/>
    <w:rsid w:val="00141B19"/>
    <w:rsid w:val="00141CC8"/>
    <w:rsid w:val="00143B4F"/>
    <w:rsid w:val="00145FCD"/>
    <w:rsid w:val="00147E53"/>
    <w:rsid w:val="00150BFB"/>
    <w:rsid w:val="00151B6B"/>
    <w:rsid w:val="00152130"/>
    <w:rsid w:val="0015305F"/>
    <w:rsid w:val="001535CC"/>
    <w:rsid w:val="00153E59"/>
    <w:rsid w:val="00154397"/>
    <w:rsid w:val="001558E4"/>
    <w:rsid w:val="001572CF"/>
    <w:rsid w:val="001579EA"/>
    <w:rsid w:val="001600EE"/>
    <w:rsid w:val="00160425"/>
    <w:rsid w:val="0016085C"/>
    <w:rsid w:val="00160E10"/>
    <w:rsid w:val="00160FA0"/>
    <w:rsid w:val="00161907"/>
    <w:rsid w:val="00162157"/>
    <w:rsid w:val="0016370C"/>
    <w:rsid w:val="00164FFF"/>
    <w:rsid w:val="001650A0"/>
    <w:rsid w:val="00165310"/>
    <w:rsid w:val="001653B4"/>
    <w:rsid w:val="001666B5"/>
    <w:rsid w:val="00172BF2"/>
    <w:rsid w:val="00172F64"/>
    <w:rsid w:val="00174704"/>
    <w:rsid w:val="0017634C"/>
    <w:rsid w:val="001766BA"/>
    <w:rsid w:val="00177DD6"/>
    <w:rsid w:val="001818F1"/>
    <w:rsid w:val="00181F3F"/>
    <w:rsid w:val="00182A3B"/>
    <w:rsid w:val="00183657"/>
    <w:rsid w:val="0018493C"/>
    <w:rsid w:val="001853E6"/>
    <w:rsid w:val="00187517"/>
    <w:rsid w:val="00190DB7"/>
    <w:rsid w:val="00191C30"/>
    <w:rsid w:val="001929B4"/>
    <w:rsid w:val="00197EF5"/>
    <w:rsid w:val="001A0026"/>
    <w:rsid w:val="001A0497"/>
    <w:rsid w:val="001A1195"/>
    <w:rsid w:val="001A4219"/>
    <w:rsid w:val="001A575E"/>
    <w:rsid w:val="001A717F"/>
    <w:rsid w:val="001A7730"/>
    <w:rsid w:val="001B28AA"/>
    <w:rsid w:val="001B2A0B"/>
    <w:rsid w:val="001B2F01"/>
    <w:rsid w:val="001B5E15"/>
    <w:rsid w:val="001B60A6"/>
    <w:rsid w:val="001C0A02"/>
    <w:rsid w:val="001C138E"/>
    <w:rsid w:val="001C1822"/>
    <w:rsid w:val="001C193D"/>
    <w:rsid w:val="001C218F"/>
    <w:rsid w:val="001C24A2"/>
    <w:rsid w:val="001C3E5B"/>
    <w:rsid w:val="001C4B23"/>
    <w:rsid w:val="001C4B8C"/>
    <w:rsid w:val="001C70A8"/>
    <w:rsid w:val="001D0F1A"/>
    <w:rsid w:val="001D1371"/>
    <w:rsid w:val="001D182A"/>
    <w:rsid w:val="001D370D"/>
    <w:rsid w:val="001D3A09"/>
    <w:rsid w:val="001D51D1"/>
    <w:rsid w:val="001D6538"/>
    <w:rsid w:val="001D6F3E"/>
    <w:rsid w:val="001E0E35"/>
    <w:rsid w:val="001E1C6B"/>
    <w:rsid w:val="001E3CCB"/>
    <w:rsid w:val="001E4D1E"/>
    <w:rsid w:val="001E5057"/>
    <w:rsid w:val="001E519D"/>
    <w:rsid w:val="001E6D92"/>
    <w:rsid w:val="001E6E58"/>
    <w:rsid w:val="001E7871"/>
    <w:rsid w:val="001E7C07"/>
    <w:rsid w:val="001F0F3E"/>
    <w:rsid w:val="001F2B3D"/>
    <w:rsid w:val="001F2E29"/>
    <w:rsid w:val="001F3E35"/>
    <w:rsid w:val="001F4DA3"/>
    <w:rsid w:val="001F599C"/>
    <w:rsid w:val="001F79C9"/>
    <w:rsid w:val="00200730"/>
    <w:rsid w:val="00200BC4"/>
    <w:rsid w:val="00202E25"/>
    <w:rsid w:val="0020438B"/>
    <w:rsid w:val="00205468"/>
    <w:rsid w:val="002101BE"/>
    <w:rsid w:val="00210857"/>
    <w:rsid w:val="0021093C"/>
    <w:rsid w:val="00211111"/>
    <w:rsid w:val="0021245E"/>
    <w:rsid w:val="00214287"/>
    <w:rsid w:val="0021603D"/>
    <w:rsid w:val="00216451"/>
    <w:rsid w:val="00220A06"/>
    <w:rsid w:val="00220C0E"/>
    <w:rsid w:val="00221088"/>
    <w:rsid w:val="00221581"/>
    <w:rsid w:val="002215D4"/>
    <w:rsid w:val="00223545"/>
    <w:rsid w:val="002274EA"/>
    <w:rsid w:val="00227CC7"/>
    <w:rsid w:val="00227E4B"/>
    <w:rsid w:val="0023127C"/>
    <w:rsid w:val="00231516"/>
    <w:rsid w:val="0023183B"/>
    <w:rsid w:val="0023329C"/>
    <w:rsid w:val="00236B28"/>
    <w:rsid w:val="00236C1A"/>
    <w:rsid w:val="00236E70"/>
    <w:rsid w:val="002377AA"/>
    <w:rsid w:val="0024074B"/>
    <w:rsid w:val="002410C4"/>
    <w:rsid w:val="00241104"/>
    <w:rsid w:val="00241F59"/>
    <w:rsid w:val="00247411"/>
    <w:rsid w:val="00247914"/>
    <w:rsid w:val="002506CB"/>
    <w:rsid w:val="002511BC"/>
    <w:rsid w:val="002511EF"/>
    <w:rsid w:val="002515AF"/>
    <w:rsid w:val="00253701"/>
    <w:rsid w:val="00254B0F"/>
    <w:rsid w:val="002552F7"/>
    <w:rsid w:val="002558A5"/>
    <w:rsid w:val="00255DFB"/>
    <w:rsid w:val="00260F7F"/>
    <w:rsid w:val="00260FEA"/>
    <w:rsid w:val="002614A6"/>
    <w:rsid w:val="002622F7"/>
    <w:rsid w:val="002641C1"/>
    <w:rsid w:val="00270A65"/>
    <w:rsid w:val="00270A82"/>
    <w:rsid w:val="00273A1E"/>
    <w:rsid w:val="00273D51"/>
    <w:rsid w:val="00273EFA"/>
    <w:rsid w:val="00274C83"/>
    <w:rsid w:val="00274FC7"/>
    <w:rsid w:val="002750E5"/>
    <w:rsid w:val="00275CB3"/>
    <w:rsid w:val="00277970"/>
    <w:rsid w:val="00281176"/>
    <w:rsid w:val="00281F66"/>
    <w:rsid w:val="00282A53"/>
    <w:rsid w:val="002850E4"/>
    <w:rsid w:val="00285541"/>
    <w:rsid w:val="002920FE"/>
    <w:rsid w:val="002931A5"/>
    <w:rsid w:val="002932CA"/>
    <w:rsid w:val="00295225"/>
    <w:rsid w:val="00295820"/>
    <w:rsid w:val="002958A9"/>
    <w:rsid w:val="00297363"/>
    <w:rsid w:val="002A4281"/>
    <w:rsid w:val="002A67C5"/>
    <w:rsid w:val="002A6A11"/>
    <w:rsid w:val="002A6C7E"/>
    <w:rsid w:val="002B0D82"/>
    <w:rsid w:val="002B1468"/>
    <w:rsid w:val="002B1964"/>
    <w:rsid w:val="002B2386"/>
    <w:rsid w:val="002B281C"/>
    <w:rsid w:val="002B2916"/>
    <w:rsid w:val="002C0B23"/>
    <w:rsid w:val="002C4C57"/>
    <w:rsid w:val="002C52B4"/>
    <w:rsid w:val="002C59EE"/>
    <w:rsid w:val="002C7460"/>
    <w:rsid w:val="002D094E"/>
    <w:rsid w:val="002D1599"/>
    <w:rsid w:val="002D1F15"/>
    <w:rsid w:val="002D2614"/>
    <w:rsid w:val="002D306E"/>
    <w:rsid w:val="002E1F81"/>
    <w:rsid w:val="002E5ED3"/>
    <w:rsid w:val="002E7E8B"/>
    <w:rsid w:val="002F053D"/>
    <w:rsid w:val="002F0966"/>
    <w:rsid w:val="002F0E8B"/>
    <w:rsid w:val="002F1D7D"/>
    <w:rsid w:val="002F2014"/>
    <w:rsid w:val="002F2A14"/>
    <w:rsid w:val="002F7013"/>
    <w:rsid w:val="002F7F65"/>
    <w:rsid w:val="0030185A"/>
    <w:rsid w:val="0030205B"/>
    <w:rsid w:val="003030EE"/>
    <w:rsid w:val="003063E5"/>
    <w:rsid w:val="00312C55"/>
    <w:rsid w:val="003143EB"/>
    <w:rsid w:val="00315F07"/>
    <w:rsid w:val="003204E3"/>
    <w:rsid w:val="00321FFD"/>
    <w:rsid w:val="003220E3"/>
    <w:rsid w:val="00322352"/>
    <w:rsid w:val="00322581"/>
    <w:rsid w:val="0032494C"/>
    <w:rsid w:val="00326CBE"/>
    <w:rsid w:val="00326EDC"/>
    <w:rsid w:val="00327C8B"/>
    <w:rsid w:val="00327E07"/>
    <w:rsid w:val="0033059B"/>
    <w:rsid w:val="00334CD9"/>
    <w:rsid w:val="00337C60"/>
    <w:rsid w:val="0034395D"/>
    <w:rsid w:val="0034419C"/>
    <w:rsid w:val="0034443B"/>
    <w:rsid w:val="0034444D"/>
    <w:rsid w:val="003510B1"/>
    <w:rsid w:val="0035405B"/>
    <w:rsid w:val="00354DB5"/>
    <w:rsid w:val="003573E8"/>
    <w:rsid w:val="003601CA"/>
    <w:rsid w:val="003606D6"/>
    <w:rsid w:val="00360C96"/>
    <w:rsid w:val="00360E01"/>
    <w:rsid w:val="003613BD"/>
    <w:rsid w:val="003634A5"/>
    <w:rsid w:val="00364B61"/>
    <w:rsid w:val="00365ECA"/>
    <w:rsid w:val="00367679"/>
    <w:rsid w:val="00370222"/>
    <w:rsid w:val="003702C7"/>
    <w:rsid w:val="00372913"/>
    <w:rsid w:val="00372F5C"/>
    <w:rsid w:val="00374E6A"/>
    <w:rsid w:val="003751F2"/>
    <w:rsid w:val="003757DC"/>
    <w:rsid w:val="00376DD3"/>
    <w:rsid w:val="003800FF"/>
    <w:rsid w:val="00380BC5"/>
    <w:rsid w:val="00380D2A"/>
    <w:rsid w:val="00380D7B"/>
    <w:rsid w:val="00381734"/>
    <w:rsid w:val="00381CB5"/>
    <w:rsid w:val="00383D07"/>
    <w:rsid w:val="0038448D"/>
    <w:rsid w:val="003848A3"/>
    <w:rsid w:val="0038553A"/>
    <w:rsid w:val="00385E87"/>
    <w:rsid w:val="00387B59"/>
    <w:rsid w:val="00390B66"/>
    <w:rsid w:val="003924B7"/>
    <w:rsid w:val="0039277A"/>
    <w:rsid w:val="003946C3"/>
    <w:rsid w:val="003957B8"/>
    <w:rsid w:val="00395B59"/>
    <w:rsid w:val="00396E6E"/>
    <w:rsid w:val="003976BF"/>
    <w:rsid w:val="00397BDF"/>
    <w:rsid w:val="00397F87"/>
    <w:rsid w:val="003A07D6"/>
    <w:rsid w:val="003A1811"/>
    <w:rsid w:val="003A1941"/>
    <w:rsid w:val="003A1A39"/>
    <w:rsid w:val="003A2C06"/>
    <w:rsid w:val="003A3BF4"/>
    <w:rsid w:val="003A4D00"/>
    <w:rsid w:val="003B005A"/>
    <w:rsid w:val="003B006A"/>
    <w:rsid w:val="003B121D"/>
    <w:rsid w:val="003B1FE7"/>
    <w:rsid w:val="003B20AE"/>
    <w:rsid w:val="003B324A"/>
    <w:rsid w:val="003B3B4E"/>
    <w:rsid w:val="003B3FAD"/>
    <w:rsid w:val="003B4159"/>
    <w:rsid w:val="003B4F14"/>
    <w:rsid w:val="003B7177"/>
    <w:rsid w:val="003B7B3A"/>
    <w:rsid w:val="003C1A8B"/>
    <w:rsid w:val="003C3538"/>
    <w:rsid w:val="003C4D80"/>
    <w:rsid w:val="003C51FE"/>
    <w:rsid w:val="003C6AB8"/>
    <w:rsid w:val="003C720D"/>
    <w:rsid w:val="003C7B46"/>
    <w:rsid w:val="003D098A"/>
    <w:rsid w:val="003D1D34"/>
    <w:rsid w:val="003D2E72"/>
    <w:rsid w:val="003D4CF4"/>
    <w:rsid w:val="003D4DD2"/>
    <w:rsid w:val="003D5392"/>
    <w:rsid w:val="003D5779"/>
    <w:rsid w:val="003D772A"/>
    <w:rsid w:val="003E0702"/>
    <w:rsid w:val="003E143B"/>
    <w:rsid w:val="003E3A92"/>
    <w:rsid w:val="003E4C89"/>
    <w:rsid w:val="003E6F31"/>
    <w:rsid w:val="003E7ECD"/>
    <w:rsid w:val="003F1B3E"/>
    <w:rsid w:val="003F2F92"/>
    <w:rsid w:val="003F3DA5"/>
    <w:rsid w:val="003F40EC"/>
    <w:rsid w:val="004048B6"/>
    <w:rsid w:val="00405C27"/>
    <w:rsid w:val="00410DDA"/>
    <w:rsid w:val="004128C5"/>
    <w:rsid w:val="00413AAB"/>
    <w:rsid w:val="00413E8F"/>
    <w:rsid w:val="00414074"/>
    <w:rsid w:val="00414FDE"/>
    <w:rsid w:val="0041507D"/>
    <w:rsid w:val="004169BB"/>
    <w:rsid w:val="00417550"/>
    <w:rsid w:val="004204B2"/>
    <w:rsid w:val="004208DB"/>
    <w:rsid w:val="00420A32"/>
    <w:rsid w:val="004235F4"/>
    <w:rsid w:val="004237AD"/>
    <w:rsid w:val="00425E17"/>
    <w:rsid w:val="00427737"/>
    <w:rsid w:val="00427A81"/>
    <w:rsid w:val="004300A6"/>
    <w:rsid w:val="00430D1B"/>
    <w:rsid w:val="00434BF7"/>
    <w:rsid w:val="00437459"/>
    <w:rsid w:val="0044095D"/>
    <w:rsid w:val="00441846"/>
    <w:rsid w:val="00441A07"/>
    <w:rsid w:val="00444A44"/>
    <w:rsid w:val="0044658C"/>
    <w:rsid w:val="00450246"/>
    <w:rsid w:val="00450C41"/>
    <w:rsid w:val="00452B2C"/>
    <w:rsid w:val="00453049"/>
    <w:rsid w:val="004545F7"/>
    <w:rsid w:val="0045498D"/>
    <w:rsid w:val="00454EBD"/>
    <w:rsid w:val="00455D57"/>
    <w:rsid w:val="0045640F"/>
    <w:rsid w:val="004565C7"/>
    <w:rsid w:val="00456701"/>
    <w:rsid w:val="004604CB"/>
    <w:rsid w:val="00462C24"/>
    <w:rsid w:val="0046377B"/>
    <w:rsid w:val="0046541C"/>
    <w:rsid w:val="00467088"/>
    <w:rsid w:val="00467BEC"/>
    <w:rsid w:val="00473E18"/>
    <w:rsid w:val="00481D53"/>
    <w:rsid w:val="004837FA"/>
    <w:rsid w:val="00483BD9"/>
    <w:rsid w:val="00484D45"/>
    <w:rsid w:val="004873DD"/>
    <w:rsid w:val="00490D89"/>
    <w:rsid w:val="00492099"/>
    <w:rsid w:val="00493B3C"/>
    <w:rsid w:val="00493F75"/>
    <w:rsid w:val="0049435B"/>
    <w:rsid w:val="004960CF"/>
    <w:rsid w:val="004966A5"/>
    <w:rsid w:val="00496D11"/>
    <w:rsid w:val="00497625"/>
    <w:rsid w:val="004A08A1"/>
    <w:rsid w:val="004A1C7E"/>
    <w:rsid w:val="004A2B75"/>
    <w:rsid w:val="004A2BD0"/>
    <w:rsid w:val="004A31BC"/>
    <w:rsid w:val="004A3276"/>
    <w:rsid w:val="004A353C"/>
    <w:rsid w:val="004A3C2D"/>
    <w:rsid w:val="004A44D2"/>
    <w:rsid w:val="004A45F7"/>
    <w:rsid w:val="004A52C5"/>
    <w:rsid w:val="004A564F"/>
    <w:rsid w:val="004A5FE6"/>
    <w:rsid w:val="004A626F"/>
    <w:rsid w:val="004A7470"/>
    <w:rsid w:val="004A7889"/>
    <w:rsid w:val="004A7B8C"/>
    <w:rsid w:val="004B0AF8"/>
    <w:rsid w:val="004B2F95"/>
    <w:rsid w:val="004B33F3"/>
    <w:rsid w:val="004B35F8"/>
    <w:rsid w:val="004B3920"/>
    <w:rsid w:val="004B794C"/>
    <w:rsid w:val="004C24FC"/>
    <w:rsid w:val="004C2CDB"/>
    <w:rsid w:val="004C6FB4"/>
    <w:rsid w:val="004C7F3B"/>
    <w:rsid w:val="004D1B53"/>
    <w:rsid w:val="004D3E96"/>
    <w:rsid w:val="004D3FEB"/>
    <w:rsid w:val="004D6D8A"/>
    <w:rsid w:val="004D72A0"/>
    <w:rsid w:val="004E02EA"/>
    <w:rsid w:val="004E0B92"/>
    <w:rsid w:val="004E1321"/>
    <w:rsid w:val="004E3D00"/>
    <w:rsid w:val="004E480C"/>
    <w:rsid w:val="004E6CA2"/>
    <w:rsid w:val="004F00DE"/>
    <w:rsid w:val="004F5839"/>
    <w:rsid w:val="005001C7"/>
    <w:rsid w:val="00502BC9"/>
    <w:rsid w:val="00502D06"/>
    <w:rsid w:val="0050354E"/>
    <w:rsid w:val="0050402C"/>
    <w:rsid w:val="0050428A"/>
    <w:rsid w:val="005045D9"/>
    <w:rsid w:val="0050530C"/>
    <w:rsid w:val="00505728"/>
    <w:rsid w:val="00506747"/>
    <w:rsid w:val="00511FD5"/>
    <w:rsid w:val="00512128"/>
    <w:rsid w:val="0051308A"/>
    <w:rsid w:val="0051385E"/>
    <w:rsid w:val="00513B5A"/>
    <w:rsid w:val="0051505D"/>
    <w:rsid w:val="0051554A"/>
    <w:rsid w:val="0051588E"/>
    <w:rsid w:val="00516D03"/>
    <w:rsid w:val="00516F68"/>
    <w:rsid w:val="00517CC0"/>
    <w:rsid w:val="00517D8C"/>
    <w:rsid w:val="00521A1D"/>
    <w:rsid w:val="005224A9"/>
    <w:rsid w:val="0053079E"/>
    <w:rsid w:val="00530EE8"/>
    <w:rsid w:val="005326EF"/>
    <w:rsid w:val="00533183"/>
    <w:rsid w:val="00534CCE"/>
    <w:rsid w:val="0053792C"/>
    <w:rsid w:val="00541031"/>
    <w:rsid w:val="00541E57"/>
    <w:rsid w:val="005439E3"/>
    <w:rsid w:val="00543BD5"/>
    <w:rsid w:val="00543FFD"/>
    <w:rsid w:val="0054447C"/>
    <w:rsid w:val="00544660"/>
    <w:rsid w:val="0054785A"/>
    <w:rsid w:val="0055091D"/>
    <w:rsid w:val="005529DE"/>
    <w:rsid w:val="00552CF1"/>
    <w:rsid w:val="00553DA2"/>
    <w:rsid w:val="00554060"/>
    <w:rsid w:val="0055416A"/>
    <w:rsid w:val="0055442E"/>
    <w:rsid w:val="00556385"/>
    <w:rsid w:val="00556ACC"/>
    <w:rsid w:val="00560063"/>
    <w:rsid w:val="00560387"/>
    <w:rsid w:val="005608F5"/>
    <w:rsid w:val="0056250D"/>
    <w:rsid w:val="00563036"/>
    <w:rsid w:val="005640B7"/>
    <w:rsid w:val="00565200"/>
    <w:rsid w:val="00565D2B"/>
    <w:rsid w:val="00565F85"/>
    <w:rsid w:val="00566AF5"/>
    <w:rsid w:val="00567FEE"/>
    <w:rsid w:val="005701BB"/>
    <w:rsid w:val="005718AC"/>
    <w:rsid w:val="00571AD5"/>
    <w:rsid w:val="00571F28"/>
    <w:rsid w:val="00574765"/>
    <w:rsid w:val="005751F6"/>
    <w:rsid w:val="005775E5"/>
    <w:rsid w:val="0057779D"/>
    <w:rsid w:val="00583ED6"/>
    <w:rsid w:val="00584840"/>
    <w:rsid w:val="005850A0"/>
    <w:rsid w:val="00585ABD"/>
    <w:rsid w:val="00587022"/>
    <w:rsid w:val="0059198C"/>
    <w:rsid w:val="005928CC"/>
    <w:rsid w:val="0059293E"/>
    <w:rsid w:val="00592F40"/>
    <w:rsid w:val="005930F5"/>
    <w:rsid w:val="0059358C"/>
    <w:rsid w:val="00593EB1"/>
    <w:rsid w:val="005941C5"/>
    <w:rsid w:val="0059555E"/>
    <w:rsid w:val="00596D57"/>
    <w:rsid w:val="005975F1"/>
    <w:rsid w:val="005A05C6"/>
    <w:rsid w:val="005A068C"/>
    <w:rsid w:val="005A3AEF"/>
    <w:rsid w:val="005A3ED9"/>
    <w:rsid w:val="005B0930"/>
    <w:rsid w:val="005B0C1A"/>
    <w:rsid w:val="005B2F13"/>
    <w:rsid w:val="005B4304"/>
    <w:rsid w:val="005B4438"/>
    <w:rsid w:val="005B4D1C"/>
    <w:rsid w:val="005B7352"/>
    <w:rsid w:val="005C14ED"/>
    <w:rsid w:val="005C32A8"/>
    <w:rsid w:val="005C6263"/>
    <w:rsid w:val="005C6F2B"/>
    <w:rsid w:val="005C7B6A"/>
    <w:rsid w:val="005D0199"/>
    <w:rsid w:val="005D13B4"/>
    <w:rsid w:val="005D28A6"/>
    <w:rsid w:val="005D60D0"/>
    <w:rsid w:val="005D60DC"/>
    <w:rsid w:val="005D72DE"/>
    <w:rsid w:val="005E05D4"/>
    <w:rsid w:val="005E11EC"/>
    <w:rsid w:val="005E1D79"/>
    <w:rsid w:val="005E2286"/>
    <w:rsid w:val="005E3BD5"/>
    <w:rsid w:val="005E3C44"/>
    <w:rsid w:val="005E415E"/>
    <w:rsid w:val="005E79C7"/>
    <w:rsid w:val="005E7B61"/>
    <w:rsid w:val="005E7FEC"/>
    <w:rsid w:val="005F0FF8"/>
    <w:rsid w:val="005F2212"/>
    <w:rsid w:val="005F2BE3"/>
    <w:rsid w:val="005F455E"/>
    <w:rsid w:val="005F46C7"/>
    <w:rsid w:val="005F6839"/>
    <w:rsid w:val="0060183C"/>
    <w:rsid w:val="00602D43"/>
    <w:rsid w:val="006034E6"/>
    <w:rsid w:val="00605CCD"/>
    <w:rsid w:val="00606066"/>
    <w:rsid w:val="0060646A"/>
    <w:rsid w:val="0061336C"/>
    <w:rsid w:val="00615B5C"/>
    <w:rsid w:val="00616027"/>
    <w:rsid w:val="00616B8B"/>
    <w:rsid w:val="00620F89"/>
    <w:rsid w:val="0062112C"/>
    <w:rsid w:val="0062136F"/>
    <w:rsid w:val="0062433D"/>
    <w:rsid w:val="00625B83"/>
    <w:rsid w:val="006276AE"/>
    <w:rsid w:val="00630283"/>
    <w:rsid w:val="00630F3C"/>
    <w:rsid w:val="00631979"/>
    <w:rsid w:val="00631D2A"/>
    <w:rsid w:val="00632A52"/>
    <w:rsid w:val="006330EB"/>
    <w:rsid w:val="00634840"/>
    <w:rsid w:val="0063494E"/>
    <w:rsid w:val="00635596"/>
    <w:rsid w:val="00635DFD"/>
    <w:rsid w:val="00635EB1"/>
    <w:rsid w:val="00636B83"/>
    <w:rsid w:val="00640879"/>
    <w:rsid w:val="006415EA"/>
    <w:rsid w:val="00643532"/>
    <w:rsid w:val="00643D78"/>
    <w:rsid w:val="00643EC0"/>
    <w:rsid w:val="00644D06"/>
    <w:rsid w:val="006450E8"/>
    <w:rsid w:val="006452BC"/>
    <w:rsid w:val="0064653A"/>
    <w:rsid w:val="00650005"/>
    <w:rsid w:val="006514DC"/>
    <w:rsid w:val="00652D7C"/>
    <w:rsid w:val="00656D5C"/>
    <w:rsid w:val="0065717D"/>
    <w:rsid w:val="00663E18"/>
    <w:rsid w:val="00670118"/>
    <w:rsid w:val="006720A1"/>
    <w:rsid w:val="00674B84"/>
    <w:rsid w:val="00674CC2"/>
    <w:rsid w:val="00674D9F"/>
    <w:rsid w:val="00675D40"/>
    <w:rsid w:val="00676971"/>
    <w:rsid w:val="006769FA"/>
    <w:rsid w:val="00676B69"/>
    <w:rsid w:val="00676C78"/>
    <w:rsid w:val="006824B5"/>
    <w:rsid w:val="00682902"/>
    <w:rsid w:val="006855B5"/>
    <w:rsid w:val="00686E27"/>
    <w:rsid w:val="006902FB"/>
    <w:rsid w:val="00690D84"/>
    <w:rsid w:val="006912AA"/>
    <w:rsid w:val="0069176A"/>
    <w:rsid w:val="00691BAB"/>
    <w:rsid w:val="00692B65"/>
    <w:rsid w:val="00693182"/>
    <w:rsid w:val="00693F04"/>
    <w:rsid w:val="0069478F"/>
    <w:rsid w:val="00694BD8"/>
    <w:rsid w:val="00695A30"/>
    <w:rsid w:val="00696608"/>
    <w:rsid w:val="006970DB"/>
    <w:rsid w:val="0069718B"/>
    <w:rsid w:val="006971EE"/>
    <w:rsid w:val="006A27E2"/>
    <w:rsid w:val="006A2916"/>
    <w:rsid w:val="006A6284"/>
    <w:rsid w:val="006A66A2"/>
    <w:rsid w:val="006B1125"/>
    <w:rsid w:val="006B18A8"/>
    <w:rsid w:val="006B1987"/>
    <w:rsid w:val="006B5FE9"/>
    <w:rsid w:val="006B6D79"/>
    <w:rsid w:val="006B7BF5"/>
    <w:rsid w:val="006C22AD"/>
    <w:rsid w:val="006C2514"/>
    <w:rsid w:val="006C2730"/>
    <w:rsid w:val="006C43DC"/>
    <w:rsid w:val="006C45F0"/>
    <w:rsid w:val="006C61CE"/>
    <w:rsid w:val="006C6928"/>
    <w:rsid w:val="006C7470"/>
    <w:rsid w:val="006C7E92"/>
    <w:rsid w:val="006D2818"/>
    <w:rsid w:val="006D4311"/>
    <w:rsid w:val="006D4556"/>
    <w:rsid w:val="006D4B22"/>
    <w:rsid w:val="006D4CAA"/>
    <w:rsid w:val="006D5720"/>
    <w:rsid w:val="006D5E99"/>
    <w:rsid w:val="006E070B"/>
    <w:rsid w:val="006E0E3F"/>
    <w:rsid w:val="006E217D"/>
    <w:rsid w:val="006E5D7F"/>
    <w:rsid w:val="006F5820"/>
    <w:rsid w:val="006F5F94"/>
    <w:rsid w:val="006F6FA0"/>
    <w:rsid w:val="006F7BA1"/>
    <w:rsid w:val="007023FE"/>
    <w:rsid w:val="00704921"/>
    <w:rsid w:val="007068FA"/>
    <w:rsid w:val="0071160C"/>
    <w:rsid w:val="00711932"/>
    <w:rsid w:val="00712DCF"/>
    <w:rsid w:val="00713681"/>
    <w:rsid w:val="00713DF1"/>
    <w:rsid w:val="00714682"/>
    <w:rsid w:val="00720682"/>
    <w:rsid w:val="0072133C"/>
    <w:rsid w:val="0072182D"/>
    <w:rsid w:val="0072250C"/>
    <w:rsid w:val="0072434B"/>
    <w:rsid w:val="007248E9"/>
    <w:rsid w:val="00724A05"/>
    <w:rsid w:val="00725167"/>
    <w:rsid w:val="00727616"/>
    <w:rsid w:val="007308AE"/>
    <w:rsid w:val="00730FAC"/>
    <w:rsid w:val="007325D3"/>
    <w:rsid w:val="007330B8"/>
    <w:rsid w:val="00734710"/>
    <w:rsid w:val="00735023"/>
    <w:rsid w:val="0073533C"/>
    <w:rsid w:val="00735B3F"/>
    <w:rsid w:val="0073622E"/>
    <w:rsid w:val="00736C9F"/>
    <w:rsid w:val="0073730F"/>
    <w:rsid w:val="007400D7"/>
    <w:rsid w:val="00740AEB"/>
    <w:rsid w:val="00751387"/>
    <w:rsid w:val="0075194E"/>
    <w:rsid w:val="0075201B"/>
    <w:rsid w:val="00754350"/>
    <w:rsid w:val="00755E22"/>
    <w:rsid w:val="007629AF"/>
    <w:rsid w:val="0076345C"/>
    <w:rsid w:val="00763C52"/>
    <w:rsid w:val="00765E7F"/>
    <w:rsid w:val="00766656"/>
    <w:rsid w:val="00770754"/>
    <w:rsid w:val="007710B5"/>
    <w:rsid w:val="007724D5"/>
    <w:rsid w:val="00772702"/>
    <w:rsid w:val="0077320D"/>
    <w:rsid w:val="007766A3"/>
    <w:rsid w:val="00780338"/>
    <w:rsid w:val="00780787"/>
    <w:rsid w:val="00781AAA"/>
    <w:rsid w:val="00781F71"/>
    <w:rsid w:val="007823FA"/>
    <w:rsid w:val="0078244F"/>
    <w:rsid w:val="007832C0"/>
    <w:rsid w:val="007838E4"/>
    <w:rsid w:val="007846CC"/>
    <w:rsid w:val="0078498C"/>
    <w:rsid w:val="007853D0"/>
    <w:rsid w:val="00785BF2"/>
    <w:rsid w:val="00786CEC"/>
    <w:rsid w:val="007875BC"/>
    <w:rsid w:val="007878F0"/>
    <w:rsid w:val="00790286"/>
    <w:rsid w:val="00790779"/>
    <w:rsid w:val="00792D11"/>
    <w:rsid w:val="00793D0E"/>
    <w:rsid w:val="00795F5A"/>
    <w:rsid w:val="00796EB3"/>
    <w:rsid w:val="00797151"/>
    <w:rsid w:val="007978FB"/>
    <w:rsid w:val="007979C6"/>
    <w:rsid w:val="007A16BE"/>
    <w:rsid w:val="007A1D54"/>
    <w:rsid w:val="007A201D"/>
    <w:rsid w:val="007A449C"/>
    <w:rsid w:val="007A69FA"/>
    <w:rsid w:val="007A7F5C"/>
    <w:rsid w:val="007B0420"/>
    <w:rsid w:val="007B0CB8"/>
    <w:rsid w:val="007B0ECA"/>
    <w:rsid w:val="007B2573"/>
    <w:rsid w:val="007B717E"/>
    <w:rsid w:val="007B74FC"/>
    <w:rsid w:val="007C0CA0"/>
    <w:rsid w:val="007C18F0"/>
    <w:rsid w:val="007C19D4"/>
    <w:rsid w:val="007C2063"/>
    <w:rsid w:val="007C4CF6"/>
    <w:rsid w:val="007C5D09"/>
    <w:rsid w:val="007D0B1B"/>
    <w:rsid w:val="007D0CB7"/>
    <w:rsid w:val="007D12CD"/>
    <w:rsid w:val="007D292D"/>
    <w:rsid w:val="007D70C9"/>
    <w:rsid w:val="007E3CD7"/>
    <w:rsid w:val="007E3FF3"/>
    <w:rsid w:val="007E405F"/>
    <w:rsid w:val="007E4065"/>
    <w:rsid w:val="007E4D45"/>
    <w:rsid w:val="007E5B88"/>
    <w:rsid w:val="007E5C48"/>
    <w:rsid w:val="007E6687"/>
    <w:rsid w:val="007E6C98"/>
    <w:rsid w:val="007E7531"/>
    <w:rsid w:val="007E7C73"/>
    <w:rsid w:val="007F17C0"/>
    <w:rsid w:val="007F2451"/>
    <w:rsid w:val="007F2A10"/>
    <w:rsid w:val="007F3DDC"/>
    <w:rsid w:val="007F48D4"/>
    <w:rsid w:val="007F6641"/>
    <w:rsid w:val="007F7E5E"/>
    <w:rsid w:val="00800C76"/>
    <w:rsid w:val="00801E76"/>
    <w:rsid w:val="008021CE"/>
    <w:rsid w:val="0080299B"/>
    <w:rsid w:val="00803709"/>
    <w:rsid w:val="00805E0A"/>
    <w:rsid w:val="00807805"/>
    <w:rsid w:val="00810064"/>
    <w:rsid w:val="00811BE1"/>
    <w:rsid w:val="00812BD6"/>
    <w:rsid w:val="00812D05"/>
    <w:rsid w:val="00813531"/>
    <w:rsid w:val="0081405E"/>
    <w:rsid w:val="008142E6"/>
    <w:rsid w:val="00815B1A"/>
    <w:rsid w:val="00817202"/>
    <w:rsid w:val="008243B5"/>
    <w:rsid w:val="008244BC"/>
    <w:rsid w:val="00825F57"/>
    <w:rsid w:val="00827D4C"/>
    <w:rsid w:val="0083000E"/>
    <w:rsid w:val="00832030"/>
    <w:rsid w:val="00833D23"/>
    <w:rsid w:val="00833D5F"/>
    <w:rsid w:val="00834266"/>
    <w:rsid w:val="0083594F"/>
    <w:rsid w:val="00835F77"/>
    <w:rsid w:val="00836EAE"/>
    <w:rsid w:val="00837BAE"/>
    <w:rsid w:val="00837E8A"/>
    <w:rsid w:val="0084099D"/>
    <w:rsid w:val="00840F16"/>
    <w:rsid w:val="00841B30"/>
    <w:rsid w:val="00846309"/>
    <w:rsid w:val="008528D5"/>
    <w:rsid w:val="00855E22"/>
    <w:rsid w:val="008565EA"/>
    <w:rsid w:val="00857FB7"/>
    <w:rsid w:val="00860BA1"/>
    <w:rsid w:val="00861586"/>
    <w:rsid w:val="00864317"/>
    <w:rsid w:val="00864F0C"/>
    <w:rsid w:val="00865AA6"/>
    <w:rsid w:val="00867BE3"/>
    <w:rsid w:val="00867D24"/>
    <w:rsid w:val="00870080"/>
    <w:rsid w:val="008728D1"/>
    <w:rsid w:val="00872A0C"/>
    <w:rsid w:val="00877F2C"/>
    <w:rsid w:val="0088078F"/>
    <w:rsid w:val="00880B17"/>
    <w:rsid w:val="00881452"/>
    <w:rsid w:val="00881AE5"/>
    <w:rsid w:val="0088251E"/>
    <w:rsid w:val="00883510"/>
    <w:rsid w:val="00885D82"/>
    <w:rsid w:val="00886CAC"/>
    <w:rsid w:val="008870B5"/>
    <w:rsid w:val="00890F9E"/>
    <w:rsid w:val="00891793"/>
    <w:rsid w:val="0089202C"/>
    <w:rsid w:val="008921DA"/>
    <w:rsid w:val="00892514"/>
    <w:rsid w:val="00893526"/>
    <w:rsid w:val="00896E41"/>
    <w:rsid w:val="008A18DA"/>
    <w:rsid w:val="008A1BC3"/>
    <w:rsid w:val="008A26B8"/>
    <w:rsid w:val="008A3F99"/>
    <w:rsid w:val="008A40FF"/>
    <w:rsid w:val="008A540B"/>
    <w:rsid w:val="008A5B3D"/>
    <w:rsid w:val="008A61AB"/>
    <w:rsid w:val="008B0900"/>
    <w:rsid w:val="008B26CD"/>
    <w:rsid w:val="008B2EB0"/>
    <w:rsid w:val="008B4D95"/>
    <w:rsid w:val="008B7018"/>
    <w:rsid w:val="008C049C"/>
    <w:rsid w:val="008C1C75"/>
    <w:rsid w:val="008C2C66"/>
    <w:rsid w:val="008C2FB8"/>
    <w:rsid w:val="008C30E6"/>
    <w:rsid w:val="008C3556"/>
    <w:rsid w:val="008C365F"/>
    <w:rsid w:val="008C3BD4"/>
    <w:rsid w:val="008C422E"/>
    <w:rsid w:val="008D1D6B"/>
    <w:rsid w:val="008D1FCB"/>
    <w:rsid w:val="008D3964"/>
    <w:rsid w:val="008D4EE2"/>
    <w:rsid w:val="008D521D"/>
    <w:rsid w:val="008D5FE8"/>
    <w:rsid w:val="008D67EA"/>
    <w:rsid w:val="008E0833"/>
    <w:rsid w:val="008E22C4"/>
    <w:rsid w:val="008E31C0"/>
    <w:rsid w:val="008E341D"/>
    <w:rsid w:val="008E3F42"/>
    <w:rsid w:val="008E5448"/>
    <w:rsid w:val="008E5C32"/>
    <w:rsid w:val="008E687E"/>
    <w:rsid w:val="008E7D17"/>
    <w:rsid w:val="008F0704"/>
    <w:rsid w:val="008F130D"/>
    <w:rsid w:val="008F1B48"/>
    <w:rsid w:val="008F225B"/>
    <w:rsid w:val="008F22F0"/>
    <w:rsid w:val="008F393B"/>
    <w:rsid w:val="00900539"/>
    <w:rsid w:val="009007E0"/>
    <w:rsid w:val="009007F4"/>
    <w:rsid w:val="00902518"/>
    <w:rsid w:val="00902B51"/>
    <w:rsid w:val="00902DC3"/>
    <w:rsid w:val="00902E8D"/>
    <w:rsid w:val="00902F00"/>
    <w:rsid w:val="00905941"/>
    <w:rsid w:val="009064AE"/>
    <w:rsid w:val="0090698C"/>
    <w:rsid w:val="009073AF"/>
    <w:rsid w:val="009106B8"/>
    <w:rsid w:val="0091171E"/>
    <w:rsid w:val="00911FB6"/>
    <w:rsid w:val="009123E9"/>
    <w:rsid w:val="009124EC"/>
    <w:rsid w:val="00914A13"/>
    <w:rsid w:val="00915471"/>
    <w:rsid w:val="009155F7"/>
    <w:rsid w:val="0091609C"/>
    <w:rsid w:val="00917832"/>
    <w:rsid w:val="00917AE7"/>
    <w:rsid w:val="009202AB"/>
    <w:rsid w:val="009206B5"/>
    <w:rsid w:val="0092244E"/>
    <w:rsid w:val="0092261C"/>
    <w:rsid w:val="009249C3"/>
    <w:rsid w:val="009260C7"/>
    <w:rsid w:val="00926A4A"/>
    <w:rsid w:val="00927ED4"/>
    <w:rsid w:val="00931726"/>
    <w:rsid w:val="00932116"/>
    <w:rsid w:val="00934416"/>
    <w:rsid w:val="009351AC"/>
    <w:rsid w:val="00935482"/>
    <w:rsid w:val="00935542"/>
    <w:rsid w:val="0093605F"/>
    <w:rsid w:val="00936845"/>
    <w:rsid w:val="00936C0C"/>
    <w:rsid w:val="00937180"/>
    <w:rsid w:val="00937FC0"/>
    <w:rsid w:val="009405A0"/>
    <w:rsid w:val="00942E82"/>
    <w:rsid w:val="0094389E"/>
    <w:rsid w:val="00944327"/>
    <w:rsid w:val="00945332"/>
    <w:rsid w:val="0094671D"/>
    <w:rsid w:val="00947290"/>
    <w:rsid w:val="00950E91"/>
    <w:rsid w:val="009542E9"/>
    <w:rsid w:val="00954779"/>
    <w:rsid w:val="009568FD"/>
    <w:rsid w:val="00957094"/>
    <w:rsid w:val="00957CB3"/>
    <w:rsid w:val="00960BA8"/>
    <w:rsid w:val="009610B4"/>
    <w:rsid w:val="00962045"/>
    <w:rsid w:val="00964EFE"/>
    <w:rsid w:val="0096648E"/>
    <w:rsid w:val="00966B67"/>
    <w:rsid w:val="00966BA6"/>
    <w:rsid w:val="009673F1"/>
    <w:rsid w:val="0096790B"/>
    <w:rsid w:val="0097079A"/>
    <w:rsid w:val="009711AA"/>
    <w:rsid w:val="009741DB"/>
    <w:rsid w:val="00974899"/>
    <w:rsid w:val="00976BD9"/>
    <w:rsid w:val="009808A8"/>
    <w:rsid w:val="0098139C"/>
    <w:rsid w:val="00981863"/>
    <w:rsid w:val="00982D62"/>
    <w:rsid w:val="00983F89"/>
    <w:rsid w:val="00985767"/>
    <w:rsid w:val="009872AE"/>
    <w:rsid w:val="009877A0"/>
    <w:rsid w:val="0099147C"/>
    <w:rsid w:val="00991CCD"/>
    <w:rsid w:val="009922E1"/>
    <w:rsid w:val="00993211"/>
    <w:rsid w:val="009933DD"/>
    <w:rsid w:val="00993416"/>
    <w:rsid w:val="00994D39"/>
    <w:rsid w:val="00995A0D"/>
    <w:rsid w:val="00997E47"/>
    <w:rsid w:val="009A06B2"/>
    <w:rsid w:val="009A0E02"/>
    <w:rsid w:val="009A1B41"/>
    <w:rsid w:val="009A34CD"/>
    <w:rsid w:val="009A3610"/>
    <w:rsid w:val="009A36A6"/>
    <w:rsid w:val="009A435D"/>
    <w:rsid w:val="009A44F7"/>
    <w:rsid w:val="009A5D94"/>
    <w:rsid w:val="009A7253"/>
    <w:rsid w:val="009A776E"/>
    <w:rsid w:val="009B55CA"/>
    <w:rsid w:val="009B62E0"/>
    <w:rsid w:val="009B663E"/>
    <w:rsid w:val="009C14BD"/>
    <w:rsid w:val="009C3225"/>
    <w:rsid w:val="009C35FD"/>
    <w:rsid w:val="009C4320"/>
    <w:rsid w:val="009C4906"/>
    <w:rsid w:val="009C5E1C"/>
    <w:rsid w:val="009C6D6C"/>
    <w:rsid w:val="009D1B08"/>
    <w:rsid w:val="009D2224"/>
    <w:rsid w:val="009D36B2"/>
    <w:rsid w:val="009D37AC"/>
    <w:rsid w:val="009D4971"/>
    <w:rsid w:val="009D6017"/>
    <w:rsid w:val="009E133B"/>
    <w:rsid w:val="009E2288"/>
    <w:rsid w:val="009E388F"/>
    <w:rsid w:val="009E4D15"/>
    <w:rsid w:val="009E5273"/>
    <w:rsid w:val="009E575E"/>
    <w:rsid w:val="009F1CF1"/>
    <w:rsid w:val="009F28F6"/>
    <w:rsid w:val="009F37BF"/>
    <w:rsid w:val="009F4A2D"/>
    <w:rsid w:val="009F60D3"/>
    <w:rsid w:val="009F668C"/>
    <w:rsid w:val="00A00458"/>
    <w:rsid w:val="00A00B3A"/>
    <w:rsid w:val="00A0203D"/>
    <w:rsid w:val="00A026EB"/>
    <w:rsid w:val="00A029A4"/>
    <w:rsid w:val="00A051EA"/>
    <w:rsid w:val="00A05C6C"/>
    <w:rsid w:val="00A071F3"/>
    <w:rsid w:val="00A07C40"/>
    <w:rsid w:val="00A07E2E"/>
    <w:rsid w:val="00A1312B"/>
    <w:rsid w:val="00A16B03"/>
    <w:rsid w:val="00A179C7"/>
    <w:rsid w:val="00A2062A"/>
    <w:rsid w:val="00A2246C"/>
    <w:rsid w:val="00A23B32"/>
    <w:rsid w:val="00A25F96"/>
    <w:rsid w:val="00A27FD7"/>
    <w:rsid w:val="00A308CD"/>
    <w:rsid w:val="00A3151D"/>
    <w:rsid w:val="00A35667"/>
    <w:rsid w:val="00A3593B"/>
    <w:rsid w:val="00A36C45"/>
    <w:rsid w:val="00A36FCA"/>
    <w:rsid w:val="00A379A5"/>
    <w:rsid w:val="00A37C06"/>
    <w:rsid w:val="00A41D5E"/>
    <w:rsid w:val="00A426AF"/>
    <w:rsid w:val="00A43E0E"/>
    <w:rsid w:val="00A44837"/>
    <w:rsid w:val="00A463AB"/>
    <w:rsid w:val="00A47BB8"/>
    <w:rsid w:val="00A507E0"/>
    <w:rsid w:val="00A51010"/>
    <w:rsid w:val="00A51AB9"/>
    <w:rsid w:val="00A54FFD"/>
    <w:rsid w:val="00A601F0"/>
    <w:rsid w:val="00A627AC"/>
    <w:rsid w:val="00A629F5"/>
    <w:rsid w:val="00A62DCB"/>
    <w:rsid w:val="00A63866"/>
    <w:rsid w:val="00A679A0"/>
    <w:rsid w:val="00A7006A"/>
    <w:rsid w:val="00A70FD9"/>
    <w:rsid w:val="00A723CF"/>
    <w:rsid w:val="00A73C03"/>
    <w:rsid w:val="00A753C2"/>
    <w:rsid w:val="00A77980"/>
    <w:rsid w:val="00A77B1F"/>
    <w:rsid w:val="00A80ACB"/>
    <w:rsid w:val="00A80D8B"/>
    <w:rsid w:val="00A81B0D"/>
    <w:rsid w:val="00A81F4D"/>
    <w:rsid w:val="00A82175"/>
    <w:rsid w:val="00A83D88"/>
    <w:rsid w:val="00A851F5"/>
    <w:rsid w:val="00A85BD6"/>
    <w:rsid w:val="00A85F79"/>
    <w:rsid w:val="00A91EB3"/>
    <w:rsid w:val="00A92911"/>
    <w:rsid w:val="00A96D22"/>
    <w:rsid w:val="00A96FF3"/>
    <w:rsid w:val="00A97CAB"/>
    <w:rsid w:val="00AA0546"/>
    <w:rsid w:val="00AA130B"/>
    <w:rsid w:val="00AA2F4E"/>
    <w:rsid w:val="00AA3938"/>
    <w:rsid w:val="00AA47DE"/>
    <w:rsid w:val="00AA78A9"/>
    <w:rsid w:val="00AA7E57"/>
    <w:rsid w:val="00AB0E37"/>
    <w:rsid w:val="00AB1568"/>
    <w:rsid w:val="00AB2AA8"/>
    <w:rsid w:val="00AB2C91"/>
    <w:rsid w:val="00AB3472"/>
    <w:rsid w:val="00AB56F5"/>
    <w:rsid w:val="00AB5BB2"/>
    <w:rsid w:val="00AB6D9C"/>
    <w:rsid w:val="00AC08BB"/>
    <w:rsid w:val="00AC098A"/>
    <w:rsid w:val="00AC0A71"/>
    <w:rsid w:val="00AC3A5E"/>
    <w:rsid w:val="00AC3B96"/>
    <w:rsid w:val="00AC511F"/>
    <w:rsid w:val="00AC51EB"/>
    <w:rsid w:val="00AC6142"/>
    <w:rsid w:val="00AC6AF6"/>
    <w:rsid w:val="00AC6FB7"/>
    <w:rsid w:val="00AC7033"/>
    <w:rsid w:val="00AC7261"/>
    <w:rsid w:val="00AC7633"/>
    <w:rsid w:val="00AC7B92"/>
    <w:rsid w:val="00AD18FC"/>
    <w:rsid w:val="00AD2C3C"/>
    <w:rsid w:val="00AD2C57"/>
    <w:rsid w:val="00AD403C"/>
    <w:rsid w:val="00AD418D"/>
    <w:rsid w:val="00AD4D0F"/>
    <w:rsid w:val="00AD60B2"/>
    <w:rsid w:val="00AD62A7"/>
    <w:rsid w:val="00AD7876"/>
    <w:rsid w:val="00AE0EA3"/>
    <w:rsid w:val="00AE360E"/>
    <w:rsid w:val="00AE4E28"/>
    <w:rsid w:val="00AE61DD"/>
    <w:rsid w:val="00AF3FA0"/>
    <w:rsid w:val="00AF40CA"/>
    <w:rsid w:val="00AF47CA"/>
    <w:rsid w:val="00AF67BC"/>
    <w:rsid w:val="00B00281"/>
    <w:rsid w:val="00B00373"/>
    <w:rsid w:val="00B02A28"/>
    <w:rsid w:val="00B04E19"/>
    <w:rsid w:val="00B05317"/>
    <w:rsid w:val="00B057AA"/>
    <w:rsid w:val="00B05F4E"/>
    <w:rsid w:val="00B07C1B"/>
    <w:rsid w:val="00B10489"/>
    <w:rsid w:val="00B117F8"/>
    <w:rsid w:val="00B11B3A"/>
    <w:rsid w:val="00B11D38"/>
    <w:rsid w:val="00B1223B"/>
    <w:rsid w:val="00B1226E"/>
    <w:rsid w:val="00B13152"/>
    <w:rsid w:val="00B1366D"/>
    <w:rsid w:val="00B1474C"/>
    <w:rsid w:val="00B14D3A"/>
    <w:rsid w:val="00B15CAC"/>
    <w:rsid w:val="00B16B76"/>
    <w:rsid w:val="00B204C4"/>
    <w:rsid w:val="00B20D06"/>
    <w:rsid w:val="00B236D6"/>
    <w:rsid w:val="00B239D6"/>
    <w:rsid w:val="00B24F98"/>
    <w:rsid w:val="00B25CEE"/>
    <w:rsid w:val="00B26BC4"/>
    <w:rsid w:val="00B30005"/>
    <w:rsid w:val="00B32B98"/>
    <w:rsid w:val="00B3512E"/>
    <w:rsid w:val="00B35576"/>
    <w:rsid w:val="00B36C4A"/>
    <w:rsid w:val="00B37B0A"/>
    <w:rsid w:val="00B429F5"/>
    <w:rsid w:val="00B4396D"/>
    <w:rsid w:val="00B43CBA"/>
    <w:rsid w:val="00B43EE2"/>
    <w:rsid w:val="00B4602C"/>
    <w:rsid w:val="00B464FF"/>
    <w:rsid w:val="00B5360A"/>
    <w:rsid w:val="00B5405D"/>
    <w:rsid w:val="00B544E3"/>
    <w:rsid w:val="00B54A0D"/>
    <w:rsid w:val="00B56EBC"/>
    <w:rsid w:val="00B6356D"/>
    <w:rsid w:val="00B6617B"/>
    <w:rsid w:val="00B66722"/>
    <w:rsid w:val="00B66806"/>
    <w:rsid w:val="00B679A4"/>
    <w:rsid w:val="00B701C5"/>
    <w:rsid w:val="00B704C5"/>
    <w:rsid w:val="00B71C9A"/>
    <w:rsid w:val="00B72AC5"/>
    <w:rsid w:val="00B73C58"/>
    <w:rsid w:val="00B73F64"/>
    <w:rsid w:val="00B74429"/>
    <w:rsid w:val="00B7486E"/>
    <w:rsid w:val="00B7490B"/>
    <w:rsid w:val="00B75310"/>
    <w:rsid w:val="00B75D7E"/>
    <w:rsid w:val="00B76690"/>
    <w:rsid w:val="00B76D92"/>
    <w:rsid w:val="00B80DC0"/>
    <w:rsid w:val="00B80F5A"/>
    <w:rsid w:val="00B81868"/>
    <w:rsid w:val="00B82311"/>
    <w:rsid w:val="00B828B4"/>
    <w:rsid w:val="00B82FC3"/>
    <w:rsid w:val="00B83C5B"/>
    <w:rsid w:val="00B85162"/>
    <w:rsid w:val="00B860D4"/>
    <w:rsid w:val="00B90946"/>
    <w:rsid w:val="00B9158B"/>
    <w:rsid w:val="00B91CD8"/>
    <w:rsid w:val="00B91FA0"/>
    <w:rsid w:val="00B93245"/>
    <w:rsid w:val="00B93857"/>
    <w:rsid w:val="00B95668"/>
    <w:rsid w:val="00B95D6F"/>
    <w:rsid w:val="00B96A8E"/>
    <w:rsid w:val="00BA1095"/>
    <w:rsid w:val="00BA1BAA"/>
    <w:rsid w:val="00BA1FAD"/>
    <w:rsid w:val="00BA30CD"/>
    <w:rsid w:val="00BA471C"/>
    <w:rsid w:val="00BA4E85"/>
    <w:rsid w:val="00BA5220"/>
    <w:rsid w:val="00BA58B2"/>
    <w:rsid w:val="00BA6120"/>
    <w:rsid w:val="00BA62EF"/>
    <w:rsid w:val="00BA6335"/>
    <w:rsid w:val="00BB0E10"/>
    <w:rsid w:val="00BB1D8D"/>
    <w:rsid w:val="00BB249B"/>
    <w:rsid w:val="00BB64EC"/>
    <w:rsid w:val="00BB732E"/>
    <w:rsid w:val="00BB74CF"/>
    <w:rsid w:val="00BB74D7"/>
    <w:rsid w:val="00BB796F"/>
    <w:rsid w:val="00BC0C3F"/>
    <w:rsid w:val="00BC3B8B"/>
    <w:rsid w:val="00BC521E"/>
    <w:rsid w:val="00BC527A"/>
    <w:rsid w:val="00BC529F"/>
    <w:rsid w:val="00BC5A5F"/>
    <w:rsid w:val="00BC5BF5"/>
    <w:rsid w:val="00BC75B0"/>
    <w:rsid w:val="00BD0E80"/>
    <w:rsid w:val="00BD1D49"/>
    <w:rsid w:val="00BD324E"/>
    <w:rsid w:val="00BD6E69"/>
    <w:rsid w:val="00BD7D4A"/>
    <w:rsid w:val="00BE147E"/>
    <w:rsid w:val="00BE19BD"/>
    <w:rsid w:val="00BE3502"/>
    <w:rsid w:val="00BE4FFD"/>
    <w:rsid w:val="00BE5925"/>
    <w:rsid w:val="00BE626D"/>
    <w:rsid w:val="00BF052E"/>
    <w:rsid w:val="00BF09F3"/>
    <w:rsid w:val="00BF197B"/>
    <w:rsid w:val="00BF2CD2"/>
    <w:rsid w:val="00BF688B"/>
    <w:rsid w:val="00BF6F20"/>
    <w:rsid w:val="00C00067"/>
    <w:rsid w:val="00C00B30"/>
    <w:rsid w:val="00C0150F"/>
    <w:rsid w:val="00C02B6B"/>
    <w:rsid w:val="00C058BF"/>
    <w:rsid w:val="00C06718"/>
    <w:rsid w:val="00C10685"/>
    <w:rsid w:val="00C13271"/>
    <w:rsid w:val="00C15B61"/>
    <w:rsid w:val="00C177F1"/>
    <w:rsid w:val="00C208B9"/>
    <w:rsid w:val="00C2101A"/>
    <w:rsid w:val="00C230BE"/>
    <w:rsid w:val="00C24997"/>
    <w:rsid w:val="00C24CE0"/>
    <w:rsid w:val="00C253E5"/>
    <w:rsid w:val="00C2559E"/>
    <w:rsid w:val="00C26257"/>
    <w:rsid w:val="00C26CE8"/>
    <w:rsid w:val="00C30202"/>
    <w:rsid w:val="00C30930"/>
    <w:rsid w:val="00C30B57"/>
    <w:rsid w:val="00C3355C"/>
    <w:rsid w:val="00C337A7"/>
    <w:rsid w:val="00C35B12"/>
    <w:rsid w:val="00C35B1A"/>
    <w:rsid w:val="00C40AA4"/>
    <w:rsid w:val="00C41363"/>
    <w:rsid w:val="00C420D2"/>
    <w:rsid w:val="00C4439F"/>
    <w:rsid w:val="00C450ED"/>
    <w:rsid w:val="00C45FE8"/>
    <w:rsid w:val="00C4669B"/>
    <w:rsid w:val="00C46A72"/>
    <w:rsid w:val="00C4766E"/>
    <w:rsid w:val="00C50191"/>
    <w:rsid w:val="00C5279B"/>
    <w:rsid w:val="00C5494D"/>
    <w:rsid w:val="00C5547A"/>
    <w:rsid w:val="00C56C6C"/>
    <w:rsid w:val="00C6106A"/>
    <w:rsid w:val="00C610DD"/>
    <w:rsid w:val="00C6279E"/>
    <w:rsid w:val="00C62C16"/>
    <w:rsid w:val="00C63291"/>
    <w:rsid w:val="00C64958"/>
    <w:rsid w:val="00C70519"/>
    <w:rsid w:val="00C71032"/>
    <w:rsid w:val="00C71A91"/>
    <w:rsid w:val="00C72167"/>
    <w:rsid w:val="00C75516"/>
    <w:rsid w:val="00C75C77"/>
    <w:rsid w:val="00C75D18"/>
    <w:rsid w:val="00C772C3"/>
    <w:rsid w:val="00C7737E"/>
    <w:rsid w:val="00C8000E"/>
    <w:rsid w:val="00C8130A"/>
    <w:rsid w:val="00C8138E"/>
    <w:rsid w:val="00C8232E"/>
    <w:rsid w:val="00C861AC"/>
    <w:rsid w:val="00C879A8"/>
    <w:rsid w:val="00C90A20"/>
    <w:rsid w:val="00C91C09"/>
    <w:rsid w:val="00C93183"/>
    <w:rsid w:val="00C94A3B"/>
    <w:rsid w:val="00C95766"/>
    <w:rsid w:val="00C9600A"/>
    <w:rsid w:val="00CA0429"/>
    <w:rsid w:val="00CA7C6A"/>
    <w:rsid w:val="00CA7DEA"/>
    <w:rsid w:val="00CB314A"/>
    <w:rsid w:val="00CB3A6A"/>
    <w:rsid w:val="00CB4B26"/>
    <w:rsid w:val="00CB4F58"/>
    <w:rsid w:val="00CB54E3"/>
    <w:rsid w:val="00CB6CCC"/>
    <w:rsid w:val="00CB7267"/>
    <w:rsid w:val="00CB7522"/>
    <w:rsid w:val="00CC15DE"/>
    <w:rsid w:val="00CC28B1"/>
    <w:rsid w:val="00CC29DF"/>
    <w:rsid w:val="00CC7145"/>
    <w:rsid w:val="00CC76DD"/>
    <w:rsid w:val="00CD10A2"/>
    <w:rsid w:val="00CD151D"/>
    <w:rsid w:val="00CD2C67"/>
    <w:rsid w:val="00CD47BF"/>
    <w:rsid w:val="00CD4858"/>
    <w:rsid w:val="00CD4B94"/>
    <w:rsid w:val="00CD619E"/>
    <w:rsid w:val="00CD79DA"/>
    <w:rsid w:val="00CE0FA3"/>
    <w:rsid w:val="00CE2FA5"/>
    <w:rsid w:val="00CE39E3"/>
    <w:rsid w:val="00CE3FFB"/>
    <w:rsid w:val="00CE6093"/>
    <w:rsid w:val="00CE709D"/>
    <w:rsid w:val="00CE7284"/>
    <w:rsid w:val="00CF05E4"/>
    <w:rsid w:val="00CF0A73"/>
    <w:rsid w:val="00CF1BD4"/>
    <w:rsid w:val="00CF2E48"/>
    <w:rsid w:val="00CF382E"/>
    <w:rsid w:val="00CF6101"/>
    <w:rsid w:val="00CF6D30"/>
    <w:rsid w:val="00CF7D20"/>
    <w:rsid w:val="00D00544"/>
    <w:rsid w:val="00D017D2"/>
    <w:rsid w:val="00D0185F"/>
    <w:rsid w:val="00D052C5"/>
    <w:rsid w:val="00D0530F"/>
    <w:rsid w:val="00D0539C"/>
    <w:rsid w:val="00D05648"/>
    <w:rsid w:val="00D077D4"/>
    <w:rsid w:val="00D07F6D"/>
    <w:rsid w:val="00D12175"/>
    <w:rsid w:val="00D1279D"/>
    <w:rsid w:val="00D12B36"/>
    <w:rsid w:val="00D14630"/>
    <w:rsid w:val="00D14DD0"/>
    <w:rsid w:val="00D15422"/>
    <w:rsid w:val="00D21D19"/>
    <w:rsid w:val="00D233A0"/>
    <w:rsid w:val="00D24B56"/>
    <w:rsid w:val="00D27208"/>
    <w:rsid w:val="00D3449B"/>
    <w:rsid w:val="00D37411"/>
    <w:rsid w:val="00D37BBD"/>
    <w:rsid w:val="00D37C58"/>
    <w:rsid w:val="00D4026A"/>
    <w:rsid w:val="00D41F5E"/>
    <w:rsid w:val="00D43789"/>
    <w:rsid w:val="00D43EDC"/>
    <w:rsid w:val="00D46684"/>
    <w:rsid w:val="00D46E07"/>
    <w:rsid w:val="00D52BDE"/>
    <w:rsid w:val="00D557CB"/>
    <w:rsid w:val="00D55E5D"/>
    <w:rsid w:val="00D56C5A"/>
    <w:rsid w:val="00D5709B"/>
    <w:rsid w:val="00D5744A"/>
    <w:rsid w:val="00D57A0F"/>
    <w:rsid w:val="00D60948"/>
    <w:rsid w:val="00D61525"/>
    <w:rsid w:val="00D63599"/>
    <w:rsid w:val="00D650F5"/>
    <w:rsid w:val="00D672E3"/>
    <w:rsid w:val="00D70713"/>
    <w:rsid w:val="00D73528"/>
    <w:rsid w:val="00D75C45"/>
    <w:rsid w:val="00D7774F"/>
    <w:rsid w:val="00D8038A"/>
    <w:rsid w:val="00D80663"/>
    <w:rsid w:val="00D806E8"/>
    <w:rsid w:val="00D8247C"/>
    <w:rsid w:val="00D85B86"/>
    <w:rsid w:val="00D904CF"/>
    <w:rsid w:val="00D90A99"/>
    <w:rsid w:val="00D91276"/>
    <w:rsid w:val="00D92067"/>
    <w:rsid w:val="00D92DCE"/>
    <w:rsid w:val="00D960B0"/>
    <w:rsid w:val="00DA0DC0"/>
    <w:rsid w:val="00DA2DE3"/>
    <w:rsid w:val="00DA2E4C"/>
    <w:rsid w:val="00DA5091"/>
    <w:rsid w:val="00DA5AC0"/>
    <w:rsid w:val="00DA68DD"/>
    <w:rsid w:val="00DA7486"/>
    <w:rsid w:val="00DA75F1"/>
    <w:rsid w:val="00DA7647"/>
    <w:rsid w:val="00DA7889"/>
    <w:rsid w:val="00DB22A9"/>
    <w:rsid w:val="00DB2A5C"/>
    <w:rsid w:val="00DB3D57"/>
    <w:rsid w:val="00DB3E3B"/>
    <w:rsid w:val="00DB493B"/>
    <w:rsid w:val="00DB4F20"/>
    <w:rsid w:val="00DB4FBF"/>
    <w:rsid w:val="00DB5ABA"/>
    <w:rsid w:val="00DB6385"/>
    <w:rsid w:val="00DC0AF7"/>
    <w:rsid w:val="00DC14D2"/>
    <w:rsid w:val="00DC23A6"/>
    <w:rsid w:val="00DC360B"/>
    <w:rsid w:val="00DC5809"/>
    <w:rsid w:val="00DC5FF1"/>
    <w:rsid w:val="00DC6B49"/>
    <w:rsid w:val="00DC7CBB"/>
    <w:rsid w:val="00DD1319"/>
    <w:rsid w:val="00DD26ED"/>
    <w:rsid w:val="00DD700F"/>
    <w:rsid w:val="00DD75EF"/>
    <w:rsid w:val="00DE002B"/>
    <w:rsid w:val="00DE172B"/>
    <w:rsid w:val="00DE4781"/>
    <w:rsid w:val="00DF178C"/>
    <w:rsid w:val="00DF3DB5"/>
    <w:rsid w:val="00DF4767"/>
    <w:rsid w:val="00DF57B8"/>
    <w:rsid w:val="00DF58A7"/>
    <w:rsid w:val="00DF6600"/>
    <w:rsid w:val="00DF7161"/>
    <w:rsid w:val="00E06471"/>
    <w:rsid w:val="00E10549"/>
    <w:rsid w:val="00E109BB"/>
    <w:rsid w:val="00E10E5A"/>
    <w:rsid w:val="00E11B9C"/>
    <w:rsid w:val="00E12873"/>
    <w:rsid w:val="00E143BB"/>
    <w:rsid w:val="00E157A3"/>
    <w:rsid w:val="00E15EA9"/>
    <w:rsid w:val="00E1619F"/>
    <w:rsid w:val="00E1651F"/>
    <w:rsid w:val="00E172A4"/>
    <w:rsid w:val="00E179B1"/>
    <w:rsid w:val="00E17F22"/>
    <w:rsid w:val="00E200A8"/>
    <w:rsid w:val="00E218B5"/>
    <w:rsid w:val="00E22BC5"/>
    <w:rsid w:val="00E22FDC"/>
    <w:rsid w:val="00E23887"/>
    <w:rsid w:val="00E23C2C"/>
    <w:rsid w:val="00E23F22"/>
    <w:rsid w:val="00E306C8"/>
    <w:rsid w:val="00E314F4"/>
    <w:rsid w:val="00E31DFB"/>
    <w:rsid w:val="00E33DB8"/>
    <w:rsid w:val="00E33DEA"/>
    <w:rsid w:val="00E350BA"/>
    <w:rsid w:val="00E352B6"/>
    <w:rsid w:val="00E36B0A"/>
    <w:rsid w:val="00E3738E"/>
    <w:rsid w:val="00E414FF"/>
    <w:rsid w:val="00E42CD7"/>
    <w:rsid w:val="00E43B65"/>
    <w:rsid w:val="00E43C25"/>
    <w:rsid w:val="00E44F18"/>
    <w:rsid w:val="00E4542C"/>
    <w:rsid w:val="00E45AB4"/>
    <w:rsid w:val="00E45F49"/>
    <w:rsid w:val="00E46247"/>
    <w:rsid w:val="00E47DE1"/>
    <w:rsid w:val="00E50AE0"/>
    <w:rsid w:val="00E52034"/>
    <w:rsid w:val="00E533F8"/>
    <w:rsid w:val="00E534DB"/>
    <w:rsid w:val="00E54153"/>
    <w:rsid w:val="00E56F11"/>
    <w:rsid w:val="00E61702"/>
    <w:rsid w:val="00E61716"/>
    <w:rsid w:val="00E61732"/>
    <w:rsid w:val="00E6343B"/>
    <w:rsid w:val="00E64703"/>
    <w:rsid w:val="00E66BC2"/>
    <w:rsid w:val="00E70C8C"/>
    <w:rsid w:val="00E7136E"/>
    <w:rsid w:val="00E74DA5"/>
    <w:rsid w:val="00E766CE"/>
    <w:rsid w:val="00E77700"/>
    <w:rsid w:val="00E77C13"/>
    <w:rsid w:val="00E81DC2"/>
    <w:rsid w:val="00E8221C"/>
    <w:rsid w:val="00E84E40"/>
    <w:rsid w:val="00E8593A"/>
    <w:rsid w:val="00E85AEE"/>
    <w:rsid w:val="00E86D73"/>
    <w:rsid w:val="00E87792"/>
    <w:rsid w:val="00E87812"/>
    <w:rsid w:val="00E900C4"/>
    <w:rsid w:val="00E91C1E"/>
    <w:rsid w:val="00E92272"/>
    <w:rsid w:val="00E93757"/>
    <w:rsid w:val="00E9414B"/>
    <w:rsid w:val="00E94935"/>
    <w:rsid w:val="00E951ED"/>
    <w:rsid w:val="00E96895"/>
    <w:rsid w:val="00EA0512"/>
    <w:rsid w:val="00EA261F"/>
    <w:rsid w:val="00EA30CF"/>
    <w:rsid w:val="00EA3532"/>
    <w:rsid w:val="00EA3B9E"/>
    <w:rsid w:val="00EA4725"/>
    <w:rsid w:val="00EA47B4"/>
    <w:rsid w:val="00EA48C1"/>
    <w:rsid w:val="00EA4CFF"/>
    <w:rsid w:val="00EA680F"/>
    <w:rsid w:val="00EA6A51"/>
    <w:rsid w:val="00EA73E5"/>
    <w:rsid w:val="00EA74FE"/>
    <w:rsid w:val="00EA7A59"/>
    <w:rsid w:val="00EA7B74"/>
    <w:rsid w:val="00EB0233"/>
    <w:rsid w:val="00EB071E"/>
    <w:rsid w:val="00EB2787"/>
    <w:rsid w:val="00EB47AD"/>
    <w:rsid w:val="00EB4999"/>
    <w:rsid w:val="00EB4A4F"/>
    <w:rsid w:val="00EB5543"/>
    <w:rsid w:val="00EB57A4"/>
    <w:rsid w:val="00EB7C25"/>
    <w:rsid w:val="00EB7F79"/>
    <w:rsid w:val="00EC19B8"/>
    <w:rsid w:val="00EC2DD6"/>
    <w:rsid w:val="00EC3055"/>
    <w:rsid w:val="00ED13AD"/>
    <w:rsid w:val="00ED1850"/>
    <w:rsid w:val="00ED37CC"/>
    <w:rsid w:val="00ED433E"/>
    <w:rsid w:val="00ED4623"/>
    <w:rsid w:val="00ED4AD9"/>
    <w:rsid w:val="00ED5B29"/>
    <w:rsid w:val="00EE0C3F"/>
    <w:rsid w:val="00EE136A"/>
    <w:rsid w:val="00EE170C"/>
    <w:rsid w:val="00EE1E50"/>
    <w:rsid w:val="00EE3879"/>
    <w:rsid w:val="00EE46BE"/>
    <w:rsid w:val="00EE6735"/>
    <w:rsid w:val="00EE77EF"/>
    <w:rsid w:val="00EE7E31"/>
    <w:rsid w:val="00EF0973"/>
    <w:rsid w:val="00EF11AE"/>
    <w:rsid w:val="00EF1994"/>
    <w:rsid w:val="00EF3092"/>
    <w:rsid w:val="00EF671D"/>
    <w:rsid w:val="00EF6D8A"/>
    <w:rsid w:val="00F003E4"/>
    <w:rsid w:val="00F0068F"/>
    <w:rsid w:val="00F0198A"/>
    <w:rsid w:val="00F02FF4"/>
    <w:rsid w:val="00F03EB2"/>
    <w:rsid w:val="00F0537A"/>
    <w:rsid w:val="00F07493"/>
    <w:rsid w:val="00F0786D"/>
    <w:rsid w:val="00F079E4"/>
    <w:rsid w:val="00F1026C"/>
    <w:rsid w:val="00F10ECA"/>
    <w:rsid w:val="00F11184"/>
    <w:rsid w:val="00F111D0"/>
    <w:rsid w:val="00F112B3"/>
    <w:rsid w:val="00F11AA3"/>
    <w:rsid w:val="00F133F8"/>
    <w:rsid w:val="00F13463"/>
    <w:rsid w:val="00F13EB1"/>
    <w:rsid w:val="00F141C4"/>
    <w:rsid w:val="00F145E1"/>
    <w:rsid w:val="00F1554E"/>
    <w:rsid w:val="00F15635"/>
    <w:rsid w:val="00F206D4"/>
    <w:rsid w:val="00F23A5B"/>
    <w:rsid w:val="00F23DED"/>
    <w:rsid w:val="00F24702"/>
    <w:rsid w:val="00F25EF5"/>
    <w:rsid w:val="00F278B7"/>
    <w:rsid w:val="00F278EE"/>
    <w:rsid w:val="00F27D26"/>
    <w:rsid w:val="00F319B9"/>
    <w:rsid w:val="00F34347"/>
    <w:rsid w:val="00F34D67"/>
    <w:rsid w:val="00F35352"/>
    <w:rsid w:val="00F354DE"/>
    <w:rsid w:val="00F355AB"/>
    <w:rsid w:val="00F36191"/>
    <w:rsid w:val="00F370D6"/>
    <w:rsid w:val="00F373C2"/>
    <w:rsid w:val="00F41650"/>
    <w:rsid w:val="00F434A1"/>
    <w:rsid w:val="00F44038"/>
    <w:rsid w:val="00F4471C"/>
    <w:rsid w:val="00F44BCB"/>
    <w:rsid w:val="00F5224C"/>
    <w:rsid w:val="00F624DC"/>
    <w:rsid w:val="00F62D8A"/>
    <w:rsid w:val="00F636C9"/>
    <w:rsid w:val="00F63A82"/>
    <w:rsid w:val="00F63BBD"/>
    <w:rsid w:val="00F6407A"/>
    <w:rsid w:val="00F674B8"/>
    <w:rsid w:val="00F67621"/>
    <w:rsid w:val="00F7226F"/>
    <w:rsid w:val="00F73A3C"/>
    <w:rsid w:val="00F76102"/>
    <w:rsid w:val="00F76DA1"/>
    <w:rsid w:val="00F8091C"/>
    <w:rsid w:val="00F80E6C"/>
    <w:rsid w:val="00F8147E"/>
    <w:rsid w:val="00F824BE"/>
    <w:rsid w:val="00F82AA6"/>
    <w:rsid w:val="00F85D80"/>
    <w:rsid w:val="00F871B5"/>
    <w:rsid w:val="00F919A0"/>
    <w:rsid w:val="00F9237A"/>
    <w:rsid w:val="00F93CCC"/>
    <w:rsid w:val="00F962BA"/>
    <w:rsid w:val="00F96764"/>
    <w:rsid w:val="00FA2349"/>
    <w:rsid w:val="00FA3219"/>
    <w:rsid w:val="00FA478A"/>
    <w:rsid w:val="00FA52B2"/>
    <w:rsid w:val="00FB06B7"/>
    <w:rsid w:val="00FB55B2"/>
    <w:rsid w:val="00FB5BDD"/>
    <w:rsid w:val="00FB7661"/>
    <w:rsid w:val="00FC0BAA"/>
    <w:rsid w:val="00FC0BB7"/>
    <w:rsid w:val="00FC421B"/>
    <w:rsid w:val="00FC58DE"/>
    <w:rsid w:val="00FC73C4"/>
    <w:rsid w:val="00FC7B02"/>
    <w:rsid w:val="00FD00C5"/>
    <w:rsid w:val="00FD2AA9"/>
    <w:rsid w:val="00FD2F32"/>
    <w:rsid w:val="00FD35A8"/>
    <w:rsid w:val="00FD4E73"/>
    <w:rsid w:val="00FD6FE3"/>
    <w:rsid w:val="00FD7D66"/>
    <w:rsid w:val="00FE1339"/>
    <w:rsid w:val="00FE1513"/>
    <w:rsid w:val="00FE22BD"/>
    <w:rsid w:val="00FE2C80"/>
    <w:rsid w:val="00FE4AFA"/>
    <w:rsid w:val="00FE6B07"/>
    <w:rsid w:val="00FF01CD"/>
    <w:rsid w:val="00FF3504"/>
    <w:rsid w:val="00FF37A1"/>
    <w:rsid w:val="00FF3B2F"/>
    <w:rsid w:val="00FF436B"/>
    <w:rsid w:val="00FF5948"/>
    <w:rsid w:val="00FF5D1F"/>
    <w:rsid w:val="00FF777C"/>
    <w:rsid w:val="04030B65"/>
    <w:rsid w:val="05561802"/>
    <w:rsid w:val="07298DF3"/>
    <w:rsid w:val="09A85B83"/>
    <w:rsid w:val="1410C7CF"/>
    <w:rsid w:val="1792AB42"/>
    <w:rsid w:val="17FF00CE"/>
    <w:rsid w:val="19A06266"/>
    <w:rsid w:val="19C2064C"/>
    <w:rsid w:val="1AD61FBB"/>
    <w:rsid w:val="1FCDC8FC"/>
    <w:rsid w:val="23E173B9"/>
    <w:rsid w:val="2514733D"/>
    <w:rsid w:val="28D9DF4C"/>
    <w:rsid w:val="30424C17"/>
    <w:rsid w:val="3215C399"/>
    <w:rsid w:val="39EAF3DE"/>
    <w:rsid w:val="3A90156C"/>
    <w:rsid w:val="3BB41BD0"/>
    <w:rsid w:val="3CAAA4C8"/>
    <w:rsid w:val="41CF436F"/>
    <w:rsid w:val="47680AAD"/>
    <w:rsid w:val="47C18DDF"/>
    <w:rsid w:val="4A50BFAB"/>
    <w:rsid w:val="5020D764"/>
    <w:rsid w:val="6164AF0C"/>
    <w:rsid w:val="61CBC1DE"/>
    <w:rsid w:val="657D7F89"/>
    <w:rsid w:val="65F7EF94"/>
    <w:rsid w:val="6615F1CD"/>
    <w:rsid w:val="67D540D6"/>
    <w:rsid w:val="6A710662"/>
    <w:rsid w:val="6F2AD934"/>
    <w:rsid w:val="723A0852"/>
    <w:rsid w:val="75BF2B91"/>
    <w:rsid w:val="7D4EA007"/>
    <w:rsid w:val="7FACFF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E697F"/>
  <w15:chartTrackingRefBased/>
  <w15:docId w15:val="{87886A5F-E9EC-40CC-9AFC-FC6A63BD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E4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905941"/>
    <w:pPr>
      <w:keepNext/>
      <w:keepLines/>
      <w:spacing w:before="400" w:after="120" w:line="276" w:lineRule="auto"/>
      <w:outlineLvl w:val="0"/>
    </w:pPr>
    <w:rPr>
      <w:rFonts w:ascii="Arial" w:eastAsia="Arial" w:hAnsi="Arial" w:cs="Arial"/>
      <w:color w:val="44546A" w:themeColor="text2"/>
      <w:sz w:val="40"/>
      <w:szCs w:val="40"/>
      <w:lang w:val="en"/>
    </w:rPr>
  </w:style>
  <w:style w:type="paragraph" w:styleId="Heading8">
    <w:name w:val="heading 8"/>
    <w:basedOn w:val="Normal"/>
    <w:next w:val="Normal"/>
    <w:link w:val="Heading8Char"/>
    <w:unhideWhenUsed/>
    <w:qFormat/>
    <w:rsid w:val="0051308A"/>
    <w:pPr>
      <w:keepNext/>
      <w:keepLines/>
      <w:widowControl w:val="0"/>
      <w:spacing w:before="40"/>
      <w:outlineLvl w:val="7"/>
    </w:pPr>
    <w:rPr>
      <w:rFonts w:asciiTheme="majorHAnsi" w:eastAsiaTheme="majorEastAsia" w:hAnsiTheme="majorHAnsi" w:cstheme="majorBidi"/>
      <w:snapToGrid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941"/>
    <w:rPr>
      <w:rFonts w:ascii="Arial" w:eastAsia="Arial" w:hAnsi="Arial" w:cs="Arial"/>
      <w:color w:val="44546A" w:themeColor="text2"/>
      <w:sz w:val="40"/>
      <w:szCs w:val="40"/>
      <w:lang w:val="en"/>
    </w:rPr>
  </w:style>
  <w:style w:type="character" w:customStyle="1" w:styleId="Heading8Char">
    <w:name w:val="Heading 8 Char"/>
    <w:basedOn w:val="DefaultParagraphFont"/>
    <w:link w:val="Heading8"/>
    <w:rsid w:val="0051308A"/>
    <w:rPr>
      <w:rFonts w:asciiTheme="majorHAnsi" w:eastAsiaTheme="majorEastAsia" w:hAnsiTheme="majorHAnsi" w:cstheme="majorBidi"/>
      <w:snapToGrid w:val="0"/>
      <w:color w:val="272727" w:themeColor="text1" w:themeTint="D8"/>
      <w:sz w:val="21"/>
      <w:szCs w:val="21"/>
    </w:rPr>
  </w:style>
  <w:style w:type="character" w:styleId="CommentReference">
    <w:name w:val="annotation reference"/>
    <w:uiPriority w:val="99"/>
    <w:rsid w:val="0051308A"/>
    <w:rPr>
      <w:sz w:val="16"/>
      <w:szCs w:val="16"/>
    </w:rPr>
  </w:style>
  <w:style w:type="paragraph" w:styleId="CommentText">
    <w:name w:val="annotation text"/>
    <w:basedOn w:val="Normal"/>
    <w:link w:val="CommentTextChar"/>
    <w:uiPriority w:val="99"/>
    <w:rsid w:val="0051308A"/>
    <w:rPr>
      <w:sz w:val="20"/>
      <w:szCs w:val="20"/>
    </w:rPr>
  </w:style>
  <w:style w:type="character" w:customStyle="1" w:styleId="CommentTextChar">
    <w:name w:val="Comment Text Char"/>
    <w:basedOn w:val="DefaultParagraphFont"/>
    <w:link w:val="CommentText"/>
    <w:uiPriority w:val="99"/>
    <w:rsid w:val="005130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1308A"/>
    <w:rPr>
      <w:rFonts w:eastAsiaTheme="minorHAnsi"/>
      <w:sz w:val="18"/>
      <w:szCs w:val="18"/>
    </w:rPr>
  </w:style>
  <w:style w:type="character" w:customStyle="1" w:styleId="BalloonTextChar">
    <w:name w:val="Balloon Text Char"/>
    <w:basedOn w:val="DefaultParagraphFont"/>
    <w:link w:val="BalloonText"/>
    <w:uiPriority w:val="99"/>
    <w:semiHidden/>
    <w:rsid w:val="0051308A"/>
    <w:rPr>
      <w:rFonts w:ascii="Times New Roman" w:hAnsi="Times New Roman" w:cs="Times New Roman"/>
      <w:sz w:val="18"/>
      <w:szCs w:val="18"/>
    </w:rPr>
  </w:style>
  <w:style w:type="paragraph" w:styleId="ListParagraph">
    <w:name w:val="List Paragraph"/>
    <w:basedOn w:val="Normal"/>
    <w:uiPriority w:val="34"/>
    <w:qFormat/>
    <w:rsid w:val="00490D89"/>
    <w:pPr>
      <w:spacing w:after="160" w:line="259" w:lineRule="auto"/>
      <w:ind w:left="720"/>
      <w:contextualSpacing/>
    </w:pPr>
    <w:rPr>
      <w:rFonts w:ascii="Calibri" w:eastAsia="Calibri" w:hAnsi="Calibri"/>
      <w:sz w:val="22"/>
      <w:szCs w:val="22"/>
    </w:rPr>
  </w:style>
  <w:style w:type="paragraph" w:styleId="BodyText">
    <w:name w:val="Body Text"/>
    <w:basedOn w:val="Normal"/>
    <w:link w:val="BodyTextChar"/>
    <w:uiPriority w:val="1"/>
    <w:qFormat/>
    <w:rsid w:val="00DB2A5C"/>
    <w:pPr>
      <w:widowControl w:val="0"/>
      <w:autoSpaceDE w:val="0"/>
      <w:autoSpaceDN w:val="0"/>
      <w:ind w:left="107"/>
    </w:pPr>
    <w:rPr>
      <w:rFonts w:ascii="Arial" w:eastAsia="Arial" w:hAnsi="Arial" w:cs="Arial"/>
      <w:lang w:bidi="en-US"/>
    </w:rPr>
  </w:style>
  <w:style w:type="character" w:customStyle="1" w:styleId="BodyTextChar">
    <w:name w:val="Body Text Char"/>
    <w:basedOn w:val="DefaultParagraphFont"/>
    <w:link w:val="BodyText"/>
    <w:uiPriority w:val="1"/>
    <w:rsid w:val="00DB2A5C"/>
    <w:rPr>
      <w:rFonts w:ascii="Arial" w:eastAsia="Arial" w:hAnsi="Arial" w:cs="Arial"/>
      <w:lang w:bidi="en-US"/>
    </w:rPr>
  </w:style>
  <w:style w:type="paragraph" w:styleId="CommentSubject">
    <w:name w:val="annotation subject"/>
    <w:basedOn w:val="CommentText"/>
    <w:next w:val="CommentText"/>
    <w:link w:val="CommentSubjectChar"/>
    <w:uiPriority w:val="99"/>
    <w:semiHidden/>
    <w:unhideWhenUsed/>
    <w:rsid w:val="00A308C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08CD"/>
    <w:rPr>
      <w:rFonts w:ascii="Times New Roman" w:eastAsia="Times New Roman" w:hAnsi="Times New Roman" w:cs="Times New Roman"/>
      <w:b/>
      <w:bCs/>
      <w:sz w:val="20"/>
      <w:szCs w:val="20"/>
    </w:rPr>
  </w:style>
  <w:style w:type="table" w:styleId="TableGrid">
    <w:name w:val="Table Grid"/>
    <w:basedOn w:val="TableNormal"/>
    <w:uiPriority w:val="39"/>
    <w:rsid w:val="0001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B55B2"/>
    <w:pPr>
      <w:spacing w:after="200"/>
    </w:pPr>
    <w:rPr>
      <w:rFonts w:asciiTheme="minorHAnsi" w:eastAsiaTheme="minorHAnsi" w:hAnsiTheme="minorHAnsi" w:cstheme="minorBidi"/>
      <w:i/>
      <w:iCs/>
      <w:color w:val="44546A" w:themeColor="text2"/>
      <w:sz w:val="18"/>
      <w:szCs w:val="18"/>
    </w:rPr>
  </w:style>
  <w:style w:type="paragraph" w:styleId="Header">
    <w:name w:val="header"/>
    <w:basedOn w:val="Normal"/>
    <w:link w:val="HeaderChar"/>
    <w:uiPriority w:val="99"/>
    <w:unhideWhenUsed/>
    <w:rsid w:val="00E92272"/>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92272"/>
  </w:style>
  <w:style w:type="paragraph" w:styleId="Footer">
    <w:name w:val="footer"/>
    <w:basedOn w:val="Normal"/>
    <w:link w:val="FooterChar"/>
    <w:uiPriority w:val="99"/>
    <w:unhideWhenUsed/>
    <w:rsid w:val="00E92272"/>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92272"/>
  </w:style>
  <w:style w:type="paragraph" w:customStyle="1" w:styleId="para">
    <w:name w:val="para"/>
    <w:basedOn w:val="Normal"/>
    <w:rsid w:val="00CA7DEA"/>
    <w:pPr>
      <w:spacing w:before="220"/>
    </w:pPr>
    <w:rPr>
      <w:rFonts w:eastAsia="Cambria"/>
      <w:szCs w:val="20"/>
    </w:rPr>
  </w:style>
  <w:style w:type="paragraph" w:styleId="Revision">
    <w:name w:val="Revision"/>
    <w:hidden/>
    <w:uiPriority w:val="99"/>
    <w:semiHidden/>
    <w:rsid w:val="00E91C1E"/>
  </w:style>
  <w:style w:type="paragraph" w:styleId="NormalWeb">
    <w:name w:val="Normal (Web)"/>
    <w:basedOn w:val="Normal"/>
    <w:uiPriority w:val="99"/>
    <w:unhideWhenUsed/>
    <w:rsid w:val="00CA7C6A"/>
    <w:pPr>
      <w:spacing w:before="100" w:beforeAutospacing="1" w:after="100" w:afterAutospacing="1"/>
    </w:pPr>
  </w:style>
  <w:style w:type="paragraph" w:customStyle="1" w:styleId="p1">
    <w:name w:val="p1"/>
    <w:basedOn w:val="Normal"/>
    <w:rsid w:val="00CA7C6A"/>
    <w:pPr>
      <w:spacing w:before="100" w:beforeAutospacing="1" w:after="100" w:afterAutospacing="1"/>
    </w:pPr>
  </w:style>
  <w:style w:type="paragraph" w:customStyle="1" w:styleId="p2">
    <w:name w:val="p2"/>
    <w:basedOn w:val="Normal"/>
    <w:rsid w:val="00CA7C6A"/>
    <w:pPr>
      <w:spacing w:before="100" w:beforeAutospacing="1" w:after="100" w:afterAutospacing="1"/>
    </w:pPr>
  </w:style>
  <w:style w:type="character" w:customStyle="1" w:styleId="apple-converted-space">
    <w:name w:val="apple-converted-space"/>
    <w:basedOn w:val="DefaultParagraphFont"/>
    <w:rsid w:val="00A07C40"/>
  </w:style>
  <w:style w:type="character" w:styleId="Hyperlink">
    <w:name w:val="Hyperlink"/>
    <w:basedOn w:val="DefaultParagraphFont"/>
    <w:uiPriority w:val="99"/>
    <w:unhideWhenUsed/>
    <w:rsid w:val="00E77700"/>
    <w:rPr>
      <w:color w:val="0563C1" w:themeColor="hyperlink"/>
      <w:u w:val="single"/>
    </w:rPr>
  </w:style>
  <w:style w:type="character" w:styleId="UnresolvedMention">
    <w:name w:val="Unresolved Mention"/>
    <w:basedOn w:val="DefaultParagraphFont"/>
    <w:uiPriority w:val="99"/>
    <w:semiHidden/>
    <w:unhideWhenUsed/>
    <w:rsid w:val="00E77700"/>
    <w:rPr>
      <w:color w:val="605E5C"/>
      <w:shd w:val="clear" w:color="auto" w:fill="E1DFDD"/>
    </w:rPr>
  </w:style>
  <w:style w:type="paragraph" w:styleId="FootnoteText">
    <w:name w:val="footnote text"/>
    <w:basedOn w:val="Normal"/>
    <w:link w:val="FootnoteTextChar"/>
    <w:uiPriority w:val="99"/>
    <w:unhideWhenUsed/>
    <w:rsid w:val="002F7F65"/>
    <w:rPr>
      <w:sz w:val="20"/>
      <w:szCs w:val="20"/>
    </w:rPr>
  </w:style>
  <w:style w:type="character" w:customStyle="1" w:styleId="FootnoteTextChar">
    <w:name w:val="Footnote Text Char"/>
    <w:basedOn w:val="DefaultParagraphFont"/>
    <w:link w:val="FootnoteText"/>
    <w:uiPriority w:val="99"/>
    <w:rsid w:val="002F7F6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F7F65"/>
    <w:rPr>
      <w:vertAlign w:val="superscript"/>
    </w:rPr>
  </w:style>
  <w:style w:type="paragraph" w:customStyle="1" w:styleId="paragraph">
    <w:name w:val="paragraph"/>
    <w:basedOn w:val="Normal"/>
    <w:rsid w:val="001270DA"/>
    <w:pPr>
      <w:spacing w:before="100" w:beforeAutospacing="1" w:after="100" w:afterAutospacing="1"/>
    </w:pPr>
  </w:style>
  <w:style w:type="character" w:customStyle="1" w:styleId="normaltextrun">
    <w:name w:val="normaltextrun"/>
    <w:basedOn w:val="DefaultParagraphFont"/>
    <w:rsid w:val="001270DA"/>
  </w:style>
  <w:style w:type="character" w:customStyle="1" w:styleId="eop">
    <w:name w:val="eop"/>
    <w:basedOn w:val="DefaultParagraphFont"/>
    <w:rsid w:val="001270DA"/>
  </w:style>
  <w:style w:type="character" w:styleId="FollowedHyperlink">
    <w:name w:val="FollowedHyperlink"/>
    <w:basedOn w:val="DefaultParagraphFont"/>
    <w:uiPriority w:val="99"/>
    <w:semiHidden/>
    <w:unhideWhenUsed/>
    <w:rsid w:val="006E0E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84283">
      <w:bodyDiv w:val="1"/>
      <w:marLeft w:val="0"/>
      <w:marRight w:val="0"/>
      <w:marTop w:val="0"/>
      <w:marBottom w:val="0"/>
      <w:divBdr>
        <w:top w:val="none" w:sz="0" w:space="0" w:color="auto"/>
        <w:left w:val="none" w:sz="0" w:space="0" w:color="auto"/>
        <w:bottom w:val="none" w:sz="0" w:space="0" w:color="auto"/>
        <w:right w:val="none" w:sz="0" w:space="0" w:color="auto"/>
      </w:divBdr>
      <w:divsChild>
        <w:div w:id="1095052910">
          <w:marLeft w:val="0"/>
          <w:marRight w:val="0"/>
          <w:marTop w:val="0"/>
          <w:marBottom w:val="0"/>
          <w:divBdr>
            <w:top w:val="none" w:sz="0" w:space="0" w:color="auto"/>
            <w:left w:val="none" w:sz="0" w:space="0" w:color="auto"/>
            <w:bottom w:val="none" w:sz="0" w:space="0" w:color="auto"/>
            <w:right w:val="none" w:sz="0" w:space="0" w:color="auto"/>
          </w:divBdr>
        </w:div>
        <w:div w:id="1419016861">
          <w:marLeft w:val="0"/>
          <w:marRight w:val="0"/>
          <w:marTop w:val="0"/>
          <w:marBottom w:val="0"/>
          <w:divBdr>
            <w:top w:val="none" w:sz="0" w:space="0" w:color="auto"/>
            <w:left w:val="none" w:sz="0" w:space="0" w:color="auto"/>
            <w:bottom w:val="none" w:sz="0" w:space="0" w:color="auto"/>
            <w:right w:val="none" w:sz="0" w:space="0" w:color="auto"/>
          </w:divBdr>
        </w:div>
        <w:div w:id="1961717139">
          <w:marLeft w:val="0"/>
          <w:marRight w:val="0"/>
          <w:marTop w:val="0"/>
          <w:marBottom w:val="0"/>
          <w:divBdr>
            <w:top w:val="none" w:sz="0" w:space="0" w:color="auto"/>
            <w:left w:val="none" w:sz="0" w:space="0" w:color="auto"/>
            <w:bottom w:val="none" w:sz="0" w:space="0" w:color="auto"/>
            <w:right w:val="none" w:sz="0" w:space="0" w:color="auto"/>
          </w:divBdr>
        </w:div>
      </w:divsChild>
    </w:div>
    <w:div w:id="86969701">
      <w:bodyDiv w:val="1"/>
      <w:marLeft w:val="0"/>
      <w:marRight w:val="0"/>
      <w:marTop w:val="0"/>
      <w:marBottom w:val="0"/>
      <w:divBdr>
        <w:top w:val="none" w:sz="0" w:space="0" w:color="auto"/>
        <w:left w:val="none" w:sz="0" w:space="0" w:color="auto"/>
        <w:bottom w:val="none" w:sz="0" w:space="0" w:color="auto"/>
        <w:right w:val="none" w:sz="0" w:space="0" w:color="auto"/>
      </w:divBdr>
      <w:divsChild>
        <w:div w:id="509830053">
          <w:marLeft w:val="0"/>
          <w:marRight w:val="0"/>
          <w:marTop w:val="0"/>
          <w:marBottom w:val="0"/>
          <w:divBdr>
            <w:top w:val="none" w:sz="0" w:space="0" w:color="auto"/>
            <w:left w:val="none" w:sz="0" w:space="0" w:color="auto"/>
            <w:bottom w:val="none" w:sz="0" w:space="0" w:color="auto"/>
            <w:right w:val="none" w:sz="0" w:space="0" w:color="auto"/>
          </w:divBdr>
        </w:div>
      </w:divsChild>
    </w:div>
    <w:div w:id="96750987">
      <w:bodyDiv w:val="1"/>
      <w:marLeft w:val="0"/>
      <w:marRight w:val="0"/>
      <w:marTop w:val="0"/>
      <w:marBottom w:val="0"/>
      <w:divBdr>
        <w:top w:val="none" w:sz="0" w:space="0" w:color="auto"/>
        <w:left w:val="none" w:sz="0" w:space="0" w:color="auto"/>
        <w:bottom w:val="none" w:sz="0" w:space="0" w:color="auto"/>
        <w:right w:val="none" w:sz="0" w:space="0" w:color="auto"/>
      </w:divBdr>
    </w:div>
    <w:div w:id="137967099">
      <w:bodyDiv w:val="1"/>
      <w:marLeft w:val="0"/>
      <w:marRight w:val="0"/>
      <w:marTop w:val="0"/>
      <w:marBottom w:val="0"/>
      <w:divBdr>
        <w:top w:val="none" w:sz="0" w:space="0" w:color="auto"/>
        <w:left w:val="none" w:sz="0" w:space="0" w:color="auto"/>
        <w:bottom w:val="none" w:sz="0" w:space="0" w:color="auto"/>
        <w:right w:val="none" w:sz="0" w:space="0" w:color="auto"/>
      </w:divBdr>
      <w:divsChild>
        <w:div w:id="771779428">
          <w:marLeft w:val="0"/>
          <w:marRight w:val="0"/>
          <w:marTop w:val="0"/>
          <w:marBottom w:val="0"/>
          <w:divBdr>
            <w:top w:val="none" w:sz="0" w:space="0" w:color="auto"/>
            <w:left w:val="none" w:sz="0" w:space="0" w:color="auto"/>
            <w:bottom w:val="none" w:sz="0" w:space="0" w:color="auto"/>
            <w:right w:val="none" w:sz="0" w:space="0" w:color="auto"/>
          </w:divBdr>
        </w:div>
        <w:div w:id="1749225274">
          <w:marLeft w:val="0"/>
          <w:marRight w:val="0"/>
          <w:marTop w:val="0"/>
          <w:marBottom w:val="0"/>
          <w:divBdr>
            <w:top w:val="none" w:sz="0" w:space="0" w:color="auto"/>
            <w:left w:val="none" w:sz="0" w:space="0" w:color="auto"/>
            <w:bottom w:val="none" w:sz="0" w:space="0" w:color="auto"/>
            <w:right w:val="none" w:sz="0" w:space="0" w:color="auto"/>
          </w:divBdr>
        </w:div>
      </w:divsChild>
    </w:div>
    <w:div w:id="241107237">
      <w:bodyDiv w:val="1"/>
      <w:marLeft w:val="0"/>
      <w:marRight w:val="0"/>
      <w:marTop w:val="0"/>
      <w:marBottom w:val="0"/>
      <w:divBdr>
        <w:top w:val="none" w:sz="0" w:space="0" w:color="auto"/>
        <w:left w:val="none" w:sz="0" w:space="0" w:color="auto"/>
        <w:bottom w:val="none" w:sz="0" w:space="0" w:color="auto"/>
        <w:right w:val="none" w:sz="0" w:space="0" w:color="auto"/>
      </w:divBdr>
    </w:div>
    <w:div w:id="349331126">
      <w:bodyDiv w:val="1"/>
      <w:marLeft w:val="0"/>
      <w:marRight w:val="0"/>
      <w:marTop w:val="0"/>
      <w:marBottom w:val="0"/>
      <w:divBdr>
        <w:top w:val="none" w:sz="0" w:space="0" w:color="auto"/>
        <w:left w:val="none" w:sz="0" w:space="0" w:color="auto"/>
        <w:bottom w:val="none" w:sz="0" w:space="0" w:color="auto"/>
        <w:right w:val="none" w:sz="0" w:space="0" w:color="auto"/>
      </w:divBdr>
    </w:div>
    <w:div w:id="393165799">
      <w:bodyDiv w:val="1"/>
      <w:marLeft w:val="0"/>
      <w:marRight w:val="0"/>
      <w:marTop w:val="0"/>
      <w:marBottom w:val="0"/>
      <w:divBdr>
        <w:top w:val="none" w:sz="0" w:space="0" w:color="auto"/>
        <w:left w:val="none" w:sz="0" w:space="0" w:color="auto"/>
        <w:bottom w:val="none" w:sz="0" w:space="0" w:color="auto"/>
        <w:right w:val="none" w:sz="0" w:space="0" w:color="auto"/>
      </w:divBdr>
    </w:div>
    <w:div w:id="545067762">
      <w:bodyDiv w:val="1"/>
      <w:marLeft w:val="0"/>
      <w:marRight w:val="0"/>
      <w:marTop w:val="0"/>
      <w:marBottom w:val="0"/>
      <w:divBdr>
        <w:top w:val="none" w:sz="0" w:space="0" w:color="auto"/>
        <w:left w:val="none" w:sz="0" w:space="0" w:color="auto"/>
        <w:bottom w:val="none" w:sz="0" w:space="0" w:color="auto"/>
        <w:right w:val="none" w:sz="0" w:space="0" w:color="auto"/>
      </w:divBdr>
    </w:div>
    <w:div w:id="588587893">
      <w:bodyDiv w:val="1"/>
      <w:marLeft w:val="0"/>
      <w:marRight w:val="0"/>
      <w:marTop w:val="0"/>
      <w:marBottom w:val="0"/>
      <w:divBdr>
        <w:top w:val="none" w:sz="0" w:space="0" w:color="auto"/>
        <w:left w:val="none" w:sz="0" w:space="0" w:color="auto"/>
        <w:bottom w:val="none" w:sz="0" w:space="0" w:color="auto"/>
        <w:right w:val="none" w:sz="0" w:space="0" w:color="auto"/>
      </w:divBdr>
    </w:div>
    <w:div w:id="604384241">
      <w:bodyDiv w:val="1"/>
      <w:marLeft w:val="0"/>
      <w:marRight w:val="0"/>
      <w:marTop w:val="0"/>
      <w:marBottom w:val="0"/>
      <w:divBdr>
        <w:top w:val="none" w:sz="0" w:space="0" w:color="auto"/>
        <w:left w:val="none" w:sz="0" w:space="0" w:color="auto"/>
        <w:bottom w:val="none" w:sz="0" w:space="0" w:color="auto"/>
        <w:right w:val="none" w:sz="0" w:space="0" w:color="auto"/>
      </w:divBdr>
    </w:div>
    <w:div w:id="676538051">
      <w:bodyDiv w:val="1"/>
      <w:marLeft w:val="0"/>
      <w:marRight w:val="0"/>
      <w:marTop w:val="0"/>
      <w:marBottom w:val="0"/>
      <w:divBdr>
        <w:top w:val="none" w:sz="0" w:space="0" w:color="auto"/>
        <w:left w:val="none" w:sz="0" w:space="0" w:color="auto"/>
        <w:bottom w:val="none" w:sz="0" w:space="0" w:color="auto"/>
        <w:right w:val="none" w:sz="0" w:space="0" w:color="auto"/>
      </w:divBdr>
      <w:divsChild>
        <w:div w:id="837840999">
          <w:marLeft w:val="0"/>
          <w:marRight w:val="0"/>
          <w:marTop w:val="0"/>
          <w:marBottom w:val="0"/>
          <w:divBdr>
            <w:top w:val="none" w:sz="0" w:space="0" w:color="auto"/>
            <w:left w:val="none" w:sz="0" w:space="0" w:color="auto"/>
            <w:bottom w:val="none" w:sz="0" w:space="0" w:color="auto"/>
            <w:right w:val="none" w:sz="0" w:space="0" w:color="auto"/>
          </w:divBdr>
        </w:div>
      </w:divsChild>
    </w:div>
    <w:div w:id="869729606">
      <w:bodyDiv w:val="1"/>
      <w:marLeft w:val="0"/>
      <w:marRight w:val="0"/>
      <w:marTop w:val="0"/>
      <w:marBottom w:val="0"/>
      <w:divBdr>
        <w:top w:val="none" w:sz="0" w:space="0" w:color="auto"/>
        <w:left w:val="none" w:sz="0" w:space="0" w:color="auto"/>
        <w:bottom w:val="none" w:sz="0" w:space="0" w:color="auto"/>
        <w:right w:val="none" w:sz="0" w:space="0" w:color="auto"/>
      </w:divBdr>
    </w:div>
    <w:div w:id="966472832">
      <w:bodyDiv w:val="1"/>
      <w:marLeft w:val="0"/>
      <w:marRight w:val="0"/>
      <w:marTop w:val="0"/>
      <w:marBottom w:val="0"/>
      <w:divBdr>
        <w:top w:val="none" w:sz="0" w:space="0" w:color="auto"/>
        <w:left w:val="none" w:sz="0" w:space="0" w:color="auto"/>
        <w:bottom w:val="none" w:sz="0" w:space="0" w:color="auto"/>
        <w:right w:val="none" w:sz="0" w:space="0" w:color="auto"/>
      </w:divBdr>
    </w:div>
    <w:div w:id="987711127">
      <w:bodyDiv w:val="1"/>
      <w:marLeft w:val="0"/>
      <w:marRight w:val="0"/>
      <w:marTop w:val="0"/>
      <w:marBottom w:val="0"/>
      <w:divBdr>
        <w:top w:val="none" w:sz="0" w:space="0" w:color="auto"/>
        <w:left w:val="none" w:sz="0" w:space="0" w:color="auto"/>
        <w:bottom w:val="none" w:sz="0" w:space="0" w:color="auto"/>
        <w:right w:val="none" w:sz="0" w:space="0" w:color="auto"/>
      </w:divBdr>
    </w:div>
    <w:div w:id="1109011397">
      <w:bodyDiv w:val="1"/>
      <w:marLeft w:val="0"/>
      <w:marRight w:val="0"/>
      <w:marTop w:val="0"/>
      <w:marBottom w:val="0"/>
      <w:divBdr>
        <w:top w:val="none" w:sz="0" w:space="0" w:color="auto"/>
        <w:left w:val="none" w:sz="0" w:space="0" w:color="auto"/>
        <w:bottom w:val="none" w:sz="0" w:space="0" w:color="auto"/>
        <w:right w:val="none" w:sz="0" w:space="0" w:color="auto"/>
      </w:divBdr>
    </w:div>
    <w:div w:id="1120102493">
      <w:bodyDiv w:val="1"/>
      <w:marLeft w:val="0"/>
      <w:marRight w:val="0"/>
      <w:marTop w:val="0"/>
      <w:marBottom w:val="0"/>
      <w:divBdr>
        <w:top w:val="none" w:sz="0" w:space="0" w:color="auto"/>
        <w:left w:val="none" w:sz="0" w:space="0" w:color="auto"/>
        <w:bottom w:val="none" w:sz="0" w:space="0" w:color="auto"/>
        <w:right w:val="none" w:sz="0" w:space="0" w:color="auto"/>
      </w:divBdr>
    </w:div>
    <w:div w:id="1182008342">
      <w:bodyDiv w:val="1"/>
      <w:marLeft w:val="0"/>
      <w:marRight w:val="0"/>
      <w:marTop w:val="0"/>
      <w:marBottom w:val="0"/>
      <w:divBdr>
        <w:top w:val="none" w:sz="0" w:space="0" w:color="auto"/>
        <w:left w:val="none" w:sz="0" w:space="0" w:color="auto"/>
        <w:bottom w:val="none" w:sz="0" w:space="0" w:color="auto"/>
        <w:right w:val="none" w:sz="0" w:space="0" w:color="auto"/>
      </w:divBdr>
    </w:div>
    <w:div w:id="1286690328">
      <w:bodyDiv w:val="1"/>
      <w:marLeft w:val="0"/>
      <w:marRight w:val="0"/>
      <w:marTop w:val="0"/>
      <w:marBottom w:val="0"/>
      <w:divBdr>
        <w:top w:val="none" w:sz="0" w:space="0" w:color="auto"/>
        <w:left w:val="none" w:sz="0" w:space="0" w:color="auto"/>
        <w:bottom w:val="none" w:sz="0" w:space="0" w:color="auto"/>
        <w:right w:val="none" w:sz="0" w:space="0" w:color="auto"/>
      </w:divBdr>
    </w:div>
    <w:div w:id="1471480389">
      <w:bodyDiv w:val="1"/>
      <w:marLeft w:val="0"/>
      <w:marRight w:val="0"/>
      <w:marTop w:val="0"/>
      <w:marBottom w:val="0"/>
      <w:divBdr>
        <w:top w:val="none" w:sz="0" w:space="0" w:color="auto"/>
        <w:left w:val="none" w:sz="0" w:space="0" w:color="auto"/>
        <w:bottom w:val="none" w:sz="0" w:space="0" w:color="auto"/>
        <w:right w:val="none" w:sz="0" w:space="0" w:color="auto"/>
      </w:divBdr>
    </w:div>
    <w:div w:id="1617784930">
      <w:bodyDiv w:val="1"/>
      <w:marLeft w:val="0"/>
      <w:marRight w:val="0"/>
      <w:marTop w:val="0"/>
      <w:marBottom w:val="0"/>
      <w:divBdr>
        <w:top w:val="none" w:sz="0" w:space="0" w:color="auto"/>
        <w:left w:val="none" w:sz="0" w:space="0" w:color="auto"/>
        <w:bottom w:val="none" w:sz="0" w:space="0" w:color="auto"/>
        <w:right w:val="none" w:sz="0" w:space="0" w:color="auto"/>
      </w:divBdr>
    </w:div>
    <w:div w:id="1634362252">
      <w:bodyDiv w:val="1"/>
      <w:marLeft w:val="0"/>
      <w:marRight w:val="0"/>
      <w:marTop w:val="0"/>
      <w:marBottom w:val="0"/>
      <w:divBdr>
        <w:top w:val="none" w:sz="0" w:space="0" w:color="auto"/>
        <w:left w:val="none" w:sz="0" w:space="0" w:color="auto"/>
        <w:bottom w:val="none" w:sz="0" w:space="0" w:color="auto"/>
        <w:right w:val="none" w:sz="0" w:space="0" w:color="auto"/>
      </w:divBdr>
    </w:div>
    <w:div w:id="1680814360">
      <w:bodyDiv w:val="1"/>
      <w:marLeft w:val="0"/>
      <w:marRight w:val="0"/>
      <w:marTop w:val="0"/>
      <w:marBottom w:val="0"/>
      <w:divBdr>
        <w:top w:val="none" w:sz="0" w:space="0" w:color="auto"/>
        <w:left w:val="none" w:sz="0" w:space="0" w:color="auto"/>
        <w:bottom w:val="none" w:sz="0" w:space="0" w:color="auto"/>
        <w:right w:val="none" w:sz="0" w:space="0" w:color="auto"/>
      </w:divBdr>
    </w:div>
    <w:div w:id="1712918734">
      <w:bodyDiv w:val="1"/>
      <w:marLeft w:val="0"/>
      <w:marRight w:val="0"/>
      <w:marTop w:val="0"/>
      <w:marBottom w:val="0"/>
      <w:divBdr>
        <w:top w:val="none" w:sz="0" w:space="0" w:color="auto"/>
        <w:left w:val="none" w:sz="0" w:space="0" w:color="auto"/>
        <w:bottom w:val="none" w:sz="0" w:space="0" w:color="auto"/>
        <w:right w:val="none" w:sz="0" w:space="0" w:color="auto"/>
      </w:divBdr>
    </w:div>
    <w:div w:id="1727145376">
      <w:bodyDiv w:val="1"/>
      <w:marLeft w:val="0"/>
      <w:marRight w:val="0"/>
      <w:marTop w:val="0"/>
      <w:marBottom w:val="0"/>
      <w:divBdr>
        <w:top w:val="none" w:sz="0" w:space="0" w:color="auto"/>
        <w:left w:val="none" w:sz="0" w:space="0" w:color="auto"/>
        <w:bottom w:val="none" w:sz="0" w:space="0" w:color="auto"/>
        <w:right w:val="none" w:sz="0" w:space="0" w:color="auto"/>
      </w:divBdr>
    </w:div>
    <w:div w:id="1744831903">
      <w:bodyDiv w:val="1"/>
      <w:marLeft w:val="0"/>
      <w:marRight w:val="0"/>
      <w:marTop w:val="0"/>
      <w:marBottom w:val="0"/>
      <w:divBdr>
        <w:top w:val="none" w:sz="0" w:space="0" w:color="auto"/>
        <w:left w:val="none" w:sz="0" w:space="0" w:color="auto"/>
        <w:bottom w:val="none" w:sz="0" w:space="0" w:color="auto"/>
        <w:right w:val="none" w:sz="0" w:space="0" w:color="auto"/>
      </w:divBdr>
    </w:div>
    <w:div w:id="1833452560">
      <w:bodyDiv w:val="1"/>
      <w:marLeft w:val="0"/>
      <w:marRight w:val="0"/>
      <w:marTop w:val="0"/>
      <w:marBottom w:val="0"/>
      <w:divBdr>
        <w:top w:val="none" w:sz="0" w:space="0" w:color="auto"/>
        <w:left w:val="none" w:sz="0" w:space="0" w:color="auto"/>
        <w:bottom w:val="none" w:sz="0" w:space="0" w:color="auto"/>
        <w:right w:val="none" w:sz="0" w:space="0" w:color="auto"/>
      </w:divBdr>
    </w:div>
    <w:div w:id="1958948418">
      <w:bodyDiv w:val="1"/>
      <w:marLeft w:val="0"/>
      <w:marRight w:val="0"/>
      <w:marTop w:val="0"/>
      <w:marBottom w:val="0"/>
      <w:divBdr>
        <w:top w:val="none" w:sz="0" w:space="0" w:color="auto"/>
        <w:left w:val="none" w:sz="0" w:space="0" w:color="auto"/>
        <w:bottom w:val="none" w:sz="0" w:space="0" w:color="auto"/>
        <w:right w:val="none" w:sz="0" w:space="0" w:color="auto"/>
      </w:divBdr>
    </w:div>
    <w:div w:id="196392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Moore@iml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errone@ed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ls.gov/publications/transforming-communities-imls-strategic-plan-2018-202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Carr@imls.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_nat.htm" TargetMode="External"/><Relationship Id="rId1" Type="http://schemas.openxmlformats.org/officeDocument/2006/relationships/hyperlink" Target="https://www.bls.gov/oes/current/oes_na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angopadhyay\AppData\Local\Microsoft\Windows\INetCache\Content.Outlook\A55R07BN\EDC%20OMB_v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f2418e1062e77d5fb7473a12811b4872">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b9631f3e24199a5d854d9d163f105406"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Matthew Birnbaum</DisplayName>
        <AccountId>14</AccountId>
        <AccountType/>
      </UserInfo>
      <UserInfo>
        <DisplayName>Marvin Carr</DisplayName>
        <AccountId>1269</AccountId>
        <AccountType/>
      </UserInfo>
    </SharedWithUsers>
  </documentManagement>
</p:properties>
</file>

<file path=customXml/itemProps1.xml><?xml version="1.0" encoding="utf-8"?>
<ds:datastoreItem xmlns:ds="http://schemas.openxmlformats.org/officeDocument/2006/customXml" ds:itemID="{B3F78267-8B23-4875-AE12-571DE299A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04AC3-1B4A-4B71-BBE0-7B9BC9558C5C}">
  <ds:schemaRefs>
    <ds:schemaRef ds:uri="http://schemas.microsoft.com/sharepoint/v3/contenttype/forms"/>
  </ds:schemaRefs>
</ds:datastoreItem>
</file>

<file path=customXml/itemProps3.xml><?xml version="1.0" encoding="utf-8"?>
<ds:datastoreItem xmlns:ds="http://schemas.openxmlformats.org/officeDocument/2006/customXml" ds:itemID="{A586ACF8-5E7C-4894-BBD5-DD2A650AF674}">
  <ds:schemaRefs>
    <ds:schemaRef ds:uri="http://schemas.openxmlformats.org/officeDocument/2006/bibliography"/>
  </ds:schemaRefs>
</ds:datastoreItem>
</file>

<file path=customXml/itemProps4.xml><?xml version="1.0" encoding="utf-8"?>
<ds:datastoreItem xmlns:ds="http://schemas.openxmlformats.org/officeDocument/2006/customXml" ds:itemID="{A443311C-90EF-4E30-A36C-90AF5DF61732}">
  <ds:schemaRefs>
    <ds:schemaRef ds:uri="http://schemas.microsoft.com/office/2006/metadata/properties"/>
    <ds:schemaRef ds:uri="http://schemas.microsoft.com/office/infopath/2007/PartnerControls"/>
    <ds:schemaRef ds:uri="5b7cd334-ef48-44ad-ba3d-dd607a2fcc1b"/>
  </ds:schemaRefs>
</ds:datastoreItem>
</file>

<file path=docProps/app.xml><?xml version="1.0" encoding="utf-8"?>
<Properties xmlns="http://schemas.openxmlformats.org/officeDocument/2006/extended-properties" xmlns:vt="http://schemas.openxmlformats.org/officeDocument/2006/docPropsVTypes">
  <Template>C:\Users\pgangopadhyay\AppData\Local\Microsoft\Windows\INetCache\Content.Outlook\A55R07BN\EDC OMB_v4.dotx</Template>
  <TotalTime>53</TotalTime>
  <Pages>19</Pages>
  <Words>7552</Words>
  <Characters>43047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50499</CharactersWithSpaces>
  <SharedDoc>false</SharedDoc>
  <HLinks>
    <vt:vector size="36" baseType="variant">
      <vt:variant>
        <vt:i4>5767266</vt:i4>
      </vt:variant>
      <vt:variant>
        <vt:i4>60</vt:i4>
      </vt:variant>
      <vt:variant>
        <vt:i4>0</vt:i4>
      </vt:variant>
      <vt:variant>
        <vt:i4>5</vt:i4>
      </vt:variant>
      <vt:variant>
        <vt:lpwstr>mailto:MCarr@imls.gov</vt:lpwstr>
      </vt:variant>
      <vt:variant>
        <vt:lpwstr/>
      </vt:variant>
      <vt:variant>
        <vt:i4>4325481</vt:i4>
      </vt:variant>
      <vt:variant>
        <vt:i4>57</vt:i4>
      </vt:variant>
      <vt:variant>
        <vt:i4>0</vt:i4>
      </vt:variant>
      <vt:variant>
        <vt:i4>5</vt:i4>
      </vt:variant>
      <vt:variant>
        <vt:lpwstr>mailto:RMoore@imls.gov</vt:lpwstr>
      </vt:variant>
      <vt:variant>
        <vt:lpwstr/>
      </vt:variant>
      <vt:variant>
        <vt:i4>917560</vt:i4>
      </vt:variant>
      <vt:variant>
        <vt:i4>54</vt:i4>
      </vt:variant>
      <vt:variant>
        <vt:i4>0</vt:i4>
      </vt:variant>
      <vt:variant>
        <vt:i4>5</vt:i4>
      </vt:variant>
      <vt:variant>
        <vt:lpwstr>mailto:mcerrone@edc.org</vt:lpwstr>
      </vt:variant>
      <vt:variant>
        <vt:lpwstr/>
      </vt:variant>
      <vt:variant>
        <vt:i4>4784149</vt:i4>
      </vt:variant>
      <vt:variant>
        <vt:i4>0</vt:i4>
      </vt:variant>
      <vt:variant>
        <vt:i4>0</vt:i4>
      </vt:variant>
      <vt:variant>
        <vt:i4>5</vt:i4>
      </vt:variant>
      <vt:variant>
        <vt:lpwstr>https://www.imls.gov/publications/transforming-communities-imls-strategic-plan-2018-2022</vt:lpwstr>
      </vt:variant>
      <vt:variant>
        <vt:lpwstr/>
      </vt:variant>
      <vt:variant>
        <vt:i4>7798815</vt:i4>
      </vt:variant>
      <vt:variant>
        <vt:i4>3</vt:i4>
      </vt:variant>
      <vt:variant>
        <vt:i4>0</vt:i4>
      </vt:variant>
      <vt:variant>
        <vt:i4>5</vt:i4>
      </vt:variant>
      <vt:variant>
        <vt:lpwstr>https://www.bls.gov/oes/current/oes_nat.htm</vt:lpwstr>
      </vt:variant>
      <vt:variant>
        <vt:lpwstr>00-0000</vt:lpwstr>
      </vt: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Gangopadhyay</dc:creator>
  <cp:keywords/>
  <dc:description/>
  <cp:lastModifiedBy>Connie Bodner</cp:lastModifiedBy>
  <cp:revision>52</cp:revision>
  <cp:lastPrinted>2020-08-12T20:20:00Z</cp:lastPrinted>
  <dcterms:created xsi:type="dcterms:W3CDTF">2020-09-18T18:24:00Z</dcterms:created>
  <dcterms:modified xsi:type="dcterms:W3CDTF">2020-09-24T20:22:00Z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