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41DF" w:rsidR="007B6C63" w:rsidP="004A5959" w:rsidRDefault="00D1720C">
      <w:pPr>
        <w:tabs>
          <w:tab w:val="center" w:pos="4680"/>
        </w:tabs>
        <w:jc w:val="center"/>
        <w:rPr>
          <w:rFonts w:ascii="Times New Roman" w:hAnsi="Times New Roman"/>
          <w:b/>
        </w:rPr>
      </w:pPr>
      <w:r w:rsidRPr="00FC41DF">
        <w:rPr>
          <w:rFonts w:ascii="Calibri" w:hAnsi="Calibri" w:cs="Calibri"/>
          <w:b/>
          <w:color w:val="000000"/>
        </w:rPr>
        <w:t>S</w:t>
      </w:r>
      <w:r w:rsidRPr="00FC41DF" w:rsidR="007B6C63">
        <w:rPr>
          <w:rFonts w:ascii="Times New Roman" w:hAnsi="Times New Roman"/>
          <w:b/>
        </w:rPr>
        <w:t>UPPORTING STATEMENT</w:t>
      </w:r>
    </w:p>
    <w:p w:rsidRPr="0071052F" w:rsidR="0071052F" w:rsidP="00F42703" w:rsidRDefault="00F42703">
      <w:pPr>
        <w:jc w:val="center"/>
        <w:rPr>
          <w:rFonts w:ascii="Times New Roman" w:hAnsi="Times New Roman"/>
          <w:b/>
          <w:bCs/>
        </w:rPr>
      </w:pPr>
      <w:r>
        <w:rPr>
          <w:rFonts w:ascii="Times New Roman" w:hAnsi="Times New Roman"/>
          <w:b/>
          <w:bCs/>
        </w:rPr>
        <w:t>FORMS RELATING TO PROCESSING DEPOSIT INSURANCE CLAIMS</w:t>
      </w:r>
    </w:p>
    <w:p w:rsidRPr="004A5959" w:rsidR="004A5959" w:rsidP="0071052F" w:rsidRDefault="0071052F">
      <w:pPr>
        <w:jc w:val="center"/>
        <w:rPr>
          <w:rFonts w:ascii="Times New Roman" w:hAnsi="Times New Roman"/>
          <w:b/>
        </w:rPr>
      </w:pPr>
      <w:r w:rsidRPr="0071052F">
        <w:rPr>
          <w:rFonts w:ascii="Times New Roman" w:hAnsi="Times New Roman"/>
          <w:b/>
          <w:bCs/>
        </w:rPr>
        <w:t>(OMB No. 3064-01</w:t>
      </w:r>
      <w:r w:rsidR="00020D1B">
        <w:rPr>
          <w:rFonts w:ascii="Times New Roman" w:hAnsi="Times New Roman"/>
          <w:b/>
          <w:bCs/>
        </w:rPr>
        <w:t>43</w:t>
      </w:r>
      <w:r>
        <w:rPr>
          <w:rFonts w:ascii="Times New Roman" w:hAnsi="Times New Roman"/>
          <w:b/>
          <w:bCs/>
        </w:rPr>
        <w:t>)</w:t>
      </w:r>
    </w:p>
    <w:p w:rsidR="007B6C63" w:rsidRDefault="007B6C63">
      <w:pPr>
        <w:rPr>
          <w:rFonts w:ascii="Times New Roman" w:hAnsi="Times New Roman"/>
        </w:rPr>
      </w:pPr>
    </w:p>
    <w:p w:rsidRPr="004C5B45" w:rsidR="007B6C63" w:rsidRDefault="007B6C63">
      <w:pPr>
        <w:rPr>
          <w:rFonts w:ascii="Times New Roman" w:hAnsi="Times New Roman"/>
          <w:b/>
        </w:rPr>
      </w:pPr>
      <w:r w:rsidRPr="004C5B45">
        <w:rPr>
          <w:rFonts w:ascii="Times New Roman" w:hAnsi="Times New Roman"/>
          <w:b/>
        </w:rPr>
        <w:t>INTRODUCTION</w:t>
      </w:r>
    </w:p>
    <w:p w:rsidR="007B6C63" w:rsidRDefault="007B6C63">
      <w:pPr>
        <w:rPr>
          <w:rFonts w:ascii="Times New Roman" w:hAnsi="Times New Roman"/>
        </w:rPr>
      </w:pPr>
    </w:p>
    <w:p w:rsidR="007B6C63" w:rsidRDefault="004C250D">
      <w:pPr>
        <w:rPr>
          <w:rFonts w:ascii="Times New Roman" w:hAnsi="Times New Roman"/>
        </w:rPr>
      </w:pPr>
      <w:r w:rsidRPr="004C250D">
        <w:rPr>
          <w:rFonts w:ascii="Times New Roman" w:hAnsi="Times New Roman" w:eastAsia="Calibri"/>
          <w:snapToGrid/>
          <w:spacing w:val="-3"/>
          <w:szCs w:val="24"/>
        </w:rPr>
        <w:t>The Federal Deposit Insurance Corporation (FDIC) is requesting OMB approval of a three-year extension without change of the information collection entitled “Forms Relating to Processing Deposit Insurance Claims” (OMB Control No. 3064-0143).  This information collection consists of various forms used to enable the FDIC t</w:t>
      </w:r>
      <w:r w:rsidRPr="004C250D">
        <w:rPr>
          <w:rFonts w:ascii="Times New Roman" w:hAnsi="Times New Roman" w:eastAsia="Calibri"/>
          <w:snapToGrid/>
          <w:szCs w:val="24"/>
        </w:rPr>
        <w:t>o pay insured deposits in the event of the failure of an insured depository institution.</w:t>
      </w:r>
      <w:r w:rsidRPr="004C250D">
        <w:rPr>
          <w:rFonts w:ascii="Times New Roman" w:hAnsi="Times New Roman" w:eastAsia="Calibri"/>
          <w:snapToGrid/>
          <w:spacing w:val="-3"/>
          <w:szCs w:val="24"/>
        </w:rPr>
        <w:t xml:space="preserve">  The current clearance for the collection expires on August 31, 2020.  There is no change in the method or substance of the collection, the FDIC has revised its estimate with respect of the number of expected respondents for several forms.</w:t>
      </w:r>
    </w:p>
    <w:p w:rsidR="007B6C63" w:rsidRDefault="007B6C63">
      <w:pPr>
        <w:rPr>
          <w:rFonts w:ascii="Times New Roman" w:hAnsi="Times New Roman"/>
        </w:rPr>
      </w:pPr>
    </w:p>
    <w:p w:rsidR="007B6C63" w:rsidRDefault="007B6C63">
      <w:pPr>
        <w:tabs>
          <w:tab w:val="left" w:pos="-1440"/>
        </w:tabs>
        <w:rPr>
          <w:rFonts w:ascii="Times New Roman" w:hAnsi="Times New Roman"/>
        </w:rPr>
      </w:pPr>
      <w:r>
        <w:rPr>
          <w:rFonts w:ascii="Times New Roman" w:hAnsi="Times New Roman"/>
        </w:rPr>
        <w:t>A.</w:t>
      </w:r>
      <w:r>
        <w:rPr>
          <w:rFonts w:ascii="Times New Roman" w:hAnsi="Times New Roman"/>
        </w:rPr>
        <w:tab/>
      </w:r>
      <w:r w:rsidRPr="004C5B45">
        <w:rPr>
          <w:rFonts w:ascii="Times New Roman" w:hAnsi="Times New Roman"/>
          <w:b/>
        </w:rPr>
        <w:t>JUSTIFICATION</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rsidRDefault="007B6C63">
      <w:pPr>
        <w:rPr>
          <w:rFonts w:ascii="Times New Roman" w:hAnsi="Times New Roman"/>
        </w:rPr>
      </w:pPr>
    </w:p>
    <w:p w:rsidRPr="007D7B9A" w:rsidR="004C250D" w:rsidP="00796D18" w:rsidRDefault="004C250D">
      <w:pPr>
        <w:ind w:left="720"/>
        <w:rPr>
          <w:rFonts w:ascii="Times New Roman" w:hAnsi="Times New Roman"/>
        </w:rPr>
      </w:pPr>
      <w:r w:rsidRPr="007D7B9A">
        <w:rPr>
          <w:rFonts w:ascii="Times New Roman" w:hAnsi="Times New Roman"/>
        </w:rPr>
        <w:t xml:space="preserve">When an insured depository institution (“IDI”) is closed by its primary regulatory authority, the FDIC has the responsibility to pay the insured deposits pursuant to Section 11(a) and (f) of the Federal Deposit Insurance Act (FDI Act), 12 U.S.C. 1821(a) and (f), and the FDIC’s regulations, “Deposit Insurance Coverage”, 12 CFR part 330, and “Recordkeeping for Timely Deposit Insurance Determination”, 12 CFR part 370.  In the event that the requisite information is not available in a failed IDI’s records, the FDIC will utilize these forms, declarations and affidavits to request the necessary information from a depositor. </w:t>
      </w:r>
    </w:p>
    <w:p w:rsidRPr="009F3EB6" w:rsidR="004C250D" w:rsidP="004C250D" w:rsidRDefault="004C250D">
      <w:pPr>
        <w:pStyle w:val="NoSpacing"/>
        <w:ind w:left="1440"/>
        <w:rPr>
          <w:rFonts w:ascii="Times New Roman" w:hAnsi="Times New Roman" w:eastAsia="Times New Roman" w:cs="Times New Roman"/>
          <w:sz w:val="24"/>
          <w:szCs w:val="24"/>
        </w:rPr>
      </w:pPr>
    </w:p>
    <w:p w:rsidRPr="009F3EB6" w:rsidR="004C250D" w:rsidP="00796D18" w:rsidRDefault="004C250D">
      <w:pPr>
        <w:ind w:left="720"/>
        <w:rPr>
          <w:rFonts w:ascii="Times New Roman" w:hAnsi="Times New Roman"/>
          <w:szCs w:val="24"/>
        </w:rPr>
      </w:pPr>
      <w:r w:rsidRPr="009F3EB6">
        <w:rPr>
          <w:rFonts w:ascii="Times New Roman" w:hAnsi="Times New Roman"/>
          <w:szCs w:val="24"/>
        </w:rPr>
        <w:t xml:space="preserve">Generally, deposits are insured to a maximum of $250,000. This maximum coverage is based on “ownership rights and capacities.”  All deposits that are </w:t>
      </w:r>
      <w:r w:rsidRPr="00796D18">
        <w:rPr>
          <w:rFonts w:ascii="Times New Roman" w:hAnsi="Times New Roman"/>
        </w:rPr>
        <w:t>maintained</w:t>
      </w:r>
      <w:r w:rsidRPr="009F3EB6">
        <w:rPr>
          <w:rFonts w:ascii="Times New Roman" w:hAnsi="Times New Roman"/>
          <w:szCs w:val="24"/>
        </w:rPr>
        <w:t xml:space="preserve"> in the same right and capacity are added together and insured up to $250,000 in accordance with the regulations relating to deposit insurance of that particular deposit insurance ownership category.  Deposits held in different ownership categories are eligible for $250,000 coverage per category.  For example, as a general rule, single ownership accounts are separately insured from trust accounts held for qualified beneficiaries.</w:t>
      </w:r>
    </w:p>
    <w:p w:rsidRPr="009F3EB6" w:rsidR="004C250D" w:rsidP="004C250D" w:rsidRDefault="004C250D">
      <w:pPr>
        <w:pStyle w:val="NoSpacing"/>
        <w:ind w:left="1440"/>
        <w:rPr>
          <w:rFonts w:ascii="Times New Roman" w:hAnsi="Times New Roman" w:eastAsia="Times New Roman" w:cs="Times New Roman"/>
          <w:sz w:val="24"/>
          <w:szCs w:val="24"/>
        </w:rPr>
      </w:pPr>
    </w:p>
    <w:p w:rsidRPr="009F3EB6" w:rsidR="004C250D" w:rsidP="00796D18" w:rsidRDefault="004C250D">
      <w:pPr>
        <w:ind w:left="720"/>
        <w:rPr>
          <w:rFonts w:ascii="Times New Roman" w:hAnsi="Times New Roman"/>
          <w:szCs w:val="24"/>
        </w:rPr>
      </w:pPr>
      <w:r w:rsidRPr="009F3EB6">
        <w:rPr>
          <w:rFonts w:ascii="Times New Roman" w:hAnsi="Times New Roman"/>
          <w:szCs w:val="24"/>
        </w:rPr>
        <w:t xml:space="preserve">At the time of an IDI’s closing, the FDIC obtains information about customer accounts from the IDI’s deposit account records.   Based on the IDI’s records, the FDIC makes determinations about insurance coverage for each depositor.  Depositors deemed to be uninsured because their deposits are over $250,000 may qualify for additional insurance coverage if they can provide documentation substantiating eligibility. </w:t>
      </w:r>
    </w:p>
    <w:p w:rsidRPr="00E7318E" w:rsidR="004C250D" w:rsidP="004C250D" w:rsidRDefault="004C250D">
      <w:pPr>
        <w:ind w:left="841" w:right="249"/>
        <w:rPr>
          <w:rFonts w:ascii="Times New Roman" w:hAnsi="Times New Roman"/>
          <w:szCs w:val="24"/>
        </w:rPr>
      </w:pPr>
    </w:p>
    <w:p w:rsidR="004C250D" w:rsidP="004C250D" w:rsidRDefault="004C250D">
      <w:pPr>
        <w:pStyle w:val="ListParagraph"/>
        <w:numPr>
          <w:ilvl w:val="1"/>
          <w:numId w:val="5"/>
        </w:numPr>
        <w:tabs>
          <w:tab w:val="left" w:pos="-720"/>
        </w:tabs>
        <w:suppressAutoHyphens/>
        <w:spacing w:after="0" w:line="240" w:lineRule="auto"/>
        <w:ind w:right="502"/>
        <w:rPr>
          <w:rFonts w:ascii="Times New Roman" w:hAnsi="Times New Roman" w:eastAsia="Times New Roman" w:cs="Times New Roman"/>
          <w:sz w:val="24"/>
          <w:szCs w:val="24"/>
        </w:rPr>
      </w:pPr>
      <w:r w:rsidRPr="00CF29D8">
        <w:rPr>
          <w:rFonts w:ascii="Times New Roman" w:hAnsi="Times New Roman"/>
          <w:spacing w:val="-3"/>
          <w:sz w:val="24"/>
          <w:szCs w:val="24"/>
          <w:u w:val="single"/>
        </w:rPr>
        <w:t>General Deposit Accounts</w:t>
      </w:r>
      <w:r>
        <w:rPr>
          <w:rFonts w:ascii="Times New Roman" w:hAnsi="Times New Roman"/>
          <w:spacing w:val="-3"/>
          <w:sz w:val="24"/>
          <w:szCs w:val="24"/>
        </w:rPr>
        <w:t xml:space="preserve">.  </w:t>
      </w:r>
      <w:r w:rsidRPr="004429A3">
        <w:rPr>
          <w:rFonts w:ascii="Times New Roman" w:hAnsi="Times New Roman" w:eastAsia="Times New Roman" w:cs="Times New Roman"/>
          <w:sz w:val="24"/>
          <w:szCs w:val="24"/>
        </w:rPr>
        <w:t>The forms, declarations, and affidavits in this collection facilitate customers providing the FDIC with the information that may permit a more comprehensive deposit insurance determination.</w:t>
      </w:r>
    </w:p>
    <w:p w:rsidR="004C250D" w:rsidP="004C250D" w:rsidRDefault="004C250D">
      <w:pPr>
        <w:pStyle w:val="ListParagraph"/>
        <w:tabs>
          <w:tab w:val="left" w:pos="-720"/>
        </w:tabs>
        <w:suppressAutoHyphens/>
        <w:spacing w:after="0" w:line="240" w:lineRule="auto"/>
        <w:ind w:left="1800" w:right="502"/>
        <w:rPr>
          <w:rFonts w:ascii="Times New Roman" w:hAnsi="Times New Roman" w:eastAsia="Times New Roman" w:cs="Times New Roman"/>
          <w:sz w:val="24"/>
          <w:szCs w:val="24"/>
        </w:rPr>
      </w:pPr>
    </w:p>
    <w:p w:rsidRPr="004429A3" w:rsidR="004C250D" w:rsidP="004C250D" w:rsidRDefault="004C250D">
      <w:pPr>
        <w:pStyle w:val="ListParagraph"/>
        <w:numPr>
          <w:ilvl w:val="1"/>
          <w:numId w:val="5"/>
        </w:numPr>
        <w:tabs>
          <w:tab w:val="left" w:pos="-720"/>
        </w:tabs>
        <w:suppressAutoHyphens/>
        <w:spacing w:after="0" w:line="240" w:lineRule="auto"/>
        <w:ind w:right="502"/>
        <w:rPr>
          <w:rFonts w:ascii="Times New Roman" w:hAnsi="Times New Roman" w:eastAsia="Times New Roman" w:cs="Times New Roman"/>
          <w:sz w:val="24"/>
          <w:szCs w:val="24"/>
        </w:rPr>
      </w:pPr>
      <w:r w:rsidRPr="00CF29D8">
        <w:rPr>
          <w:rFonts w:ascii="Times New Roman" w:hAnsi="Times New Roman" w:eastAsia="Times New Roman" w:cs="Times New Roman"/>
          <w:bCs/>
          <w:sz w:val="24"/>
          <w:szCs w:val="24"/>
          <w:u w:val="single"/>
        </w:rPr>
        <w:t>Deposit</w:t>
      </w:r>
      <w:r w:rsidRPr="00CF29D8">
        <w:rPr>
          <w:rFonts w:ascii="Times New Roman" w:hAnsi="Times New Roman" w:eastAsia="Times New Roman" w:cs="Times New Roman"/>
          <w:bCs/>
          <w:spacing w:val="25"/>
          <w:sz w:val="24"/>
          <w:szCs w:val="24"/>
          <w:u w:val="single"/>
        </w:rPr>
        <w:t xml:space="preserve"> </w:t>
      </w:r>
      <w:r w:rsidRPr="00CF29D8">
        <w:rPr>
          <w:rFonts w:ascii="Times New Roman" w:hAnsi="Times New Roman" w:eastAsia="Times New Roman" w:cs="Times New Roman"/>
          <w:bCs/>
          <w:sz w:val="24"/>
          <w:szCs w:val="24"/>
          <w:u w:val="single"/>
        </w:rPr>
        <w:t>Brokers</w:t>
      </w:r>
      <w:r>
        <w:rPr>
          <w:rFonts w:ascii="Times New Roman" w:hAnsi="Times New Roman" w:eastAsia="Times New Roman" w:cs="Times New Roman"/>
          <w:bCs/>
          <w:sz w:val="24"/>
          <w:szCs w:val="24"/>
        </w:rPr>
        <w:t xml:space="preserve">.  </w:t>
      </w:r>
      <w:r w:rsidRPr="004429A3">
        <w:rPr>
          <w:rFonts w:ascii="Times New Roman" w:hAnsi="Times New Roman" w:eastAsia="Times New Roman" w:cs="Times New Roman"/>
          <w:sz w:val="24"/>
          <w:szCs w:val="24"/>
        </w:rPr>
        <w:t>A failed IDI</w:t>
      </w:r>
      <w:r>
        <w:rPr>
          <w:rFonts w:ascii="Times New Roman" w:hAnsi="Times New Roman" w:eastAsia="Times New Roman" w:cs="Times New Roman"/>
          <w:sz w:val="24"/>
          <w:szCs w:val="24"/>
        </w:rPr>
        <w:t>’</w:t>
      </w:r>
      <w:r w:rsidRPr="004429A3">
        <w:rPr>
          <w:rFonts w:ascii="Times New Roman" w:hAnsi="Times New Roman" w:eastAsia="Times New Roman" w:cs="Times New Roman"/>
          <w:sz w:val="24"/>
          <w:szCs w:val="24"/>
        </w:rPr>
        <w:t xml:space="preserve">s deposit account records may not reveal </w:t>
      </w:r>
      <w:r w:rsidRPr="004429A3">
        <w:rPr>
          <w:rFonts w:ascii="Times New Roman" w:hAnsi="Times New Roman" w:eastAsia="Times New Roman" w:cs="Times New Roman"/>
          <w:sz w:val="24"/>
          <w:szCs w:val="24"/>
        </w:rPr>
        <w:lastRenderedPageBreak/>
        <w:t>the actual owner(s) of a particular deposit account.   Rather, the deposit account records may indicate that the deposit was placed at the insured institution by a deposit broker on behalf of one or more third parties. In some cases, the broker</w:t>
      </w:r>
      <w:r>
        <w:rPr>
          <w:rFonts w:ascii="Times New Roman" w:hAnsi="Times New Roman" w:eastAsia="Times New Roman" w:cs="Times New Roman"/>
          <w:sz w:val="24"/>
          <w:szCs w:val="24"/>
        </w:rPr>
        <w:t>’</w:t>
      </w:r>
      <w:r w:rsidRPr="004429A3">
        <w:rPr>
          <w:rFonts w:ascii="Times New Roman" w:hAnsi="Times New Roman" w:eastAsia="Times New Roman" w:cs="Times New Roman"/>
          <w:sz w:val="24"/>
          <w:szCs w:val="24"/>
        </w:rPr>
        <w:t xml:space="preserve">s customer may not be an actual owner of the deposit but merely a </w:t>
      </w:r>
      <w:r>
        <w:rPr>
          <w:rFonts w:ascii="Times New Roman" w:hAnsi="Times New Roman" w:eastAsia="Times New Roman" w:cs="Times New Roman"/>
          <w:sz w:val="24"/>
          <w:szCs w:val="24"/>
        </w:rPr>
        <w:t>“</w:t>
      </w:r>
      <w:r w:rsidRPr="004429A3">
        <w:rPr>
          <w:rFonts w:ascii="Times New Roman" w:hAnsi="Times New Roman" w:eastAsia="Times New Roman" w:cs="Times New Roman"/>
          <w:sz w:val="24"/>
          <w:szCs w:val="24"/>
        </w:rPr>
        <w:t>second-tier</w:t>
      </w:r>
      <w:r>
        <w:rPr>
          <w:rFonts w:ascii="Times New Roman" w:hAnsi="Times New Roman" w:eastAsia="Times New Roman" w:cs="Times New Roman"/>
          <w:sz w:val="24"/>
          <w:szCs w:val="24"/>
        </w:rPr>
        <w:t>”</w:t>
      </w:r>
      <w:r w:rsidRPr="004429A3">
        <w:rPr>
          <w:rFonts w:ascii="Times New Roman" w:hAnsi="Times New Roman" w:eastAsia="Times New Roman" w:cs="Times New Roman"/>
          <w:sz w:val="24"/>
          <w:szCs w:val="24"/>
        </w:rPr>
        <w:t xml:space="preserve"> deposit broker with its own customers. In turn, these customers could be </w:t>
      </w:r>
      <w:r>
        <w:rPr>
          <w:rFonts w:ascii="Times New Roman" w:hAnsi="Times New Roman" w:eastAsia="Times New Roman" w:cs="Times New Roman"/>
          <w:sz w:val="24"/>
          <w:szCs w:val="24"/>
        </w:rPr>
        <w:t>“</w:t>
      </w:r>
      <w:r w:rsidRPr="004429A3">
        <w:rPr>
          <w:rFonts w:ascii="Times New Roman" w:hAnsi="Times New Roman" w:eastAsia="Times New Roman" w:cs="Times New Roman"/>
          <w:sz w:val="24"/>
          <w:szCs w:val="24"/>
        </w:rPr>
        <w:t>third-tier</w:t>
      </w:r>
      <w:r>
        <w:rPr>
          <w:rFonts w:ascii="Times New Roman" w:hAnsi="Times New Roman" w:eastAsia="Times New Roman" w:cs="Times New Roman"/>
          <w:sz w:val="24"/>
          <w:szCs w:val="24"/>
        </w:rPr>
        <w:t>”</w:t>
      </w:r>
      <w:r w:rsidRPr="004429A3">
        <w:rPr>
          <w:rFonts w:ascii="Times New Roman" w:hAnsi="Times New Roman" w:eastAsia="Times New Roman" w:cs="Times New Roman"/>
          <w:sz w:val="24"/>
          <w:szCs w:val="24"/>
        </w:rPr>
        <w:t xml:space="preserve"> deposit brokers with their own customers.  Deposits held in the name of a deposit broker on behalf of clients are covered by federal deposit insurance (up to the $250,000 limit) the same as if the broker</w:t>
      </w:r>
      <w:r>
        <w:rPr>
          <w:rFonts w:ascii="Times New Roman" w:hAnsi="Times New Roman" w:eastAsia="Times New Roman" w:cs="Times New Roman"/>
          <w:sz w:val="24"/>
          <w:szCs w:val="24"/>
        </w:rPr>
        <w:t>’</w:t>
      </w:r>
      <w:r w:rsidRPr="004429A3">
        <w:rPr>
          <w:rFonts w:ascii="Times New Roman" w:hAnsi="Times New Roman" w:eastAsia="Times New Roman" w:cs="Times New Roman"/>
          <w:sz w:val="24"/>
          <w:szCs w:val="24"/>
        </w:rPr>
        <w:t xml:space="preserve">s clients had deposited the funds directly into the insured institution (assuming that the clients are the actual owners of the deposits). This is called </w:t>
      </w:r>
      <w:r>
        <w:rPr>
          <w:rFonts w:ascii="Times New Roman" w:hAnsi="Times New Roman" w:eastAsia="Times New Roman" w:cs="Times New Roman"/>
          <w:sz w:val="24"/>
          <w:szCs w:val="24"/>
        </w:rPr>
        <w:t>“</w:t>
      </w:r>
      <w:r w:rsidRPr="004429A3">
        <w:rPr>
          <w:rFonts w:ascii="Times New Roman" w:hAnsi="Times New Roman" w:eastAsia="Times New Roman" w:cs="Times New Roman"/>
          <w:sz w:val="24"/>
          <w:szCs w:val="24"/>
        </w:rPr>
        <w:t>pass-through</w:t>
      </w:r>
      <w:r>
        <w:rPr>
          <w:rFonts w:ascii="Times New Roman" w:hAnsi="Times New Roman" w:eastAsia="Times New Roman" w:cs="Times New Roman"/>
          <w:sz w:val="24"/>
          <w:szCs w:val="24"/>
        </w:rPr>
        <w:t>”</w:t>
      </w:r>
      <w:r w:rsidRPr="004429A3">
        <w:rPr>
          <w:rFonts w:ascii="Times New Roman" w:hAnsi="Times New Roman" w:eastAsia="Times New Roman" w:cs="Times New Roman"/>
          <w:sz w:val="24"/>
          <w:szCs w:val="24"/>
        </w:rPr>
        <w:t xml:space="preserve"> deposit insurance coverage.</w:t>
      </w:r>
    </w:p>
    <w:p w:rsidR="004C250D" w:rsidP="004C250D" w:rsidRDefault="004C250D">
      <w:pPr>
        <w:ind w:left="631" w:right="220" w:firstLine="10"/>
        <w:rPr>
          <w:rFonts w:ascii="Times New Roman" w:hAnsi="Times New Roman"/>
          <w:szCs w:val="24"/>
        </w:rPr>
      </w:pPr>
    </w:p>
    <w:p w:rsidRPr="00834179" w:rsidR="00834179" w:rsidP="005A6C6D" w:rsidRDefault="004C250D">
      <w:pPr>
        <w:ind w:left="1800"/>
        <w:rPr>
          <w:rFonts w:ascii="Times New Roman" w:hAnsi="Times New Roman"/>
          <w:szCs w:val="24"/>
        </w:rPr>
      </w:pPr>
      <w:r w:rsidRPr="00E7318E">
        <w:rPr>
          <w:rFonts w:ascii="Times New Roman" w:hAnsi="Times New Roman"/>
          <w:szCs w:val="24"/>
        </w:rPr>
        <w:t>In order to analyze ownership interest and provide pass-through insurance coverage, the FDIC must obtain certain  information from both first- and lower-tier deposit brokers: (1) evidence that each deposit broker is not an owner but an agent or custodian with respect to some or all of the funds  at issue; (2) a list of all parties for whom each deposit broker acted as agent or custodian; and (3) the dollar amount of funds held by each deposit broker for each such party as of the date of the IDI</w:t>
      </w:r>
      <w:r>
        <w:rPr>
          <w:rFonts w:ascii="Times New Roman" w:hAnsi="Times New Roman"/>
          <w:szCs w:val="24"/>
        </w:rPr>
        <w:t>’</w:t>
      </w:r>
      <w:r w:rsidRPr="00E7318E">
        <w:rPr>
          <w:rFonts w:ascii="Times New Roman" w:hAnsi="Times New Roman"/>
          <w:szCs w:val="24"/>
        </w:rPr>
        <w:t>s failure.</w:t>
      </w:r>
    </w:p>
    <w:p w:rsidRPr="00834179" w:rsidR="00834179" w:rsidP="00834179" w:rsidRDefault="00834179">
      <w:pPr>
        <w:ind w:left="720"/>
        <w:rPr>
          <w:rFonts w:ascii="Times New Roman" w:hAnsi="Times New Roman"/>
          <w:szCs w:val="24"/>
        </w:rPr>
      </w:pP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rsidRDefault="007B6C63">
      <w:pPr>
        <w:rPr>
          <w:rFonts w:ascii="Times New Roman" w:hAnsi="Times New Roman"/>
        </w:rPr>
      </w:pPr>
    </w:p>
    <w:p w:rsidR="00EC3226" w:rsidP="00796D18" w:rsidRDefault="00EC3226">
      <w:pPr>
        <w:pStyle w:val="ListParagraph"/>
        <w:numPr>
          <w:ilvl w:val="0"/>
          <w:numId w:val="6"/>
        </w:numPr>
        <w:tabs>
          <w:tab w:val="left" w:pos="1340"/>
        </w:tabs>
        <w:spacing w:after="0" w:line="240" w:lineRule="auto"/>
        <w:ind w:left="990" w:right="-20"/>
        <w:rPr>
          <w:rFonts w:ascii="Times New Roman" w:hAnsi="Times New Roman" w:eastAsia="Times New Roman" w:cs="Times New Roman"/>
          <w:sz w:val="24"/>
          <w:szCs w:val="24"/>
        </w:rPr>
      </w:pPr>
      <w:r w:rsidRPr="00CF29D8">
        <w:rPr>
          <w:rFonts w:ascii="Times New Roman" w:hAnsi="Times New Roman" w:eastAsia="Times New Roman" w:cs="Times New Roman"/>
          <w:bCs/>
          <w:sz w:val="24"/>
          <w:szCs w:val="24"/>
          <w:u w:val="single"/>
        </w:rPr>
        <w:t>General</w:t>
      </w:r>
      <w:r w:rsidRPr="00CF29D8">
        <w:rPr>
          <w:rFonts w:ascii="Times New Roman" w:hAnsi="Times New Roman" w:eastAsia="Times New Roman" w:cs="Times New Roman"/>
          <w:bCs/>
          <w:spacing w:val="38"/>
          <w:sz w:val="24"/>
          <w:szCs w:val="24"/>
          <w:u w:val="single"/>
        </w:rPr>
        <w:t xml:space="preserve"> </w:t>
      </w:r>
      <w:r w:rsidRPr="00CF29D8">
        <w:rPr>
          <w:rFonts w:ascii="Times New Roman" w:hAnsi="Times New Roman" w:eastAsia="Times New Roman" w:cs="Times New Roman"/>
          <w:bCs/>
          <w:sz w:val="24"/>
          <w:szCs w:val="24"/>
          <w:u w:val="single"/>
        </w:rPr>
        <w:t>Deposit</w:t>
      </w:r>
      <w:r w:rsidRPr="00CF29D8">
        <w:rPr>
          <w:rFonts w:ascii="Times New Roman" w:hAnsi="Times New Roman" w:eastAsia="Times New Roman" w:cs="Times New Roman"/>
          <w:bCs/>
          <w:spacing w:val="25"/>
          <w:sz w:val="24"/>
          <w:szCs w:val="24"/>
          <w:u w:val="single"/>
        </w:rPr>
        <w:t xml:space="preserve"> </w:t>
      </w:r>
      <w:r w:rsidRPr="00CF29D8">
        <w:rPr>
          <w:rFonts w:ascii="Times New Roman" w:hAnsi="Times New Roman" w:eastAsia="Times New Roman" w:cs="Times New Roman"/>
          <w:bCs/>
          <w:sz w:val="24"/>
          <w:szCs w:val="24"/>
          <w:u w:val="single"/>
        </w:rPr>
        <w:t>Accounts</w:t>
      </w:r>
      <w:r w:rsidRPr="004429A3">
        <w:rPr>
          <w:rFonts w:ascii="Times New Roman" w:hAnsi="Times New Roman" w:eastAsia="Times New Roman" w:cs="Times New Roman"/>
          <w:bCs/>
          <w:sz w:val="24"/>
          <w:szCs w:val="24"/>
        </w:rPr>
        <w:t xml:space="preserve">. </w:t>
      </w:r>
      <w:r w:rsidRPr="004429A3">
        <w:rPr>
          <w:rFonts w:ascii="Times New Roman" w:hAnsi="Times New Roman" w:eastAsia="Times New Roman" w:cs="Times New Roman"/>
          <w:bCs/>
          <w:spacing w:val="37"/>
          <w:sz w:val="24"/>
          <w:szCs w:val="24"/>
        </w:rPr>
        <w:t xml:space="preserve"> </w:t>
      </w:r>
      <w:r w:rsidRPr="004429A3">
        <w:rPr>
          <w:rFonts w:ascii="Times New Roman" w:hAnsi="Times New Roman" w:eastAsia="Times New Roman" w:cs="Times New Roman"/>
          <w:sz w:val="24"/>
          <w:szCs w:val="24"/>
        </w:rPr>
        <w:t>The FDIC Division of Resolutions and Receiverships uses the information collected to supplement the failed IDI</w:t>
      </w:r>
      <w:r>
        <w:rPr>
          <w:rFonts w:ascii="Times New Roman" w:hAnsi="Times New Roman" w:eastAsia="Times New Roman" w:cs="Times New Roman"/>
          <w:sz w:val="24"/>
          <w:szCs w:val="24"/>
        </w:rPr>
        <w:t>’</w:t>
      </w:r>
      <w:r w:rsidRPr="004429A3">
        <w:rPr>
          <w:rFonts w:ascii="Times New Roman" w:hAnsi="Times New Roman" w:eastAsia="Times New Roman" w:cs="Times New Roman"/>
          <w:sz w:val="24"/>
          <w:szCs w:val="24"/>
        </w:rPr>
        <w:t>s records to make determinations with respect to applying the Deposit Insurance Coverage Rules and expediting the payment of insured deposits to the depositors of failed IDIs.</w:t>
      </w:r>
    </w:p>
    <w:p w:rsidRPr="004429A3" w:rsidR="00EC3226" w:rsidP="00EC3226" w:rsidRDefault="00EC3226">
      <w:pPr>
        <w:pStyle w:val="ListParagraph"/>
        <w:tabs>
          <w:tab w:val="left" w:pos="1340"/>
        </w:tabs>
        <w:spacing w:after="0" w:line="240" w:lineRule="auto"/>
        <w:ind w:left="1800" w:right="-20"/>
        <w:rPr>
          <w:rFonts w:ascii="Times New Roman" w:hAnsi="Times New Roman" w:eastAsia="Times New Roman" w:cs="Times New Roman"/>
          <w:sz w:val="24"/>
          <w:szCs w:val="24"/>
        </w:rPr>
      </w:pPr>
    </w:p>
    <w:p w:rsidR="00EC3226" w:rsidP="00796D18" w:rsidRDefault="00EC3226">
      <w:pPr>
        <w:pStyle w:val="ListParagraph"/>
        <w:numPr>
          <w:ilvl w:val="0"/>
          <w:numId w:val="6"/>
        </w:numPr>
        <w:tabs>
          <w:tab w:val="left" w:pos="1340"/>
        </w:tabs>
        <w:spacing w:after="0" w:line="240" w:lineRule="auto"/>
        <w:ind w:left="990" w:right="-20"/>
        <w:rPr>
          <w:rFonts w:ascii="Times New Roman" w:hAnsi="Times New Roman" w:eastAsia="Times New Roman" w:cs="Times New Roman"/>
          <w:sz w:val="24"/>
          <w:szCs w:val="24"/>
        </w:rPr>
      </w:pPr>
      <w:r w:rsidRPr="00CF29D8">
        <w:rPr>
          <w:rFonts w:ascii="Times New Roman" w:hAnsi="Times New Roman" w:eastAsia="Times New Roman" w:cs="Times New Roman"/>
          <w:bCs/>
          <w:sz w:val="24"/>
          <w:szCs w:val="24"/>
          <w:u w:val="single"/>
        </w:rPr>
        <w:t>Deposit</w:t>
      </w:r>
      <w:r w:rsidRPr="00CF29D8">
        <w:rPr>
          <w:rFonts w:ascii="Times New Roman" w:hAnsi="Times New Roman" w:eastAsia="Times New Roman" w:cs="Times New Roman"/>
          <w:bCs/>
          <w:spacing w:val="22"/>
          <w:sz w:val="24"/>
          <w:szCs w:val="24"/>
          <w:u w:val="single"/>
        </w:rPr>
        <w:t xml:space="preserve"> </w:t>
      </w:r>
      <w:r w:rsidRPr="00CF29D8">
        <w:rPr>
          <w:rFonts w:ascii="Times New Roman" w:hAnsi="Times New Roman" w:eastAsia="Times New Roman" w:cs="Times New Roman"/>
          <w:bCs/>
          <w:sz w:val="24"/>
          <w:szCs w:val="24"/>
          <w:u w:val="single"/>
        </w:rPr>
        <w:t>Brokers</w:t>
      </w:r>
      <w:r w:rsidRPr="004429A3">
        <w:rPr>
          <w:rFonts w:ascii="Times New Roman" w:hAnsi="Times New Roman" w:eastAsia="Times New Roman" w:cs="Times New Roman"/>
          <w:bCs/>
          <w:sz w:val="24"/>
          <w:szCs w:val="24"/>
        </w:rPr>
        <w:t xml:space="preserve">. </w:t>
      </w:r>
      <w:r w:rsidRPr="004429A3">
        <w:rPr>
          <w:rFonts w:ascii="Times New Roman" w:hAnsi="Times New Roman" w:eastAsia="Times New Roman" w:cs="Times New Roman"/>
          <w:bCs/>
          <w:spacing w:val="46"/>
          <w:sz w:val="24"/>
          <w:szCs w:val="24"/>
        </w:rPr>
        <w:t xml:space="preserve"> </w:t>
      </w:r>
      <w:r w:rsidRPr="004429A3">
        <w:rPr>
          <w:rFonts w:ascii="Times New Roman" w:hAnsi="Times New Roman" w:eastAsia="Times New Roman" w:cs="Times New Roman"/>
          <w:sz w:val="24"/>
          <w:szCs w:val="24"/>
        </w:rPr>
        <w:t>For each deposit broker account, the first</w:t>
      </w:r>
      <w:r>
        <w:rPr>
          <w:rFonts w:ascii="Times New Roman" w:hAnsi="Times New Roman" w:eastAsia="Times New Roman" w:cs="Times New Roman"/>
          <w:sz w:val="24"/>
          <w:szCs w:val="24"/>
        </w:rPr>
        <w:t>-</w:t>
      </w:r>
      <w:r w:rsidRPr="004429A3">
        <w:rPr>
          <w:rFonts w:ascii="Times New Roman" w:hAnsi="Times New Roman" w:eastAsia="Times New Roman" w:cs="Times New Roman"/>
          <w:sz w:val="24"/>
          <w:szCs w:val="24"/>
        </w:rPr>
        <w:t>tier broker provides the FDIC with the requested information about that account (i.e., the list of owners and amount of funds held for each such owner).  To the extent that a deposit broker places deposits from sub-tier brokers, the lowest tier brokers provide information about their customers to the broker in the tier above them until the information reaches the first</w:t>
      </w:r>
      <w:r>
        <w:rPr>
          <w:rFonts w:ascii="Times New Roman" w:hAnsi="Times New Roman" w:eastAsia="Times New Roman" w:cs="Times New Roman"/>
          <w:sz w:val="24"/>
          <w:szCs w:val="24"/>
        </w:rPr>
        <w:t>-</w:t>
      </w:r>
      <w:r w:rsidRPr="004429A3">
        <w:rPr>
          <w:rFonts w:ascii="Times New Roman" w:hAnsi="Times New Roman" w:eastAsia="Times New Roman" w:cs="Times New Roman"/>
          <w:sz w:val="24"/>
          <w:szCs w:val="24"/>
        </w:rPr>
        <w:t>tier broker for that account.  The FDIC does not accept documentation directly from a sub-tier broker because the FDIC</w:t>
      </w:r>
      <w:r>
        <w:rPr>
          <w:rFonts w:ascii="Times New Roman" w:hAnsi="Times New Roman" w:eastAsia="Times New Roman" w:cs="Times New Roman"/>
          <w:sz w:val="24"/>
          <w:szCs w:val="24"/>
        </w:rPr>
        <w:t>’</w:t>
      </w:r>
      <w:r w:rsidRPr="004429A3">
        <w:rPr>
          <w:rFonts w:ascii="Times New Roman" w:hAnsi="Times New Roman" w:eastAsia="Times New Roman" w:cs="Times New Roman"/>
          <w:sz w:val="24"/>
          <w:szCs w:val="24"/>
        </w:rPr>
        <w:t>s records will not show them as owners of the deposits.</w:t>
      </w:r>
    </w:p>
    <w:p w:rsidR="00EC3226" w:rsidP="00EC3226" w:rsidRDefault="00EC3226">
      <w:pPr>
        <w:ind w:left="636" w:right="49" w:firstLine="14"/>
        <w:rPr>
          <w:rFonts w:ascii="Times New Roman" w:hAnsi="Times New Roman"/>
          <w:szCs w:val="24"/>
        </w:rPr>
      </w:pPr>
    </w:p>
    <w:p w:rsidR="007B6C63" w:rsidP="00796D18" w:rsidRDefault="00EC3226">
      <w:pPr>
        <w:ind w:left="990"/>
        <w:rPr>
          <w:rFonts w:ascii="Times New Roman" w:hAnsi="Times New Roman"/>
        </w:rPr>
      </w:pPr>
      <w:r w:rsidRPr="00E7318E">
        <w:rPr>
          <w:rFonts w:ascii="Times New Roman" w:hAnsi="Times New Roman"/>
          <w:szCs w:val="24"/>
        </w:rPr>
        <w:t>With the collected information, the FDIC identifies the actual owners of the deposits and the amount of each owner</w:t>
      </w:r>
      <w:r>
        <w:rPr>
          <w:rFonts w:ascii="Times New Roman" w:hAnsi="Times New Roman"/>
          <w:szCs w:val="24"/>
        </w:rPr>
        <w:t xml:space="preserve">’s interest.  </w:t>
      </w:r>
      <w:r w:rsidRPr="00E7318E">
        <w:rPr>
          <w:rFonts w:ascii="Times New Roman" w:hAnsi="Times New Roman"/>
          <w:szCs w:val="24"/>
        </w:rPr>
        <w:t>The FDIC then will aggregate each owner</w:t>
      </w:r>
      <w:r>
        <w:rPr>
          <w:rFonts w:ascii="Times New Roman" w:hAnsi="Times New Roman"/>
          <w:szCs w:val="24"/>
        </w:rPr>
        <w:t>’</w:t>
      </w:r>
      <w:r w:rsidRPr="00E7318E">
        <w:rPr>
          <w:rFonts w:ascii="Times New Roman" w:hAnsi="Times New Roman"/>
          <w:szCs w:val="24"/>
        </w:rPr>
        <w:t>s interest with the same owner</w:t>
      </w:r>
      <w:r>
        <w:rPr>
          <w:rFonts w:ascii="Times New Roman" w:hAnsi="Times New Roman"/>
          <w:szCs w:val="24"/>
        </w:rPr>
        <w:t>’</w:t>
      </w:r>
      <w:r w:rsidRPr="00E7318E">
        <w:rPr>
          <w:rFonts w:ascii="Times New Roman" w:hAnsi="Times New Roman"/>
          <w:szCs w:val="24"/>
        </w:rPr>
        <w:t>s other accounts (if any) at the same failed IDI.  For each owner, this aggregate balance will be subject to the $250,000 insurance limit.</w:t>
      </w:r>
    </w:p>
    <w:p w:rsidR="005F2F35" w:rsidP="005F2F35" w:rsidRDefault="005F2F35">
      <w:pPr>
        <w:ind w:left="720"/>
        <w:rPr>
          <w:rFonts w:ascii="Times New Roman" w:hAnsi="Times New Roman"/>
        </w:rPr>
      </w:pPr>
    </w:p>
    <w:p w:rsidR="007B6C63" w:rsidP="00990A9E" w:rsidRDefault="007B6C63">
      <w:pPr>
        <w:keepNext/>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rsidP="00990A9E" w:rsidRDefault="007B6C63">
      <w:pPr>
        <w:keepNext/>
        <w:rPr>
          <w:rFonts w:ascii="Times New Roman" w:hAnsi="Times New Roman"/>
        </w:rPr>
      </w:pPr>
    </w:p>
    <w:p w:rsidRPr="00796D18" w:rsidR="00796D18" w:rsidP="003253C8" w:rsidRDefault="00796D18">
      <w:pPr>
        <w:widowControl/>
        <w:numPr>
          <w:ilvl w:val="0"/>
          <w:numId w:val="7"/>
        </w:numPr>
        <w:spacing w:after="200"/>
        <w:ind w:left="994" w:right="144"/>
        <w:contextualSpacing/>
        <w:rPr>
          <w:rFonts w:ascii="Times New Roman" w:hAnsi="Times New Roman"/>
          <w:snapToGrid/>
          <w:szCs w:val="24"/>
        </w:rPr>
      </w:pPr>
      <w:r w:rsidRPr="00796D18">
        <w:rPr>
          <w:rFonts w:ascii="Times New Roman" w:hAnsi="Times New Roman"/>
          <w:bCs/>
          <w:snapToGrid/>
          <w:szCs w:val="24"/>
          <w:u w:val="single"/>
        </w:rPr>
        <w:t>General</w:t>
      </w:r>
      <w:r w:rsidRPr="00796D18">
        <w:rPr>
          <w:rFonts w:ascii="Times New Roman" w:hAnsi="Times New Roman"/>
          <w:bCs/>
          <w:snapToGrid/>
          <w:spacing w:val="32"/>
          <w:szCs w:val="24"/>
          <w:u w:val="single"/>
        </w:rPr>
        <w:t xml:space="preserve"> </w:t>
      </w:r>
      <w:r w:rsidRPr="00796D18">
        <w:rPr>
          <w:rFonts w:ascii="Times New Roman" w:hAnsi="Times New Roman"/>
          <w:bCs/>
          <w:snapToGrid/>
          <w:szCs w:val="24"/>
          <w:u w:val="single"/>
        </w:rPr>
        <w:t>Deposit</w:t>
      </w:r>
      <w:r w:rsidRPr="00796D18">
        <w:rPr>
          <w:rFonts w:ascii="Times New Roman" w:hAnsi="Times New Roman"/>
          <w:bCs/>
          <w:snapToGrid/>
          <w:spacing w:val="32"/>
          <w:szCs w:val="24"/>
          <w:u w:val="single"/>
        </w:rPr>
        <w:t xml:space="preserve"> </w:t>
      </w:r>
      <w:r w:rsidRPr="00796D18">
        <w:rPr>
          <w:rFonts w:ascii="Times New Roman" w:hAnsi="Times New Roman"/>
          <w:bCs/>
          <w:snapToGrid/>
          <w:szCs w:val="24"/>
          <w:u w:val="single"/>
        </w:rPr>
        <w:t>Accounts</w:t>
      </w:r>
      <w:r w:rsidRPr="00796D18">
        <w:rPr>
          <w:rFonts w:ascii="Times New Roman" w:hAnsi="Times New Roman"/>
          <w:bCs/>
          <w:snapToGrid/>
          <w:szCs w:val="24"/>
        </w:rPr>
        <w:t xml:space="preserve">. </w:t>
      </w:r>
      <w:r w:rsidRPr="00796D18">
        <w:rPr>
          <w:rFonts w:ascii="Times New Roman" w:hAnsi="Times New Roman"/>
          <w:bCs/>
          <w:snapToGrid/>
          <w:spacing w:val="32"/>
          <w:szCs w:val="24"/>
        </w:rPr>
        <w:t xml:space="preserve"> </w:t>
      </w:r>
      <w:r w:rsidRPr="00796D18">
        <w:rPr>
          <w:rFonts w:ascii="Times New Roman" w:hAnsi="Times New Roman"/>
          <w:snapToGrid/>
          <w:szCs w:val="24"/>
        </w:rPr>
        <w:t>The forms are available on the FDIC’s external web site.</w:t>
      </w:r>
    </w:p>
    <w:p w:rsidRPr="00796D18" w:rsidR="00796D18" w:rsidP="00796D18" w:rsidRDefault="00796D18">
      <w:pPr>
        <w:ind w:left="646" w:right="60" w:firstLine="5"/>
        <w:rPr>
          <w:rFonts w:ascii="Times New Roman" w:hAnsi="Times New Roman"/>
          <w:snapToGrid/>
          <w:spacing w:val="10"/>
          <w:szCs w:val="24"/>
        </w:rPr>
      </w:pPr>
      <w:r w:rsidRPr="00796D18">
        <w:rPr>
          <w:rFonts w:ascii="Times New Roman" w:hAnsi="Times New Roman"/>
          <w:snapToGrid/>
          <w:spacing w:val="10"/>
          <w:szCs w:val="24"/>
        </w:rPr>
        <w:t xml:space="preserve"> </w:t>
      </w:r>
    </w:p>
    <w:p w:rsidR="007B6C63" w:rsidP="005A6C6D" w:rsidRDefault="00796D18">
      <w:pPr>
        <w:numPr>
          <w:ilvl w:val="0"/>
          <w:numId w:val="7"/>
        </w:numPr>
        <w:spacing w:after="200"/>
        <w:ind w:left="994" w:right="144"/>
        <w:contextualSpacing/>
        <w:rPr>
          <w:rFonts w:ascii="Times New Roman" w:hAnsi="Times New Roman"/>
        </w:rPr>
      </w:pPr>
      <w:r w:rsidRPr="00796D18">
        <w:rPr>
          <w:rFonts w:ascii="Times New Roman" w:hAnsi="Times New Roman"/>
          <w:bCs/>
          <w:snapToGrid/>
          <w:szCs w:val="24"/>
          <w:u w:val="single"/>
        </w:rPr>
        <w:t>Deposit</w:t>
      </w:r>
      <w:r w:rsidRPr="00796D18">
        <w:rPr>
          <w:rFonts w:ascii="Times New Roman" w:hAnsi="Times New Roman"/>
          <w:bCs/>
          <w:snapToGrid/>
          <w:spacing w:val="25"/>
          <w:szCs w:val="24"/>
          <w:u w:val="single"/>
        </w:rPr>
        <w:t xml:space="preserve"> </w:t>
      </w:r>
      <w:r w:rsidRPr="00796D18">
        <w:rPr>
          <w:rFonts w:ascii="Times New Roman" w:hAnsi="Times New Roman"/>
          <w:bCs/>
          <w:snapToGrid/>
          <w:szCs w:val="24"/>
          <w:u w:val="single"/>
        </w:rPr>
        <w:t>Brokers</w:t>
      </w:r>
      <w:r w:rsidRPr="00796D18">
        <w:rPr>
          <w:rFonts w:ascii="Times New Roman" w:hAnsi="Times New Roman"/>
          <w:bCs/>
          <w:snapToGrid/>
          <w:szCs w:val="24"/>
        </w:rPr>
        <w:t xml:space="preserve">. </w:t>
      </w:r>
      <w:r w:rsidRPr="00796D18">
        <w:rPr>
          <w:rFonts w:ascii="Times New Roman" w:hAnsi="Times New Roman"/>
          <w:bCs/>
          <w:snapToGrid/>
          <w:spacing w:val="44"/>
          <w:szCs w:val="24"/>
        </w:rPr>
        <w:t xml:space="preserve"> </w:t>
      </w:r>
      <w:r w:rsidRPr="00796D18">
        <w:rPr>
          <w:rFonts w:ascii="Times New Roman" w:hAnsi="Times New Roman"/>
          <w:snapToGrid/>
          <w:szCs w:val="24"/>
        </w:rPr>
        <w:t xml:space="preserve">Brokers provide customer information via electronic file.  In submitting </w:t>
      </w:r>
      <w:r w:rsidRPr="005A6C6D">
        <w:rPr>
          <w:rFonts w:ascii="Times New Roman" w:hAnsi="Times New Roman"/>
          <w:snapToGrid/>
          <w:szCs w:val="24"/>
        </w:rPr>
        <w:t>customer</w:t>
      </w:r>
      <w:r w:rsidRPr="00796D18">
        <w:rPr>
          <w:rFonts w:ascii="Times New Roman" w:hAnsi="Times New Roman"/>
          <w:snapToGrid/>
          <w:szCs w:val="24"/>
        </w:rPr>
        <w:t xml:space="preserve"> information to the FDIC, a broker must complete certain forms (“Affidavits &amp; Declarations”).  The purpose of these forms is to assist the FDIC in determining </w:t>
      </w:r>
      <w:r w:rsidRPr="00796D18">
        <w:rPr>
          <w:rFonts w:ascii="Times New Roman" w:hAnsi="Times New Roman"/>
          <w:bCs/>
          <w:snapToGrid/>
          <w:szCs w:val="24"/>
          <w:u w:val="single"/>
        </w:rPr>
        <w:t>the</w:t>
      </w:r>
      <w:r w:rsidRPr="00796D18">
        <w:rPr>
          <w:rFonts w:ascii="Times New Roman" w:hAnsi="Times New Roman"/>
          <w:snapToGrid/>
          <w:szCs w:val="24"/>
        </w:rPr>
        <w:t xml:space="preserve"> actual ownership of the deposit account at the failed insured depository institution. Also, these forms assist the FDIC in classifying an account.  For example, the FDIC must distinguish deposits held in the “single ownership” right and capacity from deposits held in the “joint ownership” right and capacity.  The forms are available on the FDIC’s external website.</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rsidRDefault="000855E4">
      <w:pPr>
        <w:ind w:left="1440"/>
        <w:rPr>
          <w:rFonts w:ascii="Times New Roman" w:hAnsi="Times New Roman"/>
        </w:rPr>
      </w:pPr>
    </w:p>
    <w:p w:rsidR="007B6C63" w:rsidP="000B0581" w:rsidRDefault="005A6C6D">
      <w:pPr>
        <w:ind w:left="720"/>
        <w:rPr>
          <w:rFonts w:ascii="Times New Roman" w:hAnsi="Times New Roman"/>
        </w:rPr>
      </w:pPr>
      <w:r w:rsidRPr="00E7318E">
        <w:rPr>
          <w:rFonts w:ascii="Times New Roman" w:hAnsi="Times New Roman"/>
          <w:szCs w:val="24"/>
        </w:rPr>
        <w:t>The information collected does not duplicate information existing elsewhere.</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rsidRDefault="007B6C63">
      <w:pPr>
        <w:rPr>
          <w:rFonts w:ascii="Times New Roman" w:hAnsi="Times New Roman"/>
        </w:rPr>
      </w:pPr>
    </w:p>
    <w:p w:rsidRPr="00A45D1D" w:rsidR="005A6C6D" w:rsidP="003253C8" w:rsidRDefault="005A6C6D">
      <w:pPr>
        <w:pStyle w:val="ListParagraph"/>
        <w:numPr>
          <w:ilvl w:val="0"/>
          <w:numId w:val="8"/>
        </w:numPr>
        <w:spacing w:after="0" w:line="240" w:lineRule="auto"/>
        <w:ind w:left="1080" w:right="144"/>
        <w:rPr>
          <w:rFonts w:ascii="Times New Roman" w:hAnsi="Times New Roman" w:eastAsia="Times New Roman" w:cs="Times New Roman"/>
          <w:sz w:val="24"/>
          <w:szCs w:val="24"/>
        </w:rPr>
      </w:pPr>
      <w:r w:rsidRPr="00CF29D8">
        <w:rPr>
          <w:rFonts w:ascii="Times New Roman" w:hAnsi="Times New Roman" w:eastAsia="Times New Roman" w:cs="Times New Roman"/>
          <w:bCs/>
          <w:sz w:val="24"/>
          <w:szCs w:val="24"/>
          <w:u w:val="single"/>
        </w:rPr>
        <w:t>General</w:t>
      </w:r>
      <w:r w:rsidRPr="00CF29D8">
        <w:rPr>
          <w:rFonts w:ascii="Times New Roman" w:hAnsi="Times New Roman" w:eastAsia="Times New Roman" w:cs="Times New Roman"/>
          <w:bCs/>
          <w:spacing w:val="32"/>
          <w:sz w:val="24"/>
          <w:szCs w:val="24"/>
          <w:u w:val="single"/>
        </w:rPr>
        <w:t xml:space="preserve"> </w:t>
      </w:r>
      <w:r w:rsidRPr="00CF29D8">
        <w:rPr>
          <w:rFonts w:ascii="Times New Roman" w:hAnsi="Times New Roman" w:eastAsia="Times New Roman" w:cs="Times New Roman"/>
          <w:bCs/>
          <w:sz w:val="24"/>
          <w:szCs w:val="24"/>
          <w:u w:val="single"/>
        </w:rPr>
        <w:t>Deposit</w:t>
      </w:r>
      <w:r w:rsidRPr="00CF29D8">
        <w:rPr>
          <w:rFonts w:ascii="Times New Roman" w:hAnsi="Times New Roman" w:eastAsia="Times New Roman" w:cs="Times New Roman"/>
          <w:bCs/>
          <w:spacing w:val="32"/>
          <w:sz w:val="24"/>
          <w:szCs w:val="24"/>
          <w:u w:val="single"/>
        </w:rPr>
        <w:t xml:space="preserve"> </w:t>
      </w:r>
      <w:r w:rsidRPr="00CF29D8">
        <w:rPr>
          <w:rFonts w:ascii="Times New Roman" w:hAnsi="Times New Roman" w:eastAsia="Times New Roman" w:cs="Times New Roman"/>
          <w:bCs/>
          <w:sz w:val="24"/>
          <w:szCs w:val="24"/>
          <w:u w:val="single"/>
        </w:rPr>
        <w:t>Accounts</w:t>
      </w:r>
      <w:r w:rsidRPr="00A45D1D">
        <w:rPr>
          <w:rFonts w:ascii="Times New Roman" w:hAnsi="Times New Roman" w:eastAsia="Times New Roman" w:cs="Times New Roman"/>
          <w:bCs/>
          <w:sz w:val="24"/>
          <w:szCs w:val="24"/>
        </w:rPr>
        <w:t xml:space="preserve">. </w:t>
      </w:r>
      <w:r w:rsidRPr="00A45D1D">
        <w:rPr>
          <w:rFonts w:ascii="Times New Roman" w:hAnsi="Times New Roman" w:eastAsia="Times New Roman" w:cs="Times New Roman"/>
          <w:bCs/>
          <w:spacing w:val="32"/>
          <w:sz w:val="24"/>
          <w:szCs w:val="24"/>
        </w:rPr>
        <w:t xml:space="preserve"> </w:t>
      </w:r>
      <w:r w:rsidRPr="00A45D1D">
        <w:rPr>
          <w:rFonts w:ascii="Times New Roman" w:hAnsi="Times New Roman" w:eastAsia="Times New Roman" w:cs="Times New Roman"/>
          <w:sz w:val="24"/>
          <w:szCs w:val="24"/>
        </w:rPr>
        <w:t>The forms have been designed to minimize burden on small entities, limiting the questions to the minimum necessary to obtain sufficient information to make insurance determinations.</w:t>
      </w:r>
    </w:p>
    <w:p w:rsidR="005A6C6D" w:rsidP="005A6C6D" w:rsidRDefault="005A6C6D">
      <w:pPr>
        <w:ind w:left="1007" w:right="263"/>
        <w:rPr>
          <w:rFonts w:ascii="Times New Roman" w:hAnsi="Times New Roman"/>
          <w:szCs w:val="24"/>
        </w:rPr>
      </w:pPr>
    </w:p>
    <w:p w:rsidR="007B6C63" w:rsidP="003253C8" w:rsidRDefault="005A6C6D">
      <w:pPr>
        <w:pStyle w:val="ListParagraph"/>
        <w:numPr>
          <w:ilvl w:val="0"/>
          <w:numId w:val="8"/>
        </w:numPr>
        <w:spacing w:after="0" w:line="240" w:lineRule="auto"/>
        <w:ind w:left="1080" w:right="144"/>
        <w:rPr>
          <w:rFonts w:ascii="Times New Roman" w:hAnsi="Times New Roman"/>
        </w:rPr>
      </w:pPr>
      <w:r w:rsidRPr="00CF29D8">
        <w:rPr>
          <w:rFonts w:ascii="Times New Roman" w:hAnsi="Times New Roman" w:eastAsia="Times New Roman" w:cs="Times New Roman"/>
          <w:sz w:val="24"/>
          <w:szCs w:val="24"/>
          <w:u w:val="single"/>
        </w:rPr>
        <w:t>Deposit</w:t>
      </w:r>
      <w:r w:rsidRPr="00CF29D8">
        <w:rPr>
          <w:rFonts w:ascii="Times New Roman" w:hAnsi="Times New Roman" w:eastAsia="Times New Roman" w:cs="Times New Roman"/>
          <w:spacing w:val="46"/>
          <w:sz w:val="24"/>
          <w:szCs w:val="24"/>
          <w:u w:val="single"/>
        </w:rPr>
        <w:t xml:space="preserve"> </w:t>
      </w:r>
      <w:r w:rsidRPr="00CF29D8">
        <w:rPr>
          <w:rFonts w:ascii="Times New Roman" w:hAnsi="Times New Roman" w:eastAsia="Times New Roman" w:cs="Times New Roman"/>
          <w:w w:val="113"/>
          <w:sz w:val="24"/>
          <w:szCs w:val="24"/>
          <w:u w:val="single"/>
        </w:rPr>
        <w:t>Brokers</w:t>
      </w:r>
      <w:r w:rsidRPr="00A45D1D">
        <w:rPr>
          <w:rFonts w:ascii="Times New Roman" w:hAnsi="Times New Roman" w:eastAsia="Times New Roman" w:cs="Times New Roman"/>
          <w:w w:val="113"/>
          <w:sz w:val="24"/>
          <w:szCs w:val="24"/>
        </w:rPr>
        <w:t>.</w:t>
      </w:r>
      <w:r w:rsidRPr="00A45D1D">
        <w:rPr>
          <w:rFonts w:ascii="Times New Roman" w:hAnsi="Times New Roman" w:eastAsia="Times New Roman" w:cs="Times New Roman"/>
          <w:spacing w:val="30"/>
          <w:w w:val="113"/>
          <w:sz w:val="24"/>
          <w:szCs w:val="24"/>
        </w:rPr>
        <w:t xml:space="preserve"> </w:t>
      </w:r>
      <w:r w:rsidRPr="00A45D1D">
        <w:rPr>
          <w:rFonts w:ascii="Times New Roman" w:hAnsi="Times New Roman" w:eastAsia="Times New Roman" w:cs="Times New Roman"/>
          <w:sz w:val="24"/>
          <w:szCs w:val="24"/>
        </w:rPr>
        <w:t>The FDIC must obtain the requested information from all deposit brokers in order to pay deposit insurance to depositors who are entitled to it.  The burden on small deposit brokers as well as large deposit brokers is slight because the information requested by the FDIC is maintained by brokers in the usual course of business.</w:t>
      </w:r>
    </w:p>
    <w:p w:rsidR="007B6C63" w:rsidRDefault="007B6C63">
      <w:pPr>
        <w:rPr>
          <w:rFonts w:ascii="Times New Roman" w:hAnsi="Times New Roman"/>
        </w:rPr>
      </w:pPr>
    </w:p>
    <w:p w:rsidRPr="00FC41DF" w:rsidR="007B6C63" w:rsidP="007522EF" w:rsidRDefault="007B6C63">
      <w:pPr>
        <w:keepNext/>
        <w:keepLines/>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rsidRDefault="007B6C63">
      <w:pPr>
        <w:rPr>
          <w:rFonts w:ascii="Times New Roman" w:hAnsi="Times New Roman"/>
        </w:rPr>
      </w:pPr>
    </w:p>
    <w:p w:rsidR="007B6C63" w:rsidP="007522EF" w:rsidRDefault="004C364E">
      <w:pPr>
        <w:ind w:left="720"/>
        <w:rPr>
          <w:rFonts w:ascii="Times New Roman" w:hAnsi="Times New Roman"/>
        </w:rPr>
      </w:pPr>
      <w:r w:rsidRPr="00E7318E">
        <w:rPr>
          <w:rFonts w:ascii="Times New Roman" w:hAnsi="Times New Roman"/>
          <w:szCs w:val="24"/>
        </w:rPr>
        <w:t>The forms are required only when an IDI is closed and additional deposit insurance coverage is sought by a depositor or on behalf of a depositor and additional information is needed by the FDIC to make a complete insurance determination.</w:t>
      </w:r>
    </w:p>
    <w:p w:rsidRPr="00386C94" w:rsidR="007B6C63" w:rsidRDefault="007B6C63">
      <w:pPr>
        <w:rPr>
          <w:rFonts w:ascii="Times New Roman" w:hAnsi="Times New Roman"/>
        </w:rPr>
      </w:pPr>
    </w:p>
    <w:p w:rsidRPr="00386C94" w:rsidR="00386C94" w:rsidP="00A1019D" w:rsidRDefault="007B6C63">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sidR="00386C94">
        <w:rPr>
          <w:rFonts w:ascii="Times New Roman" w:hAnsi="Times New Roman"/>
          <w:b/>
          <w:bCs/>
          <w:iCs/>
          <w:u w:val="single"/>
        </w:rPr>
        <w:t>Special circumstances necessitating collection inconsistent with 5 CFR Part 1320.5(d)(2):</w:t>
      </w:r>
    </w:p>
    <w:p w:rsidR="007B6C63" w:rsidRDefault="007B6C63">
      <w:pPr>
        <w:rPr>
          <w:rFonts w:ascii="Times New Roman" w:hAnsi="Times New Roman"/>
        </w:rPr>
      </w:pPr>
    </w:p>
    <w:p w:rsidR="007B6C63" w:rsidP="000B0581" w:rsidRDefault="00386C94">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rsidRDefault="007B6C63">
      <w:pPr>
        <w:rPr>
          <w:rFonts w:ascii="Times New Roman" w:hAnsi="Times New Roman"/>
        </w:rPr>
      </w:pPr>
    </w:p>
    <w:p w:rsidR="00AF614A" w:rsidP="00624A74" w:rsidRDefault="007B6C63">
      <w:pPr>
        <w:ind w:left="720"/>
        <w:rPr>
          <w:rFonts w:ascii="Times New Roman" w:hAnsi="Times New Roman"/>
        </w:rPr>
      </w:pPr>
      <w:r>
        <w:rPr>
          <w:rFonts w:ascii="Times New Roman" w:hAnsi="Times New Roman"/>
        </w:rPr>
        <w:t xml:space="preserve">The FDIC </w:t>
      </w:r>
      <w:r w:rsidR="00DE2D0B">
        <w:rPr>
          <w:rFonts w:ascii="Times New Roman" w:hAnsi="Times New Roman"/>
        </w:rPr>
        <w:t xml:space="preserve">published a notice in the </w:t>
      </w:r>
      <w:r w:rsidRPr="00015D89" w:rsidR="00DE2D0B">
        <w:rPr>
          <w:rFonts w:ascii="Times New Roman" w:hAnsi="Times New Roman"/>
          <w:i/>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624A74">
        <w:rPr>
          <w:rFonts w:ascii="Times New Roman" w:hAnsi="Times New Roman"/>
        </w:rPr>
        <w:t>June 2</w:t>
      </w:r>
      <w:r w:rsidR="001305D1">
        <w:rPr>
          <w:rFonts w:ascii="Times New Roman" w:hAnsi="Times New Roman"/>
        </w:rPr>
        <w:t>, 2020</w:t>
      </w:r>
      <w:r w:rsidR="00DE2D0B">
        <w:rPr>
          <w:rFonts w:ascii="Times New Roman" w:hAnsi="Times New Roman"/>
        </w:rPr>
        <w:t xml:space="preserve"> (</w:t>
      </w:r>
      <w:r w:rsidR="00D55074">
        <w:rPr>
          <w:rFonts w:ascii="Times New Roman" w:hAnsi="Times New Roman"/>
        </w:rPr>
        <w:t>85</w:t>
      </w:r>
      <w:r w:rsidR="00DE2D0B">
        <w:rPr>
          <w:rFonts w:ascii="Times New Roman" w:hAnsi="Times New Roman"/>
        </w:rPr>
        <w:t xml:space="preserve"> FR </w:t>
      </w:r>
      <w:r w:rsidR="00624A74">
        <w:rPr>
          <w:rFonts w:ascii="Times New Roman" w:hAnsi="Times New Roman"/>
        </w:rPr>
        <w:t>33667</w:t>
      </w:r>
      <w:r w:rsidR="00DE2D0B">
        <w:rPr>
          <w:rFonts w:ascii="Times New Roman" w:hAnsi="Times New Roman"/>
        </w:rPr>
        <w:t>)</w:t>
      </w:r>
      <w:r>
        <w:rPr>
          <w:rFonts w:ascii="Times New Roman" w:hAnsi="Times New Roman"/>
        </w:rPr>
        <w:t xml:space="preserve">.  </w:t>
      </w:r>
      <w:r w:rsidR="00624A74">
        <w:rPr>
          <w:rFonts w:ascii="Times New Roman" w:hAnsi="Times New Roman"/>
        </w:rPr>
        <w:t>No comments were received.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rsidRDefault="007B6C63">
      <w:pPr>
        <w:rPr>
          <w:rFonts w:ascii="Times New Roman" w:hAnsi="Times New Roman"/>
        </w:rPr>
      </w:pPr>
    </w:p>
    <w:p w:rsidR="007B6C63" w:rsidP="000B0581" w:rsidRDefault="007B6C63">
      <w:pPr>
        <w:ind w:left="720"/>
        <w:rPr>
          <w:rFonts w:ascii="Times New Roman" w:hAnsi="Times New Roman"/>
        </w:rPr>
      </w:pPr>
      <w:r>
        <w:rPr>
          <w:rFonts w:ascii="Times New Roman" w:hAnsi="Times New Roman"/>
        </w:rPr>
        <w:t>None.</w:t>
      </w:r>
    </w:p>
    <w:p w:rsidR="007B6C63" w:rsidP="00437618" w:rsidRDefault="007B6C63">
      <w:pPr>
        <w:keepNext/>
        <w:ind w:left="720" w:firstLine="720"/>
        <w:rPr>
          <w:rFonts w:ascii="Times New Roman" w:hAnsi="Times New Roman"/>
        </w:rPr>
      </w:pPr>
    </w:p>
    <w:p w:rsidR="007B6C63" w:rsidP="00437618" w:rsidRDefault="007B6C63">
      <w:pPr>
        <w:keepNext/>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P="00437618" w:rsidRDefault="007B6C63">
      <w:pPr>
        <w:keepNext/>
        <w:rPr>
          <w:rFonts w:ascii="Times New Roman" w:hAnsi="Times New Roman"/>
        </w:rPr>
      </w:pPr>
    </w:p>
    <w:p w:rsidR="00881712" w:rsidP="00437618" w:rsidRDefault="003566BB">
      <w:pPr>
        <w:keepNext/>
        <w:ind w:left="720"/>
        <w:rPr>
          <w:rFonts w:ascii="Times New Roman" w:hAnsi="Times New Roman"/>
        </w:rPr>
      </w:pPr>
      <w:r w:rsidRPr="00E7318E">
        <w:rPr>
          <w:rFonts w:ascii="Times New Roman" w:hAnsi="Times New Roman"/>
          <w:szCs w:val="24"/>
        </w:rPr>
        <w:t xml:space="preserve">The information will be kept </w:t>
      </w:r>
      <w:r w:rsidRPr="00E7318E">
        <w:rPr>
          <w:rFonts w:ascii="Times New Roman" w:hAnsi="Times New Roman"/>
          <w:bCs/>
          <w:szCs w:val="24"/>
        </w:rPr>
        <w:t>private</w:t>
      </w:r>
      <w:r w:rsidRPr="00E7318E">
        <w:rPr>
          <w:rFonts w:ascii="Times New Roman" w:hAnsi="Times New Roman"/>
          <w:szCs w:val="24"/>
        </w:rPr>
        <w:t xml:space="preserve"> to the extent provided by law.</w:t>
      </w:r>
    </w:p>
    <w:p w:rsidR="007B6C63" w:rsidRDefault="007B6C63">
      <w:pPr>
        <w:ind w:left="720" w:firstLine="720"/>
        <w:rPr>
          <w:rFonts w:ascii="Times New Roman" w:hAnsi="Times New Roman"/>
        </w:rPr>
      </w:pPr>
    </w:p>
    <w:p w:rsidRPr="00F04445" w:rsidR="00881712" w:rsidP="00A1019D" w:rsidRDefault="007B6C63">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846A1A" w:rsidR="00881712">
        <w:rPr>
          <w:rFonts w:ascii="Times New Roman" w:hAnsi="Times New Roman"/>
          <w:b/>
          <w:bCs/>
          <w:iCs/>
          <w:u w:val="single"/>
        </w:rPr>
        <w:t>Justification</w:t>
      </w:r>
      <w:r w:rsidRPr="00846A1A" w:rsidR="00881712">
        <w:rPr>
          <w:rFonts w:ascii="Times New Roman" w:hAnsi="Times New Roman"/>
          <w:b/>
          <w:bCs/>
          <w:spacing w:val="-1"/>
          <w:szCs w:val="24"/>
          <w:u w:val="single"/>
        </w:rPr>
        <w:t xml:space="preserve"> </w:t>
      </w:r>
      <w:r w:rsidRPr="00846A1A" w:rsidR="00881712">
        <w:rPr>
          <w:rFonts w:ascii="Times New Roman" w:hAnsi="Times New Roman"/>
          <w:b/>
          <w:u w:val="single"/>
        </w:rPr>
        <w:t>for</w:t>
      </w:r>
      <w:r w:rsidRPr="002A5F6B" w:rsidR="00881712">
        <w:rPr>
          <w:rFonts w:ascii="Times New Roman" w:hAnsi="Times New Roman"/>
          <w:b/>
          <w:bCs/>
          <w:spacing w:val="-1"/>
          <w:szCs w:val="24"/>
          <w:u w:val="single"/>
        </w:rPr>
        <w:t xml:space="preserve"> questions of a sensitive nature:</w:t>
      </w:r>
    </w:p>
    <w:p w:rsidR="007B6C63" w:rsidRDefault="007B6C63">
      <w:pPr>
        <w:tabs>
          <w:tab w:val="left" w:pos="-1440"/>
        </w:tabs>
        <w:ind w:firstLine="720"/>
        <w:rPr>
          <w:rFonts w:ascii="Times New Roman" w:hAnsi="Times New Roman"/>
        </w:rPr>
      </w:pPr>
    </w:p>
    <w:p w:rsidRPr="00D2611A" w:rsidR="003566BB" w:rsidP="003570A0" w:rsidRDefault="003566BB">
      <w:pPr>
        <w:widowControl/>
        <w:ind w:left="720"/>
        <w:rPr>
          <w:rFonts w:ascii="Times New Roman" w:hAnsi="Times New Roman"/>
          <w:szCs w:val="24"/>
        </w:rPr>
      </w:pPr>
      <w:r>
        <w:rPr>
          <w:rFonts w:ascii="Times New Roman" w:hAnsi="Times New Roman"/>
          <w:szCs w:val="24"/>
        </w:rPr>
        <w:t xml:space="preserve">The forms related to this information collection contain </w:t>
      </w:r>
      <w:r w:rsidRPr="00D2611A">
        <w:rPr>
          <w:rFonts w:ascii="Times New Roman" w:hAnsi="Times New Roman" w:eastAsia="Calibri"/>
          <w:szCs w:val="24"/>
        </w:rPr>
        <w:t>Personally Identifiable Information</w:t>
      </w:r>
      <w:bookmarkStart w:name="_DV_M1" w:id="0"/>
      <w:bookmarkStart w:name="_DV_M2" w:id="1"/>
      <w:bookmarkEnd w:id="0"/>
      <w:bookmarkEnd w:id="1"/>
      <w:r w:rsidRPr="00D2611A">
        <w:rPr>
          <w:rFonts w:ascii="Times New Roman" w:hAnsi="Times New Roman" w:eastAsia="Calibri"/>
          <w:szCs w:val="24"/>
          <w:vertAlign w:val="superscript"/>
        </w:rPr>
        <w:footnoteReference w:id="1"/>
      </w:r>
      <w:r w:rsidRPr="00D2611A">
        <w:rPr>
          <w:rFonts w:ascii="Times New Roman" w:hAnsi="Times New Roman" w:eastAsia="Calibri"/>
          <w:szCs w:val="24"/>
        </w:rPr>
        <w:t>, including name, a</w:t>
      </w:r>
      <w:r>
        <w:rPr>
          <w:rFonts w:ascii="Times New Roman" w:hAnsi="Times New Roman" w:eastAsia="Calibri"/>
          <w:szCs w:val="24"/>
        </w:rPr>
        <w:t xml:space="preserve">ddress, telephone number, customer account number </w:t>
      </w:r>
      <w:r w:rsidRPr="00D2611A">
        <w:rPr>
          <w:rFonts w:ascii="Times New Roman" w:hAnsi="Times New Roman" w:eastAsia="Calibri"/>
          <w:szCs w:val="24"/>
        </w:rPr>
        <w:t>and</w:t>
      </w:r>
      <w:r>
        <w:rPr>
          <w:rFonts w:ascii="Times New Roman" w:hAnsi="Times New Roman" w:eastAsia="Calibri"/>
          <w:szCs w:val="24"/>
        </w:rPr>
        <w:t>/or</w:t>
      </w:r>
      <w:r w:rsidRPr="00D2611A">
        <w:rPr>
          <w:rFonts w:ascii="Times New Roman" w:hAnsi="Times New Roman" w:eastAsia="Calibri"/>
          <w:szCs w:val="24"/>
        </w:rPr>
        <w:t xml:space="preserve"> social security number.  </w:t>
      </w:r>
      <w:r w:rsidRPr="00D2611A">
        <w:rPr>
          <w:rFonts w:ascii="Times New Roman" w:hAnsi="Times New Roman"/>
          <w:szCs w:val="24"/>
        </w:rPr>
        <w:t xml:space="preserve">This information is necessary to assist the FDIC in </w:t>
      </w:r>
      <w:r>
        <w:rPr>
          <w:rFonts w:ascii="Times New Roman" w:hAnsi="Times New Roman"/>
          <w:szCs w:val="24"/>
        </w:rPr>
        <w:t>determining the amount of insured deposit coverage upon a financial institution’s closure.</w:t>
      </w:r>
    </w:p>
    <w:p w:rsidRPr="00D2611A" w:rsidR="003566BB" w:rsidP="003566BB" w:rsidRDefault="003566BB">
      <w:pPr>
        <w:widowControl/>
        <w:ind w:left="1440"/>
        <w:rPr>
          <w:rFonts w:ascii="Times New Roman" w:hAnsi="Times New Roman"/>
          <w:szCs w:val="24"/>
        </w:rPr>
      </w:pPr>
    </w:p>
    <w:p w:rsidR="007B6C63" w:rsidP="003566BB" w:rsidRDefault="003566BB">
      <w:pPr>
        <w:ind w:left="720"/>
        <w:rPr>
          <w:rFonts w:ascii="Times New Roman" w:hAnsi="Times New Roman"/>
        </w:rPr>
      </w:pPr>
      <w:r w:rsidRPr="00D2611A">
        <w:rPr>
          <w:rFonts w:ascii="Times New Roman" w:hAnsi="Times New Roman" w:eastAsia="Calibri"/>
          <w:szCs w:val="24"/>
        </w:rPr>
        <w:t xml:space="preserve">The Systems of Records Notice </w:t>
      </w:r>
      <w:r>
        <w:rPr>
          <w:rFonts w:ascii="Times New Roman" w:hAnsi="Times New Roman" w:eastAsia="Calibri"/>
          <w:szCs w:val="24"/>
        </w:rPr>
        <w:t xml:space="preserve">associated with this collection (“Insured Financial Institution Liquidation Records” FDIC SORN 30-64-0013 (84 FR 35184 (July 22, 2019)) </w:t>
      </w:r>
      <w:r w:rsidRPr="00D2611A">
        <w:rPr>
          <w:rFonts w:ascii="Times New Roman" w:hAnsi="Times New Roman" w:eastAsia="Calibri"/>
          <w:szCs w:val="24"/>
        </w:rPr>
        <w:t xml:space="preserve">may be viewed at the following link: </w:t>
      </w:r>
      <w:hyperlink w:history="1" w:anchor="fdic200030--64--0013" r:id="rId8">
        <w:r w:rsidRPr="007E236E">
          <w:rPr>
            <w:rStyle w:val="Hyperlink"/>
            <w:rFonts w:ascii="Times New Roman" w:hAnsi="Times New Roman" w:eastAsia="Calibri"/>
            <w:szCs w:val="24"/>
          </w:rPr>
          <w:t>https://www.fdic.gov/regulations/laws/rules/2000-4000.html#fdic200030--64--0013</w:t>
        </w:r>
      </w:hyperlink>
      <w:r w:rsidRPr="00D2611A">
        <w:rPr>
          <w:rFonts w:ascii="Times New Roman" w:hAnsi="Times New Roman" w:eastAsia="Calibri"/>
          <w:szCs w:val="24"/>
        </w:rPr>
        <w:t>.</w:t>
      </w:r>
      <w:r>
        <w:rPr>
          <w:rFonts w:ascii="Times New Roman" w:hAnsi="Times New Roman" w:eastAsia="Calibri"/>
          <w:szCs w:val="24"/>
        </w:rPr>
        <w:t xml:space="preserve">  </w:t>
      </w:r>
      <w:r w:rsidRPr="00D2611A">
        <w:rPr>
          <w:rFonts w:ascii="Times New Roman" w:hAnsi="Times New Roman"/>
          <w:szCs w:val="24"/>
        </w:rPr>
        <w:t xml:space="preserve">The applicable </w:t>
      </w:r>
      <w:r w:rsidRPr="00D2611A">
        <w:rPr>
          <w:rFonts w:ascii="Times New Roman" w:hAnsi="Times New Roman" w:eastAsia="Calibri"/>
          <w:szCs w:val="24"/>
        </w:rPr>
        <w:t xml:space="preserve">Privacy Impact Assessment is available at </w:t>
      </w:r>
      <w:hyperlink w:history="1" r:id="rId9">
        <w:r w:rsidRPr="00D2611A">
          <w:rPr>
            <w:rStyle w:val="Hyperlink"/>
            <w:rFonts w:ascii="Times New Roman" w:hAnsi="Times New Roman"/>
            <w:szCs w:val="24"/>
          </w:rPr>
          <w:t>https://www.fdic.gov/about/privacy/assessments.html</w:t>
        </w:r>
      </w:hyperlink>
      <w:r w:rsidRPr="00D2611A">
        <w:rPr>
          <w:rStyle w:val="Hyperlink"/>
          <w:rFonts w:ascii="Times New Roman" w:hAnsi="Times New Roman"/>
          <w:szCs w:val="24"/>
        </w:rPr>
        <w:t>.</w:t>
      </w:r>
    </w:p>
    <w:p w:rsidR="00615BAD" w:rsidRDefault="00615BAD">
      <w:pPr>
        <w:rPr>
          <w:rFonts w:ascii="Times New Roman" w:hAnsi="Times New Roman"/>
        </w:rPr>
      </w:pPr>
    </w:p>
    <w:p w:rsidR="00285D59" w:rsidP="00285D59" w:rsidRDefault="007B6C63">
      <w:pPr>
        <w:keepNext/>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846A1A" w:rsidP="002668A9" w:rsidRDefault="00846A1A">
      <w:pPr>
        <w:keepNext/>
        <w:rPr>
          <w:rFonts w:ascii="Times New Roman" w:hAnsi="Times New Roman"/>
          <w:snapToGrid/>
          <w:szCs w:val="24"/>
        </w:rPr>
      </w:pPr>
    </w:p>
    <w:tbl>
      <w:tblPr>
        <w:tblW w:w="9390" w:type="dxa"/>
        <w:jc w:val="center"/>
        <w:tblLook w:val="04A0" w:firstRow="1" w:lastRow="0" w:firstColumn="1" w:lastColumn="0" w:noHBand="0" w:noVBand="1"/>
      </w:tblPr>
      <w:tblGrid>
        <w:gridCol w:w="2910"/>
        <w:gridCol w:w="1420"/>
        <w:gridCol w:w="1460"/>
        <w:gridCol w:w="1260"/>
        <w:gridCol w:w="1360"/>
        <w:gridCol w:w="980"/>
      </w:tblGrid>
      <w:tr w:rsidRPr="00CB1E4E" w:rsidR="00CB1E4E" w:rsidTr="00F24B42">
        <w:trPr>
          <w:trHeight w:val="300"/>
          <w:jc w:val="center"/>
        </w:trPr>
        <w:tc>
          <w:tcPr>
            <w:tcW w:w="9390" w:type="dxa"/>
            <w:gridSpan w:val="6"/>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CB1E4E" w:rsidR="00CB1E4E" w:rsidP="00CB1E4E" w:rsidRDefault="00CB1E4E">
            <w:pPr>
              <w:widowControl/>
              <w:jc w:val="center"/>
              <w:rPr>
                <w:rFonts w:ascii="Times New Roman" w:hAnsi="Times New Roman"/>
                <w:b/>
                <w:bCs/>
                <w:snapToGrid/>
                <w:color w:val="000000"/>
                <w:sz w:val="16"/>
                <w:szCs w:val="16"/>
              </w:rPr>
            </w:pPr>
            <w:r w:rsidRPr="00CB1E4E">
              <w:rPr>
                <w:rFonts w:ascii="Times New Roman" w:hAnsi="Times New Roman"/>
                <w:b/>
                <w:bCs/>
                <w:snapToGrid/>
                <w:color w:val="000000"/>
                <w:sz w:val="16"/>
                <w:szCs w:val="16"/>
              </w:rPr>
              <w:t>Summary of Estimated Annual Burden</w:t>
            </w:r>
          </w:p>
        </w:tc>
      </w:tr>
      <w:tr w:rsidRPr="00CB1E4E" w:rsidR="00CB1E4E" w:rsidTr="00F24B42">
        <w:trPr>
          <w:trHeight w:val="816"/>
          <w:jc w:val="center"/>
        </w:trPr>
        <w:tc>
          <w:tcPr>
            <w:tcW w:w="291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420" w:type="dxa"/>
            <w:tcBorders>
              <w:top w:val="single" w:color="auto" w:sz="4" w:space="0"/>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Type of Burden</w:t>
            </w:r>
          </w:p>
        </w:tc>
        <w:tc>
          <w:tcPr>
            <w:tcW w:w="1460" w:type="dxa"/>
            <w:tcBorders>
              <w:top w:val="single" w:color="auto" w:sz="4" w:space="0"/>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Estimated Number of Respondents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Estimated Time per Response</w:t>
            </w:r>
          </w:p>
        </w:tc>
        <w:tc>
          <w:tcPr>
            <w:tcW w:w="1360" w:type="dxa"/>
            <w:tcBorders>
              <w:top w:val="single" w:color="auto" w:sz="4" w:space="0"/>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Frequency of Response</w:t>
            </w:r>
          </w:p>
        </w:tc>
        <w:tc>
          <w:tcPr>
            <w:tcW w:w="980" w:type="dxa"/>
            <w:tcBorders>
              <w:top w:val="single" w:color="auto" w:sz="4" w:space="0"/>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Total Estimated Annual Burden</w:t>
            </w:r>
          </w:p>
        </w:tc>
      </w:tr>
      <w:tr w:rsidRPr="00CB1E4E" w:rsidR="00CB1E4E" w:rsidTr="00F24B42">
        <w:trPr>
          <w:trHeight w:val="408"/>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b/>
                <w:snapToGrid/>
                <w:color w:val="000000"/>
                <w:sz w:val="16"/>
                <w:szCs w:val="16"/>
              </w:rPr>
            </w:pPr>
            <w:r w:rsidRPr="00CB1E4E">
              <w:rPr>
                <w:rFonts w:ascii="Times New Roman" w:hAnsi="Times New Roman"/>
                <w:b/>
                <w:snapToGrid/>
                <w:color w:val="000000"/>
                <w:sz w:val="16"/>
                <w:szCs w:val="16"/>
              </w:rPr>
              <w:t>COMBINED DEPOSIT BROKERS AND INDIVIDUALS</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46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26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36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98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center"/>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7200/04 – Declaration for Government Deposit</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14</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0.5</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7</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7200/05 – Declaration for Revocable Trust</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165</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0.5</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83</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7200/06 – Declaration of Independent Activity</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0.5</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DB0A9A">
            <w:pPr>
              <w:widowControl/>
              <w:jc w:val="center"/>
              <w:rPr>
                <w:rFonts w:ascii="Times New Roman" w:hAnsi="Times New Roman"/>
                <w:snapToGrid/>
                <w:color w:val="000000"/>
                <w:sz w:val="16"/>
                <w:szCs w:val="16"/>
              </w:rPr>
            </w:pPr>
            <w:r>
              <w:rPr>
                <w:rFonts w:ascii="Times New Roman" w:hAnsi="Times New Roman"/>
                <w:snapToGrid/>
                <w:color w:val="000000"/>
                <w:sz w:val="16"/>
                <w:szCs w:val="16"/>
              </w:rPr>
              <w:t>1</w:t>
            </w:r>
          </w:p>
        </w:tc>
      </w:tr>
      <w:tr w:rsidRPr="00CB1E4E" w:rsidR="00CB1E4E" w:rsidTr="00F24B42">
        <w:trPr>
          <w:trHeight w:val="408"/>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7200/07 – Declaration of Independent Activity for Unincorporated Association</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0.5</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DB0A9A">
            <w:pPr>
              <w:widowControl/>
              <w:jc w:val="center"/>
              <w:rPr>
                <w:rFonts w:ascii="Times New Roman" w:hAnsi="Times New Roman"/>
                <w:snapToGrid/>
                <w:color w:val="000000"/>
                <w:sz w:val="16"/>
                <w:szCs w:val="16"/>
              </w:rPr>
            </w:pPr>
            <w:r>
              <w:rPr>
                <w:rFonts w:ascii="Times New Roman" w:hAnsi="Times New Roman"/>
                <w:snapToGrid/>
                <w:color w:val="000000"/>
                <w:sz w:val="16"/>
                <w:szCs w:val="16"/>
              </w:rPr>
              <w:t>1</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7200/08 – Declaration for Joint Ownership Deposit</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0.5</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DB0A9A">
            <w:pPr>
              <w:widowControl/>
              <w:jc w:val="center"/>
              <w:rPr>
                <w:rFonts w:ascii="Times New Roman" w:hAnsi="Times New Roman"/>
                <w:snapToGrid/>
                <w:color w:val="000000"/>
                <w:sz w:val="16"/>
                <w:szCs w:val="16"/>
              </w:rPr>
            </w:pPr>
            <w:r>
              <w:rPr>
                <w:rFonts w:ascii="Times New Roman" w:hAnsi="Times New Roman"/>
                <w:snapToGrid/>
                <w:color w:val="000000"/>
                <w:sz w:val="16"/>
                <w:szCs w:val="16"/>
              </w:rPr>
              <w:t>1</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7200/09 – Declaration for Testamentary Deposit</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21</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0.5</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11</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7200/10 – Declaration for Defined Contribution Plan</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1.0</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7200/11 - Declaration for IRA/KEOGH Deposit</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0.5</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DB0A9A">
            <w:pPr>
              <w:widowControl/>
              <w:jc w:val="center"/>
              <w:rPr>
                <w:rFonts w:ascii="Times New Roman" w:hAnsi="Times New Roman"/>
                <w:snapToGrid/>
                <w:color w:val="000000"/>
                <w:sz w:val="16"/>
                <w:szCs w:val="16"/>
              </w:rPr>
            </w:pPr>
            <w:r>
              <w:rPr>
                <w:rFonts w:ascii="Times New Roman" w:hAnsi="Times New Roman"/>
                <w:snapToGrid/>
                <w:color w:val="000000"/>
                <w:sz w:val="16"/>
                <w:szCs w:val="16"/>
              </w:rPr>
              <w:t>1</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7200/12 – Declaration for Defined Benefit Plan</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1.0</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7200/13 – Declaration of Custodian Deposit</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0.5</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DB0A9A">
            <w:pPr>
              <w:widowControl/>
              <w:jc w:val="center"/>
              <w:rPr>
                <w:rFonts w:ascii="Times New Roman" w:hAnsi="Times New Roman"/>
                <w:snapToGrid/>
                <w:color w:val="000000"/>
                <w:sz w:val="16"/>
                <w:szCs w:val="16"/>
              </w:rPr>
            </w:pPr>
            <w:r>
              <w:rPr>
                <w:rFonts w:ascii="Times New Roman" w:hAnsi="Times New Roman"/>
                <w:snapToGrid/>
                <w:color w:val="000000"/>
                <w:sz w:val="16"/>
                <w:szCs w:val="16"/>
              </w:rPr>
              <w:t>1</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7200/14 – Declaration or Health and Welfare Plan</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12</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1.0</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12</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7200/15 – Declaration for Plan and Trust</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0.5</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DB0A9A">
            <w:pPr>
              <w:widowControl/>
              <w:jc w:val="center"/>
              <w:rPr>
                <w:rFonts w:ascii="Times New Roman" w:hAnsi="Times New Roman"/>
                <w:snapToGrid/>
                <w:color w:val="000000"/>
                <w:sz w:val="16"/>
                <w:szCs w:val="16"/>
              </w:rPr>
            </w:pPr>
            <w:r>
              <w:rPr>
                <w:rFonts w:ascii="Times New Roman" w:hAnsi="Times New Roman"/>
                <w:snapToGrid/>
                <w:color w:val="000000"/>
                <w:sz w:val="16"/>
                <w:szCs w:val="16"/>
              </w:rPr>
              <w:t>1</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7200/18 – Declaration for Irrevocable Trust</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0.5</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DB0A9A">
            <w:pPr>
              <w:widowControl/>
              <w:jc w:val="center"/>
              <w:rPr>
                <w:rFonts w:ascii="Times New Roman" w:hAnsi="Times New Roman"/>
                <w:snapToGrid/>
                <w:color w:val="000000"/>
                <w:sz w:val="16"/>
                <w:szCs w:val="16"/>
              </w:rPr>
            </w:pPr>
            <w:r>
              <w:rPr>
                <w:rFonts w:ascii="Times New Roman" w:hAnsi="Times New Roman"/>
                <w:snapToGrid/>
                <w:color w:val="000000"/>
                <w:sz w:val="16"/>
                <w:szCs w:val="16"/>
              </w:rPr>
              <w:t>1</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7200/24 – Claimant Verification</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218</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0.5</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109</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7200/26 – Depositor Interview Form</w:t>
            </w:r>
          </w:p>
        </w:tc>
        <w:tc>
          <w:tcPr>
            <w:tcW w:w="1420" w:type="dxa"/>
            <w:tcBorders>
              <w:top w:val="nil"/>
              <w:left w:val="nil"/>
              <w:bottom w:val="single" w:color="auto" w:sz="4" w:space="0"/>
              <w:right w:val="single" w:color="auto" w:sz="4" w:space="0"/>
            </w:tcBorders>
            <w:shd w:val="clear" w:color="auto" w:fill="auto"/>
            <w:vAlign w:val="center"/>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198</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0.5</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99</w:t>
            </w:r>
          </w:p>
        </w:tc>
      </w:tr>
      <w:tr w:rsidRPr="00CB1E4E" w:rsidR="00CB1E4E" w:rsidTr="00F24B42">
        <w:trPr>
          <w:trHeight w:val="408"/>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b/>
                <w:snapToGrid/>
                <w:color w:val="000000"/>
                <w:sz w:val="16"/>
                <w:szCs w:val="16"/>
              </w:rPr>
            </w:pPr>
            <w:r w:rsidRPr="00CB1E4E">
              <w:rPr>
                <w:rFonts w:ascii="Times New Roman" w:hAnsi="Times New Roman"/>
                <w:b/>
                <w:snapToGrid/>
                <w:color w:val="000000"/>
                <w:sz w:val="16"/>
                <w:szCs w:val="16"/>
              </w:rPr>
              <w:t>SUBTOTAL: COMBINED BROKERS AND INDIVIDUALS</w:t>
            </w:r>
          </w:p>
        </w:tc>
        <w:tc>
          <w:tcPr>
            <w:tcW w:w="1420" w:type="dxa"/>
            <w:tcBorders>
              <w:top w:val="nil"/>
              <w:left w:val="nil"/>
              <w:bottom w:val="single" w:color="auto" w:sz="4" w:space="0"/>
              <w:right w:val="single" w:color="auto" w:sz="4" w:space="0"/>
            </w:tcBorders>
            <w:shd w:val="clear" w:color="auto" w:fill="auto"/>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637</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605AE7">
            <w:pPr>
              <w:widowControl/>
              <w:jc w:val="center"/>
              <w:rPr>
                <w:rFonts w:ascii="Times New Roman" w:hAnsi="Times New Roman"/>
                <w:snapToGrid/>
                <w:color w:val="000000"/>
                <w:sz w:val="16"/>
                <w:szCs w:val="16"/>
              </w:rPr>
            </w:pPr>
            <w:r>
              <w:rPr>
                <w:rFonts w:ascii="Times New Roman" w:hAnsi="Times New Roman"/>
                <w:snapToGrid/>
                <w:color w:val="000000"/>
                <w:sz w:val="16"/>
                <w:szCs w:val="16"/>
              </w:rPr>
              <w:t>330</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jc w:val="right"/>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420" w:type="dxa"/>
            <w:tcBorders>
              <w:top w:val="nil"/>
              <w:left w:val="nil"/>
              <w:bottom w:val="single" w:color="auto" w:sz="4" w:space="0"/>
              <w:right w:val="single" w:color="auto" w:sz="4" w:space="0"/>
            </w:tcBorders>
            <w:shd w:val="clear" w:color="auto" w:fill="auto"/>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b/>
                <w:snapToGrid/>
                <w:color w:val="000000"/>
                <w:sz w:val="16"/>
                <w:szCs w:val="16"/>
              </w:rPr>
            </w:pPr>
            <w:r w:rsidRPr="00CB1E4E">
              <w:rPr>
                <w:rFonts w:ascii="Times New Roman" w:hAnsi="Times New Roman"/>
                <w:b/>
                <w:snapToGrid/>
                <w:color w:val="000000"/>
                <w:sz w:val="16"/>
                <w:szCs w:val="16"/>
              </w:rPr>
              <w:t>DEPOSIT BROKERS ONLY</w:t>
            </w:r>
          </w:p>
        </w:tc>
        <w:tc>
          <w:tcPr>
            <w:tcW w:w="1420" w:type="dxa"/>
            <w:tcBorders>
              <w:top w:val="nil"/>
              <w:left w:val="nil"/>
              <w:bottom w:val="single" w:color="auto" w:sz="4" w:space="0"/>
              <w:right w:val="single" w:color="auto" w:sz="4" w:space="0"/>
            </w:tcBorders>
            <w:shd w:val="clear" w:color="auto" w:fill="auto"/>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Deposit Broker Submission Checklist</w:t>
            </w:r>
          </w:p>
        </w:tc>
        <w:tc>
          <w:tcPr>
            <w:tcW w:w="1420" w:type="dxa"/>
            <w:tcBorders>
              <w:top w:val="nil"/>
              <w:left w:val="nil"/>
              <w:bottom w:val="single" w:color="auto" w:sz="4" w:space="0"/>
              <w:right w:val="single" w:color="auto" w:sz="4" w:space="0"/>
            </w:tcBorders>
            <w:shd w:val="clear" w:color="auto" w:fill="auto"/>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136</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0.0833</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605AE7">
            <w:pPr>
              <w:widowControl/>
              <w:jc w:val="center"/>
              <w:rPr>
                <w:rFonts w:ascii="Times New Roman" w:hAnsi="Times New Roman"/>
                <w:snapToGrid/>
                <w:color w:val="000000"/>
                <w:sz w:val="16"/>
                <w:szCs w:val="16"/>
              </w:rPr>
            </w:pPr>
            <w:r>
              <w:rPr>
                <w:rFonts w:ascii="Times New Roman" w:hAnsi="Times New Roman"/>
                <w:snapToGrid/>
                <w:color w:val="000000"/>
                <w:sz w:val="16"/>
                <w:szCs w:val="16"/>
              </w:rPr>
              <w:t>11</w:t>
            </w:r>
          </w:p>
        </w:tc>
      </w:tr>
      <w:tr w:rsidRPr="00CB1E4E" w:rsidR="00CB1E4E" w:rsidTr="00F24B42">
        <w:trPr>
          <w:trHeight w:val="612"/>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Diskette, following “Broker Input File Requirements” - burden will vary depending on the broker's number of brokered accounts</w:t>
            </w:r>
          </w:p>
        </w:tc>
        <w:tc>
          <w:tcPr>
            <w:tcW w:w="1420" w:type="dxa"/>
            <w:tcBorders>
              <w:top w:val="nil"/>
              <w:left w:val="nil"/>
              <w:bottom w:val="single" w:color="auto" w:sz="4" w:space="0"/>
              <w:right w:val="single" w:color="auto" w:sz="4" w:space="0"/>
            </w:tcBorders>
            <w:shd w:val="clear" w:color="auto" w:fill="auto"/>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420" w:type="dxa"/>
            <w:tcBorders>
              <w:top w:val="nil"/>
              <w:left w:val="nil"/>
              <w:bottom w:val="single" w:color="auto" w:sz="4" w:space="0"/>
              <w:right w:val="single" w:color="auto" w:sz="4" w:space="0"/>
            </w:tcBorders>
            <w:shd w:val="clear" w:color="auto" w:fill="auto"/>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102</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0.750</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605AE7">
            <w:pPr>
              <w:widowControl/>
              <w:jc w:val="center"/>
              <w:rPr>
                <w:rFonts w:ascii="Times New Roman" w:hAnsi="Times New Roman"/>
                <w:snapToGrid/>
                <w:color w:val="000000"/>
                <w:sz w:val="16"/>
                <w:szCs w:val="16"/>
              </w:rPr>
            </w:pPr>
            <w:r>
              <w:rPr>
                <w:rFonts w:ascii="Times New Roman" w:hAnsi="Times New Roman"/>
                <w:snapToGrid/>
                <w:color w:val="000000"/>
                <w:sz w:val="16"/>
                <w:szCs w:val="16"/>
              </w:rPr>
              <w:t>77</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420" w:type="dxa"/>
            <w:tcBorders>
              <w:top w:val="nil"/>
              <w:left w:val="nil"/>
              <w:bottom w:val="single" w:color="auto" w:sz="4" w:space="0"/>
              <w:right w:val="single" w:color="auto" w:sz="4" w:space="0"/>
            </w:tcBorders>
            <w:shd w:val="clear" w:color="auto" w:fill="auto"/>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34</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5.0</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170</w:t>
            </w:r>
          </w:p>
        </w:tc>
      </w:tr>
      <w:tr w:rsidRPr="00CB1E4E" w:rsidR="00CB1E4E" w:rsidTr="00F24B42">
        <w:trPr>
          <w:trHeight w:val="408"/>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Exhibit B, the standard agency agreement, or the non-standard agency agreement</w:t>
            </w:r>
          </w:p>
        </w:tc>
        <w:tc>
          <w:tcPr>
            <w:tcW w:w="1420" w:type="dxa"/>
            <w:tcBorders>
              <w:top w:val="nil"/>
              <w:left w:val="nil"/>
              <w:bottom w:val="single" w:color="auto" w:sz="4" w:space="0"/>
              <w:right w:val="single" w:color="auto" w:sz="4" w:space="0"/>
            </w:tcBorders>
            <w:shd w:val="clear" w:color="auto" w:fill="auto"/>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Reporting</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136</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0.0167</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On Occasion</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605AE7">
            <w:pPr>
              <w:widowControl/>
              <w:jc w:val="center"/>
              <w:rPr>
                <w:rFonts w:ascii="Times New Roman" w:hAnsi="Times New Roman"/>
                <w:snapToGrid/>
                <w:color w:val="000000"/>
                <w:sz w:val="16"/>
                <w:szCs w:val="16"/>
              </w:rPr>
            </w:pPr>
            <w:r>
              <w:rPr>
                <w:rFonts w:ascii="Times New Roman" w:hAnsi="Times New Roman"/>
                <w:snapToGrid/>
                <w:color w:val="000000"/>
                <w:sz w:val="16"/>
                <w:szCs w:val="16"/>
              </w:rPr>
              <w:t>2</w:t>
            </w:r>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b/>
                <w:snapToGrid/>
                <w:color w:val="000000"/>
                <w:sz w:val="16"/>
                <w:szCs w:val="16"/>
              </w:rPr>
            </w:pPr>
            <w:r w:rsidRPr="00CB1E4E">
              <w:rPr>
                <w:rFonts w:ascii="Times New Roman" w:hAnsi="Times New Roman"/>
                <w:b/>
                <w:snapToGrid/>
                <w:color w:val="000000"/>
                <w:sz w:val="16"/>
                <w:szCs w:val="16"/>
              </w:rPr>
              <w:t>SUBTOTAL: DEPOSIT BROKERS ONLY</w:t>
            </w:r>
          </w:p>
        </w:tc>
        <w:tc>
          <w:tcPr>
            <w:tcW w:w="1420" w:type="dxa"/>
            <w:tcBorders>
              <w:top w:val="nil"/>
              <w:left w:val="nil"/>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136</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605AE7">
            <w:pPr>
              <w:widowControl/>
              <w:jc w:val="center"/>
              <w:rPr>
                <w:rFonts w:ascii="Times New Roman" w:hAnsi="Times New Roman"/>
                <w:snapToGrid/>
                <w:color w:val="000000"/>
                <w:sz w:val="16"/>
                <w:szCs w:val="16"/>
              </w:rPr>
            </w:pPr>
            <w:r>
              <w:rPr>
                <w:rFonts w:ascii="Times New Roman" w:hAnsi="Times New Roman"/>
                <w:snapToGrid/>
                <w:color w:val="000000"/>
                <w:sz w:val="16"/>
                <w:szCs w:val="16"/>
              </w:rPr>
              <w:t>260</w:t>
            </w:r>
            <w:bookmarkStart w:name="_GoBack" w:id="2"/>
            <w:bookmarkEnd w:id="2"/>
          </w:p>
        </w:tc>
      </w:tr>
      <w:tr w:rsidRPr="00CB1E4E" w:rsidR="00CB1E4E" w:rsidTr="00F24B42">
        <w:trPr>
          <w:trHeight w:val="204"/>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jc w:val="right"/>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420" w:type="dxa"/>
            <w:tcBorders>
              <w:top w:val="nil"/>
              <w:left w:val="nil"/>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r>
      <w:tr w:rsidRPr="00CB1E4E" w:rsidR="00CB1E4E" w:rsidTr="00F24B42">
        <w:trPr>
          <w:trHeight w:val="288"/>
          <w:jc w:val="center"/>
        </w:trPr>
        <w:tc>
          <w:tcPr>
            <w:tcW w:w="2910" w:type="dxa"/>
            <w:tcBorders>
              <w:top w:val="nil"/>
              <w:left w:val="single" w:color="auto" w:sz="4" w:space="0"/>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b/>
                <w:snapToGrid/>
                <w:color w:val="000000"/>
                <w:sz w:val="16"/>
                <w:szCs w:val="16"/>
              </w:rPr>
            </w:pPr>
            <w:r w:rsidRPr="00CB1E4E">
              <w:rPr>
                <w:rFonts w:ascii="Times New Roman" w:hAnsi="Times New Roman"/>
                <w:b/>
                <w:snapToGrid/>
                <w:color w:val="000000"/>
                <w:sz w:val="16"/>
                <w:szCs w:val="16"/>
              </w:rPr>
              <w:t>TOTAL ESTIMATED ANNUAL BURDEN</w:t>
            </w:r>
          </w:p>
        </w:tc>
        <w:tc>
          <w:tcPr>
            <w:tcW w:w="1420" w:type="dxa"/>
            <w:tcBorders>
              <w:top w:val="nil"/>
              <w:left w:val="nil"/>
              <w:bottom w:val="single" w:color="auto" w:sz="4" w:space="0"/>
              <w:right w:val="single" w:color="auto" w:sz="4" w:space="0"/>
            </w:tcBorders>
            <w:shd w:val="clear" w:color="auto" w:fill="auto"/>
            <w:vAlign w:val="bottom"/>
            <w:hideMark/>
          </w:tcPr>
          <w:p w:rsidRPr="00CB1E4E" w:rsidR="00CB1E4E" w:rsidP="00CB1E4E" w:rsidRDefault="00CB1E4E">
            <w:pPr>
              <w:widowControl/>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4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p>
        </w:tc>
        <w:tc>
          <w:tcPr>
            <w:tcW w:w="12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136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CB1E4E">
            <w:pPr>
              <w:widowControl/>
              <w:jc w:val="center"/>
              <w:rPr>
                <w:rFonts w:ascii="Times New Roman" w:hAnsi="Times New Roman"/>
                <w:snapToGrid/>
                <w:color w:val="000000"/>
                <w:sz w:val="16"/>
                <w:szCs w:val="16"/>
              </w:rPr>
            </w:pPr>
            <w:r w:rsidRPr="00CB1E4E">
              <w:rPr>
                <w:rFonts w:ascii="Times New Roman" w:hAnsi="Times New Roman"/>
                <w:snapToGrid/>
                <w:color w:val="000000"/>
                <w:sz w:val="16"/>
                <w:szCs w:val="16"/>
              </w:rPr>
              <w:t> </w:t>
            </w:r>
          </w:p>
        </w:tc>
        <w:tc>
          <w:tcPr>
            <w:tcW w:w="980" w:type="dxa"/>
            <w:tcBorders>
              <w:top w:val="nil"/>
              <w:left w:val="nil"/>
              <w:bottom w:val="single" w:color="auto" w:sz="4" w:space="0"/>
              <w:right w:val="single" w:color="auto" w:sz="4" w:space="0"/>
            </w:tcBorders>
            <w:shd w:val="clear" w:color="auto" w:fill="auto"/>
            <w:noWrap/>
            <w:vAlign w:val="bottom"/>
            <w:hideMark/>
          </w:tcPr>
          <w:p w:rsidRPr="00CB1E4E" w:rsidR="00CB1E4E" w:rsidP="00CB1E4E" w:rsidRDefault="00605AE7">
            <w:pPr>
              <w:widowControl/>
              <w:jc w:val="center"/>
              <w:rPr>
                <w:rFonts w:ascii="Times New Roman" w:hAnsi="Times New Roman"/>
                <w:snapToGrid/>
                <w:color w:val="000000"/>
                <w:sz w:val="16"/>
                <w:szCs w:val="16"/>
              </w:rPr>
            </w:pPr>
            <w:r>
              <w:rPr>
                <w:rFonts w:ascii="Times New Roman" w:hAnsi="Times New Roman"/>
                <w:snapToGrid/>
                <w:color w:val="000000"/>
                <w:sz w:val="16"/>
                <w:szCs w:val="16"/>
              </w:rPr>
              <w:t>590</w:t>
            </w:r>
          </w:p>
        </w:tc>
      </w:tr>
    </w:tbl>
    <w:p w:rsidR="007B6C63" w:rsidRDefault="007B6C63">
      <w:pPr>
        <w:rPr>
          <w:rFonts w:ascii="Times New Roman" w:hAnsi="Times New Roman"/>
        </w:rPr>
      </w:pPr>
    </w:p>
    <w:p w:rsidR="00B75F0F" w:rsidP="00637FBA" w:rsidRDefault="00637FBA">
      <w:pPr>
        <w:widowControl/>
        <w:ind w:left="720"/>
        <w:rPr>
          <w:rFonts w:ascii="Times New Roman" w:hAnsi="Times New Roman"/>
        </w:rPr>
      </w:pPr>
      <w:r w:rsidRPr="00E7318E">
        <w:rPr>
          <w:rFonts w:ascii="Times New Roman" w:hAnsi="Times New Roman"/>
          <w:szCs w:val="24"/>
        </w:rPr>
        <w:t>An essential element of this collection is an electronic file from every broker that provides information about its customers and their accounts, including:  each customer</w:t>
      </w:r>
      <w:r>
        <w:rPr>
          <w:rFonts w:ascii="Times New Roman" w:hAnsi="Times New Roman"/>
          <w:szCs w:val="24"/>
        </w:rPr>
        <w:t>’</w:t>
      </w:r>
      <w:r w:rsidRPr="00E7318E">
        <w:rPr>
          <w:rFonts w:ascii="Times New Roman" w:hAnsi="Times New Roman"/>
          <w:szCs w:val="24"/>
        </w:rPr>
        <w:t xml:space="preserve">s name, address, tax identification number, ownership interest in the account, principal balance of the account and interest earned on the account.  Deposit brokers maintain this information about their customers in the normal course of their business activities.  Thus, the burden estimate is primarily the time required to format and report the information. The FDIC estimates that the time required to range from less than an hour for small, sub-tier brokers (about 75% of the </w:t>
      </w:r>
      <w:r>
        <w:rPr>
          <w:rFonts w:ascii="Times New Roman" w:hAnsi="Times New Roman"/>
          <w:szCs w:val="24"/>
        </w:rPr>
        <w:t>136</w:t>
      </w:r>
      <w:r w:rsidRPr="00E7318E">
        <w:rPr>
          <w:rFonts w:ascii="Times New Roman" w:hAnsi="Times New Roman"/>
          <w:szCs w:val="24"/>
        </w:rPr>
        <w:t xml:space="preserve"> respondents) to 5 hours for </w:t>
      </w:r>
      <w:r>
        <w:rPr>
          <w:rFonts w:ascii="Times New Roman" w:hAnsi="Times New Roman"/>
          <w:szCs w:val="24"/>
        </w:rPr>
        <w:t xml:space="preserve">a large, upper-tier </w:t>
      </w:r>
      <w:r w:rsidRPr="00E7318E">
        <w:rPr>
          <w:rFonts w:ascii="Times New Roman" w:hAnsi="Times New Roman"/>
          <w:szCs w:val="24"/>
        </w:rPr>
        <w:t xml:space="preserve">broker (about 25% of </w:t>
      </w:r>
      <w:r>
        <w:rPr>
          <w:rFonts w:ascii="Times New Roman" w:hAnsi="Times New Roman"/>
          <w:szCs w:val="24"/>
        </w:rPr>
        <w:t xml:space="preserve">the 136 </w:t>
      </w:r>
      <w:r w:rsidRPr="00E7318E">
        <w:rPr>
          <w:rFonts w:ascii="Times New Roman" w:hAnsi="Times New Roman"/>
          <w:szCs w:val="24"/>
        </w:rPr>
        <w:t>respondents).   Burden will vary depending on the number of failed institutions in a year and the characteristics of the failed institutions (e.g., how many brokered accounts were held at a failed institution).</w:t>
      </w:r>
    </w:p>
    <w:p w:rsidR="00B75F0F" w:rsidRDefault="00B75F0F">
      <w:pPr>
        <w:rPr>
          <w:rFonts w:ascii="Times New Roman" w:hAnsi="Times New Roman"/>
        </w:rPr>
      </w:pPr>
    </w:p>
    <w:p w:rsidR="00881712" w:rsidP="00881712" w:rsidRDefault="00881712">
      <w:pPr>
        <w:tabs>
          <w:tab w:val="left" w:pos="-1440"/>
        </w:tabs>
        <w:ind w:firstLine="720"/>
        <w:rPr>
          <w:rFonts w:ascii="Times New Roman" w:hAnsi="Times New Roman"/>
        </w:rPr>
      </w:pPr>
      <w:r w:rsidRPr="00881712">
        <w:rPr>
          <w:rFonts w:ascii="Times New Roman" w:hAnsi="Times New Roman"/>
          <w:bCs/>
          <w:i/>
          <w:iCs/>
          <w:szCs w:val="24"/>
        </w:rPr>
        <w:t>Annualized</w:t>
      </w:r>
      <w:r w:rsidRPr="00D64624">
        <w:rPr>
          <w:rFonts w:ascii="Times New Roman" w:hAnsi="Times New Roman"/>
          <w:i/>
          <w:szCs w:val="24"/>
        </w:rPr>
        <w:t xml:space="preserve"> Cost of Internal Hourly Burd</w:t>
      </w:r>
      <w:r w:rsidR="00BD64F8">
        <w:rPr>
          <w:rFonts w:ascii="Times New Roman" w:hAnsi="Times New Roman"/>
          <w:i/>
          <w:szCs w:val="24"/>
        </w:rPr>
        <w:t>en</w:t>
      </w:r>
      <w:r w:rsidRPr="00D64624">
        <w:rPr>
          <w:rFonts w:ascii="Times New Roman" w:hAnsi="Times New Roman"/>
          <w:i/>
          <w:szCs w:val="24"/>
        </w:rPr>
        <w:t>:</w:t>
      </w:r>
    </w:p>
    <w:p w:rsidR="00881712" w:rsidRDefault="00881712">
      <w:pPr>
        <w:rPr>
          <w:rFonts w:ascii="Times New Roman" w:hAnsi="Times New Roman"/>
        </w:rPr>
      </w:pPr>
    </w:p>
    <w:p w:rsidRPr="00856473" w:rsidR="00856473" w:rsidP="004B2F21" w:rsidRDefault="00856473">
      <w:pPr>
        <w:keepNext/>
        <w:ind w:left="720"/>
        <w:rPr>
          <w:rFonts w:ascii="Times New Roman" w:hAnsi="Times New Roman"/>
          <w:snapToGrid/>
          <w:szCs w:val="24"/>
        </w:rPr>
      </w:pPr>
      <w:r w:rsidRPr="00856473">
        <w:rPr>
          <w:rFonts w:ascii="Times New Roman" w:hAnsi="Times New Roman"/>
          <w:snapToGrid/>
          <w:szCs w:val="24"/>
        </w:rPr>
        <w:t xml:space="preserve">To estimate the weighted average hourly cost of compensation, </w:t>
      </w:r>
      <w:r>
        <w:rPr>
          <w:rFonts w:ascii="Times New Roman" w:hAnsi="Times New Roman"/>
          <w:snapToGrid/>
          <w:szCs w:val="24"/>
        </w:rPr>
        <w:t>FDIC</w:t>
      </w:r>
      <w:r w:rsidRPr="00856473">
        <w:rPr>
          <w:rFonts w:ascii="Times New Roman" w:hAnsi="Times New Roman"/>
          <w:snapToGrid/>
          <w:szCs w:val="24"/>
        </w:rPr>
        <w:t xml:space="preserve"> use</w:t>
      </w:r>
      <w:r>
        <w:rPr>
          <w:rFonts w:ascii="Times New Roman" w:hAnsi="Times New Roman"/>
          <w:snapToGrid/>
          <w:szCs w:val="24"/>
        </w:rPr>
        <w:t>s</w:t>
      </w:r>
      <w:r w:rsidRPr="00856473">
        <w:rPr>
          <w:rFonts w:ascii="Times New Roman" w:hAnsi="Times New Roman"/>
          <w:snapToGrid/>
          <w:szCs w:val="24"/>
        </w:rPr>
        <w:t xml:space="preserve"> the 75</w:t>
      </w:r>
      <w:r w:rsidRPr="00856473">
        <w:rPr>
          <w:rFonts w:ascii="Times New Roman" w:hAnsi="Times New Roman"/>
          <w:snapToGrid/>
          <w:szCs w:val="24"/>
          <w:vertAlign w:val="superscript"/>
        </w:rPr>
        <w:t>th</w:t>
      </w:r>
      <w:r w:rsidRPr="00856473">
        <w:rPr>
          <w:rFonts w:ascii="Times New Roman" w:hAnsi="Times New Roman"/>
          <w:snapToGrid/>
          <w:szCs w:val="24"/>
        </w:rPr>
        <w:t xml:space="preserve"> percentile hourly wages reported by the Bureau of Labor Statistics (BLS) National Industry-Specific Occupational </w:t>
      </w:r>
      <w:r w:rsidRPr="004B2F21">
        <w:rPr>
          <w:rFonts w:ascii="Times New Roman" w:hAnsi="Times New Roman"/>
        </w:rPr>
        <w:t>Employment</w:t>
      </w:r>
      <w:r w:rsidRPr="00856473">
        <w:rPr>
          <w:rFonts w:ascii="Times New Roman" w:hAnsi="Times New Roman"/>
          <w:snapToGrid/>
          <w:szCs w:val="24"/>
        </w:rPr>
        <w:t xml:space="preserve"> and Wage Estimates for the relevant occupations in the Depository Credit Intermediation sector, as of December 2019. </w:t>
      </w:r>
    </w:p>
    <w:p w:rsidRPr="00856473" w:rsidR="00856473" w:rsidP="00856473" w:rsidRDefault="00856473">
      <w:pPr>
        <w:widowControl/>
        <w:rPr>
          <w:rFonts w:ascii="Times New Roman" w:hAnsi="Times New Roman"/>
          <w:snapToGrid/>
          <w:szCs w:val="24"/>
        </w:rPr>
      </w:pPr>
    </w:p>
    <w:p w:rsidR="0099247D" w:rsidP="004B2F21" w:rsidRDefault="00856473">
      <w:pPr>
        <w:keepNext/>
        <w:widowControl/>
        <w:ind w:left="720"/>
        <w:rPr>
          <w:rFonts w:ascii="Times New Roman" w:hAnsi="Times New Roman"/>
          <w:snapToGrid/>
          <w:szCs w:val="24"/>
        </w:rPr>
      </w:pPr>
      <w:r w:rsidRPr="00856473">
        <w:rPr>
          <w:rFonts w:ascii="Times New Roman" w:hAnsi="Times New Roman"/>
          <w:snapToGrid/>
          <w:szCs w:val="24"/>
        </w:rPr>
        <w:t xml:space="preserve">The hourly wage rates reported </w:t>
      </w:r>
      <w:r>
        <w:rPr>
          <w:rFonts w:ascii="Times New Roman" w:hAnsi="Times New Roman"/>
          <w:snapToGrid/>
          <w:szCs w:val="24"/>
        </w:rPr>
        <w:t xml:space="preserve">by BLS </w:t>
      </w:r>
      <w:r w:rsidRPr="00856473">
        <w:rPr>
          <w:rFonts w:ascii="Times New Roman" w:hAnsi="Times New Roman"/>
          <w:snapToGrid/>
          <w:szCs w:val="24"/>
        </w:rPr>
        <w:t>do not include non-monetary compensation. According to the December 2019 Employer Cost of Employee Compensation data, compensation rates for health and other benefits are 33.8 percent of total compensation. To account for non-monetary compensation, </w:t>
      </w:r>
      <w:r>
        <w:rPr>
          <w:rFonts w:ascii="Times New Roman" w:hAnsi="Times New Roman"/>
          <w:snapToGrid/>
          <w:szCs w:val="24"/>
        </w:rPr>
        <w:t>FDIC</w:t>
      </w:r>
      <w:r w:rsidRPr="00856473">
        <w:rPr>
          <w:rFonts w:ascii="Times New Roman" w:hAnsi="Times New Roman"/>
          <w:snapToGrid/>
          <w:szCs w:val="24"/>
        </w:rPr>
        <w:t xml:space="preserve"> adjust</w:t>
      </w:r>
      <w:r>
        <w:rPr>
          <w:rFonts w:ascii="Times New Roman" w:hAnsi="Times New Roman"/>
          <w:snapToGrid/>
          <w:szCs w:val="24"/>
        </w:rPr>
        <w:t>ed</w:t>
      </w:r>
      <w:r w:rsidRPr="00856473">
        <w:rPr>
          <w:rFonts w:ascii="Times New Roman" w:hAnsi="Times New Roman"/>
          <w:snapToGrid/>
          <w:szCs w:val="24"/>
        </w:rPr>
        <w:t xml:space="preserve"> the hourly wage rates reported by BLS by that percentage. </w:t>
      </w:r>
      <w:r>
        <w:rPr>
          <w:rFonts w:ascii="Times New Roman" w:hAnsi="Times New Roman"/>
          <w:snapToGrid/>
          <w:szCs w:val="24"/>
        </w:rPr>
        <w:t>FDIC</w:t>
      </w:r>
      <w:r w:rsidRPr="00856473">
        <w:rPr>
          <w:rFonts w:ascii="Times New Roman" w:hAnsi="Times New Roman"/>
          <w:snapToGrid/>
          <w:szCs w:val="24"/>
        </w:rPr>
        <w:t xml:space="preserve"> also adjust</w:t>
      </w:r>
      <w:r>
        <w:rPr>
          <w:rFonts w:ascii="Times New Roman" w:hAnsi="Times New Roman"/>
          <w:snapToGrid/>
          <w:szCs w:val="24"/>
        </w:rPr>
        <w:t>ed</w:t>
      </w:r>
      <w:r w:rsidRPr="00856473">
        <w:rPr>
          <w:rFonts w:ascii="Times New Roman" w:hAnsi="Times New Roman"/>
          <w:snapToGrid/>
          <w:szCs w:val="24"/>
        </w:rPr>
        <w:t xml:space="preserve"> the hourly wage by 3.11 percent based on changes in the Consumer Price Index for Urban Consumers (CPI-U) from May 2018 to December 2019 to account for inflation and ensure that the </w:t>
      </w:r>
      <w:r w:rsidRPr="004B2F21">
        <w:rPr>
          <w:rFonts w:ascii="Times New Roman" w:hAnsi="Times New Roman"/>
        </w:rPr>
        <w:t>wage</w:t>
      </w:r>
      <w:r w:rsidRPr="00856473">
        <w:rPr>
          <w:rFonts w:ascii="Times New Roman" w:hAnsi="Times New Roman"/>
          <w:snapToGrid/>
          <w:szCs w:val="24"/>
        </w:rPr>
        <w:t xml:space="preserve"> information is contemporaneous with the non-monetary compensation statistic. </w:t>
      </w:r>
    </w:p>
    <w:p w:rsidR="00637FBA" w:rsidP="004B2F21" w:rsidRDefault="00637FBA">
      <w:pPr>
        <w:keepNext/>
        <w:widowControl/>
        <w:ind w:left="720"/>
        <w:rPr>
          <w:rFonts w:ascii="Times New Roman" w:hAnsi="Times New Roman"/>
          <w:snapToGrid/>
          <w:szCs w:val="24"/>
        </w:rPr>
      </w:pPr>
    </w:p>
    <w:p w:rsidRPr="00856473" w:rsidR="00856473" w:rsidP="00637FBA" w:rsidRDefault="00856473">
      <w:pPr>
        <w:keepNext/>
        <w:widowControl/>
        <w:ind w:left="720"/>
        <w:rPr>
          <w:rFonts w:ascii="Times New Roman" w:hAnsi="Times New Roman"/>
          <w:snapToGrid/>
          <w:szCs w:val="24"/>
        </w:rPr>
      </w:pPr>
      <w:r w:rsidRPr="00856473">
        <w:rPr>
          <w:rFonts w:ascii="Times New Roman" w:hAnsi="Times New Roman"/>
          <w:snapToGrid/>
          <w:szCs w:val="24"/>
        </w:rPr>
        <w:t xml:space="preserve">After calculating these adjustments, </w:t>
      </w:r>
      <w:r>
        <w:rPr>
          <w:rFonts w:ascii="Times New Roman" w:hAnsi="Times New Roman"/>
          <w:snapToGrid/>
          <w:szCs w:val="24"/>
        </w:rPr>
        <w:t>FDIC</w:t>
      </w:r>
      <w:r w:rsidRPr="00856473">
        <w:rPr>
          <w:rFonts w:ascii="Times New Roman" w:hAnsi="Times New Roman"/>
          <w:snapToGrid/>
          <w:szCs w:val="24"/>
        </w:rPr>
        <w:t xml:space="preserve"> then weight</w:t>
      </w:r>
      <w:r>
        <w:rPr>
          <w:rFonts w:ascii="Times New Roman" w:hAnsi="Times New Roman"/>
          <w:snapToGrid/>
          <w:szCs w:val="24"/>
        </w:rPr>
        <w:t>ed</w:t>
      </w:r>
      <w:r w:rsidRPr="00856473">
        <w:rPr>
          <w:rFonts w:ascii="Times New Roman" w:hAnsi="Times New Roman"/>
          <w:snapToGrid/>
          <w:szCs w:val="24"/>
        </w:rPr>
        <w:t xml:space="preserve"> the total hourly compensation </w:t>
      </w:r>
      <w:r>
        <w:rPr>
          <w:rFonts w:ascii="Times New Roman" w:hAnsi="Times New Roman"/>
          <w:snapToGrid/>
          <w:szCs w:val="24"/>
        </w:rPr>
        <w:t>across</w:t>
      </w:r>
      <w:r w:rsidRPr="00856473">
        <w:rPr>
          <w:rFonts w:ascii="Times New Roman" w:hAnsi="Times New Roman"/>
          <w:snapToGrid/>
          <w:szCs w:val="24"/>
        </w:rPr>
        <w:t xml:space="preserve"> the four </w:t>
      </w:r>
      <w:r w:rsidRPr="00637FBA">
        <w:rPr>
          <w:rFonts w:ascii="Times New Roman" w:hAnsi="Times New Roman"/>
          <w:snapToGrid/>
          <w:szCs w:val="24"/>
        </w:rPr>
        <w:t>occupations</w:t>
      </w:r>
      <w:r w:rsidRPr="00856473">
        <w:rPr>
          <w:rFonts w:ascii="Times New Roman" w:hAnsi="Times New Roman"/>
          <w:snapToGrid/>
          <w:szCs w:val="24"/>
        </w:rPr>
        <w:t xml:space="preserve"> (Executives and Managers, Lawyers, Compliance Officer, and Clerical</w:t>
      </w:r>
      <w:r w:rsidR="00CB1E4E">
        <w:rPr>
          <w:rFonts w:ascii="Times New Roman" w:hAnsi="Times New Roman"/>
          <w:snapToGrid/>
          <w:szCs w:val="24"/>
        </w:rPr>
        <w:t xml:space="preserve"> (as a proxy for the general public)</w:t>
      </w:r>
      <w:r w:rsidRPr="00856473">
        <w:rPr>
          <w:rFonts w:ascii="Times New Roman" w:hAnsi="Times New Roman"/>
          <w:snapToGrid/>
          <w:szCs w:val="24"/>
        </w:rPr>
        <w:t xml:space="preserve">) </w:t>
      </w:r>
      <w:r w:rsidR="00CB1E4E">
        <w:rPr>
          <w:rFonts w:ascii="Times New Roman" w:hAnsi="Times New Roman"/>
          <w:snapToGrid/>
          <w:szCs w:val="24"/>
        </w:rPr>
        <w:t>FDIC estimates are</w:t>
      </w:r>
      <w:r>
        <w:rPr>
          <w:rFonts w:ascii="Times New Roman" w:hAnsi="Times New Roman"/>
          <w:snapToGrid/>
          <w:szCs w:val="24"/>
        </w:rPr>
        <w:t xml:space="preserve"> involved in responding to this information collection</w:t>
      </w:r>
      <w:r w:rsidR="00CB1E4E">
        <w:rPr>
          <w:rFonts w:ascii="Times New Roman" w:hAnsi="Times New Roman"/>
          <w:snapToGrid/>
          <w:szCs w:val="24"/>
        </w:rPr>
        <w:t>,</w:t>
      </w:r>
      <w:r>
        <w:rPr>
          <w:rFonts w:ascii="Times New Roman" w:hAnsi="Times New Roman"/>
          <w:snapToGrid/>
          <w:szCs w:val="24"/>
        </w:rPr>
        <w:t xml:space="preserve"> </w:t>
      </w:r>
      <w:r w:rsidRPr="00856473">
        <w:rPr>
          <w:rFonts w:ascii="Times New Roman" w:hAnsi="Times New Roman"/>
          <w:snapToGrid/>
          <w:szCs w:val="24"/>
        </w:rPr>
        <w:t xml:space="preserve">as follows: </w:t>
      </w:r>
    </w:p>
    <w:p w:rsidRPr="00856473" w:rsidR="00856473" w:rsidP="00856473" w:rsidRDefault="00856473">
      <w:pPr>
        <w:widowControl/>
        <w:rPr>
          <w:rFonts w:ascii="Times New Roman" w:hAnsi="Times New Roman"/>
          <w:snapToGrid/>
          <w:szCs w:val="24"/>
        </w:rPr>
      </w:pPr>
    </w:p>
    <w:p w:rsidRPr="00856473" w:rsidR="00856473" w:rsidP="00856473" w:rsidRDefault="00856473">
      <w:pPr>
        <w:widowControl/>
        <w:rPr>
          <w:rFonts w:ascii="Times New Roman" w:hAnsi="Times New Roman"/>
          <w:b/>
          <w:snapToGrid/>
          <w:szCs w:val="24"/>
        </w:rPr>
      </w:pPr>
      <w:r w:rsidRPr="00856473">
        <w:rPr>
          <w:rFonts w:ascii="Times New Roman" w:hAnsi="Times New Roman"/>
          <w:b/>
          <w:snapToGrid/>
          <w:szCs w:val="24"/>
        </w:rPr>
        <w:t>Summary of Hourly Burden Cost Estimate (3064-0</w:t>
      </w:r>
      <w:r w:rsidR="00CB1E4E">
        <w:rPr>
          <w:rFonts w:ascii="Times New Roman" w:hAnsi="Times New Roman"/>
          <w:b/>
          <w:snapToGrid/>
          <w:szCs w:val="24"/>
        </w:rPr>
        <w:t>143</w:t>
      </w:r>
      <w:r w:rsidRPr="00856473">
        <w:rPr>
          <w:rFonts w:ascii="Times New Roman" w:hAnsi="Times New Roman"/>
          <w:b/>
          <w:snapToGrid/>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5"/>
        <w:gridCol w:w="2160"/>
        <w:gridCol w:w="2160"/>
        <w:gridCol w:w="2155"/>
      </w:tblGrid>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Estimated Category of Personnel Responsible for Complying with the PRA Burden</w:t>
            </w:r>
          </w:p>
        </w:tc>
        <w:tc>
          <w:tcPr>
            <w:tcW w:w="2160"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Total Estimated Hourly Compensation</w:t>
            </w:r>
          </w:p>
        </w:tc>
        <w:tc>
          <w:tcPr>
            <w:tcW w:w="2160"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Estimated Weights</w:t>
            </w:r>
          </w:p>
        </w:tc>
        <w:tc>
          <w:tcPr>
            <w:tcW w:w="215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Weighted Hourly Wage</w:t>
            </w:r>
          </w:p>
        </w:tc>
      </w:tr>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Executives &amp; Managers</w:t>
            </w:r>
            <w:r w:rsidRPr="000F7E08">
              <w:rPr>
                <w:rFonts w:ascii="Times New Roman" w:hAnsi="Times New Roman" w:eastAsia="Calibri"/>
                <w:snapToGrid/>
                <w:sz w:val="22"/>
                <w:szCs w:val="24"/>
                <w:vertAlign w:val="superscript"/>
              </w:rPr>
              <w:footnoteReference w:id="2"/>
            </w: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$121.88</w:t>
            </w:r>
          </w:p>
        </w:tc>
        <w:tc>
          <w:tcPr>
            <w:tcW w:w="2160" w:type="dxa"/>
            <w:shd w:val="clear" w:color="auto" w:fill="auto"/>
            <w:vAlign w:val="center"/>
          </w:tcPr>
          <w:p w:rsidRPr="000F7E08" w:rsidR="00856473" w:rsidP="000F7E08" w:rsidRDefault="00856473">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5%</w:t>
            </w:r>
          </w:p>
        </w:tc>
        <w:tc>
          <w:tcPr>
            <w:tcW w:w="2155"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$6.09</w:t>
            </w:r>
          </w:p>
        </w:tc>
      </w:tr>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Lawyers</w:t>
            </w:r>
            <w:r w:rsidRPr="000F7E08">
              <w:rPr>
                <w:rFonts w:ascii="Times New Roman" w:hAnsi="Times New Roman" w:eastAsia="Calibri"/>
                <w:snapToGrid/>
                <w:sz w:val="22"/>
                <w:szCs w:val="24"/>
                <w:vertAlign w:val="superscript"/>
              </w:rPr>
              <w:footnoteReference w:id="3"/>
            </w: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154.50</w:t>
            </w:r>
          </w:p>
        </w:tc>
        <w:tc>
          <w:tcPr>
            <w:tcW w:w="2160" w:type="dxa"/>
            <w:shd w:val="clear" w:color="auto" w:fill="auto"/>
            <w:vAlign w:val="center"/>
          </w:tcPr>
          <w:p w:rsidRPr="000F7E08" w:rsidR="00856473" w:rsidP="000F7E08" w:rsidRDefault="00856473">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5%</w:t>
            </w:r>
          </w:p>
        </w:tc>
        <w:tc>
          <w:tcPr>
            <w:tcW w:w="2155"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$7.73</w:t>
            </w:r>
          </w:p>
        </w:tc>
      </w:tr>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Compliance Officer</w:t>
            </w:r>
            <w:r w:rsidRPr="000F7E08">
              <w:rPr>
                <w:rFonts w:ascii="Times New Roman" w:hAnsi="Times New Roman" w:eastAsia="Calibri"/>
                <w:snapToGrid/>
                <w:sz w:val="22"/>
                <w:szCs w:val="24"/>
                <w:vertAlign w:val="superscript"/>
              </w:rPr>
              <w:footnoteReference w:id="4"/>
            </w: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$65.42</w:t>
            </w:r>
          </w:p>
        </w:tc>
        <w:tc>
          <w:tcPr>
            <w:tcW w:w="2160" w:type="dxa"/>
            <w:shd w:val="clear" w:color="auto" w:fill="auto"/>
            <w:vAlign w:val="center"/>
          </w:tcPr>
          <w:p w:rsidRPr="000F7E08" w:rsidR="00856473" w:rsidP="000F7E08" w:rsidRDefault="00CB1E4E">
            <w:pPr>
              <w:widowControl/>
              <w:jc w:val="center"/>
              <w:rPr>
                <w:rFonts w:ascii="Times New Roman" w:hAnsi="Times New Roman" w:eastAsia="Calibri"/>
                <w:snapToGrid/>
                <w:sz w:val="22"/>
                <w:szCs w:val="24"/>
              </w:rPr>
            </w:pPr>
            <w:r>
              <w:rPr>
                <w:rFonts w:ascii="Times New Roman" w:hAnsi="Times New Roman" w:eastAsia="Calibri"/>
                <w:snapToGrid/>
                <w:sz w:val="22"/>
                <w:szCs w:val="24"/>
              </w:rPr>
              <w:t>40</w:t>
            </w:r>
            <w:r w:rsidRPr="000F7E08" w:rsidR="00856473">
              <w:rPr>
                <w:rFonts w:ascii="Times New Roman" w:hAnsi="Times New Roman" w:eastAsia="Calibri"/>
                <w:snapToGrid/>
                <w:sz w:val="22"/>
                <w:szCs w:val="24"/>
              </w:rPr>
              <w:t>%</w:t>
            </w:r>
          </w:p>
        </w:tc>
        <w:tc>
          <w:tcPr>
            <w:tcW w:w="2155" w:type="dxa"/>
            <w:shd w:val="clear" w:color="auto" w:fill="auto"/>
            <w:vAlign w:val="center"/>
          </w:tcPr>
          <w:p w:rsidRPr="000F7E08" w:rsidR="00856473" w:rsidP="000F7E08" w:rsidRDefault="00CB1E4E">
            <w:pPr>
              <w:widowControl/>
              <w:jc w:val="right"/>
              <w:rPr>
                <w:rFonts w:ascii="Times New Roman" w:hAnsi="Times New Roman" w:eastAsia="Calibri"/>
                <w:snapToGrid/>
                <w:sz w:val="22"/>
                <w:szCs w:val="24"/>
              </w:rPr>
            </w:pPr>
            <w:r>
              <w:rPr>
                <w:rFonts w:ascii="Times New Roman" w:hAnsi="Times New Roman" w:eastAsia="Calibri"/>
                <w:snapToGrid/>
                <w:sz w:val="22"/>
                <w:szCs w:val="24"/>
              </w:rPr>
              <w:t>$26.17</w:t>
            </w:r>
          </w:p>
        </w:tc>
      </w:tr>
      <w:tr w:rsidRPr="000F7E08" w:rsidR="00856473" w:rsidTr="000F7E08">
        <w:tc>
          <w:tcPr>
            <w:tcW w:w="2875" w:type="dxa"/>
            <w:shd w:val="clear" w:color="auto" w:fill="auto"/>
            <w:vAlign w:val="center"/>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snapToGrid/>
                <w:sz w:val="22"/>
                <w:szCs w:val="24"/>
              </w:rPr>
              <w:t>Clerical</w:t>
            </w:r>
            <w:r w:rsidRPr="000F7E08">
              <w:rPr>
                <w:rFonts w:ascii="Times New Roman" w:hAnsi="Times New Roman" w:eastAsia="Calibri"/>
                <w:snapToGrid/>
                <w:sz w:val="22"/>
                <w:szCs w:val="24"/>
                <w:vertAlign w:val="superscript"/>
              </w:rPr>
              <w:footnoteReference w:id="5"/>
            </w: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r w:rsidRPr="000F7E08">
              <w:rPr>
                <w:rFonts w:ascii="Times New Roman" w:hAnsi="Times New Roman" w:eastAsia="Calibri"/>
                <w:snapToGrid/>
                <w:sz w:val="22"/>
                <w:szCs w:val="24"/>
              </w:rPr>
              <w:t>$32.59</w:t>
            </w:r>
          </w:p>
        </w:tc>
        <w:tc>
          <w:tcPr>
            <w:tcW w:w="2160" w:type="dxa"/>
            <w:shd w:val="clear" w:color="auto" w:fill="auto"/>
            <w:vAlign w:val="center"/>
          </w:tcPr>
          <w:p w:rsidRPr="000F7E08" w:rsidR="00856473" w:rsidP="000F7E08" w:rsidRDefault="00856473">
            <w:pPr>
              <w:widowControl/>
              <w:jc w:val="center"/>
              <w:rPr>
                <w:rFonts w:ascii="Times New Roman" w:hAnsi="Times New Roman" w:eastAsia="Calibri"/>
                <w:snapToGrid/>
                <w:sz w:val="22"/>
                <w:szCs w:val="24"/>
              </w:rPr>
            </w:pPr>
            <w:r w:rsidRPr="000F7E08">
              <w:rPr>
                <w:rFonts w:ascii="Times New Roman" w:hAnsi="Times New Roman" w:eastAsia="Calibri"/>
                <w:snapToGrid/>
                <w:sz w:val="22"/>
                <w:szCs w:val="24"/>
              </w:rPr>
              <w:t>5</w:t>
            </w:r>
            <w:r w:rsidR="00CB1E4E">
              <w:rPr>
                <w:rFonts w:ascii="Times New Roman" w:hAnsi="Times New Roman" w:eastAsia="Calibri"/>
                <w:snapToGrid/>
                <w:sz w:val="22"/>
                <w:szCs w:val="24"/>
              </w:rPr>
              <w:t>0</w:t>
            </w:r>
            <w:r w:rsidRPr="000F7E08">
              <w:rPr>
                <w:rFonts w:ascii="Times New Roman" w:hAnsi="Times New Roman" w:eastAsia="Calibri"/>
                <w:snapToGrid/>
                <w:sz w:val="22"/>
                <w:szCs w:val="24"/>
              </w:rPr>
              <w:t>%</w:t>
            </w:r>
          </w:p>
        </w:tc>
        <w:tc>
          <w:tcPr>
            <w:tcW w:w="2155" w:type="dxa"/>
            <w:shd w:val="clear" w:color="auto" w:fill="auto"/>
            <w:vAlign w:val="center"/>
          </w:tcPr>
          <w:p w:rsidRPr="000F7E08" w:rsidR="00856473" w:rsidP="000F7E08" w:rsidRDefault="00CB1E4E">
            <w:pPr>
              <w:widowControl/>
              <w:jc w:val="right"/>
              <w:rPr>
                <w:rFonts w:ascii="Times New Roman" w:hAnsi="Times New Roman" w:eastAsia="Calibri"/>
                <w:snapToGrid/>
                <w:sz w:val="22"/>
                <w:szCs w:val="24"/>
              </w:rPr>
            </w:pPr>
            <w:r>
              <w:rPr>
                <w:rFonts w:ascii="Times New Roman" w:hAnsi="Times New Roman" w:eastAsia="Calibri"/>
                <w:snapToGrid/>
                <w:sz w:val="22"/>
                <w:szCs w:val="24"/>
              </w:rPr>
              <w:t>$16.30</w:t>
            </w:r>
          </w:p>
        </w:tc>
      </w:tr>
      <w:tr w:rsidRPr="000F7E08" w:rsidR="00856473" w:rsidTr="000F7E08">
        <w:tc>
          <w:tcPr>
            <w:tcW w:w="2875" w:type="dxa"/>
            <w:shd w:val="clear" w:color="auto" w:fill="auto"/>
            <w:vAlign w:val="bottom"/>
          </w:tcPr>
          <w:p w:rsidRPr="000F7E08" w:rsidR="00856473" w:rsidP="000F7E08" w:rsidRDefault="00856473">
            <w:pPr>
              <w:widowControl/>
              <w:rPr>
                <w:rFonts w:ascii="Times New Roman" w:hAnsi="Times New Roman" w:eastAsia="Calibri"/>
                <w:snapToGrid/>
                <w:sz w:val="22"/>
                <w:szCs w:val="24"/>
              </w:rPr>
            </w:pPr>
            <w:r w:rsidRPr="000F7E08">
              <w:rPr>
                <w:rFonts w:ascii="Times New Roman" w:hAnsi="Times New Roman" w:eastAsia="Calibri"/>
                <w:b/>
                <w:bCs/>
                <w:snapToGrid/>
                <w:sz w:val="22"/>
                <w:szCs w:val="24"/>
              </w:rPr>
              <w:t>Weighted Average</w:t>
            </w:r>
          </w:p>
        </w:tc>
        <w:tc>
          <w:tcPr>
            <w:tcW w:w="2160" w:type="dxa"/>
            <w:shd w:val="clear" w:color="auto" w:fill="auto"/>
            <w:vAlign w:val="bottom"/>
          </w:tcPr>
          <w:p w:rsidRPr="000F7E08" w:rsidR="00856473" w:rsidP="000F7E08" w:rsidRDefault="00856473">
            <w:pPr>
              <w:widowControl/>
              <w:jc w:val="right"/>
              <w:rPr>
                <w:rFonts w:ascii="Times New Roman" w:hAnsi="Times New Roman" w:eastAsia="Calibri"/>
                <w:snapToGrid/>
                <w:sz w:val="22"/>
                <w:szCs w:val="24"/>
              </w:rPr>
            </w:pPr>
          </w:p>
        </w:tc>
        <w:tc>
          <w:tcPr>
            <w:tcW w:w="2160" w:type="dxa"/>
            <w:shd w:val="clear" w:color="auto" w:fill="auto"/>
            <w:vAlign w:val="center"/>
          </w:tcPr>
          <w:p w:rsidRPr="000F7E08" w:rsidR="00856473" w:rsidP="000F7E08" w:rsidRDefault="00856473">
            <w:pPr>
              <w:widowControl/>
              <w:jc w:val="right"/>
              <w:rPr>
                <w:rFonts w:ascii="Times New Roman" w:hAnsi="Times New Roman" w:eastAsia="Calibri"/>
                <w:snapToGrid/>
                <w:sz w:val="22"/>
                <w:szCs w:val="24"/>
              </w:rPr>
            </w:pPr>
          </w:p>
        </w:tc>
        <w:tc>
          <w:tcPr>
            <w:tcW w:w="2155" w:type="dxa"/>
            <w:shd w:val="clear" w:color="auto" w:fill="auto"/>
            <w:vAlign w:val="center"/>
          </w:tcPr>
          <w:p w:rsidRPr="000F7E08" w:rsidR="00856473" w:rsidP="000F7E08" w:rsidRDefault="00CB1E4E">
            <w:pPr>
              <w:widowControl/>
              <w:jc w:val="right"/>
              <w:rPr>
                <w:rFonts w:ascii="Times New Roman" w:hAnsi="Times New Roman" w:eastAsia="Calibri"/>
                <w:snapToGrid/>
                <w:sz w:val="22"/>
                <w:szCs w:val="24"/>
              </w:rPr>
            </w:pPr>
            <w:r>
              <w:rPr>
                <w:rFonts w:ascii="Times New Roman" w:hAnsi="Times New Roman" w:eastAsia="Calibri"/>
                <w:snapToGrid/>
                <w:sz w:val="22"/>
                <w:szCs w:val="24"/>
              </w:rPr>
              <w:t>$56.29</w:t>
            </w:r>
          </w:p>
        </w:tc>
      </w:tr>
    </w:tbl>
    <w:p w:rsidRPr="00856473" w:rsidR="00856473" w:rsidP="00856473" w:rsidRDefault="00856473">
      <w:pPr>
        <w:widowControl/>
        <w:rPr>
          <w:rFonts w:ascii="Times New Roman" w:hAnsi="Times New Roman"/>
          <w:snapToGrid/>
          <w:szCs w:val="24"/>
        </w:rPr>
      </w:pPr>
      <w:r w:rsidRPr="00856473">
        <w:rPr>
          <w:rFonts w:ascii="Times New Roman" w:hAnsi="Times New Roman"/>
          <w:snapToGrid/>
          <w:szCs w:val="24"/>
        </w:rPr>
        <w:t>Source: Bureau of Labor Statistics: "National Industry-Specific Occupational Employment and Wage Estimates: Depository Credit Intermediation Sector" (May 2018), Employer Cost of Employee Compensation (December 2019), Consumer Price Index (December 2019).</w:t>
      </w:r>
    </w:p>
    <w:p w:rsidRPr="002A5F6B" w:rsidR="00856473" w:rsidP="002A5F6B" w:rsidRDefault="00856473">
      <w:pPr>
        <w:widowControl/>
        <w:rPr>
          <w:rFonts w:ascii="Times New Roman" w:hAnsi="Times New Roman"/>
          <w:snapToGrid/>
          <w:sz w:val="20"/>
        </w:rPr>
      </w:pPr>
    </w:p>
    <w:p w:rsidRPr="002A5F6B" w:rsidR="002A5F6B" w:rsidP="002A5F6B" w:rsidRDefault="002A5F6B">
      <w:pPr>
        <w:ind w:left="720"/>
        <w:rPr>
          <w:rFonts w:ascii="Times New Roman" w:hAnsi="Times New Roman"/>
          <w:i/>
          <w:snapToGrid/>
          <w:szCs w:val="24"/>
        </w:rPr>
      </w:pPr>
      <w:r w:rsidRPr="002A5F6B">
        <w:rPr>
          <w:rFonts w:ascii="Times New Roman" w:hAnsi="Times New Roman"/>
          <w:i/>
          <w:snapToGrid/>
          <w:szCs w:val="24"/>
        </w:rPr>
        <w:t>Total Estimated Cost Burden</w:t>
      </w:r>
    </w:p>
    <w:p w:rsidRPr="002A5F6B" w:rsidR="002A5F6B" w:rsidP="002A5F6B" w:rsidRDefault="002A5F6B">
      <w:pPr>
        <w:widowControl/>
        <w:rPr>
          <w:rFonts w:ascii="Times New Roman" w:hAnsi="Times New Roman"/>
          <w:b/>
          <w:snapToGrid/>
          <w:szCs w:val="24"/>
        </w:rPr>
      </w:pPr>
    </w:p>
    <w:p w:rsidRPr="005709AF" w:rsidR="007562B8" w:rsidP="00DB2FBD" w:rsidRDefault="00A26153">
      <w:pPr>
        <w:widowControl/>
        <w:ind w:left="720"/>
        <w:rPr>
          <w:rFonts w:ascii="Times New Roman" w:hAnsi="Times New Roman"/>
          <w:b/>
          <w:snapToGrid/>
          <w:szCs w:val="24"/>
        </w:rPr>
      </w:pPr>
      <w:r>
        <w:rPr>
          <w:rFonts w:ascii="Times New Roman" w:hAnsi="Times New Roman"/>
          <w:snapToGrid/>
        </w:rPr>
        <w:t xml:space="preserve">FDIC </w:t>
      </w:r>
      <w:r w:rsidRPr="002A5F6B" w:rsidR="002A5F6B">
        <w:rPr>
          <w:rFonts w:ascii="Times New Roman" w:hAnsi="Times New Roman"/>
          <w:snapToGrid/>
        </w:rPr>
        <w:t>estimate</w:t>
      </w:r>
      <w:r>
        <w:rPr>
          <w:rFonts w:ascii="Times New Roman" w:hAnsi="Times New Roman"/>
          <w:snapToGrid/>
        </w:rPr>
        <w:t>s</w:t>
      </w:r>
      <w:r w:rsidRPr="002A5F6B" w:rsidR="002A5F6B">
        <w:rPr>
          <w:rFonts w:ascii="Times New Roman" w:hAnsi="Times New Roman"/>
          <w:snapToGrid/>
        </w:rPr>
        <w:t xml:space="preserve"> the total annual cost burden for this </w:t>
      </w:r>
      <w:r>
        <w:rPr>
          <w:rFonts w:ascii="Times New Roman" w:hAnsi="Times New Roman"/>
          <w:snapToGrid/>
        </w:rPr>
        <w:t>information collection</w:t>
      </w:r>
      <w:r w:rsidRPr="002A5F6B" w:rsidR="002A5F6B">
        <w:rPr>
          <w:rFonts w:ascii="Times New Roman" w:hAnsi="Times New Roman"/>
          <w:snapToGrid/>
          <w:szCs w:val="24"/>
        </w:rPr>
        <w:t xml:space="preserve"> by multiplying the total </w:t>
      </w:r>
      <w:r>
        <w:rPr>
          <w:rFonts w:ascii="Times New Roman" w:hAnsi="Times New Roman"/>
          <w:snapToGrid/>
          <w:szCs w:val="24"/>
        </w:rPr>
        <w:t xml:space="preserve">estimated </w:t>
      </w:r>
      <w:r w:rsidRPr="002A5F6B" w:rsidR="002A5F6B">
        <w:rPr>
          <w:rFonts w:ascii="Times New Roman" w:hAnsi="Times New Roman"/>
          <w:snapToGrid/>
          <w:szCs w:val="24"/>
        </w:rPr>
        <w:t xml:space="preserve">annual burden </w:t>
      </w:r>
      <w:r>
        <w:rPr>
          <w:rFonts w:ascii="Times New Roman" w:hAnsi="Times New Roman"/>
          <w:snapToGrid/>
          <w:szCs w:val="24"/>
        </w:rPr>
        <w:t xml:space="preserve">of </w:t>
      </w:r>
      <w:r w:rsidR="004D7214">
        <w:rPr>
          <w:rFonts w:ascii="Times New Roman" w:hAnsi="Times New Roman"/>
          <w:snapToGrid/>
          <w:szCs w:val="24"/>
        </w:rPr>
        <w:t>586</w:t>
      </w:r>
      <w:r>
        <w:rPr>
          <w:rFonts w:ascii="Times New Roman" w:hAnsi="Times New Roman"/>
          <w:snapToGrid/>
          <w:szCs w:val="24"/>
        </w:rPr>
        <w:t xml:space="preserve"> </w:t>
      </w:r>
      <w:r w:rsidRPr="002A5F6B" w:rsidR="002A5F6B">
        <w:rPr>
          <w:rFonts w:ascii="Times New Roman" w:hAnsi="Times New Roman"/>
          <w:snapToGrid/>
          <w:szCs w:val="24"/>
        </w:rPr>
        <w:t>hours</w:t>
      </w:r>
      <w:r>
        <w:rPr>
          <w:rFonts w:ascii="Times New Roman" w:hAnsi="Times New Roman"/>
          <w:snapToGrid/>
          <w:szCs w:val="24"/>
        </w:rPr>
        <w:t>,</w:t>
      </w:r>
      <w:r w:rsidRPr="002A5F6B" w:rsidR="002A5F6B">
        <w:rPr>
          <w:rFonts w:ascii="Times New Roman" w:hAnsi="Times New Roman"/>
          <w:snapToGrid/>
          <w:szCs w:val="24"/>
        </w:rPr>
        <w:t xml:space="preserve"> by the </w:t>
      </w:r>
      <w:r w:rsidR="004B2F21">
        <w:rPr>
          <w:rFonts w:ascii="Times New Roman" w:hAnsi="Times New Roman"/>
          <w:snapToGrid/>
          <w:szCs w:val="24"/>
        </w:rPr>
        <w:t xml:space="preserve">weighted average </w:t>
      </w:r>
      <w:r w:rsidRPr="002A5F6B" w:rsidR="002A5F6B">
        <w:rPr>
          <w:rFonts w:ascii="Times New Roman" w:hAnsi="Times New Roman"/>
          <w:snapToGrid/>
          <w:szCs w:val="24"/>
        </w:rPr>
        <w:t xml:space="preserve">hourly compensation estimate </w:t>
      </w:r>
      <w:r>
        <w:rPr>
          <w:rFonts w:ascii="Times New Roman" w:hAnsi="Times New Roman"/>
          <w:snapToGrid/>
          <w:szCs w:val="24"/>
        </w:rPr>
        <w:t>of $</w:t>
      </w:r>
      <w:r w:rsidR="00CB1E4E">
        <w:rPr>
          <w:rFonts w:ascii="Times New Roman" w:hAnsi="Times New Roman"/>
          <w:snapToGrid/>
          <w:szCs w:val="24"/>
        </w:rPr>
        <w:t>56.29</w:t>
      </w:r>
      <w:r>
        <w:rPr>
          <w:rFonts w:ascii="Times New Roman" w:hAnsi="Times New Roman"/>
          <w:snapToGrid/>
          <w:szCs w:val="24"/>
        </w:rPr>
        <w:t xml:space="preserve"> to arrive at </w:t>
      </w:r>
      <w:r>
        <w:rPr>
          <w:rFonts w:ascii="Times New Roman" w:hAnsi="Times New Roman"/>
          <w:snapToGrid/>
        </w:rPr>
        <w:t>an estimated</w:t>
      </w:r>
      <w:r w:rsidRPr="002A5F6B" w:rsidR="002A5F6B">
        <w:rPr>
          <w:rFonts w:ascii="Times New Roman" w:hAnsi="Times New Roman"/>
          <w:snapToGrid/>
          <w:szCs w:val="24"/>
        </w:rPr>
        <w:t xml:space="preserve"> </w:t>
      </w:r>
      <w:r>
        <w:rPr>
          <w:rFonts w:ascii="Times New Roman" w:hAnsi="Times New Roman"/>
          <w:snapToGrid/>
          <w:szCs w:val="24"/>
        </w:rPr>
        <w:t xml:space="preserve">labor </w:t>
      </w:r>
      <w:r w:rsidRPr="002A5F6B" w:rsidR="002A5F6B">
        <w:rPr>
          <w:rFonts w:ascii="Times New Roman" w:hAnsi="Times New Roman"/>
          <w:snapToGrid/>
          <w:szCs w:val="24"/>
        </w:rPr>
        <w:t xml:space="preserve">cost </w:t>
      </w:r>
      <w:r>
        <w:rPr>
          <w:rFonts w:ascii="Times New Roman" w:hAnsi="Times New Roman"/>
          <w:snapToGrid/>
          <w:szCs w:val="24"/>
        </w:rPr>
        <w:t>of</w:t>
      </w:r>
      <w:r w:rsidRPr="002A5F6B" w:rsidR="002A5F6B">
        <w:rPr>
          <w:rFonts w:ascii="Times New Roman" w:hAnsi="Times New Roman"/>
          <w:snapToGrid/>
          <w:szCs w:val="24"/>
        </w:rPr>
        <w:t xml:space="preserve"> $</w:t>
      </w:r>
      <w:r w:rsidR="004D7214">
        <w:rPr>
          <w:rFonts w:ascii="Times New Roman" w:hAnsi="Times New Roman"/>
          <w:snapToGrid/>
          <w:szCs w:val="24"/>
        </w:rPr>
        <w:t>32,986</w:t>
      </w:r>
      <w:r w:rsidRPr="002A5F6B" w:rsidR="002A5F6B">
        <w:rPr>
          <w:rFonts w:ascii="Times New Roman" w:hAnsi="Times New Roman"/>
          <w:snapToGrid/>
          <w:szCs w:val="24"/>
        </w:rPr>
        <w:t xml:space="preserve"> per year. </w:t>
      </w:r>
    </w:p>
    <w:p w:rsidR="007562B8" w:rsidRDefault="007562B8">
      <w:pPr>
        <w:rPr>
          <w:rFonts w:ascii="Times New Roman" w:hAnsi="Times New Roman"/>
        </w:rPr>
      </w:pPr>
    </w:p>
    <w:p w:rsidRPr="000B0581" w:rsidR="007B6C63" w:rsidP="000B0581" w:rsidRDefault="007B6C63">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Pr="000B0581" w:rsidR="007B6C63" w:rsidRDefault="007B6C63">
      <w:pPr>
        <w:rPr>
          <w:rFonts w:ascii="Times New Roman" w:hAnsi="Times New Roman"/>
          <w:b/>
          <w:u w:val="single"/>
        </w:rPr>
      </w:pPr>
    </w:p>
    <w:p w:rsidR="007B6C63" w:rsidP="000B0581" w:rsidRDefault="007B6C63">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rsidRDefault="007B6C63">
      <w:pPr>
        <w:ind w:firstLine="720"/>
        <w:rPr>
          <w:rFonts w:ascii="Times New Roman" w:hAnsi="Times New Roman"/>
        </w:rPr>
      </w:pPr>
    </w:p>
    <w:p w:rsidR="007B6C63" w:rsidP="000B0581" w:rsidRDefault="00243D0C">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RDefault="007B6C63">
      <w:pPr>
        <w:rPr>
          <w:rFonts w:ascii="Times New Roman" w:hAnsi="Times New Roman"/>
        </w:rPr>
      </w:pPr>
    </w:p>
    <w:p w:rsidR="007B6C63" w:rsidP="00B61AD2" w:rsidRDefault="007B6C63">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rsidRDefault="007B6C63">
      <w:pPr>
        <w:keepNext/>
        <w:rPr>
          <w:rFonts w:ascii="Times New Roman" w:hAnsi="Times New Roman"/>
        </w:rPr>
      </w:pPr>
    </w:p>
    <w:p w:rsidR="007B6C63" w:rsidP="00B61AD2" w:rsidRDefault="00B61AD2">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243D0C">
        <w:rPr>
          <w:rFonts w:ascii="Times New Roman" w:hAnsi="Times New Roman"/>
        </w:rPr>
        <w:t>The</w:t>
      </w:r>
      <w:r w:rsidR="004D7214">
        <w:rPr>
          <w:rFonts w:ascii="Times New Roman" w:hAnsi="Times New Roman"/>
        </w:rPr>
        <w:t xml:space="preserve"> </w:t>
      </w:r>
      <w:r w:rsidR="00030152">
        <w:rPr>
          <w:rFonts w:ascii="Times New Roman" w:hAnsi="Times New Roman"/>
        </w:rPr>
        <w:t>five-hour</w:t>
      </w:r>
      <w:r w:rsidR="004D7214">
        <w:rPr>
          <w:rFonts w:ascii="Times New Roman" w:hAnsi="Times New Roman"/>
        </w:rPr>
        <w:t xml:space="preserve"> increase in burden from 581 hours to 586 hours </w:t>
      </w:r>
      <w:r w:rsidR="00243D0C">
        <w:rPr>
          <w:rFonts w:ascii="Times New Roman" w:hAnsi="Times New Roman"/>
        </w:rPr>
        <w:t>is due</w:t>
      </w:r>
      <w:r w:rsidR="000B5588">
        <w:rPr>
          <w:rFonts w:ascii="Times New Roman" w:hAnsi="Times New Roman"/>
        </w:rPr>
        <w:t xml:space="preserve"> solely to </w:t>
      </w:r>
      <w:r w:rsidR="004D7214">
        <w:rPr>
          <w:rFonts w:ascii="Times New Roman" w:hAnsi="Times New Roman"/>
        </w:rPr>
        <w:t>FDIC now recognizing one respondent as a placeholder for certain forms where it has not received any responses to preserve the burden for these forms in case they come into use in the future</w:t>
      </w:r>
      <w:r w:rsidR="000B5588">
        <w:rPr>
          <w:rFonts w:ascii="Times New Roman" w:hAnsi="Times New Roman"/>
        </w:rPr>
        <w:t xml:space="preserve">. </w:t>
      </w:r>
      <w:r w:rsidR="00125A5D">
        <w:rPr>
          <w:rFonts w:ascii="Times New Roman" w:hAnsi="Times New Roman"/>
          <w:snapToGrid/>
          <w:szCs w:val="24"/>
        </w:rPr>
        <w:t xml:space="preserve">The </w:t>
      </w:r>
      <w:r w:rsidR="004D7214">
        <w:rPr>
          <w:rFonts w:ascii="Times New Roman" w:hAnsi="Times New Roman"/>
          <w:snapToGrid/>
          <w:szCs w:val="24"/>
        </w:rPr>
        <w:t xml:space="preserve">estimated </w:t>
      </w:r>
      <w:r w:rsidR="00125A5D">
        <w:rPr>
          <w:rFonts w:ascii="Times New Roman" w:hAnsi="Times New Roman"/>
          <w:snapToGrid/>
          <w:szCs w:val="24"/>
        </w:rPr>
        <w:t xml:space="preserve">hourly burden per response </w:t>
      </w:r>
      <w:r w:rsidR="004D7214">
        <w:rPr>
          <w:rFonts w:ascii="Times New Roman" w:hAnsi="Times New Roman"/>
          <w:snapToGrid/>
          <w:szCs w:val="24"/>
        </w:rPr>
        <w:t xml:space="preserve">for each form </w:t>
      </w:r>
      <w:r w:rsidR="00125A5D">
        <w:rPr>
          <w:rFonts w:ascii="Times New Roman" w:hAnsi="Times New Roman"/>
          <w:snapToGrid/>
          <w:szCs w:val="24"/>
        </w:rPr>
        <w:t>remains the same.</w:t>
      </w:r>
    </w:p>
    <w:p w:rsidRPr="00A1019D" w:rsidR="00D35001" w:rsidP="00A1019D" w:rsidRDefault="00D35001">
      <w:pPr>
        <w:tabs>
          <w:tab w:val="left" w:pos="-1440"/>
        </w:tabs>
        <w:ind w:left="720" w:hanging="360"/>
        <w:rPr>
          <w:rFonts w:ascii="Times New Roman" w:hAnsi="Times New Roman"/>
          <w:b/>
          <w:bCs/>
          <w:iCs/>
          <w:u w:val="single"/>
        </w:rPr>
      </w:pPr>
    </w:p>
    <w:p w:rsidRPr="00D64624" w:rsidR="00937218" w:rsidP="00A1019D" w:rsidRDefault="007B6C63">
      <w:pPr>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sidR="00937218">
        <w:rPr>
          <w:rFonts w:ascii="Times New Roman" w:hAnsi="Times New Roman"/>
          <w:b/>
          <w:bCs/>
          <w:iCs/>
          <w:u w:val="single"/>
        </w:rPr>
        <w:t>Information</w:t>
      </w:r>
      <w:r w:rsidRPr="00D64624" w:rsidR="00937218">
        <w:rPr>
          <w:rFonts w:ascii="Times New Roman" w:hAnsi="Times New Roman"/>
          <w:b/>
          <w:szCs w:val="24"/>
          <w:u w:val="single"/>
        </w:rPr>
        <w:t xml:space="preserve"> regarding collections whose results are planned to be published for statistical use:</w:t>
      </w:r>
    </w:p>
    <w:p w:rsidR="007B6C63" w:rsidRDefault="007B6C63">
      <w:pPr>
        <w:rPr>
          <w:rFonts w:ascii="Times New Roman" w:hAnsi="Times New Roman"/>
        </w:rPr>
      </w:pPr>
    </w:p>
    <w:p w:rsidR="007B6C63" w:rsidP="000B0581" w:rsidRDefault="00637FBA">
      <w:pPr>
        <w:ind w:left="720"/>
        <w:rPr>
          <w:rFonts w:ascii="Times New Roman" w:hAnsi="Times New Roman"/>
        </w:rPr>
      </w:pPr>
      <w:r w:rsidRPr="00EA1531">
        <w:rPr>
          <w:rFonts w:ascii="Times New Roman" w:hAnsi="Times New Roman"/>
          <w:spacing w:val="-3"/>
          <w:szCs w:val="24"/>
        </w:rPr>
        <w:t>The information is not published.</w:t>
      </w:r>
    </w:p>
    <w:p w:rsidR="007B6C63" w:rsidRDefault="007B6C63">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637FBA" w:rsidR="00637FBA">
        <w:rPr>
          <w:rFonts w:ascii="Times New Roman" w:hAnsi="Times New Roman"/>
          <w:b/>
          <w:u w:val="single"/>
        </w:rPr>
        <w:t xml:space="preserve">Exceptions to </w:t>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rsidRDefault="007B6C63">
      <w:pPr>
        <w:rPr>
          <w:rFonts w:ascii="Times New Roman" w:hAnsi="Times New Roman"/>
        </w:rPr>
      </w:pPr>
    </w:p>
    <w:p w:rsidR="007B6C63" w:rsidP="005119ED" w:rsidRDefault="00637FBA">
      <w:pPr>
        <w:ind w:left="720"/>
        <w:rPr>
          <w:rFonts w:ascii="Times New Roman" w:hAnsi="Times New Roman"/>
          <w:szCs w:val="24"/>
        </w:rPr>
      </w:pPr>
      <w:r>
        <w:rPr>
          <w:rFonts w:ascii="Times New Roman" w:hAnsi="Times New Roman"/>
        </w:rPr>
        <w:t>None.</w:t>
      </w:r>
    </w:p>
    <w:p w:rsidR="005119ED" w:rsidRDefault="005119ED">
      <w:pPr>
        <w:rPr>
          <w:rFonts w:ascii="Times New Roman" w:hAnsi="Times New Roman"/>
        </w:rPr>
      </w:pPr>
    </w:p>
    <w:p w:rsidR="007B6C63" w:rsidP="00A1019D" w:rsidRDefault="007B6C63">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rsidRDefault="007B6C63">
      <w:pPr>
        <w:tabs>
          <w:tab w:val="left" w:pos="-1440"/>
        </w:tabs>
        <w:ind w:firstLine="360"/>
        <w:rPr>
          <w:rFonts w:ascii="Times New Roman" w:hAnsi="Times New Roman"/>
        </w:rPr>
      </w:pPr>
    </w:p>
    <w:p w:rsidR="007B6C63" w:rsidP="000B0581" w:rsidRDefault="007B6C63">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rsidRDefault="007B6C63">
      <w:pPr>
        <w:ind w:left="720"/>
        <w:rPr>
          <w:rFonts w:ascii="Times New Roman" w:hAnsi="Times New Roman"/>
        </w:rPr>
      </w:pPr>
    </w:p>
    <w:p w:rsidR="007B6C63" w:rsidP="00715C41" w:rsidRDefault="007B6C63">
      <w:pPr>
        <w:keepNext/>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rsidP="00715C41" w:rsidRDefault="007B6C63">
      <w:pPr>
        <w:keepNext/>
        <w:rPr>
          <w:rFonts w:ascii="Times New Roman" w:hAnsi="Times New Roman"/>
        </w:rPr>
      </w:pPr>
    </w:p>
    <w:p w:rsidR="007B6C63" w:rsidP="00715C41" w:rsidRDefault="007B6C63">
      <w:pPr>
        <w:keepNext/>
        <w:ind w:left="720"/>
        <w:rPr>
          <w:rFonts w:ascii="Times New Roman" w:hAnsi="Times New Roman"/>
        </w:rPr>
      </w:pPr>
      <w:r>
        <w:rPr>
          <w:rFonts w:ascii="Times New Roman" w:hAnsi="Times New Roman"/>
        </w:rPr>
        <w:t>Not applicable.</w:t>
      </w:r>
    </w:p>
    <w:p w:rsidR="007B6C63" w:rsidRDefault="007B6C63">
      <w:pPr>
        <w:rPr>
          <w:rFonts w:ascii="Times New Roman" w:hAnsi="Times New Roman"/>
        </w:rPr>
      </w:pPr>
    </w:p>
    <w:p w:rsidR="007B6C63" w:rsidRDefault="007B6C63">
      <w:pPr>
        <w:rPr>
          <w:rFonts w:ascii="Times New Roman" w:hAnsi="Times New Roman"/>
        </w:rPr>
      </w:pPr>
    </w:p>
    <w:sectPr w:rsidR="007B6C6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C14" w:rsidRDefault="00C37C14">
      <w:r>
        <w:separator/>
      </w:r>
    </w:p>
  </w:endnote>
  <w:endnote w:type="continuationSeparator" w:id="0">
    <w:p w:rsidR="00C37C14" w:rsidRDefault="00C3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C63" w:rsidRDefault="007B6C63">
    <w:pPr>
      <w:spacing w:line="240" w:lineRule="exact"/>
    </w:pPr>
  </w:p>
  <w:p w:rsidR="007B6C63" w:rsidRDefault="007B6C63">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605AE7">
      <w:rPr>
        <w:rFonts w:ascii="Times New Roman" w:hAnsi="Times New Roman"/>
        <w:noProof/>
      </w:rPr>
      <w:t>5</w:t>
    </w:r>
    <w:r>
      <w:rPr>
        <w:rFonts w:ascii="Times New Roman" w:hAnsi="Times New Roman"/>
      </w:rPr>
      <w:fldChar w:fldCharType="end"/>
    </w:r>
  </w:p>
  <w:p w:rsidR="007B6C63" w:rsidRDefault="007B6C6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C14" w:rsidRDefault="00C37C14">
      <w:r>
        <w:separator/>
      </w:r>
    </w:p>
  </w:footnote>
  <w:footnote w:type="continuationSeparator" w:id="0">
    <w:p w:rsidR="00C37C14" w:rsidRDefault="00C37C14">
      <w:r>
        <w:continuationSeparator/>
      </w:r>
    </w:p>
  </w:footnote>
  <w:footnote w:id="1">
    <w:p w:rsidR="003566BB" w:rsidRPr="00CF29D8" w:rsidRDefault="003566BB" w:rsidP="003566BB">
      <w:pPr>
        <w:pStyle w:val="FootnoteText"/>
        <w:rPr>
          <w:rFonts w:ascii="Times New Roman" w:hAnsi="Times New Roman"/>
        </w:rPr>
      </w:pPr>
      <w:r w:rsidRPr="00CF29D8">
        <w:rPr>
          <w:rStyle w:val="FootnoteReference"/>
          <w:rFonts w:ascii="Times New Roman" w:hAnsi="Times New Roman"/>
          <w:vertAlign w:val="superscript"/>
        </w:rPr>
        <w:footnoteRef/>
      </w:r>
      <w:r w:rsidRPr="00CF29D8">
        <w:rPr>
          <w:rFonts w:ascii="Times New Roman" w:hAnsi="Times New Roman"/>
        </w:rPr>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rsidR="003566BB" w:rsidRDefault="003566BB" w:rsidP="003566BB">
      <w:pPr>
        <w:pStyle w:val="FootnoteText"/>
      </w:pPr>
    </w:p>
  </w:footnote>
  <w:footnote w:id="2">
    <w:p w:rsidR="00856473" w:rsidRPr="00245E41" w:rsidRDefault="00856473" w:rsidP="00856473">
      <w:pPr>
        <w:pStyle w:val="FootnoteText"/>
        <w:rPr>
          <w:rFonts w:ascii="Times New Roman" w:hAnsi="Times New Roman"/>
        </w:rPr>
      </w:pPr>
      <w:r w:rsidRPr="00245E41">
        <w:rPr>
          <w:rStyle w:val="FootnoteReference"/>
          <w:rFonts w:ascii="Times New Roman" w:hAnsi="Times New Roman"/>
          <w:vertAlign w:val="superscript"/>
        </w:rPr>
        <w:footnoteRef/>
      </w:r>
      <w:r w:rsidRPr="00245E41">
        <w:rPr>
          <w:rFonts w:ascii="Times New Roman" w:hAnsi="Times New Roman"/>
        </w:rPr>
        <w:t xml:space="preserve"> Occupation (SOC Code): Management Occupations (110000).</w:t>
      </w:r>
    </w:p>
  </w:footnote>
  <w:footnote w:id="3">
    <w:p w:rsidR="00856473" w:rsidRPr="00245E41" w:rsidRDefault="00245E41" w:rsidP="00856473">
      <w:pPr>
        <w:pStyle w:val="FootnoteText"/>
        <w:rPr>
          <w:rFonts w:ascii="Times New Roman" w:hAnsi="Times New Roman"/>
        </w:rPr>
      </w:pPr>
      <w:r w:rsidRPr="00245E41">
        <w:rPr>
          <w:rStyle w:val="FootnoteReference"/>
          <w:rFonts w:ascii="Times New Roman" w:hAnsi="Times New Roman"/>
          <w:vertAlign w:val="superscript"/>
        </w:rPr>
        <w:footnoteRef/>
      </w:r>
      <w:r w:rsidR="00856473" w:rsidRPr="00245E41">
        <w:rPr>
          <w:rFonts w:ascii="Times New Roman" w:hAnsi="Times New Roman"/>
        </w:rPr>
        <w:t xml:space="preserve"> Occupation (SOC Code): Lawyers, Judges, and Related Workers (231000). </w:t>
      </w:r>
    </w:p>
  </w:footnote>
  <w:footnote w:id="4">
    <w:p w:rsidR="00856473" w:rsidRPr="00245E41" w:rsidRDefault="00245E41" w:rsidP="00856473">
      <w:pPr>
        <w:pStyle w:val="FootnoteText"/>
        <w:rPr>
          <w:rFonts w:ascii="Times New Roman" w:hAnsi="Times New Roman"/>
        </w:rPr>
      </w:pPr>
      <w:r w:rsidRPr="00245E41">
        <w:rPr>
          <w:rStyle w:val="FootnoteReference"/>
          <w:rFonts w:ascii="Times New Roman" w:hAnsi="Times New Roman"/>
          <w:vertAlign w:val="superscript"/>
        </w:rPr>
        <w:footnoteRef/>
      </w:r>
      <w:r w:rsidR="00856473" w:rsidRPr="00245E41">
        <w:rPr>
          <w:rFonts w:ascii="Times New Roman" w:hAnsi="Times New Roman"/>
        </w:rPr>
        <w:t xml:space="preserve"> Occupation (SOC Code): Compliance Officers (131041).</w:t>
      </w:r>
    </w:p>
  </w:footnote>
  <w:footnote w:id="5">
    <w:p w:rsidR="00856473" w:rsidRDefault="00245E41" w:rsidP="00856473">
      <w:pPr>
        <w:pStyle w:val="FootnoteText"/>
      </w:pPr>
      <w:r w:rsidRPr="00245E41">
        <w:rPr>
          <w:rStyle w:val="FootnoteReference"/>
          <w:rFonts w:ascii="Times New Roman" w:hAnsi="Times New Roman"/>
          <w:vertAlign w:val="superscript"/>
        </w:rPr>
        <w:footnoteRef/>
      </w:r>
      <w:r w:rsidR="00856473" w:rsidRPr="00245E41">
        <w:rPr>
          <w:rFonts w:ascii="Times New Roman" w:hAnsi="Times New Roman"/>
        </w:rPr>
        <w:t xml:space="preserve"> Occupation (SOC Code): Office and Administrative Support Occupations (430000).</w:t>
      </w:r>
      <w:r w:rsidR="0085647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007" w:rsidRDefault="00454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539"/>
    <w:multiLevelType w:val="hybridMultilevel"/>
    <w:tmpl w:val="99B432C6"/>
    <w:lvl w:ilvl="0" w:tplc="37B0ECFC">
      <w:start w:val="1"/>
      <w:numFmt w:val="decimal"/>
      <w:lvlText w:val="%1."/>
      <w:lvlJc w:val="left"/>
      <w:pPr>
        <w:ind w:left="1440" w:hanging="72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23CFC"/>
    <w:multiLevelType w:val="hybridMultilevel"/>
    <w:tmpl w:val="2FF4FEAA"/>
    <w:lvl w:ilvl="0" w:tplc="1A885AFE">
      <w:start w:val="1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A5A7B"/>
    <w:multiLevelType w:val="hybridMultilevel"/>
    <w:tmpl w:val="4F6C3130"/>
    <w:lvl w:ilvl="0" w:tplc="89805D7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1D2F0A"/>
    <w:multiLevelType w:val="hybridMultilevel"/>
    <w:tmpl w:val="84E49C2C"/>
    <w:lvl w:ilvl="0" w:tplc="C4F21308">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C1D696F"/>
    <w:multiLevelType w:val="hybridMultilevel"/>
    <w:tmpl w:val="369A3B9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97F7C56"/>
    <w:multiLevelType w:val="hybridMultilevel"/>
    <w:tmpl w:val="8A3C8062"/>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6AA22678"/>
    <w:multiLevelType w:val="hybridMultilevel"/>
    <w:tmpl w:val="F4B0C61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7"/>
  </w:num>
  <w:num w:numId="2">
    <w:abstractNumId w:val="2"/>
  </w:num>
  <w:num w:numId="3">
    <w:abstractNumId w:val="1"/>
  </w:num>
  <w:num w:numId="4">
    <w:abstractNumId w:val="4"/>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15D89"/>
    <w:rsid w:val="000171AA"/>
    <w:rsid w:val="00020D1B"/>
    <w:rsid w:val="00030152"/>
    <w:rsid w:val="00076A5B"/>
    <w:rsid w:val="000855E4"/>
    <w:rsid w:val="00093D0F"/>
    <w:rsid w:val="000B0581"/>
    <w:rsid w:val="000B5588"/>
    <w:rsid w:val="000F7E08"/>
    <w:rsid w:val="00125A5D"/>
    <w:rsid w:val="001305D1"/>
    <w:rsid w:val="00175893"/>
    <w:rsid w:val="00177720"/>
    <w:rsid w:val="001778A3"/>
    <w:rsid w:val="00182279"/>
    <w:rsid w:val="001D01DE"/>
    <w:rsid w:val="001D78D3"/>
    <w:rsid w:val="00220586"/>
    <w:rsid w:val="002331BC"/>
    <w:rsid w:val="00234383"/>
    <w:rsid w:val="00234F5A"/>
    <w:rsid w:val="00240097"/>
    <w:rsid w:val="00243D0C"/>
    <w:rsid w:val="00245E41"/>
    <w:rsid w:val="00246351"/>
    <w:rsid w:val="00254B08"/>
    <w:rsid w:val="0025784A"/>
    <w:rsid w:val="002668A9"/>
    <w:rsid w:val="00266C54"/>
    <w:rsid w:val="00273C3A"/>
    <w:rsid w:val="00276213"/>
    <w:rsid w:val="00285D59"/>
    <w:rsid w:val="002A35F4"/>
    <w:rsid w:val="002A5F6B"/>
    <w:rsid w:val="002B1AFA"/>
    <w:rsid w:val="002F26D8"/>
    <w:rsid w:val="00304C3E"/>
    <w:rsid w:val="003253C8"/>
    <w:rsid w:val="003566BB"/>
    <w:rsid w:val="003570A0"/>
    <w:rsid w:val="00371017"/>
    <w:rsid w:val="00386C94"/>
    <w:rsid w:val="003A055C"/>
    <w:rsid w:val="003B3219"/>
    <w:rsid w:val="003E3404"/>
    <w:rsid w:val="003E5901"/>
    <w:rsid w:val="003F0288"/>
    <w:rsid w:val="003F2FF8"/>
    <w:rsid w:val="00414ECF"/>
    <w:rsid w:val="00435A15"/>
    <w:rsid w:val="00437618"/>
    <w:rsid w:val="00454007"/>
    <w:rsid w:val="00470B79"/>
    <w:rsid w:val="0048245A"/>
    <w:rsid w:val="004A5959"/>
    <w:rsid w:val="004B2F21"/>
    <w:rsid w:val="004C250D"/>
    <w:rsid w:val="004C364E"/>
    <w:rsid w:val="004C5B45"/>
    <w:rsid w:val="004D7214"/>
    <w:rsid w:val="005119ED"/>
    <w:rsid w:val="00523B22"/>
    <w:rsid w:val="0054621E"/>
    <w:rsid w:val="00563449"/>
    <w:rsid w:val="005709AF"/>
    <w:rsid w:val="0059161E"/>
    <w:rsid w:val="005A6C6D"/>
    <w:rsid w:val="005B79C4"/>
    <w:rsid w:val="005C5B63"/>
    <w:rsid w:val="005D08E2"/>
    <w:rsid w:val="005E62DB"/>
    <w:rsid w:val="005F2F35"/>
    <w:rsid w:val="00605AE7"/>
    <w:rsid w:val="00615BAD"/>
    <w:rsid w:val="00624A74"/>
    <w:rsid w:val="00630C5C"/>
    <w:rsid w:val="0063734B"/>
    <w:rsid w:val="00637FBA"/>
    <w:rsid w:val="00653821"/>
    <w:rsid w:val="00655078"/>
    <w:rsid w:val="006823E7"/>
    <w:rsid w:val="00686F68"/>
    <w:rsid w:val="006B0048"/>
    <w:rsid w:val="006B3465"/>
    <w:rsid w:val="0071052F"/>
    <w:rsid w:val="00715C41"/>
    <w:rsid w:val="00717C67"/>
    <w:rsid w:val="007522EF"/>
    <w:rsid w:val="007562B8"/>
    <w:rsid w:val="007729D8"/>
    <w:rsid w:val="00796D18"/>
    <w:rsid w:val="007B6C63"/>
    <w:rsid w:val="0080546E"/>
    <w:rsid w:val="00820F79"/>
    <w:rsid w:val="0082575F"/>
    <w:rsid w:val="00826F32"/>
    <w:rsid w:val="008332CE"/>
    <w:rsid w:val="00834179"/>
    <w:rsid w:val="00844536"/>
    <w:rsid w:val="00846A1A"/>
    <w:rsid w:val="00856473"/>
    <w:rsid w:val="008565C5"/>
    <w:rsid w:val="00862421"/>
    <w:rsid w:val="00863A45"/>
    <w:rsid w:val="00881712"/>
    <w:rsid w:val="008A7B8F"/>
    <w:rsid w:val="008B2102"/>
    <w:rsid w:val="008C525B"/>
    <w:rsid w:val="009104FE"/>
    <w:rsid w:val="00913902"/>
    <w:rsid w:val="00921EFB"/>
    <w:rsid w:val="00937218"/>
    <w:rsid w:val="009557A1"/>
    <w:rsid w:val="0096157F"/>
    <w:rsid w:val="00990A9E"/>
    <w:rsid w:val="0099247D"/>
    <w:rsid w:val="009A3180"/>
    <w:rsid w:val="009B62D9"/>
    <w:rsid w:val="009B7A15"/>
    <w:rsid w:val="009C2BFF"/>
    <w:rsid w:val="009C759A"/>
    <w:rsid w:val="009F3C7D"/>
    <w:rsid w:val="00A0001C"/>
    <w:rsid w:val="00A1019D"/>
    <w:rsid w:val="00A152B6"/>
    <w:rsid w:val="00A21CE3"/>
    <w:rsid w:val="00A249E9"/>
    <w:rsid w:val="00A26153"/>
    <w:rsid w:val="00A270BF"/>
    <w:rsid w:val="00A47463"/>
    <w:rsid w:val="00A81BD7"/>
    <w:rsid w:val="00AB0163"/>
    <w:rsid w:val="00AF3A4A"/>
    <w:rsid w:val="00AF614A"/>
    <w:rsid w:val="00B06BE7"/>
    <w:rsid w:val="00B13760"/>
    <w:rsid w:val="00B17BBF"/>
    <w:rsid w:val="00B17F71"/>
    <w:rsid w:val="00B36309"/>
    <w:rsid w:val="00B37DD6"/>
    <w:rsid w:val="00B61AD2"/>
    <w:rsid w:val="00B64991"/>
    <w:rsid w:val="00B66881"/>
    <w:rsid w:val="00B75F0F"/>
    <w:rsid w:val="00B76DC2"/>
    <w:rsid w:val="00B977B5"/>
    <w:rsid w:val="00BA551E"/>
    <w:rsid w:val="00BD64F8"/>
    <w:rsid w:val="00BD7F95"/>
    <w:rsid w:val="00BF3B99"/>
    <w:rsid w:val="00BF7AE1"/>
    <w:rsid w:val="00C06C77"/>
    <w:rsid w:val="00C14D80"/>
    <w:rsid w:val="00C15DEE"/>
    <w:rsid w:val="00C24049"/>
    <w:rsid w:val="00C37C14"/>
    <w:rsid w:val="00C66621"/>
    <w:rsid w:val="00C750AB"/>
    <w:rsid w:val="00C772BC"/>
    <w:rsid w:val="00C8275D"/>
    <w:rsid w:val="00C858DF"/>
    <w:rsid w:val="00CB1E4E"/>
    <w:rsid w:val="00CB2ED5"/>
    <w:rsid w:val="00CC7A55"/>
    <w:rsid w:val="00CF2C13"/>
    <w:rsid w:val="00D0274E"/>
    <w:rsid w:val="00D14890"/>
    <w:rsid w:val="00D1720C"/>
    <w:rsid w:val="00D35001"/>
    <w:rsid w:val="00D50321"/>
    <w:rsid w:val="00D50914"/>
    <w:rsid w:val="00D55074"/>
    <w:rsid w:val="00D55987"/>
    <w:rsid w:val="00D5697B"/>
    <w:rsid w:val="00D65C01"/>
    <w:rsid w:val="00D746BF"/>
    <w:rsid w:val="00D765D6"/>
    <w:rsid w:val="00D804A5"/>
    <w:rsid w:val="00DA5092"/>
    <w:rsid w:val="00DB0A9A"/>
    <w:rsid w:val="00DB2FBD"/>
    <w:rsid w:val="00DD29EA"/>
    <w:rsid w:val="00DE2D0B"/>
    <w:rsid w:val="00DE506D"/>
    <w:rsid w:val="00E50911"/>
    <w:rsid w:val="00E76A29"/>
    <w:rsid w:val="00EC3226"/>
    <w:rsid w:val="00EC335B"/>
    <w:rsid w:val="00F01C6F"/>
    <w:rsid w:val="00F040F7"/>
    <w:rsid w:val="00F34CBE"/>
    <w:rsid w:val="00F42703"/>
    <w:rsid w:val="00F568B8"/>
    <w:rsid w:val="00F90EAE"/>
    <w:rsid w:val="00F9430B"/>
    <w:rsid w:val="00FB759A"/>
    <w:rsid w:val="00FC0FB9"/>
    <w:rsid w:val="00FC41DF"/>
    <w:rsid w:val="00FC6915"/>
    <w:rsid w:val="00FC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510EE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Style 39,Style 14,Style 6,Footnote Reference Superscript,SUPERS,BVI fnr,Footnote symbol,Footnote,(Footnote Reference),Footnote reference number,note TESI,EN Footnote Reference,Voetnootverwijzing"/>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qFormat/>
    <w:rsid w:val="00881712"/>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 w:type="paragraph" w:styleId="ListParagraph">
    <w:name w:val="List Paragraph"/>
    <w:basedOn w:val="Normal"/>
    <w:uiPriority w:val="34"/>
    <w:qFormat/>
    <w:rsid w:val="004C250D"/>
    <w:pPr>
      <w:spacing w:after="200" w:line="276" w:lineRule="auto"/>
      <w:ind w:left="720"/>
      <w:contextualSpacing/>
    </w:pPr>
    <w:rPr>
      <w:rFonts w:asciiTheme="minorHAnsi" w:eastAsiaTheme="minorHAnsi" w:hAnsiTheme="minorHAnsi" w:cstheme="minorBidi"/>
      <w:snapToGrid/>
      <w:sz w:val="22"/>
      <w:szCs w:val="22"/>
    </w:rPr>
  </w:style>
  <w:style w:type="paragraph" w:styleId="NoSpacing">
    <w:name w:val="No Spacing"/>
    <w:uiPriority w:val="1"/>
    <w:qFormat/>
    <w:rsid w:val="004C250D"/>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ic.gov/regulations/laws/rules/2000-4000.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dic.gov/about/privacy/assessment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FD170-A42A-48EC-80D4-0A7ACB99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2191</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2020-08-03T11:32:00Z</dcterms:created>
  <dcterms:modified xsi:type="dcterms:W3CDTF">2020-08-13T17:51:00Z</dcterms:modified>
</cp:coreProperties>
</file>