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5EB9" w:rsidR="00A778B9" w:rsidP="00BB7434" w:rsidRDefault="00A778B9" w14:paraId="6905CE40" w14:textId="052FC2CA">
      <w:pPr>
        <w:tabs>
          <w:tab w:val="clear" w:pos="1152"/>
        </w:tabs>
        <w:spacing w:after="240" w:line="240" w:lineRule="auto"/>
        <w:jc w:val="center"/>
        <w:rPr>
          <w:b/>
          <w:sz w:val="28"/>
          <w:szCs w:val="24"/>
        </w:rPr>
      </w:pPr>
      <w:r w:rsidRPr="009F422D">
        <w:rPr>
          <w:b/>
          <w:smallCaps/>
          <w:sz w:val="28"/>
          <w:szCs w:val="24"/>
        </w:rPr>
        <w:t>Part B</w:t>
      </w:r>
      <w:r w:rsidRPr="009F422D" w:rsidR="00865E46">
        <w:rPr>
          <w:b/>
          <w:smallCaps/>
          <w:sz w:val="28"/>
          <w:szCs w:val="24"/>
        </w:rPr>
        <w:br/>
      </w:r>
      <w:r w:rsidRPr="00265EB9">
        <w:rPr>
          <w:b/>
          <w:sz w:val="28"/>
          <w:szCs w:val="24"/>
        </w:rPr>
        <w:t>Statistical Methods</w:t>
      </w:r>
    </w:p>
    <w:p w:rsidRPr="009F422D" w:rsidR="001A2BC5" w:rsidP="00F91671" w:rsidRDefault="00A778B9" w14:paraId="1EC66CEE" w14:textId="398487B8">
      <w:pPr>
        <w:spacing w:before="120" w:after="120" w:line="240" w:lineRule="auto"/>
        <w:rPr>
          <w:sz w:val="24"/>
          <w:szCs w:val="24"/>
        </w:rPr>
      </w:pPr>
      <w:bookmarkStart w:name="_Hlk28246730" w:id="0"/>
      <w:r w:rsidRPr="00265EB9">
        <w:rPr>
          <w:sz w:val="24"/>
          <w:szCs w:val="24"/>
        </w:rPr>
        <w:t xml:space="preserve">While many </w:t>
      </w:r>
      <w:r w:rsidRPr="00265EB9" w:rsidR="007F73DE">
        <w:rPr>
          <w:sz w:val="24"/>
          <w:szCs w:val="24"/>
        </w:rPr>
        <w:t xml:space="preserve">of the design </w:t>
      </w:r>
      <w:r w:rsidRPr="00265EB9">
        <w:rPr>
          <w:sz w:val="24"/>
          <w:szCs w:val="24"/>
        </w:rPr>
        <w:t>elements of</w:t>
      </w:r>
      <w:r w:rsidRPr="00265EB9" w:rsidR="007F73DE">
        <w:rPr>
          <w:sz w:val="24"/>
          <w:szCs w:val="24"/>
        </w:rPr>
        <w:t xml:space="preserve"> </w:t>
      </w:r>
      <w:r w:rsidRPr="00265EB9">
        <w:rPr>
          <w:sz w:val="24"/>
          <w:szCs w:val="24"/>
        </w:rPr>
        <w:t xml:space="preserve">the 2020 </w:t>
      </w:r>
      <w:r w:rsidRPr="00F10E00" w:rsidR="004101A1">
        <w:rPr>
          <w:sz w:val="24"/>
          <w:szCs w:val="24"/>
        </w:rPr>
        <w:t>National</w:t>
      </w:r>
      <w:r w:rsidRPr="00F10E00" w:rsidR="0052677F">
        <w:rPr>
          <w:sz w:val="24"/>
          <w:szCs w:val="24"/>
        </w:rPr>
        <w:t xml:space="preserve"> </w:t>
      </w:r>
      <w:r w:rsidRPr="00F10E00">
        <w:rPr>
          <w:sz w:val="24"/>
          <w:szCs w:val="24"/>
        </w:rPr>
        <w:t>Household Travel Survey</w:t>
      </w:r>
      <w:r w:rsidRPr="00265EB9">
        <w:rPr>
          <w:sz w:val="24"/>
          <w:szCs w:val="24"/>
        </w:rPr>
        <w:t xml:space="preserve"> (NHTS) are </w:t>
      </w:r>
      <w:r w:rsidRPr="00265EB9" w:rsidR="00480DEF">
        <w:rPr>
          <w:sz w:val="24"/>
          <w:szCs w:val="24"/>
        </w:rPr>
        <w:t xml:space="preserve">fundamentally </w:t>
      </w:r>
      <w:r w:rsidRPr="00265EB9" w:rsidR="007F73DE">
        <w:rPr>
          <w:sz w:val="24"/>
          <w:szCs w:val="24"/>
        </w:rPr>
        <w:t>similar to th</w:t>
      </w:r>
      <w:r w:rsidRPr="00265EB9" w:rsidR="00480DEF">
        <w:rPr>
          <w:sz w:val="24"/>
          <w:szCs w:val="24"/>
        </w:rPr>
        <w:t xml:space="preserve">ose of </w:t>
      </w:r>
      <w:r w:rsidRPr="00265EB9">
        <w:rPr>
          <w:sz w:val="24"/>
          <w:szCs w:val="24"/>
        </w:rPr>
        <w:t>prior</w:t>
      </w:r>
      <w:r w:rsidRPr="00265EB9" w:rsidR="007F73DE">
        <w:rPr>
          <w:sz w:val="24"/>
          <w:szCs w:val="24"/>
        </w:rPr>
        <w:t xml:space="preserve"> administrations</w:t>
      </w:r>
      <w:r w:rsidRPr="00265EB9">
        <w:rPr>
          <w:sz w:val="24"/>
          <w:szCs w:val="24"/>
        </w:rPr>
        <w:t>,</w:t>
      </w:r>
      <w:r w:rsidRPr="00265EB9" w:rsidR="007F73DE">
        <w:rPr>
          <w:sz w:val="24"/>
          <w:szCs w:val="24"/>
        </w:rPr>
        <w:t xml:space="preserve"> th</w:t>
      </w:r>
      <w:r w:rsidRPr="00265EB9" w:rsidR="00842F09">
        <w:rPr>
          <w:sz w:val="24"/>
          <w:szCs w:val="24"/>
        </w:rPr>
        <w:t>e upcoming</w:t>
      </w:r>
      <w:r w:rsidRPr="00265EB9" w:rsidR="007F73DE">
        <w:rPr>
          <w:sz w:val="24"/>
          <w:szCs w:val="24"/>
        </w:rPr>
        <w:t xml:space="preserve"> survey will</w:t>
      </w:r>
      <w:r w:rsidRPr="00265EB9" w:rsidR="007F73DE">
        <w:rPr>
          <w:spacing w:val="1"/>
          <w:sz w:val="24"/>
          <w:szCs w:val="24"/>
        </w:rPr>
        <w:t xml:space="preserve"> </w:t>
      </w:r>
      <w:r w:rsidRPr="00265EB9" w:rsidR="007F73DE">
        <w:rPr>
          <w:sz w:val="24"/>
          <w:szCs w:val="24"/>
        </w:rPr>
        <w:t>lev</w:t>
      </w:r>
      <w:r w:rsidRPr="00265EB9" w:rsidR="007F73DE">
        <w:rPr>
          <w:spacing w:val="-1"/>
          <w:sz w:val="24"/>
          <w:szCs w:val="24"/>
        </w:rPr>
        <w:t>e</w:t>
      </w:r>
      <w:r w:rsidRPr="00265EB9" w:rsidR="007F73DE">
        <w:rPr>
          <w:sz w:val="24"/>
          <w:szCs w:val="24"/>
        </w:rPr>
        <w:t>ra</w:t>
      </w:r>
      <w:r w:rsidRPr="00265EB9" w:rsidR="007F73DE">
        <w:rPr>
          <w:spacing w:val="-2"/>
          <w:sz w:val="24"/>
          <w:szCs w:val="24"/>
        </w:rPr>
        <w:t>g</w:t>
      </w:r>
      <w:r w:rsidRPr="00265EB9" w:rsidR="007F73DE">
        <w:rPr>
          <w:sz w:val="24"/>
          <w:szCs w:val="24"/>
        </w:rPr>
        <w:t>e</w:t>
      </w:r>
      <w:r w:rsidRPr="00265EB9" w:rsidR="007F73DE">
        <w:rPr>
          <w:spacing w:val="-1"/>
          <w:sz w:val="24"/>
          <w:szCs w:val="24"/>
        </w:rPr>
        <w:t xml:space="preserve"> </w:t>
      </w:r>
      <w:r w:rsidRPr="00265EB9" w:rsidR="00F91671">
        <w:rPr>
          <w:spacing w:val="-1"/>
          <w:sz w:val="24"/>
          <w:szCs w:val="24"/>
        </w:rPr>
        <w:t xml:space="preserve">the </w:t>
      </w:r>
      <w:r w:rsidRPr="00346849" w:rsidR="00F91671">
        <w:rPr>
          <w:sz w:val="24"/>
          <w:szCs w:val="24"/>
        </w:rPr>
        <w:t>KnowledgePanel</w:t>
      </w:r>
      <w:r w:rsidRPr="0002362F" w:rsidR="00F91671">
        <w:rPr>
          <w:sz w:val="24"/>
          <w:szCs w:val="24"/>
          <w:vertAlign w:val="superscript"/>
        </w:rPr>
        <w:t>®</w:t>
      </w:r>
      <w:r w:rsidRPr="00D23FE1" w:rsidR="00F91671">
        <w:rPr>
          <w:sz w:val="24"/>
          <w:szCs w:val="24"/>
        </w:rPr>
        <w:t xml:space="preserve"> (KP) </w:t>
      </w:r>
      <w:r w:rsidRPr="00D23FE1" w:rsidR="00407CC2">
        <w:rPr>
          <w:sz w:val="24"/>
          <w:szCs w:val="24"/>
        </w:rPr>
        <w:t>for</w:t>
      </w:r>
      <w:r w:rsidRPr="00D23FE1" w:rsidR="00F57649">
        <w:rPr>
          <w:sz w:val="24"/>
          <w:szCs w:val="24"/>
        </w:rPr>
        <w:t xml:space="preserve"> the</w:t>
      </w:r>
      <w:r w:rsidRPr="00D23FE1" w:rsidR="00F91671">
        <w:rPr>
          <w:sz w:val="24"/>
          <w:szCs w:val="24"/>
        </w:rPr>
        <w:t xml:space="preserve"> sampling frame</w:t>
      </w:r>
      <w:r w:rsidRPr="00265EB9" w:rsidR="00744360">
        <w:rPr>
          <w:sz w:val="24"/>
          <w:szCs w:val="24"/>
        </w:rPr>
        <w:t>.</w:t>
      </w:r>
      <w:r w:rsidRPr="00265EB9" w:rsidR="00203937">
        <w:rPr>
          <w:sz w:val="24"/>
          <w:szCs w:val="24"/>
        </w:rPr>
        <w:t xml:space="preserve"> </w:t>
      </w:r>
      <w:r w:rsidRPr="00265EB9" w:rsidR="00C93EC1">
        <w:rPr>
          <w:sz w:val="24"/>
          <w:szCs w:val="24"/>
        </w:rPr>
        <w:t xml:space="preserve">While </w:t>
      </w:r>
      <w:r w:rsidRPr="00D23FE1" w:rsidR="00F91671">
        <w:rPr>
          <w:sz w:val="24"/>
          <w:szCs w:val="24"/>
        </w:rPr>
        <w:t xml:space="preserve">fully </w:t>
      </w:r>
      <w:r w:rsidRPr="00D23FE1" w:rsidR="00A1660E">
        <w:rPr>
          <w:sz w:val="24"/>
          <w:szCs w:val="24"/>
        </w:rPr>
        <w:t xml:space="preserve">grounded in probability-based sampling </w:t>
      </w:r>
      <w:r w:rsidRPr="00D23FE1" w:rsidR="00097613">
        <w:rPr>
          <w:sz w:val="24"/>
          <w:szCs w:val="24"/>
        </w:rPr>
        <w:t>methodolog</w:t>
      </w:r>
      <w:r w:rsidRPr="00D23FE1" w:rsidR="00C93EC1">
        <w:rPr>
          <w:sz w:val="24"/>
          <w:szCs w:val="24"/>
        </w:rPr>
        <w:t>y</w:t>
      </w:r>
      <w:r w:rsidRPr="00D23FE1" w:rsidR="001019B6">
        <w:rPr>
          <w:sz w:val="24"/>
          <w:szCs w:val="24"/>
        </w:rPr>
        <w:t xml:space="preserve"> for</w:t>
      </w:r>
      <w:r w:rsidRPr="00D23FE1" w:rsidR="00097613">
        <w:rPr>
          <w:sz w:val="24"/>
          <w:szCs w:val="24"/>
        </w:rPr>
        <w:t xml:space="preserve"> </w:t>
      </w:r>
      <w:r w:rsidRPr="00D23FE1" w:rsidR="001019B6">
        <w:rPr>
          <w:sz w:val="24"/>
          <w:szCs w:val="24"/>
        </w:rPr>
        <w:t>recruitment</w:t>
      </w:r>
      <w:r w:rsidRPr="00D23FE1" w:rsidR="00C93EC1">
        <w:rPr>
          <w:sz w:val="24"/>
          <w:szCs w:val="24"/>
        </w:rPr>
        <w:t xml:space="preserve">, </w:t>
      </w:r>
      <w:r w:rsidR="00732F45">
        <w:rPr>
          <w:sz w:val="24"/>
          <w:szCs w:val="24"/>
        </w:rPr>
        <w:t>utilizing the KP</w:t>
      </w:r>
      <w:r w:rsidRPr="00D23FE1" w:rsidR="00097613">
        <w:rPr>
          <w:sz w:val="24"/>
          <w:szCs w:val="24"/>
        </w:rPr>
        <w:t xml:space="preserve"> </w:t>
      </w:r>
      <w:r w:rsidRPr="00D23FE1" w:rsidR="00F91671">
        <w:rPr>
          <w:sz w:val="24"/>
          <w:szCs w:val="24"/>
        </w:rPr>
        <w:t xml:space="preserve">will </w:t>
      </w:r>
      <w:r w:rsidRPr="00265EB9" w:rsidR="00F91671">
        <w:rPr>
          <w:sz w:val="24"/>
          <w:szCs w:val="24"/>
        </w:rPr>
        <w:t xml:space="preserve">reduce respondent burden, </w:t>
      </w:r>
      <w:r w:rsidR="008C5C5B">
        <w:rPr>
          <w:sz w:val="24"/>
          <w:szCs w:val="24"/>
        </w:rPr>
        <w:t xml:space="preserve">improve response rates, </w:t>
      </w:r>
      <w:r w:rsidRPr="00265EB9" w:rsidR="00F91671">
        <w:rPr>
          <w:sz w:val="24"/>
          <w:szCs w:val="24"/>
        </w:rPr>
        <w:t xml:space="preserve">and improve </w:t>
      </w:r>
      <w:r w:rsidRPr="00265EB9" w:rsidR="00F221C7">
        <w:rPr>
          <w:sz w:val="24"/>
          <w:szCs w:val="24"/>
        </w:rPr>
        <w:t xml:space="preserve">the </w:t>
      </w:r>
      <w:r w:rsidRPr="00265EB9" w:rsidR="00F91671">
        <w:rPr>
          <w:sz w:val="24"/>
          <w:szCs w:val="24"/>
        </w:rPr>
        <w:t>precision of survey estimates</w:t>
      </w:r>
      <w:r w:rsidRPr="00265EB9" w:rsidR="00744360">
        <w:rPr>
          <w:sz w:val="24"/>
          <w:szCs w:val="24"/>
        </w:rPr>
        <w:t>.</w:t>
      </w:r>
      <w:r w:rsidRPr="00265EB9" w:rsidR="00203937">
        <w:rPr>
          <w:sz w:val="24"/>
          <w:szCs w:val="24"/>
        </w:rPr>
        <w:t xml:space="preserve"> </w:t>
      </w:r>
      <w:r w:rsidRPr="00265EB9" w:rsidR="00F91671">
        <w:rPr>
          <w:sz w:val="24"/>
          <w:szCs w:val="24"/>
        </w:rPr>
        <w:t>Furthermore</w:t>
      </w:r>
      <w:r w:rsidRPr="00D23FE1" w:rsidR="00F91671">
        <w:rPr>
          <w:sz w:val="24"/>
          <w:szCs w:val="24"/>
        </w:rPr>
        <w:t xml:space="preserve">, </w:t>
      </w:r>
      <w:r w:rsidRPr="00D23FE1" w:rsidR="00480DEF">
        <w:rPr>
          <w:sz w:val="24"/>
          <w:szCs w:val="24"/>
        </w:rPr>
        <w:t xml:space="preserve">an important </w:t>
      </w:r>
      <w:r w:rsidRPr="00D23FE1" w:rsidR="001019B6">
        <w:rPr>
          <w:sz w:val="24"/>
          <w:szCs w:val="24"/>
        </w:rPr>
        <w:t>b</w:t>
      </w:r>
      <w:r w:rsidR="00732F45">
        <w:rPr>
          <w:sz w:val="24"/>
          <w:szCs w:val="24"/>
        </w:rPr>
        <w:t>enefit of using the KP</w:t>
      </w:r>
      <w:r w:rsidRPr="00D23FE1" w:rsidR="00F91671">
        <w:rPr>
          <w:sz w:val="24"/>
          <w:szCs w:val="24"/>
        </w:rPr>
        <w:t xml:space="preserve"> is that</w:t>
      </w:r>
      <w:r w:rsidRPr="00D23FE1" w:rsidR="001A2BC5">
        <w:rPr>
          <w:sz w:val="24"/>
          <w:szCs w:val="24"/>
        </w:rPr>
        <w:t xml:space="preserve"> </w:t>
      </w:r>
      <w:r w:rsidRPr="00D23FE1" w:rsidR="00097613">
        <w:rPr>
          <w:sz w:val="24"/>
          <w:szCs w:val="24"/>
        </w:rPr>
        <w:t xml:space="preserve">it simplifies many </w:t>
      </w:r>
      <w:r w:rsidRPr="00D23FE1" w:rsidR="00C93EC1">
        <w:rPr>
          <w:sz w:val="24"/>
          <w:szCs w:val="24"/>
        </w:rPr>
        <w:t xml:space="preserve">of the cumbersome </w:t>
      </w:r>
      <w:r w:rsidRPr="00D23FE1" w:rsidR="008D186D">
        <w:rPr>
          <w:sz w:val="24"/>
          <w:szCs w:val="24"/>
        </w:rPr>
        <w:t>procedures</w:t>
      </w:r>
      <w:r w:rsidRPr="00D23FE1" w:rsidR="001A2BC5">
        <w:rPr>
          <w:sz w:val="24"/>
          <w:szCs w:val="24"/>
        </w:rPr>
        <w:t xml:space="preserve"> </w:t>
      </w:r>
      <w:r w:rsidRPr="00D23FE1" w:rsidR="001019B6">
        <w:rPr>
          <w:sz w:val="24"/>
          <w:szCs w:val="24"/>
        </w:rPr>
        <w:t xml:space="preserve">of </w:t>
      </w:r>
      <w:r w:rsidRPr="009F422D" w:rsidR="00C93EC1">
        <w:rPr>
          <w:sz w:val="24"/>
          <w:szCs w:val="24"/>
        </w:rPr>
        <w:t xml:space="preserve">the </w:t>
      </w:r>
      <w:r w:rsidRPr="009F422D" w:rsidR="001019B6">
        <w:rPr>
          <w:sz w:val="24"/>
          <w:szCs w:val="24"/>
        </w:rPr>
        <w:t xml:space="preserve">earlier </w:t>
      </w:r>
      <w:r w:rsidR="00732F45">
        <w:rPr>
          <w:sz w:val="24"/>
          <w:szCs w:val="24"/>
        </w:rPr>
        <w:t>NHTS administrations</w:t>
      </w:r>
      <w:r w:rsidRPr="009F422D" w:rsidR="00C93EC1">
        <w:rPr>
          <w:sz w:val="24"/>
          <w:szCs w:val="24"/>
        </w:rPr>
        <w:t>, hence</w:t>
      </w:r>
      <w:r w:rsidRPr="009F422D" w:rsidR="00097613">
        <w:rPr>
          <w:sz w:val="24"/>
          <w:szCs w:val="24"/>
        </w:rPr>
        <w:t xml:space="preserve"> reducing the complexity</w:t>
      </w:r>
      <w:r w:rsidR="00732F45">
        <w:rPr>
          <w:sz w:val="24"/>
          <w:szCs w:val="24"/>
        </w:rPr>
        <w:t xml:space="preserve"> of the effort</w:t>
      </w:r>
      <w:r w:rsidRPr="009F422D" w:rsidR="00AC3207">
        <w:rPr>
          <w:sz w:val="24"/>
          <w:szCs w:val="24"/>
        </w:rPr>
        <w:t>.</w:t>
      </w:r>
    </w:p>
    <w:bookmarkEnd w:id="0"/>
    <w:p w:rsidRPr="00265EB9" w:rsidR="00AC3207" w:rsidP="00AE0329" w:rsidRDefault="00AC3207" w14:paraId="3D4DADB8" w14:textId="77777777">
      <w:pPr>
        <w:pStyle w:val="ListParagraph"/>
        <w:numPr>
          <w:ilvl w:val="0"/>
          <w:numId w:val="2"/>
        </w:numPr>
        <w:tabs>
          <w:tab w:val="clear" w:pos="1152"/>
        </w:tabs>
        <w:spacing w:before="240" w:after="240" w:line="240" w:lineRule="auto"/>
        <w:ind w:left="720" w:hanging="720"/>
        <w:contextualSpacing w:val="0"/>
        <w:rPr>
          <w:b/>
          <w:sz w:val="28"/>
          <w:szCs w:val="24"/>
        </w:rPr>
      </w:pPr>
      <w:r w:rsidRPr="00265EB9">
        <w:rPr>
          <w:b/>
          <w:sz w:val="28"/>
          <w:szCs w:val="24"/>
        </w:rPr>
        <w:t>Sampling Methodology</w:t>
      </w:r>
    </w:p>
    <w:p w:rsidRPr="009F422D" w:rsidR="00AF00AC" w:rsidP="00AF00AC" w:rsidRDefault="00EA2F9B" w14:paraId="680E3BB7" w14:textId="3ACAE849">
      <w:pPr>
        <w:spacing w:before="120" w:after="120" w:line="240" w:lineRule="auto"/>
        <w:rPr>
          <w:sz w:val="24"/>
          <w:szCs w:val="24"/>
        </w:rPr>
      </w:pPr>
      <w:r w:rsidRPr="00D23FE1">
        <w:rPr>
          <w:sz w:val="24"/>
          <w:szCs w:val="24"/>
        </w:rPr>
        <w:t>KP is the largest</w:t>
      </w:r>
      <w:r w:rsidRPr="00D23FE1" w:rsidR="00097613">
        <w:rPr>
          <w:sz w:val="24"/>
          <w:szCs w:val="24"/>
        </w:rPr>
        <w:t xml:space="preserve"> </w:t>
      </w:r>
      <w:r w:rsidRPr="00D23FE1">
        <w:rPr>
          <w:sz w:val="24"/>
          <w:szCs w:val="24"/>
        </w:rPr>
        <w:t xml:space="preserve">online panel </w:t>
      </w:r>
      <w:r w:rsidRPr="00D23FE1" w:rsidR="00097613">
        <w:rPr>
          <w:sz w:val="24"/>
          <w:szCs w:val="24"/>
        </w:rPr>
        <w:t>serving the United States</w:t>
      </w:r>
      <w:r w:rsidRPr="00D23FE1" w:rsidR="00C93EC1">
        <w:rPr>
          <w:sz w:val="24"/>
          <w:szCs w:val="24"/>
        </w:rPr>
        <w:t xml:space="preserve"> that </w:t>
      </w:r>
      <w:r w:rsidRPr="00D23FE1" w:rsidR="00A1660E">
        <w:rPr>
          <w:sz w:val="24"/>
          <w:szCs w:val="24"/>
        </w:rPr>
        <w:t xml:space="preserve">is constructed by pre-recruiting an invited </w:t>
      </w:r>
      <w:r w:rsidRPr="00D23FE1" w:rsidR="00097613">
        <w:rPr>
          <w:sz w:val="24"/>
          <w:szCs w:val="24"/>
        </w:rPr>
        <w:t>probability</w:t>
      </w:r>
      <w:r w:rsidRPr="00D23FE1" w:rsidR="00C93EC1">
        <w:rPr>
          <w:sz w:val="24"/>
          <w:szCs w:val="24"/>
        </w:rPr>
        <w:t>-based</w:t>
      </w:r>
      <w:r w:rsidRPr="00D23FE1" w:rsidR="00097613">
        <w:rPr>
          <w:sz w:val="24"/>
          <w:szCs w:val="24"/>
        </w:rPr>
        <w:t xml:space="preserve"> </w:t>
      </w:r>
      <w:r w:rsidRPr="00D23FE1" w:rsidR="00A1660E">
        <w:rPr>
          <w:sz w:val="24"/>
          <w:szCs w:val="24"/>
        </w:rPr>
        <w:t>sample of households</w:t>
      </w:r>
      <w:r w:rsidRPr="00D23FE1" w:rsidR="00F221C7">
        <w:rPr>
          <w:sz w:val="24"/>
          <w:szCs w:val="24"/>
        </w:rPr>
        <w:t>.</w:t>
      </w:r>
      <w:r w:rsidRPr="00D23FE1" w:rsidR="00A1660E">
        <w:rPr>
          <w:sz w:val="24"/>
          <w:szCs w:val="24"/>
        </w:rPr>
        <w:t xml:space="preserve"> </w:t>
      </w:r>
      <w:r w:rsidRPr="00D23FE1" w:rsidR="00F221C7">
        <w:rPr>
          <w:sz w:val="24"/>
          <w:szCs w:val="24"/>
        </w:rPr>
        <w:t xml:space="preserve">Panel recruitment relies on </w:t>
      </w:r>
      <w:r w:rsidRPr="009F422D" w:rsidR="00A1660E">
        <w:rPr>
          <w:sz w:val="24"/>
          <w:szCs w:val="24"/>
        </w:rPr>
        <w:t xml:space="preserve">an </w:t>
      </w:r>
      <w:r w:rsidRPr="00F10E00" w:rsidR="00AC3207">
        <w:rPr>
          <w:sz w:val="24"/>
          <w:szCs w:val="24"/>
        </w:rPr>
        <w:t>A</w:t>
      </w:r>
      <w:r w:rsidRPr="00F10E00" w:rsidR="00A1660E">
        <w:rPr>
          <w:sz w:val="24"/>
          <w:szCs w:val="24"/>
        </w:rPr>
        <w:t>ddressed-</w:t>
      </w:r>
      <w:r w:rsidRPr="00F10E00" w:rsidR="00AC3207">
        <w:rPr>
          <w:sz w:val="24"/>
          <w:szCs w:val="24"/>
        </w:rPr>
        <w:t>B</w:t>
      </w:r>
      <w:r w:rsidRPr="00F10E00" w:rsidR="00A1660E">
        <w:rPr>
          <w:sz w:val="24"/>
          <w:szCs w:val="24"/>
        </w:rPr>
        <w:t xml:space="preserve">ased </w:t>
      </w:r>
      <w:r w:rsidRPr="00F10E00" w:rsidR="00AC3207">
        <w:rPr>
          <w:sz w:val="24"/>
          <w:szCs w:val="24"/>
        </w:rPr>
        <w:t>S</w:t>
      </w:r>
      <w:r w:rsidRPr="00F10E00" w:rsidR="00A1660E">
        <w:rPr>
          <w:sz w:val="24"/>
          <w:szCs w:val="24"/>
        </w:rPr>
        <w:t>ampling</w:t>
      </w:r>
      <w:r w:rsidRPr="009F422D" w:rsidR="00A1660E">
        <w:rPr>
          <w:sz w:val="24"/>
          <w:szCs w:val="24"/>
        </w:rPr>
        <w:t xml:space="preserve"> </w:t>
      </w:r>
      <w:r w:rsidRPr="009F422D" w:rsidR="00AC3207">
        <w:rPr>
          <w:sz w:val="24"/>
          <w:szCs w:val="24"/>
        </w:rPr>
        <w:t xml:space="preserve">(ABS) </w:t>
      </w:r>
      <w:r w:rsidRPr="009F422D" w:rsidR="00A1660E">
        <w:rPr>
          <w:sz w:val="24"/>
          <w:szCs w:val="24"/>
        </w:rPr>
        <w:t>methodology</w:t>
      </w:r>
      <w:r w:rsidRPr="009F422D" w:rsidR="00AF00AC">
        <w:rPr>
          <w:sz w:val="24"/>
          <w:szCs w:val="24"/>
        </w:rPr>
        <w:t xml:space="preserve"> </w:t>
      </w:r>
      <w:r w:rsidRPr="009F422D" w:rsidR="00F221C7">
        <w:rPr>
          <w:sz w:val="24"/>
          <w:szCs w:val="24"/>
        </w:rPr>
        <w:t xml:space="preserve">from </w:t>
      </w:r>
      <w:r w:rsidRPr="009F422D" w:rsidR="00AF00AC">
        <w:rPr>
          <w:sz w:val="24"/>
          <w:szCs w:val="24"/>
        </w:rPr>
        <w:t xml:space="preserve">the latest </w:t>
      </w:r>
      <w:r w:rsidRPr="00F10E00" w:rsidR="00AF00AC">
        <w:rPr>
          <w:sz w:val="24"/>
          <w:szCs w:val="24"/>
        </w:rPr>
        <w:t>Delivery Sequence File</w:t>
      </w:r>
      <w:r w:rsidRPr="009F422D" w:rsidR="00AF00AC">
        <w:rPr>
          <w:sz w:val="24"/>
          <w:szCs w:val="24"/>
        </w:rPr>
        <w:t xml:space="preserve"> (DSF) of the </w:t>
      </w:r>
      <w:r w:rsidR="002438CE">
        <w:rPr>
          <w:sz w:val="24"/>
          <w:szCs w:val="24"/>
        </w:rPr>
        <w:t>United States Postal Service (</w:t>
      </w:r>
      <w:r w:rsidRPr="009F422D" w:rsidR="00AF00AC">
        <w:rPr>
          <w:sz w:val="24"/>
          <w:szCs w:val="24"/>
        </w:rPr>
        <w:t>USPS</w:t>
      </w:r>
      <w:r w:rsidR="002438CE">
        <w:rPr>
          <w:sz w:val="24"/>
          <w:szCs w:val="24"/>
        </w:rPr>
        <w:t>)</w:t>
      </w:r>
      <w:r w:rsidRPr="009F422D" w:rsidR="00744360">
        <w:rPr>
          <w:sz w:val="24"/>
          <w:szCs w:val="24"/>
        </w:rPr>
        <w:t>.</w:t>
      </w:r>
      <w:r w:rsidRPr="009F422D" w:rsidR="00203937">
        <w:rPr>
          <w:sz w:val="24"/>
          <w:szCs w:val="24"/>
        </w:rPr>
        <w:t xml:space="preserve"> </w:t>
      </w:r>
      <w:r w:rsidRPr="009F422D" w:rsidR="00AF00AC">
        <w:rPr>
          <w:sz w:val="24"/>
          <w:szCs w:val="24"/>
        </w:rPr>
        <w:t xml:space="preserve">For this purpose, </w:t>
      </w:r>
      <w:r w:rsidRPr="009F422D" w:rsidR="00097613">
        <w:rPr>
          <w:sz w:val="24"/>
          <w:szCs w:val="24"/>
        </w:rPr>
        <w:t xml:space="preserve">Ipsos </w:t>
      </w:r>
      <w:r w:rsidRPr="009F422D" w:rsidR="00AF00AC">
        <w:rPr>
          <w:sz w:val="24"/>
          <w:szCs w:val="24"/>
        </w:rPr>
        <w:t>work</w:t>
      </w:r>
      <w:r w:rsidRPr="009F422D" w:rsidR="00097613">
        <w:rPr>
          <w:sz w:val="24"/>
          <w:szCs w:val="24"/>
        </w:rPr>
        <w:t>s</w:t>
      </w:r>
      <w:r w:rsidRPr="009F422D" w:rsidR="00AF00AC">
        <w:rPr>
          <w:sz w:val="24"/>
          <w:szCs w:val="24"/>
        </w:rPr>
        <w:t xml:space="preserve"> with the nation’s leading sample vendor, </w:t>
      </w:r>
      <w:r w:rsidRPr="00F10E00" w:rsidR="00AF00AC">
        <w:rPr>
          <w:sz w:val="24"/>
          <w:szCs w:val="24"/>
        </w:rPr>
        <w:t>Marketing Systems Group</w:t>
      </w:r>
      <w:r w:rsidRPr="009F422D" w:rsidR="00AF00AC">
        <w:rPr>
          <w:sz w:val="24"/>
          <w:szCs w:val="24"/>
        </w:rPr>
        <w:t xml:space="preserve"> (MSG)</w:t>
      </w:r>
      <w:r w:rsidRPr="009F422D" w:rsidR="00F221C7">
        <w:rPr>
          <w:sz w:val="24"/>
          <w:szCs w:val="24"/>
        </w:rPr>
        <w:t>,</w:t>
      </w:r>
      <w:r w:rsidRPr="009F422D" w:rsidR="00AF00AC">
        <w:rPr>
          <w:sz w:val="24"/>
          <w:szCs w:val="24"/>
        </w:rPr>
        <w:t xml:space="preserve"> to enhance the DSF prior to sample selection</w:t>
      </w:r>
      <w:r w:rsidRPr="009F422D" w:rsidR="00744360">
        <w:rPr>
          <w:sz w:val="24"/>
          <w:szCs w:val="24"/>
        </w:rPr>
        <w:t>.</w:t>
      </w:r>
      <w:r w:rsidRPr="009F422D" w:rsidR="00203937">
        <w:rPr>
          <w:sz w:val="24"/>
          <w:szCs w:val="24"/>
        </w:rPr>
        <w:t xml:space="preserve"> </w:t>
      </w:r>
      <w:r w:rsidRPr="009F422D" w:rsidR="00AF00AC">
        <w:rPr>
          <w:sz w:val="24"/>
          <w:szCs w:val="24"/>
        </w:rPr>
        <w:t>MSG append</w:t>
      </w:r>
      <w:r w:rsidR="008C5C5B">
        <w:rPr>
          <w:sz w:val="24"/>
          <w:szCs w:val="24"/>
        </w:rPr>
        <w:t>s</w:t>
      </w:r>
      <w:r w:rsidRPr="009F422D" w:rsidR="00AF00AC">
        <w:rPr>
          <w:sz w:val="24"/>
          <w:szCs w:val="24"/>
        </w:rPr>
        <w:t xml:space="preserve"> a long list of ancillary data from </w:t>
      </w:r>
      <w:r w:rsidRPr="009F422D" w:rsidR="005609C7">
        <w:rPr>
          <w:sz w:val="24"/>
          <w:szCs w:val="24"/>
        </w:rPr>
        <w:t xml:space="preserve">the Census Bureau as well as </w:t>
      </w:r>
      <w:r w:rsidRPr="009F422D" w:rsidR="00AF00AC">
        <w:rPr>
          <w:sz w:val="24"/>
          <w:szCs w:val="24"/>
        </w:rPr>
        <w:t>commercial databases</w:t>
      </w:r>
      <w:r w:rsidRPr="009F422D" w:rsidR="00744360">
        <w:rPr>
          <w:sz w:val="24"/>
          <w:szCs w:val="24"/>
        </w:rPr>
        <w:t>.</w:t>
      </w:r>
      <w:r w:rsidRPr="009F422D" w:rsidR="00203937">
        <w:rPr>
          <w:sz w:val="24"/>
          <w:szCs w:val="24"/>
        </w:rPr>
        <w:t xml:space="preserve"> </w:t>
      </w:r>
      <w:r w:rsidRPr="009F422D" w:rsidR="00842F09">
        <w:rPr>
          <w:sz w:val="24"/>
          <w:szCs w:val="24"/>
        </w:rPr>
        <w:t>Such added data elements can improve the efficiency of sampling procedures</w:t>
      </w:r>
      <w:r w:rsidRPr="009F422D" w:rsidR="007D04FE">
        <w:rPr>
          <w:sz w:val="24"/>
          <w:szCs w:val="24"/>
        </w:rPr>
        <w:t xml:space="preserve"> </w:t>
      </w:r>
      <w:r w:rsidR="002438CE">
        <w:rPr>
          <w:sz w:val="24"/>
          <w:szCs w:val="24"/>
        </w:rPr>
        <w:t xml:space="preserve">for the 2020 NHTS </w:t>
      </w:r>
      <w:r w:rsidRPr="009F422D" w:rsidR="007D04FE">
        <w:rPr>
          <w:sz w:val="24"/>
          <w:szCs w:val="24"/>
        </w:rPr>
        <w:t>and</w:t>
      </w:r>
      <w:r w:rsidRPr="009F422D" w:rsidR="00842F09">
        <w:rPr>
          <w:sz w:val="24"/>
          <w:szCs w:val="24"/>
        </w:rPr>
        <w:t xml:space="preserve"> enhance subsequent refinements that will be needed for weighting </w:t>
      </w:r>
      <w:r w:rsidR="002438CE">
        <w:rPr>
          <w:sz w:val="24"/>
          <w:szCs w:val="24"/>
        </w:rPr>
        <w:t xml:space="preserve">and nonresponse </w:t>
      </w:r>
      <w:r w:rsidRPr="009F422D" w:rsidR="00842F09">
        <w:rPr>
          <w:sz w:val="24"/>
          <w:szCs w:val="24"/>
        </w:rPr>
        <w:t>adjustments.</w:t>
      </w:r>
    </w:p>
    <w:p w:rsidRPr="00265EB9" w:rsidR="00AF00AC" w:rsidP="00AF00AC" w:rsidRDefault="00AF00AC" w14:paraId="0515CD73" w14:textId="16CE0A64">
      <w:pPr>
        <w:spacing w:before="120" w:after="120" w:line="240" w:lineRule="auto"/>
        <w:rPr>
          <w:sz w:val="24"/>
          <w:szCs w:val="24"/>
        </w:rPr>
      </w:pPr>
      <w:r w:rsidRPr="00265EB9">
        <w:rPr>
          <w:sz w:val="24"/>
          <w:szCs w:val="24"/>
        </w:rPr>
        <w:t xml:space="preserve">It is important to point out that all households that do not maintain an internet connection at the time of recruitment </w:t>
      </w:r>
      <w:r w:rsidRPr="00265EB9" w:rsidR="00842F09">
        <w:rPr>
          <w:sz w:val="24"/>
          <w:szCs w:val="24"/>
        </w:rPr>
        <w:t xml:space="preserve">for KP </w:t>
      </w:r>
      <w:r w:rsidRPr="00265EB9">
        <w:rPr>
          <w:sz w:val="24"/>
          <w:szCs w:val="24"/>
        </w:rPr>
        <w:t xml:space="preserve">are provided internet access and a </w:t>
      </w:r>
      <w:r w:rsidRPr="00265EB9" w:rsidR="008A53F1">
        <w:rPr>
          <w:sz w:val="24"/>
          <w:szCs w:val="24"/>
        </w:rPr>
        <w:t>tablet</w:t>
      </w:r>
      <w:r w:rsidRPr="00265EB9">
        <w:rPr>
          <w:sz w:val="24"/>
          <w:szCs w:val="24"/>
        </w:rPr>
        <w:t xml:space="preserve">, </w:t>
      </w:r>
      <w:r w:rsidRPr="00265EB9" w:rsidR="00B74074">
        <w:rPr>
          <w:sz w:val="24"/>
          <w:szCs w:val="24"/>
        </w:rPr>
        <w:t xml:space="preserve">thereby </w:t>
      </w:r>
      <w:r w:rsidRPr="00265EB9">
        <w:rPr>
          <w:sz w:val="24"/>
          <w:szCs w:val="24"/>
        </w:rPr>
        <w:t>expand</w:t>
      </w:r>
      <w:r w:rsidRPr="00265EB9" w:rsidR="00B74074">
        <w:rPr>
          <w:sz w:val="24"/>
          <w:szCs w:val="24"/>
        </w:rPr>
        <w:t>ing</w:t>
      </w:r>
      <w:r w:rsidRPr="00265EB9">
        <w:rPr>
          <w:sz w:val="24"/>
          <w:szCs w:val="24"/>
        </w:rPr>
        <w:t xml:space="preserve"> population coverage to include non-internet households as well</w:t>
      </w:r>
      <w:r w:rsidR="00732F45">
        <w:rPr>
          <w:sz w:val="24"/>
          <w:szCs w:val="24"/>
        </w:rPr>
        <w:t>,</w:t>
      </w:r>
      <w:r w:rsidRPr="00265EB9" w:rsidR="00B74074">
        <w:rPr>
          <w:sz w:val="24"/>
          <w:szCs w:val="24"/>
        </w:rPr>
        <w:t xml:space="preserve"> while allowing a uniform mode of data collection</w:t>
      </w:r>
      <w:r w:rsidRPr="00265EB9" w:rsidR="00757153">
        <w:rPr>
          <w:sz w:val="24"/>
          <w:szCs w:val="24"/>
        </w:rPr>
        <w:t xml:space="preserve"> with all panelists completing surveys online</w:t>
      </w:r>
      <w:r w:rsidRPr="00265EB9" w:rsidR="00744360">
        <w:rPr>
          <w:sz w:val="24"/>
          <w:szCs w:val="24"/>
        </w:rPr>
        <w:t>.</w:t>
      </w:r>
      <w:r w:rsidRPr="00265EB9" w:rsidR="00203937">
        <w:rPr>
          <w:sz w:val="24"/>
          <w:szCs w:val="24"/>
        </w:rPr>
        <w:t xml:space="preserve"> </w:t>
      </w:r>
      <w:r w:rsidRPr="00265EB9">
        <w:rPr>
          <w:sz w:val="24"/>
          <w:szCs w:val="24"/>
        </w:rPr>
        <w:t xml:space="preserve">Lastly, </w:t>
      </w:r>
      <w:r w:rsidR="001371B2">
        <w:rPr>
          <w:sz w:val="24"/>
          <w:szCs w:val="24"/>
        </w:rPr>
        <w:t xml:space="preserve">the </w:t>
      </w:r>
      <w:r w:rsidRPr="00265EB9">
        <w:rPr>
          <w:sz w:val="24"/>
          <w:szCs w:val="24"/>
        </w:rPr>
        <w:t>ABS recruitment is supplemented with a dual-frame R</w:t>
      </w:r>
      <w:r w:rsidR="00E04EB7">
        <w:rPr>
          <w:sz w:val="24"/>
          <w:szCs w:val="24"/>
        </w:rPr>
        <w:t xml:space="preserve">andom </w:t>
      </w:r>
      <w:r w:rsidRPr="00265EB9">
        <w:rPr>
          <w:sz w:val="24"/>
          <w:szCs w:val="24"/>
        </w:rPr>
        <w:t>D</w:t>
      </w:r>
      <w:r w:rsidR="00E04EB7">
        <w:rPr>
          <w:sz w:val="24"/>
          <w:szCs w:val="24"/>
        </w:rPr>
        <w:t xml:space="preserve">igit </w:t>
      </w:r>
      <w:r w:rsidRPr="00265EB9">
        <w:rPr>
          <w:sz w:val="24"/>
          <w:szCs w:val="24"/>
        </w:rPr>
        <w:t>D</w:t>
      </w:r>
      <w:r w:rsidR="00E04EB7">
        <w:rPr>
          <w:sz w:val="24"/>
          <w:szCs w:val="24"/>
        </w:rPr>
        <w:t>ial</w:t>
      </w:r>
      <w:r w:rsidRPr="00265EB9">
        <w:rPr>
          <w:sz w:val="24"/>
          <w:szCs w:val="24"/>
        </w:rPr>
        <w:t xml:space="preserve"> methodology that targets Hispanic households</w:t>
      </w:r>
      <w:r w:rsidRPr="00265EB9" w:rsidR="00744360">
        <w:rPr>
          <w:sz w:val="24"/>
          <w:szCs w:val="24"/>
        </w:rPr>
        <w:t>.</w:t>
      </w:r>
      <w:r w:rsidRPr="00265EB9" w:rsidR="00203937">
        <w:rPr>
          <w:sz w:val="24"/>
          <w:szCs w:val="24"/>
        </w:rPr>
        <w:t xml:space="preserve"> </w:t>
      </w:r>
      <w:r w:rsidRPr="00265EB9">
        <w:rPr>
          <w:sz w:val="24"/>
          <w:szCs w:val="24"/>
        </w:rPr>
        <w:t>As such, samples from KP cover all types of households, including those that are hard-to-reach or less acculturated.</w:t>
      </w:r>
    </w:p>
    <w:p w:rsidRPr="00265EB9" w:rsidR="00F52242" w:rsidP="00AE0329" w:rsidRDefault="002B0545" w14:paraId="307772D2" w14:textId="22054DDC">
      <w:pPr>
        <w:pStyle w:val="ListParagraph"/>
        <w:numPr>
          <w:ilvl w:val="1"/>
          <w:numId w:val="2"/>
        </w:numPr>
        <w:tabs>
          <w:tab w:val="clear" w:pos="1152"/>
        </w:tabs>
        <w:spacing w:before="240" w:after="120" w:line="240" w:lineRule="auto"/>
        <w:ind w:left="720" w:hanging="720"/>
        <w:contextualSpacing w:val="0"/>
        <w:rPr>
          <w:b/>
          <w:sz w:val="24"/>
          <w:szCs w:val="24"/>
        </w:rPr>
      </w:pPr>
      <w:r w:rsidRPr="00265EB9">
        <w:rPr>
          <w:b/>
          <w:sz w:val="24"/>
          <w:szCs w:val="24"/>
        </w:rPr>
        <w:t xml:space="preserve">General </w:t>
      </w:r>
      <w:r w:rsidRPr="00265EB9" w:rsidR="00865E46">
        <w:rPr>
          <w:b/>
          <w:sz w:val="24"/>
          <w:szCs w:val="24"/>
        </w:rPr>
        <w:t xml:space="preserve">KP </w:t>
      </w:r>
      <w:r w:rsidRPr="00265EB9" w:rsidR="00F52242">
        <w:rPr>
          <w:b/>
          <w:sz w:val="24"/>
          <w:szCs w:val="24"/>
        </w:rPr>
        <w:t xml:space="preserve">Sampling </w:t>
      </w:r>
      <w:r w:rsidRPr="00265EB9" w:rsidR="00865E46">
        <w:rPr>
          <w:b/>
          <w:sz w:val="24"/>
          <w:szCs w:val="24"/>
        </w:rPr>
        <w:t>Methodology</w:t>
      </w:r>
    </w:p>
    <w:p w:rsidRPr="00265EB9" w:rsidR="00414139" w:rsidP="00414139" w:rsidRDefault="001371B2" w14:paraId="717CA50C" w14:textId="14CD5536">
      <w:pPr>
        <w:spacing w:before="120" w:after="120" w:line="240" w:lineRule="auto"/>
        <w:rPr>
          <w:sz w:val="24"/>
          <w:szCs w:val="24"/>
        </w:rPr>
      </w:pPr>
      <w:r>
        <w:rPr>
          <w:sz w:val="24"/>
          <w:szCs w:val="24"/>
        </w:rPr>
        <w:t>F</w:t>
      </w:r>
      <w:r w:rsidRPr="00265EB9" w:rsidR="00414139">
        <w:rPr>
          <w:sz w:val="24"/>
          <w:szCs w:val="24"/>
        </w:rPr>
        <w:t>or selection of general population samples from KP</w:t>
      </w:r>
      <w:r w:rsidRPr="00265EB9" w:rsidR="00E603BC">
        <w:rPr>
          <w:sz w:val="24"/>
          <w:szCs w:val="24"/>
        </w:rPr>
        <w:t>,</w:t>
      </w:r>
      <w:r w:rsidRPr="00265EB9" w:rsidR="00414139">
        <w:rPr>
          <w:sz w:val="24"/>
          <w:szCs w:val="24"/>
        </w:rPr>
        <w:t xml:space="preserve"> a patented methodology has been developed to address minor undercoverage challenges that result from differential recruitment and attrition rates</w:t>
      </w:r>
      <w:r w:rsidRPr="00265EB9" w:rsidR="00744360">
        <w:rPr>
          <w:sz w:val="24"/>
          <w:szCs w:val="24"/>
        </w:rPr>
        <w:t>.</w:t>
      </w:r>
      <w:r w:rsidRPr="00265EB9" w:rsidR="00203937">
        <w:rPr>
          <w:sz w:val="24"/>
          <w:szCs w:val="24"/>
        </w:rPr>
        <w:t xml:space="preserve"> </w:t>
      </w:r>
      <w:r w:rsidRPr="00265EB9" w:rsidR="00414139">
        <w:rPr>
          <w:sz w:val="24"/>
          <w:szCs w:val="24"/>
        </w:rPr>
        <w:t xml:space="preserve">Briefly, this methodology starts by weighting the entire KP to a comprehensive set of population benchmarks obtained from the </w:t>
      </w:r>
      <w:r w:rsidRPr="00F10E00" w:rsidR="00414139">
        <w:rPr>
          <w:sz w:val="24"/>
          <w:szCs w:val="24"/>
        </w:rPr>
        <w:t>Current Population Survey</w:t>
      </w:r>
      <w:r w:rsidRPr="00265EB9" w:rsidR="00414139">
        <w:rPr>
          <w:sz w:val="24"/>
          <w:szCs w:val="24"/>
        </w:rPr>
        <w:t xml:space="preserve"> (CPS)</w:t>
      </w:r>
      <w:r w:rsidRPr="00265EB9" w:rsidR="005857D9">
        <w:rPr>
          <w:sz w:val="24"/>
          <w:szCs w:val="24"/>
        </w:rPr>
        <w:t xml:space="preserve"> to ameliorate any </w:t>
      </w:r>
      <w:r w:rsidRPr="00265EB9" w:rsidR="00414139">
        <w:rPr>
          <w:sz w:val="24"/>
          <w:szCs w:val="24"/>
        </w:rPr>
        <w:t xml:space="preserve">minor misalignments </w:t>
      </w:r>
      <w:r w:rsidRPr="00265EB9" w:rsidR="001019B6">
        <w:rPr>
          <w:sz w:val="24"/>
          <w:szCs w:val="24"/>
        </w:rPr>
        <w:t>that m</w:t>
      </w:r>
      <w:r w:rsidRPr="00265EB9" w:rsidR="005857D9">
        <w:rPr>
          <w:sz w:val="24"/>
          <w:szCs w:val="24"/>
        </w:rPr>
        <w:t>ay exist in the panel at the time of sample selection</w:t>
      </w:r>
      <w:r w:rsidRPr="00265EB9" w:rsidR="00744360">
        <w:rPr>
          <w:sz w:val="24"/>
          <w:szCs w:val="24"/>
        </w:rPr>
        <w:t>.</w:t>
      </w:r>
      <w:r w:rsidRPr="00265EB9" w:rsidR="00203937">
        <w:rPr>
          <w:sz w:val="24"/>
          <w:szCs w:val="24"/>
        </w:rPr>
        <w:t xml:space="preserve"> </w:t>
      </w:r>
      <w:r w:rsidRPr="00265EB9" w:rsidR="0010103F">
        <w:rPr>
          <w:sz w:val="24"/>
          <w:szCs w:val="24"/>
        </w:rPr>
        <w:t xml:space="preserve">For </w:t>
      </w:r>
      <w:r>
        <w:rPr>
          <w:sz w:val="24"/>
          <w:szCs w:val="24"/>
        </w:rPr>
        <w:t>the NHTS</w:t>
      </w:r>
      <w:r w:rsidRPr="00265EB9" w:rsidR="00414139">
        <w:rPr>
          <w:sz w:val="24"/>
          <w:szCs w:val="24"/>
        </w:rPr>
        <w:t xml:space="preserve">, the geodemographic dimensions used for weighting the entire </w:t>
      </w:r>
      <w:r w:rsidRPr="00265EB9" w:rsidR="00EB0579">
        <w:rPr>
          <w:sz w:val="24"/>
          <w:szCs w:val="24"/>
        </w:rPr>
        <w:t>K</w:t>
      </w:r>
      <w:r w:rsidR="00EB0579">
        <w:rPr>
          <w:sz w:val="24"/>
          <w:szCs w:val="24"/>
        </w:rPr>
        <w:t xml:space="preserve">P </w:t>
      </w:r>
      <w:r w:rsidRPr="00265EB9" w:rsidR="0010103F">
        <w:rPr>
          <w:sz w:val="24"/>
          <w:szCs w:val="24"/>
        </w:rPr>
        <w:t xml:space="preserve">will </w:t>
      </w:r>
      <w:r w:rsidRPr="00265EB9" w:rsidR="00414139">
        <w:rPr>
          <w:sz w:val="24"/>
          <w:szCs w:val="24"/>
        </w:rPr>
        <w:t>include:</w:t>
      </w:r>
    </w:p>
    <w:p w:rsidRPr="00571EFD" w:rsidR="00414139" w:rsidP="00571EFD" w:rsidRDefault="00414139" w14:paraId="55D4B77E" w14:textId="77777777">
      <w:pPr>
        <w:pStyle w:val="Default"/>
        <w:numPr>
          <w:ilvl w:val="0"/>
          <w:numId w:val="16"/>
        </w:numPr>
        <w:ind w:left="720"/>
        <w:rPr>
          <w:color w:val="auto"/>
        </w:rPr>
      </w:pPr>
      <w:r w:rsidRPr="00571EFD">
        <w:rPr>
          <w:color w:val="auto"/>
        </w:rPr>
        <w:t>Gender (Male and Female)</w:t>
      </w:r>
    </w:p>
    <w:p w:rsidRPr="00571EFD" w:rsidR="00414139" w:rsidP="00571EFD" w:rsidRDefault="00414139" w14:paraId="5C90399C" w14:textId="77777777">
      <w:pPr>
        <w:pStyle w:val="Default"/>
        <w:numPr>
          <w:ilvl w:val="0"/>
          <w:numId w:val="16"/>
        </w:numPr>
        <w:ind w:left="720"/>
        <w:rPr>
          <w:color w:val="auto"/>
        </w:rPr>
      </w:pPr>
      <w:r w:rsidRPr="00571EFD">
        <w:rPr>
          <w:color w:val="auto"/>
        </w:rPr>
        <w:t>Age (18–29, 30–44, 45–59, and 60+)</w:t>
      </w:r>
    </w:p>
    <w:p w:rsidRPr="00571EFD" w:rsidR="00414139" w:rsidP="00571EFD" w:rsidRDefault="00414139" w14:paraId="23FEF189" w14:textId="77777777">
      <w:pPr>
        <w:pStyle w:val="Default"/>
        <w:numPr>
          <w:ilvl w:val="0"/>
          <w:numId w:val="16"/>
        </w:numPr>
        <w:ind w:left="720"/>
        <w:rPr>
          <w:color w:val="auto"/>
        </w:rPr>
      </w:pPr>
      <w:r w:rsidRPr="00571EFD">
        <w:rPr>
          <w:color w:val="auto"/>
        </w:rPr>
        <w:t>Race/Ethnicity (Hispanic and non-Hispanic White, African American, Asian, and Other)</w:t>
      </w:r>
    </w:p>
    <w:p w:rsidRPr="00571EFD" w:rsidR="00414139" w:rsidP="00571EFD" w:rsidRDefault="00414139" w14:paraId="0684E2C6" w14:textId="77777777">
      <w:pPr>
        <w:pStyle w:val="Default"/>
        <w:numPr>
          <w:ilvl w:val="0"/>
          <w:numId w:val="16"/>
        </w:numPr>
        <w:ind w:left="720"/>
        <w:rPr>
          <w:color w:val="auto"/>
        </w:rPr>
      </w:pPr>
      <w:r w:rsidRPr="00571EFD">
        <w:rPr>
          <w:color w:val="auto"/>
        </w:rPr>
        <w:t>Education (Less than High School, High School, Some College, Bachelor and beyond)</w:t>
      </w:r>
    </w:p>
    <w:p w:rsidRPr="00571EFD" w:rsidR="00414139" w:rsidP="00571EFD" w:rsidRDefault="00414139" w14:paraId="32FC7CC7" w14:textId="77777777">
      <w:pPr>
        <w:pStyle w:val="Default"/>
        <w:numPr>
          <w:ilvl w:val="0"/>
          <w:numId w:val="16"/>
        </w:numPr>
        <w:ind w:left="720"/>
        <w:rPr>
          <w:color w:val="auto"/>
        </w:rPr>
      </w:pPr>
      <w:r w:rsidRPr="00571EFD">
        <w:rPr>
          <w:color w:val="auto"/>
        </w:rPr>
        <w:t>Census Region (Northeast, Midwest, South, West)</w:t>
      </w:r>
    </w:p>
    <w:p w:rsidRPr="00571EFD" w:rsidR="00414139" w:rsidP="00571EFD" w:rsidRDefault="00414139" w14:paraId="1B4BB6A3" w14:textId="77777777">
      <w:pPr>
        <w:pStyle w:val="Default"/>
        <w:numPr>
          <w:ilvl w:val="0"/>
          <w:numId w:val="16"/>
        </w:numPr>
        <w:ind w:left="720"/>
        <w:rPr>
          <w:color w:val="auto"/>
        </w:rPr>
      </w:pPr>
      <w:r w:rsidRPr="00571EFD">
        <w:rPr>
          <w:color w:val="auto"/>
        </w:rPr>
        <w:t>Household Income ($0-$10K, $10K-$25k, $25K-$50k, $50K-$75k, $75K-$100k, $100K+)</w:t>
      </w:r>
    </w:p>
    <w:p w:rsidRPr="00571EFD" w:rsidR="00414139" w:rsidP="00571EFD" w:rsidRDefault="00414139" w14:paraId="42AA449C" w14:textId="77777777">
      <w:pPr>
        <w:pStyle w:val="Default"/>
        <w:numPr>
          <w:ilvl w:val="0"/>
          <w:numId w:val="16"/>
        </w:numPr>
        <w:ind w:left="720"/>
        <w:rPr>
          <w:color w:val="auto"/>
        </w:rPr>
      </w:pPr>
      <w:r w:rsidRPr="00571EFD">
        <w:rPr>
          <w:color w:val="auto"/>
        </w:rPr>
        <w:t>Home ownership status (Own and Rent/Other)</w:t>
      </w:r>
    </w:p>
    <w:p w:rsidRPr="00571EFD" w:rsidR="001D2F28" w:rsidP="00571EFD" w:rsidRDefault="00414139" w14:paraId="77909365" w14:textId="653392CD">
      <w:pPr>
        <w:pStyle w:val="Default"/>
        <w:numPr>
          <w:ilvl w:val="0"/>
          <w:numId w:val="16"/>
        </w:numPr>
        <w:ind w:left="720"/>
        <w:rPr>
          <w:color w:val="auto"/>
        </w:rPr>
      </w:pPr>
      <w:r w:rsidRPr="00571EFD">
        <w:rPr>
          <w:color w:val="auto"/>
        </w:rPr>
        <w:lastRenderedPageBreak/>
        <w:t>Metropolitan Area (Yes and No)</w:t>
      </w:r>
    </w:p>
    <w:p w:rsidRPr="00571EFD" w:rsidR="00414139" w:rsidP="00571EFD" w:rsidRDefault="00414139" w14:paraId="20922036" w14:textId="615C7EE0">
      <w:pPr>
        <w:pStyle w:val="Default"/>
        <w:numPr>
          <w:ilvl w:val="0"/>
          <w:numId w:val="16"/>
        </w:numPr>
        <w:ind w:left="720"/>
        <w:rPr>
          <w:color w:val="auto"/>
        </w:rPr>
      </w:pPr>
      <w:r w:rsidRPr="00571EFD">
        <w:rPr>
          <w:color w:val="auto"/>
        </w:rPr>
        <w:t>Household size</w:t>
      </w:r>
      <w:r w:rsidRPr="00571EFD" w:rsidR="00310021">
        <w:rPr>
          <w:color w:val="auto"/>
        </w:rPr>
        <w:t xml:space="preserve"> (1, 2, and 3 plus)</w:t>
      </w:r>
    </w:p>
    <w:p w:rsidRPr="00571EFD" w:rsidR="00414139" w:rsidP="00571EFD" w:rsidRDefault="00414139" w14:paraId="20EA7D14" w14:textId="6E96E790">
      <w:pPr>
        <w:pStyle w:val="Default"/>
        <w:numPr>
          <w:ilvl w:val="0"/>
          <w:numId w:val="16"/>
        </w:numPr>
        <w:ind w:left="720"/>
        <w:rPr>
          <w:color w:val="auto"/>
        </w:rPr>
      </w:pPr>
      <w:r w:rsidRPr="00571EFD">
        <w:rPr>
          <w:color w:val="auto"/>
        </w:rPr>
        <w:t>Vehicle ownership</w:t>
      </w:r>
      <w:r w:rsidRPr="00571EFD" w:rsidR="00310021">
        <w:rPr>
          <w:color w:val="auto"/>
        </w:rPr>
        <w:t xml:space="preserve"> (0, 1, and 2 plus)</w:t>
      </w:r>
    </w:p>
    <w:p w:rsidRPr="00571EFD" w:rsidR="00414139" w:rsidP="00571EFD" w:rsidRDefault="00414139" w14:paraId="5ECD2A5A" w14:textId="4238433A">
      <w:pPr>
        <w:pStyle w:val="Default"/>
        <w:numPr>
          <w:ilvl w:val="0"/>
          <w:numId w:val="16"/>
        </w:numPr>
        <w:ind w:left="720"/>
        <w:rPr>
          <w:color w:val="auto"/>
        </w:rPr>
      </w:pPr>
      <w:r w:rsidRPr="00571EFD">
        <w:rPr>
          <w:color w:val="auto"/>
        </w:rPr>
        <w:t>Employment status</w:t>
      </w:r>
      <w:r w:rsidRPr="00571EFD" w:rsidR="00310021">
        <w:rPr>
          <w:color w:val="auto"/>
        </w:rPr>
        <w:t xml:space="preserve"> (Employed, Not employed)</w:t>
      </w:r>
    </w:p>
    <w:p w:rsidRPr="00265EB9" w:rsidR="00414139" w:rsidP="00414139" w:rsidRDefault="00414139" w14:paraId="7FDEA079" w14:textId="7F5E974E">
      <w:pPr>
        <w:spacing w:before="120" w:after="120" w:line="240" w:lineRule="auto"/>
        <w:rPr>
          <w:sz w:val="24"/>
          <w:szCs w:val="24"/>
        </w:rPr>
      </w:pPr>
      <w:r w:rsidRPr="00265EB9">
        <w:rPr>
          <w:sz w:val="24"/>
          <w:szCs w:val="24"/>
        </w:rPr>
        <w:t xml:space="preserve">Using the above weights as </w:t>
      </w:r>
      <w:r w:rsidRPr="00265EB9" w:rsidR="00E603BC">
        <w:rPr>
          <w:sz w:val="24"/>
          <w:szCs w:val="24"/>
        </w:rPr>
        <w:t xml:space="preserve">household </w:t>
      </w:r>
      <w:r w:rsidRPr="00265EB9">
        <w:rPr>
          <w:sz w:val="24"/>
          <w:szCs w:val="24"/>
        </w:rPr>
        <w:t>measure</w:t>
      </w:r>
      <w:r w:rsidRPr="00265EB9" w:rsidR="00E603BC">
        <w:rPr>
          <w:sz w:val="24"/>
          <w:szCs w:val="24"/>
        </w:rPr>
        <w:t>s</w:t>
      </w:r>
      <w:r w:rsidRPr="00265EB9">
        <w:rPr>
          <w:sz w:val="24"/>
          <w:szCs w:val="24"/>
        </w:rPr>
        <w:t xml:space="preserve"> of size (</w:t>
      </w:r>
      <w:proofErr w:type="spellStart"/>
      <w:r w:rsidRPr="00265EB9">
        <w:rPr>
          <w:sz w:val="24"/>
          <w:szCs w:val="24"/>
        </w:rPr>
        <w:t>MoS</w:t>
      </w:r>
      <w:proofErr w:type="spellEnd"/>
      <w:r w:rsidRPr="00265EB9">
        <w:rPr>
          <w:sz w:val="24"/>
          <w:szCs w:val="24"/>
        </w:rPr>
        <w:t>)</w:t>
      </w:r>
      <w:r w:rsidRPr="00265EB9" w:rsidR="009D7987">
        <w:rPr>
          <w:sz w:val="24"/>
          <w:szCs w:val="24"/>
        </w:rPr>
        <w:t>,</w:t>
      </w:r>
      <w:r w:rsidRPr="00265EB9">
        <w:rPr>
          <w:sz w:val="24"/>
          <w:szCs w:val="24"/>
        </w:rPr>
        <w:t xml:space="preserve"> </w:t>
      </w:r>
      <w:r w:rsidRPr="00265EB9" w:rsidR="009D7987">
        <w:rPr>
          <w:sz w:val="24"/>
          <w:szCs w:val="24"/>
        </w:rPr>
        <w:t>a</w:t>
      </w:r>
      <w:r w:rsidRPr="00265EB9">
        <w:rPr>
          <w:sz w:val="24"/>
          <w:szCs w:val="24"/>
        </w:rPr>
        <w:t xml:space="preserve"> </w:t>
      </w:r>
      <w:r w:rsidRPr="00F10E00" w:rsidR="00F52242">
        <w:rPr>
          <w:sz w:val="24"/>
          <w:szCs w:val="24"/>
        </w:rPr>
        <w:t>P</w:t>
      </w:r>
      <w:r w:rsidRPr="00F10E00">
        <w:rPr>
          <w:sz w:val="24"/>
          <w:szCs w:val="24"/>
        </w:rPr>
        <w:t xml:space="preserve">robability </w:t>
      </w:r>
      <w:r w:rsidRPr="00F10E00" w:rsidR="00F52242">
        <w:rPr>
          <w:sz w:val="24"/>
          <w:szCs w:val="24"/>
        </w:rPr>
        <w:t>P</w:t>
      </w:r>
      <w:r w:rsidRPr="00F10E00">
        <w:rPr>
          <w:sz w:val="24"/>
          <w:szCs w:val="24"/>
        </w:rPr>
        <w:t xml:space="preserve">roportional to </w:t>
      </w:r>
      <w:r w:rsidRPr="00F10E00" w:rsidR="00F52242">
        <w:rPr>
          <w:sz w:val="24"/>
          <w:szCs w:val="24"/>
        </w:rPr>
        <w:t>S</w:t>
      </w:r>
      <w:r w:rsidRPr="00F10E00">
        <w:rPr>
          <w:sz w:val="24"/>
          <w:szCs w:val="24"/>
        </w:rPr>
        <w:t>ize</w:t>
      </w:r>
      <w:r w:rsidRPr="00265EB9">
        <w:rPr>
          <w:sz w:val="24"/>
          <w:szCs w:val="24"/>
        </w:rPr>
        <w:t xml:space="preserve"> (PPS) </w:t>
      </w:r>
      <w:r w:rsidRPr="00265EB9" w:rsidR="00E603BC">
        <w:rPr>
          <w:sz w:val="24"/>
          <w:szCs w:val="24"/>
        </w:rPr>
        <w:t xml:space="preserve">selection </w:t>
      </w:r>
      <w:r w:rsidRPr="00265EB9">
        <w:rPr>
          <w:sz w:val="24"/>
          <w:szCs w:val="24"/>
        </w:rPr>
        <w:t>procedure is used to</w:t>
      </w:r>
      <w:r w:rsidRPr="00265EB9" w:rsidR="00E603BC">
        <w:rPr>
          <w:sz w:val="24"/>
          <w:szCs w:val="24"/>
        </w:rPr>
        <w:t xml:space="preserve"> </w:t>
      </w:r>
      <w:r w:rsidRPr="00265EB9">
        <w:rPr>
          <w:sz w:val="24"/>
          <w:szCs w:val="24"/>
        </w:rPr>
        <w:t>select study-specific samples</w:t>
      </w:r>
      <w:r w:rsidRPr="00265EB9" w:rsidR="00744360">
        <w:rPr>
          <w:sz w:val="24"/>
          <w:szCs w:val="24"/>
        </w:rPr>
        <w:t>.</w:t>
      </w:r>
      <w:r w:rsidRPr="00265EB9" w:rsidR="00203937">
        <w:rPr>
          <w:sz w:val="24"/>
          <w:szCs w:val="24"/>
        </w:rPr>
        <w:t xml:space="preserve"> </w:t>
      </w:r>
      <w:r w:rsidRPr="00265EB9">
        <w:rPr>
          <w:sz w:val="24"/>
          <w:szCs w:val="24"/>
        </w:rPr>
        <w:t>It is the application of this PPS methodology</w:t>
      </w:r>
      <w:r w:rsidRPr="00265EB9" w:rsidR="009D7987">
        <w:rPr>
          <w:sz w:val="24"/>
          <w:szCs w:val="24"/>
        </w:rPr>
        <w:t>,</w:t>
      </w:r>
      <w:r w:rsidRPr="00265EB9">
        <w:rPr>
          <w:sz w:val="24"/>
          <w:szCs w:val="24"/>
        </w:rPr>
        <w:t xml:space="preserve"> with the above </w:t>
      </w:r>
      <w:proofErr w:type="spellStart"/>
      <w:r w:rsidRPr="00265EB9">
        <w:rPr>
          <w:sz w:val="24"/>
          <w:szCs w:val="24"/>
        </w:rPr>
        <w:t>MoS</w:t>
      </w:r>
      <w:proofErr w:type="spellEnd"/>
      <w:r w:rsidRPr="00265EB9">
        <w:rPr>
          <w:sz w:val="24"/>
          <w:szCs w:val="24"/>
        </w:rPr>
        <w:t xml:space="preserve"> values</w:t>
      </w:r>
      <w:r w:rsidRPr="00265EB9" w:rsidR="009D7987">
        <w:rPr>
          <w:sz w:val="24"/>
          <w:szCs w:val="24"/>
        </w:rPr>
        <w:t>,</w:t>
      </w:r>
      <w:r w:rsidRPr="00265EB9">
        <w:rPr>
          <w:sz w:val="24"/>
          <w:szCs w:val="24"/>
        </w:rPr>
        <w:t xml:space="preserve"> that produces</w:t>
      </w:r>
      <w:r w:rsidRPr="00265EB9" w:rsidR="00F52242">
        <w:rPr>
          <w:sz w:val="24"/>
          <w:szCs w:val="24"/>
        </w:rPr>
        <w:t xml:space="preserve"> </w:t>
      </w:r>
      <w:r w:rsidRPr="00265EB9" w:rsidR="005857D9">
        <w:rPr>
          <w:sz w:val="24"/>
          <w:szCs w:val="24"/>
        </w:rPr>
        <w:t xml:space="preserve">KP </w:t>
      </w:r>
      <w:r w:rsidRPr="00265EB9" w:rsidR="00F52242">
        <w:rPr>
          <w:sz w:val="24"/>
          <w:szCs w:val="24"/>
        </w:rPr>
        <w:t xml:space="preserve">samples that </w:t>
      </w:r>
      <w:r w:rsidRPr="00265EB9" w:rsidR="008B4BB4">
        <w:rPr>
          <w:sz w:val="24"/>
          <w:szCs w:val="24"/>
        </w:rPr>
        <w:t>will be self-weighting, or</w:t>
      </w:r>
      <w:r w:rsidRPr="00265EB9" w:rsidR="00F52242">
        <w:rPr>
          <w:sz w:val="24"/>
          <w:szCs w:val="24"/>
        </w:rPr>
        <w:t xml:space="preserve"> </w:t>
      </w:r>
      <w:r w:rsidRPr="00F10E00" w:rsidR="00F52242">
        <w:rPr>
          <w:sz w:val="24"/>
          <w:szCs w:val="24"/>
        </w:rPr>
        <w:t>Equal Probability of Selection Method</w:t>
      </w:r>
      <w:r w:rsidRPr="00265EB9" w:rsidR="00F52242">
        <w:rPr>
          <w:sz w:val="24"/>
          <w:szCs w:val="24"/>
        </w:rPr>
        <w:t xml:space="preserve"> (EPSEM)</w:t>
      </w:r>
      <w:r w:rsidRPr="00265EB9" w:rsidR="00744360">
        <w:rPr>
          <w:sz w:val="24"/>
          <w:szCs w:val="24"/>
        </w:rPr>
        <w:t>.</w:t>
      </w:r>
      <w:r w:rsidRPr="00265EB9" w:rsidR="00203937">
        <w:rPr>
          <w:sz w:val="24"/>
          <w:szCs w:val="24"/>
        </w:rPr>
        <w:t xml:space="preserve"> </w:t>
      </w:r>
      <w:r w:rsidRPr="00265EB9">
        <w:rPr>
          <w:sz w:val="24"/>
          <w:szCs w:val="24"/>
        </w:rPr>
        <w:t xml:space="preserve">Moreover, in instances where the study design requires any oversampling of specific subgroups, such departures from an EPSEM design </w:t>
      </w:r>
      <w:r w:rsidRPr="00265EB9" w:rsidR="00E603BC">
        <w:rPr>
          <w:sz w:val="24"/>
          <w:szCs w:val="24"/>
        </w:rPr>
        <w:t xml:space="preserve">are </w:t>
      </w:r>
      <w:r w:rsidRPr="00265EB9">
        <w:rPr>
          <w:sz w:val="24"/>
          <w:szCs w:val="24"/>
        </w:rPr>
        <w:t>corrected by adjusting the corresponding design weights.</w:t>
      </w:r>
    </w:p>
    <w:p w:rsidRPr="00265EB9" w:rsidR="007C2E0A" w:rsidP="007C2E0A" w:rsidRDefault="007C2E0A" w14:paraId="237033DF" w14:textId="77777777">
      <w:pPr>
        <w:spacing w:before="120" w:after="120" w:line="240" w:lineRule="auto"/>
        <w:rPr>
          <w:sz w:val="24"/>
          <w:szCs w:val="24"/>
        </w:rPr>
      </w:pPr>
      <w:r w:rsidRPr="00265EB9">
        <w:rPr>
          <w:sz w:val="24"/>
          <w:szCs w:val="24"/>
        </w:rPr>
        <w:t>Less Than Annual Periodic Data Cycles</w:t>
      </w:r>
    </w:p>
    <w:p w:rsidRPr="00265EB9" w:rsidR="007C2E0A" w:rsidP="007C2E0A" w:rsidRDefault="007C2E0A" w14:paraId="6ADF768E" w14:textId="01E1BE4F">
      <w:pPr>
        <w:spacing w:before="120" w:after="120" w:line="240" w:lineRule="auto"/>
        <w:rPr>
          <w:sz w:val="24"/>
          <w:szCs w:val="24"/>
        </w:rPr>
      </w:pPr>
      <w:r w:rsidRPr="00265EB9">
        <w:rPr>
          <w:sz w:val="24"/>
          <w:szCs w:val="24"/>
        </w:rPr>
        <w:t xml:space="preserve">The NHTS has been conducted </w:t>
      </w:r>
      <w:r w:rsidR="001371B2">
        <w:rPr>
          <w:sz w:val="24"/>
          <w:szCs w:val="24"/>
        </w:rPr>
        <w:t xml:space="preserve">periodically </w:t>
      </w:r>
      <w:r w:rsidRPr="00265EB9">
        <w:rPr>
          <w:sz w:val="24"/>
          <w:szCs w:val="24"/>
        </w:rPr>
        <w:t>since 1969. Starting in 2020 the NHTS will move to a bi-annual data collection approach for this and future iterations. Fielding a survey to net about 7,500 households every two years is sufficient for the Department of Transportation</w:t>
      </w:r>
      <w:r w:rsidR="00AF7B99">
        <w:rPr>
          <w:sz w:val="24"/>
          <w:szCs w:val="24"/>
        </w:rPr>
        <w:t xml:space="preserve"> (DOT)</w:t>
      </w:r>
      <w:r w:rsidRPr="00265EB9">
        <w:rPr>
          <w:sz w:val="24"/>
          <w:szCs w:val="24"/>
        </w:rPr>
        <w:t>.</w:t>
      </w:r>
      <w:r w:rsidR="00AF7B99">
        <w:rPr>
          <w:sz w:val="24"/>
          <w:szCs w:val="24"/>
        </w:rPr>
        <w:t xml:space="preserve"> </w:t>
      </w:r>
    </w:p>
    <w:p w:rsidRPr="00265EB9" w:rsidR="00F52242" w:rsidP="00AE0329" w:rsidRDefault="00F52242" w14:paraId="1ABF43BC" w14:textId="77777777">
      <w:pPr>
        <w:pStyle w:val="ListParagraph"/>
        <w:numPr>
          <w:ilvl w:val="1"/>
          <w:numId w:val="2"/>
        </w:numPr>
        <w:tabs>
          <w:tab w:val="clear" w:pos="1152"/>
        </w:tabs>
        <w:spacing w:before="240" w:after="120" w:line="240" w:lineRule="auto"/>
        <w:ind w:left="720" w:hanging="720"/>
        <w:contextualSpacing w:val="0"/>
        <w:rPr>
          <w:b/>
          <w:sz w:val="24"/>
          <w:szCs w:val="24"/>
        </w:rPr>
      </w:pPr>
      <w:r w:rsidRPr="00265EB9">
        <w:rPr>
          <w:b/>
          <w:sz w:val="24"/>
          <w:szCs w:val="24"/>
        </w:rPr>
        <w:t>NHTS 2020 Sampl</w:t>
      </w:r>
      <w:r w:rsidRPr="00265EB9" w:rsidR="002B0545">
        <w:rPr>
          <w:b/>
          <w:sz w:val="24"/>
          <w:szCs w:val="24"/>
        </w:rPr>
        <w:t>ing Methodology</w:t>
      </w:r>
    </w:p>
    <w:p w:rsidR="00D96A33" w:rsidP="00D96A33" w:rsidRDefault="00D96A33" w14:paraId="36964DDA" w14:textId="6A06AAF8">
      <w:pPr>
        <w:spacing w:before="120" w:after="120" w:line="240" w:lineRule="auto"/>
        <w:rPr>
          <w:sz w:val="24"/>
          <w:szCs w:val="24"/>
        </w:rPr>
      </w:pPr>
      <w:r w:rsidRPr="00265EB9">
        <w:rPr>
          <w:sz w:val="24"/>
          <w:szCs w:val="24"/>
        </w:rPr>
        <w:t xml:space="preserve">Unlike previous administrations, for the </w:t>
      </w:r>
      <w:r w:rsidRPr="00265EB9" w:rsidR="006E2121">
        <w:rPr>
          <w:sz w:val="24"/>
          <w:szCs w:val="24"/>
        </w:rPr>
        <w:t>2020</w:t>
      </w:r>
      <w:r w:rsidR="006E2121">
        <w:rPr>
          <w:sz w:val="24"/>
          <w:szCs w:val="24"/>
        </w:rPr>
        <w:t xml:space="preserve"> </w:t>
      </w:r>
      <w:r w:rsidRPr="00265EB9">
        <w:rPr>
          <w:sz w:val="24"/>
          <w:szCs w:val="24"/>
        </w:rPr>
        <w:t>NHTS</w:t>
      </w:r>
      <w:r w:rsidRPr="00265EB9" w:rsidR="00A94ECE">
        <w:rPr>
          <w:sz w:val="24"/>
          <w:szCs w:val="24"/>
        </w:rPr>
        <w:t>,</w:t>
      </w:r>
      <w:r w:rsidRPr="00265EB9">
        <w:rPr>
          <w:sz w:val="24"/>
          <w:szCs w:val="24"/>
        </w:rPr>
        <w:t xml:space="preserve"> the recruitment and </w:t>
      </w:r>
      <w:r w:rsidRPr="00265EB9" w:rsidR="00821761">
        <w:rPr>
          <w:sz w:val="24"/>
          <w:szCs w:val="24"/>
        </w:rPr>
        <w:t>diary portion of the study (previously called the retrieval survey)</w:t>
      </w:r>
      <w:r w:rsidRPr="00265EB9">
        <w:rPr>
          <w:sz w:val="24"/>
          <w:szCs w:val="24"/>
        </w:rPr>
        <w:t xml:space="preserve"> will be </w:t>
      </w:r>
      <w:r w:rsidR="006E2121">
        <w:rPr>
          <w:sz w:val="24"/>
          <w:szCs w:val="24"/>
        </w:rPr>
        <w:t>collected</w:t>
      </w:r>
      <w:r w:rsidRPr="00265EB9" w:rsidR="006E2121">
        <w:rPr>
          <w:sz w:val="24"/>
          <w:szCs w:val="24"/>
        </w:rPr>
        <w:t xml:space="preserve"> </w:t>
      </w:r>
      <w:r w:rsidRPr="00265EB9" w:rsidR="00E603BC">
        <w:rPr>
          <w:sz w:val="24"/>
          <w:szCs w:val="24"/>
        </w:rPr>
        <w:t>at the same time</w:t>
      </w:r>
      <w:r w:rsidR="006E2121">
        <w:rPr>
          <w:sz w:val="24"/>
          <w:szCs w:val="24"/>
        </w:rPr>
        <w:t xml:space="preserve"> in a one-stage survey</w:t>
      </w:r>
      <w:r w:rsidRPr="00265EB9">
        <w:rPr>
          <w:sz w:val="24"/>
          <w:szCs w:val="24"/>
        </w:rPr>
        <w:t>.</w:t>
      </w:r>
      <w:r w:rsidRPr="00265EB9" w:rsidR="00203937">
        <w:rPr>
          <w:sz w:val="24"/>
          <w:szCs w:val="24"/>
        </w:rPr>
        <w:t xml:space="preserve"> </w:t>
      </w:r>
      <w:r w:rsidRPr="00265EB9" w:rsidR="004359D4">
        <w:rPr>
          <w:sz w:val="24"/>
          <w:szCs w:val="24"/>
        </w:rPr>
        <w:t>T</w:t>
      </w:r>
      <w:r w:rsidRPr="00265EB9">
        <w:rPr>
          <w:sz w:val="24"/>
          <w:szCs w:val="24"/>
        </w:rPr>
        <w:t xml:space="preserve">he primary respondent will be asked to complete the recruitment survey before being directed to the travel diary section. Combining the surveys into one </w:t>
      </w:r>
      <w:r w:rsidR="006E2121">
        <w:rPr>
          <w:sz w:val="24"/>
          <w:szCs w:val="24"/>
        </w:rPr>
        <w:t>stage</w:t>
      </w:r>
      <w:r w:rsidRPr="00265EB9" w:rsidR="006E2121">
        <w:rPr>
          <w:sz w:val="24"/>
          <w:szCs w:val="24"/>
        </w:rPr>
        <w:t xml:space="preserve"> </w:t>
      </w:r>
      <w:r w:rsidRPr="00265EB9">
        <w:rPr>
          <w:sz w:val="24"/>
          <w:szCs w:val="24"/>
        </w:rPr>
        <w:t>i</w:t>
      </w:r>
      <w:r w:rsidRPr="00265EB9" w:rsidR="00E603BC">
        <w:rPr>
          <w:sz w:val="24"/>
          <w:szCs w:val="24"/>
        </w:rPr>
        <w:t>s</w:t>
      </w:r>
      <w:r w:rsidRPr="00265EB9">
        <w:rPr>
          <w:sz w:val="24"/>
          <w:szCs w:val="24"/>
        </w:rPr>
        <w:t xml:space="preserve"> expected to increase the overall study completion rates, eliminating the additional nonresponse that </w:t>
      </w:r>
      <w:r w:rsidR="00362715">
        <w:rPr>
          <w:sz w:val="24"/>
          <w:szCs w:val="24"/>
        </w:rPr>
        <w:t xml:space="preserve">inevitably </w:t>
      </w:r>
      <w:r w:rsidRPr="00265EB9">
        <w:rPr>
          <w:sz w:val="24"/>
          <w:szCs w:val="24"/>
        </w:rPr>
        <w:t>occur</w:t>
      </w:r>
      <w:r w:rsidR="00362715">
        <w:rPr>
          <w:sz w:val="24"/>
          <w:szCs w:val="24"/>
        </w:rPr>
        <w:t>s</w:t>
      </w:r>
      <w:r w:rsidRPr="00265EB9">
        <w:rPr>
          <w:sz w:val="24"/>
          <w:szCs w:val="24"/>
        </w:rPr>
        <w:t xml:space="preserve"> </w:t>
      </w:r>
      <w:r w:rsidR="00362715">
        <w:rPr>
          <w:sz w:val="24"/>
          <w:szCs w:val="24"/>
        </w:rPr>
        <w:t xml:space="preserve">utilizing </w:t>
      </w:r>
      <w:r w:rsidRPr="00265EB9">
        <w:rPr>
          <w:sz w:val="24"/>
          <w:szCs w:val="24"/>
        </w:rPr>
        <w:t>a two-st</w:t>
      </w:r>
      <w:r w:rsidR="00362715">
        <w:rPr>
          <w:sz w:val="24"/>
          <w:szCs w:val="24"/>
        </w:rPr>
        <w:t>age</w:t>
      </w:r>
      <w:r w:rsidRPr="00265EB9">
        <w:rPr>
          <w:sz w:val="24"/>
          <w:szCs w:val="24"/>
        </w:rPr>
        <w:t xml:space="preserve"> process. As summarized in the following table</w:t>
      </w:r>
      <w:r w:rsidR="00B23C97">
        <w:rPr>
          <w:sz w:val="24"/>
          <w:szCs w:val="24"/>
        </w:rPr>
        <w:t xml:space="preserve"> </w:t>
      </w:r>
      <w:r w:rsidRPr="00346849" w:rsidR="00B23C97">
        <w:rPr>
          <w:sz w:val="24"/>
          <w:szCs w:val="24"/>
        </w:rPr>
        <w:t>(Table 1)</w:t>
      </w:r>
      <w:r w:rsidRPr="00346849">
        <w:rPr>
          <w:sz w:val="24"/>
          <w:szCs w:val="24"/>
        </w:rPr>
        <w:t>,</w:t>
      </w:r>
      <w:r w:rsidRPr="00265EB9">
        <w:rPr>
          <w:sz w:val="24"/>
          <w:szCs w:val="24"/>
        </w:rPr>
        <w:t xml:space="preserve"> </w:t>
      </w:r>
      <w:r w:rsidR="006E2121">
        <w:rPr>
          <w:sz w:val="24"/>
          <w:szCs w:val="24"/>
        </w:rPr>
        <w:t>Ipsos’</w:t>
      </w:r>
      <w:r w:rsidRPr="00265EB9" w:rsidR="006E2121">
        <w:rPr>
          <w:sz w:val="24"/>
          <w:szCs w:val="24"/>
        </w:rPr>
        <w:t xml:space="preserve"> </w:t>
      </w:r>
      <w:r w:rsidRPr="00265EB9">
        <w:rPr>
          <w:sz w:val="24"/>
          <w:szCs w:val="24"/>
        </w:rPr>
        <w:t xml:space="preserve">experience with </w:t>
      </w:r>
      <w:r w:rsidRPr="00265EB9" w:rsidR="00BA11A0">
        <w:rPr>
          <w:sz w:val="24"/>
          <w:szCs w:val="24"/>
        </w:rPr>
        <w:t xml:space="preserve">similar </w:t>
      </w:r>
      <w:r w:rsidRPr="00265EB9">
        <w:rPr>
          <w:sz w:val="24"/>
          <w:szCs w:val="24"/>
        </w:rPr>
        <w:t xml:space="preserve">past KP surveys suggests that a total of 29,000 households </w:t>
      </w:r>
      <w:r w:rsidR="00362715">
        <w:rPr>
          <w:sz w:val="24"/>
          <w:szCs w:val="24"/>
        </w:rPr>
        <w:t>will need to</w:t>
      </w:r>
      <w:r w:rsidRPr="00265EB9">
        <w:rPr>
          <w:sz w:val="24"/>
          <w:szCs w:val="24"/>
        </w:rPr>
        <w:t xml:space="preserve"> be sampled to ensure no less than 7,500 </w:t>
      </w:r>
      <w:r w:rsidRPr="00265EB9" w:rsidR="00E603BC">
        <w:rPr>
          <w:sz w:val="24"/>
          <w:szCs w:val="24"/>
        </w:rPr>
        <w:t>survey</w:t>
      </w:r>
      <w:r w:rsidR="00AF7B99">
        <w:rPr>
          <w:sz w:val="24"/>
          <w:szCs w:val="24"/>
        </w:rPr>
        <w:t>s</w:t>
      </w:r>
      <w:r w:rsidRPr="00265EB9" w:rsidR="00E603BC">
        <w:rPr>
          <w:sz w:val="24"/>
          <w:szCs w:val="24"/>
        </w:rPr>
        <w:t xml:space="preserve"> </w:t>
      </w:r>
      <w:r w:rsidR="006E2121">
        <w:rPr>
          <w:sz w:val="24"/>
          <w:szCs w:val="24"/>
        </w:rPr>
        <w:t xml:space="preserve">are </w:t>
      </w:r>
      <w:r w:rsidRPr="00265EB9">
        <w:rPr>
          <w:sz w:val="24"/>
          <w:szCs w:val="24"/>
        </w:rPr>
        <w:t>completed for the NHTS 2020.</w:t>
      </w:r>
      <w:r w:rsidRPr="00265EB9" w:rsidR="00544865">
        <w:rPr>
          <w:sz w:val="24"/>
          <w:szCs w:val="24"/>
        </w:rPr>
        <w:t xml:space="preserve"> </w:t>
      </w:r>
      <w:r w:rsidR="00840479">
        <w:rPr>
          <w:sz w:val="24"/>
          <w:szCs w:val="24"/>
        </w:rPr>
        <w:t>Table</w:t>
      </w:r>
      <w:r w:rsidRPr="00265EB9" w:rsidR="00544865">
        <w:rPr>
          <w:sz w:val="24"/>
          <w:szCs w:val="24"/>
        </w:rPr>
        <w:t xml:space="preserve"> </w:t>
      </w:r>
      <w:r w:rsidR="002438CE">
        <w:rPr>
          <w:sz w:val="24"/>
          <w:szCs w:val="24"/>
        </w:rPr>
        <w:t>2</w:t>
      </w:r>
      <w:r w:rsidR="00807E0D">
        <w:rPr>
          <w:sz w:val="24"/>
          <w:szCs w:val="24"/>
        </w:rPr>
        <w:t xml:space="preserve"> </w:t>
      </w:r>
      <w:r w:rsidRPr="00265EB9" w:rsidR="00E945BB">
        <w:rPr>
          <w:sz w:val="24"/>
          <w:szCs w:val="24"/>
        </w:rPr>
        <w:t xml:space="preserve">details the universe, expected sample size, and expected number of </w:t>
      </w:r>
      <w:r w:rsidR="00F10E00">
        <w:rPr>
          <w:sz w:val="24"/>
          <w:szCs w:val="24"/>
        </w:rPr>
        <w:t>respondents</w:t>
      </w:r>
      <w:r w:rsidRPr="00265EB9" w:rsidR="00E945BB">
        <w:rPr>
          <w:sz w:val="24"/>
          <w:szCs w:val="24"/>
        </w:rPr>
        <w:t xml:space="preserve"> by </w:t>
      </w:r>
      <w:r w:rsidR="002438CE">
        <w:rPr>
          <w:sz w:val="24"/>
          <w:szCs w:val="24"/>
        </w:rPr>
        <w:t>the Census division</w:t>
      </w:r>
      <w:r w:rsidRPr="00265EB9" w:rsidR="00E945BB">
        <w:rPr>
          <w:sz w:val="24"/>
          <w:szCs w:val="24"/>
        </w:rPr>
        <w:t xml:space="preserve">. </w:t>
      </w:r>
    </w:p>
    <w:p w:rsidR="00AD571D" w:rsidP="00D96A33" w:rsidRDefault="00AD571D" w14:paraId="1CD9E435" w14:textId="6E147F3F">
      <w:pPr>
        <w:spacing w:before="120" w:after="120" w:line="240" w:lineRule="auto"/>
        <w:rPr>
          <w:sz w:val="24"/>
          <w:szCs w:val="24"/>
        </w:rPr>
      </w:pPr>
    </w:p>
    <w:p w:rsidR="00AD571D" w:rsidP="00D96A33" w:rsidRDefault="00AD571D" w14:paraId="2362845B" w14:textId="157C6343">
      <w:pPr>
        <w:spacing w:before="120" w:after="120" w:line="240" w:lineRule="auto"/>
        <w:rPr>
          <w:sz w:val="24"/>
          <w:szCs w:val="24"/>
        </w:rPr>
      </w:pPr>
    </w:p>
    <w:p w:rsidR="00AD571D" w:rsidP="00D96A33" w:rsidRDefault="00AD571D" w14:paraId="5FF8D0C3" w14:textId="676DB75B">
      <w:pPr>
        <w:spacing w:before="120" w:after="120" w:line="240" w:lineRule="auto"/>
        <w:rPr>
          <w:sz w:val="24"/>
          <w:szCs w:val="24"/>
        </w:rPr>
      </w:pPr>
    </w:p>
    <w:p w:rsidR="00AD571D" w:rsidP="00D96A33" w:rsidRDefault="00AD571D" w14:paraId="77201B30" w14:textId="25BFE751">
      <w:pPr>
        <w:spacing w:before="120" w:after="120" w:line="240" w:lineRule="auto"/>
        <w:rPr>
          <w:sz w:val="24"/>
          <w:szCs w:val="24"/>
        </w:rPr>
      </w:pPr>
    </w:p>
    <w:p w:rsidR="00AD571D" w:rsidP="00D96A33" w:rsidRDefault="00AD571D" w14:paraId="4E19D109" w14:textId="4F753277">
      <w:pPr>
        <w:spacing w:before="120" w:after="120" w:line="240" w:lineRule="auto"/>
        <w:rPr>
          <w:sz w:val="24"/>
          <w:szCs w:val="24"/>
        </w:rPr>
      </w:pPr>
    </w:p>
    <w:p w:rsidR="00AD571D" w:rsidP="00D96A33" w:rsidRDefault="00AD571D" w14:paraId="5E1DE428" w14:textId="3BC6C612">
      <w:pPr>
        <w:spacing w:before="120" w:after="120" w:line="240" w:lineRule="auto"/>
        <w:rPr>
          <w:sz w:val="24"/>
          <w:szCs w:val="24"/>
        </w:rPr>
      </w:pPr>
    </w:p>
    <w:p w:rsidR="00AD571D" w:rsidP="00D96A33" w:rsidRDefault="00AD571D" w14:paraId="53A97DD3" w14:textId="284CE6F7">
      <w:pPr>
        <w:spacing w:before="120" w:after="120" w:line="240" w:lineRule="auto"/>
        <w:rPr>
          <w:sz w:val="24"/>
          <w:szCs w:val="24"/>
        </w:rPr>
      </w:pPr>
    </w:p>
    <w:p w:rsidR="00AD571D" w:rsidP="00D96A33" w:rsidRDefault="00AD571D" w14:paraId="29454702" w14:textId="61C1D0D2">
      <w:pPr>
        <w:spacing w:before="120" w:after="120" w:line="240" w:lineRule="auto"/>
        <w:rPr>
          <w:sz w:val="24"/>
          <w:szCs w:val="24"/>
        </w:rPr>
      </w:pPr>
    </w:p>
    <w:p w:rsidR="00AD571D" w:rsidP="00D96A33" w:rsidRDefault="00AD571D" w14:paraId="6374F1DC" w14:textId="186F8281">
      <w:pPr>
        <w:spacing w:before="120" w:after="120" w:line="240" w:lineRule="auto"/>
        <w:rPr>
          <w:sz w:val="24"/>
          <w:szCs w:val="24"/>
        </w:rPr>
      </w:pPr>
    </w:p>
    <w:p w:rsidR="00AD571D" w:rsidP="00D96A33" w:rsidRDefault="00AD571D" w14:paraId="08EE52D4" w14:textId="39EC38D4">
      <w:pPr>
        <w:spacing w:before="120" w:after="120" w:line="240" w:lineRule="auto"/>
        <w:rPr>
          <w:sz w:val="24"/>
          <w:szCs w:val="24"/>
        </w:rPr>
      </w:pPr>
    </w:p>
    <w:p w:rsidR="00AD571D" w:rsidP="00D96A33" w:rsidRDefault="00AD571D" w14:paraId="364CDE21" w14:textId="3DF26BE9">
      <w:pPr>
        <w:spacing w:before="120" w:after="120" w:line="240" w:lineRule="auto"/>
        <w:rPr>
          <w:sz w:val="24"/>
          <w:szCs w:val="24"/>
        </w:rPr>
      </w:pPr>
    </w:p>
    <w:p w:rsidR="00AD571D" w:rsidP="00D96A33" w:rsidRDefault="00AD571D" w14:paraId="18228DE8" w14:textId="00AAC2F8">
      <w:pPr>
        <w:spacing w:before="120" w:after="120" w:line="240" w:lineRule="auto"/>
        <w:rPr>
          <w:sz w:val="24"/>
          <w:szCs w:val="24"/>
        </w:rPr>
      </w:pPr>
    </w:p>
    <w:p w:rsidRPr="00265EB9" w:rsidR="00AD571D" w:rsidP="00D96A33" w:rsidRDefault="00AD571D" w14:paraId="320654B9" w14:textId="77777777">
      <w:pPr>
        <w:spacing w:before="120" w:after="120" w:line="240" w:lineRule="auto"/>
        <w:rPr>
          <w:sz w:val="24"/>
          <w:szCs w:val="24"/>
        </w:rPr>
      </w:pPr>
    </w:p>
    <w:p w:rsidRPr="00571EFD" w:rsidR="00D96A33" w:rsidP="00D96A33" w:rsidRDefault="00D96A33" w14:paraId="3F3573C5" w14:textId="77777777">
      <w:pPr>
        <w:pStyle w:val="P1-StandPara"/>
        <w:tabs>
          <w:tab w:val="left" w:pos="720"/>
        </w:tabs>
        <w:spacing w:before="240" w:after="120" w:line="240" w:lineRule="auto"/>
        <w:ind w:firstLine="0"/>
        <w:rPr>
          <w:rFonts w:eastAsiaTheme="minorHAnsi"/>
          <w:b/>
          <w:bCs/>
          <w:color w:val="auto"/>
          <w:sz w:val="24"/>
          <w:szCs w:val="24"/>
        </w:rPr>
      </w:pPr>
      <w:r w:rsidRPr="00571EFD">
        <w:rPr>
          <w:rFonts w:eastAsiaTheme="minorHAnsi"/>
          <w:b/>
          <w:bCs/>
          <w:color w:val="auto"/>
          <w:sz w:val="24"/>
          <w:szCs w:val="24"/>
        </w:rPr>
        <w:lastRenderedPageBreak/>
        <w:t>Table 1. Universe size and sampling assumptions</w:t>
      </w:r>
    </w:p>
    <w:tbl>
      <w:tblPr>
        <w:tblStyle w:val="TableGrid"/>
        <w:tblW w:w="5000" w:type="pct"/>
        <w:tblLook w:val="04A0" w:firstRow="1" w:lastRow="0" w:firstColumn="1" w:lastColumn="0" w:noHBand="0" w:noVBand="1"/>
      </w:tblPr>
      <w:tblGrid>
        <w:gridCol w:w="5318"/>
        <w:gridCol w:w="4032"/>
      </w:tblGrid>
      <w:tr w:rsidRPr="00265EB9" w:rsidR="00D96A33" w:rsidTr="00097613" w14:paraId="6643CDFF" w14:textId="77777777">
        <w:trPr>
          <w:trHeight w:val="288"/>
        </w:trPr>
        <w:tc>
          <w:tcPr>
            <w:tcW w:w="2844" w:type="pct"/>
          </w:tcPr>
          <w:p w:rsidRPr="00265EB9" w:rsidR="00D96A33" w:rsidP="00097613" w:rsidRDefault="00D96A33" w14:paraId="00A722AA" w14:textId="77777777">
            <w:pPr>
              <w:pStyle w:val="P1-StandPara"/>
              <w:tabs>
                <w:tab w:val="left" w:pos="720"/>
              </w:tabs>
              <w:spacing w:line="240" w:lineRule="auto"/>
              <w:ind w:firstLine="0"/>
              <w:jc w:val="center"/>
              <w:rPr>
                <w:b/>
                <w:szCs w:val="24"/>
              </w:rPr>
            </w:pPr>
            <w:r w:rsidRPr="00265EB9">
              <w:rPr>
                <w:b/>
                <w:szCs w:val="24"/>
              </w:rPr>
              <w:t>Description</w:t>
            </w:r>
          </w:p>
        </w:tc>
        <w:tc>
          <w:tcPr>
            <w:tcW w:w="2156" w:type="pct"/>
          </w:tcPr>
          <w:p w:rsidRPr="00265EB9" w:rsidR="00D96A33" w:rsidP="00097613" w:rsidRDefault="00D96A33" w14:paraId="26E97BEC" w14:textId="77777777">
            <w:pPr>
              <w:pStyle w:val="P1-StandPara"/>
              <w:tabs>
                <w:tab w:val="left" w:pos="720"/>
              </w:tabs>
              <w:spacing w:line="240" w:lineRule="auto"/>
              <w:ind w:firstLine="0"/>
              <w:jc w:val="center"/>
              <w:rPr>
                <w:b/>
                <w:szCs w:val="24"/>
              </w:rPr>
            </w:pPr>
            <w:r w:rsidRPr="00265EB9">
              <w:rPr>
                <w:b/>
                <w:szCs w:val="24"/>
              </w:rPr>
              <w:t>Households</w:t>
            </w:r>
          </w:p>
        </w:tc>
      </w:tr>
      <w:tr w:rsidRPr="00265EB9" w:rsidR="00D96A33" w:rsidTr="00097613" w14:paraId="363CE03F" w14:textId="77777777">
        <w:trPr>
          <w:trHeight w:val="288"/>
        </w:trPr>
        <w:tc>
          <w:tcPr>
            <w:tcW w:w="2844" w:type="pct"/>
          </w:tcPr>
          <w:p w:rsidRPr="00265EB9" w:rsidR="00D96A33" w:rsidP="00097613" w:rsidRDefault="00D96A33" w14:paraId="52429CFE" w14:textId="30309EAF">
            <w:pPr>
              <w:pStyle w:val="P1-StandPara"/>
              <w:tabs>
                <w:tab w:val="left" w:pos="720"/>
              </w:tabs>
              <w:spacing w:line="240" w:lineRule="auto"/>
              <w:ind w:firstLine="0"/>
              <w:rPr>
                <w:szCs w:val="24"/>
              </w:rPr>
            </w:pPr>
            <w:r w:rsidRPr="00265EB9">
              <w:rPr>
                <w:szCs w:val="24"/>
              </w:rPr>
              <w:t>Total U</w:t>
            </w:r>
            <w:r w:rsidR="00AF7B99">
              <w:rPr>
                <w:szCs w:val="24"/>
              </w:rPr>
              <w:t>.</w:t>
            </w:r>
            <w:r w:rsidRPr="00265EB9">
              <w:rPr>
                <w:szCs w:val="24"/>
              </w:rPr>
              <w:t>S</w:t>
            </w:r>
            <w:r w:rsidR="00AF7B99">
              <w:rPr>
                <w:szCs w:val="24"/>
              </w:rPr>
              <w:t>.</w:t>
            </w:r>
          </w:p>
        </w:tc>
        <w:tc>
          <w:tcPr>
            <w:tcW w:w="2156" w:type="pct"/>
          </w:tcPr>
          <w:p w:rsidRPr="00265EB9" w:rsidR="00D96A33" w:rsidP="00865E46" w:rsidRDefault="00D96A33" w14:paraId="608DAD43" w14:textId="77777777">
            <w:pPr>
              <w:pStyle w:val="P1-StandPara"/>
              <w:tabs>
                <w:tab w:val="clear" w:pos="1152"/>
              </w:tabs>
              <w:spacing w:line="240" w:lineRule="auto"/>
              <w:ind w:right="1335" w:firstLine="0"/>
              <w:jc w:val="right"/>
              <w:rPr>
                <w:szCs w:val="24"/>
              </w:rPr>
            </w:pPr>
            <w:r w:rsidRPr="00265EB9">
              <w:rPr>
                <w:color w:val="000000"/>
                <w:szCs w:val="24"/>
              </w:rPr>
              <w:t>128,617,574</w:t>
            </w:r>
          </w:p>
        </w:tc>
      </w:tr>
      <w:tr w:rsidRPr="00265EB9" w:rsidR="00D96A33" w:rsidTr="00097613" w14:paraId="75957C64" w14:textId="77777777">
        <w:trPr>
          <w:trHeight w:val="288"/>
        </w:trPr>
        <w:tc>
          <w:tcPr>
            <w:tcW w:w="2844" w:type="pct"/>
          </w:tcPr>
          <w:p w:rsidRPr="00265EB9" w:rsidR="00D96A33" w:rsidP="00097613" w:rsidRDefault="00D96A33" w14:paraId="5873A2DB" w14:textId="77777777">
            <w:pPr>
              <w:pStyle w:val="P1-StandPara"/>
              <w:tabs>
                <w:tab w:val="left" w:pos="720"/>
              </w:tabs>
              <w:spacing w:line="240" w:lineRule="auto"/>
              <w:ind w:firstLine="0"/>
              <w:rPr>
                <w:szCs w:val="24"/>
              </w:rPr>
            </w:pPr>
            <w:r w:rsidRPr="00265EB9">
              <w:rPr>
                <w:szCs w:val="24"/>
              </w:rPr>
              <w:t>Starting sample from KP</w:t>
            </w:r>
          </w:p>
        </w:tc>
        <w:tc>
          <w:tcPr>
            <w:tcW w:w="2156" w:type="pct"/>
          </w:tcPr>
          <w:p w:rsidRPr="00265EB9" w:rsidR="00D96A33" w:rsidP="00865E46" w:rsidRDefault="00D96A33" w14:paraId="673BA0D2" w14:textId="77777777">
            <w:pPr>
              <w:pStyle w:val="P1-StandPara"/>
              <w:tabs>
                <w:tab w:val="clear" w:pos="1152"/>
              </w:tabs>
              <w:spacing w:line="240" w:lineRule="auto"/>
              <w:ind w:right="1335" w:firstLine="0"/>
              <w:jc w:val="right"/>
              <w:rPr>
                <w:szCs w:val="24"/>
              </w:rPr>
            </w:pPr>
            <w:r w:rsidRPr="00265EB9">
              <w:rPr>
                <w:szCs w:val="24"/>
              </w:rPr>
              <w:t>29,000</w:t>
            </w:r>
          </w:p>
        </w:tc>
      </w:tr>
      <w:tr w:rsidRPr="00265EB9" w:rsidR="00D96A33" w:rsidTr="00097613" w14:paraId="444F09E6" w14:textId="77777777">
        <w:trPr>
          <w:trHeight w:val="288"/>
        </w:trPr>
        <w:tc>
          <w:tcPr>
            <w:tcW w:w="2844" w:type="pct"/>
          </w:tcPr>
          <w:p w:rsidRPr="00265EB9" w:rsidR="00D96A33" w:rsidP="00097613" w:rsidRDefault="00D96A33" w14:paraId="02D1FBF2" w14:textId="77777777">
            <w:pPr>
              <w:pStyle w:val="P1-StandPara"/>
              <w:tabs>
                <w:tab w:val="left" w:pos="720"/>
              </w:tabs>
              <w:spacing w:line="240" w:lineRule="auto"/>
              <w:ind w:firstLine="0"/>
              <w:rPr>
                <w:szCs w:val="24"/>
              </w:rPr>
            </w:pPr>
            <w:r w:rsidRPr="00265EB9">
              <w:rPr>
                <w:szCs w:val="24"/>
              </w:rPr>
              <w:t>Completed NHTS 2020 surveys</w:t>
            </w:r>
          </w:p>
        </w:tc>
        <w:tc>
          <w:tcPr>
            <w:tcW w:w="2156" w:type="pct"/>
          </w:tcPr>
          <w:p w:rsidRPr="00265EB9" w:rsidR="00D96A33" w:rsidP="00865E46" w:rsidRDefault="00D96A33" w14:paraId="4CBB30E1" w14:textId="77777777">
            <w:pPr>
              <w:pStyle w:val="P1-StandPara"/>
              <w:tabs>
                <w:tab w:val="clear" w:pos="1152"/>
              </w:tabs>
              <w:spacing w:line="240" w:lineRule="auto"/>
              <w:ind w:right="1335" w:firstLine="0"/>
              <w:jc w:val="right"/>
              <w:rPr>
                <w:szCs w:val="24"/>
              </w:rPr>
            </w:pPr>
            <w:r w:rsidRPr="00265EB9">
              <w:rPr>
                <w:szCs w:val="24"/>
              </w:rPr>
              <w:t>7,500</w:t>
            </w:r>
          </w:p>
        </w:tc>
      </w:tr>
    </w:tbl>
    <w:p w:rsidRPr="00571EFD" w:rsidR="00E90989" w:rsidP="00571EFD" w:rsidRDefault="002438CE" w14:paraId="6B94173D" w14:textId="60F2D4B0">
      <w:pPr>
        <w:pStyle w:val="P1-StandPara"/>
        <w:tabs>
          <w:tab w:val="left" w:pos="720"/>
        </w:tabs>
        <w:spacing w:before="240" w:after="120" w:line="240" w:lineRule="auto"/>
        <w:ind w:firstLine="0"/>
        <w:rPr>
          <w:rFonts w:eastAsiaTheme="minorHAnsi"/>
          <w:b/>
          <w:bCs/>
          <w:color w:val="auto"/>
          <w:sz w:val="24"/>
          <w:szCs w:val="24"/>
        </w:rPr>
      </w:pPr>
      <w:r w:rsidRPr="00571EFD">
        <w:rPr>
          <w:rFonts w:eastAsiaTheme="minorHAnsi"/>
          <w:b/>
          <w:bCs/>
          <w:color w:val="auto"/>
          <w:sz w:val="24"/>
          <w:szCs w:val="24"/>
        </w:rPr>
        <w:t xml:space="preserve">Table 2. </w:t>
      </w:r>
      <w:r w:rsidRPr="00571EFD" w:rsidR="00E90989">
        <w:rPr>
          <w:rFonts w:eastAsiaTheme="minorHAnsi"/>
          <w:b/>
          <w:bCs/>
          <w:color w:val="auto"/>
          <w:sz w:val="24"/>
          <w:szCs w:val="24"/>
        </w:rPr>
        <w:t>U</w:t>
      </w:r>
      <w:r w:rsidRPr="00571EFD" w:rsidR="00AF7B99">
        <w:rPr>
          <w:rFonts w:eastAsiaTheme="minorHAnsi"/>
          <w:b/>
          <w:bCs/>
          <w:color w:val="auto"/>
          <w:sz w:val="24"/>
          <w:szCs w:val="24"/>
        </w:rPr>
        <w:t>.</w:t>
      </w:r>
      <w:r w:rsidRPr="00571EFD" w:rsidR="00E90989">
        <w:rPr>
          <w:rFonts w:eastAsiaTheme="minorHAnsi"/>
          <w:b/>
          <w:bCs/>
          <w:color w:val="auto"/>
          <w:sz w:val="24"/>
          <w:szCs w:val="24"/>
        </w:rPr>
        <w:t>S</w:t>
      </w:r>
      <w:r w:rsidRPr="00571EFD" w:rsidR="00AF7B99">
        <w:rPr>
          <w:rFonts w:eastAsiaTheme="minorHAnsi"/>
          <w:b/>
          <w:bCs/>
          <w:color w:val="auto"/>
          <w:sz w:val="24"/>
          <w:szCs w:val="24"/>
        </w:rPr>
        <w:t>.</w:t>
      </w:r>
      <w:r w:rsidRPr="00571EFD" w:rsidR="00E90989">
        <w:rPr>
          <w:rFonts w:eastAsiaTheme="minorHAnsi"/>
          <w:b/>
          <w:bCs/>
          <w:color w:val="auto"/>
          <w:sz w:val="24"/>
          <w:szCs w:val="24"/>
        </w:rPr>
        <w:t xml:space="preserve"> household counts and expected sample size and completed surveys by division</w:t>
      </w:r>
    </w:p>
    <w:tbl>
      <w:tblPr>
        <w:tblW w:w="5000" w:type="pct"/>
        <w:tblLook w:val="04A0" w:firstRow="1" w:lastRow="0" w:firstColumn="1" w:lastColumn="0" w:noHBand="0" w:noVBand="1"/>
      </w:tblPr>
      <w:tblGrid>
        <w:gridCol w:w="2577"/>
        <w:gridCol w:w="1864"/>
        <w:gridCol w:w="1318"/>
        <w:gridCol w:w="1588"/>
        <w:gridCol w:w="2003"/>
      </w:tblGrid>
      <w:tr w:rsidRPr="00B72B55" w:rsidR="00B72B55" w:rsidTr="00F10E00" w14:paraId="713C7AC4" w14:textId="77777777">
        <w:trPr>
          <w:trHeight w:val="276"/>
        </w:trPr>
        <w:tc>
          <w:tcPr>
            <w:tcW w:w="137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72B55" w:rsidR="00B72B55" w:rsidP="00013FBF" w:rsidRDefault="00B72B55" w14:paraId="09938AFF" w14:textId="77777777">
            <w:pPr>
              <w:tabs>
                <w:tab w:val="clear" w:pos="1152"/>
              </w:tabs>
              <w:spacing w:line="240" w:lineRule="auto"/>
              <w:jc w:val="center"/>
              <w:rPr>
                <w:b/>
                <w:bCs/>
                <w:color w:val="000000"/>
              </w:rPr>
            </w:pPr>
            <w:r w:rsidRPr="00B72B55">
              <w:rPr>
                <w:b/>
                <w:bCs/>
                <w:color w:val="000000"/>
              </w:rPr>
              <w:t>Census Division</w:t>
            </w:r>
          </w:p>
        </w:tc>
        <w:tc>
          <w:tcPr>
            <w:tcW w:w="3622" w:type="pct"/>
            <w:gridSpan w:val="4"/>
            <w:tcBorders>
              <w:top w:val="single" w:color="auto" w:sz="4" w:space="0"/>
              <w:left w:val="nil"/>
              <w:bottom w:val="single" w:color="auto" w:sz="4" w:space="0"/>
              <w:right w:val="single" w:color="auto" w:sz="4" w:space="0"/>
            </w:tcBorders>
            <w:shd w:val="clear" w:color="auto" w:fill="auto"/>
            <w:noWrap/>
            <w:vAlign w:val="center"/>
            <w:hideMark/>
          </w:tcPr>
          <w:p w:rsidRPr="00B72B55" w:rsidR="00B72B55" w:rsidRDefault="00B72B55" w14:paraId="7C480032" w14:textId="77777777">
            <w:pPr>
              <w:tabs>
                <w:tab w:val="clear" w:pos="1152"/>
              </w:tabs>
              <w:spacing w:line="240" w:lineRule="auto"/>
              <w:jc w:val="center"/>
              <w:rPr>
                <w:b/>
                <w:bCs/>
                <w:color w:val="000000"/>
              </w:rPr>
            </w:pPr>
            <w:r w:rsidRPr="00B72B55">
              <w:rPr>
                <w:b/>
                <w:bCs/>
                <w:color w:val="000000"/>
              </w:rPr>
              <w:t>Households</w:t>
            </w:r>
          </w:p>
        </w:tc>
      </w:tr>
      <w:tr w:rsidRPr="00B72B55" w:rsidR="00B72B55" w:rsidTr="00F10E00" w14:paraId="57CE9617" w14:textId="77777777">
        <w:trPr>
          <w:trHeight w:val="276"/>
        </w:trPr>
        <w:tc>
          <w:tcPr>
            <w:tcW w:w="1378" w:type="pct"/>
            <w:vMerge/>
            <w:tcBorders>
              <w:top w:val="single" w:color="auto" w:sz="4" w:space="0"/>
              <w:left w:val="single" w:color="auto" w:sz="4" w:space="0"/>
              <w:bottom w:val="single" w:color="auto" w:sz="4" w:space="0"/>
              <w:right w:val="single" w:color="auto" w:sz="4" w:space="0"/>
            </w:tcBorders>
            <w:vAlign w:val="center"/>
            <w:hideMark/>
          </w:tcPr>
          <w:p w:rsidRPr="00B72B55" w:rsidR="00B72B55" w:rsidP="00F10E00" w:rsidRDefault="00B72B55" w14:paraId="383EB41B" w14:textId="77777777">
            <w:pPr>
              <w:tabs>
                <w:tab w:val="clear" w:pos="1152"/>
              </w:tabs>
              <w:spacing w:line="240" w:lineRule="auto"/>
              <w:jc w:val="center"/>
              <w:rPr>
                <w:b/>
                <w:bCs/>
                <w:color w:val="000000"/>
              </w:rPr>
            </w:pPr>
          </w:p>
        </w:tc>
        <w:tc>
          <w:tcPr>
            <w:tcW w:w="1701" w:type="pct"/>
            <w:gridSpan w:val="2"/>
            <w:tcBorders>
              <w:top w:val="single" w:color="auto" w:sz="4" w:space="0"/>
              <w:left w:val="nil"/>
              <w:bottom w:val="single" w:color="auto" w:sz="4" w:space="0"/>
              <w:right w:val="single" w:color="auto" w:sz="4" w:space="0"/>
            </w:tcBorders>
            <w:shd w:val="clear" w:color="auto" w:fill="auto"/>
            <w:noWrap/>
            <w:vAlign w:val="center"/>
            <w:hideMark/>
          </w:tcPr>
          <w:p w:rsidRPr="00B72B55" w:rsidR="00B72B55" w:rsidP="00013FBF" w:rsidRDefault="00B72B55" w14:paraId="58902FDF" w14:textId="77777777">
            <w:pPr>
              <w:tabs>
                <w:tab w:val="clear" w:pos="1152"/>
              </w:tabs>
              <w:spacing w:line="240" w:lineRule="auto"/>
              <w:jc w:val="center"/>
              <w:rPr>
                <w:b/>
                <w:bCs/>
                <w:color w:val="000000"/>
              </w:rPr>
            </w:pPr>
            <w:r w:rsidRPr="00B72B55">
              <w:rPr>
                <w:b/>
                <w:bCs/>
                <w:color w:val="000000"/>
              </w:rPr>
              <w:t>Total US</w:t>
            </w:r>
          </w:p>
        </w:tc>
        <w:tc>
          <w:tcPr>
            <w:tcW w:w="849" w:type="pct"/>
            <w:tcBorders>
              <w:top w:val="nil"/>
              <w:left w:val="nil"/>
              <w:bottom w:val="single" w:color="auto" w:sz="4" w:space="0"/>
              <w:right w:val="single" w:color="auto" w:sz="4" w:space="0"/>
            </w:tcBorders>
            <w:shd w:val="clear" w:color="auto" w:fill="auto"/>
            <w:noWrap/>
            <w:vAlign w:val="center"/>
            <w:hideMark/>
          </w:tcPr>
          <w:p w:rsidRPr="00B72B55" w:rsidR="00B72B55" w:rsidP="00F10E00" w:rsidRDefault="00B72B55" w14:paraId="2E896377" w14:textId="77777777">
            <w:pPr>
              <w:tabs>
                <w:tab w:val="clear" w:pos="1152"/>
              </w:tabs>
              <w:spacing w:line="240" w:lineRule="auto"/>
              <w:jc w:val="center"/>
              <w:rPr>
                <w:b/>
                <w:bCs/>
                <w:color w:val="000000"/>
              </w:rPr>
            </w:pPr>
            <w:r w:rsidRPr="00B72B55">
              <w:rPr>
                <w:b/>
                <w:bCs/>
                <w:color w:val="000000"/>
              </w:rPr>
              <w:t>KP Sample</w:t>
            </w:r>
          </w:p>
        </w:tc>
        <w:tc>
          <w:tcPr>
            <w:tcW w:w="1071" w:type="pct"/>
            <w:tcBorders>
              <w:top w:val="nil"/>
              <w:left w:val="nil"/>
              <w:bottom w:val="single" w:color="auto" w:sz="4" w:space="0"/>
              <w:right w:val="single" w:color="auto" w:sz="4" w:space="0"/>
            </w:tcBorders>
            <w:shd w:val="clear" w:color="auto" w:fill="auto"/>
            <w:noWrap/>
            <w:vAlign w:val="center"/>
            <w:hideMark/>
          </w:tcPr>
          <w:p w:rsidRPr="00B72B55" w:rsidR="00B72B55" w:rsidP="00F10E00" w:rsidRDefault="00B72B55" w14:paraId="67B9A3D2" w14:textId="77777777">
            <w:pPr>
              <w:tabs>
                <w:tab w:val="clear" w:pos="1152"/>
              </w:tabs>
              <w:spacing w:line="240" w:lineRule="auto"/>
              <w:jc w:val="center"/>
              <w:rPr>
                <w:b/>
                <w:bCs/>
                <w:color w:val="000000"/>
              </w:rPr>
            </w:pPr>
            <w:r w:rsidRPr="00B72B55">
              <w:rPr>
                <w:b/>
                <w:bCs/>
                <w:color w:val="000000"/>
              </w:rPr>
              <w:t>Respondents</w:t>
            </w:r>
          </w:p>
        </w:tc>
      </w:tr>
      <w:tr w:rsidRPr="00B72B55" w:rsidR="00B72B55" w:rsidTr="00F10E00" w14:paraId="45941730" w14:textId="77777777">
        <w:trPr>
          <w:trHeight w:val="276"/>
        </w:trPr>
        <w:tc>
          <w:tcPr>
            <w:tcW w:w="1378" w:type="pct"/>
            <w:tcBorders>
              <w:top w:val="nil"/>
              <w:left w:val="single" w:color="auto" w:sz="4" w:space="0"/>
              <w:bottom w:val="nil"/>
              <w:right w:val="single" w:color="auto" w:sz="4" w:space="0"/>
            </w:tcBorders>
            <w:shd w:val="clear" w:color="auto" w:fill="auto"/>
            <w:noWrap/>
            <w:vAlign w:val="center"/>
            <w:hideMark/>
          </w:tcPr>
          <w:p w:rsidRPr="00B72B55" w:rsidR="00B72B55" w:rsidP="00B72B55" w:rsidRDefault="00B72B55" w14:paraId="2B60D24A" w14:textId="77777777">
            <w:pPr>
              <w:tabs>
                <w:tab w:val="clear" w:pos="1152"/>
              </w:tabs>
              <w:spacing w:line="240" w:lineRule="auto"/>
              <w:rPr>
                <w:color w:val="000000"/>
              </w:rPr>
            </w:pPr>
            <w:r w:rsidRPr="00B72B55">
              <w:rPr>
                <w:color w:val="000000"/>
              </w:rPr>
              <w:t>East North Central</w:t>
            </w:r>
          </w:p>
        </w:tc>
        <w:tc>
          <w:tcPr>
            <w:tcW w:w="997" w:type="pct"/>
            <w:tcBorders>
              <w:top w:val="nil"/>
              <w:left w:val="nil"/>
              <w:bottom w:val="nil"/>
              <w:right w:val="single" w:color="auto" w:sz="4" w:space="0"/>
            </w:tcBorders>
            <w:shd w:val="clear" w:color="auto" w:fill="auto"/>
            <w:noWrap/>
            <w:vAlign w:val="center"/>
            <w:hideMark/>
          </w:tcPr>
          <w:p w:rsidRPr="00B72B55" w:rsidR="00B72B55" w:rsidP="00B72B55" w:rsidRDefault="00B72B55" w14:paraId="3C7023DF" w14:textId="77777777">
            <w:pPr>
              <w:tabs>
                <w:tab w:val="clear" w:pos="1152"/>
              </w:tabs>
              <w:spacing w:line="240" w:lineRule="auto"/>
              <w:jc w:val="right"/>
              <w:rPr>
                <w:color w:val="000000"/>
              </w:rPr>
            </w:pPr>
            <w:r w:rsidRPr="00B72B55">
              <w:rPr>
                <w:color w:val="000000"/>
              </w:rPr>
              <w:t>18,476,802</w:t>
            </w:r>
          </w:p>
        </w:tc>
        <w:tc>
          <w:tcPr>
            <w:tcW w:w="705" w:type="pct"/>
            <w:tcBorders>
              <w:top w:val="nil"/>
              <w:left w:val="nil"/>
              <w:bottom w:val="nil"/>
              <w:right w:val="single" w:color="auto" w:sz="4" w:space="0"/>
            </w:tcBorders>
            <w:shd w:val="clear" w:color="auto" w:fill="auto"/>
            <w:noWrap/>
            <w:vAlign w:val="center"/>
            <w:hideMark/>
          </w:tcPr>
          <w:p w:rsidRPr="00B72B55" w:rsidR="00B72B55" w:rsidP="00B72B55" w:rsidRDefault="00B72B55" w14:paraId="351CE453" w14:textId="77777777">
            <w:pPr>
              <w:tabs>
                <w:tab w:val="clear" w:pos="1152"/>
              </w:tabs>
              <w:spacing w:line="240" w:lineRule="auto"/>
              <w:jc w:val="right"/>
              <w:rPr>
                <w:color w:val="000000"/>
              </w:rPr>
            </w:pPr>
            <w:r w:rsidRPr="00B72B55">
              <w:rPr>
                <w:color w:val="000000"/>
              </w:rPr>
              <w:t>14.4%</w:t>
            </w:r>
          </w:p>
        </w:tc>
        <w:tc>
          <w:tcPr>
            <w:tcW w:w="849" w:type="pct"/>
            <w:tcBorders>
              <w:top w:val="nil"/>
              <w:left w:val="nil"/>
              <w:bottom w:val="nil"/>
              <w:right w:val="single" w:color="auto" w:sz="4" w:space="0"/>
            </w:tcBorders>
            <w:shd w:val="clear" w:color="auto" w:fill="auto"/>
            <w:noWrap/>
            <w:vAlign w:val="center"/>
            <w:hideMark/>
          </w:tcPr>
          <w:p w:rsidRPr="00B72B55" w:rsidR="00B72B55" w:rsidP="00B72B55" w:rsidRDefault="00B72B55" w14:paraId="3070147A" w14:textId="77777777">
            <w:pPr>
              <w:tabs>
                <w:tab w:val="clear" w:pos="1152"/>
              </w:tabs>
              <w:spacing w:line="240" w:lineRule="auto"/>
              <w:jc w:val="right"/>
              <w:rPr>
                <w:color w:val="000000"/>
              </w:rPr>
            </w:pPr>
            <w:r w:rsidRPr="00B72B55">
              <w:rPr>
                <w:color w:val="000000"/>
              </w:rPr>
              <w:t>4,167</w:t>
            </w:r>
          </w:p>
        </w:tc>
        <w:tc>
          <w:tcPr>
            <w:tcW w:w="1071" w:type="pct"/>
            <w:tcBorders>
              <w:top w:val="nil"/>
              <w:left w:val="nil"/>
              <w:bottom w:val="nil"/>
              <w:right w:val="single" w:color="auto" w:sz="4" w:space="0"/>
            </w:tcBorders>
            <w:shd w:val="clear" w:color="auto" w:fill="auto"/>
            <w:noWrap/>
            <w:vAlign w:val="center"/>
            <w:hideMark/>
          </w:tcPr>
          <w:p w:rsidRPr="00B72B55" w:rsidR="00B72B55" w:rsidP="00B72B55" w:rsidRDefault="00B72B55" w14:paraId="56CE5B5E" w14:textId="77777777">
            <w:pPr>
              <w:tabs>
                <w:tab w:val="clear" w:pos="1152"/>
              </w:tabs>
              <w:spacing w:line="240" w:lineRule="auto"/>
              <w:jc w:val="right"/>
              <w:rPr>
                <w:color w:val="000000"/>
              </w:rPr>
            </w:pPr>
            <w:r w:rsidRPr="00B72B55">
              <w:rPr>
                <w:color w:val="000000"/>
              </w:rPr>
              <w:t>1,078</w:t>
            </w:r>
          </w:p>
        </w:tc>
      </w:tr>
      <w:tr w:rsidRPr="00B72B55" w:rsidR="00B72B55" w:rsidTr="00F10E00" w14:paraId="1713FC75" w14:textId="77777777">
        <w:trPr>
          <w:trHeight w:val="276"/>
        </w:trPr>
        <w:tc>
          <w:tcPr>
            <w:tcW w:w="1378" w:type="pct"/>
            <w:tcBorders>
              <w:top w:val="nil"/>
              <w:left w:val="single" w:color="auto" w:sz="4" w:space="0"/>
              <w:bottom w:val="nil"/>
              <w:right w:val="single" w:color="auto" w:sz="4" w:space="0"/>
            </w:tcBorders>
            <w:shd w:val="clear" w:color="auto" w:fill="auto"/>
            <w:noWrap/>
            <w:vAlign w:val="center"/>
            <w:hideMark/>
          </w:tcPr>
          <w:p w:rsidRPr="00B72B55" w:rsidR="00B72B55" w:rsidP="00B72B55" w:rsidRDefault="00B72B55" w14:paraId="5D4A77CF" w14:textId="77777777">
            <w:pPr>
              <w:tabs>
                <w:tab w:val="clear" w:pos="1152"/>
              </w:tabs>
              <w:spacing w:line="240" w:lineRule="auto"/>
              <w:rPr>
                <w:color w:val="000000"/>
              </w:rPr>
            </w:pPr>
            <w:r w:rsidRPr="00B72B55">
              <w:rPr>
                <w:color w:val="000000"/>
              </w:rPr>
              <w:t>East South Central</w:t>
            </w:r>
          </w:p>
        </w:tc>
        <w:tc>
          <w:tcPr>
            <w:tcW w:w="997" w:type="pct"/>
            <w:tcBorders>
              <w:top w:val="nil"/>
              <w:left w:val="nil"/>
              <w:bottom w:val="nil"/>
              <w:right w:val="single" w:color="auto" w:sz="4" w:space="0"/>
            </w:tcBorders>
            <w:shd w:val="clear" w:color="auto" w:fill="auto"/>
            <w:noWrap/>
            <w:vAlign w:val="center"/>
            <w:hideMark/>
          </w:tcPr>
          <w:p w:rsidRPr="00B72B55" w:rsidR="00B72B55" w:rsidP="00B72B55" w:rsidRDefault="00B72B55" w14:paraId="0CE32535" w14:textId="77777777">
            <w:pPr>
              <w:tabs>
                <w:tab w:val="clear" w:pos="1152"/>
              </w:tabs>
              <w:spacing w:line="240" w:lineRule="auto"/>
              <w:jc w:val="right"/>
              <w:rPr>
                <w:color w:val="000000"/>
              </w:rPr>
            </w:pPr>
            <w:r w:rsidRPr="00B72B55">
              <w:rPr>
                <w:color w:val="000000"/>
              </w:rPr>
              <w:t>7,483,298</w:t>
            </w:r>
          </w:p>
        </w:tc>
        <w:tc>
          <w:tcPr>
            <w:tcW w:w="705" w:type="pct"/>
            <w:tcBorders>
              <w:top w:val="nil"/>
              <w:left w:val="nil"/>
              <w:bottom w:val="nil"/>
              <w:right w:val="single" w:color="auto" w:sz="4" w:space="0"/>
            </w:tcBorders>
            <w:shd w:val="clear" w:color="auto" w:fill="auto"/>
            <w:noWrap/>
            <w:vAlign w:val="center"/>
            <w:hideMark/>
          </w:tcPr>
          <w:p w:rsidRPr="00B72B55" w:rsidR="00B72B55" w:rsidP="00B72B55" w:rsidRDefault="00B72B55" w14:paraId="0117100A" w14:textId="77777777">
            <w:pPr>
              <w:tabs>
                <w:tab w:val="clear" w:pos="1152"/>
              </w:tabs>
              <w:spacing w:line="240" w:lineRule="auto"/>
              <w:jc w:val="right"/>
              <w:rPr>
                <w:color w:val="000000"/>
              </w:rPr>
            </w:pPr>
            <w:r w:rsidRPr="00B72B55">
              <w:rPr>
                <w:color w:val="000000"/>
              </w:rPr>
              <w:t>5.8%</w:t>
            </w:r>
          </w:p>
        </w:tc>
        <w:tc>
          <w:tcPr>
            <w:tcW w:w="849" w:type="pct"/>
            <w:tcBorders>
              <w:top w:val="nil"/>
              <w:left w:val="nil"/>
              <w:bottom w:val="nil"/>
              <w:right w:val="single" w:color="auto" w:sz="4" w:space="0"/>
            </w:tcBorders>
            <w:shd w:val="clear" w:color="auto" w:fill="auto"/>
            <w:noWrap/>
            <w:vAlign w:val="center"/>
            <w:hideMark/>
          </w:tcPr>
          <w:p w:rsidRPr="00B72B55" w:rsidR="00B72B55" w:rsidP="00B72B55" w:rsidRDefault="00B72B55" w14:paraId="6CCF026F" w14:textId="77777777">
            <w:pPr>
              <w:tabs>
                <w:tab w:val="clear" w:pos="1152"/>
              </w:tabs>
              <w:spacing w:line="240" w:lineRule="auto"/>
              <w:jc w:val="right"/>
              <w:rPr>
                <w:color w:val="000000"/>
              </w:rPr>
            </w:pPr>
            <w:r w:rsidRPr="00B72B55">
              <w:rPr>
                <w:color w:val="000000"/>
              </w:rPr>
              <w:t>1,687</w:t>
            </w:r>
          </w:p>
        </w:tc>
        <w:tc>
          <w:tcPr>
            <w:tcW w:w="1071" w:type="pct"/>
            <w:tcBorders>
              <w:top w:val="nil"/>
              <w:left w:val="nil"/>
              <w:bottom w:val="nil"/>
              <w:right w:val="single" w:color="auto" w:sz="4" w:space="0"/>
            </w:tcBorders>
            <w:shd w:val="clear" w:color="auto" w:fill="auto"/>
            <w:noWrap/>
            <w:vAlign w:val="center"/>
            <w:hideMark/>
          </w:tcPr>
          <w:p w:rsidRPr="00B72B55" w:rsidR="00B72B55" w:rsidP="00B72B55" w:rsidRDefault="00B72B55" w14:paraId="5C9D3C02" w14:textId="77777777">
            <w:pPr>
              <w:tabs>
                <w:tab w:val="clear" w:pos="1152"/>
              </w:tabs>
              <w:spacing w:line="240" w:lineRule="auto"/>
              <w:jc w:val="right"/>
              <w:rPr>
                <w:color w:val="000000"/>
              </w:rPr>
            </w:pPr>
            <w:r w:rsidRPr="00B72B55">
              <w:rPr>
                <w:color w:val="000000"/>
              </w:rPr>
              <w:t>436</w:t>
            </w:r>
          </w:p>
        </w:tc>
      </w:tr>
      <w:tr w:rsidRPr="00B72B55" w:rsidR="00B72B55" w:rsidTr="00F10E00" w14:paraId="2D2FED00" w14:textId="77777777">
        <w:trPr>
          <w:trHeight w:val="276"/>
        </w:trPr>
        <w:tc>
          <w:tcPr>
            <w:tcW w:w="1378" w:type="pct"/>
            <w:tcBorders>
              <w:top w:val="nil"/>
              <w:left w:val="single" w:color="auto" w:sz="4" w:space="0"/>
              <w:bottom w:val="nil"/>
              <w:right w:val="single" w:color="auto" w:sz="4" w:space="0"/>
            </w:tcBorders>
            <w:shd w:val="clear" w:color="auto" w:fill="auto"/>
            <w:noWrap/>
            <w:vAlign w:val="center"/>
            <w:hideMark/>
          </w:tcPr>
          <w:p w:rsidRPr="00B72B55" w:rsidR="00B72B55" w:rsidP="00B72B55" w:rsidRDefault="00B72B55" w14:paraId="74C8E546" w14:textId="77777777">
            <w:pPr>
              <w:tabs>
                <w:tab w:val="clear" w:pos="1152"/>
              </w:tabs>
              <w:spacing w:line="240" w:lineRule="auto"/>
              <w:rPr>
                <w:color w:val="000000"/>
              </w:rPr>
            </w:pPr>
            <w:r w:rsidRPr="00B72B55">
              <w:rPr>
                <w:color w:val="000000"/>
              </w:rPr>
              <w:t>Middle Atlantic</w:t>
            </w:r>
          </w:p>
        </w:tc>
        <w:tc>
          <w:tcPr>
            <w:tcW w:w="997" w:type="pct"/>
            <w:tcBorders>
              <w:top w:val="nil"/>
              <w:left w:val="nil"/>
              <w:bottom w:val="nil"/>
              <w:right w:val="single" w:color="auto" w:sz="4" w:space="0"/>
            </w:tcBorders>
            <w:shd w:val="clear" w:color="auto" w:fill="auto"/>
            <w:noWrap/>
            <w:vAlign w:val="center"/>
            <w:hideMark/>
          </w:tcPr>
          <w:p w:rsidRPr="00B72B55" w:rsidR="00B72B55" w:rsidP="00B72B55" w:rsidRDefault="00B72B55" w14:paraId="5A10A74A" w14:textId="77777777">
            <w:pPr>
              <w:tabs>
                <w:tab w:val="clear" w:pos="1152"/>
              </w:tabs>
              <w:spacing w:line="240" w:lineRule="auto"/>
              <w:jc w:val="right"/>
              <w:rPr>
                <w:color w:val="000000"/>
              </w:rPr>
            </w:pPr>
            <w:r w:rsidRPr="00B72B55">
              <w:rPr>
                <w:color w:val="000000"/>
              </w:rPr>
              <w:t>16,458,111</w:t>
            </w:r>
          </w:p>
        </w:tc>
        <w:tc>
          <w:tcPr>
            <w:tcW w:w="705" w:type="pct"/>
            <w:tcBorders>
              <w:top w:val="nil"/>
              <w:left w:val="nil"/>
              <w:bottom w:val="nil"/>
              <w:right w:val="single" w:color="auto" w:sz="4" w:space="0"/>
            </w:tcBorders>
            <w:shd w:val="clear" w:color="auto" w:fill="auto"/>
            <w:noWrap/>
            <w:vAlign w:val="center"/>
            <w:hideMark/>
          </w:tcPr>
          <w:p w:rsidRPr="00B72B55" w:rsidR="00B72B55" w:rsidP="00B72B55" w:rsidRDefault="00B72B55" w14:paraId="4BEE9B46" w14:textId="77777777">
            <w:pPr>
              <w:tabs>
                <w:tab w:val="clear" w:pos="1152"/>
              </w:tabs>
              <w:spacing w:line="240" w:lineRule="auto"/>
              <w:jc w:val="right"/>
              <w:rPr>
                <w:color w:val="000000"/>
              </w:rPr>
            </w:pPr>
            <w:r w:rsidRPr="00B72B55">
              <w:rPr>
                <w:color w:val="000000"/>
              </w:rPr>
              <w:t>12.8%</w:t>
            </w:r>
          </w:p>
        </w:tc>
        <w:tc>
          <w:tcPr>
            <w:tcW w:w="849" w:type="pct"/>
            <w:tcBorders>
              <w:top w:val="nil"/>
              <w:left w:val="nil"/>
              <w:bottom w:val="nil"/>
              <w:right w:val="single" w:color="auto" w:sz="4" w:space="0"/>
            </w:tcBorders>
            <w:shd w:val="clear" w:color="auto" w:fill="auto"/>
            <w:noWrap/>
            <w:vAlign w:val="center"/>
            <w:hideMark/>
          </w:tcPr>
          <w:p w:rsidRPr="00B72B55" w:rsidR="00B72B55" w:rsidP="00B72B55" w:rsidRDefault="00B72B55" w14:paraId="1BC79AA8" w14:textId="77777777">
            <w:pPr>
              <w:tabs>
                <w:tab w:val="clear" w:pos="1152"/>
              </w:tabs>
              <w:spacing w:line="240" w:lineRule="auto"/>
              <w:jc w:val="right"/>
              <w:rPr>
                <w:color w:val="000000"/>
              </w:rPr>
            </w:pPr>
            <w:r w:rsidRPr="00B72B55">
              <w:rPr>
                <w:color w:val="000000"/>
              </w:rPr>
              <w:t>3,711</w:t>
            </w:r>
          </w:p>
        </w:tc>
        <w:tc>
          <w:tcPr>
            <w:tcW w:w="1071" w:type="pct"/>
            <w:tcBorders>
              <w:top w:val="nil"/>
              <w:left w:val="nil"/>
              <w:bottom w:val="nil"/>
              <w:right w:val="single" w:color="auto" w:sz="4" w:space="0"/>
            </w:tcBorders>
            <w:shd w:val="clear" w:color="auto" w:fill="auto"/>
            <w:noWrap/>
            <w:vAlign w:val="center"/>
            <w:hideMark/>
          </w:tcPr>
          <w:p w:rsidRPr="00B72B55" w:rsidR="00B72B55" w:rsidP="00B72B55" w:rsidRDefault="00B72B55" w14:paraId="5384EAC8" w14:textId="77777777">
            <w:pPr>
              <w:tabs>
                <w:tab w:val="clear" w:pos="1152"/>
              </w:tabs>
              <w:spacing w:line="240" w:lineRule="auto"/>
              <w:jc w:val="right"/>
              <w:rPr>
                <w:color w:val="000000"/>
              </w:rPr>
            </w:pPr>
            <w:r w:rsidRPr="00B72B55">
              <w:rPr>
                <w:color w:val="000000"/>
              </w:rPr>
              <w:t>960</w:t>
            </w:r>
          </w:p>
        </w:tc>
      </w:tr>
      <w:tr w:rsidRPr="00B72B55" w:rsidR="00B72B55" w:rsidTr="00F10E00" w14:paraId="4714E374" w14:textId="77777777">
        <w:trPr>
          <w:trHeight w:val="276"/>
        </w:trPr>
        <w:tc>
          <w:tcPr>
            <w:tcW w:w="1378" w:type="pct"/>
            <w:tcBorders>
              <w:top w:val="nil"/>
              <w:left w:val="single" w:color="auto" w:sz="4" w:space="0"/>
              <w:bottom w:val="nil"/>
              <w:right w:val="single" w:color="auto" w:sz="4" w:space="0"/>
            </w:tcBorders>
            <w:shd w:val="clear" w:color="auto" w:fill="auto"/>
            <w:noWrap/>
            <w:vAlign w:val="center"/>
            <w:hideMark/>
          </w:tcPr>
          <w:p w:rsidRPr="00B72B55" w:rsidR="00B72B55" w:rsidP="00B72B55" w:rsidRDefault="00B72B55" w14:paraId="22A3D385" w14:textId="77777777">
            <w:pPr>
              <w:tabs>
                <w:tab w:val="clear" w:pos="1152"/>
              </w:tabs>
              <w:spacing w:line="240" w:lineRule="auto"/>
              <w:rPr>
                <w:color w:val="000000"/>
              </w:rPr>
            </w:pPr>
            <w:r w:rsidRPr="00B72B55">
              <w:rPr>
                <w:color w:val="000000"/>
              </w:rPr>
              <w:t>Mountain</w:t>
            </w:r>
          </w:p>
        </w:tc>
        <w:tc>
          <w:tcPr>
            <w:tcW w:w="997" w:type="pct"/>
            <w:tcBorders>
              <w:top w:val="nil"/>
              <w:left w:val="nil"/>
              <w:bottom w:val="nil"/>
              <w:right w:val="single" w:color="auto" w:sz="4" w:space="0"/>
            </w:tcBorders>
            <w:shd w:val="clear" w:color="auto" w:fill="auto"/>
            <w:noWrap/>
            <w:vAlign w:val="center"/>
            <w:hideMark/>
          </w:tcPr>
          <w:p w:rsidRPr="00B72B55" w:rsidR="00B72B55" w:rsidP="00B72B55" w:rsidRDefault="00B72B55" w14:paraId="01F669D7" w14:textId="77777777">
            <w:pPr>
              <w:tabs>
                <w:tab w:val="clear" w:pos="1152"/>
              </w:tabs>
              <w:spacing w:line="240" w:lineRule="auto"/>
              <w:jc w:val="right"/>
              <w:rPr>
                <w:color w:val="000000"/>
              </w:rPr>
            </w:pPr>
            <w:r w:rsidRPr="00B72B55">
              <w:rPr>
                <w:color w:val="000000"/>
              </w:rPr>
              <w:t>9,566,279</w:t>
            </w:r>
          </w:p>
        </w:tc>
        <w:tc>
          <w:tcPr>
            <w:tcW w:w="705" w:type="pct"/>
            <w:tcBorders>
              <w:top w:val="nil"/>
              <w:left w:val="nil"/>
              <w:bottom w:val="nil"/>
              <w:right w:val="single" w:color="auto" w:sz="4" w:space="0"/>
            </w:tcBorders>
            <w:shd w:val="clear" w:color="auto" w:fill="auto"/>
            <w:noWrap/>
            <w:vAlign w:val="center"/>
            <w:hideMark/>
          </w:tcPr>
          <w:p w:rsidRPr="00B72B55" w:rsidR="00B72B55" w:rsidP="00B72B55" w:rsidRDefault="00B72B55" w14:paraId="65470C62" w14:textId="77777777">
            <w:pPr>
              <w:tabs>
                <w:tab w:val="clear" w:pos="1152"/>
              </w:tabs>
              <w:spacing w:line="240" w:lineRule="auto"/>
              <w:jc w:val="right"/>
              <w:rPr>
                <w:color w:val="000000"/>
              </w:rPr>
            </w:pPr>
            <w:r w:rsidRPr="00B72B55">
              <w:rPr>
                <w:color w:val="000000"/>
              </w:rPr>
              <w:t>7.4%</w:t>
            </w:r>
          </w:p>
        </w:tc>
        <w:tc>
          <w:tcPr>
            <w:tcW w:w="849" w:type="pct"/>
            <w:tcBorders>
              <w:top w:val="nil"/>
              <w:left w:val="nil"/>
              <w:bottom w:val="nil"/>
              <w:right w:val="single" w:color="auto" w:sz="4" w:space="0"/>
            </w:tcBorders>
            <w:shd w:val="clear" w:color="auto" w:fill="auto"/>
            <w:noWrap/>
            <w:vAlign w:val="center"/>
            <w:hideMark/>
          </w:tcPr>
          <w:p w:rsidRPr="00B72B55" w:rsidR="00B72B55" w:rsidP="00B72B55" w:rsidRDefault="00B72B55" w14:paraId="71B2FD0B" w14:textId="77777777">
            <w:pPr>
              <w:tabs>
                <w:tab w:val="clear" w:pos="1152"/>
              </w:tabs>
              <w:spacing w:line="240" w:lineRule="auto"/>
              <w:jc w:val="right"/>
              <w:rPr>
                <w:color w:val="000000"/>
              </w:rPr>
            </w:pPr>
            <w:r w:rsidRPr="00B72B55">
              <w:rPr>
                <w:color w:val="000000"/>
              </w:rPr>
              <w:t>2,158</w:t>
            </w:r>
          </w:p>
        </w:tc>
        <w:tc>
          <w:tcPr>
            <w:tcW w:w="1071" w:type="pct"/>
            <w:tcBorders>
              <w:top w:val="nil"/>
              <w:left w:val="nil"/>
              <w:bottom w:val="nil"/>
              <w:right w:val="single" w:color="auto" w:sz="4" w:space="0"/>
            </w:tcBorders>
            <w:shd w:val="clear" w:color="auto" w:fill="auto"/>
            <w:noWrap/>
            <w:vAlign w:val="center"/>
            <w:hideMark/>
          </w:tcPr>
          <w:p w:rsidRPr="00B72B55" w:rsidR="00B72B55" w:rsidP="00B72B55" w:rsidRDefault="00B72B55" w14:paraId="7AA27FFC" w14:textId="77777777">
            <w:pPr>
              <w:tabs>
                <w:tab w:val="clear" w:pos="1152"/>
              </w:tabs>
              <w:spacing w:line="240" w:lineRule="auto"/>
              <w:jc w:val="right"/>
              <w:rPr>
                <w:color w:val="000000"/>
              </w:rPr>
            </w:pPr>
            <w:r w:rsidRPr="00B72B55">
              <w:rPr>
                <w:color w:val="000000"/>
              </w:rPr>
              <w:t>558</w:t>
            </w:r>
          </w:p>
        </w:tc>
      </w:tr>
      <w:tr w:rsidRPr="00B72B55" w:rsidR="00B72B55" w:rsidTr="00F10E00" w14:paraId="1AEECD1C" w14:textId="77777777">
        <w:trPr>
          <w:trHeight w:val="276"/>
        </w:trPr>
        <w:tc>
          <w:tcPr>
            <w:tcW w:w="1378" w:type="pct"/>
            <w:tcBorders>
              <w:top w:val="nil"/>
              <w:left w:val="single" w:color="auto" w:sz="4" w:space="0"/>
              <w:bottom w:val="nil"/>
              <w:right w:val="single" w:color="auto" w:sz="4" w:space="0"/>
            </w:tcBorders>
            <w:shd w:val="clear" w:color="auto" w:fill="auto"/>
            <w:noWrap/>
            <w:vAlign w:val="center"/>
            <w:hideMark/>
          </w:tcPr>
          <w:p w:rsidRPr="00B72B55" w:rsidR="00B72B55" w:rsidP="00B72B55" w:rsidRDefault="00B72B55" w14:paraId="0766AB31" w14:textId="77777777">
            <w:pPr>
              <w:tabs>
                <w:tab w:val="clear" w:pos="1152"/>
              </w:tabs>
              <w:spacing w:line="240" w:lineRule="auto"/>
              <w:rPr>
                <w:color w:val="000000"/>
              </w:rPr>
            </w:pPr>
            <w:r w:rsidRPr="00B72B55">
              <w:rPr>
                <w:color w:val="000000"/>
              </w:rPr>
              <w:t>New England</w:t>
            </w:r>
          </w:p>
        </w:tc>
        <w:tc>
          <w:tcPr>
            <w:tcW w:w="997" w:type="pct"/>
            <w:tcBorders>
              <w:top w:val="nil"/>
              <w:left w:val="nil"/>
              <w:bottom w:val="nil"/>
              <w:right w:val="single" w:color="auto" w:sz="4" w:space="0"/>
            </w:tcBorders>
            <w:shd w:val="clear" w:color="auto" w:fill="auto"/>
            <w:noWrap/>
            <w:vAlign w:val="center"/>
            <w:hideMark/>
          </w:tcPr>
          <w:p w:rsidRPr="00B72B55" w:rsidR="00B72B55" w:rsidP="00B72B55" w:rsidRDefault="00B72B55" w14:paraId="08C2264F" w14:textId="77777777">
            <w:pPr>
              <w:tabs>
                <w:tab w:val="clear" w:pos="1152"/>
              </w:tabs>
              <w:spacing w:line="240" w:lineRule="auto"/>
              <w:jc w:val="right"/>
              <w:rPr>
                <w:color w:val="000000"/>
              </w:rPr>
            </w:pPr>
            <w:r w:rsidRPr="00B72B55">
              <w:rPr>
                <w:color w:val="000000"/>
              </w:rPr>
              <w:t>5,978,925</w:t>
            </w:r>
          </w:p>
        </w:tc>
        <w:tc>
          <w:tcPr>
            <w:tcW w:w="705" w:type="pct"/>
            <w:tcBorders>
              <w:top w:val="nil"/>
              <w:left w:val="nil"/>
              <w:bottom w:val="nil"/>
              <w:right w:val="single" w:color="auto" w:sz="4" w:space="0"/>
            </w:tcBorders>
            <w:shd w:val="clear" w:color="auto" w:fill="auto"/>
            <w:noWrap/>
            <w:vAlign w:val="center"/>
            <w:hideMark/>
          </w:tcPr>
          <w:p w:rsidRPr="00B72B55" w:rsidR="00B72B55" w:rsidP="00B72B55" w:rsidRDefault="00B72B55" w14:paraId="1B445E52" w14:textId="77777777">
            <w:pPr>
              <w:tabs>
                <w:tab w:val="clear" w:pos="1152"/>
              </w:tabs>
              <w:spacing w:line="240" w:lineRule="auto"/>
              <w:jc w:val="right"/>
              <w:rPr>
                <w:color w:val="000000"/>
              </w:rPr>
            </w:pPr>
            <w:r w:rsidRPr="00B72B55">
              <w:rPr>
                <w:color w:val="000000"/>
              </w:rPr>
              <w:t>4.6%</w:t>
            </w:r>
          </w:p>
        </w:tc>
        <w:tc>
          <w:tcPr>
            <w:tcW w:w="849" w:type="pct"/>
            <w:tcBorders>
              <w:top w:val="nil"/>
              <w:left w:val="nil"/>
              <w:bottom w:val="nil"/>
              <w:right w:val="single" w:color="auto" w:sz="4" w:space="0"/>
            </w:tcBorders>
            <w:shd w:val="clear" w:color="auto" w:fill="auto"/>
            <w:noWrap/>
            <w:vAlign w:val="center"/>
            <w:hideMark/>
          </w:tcPr>
          <w:p w:rsidRPr="00B72B55" w:rsidR="00B72B55" w:rsidP="00B72B55" w:rsidRDefault="00B72B55" w14:paraId="28E33D6B" w14:textId="77777777">
            <w:pPr>
              <w:tabs>
                <w:tab w:val="clear" w:pos="1152"/>
              </w:tabs>
              <w:spacing w:line="240" w:lineRule="auto"/>
              <w:jc w:val="right"/>
              <w:rPr>
                <w:color w:val="000000"/>
              </w:rPr>
            </w:pPr>
            <w:r w:rsidRPr="00B72B55">
              <w:rPr>
                <w:color w:val="000000"/>
              </w:rPr>
              <w:t>1,349</w:t>
            </w:r>
          </w:p>
        </w:tc>
        <w:tc>
          <w:tcPr>
            <w:tcW w:w="1071" w:type="pct"/>
            <w:tcBorders>
              <w:top w:val="nil"/>
              <w:left w:val="nil"/>
              <w:bottom w:val="nil"/>
              <w:right w:val="single" w:color="auto" w:sz="4" w:space="0"/>
            </w:tcBorders>
            <w:shd w:val="clear" w:color="auto" w:fill="auto"/>
            <w:noWrap/>
            <w:vAlign w:val="center"/>
            <w:hideMark/>
          </w:tcPr>
          <w:p w:rsidRPr="00B72B55" w:rsidR="00B72B55" w:rsidP="00B72B55" w:rsidRDefault="00B72B55" w14:paraId="30B7EC3E" w14:textId="77777777">
            <w:pPr>
              <w:tabs>
                <w:tab w:val="clear" w:pos="1152"/>
              </w:tabs>
              <w:spacing w:line="240" w:lineRule="auto"/>
              <w:jc w:val="right"/>
              <w:rPr>
                <w:color w:val="000000"/>
              </w:rPr>
            </w:pPr>
            <w:r w:rsidRPr="00B72B55">
              <w:rPr>
                <w:color w:val="000000"/>
              </w:rPr>
              <w:t>349</w:t>
            </w:r>
          </w:p>
        </w:tc>
      </w:tr>
      <w:tr w:rsidRPr="00B72B55" w:rsidR="00B72B55" w:rsidTr="00F10E00" w14:paraId="7FF4595F" w14:textId="77777777">
        <w:trPr>
          <w:trHeight w:val="276"/>
        </w:trPr>
        <w:tc>
          <w:tcPr>
            <w:tcW w:w="1378" w:type="pct"/>
            <w:tcBorders>
              <w:top w:val="nil"/>
              <w:left w:val="single" w:color="auto" w:sz="4" w:space="0"/>
              <w:bottom w:val="nil"/>
              <w:right w:val="single" w:color="auto" w:sz="4" w:space="0"/>
            </w:tcBorders>
            <w:shd w:val="clear" w:color="auto" w:fill="auto"/>
            <w:noWrap/>
            <w:vAlign w:val="center"/>
            <w:hideMark/>
          </w:tcPr>
          <w:p w:rsidRPr="00B72B55" w:rsidR="00B72B55" w:rsidP="00B72B55" w:rsidRDefault="00B72B55" w14:paraId="563F62B1" w14:textId="77777777">
            <w:pPr>
              <w:tabs>
                <w:tab w:val="clear" w:pos="1152"/>
              </w:tabs>
              <w:spacing w:line="240" w:lineRule="auto"/>
              <w:rPr>
                <w:color w:val="000000"/>
              </w:rPr>
            </w:pPr>
            <w:r w:rsidRPr="00B72B55">
              <w:rPr>
                <w:color w:val="000000"/>
              </w:rPr>
              <w:t>Pacific</w:t>
            </w:r>
          </w:p>
        </w:tc>
        <w:tc>
          <w:tcPr>
            <w:tcW w:w="997" w:type="pct"/>
            <w:tcBorders>
              <w:top w:val="nil"/>
              <w:left w:val="nil"/>
              <w:bottom w:val="nil"/>
              <w:right w:val="single" w:color="auto" w:sz="4" w:space="0"/>
            </w:tcBorders>
            <w:shd w:val="clear" w:color="auto" w:fill="auto"/>
            <w:noWrap/>
            <w:vAlign w:val="center"/>
            <w:hideMark/>
          </w:tcPr>
          <w:p w:rsidRPr="00B72B55" w:rsidR="00B72B55" w:rsidP="00B72B55" w:rsidRDefault="00B72B55" w14:paraId="58BA10FE" w14:textId="77777777">
            <w:pPr>
              <w:tabs>
                <w:tab w:val="clear" w:pos="1152"/>
              </w:tabs>
              <w:spacing w:line="240" w:lineRule="auto"/>
              <w:jc w:val="right"/>
              <w:rPr>
                <w:color w:val="000000"/>
              </w:rPr>
            </w:pPr>
            <w:r w:rsidRPr="00B72B55">
              <w:rPr>
                <w:color w:val="000000"/>
              </w:rPr>
              <w:t>21,074,099</w:t>
            </w:r>
          </w:p>
        </w:tc>
        <w:tc>
          <w:tcPr>
            <w:tcW w:w="705" w:type="pct"/>
            <w:tcBorders>
              <w:top w:val="nil"/>
              <w:left w:val="nil"/>
              <w:bottom w:val="nil"/>
              <w:right w:val="single" w:color="auto" w:sz="4" w:space="0"/>
            </w:tcBorders>
            <w:shd w:val="clear" w:color="auto" w:fill="auto"/>
            <w:noWrap/>
            <w:vAlign w:val="center"/>
            <w:hideMark/>
          </w:tcPr>
          <w:p w:rsidRPr="00B72B55" w:rsidR="00B72B55" w:rsidP="00B72B55" w:rsidRDefault="00B72B55" w14:paraId="752AC14D" w14:textId="77777777">
            <w:pPr>
              <w:tabs>
                <w:tab w:val="clear" w:pos="1152"/>
              </w:tabs>
              <w:spacing w:line="240" w:lineRule="auto"/>
              <w:jc w:val="right"/>
              <w:rPr>
                <w:color w:val="000000"/>
              </w:rPr>
            </w:pPr>
            <w:r w:rsidRPr="00B72B55">
              <w:rPr>
                <w:color w:val="000000"/>
              </w:rPr>
              <w:t>16.4%</w:t>
            </w:r>
          </w:p>
        </w:tc>
        <w:tc>
          <w:tcPr>
            <w:tcW w:w="849" w:type="pct"/>
            <w:tcBorders>
              <w:top w:val="nil"/>
              <w:left w:val="nil"/>
              <w:bottom w:val="nil"/>
              <w:right w:val="single" w:color="auto" w:sz="4" w:space="0"/>
            </w:tcBorders>
            <w:shd w:val="clear" w:color="auto" w:fill="auto"/>
            <w:noWrap/>
            <w:vAlign w:val="center"/>
            <w:hideMark/>
          </w:tcPr>
          <w:p w:rsidRPr="00B72B55" w:rsidR="00B72B55" w:rsidP="00B72B55" w:rsidRDefault="00B72B55" w14:paraId="0446AFCC" w14:textId="77777777">
            <w:pPr>
              <w:tabs>
                <w:tab w:val="clear" w:pos="1152"/>
              </w:tabs>
              <w:spacing w:line="240" w:lineRule="auto"/>
              <w:jc w:val="right"/>
              <w:rPr>
                <w:color w:val="000000"/>
              </w:rPr>
            </w:pPr>
            <w:r w:rsidRPr="00B72B55">
              <w:rPr>
                <w:color w:val="000000"/>
              </w:rPr>
              <w:t>4,752</w:t>
            </w:r>
          </w:p>
        </w:tc>
        <w:tc>
          <w:tcPr>
            <w:tcW w:w="1071" w:type="pct"/>
            <w:tcBorders>
              <w:top w:val="nil"/>
              <w:left w:val="nil"/>
              <w:bottom w:val="nil"/>
              <w:right w:val="single" w:color="auto" w:sz="4" w:space="0"/>
            </w:tcBorders>
            <w:shd w:val="clear" w:color="auto" w:fill="auto"/>
            <w:noWrap/>
            <w:vAlign w:val="center"/>
            <w:hideMark/>
          </w:tcPr>
          <w:p w:rsidRPr="00B72B55" w:rsidR="00B72B55" w:rsidP="00B72B55" w:rsidRDefault="00B72B55" w14:paraId="26D2CC4C" w14:textId="77777777">
            <w:pPr>
              <w:tabs>
                <w:tab w:val="clear" w:pos="1152"/>
              </w:tabs>
              <w:spacing w:line="240" w:lineRule="auto"/>
              <w:jc w:val="right"/>
              <w:rPr>
                <w:color w:val="000000"/>
              </w:rPr>
            </w:pPr>
            <w:r w:rsidRPr="00B72B55">
              <w:rPr>
                <w:color w:val="000000"/>
              </w:rPr>
              <w:t>1,229</w:t>
            </w:r>
          </w:p>
        </w:tc>
      </w:tr>
      <w:tr w:rsidRPr="00B72B55" w:rsidR="00B72B55" w:rsidTr="00F10E00" w14:paraId="5BA84BD7" w14:textId="77777777">
        <w:trPr>
          <w:trHeight w:val="276"/>
        </w:trPr>
        <w:tc>
          <w:tcPr>
            <w:tcW w:w="1378" w:type="pct"/>
            <w:tcBorders>
              <w:top w:val="nil"/>
              <w:left w:val="single" w:color="auto" w:sz="4" w:space="0"/>
              <w:bottom w:val="nil"/>
              <w:right w:val="single" w:color="auto" w:sz="4" w:space="0"/>
            </w:tcBorders>
            <w:shd w:val="clear" w:color="auto" w:fill="auto"/>
            <w:noWrap/>
            <w:vAlign w:val="center"/>
            <w:hideMark/>
          </w:tcPr>
          <w:p w:rsidRPr="00B72B55" w:rsidR="00B72B55" w:rsidP="00B72B55" w:rsidRDefault="00B72B55" w14:paraId="5C158294" w14:textId="77777777">
            <w:pPr>
              <w:tabs>
                <w:tab w:val="clear" w:pos="1152"/>
              </w:tabs>
              <w:spacing w:line="240" w:lineRule="auto"/>
              <w:rPr>
                <w:color w:val="000000"/>
              </w:rPr>
            </w:pPr>
            <w:r w:rsidRPr="00B72B55">
              <w:rPr>
                <w:color w:val="000000"/>
              </w:rPr>
              <w:t>South Atlantic</w:t>
            </w:r>
          </w:p>
        </w:tc>
        <w:tc>
          <w:tcPr>
            <w:tcW w:w="997" w:type="pct"/>
            <w:tcBorders>
              <w:top w:val="nil"/>
              <w:left w:val="nil"/>
              <w:bottom w:val="nil"/>
              <w:right w:val="single" w:color="auto" w:sz="4" w:space="0"/>
            </w:tcBorders>
            <w:shd w:val="clear" w:color="auto" w:fill="auto"/>
            <w:noWrap/>
            <w:vAlign w:val="center"/>
            <w:hideMark/>
          </w:tcPr>
          <w:p w:rsidRPr="00B72B55" w:rsidR="00B72B55" w:rsidP="00B72B55" w:rsidRDefault="00B72B55" w14:paraId="403F455A" w14:textId="77777777">
            <w:pPr>
              <w:tabs>
                <w:tab w:val="clear" w:pos="1152"/>
              </w:tabs>
              <w:spacing w:line="240" w:lineRule="auto"/>
              <w:jc w:val="right"/>
              <w:rPr>
                <w:color w:val="000000"/>
              </w:rPr>
            </w:pPr>
            <w:r w:rsidRPr="00B72B55">
              <w:rPr>
                <w:color w:val="000000"/>
              </w:rPr>
              <w:t>25,998,673</w:t>
            </w:r>
          </w:p>
        </w:tc>
        <w:tc>
          <w:tcPr>
            <w:tcW w:w="705" w:type="pct"/>
            <w:tcBorders>
              <w:top w:val="nil"/>
              <w:left w:val="nil"/>
              <w:bottom w:val="nil"/>
              <w:right w:val="single" w:color="auto" w:sz="4" w:space="0"/>
            </w:tcBorders>
            <w:shd w:val="clear" w:color="auto" w:fill="auto"/>
            <w:noWrap/>
            <w:vAlign w:val="center"/>
            <w:hideMark/>
          </w:tcPr>
          <w:p w:rsidRPr="00B72B55" w:rsidR="00B72B55" w:rsidP="00B72B55" w:rsidRDefault="00B72B55" w14:paraId="56546283" w14:textId="77777777">
            <w:pPr>
              <w:tabs>
                <w:tab w:val="clear" w:pos="1152"/>
              </w:tabs>
              <w:spacing w:line="240" w:lineRule="auto"/>
              <w:jc w:val="right"/>
              <w:rPr>
                <w:color w:val="000000"/>
              </w:rPr>
            </w:pPr>
            <w:r w:rsidRPr="00B72B55">
              <w:rPr>
                <w:color w:val="000000"/>
              </w:rPr>
              <w:t>20.2%</w:t>
            </w:r>
          </w:p>
        </w:tc>
        <w:tc>
          <w:tcPr>
            <w:tcW w:w="849" w:type="pct"/>
            <w:tcBorders>
              <w:top w:val="nil"/>
              <w:left w:val="nil"/>
              <w:bottom w:val="nil"/>
              <w:right w:val="single" w:color="auto" w:sz="4" w:space="0"/>
            </w:tcBorders>
            <w:shd w:val="clear" w:color="auto" w:fill="auto"/>
            <w:noWrap/>
            <w:vAlign w:val="center"/>
            <w:hideMark/>
          </w:tcPr>
          <w:p w:rsidRPr="00B72B55" w:rsidR="00B72B55" w:rsidP="00B72B55" w:rsidRDefault="00B72B55" w14:paraId="7E542D1A" w14:textId="77777777">
            <w:pPr>
              <w:tabs>
                <w:tab w:val="clear" w:pos="1152"/>
              </w:tabs>
              <w:spacing w:line="240" w:lineRule="auto"/>
              <w:jc w:val="right"/>
              <w:rPr>
                <w:color w:val="000000"/>
              </w:rPr>
            </w:pPr>
            <w:r w:rsidRPr="00B72B55">
              <w:rPr>
                <w:color w:val="000000"/>
              </w:rPr>
              <w:t>5,862</w:t>
            </w:r>
          </w:p>
        </w:tc>
        <w:tc>
          <w:tcPr>
            <w:tcW w:w="1071" w:type="pct"/>
            <w:tcBorders>
              <w:top w:val="nil"/>
              <w:left w:val="nil"/>
              <w:bottom w:val="nil"/>
              <w:right w:val="single" w:color="auto" w:sz="4" w:space="0"/>
            </w:tcBorders>
            <w:shd w:val="clear" w:color="auto" w:fill="auto"/>
            <w:noWrap/>
            <w:vAlign w:val="center"/>
            <w:hideMark/>
          </w:tcPr>
          <w:p w:rsidRPr="00B72B55" w:rsidR="00B72B55" w:rsidP="00B72B55" w:rsidRDefault="00B72B55" w14:paraId="7E5345C3" w14:textId="77777777">
            <w:pPr>
              <w:tabs>
                <w:tab w:val="clear" w:pos="1152"/>
              </w:tabs>
              <w:spacing w:line="240" w:lineRule="auto"/>
              <w:jc w:val="right"/>
              <w:rPr>
                <w:color w:val="000000"/>
              </w:rPr>
            </w:pPr>
            <w:r w:rsidRPr="00B72B55">
              <w:rPr>
                <w:color w:val="000000"/>
              </w:rPr>
              <w:t>1,516</w:t>
            </w:r>
          </w:p>
        </w:tc>
      </w:tr>
      <w:tr w:rsidRPr="00B72B55" w:rsidR="00B72B55" w:rsidTr="00F10E00" w14:paraId="697A79EE" w14:textId="77777777">
        <w:trPr>
          <w:trHeight w:val="276"/>
        </w:trPr>
        <w:tc>
          <w:tcPr>
            <w:tcW w:w="1378" w:type="pct"/>
            <w:tcBorders>
              <w:top w:val="nil"/>
              <w:left w:val="single" w:color="auto" w:sz="4" w:space="0"/>
              <w:bottom w:val="nil"/>
              <w:right w:val="single" w:color="auto" w:sz="4" w:space="0"/>
            </w:tcBorders>
            <w:shd w:val="clear" w:color="auto" w:fill="auto"/>
            <w:noWrap/>
            <w:vAlign w:val="center"/>
            <w:hideMark/>
          </w:tcPr>
          <w:p w:rsidRPr="00B72B55" w:rsidR="00B72B55" w:rsidP="00B72B55" w:rsidRDefault="00B72B55" w14:paraId="627256A3" w14:textId="77777777">
            <w:pPr>
              <w:tabs>
                <w:tab w:val="clear" w:pos="1152"/>
              </w:tabs>
              <w:spacing w:line="240" w:lineRule="auto"/>
              <w:rPr>
                <w:color w:val="000000"/>
              </w:rPr>
            </w:pPr>
            <w:r w:rsidRPr="00B72B55">
              <w:rPr>
                <w:color w:val="000000"/>
              </w:rPr>
              <w:t>West North Central</w:t>
            </w:r>
          </w:p>
        </w:tc>
        <w:tc>
          <w:tcPr>
            <w:tcW w:w="997" w:type="pct"/>
            <w:tcBorders>
              <w:top w:val="nil"/>
              <w:left w:val="nil"/>
              <w:bottom w:val="nil"/>
              <w:right w:val="single" w:color="auto" w:sz="4" w:space="0"/>
            </w:tcBorders>
            <w:shd w:val="clear" w:color="auto" w:fill="auto"/>
            <w:noWrap/>
            <w:vAlign w:val="center"/>
            <w:hideMark/>
          </w:tcPr>
          <w:p w:rsidRPr="00B72B55" w:rsidR="00B72B55" w:rsidP="00B72B55" w:rsidRDefault="00B72B55" w14:paraId="57729BC2" w14:textId="77777777">
            <w:pPr>
              <w:tabs>
                <w:tab w:val="clear" w:pos="1152"/>
              </w:tabs>
              <w:spacing w:line="240" w:lineRule="auto"/>
              <w:jc w:val="right"/>
              <w:rPr>
                <w:color w:val="000000"/>
              </w:rPr>
            </w:pPr>
            <w:r w:rsidRPr="00B72B55">
              <w:rPr>
                <w:color w:val="000000"/>
              </w:rPr>
              <w:t>8,280,487</w:t>
            </w:r>
          </w:p>
        </w:tc>
        <w:tc>
          <w:tcPr>
            <w:tcW w:w="705" w:type="pct"/>
            <w:tcBorders>
              <w:top w:val="nil"/>
              <w:left w:val="nil"/>
              <w:bottom w:val="nil"/>
              <w:right w:val="single" w:color="auto" w:sz="4" w:space="0"/>
            </w:tcBorders>
            <w:shd w:val="clear" w:color="auto" w:fill="auto"/>
            <w:noWrap/>
            <w:vAlign w:val="center"/>
            <w:hideMark/>
          </w:tcPr>
          <w:p w:rsidRPr="00B72B55" w:rsidR="00B72B55" w:rsidP="00B72B55" w:rsidRDefault="00B72B55" w14:paraId="62CE3492" w14:textId="77777777">
            <w:pPr>
              <w:tabs>
                <w:tab w:val="clear" w:pos="1152"/>
              </w:tabs>
              <w:spacing w:line="240" w:lineRule="auto"/>
              <w:jc w:val="right"/>
              <w:rPr>
                <w:color w:val="000000"/>
              </w:rPr>
            </w:pPr>
            <w:r w:rsidRPr="00B72B55">
              <w:rPr>
                <w:color w:val="000000"/>
              </w:rPr>
              <w:t>6.4%</w:t>
            </w:r>
          </w:p>
        </w:tc>
        <w:tc>
          <w:tcPr>
            <w:tcW w:w="849" w:type="pct"/>
            <w:tcBorders>
              <w:top w:val="nil"/>
              <w:left w:val="nil"/>
              <w:bottom w:val="nil"/>
              <w:right w:val="single" w:color="auto" w:sz="4" w:space="0"/>
            </w:tcBorders>
            <w:shd w:val="clear" w:color="auto" w:fill="auto"/>
            <w:noWrap/>
            <w:vAlign w:val="center"/>
            <w:hideMark/>
          </w:tcPr>
          <w:p w:rsidRPr="00B72B55" w:rsidR="00B72B55" w:rsidP="00B72B55" w:rsidRDefault="00B72B55" w14:paraId="1BC3AFBD" w14:textId="77777777">
            <w:pPr>
              <w:tabs>
                <w:tab w:val="clear" w:pos="1152"/>
              </w:tabs>
              <w:spacing w:line="240" w:lineRule="auto"/>
              <w:jc w:val="right"/>
              <w:rPr>
                <w:color w:val="000000"/>
              </w:rPr>
            </w:pPr>
            <w:r w:rsidRPr="00B72B55">
              <w:rPr>
                <w:color w:val="000000"/>
              </w:rPr>
              <w:t>1,866</w:t>
            </w:r>
          </w:p>
        </w:tc>
        <w:tc>
          <w:tcPr>
            <w:tcW w:w="1071" w:type="pct"/>
            <w:tcBorders>
              <w:top w:val="nil"/>
              <w:left w:val="nil"/>
              <w:bottom w:val="nil"/>
              <w:right w:val="single" w:color="auto" w:sz="4" w:space="0"/>
            </w:tcBorders>
            <w:shd w:val="clear" w:color="auto" w:fill="auto"/>
            <w:noWrap/>
            <w:vAlign w:val="center"/>
            <w:hideMark/>
          </w:tcPr>
          <w:p w:rsidRPr="00B72B55" w:rsidR="00B72B55" w:rsidP="00B72B55" w:rsidRDefault="00B72B55" w14:paraId="3D39B250" w14:textId="77777777">
            <w:pPr>
              <w:tabs>
                <w:tab w:val="clear" w:pos="1152"/>
              </w:tabs>
              <w:spacing w:line="240" w:lineRule="auto"/>
              <w:jc w:val="right"/>
              <w:rPr>
                <w:color w:val="000000"/>
              </w:rPr>
            </w:pPr>
            <w:r w:rsidRPr="00B72B55">
              <w:rPr>
                <w:color w:val="000000"/>
              </w:rPr>
              <w:t>483</w:t>
            </w:r>
          </w:p>
        </w:tc>
      </w:tr>
      <w:tr w:rsidRPr="00B72B55" w:rsidR="00B72B55" w:rsidTr="00F10E00" w14:paraId="5704402E" w14:textId="77777777">
        <w:trPr>
          <w:trHeight w:val="276"/>
        </w:trPr>
        <w:tc>
          <w:tcPr>
            <w:tcW w:w="1378" w:type="pct"/>
            <w:tcBorders>
              <w:top w:val="nil"/>
              <w:left w:val="single" w:color="auto" w:sz="4" w:space="0"/>
              <w:bottom w:val="nil"/>
              <w:right w:val="single" w:color="auto" w:sz="4" w:space="0"/>
            </w:tcBorders>
            <w:shd w:val="clear" w:color="auto" w:fill="auto"/>
            <w:noWrap/>
            <w:vAlign w:val="center"/>
            <w:hideMark/>
          </w:tcPr>
          <w:p w:rsidRPr="00B72B55" w:rsidR="00B72B55" w:rsidP="00B72B55" w:rsidRDefault="00B72B55" w14:paraId="1AA49B9F" w14:textId="77777777">
            <w:pPr>
              <w:tabs>
                <w:tab w:val="clear" w:pos="1152"/>
              </w:tabs>
              <w:spacing w:line="240" w:lineRule="auto"/>
              <w:rPr>
                <w:color w:val="000000"/>
              </w:rPr>
            </w:pPr>
            <w:r w:rsidRPr="00B72B55">
              <w:rPr>
                <w:color w:val="000000"/>
              </w:rPr>
              <w:t>West South Central</w:t>
            </w:r>
          </w:p>
        </w:tc>
        <w:tc>
          <w:tcPr>
            <w:tcW w:w="997" w:type="pct"/>
            <w:tcBorders>
              <w:top w:val="nil"/>
              <w:left w:val="nil"/>
              <w:bottom w:val="nil"/>
              <w:right w:val="single" w:color="auto" w:sz="4" w:space="0"/>
            </w:tcBorders>
            <w:shd w:val="clear" w:color="auto" w:fill="auto"/>
            <w:noWrap/>
            <w:vAlign w:val="center"/>
            <w:hideMark/>
          </w:tcPr>
          <w:p w:rsidRPr="00B72B55" w:rsidR="00B72B55" w:rsidP="00B72B55" w:rsidRDefault="00B72B55" w14:paraId="37F2D56A" w14:textId="77777777">
            <w:pPr>
              <w:tabs>
                <w:tab w:val="clear" w:pos="1152"/>
              </w:tabs>
              <w:spacing w:line="240" w:lineRule="auto"/>
              <w:jc w:val="right"/>
              <w:rPr>
                <w:color w:val="000000"/>
              </w:rPr>
            </w:pPr>
            <w:r w:rsidRPr="00B72B55">
              <w:rPr>
                <w:color w:val="000000"/>
              </w:rPr>
              <w:t>15,300,901</w:t>
            </w:r>
          </w:p>
        </w:tc>
        <w:tc>
          <w:tcPr>
            <w:tcW w:w="705" w:type="pct"/>
            <w:tcBorders>
              <w:top w:val="nil"/>
              <w:left w:val="nil"/>
              <w:bottom w:val="nil"/>
              <w:right w:val="single" w:color="auto" w:sz="4" w:space="0"/>
            </w:tcBorders>
            <w:shd w:val="clear" w:color="auto" w:fill="auto"/>
            <w:noWrap/>
            <w:vAlign w:val="center"/>
            <w:hideMark/>
          </w:tcPr>
          <w:p w:rsidRPr="00B72B55" w:rsidR="00B72B55" w:rsidP="00B72B55" w:rsidRDefault="00B72B55" w14:paraId="79F21540" w14:textId="77777777">
            <w:pPr>
              <w:tabs>
                <w:tab w:val="clear" w:pos="1152"/>
              </w:tabs>
              <w:spacing w:line="240" w:lineRule="auto"/>
              <w:jc w:val="right"/>
              <w:rPr>
                <w:color w:val="000000"/>
              </w:rPr>
            </w:pPr>
            <w:r w:rsidRPr="00B72B55">
              <w:rPr>
                <w:color w:val="000000"/>
              </w:rPr>
              <w:t>11.9%</w:t>
            </w:r>
          </w:p>
        </w:tc>
        <w:tc>
          <w:tcPr>
            <w:tcW w:w="849" w:type="pct"/>
            <w:tcBorders>
              <w:top w:val="nil"/>
              <w:left w:val="nil"/>
              <w:bottom w:val="nil"/>
              <w:right w:val="single" w:color="auto" w:sz="4" w:space="0"/>
            </w:tcBorders>
            <w:shd w:val="clear" w:color="auto" w:fill="auto"/>
            <w:noWrap/>
            <w:vAlign w:val="center"/>
            <w:hideMark/>
          </w:tcPr>
          <w:p w:rsidRPr="00B72B55" w:rsidR="00B72B55" w:rsidP="00B72B55" w:rsidRDefault="00B72B55" w14:paraId="57263EF8" w14:textId="77777777">
            <w:pPr>
              <w:tabs>
                <w:tab w:val="clear" w:pos="1152"/>
              </w:tabs>
              <w:spacing w:line="240" w:lineRule="auto"/>
              <w:jc w:val="right"/>
              <w:rPr>
                <w:color w:val="000000"/>
              </w:rPr>
            </w:pPr>
            <w:r w:rsidRPr="00B72B55">
              <w:rPr>
                <w:color w:val="000000"/>
              </w:rPr>
              <w:t>3,450</w:t>
            </w:r>
          </w:p>
        </w:tc>
        <w:tc>
          <w:tcPr>
            <w:tcW w:w="1071" w:type="pct"/>
            <w:tcBorders>
              <w:top w:val="nil"/>
              <w:left w:val="nil"/>
              <w:bottom w:val="nil"/>
              <w:right w:val="single" w:color="auto" w:sz="4" w:space="0"/>
            </w:tcBorders>
            <w:shd w:val="clear" w:color="auto" w:fill="auto"/>
            <w:noWrap/>
            <w:vAlign w:val="center"/>
            <w:hideMark/>
          </w:tcPr>
          <w:p w:rsidRPr="00B72B55" w:rsidR="00B72B55" w:rsidP="00B72B55" w:rsidRDefault="00B72B55" w14:paraId="714AA0B5" w14:textId="77777777">
            <w:pPr>
              <w:tabs>
                <w:tab w:val="clear" w:pos="1152"/>
              </w:tabs>
              <w:spacing w:line="240" w:lineRule="auto"/>
              <w:jc w:val="right"/>
              <w:rPr>
                <w:color w:val="000000"/>
              </w:rPr>
            </w:pPr>
            <w:r w:rsidRPr="00B72B55">
              <w:rPr>
                <w:color w:val="000000"/>
              </w:rPr>
              <w:t>892</w:t>
            </w:r>
          </w:p>
        </w:tc>
      </w:tr>
      <w:tr w:rsidRPr="00B72B55" w:rsidR="00B72B55" w:rsidTr="00F10E00" w14:paraId="17881D86" w14:textId="77777777">
        <w:trPr>
          <w:trHeight w:val="276"/>
        </w:trPr>
        <w:tc>
          <w:tcPr>
            <w:tcW w:w="137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72B55" w:rsidR="00B72B55" w:rsidP="00F10E00" w:rsidRDefault="00B72B55" w14:paraId="591F0B70" w14:textId="77777777">
            <w:pPr>
              <w:tabs>
                <w:tab w:val="clear" w:pos="1152"/>
              </w:tabs>
              <w:spacing w:line="240" w:lineRule="auto"/>
              <w:jc w:val="center"/>
              <w:rPr>
                <w:b/>
                <w:bCs/>
                <w:color w:val="000000"/>
              </w:rPr>
            </w:pPr>
            <w:r w:rsidRPr="00B72B55">
              <w:rPr>
                <w:b/>
                <w:bCs/>
                <w:color w:val="000000"/>
              </w:rPr>
              <w:t>Total</w:t>
            </w:r>
          </w:p>
        </w:tc>
        <w:tc>
          <w:tcPr>
            <w:tcW w:w="997" w:type="pct"/>
            <w:tcBorders>
              <w:top w:val="single" w:color="auto" w:sz="4" w:space="0"/>
              <w:left w:val="nil"/>
              <w:bottom w:val="single" w:color="auto" w:sz="4" w:space="0"/>
              <w:right w:val="single" w:color="auto" w:sz="4" w:space="0"/>
            </w:tcBorders>
            <w:shd w:val="clear" w:color="auto" w:fill="auto"/>
            <w:noWrap/>
            <w:vAlign w:val="center"/>
            <w:hideMark/>
          </w:tcPr>
          <w:p w:rsidRPr="00B72B55" w:rsidR="00B72B55" w:rsidP="00B72B55" w:rsidRDefault="00B72B55" w14:paraId="1706A2A7" w14:textId="77777777">
            <w:pPr>
              <w:tabs>
                <w:tab w:val="clear" w:pos="1152"/>
              </w:tabs>
              <w:spacing w:line="240" w:lineRule="auto"/>
              <w:jc w:val="right"/>
              <w:rPr>
                <w:b/>
                <w:bCs/>
                <w:color w:val="000000"/>
              </w:rPr>
            </w:pPr>
            <w:r w:rsidRPr="00B72B55">
              <w:rPr>
                <w:b/>
                <w:bCs/>
                <w:color w:val="000000"/>
              </w:rPr>
              <w:t>128,617,575</w:t>
            </w:r>
          </w:p>
        </w:tc>
        <w:tc>
          <w:tcPr>
            <w:tcW w:w="705" w:type="pct"/>
            <w:tcBorders>
              <w:top w:val="single" w:color="auto" w:sz="4" w:space="0"/>
              <w:left w:val="nil"/>
              <w:bottom w:val="single" w:color="auto" w:sz="4" w:space="0"/>
              <w:right w:val="single" w:color="auto" w:sz="4" w:space="0"/>
            </w:tcBorders>
            <w:shd w:val="clear" w:color="auto" w:fill="auto"/>
            <w:noWrap/>
            <w:vAlign w:val="center"/>
            <w:hideMark/>
          </w:tcPr>
          <w:p w:rsidRPr="00B72B55" w:rsidR="00B72B55" w:rsidP="00B72B55" w:rsidRDefault="00B72B55" w14:paraId="749AA7C6" w14:textId="77777777">
            <w:pPr>
              <w:tabs>
                <w:tab w:val="clear" w:pos="1152"/>
              </w:tabs>
              <w:spacing w:line="240" w:lineRule="auto"/>
              <w:jc w:val="right"/>
              <w:rPr>
                <w:b/>
                <w:bCs/>
                <w:color w:val="000000"/>
              </w:rPr>
            </w:pPr>
            <w:r w:rsidRPr="00B72B55">
              <w:rPr>
                <w:b/>
                <w:bCs/>
                <w:color w:val="000000"/>
              </w:rPr>
              <w:t>100.0%</w:t>
            </w:r>
          </w:p>
        </w:tc>
        <w:tc>
          <w:tcPr>
            <w:tcW w:w="849" w:type="pct"/>
            <w:tcBorders>
              <w:top w:val="single" w:color="auto" w:sz="4" w:space="0"/>
              <w:left w:val="nil"/>
              <w:bottom w:val="single" w:color="auto" w:sz="4" w:space="0"/>
              <w:right w:val="single" w:color="auto" w:sz="4" w:space="0"/>
            </w:tcBorders>
            <w:shd w:val="clear" w:color="auto" w:fill="auto"/>
            <w:noWrap/>
            <w:vAlign w:val="center"/>
            <w:hideMark/>
          </w:tcPr>
          <w:p w:rsidRPr="00B72B55" w:rsidR="00B72B55" w:rsidP="00B72B55" w:rsidRDefault="00B72B55" w14:paraId="6C233F3A" w14:textId="77777777">
            <w:pPr>
              <w:tabs>
                <w:tab w:val="clear" w:pos="1152"/>
              </w:tabs>
              <w:spacing w:line="240" w:lineRule="auto"/>
              <w:jc w:val="right"/>
              <w:rPr>
                <w:b/>
                <w:bCs/>
                <w:color w:val="000000"/>
              </w:rPr>
            </w:pPr>
            <w:r w:rsidRPr="00B72B55">
              <w:rPr>
                <w:b/>
                <w:bCs/>
                <w:color w:val="000000"/>
              </w:rPr>
              <w:t>29,002</w:t>
            </w:r>
          </w:p>
        </w:tc>
        <w:tc>
          <w:tcPr>
            <w:tcW w:w="1071" w:type="pct"/>
            <w:tcBorders>
              <w:top w:val="single" w:color="auto" w:sz="4" w:space="0"/>
              <w:left w:val="nil"/>
              <w:bottom w:val="single" w:color="auto" w:sz="4" w:space="0"/>
              <w:right w:val="single" w:color="auto" w:sz="4" w:space="0"/>
            </w:tcBorders>
            <w:shd w:val="clear" w:color="auto" w:fill="auto"/>
            <w:noWrap/>
            <w:vAlign w:val="center"/>
            <w:hideMark/>
          </w:tcPr>
          <w:p w:rsidRPr="00B72B55" w:rsidR="00B72B55" w:rsidP="00B72B55" w:rsidRDefault="00B72B55" w14:paraId="1F3D8E48" w14:textId="77777777">
            <w:pPr>
              <w:tabs>
                <w:tab w:val="clear" w:pos="1152"/>
              </w:tabs>
              <w:spacing w:line="240" w:lineRule="auto"/>
              <w:jc w:val="right"/>
              <w:rPr>
                <w:b/>
                <w:bCs/>
                <w:color w:val="000000"/>
              </w:rPr>
            </w:pPr>
            <w:r w:rsidRPr="00B72B55">
              <w:rPr>
                <w:b/>
                <w:bCs/>
                <w:color w:val="000000"/>
              </w:rPr>
              <w:t>7,500</w:t>
            </w:r>
          </w:p>
        </w:tc>
      </w:tr>
    </w:tbl>
    <w:p w:rsidRPr="009F422D" w:rsidR="00F52242" w:rsidP="00D96A33" w:rsidRDefault="00F52242" w14:paraId="273B8516" w14:textId="244AA8A6">
      <w:pPr>
        <w:spacing w:before="240" w:after="120" w:line="240" w:lineRule="auto"/>
        <w:rPr>
          <w:sz w:val="24"/>
          <w:szCs w:val="20"/>
        </w:rPr>
      </w:pPr>
      <w:r w:rsidRPr="00D23FE1">
        <w:rPr>
          <w:sz w:val="24"/>
          <w:szCs w:val="20"/>
        </w:rPr>
        <w:t xml:space="preserve">For the </w:t>
      </w:r>
      <w:r w:rsidRPr="00D23FE1" w:rsidR="006E2121">
        <w:rPr>
          <w:sz w:val="24"/>
          <w:szCs w:val="20"/>
        </w:rPr>
        <w:t>2020</w:t>
      </w:r>
      <w:r w:rsidR="006E2121">
        <w:rPr>
          <w:sz w:val="24"/>
          <w:szCs w:val="20"/>
        </w:rPr>
        <w:t xml:space="preserve"> </w:t>
      </w:r>
      <w:r w:rsidRPr="00D23FE1">
        <w:rPr>
          <w:sz w:val="24"/>
          <w:szCs w:val="20"/>
        </w:rPr>
        <w:t>NHTS</w:t>
      </w:r>
      <w:r w:rsidRPr="00D23FE1" w:rsidR="00740217">
        <w:rPr>
          <w:sz w:val="24"/>
          <w:szCs w:val="20"/>
        </w:rPr>
        <w:t>,</w:t>
      </w:r>
      <w:r w:rsidRPr="00D23FE1">
        <w:rPr>
          <w:sz w:val="24"/>
          <w:szCs w:val="20"/>
        </w:rPr>
        <w:t xml:space="preserve"> a customized version of the sampling methodology </w:t>
      </w:r>
      <w:r w:rsidRPr="00D23FE1" w:rsidR="00D96A33">
        <w:rPr>
          <w:sz w:val="24"/>
          <w:szCs w:val="20"/>
        </w:rPr>
        <w:t xml:space="preserve">described above </w:t>
      </w:r>
      <w:r w:rsidRPr="00D23FE1">
        <w:rPr>
          <w:sz w:val="24"/>
          <w:szCs w:val="20"/>
        </w:rPr>
        <w:t>will be employed to accommodate the analytical and reporting needs of this survey</w:t>
      </w:r>
      <w:r w:rsidRPr="00D23FE1" w:rsidR="00744360">
        <w:rPr>
          <w:sz w:val="24"/>
          <w:szCs w:val="20"/>
        </w:rPr>
        <w:t>.</w:t>
      </w:r>
      <w:r w:rsidRPr="00D23FE1" w:rsidR="00203937">
        <w:rPr>
          <w:sz w:val="24"/>
          <w:szCs w:val="20"/>
        </w:rPr>
        <w:t xml:space="preserve"> </w:t>
      </w:r>
      <w:r w:rsidRPr="00D23FE1" w:rsidR="004A778C">
        <w:rPr>
          <w:sz w:val="24"/>
          <w:szCs w:val="20"/>
        </w:rPr>
        <w:t>E</w:t>
      </w:r>
      <w:r w:rsidRPr="00D23FE1">
        <w:rPr>
          <w:sz w:val="24"/>
          <w:szCs w:val="20"/>
        </w:rPr>
        <w:t>ach month</w:t>
      </w:r>
      <w:r w:rsidRPr="00D23FE1" w:rsidR="004A778C">
        <w:rPr>
          <w:sz w:val="24"/>
          <w:szCs w:val="20"/>
        </w:rPr>
        <w:t>,</w:t>
      </w:r>
      <w:r w:rsidRPr="00D23FE1">
        <w:rPr>
          <w:sz w:val="24"/>
          <w:szCs w:val="20"/>
        </w:rPr>
        <w:t xml:space="preserve"> a nationally representative sample of households will be selected from KP that will exclude </w:t>
      </w:r>
      <w:r w:rsidRPr="009F422D" w:rsidR="005857D9">
        <w:rPr>
          <w:sz w:val="24"/>
          <w:szCs w:val="20"/>
        </w:rPr>
        <w:t>those</w:t>
      </w:r>
      <w:r w:rsidRPr="009F422D">
        <w:rPr>
          <w:sz w:val="24"/>
          <w:szCs w:val="20"/>
        </w:rPr>
        <w:t xml:space="preserve"> that </w:t>
      </w:r>
      <w:r w:rsidRPr="009F422D" w:rsidR="005857D9">
        <w:rPr>
          <w:sz w:val="24"/>
          <w:szCs w:val="20"/>
        </w:rPr>
        <w:t xml:space="preserve">have </w:t>
      </w:r>
      <w:r w:rsidRPr="009F422D">
        <w:rPr>
          <w:sz w:val="24"/>
          <w:szCs w:val="20"/>
        </w:rPr>
        <w:t>responded in prior months</w:t>
      </w:r>
      <w:r w:rsidRPr="009F422D" w:rsidR="00744360">
        <w:rPr>
          <w:sz w:val="24"/>
          <w:szCs w:val="20"/>
        </w:rPr>
        <w:t>.</w:t>
      </w:r>
      <w:r w:rsidRPr="009F422D" w:rsidR="00203937">
        <w:rPr>
          <w:sz w:val="24"/>
          <w:szCs w:val="20"/>
        </w:rPr>
        <w:t xml:space="preserve"> </w:t>
      </w:r>
      <w:r w:rsidRPr="009F422D">
        <w:rPr>
          <w:sz w:val="24"/>
          <w:szCs w:val="20"/>
        </w:rPr>
        <w:t>Given the goal of even coverage for all days of the year, each month’s sample will then be randomly partitioned into weekly samples</w:t>
      </w:r>
      <w:r w:rsidRPr="009F422D" w:rsidR="00744360">
        <w:rPr>
          <w:sz w:val="24"/>
          <w:szCs w:val="20"/>
        </w:rPr>
        <w:t>.</w:t>
      </w:r>
      <w:r w:rsidRPr="009F422D" w:rsidR="00203937">
        <w:rPr>
          <w:sz w:val="24"/>
          <w:szCs w:val="20"/>
        </w:rPr>
        <w:t xml:space="preserve"> </w:t>
      </w:r>
      <w:r w:rsidRPr="009F422D">
        <w:rPr>
          <w:sz w:val="24"/>
          <w:szCs w:val="20"/>
        </w:rPr>
        <w:t>Subsequently</w:t>
      </w:r>
      <w:r w:rsidRPr="009F422D" w:rsidR="00F152E5">
        <w:rPr>
          <w:sz w:val="24"/>
          <w:szCs w:val="20"/>
        </w:rPr>
        <w:t>,</w:t>
      </w:r>
      <w:r w:rsidRPr="009F422D">
        <w:rPr>
          <w:sz w:val="24"/>
          <w:szCs w:val="20"/>
        </w:rPr>
        <w:t xml:space="preserve"> weekly replicates will be randomly partitioned into </w:t>
      </w:r>
      <w:r w:rsidR="00AF7B99">
        <w:rPr>
          <w:sz w:val="24"/>
          <w:szCs w:val="20"/>
        </w:rPr>
        <w:t>seven</w:t>
      </w:r>
      <w:r w:rsidRPr="009F422D" w:rsidR="00AF7B99">
        <w:rPr>
          <w:sz w:val="24"/>
          <w:szCs w:val="20"/>
        </w:rPr>
        <w:t xml:space="preserve"> </w:t>
      </w:r>
      <w:r w:rsidRPr="009F422D">
        <w:rPr>
          <w:sz w:val="24"/>
          <w:szCs w:val="20"/>
        </w:rPr>
        <w:t>sub-replicates to be released daily</w:t>
      </w:r>
      <w:r w:rsidRPr="009F422D" w:rsidR="00744360">
        <w:rPr>
          <w:sz w:val="24"/>
          <w:szCs w:val="20"/>
        </w:rPr>
        <w:t>.</w:t>
      </w:r>
      <w:r w:rsidRPr="009F422D" w:rsidR="00203937">
        <w:rPr>
          <w:sz w:val="24"/>
          <w:szCs w:val="20"/>
        </w:rPr>
        <w:t xml:space="preserve"> </w:t>
      </w:r>
      <w:r w:rsidRPr="009F422D">
        <w:rPr>
          <w:sz w:val="24"/>
          <w:szCs w:val="20"/>
        </w:rPr>
        <w:t>Recognizing the ongoing attrition of KP, the weekly replicates and daily sub-replicates will be selected with progressively larger allocation rates in anticipation of those members who will become inactive (stop taking surveys) as time goes on.</w:t>
      </w:r>
    </w:p>
    <w:p w:rsidRPr="009F422D" w:rsidR="002B0545" w:rsidP="00F52242" w:rsidRDefault="00F52242" w14:paraId="316D703D" w14:textId="3BF09FDA">
      <w:pPr>
        <w:spacing w:before="120" w:after="120" w:line="240" w:lineRule="auto"/>
        <w:rPr>
          <w:sz w:val="24"/>
          <w:szCs w:val="20"/>
        </w:rPr>
      </w:pPr>
      <w:r w:rsidRPr="009F422D">
        <w:rPr>
          <w:sz w:val="24"/>
          <w:szCs w:val="20"/>
        </w:rPr>
        <w:t>While some fluctuations will be inevitable due to seasonality and other varying yield rates, the application of the above regimented sample allocation is expected to secure about 20</w:t>
      </w:r>
      <w:r w:rsidRPr="009F422D" w:rsidR="00BD1D02">
        <w:rPr>
          <w:sz w:val="24"/>
          <w:szCs w:val="20"/>
        </w:rPr>
        <w:t>.5</w:t>
      </w:r>
      <w:r w:rsidR="006E2121">
        <w:rPr>
          <w:sz w:val="24"/>
          <w:szCs w:val="20"/>
        </w:rPr>
        <w:t>5</w:t>
      </w:r>
      <w:r w:rsidRPr="009F422D">
        <w:rPr>
          <w:sz w:val="24"/>
          <w:szCs w:val="20"/>
        </w:rPr>
        <w:t xml:space="preserve"> completed surveys each day</w:t>
      </w:r>
      <w:r w:rsidRPr="009F422D" w:rsidR="00744360">
        <w:rPr>
          <w:sz w:val="24"/>
          <w:szCs w:val="20"/>
        </w:rPr>
        <w:t>.</w:t>
      </w:r>
      <w:r w:rsidRPr="009F422D" w:rsidR="00203937">
        <w:rPr>
          <w:sz w:val="24"/>
          <w:szCs w:val="20"/>
        </w:rPr>
        <w:t xml:space="preserve"> </w:t>
      </w:r>
      <w:r w:rsidRPr="009F422D">
        <w:rPr>
          <w:sz w:val="24"/>
          <w:szCs w:val="20"/>
        </w:rPr>
        <w:t xml:space="preserve">As such, </w:t>
      </w:r>
      <w:r w:rsidRPr="009F422D" w:rsidR="00D53E32">
        <w:rPr>
          <w:sz w:val="24"/>
          <w:szCs w:val="20"/>
        </w:rPr>
        <w:t xml:space="preserve">the sample sizes </w:t>
      </w:r>
      <w:r w:rsidRPr="009F422D">
        <w:rPr>
          <w:sz w:val="24"/>
          <w:szCs w:val="20"/>
        </w:rPr>
        <w:t xml:space="preserve">will be </w:t>
      </w:r>
      <w:r w:rsidRPr="009F422D" w:rsidR="00D53E32">
        <w:rPr>
          <w:sz w:val="24"/>
          <w:szCs w:val="20"/>
        </w:rPr>
        <w:t xml:space="preserve">sufficient </w:t>
      </w:r>
      <w:r w:rsidRPr="009F422D">
        <w:rPr>
          <w:sz w:val="24"/>
          <w:szCs w:val="20"/>
        </w:rPr>
        <w:t>to roll up the data to various levels of temporal aggregations such as weeks, months, quarters, or other time periods of interest</w:t>
      </w:r>
      <w:r w:rsidRPr="009F422D" w:rsidR="00744360">
        <w:rPr>
          <w:sz w:val="24"/>
          <w:szCs w:val="20"/>
        </w:rPr>
        <w:t>.</w:t>
      </w:r>
      <w:r w:rsidRPr="009F422D" w:rsidR="00203937">
        <w:rPr>
          <w:sz w:val="24"/>
          <w:szCs w:val="20"/>
        </w:rPr>
        <w:t xml:space="preserve"> </w:t>
      </w:r>
      <w:r w:rsidR="006E2121">
        <w:rPr>
          <w:sz w:val="24"/>
          <w:szCs w:val="20"/>
        </w:rPr>
        <w:t>The</w:t>
      </w:r>
      <w:r w:rsidRPr="009F422D" w:rsidR="006E2121">
        <w:rPr>
          <w:sz w:val="24"/>
          <w:szCs w:val="20"/>
        </w:rPr>
        <w:t xml:space="preserve"> </w:t>
      </w:r>
      <w:r w:rsidRPr="009F422D">
        <w:rPr>
          <w:sz w:val="24"/>
          <w:szCs w:val="20"/>
        </w:rPr>
        <w:t xml:space="preserve">proportional sample allocation </w:t>
      </w:r>
      <w:r w:rsidRPr="009F422D" w:rsidR="00BD1D02">
        <w:rPr>
          <w:sz w:val="24"/>
          <w:szCs w:val="20"/>
        </w:rPr>
        <w:t>scheme will require no stratification</w:t>
      </w:r>
      <w:r w:rsidRPr="009F422D" w:rsidR="00D53E32">
        <w:rPr>
          <w:sz w:val="24"/>
          <w:szCs w:val="20"/>
        </w:rPr>
        <w:t xml:space="preserve"> and will </w:t>
      </w:r>
      <w:r w:rsidRPr="009F422D">
        <w:rPr>
          <w:sz w:val="24"/>
          <w:szCs w:val="20"/>
        </w:rPr>
        <w:t xml:space="preserve">provide </w:t>
      </w:r>
      <w:r w:rsidRPr="009F422D" w:rsidR="00BD1D02">
        <w:rPr>
          <w:sz w:val="24"/>
          <w:szCs w:val="20"/>
        </w:rPr>
        <w:t xml:space="preserve">the </w:t>
      </w:r>
      <w:r w:rsidRPr="009F422D">
        <w:rPr>
          <w:sz w:val="24"/>
          <w:szCs w:val="20"/>
        </w:rPr>
        <w:t xml:space="preserve">most efficient estimates (smallest </w:t>
      </w:r>
      <w:r w:rsidRPr="009F422D" w:rsidR="00D53E32">
        <w:rPr>
          <w:sz w:val="24"/>
          <w:szCs w:val="20"/>
        </w:rPr>
        <w:t xml:space="preserve">margins of </w:t>
      </w:r>
      <w:r w:rsidRPr="009F422D">
        <w:rPr>
          <w:sz w:val="24"/>
          <w:szCs w:val="20"/>
        </w:rPr>
        <w:t>error) at the national level</w:t>
      </w:r>
      <w:r w:rsidRPr="009F422D" w:rsidR="00BD1D02">
        <w:rPr>
          <w:sz w:val="24"/>
          <w:szCs w:val="20"/>
        </w:rPr>
        <w:t>.</w:t>
      </w:r>
    </w:p>
    <w:p w:rsidRPr="009F422D" w:rsidR="002B0545" w:rsidP="001C261B" w:rsidRDefault="002B0545" w14:paraId="4E77A66E" w14:textId="3ED45AE5">
      <w:pPr>
        <w:spacing w:before="120" w:after="120" w:line="240" w:lineRule="auto"/>
        <w:rPr>
          <w:sz w:val="24"/>
          <w:szCs w:val="24"/>
        </w:rPr>
      </w:pPr>
      <w:r w:rsidRPr="009F422D">
        <w:rPr>
          <w:sz w:val="24"/>
          <w:szCs w:val="20"/>
        </w:rPr>
        <w:t xml:space="preserve">As required for the </w:t>
      </w:r>
      <w:r w:rsidRPr="009F422D" w:rsidR="006E2121">
        <w:rPr>
          <w:sz w:val="24"/>
          <w:szCs w:val="20"/>
        </w:rPr>
        <w:t>2020</w:t>
      </w:r>
      <w:r w:rsidR="006E2121">
        <w:rPr>
          <w:sz w:val="24"/>
          <w:szCs w:val="20"/>
        </w:rPr>
        <w:t xml:space="preserve"> </w:t>
      </w:r>
      <w:r w:rsidRPr="009F422D">
        <w:rPr>
          <w:sz w:val="24"/>
          <w:szCs w:val="20"/>
        </w:rPr>
        <w:t>NHTS</w:t>
      </w:r>
      <w:r w:rsidRPr="009F422D" w:rsidR="00BD1D02">
        <w:rPr>
          <w:sz w:val="24"/>
          <w:szCs w:val="20"/>
        </w:rPr>
        <w:t>, this design will</w:t>
      </w:r>
      <w:r w:rsidRPr="009F422D" w:rsidR="00F52242">
        <w:rPr>
          <w:sz w:val="24"/>
          <w:szCs w:val="20"/>
        </w:rPr>
        <w:t xml:space="preserve"> </w:t>
      </w:r>
      <w:r w:rsidRPr="009F422D">
        <w:rPr>
          <w:sz w:val="24"/>
          <w:szCs w:val="20"/>
        </w:rPr>
        <w:t>provide the needed sample sizes to</w:t>
      </w:r>
      <w:r w:rsidRPr="009F422D" w:rsidR="00BD1D02">
        <w:rPr>
          <w:sz w:val="24"/>
          <w:szCs w:val="20"/>
        </w:rPr>
        <w:t xml:space="preserve"> secur</w:t>
      </w:r>
      <w:r w:rsidRPr="009F422D">
        <w:rPr>
          <w:sz w:val="24"/>
          <w:szCs w:val="20"/>
        </w:rPr>
        <w:t xml:space="preserve">e </w:t>
      </w:r>
      <w:r w:rsidRPr="00F10E00" w:rsidR="00E04EB7">
        <w:rPr>
          <w:sz w:val="24"/>
          <w:szCs w:val="20"/>
        </w:rPr>
        <w:t>Valid Statistical</w:t>
      </w:r>
      <w:r w:rsidRPr="00F10E00" w:rsidR="00F52242">
        <w:rPr>
          <w:sz w:val="24"/>
          <w:szCs w:val="20"/>
        </w:rPr>
        <w:t xml:space="preserve"> </w:t>
      </w:r>
      <w:r w:rsidRPr="00F10E00" w:rsidR="00AE0329">
        <w:rPr>
          <w:sz w:val="24"/>
          <w:szCs w:val="20"/>
        </w:rPr>
        <w:t>R</w:t>
      </w:r>
      <w:r w:rsidRPr="00F10E00" w:rsidR="00F52242">
        <w:rPr>
          <w:sz w:val="24"/>
          <w:szCs w:val="20"/>
        </w:rPr>
        <w:t>epresentation</w:t>
      </w:r>
      <w:r w:rsidRPr="009F422D" w:rsidR="00AE0329">
        <w:rPr>
          <w:sz w:val="24"/>
          <w:szCs w:val="20"/>
        </w:rPr>
        <w:t xml:space="preserve"> (V</w:t>
      </w:r>
      <w:r w:rsidR="00E249E8">
        <w:rPr>
          <w:sz w:val="24"/>
          <w:szCs w:val="20"/>
        </w:rPr>
        <w:t>S</w:t>
      </w:r>
      <w:r w:rsidRPr="009F422D" w:rsidR="00AE0329">
        <w:rPr>
          <w:sz w:val="24"/>
          <w:szCs w:val="20"/>
        </w:rPr>
        <w:t xml:space="preserve">R) </w:t>
      </w:r>
      <w:r w:rsidRPr="009F422D" w:rsidR="00F52242">
        <w:rPr>
          <w:sz w:val="24"/>
          <w:szCs w:val="20"/>
        </w:rPr>
        <w:t xml:space="preserve">for all </w:t>
      </w:r>
      <w:r w:rsidRPr="009F422D" w:rsidR="00AC36DA">
        <w:rPr>
          <w:sz w:val="24"/>
          <w:szCs w:val="20"/>
        </w:rPr>
        <w:t xml:space="preserve">DOT </w:t>
      </w:r>
      <w:r w:rsidRPr="009F422D" w:rsidR="00F52242">
        <w:rPr>
          <w:sz w:val="24"/>
          <w:szCs w:val="20"/>
        </w:rPr>
        <w:t>reporting subdomain</w:t>
      </w:r>
      <w:r w:rsidRPr="009F422D">
        <w:rPr>
          <w:sz w:val="24"/>
          <w:szCs w:val="20"/>
        </w:rPr>
        <w:t>s</w:t>
      </w:r>
      <w:r w:rsidRPr="009F422D" w:rsidR="00744360">
        <w:rPr>
          <w:sz w:val="24"/>
          <w:szCs w:val="20"/>
        </w:rPr>
        <w:t>.</w:t>
      </w:r>
      <w:r w:rsidRPr="009F422D" w:rsidR="00203937">
        <w:rPr>
          <w:sz w:val="24"/>
          <w:szCs w:val="20"/>
        </w:rPr>
        <w:t xml:space="preserve"> </w:t>
      </w:r>
      <w:r w:rsidRPr="009F422D" w:rsidR="00F52242">
        <w:rPr>
          <w:sz w:val="24"/>
          <w:szCs w:val="20"/>
        </w:rPr>
        <w:t>That is, the resulting survey estimates will carry error margins no larger than ±5% with at least</w:t>
      </w:r>
      <w:r w:rsidR="00AF7B99">
        <w:rPr>
          <w:sz w:val="24"/>
          <w:szCs w:val="20"/>
        </w:rPr>
        <w:t xml:space="preserve"> a</w:t>
      </w:r>
      <w:r w:rsidRPr="009F422D" w:rsidR="00F52242">
        <w:rPr>
          <w:sz w:val="24"/>
          <w:szCs w:val="20"/>
        </w:rPr>
        <w:t xml:space="preserve"> 95% level of confidence</w:t>
      </w:r>
      <w:r w:rsidRPr="009F422D" w:rsidR="00744360">
        <w:rPr>
          <w:sz w:val="24"/>
          <w:szCs w:val="20"/>
        </w:rPr>
        <w:t>.</w:t>
      </w:r>
      <w:r w:rsidRPr="009F422D" w:rsidR="00203937">
        <w:rPr>
          <w:sz w:val="24"/>
          <w:szCs w:val="20"/>
        </w:rPr>
        <w:t xml:space="preserve"> </w:t>
      </w:r>
      <w:r w:rsidRPr="009F422D" w:rsidR="00AE0329">
        <w:rPr>
          <w:sz w:val="24"/>
          <w:szCs w:val="24"/>
        </w:rPr>
        <w:t>Because of</w:t>
      </w:r>
      <w:r w:rsidRPr="009F422D" w:rsidR="001C261B">
        <w:rPr>
          <w:sz w:val="24"/>
          <w:szCs w:val="24"/>
        </w:rPr>
        <w:t xml:space="preserve"> </w:t>
      </w:r>
      <w:r w:rsidR="006E2121">
        <w:rPr>
          <w:sz w:val="24"/>
          <w:szCs w:val="24"/>
        </w:rPr>
        <w:t>the</w:t>
      </w:r>
      <w:r w:rsidRPr="009F422D" w:rsidR="006E2121">
        <w:rPr>
          <w:sz w:val="24"/>
          <w:szCs w:val="24"/>
        </w:rPr>
        <w:t xml:space="preserve"> </w:t>
      </w:r>
      <w:r w:rsidRPr="009F422D" w:rsidR="001C261B">
        <w:rPr>
          <w:sz w:val="24"/>
          <w:szCs w:val="24"/>
        </w:rPr>
        <w:t>continuous data collection approach</w:t>
      </w:r>
      <w:r w:rsidRPr="009F422D" w:rsidR="00AE0329">
        <w:rPr>
          <w:sz w:val="24"/>
          <w:szCs w:val="24"/>
        </w:rPr>
        <w:t xml:space="preserve">, the </w:t>
      </w:r>
      <w:r w:rsidR="006E2121">
        <w:rPr>
          <w:sz w:val="24"/>
          <w:szCs w:val="24"/>
        </w:rPr>
        <w:t xml:space="preserve">2020 </w:t>
      </w:r>
      <w:r w:rsidRPr="009F422D" w:rsidR="00AE0329">
        <w:rPr>
          <w:sz w:val="24"/>
          <w:szCs w:val="24"/>
        </w:rPr>
        <w:t xml:space="preserve">NHTS </w:t>
      </w:r>
      <w:r w:rsidRPr="009F422D" w:rsidR="001C261B">
        <w:rPr>
          <w:sz w:val="24"/>
          <w:szCs w:val="24"/>
        </w:rPr>
        <w:t>will provide complete coverage of all 365 days with a roughly equal number of completed surveys per day</w:t>
      </w:r>
      <w:r w:rsidRPr="009F422D" w:rsidR="00744360">
        <w:rPr>
          <w:sz w:val="24"/>
          <w:szCs w:val="24"/>
        </w:rPr>
        <w:t>.</w:t>
      </w:r>
    </w:p>
    <w:p w:rsidRPr="00265EB9" w:rsidR="001C261B" w:rsidP="001C261B" w:rsidRDefault="001C261B" w14:paraId="5F38B4BB" w14:textId="1EAC13E8">
      <w:pPr>
        <w:spacing w:before="120" w:after="120" w:line="240" w:lineRule="auto"/>
        <w:rPr>
          <w:sz w:val="24"/>
          <w:szCs w:val="24"/>
        </w:rPr>
      </w:pPr>
      <w:r w:rsidRPr="009F422D">
        <w:rPr>
          <w:sz w:val="24"/>
          <w:szCs w:val="24"/>
        </w:rPr>
        <w:t>Once properly weighted,</w:t>
      </w:r>
      <w:r w:rsidRPr="009F422D" w:rsidR="00601C2B">
        <w:rPr>
          <w:sz w:val="24"/>
          <w:szCs w:val="24"/>
        </w:rPr>
        <w:t xml:space="preserve"> </w:t>
      </w:r>
      <w:r w:rsidRPr="009F422D">
        <w:rPr>
          <w:sz w:val="24"/>
          <w:szCs w:val="24"/>
        </w:rPr>
        <w:t>collect</w:t>
      </w:r>
      <w:r w:rsidRPr="009F422D" w:rsidR="00601C2B">
        <w:rPr>
          <w:sz w:val="24"/>
          <w:szCs w:val="24"/>
        </w:rPr>
        <w:t>ed data</w:t>
      </w:r>
      <w:r w:rsidRPr="009F422D">
        <w:rPr>
          <w:sz w:val="24"/>
          <w:szCs w:val="24"/>
        </w:rPr>
        <w:t xml:space="preserve"> across </w:t>
      </w:r>
      <w:r w:rsidRPr="009F422D" w:rsidR="00601C2B">
        <w:rPr>
          <w:sz w:val="24"/>
          <w:szCs w:val="24"/>
        </w:rPr>
        <w:t xml:space="preserve">the entire year </w:t>
      </w:r>
      <w:r w:rsidRPr="009F422D">
        <w:rPr>
          <w:sz w:val="24"/>
          <w:szCs w:val="24"/>
        </w:rPr>
        <w:t xml:space="preserve">will allow generation of unbiased estimates for </w:t>
      </w:r>
      <w:r w:rsidRPr="009F422D" w:rsidR="00D8558B">
        <w:rPr>
          <w:sz w:val="24"/>
          <w:szCs w:val="24"/>
        </w:rPr>
        <w:t xml:space="preserve">an </w:t>
      </w:r>
      <w:r w:rsidRPr="009F422D">
        <w:rPr>
          <w:sz w:val="24"/>
          <w:szCs w:val="24"/>
        </w:rPr>
        <w:t>annual average day, weekday, and weekend</w:t>
      </w:r>
      <w:r w:rsidRPr="009F422D" w:rsidR="00744360">
        <w:rPr>
          <w:sz w:val="24"/>
          <w:szCs w:val="24"/>
        </w:rPr>
        <w:t>.</w:t>
      </w:r>
      <w:r w:rsidRPr="009F422D" w:rsidR="00203937">
        <w:rPr>
          <w:sz w:val="24"/>
          <w:szCs w:val="24"/>
        </w:rPr>
        <w:t xml:space="preserve"> </w:t>
      </w:r>
      <w:r w:rsidRPr="009F422D" w:rsidR="005857D9">
        <w:rPr>
          <w:sz w:val="24"/>
          <w:szCs w:val="24"/>
        </w:rPr>
        <w:t>F</w:t>
      </w:r>
      <w:r w:rsidRPr="009F422D" w:rsidR="00601C2B">
        <w:rPr>
          <w:sz w:val="24"/>
          <w:szCs w:val="20"/>
        </w:rPr>
        <w:t>or instance, we anticipate having data from about</w:t>
      </w:r>
      <w:r w:rsidRPr="009F422D" w:rsidR="00D53E32">
        <w:rPr>
          <w:sz w:val="24"/>
          <w:szCs w:val="20"/>
        </w:rPr>
        <w:t xml:space="preserve"> </w:t>
      </w:r>
      <w:r w:rsidRPr="009F422D" w:rsidR="00AC36DA">
        <w:rPr>
          <w:sz w:val="24"/>
          <w:szCs w:val="20"/>
        </w:rPr>
        <w:t>2,</w:t>
      </w:r>
      <w:r w:rsidRPr="009F422D" w:rsidR="00DB4151">
        <w:rPr>
          <w:sz w:val="24"/>
          <w:szCs w:val="20"/>
        </w:rPr>
        <w:t>1</w:t>
      </w:r>
      <w:r w:rsidRPr="009F422D" w:rsidR="00AC36DA">
        <w:rPr>
          <w:sz w:val="24"/>
          <w:szCs w:val="20"/>
        </w:rPr>
        <w:t xml:space="preserve">32 </w:t>
      </w:r>
      <w:r w:rsidRPr="009F422D" w:rsidR="00601C2B">
        <w:rPr>
          <w:sz w:val="24"/>
          <w:szCs w:val="20"/>
        </w:rPr>
        <w:t>= 52 × 20.5</w:t>
      </w:r>
      <w:r w:rsidRPr="009F422D" w:rsidR="00AC36DA">
        <w:rPr>
          <w:sz w:val="24"/>
          <w:szCs w:val="20"/>
        </w:rPr>
        <w:t xml:space="preserve"> × 2</w:t>
      </w:r>
      <w:r w:rsidRPr="009F422D" w:rsidR="00601C2B">
        <w:rPr>
          <w:sz w:val="24"/>
          <w:szCs w:val="20"/>
        </w:rPr>
        <w:t xml:space="preserve"> observations for weekends</w:t>
      </w:r>
      <w:r w:rsidRPr="009F422D" w:rsidR="00744360">
        <w:rPr>
          <w:sz w:val="24"/>
          <w:szCs w:val="20"/>
        </w:rPr>
        <w:t>.</w:t>
      </w:r>
      <w:r w:rsidRPr="009F422D" w:rsidR="00203937">
        <w:rPr>
          <w:sz w:val="24"/>
          <w:szCs w:val="20"/>
        </w:rPr>
        <w:t xml:space="preserve"> </w:t>
      </w:r>
      <w:r w:rsidR="0095417F">
        <w:rPr>
          <w:sz w:val="24"/>
          <w:szCs w:val="20"/>
        </w:rPr>
        <w:t>T</w:t>
      </w:r>
      <w:r w:rsidRPr="009F422D" w:rsidR="00D304C1">
        <w:rPr>
          <w:sz w:val="24"/>
          <w:szCs w:val="20"/>
        </w:rPr>
        <w:t>here</w:t>
      </w:r>
      <w:r w:rsidRPr="009F422D" w:rsidR="00601C2B">
        <w:rPr>
          <w:sz w:val="24"/>
          <w:szCs w:val="20"/>
        </w:rPr>
        <w:t xml:space="preserve"> </w:t>
      </w:r>
      <w:r w:rsidRPr="009F422D" w:rsidR="00601C2B">
        <w:rPr>
          <w:sz w:val="24"/>
          <w:szCs w:val="24"/>
        </w:rPr>
        <w:t xml:space="preserve">will be substantially more </w:t>
      </w:r>
      <w:r w:rsidR="00E249E8">
        <w:rPr>
          <w:sz w:val="24"/>
          <w:szCs w:val="24"/>
        </w:rPr>
        <w:t>completed surveys</w:t>
      </w:r>
      <w:r w:rsidRPr="009F422D" w:rsidR="00601C2B">
        <w:rPr>
          <w:sz w:val="24"/>
          <w:szCs w:val="24"/>
        </w:rPr>
        <w:t xml:space="preserve"> </w:t>
      </w:r>
      <w:r w:rsidRPr="009F422D" w:rsidR="00344C1D">
        <w:rPr>
          <w:sz w:val="24"/>
          <w:szCs w:val="20"/>
        </w:rPr>
        <w:t>for 5- and 7-day periods</w:t>
      </w:r>
      <w:r w:rsidRPr="009F422D" w:rsidR="00344C1D">
        <w:rPr>
          <w:sz w:val="24"/>
          <w:szCs w:val="24"/>
        </w:rPr>
        <w:t xml:space="preserve"> </w:t>
      </w:r>
      <w:r w:rsidRPr="009F422D" w:rsidR="00601C2B">
        <w:rPr>
          <w:sz w:val="24"/>
          <w:szCs w:val="24"/>
        </w:rPr>
        <w:t xml:space="preserve">to achieve the stated precision </w:t>
      </w:r>
      <w:r w:rsidR="00E249E8">
        <w:rPr>
          <w:sz w:val="24"/>
          <w:szCs w:val="24"/>
        </w:rPr>
        <w:t xml:space="preserve">goals than what </w:t>
      </w:r>
      <w:r w:rsidR="00E249E8">
        <w:rPr>
          <w:sz w:val="24"/>
          <w:szCs w:val="24"/>
        </w:rPr>
        <w:lastRenderedPageBreak/>
        <w:t>VSR guidelines require</w:t>
      </w:r>
      <w:r w:rsidRPr="009F422D" w:rsidR="00744360">
        <w:rPr>
          <w:sz w:val="24"/>
          <w:szCs w:val="24"/>
        </w:rPr>
        <w:t>.</w:t>
      </w:r>
      <w:r w:rsidRPr="009F422D" w:rsidR="00203937">
        <w:rPr>
          <w:sz w:val="24"/>
          <w:szCs w:val="24"/>
        </w:rPr>
        <w:t xml:space="preserve"> </w:t>
      </w:r>
      <w:r w:rsidRPr="009F422D">
        <w:rPr>
          <w:sz w:val="24"/>
          <w:szCs w:val="24"/>
        </w:rPr>
        <w:t xml:space="preserve">Moreover, </w:t>
      </w:r>
      <w:r w:rsidRPr="00265EB9">
        <w:rPr>
          <w:sz w:val="24"/>
          <w:szCs w:val="24"/>
        </w:rPr>
        <w:t xml:space="preserve">the final national weighted data will allow users to characterize and report personal travel behavior for </w:t>
      </w:r>
      <w:r w:rsidRPr="00265EB9" w:rsidR="00601C2B">
        <w:rPr>
          <w:sz w:val="24"/>
          <w:szCs w:val="24"/>
        </w:rPr>
        <w:t>other key</w:t>
      </w:r>
      <w:r w:rsidRPr="00265EB9">
        <w:rPr>
          <w:sz w:val="24"/>
          <w:szCs w:val="24"/>
        </w:rPr>
        <w:t xml:space="preserve"> subdomains, including:</w:t>
      </w:r>
    </w:p>
    <w:p w:rsidRPr="00E04EB7" w:rsidR="001C261B" w:rsidP="00346849" w:rsidRDefault="001C261B" w14:paraId="1D7A63EB" w14:textId="77777777">
      <w:pPr>
        <w:pStyle w:val="ListParagraph"/>
        <w:numPr>
          <w:ilvl w:val="0"/>
          <w:numId w:val="17"/>
        </w:numPr>
        <w:tabs>
          <w:tab w:val="clear" w:pos="1152"/>
        </w:tabs>
        <w:spacing w:before="60" w:after="60" w:line="240" w:lineRule="auto"/>
        <w:contextualSpacing w:val="0"/>
        <w:rPr>
          <w:sz w:val="24"/>
          <w:szCs w:val="24"/>
        </w:rPr>
      </w:pPr>
      <w:r w:rsidRPr="00E04EB7">
        <w:rPr>
          <w:sz w:val="24"/>
          <w:szCs w:val="24"/>
        </w:rPr>
        <w:t>National, i.e., the entire nation, including all the 50 States and Washington, DC combined</w:t>
      </w:r>
    </w:p>
    <w:p w:rsidRPr="00E04EB7" w:rsidR="001C261B" w:rsidP="00346849" w:rsidRDefault="001C261B" w14:paraId="7B57FD1E" w14:textId="77777777">
      <w:pPr>
        <w:pStyle w:val="ListParagraph"/>
        <w:numPr>
          <w:ilvl w:val="0"/>
          <w:numId w:val="17"/>
        </w:numPr>
        <w:tabs>
          <w:tab w:val="clear" w:pos="1152"/>
        </w:tabs>
        <w:spacing w:before="60" w:after="60" w:line="240" w:lineRule="auto"/>
        <w:contextualSpacing w:val="0"/>
        <w:rPr>
          <w:sz w:val="24"/>
          <w:szCs w:val="24"/>
        </w:rPr>
      </w:pPr>
      <w:r w:rsidRPr="00E04EB7">
        <w:rPr>
          <w:sz w:val="24"/>
          <w:szCs w:val="24"/>
        </w:rPr>
        <w:t>National travel behavior by:</w:t>
      </w:r>
    </w:p>
    <w:p w:rsidRPr="00E04EB7" w:rsidR="001C261B" w:rsidP="00346849" w:rsidRDefault="001C261B" w14:paraId="7996646D" w14:textId="77777777">
      <w:pPr>
        <w:pStyle w:val="ListParagraph"/>
        <w:numPr>
          <w:ilvl w:val="1"/>
          <w:numId w:val="17"/>
        </w:numPr>
        <w:tabs>
          <w:tab w:val="clear" w:pos="1152"/>
        </w:tabs>
        <w:spacing w:before="120" w:after="120" w:line="240" w:lineRule="auto"/>
        <w:rPr>
          <w:sz w:val="24"/>
          <w:szCs w:val="24"/>
        </w:rPr>
      </w:pPr>
      <w:r w:rsidRPr="00E04EB7">
        <w:rPr>
          <w:sz w:val="24"/>
          <w:szCs w:val="24"/>
        </w:rPr>
        <w:t>Mode</w:t>
      </w:r>
      <w:r w:rsidRPr="00E04EB7" w:rsidR="00124339">
        <w:rPr>
          <w:sz w:val="24"/>
          <w:szCs w:val="24"/>
        </w:rPr>
        <w:t>s</w:t>
      </w:r>
      <w:r w:rsidRPr="00E04EB7">
        <w:rPr>
          <w:sz w:val="24"/>
          <w:szCs w:val="24"/>
        </w:rPr>
        <w:t xml:space="preserve"> of travel</w:t>
      </w:r>
      <w:r w:rsidRPr="00E04EB7" w:rsidR="00124339">
        <w:rPr>
          <w:sz w:val="24"/>
          <w:szCs w:val="24"/>
        </w:rPr>
        <w:t xml:space="preserve"> and commute to work </w:t>
      </w:r>
    </w:p>
    <w:p w:rsidRPr="00E04EB7" w:rsidR="001C261B" w:rsidP="00346849" w:rsidRDefault="001C261B" w14:paraId="1997A59B" w14:textId="77777777">
      <w:pPr>
        <w:pStyle w:val="ListParagraph"/>
        <w:numPr>
          <w:ilvl w:val="1"/>
          <w:numId w:val="17"/>
        </w:numPr>
        <w:tabs>
          <w:tab w:val="clear" w:pos="1152"/>
        </w:tabs>
        <w:spacing w:before="120" w:after="120" w:line="240" w:lineRule="auto"/>
        <w:rPr>
          <w:sz w:val="24"/>
          <w:szCs w:val="24"/>
        </w:rPr>
      </w:pPr>
      <w:r w:rsidRPr="00E04EB7">
        <w:rPr>
          <w:sz w:val="24"/>
          <w:szCs w:val="24"/>
        </w:rPr>
        <w:t>Trip characteristics: purpose, starting time, ending time, distance, and duration</w:t>
      </w:r>
    </w:p>
    <w:p w:rsidRPr="00E04EB7" w:rsidR="001C261B" w:rsidP="00346849" w:rsidRDefault="001C261B" w14:paraId="69B8F676" w14:textId="77777777">
      <w:pPr>
        <w:pStyle w:val="ListParagraph"/>
        <w:numPr>
          <w:ilvl w:val="1"/>
          <w:numId w:val="17"/>
        </w:numPr>
        <w:tabs>
          <w:tab w:val="clear" w:pos="1152"/>
        </w:tabs>
        <w:spacing w:before="120" w:after="120" w:line="240" w:lineRule="auto"/>
        <w:rPr>
          <w:sz w:val="24"/>
          <w:szCs w:val="24"/>
        </w:rPr>
      </w:pPr>
      <w:r w:rsidRPr="00E04EB7">
        <w:rPr>
          <w:sz w:val="24"/>
          <w:szCs w:val="24"/>
        </w:rPr>
        <w:t xml:space="preserve">Household characteristics: size, vehicle ownership, income, </w:t>
      </w:r>
      <w:r w:rsidRPr="00E04EB7" w:rsidR="00124339">
        <w:rPr>
          <w:sz w:val="24"/>
          <w:szCs w:val="24"/>
        </w:rPr>
        <w:t>urbanicity</w:t>
      </w:r>
    </w:p>
    <w:p w:rsidRPr="00E04EB7" w:rsidR="00124339" w:rsidP="00346849" w:rsidRDefault="00124339" w14:paraId="77D3EDD2" w14:textId="77777777">
      <w:pPr>
        <w:pStyle w:val="ListParagraph"/>
        <w:numPr>
          <w:ilvl w:val="1"/>
          <w:numId w:val="17"/>
        </w:numPr>
        <w:tabs>
          <w:tab w:val="clear" w:pos="1152"/>
        </w:tabs>
        <w:spacing w:before="120" w:after="120" w:line="240" w:lineRule="auto"/>
        <w:rPr>
          <w:sz w:val="24"/>
          <w:szCs w:val="24"/>
        </w:rPr>
      </w:pPr>
      <w:r w:rsidRPr="00E04EB7">
        <w:rPr>
          <w:sz w:val="24"/>
          <w:szCs w:val="24"/>
        </w:rPr>
        <w:t>Traveler characteristics: gender, age, race-ethnicity, education, and employment</w:t>
      </w:r>
    </w:p>
    <w:p w:rsidRPr="00E04EB7" w:rsidR="001C261B" w:rsidP="00346849" w:rsidRDefault="001C261B" w14:paraId="18579324" w14:textId="77777777">
      <w:pPr>
        <w:pStyle w:val="ListParagraph"/>
        <w:numPr>
          <w:ilvl w:val="0"/>
          <w:numId w:val="17"/>
        </w:numPr>
        <w:tabs>
          <w:tab w:val="clear" w:pos="1152"/>
        </w:tabs>
        <w:spacing w:before="60" w:after="60" w:line="240" w:lineRule="auto"/>
        <w:contextualSpacing w:val="0"/>
        <w:rPr>
          <w:sz w:val="24"/>
          <w:szCs w:val="24"/>
        </w:rPr>
      </w:pPr>
      <w:r w:rsidRPr="00E04EB7">
        <w:rPr>
          <w:sz w:val="24"/>
          <w:szCs w:val="24"/>
        </w:rPr>
        <w:t>Public Mode:</w:t>
      </w:r>
    </w:p>
    <w:p w:rsidRPr="00E04EB7" w:rsidR="001C261B" w:rsidP="00346849" w:rsidRDefault="001C261B" w14:paraId="72B49DAC" w14:textId="77777777">
      <w:pPr>
        <w:pStyle w:val="ListParagraph"/>
        <w:numPr>
          <w:ilvl w:val="1"/>
          <w:numId w:val="17"/>
        </w:numPr>
        <w:tabs>
          <w:tab w:val="clear" w:pos="1152"/>
        </w:tabs>
        <w:spacing w:before="120" w:after="120" w:line="240" w:lineRule="auto"/>
        <w:rPr>
          <w:sz w:val="24"/>
          <w:szCs w:val="24"/>
        </w:rPr>
      </w:pPr>
      <w:r w:rsidRPr="00E04EB7">
        <w:rPr>
          <w:sz w:val="24"/>
          <w:szCs w:val="24"/>
        </w:rPr>
        <w:t>TNC usage (Uber</w:t>
      </w:r>
      <w:r w:rsidRPr="00E04EB7" w:rsidR="00124339">
        <w:rPr>
          <w:sz w:val="24"/>
          <w:szCs w:val="24"/>
        </w:rPr>
        <w:t xml:space="preserve">, </w:t>
      </w:r>
      <w:r w:rsidRPr="00E04EB7">
        <w:rPr>
          <w:sz w:val="24"/>
          <w:szCs w:val="24"/>
        </w:rPr>
        <w:t>Lyft, etc.)</w:t>
      </w:r>
    </w:p>
    <w:p w:rsidRPr="00E04EB7" w:rsidR="001C261B" w:rsidP="00346849" w:rsidRDefault="001C261B" w14:paraId="1611C846" w14:textId="77777777">
      <w:pPr>
        <w:pStyle w:val="ListParagraph"/>
        <w:numPr>
          <w:ilvl w:val="1"/>
          <w:numId w:val="17"/>
        </w:numPr>
        <w:tabs>
          <w:tab w:val="clear" w:pos="1152"/>
        </w:tabs>
        <w:spacing w:before="120" w:after="120" w:line="240" w:lineRule="auto"/>
        <w:rPr>
          <w:sz w:val="24"/>
          <w:szCs w:val="24"/>
        </w:rPr>
      </w:pPr>
      <w:r w:rsidRPr="00E04EB7">
        <w:rPr>
          <w:sz w:val="24"/>
          <w:szCs w:val="24"/>
        </w:rPr>
        <w:t>Taxi usage</w:t>
      </w:r>
    </w:p>
    <w:p w:rsidRPr="00E04EB7" w:rsidR="001C261B" w:rsidP="00346849" w:rsidRDefault="001C261B" w14:paraId="433CD16A" w14:textId="77777777">
      <w:pPr>
        <w:pStyle w:val="ListParagraph"/>
        <w:numPr>
          <w:ilvl w:val="1"/>
          <w:numId w:val="17"/>
        </w:numPr>
        <w:tabs>
          <w:tab w:val="clear" w:pos="1152"/>
        </w:tabs>
        <w:spacing w:before="120" w:after="120" w:line="240" w:lineRule="auto"/>
        <w:rPr>
          <w:sz w:val="24"/>
          <w:szCs w:val="24"/>
        </w:rPr>
      </w:pPr>
      <w:r w:rsidRPr="00E04EB7">
        <w:rPr>
          <w:sz w:val="24"/>
          <w:szCs w:val="24"/>
        </w:rPr>
        <w:t>Transit</w:t>
      </w:r>
    </w:p>
    <w:p w:rsidRPr="00E04EB7" w:rsidR="001C261B" w:rsidP="00346849" w:rsidRDefault="001C261B" w14:paraId="0F3A9AE4" w14:textId="77777777">
      <w:pPr>
        <w:pStyle w:val="ListParagraph"/>
        <w:numPr>
          <w:ilvl w:val="0"/>
          <w:numId w:val="17"/>
        </w:numPr>
        <w:tabs>
          <w:tab w:val="clear" w:pos="1152"/>
        </w:tabs>
        <w:spacing w:before="60" w:after="60" w:line="240" w:lineRule="auto"/>
        <w:contextualSpacing w:val="0"/>
        <w:rPr>
          <w:sz w:val="24"/>
          <w:szCs w:val="24"/>
        </w:rPr>
      </w:pPr>
      <w:r w:rsidRPr="00E04EB7">
        <w:rPr>
          <w:sz w:val="24"/>
          <w:szCs w:val="24"/>
        </w:rPr>
        <w:t>Online shopping and home delivery frequency</w:t>
      </w:r>
    </w:p>
    <w:p w:rsidRPr="00265EB9" w:rsidR="00AE0329" w:rsidP="00AE0329" w:rsidRDefault="00AE0329" w14:paraId="5654C5F6" w14:textId="77777777">
      <w:pPr>
        <w:pStyle w:val="ListParagraph"/>
        <w:numPr>
          <w:ilvl w:val="1"/>
          <w:numId w:val="2"/>
        </w:numPr>
        <w:tabs>
          <w:tab w:val="clear" w:pos="1152"/>
        </w:tabs>
        <w:spacing w:before="240" w:after="120" w:line="240" w:lineRule="auto"/>
        <w:ind w:left="720" w:hanging="720"/>
        <w:contextualSpacing w:val="0"/>
        <w:rPr>
          <w:b/>
          <w:sz w:val="24"/>
          <w:szCs w:val="24"/>
        </w:rPr>
      </w:pPr>
      <w:r w:rsidRPr="00265EB9">
        <w:rPr>
          <w:b/>
          <w:sz w:val="24"/>
          <w:szCs w:val="24"/>
        </w:rPr>
        <w:t>Precision of Survey Estimates</w:t>
      </w:r>
    </w:p>
    <w:p w:rsidRPr="00265EB9" w:rsidR="00AE0329" w:rsidP="00AE0329" w:rsidRDefault="00AE0329" w14:paraId="0D3B63DC" w14:textId="003AE41D">
      <w:pPr>
        <w:widowControl w:val="0"/>
        <w:spacing w:before="120" w:after="120" w:line="240" w:lineRule="auto"/>
        <w:rPr>
          <w:color w:val="000000"/>
          <w:sz w:val="24"/>
        </w:rPr>
      </w:pPr>
      <w:r w:rsidRPr="00265EB9">
        <w:rPr>
          <w:sz w:val="24"/>
        </w:rPr>
        <w:t>Precision of the survey estimates is a direct function of sample size, universe size, point estimate of interest, and required level of confidence</w:t>
      </w:r>
      <w:r w:rsidRPr="00265EB9" w:rsidR="00744360">
        <w:rPr>
          <w:sz w:val="24"/>
        </w:rPr>
        <w:t>.</w:t>
      </w:r>
      <w:r w:rsidRPr="00265EB9" w:rsidR="00203937">
        <w:rPr>
          <w:sz w:val="24"/>
        </w:rPr>
        <w:t xml:space="preserve"> </w:t>
      </w:r>
      <w:r w:rsidRPr="00265EB9">
        <w:rPr>
          <w:sz w:val="24"/>
        </w:rPr>
        <w:t>For example, when estimating population proportions</w:t>
      </w:r>
      <w:r w:rsidRPr="00265EB9" w:rsidR="00531454">
        <w:rPr>
          <w:sz w:val="24"/>
        </w:rPr>
        <w:t>,</w:t>
      </w:r>
      <w:r w:rsidRPr="00265EB9">
        <w:rPr>
          <w:sz w:val="24"/>
        </w:rPr>
        <w:t xml:space="preserve"> the needed sample size can be calculated by:</w:t>
      </w:r>
    </w:p>
    <w:p w:rsidRPr="00265EB9" w:rsidR="00AE0329" w:rsidP="00AE0329" w:rsidRDefault="00AE0329" w14:paraId="3A729B35" w14:textId="77777777">
      <w:pPr>
        <w:widowControl w:val="0"/>
        <w:spacing w:before="120" w:after="120" w:line="240" w:lineRule="auto"/>
        <w:jc w:val="center"/>
        <w:rPr>
          <w:color w:val="000000"/>
          <w:sz w:val="24"/>
        </w:rPr>
      </w:pPr>
      <w:r w:rsidRPr="00D23FE1">
        <w:object w:dxaOrig="2320" w:dyaOrig="960" w14:anchorId="550D324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8.5pt;height:47.25pt" filled="t" o:ole="" type="#_x0000_t75">
            <v:imagedata o:title="" r:id="rId11"/>
          </v:shape>
          <o:OLEObject Type="Embed" ProgID="Equation.3" ShapeID="_x0000_i1025" DrawAspect="Content" ObjectID="_1649774090" r:id="rId12"/>
        </w:object>
      </w:r>
    </w:p>
    <w:p w:rsidRPr="00265EB9" w:rsidR="00AE0329" w:rsidP="00AE0329" w:rsidRDefault="00AE0329" w14:paraId="59B90124" w14:textId="2098A9AF">
      <w:pPr>
        <w:widowControl w:val="0"/>
        <w:spacing w:before="120" w:after="120" w:line="240" w:lineRule="auto"/>
        <w:rPr>
          <w:sz w:val="24"/>
        </w:rPr>
      </w:pPr>
      <w:r w:rsidRPr="00265EB9">
        <w:rPr>
          <w:sz w:val="24"/>
        </w:rPr>
        <w:t>In the above formulation</w:t>
      </w:r>
      <w:r w:rsidRPr="00265EB9" w:rsidR="00531454">
        <w:rPr>
          <w:sz w:val="24"/>
        </w:rPr>
        <w:t>,</w:t>
      </w:r>
      <w:r w:rsidRPr="00265EB9">
        <w:rPr>
          <w:sz w:val="24"/>
        </w:rPr>
        <w:t xml:space="preserve"> </w:t>
      </w:r>
      <w:r w:rsidRPr="00265EB9">
        <w:rPr>
          <w:b/>
          <w:i/>
          <w:sz w:val="24"/>
        </w:rPr>
        <w:t>N</w:t>
      </w:r>
      <w:r w:rsidRPr="00265EB9">
        <w:rPr>
          <w:sz w:val="24"/>
        </w:rPr>
        <w:t xml:space="preserve"> is the universe size (often assumed to be infinitely large), </w:t>
      </w:r>
      <w:r w:rsidRPr="00265EB9">
        <w:rPr>
          <w:b/>
          <w:i/>
        </w:rPr>
        <w:sym w:font="Symbol" w:char="F065"/>
      </w:r>
      <w:r w:rsidRPr="00265EB9">
        <w:rPr>
          <w:sz w:val="24"/>
        </w:rPr>
        <w:t xml:space="preserve"> is the error bound, and </w:t>
      </w:r>
      <w:r w:rsidRPr="00265EB9">
        <w:rPr>
          <w:b/>
          <w:i/>
          <w:sz w:val="24"/>
        </w:rPr>
        <w:t>z</w:t>
      </w:r>
      <w:r w:rsidRPr="00265EB9">
        <w:rPr>
          <w:sz w:val="24"/>
        </w:rPr>
        <w:t xml:space="preserve"> is the percentile of the standard normal distribution</w:t>
      </w:r>
      <w:r w:rsidRPr="00265EB9" w:rsidR="00744360">
        <w:rPr>
          <w:sz w:val="24"/>
        </w:rPr>
        <w:t>.</w:t>
      </w:r>
      <w:r w:rsidRPr="00265EB9" w:rsidR="00203937">
        <w:rPr>
          <w:sz w:val="24"/>
        </w:rPr>
        <w:t xml:space="preserve"> </w:t>
      </w:r>
      <w:r w:rsidRPr="00265EB9">
        <w:rPr>
          <w:sz w:val="24"/>
        </w:rPr>
        <w:t>For illustration purposes, the following chart</w:t>
      </w:r>
      <w:r w:rsidR="0002362F">
        <w:rPr>
          <w:sz w:val="24"/>
        </w:rPr>
        <w:t xml:space="preserve"> (Figure 1)</w:t>
      </w:r>
      <w:r w:rsidRPr="00265EB9">
        <w:rPr>
          <w:sz w:val="24"/>
        </w:rPr>
        <w:t xml:space="preserve"> shows the </w:t>
      </w:r>
      <w:r w:rsidRPr="00265EB9" w:rsidR="00CC3926">
        <w:rPr>
          <w:sz w:val="24"/>
        </w:rPr>
        <w:t xml:space="preserve">resulting margins of error at 95% level of confidence as a function of </w:t>
      </w:r>
      <w:r w:rsidRPr="00265EB9">
        <w:rPr>
          <w:sz w:val="24"/>
        </w:rPr>
        <w:t>sample size</w:t>
      </w:r>
      <w:r w:rsidRPr="00265EB9" w:rsidR="00AA66CB">
        <w:rPr>
          <w:sz w:val="24"/>
        </w:rPr>
        <w:t xml:space="preserve"> </w:t>
      </w:r>
      <w:r w:rsidRPr="00265EB9">
        <w:rPr>
          <w:sz w:val="24"/>
        </w:rPr>
        <w:t xml:space="preserve">for varying point estimates assuming </w:t>
      </w:r>
      <w:r w:rsidRPr="00265EB9" w:rsidR="005857D9">
        <w:rPr>
          <w:sz w:val="24"/>
        </w:rPr>
        <w:t xml:space="preserve">an </w:t>
      </w:r>
      <w:r w:rsidRPr="00265EB9">
        <w:rPr>
          <w:sz w:val="24"/>
        </w:rPr>
        <w:t>infinitely large target universe</w:t>
      </w:r>
      <w:r w:rsidRPr="00265EB9" w:rsidR="00AA66CB">
        <w:rPr>
          <w:sz w:val="24"/>
        </w:rPr>
        <w:t xml:space="preserve"> size</w:t>
      </w:r>
      <w:r w:rsidRPr="00265EB9">
        <w:rPr>
          <w:sz w:val="24"/>
        </w:rPr>
        <w:t>.</w:t>
      </w:r>
    </w:p>
    <w:p w:rsidRPr="00571EFD" w:rsidR="0002362F" w:rsidP="00346849" w:rsidRDefault="0002362F" w14:paraId="2631C41A" w14:textId="577292C7">
      <w:pPr>
        <w:widowControl w:val="0"/>
        <w:tabs>
          <w:tab w:val="clear" w:pos="1152"/>
        </w:tabs>
        <w:spacing w:before="120" w:after="120" w:line="240" w:lineRule="auto"/>
        <w:rPr>
          <w:rFonts w:eastAsiaTheme="minorHAnsi"/>
          <w:b/>
          <w:bCs/>
          <w:color w:val="auto"/>
          <w:sz w:val="24"/>
          <w:szCs w:val="24"/>
        </w:rPr>
      </w:pPr>
      <w:r w:rsidRPr="00571EFD">
        <w:rPr>
          <w:rFonts w:eastAsiaTheme="minorHAnsi"/>
          <w:b/>
          <w:bCs/>
          <w:color w:val="auto"/>
          <w:sz w:val="24"/>
          <w:szCs w:val="24"/>
        </w:rPr>
        <w:t xml:space="preserve">Figure </w:t>
      </w:r>
      <w:r w:rsidRPr="00571EFD">
        <w:rPr>
          <w:rFonts w:eastAsiaTheme="minorHAnsi"/>
          <w:b/>
          <w:bCs/>
          <w:color w:val="auto"/>
          <w:sz w:val="24"/>
          <w:szCs w:val="24"/>
        </w:rPr>
        <w:fldChar w:fldCharType="begin"/>
      </w:r>
      <w:r w:rsidRPr="00571EFD">
        <w:rPr>
          <w:rFonts w:eastAsiaTheme="minorHAnsi"/>
          <w:b/>
          <w:bCs/>
          <w:color w:val="auto"/>
          <w:sz w:val="24"/>
          <w:szCs w:val="24"/>
        </w:rPr>
        <w:instrText xml:space="preserve"> SEQ Figure \* ARABIC </w:instrText>
      </w:r>
      <w:r w:rsidRPr="00571EFD">
        <w:rPr>
          <w:rFonts w:eastAsiaTheme="minorHAnsi"/>
          <w:b/>
          <w:bCs/>
          <w:color w:val="auto"/>
          <w:sz w:val="24"/>
          <w:szCs w:val="24"/>
        </w:rPr>
        <w:fldChar w:fldCharType="separate"/>
      </w:r>
      <w:r w:rsidRPr="00571EFD">
        <w:rPr>
          <w:rFonts w:eastAsiaTheme="minorHAnsi"/>
          <w:b/>
          <w:bCs/>
          <w:color w:val="auto"/>
          <w:sz w:val="24"/>
          <w:szCs w:val="24"/>
        </w:rPr>
        <w:t>1</w:t>
      </w:r>
      <w:r w:rsidRPr="00571EFD">
        <w:rPr>
          <w:rFonts w:eastAsiaTheme="minorHAnsi"/>
          <w:b/>
          <w:bCs/>
          <w:color w:val="auto"/>
          <w:sz w:val="24"/>
          <w:szCs w:val="24"/>
        </w:rPr>
        <w:fldChar w:fldCharType="end"/>
      </w:r>
      <w:r w:rsidRPr="00571EFD">
        <w:rPr>
          <w:rFonts w:eastAsiaTheme="minorHAnsi"/>
          <w:b/>
          <w:bCs/>
          <w:color w:val="auto"/>
          <w:sz w:val="24"/>
          <w:szCs w:val="24"/>
        </w:rPr>
        <w:t>: Margin of Error and Effective Sample Size</w:t>
      </w:r>
    </w:p>
    <w:p w:rsidRPr="00265EB9" w:rsidR="00AE0329" w:rsidP="00AE0329" w:rsidRDefault="00AE0329" w14:paraId="296DA775" w14:textId="77777777">
      <w:pPr>
        <w:widowControl w:val="0"/>
        <w:spacing w:before="120" w:after="120" w:line="240" w:lineRule="auto"/>
        <w:jc w:val="center"/>
        <w:rPr>
          <w:sz w:val="24"/>
        </w:rPr>
      </w:pPr>
      <w:r w:rsidRPr="00D23FE1">
        <w:rPr>
          <w:noProof/>
        </w:rPr>
        <w:drawing>
          <wp:inline distT="0" distB="0" distL="0" distR="0" wp14:anchorId="764FEC25" wp14:editId="1027FC60">
            <wp:extent cx="5814060" cy="1958340"/>
            <wp:effectExtent l="0" t="0" r="15240" b="381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265EB9" w:rsidR="00381215" w:rsidP="00381215" w:rsidRDefault="00AE0329" w14:paraId="6EBE0420" w14:textId="4A847469">
      <w:pPr>
        <w:pStyle w:val="Arial12Text"/>
        <w:ind w:firstLine="0"/>
        <w:rPr>
          <w:rFonts w:cs="Times New Roman"/>
        </w:rPr>
      </w:pPr>
      <w:r w:rsidRPr="00D23FE1">
        <w:rPr>
          <w:rFonts w:cs="Times New Roman"/>
        </w:rPr>
        <w:t xml:space="preserve">As seen </w:t>
      </w:r>
      <w:r w:rsidRPr="00D23FE1" w:rsidR="00AA66CB">
        <w:rPr>
          <w:rFonts w:cs="Times New Roman"/>
        </w:rPr>
        <w:t>in the chart</w:t>
      </w:r>
      <w:r w:rsidRPr="00D23FE1">
        <w:rPr>
          <w:rFonts w:cs="Times New Roman"/>
        </w:rPr>
        <w:t xml:space="preserve">, </w:t>
      </w:r>
      <w:r w:rsidRPr="00D23FE1" w:rsidR="00CC3926">
        <w:rPr>
          <w:rFonts w:cs="Times New Roman"/>
        </w:rPr>
        <w:t xml:space="preserve">for </w:t>
      </w:r>
      <w:r w:rsidRPr="00D23FE1">
        <w:rPr>
          <w:rFonts w:cs="Times New Roman"/>
        </w:rPr>
        <w:t>the worst-case scenario</w:t>
      </w:r>
      <w:r w:rsidRPr="00D23FE1" w:rsidR="00AA66CB">
        <w:rPr>
          <w:rFonts w:cs="Times New Roman"/>
        </w:rPr>
        <w:t xml:space="preserve"> </w:t>
      </w:r>
      <w:r w:rsidRPr="00D23FE1">
        <w:rPr>
          <w:rFonts w:cs="Times New Roman"/>
        </w:rPr>
        <w:t>when p = 50%</w:t>
      </w:r>
      <w:r w:rsidRPr="00D23FE1" w:rsidR="00AA66CB">
        <w:rPr>
          <w:rFonts w:cs="Times New Roman"/>
        </w:rPr>
        <w:t xml:space="preserve">, </w:t>
      </w:r>
      <w:r w:rsidRPr="00D23FE1">
        <w:rPr>
          <w:rFonts w:cs="Times New Roman"/>
        </w:rPr>
        <w:t xml:space="preserve">it </w:t>
      </w:r>
      <w:r w:rsidRPr="00D23FE1" w:rsidR="00AA66CB">
        <w:rPr>
          <w:rFonts w:cs="Times New Roman"/>
        </w:rPr>
        <w:t xml:space="preserve">requires </w:t>
      </w:r>
      <w:r w:rsidRPr="00D23FE1">
        <w:rPr>
          <w:rFonts w:cs="Times New Roman"/>
        </w:rPr>
        <w:t>about 400 independent observations to ensure that the margin of error remains below ±5%</w:t>
      </w:r>
      <w:r w:rsidRPr="009F422D" w:rsidR="00381215">
        <w:rPr>
          <w:rFonts w:cs="Times New Roman"/>
        </w:rPr>
        <w:t xml:space="preserve"> to </w:t>
      </w:r>
      <w:r w:rsidRPr="009F422D" w:rsidR="00AA66CB">
        <w:rPr>
          <w:rFonts w:cs="Times New Roman"/>
        </w:rPr>
        <w:t>meet</w:t>
      </w:r>
      <w:r w:rsidRPr="009F422D" w:rsidR="00381215">
        <w:rPr>
          <w:rFonts w:cs="Times New Roman"/>
        </w:rPr>
        <w:t xml:space="preserve"> </w:t>
      </w:r>
      <w:r w:rsidRPr="009F422D" w:rsidR="00AA66CB">
        <w:rPr>
          <w:rFonts w:cs="Times New Roman"/>
        </w:rPr>
        <w:t xml:space="preserve">the </w:t>
      </w:r>
      <w:r w:rsidRPr="00F10E00" w:rsidR="00381215">
        <w:rPr>
          <w:rFonts w:cs="Times New Roman"/>
        </w:rPr>
        <w:t>V</w:t>
      </w:r>
      <w:r w:rsidRPr="00F10E00" w:rsidR="00E249E8">
        <w:rPr>
          <w:rFonts w:cs="Times New Roman"/>
        </w:rPr>
        <w:t>S</w:t>
      </w:r>
      <w:r w:rsidRPr="00F10E00" w:rsidR="00381215">
        <w:rPr>
          <w:rFonts w:cs="Times New Roman"/>
        </w:rPr>
        <w:t>R</w:t>
      </w:r>
      <w:r w:rsidRPr="009F422D" w:rsidR="00381215">
        <w:rPr>
          <w:rFonts w:cs="Times New Roman"/>
        </w:rPr>
        <w:t xml:space="preserve"> requirement</w:t>
      </w:r>
      <w:r w:rsidRPr="009F422D" w:rsidR="00744360">
        <w:rPr>
          <w:rFonts w:cs="Times New Roman"/>
        </w:rPr>
        <w:t>.</w:t>
      </w:r>
      <w:r w:rsidRPr="009F422D" w:rsidR="00203937">
        <w:rPr>
          <w:rFonts w:cs="Times New Roman"/>
        </w:rPr>
        <w:t xml:space="preserve"> </w:t>
      </w:r>
      <w:r w:rsidRPr="009F422D" w:rsidR="00CC3926">
        <w:rPr>
          <w:rFonts w:cs="Times New Roman"/>
        </w:rPr>
        <w:t>As detailed later, i</w:t>
      </w:r>
      <w:r w:rsidRPr="009F422D">
        <w:rPr>
          <w:rFonts w:cs="Times New Roman"/>
        </w:rPr>
        <w:t xml:space="preserve">t should be noted </w:t>
      </w:r>
      <w:r w:rsidRPr="009F422D" w:rsidR="00381215">
        <w:rPr>
          <w:rFonts w:cs="Times New Roman"/>
        </w:rPr>
        <w:t xml:space="preserve">that </w:t>
      </w:r>
      <w:r w:rsidRPr="009F422D">
        <w:rPr>
          <w:rFonts w:cs="Times New Roman"/>
        </w:rPr>
        <w:t>survey data must be weighted before reliable estimates could be produced</w:t>
      </w:r>
      <w:r w:rsidRPr="009F422D" w:rsidR="00744360">
        <w:rPr>
          <w:rFonts w:cs="Times New Roman"/>
        </w:rPr>
        <w:t>.</w:t>
      </w:r>
      <w:r w:rsidRPr="009F422D" w:rsidR="00203937">
        <w:rPr>
          <w:rFonts w:cs="Times New Roman"/>
        </w:rPr>
        <w:t xml:space="preserve"> </w:t>
      </w:r>
      <w:r w:rsidRPr="009F422D" w:rsidR="009F72BA">
        <w:rPr>
          <w:rFonts w:cs="Times New Roman"/>
        </w:rPr>
        <w:t>However</w:t>
      </w:r>
      <w:r w:rsidRPr="009F422D" w:rsidR="00381215">
        <w:rPr>
          <w:rFonts w:cs="Times New Roman"/>
        </w:rPr>
        <w:t>, this</w:t>
      </w:r>
      <w:r w:rsidRPr="009F422D">
        <w:rPr>
          <w:rFonts w:cs="Times New Roman"/>
        </w:rPr>
        <w:t xml:space="preserve"> bias </w:t>
      </w:r>
      <w:r w:rsidRPr="009F422D" w:rsidR="00CC3926">
        <w:rPr>
          <w:rFonts w:cs="Times New Roman"/>
        </w:rPr>
        <w:t>reduction will</w:t>
      </w:r>
      <w:r w:rsidRPr="009F422D" w:rsidR="00AA66CB">
        <w:rPr>
          <w:rFonts w:cs="Times New Roman"/>
        </w:rPr>
        <w:t xml:space="preserve"> increase the sampling </w:t>
      </w:r>
      <w:r w:rsidRPr="009F422D" w:rsidR="00AA66CB">
        <w:rPr>
          <w:rFonts w:cs="Times New Roman"/>
        </w:rPr>
        <w:lastRenderedPageBreak/>
        <w:t xml:space="preserve">variances </w:t>
      </w:r>
      <w:r w:rsidRPr="009F422D" w:rsidR="00CC3926">
        <w:rPr>
          <w:rFonts w:cs="Times New Roman"/>
        </w:rPr>
        <w:t xml:space="preserve">as it </w:t>
      </w:r>
      <w:r w:rsidRPr="009F422D">
        <w:rPr>
          <w:rFonts w:cs="Times New Roman"/>
        </w:rPr>
        <w:t>reduc</w:t>
      </w:r>
      <w:r w:rsidRPr="009F422D" w:rsidR="00CC3926">
        <w:rPr>
          <w:rFonts w:cs="Times New Roman"/>
        </w:rPr>
        <w:t>es</w:t>
      </w:r>
      <w:r w:rsidRPr="009F422D">
        <w:rPr>
          <w:rFonts w:cs="Times New Roman"/>
        </w:rPr>
        <w:t xml:space="preserve"> the effective sample size (number of independent observations)</w:t>
      </w:r>
      <w:r w:rsidRPr="009F422D" w:rsidR="00744360">
        <w:rPr>
          <w:rFonts w:cs="Times New Roman"/>
        </w:rPr>
        <w:t>.</w:t>
      </w:r>
      <w:r w:rsidRPr="009F422D" w:rsidR="00203937">
        <w:rPr>
          <w:rFonts w:cs="Times New Roman"/>
        </w:rPr>
        <w:t xml:space="preserve"> </w:t>
      </w:r>
      <w:r w:rsidRPr="00265EB9" w:rsidR="00381215">
        <w:rPr>
          <w:rFonts w:cs="Times New Roman"/>
        </w:rPr>
        <w:t>Th</w:t>
      </w:r>
      <w:r w:rsidRPr="00265EB9" w:rsidR="00AA66CB">
        <w:rPr>
          <w:rFonts w:cs="Times New Roman"/>
        </w:rPr>
        <w:t>is</w:t>
      </w:r>
      <w:r w:rsidRPr="00265EB9" w:rsidR="00381215">
        <w:rPr>
          <w:rFonts w:cs="Times New Roman"/>
        </w:rPr>
        <w:t xml:space="preserve"> inflation due to weighting</w:t>
      </w:r>
      <w:r w:rsidRPr="00265EB9" w:rsidR="00AA66CB">
        <w:rPr>
          <w:rFonts w:cs="Times New Roman"/>
        </w:rPr>
        <w:t xml:space="preserve"> is </w:t>
      </w:r>
      <w:r w:rsidRPr="00265EB9" w:rsidR="00381215">
        <w:rPr>
          <w:rFonts w:cs="Times New Roman"/>
        </w:rPr>
        <w:t xml:space="preserve">commonly referred to as </w:t>
      </w:r>
      <w:r w:rsidRPr="00265EB9" w:rsidR="00381215">
        <w:rPr>
          <w:rFonts w:cs="Times New Roman"/>
          <w:i/>
        </w:rPr>
        <w:t>Design Effect</w:t>
      </w:r>
      <w:r w:rsidRPr="00265EB9" w:rsidR="00AA66CB">
        <w:rPr>
          <w:rFonts w:cs="Times New Roman"/>
          <w:iCs/>
        </w:rPr>
        <w:t xml:space="preserve"> and is</w:t>
      </w:r>
      <w:r w:rsidRPr="00265EB9" w:rsidR="00381215">
        <w:rPr>
          <w:rFonts w:cs="Times New Roman"/>
        </w:rPr>
        <w:t xml:space="preserve"> approximated by the following formula, in which </w:t>
      </w:r>
      <w:r w:rsidRPr="00265EB9" w:rsidR="00381215">
        <w:rPr>
          <w:rFonts w:cs="Times New Roman"/>
          <w:i/>
        </w:rPr>
        <w:t>W</w:t>
      </w:r>
      <w:r w:rsidRPr="00265EB9" w:rsidR="00381215">
        <w:rPr>
          <w:rFonts w:cs="Times New Roman"/>
          <w:vertAlign w:val="subscript"/>
        </w:rPr>
        <w:t>i</w:t>
      </w:r>
      <w:r w:rsidRPr="00265EB9" w:rsidR="00381215">
        <w:rPr>
          <w:rFonts w:cs="Times New Roman"/>
        </w:rPr>
        <w:t xml:space="preserve"> represents the final weight of the </w:t>
      </w:r>
      <w:r w:rsidRPr="00265EB9" w:rsidR="00381215">
        <w:rPr>
          <w:rFonts w:cs="Times New Roman"/>
          <w:i/>
        </w:rPr>
        <w:t>i</w:t>
      </w:r>
      <w:r w:rsidRPr="00265EB9" w:rsidR="00381215">
        <w:rPr>
          <w:rFonts w:cs="Times New Roman"/>
          <w:u w:val="single"/>
          <w:vertAlign w:val="superscript"/>
        </w:rPr>
        <w:t>th</w:t>
      </w:r>
      <w:r w:rsidRPr="00265EB9" w:rsidR="00381215">
        <w:rPr>
          <w:rFonts w:cs="Times New Roman"/>
        </w:rPr>
        <w:t xml:space="preserve"> respondent:</w:t>
      </w:r>
    </w:p>
    <w:p w:rsidRPr="00265EB9" w:rsidR="00381215" w:rsidP="00BB7434" w:rsidRDefault="00673A53" w14:paraId="0AB12A8D" w14:textId="77777777">
      <w:pPr>
        <w:spacing w:before="120" w:after="120" w:line="240" w:lineRule="auto"/>
        <w:jc w:val="center"/>
      </w:pPr>
      <m:oMathPara>
        <m:oMath>
          <m:r>
            <w:rPr>
              <w:rFonts w:ascii="Cambria Math" w:hAnsi="Cambria Math"/>
            </w:rPr>
            <m:t>Deff (δ)=1+C</m:t>
          </m:r>
          <m:sSubSup>
            <m:sSubSupPr>
              <m:ctrlPr>
                <w:rPr>
                  <w:rFonts w:ascii="Cambria Math" w:hAnsi="Cambria Math"/>
                  <w:i/>
                </w:rPr>
              </m:ctrlPr>
            </m:sSubSupPr>
            <m:e>
              <m:r>
                <w:rPr>
                  <w:rFonts w:ascii="Cambria Math" w:hAnsi="Cambria Math"/>
                </w:rPr>
                <m:t>V</m:t>
              </m:r>
            </m:e>
            <m:sub>
              <m:r>
                <w:rPr>
                  <w:rFonts w:ascii="Cambria Math" w:hAnsi="Cambria Math"/>
                </w:rPr>
                <m:t>W</m:t>
              </m:r>
            </m:sub>
            <m:sup>
              <m:r>
                <w:rPr>
                  <w:rFonts w:ascii="Cambria Math" w:hAnsi="Cambria Math"/>
                </w:rPr>
                <m:t>2</m:t>
              </m:r>
            </m:sup>
          </m:sSubSup>
          <m:r>
            <w:rPr>
              <w:rFonts w:ascii="Cambria Math" w:hAnsi="Cambria Math"/>
            </w:rPr>
            <m:t>=1+</m:t>
          </m:r>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i</m:t>
                  </m:r>
                </m:sub>
                <m:sup/>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W</m:t>
                                  </m:r>
                                </m:e>
                              </m:acc>
                            </m:e>
                          </m:d>
                        </m:e>
                        <m:sup>
                          <m:r>
                            <w:rPr>
                              <w:rFonts w:ascii="Cambria Math" w:hAnsi="Cambria Math"/>
                            </w:rPr>
                            <m:t>2</m:t>
                          </m:r>
                        </m:sup>
                      </m:sSup>
                    </m:num>
                    <m:den>
                      <m:r>
                        <w:rPr>
                          <w:rFonts w:ascii="Cambria Math" w:hAnsi="Cambria Math"/>
                        </w:rPr>
                        <m:t>n-1</m:t>
                      </m:r>
                    </m:den>
                  </m:f>
                </m:e>
              </m:nary>
            </m:num>
            <m:den>
              <m:sSup>
                <m:sSupPr>
                  <m:ctrlPr>
                    <w:rPr>
                      <w:rFonts w:ascii="Cambria Math" w:hAnsi="Cambria Math"/>
                      <w:i/>
                    </w:rPr>
                  </m:ctrlPr>
                </m:sSupPr>
                <m:e>
                  <m:acc>
                    <m:accPr>
                      <m:chr m:val="̄"/>
                      <m:ctrlPr>
                        <w:rPr>
                          <w:rFonts w:ascii="Cambria Math" w:hAnsi="Cambria Math"/>
                          <w:i/>
                        </w:rPr>
                      </m:ctrlPr>
                    </m:accPr>
                    <m:e>
                      <m:r>
                        <w:rPr>
                          <w:rFonts w:ascii="Cambria Math" w:hAnsi="Cambria Math"/>
                        </w:rPr>
                        <m:t>W</m:t>
                      </m:r>
                    </m:e>
                  </m:acc>
                </m:e>
                <m:sup>
                  <m:r>
                    <w:rPr>
                      <w:rFonts w:ascii="Cambria Math" w:hAnsi="Cambria Math"/>
                    </w:rPr>
                    <m:t>2</m:t>
                  </m:r>
                </m:sup>
              </m:sSup>
            </m:den>
          </m:f>
        </m:oMath>
      </m:oMathPara>
    </w:p>
    <w:p w:rsidR="00735EB7" w:rsidP="00735EB7" w:rsidRDefault="00AE0329" w14:paraId="49BA1E7E" w14:textId="58799B92">
      <w:pPr>
        <w:widowControl w:val="0"/>
        <w:tabs>
          <w:tab w:val="clear" w:pos="1152"/>
        </w:tabs>
        <w:spacing w:before="120" w:after="120" w:line="240" w:lineRule="auto"/>
        <w:rPr>
          <w:sz w:val="24"/>
          <w:szCs w:val="24"/>
        </w:rPr>
      </w:pPr>
      <w:r w:rsidRPr="00265EB9">
        <w:rPr>
          <w:sz w:val="24"/>
        </w:rPr>
        <w:t>For most surveys conducted using K</w:t>
      </w:r>
      <w:r w:rsidRPr="00265EB9" w:rsidR="00381215">
        <w:rPr>
          <w:sz w:val="24"/>
        </w:rPr>
        <w:t>P</w:t>
      </w:r>
      <w:r w:rsidRPr="00265EB9">
        <w:rPr>
          <w:sz w:val="24"/>
        </w:rPr>
        <w:t xml:space="preserve"> </w:t>
      </w:r>
      <w:r w:rsidRPr="00265EB9" w:rsidR="00B16A89">
        <w:rPr>
          <w:sz w:val="24"/>
        </w:rPr>
        <w:t xml:space="preserve">as the </w:t>
      </w:r>
      <w:r w:rsidRPr="00265EB9">
        <w:rPr>
          <w:sz w:val="24"/>
        </w:rPr>
        <w:t>sampling frame, weighting adjustment</w:t>
      </w:r>
      <w:r w:rsidRPr="00265EB9" w:rsidR="009F72BA">
        <w:rPr>
          <w:sz w:val="24"/>
        </w:rPr>
        <w:t>s typically</w:t>
      </w:r>
      <w:r w:rsidRPr="00265EB9">
        <w:rPr>
          <w:sz w:val="24"/>
        </w:rPr>
        <w:t xml:space="preserve"> reduce the effective sample size by no more than 25%</w:t>
      </w:r>
      <w:r w:rsidRPr="00265EB9" w:rsidR="00744360">
        <w:rPr>
          <w:sz w:val="24"/>
        </w:rPr>
        <w:t>.</w:t>
      </w:r>
      <w:r w:rsidRPr="00265EB9" w:rsidR="00203937">
        <w:rPr>
          <w:sz w:val="24"/>
        </w:rPr>
        <w:t xml:space="preserve"> </w:t>
      </w:r>
      <w:r w:rsidRPr="00265EB9">
        <w:rPr>
          <w:sz w:val="24"/>
        </w:rPr>
        <w:t xml:space="preserve">This means that for key analytical subdomains </w:t>
      </w:r>
      <w:r w:rsidRPr="00265EB9" w:rsidR="006E2121">
        <w:rPr>
          <w:sz w:val="24"/>
        </w:rPr>
        <w:t>2020</w:t>
      </w:r>
      <w:r w:rsidR="006E2121">
        <w:rPr>
          <w:sz w:val="24"/>
        </w:rPr>
        <w:t xml:space="preserve"> </w:t>
      </w:r>
      <w:r w:rsidRPr="00265EB9" w:rsidR="00381215">
        <w:rPr>
          <w:sz w:val="24"/>
        </w:rPr>
        <w:t>NHTS will require</w:t>
      </w:r>
      <w:r w:rsidRPr="00265EB9">
        <w:rPr>
          <w:sz w:val="24"/>
        </w:rPr>
        <w:t xml:space="preserve"> a sample size of about 500 to produce an effective size that will be about 400 = 500/1.25</w:t>
      </w:r>
      <w:r w:rsidRPr="00265EB9" w:rsidR="00744360">
        <w:rPr>
          <w:sz w:val="24"/>
        </w:rPr>
        <w:t>.</w:t>
      </w:r>
      <w:r w:rsidRPr="00265EB9" w:rsidR="00203937">
        <w:rPr>
          <w:sz w:val="24"/>
        </w:rPr>
        <w:t xml:space="preserve"> </w:t>
      </w:r>
      <w:r w:rsidRPr="00265EB9" w:rsidR="00C40A32">
        <w:rPr>
          <w:sz w:val="24"/>
        </w:rPr>
        <w:t xml:space="preserve">It should be noted that for the smallest subdomain, weekend travelers, over </w:t>
      </w:r>
      <w:r w:rsidRPr="00265EB9" w:rsidR="00AA66CB">
        <w:rPr>
          <w:sz w:val="24"/>
        </w:rPr>
        <w:t>2</w:t>
      </w:r>
      <w:r w:rsidRPr="00265EB9" w:rsidR="00C40A32">
        <w:rPr>
          <w:sz w:val="24"/>
        </w:rPr>
        <w:t>,000 observations</w:t>
      </w:r>
      <w:r w:rsidR="006E2121">
        <w:rPr>
          <w:sz w:val="24"/>
        </w:rPr>
        <w:t xml:space="preserve"> will be obtained</w:t>
      </w:r>
      <w:r w:rsidRPr="00265EB9" w:rsidR="00744360">
        <w:rPr>
          <w:sz w:val="24"/>
        </w:rPr>
        <w:t>.</w:t>
      </w:r>
      <w:r w:rsidRPr="00265EB9" w:rsidR="00203937">
        <w:rPr>
          <w:sz w:val="24"/>
        </w:rPr>
        <w:t xml:space="preserve"> </w:t>
      </w:r>
      <w:r w:rsidR="00840479">
        <w:rPr>
          <w:sz w:val="24"/>
          <w:szCs w:val="24"/>
        </w:rPr>
        <w:t>Table</w:t>
      </w:r>
      <w:r w:rsidRPr="001457CA" w:rsidR="00D23FE1">
        <w:rPr>
          <w:sz w:val="24"/>
          <w:szCs w:val="24"/>
        </w:rPr>
        <w:t xml:space="preserve"> </w:t>
      </w:r>
      <w:r w:rsidR="00F10E00">
        <w:rPr>
          <w:sz w:val="24"/>
          <w:szCs w:val="24"/>
        </w:rPr>
        <w:t>2</w:t>
      </w:r>
      <w:r w:rsidRPr="001457CA" w:rsidR="00F10E00">
        <w:rPr>
          <w:sz w:val="24"/>
          <w:szCs w:val="24"/>
        </w:rPr>
        <w:t xml:space="preserve"> </w:t>
      </w:r>
      <w:r w:rsidRPr="001457CA" w:rsidR="00D23FE1">
        <w:rPr>
          <w:sz w:val="24"/>
          <w:szCs w:val="24"/>
        </w:rPr>
        <w:t xml:space="preserve">provides a summary of the universe size and expected number of completed surveys for each </w:t>
      </w:r>
      <w:r w:rsidR="00F10E00">
        <w:rPr>
          <w:sz w:val="24"/>
          <w:szCs w:val="24"/>
        </w:rPr>
        <w:t>Census Division</w:t>
      </w:r>
      <w:r w:rsidRPr="001457CA" w:rsidR="00D23FE1">
        <w:rPr>
          <w:sz w:val="24"/>
          <w:szCs w:val="24"/>
        </w:rPr>
        <w:t xml:space="preserve">.  Moreover, </w:t>
      </w:r>
      <w:r w:rsidR="00840479">
        <w:rPr>
          <w:sz w:val="24"/>
          <w:szCs w:val="24"/>
        </w:rPr>
        <w:t>Table</w:t>
      </w:r>
      <w:r w:rsidRPr="001457CA" w:rsidR="00D23FE1">
        <w:rPr>
          <w:sz w:val="24"/>
          <w:szCs w:val="24"/>
        </w:rPr>
        <w:t xml:space="preserve"> </w:t>
      </w:r>
      <w:r w:rsidR="0002362F">
        <w:rPr>
          <w:sz w:val="24"/>
          <w:szCs w:val="24"/>
        </w:rPr>
        <w:t>3</w:t>
      </w:r>
      <w:r w:rsidRPr="001457CA" w:rsidR="0002362F">
        <w:rPr>
          <w:sz w:val="24"/>
          <w:szCs w:val="24"/>
        </w:rPr>
        <w:t xml:space="preserve"> </w:t>
      </w:r>
      <w:r w:rsidRPr="001457CA" w:rsidR="00D23FE1">
        <w:rPr>
          <w:sz w:val="24"/>
          <w:szCs w:val="24"/>
        </w:rPr>
        <w:t>provides expected precision</w:t>
      </w:r>
      <w:r w:rsidR="00D23FE1">
        <w:rPr>
          <w:sz w:val="24"/>
          <w:szCs w:val="24"/>
        </w:rPr>
        <w:t xml:space="preserve"> of survey estimates</w:t>
      </w:r>
      <w:r w:rsidRPr="001457CA" w:rsidR="00D23FE1">
        <w:rPr>
          <w:sz w:val="24"/>
          <w:szCs w:val="24"/>
        </w:rPr>
        <w:t xml:space="preserve"> for selected domains of interest to the primary users of the data.  </w:t>
      </w:r>
      <w:r w:rsidR="00D23FE1">
        <w:rPr>
          <w:sz w:val="24"/>
          <w:szCs w:val="24"/>
        </w:rPr>
        <w:t>Note that the expected domain sizes are based on prior surveys and the corresponding standard errors are adjusted to reflect the reduction in the total sample size from 26,000 to 7,500 households</w:t>
      </w:r>
      <w:r w:rsidRPr="001457CA" w:rsidR="00D23FE1">
        <w:rPr>
          <w:sz w:val="24"/>
          <w:szCs w:val="24"/>
        </w:rPr>
        <w:t>.</w:t>
      </w:r>
    </w:p>
    <w:p w:rsidR="00571EFD" w:rsidP="00735EB7" w:rsidRDefault="00571EFD" w14:paraId="4C522693" w14:textId="069EBCE2">
      <w:pPr>
        <w:widowControl w:val="0"/>
        <w:tabs>
          <w:tab w:val="clear" w:pos="1152"/>
        </w:tabs>
        <w:spacing w:before="120" w:after="120" w:line="240" w:lineRule="auto"/>
        <w:rPr>
          <w:sz w:val="24"/>
          <w:szCs w:val="24"/>
        </w:rPr>
      </w:pPr>
    </w:p>
    <w:p w:rsidR="00571EFD" w:rsidP="00735EB7" w:rsidRDefault="00571EFD" w14:paraId="12C0D7A9" w14:textId="0B1E32A8">
      <w:pPr>
        <w:widowControl w:val="0"/>
        <w:tabs>
          <w:tab w:val="clear" w:pos="1152"/>
        </w:tabs>
        <w:spacing w:before="120" w:after="120" w:line="240" w:lineRule="auto"/>
        <w:rPr>
          <w:sz w:val="24"/>
          <w:szCs w:val="24"/>
        </w:rPr>
      </w:pPr>
    </w:p>
    <w:p w:rsidR="00571EFD" w:rsidP="00735EB7" w:rsidRDefault="00571EFD" w14:paraId="208A1CB8" w14:textId="6D7C6F78">
      <w:pPr>
        <w:widowControl w:val="0"/>
        <w:tabs>
          <w:tab w:val="clear" w:pos="1152"/>
        </w:tabs>
        <w:spacing w:before="120" w:after="120" w:line="240" w:lineRule="auto"/>
        <w:rPr>
          <w:sz w:val="24"/>
          <w:szCs w:val="24"/>
        </w:rPr>
      </w:pPr>
    </w:p>
    <w:p w:rsidR="00571EFD" w:rsidP="00735EB7" w:rsidRDefault="00571EFD" w14:paraId="59CD4A60" w14:textId="33AB216A">
      <w:pPr>
        <w:widowControl w:val="0"/>
        <w:tabs>
          <w:tab w:val="clear" w:pos="1152"/>
        </w:tabs>
        <w:spacing w:before="120" w:after="120" w:line="240" w:lineRule="auto"/>
        <w:rPr>
          <w:sz w:val="24"/>
          <w:szCs w:val="24"/>
        </w:rPr>
      </w:pPr>
    </w:p>
    <w:p w:rsidR="00571EFD" w:rsidP="00735EB7" w:rsidRDefault="00571EFD" w14:paraId="472D9F7F" w14:textId="3C4CA99F">
      <w:pPr>
        <w:widowControl w:val="0"/>
        <w:tabs>
          <w:tab w:val="clear" w:pos="1152"/>
        </w:tabs>
        <w:spacing w:before="120" w:after="120" w:line="240" w:lineRule="auto"/>
        <w:rPr>
          <w:sz w:val="24"/>
          <w:szCs w:val="24"/>
        </w:rPr>
      </w:pPr>
    </w:p>
    <w:p w:rsidR="00571EFD" w:rsidP="00735EB7" w:rsidRDefault="00571EFD" w14:paraId="64141479" w14:textId="71624C62">
      <w:pPr>
        <w:widowControl w:val="0"/>
        <w:tabs>
          <w:tab w:val="clear" w:pos="1152"/>
        </w:tabs>
        <w:spacing w:before="120" w:after="120" w:line="240" w:lineRule="auto"/>
        <w:rPr>
          <w:sz w:val="24"/>
          <w:szCs w:val="24"/>
        </w:rPr>
      </w:pPr>
    </w:p>
    <w:p w:rsidR="00571EFD" w:rsidP="00735EB7" w:rsidRDefault="00571EFD" w14:paraId="6319310D" w14:textId="587BBDD3">
      <w:pPr>
        <w:widowControl w:val="0"/>
        <w:tabs>
          <w:tab w:val="clear" w:pos="1152"/>
        </w:tabs>
        <w:spacing w:before="120" w:after="120" w:line="240" w:lineRule="auto"/>
        <w:rPr>
          <w:sz w:val="24"/>
          <w:szCs w:val="24"/>
        </w:rPr>
      </w:pPr>
    </w:p>
    <w:p w:rsidR="00571EFD" w:rsidP="00735EB7" w:rsidRDefault="00571EFD" w14:paraId="1E2E3C65" w14:textId="6ECFA204">
      <w:pPr>
        <w:widowControl w:val="0"/>
        <w:tabs>
          <w:tab w:val="clear" w:pos="1152"/>
        </w:tabs>
        <w:spacing w:before="120" w:after="120" w:line="240" w:lineRule="auto"/>
        <w:rPr>
          <w:sz w:val="24"/>
          <w:szCs w:val="24"/>
        </w:rPr>
      </w:pPr>
    </w:p>
    <w:p w:rsidR="00571EFD" w:rsidP="00735EB7" w:rsidRDefault="00571EFD" w14:paraId="2E875D8E" w14:textId="1A1CCBDB">
      <w:pPr>
        <w:widowControl w:val="0"/>
        <w:tabs>
          <w:tab w:val="clear" w:pos="1152"/>
        </w:tabs>
        <w:spacing w:before="120" w:after="120" w:line="240" w:lineRule="auto"/>
        <w:rPr>
          <w:sz w:val="24"/>
          <w:szCs w:val="24"/>
        </w:rPr>
      </w:pPr>
    </w:p>
    <w:p w:rsidR="00571EFD" w:rsidP="00735EB7" w:rsidRDefault="00571EFD" w14:paraId="5DC55E08" w14:textId="77B55210">
      <w:pPr>
        <w:widowControl w:val="0"/>
        <w:tabs>
          <w:tab w:val="clear" w:pos="1152"/>
        </w:tabs>
        <w:spacing w:before="120" w:after="120" w:line="240" w:lineRule="auto"/>
        <w:rPr>
          <w:sz w:val="24"/>
          <w:szCs w:val="24"/>
        </w:rPr>
      </w:pPr>
    </w:p>
    <w:p w:rsidR="00571EFD" w:rsidP="00735EB7" w:rsidRDefault="00571EFD" w14:paraId="021A2501" w14:textId="400A4E23">
      <w:pPr>
        <w:widowControl w:val="0"/>
        <w:tabs>
          <w:tab w:val="clear" w:pos="1152"/>
        </w:tabs>
        <w:spacing w:before="120" w:after="120" w:line="240" w:lineRule="auto"/>
        <w:rPr>
          <w:sz w:val="24"/>
          <w:szCs w:val="24"/>
        </w:rPr>
      </w:pPr>
    </w:p>
    <w:p w:rsidR="00571EFD" w:rsidP="00735EB7" w:rsidRDefault="00571EFD" w14:paraId="66646616" w14:textId="34AD54E0">
      <w:pPr>
        <w:widowControl w:val="0"/>
        <w:tabs>
          <w:tab w:val="clear" w:pos="1152"/>
        </w:tabs>
        <w:spacing w:before="120" w:after="120" w:line="240" w:lineRule="auto"/>
        <w:rPr>
          <w:sz w:val="24"/>
          <w:szCs w:val="24"/>
        </w:rPr>
      </w:pPr>
    </w:p>
    <w:p w:rsidR="00571EFD" w:rsidP="00735EB7" w:rsidRDefault="00571EFD" w14:paraId="789DEB04" w14:textId="5D4DE9E5">
      <w:pPr>
        <w:widowControl w:val="0"/>
        <w:tabs>
          <w:tab w:val="clear" w:pos="1152"/>
        </w:tabs>
        <w:spacing w:before="120" w:after="120" w:line="240" w:lineRule="auto"/>
        <w:rPr>
          <w:sz w:val="24"/>
          <w:szCs w:val="24"/>
        </w:rPr>
      </w:pPr>
    </w:p>
    <w:p w:rsidR="00571EFD" w:rsidP="00735EB7" w:rsidRDefault="00571EFD" w14:paraId="1112D055" w14:textId="19CF1410">
      <w:pPr>
        <w:widowControl w:val="0"/>
        <w:tabs>
          <w:tab w:val="clear" w:pos="1152"/>
        </w:tabs>
        <w:spacing w:before="120" w:after="120" w:line="240" w:lineRule="auto"/>
        <w:rPr>
          <w:sz w:val="24"/>
          <w:szCs w:val="24"/>
        </w:rPr>
      </w:pPr>
    </w:p>
    <w:p w:rsidR="00571EFD" w:rsidP="00735EB7" w:rsidRDefault="00571EFD" w14:paraId="384172B8" w14:textId="41DACC91">
      <w:pPr>
        <w:widowControl w:val="0"/>
        <w:tabs>
          <w:tab w:val="clear" w:pos="1152"/>
        </w:tabs>
        <w:spacing w:before="120" w:after="120" w:line="240" w:lineRule="auto"/>
        <w:rPr>
          <w:sz w:val="24"/>
          <w:szCs w:val="24"/>
        </w:rPr>
      </w:pPr>
    </w:p>
    <w:p w:rsidR="00571EFD" w:rsidP="00735EB7" w:rsidRDefault="00571EFD" w14:paraId="01E6BAB6" w14:textId="0B95780A">
      <w:pPr>
        <w:widowControl w:val="0"/>
        <w:tabs>
          <w:tab w:val="clear" w:pos="1152"/>
        </w:tabs>
        <w:spacing w:before="120" w:after="120" w:line="240" w:lineRule="auto"/>
        <w:rPr>
          <w:sz w:val="24"/>
          <w:szCs w:val="24"/>
        </w:rPr>
      </w:pPr>
    </w:p>
    <w:p w:rsidR="00571EFD" w:rsidP="00735EB7" w:rsidRDefault="00571EFD" w14:paraId="002AD9A7" w14:textId="06EC80C0">
      <w:pPr>
        <w:widowControl w:val="0"/>
        <w:tabs>
          <w:tab w:val="clear" w:pos="1152"/>
        </w:tabs>
        <w:spacing w:before="120" w:after="120" w:line="240" w:lineRule="auto"/>
        <w:rPr>
          <w:sz w:val="24"/>
          <w:szCs w:val="24"/>
        </w:rPr>
      </w:pPr>
    </w:p>
    <w:p w:rsidR="00571EFD" w:rsidP="00735EB7" w:rsidRDefault="00571EFD" w14:paraId="3A140CF6" w14:textId="2E42180F">
      <w:pPr>
        <w:widowControl w:val="0"/>
        <w:tabs>
          <w:tab w:val="clear" w:pos="1152"/>
        </w:tabs>
        <w:spacing w:before="120" w:after="120" w:line="240" w:lineRule="auto"/>
        <w:rPr>
          <w:sz w:val="24"/>
          <w:szCs w:val="24"/>
        </w:rPr>
      </w:pPr>
    </w:p>
    <w:p w:rsidR="00571EFD" w:rsidP="00735EB7" w:rsidRDefault="00571EFD" w14:paraId="38A1C992" w14:textId="31BEC2E0">
      <w:pPr>
        <w:widowControl w:val="0"/>
        <w:tabs>
          <w:tab w:val="clear" w:pos="1152"/>
        </w:tabs>
        <w:spacing w:before="120" w:after="120" w:line="240" w:lineRule="auto"/>
        <w:rPr>
          <w:sz w:val="24"/>
          <w:szCs w:val="24"/>
        </w:rPr>
      </w:pPr>
    </w:p>
    <w:p w:rsidR="00571EFD" w:rsidP="00735EB7" w:rsidRDefault="00571EFD" w14:paraId="7E46E73C" w14:textId="0121DD2A">
      <w:pPr>
        <w:widowControl w:val="0"/>
        <w:tabs>
          <w:tab w:val="clear" w:pos="1152"/>
        </w:tabs>
        <w:spacing w:before="120" w:after="120" w:line="240" w:lineRule="auto"/>
        <w:rPr>
          <w:sz w:val="24"/>
          <w:szCs w:val="24"/>
        </w:rPr>
      </w:pPr>
    </w:p>
    <w:p w:rsidR="00571EFD" w:rsidP="00735EB7" w:rsidRDefault="00571EFD" w14:paraId="0B2E4B2F" w14:textId="77777777">
      <w:pPr>
        <w:widowControl w:val="0"/>
        <w:tabs>
          <w:tab w:val="clear" w:pos="1152"/>
        </w:tabs>
        <w:spacing w:before="120" w:after="120" w:line="240" w:lineRule="auto"/>
        <w:rPr>
          <w:sz w:val="24"/>
          <w:szCs w:val="24"/>
        </w:rPr>
      </w:pPr>
    </w:p>
    <w:p w:rsidRPr="00571EFD" w:rsidR="0002362F" w:rsidP="0002362F" w:rsidRDefault="0002362F" w14:paraId="1612372B" w14:textId="7BBB3174">
      <w:pPr>
        <w:widowControl w:val="0"/>
        <w:tabs>
          <w:tab w:val="clear" w:pos="1152"/>
        </w:tabs>
        <w:spacing w:before="120" w:after="120" w:line="240" w:lineRule="auto"/>
        <w:rPr>
          <w:rFonts w:eastAsiaTheme="minorHAnsi"/>
          <w:b/>
          <w:bCs/>
          <w:color w:val="auto"/>
          <w:sz w:val="24"/>
          <w:szCs w:val="24"/>
        </w:rPr>
      </w:pPr>
      <w:r w:rsidRPr="00571EFD">
        <w:rPr>
          <w:rFonts w:eastAsiaTheme="minorHAnsi"/>
          <w:b/>
          <w:bCs/>
          <w:color w:val="auto"/>
          <w:sz w:val="24"/>
          <w:szCs w:val="24"/>
        </w:rPr>
        <w:lastRenderedPageBreak/>
        <w:t>Table 3. Expected precision of survey estimates by domain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9"/>
        <w:gridCol w:w="1926"/>
        <w:gridCol w:w="1980"/>
        <w:gridCol w:w="1975"/>
      </w:tblGrid>
      <w:tr w:rsidRPr="00BB5A01" w:rsidR="0002362F" w:rsidTr="007E3E22" w14:paraId="1E3AC122" w14:textId="77777777">
        <w:trPr>
          <w:trHeight w:val="432"/>
        </w:trPr>
        <w:tc>
          <w:tcPr>
            <w:tcW w:w="3469" w:type="dxa"/>
            <w:vMerge w:val="restart"/>
            <w:shd w:val="clear" w:color="auto" w:fill="auto"/>
            <w:noWrap/>
            <w:vAlign w:val="center"/>
          </w:tcPr>
          <w:p w:rsidRPr="00BB5A01" w:rsidR="0002362F" w:rsidP="007E3E22" w:rsidRDefault="0002362F" w14:paraId="53DB2318" w14:textId="77777777">
            <w:pPr>
              <w:spacing w:line="240" w:lineRule="auto"/>
              <w:jc w:val="center"/>
              <w:rPr>
                <w:b/>
                <w:bCs/>
                <w:color w:val="000000"/>
                <w:sz w:val="24"/>
                <w:szCs w:val="24"/>
              </w:rPr>
            </w:pPr>
            <w:r w:rsidRPr="00BB5A01">
              <w:rPr>
                <w:b/>
                <w:bCs/>
                <w:color w:val="000000"/>
                <w:sz w:val="24"/>
                <w:szCs w:val="24"/>
              </w:rPr>
              <w:t>Domain Description</w:t>
            </w:r>
          </w:p>
        </w:tc>
        <w:tc>
          <w:tcPr>
            <w:tcW w:w="5881" w:type="dxa"/>
            <w:gridSpan w:val="3"/>
            <w:shd w:val="clear" w:color="auto" w:fill="auto"/>
            <w:noWrap/>
            <w:vAlign w:val="center"/>
          </w:tcPr>
          <w:p w:rsidRPr="00BB5A01" w:rsidR="0002362F" w:rsidP="007E3E22" w:rsidRDefault="0002362F" w14:paraId="18DE2B95" w14:textId="77777777">
            <w:pPr>
              <w:tabs>
                <w:tab w:val="clear" w:pos="1152"/>
              </w:tabs>
              <w:spacing w:line="240" w:lineRule="auto"/>
              <w:jc w:val="center"/>
              <w:rPr>
                <w:b/>
                <w:bCs/>
                <w:color w:val="000000"/>
                <w:sz w:val="24"/>
                <w:szCs w:val="24"/>
              </w:rPr>
            </w:pPr>
            <w:r>
              <w:rPr>
                <w:b/>
                <w:bCs/>
                <w:color w:val="000000"/>
                <w:sz w:val="24"/>
                <w:szCs w:val="24"/>
              </w:rPr>
              <w:t>Expected</w:t>
            </w:r>
          </w:p>
        </w:tc>
      </w:tr>
      <w:tr w:rsidRPr="00BB5A01" w:rsidR="0002362F" w:rsidTr="007E3E22" w14:paraId="21C48B62" w14:textId="77777777">
        <w:trPr>
          <w:trHeight w:val="432"/>
        </w:trPr>
        <w:tc>
          <w:tcPr>
            <w:tcW w:w="3469" w:type="dxa"/>
            <w:vMerge/>
            <w:shd w:val="clear" w:color="auto" w:fill="auto"/>
            <w:noWrap/>
            <w:vAlign w:val="center"/>
            <w:hideMark/>
          </w:tcPr>
          <w:p w:rsidRPr="00BB5A01" w:rsidR="0002362F" w:rsidP="007E3E22" w:rsidRDefault="0002362F" w14:paraId="4F0FEC33" w14:textId="77777777">
            <w:pPr>
              <w:tabs>
                <w:tab w:val="clear" w:pos="1152"/>
              </w:tabs>
              <w:spacing w:line="240" w:lineRule="auto"/>
              <w:jc w:val="center"/>
              <w:rPr>
                <w:b/>
                <w:bCs/>
                <w:color w:val="000000"/>
                <w:sz w:val="24"/>
                <w:szCs w:val="24"/>
              </w:rPr>
            </w:pPr>
          </w:p>
        </w:tc>
        <w:tc>
          <w:tcPr>
            <w:tcW w:w="1926" w:type="dxa"/>
            <w:shd w:val="clear" w:color="auto" w:fill="auto"/>
            <w:noWrap/>
            <w:vAlign w:val="center"/>
            <w:hideMark/>
          </w:tcPr>
          <w:p w:rsidRPr="00BB5A01" w:rsidR="0002362F" w:rsidP="007E3E22" w:rsidRDefault="0002362F" w14:paraId="30E538DE" w14:textId="77777777">
            <w:pPr>
              <w:tabs>
                <w:tab w:val="clear" w:pos="1152"/>
              </w:tabs>
              <w:spacing w:line="240" w:lineRule="auto"/>
              <w:jc w:val="center"/>
              <w:rPr>
                <w:b/>
                <w:bCs/>
                <w:color w:val="000000"/>
                <w:sz w:val="24"/>
                <w:szCs w:val="24"/>
              </w:rPr>
            </w:pPr>
            <w:r w:rsidRPr="00BB5A01">
              <w:rPr>
                <w:b/>
                <w:bCs/>
                <w:color w:val="000000"/>
                <w:sz w:val="24"/>
                <w:szCs w:val="24"/>
              </w:rPr>
              <w:t>Relative Domain Size</w:t>
            </w:r>
          </w:p>
        </w:tc>
        <w:tc>
          <w:tcPr>
            <w:tcW w:w="1980" w:type="dxa"/>
            <w:shd w:val="clear" w:color="auto" w:fill="auto"/>
            <w:noWrap/>
            <w:vAlign w:val="center"/>
            <w:hideMark/>
          </w:tcPr>
          <w:p w:rsidRPr="00BB5A01" w:rsidR="0002362F" w:rsidP="007E3E22" w:rsidRDefault="0002362F" w14:paraId="64C37C68" w14:textId="77777777">
            <w:pPr>
              <w:tabs>
                <w:tab w:val="clear" w:pos="1152"/>
              </w:tabs>
              <w:spacing w:line="240" w:lineRule="auto"/>
              <w:jc w:val="center"/>
              <w:rPr>
                <w:b/>
                <w:bCs/>
                <w:color w:val="000000"/>
                <w:sz w:val="24"/>
                <w:szCs w:val="24"/>
              </w:rPr>
            </w:pPr>
            <w:r w:rsidRPr="00BB5A01">
              <w:rPr>
                <w:b/>
                <w:bCs/>
                <w:color w:val="000000"/>
                <w:sz w:val="24"/>
                <w:szCs w:val="24"/>
              </w:rPr>
              <w:t>Standard Error</w:t>
            </w:r>
          </w:p>
        </w:tc>
        <w:tc>
          <w:tcPr>
            <w:tcW w:w="1975" w:type="dxa"/>
            <w:shd w:val="clear" w:color="auto" w:fill="auto"/>
            <w:noWrap/>
            <w:vAlign w:val="center"/>
            <w:hideMark/>
          </w:tcPr>
          <w:p w:rsidRPr="00BB5A01" w:rsidR="0002362F" w:rsidP="007E3E22" w:rsidRDefault="0002362F" w14:paraId="3A8880DE" w14:textId="77777777">
            <w:pPr>
              <w:tabs>
                <w:tab w:val="clear" w:pos="1152"/>
              </w:tabs>
              <w:spacing w:line="240" w:lineRule="auto"/>
              <w:jc w:val="center"/>
              <w:rPr>
                <w:b/>
                <w:bCs/>
                <w:color w:val="000000"/>
                <w:sz w:val="24"/>
                <w:szCs w:val="24"/>
              </w:rPr>
            </w:pPr>
            <w:r w:rsidRPr="00BB5A01">
              <w:rPr>
                <w:b/>
                <w:bCs/>
                <w:color w:val="000000"/>
                <w:sz w:val="24"/>
                <w:szCs w:val="24"/>
              </w:rPr>
              <w:t>Relative Standard Error</w:t>
            </w:r>
          </w:p>
        </w:tc>
      </w:tr>
      <w:tr w:rsidRPr="00BB5A01" w:rsidR="0002362F" w:rsidTr="00346849" w14:paraId="5CDFD595" w14:textId="77777777">
        <w:trPr>
          <w:trHeight w:val="512"/>
        </w:trPr>
        <w:tc>
          <w:tcPr>
            <w:tcW w:w="3469" w:type="dxa"/>
            <w:shd w:val="clear" w:color="auto" w:fill="auto"/>
            <w:noWrap/>
            <w:vAlign w:val="center"/>
            <w:hideMark/>
          </w:tcPr>
          <w:p w:rsidRPr="00BB5A01" w:rsidR="0002362F" w:rsidP="007E3E22" w:rsidRDefault="0002362F" w14:paraId="0C23F410" w14:textId="77777777">
            <w:pPr>
              <w:tabs>
                <w:tab w:val="clear" w:pos="1152"/>
              </w:tabs>
              <w:spacing w:line="240" w:lineRule="auto"/>
              <w:rPr>
                <w:color w:val="000000"/>
              </w:rPr>
            </w:pPr>
            <w:r w:rsidRPr="00BB5A01">
              <w:rPr>
                <w:color w:val="000000"/>
              </w:rPr>
              <w:t>Average number of daily trips made by a household</w:t>
            </w:r>
          </w:p>
        </w:tc>
        <w:tc>
          <w:tcPr>
            <w:tcW w:w="1926" w:type="dxa"/>
            <w:shd w:val="clear" w:color="auto" w:fill="auto"/>
            <w:noWrap/>
            <w:vAlign w:val="center"/>
            <w:hideMark/>
          </w:tcPr>
          <w:p w:rsidRPr="00BB5A01" w:rsidR="0002362F" w:rsidP="007E3E22" w:rsidRDefault="0002362F" w14:paraId="5A56CBE6" w14:textId="77777777">
            <w:pPr>
              <w:tabs>
                <w:tab w:val="clear" w:pos="1152"/>
              </w:tabs>
              <w:spacing w:line="240" w:lineRule="auto"/>
              <w:jc w:val="center"/>
              <w:rPr>
                <w:color w:val="000000"/>
              </w:rPr>
            </w:pPr>
            <w:r>
              <w:rPr>
                <w:color w:val="000000"/>
              </w:rPr>
              <w:t>9.5 Trips</w:t>
            </w:r>
          </w:p>
        </w:tc>
        <w:tc>
          <w:tcPr>
            <w:tcW w:w="1980" w:type="dxa"/>
            <w:shd w:val="clear" w:color="auto" w:fill="auto"/>
            <w:noWrap/>
            <w:vAlign w:val="center"/>
            <w:hideMark/>
          </w:tcPr>
          <w:p w:rsidRPr="00BB5A01" w:rsidR="0002362F" w:rsidP="007E3E22" w:rsidRDefault="0002362F" w14:paraId="4ED91856" w14:textId="77777777">
            <w:pPr>
              <w:tabs>
                <w:tab w:val="clear" w:pos="1152"/>
              </w:tabs>
              <w:spacing w:line="240" w:lineRule="auto"/>
              <w:jc w:val="center"/>
              <w:rPr>
                <w:color w:val="000000"/>
              </w:rPr>
            </w:pPr>
            <w:r w:rsidRPr="00BB5A01">
              <w:rPr>
                <w:color w:val="000000"/>
              </w:rPr>
              <w:t>0.085</w:t>
            </w:r>
          </w:p>
        </w:tc>
        <w:tc>
          <w:tcPr>
            <w:tcW w:w="1975" w:type="dxa"/>
            <w:shd w:val="clear" w:color="auto" w:fill="auto"/>
            <w:noWrap/>
            <w:vAlign w:val="center"/>
            <w:hideMark/>
          </w:tcPr>
          <w:p w:rsidRPr="00BB5A01" w:rsidR="0002362F" w:rsidP="007E3E22" w:rsidRDefault="0002362F" w14:paraId="798776A7" w14:textId="77777777">
            <w:pPr>
              <w:tabs>
                <w:tab w:val="clear" w:pos="1152"/>
              </w:tabs>
              <w:spacing w:line="240" w:lineRule="auto"/>
              <w:jc w:val="center"/>
              <w:rPr>
                <w:color w:val="000000"/>
              </w:rPr>
            </w:pPr>
            <w:r w:rsidRPr="00BB5A01">
              <w:rPr>
                <w:color w:val="000000"/>
              </w:rPr>
              <w:t>±0.89</w:t>
            </w:r>
          </w:p>
        </w:tc>
      </w:tr>
      <w:tr w:rsidRPr="00BB5A01" w:rsidR="0002362F" w:rsidTr="00346849" w14:paraId="486C21E9" w14:textId="77777777">
        <w:trPr>
          <w:trHeight w:val="620"/>
        </w:trPr>
        <w:tc>
          <w:tcPr>
            <w:tcW w:w="3469" w:type="dxa"/>
            <w:shd w:val="clear" w:color="auto" w:fill="auto"/>
            <w:noWrap/>
            <w:vAlign w:val="center"/>
            <w:hideMark/>
          </w:tcPr>
          <w:p w:rsidRPr="00BB5A01" w:rsidR="0002362F" w:rsidP="007E3E22" w:rsidRDefault="0002362F" w14:paraId="1211AB25" w14:textId="77777777">
            <w:pPr>
              <w:tabs>
                <w:tab w:val="clear" w:pos="1152"/>
              </w:tabs>
              <w:spacing w:line="240" w:lineRule="auto"/>
              <w:rPr>
                <w:color w:val="000000"/>
              </w:rPr>
            </w:pPr>
            <w:r w:rsidRPr="00BB5A01">
              <w:rPr>
                <w:color w:val="000000"/>
              </w:rPr>
              <w:t>Average annual vehicle miles of travel per household</w:t>
            </w:r>
          </w:p>
        </w:tc>
        <w:tc>
          <w:tcPr>
            <w:tcW w:w="1926" w:type="dxa"/>
            <w:shd w:val="clear" w:color="auto" w:fill="auto"/>
            <w:noWrap/>
            <w:vAlign w:val="center"/>
            <w:hideMark/>
          </w:tcPr>
          <w:p w:rsidRPr="00BB5A01" w:rsidR="0002362F" w:rsidP="007E3E22" w:rsidRDefault="0002362F" w14:paraId="4ADF6124" w14:textId="77777777">
            <w:pPr>
              <w:tabs>
                <w:tab w:val="clear" w:pos="1152"/>
              </w:tabs>
              <w:spacing w:line="240" w:lineRule="auto"/>
              <w:jc w:val="center"/>
              <w:rPr>
                <w:color w:val="000000"/>
              </w:rPr>
            </w:pPr>
            <w:r>
              <w:rPr>
                <w:color w:val="000000"/>
              </w:rPr>
              <w:t>19850 Miles</w:t>
            </w:r>
          </w:p>
        </w:tc>
        <w:tc>
          <w:tcPr>
            <w:tcW w:w="1980" w:type="dxa"/>
            <w:shd w:val="clear" w:color="auto" w:fill="auto"/>
            <w:noWrap/>
            <w:vAlign w:val="center"/>
            <w:hideMark/>
          </w:tcPr>
          <w:p w:rsidRPr="00BB5A01" w:rsidR="0002362F" w:rsidP="007E3E22" w:rsidRDefault="0002362F" w14:paraId="769E6C7B" w14:textId="77777777">
            <w:pPr>
              <w:tabs>
                <w:tab w:val="clear" w:pos="1152"/>
              </w:tabs>
              <w:spacing w:line="240" w:lineRule="auto"/>
              <w:jc w:val="center"/>
              <w:rPr>
                <w:color w:val="000000"/>
              </w:rPr>
            </w:pPr>
            <w:r w:rsidRPr="00BB5A01">
              <w:rPr>
                <w:color w:val="000000"/>
              </w:rPr>
              <w:t>460.050</w:t>
            </w:r>
          </w:p>
        </w:tc>
        <w:tc>
          <w:tcPr>
            <w:tcW w:w="1975" w:type="dxa"/>
            <w:shd w:val="clear" w:color="auto" w:fill="auto"/>
            <w:noWrap/>
            <w:vAlign w:val="center"/>
            <w:hideMark/>
          </w:tcPr>
          <w:p w:rsidRPr="00BB5A01" w:rsidR="0002362F" w:rsidP="007E3E22" w:rsidRDefault="0002362F" w14:paraId="36B492AF" w14:textId="77777777">
            <w:pPr>
              <w:tabs>
                <w:tab w:val="clear" w:pos="1152"/>
              </w:tabs>
              <w:spacing w:line="240" w:lineRule="auto"/>
              <w:jc w:val="center"/>
              <w:rPr>
                <w:color w:val="000000"/>
              </w:rPr>
            </w:pPr>
            <w:r w:rsidRPr="00BB5A01">
              <w:rPr>
                <w:color w:val="000000"/>
              </w:rPr>
              <w:t>±2.32</w:t>
            </w:r>
          </w:p>
        </w:tc>
      </w:tr>
      <w:tr w:rsidRPr="00BB5A01" w:rsidR="0002362F" w:rsidTr="00346849" w14:paraId="1D57206B" w14:textId="77777777">
        <w:trPr>
          <w:trHeight w:val="620"/>
        </w:trPr>
        <w:tc>
          <w:tcPr>
            <w:tcW w:w="3469" w:type="dxa"/>
            <w:shd w:val="clear" w:color="auto" w:fill="auto"/>
            <w:noWrap/>
            <w:vAlign w:val="center"/>
            <w:hideMark/>
          </w:tcPr>
          <w:p w:rsidRPr="00BB5A01" w:rsidR="0002362F" w:rsidP="007E3E22" w:rsidRDefault="0002362F" w14:paraId="775DB56B" w14:textId="77777777">
            <w:pPr>
              <w:tabs>
                <w:tab w:val="clear" w:pos="1152"/>
              </w:tabs>
              <w:spacing w:line="240" w:lineRule="auto"/>
              <w:rPr>
                <w:color w:val="000000"/>
              </w:rPr>
            </w:pPr>
            <w:r w:rsidRPr="00BB5A01">
              <w:rPr>
                <w:color w:val="000000"/>
              </w:rPr>
              <w:t>Average number of daily household shopping trips</w:t>
            </w:r>
          </w:p>
        </w:tc>
        <w:tc>
          <w:tcPr>
            <w:tcW w:w="1926" w:type="dxa"/>
            <w:shd w:val="clear" w:color="auto" w:fill="auto"/>
            <w:noWrap/>
            <w:vAlign w:val="center"/>
            <w:hideMark/>
          </w:tcPr>
          <w:p w:rsidRPr="00BB5A01" w:rsidR="0002362F" w:rsidP="007E3E22" w:rsidRDefault="0002362F" w14:paraId="6105B88A" w14:textId="77777777">
            <w:pPr>
              <w:tabs>
                <w:tab w:val="clear" w:pos="1152"/>
              </w:tabs>
              <w:spacing w:line="240" w:lineRule="auto"/>
              <w:jc w:val="center"/>
              <w:rPr>
                <w:color w:val="000000"/>
              </w:rPr>
            </w:pPr>
            <w:r>
              <w:rPr>
                <w:color w:val="000000"/>
              </w:rPr>
              <w:t>3.7 Trips</w:t>
            </w:r>
          </w:p>
        </w:tc>
        <w:tc>
          <w:tcPr>
            <w:tcW w:w="1980" w:type="dxa"/>
            <w:shd w:val="clear" w:color="auto" w:fill="auto"/>
            <w:noWrap/>
            <w:vAlign w:val="center"/>
            <w:hideMark/>
          </w:tcPr>
          <w:p w:rsidRPr="00BB5A01" w:rsidR="0002362F" w:rsidP="007E3E22" w:rsidRDefault="0002362F" w14:paraId="33856AEA" w14:textId="77777777">
            <w:pPr>
              <w:tabs>
                <w:tab w:val="clear" w:pos="1152"/>
              </w:tabs>
              <w:spacing w:line="240" w:lineRule="auto"/>
              <w:jc w:val="center"/>
              <w:rPr>
                <w:color w:val="000000"/>
              </w:rPr>
            </w:pPr>
            <w:r w:rsidRPr="00BB5A01">
              <w:rPr>
                <w:color w:val="000000"/>
              </w:rPr>
              <w:t>0.051</w:t>
            </w:r>
          </w:p>
        </w:tc>
        <w:tc>
          <w:tcPr>
            <w:tcW w:w="1975" w:type="dxa"/>
            <w:shd w:val="clear" w:color="auto" w:fill="auto"/>
            <w:noWrap/>
            <w:vAlign w:val="center"/>
            <w:hideMark/>
          </w:tcPr>
          <w:p w:rsidRPr="00BB5A01" w:rsidR="0002362F" w:rsidP="007E3E22" w:rsidRDefault="0002362F" w14:paraId="20635240" w14:textId="77777777">
            <w:pPr>
              <w:tabs>
                <w:tab w:val="clear" w:pos="1152"/>
              </w:tabs>
              <w:spacing w:line="240" w:lineRule="auto"/>
              <w:jc w:val="center"/>
              <w:rPr>
                <w:color w:val="000000"/>
              </w:rPr>
            </w:pPr>
            <w:r w:rsidRPr="00BB5A01">
              <w:rPr>
                <w:color w:val="000000"/>
              </w:rPr>
              <w:t>±1.38</w:t>
            </w:r>
          </w:p>
        </w:tc>
      </w:tr>
      <w:tr w:rsidRPr="00BB5A01" w:rsidR="0002362F" w:rsidTr="00346849" w14:paraId="68EF829A" w14:textId="77777777">
        <w:trPr>
          <w:trHeight w:val="530"/>
        </w:trPr>
        <w:tc>
          <w:tcPr>
            <w:tcW w:w="3469" w:type="dxa"/>
            <w:shd w:val="clear" w:color="auto" w:fill="auto"/>
            <w:noWrap/>
            <w:vAlign w:val="center"/>
            <w:hideMark/>
          </w:tcPr>
          <w:p w:rsidRPr="00BB5A01" w:rsidR="0002362F" w:rsidP="007E3E22" w:rsidRDefault="0002362F" w14:paraId="32836112" w14:textId="77777777">
            <w:pPr>
              <w:tabs>
                <w:tab w:val="clear" w:pos="1152"/>
              </w:tabs>
              <w:spacing w:line="240" w:lineRule="auto"/>
              <w:rPr>
                <w:color w:val="000000"/>
              </w:rPr>
            </w:pPr>
            <w:r w:rsidRPr="00BB5A01">
              <w:rPr>
                <w:color w:val="000000"/>
              </w:rPr>
              <w:t xml:space="preserve">Average vehicle miles of travel per day in miles for </w:t>
            </w:r>
            <w:r>
              <w:rPr>
                <w:color w:val="000000"/>
              </w:rPr>
              <w:t>f</w:t>
            </w:r>
            <w:r w:rsidRPr="00BB5A01">
              <w:rPr>
                <w:color w:val="000000"/>
              </w:rPr>
              <w:t>emales aged 16-20</w:t>
            </w:r>
          </w:p>
        </w:tc>
        <w:tc>
          <w:tcPr>
            <w:tcW w:w="1926" w:type="dxa"/>
            <w:shd w:val="clear" w:color="auto" w:fill="auto"/>
            <w:noWrap/>
            <w:vAlign w:val="center"/>
            <w:hideMark/>
          </w:tcPr>
          <w:p w:rsidRPr="00BB5A01" w:rsidR="0002362F" w:rsidP="007E3E22" w:rsidRDefault="0002362F" w14:paraId="752FABDA" w14:textId="77777777">
            <w:pPr>
              <w:tabs>
                <w:tab w:val="clear" w:pos="1152"/>
              </w:tabs>
              <w:spacing w:line="240" w:lineRule="auto"/>
              <w:jc w:val="center"/>
              <w:rPr>
                <w:color w:val="000000"/>
              </w:rPr>
            </w:pPr>
            <w:r>
              <w:rPr>
                <w:color w:val="000000"/>
              </w:rPr>
              <w:t>31 Miles</w:t>
            </w:r>
          </w:p>
        </w:tc>
        <w:tc>
          <w:tcPr>
            <w:tcW w:w="1980" w:type="dxa"/>
            <w:shd w:val="clear" w:color="auto" w:fill="auto"/>
            <w:noWrap/>
            <w:vAlign w:val="center"/>
            <w:hideMark/>
          </w:tcPr>
          <w:p w:rsidRPr="00BB5A01" w:rsidR="0002362F" w:rsidP="007E3E22" w:rsidRDefault="0002362F" w14:paraId="40E0D2DD" w14:textId="77777777">
            <w:pPr>
              <w:tabs>
                <w:tab w:val="clear" w:pos="1152"/>
              </w:tabs>
              <w:spacing w:line="240" w:lineRule="auto"/>
              <w:jc w:val="center"/>
              <w:rPr>
                <w:color w:val="000000"/>
              </w:rPr>
            </w:pPr>
            <w:r w:rsidRPr="00BB5A01">
              <w:rPr>
                <w:color w:val="000000"/>
              </w:rPr>
              <w:t>2.429</w:t>
            </w:r>
          </w:p>
        </w:tc>
        <w:tc>
          <w:tcPr>
            <w:tcW w:w="1975" w:type="dxa"/>
            <w:shd w:val="clear" w:color="auto" w:fill="auto"/>
            <w:noWrap/>
            <w:vAlign w:val="center"/>
            <w:hideMark/>
          </w:tcPr>
          <w:p w:rsidRPr="00BB5A01" w:rsidR="0002362F" w:rsidP="007E3E22" w:rsidRDefault="0002362F" w14:paraId="0C064E1E" w14:textId="77777777">
            <w:pPr>
              <w:tabs>
                <w:tab w:val="clear" w:pos="1152"/>
              </w:tabs>
              <w:spacing w:line="240" w:lineRule="auto"/>
              <w:jc w:val="center"/>
              <w:rPr>
                <w:color w:val="000000"/>
              </w:rPr>
            </w:pPr>
            <w:r w:rsidRPr="00BB5A01">
              <w:rPr>
                <w:color w:val="000000"/>
              </w:rPr>
              <w:t>±7.83</w:t>
            </w:r>
          </w:p>
        </w:tc>
      </w:tr>
      <w:tr w:rsidRPr="00BB5A01" w:rsidR="0002362F" w:rsidTr="00346849" w14:paraId="35C1963C" w14:textId="77777777">
        <w:trPr>
          <w:trHeight w:val="620"/>
        </w:trPr>
        <w:tc>
          <w:tcPr>
            <w:tcW w:w="3469" w:type="dxa"/>
            <w:shd w:val="clear" w:color="auto" w:fill="auto"/>
            <w:noWrap/>
            <w:vAlign w:val="center"/>
            <w:hideMark/>
          </w:tcPr>
          <w:p w:rsidRPr="00BB5A01" w:rsidR="0002362F" w:rsidP="007E3E22" w:rsidRDefault="0002362F" w14:paraId="47724681" w14:textId="77777777">
            <w:pPr>
              <w:tabs>
                <w:tab w:val="clear" w:pos="1152"/>
              </w:tabs>
              <w:spacing w:line="240" w:lineRule="auto"/>
              <w:rPr>
                <w:color w:val="000000"/>
              </w:rPr>
            </w:pPr>
            <w:r w:rsidRPr="00BB5A01">
              <w:rPr>
                <w:color w:val="000000"/>
              </w:rPr>
              <w:t>Number of people who do not drive a vehicle</w:t>
            </w:r>
          </w:p>
        </w:tc>
        <w:tc>
          <w:tcPr>
            <w:tcW w:w="1926" w:type="dxa"/>
            <w:shd w:val="clear" w:color="auto" w:fill="auto"/>
            <w:noWrap/>
            <w:vAlign w:val="center"/>
            <w:hideMark/>
          </w:tcPr>
          <w:p w:rsidRPr="00BB5A01" w:rsidR="0002362F" w:rsidP="007E3E22" w:rsidRDefault="0002362F" w14:paraId="0607A6AC" w14:textId="77777777">
            <w:pPr>
              <w:tabs>
                <w:tab w:val="clear" w:pos="1152"/>
              </w:tabs>
              <w:spacing w:line="240" w:lineRule="auto"/>
              <w:jc w:val="center"/>
              <w:rPr>
                <w:color w:val="000000"/>
              </w:rPr>
            </w:pPr>
            <w:r>
              <w:rPr>
                <w:color w:val="000000"/>
              </w:rPr>
              <w:t>30.31 Million</w:t>
            </w:r>
          </w:p>
        </w:tc>
        <w:tc>
          <w:tcPr>
            <w:tcW w:w="1980" w:type="dxa"/>
            <w:shd w:val="clear" w:color="auto" w:fill="auto"/>
            <w:noWrap/>
            <w:vAlign w:val="center"/>
            <w:hideMark/>
          </w:tcPr>
          <w:p w:rsidRPr="00BB5A01" w:rsidR="0002362F" w:rsidP="007E3E22" w:rsidRDefault="0002362F" w14:paraId="6E91C5DC" w14:textId="77777777">
            <w:pPr>
              <w:tabs>
                <w:tab w:val="clear" w:pos="1152"/>
              </w:tabs>
              <w:spacing w:line="240" w:lineRule="auto"/>
              <w:jc w:val="center"/>
              <w:rPr>
                <w:color w:val="000000"/>
              </w:rPr>
            </w:pPr>
            <w:r w:rsidRPr="00BB5A01">
              <w:rPr>
                <w:color w:val="000000"/>
              </w:rPr>
              <w:t>858,631</w:t>
            </w:r>
          </w:p>
        </w:tc>
        <w:tc>
          <w:tcPr>
            <w:tcW w:w="1975" w:type="dxa"/>
            <w:shd w:val="clear" w:color="auto" w:fill="auto"/>
            <w:noWrap/>
            <w:vAlign w:val="center"/>
            <w:hideMark/>
          </w:tcPr>
          <w:p w:rsidRPr="00BB5A01" w:rsidR="0002362F" w:rsidP="007E3E22" w:rsidRDefault="0002362F" w14:paraId="69607DA8" w14:textId="77777777">
            <w:pPr>
              <w:tabs>
                <w:tab w:val="clear" w:pos="1152"/>
              </w:tabs>
              <w:spacing w:line="240" w:lineRule="auto"/>
              <w:jc w:val="center"/>
              <w:rPr>
                <w:color w:val="000000"/>
              </w:rPr>
            </w:pPr>
            <w:r w:rsidRPr="00BB5A01">
              <w:rPr>
                <w:color w:val="000000"/>
              </w:rPr>
              <w:t>±2.83</w:t>
            </w:r>
          </w:p>
        </w:tc>
      </w:tr>
      <w:tr w:rsidRPr="00BB5A01" w:rsidR="0002362F" w:rsidTr="00346849" w14:paraId="24B01A8E" w14:textId="77777777">
        <w:trPr>
          <w:trHeight w:val="620"/>
        </w:trPr>
        <w:tc>
          <w:tcPr>
            <w:tcW w:w="3469" w:type="dxa"/>
            <w:shd w:val="clear" w:color="auto" w:fill="auto"/>
            <w:noWrap/>
            <w:vAlign w:val="center"/>
            <w:hideMark/>
          </w:tcPr>
          <w:p w:rsidRPr="00BB5A01" w:rsidR="0002362F" w:rsidP="007E3E22" w:rsidRDefault="0002362F" w14:paraId="5EAD4D78" w14:textId="77777777">
            <w:pPr>
              <w:tabs>
                <w:tab w:val="clear" w:pos="1152"/>
              </w:tabs>
              <w:spacing w:line="240" w:lineRule="auto"/>
              <w:rPr>
                <w:color w:val="000000"/>
              </w:rPr>
            </w:pPr>
            <w:r w:rsidRPr="00BB5A01">
              <w:rPr>
                <w:color w:val="000000"/>
              </w:rPr>
              <w:t>Average distance to work in miles</w:t>
            </w:r>
          </w:p>
        </w:tc>
        <w:tc>
          <w:tcPr>
            <w:tcW w:w="1926" w:type="dxa"/>
            <w:shd w:val="clear" w:color="auto" w:fill="auto"/>
            <w:noWrap/>
            <w:vAlign w:val="center"/>
            <w:hideMark/>
          </w:tcPr>
          <w:p w:rsidRPr="00BB5A01" w:rsidR="0002362F" w:rsidP="007E3E22" w:rsidRDefault="0002362F" w14:paraId="3981CDFC" w14:textId="77777777">
            <w:pPr>
              <w:tabs>
                <w:tab w:val="clear" w:pos="1152"/>
              </w:tabs>
              <w:spacing w:line="240" w:lineRule="auto"/>
              <w:jc w:val="center"/>
              <w:rPr>
                <w:color w:val="000000"/>
              </w:rPr>
            </w:pPr>
            <w:r>
              <w:rPr>
                <w:color w:val="000000"/>
              </w:rPr>
              <w:t>5.5 Miles</w:t>
            </w:r>
          </w:p>
        </w:tc>
        <w:tc>
          <w:tcPr>
            <w:tcW w:w="1980" w:type="dxa"/>
            <w:shd w:val="clear" w:color="auto" w:fill="auto"/>
            <w:noWrap/>
            <w:vAlign w:val="center"/>
            <w:hideMark/>
          </w:tcPr>
          <w:p w:rsidRPr="00BB5A01" w:rsidR="0002362F" w:rsidP="007E3E22" w:rsidRDefault="0002362F" w14:paraId="43C80AC6" w14:textId="77777777">
            <w:pPr>
              <w:tabs>
                <w:tab w:val="clear" w:pos="1152"/>
              </w:tabs>
              <w:spacing w:line="240" w:lineRule="auto"/>
              <w:jc w:val="center"/>
              <w:rPr>
                <w:color w:val="000000"/>
              </w:rPr>
            </w:pPr>
            <w:r w:rsidRPr="00BB5A01">
              <w:rPr>
                <w:color w:val="000000"/>
              </w:rPr>
              <w:t>0.102</w:t>
            </w:r>
          </w:p>
        </w:tc>
        <w:tc>
          <w:tcPr>
            <w:tcW w:w="1975" w:type="dxa"/>
            <w:shd w:val="clear" w:color="auto" w:fill="auto"/>
            <w:noWrap/>
            <w:vAlign w:val="center"/>
            <w:hideMark/>
          </w:tcPr>
          <w:p w:rsidRPr="00BB5A01" w:rsidR="0002362F" w:rsidP="007E3E22" w:rsidRDefault="0002362F" w14:paraId="6C5219AE" w14:textId="77777777">
            <w:pPr>
              <w:tabs>
                <w:tab w:val="clear" w:pos="1152"/>
              </w:tabs>
              <w:spacing w:line="240" w:lineRule="auto"/>
              <w:jc w:val="center"/>
              <w:rPr>
                <w:color w:val="000000"/>
              </w:rPr>
            </w:pPr>
            <w:r w:rsidRPr="00BB5A01">
              <w:rPr>
                <w:color w:val="000000"/>
              </w:rPr>
              <w:t>±1.85</w:t>
            </w:r>
          </w:p>
        </w:tc>
      </w:tr>
      <w:tr w:rsidRPr="00BB5A01" w:rsidR="0002362F" w:rsidTr="00346849" w14:paraId="4F868C2F" w14:textId="77777777">
        <w:trPr>
          <w:trHeight w:val="620"/>
        </w:trPr>
        <w:tc>
          <w:tcPr>
            <w:tcW w:w="3469" w:type="dxa"/>
            <w:shd w:val="clear" w:color="auto" w:fill="auto"/>
            <w:noWrap/>
            <w:vAlign w:val="center"/>
            <w:hideMark/>
          </w:tcPr>
          <w:p w:rsidRPr="00BB5A01" w:rsidR="0002362F" w:rsidP="007E3E22" w:rsidRDefault="0002362F" w14:paraId="12F77442" w14:textId="77777777">
            <w:pPr>
              <w:tabs>
                <w:tab w:val="clear" w:pos="1152"/>
              </w:tabs>
              <w:spacing w:line="240" w:lineRule="auto"/>
              <w:rPr>
                <w:color w:val="000000"/>
              </w:rPr>
            </w:pPr>
            <w:r w:rsidRPr="00BB5A01">
              <w:rPr>
                <w:color w:val="000000"/>
              </w:rPr>
              <w:t>Average vehicle occupancy for trips of 11-15 miles</w:t>
            </w:r>
          </w:p>
        </w:tc>
        <w:tc>
          <w:tcPr>
            <w:tcW w:w="1926" w:type="dxa"/>
            <w:shd w:val="clear" w:color="auto" w:fill="auto"/>
            <w:noWrap/>
            <w:vAlign w:val="center"/>
            <w:hideMark/>
          </w:tcPr>
          <w:p w:rsidRPr="00BB5A01" w:rsidR="0002362F" w:rsidP="007E3E22" w:rsidRDefault="0002362F" w14:paraId="3A33C412" w14:textId="77777777">
            <w:pPr>
              <w:tabs>
                <w:tab w:val="clear" w:pos="1152"/>
              </w:tabs>
              <w:spacing w:line="240" w:lineRule="auto"/>
              <w:jc w:val="center"/>
              <w:rPr>
                <w:color w:val="000000"/>
              </w:rPr>
            </w:pPr>
            <w:r>
              <w:rPr>
                <w:color w:val="000000"/>
              </w:rPr>
              <w:t>1.67 People</w:t>
            </w:r>
          </w:p>
        </w:tc>
        <w:tc>
          <w:tcPr>
            <w:tcW w:w="1980" w:type="dxa"/>
            <w:shd w:val="clear" w:color="auto" w:fill="auto"/>
            <w:noWrap/>
            <w:vAlign w:val="center"/>
            <w:hideMark/>
          </w:tcPr>
          <w:p w:rsidRPr="00BB5A01" w:rsidR="0002362F" w:rsidP="007E3E22" w:rsidRDefault="0002362F" w14:paraId="6EF5B3F0" w14:textId="77777777">
            <w:pPr>
              <w:tabs>
                <w:tab w:val="clear" w:pos="1152"/>
              </w:tabs>
              <w:spacing w:line="240" w:lineRule="auto"/>
              <w:jc w:val="center"/>
              <w:rPr>
                <w:color w:val="000000"/>
              </w:rPr>
            </w:pPr>
            <w:r w:rsidRPr="00BB5A01">
              <w:rPr>
                <w:color w:val="000000"/>
              </w:rPr>
              <w:t>0.017</w:t>
            </w:r>
          </w:p>
        </w:tc>
        <w:tc>
          <w:tcPr>
            <w:tcW w:w="1975" w:type="dxa"/>
            <w:shd w:val="clear" w:color="auto" w:fill="auto"/>
            <w:noWrap/>
            <w:vAlign w:val="center"/>
            <w:hideMark/>
          </w:tcPr>
          <w:p w:rsidRPr="00BB5A01" w:rsidR="0002362F" w:rsidP="007E3E22" w:rsidRDefault="0002362F" w14:paraId="6304F060" w14:textId="77777777">
            <w:pPr>
              <w:tabs>
                <w:tab w:val="clear" w:pos="1152"/>
              </w:tabs>
              <w:spacing w:line="240" w:lineRule="auto"/>
              <w:jc w:val="center"/>
              <w:rPr>
                <w:color w:val="000000"/>
              </w:rPr>
            </w:pPr>
            <w:r w:rsidRPr="00BB5A01">
              <w:rPr>
                <w:color w:val="000000"/>
              </w:rPr>
              <w:t>±1.02</w:t>
            </w:r>
          </w:p>
        </w:tc>
      </w:tr>
      <w:tr w:rsidRPr="00BB5A01" w:rsidR="0002362F" w:rsidTr="00346849" w14:paraId="46132D05" w14:textId="77777777">
        <w:trPr>
          <w:trHeight w:val="620"/>
        </w:trPr>
        <w:tc>
          <w:tcPr>
            <w:tcW w:w="3469" w:type="dxa"/>
            <w:shd w:val="clear" w:color="auto" w:fill="auto"/>
            <w:noWrap/>
            <w:vAlign w:val="center"/>
            <w:hideMark/>
          </w:tcPr>
          <w:p w:rsidRPr="00BB5A01" w:rsidR="0002362F" w:rsidP="007E3E22" w:rsidRDefault="0002362F" w14:paraId="77BCC3D5" w14:textId="77777777">
            <w:pPr>
              <w:tabs>
                <w:tab w:val="clear" w:pos="1152"/>
              </w:tabs>
              <w:spacing w:line="240" w:lineRule="auto"/>
              <w:rPr>
                <w:color w:val="000000"/>
              </w:rPr>
            </w:pPr>
            <w:r w:rsidRPr="00BB5A01">
              <w:rPr>
                <w:color w:val="000000"/>
              </w:rPr>
              <w:t>Average time spent on driving to a shop in an urban area</w:t>
            </w:r>
          </w:p>
        </w:tc>
        <w:tc>
          <w:tcPr>
            <w:tcW w:w="1926" w:type="dxa"/>
            <w:shd w:val="clear" w:color="auto" w:fill="auto"/>
            <w:noWrap/>
            <w:vAlign w:val="center"/>
            <w:hideMark/>
          </w:tcPr>
          <w:p w:rsidRPr="00BB5A01" w:rsidR="0002362F" w:rsidP="007E3E22" w:rsidRDefault="0002362F" w14:paraId="1FB1BDA3" w14:textId="77777777">
            <w:pPr>
              <w:tabs>
                <w:tab w:val="clear" w:pos="1152"/>
              </w:tabs>
              <w:spacing w:line="240" w:lineRule="auto"/>
              <w:jc w:val="center"/>
              <w:rPr>
                <w:color w:val="000000"/>
              </w:rPr>
            </w:pPr>
            <w:r>
              <w:rPr>
                <w:color w:val="000000"/>
              </w:rPr>
              <w:t>14.8 Minutes</w:t>
            </w:r>
          </w:p>
        </w:tc>
        <w:tc>
          <w:tcPr>
            <w:tcW w:w="1980" w:type="dxa"/>
            <w:shd w:val="clear" w:color="auto" w:fill="auto"/>
            <w:noWrap/>
            <w:vAlign w:val="center"/>
            <w:hideMark/>
          </w:tcPr>
          <w:p w:rsidRPr="00BB5A01" w:rsidR="0002362F" w:rsidP="007E3E22" w:rsidRDefault="0002362F" w14:paraId="00C4E86A" w14:textId="77777777">
            <w:pPr>
              <w:tabs>
                <w:tab w:val="clear" w:pos="1152"/>
              </w:tabs>
              <w:spacing w:line="240" w:lineRule="auto"/>
              <w:jc w:val="center"/>
              <w:rPr>
                <w:color w:val="000000"/>
              </w:rPr>
            </w:pPr>
            <w:r w:rsidRPr="00BB5A01">
              <w:rPr>
                <w:color w:val="000000"/>
              </w:rPr>
              <w:t>0.527</w:t>
            </w:r>
          </w:p>
        </w:tc>
        <w:tc>
          <w:tcPr>
            <w:tcW w:w="1975" w:type="dxa"/>
            <w:shd w:val="clear" w:color="auto" w:fill="auto"/>
            <w:noWrap/>
            <w:vAlign w:val="center"/>
            <w:hideMark/>
          </w:tcPr>
          <w:p w:rsidRPr="00BB5A01" w:rsidR="0002362F" w:rsidP="007E3E22" w:rsidRDefault="0002362F" w14:paraId="1D14E7F4" w14:textId="77777777">
            <w:pPr>
              <w:tabs>
                <w:tab w:val="clear" w:pos="1152"/>
              </w:tabs>
              <w:spacing w:line="240" w:lineRule="auto"/>
              <w:jc w:val="center"/>
              <w:rPr>
                <w:color w:val="000000"/>
              </w:rPr>
            </w:pPr>
            <w:r w:rsidRPr="00BB5A01">
              <w:rPr>
                <w:color w:val="000000"/>
              </w:rPr>
              <w:t>±3.56</w:t>
            </w:r>
          </w:p>
        </w:tc>
      </w:tr>
      <w:tr w:rsidRPr="00BB5A01" w:rsidR="0002362F" w:rsidTr="00346849" w14:paraId="44B84570" w14:textId="77777777">
        <w:trPr>
          <w:trHeight w:val="620"/>
        </w:trPr>
        <w:tc>
          <w:tcPr>
            <w:tcW w:w="3469" w:type="dxa"/>
            <w:shd w:val="clear" w:color="auto" w:fill="auto"/>
            <w:noWrap/>
            <w:vAlign w:val="center"/>
            <w:hideMark/>
          </w:tcPr>
          <w:p w:rsidRPr="00BB5A01" w:rsidR="0002362F" w:rsidP="007E3E22" w:rsidRDefault="0002362F" w14:paraId="68B2F2B1" w14:textId="77777777">
            <w:pPr>
              <w:tabs>
                <w:tab w:val="clear" w:pos="1152"/>
              </w:tabs>
              <w:spacing w:line="240" w:lineRule="auto"/>
              <w:rPr>
                <w:color w:val="000000"/>
              </w:rPr>
            </w:pPr>
            <w:r w:rsidRPr="00BB5A01">
              <w:rPr>
                <w:color w:val="000000"/>
              </w:rPr>
              <w:t>Average time spent driving on any trip (nationwide)</w:t>
            </w:r>
          </w:p>
        </w:tc>
        <w:tc>
          <w:tcPr>
            <w:tcW w:w="1926" w:type="dxa"/>
            <w:shd w:val="clear" w:color="auto" w:fill="auto"/>
            <w:noWrap/>
            <w:vAlign w:val="center"/>
            <w:hideMark/>
          </w:tcPr>
          <w:p w:rsidRPr="00BB5A01" w:rsidR="0002362F" w:rsidP="007E3E22" w:rsidRDefault="0002362F" w14:paraId="3415589A" w14:textId="77777777">
            <w:pPr>
              <w:tabs>
                <w:tab w:val="clear" w:pos="1152"/>
              </w:tabs>
              <w:spacing w:line="240" w:lineRule="auto"/>
              <w:jc w:val="center"/>
              <w:rPr>
                <w:color w:val="000000"/>
              </w:rPr>
            </w:pPr>
            <w:r>
              <w:rPr>
                <w:color w:val="000000"/>
              </w:rPr>
              <w:t>19.91 Minutes</w:t>
            </w:r>
          </w:p>
        </w:tc>
        <w:tc>
          <w:tcPr>
            <w:tcW w:w="1980" w:type="dxa"/>
            <w:shd w:val="clear" w:color="auto" w:fill="auto"/>
            <w:noWrap/>
            <w:vAlign w:val="center"/>
            <w:hideMark/>
          </w:tcPr>
          <w:p w:rsidRPr="00BB5A01" w:rsidR="0002362F" w:rsidP="007E3E22" w:rsidRDefault="0002362F" w14:paraId="31F4DFCB" w14:textId="77777777">
            <w:pPr>
              <w:tabs>
                <w:tab w:val="clear" w:pos="1152"/>
              </w:tabs>
              <w:spacing w:line="240" w:lineRule="auto"/>
              <w:jc w:val="center"/>
              <w:rPr>
                <w:color w:val="000000"/>
              </w:rPr>
            </w:pPr>
            <w:r w:rsidRPr="00BB5A01">
              <w:rPr>
                <w:color w:val="000000"/>
              </w:rPr>
              <w:t>0.238</w:t>
            </w:r>
          </w:p>
        </w:tc>
        <w:tc>
          <w:tcPr>
            <w:tcW w:w="1975" w:type="dxa"/>
            <w:shd w:val="clear" w:color="auto" w:fill="auto"/>
            <w:noWrap/>
            <w:vAlign w:val="center"/>
            <w:hideMark/>
          </w:tcPr>
          <w:p w:rsidRPr="00BB5A01" w:rsidR="0002362F" w:rsidP="007E3E22" w:rsidRDefault="0002362F" w14:paraId="1A3A2C0A" w14:textId="77777777">
            <w:pPr>
              <w:tabs>
                <w:tab w:val="clear" w:pos="1152"/>
              </w:tabs>
              <w:spacing w:line="240" w:lineRule="auto"/>
              <w:jc w:val="center"/>
              <w:rPr>
                <w:color w:val="000000"/>
              </w:rPr>
            </w:pPr>
            <w:r w:rsidRPr="00BB5A01">
              <w:rPr>
                <w:color w:val="000000"/>
              </w:rPr>
              <w:t>±1.19</w:t>
            </w:r>
          </w:p>
        </w:tc>
      </w:tr>
      <w:tr w:rsidRPr="00BB5A01" w:rsidR="0002362F" w:rsidTr="00346849" w14:paraId="14D06DF1" w14:textId="77777777">
        <w:trPr>
          <w:trHeight w:val="620"/>
        </w:trPr>
        <w:tc>
          <w:tcPr>
            <w:tcW w:w="3469" w:type="dxa"/>
            <w:shd w:val="clear" w:color="auto" w:fill="auto"/>
            <w:noWrap/>
            <w:vAlign w:val="center"/>
            <w:hideMark/>
          </w:tcPr>
          <w:p w:rsidRPr="00BB5A01" w:rsidR="0002362F" w:rsidP="007E3E22" w:rsidRDefault="0002362F" w14:paraId="6C4CB04D" w14:textId="77777777">
            <w:pPr>
              <w:tabs>
                <w:tab w:val="clear" w:pos="1152"/>
              </w:tabs>
              <w:spacing w:line="240" w:lineRule="auto"/>
              <w:rPr>
                <w:color w:val="000000"/>
              </w:rPr>
            </w:pPr>
            <w:r w:rsidRPr="00BB5A01">
              <w:rPr>
                <w:color w:val="000000"/>
              </w:rPr>
              <w:t>Average trip duration for motorcycle riders</w:t>
            </w:r>
          </w:p>
        </w:tc>
        <w:tc>
          <w:tcPr>
            <w:tcW w:w="1926" w:type="dxa"/>
            <w:shd w:val="clear" w:color="auto" w:fill="auto"/>
            <w:noWrap/>
            <w:vAlign w:val="center"/>
            <w:hideMark/>
          </w:tcPr>
          <w:p w:rsidRPr="00BB5A01" w:rsidR="0002362F" w:rsidP="007E3E22" w:rsidRDefault="0002362F" w14:paraId="55147946" w14:textId="77777777">
            <w:pPr>
              <w:tabs>
                <w:tab w:val="clear" w:pos="1152"/>
              </w:tabs>
              <w:spacing w:line="240" w:lineRule="auto"/>
              <w:jc w:val="center"/>
              <w:rPr>
                <w:color w:val="000000"/>
              </w:rPr>
            </w:pPr>
            <w:r>
              <w:rPr>
                <w:color w:val="000000"/>
              </w:rPr>
              <w:t>25 Minutes</w:t>
            </w:r>
          </w:p>
        </w:tc>
        <w:tc>
          <w:tcPr>
            <w:tcW w:w="1980" w:type="dxa"/>
            <w:shd w:val="clear" w:color="auto" w:fill="auto"/>
            <w:noWrap/>
            <w:vAlign w:val="center"/>
            <w:hideMark/>
          </w:tcPr>
          <w:p w:rsidRPr="00BB5A01" w:rsidR="0002362F" w:rsidP="007E3E22" w:rsidRDefault="0002362F" w14:paraId="0D7D63A6" w14:textId="77777777">
            <w:pPr>
              <w:tabs>
                <w:tab w:val="clear" w:pos="1152"/>
              </w:tabs>
              <w:spacing w:line="240" w:lineRule="auto"/>
              <w:jc w:val="center"/>
              <w:rPr>
                <w:color w:val="000000"/>
              </w:rPr>
            </w:pPr>
            <w:r w:rsidRPr="00BB5A01">
              <w:rPr>
                <w:color w:val="000000"/>
              </w:rPr>
              <w:t>2.633</w:t>
            </w:r>
          </w:p>
        </w:tc>
        <w:tc>
          <w:tcPr>
            <w:tcW w:w="1975" w:type="dxa"/>
            <w:shd w:val="clear" w:color="auto" w:fill="auto"/>
            <w:noWrap/>
            <w:vAlign w:val="center"/>
            <w:hideMark/>
          </w:tcPr>
          <w:p w:rsidRPr="00BB5A01" w:rsidR="0002362F" w:rsidP="007E3E22" w:rsidRDefault="0002362F" w14:paraId="1E649C64" w14:textId="77777777">
            <w:pPr>
              <w:tabs>
                <w:tab w:val="clear" w:pos="1152"/>
              </w:tabs>
              <w:spacing w:line="240" w:lineRule="auto"/>
              <w:jc w:val="center"/>
              <w:rPr>
                <w:color w:val="000000"/>
              </w:rPr>
            </w:pPr>
            <w:r w:rsidRPr="00BB5A01">
              <w:rPr>
                <w:color w:val="000000"/>
              </w:rPr>
              <w:t>±10.53</w:t>
            </w:r>
          </w:p>
        </w:tc>
      </w:tr>
      <w:tr w:rsidRPr="00BB5A01" w:rsidR="0002362F" w:rsidTr="007E3E22" w14:paraId="23742897" w14:textId="77777777">
        <w:trPr>
          <w:trHeight w:val="864"/>
        </w:trPr>
        <w:tc>
          <w:tcPr>
            <w:tcW w:w="3469" w:type="dxa"/>
            <w:shd w:val="clear" w:color="auto" w:fill="auto"/>
            <w:noWrap/>
            <w:vAlign w:val="center"/>
            <w:hideMark/>
          </w:tcPr>
          <w:p w:rsidRPr="00BB5A01" w:rsidR="0002362F" w:rsidP="007E3E22" w:rsidRDefault="0002362F" w14:paraId="1B166037" w14:textId="77777777">
            <w:pPr>
              <w:tabs>
                <w:tab w:val="clear" w:pos="1152"/>
              </w:tabs>
              <w:spacing w:line="240" w:lineRule="auto"/>
              <w:rPr>
                <w:color w:val="000000"/>
              </w:rPr>
            </w:pPr>
            <w:r w:rsidRPr="00BB5A01">
              <w:rPr>
                <w:color w:val="000000"/>
              </w:rPr>
              <w:t>Average daily vehicle miles driven for people not born in the United States</w:t>
            </w:r>
          </w:p>
        </w:tc>
        <w:tc>
          <w:tcPr>
            <w:tcW w:w="1926" w:type="dxa"/>
            <w:shd w:val="clear" w:color="auto" w:fill="auto"/>
            <w:noWrap/>
            <w:vAlign w:val="center"/>
            <w:hideMark/>
          </w:tcPr>
          <w:p w:rsidRPr="00BB5A01" w:rsidR="0002362F" w:rsidP="007E3E22" w:rsidRDefault="0002362F" w14:paraId="4475D128" w14:textId="77777777">
            <w:pPr>
              <w:tabs>
                <w:tab w:val="clear" w:pos="1152"/>
              </w:tabs>
              <w:spacing w:line="240" w:lineRule="auto"/>
              <w:jc w:val="center"/>
              <w:rPr>
                <w:color w:val="000000"/>
              </w:rPr>
            </w:pPr>
            <w:r>
              <w:rPr>
                <w:color w:val="000000"/>
              </w:rPr>
              <w:t>30.9 Miles</w:t>
            </w:r>
          </w:p>
        </w:tc>
        <w:tc>
          <w:tcPr>
            <w:tcW w:w="1980" w:type="dxa"/>
            <w:shd w:val="clear" w:color="auto" w:fill="auto"/>
            <w:noWrap/>
            <w:vAlign w:val="center"/>
            <w:hideMark/>
          </w:tcPr>
          <w:tbl>
            <w:tblPr>
              <w:tblW w:w="0" w:type="auto"/>
              <w:tblCellSpacing w:w="0" w:type="dxa"/>
              <w:tblCellMar>
                <w:left w:w="0" w:type="dxa"/>
                <w:right w:w="0" w:type="dxa"/>
              </w:tblCellMar>
              <w:tblLook w:val="04A0" w:firstRow="1" w:lastRow="0" w:firstColumn="1" w:lastColumn="0" w:noHBand="0" w:noVBand="1"/>
            </w:tblPr>
            <w:tblGrid>
              <w:gridCol w:w="923"/>
            </w:tblGrid>
            <w:tr w:rsidRPr="00BB5A01" w:rsidR="0002362F" w:rsidTr="007E3E22" w14:paraId="682ABB2C" w14:textId="77777777">
              <w:trPr>
                <w:trHeight w:val="276"/>
                <w:tblCellSpacing w:w="0" w:type="dxa"/>
              </w:trPr>
              <w:tc>
                <w:tcPr>
                  <w:tcW w:w="923" w:type="dxa"/>
                  <w:tcBorders>
                    <w:top w:val="nil"/>
                    <w:left w:val="nil"/>
                    <w:bottom w:val="nil"/>
                    <w:right w:val="nil"/>
                  </w:tcBorders>
                  <w:shd w:val="clear" w:color="auto" w:fill="auto"/>
                  <w:noWrap/>
                  <w:vAlign w:val="center"/>
                  <w:hideMark/>
                </w:tcPr>
                <w:p w:rsidRPr="00BB5A01" w:rsidR="0002362F" w:rsidP="007E3E22" w:rsidRDefault="0002362F" w14:paraId="76E5C7B1" w14:textId="77777777">
                  <w:pPr>
                    <w:tabs>
                      <w:tab w:val="clear" w:pos="1152"/>
                    </w:tabs>
                    <w:spacing w:line="240" w:lineRule="auto"/>
                    <w:jc w:val="center"/>
                    <w:rPr>
                      <w:color w:val="000000"/>
                    </w:rPr>
                  </w:pPr>
                  <w:r w:rsidRPr="00BB5A01">
                    <w:rPr>
                      <w:noProof/>
                      <w:color w:val="000000"/>
                    </w:rPr>
                    <mc:AlternateContent>
                      <mc:Choice Requires="wps">
                        <w:drawing>
                          <wp:anchor distT="0" distB="0" distL="114300" distR="114300" simplePos="0" relativeHeight="251661312" behindDoc="0" locked="0" layoutInCell="1" allowOverlap="1" wp14:editId="251F9AAF" wp14:anchorId="3A45DC42">
                            <wp:simplePos x="0" y="0"/>
                            <wp:positionH relativeFrom="column">
                              <wp:posOffset>0</wp:posOffset>
                            </wp:positionH>
                            <wp:positionV relativeFrom="paragraph">
                              <wp:posOffset>0</wp:posOffset>
                            </wp:positionV>
                            <wp:extent cx="7620" cy="167640"/>
                            <wp:effectExtent l="0" t="0" r="0" b="0"/>
                            <wp:wrapNone/>
                            <wp:docPr id="1" name="Text Box 1"/>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0701A7E">
                            <v:stroke joinstyle="miter"/>
                            <v:path gradientshapeok="t" o:connecttype="rect"/>
                          </v:shapetype>
                          <v:shape id="Text Box 1" style="position:absolute;margin-left:0;margin-top:0;width:.6pt;height:13.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">
                            <v:textbox style="mso-fit-shape-to-text:t" inset="0,0,0,0"/>
                          </v:shape>
                        </w:pict>
                      </mc:Fallback>
                    </mc:AlternateContent>
                  </w:r>
                  <w:r w:rsidRPr="00BB5A01">
                    <w:rPr>
                      <w:color w:val="000000"/>
                    </w:rPr>
                    <w:t>2.751</w:t>
                  </w:r>
                </w:p>
              </w:tc>
            </w:tr>
          </w:tbl>
          <w:p w:rsidRPr="00BB5A01" w:rsidR="0002362F" w:rsidP="007E3E22" w:rsidRDefault="0002362F" w14:paraId="4A5B7A26" w14:textId="77777777">
            <w:pPr>
              <w:tabs>
                <w:tab w:val="clear" w:pos="1152"/>
              </w:tabs>
              <w:spacing w:line="240" w:lineRule="auto"/>
              <w:jc w:val="center"/>
              <w:rPr>
                <w:color w:val="000000"/>
              </w:rPr>
            </w:pPr>
          </w:p>
        </w:tc>
        <w:tc>
          <w:tcPr>
            <w:tcW w:w="1975" w:type="dxa"/>
            <w:shd w:val="clear" w:color="auto" w:fill="auto"/>
            <w:noWrap/>
            <w:vAlign w:val="center"/>
            <w:hideMark/>
          </w:tcPr>
          <w:p w:rsidRPr="00BB5A01" w:rsidR="0002362F" w:rsidP="007E3E22" w:rsidRDefault="0002362F" w14:paraId="3269E49D" w14:textId="77777777">
            <w:pPr>
              <w:tabs>
                <w:tab w:val="clear" w:pos="1152"/>
              </w:tabs>
              <w:spacing w:line="240" w:lineRule="auto"/>
              <w:jc w:val="center"/>
              <w:rPr>
                <w:color w:val="000000"/>
              </w:rPr>
            </w:pPr>
            <w:r w:rsidRPr="00BB5A01">
              <w:rPr>
                <w:color w:val="000000"/>
              </w:rPr>
              <w:t>±8.90</w:t>
            </w:r>
          </w:p>
        </w:tc>
      </w:tr>
    </w:tbl>
    <w:p w:rsidRPr="00D23FE1" w:rsidR="0002362F" w:rsidP="00735EB7" w:rsidRDefault="0002362F" w14:paraId="46C0BA2E" w14:textId="77777777">
      <w:pPr>
        <w:widowControl w:val="0"/>
        <w:tabs>
          <w:tab w:val="clear" w:pos="1152"/>
        </w:tabs>
        <w:spacing w:before="120" w:after="120" w:line="240" w:lineRule="auto"/>
        <w:rPr>
          <w:sz w:val="24"/>
          <w:szCs w:val="20"/>
        </w:rPr>
      </w:pPr>
    </w:p>
    <w:p w:rsidRPr="00265EB9" w:rsidR="00735EB7" w:rsidP="00735EB7" w:rsidRDefault="00D96A33" w14:paraId="04309541" w14:textId="77777777">
      <w:pPr>
        <w:pStyle w:val="ListParagraph"/>
        <w:numPr>
          <w:ilvl w:val="0"/>
          <w:numId w:val="2"/>
        </w:numPr>
        <w:tabs>
          <w:tab w:val="clear" w:pos="1152"/>
        </w:tabs>
        <w:spacing w:before="240" w:after="120" w:line="240" w:lineRule="auto"/>
        <w:contextualSpacing w:val="0"/>
        <w:rPr>
          <w:b/>
          <w:sz w:val="28"/>
          <w:szCs w:val="24"/>
        </w:rPr>
      </w:pPr>
      <w:r w:rsidRPr="00265EB9">
        <w:rPr>
          <w:b/>
          <w:sz w:val="28"/>
          <w:szCs w:val="24"/>
        </w:rPr>
        <w:t>Data Collection Procedures</w:t>
      </w:r>
    </w:p>
    <w:p w:rsidRPr="00265EB9" w:rsidR="00735EB7" w:rsidP="004409BC" w:rsidRDefault="00735EB7" w14:paraId="56DA8B0B" w14:textId="77777777">
      <w:pPr>
        <w:pStyle w:val="ListParagraph"/>
        <w:numPr>
          <w:ilvl w:val="1"/>
          <w:numId w:val="2"/>
        </w:numPr>
        <w:tabs>
          <w:tab w:val="clear" w:pos="1152"/>
        </w:tabs>
        <w:spacing w:before="240" w:after="120" w:line="240" w:lineRule="auto"/>
        <w:ind w:left="720" w:hanging="720"/>
        <w:contextualSpacing w:val="0"/>
        <w:rPr>
          <w:b/>
          <w:sz w:val="24"/>
          <w:szCs w:val="24"/>
        </w:rPr>
      </w:pPr>
      <w:r w:rsidRPr="00265EB9">
        <w:rPr>
          <w:b/>
          <w:sz w:val="24"/>
          <w:szCs w:val="24"/>
        </w:rPr>
        <w:t xml:space="preserve">Survey </w:t>
      </w:r>
      <w:r w:rsidRPr="00265EB9" w:rsidR="00D96A33">
        <w:rPr>
          <w:b/>
          <w:sz w:val="24"/>
          <w:szCs w:val="24"/>
        </w:rPr>
        <w:t>Communication Protocol</w:t>
      </w:r>
    </w:p>
    <w:p w:rsidRPr="00265EB9" w:rsidR="00735EB7" w:rsidP="00735EB7" w:rsidRDefault="00735EB7" w14:paraId="19151A30" w14:textId="266B3420">
      <w:pPr>
        <w:spacing w:before="120" w:after="120" w:line="240" w:lineRule="auto"/>
        <w:rPr>
          <w:sz w:val="24"/>
          <w:szCs w:val="24"/>
        </w:rPr>
      </w:pPr>
      <w:r w:rsidRPr="00265EB9">
        <w:rPr>
          <w:sz w:val="24"/>
          <w:szCs w:val="24"/>
        </w:rPr>
        <w:t>The first communication</w:t>
      </w:r>
      <w:r w:rsidR="00E04EB7">
        <w:rPr>
          <w:sz w:val="24"/>
          <w:szCs w:val="24"/>
        </w:rPr>
        <w:t xml:space="preserve"> (Appendix 5)</w:t>
      </w:r>
      <w:r w:rsidRPr="00265EB9">
        <w:rPr>
          <w:sz w:val="24"/>
          <w:szCs w:val="24"/>
        </w:rPr>
        <w:t xml:space="preserve"> with </w:t>
      </w:r>
      <w:r w:rsidRPr="00265EB9" w:rsidR="004409BC">
        <w:rPr>
          <w:sz w:val="24"/>
          <w:szCs w:val="24"/>
        </w:rPr>
        <w:t xml:space="preserve">the KP sample households </w:t>
      </w:r>
      <w:r w:rsidRPr="00265EB9">
        <w:rPr>
          <w:sz w:val="24"/>
          <w:szCs w:val="24"/>
        </w:rPr>
        <w:t xml:space="preserve">will be a pre-notification email sent to panelists three days in advance of </w:t>
      </w:r>
      <w:r w:rsidRPr="00265EB9" w:rsidR="000A582F">
        <w:rPr>
          <w:sz w:val="24"/>
          <w:szCs w:val="24"/>
        </w:rPr>
        <w:t xml:space="preserve">their </w:t>
      </w:r>
      <w:r w:rsidRPr="00265EB9">
        <w:rPr>
          <w:sz w:val="24"/>
          <w:szCs w:val="24"/>
        </w:rPr>
        <w:t xml:space="preserve">assignment to the survey, alerting them to the impending invitation they will be </w:t>
      </w:r>
      <w:r w:rsidRPr="00265EB9" w:rsidR="004409BC">
        <w:rPr>
          <w:sz w:val="24"/>
          <w:szCs w:val="24"/>
        </w:rPr>
        <w:t>receiving about the</w:t>
      </w:r>
      <w:r w:rsidRPr="00265EB9">
        <w:rPr>
          <w:sz w:val="24"/>
          <w:szCs w:val="24"/>
        </w:rPr>
        <w:t xml:space="preserve"> travel</w:t>
      </w:r>
      <w:r w:rsidRPr="00265EB9" w:rsidR="004409BC">
        <w:rPr>
          <w:sz w:val="24"/>
          <w:szCs w:val="24"/>
        </w:rPr>
        <w:t xml:space="preserve"> survey</w:t>
      </w:r>
      <w:r w:rsidRPr="00265EB9">
        <w:rPr>
          <w:sz w:val="24"/>
          <w:szCs w:val="24"/>
        </w:rPr>
        <w:t>.</w:t>
      </w:r>
      <w:r w:rsidRPr="00265EB9" w:rsidR="00203937">
        <w:rPr>
          <w:sz w:val="24"/>
          <w:szCs w:val="24"/>
        </w:rPr>
        <w:t xml:space="preserve"> </w:t>
      </w:r>
      <w:r w:rsidRPr="00265EB9" w:rsidR="004409BC">
        <w:rPr>
          <w:sz w:val="24"/>
          <w:szCs w:val="24"/>
        </w:rPr>
        <w:t>Subsequently, an</w:t>
      </w:r>
      <w:r w:rsidRPr="00265EB9">
        <w:rPr>
          <w:sz w:val="24"/>
          <w:szCs w:val="24"/>
        </w:rPr>
        <w:t xml:space="preserve"> email</w:t>
      </w:r>
      <w:r w:rsidRPr="00265EB9" w:rsidR="004409BC">
        <w:rPr>
          <w:sz w:val="24"/>
          <w:szCs w:val="24"/>
        </w:rPr>
        <w:t xml:space="preserve"> invitation </w:t>
      </w:r>
      <w:r w:rsidR="00E04EB7">
        <w:rPr>
          <w:sz w:val="24"/>
          <w:szCs w:val="24"/>
        </w:rPr>
        <w:t xml:space="preserve">(Appendix 6) </w:t>
      </w:r>
      <w:r w:rsidRPr="00265EB9" w:rsidR="004409BC">
        <w:rPr>
          <w:sz w:val="24"/>
          <w:szCs w:val="24"/>
        </w:rPr>
        <w:t xml:space="preserve">will </w:t>
      </w:r>
      <w:r w:rsidRPr="00265EB9">
        <w:rPr>
          <w:sz w:val="24"/>
          <w:szCs w:val="24"/>
        </w:rPr>
        <w:t xml:space="preserve">alert them to </w:t>
      </w:r>
      <w:r w:rsidRPr="00265EB9" w:rsidR="004409BC">
        <w:rPr>
          <w:sz w:val="24"/>
          <w:szCs w:val="24"/>
        </w:rPr>
        <w:t xml:space="preserve">the assigned </w:t>
      </w:r>
      <w:r w:rsidRPr="00265EB9">
        <w:rPr>
          <w:sz w:val="24"/>
          <w:szCs w:val="24"/>
        </w:rPr>
        <w:t xml:space="preserve">survey </w:t>
      </w:r>
      <w:r w:rsidRPr="00265EB9" w:rsidR="004409BC">
        <w:rPr>
          <w:sz w:val="24"/>
          <w:szCs w:val="24"/>
        </w:rPr>
        <w:t>awaiting their completion</w:t>
      </w:r>
      <w:r w:rsidRPr="00265EB9">
        <w:rPr>
          <w:sz w:val="24"/>
          <w:szCs w:val="24"/>
        </w:rPr>
        <w:t>.</w:t>
      </w:r>
    </w:p>
    <w:p w:rsidRPr="00265EB9" w:rsidR="00735EB7" w:rsidP="00735EB7" w:rsidRDefault="00735EB7" w14:paraId="599A5A35" w14:textId="512147C8">
      <w:pPr>
        <w:tabs>
          <w:tab w:val="clear" w:pos="1152"/>
          <w:tab w:val="left" w:pos="720"/>
        </w:tabs>
        <w:spacing w:before="120" w:after="120" w:line="240" w:lineRule="auto"/>
        <w:rPr>
          <w:sz w:val="24"/>
          <w:szCs w:val="24"/>
        </w:rPr>
      </w:pPr>
      <w:r w:rsidRPr="00265EB9">
        <w:rPr>
          <w:sz w:val="24"/>
          <w:szCs w:val="24"/>
        </w:rPr>
        <w:t xml:space="preserve">The primary household respondent will complete a short roster to </w:t>
      </w:r>
      <w:r w:rsidR="00AA7DC6">
        <w:rPr>
          <w:sz w:val="24"/>
          <w:szCs w:val="24"/>
        </w:rPr>
        <w:t>provide</w:t>
      </w:r>
      <w:r w:rsidRPr="00265EB9" w:rsidR="00AA7DC6">
        <w:rPr>
          <w:sz w:val="24"/>
          <w:szCs w:val="24"/>
        </w:rPr>
        <w:t xml:space="preserve"> </w:t>
      </w:r>
      <w:r w:rsidRPr="00265EB9">
        <w:rPr>
          <w:sz w:val="24"/>
          <w:szCs w:val="24"/>
        </w:rPr>
        <w:t>key household information (e.g., enumeration of household members and vehicles).</w:t>
      </w:r>
      <w:r w:rsidRPr="00265EB9" w:rsidR="00203937">
        <w:rPr>
          <w:sz w:val="24"/>
          <w:szCs w:val="24"/>
        </w:rPr>
        <w:t xml:space="preserve"> </w:t>
      </w:r>
      <w:r w:rsidRPr="00265EB9">
        <w:rPr>
          <w:sz w:val="24"/>
          <w:szCs w:val="24"/>
        </w:rPr>
        <w:t xml:space="preserve">Once the household roster is complete, </w:t>
      </w:r>
      <w:r w:rsidR="00AA7DC6">
        <w:rPr>
          <w:sz w:val="24"/>
          <w:szCs w:val="24"/>
        </w:rPr>
        <w:t>household members will be asked to complete</w:t>
      </w:r>
      <w:r w:rsidRPr="00265EB9">
        <w:rPr>
          <w:sz w:val="24"/>
          <w:szCs w:val="24"/>
        </w:rPr>
        <w:t xml:space="preserve"> </w:t>
      </w:r>
      <w:r w:rsidR="00AA7DC6">
        <w:rPr>
          <w:sz w:val="24"/>
          <w:szCs w:val="24"/>
        </w:rPr>
        <w:t>a</w:t>
      </w:r>
      <w:r w:rsidRPr="00265EB9" w:rsidR="00AA7DC6">
        <w:rPr>
          <w:sz w:val="24"/>
          <w:szCs w:val="24"/>
        </w:rPr>
        <w:t xml:space="preserve"> </w:t>
      </w:r>
      <w:r w:rsidRPr="00265EB9">
        <w:rPr>
          <w:sz w:val="24"/>
          <w:szCs w:val="24"/>
        </w:rPr>
        <w:t>personal travel diary.</w:t>
      </w:r>
      <w:r w:rsidRPr="00265EB9" w:rsidR="00203937">
        <w:rPr>
          <w:sz w:val="24"/>
          <w:szCs w:val="24"/>
        </w:rPr>
        <w:t xml:space="preserve"> </w:t>
      </w:r>
      <w:r w:rsidRPr="00265EB9">
        <w:rPr>
          <w:sz w:val="24"/>
          <w:szCs w:val="24"/>
        </w:rPr>
        <w:t xml:space="preserve">The travel diary will collect all travel information about </w:t>
      </w:r>
      <w:r w:rsidR="00526252">
        <w:rPr>
          <w:sz w:val="24"/>
          <w:szCs w:val="24"/>
        </w:rPr>
        <w:t>the previous travel day</w:t>
      </w:r>
      <w:r w:rsidRPr="00265EB9">
        <w:rPr>
          <w:sz w:val="24"/>
          <w:szCs w:val="24"/>
        </w:rPr>
        <w:t xml:space="preserve"> from every household member 5 years of age and older. The primary respondent will be asked to first complete his or her diary for the prior day of travel and will then serve as a proxy responder for all children 5</w:t>
      </w:r>
      <w:r w:rsidRPr="00265EB9" w:rsidR="000A582F">
        <w:rPr>
          <w:sz w:val="24"/>
          <w:szCs w:val="24"/>
        </w:rPr>
        <w:t xml:space="preserve"> to </w:t>
      </w:r>
      <w:r w:rsidRPr="00265EB9">
        <w:rPr>
          <w:sz w:val="24"/>
          <w:szCs w:val="24"/>
        </w:rPr>
        <w:lastRenderedPageBreak/>
        <w:t xml:space="preserve">15 years old in the household. Upon completing their diary and any proxy reporting, they will be </w:t>
      </w:r>
      <w:r w:rsidRPr="00265EB9" w:rsidR="005B292D">
        <w:rPr>
          <w:sz w:val="24"/>
          <w:szCs w:val="24"/>
        </w:rPr>
        <w:t xml:space="preserve">prompted </w:t>
      </w:r>
      <w:r w:rsidRPr="00265EB9">
        <w:rPr>
          <w:sz w:val="24"/>
          <w:szCs w:val="24"/>
        </w:rPr>
        <w:t xml:space="preserve">to </w:t>
      </w:r>
      <w:r w:rsidRPr="00265EB9" w:rsidR="00286EC0">
        <w:rPr>
          <w:sz w:val="24"/>
          <w:szCs w:val="24"/>
        </w:rPr>
        <w:t xml:space="preserve">request that </w:t>
      </w:r>
      <w:r w:rsidRPr="00265EB9">
        <w:rPr>
          <w:sz w:val="24"/>
          <w:szCs w:val="24"/>
        </w:rPr>
        <w:t xml:space="preserve">all </w:t>
      </w:r>
      <w:r w:rsidRPr="00265EB9" w:rsidR="00286EC0">
        <w:rPr>
          <w:sz w:val="24"/>
          <w:szCs w:val="24"/>
        </w:rPr>
        <w:t xml:space="preserve">other </w:t>
      </w:r>
      <w:r w:rsidRPr="00265EB9">
        <w:rPr>
          <w:sz w:val="24"/>
          <w:szCs w:val="24"/>
        </w:rPr>
        <w:t xml:space="preserve">household members 16 and older </w:t>
      </w:r>
      <w:r w:rsidRPr="00265EB9" w:rsidR="00286EC0">
        <w:rPr>
          <w:sz w:val="24"/>
          <w:szCs w:val="24"/>
        </w:rPr>
        <w:t xml:space="preserve">complete </w:t>
      </w:r>
      <w:r w:rsidRPr="00265EB9">
        <w:rPr>
          <w:sz w:val="24"/>
          <w:szCs w:val="24"/>
        </w:rPr>
        <w:t>their own personal travel diaries.</w:t>
      </w:r>
    </w:p>
    <w:p w:rsidR="00735EB7" w:rsidP="00735EB7" w:rsidRDefault="00AE3860" w14:paraId="11839AFE" w14:textId="5CBE4562">
      <w:pPr>
        <w:spacing w:before="120" w:after="120" w:line="240" w:lineRule="auto"/>
        <w:rPr>
          <w:sz w:val="24"/>
          <w:szCs w:val="24"/>
        </w:rPr>
      </w:pPr>
      <w:r w:rsidRPr="00265EB9">
        <w:rPr>
          <w:sz w:val="24"/>
          <w:szCs w:val="24"/>
        </w:rPr>
        <w:t>R</w:t>
      </w:r>
      <w:r w:rsidRPr="00265EB9" w:rsidR="00735EB7">
        <w:rPr>
          <w:sz w:val="24"/>
          <w:szCs w:val="24"/>
        </w:rPr>
        <w:t>eminders</w:t>
      </w:r>
      <w:r w:rsidRPr="00265EB9">
        <w:rPr>
          <w:sz w:val="24"/>
          <w:szCs w:val="24"/>
        </w:rPr>
        <w:t xml:space="preserve"> to complete the survey</w:t>
      </w:r>
      <w:r w:rsidRPr="00265EB9" w:rsidR="00735EB7">
        <w:rPr>
          <w:sz w:val="24"/>
          <w:szCs w:val="24"/>
        </w:rPr>
        <w:t xml:space="preserve"> will be sent via email to </w:t>
      </w:r>
      <w:r w:rsidRPr="00265EB9">
        <w:rPr>
          <w:sz w:val="24"/>
          <w:szCs w:val="24"/>
        </w:rPr>
        <w:t xml:space="preserve">KP panelists who have not yet responded </w:t>
      </w:r>
      <w:r w:rsidRPr="00265EB9" w:rsidR="00735EB7">
        <w:rPr>
          <w:sz w:val="24"/>
          <w:szCs w:val="24"/>
        </w:rPr>
        <w:t xml:space="preserve">and </w:t>
      </w:r>
      <w:r w:rsidRPr="00265EB9" w:rsidR="00497A8B">
        <w:rPr>
          <w:sz w:val="24"/>
          <w:szCs w:val="24"/>
        </w:rPr>
        <w:t xml:space="preserve">to </w:t>
      </w:r>
      <w:r w:rsidRPr="00265EB9" w:rsidR="00735EB7">
        <w:rPr>
          <w:sz w:val="24"/>
          <w:szCs w:val="24"/>
        </w:rPr>
        <w:t>partial completes</w:t>
      </w:r>
      <w:r w:rsidR="00EB6460">
        <w:rPr>
          <w:sz w:val="24"/>
          <w:szCs w:val="24"/>
        </w:rPr>
        <w:t xml:space="preserve"> (Appendix </w:t>
      </w:r>
      <w:r w:rsidR="001B34D0">
        <w:rPr>
          <w:sz w:val="24"/>
          <w:szCs w:val="24"/>
        </w:rPr>
        <w:t>7</w:t>
      </w:r>
      <w:r w:rsidR="00EB6460">
        <w:rPr>
          <w:sz w:val="24"/>
          <w:szCs w:val="24"/>
        </w:rPr>
        <w:t>)</w:t>
      </w:r>
      <w:r w:rsidRPr="00265EB9" w:rsidR="00735EB7">
        <w:rPr>
          <w:sz w:val="24"/>
          <w:szCs w:val="24"/>
        </w:rPr>
        <w:t>. A partial complete is any household that has completed a portion of the recruitment</w:t>
      </w:r>
      <w:r w:rsidRPr="00265EB9" w:rsidR="00940CF3">
        <w:rPr>
          <w:sz w:val="24"/>
          <w:szCs w:val="24"/>
        </w:rPr>
        <w:t>, a portion of a</w:t>
      </w:r>
      <w:r w:rsidRPr="00265EB9" w:rsidR="00203937">
        <w:rPr>
          <w:sz w:val="24"/>
          <w:szCs w:val="24"/>
        </w:rPr>
        <w:t xml:space="preserve"> </w:t>
      </w:r>
      <w:r w:rsidRPr="00265EB9" w:rsidR="00735EB7">
        <w:rPr>
          <w:sz w:val="24"/>
          <w:szCs w:val="24"/>
        </w:rPr>
        <w:t>travel diar</w:t>
      </w:r>
      <w:r w:rsidRPr="00265EB9" w:rsidR="00940CF3">
        <w:rPr>
          <w:sz w:val="24"/>
          <w:szCs w:val="24"/>
        </w:rPr>
        <w:t xml:space="preserve">y, </w:t>
      </w:r>
      <w:r w:rsidR="00EB6460">
        <w:rPr>
          <w:sz w:val="24"/>
          <w:szCs w:val="24"/>
        </w:rPr>
        <w:t>and/</w:t>
      </w:r>
      <w:r w:rsidRPr="00265EB9" w:rsidR="00940CF3">
        <w:rPr>
          <w:sz w:val="24"/>
          <w:szCs w:val="24"/>
        </w:rPr>
        <w:t>or</w:t>
      </w:r>
      <w:r w:rsidRPr="00265EB9" w:rsidR="00203937">
        <w:rPr>
          <w:sz w:val="24"/>
          <w:szCs w:val="24"/>
        </w:rPr>
        <w:t xml:space="preserve"> </w:t>
      </w:r>
      <w:r w:rsidRPr="00265EB9" w:rsidR="00735EB7">
        <w:rPr>
          <w:sz w:val="24"/>
          <w:szCs w:val="24"/>
        </w:rPr>
        <w:t xml:space="preserve">some of </w:t>
      </w:r>
      <w:r w:rsidRPr="00265EB9" w:rsidR="00940CF3">
        <w:rPr>
          <w:sz w:val="24"/>
          <w:szCs w:val="24"/>
        </w:rPr>
        <w:t xml:space="preserve">a household’s </w:t>
      </w:r>
      <w:r w:rsidRPr="00265EB9" w:rsidR="00735EB7">
        <w:rPr>
          <w:sz w:val="24"/>
          <w:szCs w:val="24"/>
        </w:rPr>
        <w:t>travel diaries remain incomplete. Non</w:t>
      </w:r>
      <w:r w:rsidR="00D304C1">
        <w:rPr>
          <w:sz w:val="24"/>
          <w:szCs w:val="24"/>
        </w:rPr>
        <w:t>-</w:t>
      </w:r>
      <w:r w:rsidRPr="00265EB9" w:rsidR="00735EB7">
        <w:rPr>
          <w:sz w:val="24"/>
          <w:szCs w:val="24"/>
        </w:rPr>
        <w:t>respondents and households with partial completes will be sent two reminder emails to prompt response. In a typical KP study, completion rates of 55 to 60 percent are secured with just one reminder. With the added complexity of securing completes from all household members 5 and older, a second reminder will be sent for t</w:t>
      </w:r>
      <w:r w:rsidRPr="00265EB9" w:rsidR="00D83BA4">
        <w:rPr>
          <w:sz w:val="24"/>
          <w:szCs w:val="24"/>
        </w:rPr>
        <w:t>his survey</w:t>
      </w:r>
      <w:r w:rsidRPr="00265EB9" w:rsidR="00735EB7">
        <w:rPr>
          <w:sz w:val="24"/>
          <w:szCs w:val="24"/>
        </w:rPr>
        <w:t>. At the second reminder email</w:t>
      </w:r>
      <w:r w:rsidR="001E2AF4">
        <w:rPr>
          <w:sz w:val="24"/>
          <w:szCs w:val="24"/>
        </w:rPr>
        <w:t xml:space="preserve"> (Appendix </w:t>
      </w:r>
      <w:r w:rsidR="00054F3A">
        <w:rPr>
          <w:sz w:val="24"/>
          <w:szCs w:val="24"/>
        </w:rPr>
        <w:t>8)</w:t>
      </w:r>
      <w:r w:rsidRPr="00265EB9" w:rsidR="00735EB7">
        <w:rPr>
          <w:sz w:val="24"/>
          <w:szCs w:val="24"/>
        </w:rPr>
        <w:t>, the primary respondent will be asked to serve as a proxy respondent for any household diaries that remain incomplete. Additional reminder emails may be sent to households that have partially completed the study and are close to becoming a complete to nudge them over the finish line.</w:t>
      </w:r>
    </w:p>
    <w:p w:rsidRPr="00265EB9" w:rsidR="00936BC2" w:rsidP="00E627CE" w:rsidRDefault="00936BC2" w14:paraId="0A78AC0D" w14:textId="2E60AE71">
      <w:pPr>
        <w:tabs>
          <w:tab w:val="clear" w:pos="1152"/>
          <w:tab w:val="left" w:pos="720"/>
        </w:tabs>
        <w:spacing w:before="120" w:after="120" w:line="240" w:lineRule="auto"/>
        <w:rPr>
          <w:sz w:val="24"/>
          <w:szCs w:val="24"/>
        </w:rPr>
      </w:pPr>
      <w:bookmarkStart w:name="_Hlk38558414" w:id="1"/>
      <w:r w:rsidRPr="00A67E4F">
        <w:rPr>
          <w:sz w:val="24"/>
          <w:szCs w:val="24"/>
        </w:rPr>
        <w:t xml:space="preserve">Using primary household member as proxy reporters is a continuation of previous NHTS study protocols.  The circumstances for allowing proxy reports has varied based on the primary mode of data collection (e.g., face to face, telephone, or web).  On recent NHTS studies, primary respondents have generally been tasked with providing proxy reports on person-level details for all household members 15 years of age or younger.  Roughly 60% of all respondents completed the 2017 NHTS Retrieval Survey via web. For the web version of the 2017 NHTS Retrieval Survey, all household members 16 years of age or older were encouraged to provide direct reports on person-level details.  Proxy reports were permitted </w:t>
      </w:r>
      <w:r w:rsidRPr="00A67E4F" w:rsidR="00193F74">
        <w:rPr>
          <w:sz w:val="24"/>
          <w:szCs w:val="24"/>
        </w:rPr>
        <w:t xml:space="preserve">for web users </w:t>
      </w:r>
      <w:r w:rsidRPr="00A67E4F">
        <w:rPr>
          <w:sz w:val="24"/>
          <w:szCs w:val="24"/>
        </w:rPr>
        <w:t>if these household members were unavailable or unable to respond. While respondents were able to indicate whom was reporting the person-level details (e.g., an individual or proxy report), the 2017 NHTS User Guide concedes the true level of proxy reports cannot be known.  The 2020 NHTS Study largely adopts the previous proxy reporting approach used in the 2017 NHTS to ensure continuity.</w:t>
      </w:r>
      <w:r>
        <w:rPr>
          <w:sz w:val="24"/>
          <w:szCs w:val="24"/>
        </w:rPr>
        <w:t xml:space="preserve">  </w:t>
      </w:r>
    </w:p>
    <w:bookmarkEnd w:id="1"/>
    <w:p w:rsidRPr="00265EB9" w:rsidR="00735EB7" w:rsidP="00735EB7" w:rsidRDefault="00735EB7" w14:paraId="00DDBFCB" w14:textId="0D2E24D0">
      <w:pPr>
        <w:spacing w:before="120" w:after="120" w:line="240" w:lineRule="auto"/>
        <w:rPr>
          <w:sz w:val="24"/>
          <w:szCs w:val="24"/>
        </w:rPr>
      </w:pPr>
      <w:r w:rsidRPr="00265EB9">
        <w:rPr>
          <w:sz w:val="24"/>
          <w:szCs w:val="24"/>
        </w:rPr>
        <w:t>All K</w:t>
      </w:r>
      <w:r w:rsidRPr="00265EB9" w:rsidR="00D83BA4">
        <w:rPr>
          <w:sz w:val="24"/>
          <w:szCs w:val="24"/>
        </w:rPr>
        <w:t>P</w:t>
      </w:r>
      <w:r w:rsidRPr="00265EB9">
        <w:rPr>
          <w:sz w:val="24"/>
          <w:szCs w:val="24"/>
        </w:rPr>
        <w:t xml:space="preserve"> surveys include </w:t>
      </w:r>
      <w:r w:rsidRPr="00265EB9" w:rsidR="003D28AA">
        <w:rPr>
          <w:sz w:val="24"/>
          <w:szCs w:val="24"/>
        </w:rPr>
        <w:t xml:space="preserve">contact information for a </w:t>
      </w:r>
      <w:r w:rsidRPr="00265EB9">
        <w:rPr>
          <w:sz w:val="24"/>
          <w:szCs w:val="24"/>
        </w:rPr>
        <w:t>Help</w:t>
      </w:r>
      <w:r w:rsidRPr="00265EB9" w:rsidR="00D83BA4">
        <w:rPr>
          <w:sz w:val="24"/>
          <w:szCs w:val="24"/>
        </w:rPr>
        <w:t>d</w:t>
      </w:r>
      <w:r w:rsidRPr="00265EB9">
        <w:rPr>
          <w:sz w:val="24"/>
          <w:szCs w:val="24"/>
        </w:rPr>
        <w:t>esk</w:t>
      </w:r>
      <w:r w:rsidRPr="00265EB9" w:rsidR="003D28AA">
        <w:rPr>
          <w:sz w:val="24"/>
          <w:szCs w:val="24"/>
        </w:rPr>
        <w:t xml:space="preserve"> </w:t>
      </w:r>
      <w:r w:rsidRPr="00265EB9">
        <w:rPr>
          <w:sz w:val="24"/>
          <w:szCs w:val="24"/>
        </w:rPr>
        <w:t>that respondents can call or email with any questions or concerns about the survey.</w:t>
      </w:r>
      <w:r w:rsidRPr="00265EB9" w:rsidR="00203937">
        <w:rPr>
          <w:sz w:val="24"/>
          <w:szCs w:val="24"/>
        </w:rPr>
        <w:t xml:space="preserve"> </w:t>
      </w:r>
      <w:r w:rsidRPr="00265EB9">
        <w:rPr>
          <w:sz w:val="24"/>
          <w:szCs w:val="24"/>
        </w:rPr>
        <w:t>The Help</w:t>
      </w:r>
      <w:r w:rsidRPr="00265EB9" w:rsidR="00D83BA4">
        <w:rPr>
          <w:sz w:val="24"/>
          <w:szCs w:val="24"/>
        </w:rPr>
        <w:t>d</w:t>
      </w:r>
      <w:r w:rsidRPr="00265EB9">
        <w:rPr>
          <w:sz w:val="24"/>
          <w:szCs w:val="24"/>
        </w:rPr>
        <w:t xml:space="preserve">esk </w:t>
      </w:r>
      <w:r w:rsidRPr="00265EB9" w:rsidR="00D83BA4">
        <w:rPr>
          <w:sz w:val="24"/>
          <w:szCs w:val="24"/>
        </w:rPr>
        <w:t xml:space="preserve">staff </w:t>
      </w:r>
      <w:r w:rsidRPr="00265EB9">
        <w:rPr>
          <w:sz w:val="24"/>
          <w:szCs w:val="24"/>
        </w:rPr>
        <w:t xml:space="preserve">will be trained on the NHTS and provided with a list of </w:t>
      </w:r>
      <w:r w:rsidR="004C7235">
        <w:rPr>
          <w:sz w:val="24"/>
          <w:szCs w:val="24"/>
        </w:rPr>
        <w:t>f</w:t>
      </w:r>
      <w:r w:rsidRPr="00265EB9" w:rsidR="004C7235">
        <w:rPr>
          <w:sz w:val="24"/>
          <w:szCs w:val="24"/>
        </w:rPr>
        <w:t xml:space="preserve">requently </w:t>
      </w:r>
      <w:r w:rsidR="004C7235">
        <w:rPr>
          <w:sz w:val="24"/>
          <w:szCs w:val="24"/>
        </w:rPr>
        <w:t>a</w:t>
      </w:r>
      <w:r w:rsidRPr="00265EB9" w:rsidR="004C7235">
        <w:rPr>
          <w:sz w:val="24"/>
          <w:szCs w:val="24"/>
        </w:rPr>
        <w:t xml:space="preserve">sked </w:t>
      </w:r>
      <w:r w:rsidR="004C7235">
        <w:rPr>
          <w:sz w:val="24"/>
          <w:szCs w:val="24"/>
        </w:rPr>
        <w:t>q</w:t>
      </w:r>
      <w:r w:rsidRPr="00265EB9" w:rsidR="004C7235">
        <w:rPr>
          <w:sz w:val="24"/>
          <w:szCs w:val="24"/>
        </w:rPr>
        <w:t xml:space="preserve">uestions </w:t>
      </w:r>
      <w:r w:rsidRPr="00265EB9">
        <w:rPr>
          <w:sz w:val="24"/>
          <w:szCs w:val="24"/>
        </w:rPr>
        <w:t>to help them respond to panelists who call or email</w:t>
      </w:r>
      <w:r w:rsidRPr="00265EB9" w:rsidR="00D83BA4">
        <w:rPr>
          <w:sz w:val="24"/>
          <w:szCs w:val="24"/>
        </w:rPr>
        <w:t xml:space="preserve"> with questions.</w:t>
      </w:r>
    </w:p>
    <w:p w:rsidRPr="00265EB9" w:rsidR="008B28D1" w:rsidP="00D96A33" w:rsidRDefault="008B28D1" w14:paraId="56138717" w14:textId="77777777">
      <w:pPr>
        <w:pStyle w:val="ListParagraph"/>
        <w:numPr>
          <w:ilvl w:val="1"/>
          <w:numId w:val="2"/>
        </w:numPr>
        <w:tabs>
          <w:tab w:val="clear" w:pos="1152"/>
        </w:tabs>
        <w:spacing w:before="240" w:after="120" w:line="240" w:lineRule="auto"/>
        <w:ind w:left="720" w:hanging="720"/>
        <w:contextualSpacing w:val="0"/>
        <w:rPr>
          <w:b/>
          <w:sz w:val="24"/>
          <w:szCs w:val="24"/>
        </w:rPr>
      </w:pPr>
      <w:r w:rsidRPr="00265EB9">
        <w:rPr>
          <w:b/>
          <w:sz w:val="24"/>
          <w:szCs w:val="24"/>
        </w:rPr>
        <w:t>Estimation Methodology</w:t>
      </w:r>
    </w:p>
    <w:p w:rsidRPr="00D23FE1" w:rsidR="008B28D1" w:rsidP="008B28D1" w:rsidRDefault="008B28D1" w14:paraId="46326DF9" w14:textId="410C4DA5">
      <w:pPr>
        <w:spacing w:before="120" w:after="120" w:line="240" w:lineRule="auto"/>
        <w:rPr>
          <w:sz w:val="24"/>
        </w:rPr>
      </w:pPr>
      <w:r w:rsidRPr="00D23FE1">
        <w:rPr>
          <w:sz w:val="24"/>
        </w:rPr>
        <w:t xml:space="preserve">The data collected </w:t>
      </w:r>
      <w:r w:rsidRPr="00D23FE1" w:rsidR="009F72BA">
        <w:rPr>
          <w:sz w:val="24"/>
        </w:rPr>
        <w:t>under</w:t>
      </w:r>
      <w:r w:rsidRPr="00D23FE1">
        <w:rPr>
          <w:sz w:val="24"/>
        </w:rPr>
        <w:t xml:space="preserve"> the above protocol, once appropriately weighted, will accommodate the various reporting needs of the D</w:t>
      </w:r>
      <w:r w:rsidRPr="00D23FE1" w:rsidR="009F72BA">
        <w:rPr>
          <w:sz w:val="24"/>
        </w:rPr>
        <w:t>O</w:t>
      </w:r>
      <w:r w:rsidRPr="00D23FE1">
        <w:rPr>
          <w:sz w:val="24"/>
        </w:rPr>
        <w:t>T and other data users</w:t>
      </w:r>
      <w:r w:rsidRPr="00D23FE1" w:rsidR="00744360">
        <w:rPr>
          <w:sz w:val="24"/>
        </w:rPr>
        <w:t>.</w:t>
      </w:r>
      <w:r w:rsidRPr="00D23FE1" w:rsidR="00203937">
        <w:rPr>
          <w:sz w:val="24"/>
        </w:rPr>
        <w:t xml:space="preserve"> </w:t>
      </w:r>
      <w:r w:rsidRPr="00D23FE1">
        <w:rPr>
          <w:sz w:val="24"/>
        </w:rPr>
        <w:t>Analogous to prior administrations, several weight components will be provided to allow users to produce different estimates of interest</w:t>
      </w:r>
      <w:r w:rsidRPr="009F422D" w:rsidR="00744360">
        <w:rPr>
          <w:sz w:val="24"/>
        </w:rPr>
        <w:t>.</w:t>
      </w:r>
      <w:r w:rsidRPr="009F422D" w:rsidR="00203937">
        <w:rPr>
          <w:sz w:val="24"/>
        </w:rPr>
        <w:t xml:space="preserve"> </w:t>
      </w:r>
      <w:r w:rsidRPr="009F422D">
        <w:rPr>
          <w:sz w:val="24"/>
        </w:rPr>
        <w:t xml:space="preserve">That is, Household- and Person-level weights will be produced as well as other weights for reporting at the </w:t>
      </w:r>
      <w:r w:rsidR="004C7235">
        <w:rPr>
          <w:sz w:val="24"/>
        </w:rPr>
        <w:t>v</w:t>
      </w:r>
      <w:r w:rsidRPr="009F422D" w:rsidR="004C7235">
        <w:rPr>
          <w:sz w:val="24"/>
        </w:rPr>
        <w:t xml:space="preserve">ehicle </w:t>
      </w:r>
      <w:r w:rsidRPr="009F422D">
        <w:rPr>
          <w:sz w:val="24"/>
        </w:rPr>
        <w:t xml:space="preserve">and </w:t>
      </w:r>
      <w:r w:rsidR="004C7235">
        <w:rPr>
          <w:sz w:val="24"/>
        </w:rPr>
        <w:t>t</w:t>
      </w:r>
      <w:r w:rsidRPr="009F422D" w:rsidR="004C7235">
        <w:rPr>
          <w:sz w:val="24"/>
        </w:rPr>
        <w:t xml:space="preserve">rip </w:t>
      </w:r>
      <w:r w:rsidRPr="009F422D">
        <w:rPr>
          <w:sz w:val="24"/>
        </w:rPr>
        <w:t>levels</w:t>
      </w:r>
      <w:r w:rsidRPr="009F422D" w:rsidR="00877959">
        <w:rPr>
          <w:sz w:val="24"/>
        </w:rPr>
        <w:t xml:space="preserve"> and </w:t>
      </w:r>
      <w:r w:rsidRPr="00265EB9" w:rsidR="00877959">
        <w:rPr>
          <w:sz w:val="24"/>
        </w:rPr>
        <w:t>annualized long-distance travel estimates</w:t>
      </w:r>
      <w:r w:rsidRPr="00D23FE1">
        <w:rPr>
          <w:sz w:val="24"/>
        </w:rPr>
        <w:t>.</w:t>
      </w:r>
    </w:p>
    <w:p w:rsidRPr="009F422D" w:rsidR="008B28D1" w:rsidP="00BB7434" w:rsidRDefault="008B28D1" w14:paraId="17B1CEFD" w14:textId="6C76610A">
      <w:pPr>
        <w:widowControl w:val="0"/>
        <w:spacing w:before="60" w:after="60" w:line="240" w:lineRule="auto"/>
        <w:rPr>
          <w:sz w:val="24"/>
        </w:rPr>
      </w:pPr>
      <w:r w:rsidRPr="00D23FE1">
        <w:rPr>
          <w:sz w:val="24"/>
        </w:rPr>
        <w:t>Virtually all survey data must be weighted before they can be used to produce unbiased estimates of population parameters</w:t>
      </w:r>
      <w:r w:rsidRPr="00D23FE1" w:rsidR="00744360">
        <w:rPr>
          <w:sz w:val="24"/>
        </w:rPr>
        <w:t>.</w:t>
      </w:r>
      <w:r w:rsidRPr="00D23FE1" w:rsidR="00203937">
        <w:rPr>
          <w:sz w:val="24"/>
        </w:rPr>
        <w:t xml:space="preserve"> </w:t>
      </w:r>
      <w:r w:rsidRPr="00D23FE1">
        <w:rPr>
          <w:sz w:val="24"/>
        </w:rPr>
        <w:t xml:space="preserve">While reflecting the selection probabilities of sampled units, weighting attempts to compensate for practical limitations of sample surveys, such as differential nonresponse and </w:t>
      </w:r>
      <w:r w:rsidRPr="00D23FE1" w:rsidR="00D62AD1">
        <w:rPr>
          <w:sz w:val="24"/>
        </w:rPr>
        <w:t xml:space="preserve">population </w:t>
      </w:r>
      <w:r w:rsidRPr="00D23FE1">
        <w:rPr>
          <w:sz w:val="24"/>
        </w:rPr>
        <w:t>undercoverage</w:t>
      </w:r>
      <w:r w:rsidRPr="00D23FE1" w:rsidR="004515BF">
        <w:rPr>
          <w:sz w:val="24"/>
        </w:rPr>
        <w:t>,</w:t>
      </w:r>
      <w:r w:rsidRPr="009F422D" w:rsidR="007C2E0A">
        <w:rPr>
          <w:sz w:val="24"/>
        </w:rPr>
        <w:t xml:space="preserve"> </w:t>
      </w:r>
      <w:r w:rsidRPr="00D23FE1" w:rsidR="004515BF">
        <w:rPr>
          <w:sz w:val="24"/>
        </w:rPr>
        <w:t>b</w:t>
      </w:r>
      <w:r w:rsidRPr="00D23FE1">
        <w:rPr>
          <w:sz w:val="24"/>
        </w:rPr>
        <w:t xml:space="preserve">y taking advantage of auxiliary information available </w:t>
      </w:r>
      <w:r w:rsidRPr="00D23FE1" w:rsidR="00FB4290">
        <w:rPr>
          <w:sz w:val="24"/>
        </w:rPr>
        <w:t xml:space="preserve">about </w:t>
      </w:r>
      <w:r w:rsidRPr="00D23FE1">
        <w:rPr>
          <w:sz w:val="24"/>
        </w:rPr>
        <w:t>the target population</w:t>
      </w:r>
      <w:r w:rsidRPr="00D23FE1" w:rsidR="00FB4290">
        <w:rPr>
          <w:sz w:val="24"/>
        </w:rPr>
        <w:t xml:space="preserve">. The </w:t>
      </w:r>
      <w:r w:rsidRPr="00D23FE1" w:rsidR="00336DD9">
        <w:rPr>
          <w:sz w:val="24"/>
        </w:rPr>
        <w:t xml:space="preserve">2020 </w:t>
      </w:r>
      <w:r w:rsidRPr="00D23FE1" w:rsidR="00FB4290">
        <w:rPr>
          <w:sz w:val="24"/>
        </w:rPr>
        <w:t xml:space="preserve">NHTS </w:t>
      </w:r>
      <w:r w:rsidRPr="00D23FE1">
        <w:rPr>
          <w:sz w:val="24"/>
        </w:rPr>
        <w:t xml:space="preserve">weighting </w:t>
      </w:r>
      <w:r w:rsidRPr="00D23FE1" w:rsidR="003673A9">
        <w:rPr>
          <w:sz w:val="24"/>
        </w:rPr>
        <w:t xml:space="preserve">methodology </w:t>
      </w:r>
      <w:r w:rsidRPr="00D23FE1" w:rsidR="00FB4290">
        <w:rPr>
          <w:sz w:val="24"/>
        </w:rPr>
        <w:t xml:space="preserve">will </w:t>
      </w:r>
      <w:r w:rsidRPr="00D23FE1">
        <w:rPr>
          <w:sz w:val="24"/>
        </w:rPr>
        <w:t>improve the external validity of survey estimates by improving the representation of survey respondents</w:t>
      </w:r>
      <w:r w:rsidRPr="009F422D" w:rsidR="00744360">
        <w:rPr>
          <w:sz w:val="24"/>
        </w:rPr>
        <w:t>.</w:t>
      </w:r>
      <w:r w:rsidRPr="009F422D" w:rsidR="00203937">
        <w:rPr>
          <w:sz w:val="24"/>
        </w:rPr>
        <w:t xml:space="preserve"> </w:t>
      </w:r>
      <w:r w:rsidRPr="009F422D">
        <w:rPr>
          <w:sz w:val="24"/>
        </w:rPr>
        <w:t>The weighting process for this survey</w:t>
      </w:r>
      <w:r w:rsidRPr="009F422D" w:rsidR="00877959">
        <w:rPr>
          <w:sz w:val="24"/>
        </w:rPr>
        <w:t>, which starts by computing a set of household-level weights,</w:t>
      </w:r>
      <w:r w:rsidRPr="009F422D">
        <w:rPr>
          <w:sz w:val="24"/>
        </w:rPr>
        <w:t xml:space="preserve"> </w:t>
      </w:r>
      <w:r w:rsidRPr="009F422D">
        <w:rPr>
          <w:sz w:val="24"/>
        </w:rPr>
        <w:lastRenderedPageBreak/>
        <w:t>will entail several steps as outlined next.</w:t>
      </w:r>
    </w:p>
    <w:p w:rsidRPr="00571EFD" w:rsidR="008B28D1" w:rsidP="00571EFD" w:rsidRDefault="008B28D1" w14:paraId="1B5E781C" w14:textId="77777777">
      <w:pPr>
        <w:pStyle w:val="Default"/>
        <w:numPr>
          <w:ilvl w:val="0"/>
          <w:numId w:val="16"/>
        </w:numPr>
        <w:ind w:left="720"/>
        <w:rPr>
          <w:color w:val="auto"/>
        </w:rPr>
      </w:pPr>
      <w:r w:rsidRPr="00571EFD">
        <w:rPr>
          <w:color w:val="auto"/>
        </w:rPr>
        <w:t>In the first step, household-level design weights will be computed to reflect the selection probabilities for those assigned to this survey.</w:t>
      </w:r>
    </w:p>
    <w:p w:rsidRPr="00571EFD" w:rsidR="008B28D1" w:rsidP="00571EFD" w:rsidRDefault="008B28D1" w14:paraId="1232867E" w14:textId="14759BCB">
      <w:pPr>
        <w:pStyle w:val="Default"/>
        <w:numPr>
          <w:ilvl w:val="0"/>
          <w:numId w:val="16"/>
        </w:numPr>
        <w:ind w:left="720"/>
        <w:rPr>
          <w:color w:val="auto"/>
        </w:rPr>
      </w:pPr>
      <w:r w:rsidRPr="00571EFD">
        <w:rPr>
          <w:color w:val="auto"/>
        </w:rPr>
        <w:t>In the second step, design weights will be adjusted for nonresponse within homogeneous c</w:t>
      </w:r>
      <w:r w:rsidRPr="00571EFD" w:rsidR="00E7620F">
        <w:rPr>
          <w:color w:val="auto"/>
        </w:rPr>
        <w:t>lusters</w:t>
      </w:r>
      <w:r w:rsidRPr="00571EFD">
        <w:rPr>
          <w:color w:val="auto"/>
        </w:rPr>
        <w:t xml:space="preserve"> </w:t>
      </w:r>
      <w:r w:rsidRPr="00571EFD" w:rsidR="00E7620F">
        <w:rPr>
          <w:color w:val="auto"/>
        </w:rPr>
        <w:t xml:space="preserve">of households </w:t>
      </w:r>
      <w:r w:rsidRPr="00571EFD" w:rsidR="00744360">
        <w:rPr>
          <w:color w:val="auto"/>
        </w:rPr>
        <w:t>or</w:t>
      </w:r>
      <w:r w:rsidRPr="00571EFD" w:rsidR="00E7620F">
        <w:rPr>
          <w:color w:val="auto"/>
        </w:rPr>
        <w:t xml:space="preserve"> individuals </w:t>
      </w:r>
      <w:r w:rsidRPr="00571EFD">
        <w:rPr>
          <w:color w:val="auto"/>
        </w:rPr>
        <w:t>where specific nonresponse patterns have been observed</w:t>
      </w:r>
      <w:r w:rsidRPr="00571EFD" w:rsidR="00744360">
        <w:rPr>
          <w:color w:val="auto"/>
        </w:rPr>
        <w:t>. T</w:t>
      </w:r>
      <w:r w:rsidRPr="00571EFD" w:rsidR="00E27AF1">
        <w:rPr>
          <w:color w:val="auto"/>
        </w:rPr>
        <w:t xml:space="preserve">his adjustment process will be guided by </w:t>
      </w:r>
      <w:r w:rsidRPr="00571EFD" w:rsidR="00E7620F">
        <w:rPr>
          <w:color w:val="auto"/>
        </w:rPr>
        <w:t xml:space="preserve">findings from </w:t>
      </w:r>
      <w:r w:rsidRPr="00571EFD" w:rsidR="00E27AF1">
        <w:rPr>
          <w:color w:val="auto"/>
        </w:rPr>
        <w:t xml:space="preserve">a nonresponse </w:t>
      </w:r>
      <w:r w:rsidRPr="00571EFD" w:rsidR="00E7620F">
        <w:rPr>
          <w:color w:val="auto"/>
        </w:rPr>
        <w:t>follow-up investigation</w:t>
      </w:r>
      <w:r w:rsidRPr="00571EFD" w:rsidR="00744360">
        <w:rPr>
          <w:color w:val="auto"/>
        </w:rPr>
        <w:t>, detailed in the next section,</w:t>
      </w:r>
      <w:r w:rsidRPr="00571EFD" w:rsidR="00E7620F">
        <w:rPr>
          <w:color w:val="auto"/>
        </w:rPr>
        <w:t xml:space="preserve"> that will be conducted to assess nonresponse bias</w:t>
      </w:r>
      <w:r w:rsidRPr="00571EFD" w:rsidR="00744360">
        <w:rPr>
          <w:color w:val="auto"/>
        </w:rPr>
        <w:t>.</w:t>
      </w:r>
      <w:r w:rsidRPr="00571EFD" w:rsidR="00203937">
        <w:rPr>
          <w:color w:val="auto"/>
        </w:rPr>
        <w:t xml:space="preserve"> </w:t>
      </w:r>
      <w:r w:rsidRPr="00571EFD" w:rsidR="00E7620F">
        <w:rPr>
          <w:color w:val="auto"/>
        </w:rPr>
        <w:t xml:space="preserve">Moreover, </w:t>
      </w:r>
      <w:r w:rsidRPr="00571EFD">
        <w:rPr>
          <w:color w:val="auto"/>
        </w:rPr>
        <w:t xml:space="preserve">profile </w:t>
      </w:r>
      <w:r w:rsidRPr="00571EFD" w:rsidR="00E7620F">
        <w:rPr>
          <w:color w:val="auto"/>
        </w:rPr>
        <w:t>data items that are</w:t>
      </w:r>
      <w:r w:rsidRPr="00571EFD">
        <w:rPr>
          <w:color w:val="auto"/>
        </w:rPr>
        <w:t xml:space="preserve"> available for all KP members</w:t>
      </w:r>
      <w:r w:rsidRPr="00571EFD" w:rsidR="00336DD9">
        <w:rPr>
          <w:color w:val="auto"/>
        </w:rPr>
        <w:t xml:space="preserve"> will be used as appropriate</w:t>
      </w:r>
      <w:r w:rsidRPr="00571EFD" w:rsidR="00E7620F">
        <w:rPr>
          <w:color w:val="auto"/>
        </w:rPr>
        <w:t>.</w:t>
      </w:r>
    </w:p>
    <w:p w:rsidRPr="00571EFD" w:rsidR="008B28D1" w:rsidP="00571EFD" w:rsidRDefault="008B28D1" w14:paraId="375E4BB8" w14:textId="568872BA">
      <w:pPr>
        <w:pStyle w:val="Default"/>
        <w:numPr>
          <w:ilvl w:val="0"/>
          <w:numId w:val="16"/>
        </w:numPr>
        <w:ind w:left="720"/>
        <w:rPr>
          <w:color w:val="auto"/>
        </w:rPr>
      </w:pPr>
      <w:r w:rsidRPr="00571EFD">
        <w:rPr>
          <w:color w:val="auto"/>
        </w:rPr>
        <w:t>In the third step, nonresponse-adjusted weights will be ratio-adjusted to a comprehensive set of geodemographic benchmark distributions that could be secured from the latest CPS</w:t>
      </w:r>
      <w:r w:rsidRPr="00571EFD" w:rsidR="00744360">
        <w:rPr>
          <w:color w:val="auto"/>
        </w:rPr>
        <w:t>.</w:t>
      </w:r>
      <w:r w:rsidRPr="00571EFD" w:rsidR="00203937">
        <w:rPr>
          <w:color w:val="auto"/>
        </w:rPr>
        <w:t xml:space="preserve"> </w:t>
      </w:r>
      <w:r w:rsidRPr="00571EFD">
        <w:rPr>
          <w:color w:val="auto"/>
        </w:rPr>
        <w:t>For these adjustments the method of iterative proportional fitting</w:t>
      </w:r>
      <w:r w:rsidRPr="00571EFD" w:rsidR="00336DD9">
        <w:rPr>
          <w:color w:val="auto"/>
        </w:rPr>
        <w:t xml:space="preserve"> will be used</w:t>
      </w:r>
      <w:r w:rsidRPr="00571EFD">
        <w:rPr>
          <w:color w:val="auto"/>
        </w:rPr>
        <w:t>, which is commonly known as raking, to allow simultaneous adjustments against multiple distributions.</w:t>
      </w:r>
    </w:p>
    <w:p w:rsidRPr="00265EB9" w:rsidR="008B28D1" w:rsidP="00571EFD" w:rsidRDefault="008B28D1" w14:paraId="378B914F" w14:textId="081F5C89">
      <w:pPr>
        <w:pStyle w:val="Default"/>
        <w:numPr>
          <w:ilvl w:val="0"/>
          <w:numId w:val="16"/>
        </w:numPr>
        <w:ind w:left="720"/>
        <w:rPr>
          <w:sz w:val="22"/>
        </w:rPr>
      </w:pPr>
      <w:r w:rsidRPr="00571EFD">
        <w:rPr>
          <w:color w:val="auto"/>
        </w:rPr>
        <w:t>In the fourth and final step, the resulting weights will be examined to detect extreme values that might require trimming</w:t>
      </w:r>
      <w:r w:rsidRPr="00571EFD" w:rsidR="00744360">
        <w:rPr>
          <w:color w:val="auto"/>
        </w:rPr>
        <w:t>.</w:t>
      </w:r>
      <w:r w:rsidRPr="00571EFD" w:rsidR="00203937">
        <w:rPr>
          <w:color w:val="auto"/>
        </w:rPr>
        <w:t xml:space="preserve"> </w:t>
      </w:r>
      <w:r w:rsidRPr="00571EFD">
        <w:rPr>
          <w:color w:val="auto"/>
        </w:rPr>
        <w:t>While trimming extreme weights will improve the overall efficiency of the analysis weight</w:t>
      </w:r>
      <w:r w:rsidRPr="00571EFD" w:rsidR="009F72BA">
        <w:rPr>
          <w:color w:val="auto"/>
        </w:rPr>
        <w:t>s</w:t>
      </w:r>
      <w:r w:rsidRPr="00571EFD">
        <w:rPr>
          <w:color w:val="auto"/>
        </w:rPr>
        <w:t xml:space="preserve"> by reducing variability, it will be at the expense of minor misalignments against population distributions</w:t>
      </w:r>
      <w:r w:rsidRPr="00571EFD" w:rsidR="00744360">
        <w:rPr>
          <w:color w:val="auto"/>
        </w:rPr>
        <w:t>.</w:t>
      </w:r>
      <w:r w:rsidRPr="00571EFD" w:rsidR="00203937">
        <w:rPr>
          <w:color w:val="auto"/>
        </w:rPr>
        <w:t xml:space="preserve"> </w:t>
      </w:r>
      <w:r w:rsidRPr="00571EFD">
        <w:rPr>
          <w:color w:val="auto"/>
        </w:rPr>
        <w:t xml:space="preserve">This common compromise between bias reduction and variance inflation is one that will be carried out with consultation with the </w:t>
      </w:r>
      <w:r w:rsidRPr="00571EFD" w:rsidR="00FB4290">
        <w:rPr>
          <w:color w:val="auto"/>
        </w:rPr>
        <w:t xml:space="preserve">DOT’s </w:t>
      </w:r>
      <w:r w:rsidRPr="00571EFD">
        <w:rPr>
          <w:color w:val="auto"/>
        </w:rPr>
        <w:t xml:space="preserve">NHTS </w:t>
      </w:r>
      <w:r w:rsidRPr="00571EFD" w:rsidR="00FB4290">
        <w:rPr>
          <w:color w:val="auto"/>
        </w:rPr>
        <w:t xml:space="preserve">project team </w:t>
      </w:r>
      <w:r w:rsidRPr="00571EFD">
        <w:rPr>
          <w:color w:val="auto"/>
        </w:rPr>
        <w:t>and consultants.</w:t>
      </w:r>
    </w:p>
    <w:p w:rsidRPr="00265EB9" w:rsidR="00877959" w:rsidP="00877959" w:rsidRDefault="00877959" w14:paraId="005257C6" w14:textId="20593534">
      <w:pPr>
        <w:spacing w:before="120" w:after="120" w:line="240" w:lineRule="auto"/>
        <w:rPr>
          <w:sz w:val="24"/>
        </w:rPr>
      </w:pPr>
      <w:r w:rsidRPr="00265EB9">
        <w:rPr>
          <w:sz w:val="24"/>
        </w:rPr>
        <w:t xml:space="preserve">Subsequently, additional </w:t>
      </w:r>
      <w:r w:rsidRPr="00265EB9" w:rsidR="009F72BA">
        <w:rPr>
          <w:sz w:val="24"/>
        </w:rPr>
        <w:t xml:space="preserve">analysis weights will be computed </w:t>
      </w:r>
      <w:r w:rsidRPr="00265EB9">
        <w:rPr>
          <w:sz w:val="24"/>
        </w:rPr>
        <w:t xml:space="preserve">while </w:t>
      </w:r>
      <w:r w:rsidRPr="00265EB9" w:rsidR="009F72BA">
        <w:rPr>
          <w:sz w:val="24"/>
        </w:rPr>
        <w:t xml:space="preserve">recognizing specific adjustments that will be required for the corresponding </w:t>
      </w:r>
      <w:r w:rsidRPr="00265EB9">
        <w:rPr>
          <w:sz w:val="24"/>
        </w:rPr>
        <w:t>target population</w:t>
      </w:r>
      <w:r w:rsidRPr="00265EB9" w:rsidR="003D28AA">
        <w:rPr>
          <w:sz w:val="24"/>
        </w:rPr>
        <w:t>s</w:t>
      </w:r>
      <w:r w:rsidRPr="00265EB9" w:rsidR="00744360">
        <w:rPr>
          <w:sz w:val="24"/>
        </w:rPr>
        <w:t>.</w:t>
      </w:r>
      <w:r w:rsidRPr="00265EB9" w:rsidR="00203937">
        <w:rPr>
          <w:sz w:val="24"/>
        </w:rPr>
        <w:t xml:space="preserve"> </w:t>
      </w:r>
      <w:r w:rsidRPr="00265EB9" w:rsidR="009F72BA">
        <w:rPr>
          <w:sz w:val="24"/>
        </w:rPr>
        <w:t>For instance, person-level weights will start with household-level weights</w:t>
      </w:r>
      <w:r w:rsidRPr="00265EB9" w:rsidR="003D28AA">
        <w:rPr>
          <w:sz w:val="24"/>
        </w:rPr>
        <w:t xml:space="preserve"> </w:t>
      </w:r>
      <w:r w:rsidRPr="00265EB9" w:rsidR="009F72BA">
        <w:rPr>
          <w:sz w:val="24"/>
        </w:rPr>
        <w:t>adjust</w:t>
      </w:r>
      <w:r w:rsidRPr="00265EB9" w:rsidR="003673A9">
        <w:rPr>
          <w:sz w:val="24"/>
        </w:rPr>
        <w:t>ed</w:t>
      </w:r>
      <w:r w:rsidRPr="00265EB9" w:rsidR="009F72BA">
        <w:rPr>
          <w:sz w:val="24"/>
        </w:rPr>
        <w:t xml:space="preserve"> for the number of individuals surveyed in each responding household</w:t>
      </w:r>
      <w:r w:rsidRPr="00265EB9" w:rsidR="00744360">
        <w:rPr>
          <w:sz w:val="24"/>
        </w:rPr>
        <w:t>.</w:t>
      </w:r>
      <w:r w:rsidRPr="00265EB9" w:rsidR="00203937">
        <w:rPr>
          <w:sz w:val="24"/>
        </w:rPr>
        <w:t xml:space="preserve"> </w:t>
      </w:r>
      <w:r w:rsidRPr="00265EB9" w:rsidR="009F72BA">
        <w:rPr>
          <w:sz w:val="24"/>
        </w:rPr>
        <w:t>Moreover, the benchmarking distributions that will be used to rake these weights will correspond to the U</w:t>
      </w:r>
      <w:r w:rsidR="004C7235">
        <w:rPr>
          <w:sz w:val="24"/>
        </w:rPr>
        <w:t>.</w:t>
      </w:r>
      <w:r w:rsidRPr="00265EB9" w:rsidR="009F72BA">
        <w:rPr>
          <w:sz w:val="24"/>
        </w:rPr>
        <w:t>S</w:t>
      </w:r>
      <w:r w:rsidR="004C7235">
        <w:rPr>
          <w:sz w:val="24"/>
        </w:rPr>
        <w:t>.</w:t>
      </w:r>
      <w:r w:rsidRPr="00265EB9" w:rsidR="009F72BA">
        <w:rPr>
          <w:sz w:val="24"/>
        </w:rPr>
        <w:t xml:space="preserve"> population 5 years of age or older</w:t>
      </w:r>
      <w:r w:rsidRPr="00265EB9" w:rsidR="00744360">
        <w:rPr>
          <w:sz w:val="24"/>
        </w:rPr>
        <w:t>.</w:t>
      </w:r>
      <w:r w:rsidRPr="00265EB9" w:rsidR="00203937">
        <w:rPr>
          <w:sz w:val="24"/>
        </w:rPr>
        <w:t xml:space="preserve"> </w:t>
      </w:r>
      <w:r w:rsidRPr="00265EB9" w:rsidR="009F72BA">
        <w:rPr>
          <w:sz w:val="24"/>
        </w:rPr>
        <w:t xml:space="preserve">Similar considerations will be necessary </w:t>
      </w:r>
      <w:r w:rsidRPr="00265EB9" w:rsidR="003D28AA">
        <w:rPr>
          <w:sz w:val="24"/>
        </w:rPr>
        <w:t xml:space="preserve">to </w:t>
      </w:r>
      <w:r w:rsidRPr="00265EB9" w:rsidR="009F72BA">
        <w:rPr>
          <w:sz w:val="24"/>
        </w:rPr>
        <w:t>produc</w:t>
      </w:r>
      <w:r w:rsidRPr="00265EB9" w:rsidR="003D28AA">
        <w:rPr>
          <w:sz w:val="24"/>
        </w:rPr>
        <w:t xml:space="preserve">e </w:t>
      </w:r>
      <w:r w:rsidRPr="00265EB9" w:rsidR="009F72BA">
        <w:rPr>
          <w:sz w:val="24"/>
        </w:rPr>
        <w:t>analysis weights for vehicle</w:t>
      </w:r>
      <w:r w:rsidRPr="00265EB9" w:rsidR="003673A9">
        <w:rPr>
          <w:sz w:val="24"/>
        </w:rPr>
        <w:t>s</w:t>
      </w:r>
      <w:r w:rsidRPr="00265EB9" w:rsidR="009F72BA">
        <w:rPr>
          <w:sz w:val="24"/>
        </w:rPr>
        <w:t xml:space="preserve"> and trip</w:t>
      </w:r>
      <w:r w:rsidRPr="00265EB9" w:rsidR="003673A9">
        <w:rPr>
          <w:sz w:val="24"/>
        </w:rPr>
        <w:t>s</w:t>
      </w:r>
      <w:r w:rsidRPr="00265EB9" w:rsidR="009F72BA">
        <w:rPr>
          <w:sz w:val="24"/>
        </w:rPr>
        <w:t>.</w:t>
      </w:r>
    </w:p>
    <w:p w:rsidRPr="00265EB9" w:rsidR="008B28D1" w:rsidP="008B28D1" w:rsidRDefault="008B28D1" w14:paraId="71FDF2C3" w14:textId="3CBE20A0">
      <w:pPr>
        <w:spacing w:before="120" w:after="120" w:line="240" w:lineRule="auto"/>
        <w:rPr>
          <w:sz w:val="24"/>
        </w:rPr>
      </w:pPr>
      <w:r w:rsidRPr="00265EB9">
        <w:rPr>
          <w:sz w:val="24"/>
        </w:rPr>
        <w:t>After calculating household-</w:t>
      </w:r>
      <w:r w:rsidRPr="00265EB9" w:rsidR="009F72BA">
        <w:rPr>
          <w:sz w:val="24"/>
        </w:rPr>
        <w:t xml:space="preserve"> and person-level </w:t>
      </w:r>
      <w:r w:rsidRPr="00265EB9">
        <w:rPr>
          <w:sz w:val="24"/>
        </w:rPr>
        <w:t>weights, a series of comparisons to external estimates will be conducted</w:t>
      </w:r>
      <w:r w:rsidRPr="00265EB9" w:rsidR="00744360">
        <w:rPr>
          <w:sz w:val="24"/>
        </w:rPr>
        <w:t>.</w:t>
      </w:r>
      <w:r w:rsidRPr="00265EB9" w:rsidR="00203937">
        <w:rPr>
          <w:sz w:val="24"/>
        </w:rPr>
        <w:t xml:space="preserve"> </w:t>
      </w:r>
      <w:r w:rsidRPr="00265EB9">
        <w:rPr>
          <w:sz w:val="24"/>
        </w:rPr>
        <w:t xml:space="preserve">Such comparisons may result in additional weighting adjustments that might go beyond geodemographic corrections, often referred to as </w:t>
      </w:r>
      <w:r w:rsidRPr="00265EB9">
        <w:rPr>
          <w:i/>
          <w:sz w:val="24"/>
        </w:rPr>
        <w:t>calibration</w:t>
      </w:r>
      <w:r w:rsidRPr="00265EB9" w:rsidR="00744360">
        <w:rPr>
          <w:sz w:val="24"/>
        </w:rPr>
        <w:t>.</w:t>
      </w:r>
      <w:r w:rsidRPr="00265EB9" w:rsidR="00203937">
        <w:rPr>
          <w:sz w:val="24"/>
        </w:rPr>
        <w:t xml:space="preserve"> </w:t>
      </w:r>
      <w:r w:rsidRPr="00265EB9">
        <w:rPr>
          <w:sz w:val="24"/>
        </w:rPr>
        <w:t>However, it is important to avoid excessive calibration adjustments that can both undermine the inferential integrity and independence of this survey, while guarding against undue variability that overcorrection via weighting can entail</w:t>
      </w:r>
      <w:r w:rsidRPr="00265EB9" w:rsidR="00744360">
        <w:rPr>
          <w:sz w:val="24"/>
        </w:rPr>
        <w:t>.</w:t>
      </w:r>
      <w:r w:rsidRPr="00265EB9" w:rsidR="00203937">
        <w:rPr>
          <w:sz w:val="24"/>
        </w:rPr>
        <w:t xml:space="preserve"> </w:t>
      </w:r>
      <w:r w:rsidRPr="00265EB9">
        <w:rPr>
          <w:sz w:val="24"/>
        </w:rPr>
        <w:t>Some possible calibration adjustments can include:</w:t>
      </w:r>
    </w:p>
    <w:p w:rsidRPr="001E3B04" w:rsidR="008B28D1" w:rsidP="001E3B04" w:rsidRDefault="008B28D1" w14:paraId="365706A6" w14:textId="77777777">
      <w:pPr>
        <w:pStyle w:val="Default"/>
        <w:numPr>
          <w:ilvl w:val="0"/>
          <w:numId w:val="16"/>
        </w:numPr>
        <w:ind w:left="720"/>
        <w:rPr>
          <w:color w:val="auto"/>
        </w:rPr>
      </w:pPr>
      <w:r w:rsidRPr="001E3B04">
        <w:rPr>
          <w:color w:val="auto"/>
        </w:rPr>
        <w:t>Estimates of trip by area type (rural v urban) from the American Community Survey (ACS).</w:t>
      </w:r>
    </w:p>
    <w:p w:rsidRPr="001E3B04" w:rsidR="008B28D1" w:rsidP="001E3B04" w:rsidRDefault="008B28D1" w14:paraId="43A6CE12" w14:textId="77777777">
      <w:pPr>
        <w:pStyle w:val="Default"/>
        <w:numPr>
          <w:ilvl w:val="0"/>
          <w:numId w:val="16"/>
        </w:numPr>
        <w:ind w:left="720"/>
        <w:rPr>
          <w:color w:val="auto"/>
        </w:rPr>
      </w:pPr>
      <w:r w:rsidRPr="001E3B04">
        <w:rPr>
          <w:color w:val="auto"/>
        </w:rPr>
        <w:t>Frequency of air travel based on the Airline Origin and Destination Surveys (DB1B).</w:t>
      </w:r>
    </w:p>
    <w:p w:rsidRPr="001E3B04" w:rsidR="008B28D1" w:rsidP="001E3B04" w:rsidRDefault="008B28D1" w14:paraId="713C521E" w14:textId="77777777">
      <w:pPr>
        <w:pStyle w:val="Default"/>
        <w:numPr>
          <w:ilvl w:val="0"/>
          <w:numId w:val="16"/>
        </w:numPr>
        <w:ind w:left="720"/>
        <w:rPr>
          <w:color w:val="auto"/>
        </w:rPr>
      </w:pPr>
      <w:r w:rsidRPr="001E3B04">
        <w:rPr>
          <w:color w:val="auto"/>
        </w:rPr>
        <w:t>Other trip-related estimates available from the DOT</w:t>
      </w:r>
      <w:r w:rsidRPr="001E3B04" w:rsidR="00744360">
        <w:rPr>
          <w:color w:val="auto"/>
        </w:rPr>
        <w:t>.</w:t>
      </w:r>
    </w:p>
    <w:p w:rsidRPr="00265EB9" w:rsidR="008B28D1" w:rsidP="008B28D1" w:rsidRDefault="008B28D1" w14:paraId="322730FA" w14:textId="629F65A7">
      <w:pPr>
        <w:spacing w:before="120" w:after="120" w:line="240" w:lineRule="auto"/>
        <w:rPr>
          <w:sz w:val="24"/>
        </w:rPr>
      </w:pPr>
      <w:r w:rsidRPr="00265EB9">
        <w:rPr>
          <w:sz w:val="24"/>
        </w:rPr>
        <w:t xml:space="preserve">Lastly, comparable estimates from other government sources will be used to </w:t>
      </w:r>
      <w:r w:rsidRPr="00265EB9" w:rsidR="00877959">
        <w:rPr>
          <w:sz w:val="24"/>
        </w:rPr>
        <w:t xml:space="preserve">further </w:t>
      </w:r>
      <w:r w:rsidRPr="00265EB9">
        <w:rPr>
          <w:sz w:val="24"/>
        </w:rPr>
        <w:t>a</w:t>
      </w:r>
      <w:r w:rsidRPr="00265EB9" w:rsidR="009F72BA">
        <w:rPr>
          <w:sz w:val="24"/>
        </w:rPr>
        <w:t>ss</w:t>
      </w:r>
      <w:r w:rsidRPr="00265EB9">
        <w:rPr>
          <w:sz w:val="24"/>
        </w:rPr>
        <w:t>ess external validity of NHTS 202</w:t>
      </w:r>
      <w:r w:rsidRPr="00265EB9" w:rsidR="003D28AA">
        <w:rPr>
          <w:sz w:val="24"/>
        </w:rPr>
        <w:t>0</w:t>
      </w:r>
      <w:r w:rsidRPr="00265EB9" w:rsidR="00744360">
        <w:rPr>
          <w:sz w:val="24"/>
        </w:rPr>
        <w:t>.</w:t>
      </w:r>
      <w:r w:rsidRPr="00265EB9" w:rsidR="00203937">
        <w:rPr>
          <w:sz w:val="24"/>
        </w:rPr>
        <w:t xml:space="preserve"> </w:t>
      </w:r>
      <w:r w:rsidRPr="00265EB9">
        <w:rPr>
          <w:sz w:val="24"/>
        </w:rPr>
        <w:t>Such sources can include the Federal Transit Administration’s National Transit Database (NTD)</w:t>
      </w:r>
      <w:r w:rsidR="00336DD9">
        <w:rPr>
          <w:sz w:val="24"/>
        </w:rPr>
        <w:t xml:space="preserve"> and FHWA’s Highway Performance Monitoring System (HPMS)</w:t>
      </w:r>
      <w:r w:rsidRPr="00265EB9">
        <w:rPr>
          <w:sz w:val="24"/>
        </w:rPr>
        <w:t>.</w:t>
      </w:r>
    </w:p>
    <w:p w:rsidRPr="00265EB9" w:rsidR="00E7620F" w:rsidP="00E7620F" w:rsidRDefault="00E7620F" w14:paraId="248EA5D6" w14:textId="77777777">
      <w:pPr>
        <w:pStyle w:val="ListParagraph"/>
        <w:numPr>
          <w:ilvl w:val="1"/>
          <w:numId w:val="2"/>
        </w:numPr>
        <w:tabs>
          <w:tab w:val="clear" w:pos="1152"/>
        </w:tabs>
        <w:spacing w:before="240" w:after="120" w:line="240" w:lineRule="auto"/>
        <w:ind w:left="720" w:hanging="720"/>
        <w:contextualSpacing w:val="0"/>
        <w:rPr>
          <w:b/>
          <w:sz w:val="24"/>
          <w:szCs w:val="24"/>
        </w:rPr>
      </w:pPr>
      <w:r w:rsidRPr="00265EB9">
        <w:rPr>
          <w:b/>
          <w:sz w:val="24"/>
          <w:szCs w:val="24"/>
        </w:rPr>
        <w:t>Nonresponse Bias Analysis</w:t>
      </w:r>
    </w:p>
    <w:p w:rsidRPr="00265EB9" w:rsidR="00744360" w:rsidP="005F7599" w:rsidRDefault="00E7620F" w14:paraId="0F7CD35E" w14:textId="7C5E4796">
      <w:pPr>
        <w:spacing w:before="120" w:after="120" w:line="240" w:lineRule="auto"/>
        <w:rPr>
          <w:sz w:val="24"/>
        </w:rPr>
      </w:pPr>
      <w:r w:rsidRPr="00265EB9">
        <w:rPr>
          <w:sz w:val="24"/>
        </w:rPr>
        <w:t xml:space="preserve">Typically, surveys that do not secure </w:t>
      </w:r>
      <w:r w:rsidRPr="00265EB9" w:rsidR="003D28AA">
        <w:rPr>
          <w:sz w:val="24"/>
        </w:rPr>
        <w:t xml:space="preserve">sufficiently </w:t>
      </w:r>
      <w:r w:rsidRPr="00265EB9">
        <w:rPr>
          <w:sz w:val="24"/>
        </w:rPr>
        <w:t>high response rates are to conduct nonresponse bias analys</w:t>
      </w:r>
      <w:r w:rsidRPr="00265EB9" w:rsidR="003D28AA">
        <w:rPr>
          <w:sz w:val="24"/>
        </w:rPr>
        <w:t>e</w:t>
      </w:r>
      <w:r w:rsidRPr="00265EB9">
        <w:rPr>
          <w:sz w:val="24"/>
        </w:rPr>
        <w:t xml:space="preserve">s to assess the potential magnitude of bias before </w:t>
      </w:r>
      <w:r w:rsidRPr="00265EB9" w:rsidR="003D28AA">
        <w:rPr>
          <w:sz w:val="24"/>
        </w:rPr>
        <w:t xml:space="preserve">results </w:t>
      </w:r>
      <w:r w:rsidRPr="00265EB9">
        <w:rPr>
          <w:sz w:val="24"/>
        </w:rPr>
        <w:t>are released</w:t>
      </w:r>
      <w:r w:rsidRPr="00265EB9" w:rsidR="00744360">
        <w:rPr>
          <w:sz w:val="24"/>
        </w:rPr>
        <w:t>.</w:t>
      </w:r>
      <w:r w:rsidRPr="00265EB9" w:rsidR="00203937">
        <w:rPr>
          <w:sz w:val="24"/>
        </w:rPr>
        <w:t xml:space="preserve"> </w:t>
      </w:r>
      <w:r w:rsidRPr="00265EB9">
        <w:rPr>
          <w:sz w:val="24"/>
        </w:rPr>
        <w:t xml:space="preserve">For this </w:t>
      </w:r>
      <w:r w:rsidRPr="00265EB9">
        <w:rPr>
          <w:sz w:val="24"/>
        </w:rPr>
        <w:lastRenderedPageBreak/>
        <w:t>purpose, estimates of survey characteristics for both non-respondents and respondents will be required</w:t>
      </w:r>
      <w:r w:rsidRPr="00265EB9" w:rsidR="00744360">
        <w:rPr>
          <w:sz w:val="24"/>
        </w:rPr>
        <w:t>.</w:t>
      </w:r>
    </w:p>
    <w:p w:rsidRPr="00265EB9" w:rsidR="00E7620F" w:rsidP="005F7599" w:rsidRDefault="00E7620F" w14:paraId="42C581B5" w14:textId="1352E7DF">
      <w:pPr>
        <w:spacing w:before="120" w:after="120" w:line="240" w:lineRule="auto"/>
        <w:rPr>
          <w:sz w:val="24"/>
        </w:rPr>
      </w:pPr>
      <w:r w:rsidRPr="00265EB9">
        <w:rPr>
          <w:sz w:val="24"/>
        </w:rPr>
        <w:t xml:space="preserve">To illustrate mathematically, the bias </w:t>
      </w:r>
      <w:r w:rsidRPr="00265EB9" w:rsidR="003D28AA">
        <w:rPr>
          <w:sz w:val="24"/>
        </w:rPr>
        <w:t xml:space="preserve">of </w:t>
      </w:r>
      <w:r w:rsidRPr="00265EB9" w:rsidR="003673A9">
        <w:rPr>
          <w:sz w:val="24"/>
        </w:rPr>
        <w:t xml:space="preserve">an </w:t>
      </w:r>
      <w:r w:rsidRPr="00265EB9" w:rsidR="003D28AA">
        <w:rPr>
          <w:sz w:val="24"/>
        </w:rPr>
        <w:t>estimate</w:t>
      </w:r>
      <w:r w:rsidRPr="00265EB9" w:rsidR="003673A9">
        <w:rPr>
          <w:sz w:val="24"/>
        </w:rPr>
        <w:t>d m</w:t>
      </w:r>
      <w:r w:rsidRPr="00265EB9" w:rsidR="00696CE6">
        <w:rPr>
          <w:sz w:val="24"/>
        </w:rPr>
        <w:t>e</w:t>
      </w:r>
      <w:r w:rsidRPr="00265EB9" w:rsidR="003673A9">
        <w:rPr>
          <w:sz w:val="24"/>
        </w:rPr>
        <w:t>an</w:t>
      </w:r>
      <w:r w:rsidRPr="00265EB9" w:rsidR="003D28AA">
        <w:rPr>
          <w:sz w:val="24"/>
        </w:rPr>
        <w:t xml:space="preserve"> </w:t>
      </w:r>
      <w:r w:rsidRPr="00265EB9">
        <w:rPr>
          <w:sz w:val="24"/>
        </w:rPr>
        <w:t xml:space="preserve">is the difference between </w:t>
      </w:r>
      <w:r w:rsidRPr="00265EB9" w:rsidR="00211DE1">
        <w:rPr>
          <w:sz w:val="24"/>
        </w:rPr>
        <w:t xml:space="preserve">what is </w:t>
      </w:r>
      <w:r w:rsidRPr="00265EB9" w:rsidR="003D28AA">
        <w:rPr>
          <w:sz w:val="24"/>
        </w:rPr>
        <w:t xml:space="preserve">estimated </w:t>
      </w:r>
      <w:r w:rsidRPr="00265EB9" w:rsidR="00211DE1">
        <w:rPr>
          <w:sz w:val="24"/>
        </w:rPr>
        <w:t xml:space="preserve">from </w:t>
      </w:r>
      <w:r w:rsidRPr="00265EB9" w:rsidR="003D28AA">
        <w:rPr>
          <w:sz w:val="24"/>
        </w:rPr>
        <w:t xml:space="preserve">respondents,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R</m:t>
            </m:r>
          </m:sub>
        </m:sSub>
      </m:oMath>
      <w:r w:rsidRPr="00265EB9" w:rsidR="003D28AA">
        <w:rPr>
          <w:sz w:val="24"/>
        </w:rPr>
        <w:t>,</w:t>
      </w:r>
      <w:r w:rsidRPr="00265EB9" w:rsidR="00211DE1">
        <w:rPr>
          <w:sz w:val="24"/>
        </w:rPr>
        <w:t xml:space="preserve"> </w:t>
      </w:r>
      <w:r w:rsidRPr="00265EB9">
        <w:rPr>
          <w:sz w:val="24"/>
        </w:rPr>
        <w:t xml:space="preserve">and the target parameter, </w:t>
      </w:r>
      <w:r w:rsidRPr="00265EB9">
        <w:rPr>
          <w:i/>
          <w:sz w:val="24"/>
        </w:rPr>
        <w:sym w:font="Symbol" w:char="F06D"/>
      </w:r>
      <w:r w:rsidRPr="00265EB9">
        <w:rPr>
          <w:sz w:val="24"/>
        </w:rPr>
        <w:t>, which is the mean that would result if a complete census of the target population was conducted and all units responded</w:t>
      </w:r>
      <w:r w:rsidRPr="00265EB9" w:rsidR="00744360">
        <w:rPr>
          <w:sz w:val="24"/>
        </w:rPr>
        <w:t>.</w:t>
      </w:r>
      <w:r w:rsidRPr="00265EB9" w:rsidR="00203937">
        <w:rPr>
          <w:sz w:val="24"/>
        </w:rPr>
        <w:t xml:space="preserve"> </w:t>
      </w:r>
      <w:r w:rsidRPr="00265EB9">
        <w:rPr>
          <w:sz w:val="24"/>
        </w:rPr>
        <w:t>This bias can be expressed as follows</w:t>
      </w:r>
      <w:r w:rsidR="00D23FE1">
        <w:rPr>
          <w:rStyle w:val="FootnoteReference"/>
          <w:sz w:val="24"/>
        </w:rPr>
        <w:footnoteReference w:id="1"/>
      </w:r>
      <w:r w:rsidRPr="00265EB9">
        <w:rPr>
          <w:sz w:val="24"/>
        </w:rPr>
        <w:t>:</w:t>
      </w:r>
    </w:p>
    <w:p w:rsidRPr="00265EB9" w:rsidR="00E7620F" w:rsidP="00673A53" w:rsidRDefault="00673A53" w14:paraId="2E0DDE50" w14:textId="77777777">
      <w:pPr>
        <w:spacing w:before="120" w:after="120" w:line="240" w:lineRule="auto"/>
        <w:jc w:val="center"/>
        <w:rPr>
          <w:sz w:val="24"/>
        </w:rPr>
      </w:pPr>
      <m:oMathPara>
        <m:oMath>
          <m:r>
            <w:rPr>
              <w:rFonts w:ascii="Cambria Math" w:hAnsi="Cambria Math"/>
              <w:sz w:val="24"/>
            </w:rPr>
            <m:t>B(</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R</m:t>
              </m:r>
            </m:sub>
          </m:sSub>
          <m:r>
            <w:rPr>
              <w:rFonts w:ascii="Cambria Math" w:hAnsi="Cambria Math"/>
              <w:sz w:val="24"/>
            </w:rPr>
            <m:t>)=</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R</m:t>
              </m:r>
            </m:sub>
          </m:sSub>
          <m:r>
            <w:rPr>
              <w:rFonts w:ascii="Cambria Math" w:hAnsi="Cambria Math"/>
              <w:sz w:val="24"/>
            </w:rPr>
            <m:t>-μ</m:t>
          </m:r>
        </m:oMath>
      </m:oMathPara>
    </w:p>
    <w:p w:rsidRPr="00265EB9" w:rsidR="00E7620F" w:rsidP="005F7599" w:rsidRDefault="00E7620F" w14:paraId="65166991" w14:textId="0E60B0AD">
      <w:pPr>
        <w:spacing w:before="120" w:after="120" w:line="240" w:lineRule="auto"/>
        <w:rPr>
          <w:sz w:val="24"/>
        </w:rPr>
      </w:pPr>
      <w:r w:rsidRPr="00265EB9">
        <w:rPr>
          <w:sz w:val="24"/>
        </w:rPr>
        <w:t xml:space="preserve">However, for variables that are available from the sampling frame, </w:t>
      </w:r>
      <w:r w:rsidRPr="00265EB9">
        <w:rPr>
          <w:i/>
          <w:sz w:val="24"/>
        </w:rPr>
        <w:sym w:font="Symbol" w:char="F06D"/>
      </w:r>
      <w:r w:rsidRPr="00265EB9">
        <w:rPr>
          <w:sz w:val="24"/>
        </w:rPr>
        <w:t xml:space="preserve"> can be estimated by</w:t>
      </w:r>
      <w:r w:rsidRPr="00265EB9" w:rsidR="00744360">
        <w:rPr>
          <w:sz w:val="24"/>
        </w:rPr>
        <w:t xml:space="preserve"> </w:t>
      </w:r>
      <m:oMath>
        <m:acc>
          <m:accPr>
            <m:ctrlPr>
              <w:rPr>
                <w:rFonts w:ascii="Cambria Math" w:hAnsi="Cambria Math"/>
                <w:i/>
                <w:sz w:val="24"/>
              </w:rPr>
            </m:ctrlPr>
          </m:accPr>
          <m:e>
            <m:r>
              <w:rPr>
                <w:rFonts w:ascii="Cambria Math" w:hAnsi="Cambria Math"/>
                <w:sz w:val="24"/>
              </w:rPr>
              <m:t>μ</m:t>
            </m:r>
          </m:e>
        </m:acc>
      </m:oMath>
      <w:r w:rsidRPr="00265EB9">
        <w:rPr>
          <w:sz w:val="24"/>
        </w:rPr>
        <w:t xml:space="preserve"> without any sampling error</w:t>
      </w:r>
      <w:r w:rsidRPr="00265EB9" w:rsidR="003D28AA">
        <w:rPr>
          <w:sz w:val="24"/>
        </w:rPr>
        <w:t>.</w:t>
      </w:r>
      <w:r w:rsidRPr="00265EB9" w:rsidR="00203937">
        <w:rPr>
          <w:sz w:val="24"/>
        </w:rPr>
        <w:t xml:space="preserve"> </w:t>
      </w:r>
      <w:r w:rsidRPr="00265EB9" w:rsidR="003D28AA">
        <w:rPr>
          <w:sz w:val="24"/>
        </w:rPr>
        <w:t xml:space="preserve">In this </w:t>
      </w:r>
      <w:r w:rsidRPr="00265EB9">
        <w:rPr>
          <w:sz w:val="24"/>
        </w:rPr>
        <w:t>case</w:t>
      </w:r>
      <w:r w:rsidRPr="00265EB9" w:rsidR="00711E25">
        <w:rPr>
          <w:sz w:val="24"/>
        </w:rPr>
        <w:t>,</w:t>
      </w:r>
      <w:r w:rsidRPr="00265EB9">
        <w:rPr>
          <w:sz w:val="24"/>
        </w:rPr>
        <w:t xml:space="preserve"> the bias in</w:t>
      </w:r>
      <w:r w:rsidRPr="00265EB9" w:rsidR="00744360">
        <w:rPr>
          <w:sz w:val="24"/>
        </w:rPr>
        <w:t xml:space="preserve">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R</m:t>
            </m:r>
          </m:sub>
        </m:sSub>
      </m:oMath>
      <w:r w:rsidRPr="00265EB9" w:rsidR="00744360">
        <w:rPr>
          <w:sz w:val="24"/>
        </w:rPr>
        <w:t xml:space="preserve"> </w:t>
      </w:r>
      <w:r w:rsidRPr="00265EB9">
        <w:rPr>
          <w:sz w:val="24"/>
        </w:rPr>
        <w:t>can then be estimated by:</w:t>
      </w:r>
    </w:p>
    <w:p w:rsidRPr="00265EB9" w:rsidR="00E7620F" w:rsidP="00673A53" w:rsidRDefault="00A67E4F" w14:paraId="27DCDCF5" w14:textId="01E52BDE">
      <w:pPr>
        <w:spacing w:before="120" w:after="120" w:line="240" w:lineRule="auto"/>
        <w:jc w:val="center"/>
        <w:rPr>
          <w:sz w:val="24"/>
        </w:rPr>
      </w:pPr>
      <m:oMathPara>
        <m:oMath>
          <m:acc>
            <m:accPr>
              <m:ctrlPr>
                <w:rPr>
                  <w:rFonts w:ascii="Cambria Math" w:hAnsi="Cambria Math"/>
                  <w:i/>
                  <w:sz w:val="24"/>
                </w:rPr>
              </m:ctrlPr>
            </m:accPr>
            <m:e>
              <m:r>
                <w:rPr>
                  <w:rFonts w:ascii="Cambria Math" w:hAnsi="Cambria Math"/>
                  <w:sz w:val="24"/>
                </w:rPr>
                <m:t>B</m:t>
              </m:r>
            </m:e>
          </m:acc>
          <m:r>
            <w:rPr>
              <w:rFonts w:ascii="Cambria Math" w:hAnsi="Cambria Math"/>
              <w:sz w:val="24"/>
            </w:rPr>
            <m:t>(</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R</m:t>
              </m:r>
            </m:sub>
          </m:sSub>
          <m:r>
            <w:rPr>
              <w:rFonts w:ascii="Cambria Math" w:hAnsi="Cambria Math"/>
              <w:sz w:val="24"/>
            </w:rPr>
            <m:t>)=</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R</m:t>
              </m:r>
            </m:sub>
          </m:sSub>
          <m:r>
            <w:rPr>
              <w:rFonts w:ascii="Cambria Math" w:hAnsi="Cambria Math"/>
              <w:sz w:val="24"/>
            </w:rPr>
            <m:t>-</m:t>
          </m:r>
          <m:acc>
            <m:accPr>
              <m:ctrlPr>
                <w:rPr>
                  <w:rFonts w:ascii="Cambria Math" w:hAnsi="Cambria Math"/>
                  <w:i/>
                  <w:sz w:val="24"/>
                </w:rPr>
              </m:ctrlPr>
            </m:accPr>
            <m:e>
              <m:r>
                <w:rPr>
                  <w:rFonts w:ascii="Cambria Math" w:hAnsi="Cambria Math"/>
                  <w:sz w:val="24"/>
                </w:rPr>
                <m:t>μ</m:t>
              </m:r>
            </m:e>
          </m:acc>
        </m:oMath>
      </m:oMathPara>
    </w:p>
    <w:p w:rsidRPr="00265EB9" w:rsidR="00E7620F" w:rsidP="005F7599" w:rsidRDefault="00711E25" w14:paraId="5F157174" w14:textId="16C2327E">
      <w:pPr>
        <w:spacing w:before="120" w:after="120" w:line="240" w:lineRule="auto"/>
        <w:rPr>
          <w:sz w:val="24"/>
        </w:rPr>
      </w:pPr>
      <w:r w:rsidRPr="00265EB9">
        <w:rPr>
          <w:sz w:val="24"/>
        </w:rPr>
        <w:t>and</w:t>
      </w:r>
      <w:r w:rsidRPr="00265EB9" w:rsidR="00E7620F">
        <w:rPr>
          <w:sz w:val="24"/>
        </w:rPr>
        <w:t xml:space="preserve"> an estimate of the population mean based on respondents and non</w:t>
      </w:r>
      <w:r w:rsidR="00D304C1">
        <w:rPr>
          <w:sz w:val="24"/>
        </w:rPr>
        <w:t>-</w:t>
      </w:r>
      <w:r w:rsidRPr="00265EB9" w:rsidR="00E7620F">
        <w:rPr>
          <w:sz w:val="24"/>
        </w:rPr>
        <w:t>respondents can be obtained by:</w:t>
      </w:r>
    </w:p>
    <w:p w:rsidRPr="00265EB9" w:rsidR="00E7620F" w:rsidP="00673A53" w:rsidRDefault="00A67E4F" w14:paraId="54AE4FCC" w14:textId="77777777">
      <w:pPr>
        <w:spacing w:before="120" w:after="120" w:line="240" w:lineRule="auto"/>
        <w:jc w:val="center"/>
        <w:rPr>
          <w:sz w:val="24"/>
        </w:rPr>
      </w:pPr>
      <m:oMathPara>
        <m:oMath>
          <m:acc>
            <m:accPr>
              <m:ctrlPr>
                <w:rPr>
                  <w:rFonts w:ascii="Cambria Math" w:hAnsi="Cambria Math"/>
                  <w:i/>
                  <w:sz w:val="24"/>
                </w:rPr>
              </m:ctrlPr>
            </m:accPr>
            <m:e>
              <m:r>
                <w:rPr>
                  <w:rFonts w:ascii="Cambria Math" w:hAnsi="Cambria Math"/>
                  <w:sz w:val="24"/>
                </w:rPr>
                <m:t>μ</m:t>
              </m:r>
            </m:e>
          </m:acc>
          <m:r>
            <w:rPr>
              <w:rFonts w:ascii="Cambria Math" w:hAnsi="Cambria Math"/>
              <w:sz w:val="24"/>
            </w:rPr>
            <m:t>=</m:t>
          </m:r>
          <m:d>
            <m:dPr>
              <m:ctrlPr>
                <w:rPr>
                  <w:rFonts w:ascii="Cambria Math" w:hAnsi="Cambria Math"/>
                  <w:i/>
                  <w:sz w:val="24"/>
                </w:rPr>
              </m:ctrlPr>
            </m:dPr>
            <m:e>
              <m:r>
                <w:rPr>
                  <w:rFonts w:ascii="Cambria Math" w:hAnsi="Cambria Math"/>
                  <w:sz w:val="24"/>
                </w:rPr>
                <m:t>1-</m:t>
              </m:r>
              <m:acc>
                <m:accPr>
                  <m:ctrlPr>
                    <w:rPr>
                      <w:rFonts w:ascii="Cambria Math" w:hAnsi="Cambria Math"/>
                      <w:i/>
                      <w:sz w:val="24"/>
                    </w:rPr>
                  </m:ctrlPr>
                </m:accPr>
                <m:e>
                  <m:r>
                    <w:rPr>
                      <w:rFonts w:ascii="Cambria Math" w:hAnsi="Cambria Math"/>
                      <w:sz w:val="24"/>
                    </w:rPr>
                    <m:t>η</m:t>
                  </m:r>
                </m:e>
              </m:acc>
            </m:e>
          </m:d>
          <m:r>
            <w:rPr>
              <w:rFonts w:ascii="Cambria Math" w:hAnsi="Cambria Math"/>
              <w:sz w:val="24"/>
            </w:rPr>
            <m:t xml:space="preserve">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R</m:t>
              </m:r>
            </m:sub>
          </m:sSub>
          <m:r>
            <w:rPr>
              <w:rFonts w:ascii="Cambria Math" w:hAnsi="Cambria Math"/>
              <w:sz w:val="24"/>
            </w:rPr>
            <m:t>+</m:t>
          </m:r>
          <m:acc>
            <m:accPr>
              <m:ctrlPr>
                <w:rPr>
                  <w:rFonts w:ascii="Cambria Math" w:hAnsi="Cambria Math"/>
                  <w:i/>
                  <w:sz w:val="24"/>
                </w:rPr>
              </m:ctrlPr>
            </m:accPr>
            <m:e>
              <m:r>
                <w:rPr>
                  <w:rFonts w:ascii="Cambria Math" w:hAnsi="Cambria Math"/>
                  <w:sz w:val="24"/>
                </w:rPr>
                <m:t>η</m:t>
              </m:r>
            </m:e>
          </m:acc>
          <m:r>
            <w:rPr>
              <w:rFonts w:ascii="Cambria Math" w:hAnsi="Cambria Math"/>
              <w:sz w:val="24"/>
            </w:rPr>
            <m:t xml:space="preserve">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NR</m:t>
              </m:r>
            </m:sub>
          </m:sSub>
        </m:oMath>
      </m:oMathPara>
    </w:p>
    <w:p w:rsidRPr="00265EB9" w:rsidR="00E7620F" w:rsidP="005F7599" w:rsidRDefault="00744360" w14:paraId="3E382B16" w14:textId="202E7726">
      <w:pPr>
        <w:spacing w:before="120" w:after="120" w:line="240" w:lineRule="auto"/>
        <w:rPr>
          <w:sz w:val="24"/>
        </w:rPr>
      </w:pPr>
      <w:r w:rsidRPr="00265EB9">
        <w:rPr>
          <w:sz w:val="24"/>
        </w:rPr>
        <w:t>In the above,</w:t>
      </w:r>
      <w:r w:rsidRPr="00265EB9" w:rsidR="00673A53">
        <w:rPr>
          <w:sz w:val="24"/>
        </w:rPr>
        <w:t xml:space="preserve"> </w:t>
      </w:r>
      <m:oMath>
        <m:acc>
          <m:accPr>
            <m:ctrlPr>
              <w:rPr>
                <w:rFonts w:ascii="Cambria Math" w:hAnsi="Cambria Math"/>
                <w:i/>
                <w:sz w:val="24"/>
              </w:rPr>
            </m:ctrlPr>
          </m:accPr>
          <m:e>
            <m:r>
              <w:rPr>
                <w:rFonts w:ascii="Cambria Math" w:hAnsi="Cambria Math"/>
                <w:sz w:val="24"/>
              </w:rPr>
              <m:t>η</m:t>
            </m:r>
          </m:e>
        </m:acc>
      </m:oMath>
      <w:r w:rsidRPr="00265EB9" w:rsidR="00673A53">
        <w:rPr>
          <w:sz w:val="24"/>
        </w:rPr>
        <w:t xml:space="preserve"> </w:t>
      </w:r>
      <w:r w:rsidRPr="00265EB9" w:rsidR="00E7620F">
        <w:rPr>
          <w:sz w:val="24"/>
        </w:rPr>
        <w:t>is the weighted unit nonresponse rate, based on weights prior to nonresponse adjustment</w:t>
      </w:r>
      <w:r w:rsidRPr="00265EB9">
        <w:rPr>
          <w:sz w:val="24"/>
        </w:rPr>
        <w:t>.</w:t>
      </w:r>
      <w:r w:rsidRPr="00265EB9" w:rsidR="00203937">
        <w:rPr>
          <w:sz w:val="24"/>
        </w:rPr>
        <w:t xml:space="preserve"> </w:t>
      </w:r>
      <w:r w:rsidRPr="00265EB9" w:rsidR="00E7620F">
        <w:rPr>
          <w:sz w:val="24"/>
        </w:rPr>
        <w:t>Consequently, the bias in</w:t>
      </w:r>
      <w:r w:rsidRPr="00265EB9" w:rsidR="00696CE6">
        <w:rPr>
          <w:sz w:val="24"/>
        </w:rPr>
        <w:t xml:space="preserve">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R</m:t>
            </m:r>
          </m:sub>
        </m:sSub>
      </m:oMath>
      <w:r w:rsidRPr="00265EB9" w:rsidR="00E7620F">
        <w:rPr>
          <w:sz w:val="24"/>
        </w:rPr>
        <w:t>can be estimated by:</w:t>
      </w:r>
    </w:p>
    <w:p w:rsidRPr="00265EB9" w:rsidR="00E7620F" w:rsidP="00673A53" w:rsidRDefault="00A67E4F" w14:paraId="0BD9CD00" w14:textId="77777777">
      <w:pPr>
        <w:spacing w:before="120" w:after="120" w:line="240" w:lineRule="auto"/>
        <w:jc w:val="center"/>
        <w:rPr>
          <w:sz w:val="24"/>
        </w:rPr>
      </w:pPr>
      <m:oMathPara>
        <m:oMath>
          <m:acc>
            <m:accPr>
              <m:ctrlPr>
                <w:rPr>
                  <w:rFonts w:ascii="Cambria Math" w:hAnsi="Cambria Math"/>
                  <w:i/>
                  <w:sz w:val="24"/>
                </w:rPr>
              </m:ctrlPr>
            </m:accPr>
            <m:e>
              <m:r>
                <w:rPr>
                  <w:rFonts w:ascii="Cambria Math" w:hAnsi="Cambria Math"/>
                  <w:sz w:val="24"/>
                </w:rPr>
                <m:t>B</m:t>
              </m:r>
            </m:e>
          </m:acc>
          <m:r>
            <w:rPr>
              <w:rFonts w:ascii="Cambria Math" w:hAnsi="Cambria Math"/>
              <w:sz w:val="24"/>
            </w:rPr>
            <m:t>(</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R</m:t>
              </m:r>
            </m:sub>
          </m:sSub>
          <m:r>
            <w:rPr>
              <w:rFonts w:ascii="Cambria Math" w:hAnsi="Cambria Math"/>
              <w:sz w:val="24"/>
            </w:rPr>
            <m:t>)=</m:t>
          </m:r>
          <m:acc>
            <m:accPr>
              <m:ctrlPr>
                <w:rPr>
                  <w:rFonts w:ascii="Cambria Math" w:hAnsi="Cambria Math"/>
                  <w:i/>
                  <w:sz w:val="24"/>
                </w:rPr>
              </m:ctrlPr>
            </m:accPr>
            <m:e>
              <m:r>
                <w:rPr>
                  <w:rFonts w:ascii="Cambria Math" w:hAnsi="Cambria Math"/>
                  <w:sz w:val="24"/>
                </w:rPr>
                <m:t>η</m:t>
              </m:r>
            </m:e>
          </m:acc>
          <m:r>
            <w:rPr>
              <w:rFonts w:ascii="Cambria Math" w:hAnsi="Cambria Math"/>
              <w:sz w:val="24"/>
            </w:rPr>
            <m:t xml:space="preserve"> </m:t>
          </m:r>
          <m:d>
            <m:dPr>
              <m:ctrlPr>
                <w:rPr>
                  <w:rFonts w:ascii="Cambria Math" w:hAnsi="Cambria Math"/>
                  <w:i/>
                  <w:sz w:val="24"/>
                </w:rPr>
              </m:ctrlPr>
            </m:dPr>
            <m:e>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R</m:t>
                  </m:r>
                </m:sub>
              </m:sSub>
              <m:r>
                <w:rPr>
                  <w:rFonts w:ascii="Cambria Math" w:hAnsi="Cambria Math"/>
                  <w:sz w:val="24"/>
                </w:rPr>
                <m:t>-</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NR</m:t>
                  </m:r>
                </m:sub>
              </m:sSub>
            </m:e>
          </m:d>
        </m:oMath>
      </m:oMathPara>
    </w:p>
    <w:p w:rsidRPr="00265EB9" w:rsidR="00E7620F" w:rsidP="00BA1AFC" w:rsidRDefault="00E7620F" w14:paraId="3D9A42F4" w14:textId="15BC8B4A">
      <w:pPr>
        <w:spacing w:before="120" w:after="120" w:line="240" w:lineRule="auto"/>
        <w:rPr>
          <w:sz w:val="24"/>
        </w:rPr>
      </w:pPr>
      <w:r w:rsidRPr="00265EB9">
        <w:rPr>
          <w:sz w:val="24"/>
        </w:rPr>
        <w:t>That is, the estimate of the nonresponse bias is the difference between the mean for respondents and non-respondents multiplied by the weighted nonresponse rate, using the design weight</w:t>
      </w:r>
      <w:r w:rsidRPr="00265EB9" w:rsidR="00744360">
        <w:rPr>
          <w:sz w:val="24"/>
        </w:rPr>
        <w:t>s</w:t>
      </w:r>
      <w:r w:rsidRPr="00265EB9">
        <w:rPr>
          <w:sz w:val="24"/>
        </w:rPr>
        <w:t xml:space="preserve"> prior to nonresponse adjustment</w:t>
      </w:r>
      <w:r w:rsidRPr="00265EB9" w:rsidR="00744360">
        <w:rPr>
          <w:sz w:val="24"/>
        </w:rPr>
        <w:t>.</w:t>
      </w:r>
      <w:r w:rsidRPr="00265EB9" w:rsidR="00203937">
        <w:rPr>
          <w:sz w:val="24"/>
        </w:rPr>
        <w:t xml:space="preserve"> </w:t>
      </w:r>
      <w:r w:rsidRPr="00265EB9">
        <w:rPr>
          <w:sz w:val="24"/>
        </w:rPr>
        <w:t>Here, a respondent will be defined as any sample member who is determined to be eligible for the study and has valid data for the selected set of key analytical variables.</w:t>
      </w:r>
    </w:p>
    <w:p w:rsidRPr="00265EB9" w:rsidR="00E7620F" w:rsidP="00BA1AFC" w:rsidRDefault="00E7620F" w14:paraId="62076F31" w14:textId="234C1582">
      <w:pPr>
        <w:spacing w:before="120" w:after="120" w:line="240" w:lineRule="auto"/>
        <w:rPr>
          <w:sz w:val="24"/>
        </w:rPr>
      </w:pPr>
      <w:r w:rsidRPr="00265EB9">
        <w:rPr>
          <w:sz w:val="24"/>
        </w:rPr>
        <w:t xml:space="preserve">The </w:t>
      </w:r>
      <w:r w:rsidRPr="00265EB9" w:rsidR="007718E9">
        <w:rPr>
          <w:sz w:val="24"/>
        </w:rPr>
        <w:t xml:space="preserve">nonresponse bias </w:t>
      </w:r>
      <w:r w:rsidRPr="00265EB9">
        <w:rPr>
          <w:sz w:val="24"/>
        </w:rPr>
        <w:t>investigation include</w:t>
      </w:r>
      <w:r w:rsidRPr="00265EB9" w:rsidR="007718E9">
        <w:rPr>
          <w:sz w:val="24"/>
        </w:rPr>
        <w:t>s</w:t>
      </w:r>
      <w:r w:rsidRPr="00265EB9">
        <w:rPr>
          <w:sz w:val="24"/>
        </w:rPr>
        <w:t xml:space="preserve"> estimating the potential bias and statistical testing</w:t>
      </w:r>
      <w:r w:rsidRPr="00265EB9">
        <w:rPr>
          <w:b/>
          <w:sz w:val="24"/>
        </w:rPr>
        <w:t xml:space="preserve"> </w:t>
      </w:r>
      <w:r w:rsidRPr="00265EB9">
        <w:rPr>
          <w:sz w:val="24"/>
        </w:rPr>
        <w:t>to determine if the observed bias is significant at a nominal level</w:t>
      </w:r>
      <w:r w:rsidRPr="00265EB9" w:rsidR="00744360">
        <w:rPr>
          <w:sz w:val="24"/>
        </w:rPr>
        <w:t>.</w:t>
      </w:r>
      <w:r w:rsidRPr="00265EB9" w:rsidR="00203937">
        <w:rPr>
          <w:sz w:val="24"/>
        </w:rPr>
        <w:t xml:space="preserve"> </w:t>
      </w:r>
      <w:r w:rsidRPr="00265EB9" w:rsidR="00711E25">
        <w:rPr>
          <w:sz w:val="24"/>
        </w:rPr>
        <w:t>A</w:t>
      </w:r>
      <w:r w:rsidRPr="00265EB9">
        <w:rPr>
          <w:sz w:val="24"/>
        </w:rPr>
        <w:t>djustment procedure</w:t>
      </w:r>
      <w:r w:rsidRPr="00265EB9" w:rsidR="00744360">
        <w:rPr>
          <w:sz w:val="24"/>
        </w:rPr>
        <w:t>s</w:t>
      </w:r>
      <w:r w:rsidRPr="00265EB9">
        <w:rPr>
          <w:sz w:val="24"/>
        </w:rPr>
        <w:t xml:space="preserve"> will be designed </w:t>
      </w:r>
      <w:r w:rsidRPr="00265EB9" w:rsidR="00711E25">
        <w:rPr>
          <w:sz w:val="24"/>
        </w:rPr>
        <w:t xml:space="preserve">as a second step </w:t>
      </w:r>
      <w:r w:rsidRPr="00265EB9">
        <w:rPr>
          <w:sz w:val="24"/>
        </w:rPr>
        <w:t>to reduce nonresponse bias based on the information obtained during th</w:t>
      </w:r>
      <w:r w:rsidRPr="00265EB9" w:rsidR="00711E25">
        <w:rPr>
          <w:sz w:val="24"/>
        </w:rPr>
        <w:t>is investigation</w:t>
      </w:r>
      <w:r w:rsidRPr="00265EB9" w:rsidR="00744360">
        <w:rPr>
          <w:sz w:val="24"/>
        </w:rPr>
        <w:t>.</w:t>
      </w:r>
      <w:r w:rsidRPr="00265EB9" w:rsidR="00203937">
        <w:rPr>
          <w:sz w:val="24"/>
        </w:rPr>
        <w:t xml:space="preserve"> </w:t>
      </w:r>
      <w:r w:rsidRPr="00265EB9">
        <w:rPr>
          <w:sz w:val="24"/>
        </w:rPr>
        <w:t>In the third step</w:t>
      </w:r>
      <w:r w:rsidRPr="00265EB9" w:rsidR="00711E25">
        <w:rPr>
          <w:sz w:val="24"/>
        </w:rPr>
        <w:t>,</w:t>
      </w:r>
      <w:r w:rsidRPr="00265EB9">
        <w:rPr>
          <w:sz w:val="24"/>
        </w:rPr>
        <w:t xml:space="preserve"> the nonresponse-adjusted weights </w:t>
      </w:r>
      <w:r w:rsidRPr="00265EB9" w:rsidR="00711E25">
        <w:rPr>
          <w:sz w:val="24"/>
        </w:rPr>
        <w:t xml:space="preserve">will be applied and </w:t>
      </w:r>
      <w:r w:rsidRPr="00265EB9">
        <w:rPr>
          <w:sz w:val="24"/>
        </w:rPr>
        <w:t xml:space="preserve">any remaining bias for key </w:t>
      </w:r>
      <w:r w:rsidRPr="00265EB9" w:rsidR="00211DE1">
        <w:rPr>
          <w:sz w:val="24"/>
        </w:rPr>
        <w:t>measures</w:t>
      </w:r>
      <w:r w:rsidRPr="00265EB9">
        <w:rPr>
          <w:sz w:val="24"/>
        </w:rPr>
        <w:t xml:space="preserve"> will be estimated</w:t>
      </w:r>
      <w:r w:rsidRPr="00265EB9" w:rsidR="00211DE1">
        <w:rPr>
          <w:sz w:val="24"/>
        </w:rPr>
        <w:t>.</w:t>
      </w:r>
      <w:r w:rsidRPr="00265EB9" w:rsidR="00203937">
        <w:rPr>
          <w:sz w:val="24"/>
        </w:rPr>
        <w:t xml:space="preserve"> </w:t>
      </w:r>
      <w:r w:rsidRPr="00265EB9" w:rsidR="00211DE1">
        <w:rPr>
          <w:sz w:val="24"/>
        </w:rPr>
        <w:t xml:space="preserve">For this purpose, </w:t>
      </w:r>
      <w:r w:rsidRPr="00265EB9">
        <w:rPr>
          <w:sz w:val="24"/>
        </w:rPr>
        <w:t>statistical tests will be performed to determine the significance of any remaining nonresponse bias</w:t>
      </w:r>
      <w:r w:rsidRPr="00265EB9" w:rsidR="00711E25">
        <w:rPr>
          <w:sz w:val="24"/>
        </w:rPr>
        <w:t>es</w:t>
      </w:r>
      <w:r w:rsidRPr="00265EB9" w:rsidR="00744360">
        <w:rPr>
          <w:sz w:val="24"/>
        </w:rPr>
        <w:t>.</w:t>
      </w:r>
      <w:r w:rsidRPr="00265EB9" w:rsidR="00203937">
        <w:rPr>
          <w:sz w:val="24"/>
        </w:rPr>
        <w:t xml:space="preserve"> </w:t>
      </w:r>
      <w:r w:rsidRPr="00265EB9" w:rsidR="00744360">
        <w:rPr>
          <w:sz w:val="24"/>
        </w:rPr>
        <w:t>As mentioned earlier, findings from these investigations</w:t>
      </w:r>
      <w:r w:rsidRPr="00265EB9">
        <w:rPr>
          <w:sz w:val="24"/>
        </w:rPr>
        <w:t xml:space="preserve"> will guide the</w:t>
      </w:r>
      <w:r w:rsidRPr="00265EB9" w:rsidR="00744360">
        <w:rPr>
          <w:sz w:val="24"/>
        </w:rPr>
        <w:t xml:space="preserve"> process of computing </w:t>
      </w:r>
      <w:r w:rsidRPr="00265EB9" w:rsidR="008F7C19">
        <w:rPr>
          <w:sz w:val="24"/>
        </w:rPr>
        <w:t xml:space="preserve">the </w:t>
      </w:r>
      <w:r w:rsidRPr="00265EB9" w:rsidR="00744360">
        <w:rPr>
          <w:sz w:val="24"/>
        </w:rPr>
        <w:t>final analysis</w:t>
      </w:r>
      <w:r w:rsidRPr="00265EB9">
        <w:rPr>
          <w:sz w:val="24"/>
        </w:rPr>
        <w:t xml:space="preserve"> weight</w:t>
      </w:r>
      <w:r w:rsidRPr="00265EB9" w:rsidR="00744360">
        <w:rPr>
          <w:sz w:val="24"/>
        </w:rPr>
        <w:t>s</w:t>
      </w:r>
      <w:r w:rsidRPr="00265EB9">
        <w:rPr>
          <w:sz w:val="24"/>
        </w:rPr>
        <w:t>.</w:t>
      </w:r>
    </w:p>
    <w:p w:rsidRPr="00265EB9" w:rsidR="008B28D1" w:rsidP="008B28D1" w:rsidRDefault="008B28D1" w14:paraId="5241A1DC" w14:textId="77777777">
      <w:pPr>
        <w:pStyle w:val="ListParagraph"/>
        <w:numPr>
          <w:ilvl w:val="1"/>
          <w:numId w:val="2"/>
        </w:numPr>
        <w:tabs>
          <w:tab w:val="clear" w:pos="1152"/>
        </w:tabs>
        <w:spacing w:before="240" w:after="120" w:line="240" w:lineRule="auto"/>
        <w:ind w:left="720" w:hanging="720"/>
        <w:contextualSpacing w:val="0"/>
        <w:rPr>
          <w:b/>
          <w:sz w:val="24"/>
          <w:szCs w:val="24"/>
        </w:rPr>
      </w:pPr>
      <w:r w:rsidRPr="00265EB9">
        <w:rPr>
          <w:b/>
          <w:sz w:val="24"/>
          <w:szCs w:val="24"/>
        </w:rPr>
        <w:t>Imputation of Missing Data</w:t>
      </w:r>
    </w:p>
    <w:p w:rsidRPr="00265EB9" w:rsidR="008B28D1" w:rsidP="008B28D1" w:rsidRDefault="008B28D1" w14:paraId="3AEB66D0" w14:textId="26892030">
      <w:pPr>
        <w:spacing w:before="120" w:after="120" w:line="240" w:lineRule="auto"/>
        <w:rPr>
          <w:color w:val="000000"/>
          <w:sz w:val="24"/>
        </w:rPr>
      </w:pPr>
      <w:r w:rsidRPr="00265EB9">
        <w:rPr>
          <w:sz w:val="24"/>
          <w:szCs w:val="20"/>
        </w:rPr>
        <w:t>All surveys are subject to missing values, which can result from item nonresponse or when observed values fail edit checks an</w:t>
      </w:r>
      <w:r w:rsidRPr="00265EB9" w:rsidR="008F7C19">
        <w:rPr>
          <w:sz w:val="24"/>
          <w:szCs w:val="20"/>
        </w:rPr>
        <w:t>d</w:t>
      </w:r>
      <w:r w:rsidRPr="00265EB9">
        <w:rPr>
          <w:sz w:val="24"/>
          <w:szCs w:val="20"/>
        </w:rPr>
        <w:t xml:space="preserve"> </w:t>
      </w:r>
      <w:r w:rsidRPr="00265EB9" w:rsidR="00065E04">
        <w:rPr>
          <w:sz w:val="24"/>
          <w:szCs w:val="20"/>
        </w:rPr>
        <w:t xml:space="preserve">are then </w:t>
      </w:r>
      <w:r w:rsidRPr="00265EB9">
        <w:rPr>
          <w:sz w:val="24"/>
          <w:szCs w:val="20"/>
        </w:rPr>
        <w:t>set to missing</w:t>
      </w:r>
      <w:r w:rsidRPr="00265EB9" w:rsidR="00744360">
        <w:rPr>
          <w:sz w:val="24"/>
          <w:szCs w:val="20"/>
        </w:rPr>
        <w:t>.</w:t>
      </w:r>
      <w:r w:rsidRPr="00265EB9" w:rsidR="00203937">
        <w:rPr>
          <w:sz w:val="24"/>
          <w:szCs w:val="20"/>
        </w:rPr>
        <w:t xml:space="preserve"> </w:t>
      </w:r>
      <w:r w:rsidRPr="00265EB9">
        <w:rPr>
          <w:color w:val="000000"/>
          <w:sz w:val="24"/>
        </w:rPr>
        <w:t>Left untreated, missing data reduce the size of the analytic database, which in turn increases the resulting error margins for survey estimates</w:t>
      </w:r>
      <w:r w:rsidRPr="00265EB9" w:rsidR="00744360">
        <w:rPr>
          <w:color w:val="000000"/>
          <w:sz w:val="24"/>
        </w:rPr>
        <w:t>.</w:t>
      </w:r>
      <w:r w:rsidRPr="00265EB9" w:rsidR="00203937">
        <w:rPr>
          <w:color w:val="000000"/>
          <w:sz w:val="24"/>
        </w:rPr>
        <w:t xml:space="preserve"> </w:t>
      </w:r>
      <w:r w:rsidRPr="00265EB9">
        <w:rPr>
          <w:color w:val="000000"/>
          <w:sz w:val="24"/>
        </w:rPr>
        <w:t>This can compound into a much bigger problem when conducting multivariate analyses, such as regression, where any missing data of a single variable will lead to omission of the entire record – even when all other variables of that record have no missing values</w:t>
      </w:r>
      <w:r w:rsidRPr="00265EB9" w:rsidR="00744360">
        <w:rPr>
          <w:color w:val="000000"/>
          <w:sz w:val="24"/>
        </w:rPr>
        <w:t>.</w:t>
      </w:r>
      <w:r w:rsidRPr="00265EB9" w:rsidR="00203937">
        <w:rPr>
          <w:color w:val="000000"/>
          <w:sz w:val="24"/>
        </w:rPr>
        <w:t xml:space="preserve"> </w:t>
      </w:r>
      <w:r w:rsidRPr="00265EB9">
        <w:rPr>
          <w:color w:val="000000"/>
          <w:sz w:val="24"/>
        </w:rPr>
        <w:t xml:space="preserve">Moreover, missing data never occur at random and as such can lead to biased estimates when </w:t>
      </w:r>
      <w:r w:rsidRPr="00265EB9">
        <w:rPr>
          <w:color w:val="000000"/>
          <w:sz w:val="24"/>
        </w:rPr>
        <w:lastRenderedPageBreak/>
        <w:t>only observed values are used in statistical inferences</w:t>
      </w:r>
      <w:r w:rsidRPr="00265EB9" w:rsidR="00744360">
        <w:rPr>
          <w:color w:val="000000"/>
          <w:sz w:val="24"/>
        </w:rPr>
        <w:t>.</w:t>
      </w:r>
      <w:r w:rsidRPr="00265EB9" w:rsidR="00203937">
        <w:rPr>
          <w:color w:val="000000"/>
          <w:sz w:val="24"/>
        </w:rPr>
        <w:t xml:space="preserve"> </w:t>
      </w:r>
      <w:r w:rsidRPr="00265EB9">
        <w:rPr>
          <w:color w:val="000000"/>
          <w:sz w:val="24"/>
        </w:rPr>
        <w:t>Consequently, imputation is commonly used as a compensatory method in survey research for filling in the missing data</w:t>
      </w:r>
      <w:r w:rsidRPr="00265EB9">
        <w:rPr>
          <w:rStyle w:val="FootnoteReference"/>
          <w:color w:val="000000"/>
          <w:sz w:val="24"/>
        </w:rPr>
        <w:footnoteReference w:id="2"/>
      </w:r>
      <w:r w:rsidRPr="00265EB9">
        <w:rPr>
          <w:color w:val="000000"/>
          <w:sz w:val="24"/>
        </w:rPr>
        <w:t>.</w:t>
      </w:r>
    </w:p>
    <w:p w:rsidR="008B28D1" w:rsidP="008B28D1" w:rsidRDefault="008B28D1" w14:paraId="73D416FF" w14:textId="0A396921">
      <w:pPr>
        <w:autoSpaceDE w:val="0"/>
        <w:autoSpaceDN w:val="0"/>
        <w:adjustRightInd w:val="0"/>
        <w:spacing w:before="120" w:after="120" w:line="240" w:lineRule="auto"/>
        <w:rPr>
          <w:sz w:val="24"/>
        </w:rPr>
      </w:pPr>
      <w:r w:rsidRPr="00265EB9">
        <w:rPr>
          <w:color w:val="000000"/>
          <w:sz w:val="24"/>
        </w:rPr>
        <w:t>In practice, missing data are often imputed by relying on statistical methods t</w:t>
      </w:r>
      <w:r w:rsidRPr="00265EB9" w:rsidR="008F7C19">
        <w:rPr>
          <w:color w:val="000000"/>
          <w:sz w:val="24"/>
        </w:rPr>
        <w:t>o</w:t>
      </w:r>
      <w:r w:rsidRPr="00265EB9">
        <w:rPr>
          <w:color w:val="000000"/>
          <w:sz w:val="24"/>
        </w:rPr>
        <w:t xml:space="preserve"> </w:t>
      </w:r>
      <w:r w:rsidRPr="00265EB9" w:rsidR="008F7C19">
        <w:rPr>
          <w:color w:val="000000"/>
          <w:sz w:val="24"/>
        </w:rPr>
        <w:t>extrapolate</w:t>
      </w:r>
      <w:r w:rsidRPr="00265EB9">
        <w:rPr>
          <w:color w:val="000000"/>
          <w:sz w:val="24"/>
        </w:rPr>
        <w:t xml:space="preserve"> what </w:t>
      </w:r>
      <w:r w:rsidRPr="00265EB9" w:rsidR="008F7C19">
        <w:rPr>
          <w:color w:val="000000"/>
          <w:sz w:val="24"/>
        </w:rPr>
        <w:t>is</w:t>
      </w:r>
      <w:r w:rsidRPr="00265EB9">
        <w:rPr>
          <w:color w:val="000000"/>
          <w:sz w:val="24"/>
        </w:rPr>
        <w:t xml:space="preserve"> missing based on observed values for a given record and those that serve as donors</w:t>
      </w:r>
      <w:r w:rsidRPr="00265EB9" w:rsidR="00744360">
        <w:rPr>
          <w:color w:val="000000"/>
          <w:sz w:val="24"/>
        </w:rPr>
        <w:t>.</w:t>
      </w:r>
      <w:r w:rsidRPr="00265EB9" w:rsidR="00203937">
        <w:rPr>
          <w:color w:val="000000"/>
          <w:sz w:val="24"/>
        </w:rPr>
        <w:t xml:space="preserve"> </w:t>
      </w:r>
      <w:r w:rsidRPr="00265EB9">
        <w:rPr>
          <w:color w:val="000000"/>
          <w:sz w:val="24"/>
        </w:rPr>
        <w:t xml:space="preserve">Even if all missing values are not imputed, those </w:t>
      </w:r>
      <w:r w:rsidRPr="00265EB9" w:rsidR="008F7C19">
        <w:rPr>
          <w:color w:val="000000"/>
          <w:sz w:val="24"/>
        </w:rPr>
        <w:t xml:space="preserve">from </w:t>
      </w:r>
      <w:r w:rsidRPr="00265EB9">
        <w:rPr>
          <w:color w:val="000000"/>
          <w:sz w:val="24"/>
        </w:rPr>
        <w:t xml:space="preserve">variables that will be needed for weighting have to be </w:t>
      </w:r>
      <w:r w:rsidRPr="00265EB9" w:rsidR="008F7C19">
        <w:rPr>
          <w:color w:val="000000"/>
          <w:sz w:val="24"/>
        </w:rPr>
        <w:t>resolved</w:t>
      </w:r>
      <w:r w:rsidRPr="00265EB9">
        <w:rPr>
          <w:color w:val="000000"/>
          <w:sz w:val="24"/>
        </w:rPr>
        <w:t xml:space="preserve"> before the weighting process can commence</w:t>
      </w:r>
      <w:r w:rsidRPr="00265EB9" w:rsidR="00744360">
        <w:rPr>
          <w:color w:val="000000"/>
          <w:sz w:val="24"/>
        </w:rPr>
        <w:t>.</w:t>
      </w:r>
      <w:r w:rsidRPr="00265EB9" w:rsidR="00203937">
        <w:rPr>
          <w:color w:val="000000"/>
          <w:sz w:val="24"/>
        </w:rPr>
        <w:t xml:space="preserve"> </w:t>
      </w:r>
      <w:r w:rsidRPr="00265EB9">
        <w:rPr>
          <w:color w:val="000000"/>
          <w:sz w:val="24"/>
        </w:rPr>
        <w:t xml:space="preserve">For this purpose, the </w:t>
      </w:r>
      <w:r w:rsidRPr="00265EB9">
        <w:rPr>
          <w:i/>
          <w:color w:val="000000"/>
          <w:sz w:val="24"/>
        </w:rPr>
        <w:t>Weighted Sequential Hot-Deck</w:t>
      </w:r>
      <w:r w:rsidRPr="00265EB9">
        <w:rPr>
          <w:color w:val="000000"/>
          <w:sz w:val="24"/>
        </w:rPr>
        <w:t xml:space="preserve"> method of SUDAAN </w:t>
      </w:r>
      <w:r w:rsidR="00A70F91">
        <w:rPr>
          <w:color w:val="000000"/>
          <w:sz w:val="24"/>
        </w:rPr>
        <w:t>will be used with</w:t>
      </w:r>
      <w:r w:rsidRPr="00265EB9">
        <w:rPr>
          <w:sz w:val="24"/>
        </w:rPr>
        <w:t xml:space="preserve"> the respondent survey data </w:t>
      </w:r>
      <w:r w:rsidR="00A70F91">
        <w:rPr>
          <w:sz w:val="24"/>
        </w:rPr>
        <w:t xml:space="preserve">serving </w:t>
      </w:r>
      <w:r w:rsidRPr="00265EB9">
        <w:rPr>
          <w:sz w:val="24"/>
        </w:rPr>
        <w:t>as donors to provide surrogate values for records with missing values</w:t>
      </w:r>
      <w:r w:rsidRPr="00265EB9" w:rsidR="00744360">
        <w:rPr>
          <w:sz w:val="24"/>
        </w:rPr>
        <w:t>.</w:t>
      </w:r>
      <w:r w:rsidRPr="00265EB9" w:rsidR="00203937">
        <w:rPr>
          <w:sz w:val="24"/>
        </w:rPr>
        <w:t xml:space="preserve"> </w:t>
      </w:r>
      <w:r w:rsidRPr="00265EB9">
        <w:rPr>
          <w:sz w:val="24"/>
        </w:rPr>
        <w:t xml:space="preserve">The basic principle of this methodology involves construction of </w:t>
      </w:r>
      <w:r w:rsidRPr="00265EB9" w:rsidR="008F7C19">
        <w:rPr>
          <w:sz w:val="24"/>
        </w:rPr>
        <w:t xml:space="preserve">homogeneous </w:t>
      </w:r>
      <w:r w:rsidRPr="00265EB9">
        <w:rPr>
          <w:sz w:val="24"/>
        </w:rPr>
        <w:t>imputation classes, which are generally defined by cross-classification of key covariates, and then replacing missing values sequentially from a single pass through the survey data within each imputation class.</w:t>
      </w:r>
    </w:p>
    <w:p w:rsidRPr="00265EB9" w:rsidR="008B28D1" w:rsidP="008B28D1" w:rsidRDefault="008B28D1" w14:paraId="2A8321E2" w14:textId="77777777">
      <w:pPr>
        <w:pStyle w:val="ListParagraph"/>
        <w:numPr>
          <w:ilvl w:val="1"/>
          <w:numId w:val="2"/>
        </w:numPr>
        <w:tabs>
          <w:tab w:val="clear" w:pos="1152"/>
        </w:tabs>
        <w:spacing w:before="240" w:after="120" w:line="240" w:lineRule="auto"/>
        <w:ind w:left="720" w:hanging="720"/>
        <w:contextualSpacing w:val="0"/>
        <w:rPr>
          <w:b/>
          <w:sz w:val="24"/>
          <w:szCs w:val="24"/>
        </w:rPr>
      </w:pPr>
      <w:r w:rsidRPr="00265EB9">
        <w:rPr>
          <w:b/>
          <w:sz w:val="24"/>
          <w:szCs w:val="24"/>
        </w:rPr>
        <w:t>Variance Estimation Approach</w:t>
      </w:r>
    </w:p>
    <w:p w:rsidRPr="00265EB9" w:rsidR="008B28D1" w:rsidP="008B28D1" w:rsidRDefault="008B28D1" w14:paraId="03B7AEA7" w14:textId="735D7966">
      <w:pPr>
        <w:pStyle w:val="Arial12Text"/>
        <w:ind w:firstLine="0"/>
        <w:rPr>
          <w:rFonts w:cs="Times New Roman"/>
          <w:szCs w:val="20"/>
        </w:rPr>
      </w:pPr>
      <w:r w:rsidRPr="00265EB9">
        <w:rPr>
          <w:rFonts w:cs="Times New Roman"/>
          <w:szCs w:val="20"/>
        </w:rPr>
        <w:t xml:space="preserve">Survey estimates </w:t>
      </w:r>
      <w:r w:rsidRPr="00265EB9" w:rsidR="00211DE1">
        <w:rPr>
          <w:rFonts w:cs="Times New Roman"/>
          <w:szCs w:val="20"/>
        </w:rPr>
        <w:t xml:space="preserve">can </w:t>
      </w:r>
      <w:r w:rsidRPr="00265EB9" w:rsidR="00CC2F65">
        <w:rPr>
          <w:rFonts w:cs="Times New Roman"/>
          <w:szCs w:val="20"/>
        </w:rPr>
        <w:t xml:space="preserve">only </w:t>
      </w:r>
      <w:r w:rsidRPr="00265EB9" w:rsidR="00211DE1">
        <w:rPr>
          <w:rFonts w:cs="Times New Roman"/>
          <w:szCs w:val="20"/>
        </w:rPr>
        <w:t xml:space="preserve">be </w:t>
      </w:r>
      <w:r w:rsidRPr="00265EB9">
        <w:rPr>
          <w:rFonts w:cs="Times New Roman"/>
          <w:szCs w:val="20"/>
        </w:rPr>
        <w:t>interpreted properly in light of their associated sampling errors</w:t>
      </w:r>
      <w:r w:rsidRPr="00265EB9" w:rsidR="00744360">
        <w:rPr>
          <w:rFonts w:cs="Times New Roman"/>
          <w:szCs w:val="20"/>
        </w:rPr>
        <w:t>.</w:t>
      </w:r>
      <w:r w:rsidRPr="00265EB9" w:rsidR="00203937">
        <w:rPr>
          <w:rFonts w:cs="Times New Roman"/>
          <w:szCs w:val="20"/>
        </w:rPr>
        <w:t xml:space="preserve"> </w:t>
      </w:r>
      <w:r w:rsidRPr="00265EB9">
        <w:rPr>
          <w:rFonts w:cs="Times New Roman"/>
          <w:szCs w:val="20"/>
        </w:rPr>
        <w:t xml:space="preserve">Since weighting often increases </w:t>
      </w:r>
      <w:r w:rsidRPr="00265EB9" w:rsidR="00F90FC7">
        <w:rPr>
          <w:rFonts w:cs="Times New Roman"/>
          <w:szCs w:val="20"/>
        </w:rPr>
        <w:t xml:space="preserve">the </w:t>
      </w:r>
      <w:r w:rsidRPr="00265EB9">
        <w:rPr>
          <w:rFonts w:cs="Times New Roman"/>
          <w:szCs w:val="20"/>
        </w:rPr>
        <w:t>variance of estimates, use of standard variance calculation formulae with weighted data result</w:t>
      </w:r>
      <w:r w:rsidRPr="00265EB9" w:rsidR="00F90FC7">
        <w:rPr>
          <w:rFonts w:cs="Times New Roman"/>
          <w:szCs w:val="20"/>
        </w:rPr>
        <w:t>s</w:t>
      </w:r>
      <w:r w:rsidRPr="00265EB9">
        <w:rPr>
          <w:rFonts w:cs="Times New Roman"/>
          <w:szCs w:val="20"/>
        </w:rPr>
        <w:t xml:space="preserve"> in </w:t>
      </w:r>
      <w:r w:rsidRPr="00265EB9" w:rsidR="008F7C19">
        <w:rPr>
          <w:rFonts w:cs="Times New Roman"/>
          <w:szCs w:val="20"/>
        </w:rPr>
        <w:t>artificially</w:t>
      </w:r>
      <w:r w:rsidRPr="00265EB9">
        <w:rPr>
          <w:rFonts w:cs="Times New Roman"/>
          <w:szCs w:val="20"/>
        </w:rPr>
        <w:t xml:space="preserve"> narrow confidence intervals and misleading tests of significance</w:t>
      </w:r>
      <w:r w:rsidRPr="00265EB9" w:rsidR="00744360">
        <w:rPr>
          <w:rFonts w:cs="Times New Roman"/>
          <w:szCs w:val="20"/>
        </w:rPr>
        <w:t>.</w:t>
      </w:r>
      <w:r w:rsidRPr="00265EB9" w:rsidR="00203937">
        <w:rPr>
          <w:rFonts w:cs="Times New Roman"/>
          <w:szCs w:val="20"/>
        </w:rPr>
        <w:t xml:space="preserve"> </w:t>
      </w:r>
      <w:r w:rsidRPr="00265EB9">
        <w:rPr>
          <w:rFonts w:cs="Times New Roman"/>
          <w:spacing w:val="-3"/>
          <w:szCs w:val="20"/>
        </w:rPr>
        <w:t>With weighted data, two general approaches for variance estimation can be distinguished</w:t>
      </w:r>
      <w:r w:rsidRPr="00265EB9" w:rsidR="00711E25">
        <w:rPr>
          <w:rFonts w:cs="Times New Roman"/>
          <w:spacing w:val="-3"/>
          <w:szCs w:val="20"/>
        </w:rPr>
        <w:t xml:space="preserve"> to account for the impact of weights</w:t>
      </w:r>
      <w:r w:rsidRPr="00265EB9" w:rsidR="00744360">
        <w:rPr>
          <w:rFonts w:cs="Times New Roman"/>
          <w:spacing w:val="-3"/>
          <w:szCs w:val="20"/>
        </w:rPr>
        <w:t>.</w:t>
      </w:r>
      <w:r w:rsidRPr="00265EB9" w:rsidR="00203937">
        <w:rPr>
          <w:rFonts w:cs="Times New Roman"/>
          <w:spacing w:val="-3"/>
          <w:szCs w:val="20"/>
        </w:rPr>
        <w:t xml:space="preserve"> </w:t>
      </w:r>
      <w:r w:rsidRPr="00265EB9">
        <w:rPr>
          <w:rFonts w:cs="Times New Roman"/>
          <w:spacing w:val="-3"/>
          <w:szCs w:val="20"/>
        </w:rPr>
        <w:t>One is linearization</w:t>
      </w:r>
      <w:r w:rsidRPr="00265EB9" w:rsidR="00711E25">
        <w:rPr>
          <w:rFonts w:cs="Times New Roman"/>
          <w:spacing w:val="-3"/>
          <w:szCs w:val="20"/>
        </w:rPr>
        <w:t xml:space="preserve"> where </w:t>
      </w:r>
      <w:r w:rsidRPr="00265EB9">
        <w:rPr>
          <w:rFonts w:cs="Times New Roman"/>
          <w:spacing w:val="-3"/>
          <w:szCs w:val="20"/>
        </w:rPr>
        <w:t xml:space="preserve">a nonlinear estimator is approximated </w:t>
      </w:r>
      <w:r w:rsidRPr="00265EB9" w:rsidR="00711E25">
        <w:rPr>
          <w:rFonts w:cs="Times New Roman"/>
          <w:spacing w:val="-3"/>
          <w:szCs w:val="20"/>
        </w:rPr>
        <w:t xml:space="preserve">using </w:t>
      </w:r>
      <w:r w:rsidRPr="00265EB9" w:rsidR="008D0E0F">
        <w:rPr>
          <w:rFonts w:cs="Times New Roman"/>
          <w:spacing w:val="-3"/>
          <w:szCs w:val="20"/>
        </w:rPr>
        <w:t>a</w:t>
      </w:r>
      <w:r w:rsidRPr="00265EB9">
        <w:rPr>
          <w:rFonts w:cs="Times New Roman"/>
          <w:spacing w:val="-3"/>
          <w:szCs w:val="20"/>
        </w:rPr>
        <w:t xml:space="preserve"> linear proxy </w:t>
      </w:r>
      <w:r w:rsidRPr="00265EB9" w:rsidR="008F7C19">
        <w:rPr>
          <w:rFonts w:cs="Times New Roman"/>
          <w:spacing w:val="-3"/>
          <w:szCs w:val="20"/>
        </w:rPr>
        <w:t xml:space="preserve">whose variance </w:t>
      </w:r>
      <w:r w:rsidRPr="00265EB9" w:rsidR="00C0572B">
        <w:rPr>
          <w:rFonts w:cs="Times New Roman"/>
          <w:spacing w:val="-3"/>
          <w:szCs w:val="20"/>
        </w:rPr>
        <w:t xml:space="preserve">can </w:t>
      </w:r>
      <w:r w:rsidRPr="00265EB9" w:rsidR="008F7C19">
        <w:rPr>
          <w:rFonts w:cs="Times New Roman"/>
          <w:spacing w:val="-3"/>
          <w:szCs w:val="20"/>
        </w:rPr>
        <w:t>then</w:t>
      </w:r>
      <w:r w:rsidRPr="00265EB9" w:rsidR="00C0572B">
        <w:rPr>
          <w:rFonts w:cs="Times New Roman"/>
          <w:spacing w:val="-3"/>
          <w:szCs w:val="20"/>
        </w:rPr>
        <w:t xml:space="preserve"> be</w:t>
      </w:r>
      <w:r w:rsidRPr="00265EB9" w:rsidR="008F7C19">
        <w:rPr>
          <w:rFonts w:cs="Times New Roman"/>
          <w:spacing w:val="-3"/>
          <w:szCs w:val="20"/>
        </w:rPr>
        <w:t xml:space="preserve"> computed </w:t>
      </w:r>
      <w:r w:rsidRPr="00265EB9">
        <w:rPr>
          <w:rFonts w:cs="Times New Roman"/>
          <w:spacing w:val="-3"/>
          <w:szCs w:val="20"/>
        </w:rPr>
        <w:t>using standard variance estimation methods</w:t>
      </w:r>
      <w:r w:rsidRPr="00265EB9" w:rsidR="00744360">
        <w:rPr>
          <w:rFonts w:cs="Times New Roman"/>
          <w:spacing w:val="-3"/>
          <w:szCs w:val="20"/>
        </w:rPr>
        <w:t>.</w:t>
      </w:r>
      <w:r w:rsidRPr="00265EB9" w:rsidR="00203937">
        <w:rPr>
          <w:rFonts w:cs="Times New Roman"/>
          <w:spacing w:val="-3"/>
          <w:szCs w:val="20"/>
        </w:rPr>
        <w:t xml:space="preserve"> </w:t>
      </w:r>
      <w:r w:rsidRPr="00265EB9">
        <w:rPr>
          <w:rFonts w:cs="Times New Roman"/>
          <w:spacing w:val="-3"/>
          <w:szCs w:val="20"/>
        </w:rPr>
        <w:t>The second is replication, in which several estimates of the population parameters under the study are generated from different, yet comparable, parts of the original sample</w:t>
      </w:r>
      <w:r w:rsidRPr="00265EB9" w:rsidR="00744360">
        <w:rPr>
          <w:rFonts w:cs="Times New Roman"/>
          <w:spacing w:val="-3"/>
          <w:szCs w:val="20"/>
        </w:rPr>
        <w:t>.</w:t>
      </w:r>
      <w:r w:rsidRPr="00265EB9" w:rsidR="00203937">
        <w:rPr>
          <w:rFonts w:cs="Times New Roman"/>
          <w:spacing w:val="-3"/>
          <w:szCs w:val="20"/>
        </w:rPr>
        <w:t xml:space="preserve"> </w:t>
      </w:r>
      <w:r w:rsidRPr="00265EB9">
        <w:rPr>
          <w:rFonts w:cs="Times New Roman"/>
          <w:spacing w:val="-3"/>
          <w:szCs w:val="20"/>
        </w:rPr>
        <w:t>The variability of the resulting estimates is then used to estimate the variance of the parameters of interest.</w:t>
      </w:r>
    </w:p>
    <w:p w:rsidRPr="00265EB9" w:rsidR="008B28D1" w:rsidP="008B28D1" w:rsidRDefault="008B28D1" w14:paraId="38B3DE16" w14:textId="5782C49E">
      <w:pPr>
        <w:pStyle w:val="Arial12Text"/>
        <w:ind w:firstLine="0"/>
        <w:rPr>
          <w:rFonts w:cs="Times New Roman"/>
          <w:szCs w:val="20"/>
        </w:rPr>
      </w:pPr>
      <w:r w:rsidRPr="00265EB9">
        <w:rPr>
          <w:rFonts w:cs="Times New Roman"/>
          <w:szCs w:val="20"/>
        </w:rPr>
        <w:t>With the advances in software and hardware technologies, however, replication is rarely used in practice anymore</w:t>
      </w:r>
      <w:r w:rsidRPr="00265EB9" w:rsidR="00744360">
        <w:rPr>
          <w:rFonts w:cs="Times New Roman"/>
          <w:szCs w:val="20"/>
        </w:rPr>
        <w:t>.</w:t>
      </w:r>
      <w:r w:rsidRPr="00265EB9" w:rsidR="00203937">
        <w:rPr>
          <w:rFonts w:cs="Times New Roman"/>
          <w:szCs w:val="20"/>
        </w:rPr>
        <w:t xml:space="preserve"> </w:t>
      </w:r>
      <w:r w:rsidRPr="00265EB9">
        <w:rPr>
          <w:rFonts w:cs="Times New Roman"/>
          <w:szCs w:val="20"/>
        </w:rPr>
        <w:t>This resource-intensive option requires producing dozens of extra sets of the analysis weights simply for approximation of standard errors</w:t>
      </w:r>
      <w:r w:rsidRPr="00265EB9" w:rsidR="00744360">
        <w:rPr>
          <w:rFonts w:cs="Times New Roman"/>
          <w:szCs w:val="20"/>
        </w:rPr>
        <w:t>.</w:t>
      </w:r>
      <w:r w:rsidRPr="00265EB9" w:rsidR="00203937">
        <w:rPr>
          <w:rFonts w:cs="Times New Roman"/>
          <w:szCs w:val="20"/>
        </w:rPr>
        <w:t xml:space="preserve"> </w:t>
      </w:r>
      <w:r w:rsidRPr="00265EB9">
        <w:rPr>
          <w:rFonts w:cs="Times New Roman"/>
          <w:szCs w:val="20"/>
        </w:rPr>
        <w:t xml:space="preserve">For these reasons, the method of linearization </w:t>
      </w:r>
      <w:r w:rsidR="00A70F91">
        <w:rPr>
          <w:rFonts w:cs="Times New Roman"/>
          <w:szCs w:val="20"/>
        </w:rPr>
        <w:t xml:space="preserve">will be used </w:t>
      </w:r>
      <w:r w:rsidRPr="00265EB9">
        <w:rPr>
          <w:rFonts w:cs="Times New Roman"/>
          <w:szCs w:val="20"/>
        </w:rPr>
        <w:t>for this survey to avoid the need for special software that may not be accessible for most data users</w:t>
      </w:r>
      <w:r w:rsidRPr="00265EB9" w:rsidR="00744360">
        <w:rPr>
          <w:rFonts w:cs="Times New Roman"/>
          <w:szCs w:val="20"/>
        </w:rPr>
        <w:t>.</w:t>
      </w:r>
      <w:r w:rsidRPr="00265EB9" w:rsidR="00203937">
        <w:rPr>
          <w:rFonts w:cs="Times New Roman"/>
          <w:szCs w:val="20"/>
        </w:rPr>
        <w:t xml:space="preserve"> </w:t>
      </w:r>
      <w:r w:rsidRPr="00265EB9">
        <w:rPr>
          <w:rFonts w:cs="Times New Roman"/>
          <w:szCs w:val="20"/>
        </w:rPr>
        <w:t>More detailed descriptions of these variance estimation options may be found in Wolter (1985)</w:t>
      </w:r>
      <w:r w:rsidRPr="00265EB9">
        <w:rPr>
          <w:rStyle w:val="FootnoteReference"/>
          <w:rFonts w:cs="Times New Roman"/>
          <w:szCs w:val="20"/>
        </w:rPr>
        <w:footnoteReference w:id="3"/>
      </w:r>
      <w:r w:rsidRPr="00265EB9">
        <w:rPr>
          <w:rFonts w:cs="Times New Roman"/>
          <w:szCs w:val="20"/>
        </w:rPr>
        <w:t>.</w:t>
      </w:r>
    </w:p>
    <w:p w:rsidRPr="00265EB9" w:rsidR="00C0572B" w:rsidP="00C0572B" w:rsidRDefault="00C0572B" w14:paraId="675BCC47" w14:textId="6AB158FE">
      <w:pPr>
        <w:spacing w:before="120" w:after="120" w:line="240" w:lineRule="auto"/>
        <w:rPr>
          <w:sz w:val="24"/>
        </w:rPr>
      </w:pPr>
      <w:r w:rsidRPr="00265EB9">
        <w:rPr>
          <w:sz w:val="24"/>
        </w:rPr>
        <w:t>Of note, there is another approximation method available for less technical users.</w:t>
      </w:r>
      <w:r w:rsidRPr="00265EB9" w:rsidR="00203937">
        <w:rPr>
          <w:sz w:val="24"/>
        </w:rPr>
        <w:t xml:space="preserve"> </w:t>
      </w:r>
      <w:r w:rsidRPr="00265EB9">
        <w:rPr>
          <w:sz w:val="24"/>
        </w:rPr>
        <w:t>Specifically, one can account for variance inflation due to weighting by simply adjusting the sample size by an estimate of the overall design effect and then use the resulting effective sample size when computing variances.</w:t>
      </w:r>
      <w:r w:rsidRPr="00265EB9" w:rsidR="00203937">
        <w:rPr>
          <w:sz w:val="24"/>
        </w:rPr>
        <w:t xml:space="preserve"> </w:t>
      </w:r>
      <w:r w:rsidRPr="00265EB9">
        <w:rPr>
          <w:sz w:val="24"/>
        </w:rPr>
        <w:t>For instance, the adjusted variance of a point estimate (</w:t>
      </w:r>
      <w:r w:rsidRPr="00D23FE1">
        <w:rPr>
          <w:position w:val="-10"/>
          <w:sz w:val="24"/>
        </w:rPr>
        <w:object w:dxaOrig="240" w:dyaOrig="320" w14:anchorId="2878399C">
          <v:shape id="_x0000_i1026" style="width:11.25pt;height:15.75pt" filled="t" o:ole="" type="#_x0000_t75">
            <v:imagedata o:title="" r:id="rId14"/>
          </v:shape>
          <o:OLEObject Type="Embed" ProgID="Equation.3" ShapeID="_x0000_i1026" DrawAspect="Content" ObjectID="_1649774091" r:id="rId15"/>
        </w:object>
      </w:r>
      <w:r w:rsidRPr="00265EB9">
        <w:rPr>
          <w:sz w:val="24"/>
        </w:rPr>
        <w:t xml:space="preserve">) can then be obtained by multiplying the conventional variance of the given percentage, </w:t>
      </w:r>
      <m:oMath>
        <m:sSup>
          <m:sSupPr>
            <m:ctrlPr>
              <w:rPr>
                <w:rFonts w:ascii="Cambria Math" w:hAnsi="Cambria Math"/>
                <w:i/>
                <w:sz w:val="24"/>
              </w:rPr>
            </m:ctrlPr>
          </m:sSupPr>
          <m:e>
            <m:r>
              <w:rPr>
                <w:rFonts w:ascii="Cambria Math" w:hAnsi="Cambria Math"/>
                <w:sz w:val="24"/>
              </w:rPr>
              <m:t>S</m:t>
            </m:r>
          </m:e>
          <m:sup>
            <m:r>
              <w:rPr>
                <w:rFonts w:ascii="Cambria Math" w:hAnsi="Cambria Math"/>
                <w:sz w:val="24"/>
              </w:rPr>
              <m:t>2</m:t>
            </m:r>
          </m:sup>
        </m:sSup>
        <m:r>
          <w:rPr>
            <w:rFonts w:ascii="Cambria Math" w:hAnsi="Cambria Math"/>
            <w:sz w:val="24"/>
          </w:rPr>
          <m:t>(</m:t>
        </m:r>
        <m:acc>
          <m:accPr>
            <m:ctrlPr>
              <w:rPr>
                <w:rFonts w:ascii="Cambria Math" w:hAnsi="Cambria Math"/>
                <w:i/>
                <w:sz w:val="24"/>
              </w:rPr>
            </m:ctrlPr>
          </m:accPr>
          <m:e>
            <m:r>
              <w:rPr>
                <w:rFonts w:ascii="Cambria Math" w:hAnsi="Cambria Math"/>
                <w:sz w:val="24"/>
              </w:rPr>
              <m:t>P</m:t>
            </m:r>
          </m:e>
        </m:acc>
        <m:r>
          <w:rPr>
            <w:rFonts w:ascii="Cambria Math" w:hAnsi="Cambria Math"/>
            <w:sz w:val="24"/>
          </w:rPr>
          <m:t>)</m:t>
        </m:r>
      </m:oMath>
      <w:r w:rsidRPr="00265EB9">
        <w:rPr>
          <w:sz w:val="24"/>
        </w:rPr>
        <w:t xml:space="preserve">, by </w:t>
      </w:r>
      <w:r w:rsidRPr="00265EB9">
        <w:rPr>
          <w:i/>
          <w:sz w:val="24"/>
        </w:rPr>
        <w:sym w:font="Symbol" w:char="F064"/>
      </w:r>
      <w:r w:rsidRPr="00265EB9" w:rsidR="00203937">
        <w:rPr>
          <w:sz w:val="24"/>
        </w:rPr>
        <w:t xml:space="preserve"> </w:t>
      </w:r>
      <w:r w:rsidRPr="00265EB9">
        <w:rPr>
          <w:sz w:val="24"/>
        </w:rPr>
        <w:t>and then using the resulting quantity as adjusted variance:</w:t>
      </w:r>
    </w:p>
    <w:p w:rsidRPr="00265EB9" w:rsidR="00C0572B" w:rsidP="00C0572B" w:rsidRDefault="00C0572B" w14:paraId="47B8BB46" w14:textId="77777777">
      <w:pPr>
        <w:spacing w:before="120" w:after="120" w:line="240" w:lineRule="auto"/>
        <w:jc w:val="center"/>
        <w:rPr>
          <w:sz w:val="24"/>
        </w:rPr>
      </w:pPr>
      <w:r w:rsidRPr="00D23FE1">
        <w:rPr>
          <w:position w:val="-24"/>
          <w:sz w:val="24"/>
        </w:rPr>
        <w:object w:dxaOrig="4220" w:dyaOrig="620" w14:anchorId="2746CFE5">
          <v:shape id="_x0000_i1027" style="width:211.5pt;height:32.25pt" filled="t" o:ole="" type="#_x0000_t75">
            <v:imagedata o:title="" r:id="rId16"/>
          </v:shape>
          <o:OLEObject Type="Embed" ProgID="Equation.3" ShapeID="_x0000_i1027" DrawAspect="Content" ObjectID="_1649774092" r:id="rId17"/>
        </w:object>
      </w:r>
    </w:p>
    <w:p w:rsidRPr="00265EB9" w:rsidR="00C0572B" w:rsidP="00C0572B" w:rsidRDefault="00C0572B" w14:paraId="14F55376" w14:textId="77777777">
      <w:pPr>
        <w:spacing w:before="120" w:after="120" w:line="240" w:lineRule="auto"/>
        <w:rPr>
          <w:sz w:val="24"/>
        </w:rPr>
      </w:pPr>
      <w:r w:rsidRPr="00265EB9">
        <w:rPr>
          <w:sz w:val="24"/>
        </w:rPr>
        <w:t>Subsequently, the (100-</w:t>
      </w:r>
      <w:r w:rsidRPr="00265EB9">
        <w:rPr>
          <w:i/>
          <w:iCs/>
          <w:sz w:val="24"/>
        </w:rPr>
        <w:t>α</w:t>
      </w:r>
      <w:r w:rsidRPr="00265EB9">
        <w:rPr>
          <w:sz w:val="24"/>
        </w:rPr>
        <w:t>) percent confidence interval for the point estimate (</w:t>
      </w:r>
      <w:r w:rsidRPr="00D23FE1">
        <w:rPr>
          <w:position w:val="-10"/>
          <w:sz w:val="24"/>
        </w:rPr>
        <w:object w:dxaOrig="240" w:dyaOrig="320" w14:anchorId="62A23CD6">
          <v:shape id="_x0000_i1028" style="width:11.25pt;height:15.75pt" filled="t" o:ole="" type="#_x0000_t75">
            <v:imagedata o:title="" r:id="rId14"/>
          </v:shape>
          <o:OLEObject Type="Embed" ProgID="Equation.3" ShapeID="_x0000_i1028" DrawAspect="Content" ObjectID="_1649774093" r:id="rId18"/>
        </w:object>
      </w:r>
      <w:r w:rsidRPr="00265EB9">
        <w:rPr>
          <w:sz w:val="24"/>
        </w:rPr>
        <w:t>) can be approximated by:</w:t>
      </w:r>
    </w:p>
    <w:p w:rsidRPr="00265EB9" w:rsidR="00735EB7" w:rsidP="00BB7434" w:rsidRDefault="00C0572B" w14:paraId="228F7FFB" w14:textId="77777777">
      <w:pPr>
        <w:tabs>
          <w:tab w:val="clear" w:pos="1152"/>
        </w:tabs>
        <w:spacing w:before="120" w:after="120" w:line="240" w:lineRule="auto"/>
        <w:jc w:val="center"/>
        <w:rPr>
          <w:sz w:val="28"/>
          <w:szCs w:val="24"/>
        </w:rPr>
      </w:pPr>
      <w:r w:rsidRPr="00D23FE1">
        <w:rPr>
          <w:position w:val="-26"/>
          <w:sz w:val="24"/>
        </w:rPr>
        <w:object w:dxaOrig="6979" w:dyaOrig="700" w14:anchorId="0504C3E0">
          <v:shape id="_x0000_i1029" style="width:348.75pt;height:34.5pt" filled="t" o:ole="" type="#_x0000_t75">
            <v:imagedata o:title="" r:id="rId19"/>
          </v:shape>
          <o:OLEObject Type="Embed" ProgID="Equation.3" ShapeID="_x0000_i1029" DrawAspect="Content" ObjectID="_1649774094" r:id="rId20"/>
        </w:object>
      </w:r>
    </w:p>
    <w:p w:rsidRPr="00265EB9" w:rsidR="00D96A33" w:rsidP="00D96A33" w:rsidRDefault="00D96A33" w14:paraId="762D76CE" w14:textId="77777777">
      <w:pPr>
        <w:pStyle w:val="ListParagraph"/>
        <w:numPr>
          <w:ilvl w:val="0"/>
          <w:numId w:val="2"/>
        </w:numPr>
        <w:tabs>
          <w:tab w:val="clear" w:pos="1152"/>
        </w:tabs>
        <w:spacing w:before="240" w:after="120" w:line="240" w:lineRule="auto"/>
        <w:contextualSpacing w:val="0"/>
        <w:rPr>
          <w:b/>
          <w:sz w:val="28"/>
          <w:szCs w:val="24"/>
        </w:rPr>
      </w:pPr>
      <w:r w:rsidRPr="00265EB9">
        <w:rPr>
          <w:b/>
          <w:sz w:val="28"/>
          <w:szCs w:val="24"/>
        </w:rPr>
        <w:t>Maximizing Response Rate</w:t>
      </w:r>
    </w:p>
    <w:p w:rsidRPr="00265EB9" w:rsidR="00D96A33" w:rsidP="00D96A33" w:rsidRDefault="00D96A33" w14:paraId="4933A6A2" w14:textId="32DA6679">
      <w:pPr>
        <w:spacing w:before="120" w:after="120" w:line="240" w:lineRule="auto"/>
        <w:rPr>
          <w:sz w:val="24"/>
          <w:szCs w:val="24"/>
        </w:rPr>
      </w:pPr>
      <w:r w:rsidRPr="00265EB9">
        <w:rPr>
          <w:sz w:val="24"/>
          <w:szCs w:val="24"/>
        </w:rPr>
        <w:t xml:space="preserve">Engaging respondents with simple, clear, and effective communications and a concise, straightforward, and interesting survey instrument is the foundation of any successful survey. Communications around the </w:t>
      </w:r>
      <w:r w:rsidRPr="00265EB9" w:rsidR="00A70F91">
        <w:rPr>
          <w:sz w:val="24"/>
          <w:szCs w:val="24"/>
        </w:rPr>
        <w:t xml:space="preserve">2020 </w:t>
      </w:r>
      <w:r w:rsidRPr="00265EB9">
        <w:rPr>
          <w:sz w:val="24"/>
          <w:szCs w:val="24"/>
        </w:rPr>
        <w:t>NHTS will convey the importance, relevance, and societal value of the research in which panelists are being asked to participate.</w:t>
      </w:r>
    </w:p>
    <w:p w:rsidRPr="00265EB9" w:rsidR="00D96A33" w:rsidP="00D96A33" w:rsidRDefault="00D96A33" w14:paraId="5D8C80F9" w14:textId="4B185120">
      <w:pPr>
        <w:tabs>
          <w:tab w:val="clear" w:pos="1152"/>
          <w:tab w:val="left" w:pos="720"/>
        </w:tabs>
        <w:spacing w:before="120" w:after="120" w:line="240" w:lineRule="auto"/>
        <w:rPr>
          <w:sz w:val="24"/>
          <w:szCs w:val="24"/>
        </w:rPr>
      </w:pPr>
      <w:r w:rsidRPr="00265EB9">
        <w:rPr>
          <w:sz w:val="24"/>
          <w:szCs w:val="24"/>
        </w:rPr>
        <w:t>Moreover, modest incentives will be used to engage respondents and entice completion.</w:t>
      </w:r>
      <w:r w:rsidRPr="00265EB9" w:rsidR="00203937">
        <w:rPr>
          <w:sz w:val="24"/>
          <w:szCs w:val="24"/>
        </w:rPr>
        <w:t xml:space="preserve"> </w:t>
      </w:r>
      <w:r w:rsidRPr="00265EB9">
        <w:rPr>
          <w:sz w:val="24"/>
          <w:szCs w:val="24"/>
        </w:rPr>
        <w:t xml:space="preserve">The key is to find a level of incentive that sufficiently motivates behavior without being excessive. Upon completion of the recruitment survey, </w:t>
      </w:r>
      <w:r w:rsidRPr="00265EB9" w:rsidR="00C679DE">
        <w:rPr>
          <w:sz w:val="24"/>
          <w:szCs w:val="24"/>
        </w:rPr>
        <w:t xml:space="preserve">the </w:t>
      </w:r>
      <w:r w:rsidRPr="00265EB9">
        <w:rPr>
          <w:sz w:val="24"/>
          <w:szCs w:val="24"/>
        </w:rPr>
        <w:t>KP respondent will be awarded the equivalent of $2.</w:t>
      </w:r>
      <w:r w:rsidRPr="00265EB9" w:rsidR="00203937">
        <w:rPr>
          <w:sz w:val="24"/>
          <w:szCs w:val="24"/>
        </w:rPr>
        <w:t xml:space="preserve"> </w:t>
      </w:r>
      <w:r w:rsidRPr="00265EB9" w:rsidR="00C679DE">
        <w:rPr>
          <w:sz w:val="24"/>
          <w:szCs w:val="24"/>
        </w:rPr>
        <w:t>KP r</w:t>
      </w:r>
      <w:r w:rsidRPr="00265EB9">
        <w:rPr>
          <w:sz w:val="24"/>
          <w:szCs w:val="24"/>
        </w:rPr>
        <w:t xml:space="preserve">ewards are provided in terms of points, which </w:t>
      </w:r>
      <w:r w:rsidRPr="00265EB9" w:rsidR="00C679DE">
        <w:rPr>
          <w:sz w:val="24"/>
          <w:szCs w:val="24"/>
        </w:rPr>
        <w:t>are</w:t>
      </w:r>
      <w:r w:rsidRPr="00265EB9">
        <w:rPr>
          <w:sz w:val="24"/>
          <w:szCs w:val="24"/>
        </w:rPr>
        <w:t xml:space="preserve"> redeemable for cash or other prizes at panelists’ choosing.</w:t>
      </w:r>
      <w:r w:rsidRPr="00265EB9" w:rsidR="00203937">
        <w:rPr>
          <w:sz w:val="24"/>
          <w:szCs w:val="24"/>
        </w:rPr>
        <w:t xml:space="preserve"> </w:t>
      </w:r>
      <w:r w:rsidRPr="00265EB9">
        <w:rPr>
          <w:sz w:val="24"/>
          <w:szCs w:val="24"/>
        </w:rPr>
        <w:t>The incentive for completing a travel diary for all household members 5 and older varies depending on the size of the household since the burden is higher for those in larger households.</w:t>
      </w:r>
      <w:r w:rsidRPr="00265EB9" w:rsidR="00203937">
        <w:rPr>
          <w:sz w:val="24"/>
          <w:szCs w:val="24"/>
        </w:rPr>
        <w:t xml:space="preserve"> </w:t>
      </w:r>
      <w:r w:rsidRPr="00265EB9">
        <w:rPr>
          <w:sz w:val="24"/>
          <w:szCs w:val="24"/>
        </w:rPr>
        <w:t xml:space="preserve">Households with </w:t>
      </w:r>
      <w:r w:rsidR="005A57C2">
        <w:rPr>
          <w:sz w:val="24"/>
          <w:szCs w:val="24"/>
        </w:rPr>
        <w:t>three</w:t>
      </w:r>
      <w:r w:rsidRPr="00265EB9" w:rsidR="005A57C2">
        <w:rPr>
          <w:sz w:val="24"/>
          <w:szCs w:val="24"/>
        </w:rPr>
        <w:t xml:space="preserve"> </w:t>
      </w:r>
      <w:r w:rsidRPr="00265EB9">
        <w:rPr>
          <w:sz w:val="24"/>
          <w:szCs w:val="24"/>
        </w:rPr>
        <w:t>or fewer eligible members (i.e., 5 years of age or older) will receive $5 when all householders complete the travel survey.</w:t>
      </w:r>
      <w:r w:rsidRPr="00265EB9" w:rsidR="00203937">
        <w:rPr>
          <w:sz w:val="24"/>
          <w:szCs w:val="24"/>
        </w:rPr>
        <w:t xml:space="preserve"> </w:t>
      </w:r>
      <w:r w:rsidRPr="00265EB9">
        <w:rPr>
          <w:sz w:val="24"/>
          <w:szCs w:val="24"/>
        </w:rPr>
        <w:t xml:space="preserve">Households with </w:t>
      </w:r>
      <w:r w:rsidR="005A57C2">
        <w:rPr>
          <w:sz w:val="24"/>
          <w:szCs w:val="24"/>
        </w:rPr>
        <w:t>four</w:t>
      </w:r>
      <w:r w:rsidRPr="00265EB9" w:rsidR="005A57C2">
        <w:rPr>
          <w:sz w:val="24"/>
          <w:szCs w:val="24"/>
        </w:rPr>
        <w:t xml:space="preserve"> </w:t>
      </w:r>
      <w:r w:rsidRPr="00265EB9">
        <w:rPr>
          <w:sz w:val="24"/>
          <w:szCs w:val="24"/>
        </w:rPr>
        <w:t>or more eligible members will receive $10 for when all householders complete the travel survey.</w:t>
      </w:r>
    </w:p>
    <w:p w:rsidRPr="00265EB9" w:rsidR="00D96A33" w:rsidP="00D96A33" w:rsidRDefault="00D96A33" w14:paraId="723CAE6A" w14:textId="44254EBA">
      <w:pPr>
        <w:tabs>
          <w:tab w:val="clear" w:pos="1152"/>
          <w:tab w:val="left" w:pos="720"/>
        </w:tabs>
        <w:spacing w:before="120" w:after="120" w:line="240" w:lineRule="auto"/>
        <w:rPr>
          <w:sz w:val="24"/>
          <w:szCs w:val="24"/>
        </w:rPr>
      </w:pPr>
      <w:r w:rsidRPr="00265EB9">
        <w:rPr>
          <w:sz w:val="24"/>
          <w:szCs w:val="24"/>
        </w:rPr>
        <w:t xml:space="preserve">In order to facilitate responses from those with disabilities, the online survey </w:t>
      </w:r>
      <w:r w:rsidR="007E5BDB">
        <w:rPr>
          <w:sz w:val="24"/>
          <w:szCs w:val="24"/>
        </w:rPr>
        <w:t xml:space="preserve">will </w:t>
      </w:r>
      <w:r w:rsidRPr="00265EB9">
        <w:rPr>
          <w:sz w:val="24"/>
          <w:szCs w:val="24"/>
        </w:rPr>
        <w:t>meet Section 508 compliance using the rules specified in sections 1194.22.</w:t>
      </w:r>
      <w:r w:rsidRPr="00265EB9" w:rsidR="00203937">
        <w:rPr>
          <w:sz w:val="24"/>
          <w:szCs w:val="24"/>
        </w:rPr>
        <w:t xml:space="preserve"> </w:t>
      </w:r>
      <w:r w:rsidRPr="00265EB9">
        <w:rPr>
          <w:sz w:val="24"/>
          <w:szCs w:val="24"/>
        </w:rPr>
        <w:t>Furthermore, the share of online surveys completed via smartphones and other mobile devices has dramatically increased over the past several years.</w:t>
      </w:r>
      <w:r w:rsidRPr="00265EB9" w:rsidR="00203937">
        <w:rPr>
          <w:sz w:val="24"/>
          <w:szCs w:val="24"/>
        </w:rPr>
        <w:t xml:space="preserve"> </w:t>
      </w:r>
      <w:r w:rsidRPr="00265EB9">
        <w:rPr>
          <w:sz w:val="24"/>
          <w:szCs w:val="24"/>
        </w:rPr>
        <w:t>Typically, a higher share of young people and persons of color respond with a mobile device.</w:t>
      </w:r>
      <w:r w:rsidRPr="00265EB9" w:rsidR="00203937">
        <w:rPr>
          <w:sz w:val="24"/>
          <w:szCs w:val="24"/>
        </w:rPr>
        <w:t xml:space="preserve"> </w:t>
      </w:r>
      <w:r w:rsidRPr="00265EB9">
        <w:rPr>
          <w:sz w:val="24"/>
          <w:szCs w:val="24"/>
        </w:rPr>
        <w:t xml:space="preserve">To ensure that all people, regardless of their completion device of choice, can access and easily complete the survey, </w:t>
      </w:r>
      <w:r w:rsidR="00A70F91">
        <w:rPr>
          <w:sz w:val="24"/>
          <w:szCs w:val="24"/>
        </w:rPr>
        <w:t>the survey will be</w:t>
      </w:r>
      <w:r w:rsidRPr="00265EB9">
        <w:rPr>
          <w:sz w:val="24"/>
          <w:szCs w:val="24"/>
        </w:rPr>
        <w:t xml:space="preserve"> design</w:t>
      </w:r>
      <w:r w:rsidR="00A70F91">
        <w:rPr>
          <w:sz w:val="24"/>
          <w:szCs w:val="24"/>
        </w:rPr>
        <w:t>ed</w:t>
      </w:r>
      <w:r w:rsidRPr="00265EB9">
        <w:rPr>
          <w:sz w:val="24"/>
          <w:szCs w:val="24"/>
        </w:rPr>
        <w:t xml:space="preserve"> to be mobile-friendly.</w:t>
      </w:r>
      <w:r w:rsidRPr="00265EB9" w:rsidR="00203937">
        <w:rPr>
          <w:sz w:val="24"/>
          <w:szCs w:val="24"/>
        </w:rPr>
        <w:t xml:space="preserve"> </w:t>
      </w:r>
    </w:p>
    <w:p w:rsidR="00D96A33" w:rsidP="00D96A33" w:rsidRDefault="00D96A33" w14:paraId="1CFC102C" w14:textId="03C3300F">
      <w:pPr>
        <w:tabs>
          <w:tab w:val="clear" w:pos="1152"/>
        </w:tabs>
        <w:spacing w:before="120" w:after="120" w:line="240" w:lineRule="auto"/>
        <w:rPr>
          <w:sz w:val="24"/>
          <w:szCs w:val="24"/>
        </w:rPr>
      </w:pPr>
      <w:r w:rsidRPr="00265EB9">
        <w:rPr>
          <w:sz w:val="24"/>
          <w:szCs w:val="24"/>
        </w:rPr>
        <w:t xml:space="preserve">Finally, all </w:t>
      </w:r>
      <w:r w:rsidRPr="00265EB9" w:rsidR="00A70F91">
        <w:rPr>
          <w:sz w:val="24"/>
          <w:szCs w:val="24"/>
        </w:rPr>
        <w:t xml:space="preserve">2020 </w:t>
      </w:r>
      <w:r w:rsidRPr="00265EB9">
        <w:rPr>
          <w:sz w:val="24"/>
          <w:szCs w:val="24"/>
        </w:rPr>
        <w:t>NHTS survey materials will be available in both English and Spanish language</w:t>
      </w:r>
      <w:r w:rsidRPr="00265EB9" w:rsidR="000D27CB">
        <w:rPr>
          <w:sz w:val="24"/>
          <w:szCs w:val="24"/>
        </w:rPr>
        <w:t>s</w:t>
      </w:r>
      <w:r w:rsidRPr="00265EB9">
        <w:rPr>
          <w:sz w:val="24"/>
          <w:szCs w:val="24"/>
        </w:rPr>
        <w:t xml:space="preserve"> to help maximize participation by Hispanic households.</w:t>
      </w:r>
      <w:r w:rsidRPr="00265EB9" w:rsidR="00203937">
        <w:rPr>
          <w:sz w:val="24"/>
          <w:szCs w:val="24"/>
        </w:rPr>
        <w:t xml:space="preserve"> </w:t>
      </w:r>
      <w:r w:rsidR="00A70F91">
        <w:rPr>
          <w:sz w:val="24"/>
          <w:szCs w:val="24"/>
        </w:rPr>
        <w:t xml:space="preserve">This is standard practice for KP surveys </w:t>
      </w:r>
      <w:r w:rsidRPr="00265EB9">
        <w:rPr>
          <w:sz w:val="24"/>
          <w:szCs w:val="24"/>
        </w:rPr>
        <w:t>and, as such,</w:t>
      </w:r>
      <w:r w:rsidRPr="00265EB9" w:rsidR="000D27CB">
        <w:rPr>
          <w:sz w:val="24"/>
          <w:szCs w:val="24"/>
        </w:rPr>
        <w:t xml:space="preserve"> the panel</w:t>
      </w:r>
      <w:r w:rsidRPr="00265EB9">
        <w:rPr>
          <w:sz w:val="24"/>
          <w:szCs w:val="24"/>
        </w:rPr>
        <w:t xml:space="preserve"> includes panelists who prefer to take surveys in Spanish.</w:t>
      </w:r>
      <w:r w:rsidRPr="00265EB9" w:rsidR="00203937">
        <w:rPr>
          <w:sz w:val="24"/>
          <w:szCs w:val="24"/>
        </w:rPr>
        <w:t xml:space="preserve"> </w:t>
      </w:r>
      <w:r w:rsidRPr="00265EB9">
        <w:rPr>
          <w:sz w:val="24"/>
          <w:szCs w:val="24"/>
        </w:rPr>
        <w:t>Offering both languages helps ensure representativeness among the rapidly growing population of Hispanics in the U</w:t>
      </w:r>
      <w:r w:rsidR="005A57C2">
        <w:rPr>
          <w:sz w:val="24"/>
          <w:szCs w:val="24"/>
        </w:rPr>
        <w:t>.</w:t>
      </w:r>
      <w:r w:rsidRPr="00265EB9">
        <w:rPr>
          <w:sz w:val="24"/>
          <w:szCs w:val="24"/>
        </w:rPr>
        <w:t>S.</w:t>
      </w:r>
    </w:p>
    <w:p w:rsidRPr="00265EB9" w:rsidR="00936BC2" w:rsidP="00E627CE" w:rsidRDefault="00936BC2" w14:paraId="72176971" w14:textId="287A57D3">
      <w:pPr>
        <w:spacing w:line="240" w:lineRule="auto"/>
        <w:contextualSpacing/>
        <w:rPr>
          <w:sz w:val="24"/>
          <w:szCs w:val="24"/>
        </w:rPr>
      </w:pPr>
      <w:r w:rsidRPr="00A67E4F">
        <w:rPr>
          <w:sz w:val="24"/>
          <w:szCs w:val="24"/>
        </w:rPr>
        <w:t xml:space="preserve">Previous NHTS studies have used a variety of methodologies and modes of data collection (e.g., face to face, telephone, or web).  As previously noted, the 2017 NHTS utilized a two-step methodological approach.  First, a national ABS sample of respondents were recruited primarily by mail.  </w:t>
      </w:r>
      <w:r w:rsidRPr="00A67E4F" w:rsidR="003032D5">
        <w:rPr>
          <w:sz w:val="24"/>
          <w:szCs w:val="24"/>
        </w:rPr>
        <w:t xml:space="preserve">Among those completing the Recruitment Survey, </w:t>
      </w:r>
      <w:r w:rsidRPr="00A67E4F">
        <w:rPr>
          <w:sz w:val="24"/>
          <w:szCs w:val="24"/>
        </w:rPr>
        <w:t xml:space="preserve">95% of respondents </w:t>
      </w:r>
      <w:r w:rsidRPr="00A67E4F" w:rsidR="003032D5">
        <w:rPr>
          <w:sz w:val="24"/>
          <w:szCs w:val="24"/>
        </w:rPr>
        <w:t xml:space="preserve">did so by mailing back a paper survey </w:t>
      </w:r>
      <w:r w:rsidRPr="00A67E4F">
        <w:rPr>
          <w:sz w:val="24"/>
          <w:szCs w:val="24"/>
        </w:rPr>
        <w:t xml:space="preserve">and surveys were considered complete if </w:t>
      </w:r>
      <w:r w:rsidRPr="00A67E4F" w:rsidR="00B80841">
        <w:rPr>
          <w:sz w:val="24"/>
          <w:szCs w:val="24"/>
        </w:rPr>
        <w:t>simply</w:t>
      </w:r>
      <w:r w:rsidRPr="00A67E4F">
        <w:rPr>
          <w:sz w:val="24"/>
          <w:szCs w:val="24"/>
        </w:rPr>
        <w:t xml:space="preserve"> the total household size was provided.  Second, households were recontacted and subsequently completed the Retrieval Surveys either via telephone or web.  The 2017 NHTS User Guide reports for the national sample weighted response rates of 31.3% for the Recruitment Survey, 52.1% for the Retrieval Survey, and 16.3% overall. </w:t>
      </w:r>
      <w:r w:rsidRPr="00A67E4F" w:rsidR="00F061C5">
        <w:rPr>
          <w:sz w:val="24"/>
          <w:szCs w:val="24"/>
        </w:rPr>
        <w:t xml:space="preserve"> The 2020 NHTS anticipates a response rate</w:t>
      </w:r>
      <w:r w:rsidRPr="00A67E4F" w:rsidR="00E627CE">
        <w:rPr>
          <w:sz w:val="24"/>
          <w:szCs w:val="24"/>
        </w:rPr>
        <w:t>s</w:t>
      </w:r>
      <w:r w:rsidRPr="00A67E4F" w:rsidR="00F061C5">
        <w:rPr>
          <w:sz w:val="24"/>
          <w:szCs w:val="24"/>
        </w:rPr>
        <w:t xml:space="preserve"> of </w:t>
      </w:r>
      <w:r w:rsidRPr="00A67E4F" w:rsidR="00E627CE">
        <w:rPr>
          <w:sz w:val="24"/>
          <w:szCs w:val="24"/>
          <w:lang w:eastAsia="en-GB"/>
        </w:rPr>
        <w:t>55% for the Recruitment Survey and 26% for the overall household-level cooperation rate.</w:t>
      </w:r>
    </w:p>
    <w:p w:rsidRPr="00265EB9" w:rsidR="007C2E0A" w:rsidP="007C2E0A" w:rsidRDefault="00D96A33" w14:paraId="7FBE9A23" w14:textId="523F6E05">
      <w:pPr>
        <w:pStyle w:val="ListParagraph"/>
        <w:numPr>
          <w:ilvl w:val="0"/>
          <w:numId w:val="2"/>
        </w:numPr>
        <w:tabs>
          <w:tab w:val="clear" w:pos="1152"/>
        </w:tabs>
        <w:spacing w:before="240" w:after="120" w:line="240" w:lineRule="auto"/>
        <w:contextualSpacing w:val="0"/>
        <w:rPr>
          <w:b/>
          <w:sz w:val="28"/>
          <w:szCs w:val="24"/>
        </w:rPr>
      </w:pPr>
      <w:r w:rsidRPr="00265EB9">
        <w:rPr>
          <w:b/>
          <w:sz w:val="28"/>
          <w:szCs w:val="24"/>
        </w:rPr>
        <w:t>Material Review and Testing</w:t>
      </w:r>
    </w:p>
    <w:p w:rsidRPr="009F422D" w:rsidR="007C2E0A" w:rsidP="007C2E0A" w:rsidRDefault="007C2E0A" w14:paraId="6974C013" w14:textId="3865CC21">
      <w:pPr>
        <w:tabs>
          <w:tab w:val="clear" w:pos="1152"/>
        </w:tabs>
        <w:spacing w:before="240" w:after="120" w:line="240" w:lineRule="auto"/>
        <w:rPr>
          <w:sz w:val="24"/>
          <w:szCs w:val="24"/>
        </w:rPr>
      </w:pPr>
      <w:r w:rsidRPr="009F422D">
        <w:rPr>
          <w:sz w:val="24"/>
          <w:szCs w:val="24"/>
        </w:rPr>
        <w:t>All field materials have been tested to assess their utility and validity as survey instruments. These tests are described below.</w:t>
      </w:r>
    </w:p>
    <w:p w:rsidRPr="00144233" w:rsidR="007C2E0A" w:rsidP="007C2E0A" w:rsidRDefault="00144233" w14:paraId="07E978B1" w14:textId="38EA1DDA">
      <w:pPr>
        <w:tabs>
          <w:tab w:val="clear" w:pos="1152"/>
        </w:tabs>
        <w:spacing w:before="240" w:after="120" w:line="240" w:lineRule="auto"/>
        <w:rPr>
          <w:b/>
          <w:sz w:val="24"/>
          <w:szCs w:val="24"/>
        </w:rPr>
      </w:pPr>
      <w:r w:rsidRPr="00144233">
        <w:rPr>
          <w:b/>
          <w:sz w:val="24"/>
          <w:szCs w:val="24"/>
        </w:rPr>
        <w:lastRenderedPageBreak/>
        <w:t xml:space="preserve">4.1 </w:t>
      </w:r>
      <w:r w:rsidRPr="00144233" w:rsidR="007C2E0A">
        <w:rPr>
          <w:b/>
          <w:sz w:val="24"/>
          <w:szCs w:val="24"/>
        </w:rPr>
        <w:t>Expert Review</w:t>
      </w:r>
    </w:p>
    <w:p w:rsidRPr="009F422D" w:rsidR="007C2E0A" w:rsidP="007C2E0A" w:rsidRDefault="007C2E0A" w14:paraId="666CA9E1" w14:textId="38C19BB1">
      <w:pPr>
        <w:tabs>
          <w:tab w:val="clear" w:pos="1152"/>
        </w:tabs>
        <w:spacing w:before="240" w:after="120" w:line="240" w:lineRule="auto"/>
        <w:rPr>
          <w:sz w:val="24"/>
          <w:szCs w:val="24"/>
        </w:rPr>
      </w:pPr>
      <w:r w:rsidRPr="009F422D">
        <w:rPr>
          <w:sz w:val="24"/>
          <w:szCs w:val="24"/>
        </w:rPr>
        <w:t xml:space="preserve">The first step in developing a revised questionnaire and field materials for the NHTS was to conduct a review of existing materials to identify potential improvements. In the review process, a questionnaire design expert conducted a thorough appraisal of the questionnaire, providing guidance on refinement and further development activities factoring in the new and emerging modes of transit. The expert reviewer judged features of the instrument such as ease and efficiency of completion, avoidance of errors, ability to correct mistakes, and how the content is presented (overall appearance and layout of the instrument). </w:t>
      </w:r>
    </w:p>
    <w:p w:rsidRPr="00144233" w:rsidR="007C2E0A" w:rsidP="007C2E0A" w:rsidRDefault="00144233" w14:paraId="767EA240" w14:textId="663904D2">
      <w:pPr>
        <w:tabs>
          <w:tab w:val="clear" w:pos="1152"/>
        </w:tabs>
        <w:spacing w:before="240" w:after="120" w:line="240" w:lineRule="auto"/>
        <w:rPr>
          <w:b/>
          <w:sz w:val="24"/>
          <w:szCs w:val="24"/>
        </w:rPr>
      </w:pPr>
      <w:r w:rsidRPr="00144233">
        <w:rPr>
          <w:b/>
          <w:sz w:val="24"/>
          <w:szCs w:val="24"/>
        </w:rPr>
        <w:t xml:space="preserve">4.2 </w:t>
      </w:r>
      <w:r w:rsidRPr="00144233" w:rsidR="007C2E0A">
        <w:rPr>
          <w:b/>
          <w:sz w:val="24"/>
          <w:szCs w:val="24"/>
        </w:rPr>
        <w:t>Cognitive Testing</w:t>
      </w:r>
    </w:p>
    <w:p w:rsidRPr="009F422D" w:rsidR="007C2E0A" w:rsidP="007C2E0A" w:rsidRDefault="007C2E0A" w14:paraId="4AE04C7E" w14:textId="70933329">
      <w:pPr>
        <w:tabs>
          <w:tab w:val="clear" w:pos="1152"/>
        </w:tabs>
        <w:spacing w:before="240" w:after="120" w:line="240" w:lineRule="auto"/>
        <w:rPr>
          <w:sz w:val="24"/>
          <w:szCs w:val="24"/>
        </w:rPr>
      </w:pPr>
      <w:r w:rsidRPr="009F422D">
        <w:rPr>
          <w:sz w:val="24"/>
          <w:szCs w:val="24"/>
        </w:rPr>
        <w:t>Cognitive testing is routinely used for survey questionnaire development</w:t>
      </w:r>
      <w:r w:rsidR="00346849">
        <w:rPr>
          <w:rStyle w:val="FootnoteReference"/>
          <w:sz w:val="24"/>
          <w:szCs w:val="24"/>
        </w:rPr>
        <w:footnoteReference w:id="4"/>
      </w:r>
      <w:r w:rsidR="00FD5831">
        <w:rPr>
          <w:sz w:val="24"/>
          <w:szCs w:val="24"/>
        </w:rPr>
        <w:t xml:space="preserve"> </w:t>
      </w:r>
      <w:r w:rsidR="00346849">
        <w:rPr>
          <w:rStyle w:val="FootnoteReference"/>
          <w:sz w:val="24"/>
          <w:szCs w:val="24"/>
        </w:rPr>
        <w:footnoteReference w:id="5"/>
      </w:r>
      <w:r w:rsidR="00FD5831">
        <w:rPr>
          <w:sz w:val="24"/>
          <w:szCs w:val="24"/>
        </w:rPr>
        <w:t xml:space="preserve"> </w:t>
      </w:r>
      <w:r w:rsidR="00346849">
        <w:rPr>
          <w:rStyle w:val="FootnoteReference"/>
          <w:sz w:val="24"/>
          <w:szCs w:val="24"/>
        </w:rPr>
        <w:footnoteReference w:id="6"/>
      </w:r>
      <w:r w:rsidRPr="009F422D">
        <w:rPr>
          <w:sz w:val="24"/>
          <w:szCs w:val="24"/>
        </w:rPr>
        <w:t xml:space="preserve">. </w:t>
      </w:r>
      <w:r w:rsidR="005A1711">
        <w:rPr>
          <w:sz w:val="24"/>
          <w:szCs w:val="24"/>
        </w:rPr>
        <w:t>C</w:t>
      </w:r>
      <w:r w:rsidRPr="009F422D">
        <w:rPr>
          <w:sz w:val="24"/>
          <w:szCs w:val="24"/>
        </w:rPr>
        <w:t xml:space="preserve">ognitive testing </w:t>
      </w:r>
      <w:r w:rsidR="005A1711">
        <w:rPr>
          <w:sz w:val="24"/>
          <w:szCs w:val="24"/>
        </w:rPr>
        <w:t xml:space="preserve">is </w:t>
      </w:r>
      <w:r w:rsidRPr="009F422D">
        <w:rPr>
          <w:sz w:val="24"/>
          <w:szCs w:val="24"/>
        </w:rPr>
        <w:t xml:space="preserve">regularly </w:t>
      </w:r>
      <w:r w:rsidR="005A1711">
        <w:rPr>
          <w:sz w:val="24"/>
          <w:szCs w:val="24"/>
        </w:rPr>
        <w:t xml:space="preserve">used </w:t>
      </w:r>
      <w:r w:rsidRPr="009F422D">
        <w:rPr>
          <w:sz w:val="24"/>
          <w:szCs w:val="24"/>
        </w:rPr>
        <w:t xml:space="preserve">to determine question comprehension (What do respondents think the question is asking? What do specific words and phrases in the question mean to them?), information retrieval (What do respondents need to recall to answer the question? How do they do this?), decision processes (How do respondents choose their answers?) and usability (Can respondents complete the questionnaire easily and as they were intended to?). </w:t>
      </w:r>
    </w:p>
    <w:p w:rsidRPr="009F422D" w:rsidR="007C2E0A" w:rsidP="007C2E0A" w:rsidRDefault="007C2E0A" w14:paraId="6004060C" w14:textId="0E51FB20">
      <w:pPr>
        <w:tabs>
          <w:tab w:val="clear" w:pos="1152"/>
        </w:tabs>
        <w:spacing w:before="240" w:after="120" w:line="240" w:lineRule="auto"/>
        <w:rPr>
          <w:sz w:val="24"/>
          <w:szCs w:val="24"/>
        </w:rPr>
      </w:pPr>
      <w:r w:rsidRPr="009F422D">
        <w:rPr>
          <w:sz w:val="24"/>
          <w:szCs w:val="24"/>
        </w:rPr>
        <w:t>The overarching objective of the cognitive testing phase of this project is</w:t>
      </w:r>
      <w:r w:rsidR="005A57C2">
        <w:rPr>
          <w:sz w:val="24"/>
          <w:szCs w:val="24"/>
        </w:rPr>
        <w:t xml:space="preserve"> to</w:t>
      </w:r>
      <w:r w:rsidRPr="009F422D">
        <w:rPr>
          <w:sz w:val="24"/>
          <w:szCs w:val="24"/>
        </w:rPr>
        <w:t xml:space="preserve"> assess how well the NHTS is measuring critical concepts and behavior and</w:t>
      </w:r>
      <w:r w:rsidR="005A57C2">
        <w:rPr>
          <w:sz w:val="24"/>
          <w:szCs w:val="24"/>
        </w:rPr>
        <w:t>,</w:t>
      </w:r>
      <w:r w:rsidRPr="009F422D">
        <w:rPr>
          <w:sz w:val="24"/>
          <w:szCs w:val="24"/>
        </w:rPr>
        <w:t xml:space="preserve"> in turn</w:t>
      </w:r>
      <w:r w:rsidR="005A57C2">
        <w:rPr>
          <w:sz w:val="24"/>
          <w:szCs w:val="24"/>
        </w:rPr>
        <w:t>,</w:t>
      </w:r>
      <w:r w:rsidRPr="009F422D">
        <w:rPr>
          <w:sz w:val="24"/>
          <w:szCs w:val="24"/>
        </w:rPr>
        <w:t xml:space="preserve"> meeting its data user’s information goals. The NHTS is intended to measure local and long-distance trips from a representative set of 7</w:t>
      </w:r>
      <w:r w:rsidR="007E5BDB">
        <w:rPr>
          <w:sz w:val="24"/>
          <w:szCs w:val="24"/>
        </w:rPr>
        <w:t>,</w:t>
      </w:r>
      <w:r w:rsidRPr="009F422D">
        <w:rPr>
          <w:sz w:val="24"/>
          <w:szCs w:val="24"/>
        </w:rPr>
        <w:t xml:space="preserve">500 American households. The data elements of the NHTS are of critical importance to our nation’s transportation planners and enable informed decision when planning transportation projects across the </w:t>
      </w:r>
      <w:r w:rsidR="005A57C2">
        <w:rPr>
          <w:sz w:val="24"/>
          <w:szCs w:val="24"/>
        </w:rPr>
        <w:t>N</w:t>
      </w:r>
      <w:r w:rsidRPr="009F422D" w:rsidR="005A57C2">
        <w:rPr>
          <w:sz w:val="24"/>
          <w:szCs w:val="24"/>
        </w:rPr>
        <w:t>ation</w:t>
      </w:r>
      <w:r w:rsidRPr="009F422D">
        <w:rPr>
          <w:sz w:val="24"/>
          <w:szCs w:val="24"/>
        </w:rPr>
        <w:t>.</w:t>
      </w:r>
    </w:p>
    <w:p w:rsidRPr="009F422D" w:rsidR="007C2E0A" w:rsidP="007C2E0A" w:rsidRDefault="005A1711" w14:paraId="1568D207" w14:textId="51A3D185">
      <w:pPr>
        <w:tabs>
          <w:tab w:val="clear" w:pos="1152"/>
        </w:tabs>
        <w:spacing w:before="240" w:after="120" w:line="240" w:lineRule="auto"/>
        <w:rPr>
          <w:sz w:val="24"/>
          <w:szCs w:val="24"/>
        </w:rPr>
      </w:pPr>
      <w:r>
        <w:rPr>
          <w:sz w:val="24"/>
          <w:szCs w:val="24"/>
        </w:rPr>
        <w:t>T</w:t>
      </w:r>
      <w:r w:rsidRPr="009F422D" w:rsidR="007C2E0A">
        <w:rPr>
          <w:sz w:val="24"/>
          <w:szCs w:val="24"/>
        </w:rPr>
        <w:t xml:space="preserve">he survey questions </w:t>
      </w:r>
      <w:r>
        <w:rPr>
          <w:sz w:val="24"/>
          <w:szCs w:val="24"/>
        </w:rPr>
        <w:t xml:space="preserve">were designed </w:t>
      </w:r>
      <w:r w:rsidRPr="009F422D" w:rsidR="007C2E0A">
        <w:rPr>
          <w:sz w:val="24"/>
          <w:szCs w:val="24"/>
        </w:rPr>
        <w:t>to build on the existing travel measurement tools</w:t>
      </w:r>
      <w:r>
        <w:rPr>
          <w:sz w:val="24"/>
          <w:szCs w:val="24"/>
        </w:rPr>
        <w:t>,</w:t>
      </w:r>
      <w:r w:rsidRPr="009F422D" w:rsidR="007C2E0A">
        <w:rPr>
          <w:sz w:val="24"/>
          <w:szCs w:val="24"/>
        </w:rPr>
        <w:t xml:space="preserve"> </w:t>
      </w:r>
      <w:r>
        <w:rPr>
          <w:sz w:val="24"/>
          <w:szCs w:val="24"/>
        </w:rPr>
        <w:t xml:space="preserve">to </w:t>
      </w:r>
      <w:r w:rsidRPr="009F422D" w:rsidR="007C2E0A">
        <w:rPr>
          <w:sz w:val="24"/>
          <w:szCs w:val="24"/>
        </w:rPr>
        <w:t>ensure we address the following emerging research questions</w:t>
      </w:r>
      <w:r>
        <w:rPr>
          <w:sz w:val="24"/>
          <w:szCs w:val="24"/>
        </w:rPr>
        <w:t>,</w:t>
      </w:r>
      <w:r w:rsidRPr="009F422D" w:rsidR="007C2E0A">
        <w:rPr>
          <w:sz w:val="24"/>
          <w:szCs w:val="24"/>
        </w:rPr>
        <w:t xml:space="preserve"> and </w:t>
      </w:r>
      <w:r>
        <w:rPr>
          <w:sz w:val="24"/>
          <w:szCs w:val="24"/>
        </w:rPr>
        <w:t xml:space="preserve">to </w:t>
      </w:r>
      <w:r w:rsidRPr="009F422D" w:rsidR="007C2E0A">
        <w:rPr>
          <w:sz w:val="24"/>
          <w:szCs w:val="24"/>
        </w:rPr>
        <w:t>measure how well NHTS is meeting these goals:</w:t>
      </w:r>
    </w:p>
    <w:p w:rsidRPr="00571EFD" w:rsidR="007C2E0A" w:rsidP="00571EFD" w:rsidRDefault="007C2E0A" w14:paraId="714E1DF2" w14:textId="15E12B5E">
      <w:pPr>
        <w:pStyle w:val="Default"/>
        <w:numPr>
          <w:ilvl w:val="0"/>
          <w:numId w:val="16"/>
        </w:numPr>
        <w:ind w:left="720"/>
        <w:rPr>
          <w:color w:val="auto"/>
        </w:rPr>
      </w:pPr>
      <w:r w:rsidRPr="00571EFD">
        <w:rPr>
          <w:color w:val="auto"/>
        </w:rPr>
        <w:t xml:space="preserve"> Are respondents knowledgeable of </w:t>
      </w:r>
      <w:r w:rsidRPr="00571EFD" w:rsidR="00582E49">
        <w:rPr>
          <w:color w:val="auto"/>
        </w:rPr>
        <w:t xml:space="preserve">all </w:t>
      </w:r>
      <w:r w:rsidRPr="00571EFD" w:rsidR="007D7003">
        <w:rPr>
          <w:color w:val="auto"/>
        </w:rPr>
        <w:t xml:space="preserve">travel made by all members of the </w:t>
      </w:r>
      <w:r w:rsidRPr="00571EFD" w:rsidR="00582E49">
        <w:rPr>
          <w:color w:val="auto"/>
        </w:rPr>
        <w:t>household</w:t>
      </w:r>
      <w:r w:rsidRPr="00571EFD">
        <w:rPr>
          <w:color w:val="auto"/>
        </w:rPr>
        <w:t xml:space="preserve">? Can they </w:t>
      </w:r>
      <w:r w:rsidRPr="00571EFD" w:rsidR="005A1711">
        <w:rPr>
          <w:color w:val="auto"/>
        </w:rPr>
        <w:t xml:space="preserve">accurately </w:t>
      </w:r>
      <w:r w:rsidRPr="00571EFD">
        <w:rPr>
          <w:color w:val="auto"/>
        </w:rPr>
        <w:t xml:space="preserve">report </w:t>
      </w:r>
      <w:r w:rsidRPr="00571EFD" w:rsidR="00582E49">
        <w:rPr>
          <w:color w:val="auto"/>
        </w:rPr>
        <w:t>household</w:t>
      </w:r>
      <w:r w:rsidRPr="00571EFD">
        <w:rPr>
          <w:color w:val="auto"/>
        </w:rPr>
        <w:t xml:space="preserve"> travel behavior by proxy or directly?</w:t>
      </w:r>
    </w:p>
    <w:p w:rsidRPr="00571EFD" w:rsidR="007C2E0A" w:rsidP="00571EFD" w:rsidRDefault="007C2E0A" w14:paraId="5CDFD116" w14:textId="001781AE">
      <w:pPr>
        <w:pStyle w:val="Default"/>
        <w:numPr>
          <w:ilvl w:val="0"/>
          <w:numId w:val="16"/>
        </w:numPr>
        <w:ind w:left="720"/>
        <w:rPr>
          <w:color w:val="auto"/>
        </w:rPr>
      </w:pPr>
      <w:r w:rsidRPr="00571EFD">
        <w:rPr>
          <w:color w:val="auto"/>
        </w:rPr>
        <w:t xml:space="preserve"> </w:t>
      </w:r>
      <w:r w:rsidRPr="00571EFD" w:rsidR="00840479">
        <w:rPr>
          <w:color w:val="auto"/>
        </w:rPr>
        <w:t>Are all</w:t>
      </w:r>
      <w:r w:rsidRPr="00571EFD" w:rsidR="00582E49">
        <w:rPr>
          <w:color w:val="auto"/>
        </w:rPr>
        <w:t xml:space="preserve"> trips</w:t>
      </w:r>
      <w:r w:rsidRPr="00571EFD" w:rsidR="005A57C2">
        <w:rPr>
          <w:color w:val="auto"/>
        </w:rPr>
        <w:t>-</w:t>
      </w:r>
      <w:r w:rsidRPr="00571EFD" w:rsidR="00582E49">
        <w:rPr>
          <w:color w:val="auto"/>
        </w:rPr>
        <w:t xml:space="preserve">including loop trips and </w:t>
      </w:r>
      <w:r w:rsidRPr="00571EFD">
        <w:rPr>
          <w:color w:val="auto"/>
        </w:rPr>
        <w:t>short trips</w:t>
      </w:r>
      <w:r w:rsidRPr="00571EFD" w:rsidR="005A57C2">
        <w:rPr>
          <w:color w:val="auto"/>
        </w:rPr>
        <w:t>-</w:t>
      </w:r>
      <w:r w:rsidRPr="00571EFD">
        <w:rPr>
          <w:color w:val="auto"/>
        </w:rPr>
        <w:t xml:space="preserve"> understood</w:t>
      </w:r>
      <w:r w:rsidRPr="00571EFD" w:rsidR="005A1711">
        <w:rPr>
          <w:color w:val="auto"/>
        </w:rPr>
        <w:t>, recalled,</w:t>
      </w:r>
      <w:r w:rsidRPr="00571EFD">
        <w:rPr>
          <w:color w:val="auto"/>
        </w:rPr>
        <w:t xml:space="preserve"> and reported adequately</w:t>
      </w:r>
      <w:r w:rsidRPr="00571EFD" w:rsidR="005A57C2">
        <w:rPr>
          <w:color w:val="auto"/>
        </w:rPr>
        <w:t>,</w:t>
      </w:r>
      <w:r w:rsidRPr="00571EFD">
        <w:rPr>
          <w:color w:val="auto"/>
        </w:rPr>
        <w:t xml:space="preserve"> directly</w:t>
      </w:r>
      <w:r w:rsidRPr="00571EFD" w:rsidR="005A57C2">
        <w:rPr>
          <w:color w:val="auto"/>
        </w:rPr>
        <w:t>,</w:t>
      </w:r>
      <w:r w:rsidRPr="00571EFD">
        <w:rPr>
          <w:color w:val="auto"/>
        </w:rPr>
        <w:t xml:space="preserve"> and by proxy?</w:t>
      </w:r>
    </w:p>
    <w:p w:rsidRPr="00571EFD" w:rsidR="007C2E0A" w:rsidP="00571EFD" w:rsidRDefault="007C2E0A" w14:paraId="116522B8" w14:textId="1DCF5E4C">
      <w:pPr>
        <w:pStyle w:val="Default"/>
        <w:numPr>
          <w:ilvl w:val="0"/>
          <w:numId w:val="16"/>
        </w:numPr>
        <w:ind w:left="720"/>
        <w:rPr>
          <w:color w:val="auto"/>
        </w:rPr>
      </w:pPr>
      <w:r w:rsidRPr="00571EFD">
        <w:rPr>
          <w:color w:val="auto"/>
        </w:rPr>
        <w:t xml:space="preserve"> </w:t>
      </w:r>
      <w:r w:rsidRPr="00571EFD" w:rsidR="003710D5">
        <w:rPr>
          <w:color w:val="auto"/>
        </w:rPr>
        <w:t xml:space="preserve">How frequently </w:t>
      </w:r>
      <w:r w:rsidRPr="00571EFD" w:rsidR="00346849">
        <w:rPr>
          <w:color w:val="auto"/>
        </w:rPr>
        <w:t xml:space="preserve">do </w:t>
      </w:r>
      <w:r w:rsidRPr="00571EFD">
        <w:rPr>
          <w:color w:val="auto"/>
        </w:rPr>
        <w:t xml:space="preserve">households </w:t>
      </w:r>
      <w:r w:rsidRPr="00571EFD" w:rsidR="00346849">
        <w:rPr>
          <w:color w:val="auto"/>
        </w:rPr>
        <w:t>have o</w:t>
      </w:r>
      <w:r w:rsidRPr="00571EFD" w:rsidR="003710D5">
        <w:rPr>
          <w:color w:val="auto"/>
        </w:rPr>
        <w:t xml:space="preserve">nline purchases </w:t>
      </w:r>
      <w:r w:rsidRPr="00571EFD" w:rsidR="007D7003">
        <w:rPr>
          <w:color w:val="auto"/>
        </w:rPr>
        <w:t>delivered to their home location</w:t>
      </w:r>
      <w:r w:rsidRPr="00571EFD">
        <w:rPr>
          <w:color w:val="auto"/>
        </w:rPr>
        <w:t xml:space="preserve">? </w:t>
      </w:r>
    </w:p>
    <w:p w:rsidRPr="009F422D" w:rsidR="007C2E0A" w:rsidP="007C2E0A" w:rsidRDefault="00582E49" w14:paraId="255247EF" w14:textId="4B6E28A4">
      <w:pPr>
        <w:tabs>
          <w:tab w:val="clear" w:pos="1152"/>
        </w:tabs>
        <w:spacing w:before="240" w:after="120" w:line="240" w:lineRule="auto"/>
        <w:rPr>
          <w:sz w:val="24"/>
          <w:szCs w:val="24"/>
        </w:rPr>
      </w:pPr>
      <w:r w:rsidRPr="009F422D">
        <w:rPr>
          <w:sz w:val="24"/>
          <w:szCs w:val="24"/>
        </w:rPr>
        <w:t>A</w:t>
      </w:r>
      <w:r w:rsidRPr="009F422D" w:rsidR="007C2E0A">
        <w:rPr>
          <w:sz w:val="24"/>
          <w:szCs w:val="24"/>
        </w:rPr>
        <w:t xml:space="preserve"> cognitive testing approach </w:t>
      </w:r>
      <w:r w:rsidRPr="009F422D">
        <w:rPr>
          <w:sz w:val="24"/>
          <w:szCs w:val="24"/>
        </w:rPr>
        <w:t>was executed to improve</w:t>
      </w:r>
      <w:r w:rsidRPr="009F422D" w:rsidR="007C2E0A">
        <w:rPr>
          <w:sz w:val="24"/>
          <w:szCs w:val="24"/>
        </w:rPr>
        <w:t xml:space="preserve"> the survey and </w:t>
      </w:r>
      <w:r w:rsidRPr="009F422D" w:rsidR="005A57C2">
        <w:rPr>
          <w:sz w:val="24"/>
          <w:szCs w:val="24"/>
        </w:rPr>
        <w:t>reduc</w:t>
      </w:r>
      <w:r w:rsidR="005A57C2">
        <w:rPr>
          <w:sz w:val="24"/>
          <w:szCs w:val="24"/>
        </w:rPr>
        <w:t>e</w:t>
      </w:r>
      <w:r w:rsidRPr="009F422D" w:rsidR="005A57C2">
        <w:rPr>
          <w:sz w:val="24"/>
          <w:szCs w:val="24"/>
        </w:rPr>
        <w:t xml:space="preserve"> </w:t>
      </w:r>
      <w:r w:rsidRPr="009F422D" w:rsidR="007C2E0A">
        <w:rPr>
          <w:sz w:val="24"/>
          <w:szCs w:val="24"/>
        </w:rPr>
        <w:t xml:space="preserve">measurement error. Cognitive testing of the NHTS protocol </w:t>
      </w:r>
      <w:r w:rsidRPr="009F422D">
        <w:rPr>
          <w:sz w:val="24"/>
          <w:szCs w:val="24"/>
        </w:rPr>
        <w:t>consisted</w:t>
      </w:r>
      <w:r w:rsidRPr="009F422D" w:rsidR="007C2E0A">
        <w:rPr>
          <w:sz w:val="24"/>
          <w:szCs w:val="24"/>
        </w:rPr>
        <w:t xml:space="preserve"> of conducting </w:t>
      </w:r>
      <w:r w:rsidR="005A57C2">
        <w:rPr>
          <w:sz w:val="24"/>
          <w:szCs w:val="24"/>
        </w:rPr>
        <w:t>nine</w:t>
      </w:r>
      <w:r w:rsidRPr="009F422D" w:rsidR="005A57C2">
        <w:rPr>
          <w:sz w:val="24"/>
          <w:szCs w:val="24"/>
        </w:rPr>
        <w:t xml:space="preserve"> </w:t>
      </w:r>
      <w:r w:rsidRPr="009F422D" w:rsidR="007C2E0A">
        <w:rPr>
          <w:sz w:val="24"/>
          <w:szCs w:val="24"/>
        </w:rPr>
        <w:t>individual online interviews with participants who have demographic and other key characteristics similar to potential survey respondents. Interviewers engage</w:t>
      </w:r>
      <w:r w:rsidRPr="009F422D">
        <w:rPr>
          <w:sz w:val="24"/>
          <w:szCs w:val="24"/>
        </w:rPr>
        <w:t>d</w:t>
      </w:r>
      <w:r w:rsidRPr="009F422D" w:rsidR="007C2E0A">
        <w:rPr>
          <w:sz w:val="24"/>
          <w:szCs w:val="24"/>
        </w:rPr>
        <w:t xml:space="preserve"> participants in one-on-one, open-ended cognitive interviews in which they probe</w:t>
      </w:r>
      <w:r w:rsidR="008E17C4">
        <w:rPr>
          <w:sz w:val="24"/>
          <w:szCs w:val="24"/>
        </w:rPr>
        <w:t>d</w:t>
      </w:r>
      <w:r w:rsidRPr="009F422D" w:rsidR="007C2E0A">
        <w:rPr>
          <w:sz w:val="24"/>
          <w:szCs w:val="24"/>
        </w:rPr>
        <w:t xml:space="preserve"> a participant’s approach and thinking when responding to questions within the context of the full survey administration. Cognitive interviews </w:t>
      </w:r>
      <w:r w:rsidRPr="009F422D" w:rsidR="007C2E0A">
        <w:rPr>
          <w:sz w:val="24"/>
          <w:szCs w:val="24"/>
        </w:rPr>
        <w:lastRenderedPageBreak/>
        <w:t>cover</w:t>
      </w:r>
      <w:r w:rsidRPr="009F422D">
        <w:rPr>
          <w:sz w:val="24"/>
          <w:szCs w:val="24"/>
        </w:rPr>
        <w:t>ed</w:t>
      </w:r>
      <w:r w:rsidRPr="009F422D" w:rsidR="007C2E0A">
        <w:rPr>
          <w:sz w:val="24"/>
          <w:szCs w:val="24"/>
        </w:rPr>
        <w:t xml:space="preserve"> both the initial recruitment screener and Day of Travel Diary Study for both self and proxy reporting. </w:t>
      </w:r>
    </w:p>
    <w:p w:rsidRPr="009F422D" w:rsidR="007C2E0A" w:rsidP="007C2E0A" w:rsidRDefault="007C2E0A" w14:paraId="1AB5608D" w14:textId="5C1A059A">
      <w:pPr>
        <w:tabs>
          <w:tab w:val="clear" w:pos="1152"/>
        </w:tabs>
        <w:spacing w:before="240" w:after="120" w:line="240" w:lineRule="auto"/>
        <w:rPr>
          <w:sz w:val="24"/>
          <w:szCs w:val="24"/>
        </w:rPr>
      </w:pPr>
      <w:r w:rsidRPr="009F422D">
        <w:rPr>
          <w:sz w:val="24"/>
          <w:szCs w:val="24"/>
        </w:rPr>
        <w:t xml:space="preserve">The results of </w:t>
      </w:r>
      <w:r w:rsidRPr="009F422D" w:rsidR="008E17C4">
        <w:rPr>
          <w:sz w:val="24"/>
          <w:szCs w:val="24"/>
        </w:rPr>
        <w:t>th</w:t>
      </w:r>
      <w:r w:rsidR="008E17C4">
        <w:rPr>
          <w:sz w:val="24"/>
          <w:szCs w:val="24"/>
        </w:rPr>
        <w:t>ese</w:t>
      </w:r>
      <w:r w:rsidRPr="009F422D" w:rsidR="008E17C4">
        <w:rPr>
          <w:sz w:val="24"/>
          <w:szCs w:val="24"/>
        </w:rPr>
        <w:t xml:space="preserve"> </w:t>
      </w:r>
      <w:r w:rsidRPr="009F422D">
        <w:rPr>
          <w:sz w:val="24"/>
          <w:szCs w:val="24"/>
        </w:rPr>
        <w:t>test</w:t>
      </w:r>
      <w:r w:rsidRPr="009F422D" w:rsidR="00582E49">
        <w:rPr>
          <w:sz w:val="24"/>
          <w:szCs w:val="24"/>
        </w:rPr>
        <w:t>s</w:t>
      </w:r>
      <w:r w:rsidRPr="009F422D">
        <w:rPr>
          <w:sz w:val="24"/>
          <w:szCs w:val="24"/>
        </w:rPr>
        <w:t xml:space="preserve"> </w:t>
      </w:r>
      <w:r w:rsidRPr="009F422D" w:rsidR="00582E49">
        <w:rPr>
          <w:sz w:val="24"/>
          <w:szCs w:val="24"/>
        </w:rPr>
        <w:t>were</w:t>
      </w:r>
      <w:r w:rsidRPr="009F422D">
        <w:rPr>
          <w:sz w:val="24"/>
          <w:szCs w:val="24"/>
        </w:rPr>
        <w:t xml:space="preserve"> used to modify survey questions and response options to limit misunderstandings and inconsistencies in responses. The modified survey instrument </w:t>
      </w:r>
      <w:r w:rsidRPr="009F422D" w:rsidR="00582E49">
        <w:rPr>
          <w:sz w:val="24"/>
          <w:szCs w:val="24"/>
        </w:rPr>
        <w:t>was</w:t>
      </w:r>
      <w:r w:rsidRPr="009F422D">
        <w:rPr>
          <w:sz w:val="24"/>
          <w:szCs w:val="24"/>
        </w:rPr>
        <w:t xml:space="preserve"> used to create the final set of survey questions.</w:t>
      </w:r>
    </w:p>
    <w:p w:rsidRPr="00265EB9" w:rsidR="00D96A33" w:rsidP="00D96A33" w:rsidRDefault="00D96A33" w14:paraId="18740A1C" w14:textId="77777777">
      <w:pPr>
        <w:pStyle w:val="ListParagraph"/>
        <w:numPr>
          <w:ilvl w:val="0"/>
          <w:numId w:val="2"/>
        </w:numPr>
        <w:tabs>
          <w:tab w:val="clear" w:pos="1152"/>
        </w:tabs>
        <w:spacing w:before="240" w:after="120" w:line="240" w:lineRule="auto"/>
        <w:contextualSpacing w:val="0"/>
        <w:rPr>
          <w:b/>
          <w:sz w:val="28"/>
          <w:szCs w:val="24"/>
        </w:rPr>
      </w:pPr>
      <w:r w:rsidRPr="00265EB9">
        <w:rPr>
          <w:b/>
          <w:sz w:val="28"/>
          <w:szCs w:val="24"/>
        </w:rPr>
        <w:t>Contact Information</w:t>
      </w:r>
    </w:p>
    <w:p w:rsidRPr="007A574C" w:rsidR="00D23FE1" w:rsidP="00D23FE1" w:rsidRDefault="00D23FE1" w14:paraId="5DD8CB9E" w14:textId="6292DB98">
      <w:pPr>
        <w:rPr>
          <w:rFonts w:eastAsiaTheme="minorEastAsia"/>
          <w:noProof/>
          <w:color w:val="auto"/>
          <w:sz w:val="24"/>
          <w:szCs w:val="24"/>
        </w:rPr>
      </w:pPr>
      <w:r w:rsidRPr="007A574C">
        <w:rPr>
          <w:rFonts w:eastAsiaTheme="minorEastAsia"/>
          <w:b/>
          <w:noProof/>
          <w:color w:val="auto"/>
          <w:sz w:val="24"/>
          <w:szCs w:val="24"/>
        </w:rPr>
        <w:t>Mansour Fahimi, Ph.D.</w:t>
      </w:r>
      <w:r w:rsidRPr="007A574C">
        <w:rPr>
          <w:rFonts w:eastAsiaTheme="minorEastAsia"/>
          <w:noProof/>
          <w:color w:val="auto"/>
          <w:sz w:val="24"/>
          <w:szCs w:val="24"/>
        </w:rPr>
        <w:t>, Chief Statistician</w:t>
      </w:r>
    </w:p>
    <w:p w:rsidRPr="007A574C" w:rsidR="00D23FE1" w:rsidP="00D23FE1" w:rsidRDefault="007E5BDB" w14:paraId="61085273" w14:textId="42052387">
      <w:pPr>
        <w:rPr>
          <w:rFonts w:eastAsiaTheme="minorEastAsia"/>
          <w:b/>
          <w:noProof/>
          <w:color w:val="auto"/>
          <w:sz w:val="24"/>
          <w:szCs w:val="24"/>
        </w:rPr>
      </w:pPr>
      <w:r>
        <w:rPr>
          <w:rFonts w:eastAsiaTheme="minorEastAsia"/>
          <w:b/>
          <w:noProof/>
          <w:color w:val="auto"/>
          <w:sz w:val="24"/>
          <w:szCs w:val="24"/>
        </w:rPr>
        <w:t>Ipsos</w:t>
      </w:r>
      <w:r w:rsidRPr="007A574C" w:rsidR="00D23FE1">
        <w:rPr>
          <w:rFonts w:eastAsiaTheme="minorEastAsia"/>
          <w:b/>
          <w:noProof/>
          <w:color w:val="auto"/>
          <w:sz w:val="24"/>
          <w:szCs w:val="24"/>
        </w:rPr>
        <w:t xml:space="preserve"> Public Affairs</w:t>
      </w:r>
    </w:p>
    <w:p w:rsidRPr="007A574C" w:rsidR="00D23FE1" w:rsidP="00D23FE1" w:rsidRDefault="00D23FE1" w14:paraId="708727F2" w14:textId="77777777">
      <w:pPr>
        <w:rPr>
          <w:rFonts w:eastAsiaTheme="minorEastAsia"/>
          <w:noProof/>
          <w:color w:val="auto"/>
          <w:sz w:val="24"/>
          <w:szCs w:val="24"/>
          <w:lang w:val="fr-FR"/>
        </w:rPr>
      </w:pPr>
      <w:r w:rsidRPr="007A574C">
        <w:rPr>
          <w:rFonts w:eastAsiaTheme="minorEastAsia"/>
          <w:noProof/>
          <w:color w:val="auto"/>
          <w:sz w:val="24"/>
          <w:szCs w:val="24"/>
          <w:lang w:val="fr-FR"/>
        </w:rPr>
        <w:t>2020 K Street NW, Suite 410</w:t>
      </w:r>
    </w:p>
    <w:p w:rsidRPr="007A574C" w:rsidR="00D23FE1" w:rsidP="00D23FE1" w:rsidRDefault="00D23FE1" w14:paraId="0C1453D9" w14:textId="77777777">
      <w:pPr>
        <w:rPr>
          <w:rFonts w:eastAsiaTheme="minorEastAsia"/>
          <w:noProof/>
          <w:color w:val="auto"/>
          <w:sz w:val="24"/>
          <w:szCs w:val="24"/>
          <w:lang w:val="fr-FR"/>
        </w:rPr>
      </w:pPr>
      <w:r w:rsidRPr="007A574C">
        <w:rPr>
          <w:rFonts w:eastAsiaTheme="minorEastAsia"/>
          <w:noProof/>
          <w:color w:val="auto"/>
          <w:sz w:val="24"/>
          <w:szCs w:val="24"/>
          <w:lang w:val="fr-FR"/>
        </w:rPr>
        <w:t xml:space="preserve">Washington, DC  20006 </w:t>
      </w:r>
    </w:p>
    <w:p w:rsidRPr="007A574C" w:rsidR="00D23FE1" w:rsidP="00D23FE1" w:rsidRDefault="00D23FE1" w14:paraId="02E152B9" w14:textId="77777777">
      <w:pPr>
        <w:rPr>
          <w:rFonts w:eastAsiaTheme="minorEastAsia"/>
          <w:noProof/>
          <w:color w:val="auto"/>
          <w:sz w:val="24"/>
          <w:szCs w:val="24"/>
          <w:lang w:val="fr-FR"/>
        </w:rPr>
      </w:pPr>
      <w:r w:rsidRPr="007A574C">
        <w:rPr>
          <w:rFonts w:eastAsiaTheme="minorEastAsia"/>
          <w:noProof/>
          <w:color w:val="auto"/>
          <w:sz w:val="24"/>
          <w:szCs w:val="24"/>
          <w:lang w:val="fr-FR"/>
        </w:rPr>
        <w:t>Mobile: 240-565-8711</w:t>
      </w:r>
    </w:p>
    <w:p w:rsidRPr="007A574C" w:rsidR="00D23FE1" w:rsidP="00D23FE1" w:rsidRDefault="00D23FE1" w14:paraId="192F411A" w14:textId="77777777">
      <w:pPr>
        <w:rPr>
          <w:rFonts w:eastAsiaTheme="minorEastAsia"/>
          <w:noProof/>
          <w:color w:val="auto"/>
          <w:sz w:val="24"/>
          <w:szCs w:val="24"/>
          <w:lang w:val="fr-FR"/>
        </w:rPr>
      </w:pPr>
      <w:r w:rsidRPr="007A574C">
        <w:rPr>
          <w:rFonts w:eastAsiaTheme="minorEastAsia"/>
          <w:noProof/>
          <w:color w:val="auto"/>
          <w:sz w:val="24"/>
          <w:szCs w:val="24"/>
          <w:lang w:val="fr-FR"/>
        </w:rPr>
        <w:t>Mansour.fahimi@ipsos.com</w:t>
      </w:r>
    </w:p>
    <w:p w:rsidRPr="00265EB9" w:rsidR="00AC7CCB" w:rsidP="00D96A33" w:rsidRDefault="00AC7CCB" w14:paraId="36B499EE" w14:textId="77777777">
      <w:pPr>
        <w:tabs>
          <w:tab w:val="clear" w:pos="1152"/>
        </w:tabs>
        <w:spacing w:before="120" w:after="120" w:line="240" w:lineRule="auto"/>
        <w:rPr>
          <w:sz w:val="24"/>
          <w:szCs w:val="24"/>
        </w:rPr>
      </w:pPr>
      <w:r w:rsidRPr="00265EB9">
        <w:rPr>
          <w:sz w:val="24"/>
          <w:szCs w:val="24"/>
        </w:rPr>
        <w:br w:type="page"/>
      </w:r>
    </w:p>
    <w:p w:rsidR="00D23FE1" w:rsidP="008B28D1" w:rsidRDefault="00D23FE1" w14:paraId="388803F9" w14:textId="491AFC41">
      <w:pPr>
        <w:pStyle w:val="ListParagraph"/>
        <w:tabs>
          <w:tab w:val="clear" w:pos="1152"/>
        </w:tabs>
        <w:spacing w:before="240" w:after="120" w:line="240" w:lineRule="auto"/>
        <w:ind w:left="0"/>
        <w:contextualSpacing w:val="0"/>
        <w:rPr>
          <w:sz w:val="24"/>
          <w:szCs w:val="24"/>
        </w:rPr>
      </w:pPr>
    </w:p>
    <w:p w:rsidRPr="00840479" w:rsidR="00840479" w:rsidP="00840479" w:rsidRDefault="00840479" w14:paraId="2D83DE5F" w14:textId="77777777">
      <w:pPr>
        <w:pStyle w:val="ListParagraph"/>
        <w:tabs>
          <w:tab w:val="clear" w:pos="1152"/>
        </w:tabs>
        <w:spacing w:after="120" w:line="240" w:lineRule="auto"/>
        <w:ind w:left="0"/>
        <w:contextualSpacing w:val="0"/>
        <w:jc w:val="center"/>
        <w:rPr>
          <w:b/>
          <w:sz w:val="28"/>
          <w:szCs w:val="24"/>
        </w:rPr>
      </w:pPr>
      <w:r w:rsidRPr="00840479">
        <w:rPr>
          <w:b/>
          <w:sz w:val="28"/>
          <w:szCs w:val="24"/>
        </w:rPr>
        <w:t>Appendices:</w:t>
      </w:r>
    </w:p>
    <w:p w:rsidRPr="00840479" w:rsidR="00840479" w:rsidP="00840479" w:rsidRDefault="00840479" w14:paraId="30126EFD" w14:textId="77777777">
      <w:pPr>
        <w:pStyle w:val="ListParagraph"/>
        <w:tabs>
          <w:tab w:val="clear" w:pos="1152"/>
        </w:tabs>
        <w:spacing w:before="240" w:after="120" w:line="240" w:lineRule="auto"/>
        <w:ind w:left="1440" w:hanging="720"/>
        <w:rPr>
          <w:sz w:val="24"/>
          <w:szCs w:val="24"/>
        </w:rPr>
      </w:pPr>
      <w:r w:rsidRPr="00840479">
        <w:rPr>
          <w:sz w:val="24"/>
          <w:szCs w:val="24"/>
        </w:rPr>
        <w:t>1.</w:t>
      </w:r>
      <w:r w:rsidRPr="00840479">
        <w:rPr>
          <w:sz w:val="24"/>
          <w:szCs w:val="24"/>
        </w:rPr>
        <w:tab/>
        <w:t>National Household Travel Survey, Compendium of Uses, January 2019 - May 2019 (http://nhts.ornl.gov/2009/pub/Compendium_2014.pdf</w:t>
      </w:r>
    </w:p>
    <w:p w:rsidRPr="00840479" w:rsidR="00840479" w:rsidP="00840479" w:rsidRDefault="00840479" w14:paraId="4E38A0DF" w14:textId="77777777">
      <w:pPr>
        <w:pStyle w:val="ListParagraph"/>
        <w:tabs>
          <w:tab w:val="clear" w:pos="1152"/>
        </w:tabs>
        <w:spacing w:before="240" w:after="120" w:line="240" w:lineRule="auto"/>
        <w:rPr>
          <w:sz w:val="24"/>
          <w:szCs w:val="24"/>
        </w:rPr>
      </w:pPr>
      <w:r w:rsidRPr="00840479">
        <w:rPr>
          <w:sz w:val="24"/>
          <w:szCs w:val="24"/>
        </w:rPr>
        <w:t>2.</w:t>
      </w:r>
      <w:r w:rsidRPr="00840479">
        <w:rPr>
          <w:sz w:val="24"/>
          <w:szCs w:val="24"/>
        </w:rPr>
        <w:tab/>
        <w:t>Federal Register 60 Day Notice</w:t>
      </w:r>
    </w:p>
    <w:p w:rsidRPr="00840479" w:rsidR="00840479" w:rsidP="00840479" w:rsidRDefault="00840479" w14:paraId="6D80775B" w14:textId="77777777">
      <w:pPr>
        <w:pStyle w:val="ListParagraph"/>
        <w:tabs>
          <w:tab w:val="clear" w:pos="1152"/>
        </w:tabs>
        <w:spacing w:before="240" w:after="120" w:line="240" w:lineRule="auto"/>
        <w:rPr>
          <w:sz w:val="24"/>
          <w:szCs w:val="24"/>
        </w:rPr>
      </w:pPr>
      <w:r w:rsidRPr="00840479">
        <w:rPr>
          <w:sz w:val="24"/>
          <w:szCs w:val="24"/>
        </w:rPr>
        <w:t>3.</w:t>
      </w:r>
      <w:r w:rsidRPr="00840479">
        <w:rPr>
          <w:sz w:val="24"/>
          <w:szCs w:val="24"/>
        </w:rPr>
        <w:tab/>
        <w:t>Federal Register 30 Day Notice</w:t>
      </w:r>
    </w:p>
    <w:p w:rsidRPr="00840479" w:rsidR="00840479" w:rsidP="00840479" w:rsidRDefault="00840479" w14:paraId="746FD0EC" w14:textId="2B4C13CB">
      <w:pPr>
        <w:pStyle w:val="ListParagraph"/>
        <w:tabs>
          <w:tab w:val="clear" w:pos="1152"/>
        </w:tabs>
        <w:spacing w:before="240" w:after="120" w:line="240" w:lineRule="auto"/>
        <w:rPr>
          <w:b/>
          <w:sz w:val="24"/>
          <w:szCs w:val="24"/>
        </w:rPr>
      </w:pPr>
      <w:r w:rsidRPr="00840479">
        <w:rPr>
          <w:sz w:val="24"/>
          <w:szCs w:val="24"/>
        </w:rPr>
        <w:t>4.</w:t>
      </w:r>
      <w:r w:rsidRPr="00840479">
        <w:rPr>
          <w:sz w:val="24"/>
          <w:szCs w:val="24"/>
        </w:rPr>
        <w:tab/>
        <w:t xml:space="preserve">Comments Submitted to Docket </w:t>
      </w:r>
    </w:p>
    <w:p w:rsidRPr="00840479" w:rsidR="00840479" w:rsidP="00840479" w:rsidRDefault="00840479" w14:paraId="4ECBC5E3" w14:textId="2AFE18B9">
      <w:pPr>
        <w:pStyle w:val="ListParagraph"/>
        <w:tabs>
          <w:tab w:val="clear" w:pos="1152"/>
        </w:tabs>
        <w:spacing w:before="240" w:after="120" w:line="240" w:lineRule="auto"/>
        <w:rPr>
          <w:sz w:val="24"/>
          <w:szCs w:val="24"/>
        </w:rPr>
      </w:pPr>
      <w:r w:rsidRPr="00840479">
        <w:rPr>
          <w:sz w:val="24"/>
          <w:szCs w:val="24"/>
        </w:rPr>
        <w:t xml:space="preserve">5. </w:t>
      </w:r>
      <w:r>
        <w:rPr>
          <w:sz w:val="24"/>
          <w:szCs w:val="24"/>
        </w:rPr>
        <w:tab/>
      </w:r>
      <w:r w:rsidRPr="00840479">
        <w:rPr>
          <w:sz w:val="24"/>
          <w:szCs w:val="24"/>
        </w:rPr>
        <w:t>Pre-notification Email</w:t>
      </w:r>
    </w:p>
    <w:p w:rsidRPr="00840479" w:rsidR="00840479" w:rsidP="00840479" w:rsidRDefault="00840479" w14:paraId="7A737093" w14:textId="77777777">
      <w:pPr>
        <w:pStyle w:val="ListParagraph"/>
        <w:tabs>
          <w:tab w:val="clear" w:pos="1152"/>
        </w:tabs>
        <w:spacing w:before="240" w:after="120" w:line="240" w:lineRule="auto"/>
        <w:rPr>
          <w:sz w:val="24"/>
          <w:szCs w:val="24"/>
        </w:rPr>
      </w:pPr>
      <w:r w:rsidRPr="00840479">
        <w:rPr>
          <w:sz w:val="24"/>
          <w:szCs w:val="24"/>
        </w:rPr>
        <w:t>6.</w:t>
      </w:r>
      <w:r w:rsidRPr="00840479">
        <w:rPr>
          <w:sz w:val="24"/>
          <w:szCs w:val="24"/>
        </w:rPr>
        <w:tab/>
        <w:t>Invitation Email</w:t>
      </w:r>
    </w:p>
    <w:p w:rsidRPr="00840479" w:rsidR="00840479" w:rsidP="00840479" w:rsidRDefault="00840479" w14:paraId="39B2BE46" w14:textId="71072F3F">
      <w:pPr>
        <w:pStyle w:val="ListParagraph"/>
        <w:tabs>
          <w:tab w:val="clear" w:pos="1152"/>
        </w:tabs>
        <w:spacing w:before="240" w:after="120" w:line="240" w:lineRule="auto"/>
        <w:rPr>
          <w:sz w:val="24"/>
          <w:szCs w:val="24"/>
        </w:rPr>
      </w:pPr>
      <w:r w:rsidRPr="00840479">
        <w:rPr>
          <w:sz w:val="24"/>
          <w:szCs w:val="24"/>
        </w:rPr>
        <w:t xml:space="preserve">7. </w:t>
      </w:r>
      <w:r>
        <w:rPr>
          <w:sz w:val="24"/>
          <w:szCs w:val="24"/>
        </w:rPr>
        <w:tab/>
      </w:r>
      <w:r w:rsidRPr="00840479">
        <w:rPr>
          <w:sz w:val="24"/>
          <w:szCs w:val="24"/>
        </w:rPr>
        <w:t>Reminder Email</w:t>
      </w:r>
    </w:p>
    <w:p w:rsidRPr="00840479" w:rsidR="00840479" w:rsidP="00840479" w:rsidRDefault="00840479" w14:paraId="193A5B79" w14:textId="3BAC6D03">
      <w:pPr>
        <w:pStyle w:val="ListParagraph"/>
        <w:tabs>
          <w:tab w:val="clear" w:pos="1152"/>
        </w:tabs>
        <w:spacing w:before="240" w:after="120" w:line="240" w:lineRule="auto"/>
        <w:rPr>
          <w:sz w:val="24"/>
          <w:szCs w:val="24"/>
        </w:rPr>
      </w:pPr>
      <w:r w:rsidRPr="00840479">
        <w:rPr>
          <w:sz w:val="24"/>
          <w:szCs w:val="24"/>
        </w:rPr>
        <w:t xml:space="preserve">8. </w:t>
      </w:r>
      <w:r>
        <w:rPr>
          <w:sz w:val="24"/>
          <w:szCs w:val="24"/>
        </w:rPr>
        <w:tab/>
      </w:r>
      <w:r w:rsidRPr="00840479">
        <w:rPr>
          <w:sz w:val="24"/>
          <w:szCs w:val="24"/>
        </w:rPr>
        <w:t>Partial Complete Reminder Email</w:t>
      </w:r>
    </w:p>
    <w:p w:rsidRPr="00840479" w:rsidR="00840479" w:rsidP="007A574C" w:rsidRDefault="00840479" w14:paraId="6ED3F4D7" w14:textId="60DEDFEF">
      <w:pPr>
        <w:pStyle w:val="ListParagraph"/>
        <w:tabs>
          <w:tab w:val="clear" w:pos="1152"/>
        </w:tabs>
        <w:spacing w:line="240" w:lineRule="auto"/>
        <w:rPr>
          <w:sz w:val="24"/>
          <w:szCs w:val="24"/>
        </w:rPr>
      </w:pPr>
      <w:r w:rsidRPr="00840479">
        <w:rPr>
          <w:sz w:val="24"/>
          <w:szCs w:val="24"/>
        </w:rPr>
        <w:t xml:space="preserve">9. </w:t>
      </w:r>
      <w:r>
        <w:rPr>
          <w:sz w:val="24"/>
          <w:szCs w:val="24"/>
        </w:rPr>
        <w:tab/>
      </w:r>
      <w:r w:rsidRPr="00840479">
        <w:rPr>
          <w:sz w:val="24"/>
          <w:szCs w:val="24"/>
        </w:rPr>
        <w:t>Survey Link on Member Portal</w:t>
      </w:r>
    </w:p>
    <w:p w:rsidR="00AC7CCB" w:rsidP="007A574C" w:rsidRDefault="00840479" w14:paraId="418EDBCF" w14:textId="155AECEC">
      <w:pPr>
        <w:pStyle w:val="ListParagraph"/>
        <w:tabs>
          <w:tab w:val="clear" w:pos="1152"/>
        </w:tabs>
        <w:spacing w:line="240" w:lineRule="auto"/>
        <w:ind w:left="0" w:firstLine="720"/>
        <w:contextualSpacing w:val="0"/>
        <w:rPr>
          <w:sz w:val="24"/>
          <w:szCs w:val="24"/>
        </w:rPr>
      </w:pPr>
      <w:r w:rsidRPr="00840479">
        <w:rPr>
          <w:sz w:val="24"/>
          <w:szCs w:val="24"/>
        </w:rPr>
        <w:t>10.</w:t>
      </w:r>
      <w:r w:rsidRPr="00840479">
        <w:rPr>
          <w:sz w:val="24"/>
          <w:szCs w:val="24"/>
        </w:rPr>
        <w:tab/>
        <w:t xml:space="preserve">Transportation Research Circular, No. E-C238, August </w:t>
      </w:r>
      <w:proofErr w:type="gramStart"/>
      <w:r w:rsidRPr="00840479">
        <w:rPr>
          <w:sz w:val="24"/>
          <w:szCs w:val="24"/>
        </w:rPr>
        <w:t>8-9</w:t>
      </w:r>
      <w:proofErr w:type="gramEnd"/>
      <w:r w:rsidRPr="00840479">
        <w:rPr>
          <w:sz w:val="24"/>
          <w:szCs w:val="24"/>
        </w:rPr>
        <w:t xml:space="preserve"> 2018</w:t>
      </w:r>
    </w:p>
    <w:p w:rsidRPr="00265EB9" w:rsidR="004D063F" w:rsidP="007A574C" w:rsidRDefault="004D063F" w14:paraId="5C3FD753" w14:textId="27D78DF2">
      <w:pPr>
        <w:pStyle w:val="ListParagraph"/>
        <w:tabs>
          <w:tab w:val="clear" w:pos="1152"/>
        </w:tabs>
        <w:spacing w:line="240" w:lineRule="auto"/>
        <w:ind w:left="0" w:firstLine="720"/>
        <w:contextualSpacing w:val="0"/>
        <w:rPr>
          <w:sz w:val="24"/>
          <w:szCs w:val="24"/>
        </w:rPr>
      </w:pPr>
      <w:bookmarkStart w:name="_GoBack" w:id="2"/>
      <w:bookmarkEnd w:id="2"/>
      <w:r w:rsidRPr="00A67E4F">
        <w:rPr>
          <w:sz w:val="24"/>
          <w:szCs w:val="24"/>
        </w:rPr>
        <w:t>11.</w:t>
      </w:r>
      <w:r w:rsidRPr="00A67E4F">
        <w:rPr>
          <w:sz w:val="24"/>
          <w:szCs w:val="24"/>
        </w:rPr>
        <w:tab/>
        <w:t>National Household Travel Survey Questionnaire</w:t>
      </w:r>
    </w:p>
    <w:sectPr w:rsidRPr="00265EB9" w:rsidR="004D063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317B6" w14:textId="77777777" w:rsidR="00830D24" w:rsidRDefault="00830D24" w:rsidP="00A778B9">
      <w:pPr>
        <w:spacing w:line="240" w:lineRule="auto"/>
      </w:pPr>
      <w:r>
        <w:separator/>
      </w:r>
    </w:p>
  </w:endnote>
  <w:endnote w:type="continuationSeparator" w:id="0">
    <w:p w14:paraId="369668B3" w14:textId="77777777" w:rsidR="00830D24" w:rsidRDefault="00830D24" w:rsidP="00A77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606678"/>
      <w:docPartObj>
        <w:docPartGallery w:val="Page Numbers (Bottom of Page)"/>
        <w:docPartUnique/>
      </w:docPartObj>
    </w:sdtPr>
    <w:sdtEndPr>
      <w:rPr>
        <w:noProof/>
      </w:rPr>
    </w:sdtEndPr>
    <w:sdtContent>
      <w:p w14:paraId="231DA991" w14:textId="3B57C220" w:rsidR="00B23C97" w:rsidRDefault="00B23C97" w:rsidP="00E16E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B85F4" w14:textId="77777777" w:rsidR="00830D24" w:rsidRDefault="00830D24" w:rsidP="00A778B9">
      <w:pPr>
        <w:spacing w:line="240" w:lineRule="auto"/>
      </w:pPr>
      <w:r>
        <w:separator/>
      </w:r>
    </w:p>
  </w:footnote>
  <w:footnote w:type="continuationSeparator" w:id="0">
    <w:p w14:paraId="2E4D5CF0" w14:textId="77777777" w:rsidR="00830D24" w:rsidRDefault="00830D24" w:rsidP="00A778B9">
      <w:pPr>
        <w:spacing w:line="240" w:lineRule="auto"/>
      </w:pPr>
      <w:r>
        <w:continuationSeparator/>
      </w:r>
    </w:p>
  </w:footnote>
  <w:footnote w:id="1">
    <w:p w14:paraId="6E960A29" w14:textId="7CA78011" w:rsidR="00B23C97" w:rsidRPr="00F10E00" w:rsidRDefault="00B23C97" w:rsidP="00F10E00">
      <w:pPr>
        <w:tabs>
          <w:tab w:val="clear" w:pos="1152"/>
        </w:tabs>
        <w:autoSpaceDE w:val="0"/>
        <w:autoSpaceDN w:val="0"/>
        <w:adjustRightInd w:val="0"/>
        <w:spacing w:line="240" w:lineRule="auto"/>
        <w:ind w:left="180" w:hanging="180"/>
        <w:rPr>
          <w:sz w:val="16"/>
          <w:szCs w:val="16"/>
          <w:lang w:eastAsia="en-GB"/>
        </w:rPr>
      </w:pPr>
      <w:r w:rsidRPr="00F10E00">
        <w:rPr>
          <w:rStyle w:val="FootnoteReference"/>
          <w:sz w:val="16"/>
          <w:szCs w:val="16"/>
        </w:rPr>
        <w:footnoteRef/>
      </w:r>
      <w:r w:rsidRPr="00F10E00">
        <w:rPr>
          <w:sz w:val="16"/>
          <w:szCs w:val="16"/>
        </w:rPr>
        <w:t xml:space="preserve"> </w:t>
      </w:r>
      <w:r>
        <w:rPr>
          <w:sz w:val="16"/>
          <w:szCs w:val="16"/>
        </w:rPr>
        <w:tab/>
      </w:r>
      <w:r w:rsidRPr="00F10E00">
        <w:rPr>
          <w:sz w:val="16"/>
          <w:szCs w:val="16"/>
          <w:lang w:eastAsia="en-GB"/>
        </w:rPr>
        <w:t>Keeter, S., Miller, C., Kohut, A., Groves, R. M., and Presser, S.  (2000).  Consequences of Reducing Nonresponse in a Large National Telephone Survey.  Public Opinion Quarterly, 64, 125–148.</w:t>
      </w:r>
    </w:p>
  </w:footnote>
  <w:footnote w:id="2">
    <w:p w14:paraId="13BC10AE" w14:textId="77777777" w:rsidR="00B23C97" w:rsidRPr="00F10E00" w:rsidRDefault="00B23C97" w:rsidP="00F84832">
      <w:pPr>
        <w:tabs>
          <w:tab w:val="clear" w:pos="1152"/>
        </w:tabs>
        <w:autoSpaceDE w:val="0"/>
        <w:autoSpaceDN w:val="0"/>
        <w:adjustRightInd w:val="0"/>
        <w:spacing w:line="240" w:lineRule="auto"/>
        <w:ind w:left="187" w:hanging="187"/>
        <w:rPr>
          <w:rFonts w:cs="Arial"/>
          <w:sz w:val="16"/>
          <w:szCs w:val="16"/>
        </w:rPr>
      </w:pPr>
      <w:r w:rsidRPr="00F10E00">
        <w:rPr>
          <w:rStyle w:val="FootnoteReference"/>
          <w:rFonts w:cs="Arial"/>
          <w:sz w:val="16"/>
          <w:szCs w:val="16"/>
        </w:rPr>
        <w:footnoteRef/>
      </w:r>
      <w:r w:rsidRPr="00F10E00">
        <w:rPr>
          <w:rFonts w:cs="Arial"/>
          <w:sz w:val="16"/>
          <w:szCs w:val="16"/>
        </w:rPr>
        <w:tab/>
        <w:t xml:space="preserve">Kalton, G., and Kasprzak, D. (1986). The Treatment of Missing Survey Data. </w:t>
      </w:r>
      <w:r w:rsidRPr="00F10E00">
        <w:rPr>
          <w:rFonts w:cs="Arial"/>
          <w:i/>
          <w:iCs/>
          <w:sz w:val="16"/>
          <w:szCs w:val="16"/>
        </w:rPr>
        <w:t xml:space="preserve">Survey Methodology, 12, </w:t>
      </w:r>
      <w:r w:rsidRPr="00F10E00">
        <w:rPr>
          <w:rFonts w:cs="Arial"/>
          <w:sz w:val="16"/>
          <w:szCs w:val="16"/>
        </w:rPr>
        <w:t>1–16.</w:t>
      </w:r>
    </w:p>
  </w:footnote>
  <w:footnote w:id="3">
    <w:p w14:paraId="30D8950A" w14:textId="77777777" w:rsidR="00B23C97" w:rsidRPr="00F10E00" w:rsidRDefault="00B23C97" w:rsidP="008B28D1">
      <w:pPr>
        <w:pStyle w:val="FootnoteText"/>
        <w:rPr>
          <w:rFonts w:ascii="Times New Roman" w:hAnsi="Times New Roman" w:cs="Times New Roman"/>
          <w:sz w:val="16"/>
          <w:szCs w:val="16"/>
          <w:lang w:val="en-US"/>
        </w:rPr>
      </w:pPr>
      <w:r w:rsidRPr="00F10E00">
        <w:rPr>
          <w:rStyle w:val="FootnoteReference"/>
          <w:rFonts w:ascii="Times New Roman" w:hAnsi="Times New Roman" w:cs="Times New Roman"/>
          <w:sz w:val="16"/>
          <w:szCs w:val="16"/>
        </w:rPr>
        <w:footnoteRef/>
      </w:r>
      <w:r w:rsidRPr="00F10E00">
        <w:rPr>
          <w:rFonts w:ascii="Times New Roman" w:hAnsi="Times New Roman" w:cs="Times New Roman"/>
          <w:sz w:val="16"/>
          <w:szCs w:val="16"/>
        </w:rPr>
        <w:t xml:space="preserve"> Wolter, K.M. (1985) Introduction to Variance Estimation. New York: John Wiley &amp; Sons.</w:t>
      </w:r>
    </w:p>
  </w:footnote>
  <w:footnote w:id="4">
    <w:p w14:paraId="6BA1A0D6" w14:textId="4C0926D7" w:rsidR="00346849" w:rsidRPr="00346849" w:rsidRDefault="00346849">
      <w:pPr>
        <w:pStyle w:val="FootnoteText"/>
        <w:rPr>
          <w:sz w:val="16"/>
          <w:szCs w:val="16"/>
          <w:lang w:val="en-US"/>
        </w:rPr>
      </w:pPr>
      <w:r w:rsidRPr="00346849">
        <w:rPr>
          <w:rStyle w:val="FootnoteReference"/>
          <w:sz w:val="16"/>
          <w:szCs w:val="16"/>
        </w:rPr>
        <w:footnoteRef/>
      </w:r>
      <w:r w:rsidRPr="00346849">
        <w:rPr>
          <w:sz w:val="16"/>
          <w:szCs w:val="16"/>
        </w:rPr>
        <w:t xml:space="preserve"> Forsyth, Barbara &amp; Lessler, Judith. (2011). Cognitive Laboratory Methods: A Taxonomy. 10.1002/9781118150382.ch20.</w:t>
      </w:r>
    </w:p>
  </w:footnote>
  <w:footnote w:id="5">
    <w:p w14:paraId="48A0E743" w14:textId="5D89146A" w:rsidR="00346849" w:rsidRPr="00346849" w:rsidRDefault="00346849">
      <w:pPr>
        <w:pStyle w:val="FootnoteText"/>
        <w:rPr>
          <w:sz w:val="16"/>
          <w:szCs w:val="16"/>
          <w:lang w:val="en-US"/>
        </w:rPr>
      </w:pPr>
      <w:r w:rsidRPr="00346849">
        <w:rPr>
          <w:rStyle w:val="FootnoteReference"/>
          <w:sz w:val="16"/>
          <w:szCs w:val="16"/>
        </w:rPr>
        <w:footnoteRef/>
      </w:r>
      <w:r w:rsidRPr="00346849">
        <w:rPr>
          <w:sz w:val="16"/>
          <w:szCs w:val="16"/>
        </w:rPr>
        <w:t xml:space="preserve"> </w:t>
      </w:r>
      <w:r w:rsidRPr="00346849">
        <w:rPr>
          <w:rFonts w:cs="Arial"/>
          <w:color w:val="333333"/>
          <w:sz w:val="16"/>
          <w:szCs w:val="16"/>
          <w:shd w:val="clear" w:color="auto" w:fill="FFFFFF"/>
        </w:rPr>
        <w:t>DeMaio, T. J., &amp; Rothgeb, J. M. (1996). Cognitive interviewing techniques: In the lab and in the field. In N. Schwarz &amp; S. Sudman (Eds.), </w:t>
      </w:r>
      <w:r w:rsidRPr="00346849">
        <w:rPr>
          <w:rStyle w:val="Emphasis"/>
          <w:rFonts w:cs="Arial"/>
          <w:color w:val="333333"/>
          <w:sz w:val="16"/>
          <w:szCs w:val="16"/>
          <w:shd w:val="clear" w:color="auto" w:fill="FFFFFF"/>
        </w:rPr>
        <w:t>Answering questions: Methodology for determining cognitive and communicative processes in survey research</w:t>
      </w:r>
      <w:r w:rsidRPr="00346849">
        <w:rPr>
          <w:rFonts w:cs="Arial"/>
          <w:color w:val="333333"/>
          <w:sz w:val="16"/>
          <w:szCs w:val="16"/>
          <w:shd w:val="clear" w:color="auto" w:fill="FFFFFF"/>
        </w:rPr>
        <w:t> (p. 177–195). Jossey-Bass.</w:t>
      </w:r>
    </w:p>
  </w:footnote>
  <w:footnote w:id="6">
    <w:p w14:paraId="45E65963" w14:textId="0711B083" w:rsidR="00346849" w:rsidRPr="00346849" w:rsidRDefault="00346849">
      <w:pPr>
        <w:pStyle w:val="FootnoteText"/>
        <w:rPr>
          <w:lang w:val="en-US"/>
        </w:rPr>
      </w:pPr>
      <w:r w:rsidRPr="00346849">
        <w:rPr>
          <w:rStyle w:val="FootnoteReference"/>
          <w:sz w:val="16"/>
          <w:szCs w:val="16"/>
        </w:rPr>
        <w:footnoteRef/>
      </w:r>
      <w:r w:rsidRPr="00346849">
        <w:rPr>
          <w:sz w:val="16"/>
          <w:szCs w:val="16"/>
        </w:rPr>
        <w:t xml:space="preserve"> Groves, Robert &amp; Fowler, Floyd &amp; Couper, Mick &amp; Lepkowski, James &amp; Singer, Eleanor &amp; Tourangeau, Roger. (2004). Survey Methodology. 561.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77CA"/>
    <w:multiLevelType w:val="hybridMultilevel"/>
    <w:tmpl w:val="C31C892A"/>
    <w:lvl w:ilvl="0" w:tplc="984E760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16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836FAE"/>
    <w:multiLevelType w:val="hybridMultilevel"/>
    <w:tmpl w:val="826CFA5A"/>
    <w:lvl w:ilvl="0" w:tplc="984E7606">
      <w:numFmt w:val="bullet"/>
      <w:lvlText w:val="•"/>
      <w:lvlJc w:val="left"/>
      <w:pPr>
        <w:ind w:left="360" w:hanging="360"/>
      </w:pPr>
      <w:rPr>
        <w:rFonts w:ascii="Arial" w:eastAsia="Arial"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BE20B7"/>
    <w:multiLevelType w:val="hybridMultilevel"/>
    <w:tmpl w:val="67824276"/>
    <w:lvl w:ilvl="0" w:tplc="984E7606">
      <w:numFmt w:val="bullet"/>
      <w:lvlText w:val="•"/>
      <w:lvlJc w:val="left"/>
      <w:pPr>
        <w:ind w:left="360" w:hanging="360"/>
      </w:pPr>
      <w:rPr>
        <w:rFonts w:ascii="Arial" w:eastAsia="Arial"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9E36F0"/>
    <w:multiLevelType w:val="hybridMultilevel"/>
    <w:tmpl w:val="9F4A7FEC"/>
    <w:lvl w:ilvl="0" w:tplc="984E7606">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83A92"/>
    <w:multiLevelType w:val="hybridMultilevel"/>
    <w:tmpl w:val="5FFE13C4"/>
    <w:lvl w:ilvl="0" w:tplc="0409000F">
      <w:start w:val="1"/>
      <w:numFmt w:val="decimal"/>
      <w:lvlText w:val="%1."/>
      <w:lvlJc w:val="left"/>
      <w:pPr>
        <w:ind w:left="360" w:hanging="360"/>
      </w:pPr>
    </w:lvl>
    <w:lvl w:ilvl="1" w:tplc="4C9C64A4">
      <w:start w:val="1"/>
      <w:numFmt w:val="bullet"/>
      <w:lvlText w:val=""/>
      <w:lvlJc w:val="left"/>
      <w:pPr>
        <w:ind w:left="1080" w:hanging="360"/>
      </w:pPr>
      <w:rPr>
        <w:rFonts w:ascii="Wingdings" w:hAnsi="Wingdings"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6768B2"/>
    <w:multiLevelType w:val="hybridMultilevel"/>
    <w:tmpl w:val="9CCCAE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3F1F25"/>
    <w:multiLevelType w:val="hybridMultilevel"/>
    <w:tmpl w:val="E95C3228"/>
    <w:lvl w:ilvl="0" w:tplc="CA941F34">
      <w:start w:val="1"/>
      <w:numFmt w:val="bullet"/>
      <w:lvlText w:val=""/>
      <w:lvlJc w:val="left"/>
      <w:pPr>
        <w:ind w:left="0" w:hanging="360"/>
      </w:pPr>
      <w:rPr>
        <w:rFonts w:ascii="Wingdings" w:hAnsi="Wingdings" w:hint="default"/>
        <w:color w:val="00206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CC11563"/>
    <w:multiLevelType w:val="hybridMultilevel"/>
    <w:tmpl w:val="6B7CE2B4"/>
    <w:lvl w:ilvl="0" w:tplc="CA941F34">
      <w:start w:val="1"/>
      <w:numFmt w:val="bullet"/>
      <w:lvlText w:val=""/>
      <w:lvlJc w:val="left"/>
      <w:pPr>
        <w:ind w:left="360" w:hanging="360"/>
      </w:pPr>
      <w:rPr>
        <w:rFonts w:ascii="Wingdings" w:hAnsi="Wingdings" w:hint="default"/>
        <w:color w:val="0020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B66872"/>
    <w:multiLevelType w:val="hybridMultilevel"/>
    <w:tmpl w:val="7602C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4130D"/>
    <w:multiLevelType w:val="hybridMultilevel"/>
    <w:tmpl w:val="39526064"/>
    <w:lvl w:ilvl="0" w:tplc="6838C4F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C14B9F"/>
    <w:multiLevelType w:val="hybridMultilevel"/>
    <w:tmpl w:val="C4962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16740B"/>
    <w:multiLevelType w:val="hybridMultilevel"/>
    <w:tmpl w:val="56EE6406"/>
    <w:lvl w:ilvl="0" w:tplc="6838C4F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CE4598"/>
    <w:multiLevelType w:val="hybridMultilevel"/>
    <w:tmpl w:val="14AC824C"/>
    <w:lvl w:ilvl="0" w:tplc="6838C4F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EA2A08"/>
    <w:multiLevelType w:val="hybridMultilevel"/>
    <w:tmpl w:val="6046E37E"/>
    <w:lvl w:ilvl="0" w:tplc="984E7606">
      <w:numFmt w:val="bullet"/>
      <w:lvlText w:val="•"/>
      <w:lvlJc w:val="left"/>
      <w:pPr>
        <w:ind w:left="360" w:hanging="360"/>
      </w:pPr>
      <w:rPr>
        <w:rFonts w:ascii="Arial" w:eastAsia="Arial"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117CF1"/>
    <w:multiLevelType w:val="multilevel"/>
    <w:tmpl w:val="DE4E1630"/>
    <w:lvl w:ilvl="0">
      <w:start w:val="1"/>
      <w:numFmt w:val="decimal"/>
      <w:lvlText w:val="%1."/>
      <w:lvlJc w:val="left"/>
      <w:pPr>
        <w:ind w:left="360" w:hanging="360"/>
      </w:pPr>
      <w:rPr>
        <w:rFonts w:ascii="Times New Roman Bold" w:hAnsi="Times New Roman Bold" w:hint="default"/>
        <w:b/>
        <w:i w:val="0"/>
        <w:caps w:val="0"/>
        <w:strike w:val="0"/>
        <w:dstrike w:val="0"/>
        <w:vanish w:val="0"/>
        <w:sz w:val="28"/>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C761F5"/>
    <w:multiLevelType w:val="hybridMultilevel"/>
    <w:tmpl w:val="7AA6C886"/>
    <w:lvl w:ilvl="0" w:tplc="6838C4F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9D4BC1"/>
    <w:multiLevelType w:val="hybridMultilevel"/>
    <w:tmpl w:val="1E309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322480"/>
    <w:multiLevelType w:val="hybridMultilevel"/>
    <w:tmpl w:val="D49603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0D1476"/>
    <w:multiLevelType w:val="multilevel"/>
    <w:tmpl w:val="DE4E1630"/>
    <w:lvl w:ilvl="0">
      <w:start w:val="1"/>
      <w:numFmt w:val="decimal"/>
      <w:lvlText w:val="%1."/>
      <w:lvlJc w:val="left"/>
      <w:pPr>
        <w:ind w:left="360" w:hanging="360"/>
      </w:pPr>
      <w:rPr>
        <w:rFonts w:ascii="Times New Roman Bold" w:hAnsi="Times New Roman Bold" w:hint="default"/>
        <w:b/>
        <w:i w:val="0"/>
        <w:caps w:val="0"/>
        <w:strike w:val="0"/>
        <w:dstrike w:val="0"/>
        <w:vanish w:val="0"/>
        <w:sz w:val="28"/>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9"/>
  </w:num>
  <w:num w:numId="3">
    <w:abstractNumId w:val="6"/>
  </w:num>
  <w:num w:numId="4">
    <w:abstractNumId w:val="7"/>
  </w:num>
  <w:num w:numId="5">
    <w:abstractNumId w:val="8"/>
  </w:num>
  <w:num w:numId="6">
    <w:abstractNumId w:val="1"/>
  </w:num>
  <w:num w:numId="7">
    <w:abstractNumId w:val="5"/>
  </w:num>
  <w:num w:numId="8">
    <w:abstractNumId w:val="12"/>
  </w:num>
  <w:num w:numId="9">
    <w:abstractNumId w:val="16"/>
  </w:num>
  <w:num w:numId="10">
    <w:abstractNumId w:val="10"/>
  </w:num>
  <w:num w:numId="11">
    <w:abstractNumId w:val="13"/>
  </w:num>
  <w:num w:numId="12">
    <w:abstractNumId w:val="15"/>
  </w:num>
  <w:num w:numId="13">
    <w:abstractNumId w:val="11"/>
  </w:num>
  <w:num w:numId="14">
    <w:abstractNumId w:val="18"/>
  </w:num>
  <w:num w:numId="15">
    <w:abstractNumId w:val="9"/>
  </w:num>
  <w:num w:numId="16">
    <w:abstractNumId w:val="2"/>
  </w:num>
  <w:num w:numId="17">
    <w:abstractNumId w:val="4"/>
  </w:num>
  <w:num w:numId="18">
    <w:abstractNumId w:val="14"/>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9"/>
    <w:rsid w:val="00013FBF"/>
    <w:rsid w:val="0002362F"/>
    <w:rsid w:val="00032579"/>
    <w:rsid w:val="00054F3A"/>
    <w:rsid w:val="00065E04"/>
    <w:rsid w:val="00097613"/>
    <w:rsid w:val="000A582F"/>
    <w:rsid w:val="000C531A"/>
    <w:rsid w:val="000D27CB"/>
    <w:rsid w:val="0010103F"/>
    <w:rsid w:val="001019B6"/>
    <w:rsid w:val="00124339"/>
    <w:rsid w:val="001303AF"/>
    <w:rsid w:val="001371B2"/>
    <w:rsid w:val="00144233"/>
    <w:rsid w:val="00184629"/>
    <w:rsid w:val="00193F74"/>
    <w:rsid w:val="001A2BC5"/>
    <w:rsid w:val="001B059D"/>
    <w:rsid w:val="001B34D0"/>
    <w:rsid w:val="001C261B"/>
    <w:rsid w:val="001D2F28"/>
    <w:rsid w:val="001D51F0"/>
    <w:rsid w:val="001E2AF4"/>
    <w:rsid w:val="001E3B04"/>
    <w:rsid w:val="001F677B"/>
    <w:rsid w:val="002000A5"/>
    <w:rsid w:val="00203937"/>
    <w:rsid w:val="00211DE1"/>
    <w:rsid w:val="00227FE2"/>
    <w:rsid w:val="002438CE"/>
    <w:rsid w:val="002635FE"/>
    <w:rsid w:val="00265EB9"/>
    <w:rsid w:val="00283CF6"/>
    <w:rsid w:val="00286EC0"/>
    <w:rsid w:val="00297EE6"/>
    <w:rsid w:val="002B0545"/>
    <w:rsid w:val="003032D5"/>
    <w:rsid w:val="00310021"/>
    <w:rsid w:val="00336DD9"/>
    <w:rsid w:val="00344C1D"/>
    <w:rsid w:val="00346849"/>
    <w:rsid w:val="00362715"/>
    <w:rsid w:val="003673A9"/>
    <w:rsid w:val="003710D5"/>
    <w:rsid w:val="00375C1B"/>
    <w:rsid w:val="00381215"/>
    <w:rsid w:val="003A01C0"/>
    <w:rsid w:val="003A4DA3"/>
    <w:rsid w:val="003C1175"/>
    <w:rsid w:val="003C5064"/>
    <w:rsid w:val="003D0BB6"/>
    <w:rsid w:val="003D1FD0"/>
    <w:rsid w:val="003D28AA"/>
    <w:rsid w:val="00407CC2"/>
    <w:rsid w:val="004101A1"/>
    <w:rsid w:val="00414139"/>
    <w:rsid w:val="004359D4"/>
    <w:rsid w:val="004409BC"/>
    <w:rsid w:val="004515BF"/>
    <w:rsid w:val="00480DEF"/>
    <w:rsid w:val="00495384"/>
    <w:rsid w:val="00497A8B"/>
    <w:rsid w:val="004A778C"/>
    <w:rsid w:val="004C7235"/>
    <w:rsid w:val="004D063F"/>
    <w:rsid w:val="00526252"/>
    <w:rsid w:val="0052677F"/>
    <w:rsid w:val="00531454"/>
    <w:rsid w:val="00534DE8"/>
    <w:rsid w:val="00535151"/>
    <w:rsid w:val="00541DCC"/>
    <w:rsid w:val="00544865"/>
    <w:rsid w:val="0055137C"/>
    <w:rsid w:val="005609C7"/>
    <w:rsid w:val="00561A58"/>
    <w:rsid w:val="00571EFD"/>
    <w:rsid w:val="00582E49"/>
    <w:rsid w:val="005857D9"/>
    <w:rsid w:val="00585F04"/>
    <w:rsid w:val="005A1711"/>
    <w:rsid w:val="005A57C2"/>
    <w:rsid w:val="005B292D"/>
    <w:rsid w:val="005F67FE"/>
    <w:rsid w:val="005F7599"/>
    <w:rsid w:val="00601A35"/>
    <w:rsid w:val="00601C2B"/>
    <w:rsid w:val="0062119B"/>
    <w:rsid w:val="00673A53"/>
    <w:rsid w:val="0068060F"/>
    <w:rsid w:val="00696CE6"/>
    <w:rsid w:val="006E2121"/>
    <w:rsid w:val="00711E25"/>
    <w:rsid w:val="007248C9"/>
    <w:rsid w:val="00732F45"/>
    <w:rsid w:val="007332CE"/>
    <w:rsid w:val="00735EB7"/>
    <w:rsid w:val="00740217"/>
    <w:rsid w:val="00744360"/>
    <w:rsid w:val="00757153"/>
    <w:rsid w:val="007718E9"/>
    <w:rsid w:val="007733AF"/>
    <w:rsid w:val="007A574C"/>
    <w:rsid w:val="007C2E0A"/>
    <w:rsid w:val="007D04FE"/>
    <w:rsid w:val="007D7003"/>
    <w:rsid w:val="007D7A52"/>
    <w:rsid w:val="007E5BDB"/>
    <w:rsid w:val="007E71A6"/>
    <w:rsid w:val="007F2FA6"/>
    <w:rsid w:val="007F73DE"/>
    <w:rsid w:val="00802EFD"/>
    <w:rsid w:val="00807E0D"/>
    <w:rsid w:val="00821761"/>
    <w:rsid w:val="00830D24"/>
    <w:rsid w:val="00840479"/>
    <w:rsid w:val="00842F09"/>
    <w:rsid w:val="00865E46"/>
    <w:rsid w:val="00877959"/>
    <w:rsid w:val="008A53F1"/>
    <w:rsid w:val="008B28D1"/>
    <w:rsid w:val="008B4BB4"/>
    <w:rsid w:val="008C5C5B"/>
    <w:rsid w:val="008D0E0F"/>
    <w:rsid w:val="008D186D"/>
    <w:rsid w:val="008E1185"/>
    <w:rsid w:val="008E17C4"/>
    <w:rsid w:val="008F7C19"/>
    <w:rsid w:val="00912630"/>
    <w:rsid w:val="00923A87"/>
    <w:rsid w:val="00936BC2"/>
    <w:rsid w:val="00940CF3"/>
    <w:rsid w:val="00946783"/>
    <w:rsid w:val="0095417F"/>
    <w:rsid w:val="00954458"/>
    <w:rsid w:val="009A5233"/>
    <w:rsid w:val="009D7987"/>
    <w:rsid w:val="009E511A"/>
    <w:rsid w:val="009F422D"/>
    <w:rsid w:val="009F62E8"/>
    <w:rsid w:val="009F72BA"/>
    <w:rsid w:val="00A1660E"/>
    <w:rsid w:val="00A234D0"/>
    <w:rsid w:val="00A3314A"/>
    <w:rsid w:val="00A6426A"/>
    <w:rsid w:val="00A64403"/>
    <w:rsid w:val="00A67E4F"/>
    <w:rsid w:val="00A70F91"/>
    <w:rsid w:val="00A778B9"/>
    <w:rsid w:val="00A93973"/>
    <w:rsid w:val="00A94ECE"/>
    <w:rsid w:val="00A96205"/>
    <w:rsid w:val="00AA66CB"/>
    <w:rsid w:val="00AA7DC6"/>
    <w:rsid w:val="00AC3207"/>
    <w:rsid w:val="00AC36DA"/>
    <w:rsid w:val="00AC7CCB"/>
    <w:rsid w:val="00AD571D"/>
    <w:rsid w:val="00AE0329"/>
    <w:rsid w:val="00AE3860"/>
    <w:rsid w:val="00AF00AC"/>
    <w:rsid w:val="00AF1AE5"/>
    <w:rsid w:val="00AF7B99"/>
    <w:rsid w:val="00B00B01"/>
    <w:rsid w:val="00B16A89"/>
    <w:rsid w:val="00B23C97"/>
    <w:rsid w:val="00B72B55"/>
    <w:rsid w:val="00B74074"/>
    <w:rsid w:val="00B80841"/>
    <w:rsid w:val="00BA11A0"/>
    <w:rsid w:val="00BA1AFC"/>
    <w:rsid w:val="00BB7434"/>
    <w:rsid w:val="00BD0AA9"/>
    <w:rsid w:val="00BD1D02"/>
    <w:rsid w:val="00BF1739"/>
    <w:rsid w:val="00C00981"/>
    <w:rsid w:val="00C0572B"/>
    <w:rsid w:val="00C14F0D"/>
    <w:rsid w:val="00C245F6"/>
    <w:rsid w:val="00C40A32"/>
    <w:rsid w:val="00C679DE"/>
    <w:rsid w:val="00C72D99"/>
    <w:rsid w:val="00C927F2"/>
    <w:rsid w:val="00C93EC1"/>
    <w:rsid w:val="00CB2CF9"/>
    <w:rsid w:val="00CB6F8E"/>
    <w:rsid w:val="00CC2F65"/>
    <w:rsid w:val="00CC3926"/>
    <w:rsid w:val="00D00980"/>
    <w:rsid w:val="00D23FE1"/>
    <w:rsid w:val="00D304C1"/>
    <w:rsid w:val="00D30AC2"/>
    <w:rsid w:val="00D454CA"/>
    <w:rsid w:val="00D53E32"/>
    <w:rsid w:val="00D62AD1"/>
    <w:rsid w:val="00D63798"/>
    <w:rsid w:val="00D6459D"/>
    <w:rsid w:val="00D83BA4"/>
    <w:rsid w:val="00D8558B"/>
    <w:rsid w:val="00D96A33"/>
    <w:rsid w:val="00DA0DF2"/>
    <w:rsid w:val="00DB4151"/>
    <w:rsid w:val="00DE025F"/>
    <w:rsid w:val="00E04EB7"/>
    <w:rsid w:val="00E157F5"/>
    <w:rsid w:val="00E16EEA"/>
    <w:rsid w:val="00E249E8"/>
    <w:rsid w:val="00E27AF1"/>
    <w:rsid w:val="00E603BC"/>
    <w:rsid w:val="00E627CE"/>
    <w:rsid w:val="00E65E4D"/>
    <w:rsid w:val="00E7620F"/>
    <w:rsid w:val="00E76BE9"/>
    <w:rsid w:val="00E90989"/>
    <w:rsid w:val="00E910E7"/>
    <w:rsid w:val="00E945BB"/>
    <w:rsid w:val="00EA2F9B"/>
    <w:rsid w:val="00EB0579"/>
    <w:rsid w:val="00EB5099"/>
    <w:rsid w:val="00EB6460"/>
    <w:rsid w:val="00F061C5"/>
    <w:rsid w:val="00F10E00"/>
    <w:rsid w:val="00F152E5"/>
    <w:rsid w:val="00F221C7"/>
    <w:rsid w:val="00F37B2E"/>
    <w:rsid w:val="00F45ADD"/>
    <w:rsid w:val="00F52242"/>
    <w:rsid w:val="00F57649"/>
    <w:rsid w:val="00F84832"/>
    <w:rsid w:val="00F90FC7"/>
    <w:rsid w:val="00F91671"/>
    <w:rsid w:val="00FB4290"/>
    <w:rsid w:val="00FC4183"/>
    <w:rsid w:val="00FD3F9F"/>
    <w:rsid w:val="00FD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009402C"/>
  <w15:chartTrackingRefBased/>
  <w15:docId w15:val="{215AAC56-F3B9-4D53-A9BD-ADFAD274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before="120"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8B9"/>
    <w:pPr>
      <w:tabs>
        <w:tab w:val="left" w:pos="1152"/>
      </w:tabs>
      <w:spacing w:before="0" w:after="0" w:line="360" w:lineRule="atLeast"/>
    </w:pPr>
    <w:rPr>
      <w:rFonts w:eastAsia="Times New Roman"/>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A778B9"/>
    <w:pPr>
      <w:spacing w:line="276" w:lineRule="auto"/>
    </w:pPr>
  </w:style>
  <w:style w:type="character" w:styleId="FootnoteReference">
    <w:name w:val="footnote reference"/>
    <w:basedOn w:val="DefaultParagraphFont"/>
    <w:uiPriority w:val="99"/>
    <w:semiHidden/>
    <w:unhideWhenUsed/>
    <w:rsid w:val="00A778B9"/>
    <w:rPr>
      <w:vertAlign w:val="superscript"/>
    </w:rPr>
  </w:style>
  <w:style w:type="character" w:customStyle="1" w:styleId="L1-FlLSp12Char">
    <w:name w:val="L1-FlL Sp&amp;1/2 Char"/>
    <w:link w:val="L1-FlLSp12"/>
    <w:locked/>
    <w:rsid w:val="00A778B9"/>
    <w:rPr>
      <w:rFonts w:eastAsia="Times New Roman"/>
      <w:color w:val="000000" w:themeColor="text1"/>
      <w:sz w:val="22"/>
    </w:rPr>
  </w:style>
  <w:style w:type="paragraph" w:styleId="NoSpacing">
    <w:name w:val="No Spacing"/>
    <w:uiPriority w:val="1"/>
    <w:qFormat/>
    <w:rsid w:val="00A778B9"/>
    <w:pPr>
      <w:spacing w:before="0" w:after="0"/>
    </w:pPr>
    <w:rPr>
      <w:rFonts w:asciiTheme="minorHAnsi" w:hAnsiTheme="minorHAnsi" w:cstheme="minorBidi"/>
      <w:sz w:val="22"/>
    </w:rPr>
  </w:style>
  <w:style w:type="paragraph" w:styleId="BodyText">
    <w:name w:val="Body Text"/>
    <w:basedOn w:val="Normal"/>
    <w:link w:val="BodyTextChar"/>
    <w:rsid w:val="00A778B9"/>
    <w:pPr>
      <w:widowControl w:val="0"/>
      <w:tabs>
        <w:tab w:val="clear" w:pos="1152"/>
      </w:tabs>
      <w:autoSpaceDE w:val="0"/>
      <w:autoSpaceDN w:val="0"/>
      <w:adjustRightInd w:val="0"/>
      <w:spacing w:line="240" w:lineRule="auto"/>
    </w:pPr>
    <w:rPr>
      <w:color w:val="auto"/>
      <w:sz w:val="24"/>
      <w:szCs w:val="24"/>
    </w:rPr>
  </w:style>
  <w:style w:type="character" w:customStyle="1" w:styleId="BodyTextChar">
    <w:name w:val="Body Text Char"/>
    <w:basedOn w:val="DefaultParagraphFont"/>
    <w:link w:val="BodyText"/>
    <w:rsid w:val="00A778B9"/>
    <w:rPr>
      <w:rFonts w:eastAsia="Times New Roman"/>
      <w:szCs w:val="24"/>
    </w:rPr>
  </w:style>
  <w:style w:type="paragraph" w:styleId="ListParagraph">
    <w:name w:val="List Paragraph"/>
    <w:basedOn w:val="Normal"/>
    <w:uiPriority w:val="34"/>
    <w:qFormat/>
    <w:rsid w:val="00A778B9"/>
    <w:pPr>
      <w:ind w:left="720"/>
      <w:contextualSpacing/>
    </w:pPr>
  </w:style>
  <w:style w:type="paragraph" w:customStyle="1" w:styleId="Basic">
    <w:name w:val="Basic"/>
    <w:basedOn w:val="Normal"/>
    <w:qFormat/>
    <w:rsid w:val="00414139"/>
    <w:pPr>
      <w:tabs>
        <w:tab w:val="clear" w:pos="1152"/>
      </w:tabs>
      <w:spacing w:line="240" w:lineRule="auto"/>
    </w:pPr>
    <w:rPr>
      <w:rFonts w:ascii="Calibri" w:hAnsi="Calibri"/>
      <w:color w:val="auto"/>
      <w:sz w:val="24"/>
      <w:szCs w:val="24"/>
    </w:rPr>
  </w:style>
  <w:style w:type="paragraph" w:styleId="FootnoteText">
    <w:name w:val="footnote text"/>
    <w:basedOn w:val="Normal"/>
    <w:link w:val="FootnoteTextChar"/>
    <w:uiPriority w:val="99"/>
    <w:semiHidden/>
    <w:unhideWhenUsed/>
    <w:rsid w:val="00F52242"/>
    <w:pPr>
      <w:tabs>
        <w:tab w:val="clear" w:pos="1152"/>
      </w:tabs>
      <w:spacing w:line="240" w:lineRule="auto"/>
    </w:pPr>
    <w:rPr>
      <w:rFonts w:ascii="Arial" w:eastAsiaTheme="minorHAnsi" w:hAnsi="Arial" w:cstheme="minorBidi"/>
      <w:color w:val="auto"/>
      <w:sz w:val="20"/>
      <w:szCs w:val="20"/>
      <w:lang w:val="en-CA"/>
    </w:rPr>
  </w:style>
  <w:style w:type="character" w:customStyle="1" w:styleId="FootnoteTextChar">
    <w:name w:val="Footnote Text Char"/>
    <w:basedOn w:val="DefaultParagraphFont"/>
    <w:link w:val="FootnoteText"/>
    <w:uiPriority w:val="99"/>
    <w:semiHidden/>
    <w:rsid w:val="00F52242"/>
    <w:rPr>
      <w:rFonts w:ascii="Arial" w:hAnsi="Arial" w:cstheme="minorBidi"/>
      <w:sz w:val="20"/>
      <w:szCs w:val="20"/>
      <w:lang w:val="en-CA"/>
    </w:rPr>
  </w:style>
  <w:style w:type="paragraph" w:styleId="Caption">
    <w:name w:val="caption"/>
    <w:basedOn w:val="Normal"/>
    <w:next w:val="Normal"/>
    <w:uiPriority w:val="35"/>
    <w:unhideWhenUsed/>
    <w:qFormat/>
    <w:rsid w:val="00AE0329"/>
    <w:pPr>
      <w:tabs>
        <w:tab w:val="clear" w:pos="1152"/>
      </w:tabs>
      <w:spacing w:after="200" w:line="240" w:lineRule="auto"/>
    </w:pPr>
    <w:rPr>
      <w:rFonts w:asciiTheme="minorHAnsi" w:eastAsiaTheme="minorHAnsi" w:hAnsiTheme="minorHAnsi" w:cstheme="minorBidi"/>
      <w:i/>
      <w:iCs/>
      <w:color w:val="44546A" w:themeColor="text2"/>
      <w:sz w:val="18"/>
      <w:szCs w:val="18"/>
    </w:rPr>
  </w:style>
  <w:style w:type="paragraph" w:styleId="BalloonText">
    <w:name w:val="Balloon Text"/>
    <w:basedOn w:val="Normal"/>
    <w:link w:val="BalloonTextChar"/>
    <w:uiPriority w:val="99"/>
    <w:semiHidden/>
    <w:unhideWhenUsed/>
    <w:rsid w:val="00AE03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329"/>
    <w:rPr>
      <w:rFonts w:ascii="Segoe UI" w:eastAsia="Times New Roman" w:hAnsi="Segoe UI" w:cs="Segoe UI"/>
      <w:color w:val="000000" w:themeColor="text1"/>
      <w:sz w:val="18"/>
      <w:szCs w:val="18"/>
    </w:rPr>
  </w:style>
  <w:style w:type="paragraph" w:customStyle="1" w:styleId="Arial12Text">
    <w:name w:val="Arial 12 Text"/>
    <w:basedOn w:val="PlainText"/>
    <w:rsid w:val="00381215"/>
    <w:pPr>
      <w:tabs>
        <w:tab w:val="clear" w:pos="1152"/>
      </w:tabs>
      <w:spacing w:before="120" w:after="120"/>
      <w:ind w:firstLine="720"/>
    </w:pPr>
    <w:rPr>
      <w:rFonts w:ascii="Times New Roman" w:hAnsi="Times New Roman" w:cs="Arial"/>
      <w:color w:val="auto"/>
      <w:sz w:val="24"/>
      <w:szCs w:val="24"/>
    </w:rPr>
  </w:style>
  <w:style w:type="paragraph" w:styleId="PlainText">
    <w:name w:val="Plain Text"/>
    <w:basedOn w:val="Normal"/>
    <w:link w:val="PlainTextChar"/>
    <w:uiPriority w:val="99"/>
    <w:semiHidden/>
    <w:unhideWhenUsed/>
    <w:rsid w:val="0038121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81215"/>
    <w:rPr>
      <w:rFonts w:ascii="Consolas" w:eastAsia="Times New Roman" w:hAnsi="Consolas"/>
      <w:color w:val="000000" w:themeColor="text1"/>
      <w:sz w:val="21"/>
      <w:szCs w:val="21"/>
    </w:rPr>
  </w:style>
  <w:style w:type="table" w:styleId="TableGrid">
    <w:name w:val="Table Grid"/>
    <w:basedOn w:val="TableNormal"/>
    <w:uiPriority w:val="59"/>
    <w:rsid w:val="00AC7CC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735EB7"/>
    <w:pPr>
      <w:ind w:firstLine="1152"/>
    </w:pPr>
  </w:style>
  <w:style w:type="character" w:customStyle="1" w:styleId="P1-StandParaChar">
    <w:name w:val="P1-Stand Para Char"/>
    <w:basedOn w:val="DefaultParagraphFont"/>
    <w:link w:val="P1-StandPara"/>
    <w:rsid w:val="00735EB7"/>
    <w:rPr>
      <w:rFonts w:eastAsia="Times New Roman"/>
      <w:color w:val="000000" w:themeColor="text1"/>
      <w:sz w:val="22"/>
    </w:rPr>
  </w:style>
  <w:style w:type="character" w:styleId="CommentReference">
    <w:name w:val="annotation reference"/>
    <w:basedOn w:val="DefaultParagraphFont"/>
    <w:uiPriority w:val="99"/>
    <w:semiHidden/>
    <w:unhideWhenUsed/>
    <w:rsid w:val="00097613"/>
    <w:rPr>
      <w:sz w:val="16"/>
      <w:szCs w:val="16"/>
    </w:rPr>
  </w:style>
  <w:style w:type="paragraph" w:styleId="CommentText">
    <w:name w:val="annotation text"/>
    <w:basedOn w:val="Normal"/>
    <w:link w:val="CommentTextChar"/>
    <w:uiPriority w:val="99"/>
    <w:semiHidden/>
    <w:unhideWhenUsed/>
    <w:rsid w:val="00097613"/>
    <w:pPr>
      <w:spacing w:line="240" w:lineRule="auto"/>
    </w:pPr>
    <w:rPr>
      <w:sz w:val="20"/>
      <w:szCs w:val="20"/>
    </w:rPr>
  </w:style>
  <w:style w:type="character" w:customStyle="1" w:styleId="CommentTextChar">
    <w:name w:val="Comment Text Char"/>
    <w:basedOn w:val="DefaultParagraphFont"/>
    <w:link w:val="CommentText"/>
    <w:uiPriority w:val="99"/>
    <w:semiHidden/>
    <w:rsid w:val="00097613"/>
    <w:rPr>
      <w:rFonts w:eastAsia="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97613"/>
    <w:rPr>
      <w:b/>
      <w:bCs/>
    </w:rPr>
  </w:style>
  <w:style w:type="character" w:customStyle="1" w:styleId="CommentSubjectChar">
    <w:name w:val="Comment Subject Char"/>
    <w:basedOn w:val="CommentTextChar"/>
    <w:link w:val="CommentSubject"/>
    <w:uiPriority w:val="99"/>
    <w:semiHidden/>
    <w:rsid w:val="00097613"/>
    <w:rPr>
      <w:rFonts w:eastAsia="Times New Roman"/>
      <w:b/>
      <w:bCs/>
      <w:color w:val="000000" w:themeColor="text1"/>
      <w:sz w:val="20"/>
      <w:szCs w:val="20"/>
    </w:rPr>
  </w:style>
  <w:style w:type="character" w:styleId="Hyperlink">
    <w:name w:val="Hyperlink"/>
    <w:basedOn w:val="DefaultParagraphFont"/>
    <w:uiPriority w:val="99"/>
    <w:semiHidden/>
    <w:unhideWhenUsed/>
    <w:rsid w:val="00D23FE1"/>
    <w:rPr>
      <w:color w:val="0000FF"/>
      <w:u w:val="single"/>
    </w:rPr>
  </w:style>
  <w:style w:type="paragraph" w:styleId="Header">
    <w:name w:val="header"/>
    <w:basedOn w:val="Normal"/>
    <w:link w:val="HeaderChar"/>
    <w:uiPriority w:val="99"/>
    <w:unhideWhenUsed/>
    <w:rsid w:val="00362715"/>
    <w:pPr>
      <w:tabs>
        <w:tab w:val="clear" w:pos="1152"/>
        <w:tab w:val="center" w:pos="4680"/>
        <w:tab w:val="right" w:pos="9360"/>
      </w:tabs>
      <w:spacing w:line="240" w:lineRule="auto"/>
    </w:pPr>
  </w:style>
  <w:style w:type="character" w:customStyle="1" w:styleId="HeaderChar">
    <w:name w:val="Header Char"/>
    <w:basedOn w:val="DefaultParagraphFont"/>
    <w:link w:val="Header"/>
    <w:uiPriority w:val="99"/>
    <w:rsid w:val="00362715"/>
    <w:rPr>
      <w:rFonts w:eastAsia="Times New Roman"/>
      <w:color w:val="000000" w:themeColor="text1"/>
      <w:sz w:val="22"/>
    </w:rPr>
  </w:style>
  <w:style w:type="paragraph" w:styleId="Footer">
    <w:name w:val="footer"/>
    <w:basedOn w:val="Normal"/>
    <w:link w:val="FooterChar"/>
    <w:uiPriority w:val="99"/>
    <w:unhideWhenUsed/>
    <w:rsid w:val="00362715"/>
    <w:pPr>
      <w:tabs>
        <w:tab w:val="clear" w:pos="1152"/>
        <w:tab w:val="center" w:pos="4680"/>
        <w:tab w:val="right" w:pos="9360"/>
      </w:tabs>
      <w:spacing w:line="240" w:lineRule="auto"/>
    </w:pPr>
  </w:style>
  <w:style w:type="character" w:customStyle="1" w:styleId="FooterChar">
    <w:name w:val="Footer Char"/>
    <w:basedOn w:val="DefaultParagraphFont"/>
    <w:link w:val="Footer"/>
    <w:uiPriority w:val="99"/>
    <w:rsid w:val="00362715"/>
    <w:rPr>
      <w:rFonts w:eastAsia="Times New Roman"/>
      <w:color w:val="000000" w:themeColor="text1"/>
      <w:sz w:val="22"/>
    </w:rPr>
  </w:style>
  <w:style w:type="character" w:styleId="Emphasis">
    <w:name w:val="Emphasis"/>
    <w:basedOn w:val="DefaultParagraphFont"/>
    <w:uiPriority w:val="20"/>
    <w:qFormat/>
    <w:rsid w:val="00346849"/>
    <w:rPr>
      <w:i/>
      <w:iCs/>
    </w:rPr>
  </w:style>
  <w:style w:type="paragraph" w:customStyle="1" w:styleId="Default">
    <w:name w:val="Default"/>
    <w:rsid w:val="00571EFD"/>
    <w:pPr>
      <w:autoSpaceDE w:val="0"/>
      <w:autoSpaceDN w:val="0"/>
      <w:adjustRightInd w:val="0"/>
      <w:spacing w:before="0" w:after="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845228">
      <w:bodyDiv w:val="1"/>
      <w:marLeft w:val="0"/>
      <w:marRight w:val="0"/>
      <w:marTop w:val="0"/>
      <w:marBottom w:val="0"/>
      <w:divBdr>
        <w:top w:val="none" w:sz="0" w:space="0" w:color="auto"/>
        <w:left w:val="none" w:sz="0" w:space="0" w:color="auto"/>
        <w:bottom w:val="none" w:sz="0" w:space="0" w:color="auto"/>
        <w:right w:val="none" w:sz="0" w:space="0" w:color="auto"/>
      </w:divBdr>
    </w:div>
    <w:div w:id="1053625566">
      <w:bodyDiv w:val="1"/>
      <w:marLeft w:val="0"/>
      <w:marRight w:val="0"/>
      <w:marTop w:val="0"/>
      <w:marBottom w:val="0"/>
      <w:divBdr>
        <w:top w:val="none" w:sz="0" w:space="0" w:color="auto"/>
        <w:left w:val="none" w:sz="0" w:space="0" w:color="auto"/>
        <w:bottom w:val="none" w:sz="0" w:space="0" w:color="auto"/>
        <w:right w:val="none" w:sz="0" w:space="0" w:color="auto"/>
      </w:divBdr>
    </w:div>
    <w:div w:id="1340347865">
      <w:bodyDiv w:val="1"/>
      <w:marLeft w:val="0"/>
      <w:marRight w:val="0"/>
      <w:marTop w:val="0"/>
      <w:marBottom w:val="0"/>
      <w:divBdr>
        <w:top w:val="none" w:sz="0" w:space="0" w:color="auto"/>
        <w:left w:val="none" w:sz="0" w:space="0" w:color="auto"/>
        <w:bottom w:val="none" w:sz="0" w:space="0" w:color="auto"/>
        <w:right w:val="none" w:sz="0" w:space="0" w:color="auto"/>
      </w:divBdr>
    </w:div>
    <w:div w:id="1472551862">
      <w:bodyDiv w:val="1"/>
      <w:marLeft w:val="0"/>
      <w:marRight w:val="0"/>
      <w:marTop w:val="0"/>
      <w:marBottom w:val="0"/>
      <w:divBdr>
        <w:top w:val="none" w:sz="0" w:space="0" w:color="auto"/>
        <w:left w:val="none" w:sz="0" w:space="0" w:color="auto"/>
        <w:bottom w:val="none" w:sz="0" w:space="0" w:color="auto"/>
        <w:right w:val="none" w:sz="0" w:space="0" w:color="auto"/>
      </w:divBdr>
    </w:div>
    <w:div w:id="194114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nsour.fahimi\Documents\GfK\Sampling\MoE_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Margin of Error as a Function of Effective Sample Size and Point Estimate</a:t>
            </a:r>
          </a:p>
          <a:p>
            <a:pPr>
              <a:defRPr sz="1000"/>
            </a:pPr>
            <a:r>
              <a:rPr lang="en-US" sz="1000"/>
              <a:t>(95% Level of Confidence)</a:t>
            </a:r>
          </a:p>
        </c:rich>
      </c:tx>
      <c:overlay val="1"/>
      <c:spPr>
        <a:ln>
          <a:noFill/>
        </a:ln>
      </c:spPr>
    </c:title>
    <c:autoTitleDeleted val="0"/>
    <c:plotArea>
      <c:layout/>
      <c:scatterChart>
        <c:scatterStyle val="lineMarker"/>
        <c:varyColors val="0"/>
        <c:ser>
          <c:idx val="0"/>
          <c:order val="0"/>
          <c:tx>
            <c:v>10%</c:v>
          </c:tx>
          <c:spPr>
            <a:ln w="9525">
              <a:solidFill>
                <a:sysClr val="windowText" lastClr="000000"/>
              </a:solidFill>
            </a:ln>
          </c:spPr>
          <c:marker>
            <c:symbol val="x"/>
            <c:size val="5"/>
            <c:spPr>
              <a:solidFill>
                <a:schemeClr val="tx1"/>
              </a:solidFill>
              <a:ln>
                <a:noFill/>
              </a:ln>
              <a:scene3d>
                <a:camera prst="orthographicFront"/>
                <a:lightRig rig="threePt" dir="t"/>
              </a:scene3d>
              <a:sp3d>
                <a:bevelT/>
              </a:sp3d>
            </c:spPr>
          </c:marker>
          <c:xVal>
            <c:numRef>
              <c:f>'Confidence = 95'!$A$4:$A$23</c:f>
              <c:numCache>
                <c:formatCode>#,##0</c:formatCode>
                <c:ptCount val="20"/>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numCache>
            </c:numRef>
          </c:xVal>
          <c:yVal>
            <c:numRef>
              <c:f>'Confidence = 95'!$B$4:$B$23</c:f>
              <c:numCache>
                <c:formatCode>\±0%</c:formatCode>
                <c:ptCount val="20"/>
                <c:pt idx="0">
                  <c:v>5.8798919536201616E-2</c:v>
                </c:pt>
                <c:pt idx="1">
                  <c:v>4.1577114730490326E-2</c:v>
                </c:pt>
                <c:pt idx="2">
                  <c:v>3.3947572022285141E-2</c:v>
                </c:pt>
                <c:pt idx="3">
                  <c:v>2.9399459768100808E-2</c:v>
                </c:pt>
                <c:pt idx="4">
                  <c:v>2.6295676217297441E-2</c:v>
                </c:pt>
                <c:pt idx="5">
                  <c:v>2.4004558381776543E-2</c:v>
                </c:pt>
                <c:pt idx="6">
                  <c:v>2.2223902636012396E-2</c:v>
                </c:pt>
                <c:pt idx="7">
                  <c:v>2.0788557365245163E-2</c:v>
                </c:pt>
                <c:pt idx="8">
                  <c:v>1.9599639845400536E-2</c:v>
                </c:pt>
                <c:pt idx="9">
                  <c:v>1.8593850969136842E-2</c:v>
                </c:pt>
                <c:pt idx="10">
                  <c:v>1.7728541289079882E-2</c:v>
                </c:pt>
                <c:pt idx="11">
                  <c:v>1.6973786011142571E-2</c:v>
                </c:pt>
                <c:pt idx="12">
                  <c:v>1.6307886102281243E-2</c:v>
                </c:pt>
                <c:pt idx="13">
                  <c:v>1.5714672258353955E-2</c:v>
                </c:pt>
                <c:pt idx="14">
                  <c:v>1.5181815742579919E-2</c:v>
                </c:pt>
                <c:pt idx="15">
                  <c:v>1.4699729884050404E-2</c:v>
                </c:pt>
                <c:pt idx="16">
                  <c:v>1.4260832701173709E-2</c:v>
                </c:pt>
                <c:pt idx="17">
                  <c:v>1.3859038243496777E-2</c:v>
                </c:pt>
                <c:pt idx="18">
                  <c:v>1.3489397276193804E-2</c:v>
                </c:pt>
                <c:pt idx="19">
                  <c:v>1.314783810864872E-2</c:v>
                </c:pt>
              </c:numCache>
            </c:numRef>
          </c:yVal>
          <c:smooth val="1"/>
          <c:extLst>
            <c:ext xmlns:c16="http://schemas.microsoft.com/office/drawing/2014/chart" uri="{C3380CC4-5D6E-409C-BE32-E72D297353CC}">
              <c16:uniqueId val="{00000000-AD0B-449A-8D98-4B4CD5C351CD}"/>
            </c:ext>
          </c:extLst>
        </c:ser>
        <c:ser>
          <c:idx val="2"/>
          <c:order val="1"/>
          <c:tx>
            <c:v>30%</c:v>
          </c:tx>
          <c:spPr>
            <a:ln w="9525">
              <a:solidFill>
                <a:srgbClr val="00B050"/>
              </a:solidFill>
            </a:ln>
          </c:spPr>
          <c:marker>
            <c:symbol val="diamond"/>
            <c:size val="5"/>
            <c:spPr>
              <a:solidFill>
                <a:srgbClr val="00B050"/>
              </a:solidFill>
              <a:ln>
                <a:noFill/>
              </a:ln>
              <a:scene3d>
                <a:camera prst="orthographicFront"/>
                <a:lightRig rig="threePt" dir="t"/>
              </a:scene3d>
              <a:sp3d>
                <a:bevelT/>
              </a:sp3d>
            </c:spPr>
          </c:marker>
          <c:xVal>
            <c:numRef>
              <c:f>'Confidence = 95'!$A$4:$A$23</c:f>
              <c:numCache>
                <c:formatCode>#,##0</c:formatCode>
                <c:ptCount val="20"/>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numCache>
            </c:numRef>
          </c:xVal>
          <c:yVal>
            <c:numRef>
              <c:f>'Confidence = 95'!$D$4:$D$23</c:f>
              <c:numCache>
                <c:formatCode>\±0%</c:formatCode>
                <c:ptCount val="20"/>
                <c:pt idx="0">
                  <c:v>8.9816833185420553E-2</c:v>
                </c:pt>
                <c:pt idx="1">
                  <c:v>6.3510091810111802E-2</c:v>
                </c:pt>
                <c:pt idx="2">
                  <c:v>5.1855772817362263E-2</c:v>
                </c:pt>
                <c:pt idx="3">
                  <c:v>4.4908416592710276E-2</c:v>
                </c:pt>
                <c:pt idx="4">
                  <c:v>4.0167308905271863E-2</c:v>
                </c:pt>
                <c:pt idx="5">
                  <c:v>3.6667568602825898E-2</c:v>
                </c:pt>
                <c:pt idx="6">
                  <c:v>3.3947572022285141E-2</c:v>
                </c:pt>
                <c:pt idx="7">
                  <c:v>3.1755045905055901E-2</c:v>
                </c:pt>
                <c:pt idx="8">
                  <c:v>2.993894439514018E-2</c:v>
                </c:pt>
                <c:pt idx="9">
                  <c:v>2.840257650893253E-2</c:v>
                </c:pt>
                <c:pt idx="10">
                  <c:v>2.7080794139452847E-2</c:v>
                </c:pt>
                <c:pt idx="11">
                  <c:v>2.5927886408681131E-2</c:v>
                </c:pt>
                <c:pt idx="12">
                  <c:v>2.4910707496140719E-2</c:v>
                </c:pt>
                <c:pt idx="13">
                  <c:v>2.4004558381776543E-2</c:v>
                </c:pt>
                <c:pt idx="14">
                  <c:v>2.3190606609081562E-2</c:v>
                </c:pt>
                <c:pt idx="15">
                  <c:v>2.2454208296355138E-2</c:v>
                </c:pt>
                <c:pt idx="16">
                  <c:v>2.1783781775410023E-2</c:v>
                </c:pt>
                <c:pt idx="17">
                  <c:v>2.1170030603370603E-2</c:v>
                </c:pt>
                <c:pt idx="18">
                  <c:v>2.0605394699163077E-2</c:v>
                </c:pt>
                <c:pt idx="19">
                  <c:v>2.0083654452635932E-2</c:v>
                </c:pt>
              </c:numCache>
            </c:numRef>
          </c:yVal>
          <c:smooth val="1"/>
          <c:extLst>
            <c:ext xmlns:c16="http://schemas.microsoft.com/office/drawing/2014/chart" uri="{C3380CC4-5D6E-409C-BE32-E72D297353CC}">
              <c16:uniqueId val="{00000002-AD0B-449A-8D98-4B4CD5C351CD}"/>
            </c:ext>
          </c:extLst>
        </c:ser>
        <c:ser>
          <c:idx val="4"/>
          <c:order val="2"/>
          <c:tx>
            <c:v>50%</c:v>
          </c:tx>
          <c:spPr>
            <a:ln w="9525">
              <a:solidFill>
                <a:srgbClr val="FF0000"/>
              </a:solidFill>
            </a:ln>
          </c:spPr>
          <c:marker>
            <c:symbol val="circle"/>
            <c:size val="5"/>
            <c:spPr>
              <a:solidFill>
                <a:srgbClr val="FF0000"/>
              </a:solidFill>
              <a:ln>
                <a:noFill/>
              </a:ln>
              <a:scene3d>
                <a:camera prst="orthographicFront"/>
                <a:lightRig rig="threePt" dir="t"/>
              </a:scene3d>
              <a:sp3d>
                <a:bevelT/>
              </a:sp3d>
            </c:spPr>
          </c:marker>
          <c:xVal>
            <c:numRef>
              <c:f>'Confidence = 95'!$A$4:$A$23</c:f>
              <c:numCache>
                <c:formatCode>#,##0</c:formatCode>
                <c:ptCount val="20"/>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numCache>
            </c:numRef>
          </c:xVal>
          <c:yVal>
            <c:numRef>
              <c:f>'Confidence = 95'!$F$4:$F$23</c:f>
              <c:numCache>
                <c:formatCode>\±0%</c:formatCode>
                <c:ptCount val="20"/>
                <c:pt idx="0">
                  <c:v>9.7998199227002689E-2</c:v>
                </c:pt>
                <c:pt idx="1">
                  <c:v>6.929519121748387E-2</c:v>
                </c:pt>
                <c:pt idx="2">
                  <c:v>5.657928670380858E-2</c:v>
                </c:pt>
                <c:pt idx="3">
                  <c:v>4.8999099613501344E-2</c:v>
                </c:pt>
                <c:pt idx="4">
                  <c:v>4.3826127028829071E-2</c:v>
                </c:pt>
                <c:pt idx="5">
                  <c:v>4.0007597302960912E-2</c:v>
                </c:pt>
                <c:pt idx="6">
                  <c:v>3.7039837726687327E-2</c:v>
                </c:pt>
                <c:pt idx="7">
                  <c:v>3.4647595608741935E-2</c:v>
                </c:pt>
                <c:pt idx="8">
                  <c:v>3.2666066409000896E-2</c:v>
                </c:pt>
                <c:pt idx="9">
                  <c:v>3.0989751615228069E-2</c:v>
                </c:pt>
                <c:pt idx="10">
                  <c:v>2.9547568815133134E-2</c:v>
                </c:pt>
                <c:pt idx="11">
                  <c:v>2.828964335190429E-2</c:v>
                </c:pt>
                <c:pt idx="12">
                  <c:v>2.7179810170468742E-2</c:v>
                </c:pt>
                <c:pt idx="13">
                  <c:v>2.6191120430589923E-2</c:v>
                </c:pt>
                <c:pt idx="14">
                  <c:v>2.5303026237633197E-2</c:v>
                </c:pt>
                <c:pt idx="15">
                  <c:v>2.4499549806750672E-2</c:v>
                </c:pt>
                <c:pt idx="16">
                  <c:v>2.3768054501956178E-2</c:v>
                </c:pt>
                <c:pt idx="17">
                  <c:v>2.3098397072494625E-2</c:v>
                </c:pt>
                <c:pt idx="18">
                  <c:v>2.2482328793656338E-2</c:v>
                </c:pt>
                <c:pt idx="19">
                  <c:v>2.1913063514414535E-2</c:v>
                </c:pt>
              </c:numCache>
            </c:numRef>
          </c:yVal>
          <c:smooth val="1"/>
          <c:extLst>
            <c:ext xmlns:c16="http://schemas.microsoft.com/office/drawing/2014/chart" uri="{C3380CC4-5D6E-409C-BE32-E72D297353CC}">
              <c16:uniqueId val="{00000004-AD0B-449A-8D98-4B4CD5C351CD}"/>
            </c:ext>
          </c:extLst>
        </c:ser>
        <c:dLbls>
          <c:showLegendKey val="0"/>
          <c:showVal val="0"/>
          <c:showCatName val="0"/>
          <c:showSerName val="0"/>
          <c:showPercent val="0"/>
          <c:showBubbleSize val="0"/>
        </c:dLbls>
        <c:axId val="81666816"/>
        <c:axId val="81668736"/>
      </c:scatterChart>
      <c:valAx>
        <c:axId val="81666816"/>
        <c:scaling>
          <c:orientation val="minMax"/>
          <c:max val="2000"/>
          <c:min val="0"/>
        </c:scaling>
        <c:delete val="0"/>
        <c:axPos val="b"/>
        <c:title>
          <c:tx>
            <c:rich>
              <a:bodyPr/>
              <a:lstStyle/>
              <a:p>
                <a:pPr>
                  <a:defRPr/>
                </a:pPr>
                <a:r>
                  <a:rPr lang="en-US"/>
                  <a:t>Sample Size</a:t>
                </a:r>
              </a:p>
            </c:rich>
          </c:tx>
          <c:overlay val="0"/>
        </c:title>
        <c:numFmt formatCode="#,##0" sourceLinked="1"/>
        <c:majorTickMark val="out"/>
        <c:minorTickMark val="none"/>
        <c:tickLblPos val="nextTo"/>
        <c:txPr>
          <a:bodyPr/>
          <a:lstStyle/>
          <a:p>
            <a:pPr>
              <a:defRPr b="1"/>
            </a:pPr>
            <a:endParaRPr lang="en-US"/>
          </a:p>
        </c:txPr>
        <c:crossAx val="81668736"/>
        <c:crosses val="autoZero"/>
        <c:crossBetween val="midCat"/>
        <c:majorUnit val="200"/>
      </c:valAx>
      <c:valAx>
        <c:axId val="81668736"/>
        <c:scaling>
          <c:orientation val="minMax"/>
          <c:max val="0.1"/>
          <c:min val="0"/>
        </c:scaling>
        <c:delete val="0"/>
        <c:axPos val="l"/>
        <c:title>
          <c:tx>
            <c:rich>
              <a:bodyPr rot="-5400000" vert="horz"/>
              <a:lstStyle/>
              <a:p>
                <a:pPr>
                  <a:defRPr/>
                </a:pPr>
                <a:r>
                  <a:rPr lang="en-US"/>
                  <a:t>Margin of Error</a:t>
                </a:r>
              </a:p>
            </c:rich>
          </c:tx>
          <c:overlay val="0"/>
        </c:title>
        <c:numFmt formatCode="\±0%" sourceLinked="1"/>
        <c:majorTickMark val="out"/>
        <c:minorTickMark val="none"/>
        <c:tickLblPos val="nextTo"/>
        <c:txPr>
          <a:bodyPr/>
          <a:lstStyle/>
          <a:p>
            <a:pPr>
              <a:defRPr b="1"/>
            </a:pPr>
            <a:endParaRPr lang="en-US"/>
          </a:p>
        </c:txPr>
        <c:crossAx val="81666816"/>
        <c:crosses val="autoZero"/>
        <c:crossBetween val="midCat"/>
        <c:majorUnit val="2.0000000000000004E-2"/>
      </c:valAx>
      <c:spPr>
        <a:ln>
          <a:noFill/>
        </a:ln>
      </c:spPr>
    </c:plotArea>
    <c:legend>
      <c:legendPos val="t"/>
      <c:layout>
        <c:manualLayout>
          <c:xMode val="edge"/>
          <c:yMode val="edge"/>
          <c:x val="0.84491952951729155"/>
          <c:y val="0.25423937080798448"/>
          <c:w val="0.11008849557522123"/>
          <c:h val="0.25218096063860179"/>
        </c:manualLayout>
      </c:layout>
      <c:overlay val="0"/>
      <c:txPr>
        <a:bodyPr/>
        <a:lstStyle/>
        <a:p>
          <a:pPr>
            <a:defRPr sz="800" b="1"/>
          </a:pPr>
          <a:endParaRPr lang="en-US"/>
        </a:p>
      </c:txPr>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6FF6302258694DACE223775E7B82F4" ma:contentTypeVersion="13" ma:contentTypeDescription="Create a new document." ma:contentTypeScope="" ma:versionID="30e87cd4a7b0306cfe6c5ad56a362782">
  <xsd:schema xmlns:xsd="http://www.w3.org/2001/XMLSchema" xmlns:xs="http://www.w3.org/2001/XMLSchema" xmlns:p="http://schemas.microsoft.com/office/2006/metadata/properties" xmlns:ns3="246fbac7-6874-4770-853c-641c35fc2841" xmlns:ns4="487fbf43-364a-4d24-8590-5e95072abb91" targetNamespace="http://schemas.microsoft.com/office/2006/metadata/properties" ma:root="true" ma:fieldsID="c71e15678c1579e10d30f3763b1d26a3" ns3:_="" ns4:_="">
    <xsd:import namespace="246fbac7-6874-4770-853c-641c35fc2841"/>
    <xsd:import namespace="487fbf43-364a-4d24-8590-5e95072abb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fbac7-6874-4770-853c-641c35fc28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bf43-364a-4d24-8590-5e95072abb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4EFA9-CE08-4864-96B5-109DCE4DBB9D}">
  <ds:schemaRefs>
    <ds:schemaRef ds:uri="http://schemas.openxmlformats.org/package/2006/metadata/core-properties"/>
    <ds:schemaRef ds:uri="487fbf43-364a-4d24-8590-5e95072abb91"/>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246fbac7-6874-4770-853c-641c35fc2841"/>
    <ds:schemaRef ds:uri="http://www.w3.org/XML/1998/namespace"/>
    <ds:schemaRef ds:uri="http://purl.org/dc/dcmitype/"/>
  </ds:schemaRefs>
</ds:datastoreItem>
</file>

<file path=customXml/itemProps2.xml><?xml version="1.0" encoding="utf-8"?>
<ds:datastoreItem xmlns:ds="http://schemas.openxmlformats.org/officeDocument/2006/customXml" ds:itemID="{2422D383-3B28-4517-91E2-F3F4C7021F33}">
  <ds:schemaRefs>
    <ds:schemaRef ds:uri="http://schemas.microsoft.com/sharepoint/v3/contenttype/forms"/>
  </ds:schemaRefs>
</ds:datastoreItem>
</file>

<file path=customXml/itemProps3.xml><?xml version="1.0" encoding="utf-8"?>
<ds:datastoreItem xmlns:ds="http://schemas.openxmlformats.org/officeDocument/2006/customXml" ds:itemID="{5CD82365-47C0-4614-BB21-F4CEAD937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fbac7-6874-4770-853c-641c35fc2841"/>
    <ds:schemaRef ds:uri="487fbf43-364a-4d24-8590-5e95072ab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EBB47-2562-4392-9BF8-7B46F988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4919</Words>
  <Characters>28040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 Fahimi</dc:creator>
  <cp:keywords/>
  <dc:description/>
  <cp:lastModifiedBy>Ryan Tully01</cp:lastModifiedBy>
  <cp:revision>2</cp:revision>
  <cp:lastPrinted>2020-02-10T13:41:00Z</cp:lastPrinted>
  <dcterms:created xsi:type="dcterms:W3CDTF">2020-04-30T21:44:00Z</dcterms:created>
  <dcterms:modified xsi:type="dcterms:W3CDTF">2020-04-30T21:44:00Z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0x010100E86FF6302258694DACE223775E7B82F4</vt:lpwstr>
  </property>
</Properties>
</file>