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1C" w:rsidRDefault="006843DD" w14:paraId="10745A95" w14:textId="77777777">
      <w:pPr>
        <w:jc w:val="center"/>
      </w:pPr>
      <w:r>
        <w:t>166 FERC ¶ 61,207</w:t>
      </w:r>
    </w:p>
    <w:p w:rsidRPr="00D1724D" w:rsidR="00357E5B" w:rsidP="00EA5D2A" w:rsidRDefault="00357E5B" w14:paraId="52E6B4F5" w14:textId="77777777">
      <w:pPr>
        <w:tabs>
          <w:tab w:val="left" w:pos="0"/>
        </w:tabs>
        <w:jc w:val="center"/>
        <w:rPr>
          <w:szCs w:val="26"/>
        </w:rPr>
      </w:pPr>
      <w:r w:rsidRPr="00D1724D">
        <w:rPr>
          <w:szCs w:val="26"/>
        </w:rPr>
        <w:t>UNITED STATES OF AMERICA</w:t>
      </w:r>
    </w:p>
    <w:p w:rsidRPr="00D1724D" w:rsidR="00357E5B" w:rsidP="00EA5D2A" w:rsidRDefault="00357E5B" w14:paraId="52E6B4F6" w14:textId="77777777">
      <w:pPr>
        <w:tabs>
          <w:tab w:val="left" w:pos="0"/>
        </w:tabs>
        <w:jc w:val="center"/>
        <w:rPr>
          <w:szCs w:val="26"/>
        </w:rPr>
      </w:pPr>
      <w:r w:rsidRPr="00D1724D">
        <w:rPr>
          <w:szCs w:val="26"/>
        </w:rPr>
        <w:t>FEDERAL ENERGY REGULATORY COMMISSION</w:t>
      </w:r>
    </w:p>
    <w:p w:rsidRPr="00D1724D" w:rsidR="00357E5B" w:rsidP="00EA5D2A" w:rsidRDefault="00357E5B" w14:paraId="52E6B4F7" w14:textId="77777777">
      <w:pPr>
        <w:tabs>
          <w:tab w:val="left" w:pos="0"/>
        </w:tabs>
        <w:jc w:val="center"/>
        <w:rPr>
          <w:szCs w:val="26"/>
        </w:rPr>
      </w:pPr>
    </w:p>
    <w:p w:rsidRPr="00D1724D" w:rsidR="00357E5B" w:rsidP="00EA5D2A" w:rsidRDefault="00357E5B" w14:paraId="52E6B4F8" w14:textId="183E2D4A">
      <w:pPr>
        <w:tabs>
          <w:tab w:val="left" w:pos="0"/>
        </w:tabs>
        <w:jc w:val="center"/>
        <w:rPr>
          <w:szCs w:val="26"/>
        </w:rPr>
      </w:pPr>
      <w:r w:rsidRPr="00D1724D">
        <w:rPr>
          <w:szCs w:val="26"/>
        </w:rPr>
        <w:t>[Docket No.</w:t>
      </w:r>
      <w:r>
        <w:rPr>
          <w:szCs w:val="26"/>
        </w:rPr>
        <w:t xml:space="preserve"> </w:t>
      </w:r>
      <w:r w:rsidR="001F4403">
        <w:rPr>
          <w:szCs w:val="26"/>
        </w:rPr>
        <w:t>PL19-4-000</w:t>
      </w:r>
      <w:r w:rsidRPr="00D1724D">
        <w:rPr>
          <w:szCs w:val="26"/>
        </w:rPr>
        <w:t>]</w:t>
      </w:r>
    </w:p>
    <w:p w:rsidRPr="00D1724D" w:rsidR="00357E5B" w:rsidP="00EA5D2A" w:rsidRDefault="00357E5B" w14:paraId="52E6B4F9" w14:textId="77777777">
      <w:pPr>
        <w:tabs>
          <w:tab w:val="left" w:pos="0"/>
        </w:tabs>
        <w:jc w:val="center"/>
        <w:rPr>
          <w:szCs w:val="26"/>
        </w:rPr>
      </w:pPr>
    </w:p>
    <w:p w:rsidR="00357E5B" w:rsidP="00EA5D2A" w:rsidRDefault="00357E5B" w14:paraId="52E6B4FA" w14:textId="1A3268B9">
      <w:pPr>
        <w:tabs>
          <w:tab w:val="left" w:pos="0"/>
        </w:tabs>
        <w:jc w:val="center"/>
        <w:rPr>
          <w:szCs w:val="26"/>
        </w:rPr>
      </w:pPr>
      <w:r>
        <w:rPr>
          <w:szCs w:val="26"/>
        </w:rPr>
        <w:t xml:space="preserve">Inquiry Regarding the Commission’s Policy for Determining Return </w:t>
      </w:r>
      <w:r w:rsidR="00F24E38">
        <w:rPr>
          <w:szCs w:val="26"/>
        </w:rPr>
        <w:t>o</w:t>
      </w:r>
      <w:r>
        <w:rPr>
          <w:szCs w:val="26"/>
        </w:rPr>
        <w:t>n Equity</w:t>
      </w:r>
    </w:p>
    <w:p w:rsidRPr="00D1724D" w:rsidR="00357E5B" w:rsidP="00EA5D2A" w:rsidRDefault="00357E5B" w14:paraId="52E6B4FB" w14:textId="77777777">
      <w:pPr>
        <w:tabs>
          <w:tab w:val="left" w:pos="0"/>
        </w:tabs>
        <w:jc w:val="center"/>
        <w:rPr>
          <w:szCs w:val="26"/>
        </w:rPr>
      </w:pPr>
    </w:p>
    <w:p w:rsidR="00357E5B" w:rsidP="00CB419E" w:rsidRDefault="00CB419E" w14:paraId="52E6B4FD" w14:textId="48EBC5F7">
      <w:pPr>
        <w:widowControl/>
        <w:tabs>
          <w:tab w:val="left" w:pos="0"/>
        </w:tabs>
        <w:jc w:val="center"/>
        <w:rPr>
          <w:szCs w:val="26"/>
        </w:rPr>
      </w:pPr>
      <w:r w:rsidRPr="00CB419E">
        <w:rPr>
          <w:szCs w:val="26"/>
        </w:rPr>
        <w:t>March 2</w:t>
      </w:r>
      <w:r w:rsidR="00A36179">
        <w:rPr>
          <w:szCs w:val="26"/>
        </w:rPr>
        <w:t>1</w:t>
      </w:r>
      <w:r w:rsidRPr="00CB419E">
        <w:rPr>
          <w:szCs w:val="26"/>
        </w:rPr>
        <w:t>,</w:t>
      </w:r>
      <w:r w:rsidR="0022431D">
        <w:rPr>
          <w:szCs w:val="26"/>
        </w:rPr>
        <w:t xml:space="preserve"> 2019</w:t>
      </w:r>
    </w:p>
    <w:p w:rsidRPr="00CB419E" w:rsidR="00CB419E" w:rsidP="00CB419E" w:rsidRDefault="00CB419E" w14:paraId="0B4E829A" w14:textId="77777777">
      <w:pPr>
        <w:widowControl/>
        <w:tabs>
          <w:tab w:val="left" w:pos="0"/>
        </w:tabs>
        <w:rPr>
          <w:szCs w:val="26"/>
        </w:rPr>
      </w:pPr>
    </w:p>
    <w:p w:rsidRPr="00D1724D" w:rsidR="00357E5B" w:rsidP="00EA5D2A" w:rsidRDefault="00357E5B" w14:paraId="52E6B4FE" w14:textId="77777777">
      <w:pPr>
        <w:tabs>
          <w:tab w:val="left" w:pos="0"/>
        </w:tabs>
        <w:spacing w:line="480" w:lineRule="auto"/>
        <w:rPr>
          <w:szCs w:val="26"/>
        </w:rPr>
      </w:pPr>
      <w:r w:rsidRPr="00D1724D">
        <w:rPr>
          <w:szCs w:val="26"/>
          <w:u w:val="single"/>
        </w:rPr>
        <w:t>AGENCY</w:t>
      </w:r>
      <w:r w:rsidRPr="00D1724D">
        <w:rPr>
          <w:szCs w:val="26"/>
        </w:rPr>
        <w:t>:  Federal Energy Regulatory Commission.</w:t>
      </w:r>
    </w:p>
    <w:p w:rsidRPr="00D1724D" w:rsidR="00357E5B" w:rsidP="00EA5D2A" w:rsidRDefault="00357E5B" w14:paraId="52E6B4FF" w14:textId="77777777">
      <w:pPr>
        <w:tabs>
          <w:tab w:val="left" w:pos="0"/>
        </w:tabs>
        <w:spacing w:line="480" w:lineRule="auto"/>
        <w:rPr>
          <w:szCs w:val="26"/>
        </w:rPr>
      </w:pPr>
      <w:r w:rsidRPr="00D1724D">
        <w:rPr>
          <w:szCs w:val="26"/>
          <w:u w:val="single"/>
        </w:rPr>
        <w:t>ACTION</w:t>
      </w:r>
      <w:r w:rsidRPr="00D1724D">
        <w:rPr>
          <w:szCs w:val="26"/>
        </w:rPr>
        <w:t xml:space="preserve">:  </w:t>
      </w:r>
      <w:r>
        <w:rPr>
          <w:szCs w:val="26"/>
        </w:rPr>
        <w:t>Notice of Inquiry.</w:t>
      </w:r>
    </w:p>
    <w:p w:rsidR="00CF0F10" w:rsidP="00324097" w:rsidRDefault="00357E5B" w14:paraId="3422CF7F" w14:textId="48A7C9EE">
      <w:pPr>
        <w:pStyle w:val="Heading1"/>
        <w:numPr>
          <w:ilvl w:val="0"/>
          <w:numId w:val="0"/>
        </w:numPr>
        <w:tabs>
          <w:tab w:val="left" w:pos="0"/>
        </w:tabs>
        <w:spacing w:after="0" w:line="480" w:lineRule="auto"/>
        <w:rPr>
          <w:szCs w:val="26"/>
        </w:rPr>
      </w:pPr>
      <w:r w:rsidRPr="00CF0F10">
        <w:rPr>
          <w:b w:val="0"/>
          <w:szCs w:val="26"/>
        </w:rPr>
        <w:lastRenderedPageBreak/>
        <w:t>SUMMARY</w:t>
      </w:r>
      <w:r w:rsidRPr="00CF0F10">
        <w:rPr>
          <w:b w:val="0"/>
          <w:szCs w:val="26"/>
          <w:u w:val="none"/>
        </w:rPr>
        <w:t xml:space="preserve">:  </w:t>
      </w:r>
      <w:r w:rsidRPr="00CF0F10">
        <w:rPr>
          <w:b w:val="0"/>
          <w:u w:val="none"/>
        </w:rPr>
        <w:t xml:space="preserve">Following the decision of the U.S. Court of Appeals for the District of Columbia Circuit in </w:t>
      </w:r>
      <w:r w:rsidRPr="00CF0F10" w:rsidR="00150C14">
        <w:rPr>
          <w:b w:val="0"/>
          <w:i/>
          <w:u w:val="none"/>
        </w:rPr>
        <w:t>Emera Maine</w:t>
      </w:r>
      <w:r w:rsidRPr="00CF0F10">
        <w:rPr>
          <w:b w:val="0"/>
          <w:i/>
          <w:u w:val="none"/>
        </w:rPr>
        <w:t xml:space="preserve"> v. Federal Energy Regulatory Commission</w:t>
      </w:r>
      <w:r w:rsidRPr="00CF0F10">
        <w:rPr>
          <w:b w:val="0"/>
          <w:u w:val="none"/>
        </w:rPr>
        <w:t xml:space="preserve">, </w:t>
      </w:r>
      <w:r w:rsidRPr="00CF0F10" w:rsidR="00CB59EE">
        <w:rPr>
          <w:b w:val="0"/>
          <w:color w:val="212121"/>
          <w:szCs w:val="26"/>
          <w:u w:val="none"/>
        </w:rPr>
        <w:t>854 F.3d 9, 23 (D.C. Cir. 2017)</w:t>
      </w:r>
      <w:r w:rsidRPr="00CF0F10">
        <w:rPr>
          <w:b w:val="0"/>
          <w:szCs w:val="26"/>
          <w:u w:val="none"/>
        </w:rPr>
        <w:t>,</w:t>
      </w:r>
      <w:r w:rsidRPr="00CF0F10">
        <w:rPr>
          <w:b w:val="0"/>
          <w:u w:val="none"/>
        </w:rPr>
        <w:t xml:space="preserve"> the Commission seeks </w:t>
      </w:r>
      <w:r w:rsidRPr="00F24E38" w:rsidR="00F24E38">
        <w:rPr>
          <w:b w:val="0"/>
          <w:u w:val="none"/>
        </w:rPr>
        <w:t xml:space="preserve">information and stakeholder </w:t>
      </w:r>
      <w:r w:rsidRPr="00F24E38" w:rsidR="00ED0A1B">
        <w:rPr>
          <w:b w:val="0"/>
          <w:u w:val="none"/>
        </w:rPr>
        <w:t>views</w:t>
      </w:r>
      <w:r w:rsidRPr="00F24E38" w:rsidR="00F24E38">
        <w:rPr>
          <w:b w:val="0"/>
          <w:u w:val="none"/>
        </w:rPr>
        <w:t xml:space="preserve"> to help the Commission explore</w:t>
      </w:r>
      <w:r w:rsidRPr="00CF0F10">
        <w:rPr>
          <w:b w:val="0"/>
          <w:u w:val="none"/>
        </w:rPr>
        <w:t xml:space="preserve"> </w:t>
      </w:r>
      <w:r w:rsidRPr="00CF0F10" w:rsidR="007B7D9C">
        <w:rPr>
          <w:b w:val="0"/>
          <w:u w:val="none"/>
        </w:rPr>
        <w:t>whether</w:t>
      </w:r>
      <w:r w:rsidRPr="00F24E38" w:rsidR="00F24E38">
        <w:rPr>
          <w:b w:val="0"/>
          <w:u w:val="none"/>
        </w:rPr>
        <w:t>,</w:t>
      </w:r>
      <w:r w:rsidRPr="00CF0F10" w:rsidR="007B7D9C">
        <w:rPr>
          <w:b w:val="0"/>
          <w:u w:val="none"/>
        </w:rPr>
        <w:t xml:space="preserve"> and </w:t>
      </w:r>
      <w:r w:rsidRPr="00F24E38" w:rsidR="00F24E38">
        <w:rPr>
          <w:b w:val="0"/>
          <w:u w:val="none"/>
        </w:rPr>
        <w:t xml:space="preserve">if so </w:t>
      </w:r>
      <w:r w:rsidRPr="00CF0F10" w:rsidR="007B7D9C">
        <w:rPr>
          <w:b w:val="0"/>
          <w:u w:val="none"/>
        </w:rPr>
        <w:t>how</w:t>
      </w:r>
      <w:r w:rsidRPr="00F24E38" w:rsidR="00F24E38">
        <w:rPr>
          <w:b w:val="0"/>
          <w:u w:val="none"/>
        </w:rPr>
        <w:t>,</w:t>
      </w:r>
      <w:r w:rsidRPr="00CF0F10" w:rsidR="007B7D9C">
        <w:rPr>
          <w:b w:val="0"/>
          <w:u w:val="none"/>
        </w:rPr>
        <w:t xml:space="preserve"> it should modify its policies concerning the determination of the return on equity (ROE) </w:t>
      </w:r>
      <w:r w:rsidR="00D96A09">
        <w:rPr>
          <w:b w:val="0"/>
          <w:u w:val="none"/>
        </w:rPr>
        <w:t>to be used in designing jurisdictional rates charged by</w:t>
      </w:r>
      <w:r w:rsidRPr="00CF0F10" w:rsidR="007B7D9C">
        <w:rPr>
          <w:b w:val="0"/>
          <w:u w:val="none"/>
        </w:rPr>
        <w:t xml:space="preserve"> public utilities.</w:t>
      </w:r>
      <w:r>
        <w:rPr>
          <w:b w:val="0"/>
          <w:u w:val="none"/>
        </w:rPr>
        <w:t xml:space="preserve">  </w:t>
      </w:r>
      <w:r w:rsidRPr="00804F91" w:rsidR="000D2E2B">
        <w:rPr>
          <w:b w:val="0"/>
          <w:u w:val="none"/>
        </w:rPr>
        <w:t xml:space="preserve">The Commission also seeks comment on whether any changes to its policies concerning public utility ROEs should be applied to interstate natural gas and oil pipelines. </w:t>
      </w:r>
      <w:r w:rsidRPr="00804F91" w:rsidR="000D2E2B">
        <w:rPr>
          <w:b w:val="0"/>
        </w:rPr>
        <w:t xml:space="preserve"> </w:t>
      </w:r>
      <w:r w:rsidRPr="00804F91">
        <w:rPr>
          <w:b w:val="0"/>
        </w:rPr>
        <w:t xml:space="preserve">  </w:t>
      </w:r>
    </w:p>
    <w:p w:rsidR="001F4403" w:rsidP="00EA5D2A" w:rsidRDefault="00CF0F10" w14:paraId="3D44FAD3" w14:textId="16126112">
      <w:pPr>
        <w:tabs>
          <w:tab w:val="left" w:pos="0"/>
        </w:tabs>
        <w:spacing w:line="480" w:lineRule="auto"/>
        <w:rPr>
          <w:szCs w:val="26"/>
        </w:rPr>
      </w:pPr>
      <w:r w:rsidRPr="00D1724D">
        <w:rPr>
          <w:szCs w:val="26"/>
          <w:u w:val="single"/>
        </w:rPr>
        <w:t>DATES</w:t>
      </w:r>
      <w:r w:rsidR="009F5046">
        <w:rPr>
          <w:szCs w:val="26"/>
        </w:rPr>
        <w:t xml:space="preserve">:  </w:t>
      </w:r>
      <w:r w:rsidRPr="00335223">
        <w:rPr>
          <w:szCs w:val="26"/>
        </w:rPr>
        <w:t>Initial Comments are due</w:t>
      </w:r>
      <w:r w:rsidRPr="00335223">
        <w:rPr>
          <w:b/>
          <w:szCs w:val="26"/>
        </w:rPr>
        <w:t xml:space="preserve"> [</w:t>
      </w:r>
      <w:r w:rsidRPr="00335223" w:rsidR="001F4403">
        <w:rPr>
          <w:b/>
          <w:szCs w:val="26"/>
        </w:rPr>
        <w:t xml:space="preserve">INSERT DATE </w:t>
      </w:r>
      <w:r w:rsidR="00413A21">
        <w:rPr>
          <w:b/>
          <w:szCs w:val="26"/>
        </w:rPr>
        <w:t>90</w:t>
      </w:r>
      <w:r w:rsidRPr="00335223" w:rsidR="00413A21">
        <w:rPr>
          <w:b/>
          <w:szCs w:val="26"/>
        </w:rPr>
        <w:t xml:space="preserve"> </w:t>
      </w:r>
      <w:r w:rsidRPr="00335223" w:rsidR="001F4403">
        <w:rPr>
          <w:b/>
          <w:szCs w:val="26"/>
        </w:rPr>
        <w:t xml:space="preserve">DAYS AFTER </w:t>
      </w:r>
      <w:r w:rsidR="001F4403">
        <w:rPr>
          <w:b/>
          <w:szCs w:val="26"/>
        </w:rPr>
        <w:t>DATE OF</w:t>
      </w:r>
      <w:r w:rsidRPr="00335223" w:rsidR="001F4403">
        <w:rPr>
          <w:b/>
          <w:szCs w:val="26"/>
        </w:rPr>
        <w:t xml:space="preserve"> PUBLICATION IN THE FEDERAL REGISTER</w:t>
      </w:r>
      <w:r w:rsidRPr="00335223">
        <w:rPr>
          <w:b/>
          <w:szCs w:val="26"/>
        </w:rPr>
        <w:t>]</w:t>
      </w:r>
      <w:r w:rsidRPr="00E80DF7">
        <w:rPr>
          <w:szCs w:val="26"/>
        </w:rPr>
        <w:t>, and Reply Comments are due</w:t>
      </w:r>
      <w:r w:rsidRPr="00E34E14">
        <w:rPr>
          <w:b/>
          <w:szCs w:val="26"/>
        </w:rPr>
        <w:t xml:space="preserve"> [</w:t>
      </w:r>
      <w:r w:rsidRPr="00E34E14" w:rsidR="001F4403">
        <w:rPr>
          <w:b/>
          <w:szCs w:val="26"/>
        </w:rPr>
        <w:t xml:space="preserve">INSERT DATE </w:t>
      </w:r>
      <w:r w:rsidR="00413A21">
        <w:rPr>
          <w:b/>
          <w:szCs w:val="26"/>
        </w:rPr>
        <w:t>120</w:t>
      </w:r>
      <w:r w:rsidRPr="00E34E14" w:rsidR="00413A21">
        <w:rPr>
          <w:b/>
          <w:szCs w:val="26"/>
        </w:rPr>
        <w:t xml:space="preserve"> </w:t>
      </w:r>
      <w:r w:rsidRPr="00E34E14" w:rsidR="001F4403">
        <w:rPr>
          <w:b/>
          <w:szCs w:val="26"/>
        </w:rPr>
        <w:t xml:space="preserve">DAYS AFTER </w:t>
      </w:r>
      <w:r w:rsidR="001F4403">
        <w:rPr>
          <w:b/>
          <w:szCs w:val="26"/>
        </w:rPr>
        <w:t>DATE OF</w:t>
      </w:r>
      <w:r w:rsidRPr="00E34E14" w:rsidR="001F4403">
        <w:rPr>
          <w:b/>
          <w:szCs w:val="26"/>
        </w:rPr>
        <w:t xml:space="preserve"> PUBLICATION IN THE FEDERAL REGISTER</w:t>
      </w:r>
      <w:r w:rsidRPr="00335223">
        <w:rPr>
          <w:b/>
          <w:szCs w:val="26"/>
        </w:rPr>
        <w:t>]</w:t>
      </w:r>
      <w:r w:rsidRPr="00335223">
        <w:rPr>
          <w:szCs w:val="26"/>
        </w:rPr>
        <w:t>.</w:t>
      </w:r>
    </w:p>
    <w:p w:rsidR="0022431D" w:rsidP="00EA5D2A" w:rsidRDefault="00CF0F10" w14:paraId="2A8574AF" w14:textId="6D0F4C57">
      <w:pPr>
        <w:tabs>
          <w:tab w:val="left" w:pos="0"/>
        </w:tabs>
        <w:spacing w:line="480" w:lineRule="auto"/>
        <w:rPr>
          <w:szCs w:val="26"/>
        </w:rPr>
      </w:pPr>
      <w:r w:rsidRPr="00D1724D">
        <w:rPr>
          <w:szCs w:val="26"/>
          <w:u w:val="single"/>
        </w:rPr>
        <w:t>ADDRESSES</w:t>
      </w:r>
      <w:r w:rsidRPr="00D1724D">
        <w:rPr>
          <w:szCs w:val="26"/>
        </w:rPr>
        <w:t xml:space="preserve">:  Comments, identified by docket number, may be filed in the </w:t>
      </w:r>
      <w:r w:rsidRPr="00D1724D">
        <w:rPr>
          <w:szCs w:val="26"/>
        </w:rPr>
        <w:lastRenderedPageBreak/>
        <w:t>following ways:</w:t>
      </w:r>
    </w:p>
    <w:p w:rsidRPr="00D1724D" w:rsidR="00CF0F10" w:rsidP="00EA5D2A" w:rsidRDefault="00CF0F10" w14:paraId="5CDA3889" w14:textId="77777777">
      <w:pPr>
        <w:numPr>
          <w:ilvl w:val="0"/>
          <w:numId w:val="12"/>
        </w:numPr>
        <w:tabs>
          <w:tab w:val="left" w:pos="0"/>
        </w:tabs>
        <w:spacing w:line="480" w:lineRule="auto"/>
        <w:rPr>
          <w:szCs w:val="26"/>
        </w:rPr>
      </w:pPr>
      <w:r w:rsidRPr="00D1724D">
        <w:rPr>
          <w:szCs w:val="26"/>
        </w:rPr>
        <w:t xml:space="preserve">Electronic Filing through </w:t>
      </w:r>
      <w:hyperlink w:history="1" r:id="rId12">
        <w:r w:rsidRPr="0022431D">
          <w:rPr>
            <w:szCs w:val="26"/>
          </w:rPr>
          <w:t>http://www.ferc.gov</w:t>
        </w:r>
      </w:hyperlink>
      <w:r w:rsidRPr="0022431D">
        <w:rPr>
          <w:szCs w:val="26"/>
        </w:rPr>
        <w:t xml:space="preserve">.  </w:t>
      </w:r>
      <w:r w:rsidRPr="00D1724D">
        <w:rPr>
          <w:szCs w:val="26"/>
        </w:rPr>
        <w:t>Documents created electronically using word processing software should be filed in native applications or print-to-PDF format and not in a scanned format.</w:t>
      </w:r>
    </w:p>
    <w:p w:rsidR="00CF0F10" w:rsidP="00EA5D2A" w:rsidRDefault="00CF0F10" w14:paraId="3AB7CD3E" w14:textId="5A22AF14">
      <w:pPr>
        <w:numPr>
          <w:ilvl w:val="0"/>
          <w:numId w:val="12"/>
        </w:numPr>
        <w:tabs>
          <w:tab w:val="left" w:pos="0"/>
        </w:tabs>
        <w:spacing w:line="480" w:lineRule="auto"/>
        <w:rPr>
          <w:szCs w:val="26"/>
        </w:rPr>
      </w:pPr>
      <w:r w:rsidRPr="00D1724D">
        <w:rPr>
          <w:szCs w:val="26"/>
        </w:rPr>
        <w:t>Mail/Hand Delivery:  Those unable to file electronically may mail or hand-deliver comments to:</w:t>
      </w:r>
      <w:r w:rsidR="009F5046">
        <w:rPr>
          <w:szCs w:val="26"/>
        </w:rPr>
        <w:t xml:space="preserve"> </w:t>
      </w:r>
      <w:r w:rsidRPr="00D1724D">
        <w:rPr>
          <w:szCs w:val="26"/>
        </w:rPr>
        <w:t xml:space="preserve"> Federal Energy Regulatory Commission, Secretary of the Commission, 888 First Street NE, Washington, DC  20426.</w:t>
      </w:r>
    </w:p>
    <w:p w:rsidRPr="00443C87" w:rsidR="00CF0F10" w:rsidP="00EA5D2A" w:rsidRDefault="00CF0F10" w14:paraId="38498576" w14:textId="77777777">
      <w:pPr>
        <w:numPr>
          <w:ilvl w:val="0"/>
          <w:numId w:val="12"/>
        </w:numPr>
        <w:tabs>
          <w:tab w:val="left" w:pos="0"/>
        </w:tabs>
        <w:spacing w:line="480" w:lineRule="auto"/>
        <w:rPr>
          <w:szCs w:val="26"/>
        </w:rPr>
      </w:pPr>
      <w:r w:rsidRPr="00443C87">
        <w:rPr>
          <w:i/>
          <w:szCs w:val="26"/>
        </w:rPr>
        <w:t>Instructions</w:t>
      </w:r>
      <w:r w:rsidRPr="00443C87">
        <w:rPr>
          <w:szCs w:val="26"/>
        </w:rPr>
        <w:t>:  For detailed instructions on submitting comments, see the Comment Procedures Section of this document.</w:t>
      </w:r>
    </w:p>
    <w:p w:rsidRPr="00D1724D" w:rsidR="00CF0F10" w:rsidP="00EA5D2A" w:rsidRDefault="00CF0F10" w14:paraId="7791D3B5" w14:textId="77777777">
      <w:pPr>
        <w:tabs>
          <w:tab w:val="left" w:pos="0"/>
        </w:tabs>
        <w:rPr>
          <w:szCs w:val="26"/>
        </w:rPr>
      </w:pPr>
      <w:r w:rsidRPr="00D1724D">
        <w:rPr>
          <w:szCs w:val="26"/>
          <w:u w:val="single"/>
        </w:rPr>
        <w:t>FOR FURTHER INFORMATION CONTACT</w:t>
      </w:r>
      <w:r w:rsidRPr="00D1724D">
        <w:rPr>
          <w:szCs w:val="26"/>
        </w:rPr>
        <w:t>:</w:t>
      </w:r>
    </w:p>
    <w:p w:rsidRPr="00D1724D" w:rsidR="00CF0F10" w:rsidP="00EA5D2A" w:rsidRDefault="00CF0F10" w14:paraId="3073D0C6" w14:textId="77777777">
      <w:pPr>
        <w:tabs>
          <w:tab w:val="left" w:pos="0"/>
        </w:tabs>
        <w:rPr>
          <w:szCs w:val="26"/>
        </w:rPr>
      </w:pPr>
    </w:p>
    <w:p w:rsidRPr="005A17E9" w:rsidR="00CF0F10" w:rsidP="00EA5D2A" w:rsidRDefault="007E7F9B" w14:paraId="661D05E2" w14:textId="44294E80">
      <w:pPr>
        <w:widowControl/>
        <w:tabs>
          <w:tab w:val="left" w:pos="0"/>
        </w:tabs>
        <w:rPr>
          <w:szCs w:val="26"/>
        </w:rPr>
      </w:pPr>
      <w:r>
        <w:rPr>
          <w:szCs w:val="26"/>
        </w:rPr>
        <w:t xml:space="preserve">Jeremy Hessler </w:t>
      </w:r>
      <w:r w:rsidRPr="005A17E9" w:rsidR="00CF0F10">
        <w:rPr>
          <w:szCs w:val="26"/>
        </w:rPr>
        <w:t>(Legal Information)</w:t>
      </w:r>
      <w:r>
        <w:rPr>
          <w:szCs w:val="26"/>
        </w:rPr>
        <w:t xml:space="preserve"> </w:t>
      </w:r>
    </w:p>
    <w:p w:rsidRPr="005A17E9" w:rsidR="00CF0F10" w:rsidP="00EA5D2A" w:rsidRDefault="00CF0F10" w14:paraId="027793A9" w14:textId="77777777">
      <w:pPr>
        <w:widowControl/>
        <w:tabs>
          <w:tab w:val="left" w:pos="0"/>
        </w:tabs>
        <w:rPr>
          <w:szCs w:val="26"/>
        </w:rPr>
      </w:pPr>
      <w:r w:rsidRPr="005A17E9">
        <w:rPr>
          <w:szCs w:val="26"/>
        </w:rPr>
        <w:t>Office of the General Counsel</w:t>
      </w:r>
    </w:p>
    <w:p w:rsidRPr="005A17E9" w:rsidR="00CF0F10" w:rsidP="00EA5D2A" w:rsidRDefault="00CF0F10" w14:paraId="406864BB" w14:textId="18465E88">
      <w:pPr>
        <w:widowControl/>
        <w:tabs>
          <w:tab w:val="left" w:pos="0"/>
        </w:tabs>
        <w:rPr>
          <w:szCs w:val="26"/>
        </w:rPr>
      </w:pPr>
      <w:r w:rsidRPr="005A17E9">
        <w:rPr>
          <w:szCs w:val="26"/>
        </w:rPr>
        <w:t>888 First Street NE</w:t>
      </w:r>
    </w:p>
    <w:p w:rsidRPr="005A17E9" w:rsidR="00CF0F10" w:rsidP="00EA5D2A" w:rsidRDefault="00CF0F10" w14:paraId="7FED2576" w14:textId="302237E3">
      <w:pPr>
        <w:widowControl/>
        <w:tabs>
          <w:tab w:val="left" w:pos="0"/>
        </w:tabs>
        <w:rPr>
          <w:szCs w:val="26"/>
        </w:rPr>
      </w:pPr>
      <w:r w:rsidRPr="005A17E9">
        <w:rPr>
          <w:szCs w:val="26"/>
        </w:rPr>
        <w:t xml:space="preserve">Washington, DC </w:t>
      </w:r>
      <w:r w:rsidR="001C4C5C">
        <w:rPr>
          <w:szCs w:val="26"/>
        </w:rPr>
        <w:t xml:space="preserve"> </w:t>
      </w:r>
      <w:r w:rsidRPr="005A17E9">
        <w:rPr>
          <w:szCs w:val="26"/>
        </w:rPr>
        <w:t>20426</w:t>
      </w:r>
      <w:r w:rsidRPr="005A17E9">
        <w:rPr>
          <w:szCs w:val="26"/>
        </w:rPr>
        <w:tab/>
      </w:r>
      <w:r w:rsidRPr="005A17E9">
        <w:rPr>
          <w:szCs w:val="26"/>
        </w:rPr>
        <w:tab/>
      </w:r>
      <w:r w:rsidRPr="005A17E9">
        <w:rPr>
          <w:szCs w:val="26"/>
        </w:rPr>
        <w:tab/>
      </w:r>
      <w:r w:rsidRPr="005A17E9">
        <w:rPr>
          <w:szCs w:val="26"/>
        </w:rPr>
        <w:tab/>
      </w:r>
    </w:p>
    <w:p w:rsidR="00CF0F10" w:rsidP="00EA5D2A" w:rsidRDefault="00CF0F10" w14:paraId="47C3144E" w14:textId="1C7EC959">
      <w:pPr>
        <w:widowControl/>
        <w:tabs>
          <w:tab w:val="left" w:pos="0"/>
        </w:tabs>
        <w:rPr>
          <w:szCs w:val="26"/>
        </w:rPr>
      </w:pPr>
      <w:r>
        <w:rPr>
          <w:szCs w:val="26"/>
        </w:rPr>
        <w:t>(202) 502-</w:t>
      </w:r>
      <w:r w:rsidR="007E7F9B">
        <w:rPr>
          <w:szCs w:val="26"/>
        </w:rPr>
        <w:t>8655</w:t>
      </w:r>
    </w:p>
    <w:p w:rsidRPr="005A17E9" w:rsidR="00CF0F10" w:rsidP="00EA5D2A" w:rsidRDefault="007E7F9B" w14:paraId="21EED8AB" w14:textId="41C43942">
      <w:pPr>
        <w:widowControl/>
        <w:tabs>
          <w:tab w:val="left" w:pos="0"/>
        </w:tabs>
        <w:rPr>
          <w:szCs w:val="26"/>
        </w:rPr>
      </w:pPr>
      <w:r>
        <w:rPr>
          <w:szCs w:val="26"/>
        </w:rPr>
        <w:t>jeremy.hessler</w:t>
      </w:r>
      <w:r w:rsidR="00CF0F10">
        <w:rPr>
          <w:szCs w:val="26"/>
        </w:rPr>
        <w:t>@ferc.gov</w:t>
      </w:r>
    </w:p>
    <w:p w:rsidRPr="00D1724D" w:rsidR="00CF0F10" w:rsidP="00EA5D2A" w:rsidRDefault="00CF0F10" w14:paraId="62FAD3E9" w14:textId="77777777">
      <w:pPr>
        <w:tabs>
          <w:tab w:val="left" w:pos="0"/>
        </w:tabs>
        <w:rPr>
          <w:szCs w:val="26"/>
        </w:rPr>
      </w:pPr>
    </w:p>
    <w:p w:rsidRPr="00D1724D" w:rsidR="007E7F9B" w:rsidP="00EA5D2A" w:rsidRDefault="00F72094" w14:paraId="06E3C000" w14:textId="311A887F">
      <w:pPr>
        <w:tabs>
          <w:tab w:val="left" w:pos="0"/>
        </w:tabs>
        <w:rPr>
          <w:szCs w:val="26"/>
        </w:rPr>
      </w:pPr>
      <w:r w:rsidRPr="00F72094">
        <w:rPr>
          <w:bCs/>
          <w:szCs w:val="26"/>
        </w:rPr>
        <w:t xml:space="preserve">Adam Pollock </w:t>
      </w:r>
      <w:r w:rsidRPr="00D1724D" w:rsidR="007E7F9B">
        <w:rPr>
          <w:szCs w:val="26"/>
        </w:rPr>
        <w:t>(Technical Information)</w:t>
      </w:r>
    </w:p>
    <w:p w:rsidRPr="00D1724D" w:rsidR="007E7F9B" w:rsidP="00EA5D2A" w:rsidRDefault="007E7F9B" w14:paraId="6A49659D" w14:textId="5EA53F73">
      <w:pPr>
        <w:tabs>
          <w:tab w:val="left" w:pos="0"/>
        </w:tabs>
        <w:rPr>
          <w:szCs w:val="26"/>
        </w:rPr>
      </w:pPr>
      <w:r w:rsidRPr="00D1724D">
        <w:rPr>
          <w:szCs w:val="26"/>
        </w:rPr>
        <w:t>Office of Energy Market Regulation</w:t>
      </w:r>
    </w:p>
    <w:p w:rsidRPr="00D1724D" w:rsidR="007E7F9B" w:rsidP="00EA5D2A" w:rsidRDefault="007E7F9B" w14:paraId="1CCC18EB" w14:textId="77777777">
      <w:pPr>
        <w:tabs>
          <w:tab w:val="left" w:pos="0"/>
        </w:tabs>
        <w:rPr>
          <w:szCs w:val="26"/>
        </w:rPr>
      </w:pPr>
      <w:r w:rsidRPr="00D1724D">
        <w:rPr>
          <w:szCs w:val="26"/>
        </w:rPr>
        <w:t xml:space="preserve">Federal Energy Regulatory Commission </w:t>
      </w:r>
    </w:p>
    <w:p w:rsidRPr="00D1724D" w:rsidR="007E7F9B" w:rsidP="00EA5D2A" w:rsidRDefault="007E7F9B" w14:paraId="5CE4C3E4" w14:textId="048019E3">
      <w:pPr>
        <w:tabs>
          <w:tab w:val="left" w:pos="0"/>
        </w:tabs>
        <w:rPr>
          <w:szCs w:val="26"/>
        </w:rPr>
      </w:pPr>
      <w:r w:rsidRPr="00D1724D">
        <w:rPr>
          <w:szCs w:val="26"/>
        </w:rPr>
        <w:t xml:space="preserve">888 First Street NE </w:t>
      </w:r>
    </w:p>
    <w:p w:rsidRPr="00D1724D" w:rsidR="007E7F9B" w:rsidP="00EA5D2A" w:rsidRDefault="007E7F9B" w14:paraId="4F3BD778" w14:textId="16B8866E">
      <w:pPr>
        <w:tabs>
          <w:tab w:val="left" w:pos="0"/>
        </w:tabs>
        <w:rPr>
          <w:szCs w:val="26"/>
        </w:rPr>
      </w:pPr>
      <w:r w:rsidRPr="00D1724D">
        <w:rPr>
          <w:szCs w:val="26"/>
        </w:rPr>
        <w:t>Wa</w:t>
      </w:r>
      <w:r>
        <w:rPr>
          <w:szCs w:val="26"/>
        </w:rPr>
        <w:t xml:space="preserve">shington, DC </w:t>
      </w:r>
      <w:r w:rsidR="00F40AF9">
        <w:rPr>
          <w:szCs w:val="26"/>
        </w:rPr>
        <w:t xml:space="preserve"> </w:t>
      </w:r>
      <w:r w:rsidRPr="00D1724D">
        <w:rPr>
          <w:szCs w:val="26"/>
        </w:rPr>
        <w:t xml:space="preserve">20426 </w:t>
      </w:r>
    </w:p>
    <w:p w:rsidRPr="00D1724D" w:rsidR="007E7F9B" w:rsidP="00EA5D2A" w:rsidRDefault="007E7F9B" w14:paraId="45C60809" w14:textId="00812AB5">
      <w:pPr>
        <w:tabs>
          <w:tab w:val="left" w:pos="0"/>
        </w:tabs>
        <w:rPr>
          <w:szCs w:val="26"/>
        </w:rPr>
      </w:pPr>
      <w:r w:rsidRPr="00D1724D">
        <w:rPr>
          <w:szCs w:val="26"/>
        </w:rPr>
        <w:t>(202) 502-</w:t>
      </w:r>
      <w:r w:rsidRPr="00F72094" w:rsidR="00F72094">
        <w:rPr>
          <w:szCs w:val="26"/>
        </w:rPr>
        <w:t>8458</w:t>
      </w:r>
    </w:p>
    <w:p w:rsidR="007E7F9B" w:rsidP="00EA5D2A" w:rsidRDefault="00F72094" w14:paraId="0FF343A1" w14:textId="12844C50">
      <w:pPr>
        <w:tabs>
          <w:tab w:val="left" w:pos="0"/>
        </w:tabs>
      </w:pPr>
      <w:r>
        <w:t>adam</w:t>
      </w:r>
      <w:r w:rsidRPr="007E7F9B" w:rsidR="007E7F9B">
        <w:t>.</w:t>
      </w:r>
      <w:r>
        <w:t>pollock</w:t>
      </w:r>
      <w:r w:rsidRPr="007E7F9B" w:rsidR="007E7F9B">
        <w:t>@ferc.gov</w:t>
      </w:r>
    </w:p>
    <w:p w:rsidR="007E7F9B" w:rsidP="00EA5D2A" w:rsidRDefault="007E7F9B" w14:paraId="05D4D741" w14:textId="2AA5ABC1">
      <w:pPr>
        <w:tabs>
          <w:tab w:val="left" w:pos="0"/>
        </w:tabs>
        <w:rPr>
          <w:bCs/>
          <w:szCs w:val="26"/>
        </w:rPr>
      </w:pPr>
    </w:p>
    <w:p w:rsidRPr="00D1724D" w:rsidR="00CF0F10" w:rsidP="00EA5D2A" w:rsidRDefault="00CF0F10" w14:paraId="29068B35" w14:textId="77777777">
      <w:pPr>
        <w:tabs>
          <w:tab w:val="left" w:pos="0"/>
        </w:tabs>
        <w:rPr>
          <w:szCs w:val="26"/>
        </w:rPr>
      </w:pPr>
      <w:r w:rsidRPr="00481DD8">
        <w:rPr>
          <w:bCs/>
          <w:szCs w:val="26"/>
        </w:rPr>
        <w:t>Scott Everngam</w:t>
      </w:r>
      <w:r w:rsidRPr="00D1724D">
        <w:rPr>
          <w:szCs w:val="26"/>
        </w:rPr>
        <w:t xml:space="preserve"> (Technical Information)</w:t>
      </w:r>
    </w:p>
    <w:p w:rsidRPr="00D1724D" w:rsidR="00CF0F10" w:rsidP="00EA5D2A" w:rsidRDefault="00CF0F10" w14:paraId="7B173F26" w14:textId="416DDDA6">
      <w:pPr>
        <w:tabs>
          <w:tab w:val="left" w:pos="0"/>
        </w:tabs>
        <w:rPr>
          <w:szCs w:val="26"/>
        </w:rPr>
      </w:pPr>
      <w:r w:rsidRPr="00D1724D">
        <w:rPr>
          <w:szCs w:val="26"/>
        </w:rPr>
        <w:t>Office of Energy Market Regulation</w:t>
      </w:r>
    </w:p>
    <w:p w:rsidRPr="00D1724D" w:rsidR="00CF0F10" w:rsidP="00EA5D2A" w:rsidRDefault="00CF0F10" w14:paraId="45DE9F46" w14:textId="77777777">
      <w:pPr>
        <w:tabs>
          <w:tab w:val="left" w:pos="0"/>
        </w:tabs>
        <w:rPr>
          <w:szCs w:val="26"/>
        </w:rPr>
      </w:pPr>
      <w:r w:rsidRPr="00D1724D">
        <w:rPr>
          <w:szCs w:val="26"/>
        </w:rPr>
        <w:t xml:space="preserve">Federal Energy Regulatory Commission </w:t>
      </w:r>
    </w:p>
    <w:p w:rsidRPr="00D1724D" w:rsidR="00CF0F10" w:rsidP="00EA5D2A" w:rsidRDefault="00CF0F10" w14:paraId="08910DAF" w14:textId="2EDD0E62">
      <w:pPr>
        <w:tabs>
          <w:tab w:val="left" w:pos="0"/>
        </w:tabs>
        <w:rPr>
          <w:szCs w:val="26"/>
        </w:rPr>
      </w:pPr>
      <w:r w:rsidRPr="00D1724D">
        <w:rPr>
          <w:szCs w:val="26"/>
        </w:rPr>
        <w:t xml:space="preserve">888 First Street NE </w:t>
      </w:r>
    </w:p>
    <w:p w:rsidRPr="00D1724D" w:rsidR="00CF0F10" w:rsidP="00EA5D2A" w:rsidRDefault="00CF0F10" w14:paraId="3FC6B077" w14:textId="4009EF45">
      <w:pPr>
        <w:tabs>
          <w:tab w:val="left" w:pos="0"/>
        </w:tabs>
        <w:rPr>
          <w:szCs w:val="26"/>
        </w:rPr>
      </w:pPr>
      <w:r w:rsidRPr="00D1724D">
        <w:rPr>
          <w:szCs w:val="26"/>
        </w:rPr>
        <w:t xml:space="preserve">Washington, DC </w:t>
      </w:r>
      <w:r w:rsidR="00F40AF9">
        <w:rPr>
          <w:szCs w:val="26"/>
        </w:rPr>
        <w:t xml:space="preserve"> </w:t>
      </w:r>
      <w:r w:rsidRPr="00D1724D">
        <w:rPr>
          <w:szCs w:val="26"/>
        </w:rPr>
        <w:t xml:space="preserve">20426 </w:t>
      </w:r>
    </w:p>
    <w:p w:rsidRPr="00D1724D" w:rsidR="00CF0F10" w:rsidP="00EA5D2A" w:rsidRDefault="00CF0F10" w14:paraId="446CA06B" w14:textId="0A0F4557">
      <w:pPr>
        <w:tabs>
          <w:tab w:val="left" w:pos="0"/>
        </w:tabs>
        <w:rPr>
          <w:szCs w:val="26"/>
        </w:rPr>
      </w:pPr>
      <w:r w:rsidRPr="00D1724D">
        <w:rPr>
          <w:szCs w:val="26"/>
        </w:rPr>
        <w:t>(202) 502-</w:t>
      </w:r>
      <w:r>
        <w:rPr>
          <w:szCs w:val="26"/>
        </w:rPr>
        <w:t>6614</w:t>
      </w:r>
    </w:p>
    <w:p w:rsidRPr="00D1724D" w:rsidR="00CF0F10" w:rsidP="00EA5D2A" w:rsidRDefault="007E7F9B" w14:paraId="165304E3" w14:textId="557C2BC1">
      <w:pPr>
        <w:tabs>
          <w:tab w:val="left" w:pos="0"/>
        </w:tabs>
      </w:pPr>
      <w:r>
        <w:t>scott</w:t>
      </w:r>
      <w:r w:rsidR="00CF0F10">
        <w:t>.everngam@ferc.gov</w:t>
      </w:r>
    </w:p>
    <w:p w:rsidRPr="00D1724D" w:rsidR="00CF0F10" w:rsidP="00EA5D2A" w:rsidRDefault="00CF0F10" w14:paraId="09EF2E0B" w14:textId="77777777">
      <w:pPr>
        <w:tabs>
          <w:tab w:val="left" w:pos="0"/>
        </w:tabs>
        <w:rPr>
          <w:szCs w:val="26"/>
        </w:rPr>
      </w:pPr>
    </w:p>
    <w:p w:rsidR="006D212D" w:rsidRDefault="006D212D" w14:paraId="0B13BC66" w14:textId="77777777">
      <w:pPr>
        <w:widowControl/>
        <w:autoSpaceDE/>
        <w:autoSpaceDN/>
        <w:adjustRightInd/>
        <w:rPr>
          <w:szCs w:val="26"/>
        </w:rPr>
      </w:pPr>
      <w:r>
        <w:rPr>
          <w:szCs w:val="26"/>
        </w:rPr>
        <w:br w:type="page"/>
      </w:r>
    </w:p>
    <w:p w:rsidRPr="00D1724D" w:rsidR="007E7F9B" w:rsidP="00EA5D2A" w:rsidRDefault="007E7F9B" w14:paraId="5C9BF38F" w14:textId="7F701CF4">
      <w:pPr>
        <w:tabs>
          <w:tab w:val="left" w:pos="0"/>
        </w:tabs>
        <w:rPr>
          <w:szCs w:val="26"/>
        </w:rPr>
      </w:pPr>
      <w:r w:rsidRPr="007E7F9B">
        <w:rPr>
          <w:szCs w:val="26"/>
        </w:rPr>
        <w:lastRenderedPageBreak/>
        <w:t>Tony Dobbins</w:t>
      </w:r>
      <w:r w:rsidR="00070209">
        <w:rPr>
          <w:szCs w:val="26"/>
        </w:rPr>
        <w:t xml:space="preserve"> </w:t>
      </w:r>
      <w:r w:rsidRPr="00D1724D">
        <w:rPr>
          <w:szCs w:val="26"/>
        </w:rPr>
        <w:t>(Technical Information)</w:t>
      </w:r>
    </w:p>
    <w:p w:rsidR="007E7F9B" w:rsidP="00EA5D2A" w:rsidRDefault="007E7F9B" w14:paraId="65DBA6FD" w14:textId="77777777">
      <w:pPr>
        <w:tabs>
          <w:tab w:val="left" w:pos="0"/>
        </w:tabs>
        <w:rPr>
          <w:szCs w:val="26"/>
        </w:rPr>
      </w:pPr>
      <w:r w:rsidRPr="007E7F9B">
        <w:rPr>
          <w:szCs w:val="26"/>
        </w:rPr>
        <w:t xml:space="preserve">Office of Energy Policy and Innovation </w:t>
      </w:r>
    </w:p>
    <w:p w:rsidRPr="00D1724D" w:rsidR="007E7F9B" w:rsidP="00EA5D2A" w:rsidRDefault="007E7F9B" w14:paraId="36A22349" w14:textId="77777777">
      <w:pPr>
        <w:tabs>
          <w:tab w:val="left" w:pos="0"/>
        </w:tabs>
        <w:rPr>
          <w:szCs w:val="26"/>
        </w:rPr>
      </w:pPr>
      <w:r w:rsidRPr="00D1724D">
        <w:rPr>
          <w:szCs w:val="26"/>
        </w:rPr>
        <w:t xml:space="preserve">Federal Energy Regulatory Commission </w:t>
      </w:r>
    </w:p>
    <w:p w:rsidRPr="00D1724D" w:rsidR="007E7F9B" w:rsidP="00EA5D2A" w:rsidRDefault="007E7F9B" w14:paraId="0530662A" w14:textId="717DA0B6">
      <w:pPr>
        <w:tabs>
          <w:tab w:val="left" w:pos="0"/>
        </w:tabs>
        <w:rPr>
          <w:szCs w:val="26"/>
        </w:rPr>
      </w:pPr>
      <w:r w:rsidRPr="00D1724D">
        <w:rPr>
          <w:szCs w:val="26"/>
        </w:rPr>
        <w:t xml:space="preserve">888 First Street NE </w:t>
      </w:r>
    </w:p>
    <w:p w:rsidRPr="00D1724D" w:rsidR="007E7F9B" w:rsidP="00EA5D2A" w:rsidRDefault="007E7F9B" w14:paraId="2CCC070A" w14:textId="582D0494">
      <w:pPr>
        <w:tabs>
          <w:tab w:val="left" w:pos="0"/>
        </w:tabs>
        <w:rPr>
          <w:szCs w:val="26"/>
        </w:rPr>
      </w:pPr>
      <w:r w:rsidRPr="00D1724D">
        <w:rPr>
          <w:szCs w:val="26"/>
        </w:rPr>
        <w:t>Wa</w:t>
      </w:r>
      <w:r>
        <w:rPr>
          <w:szCs w:val="26"/>
        </w:rPr>
        <w:t>shington, DC</w:t>
      </w:r>
      <w:r w:rsidR="00F40AF9">
        <w:rPr>
          <w:szCs w:val="26"/>
        </w:rPr>
        <w:t xml:space="preserve"> </w:t>
      </w:r>
      <w:r w:rsidRPr="00D1724D">
        <w:rPr>
          <w:szCs w:val="26"/>
        </w:rPr>
        <w:t xml:space="preserve"> 20426 </w:t>
      </w:r>
    </w:p>
    <w:p w:rsidRPr="00D1724D" w:rsidR="007E7F9B" w:rsidP="00EA5D2A" w:rsidRDefault="007E7F9B" w14:paraId="2A36E3CD" w14:textId="7395F641">
      <w:pPr>
        <w:tabs>
          <w:tab w:val="left" w:pos="0"/>
        </w:tabs>
        <w:rPr>
          <w:szCs w:val="26"/>
        </w:rPr>
      </w:pPr>
      <w:r w:rsidRPr="00D1724D">
        <w:rPr>
          <w:szCs w:val="26"/>
        </w:rPr>
        <w:t>(202) 502-</w:t>
      </w:r>
      <w:r w:rsidR="00070209">
        <w:rPr>
          <w:szCs w:val="26"/>
        </w:rPr>
        <w:t>6630</w:t>
      </w:r>
    </w:p>
    <w:p w:rsidR="007E7F9B" w:rsidP="00EA5D2A" w:rsidRDefault="00070209" w14:paraId="2FC6FC85" w14:textId="4FD9A0B6">
      <w:pPr>
        <w:tabs>
          <w:tab w:val="left" w:pos="0"/>
        </w:tabs>
        <w:rPr>
          <w:szCs w:val="26"/>
        </w:rPr>
      </w:pPr>
      <w:r w:rsidRPr="00070209">
        <w:t>tony.dobbins@ferc.gov</w:t>
      </w:r>
    </w:p>
    <w:p w:rsidRPr="00D1724D" w:rsidR="007E7F9B" w:rsidP="00EA5D2A" w:rsidRDefault="007E7F9B" w14:paraId="6C7D9930" w14:textId="77777777">
      <w:pPr>
        <w:tabs>
          <w:tab w:val="left" w:pos="0"/>
        </w:tabs>
        <w:rPr>
          <w:szCs w:val="26"/>
        </w:rPr>
      </w:pPr>
    </w:p>
    <w:p w:rsidR="00CF0F10" w:rsidP="00EA5D2A" w:rsidRDefault="00CF0F10" w14:paraId="37C60A9A" w14:textId="77777777">
      <w:pPr>
        <w:tabs>
          <w:tab w:val="left" w:pos="0"/>
          <w:tab w:val="right" w:pos="9360"/>
        </w:tabs>
        <w:rPr>
          <w:szCs w:val="26"/>
        </w:rPr>
      </w:pPr>
      <w:r w:rsidRPr="00D1724D">
        <w:rPr>
          <w:szCs w:val="26"/>
          <w:u w:val="single"/>
        </w:rPr>
        <w:t>SUPPLEMENTARY INFORMATION</w:t>
      </w:r>
      <w:r w:rsidRPr="00D1724D">
        <w:rPr>
          <w:szCs w:val="26"/>
        </w:rPr>
        <w:t xml:space="preserve">: </w:t>
      </w:r>
    </w:p>
    <w:p w:rsidR="000B2093" w:rsidP="00EA5D2A" w:rsidRDefault="000B2093" w14:paraId="77DCB54D" w14:textId="77777777">
      <w:pPr>
        <w:widowControl/>
        <w:tabs>
          <w:tab w:val="left" w:pos="0"/>
        </w:tabs>
        <w:autoSpaceDE/>
        <w:autoSpaceDN/>
        <w:adjustRightInd/>
        <w:rPr>
          <w:szCs w:val="26"/>
        </w:rPr>
        <w:sectPr w:rsidR="000B2093" w:rsidSect="000B209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1440" w:gutter="0"/>
          <w:pgNumType w:fmt="lowerRoman" w:start="1"/>
          <w:cols w:space="720"/>
          <w:noEndnote/>
          <w:titlePg/>
          <w:docGrid w:linePitch="354"/>
        </w:sectPr>
      </w:pPr>
    </w:p>
    <w:p w:rsidR="00CB2955" w:rsidP="00CB2955" w:rsidRDefault="00CB2955" w14:paraId="13244F7F" w14:textId="77777777">
      <w:pPr>
        <w:jc w:val="center"/>
      </w:pPr>
      <w:r>
        <w:lastRenderedPageBreak/>
        <w:t>166 FERC ¶ 61,207</w:t>
      </w:r>
    </w:p>
    <w:p w:rsidRPr="000E576A" w:rsidR="00CF0F10" w:rsidP="00EA5D2A" w:rsidRDefault="00CF0F10" w14:paraId="3F7CB3C9" w14:textId="77777777">
      <w:pPr>
        <w:tabs>
          <w:tab w:val="left" w:pos="0"/>
        </w:tabs>
        <w:jc w:val="center"/>
        <w:outlineLvl w:val="0"/>
      </w:pPr>
      <w:r w:rsidRPr="000E576A">
        <w:t>UNITED STATES OF AMERICA</w:t>
      </w:r>
    </w:p>
    <w:p w:rsidRPr="000E576A" w:rsidR="00CF0F10" w:rsidP="00EA5D2A" w:rsidRDefault="00CF0F10" w14:paraId="2E09F080" w14:textId="77777777">
      <w:pPr>
        <w:tabs>
          <w:tab w:val="left" w:pos="0"/>
        </w:tabs>
        <w:jc w:val="center"/>
      </w:pPr>
      <w:r w:rsidRPr="000E576A">
        <w:t>FEDERAL ENERGY REGULATORY COMMISSION</w:t>
      </w:r>
    </w:p>
    <w:p w:rsidRPr="000E576A" w:rsidR="00CF0F10" w:rsidP="00EA5D2A" w:rsidRDefault="00CF0F10" w14:paraId="4E5C271B" w14:textId="77777777">
      <w:pPr>
        <w:tabs>
          <w:tab w:val="left" w:pos="0"/>
        </w:tabs>
      </w:pPr>
    </w:p>
    <w:p w:rsidRPr="000E576A" w:rsidR="0061532A" w:rsidP="0061532A" w:rsidRDefault="0061532A" w14:paraId="2448A76E" w14:textId="77777777">
      <w:pPr>
        <w:widowControl/>
        <w:tabs>
          <w:tab w:val="left" w:pos="0"/>
        </w:tabs>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580"/>
        <w:gridCol w:w="1530"/>
        <w:gridCol w:w="2250"/>
      </w:tblGrid>
      <w:tr w:rsidRPr="000E576A" w:rsidR="00CF0F10" w:rsidTr="007A0492" w14:paraId="452C7516" w14:textId="77777777">
        <w:tc>
          <w:tcPr>
            <w:tcW w:w="5580" w:type="dxa"/>
            <w:shd w:val="clear" w:color="auto" w:fill="auto"/>
          </w:tcPr>
          <w:p w:rsidRPr="00E34E14" w:rsidR="00CF0F10" w:rsidP="006C459A" w:rsidRDefault="00CF0F10" w14:paraId="77233EA9" w14:textId="11B51107">
            <w:pPr>
              <w:tabs>
                <w:tab w:val="left" w:pos="0"/>
              </w:tabs>
              <w:rPr>
                <w:szCs w:val="26"/>
              </w:rPr>
            </w:pPr>
            <w:r>
              <w:rPr>
                <w:szCs w:val="26"/>
              </w:rPr>
              <w:t xml:space="preserve">Inquiry Regarding the Commission’s Policy for </w:t>
            </w:r>
            <w:r w:rsidR="000B2093">
              <w:rPr>
                <w:szCs w:val="26"/>
              </w:rPr>
              <w:t>Determining Return on E</w:t>
            </w:r>
            <w:r w:rsidRPr="000B2093" w:rsidR="000B2093">
              <w:rPr>
                <w:szCs w:val="26"/>
              </w:rPr>
              <w:t xml:space="preserve">quity </w:t>
            </w:r>
          </w:p>
        </w:tc>
        <w:tc>
          <w:tcPr>
            <w:tcW w:w="1530" w:type="dxa"/>
            <w:shd w:val="clear" w:color="auto" w:fill="auto"/>
          </w:tcPr>
          <w:p w:rsidRPr="000E576A" w:rsidR="00CF0F10" w:rsidP="00EA5D2A" w:rsidRDefault="00CF0F10" w14:paraId="1E27CFDC" w14:textId="77777777">
            <w:pPr>
              <w:tabs>
                <w:tab w:val="left" w:pos="0"/>
                <w:tab w:val="left" w:pos="720"/>
                <w:tab w:val="left" w:pos="1440"/>
                <w:tab w:val="left" w:pos="2880"/>
                <w:tab w:val="left" w:pos="4320"/>
                <w:tab w:val="left" w:pos="5040"/>
                <w:tab w:val="left" w:pos="5760"/>
                <w:tab w:val="left" w:pos="6480"/>
                <w:tab w:val="left" w:pos="7200"/>
              </w:tabs>
              <w:jc w:val="right"/>
            </w:pPr>
            <w:r w:rsidRPr="000E576A">
              <w:t>Docket No.</w:t>
            </w:r>
          </w:p>
        </w:tc>
        <w:tc>
          <w:tcPr>
            <w:tcW w:w="2250" w:type="dxa"/>
            <w:shd w:val="clear" w:color="auto" w:fill="auto"/>
            <w:tcMar>
              <w:left w:w="144" w:type="dxa"/>
            </w:tcMar>
          </w:tcPr>
          <w:p w:rsidRPr="00443C87" w:rsidR="00CF0F10" w:rsidP="0061532A" w:rsidRDefault="001F4403" w14:paraId="785DE523" w14:textId="6A5AED17">
            <w:pPr>
              <w:tabs>
                <w:tab w:val="left" w:pos="666"/>
                <w:tab w:val="left" w:pos="1440"/>
                <w:tab w:val="left" w:pos="2880"/>
                <w:tab w:val="left" w:pos="4320"/>
                <w:tab w:val="left" w:pos="5040"/>
                <w:tab w:val="left" w:pos="5760"/>
                <w:tab w:val="left" w:pos="6480"/>
                <w:tab w:val="left" w:pos="7200"/>
              </w:tabs>
              <w:ind w:left="-54"/>
              <w:rPr>
                <w:b/>
              </w:rPr>
            </w:pPr>
            <w:r>
              <w:t xml:space="preserve">PL19-4-000 </w:t>
            </w:r>
          </w:p>
        </w:tc>
      </w:tr>
    </w:tbl>
    <w:p w:rsidRPr="000E576A" w:rsidR="00CF0F10" w:rsidP="00EA5D2A" w:rsidRDefault="00CF0F10" w14:paraId="5594B31E" w14:textId="77777777">
      <w:pPr>
        <w:tabs>
          <w:tab w:val="left" w:pos="0"/>
        </w:tabs>
      </w:pPr>
    </w:p>
    <w:p w:rsidR="00CF0F10" w:rsidP="00EA5D2A" w:rsidRDefault="00CF0F10" w14:paraId="44A875D7" w14:textId="77777777">
      <w:pPr>
        <w:tabs>
          <w:tab w:val="left" w:pos="0"/>
        </w:tabs>
      </w:pPr>
    </w:p>
    <w:p w:rsidRPr="000E576A" w:rsidR="00CF0F10" w:rsidP="00EA5D2A" w:rsidRDefault="00CF0F10" w14:paraId="3EDD4704" w14:textId="77777777">
      <w:pPr>
        <w:tabs>
          <w:tab w:val="left" w:pos="0"/>
        </w:tabs>
        <w:jc w:val="center"/>
        <w:outlineLvl w:val="0"/>
      </w:pPr>
      <w:r>
        <w:t>NOTICE OF INQUIRY</w:t>
      </w:r>
    </w:p>
    <w:p w:rsidRPr="000E576A" w:rsidR="00CF0F10" w:rsidP="00EA5D2A" w:rsidRDefault="00CF0F10" w14:paraId="49FA2E1B" w14:textId="77777777">
      <w:pPr>
        <w:tabs>
          <w:tab w:val="left" w:pos="0"/>
        </w:tabs>
        <w:jc w:val="center"/>
      </w:pPr>
    </w:p>
    <w:p w:rsidR="00CF0F10" w:rsidP="0061532A" w:rsidRDefault="0061532A" w14:paraId="10D87C61" w14:textId="6149AA12">
      <w:pPr>
        <w:widowControl/>
        <w:tabs>
          <w:tab w:val="left" w:pos="0"/>
        </w:tabs>
        <w:jc w:val="center"/>
      </w:pPr>
      <w:r w:rsidRPr="0061532A">
        <w:t>March 2</w:t>
      </w:r>
      <w:r w:rsidR="009F5046">
        <w:t>1</w:t>
      </w:r>
      <w:r w:rsidR="006A01A1">
        <w:t>, 2019</w:t>
      </w:r>
    </w:p>
    <w:p w:rsidRPr="0061532A" w:rsidR="0061532A" w:rsidP="0061532A" w:rsidRDefault="0061532A" w14:paraId="6BF8A0E0" w14:textId="77777777">
      <w:pPr>
        <w:widowControl/>
        <w:tabs>
          <w:tab w:val="left" w:pos="0"/>
        </w:tabs>
      </w:pPr>
    </w:p>
    <w:p w:rsidRPr="00786CBC" w:rsidR="00CF0F10" w:rsidP="00915029" w:rsidRDefault="000B2093" w14:paraId="5C285F44" w14:textId="53428E8E">
      <w:pPr>
        <w:pStyle w:val="StyleFERCparanumberLinespacingDouble"/>
        <w:rPr>
          <w:szCs w:val="26"/>
        </w:rPr>
      </w:pPr>
      <w:r>
        <w:t>In this Notice of Inquiry (NOI)</w:t>
      </w:r>
      <w:r w:rsidRPr="0037449F">
        <w:t>,</w:t>
      </w:r>
      <w:r>
        <w:t xml:space="preserve"> t</w:t>
      </w:r>
      <w:r w:rsidRPr="000E576A" w:rsidR="00CF0F10">
        <w:t>he Commission seeks</w:t>
      </w:r>
      <w:r w:rsidR="00CF0F10">
        <w:t xml:space="preserve"> </w:t>
      </w:r>
      <w:r>
        <w:t xml:space="preserve">information and stakeholder </w:t>
      </w:r>
      <w:r w:rsidR="00ED0A1B">
        <w:t>views</w:t>
      </w:r>
      <w:r w:rsidR="00CF0F10">
        <w:t xml:space="preserve"> regarding whether</w:t>
      </w:r>
      <w:r w:rsidR="003A0C41">
        <w:t>,</w:t>
      </w:r>
      <w:r w:rsidR="00CF0F10">
        <w:t xml:space="preserve"> and </w:t>
      </w:r>
      <w:r w:rsidR="003A0C41">
        <w:t xml:space="preserve">if so </w:t>
      </w:r>
      <w:r w:rsidR="00CF0F10">
        <w:t>how</w:t>
      </w:r>
      <w:r w:rsidR="003A0C41">
        <w:t>,</w:t>
      </w:r>
      <w:r w:rsidR="00CF0F10">
        <w:t xml:space="preserve"> it should modify its policies concerning the determination of the return on equity (ROE) </w:t>
      </w:r>
      <w:r w:rsidRPr="00E21055" w:rsidR="00C822E5">
        <w:t>to be used in designing jurisdictional rates charged by</w:t>
      </w:r>
      <w:r w:rsidRPr="00C822E5" w:rsidR="00C822E5">
        <w:t xml:space="preserve"> </w:t>
      </w:r>
      <w:r w:rsidR="00CF0F10">
        <w:t>public utilities.  The Commission also seeks comment on whether any changes to its policies concerning public utility ROEs should be applied to interstate natural gas and oil pipelines</w:t>
      </w:r>
      <w:r w:rsidRPr="000E576A" w:rsidR="00CF0F10">
        <w:t xml:space="preserve">. </w:t>
      </w:r>
      <w:r w:rsidR="00CF0F10">
        <w:t xml:space="preserve"> </w:t>
      </w:r>
    </w:p>
    <w:p w:rsidRPr="003E3FDC" w:rsidR="00CF0F10" w:rsidP="00915029" w:rsidRDefault="00CF0F10" w14:paraId="13DB9F3A" w14:textId="387E2D8F">
      <w:pPr>
        <w:pStyle w:val="StyleFERCparanumberLinespacingDouble"/>
        <w:rPr>
          <w:szCs w:val="26"/>
        </w:rPr>
      </w:pPr>
      <w:r>
        <w:lastRenderedPageBreak/>
        <w:t xml:space="preserve">This NOI follows the decision of the U.S. Court of Appeals for the District of Columbia Circuit </w:t>
      </w:r>
      <w:r w:rsidR="00634A87">
        <w:t xml:space="preserve">(D.C. Circuit) </w:t>
      </w:r>
      <w:r>
        <w:t>in</w:t>
      </w:r>
      <w:r w:rsidRPr="00984EFA">
        <w:rPr>
          <w:i/>
        </w:rPr>
        <w:t xml:space="preserve"> </w:t>
      </w:r>
      <w:r>
        <w:rPr>
          <w:i/>
        </w:rPr>
        <w:t>Emera Maine</w:t>
      </w:r>
      <w:r w:rsidRPr="003B3D69">
        <w:rPr>
          <w:i/>
        </w:rPr>
        <w:t xml:space="preserve"> v. FERC</w:t>
      </w:r>
      <w:r>
        <w:t>,</w:t>
      </w:r>
      <w:r>
        <w:rPr>
          <w:rStyle w:val="FootnoteReference"/>
        </w:rPr>
        <w:footnoteReference w:id="2"/>
      </w:r>
      <w:r>
        <w:t xml:space="preserve"> reversing and vacating Opinion No. 531.</w:t>
      </w:r>
      <w:r w:rsidRPr="00352DCC">
        <w:rPr>
          <w:b/>
          <w:vertAlign w:val="superscript"/>
        </w:rPr>
        <w:footnoteReference w:id="3"/>
      </w:r>
      <w:r>
        <w:t xml:space="preserve">  In that decision, the court held, among other things, that the Commission had failed to justify its decision under section 206 of the Federal Power Act (FPA)</w:t>
      </w:r>
      <w:r w:rsidR="00493BA1">
        <w:rPr>
          <w:rStyle w:val="FootnoteReference"/>
        </w:rPr>
        <w:footnoteReference w:id="4"/>
      </w:r>
      <w:r>
        <w:t xml:space="preserve"> to set the ROE of the New England Transmission Owners</w:t>
      </w:r>
      <w:r w:rsidR="00804F91">
        <w:rPr>
          <w:rStyle w:val="FootnoteReference"/>
        </w:rPr>
        <w:footnoteReference w:id="5"/>
      </w:r>
      <w:r>
        <w:t xml:space="preserve"> at the midpoint of the upper half of the zone of reasonableness produced by the two-step Discounted Cash Flow (DCF) analysis.  </w:t>
      </w:r>
      <w:r>
        <w:lastRenderedPageBreak/>
        <w:t xml:space="preserve">While the court did not expressly question the Commission’s finding that anomalous capital market </w:t>
      </w:r>
      <w:r w:rsidR="00274DAE">
        <w:t xml:space="preserve">conditions </w:t>
      </w:r>
      <w:r>
        <w:t xml:space="preserve">justified an ROE above the midpoint of the DCF zone of reasonableness, the court </w:t>
      </w:r>
      <w:r w:rsidRPr="00665B5A">
        <w:rPr>
          <w:szCs w:val="26"/>
        </w:rPr>
        <w:t>concluded that the Commission failed to point to record evidence supporting the conclusion that its solution to the anomalous capital market conditions—setting the base ROE at the upper midpoint rather than the midpoint—was just and reasonable.</w:t>
      </w:r>
      <w:r w:rsidR="00FD4BE4">
        <w:rPr>
          <w:rStyle w:val="FootnoteReference"/>
        </w:rPr>
        <w:footnoteReference w:id="6"/>
      </w:r>
      <w:r w:rsidDel="00FD4BE4" w:rsidR="00FD4BE4">
        <w:rPr>
          <w:szCs w:val="26"/>
        </w:rPr>
        <w:t xml:space="preserve"> </w:t>
      </w:r>
    </w:p>
    <w:p w:rsidRPr="000E576A" w:rsidR="00CF0F10" w:rsidP="004C4173" w:rsidRDefault="00CF0F10" w14:paraId="6B7840A5" w14:textId="3503473F">
      <w:pPr>
        <w:pStyle w:val="StyleFERCparanumberAfter0ptLinespacingDouble"/>
      </w:pPr>
      <w:r>
        <w:t xml:space="preserve">The Commission recognizes the potentially significant and widespread effect of our ROE policies upon public utilities.  The importance of ROE policy for public utilities extends beyond the particular interests of the parties to the </w:t>
      </w:r>
      <w:r>
        <w:rPr>
          <w:i/>
        </w:rPr>
        <w:t>Emera Maine</w:t>
      </w:r>
      <w:r>
        <w:t xml:space="preserve"> proceeding.  Accordingly, this NOI seeks further information as the Commission re-evaluates </w:t>
      </w:r>
      <w:r w:rsidR="00A90F09">
        <w:t xml:space="preserve">our </w:t>
      </w:r>
      <w:r>
        <w:t xml:space="preserve">ROE policies following the </w:t>
      </w:r>
      <w:r>
        <w:rPr>
          <w:i/>
        </w:rPr>
        <w:t xml:space="preserve">Emera </w:t>
      </w:r>
      <w:r>
        <w:rPr>
          <w:i/>
        </w:rPr>
        <w:lastRenderedPageBreak/>
        <w:t>Maine</w:t>
      </w:r>
      <w:r w:rsidRPr="003E3FDC">
        <w:rPr>
          <w:i/>
        </w:rPr>
        <w:t xml:space="preserve"> </w:t>
      </w:r>
      <w:r>
        <w:t xml:space="preserve">decision.  </w:t>
      </w:r>
      <w:r w:rsidRPr="003E3FDC">
        <w:rPr>
          <w:szCs w:val="26"/>
        </w:rPr>
        <w:t>Initial Comments are due</w:t>
      </w:r>
      <w:r w:rsidRPr="003D5E1A">
        <w:rPr>
          <w:b/>
          <w:szCs w:val="26"/>
        </w:rPr>
        <w:t xml:space="preserve"> [</w:t>
      </w:r>
      <w:r w:rsidRPr="003D5E1A" w:rsidR="001F4403">
        <w:rPr>
          <w:b/>
          <w:szCs w:val="26"/>
        </w:rPr>
        <w:t xml:space="preserve">INSERT DATE </w:t>
      </w:r>
      <w:r w:rsidR="00413A21">
        <w:rPr>
          <w:b/>
          <w:szCs w:val="26"/>
        </w:rPr>
        <w:t>9</w:t>
      </w:r>
      <w:r w:rsidR="001F4403">
        <w:rPr>
          <w:b/>
          <w:szCs w:val="26"/>
        </w:rPr>
        <w:t>0</w:t>
      </w:r>
      <w:r w:rsidRPr="003D5E1A" w:rsidR="001F4403">
        <w:rPr>
          <w:b/>
          <w:szCs w:val="26"/>
        </w:rPr>
        <w:t xml:space="preserve"> DAYS AFTER </w:t>
      </w:r>
      <w:r w:rsidR="001F4403">
        <w:rPr>
          <w:b/>
          <w:szCs w:val="26"/>
        </w:rPr>
        <w:t xml:space="preserve">DATE OF </w:t>
      </w:r>
      <w:r w:rsidRPr="003D5E1A" w:rsidR="001F4403">
        <w:rPr>
          <w:b/>
          <w:szCs w:val="26"/>
        </w:rPr>
        <w:t>PUBLICATION IN THE FEDERAL REGISTER</w:t>
      </w:r>
      <w:r w:rsidRPr="003D5E1A">
        <w:rPr>
          <w:b/>
          <w:szCs w:val="26"/>
        </w:rPr>
        <w:t>]</w:t>
      </w:r>
      <w:r w:rsidRPr="003D5E1A">
        <w:rPr>
          <w:szCs w:val="26"/>
        </w:rPr>
        <w:t>, and Reply Comments are due</w:t>
      </w:r>
      <w:r w:rsidRPr="003D5E1A">
        <w:rPr>
          <w:b/>
          <w:szCs w:val="26"/>
        </w:rPr>
        <w:t xml:space="preserve"> [</w:t>
      </w:r>
      <w:r w:rsidRPr="003D5E1A" w:rsidR="001F4403">
        <w:rPr>
          <w:b/>
          <w:szCs w:val="26"/>
        </w:rPr>
        <w:t xml:space="preserve">INSERT DATE </w:t>
      </w:r>
      <w:r w:rsidR="00413A21">
        <w:rPr>
          <w:b/>
          <w:szCs w:val="26"/>
        </w:rPr>
        <w:t>12</w:t>
      </w:r>
      <w:r w:rsidR="001F4403">
        <w:rPr>
          <w:b/>
          <w:szCs w:val="26"/>
        </w:rPr>
        <w:t>0</w:t>
      </w:r>
      <w:r w:rsidRPr="003D5E1A" w:rsidR="001F4403">
        <w:rPr>
          <w:b/>
          <w:szCs w:val="26"/>
        </w:rPr>
        <w:t xml:space="preserve"> DAYS AFTER </w:t>
      </w:r>
      <w:r w:rsidR="001F4403">
        <w:rPr>
          <w:b/>
          <w:szCs w:val="26"/>
        </w:rPr>
        <w:t xml:space="preserve">DATE OF </w:t>
      </w:r>
      <w:r w:rsidRPr="003D5E1A" w:rsidR="001F4403">
        <w:rPr>
          <w:b/>
          <w:szCs w:val="26"/>
        </w:rPr>
        <w:t>PUBLICATION IN THE FEDERAL REGISTER</w:t>
      </w:r>
      <w:r w:rsidRPr="003D5E1A">
        <w:rPr>
          <w:b/>
          <w:szCs w:val="26"/>
        </w:rPr>
        <w:t>]</w:t>
      </w:r>
      <w:r w:rsidRPr="003D5E1A">
        <w:rPr>
          <w:szCs w:val="26"/>
        </w:rPr>
        <w:t>.</w:t>
      </w:r>
    </w:p>
    <w:p w:rsidR="00CF0F10" w:rsidP="00EA5D2A" w:rsidRDefault="00CF0F10" w14:paraId="7F54EC34" w14:textId="77777777">
      <w:pPr>
        <w:pStyle w:val="Heading1"/>
        <w:tabs>
          <w:tab w:val="left" w:pos="0"/>
        </w:tabs>
        <w:rPr>
          <w:u w:val="none"/>
        </w:rPr>
      </w:pPr>
      <w:r>
        <w:t>BACKGROUND</w:t>
      </w:r>
      <w:r>
        <w:rPr>
          <w:u w:val="none"/>
        </w:rPr>
        <w:t xml:space="preserve">  </w:t>
      </w:r>
    </w:p>
    <w:p w:rsidRPr="00602AAC" w:rsidR="00CF0F10" w:rsidP="00EA5D2A" w:rsidRDefault="00CF0F10" w14:paraId="77F6873D" w14:textId="77777777">
      <w:pPr>
        <w:pStyle w:val="Heading2"/>
        <w:tabs>
          <w:tab w:val="left" w:pos="0"/>
        </w:tabs>
      </w:pPr>
      <w:r>
        <w:t>The DCF Model</w:t>
      </w:r>
    </w:p>
    <w:p w:rsidR="00CF0F10" w:rsidP="002A25E3" w:rsidRDefault="00CF0F10" w14:paraId="47AF3535" w14:textId="77777777">
      <w:pPr>
        <w:pStyle w:val="StyleFERCparanumberAfter0ptLinespacingDouble"/>
        <w:tabs>
          <w:tab w:val="clear" w:pos="810"/>
          <w:tab w:val="num" w:pos="720"/>
        </w:tabs>
      </w:pPr>
      <w:r>
        <w:t>The Supreme Court has held that</w:t>
      </w:r>
      <w:r w:rsidRPr="00192874">
        <w:t xml:space="preserve"> “the return to the equity owner should be commensurate with the return on investments in other enterprises having corresponding risks.  That return, moreover, should be sufficient to assure confidence in the financial integrity of the enterprise, so as to maintain its credit and to attract capital.”</w:t>
      </w:r>
      <w:r w:rsidRPr="00A642E4">
        <w:rPr>
          <w:rStyle w:val="FootnoteReference"/>
        </w:rPr>
        <w:t xml:space="preserve"> </w:t>
      </w:r>
      <w:r w:rsidRPr="00CB3B14">
        <w:rPr>
          <w:rStyle w:val="FootnoteReference"/>
        </w:rPr>
        <w:footnoteReference w:id="7"/>
      </w:r>
      <w:r>
        <w:t xml:space="preserve">  </w:t>
      </w:r>
      <w:r w:rsidRPr="00192874">
        <w:t xml:space="preserve">Since the 1980s, the Commission has used the </w:t>
      </w:r>
      <w:r>
        <w:lastRenderedPageBreak/>
        <w:t>DCF</w:t>
      </w:r>
      <w:r w:rsidRPr="00192874">
        <w:t xml:space="preserve"> model to develop a range of returns earned on investments in companies with corresponding risks for purposes of determining the </w:t>
      </w:r>
      <w:r>
        <w:t>ROE</w:t>
      </w:r>
      <w:r w:rsidRPr="00192874">
        <w:t xml:space="preserve"> </w:t>
      </w:r>
      <w:r>
        <w:t>for</w:t>
      </w:r>
      <w:r w:rsidRPr="00192874">
        <w:t xml:space="preserve"> </w:t>
      </w:r>
      <w:r>
        <w:t>regulated entities</w:t>
      </w:r>
      <w:r w:rsidRPr="00192874">
        <w:t>.</w:t>
      </w:r>
    </w:p>
    <w:p w:rsidRPr="00665B5A" w:rsidR="00CF0F10" w:rsidP="004C4173" w:rsidRDefault="00CF0F10" w14:paraId="27990A72" w14:textId="77777777">
      <w:pPr>
        <w:pStyle w:val="StyleFERCparanumberAfter0ptLinespacingDouble"/>
      </w:pPr>
      <w:r w:rsidRPr="00665B5A">
        <w:t>The DCF model was originally developed in the 1950s as a method for investors to estimate the value of securities, including common stocks.  It is based on the premise that “a stock’s price is equal to the present value of the infinite stream of expected dividends discounted at a market rate commensurate with the stock’s risk.”</w:t>
      </w:r>
      <w:r w:rsidRPr="00665B5A">
        <w:rPr>
          <w:rStyle w:val="FootnoteReference"/>
        </w:rPr>
        <w:footnoteReference w:id="8"/>
      </w:r>
      <w:r w:rsidRPr="00665B5A">
        <w:t xml:space="preserve">  With simplifying assumptions, the DCF model results in the investor using the following formula to determine share price:</w:t>
      </w:r>
    </w:p>
    <w:p w:rsidRPr="00665B5A" w:rsidR="00CF0F10" w:rsidP="00EA5D2A" w:rsidRDefault="00CF0F10" w14:paraId="3532893D" w14:textId="783769D8">
      <w:pPr>
        <w:pStyle w:val="FERCparanumber"/>
        <w:numPr>
          <w:ilvl w:val="0"/>
          <w:numId w:val="0"/>
        </w:numPr>
        <w:tabs>
          <w:tab w:val="left" w:pos="0"/>
        </w:tabs>
        <w:ind w:firstLine="720"/>
        <w:rPr>
          <w:szCs w:val="26"/>
        </w:rPr>
      </w:pPr>
      <w:r w:rsidRPr="00665B5A">
        <w:rPr>
          <w:szCs w:val="26"/>
        </w:rPr>
        <w:t>P = D/(k-g)</w:t>
      </w:r>
      <w:r w:rsidR="00442C41">
        <w:rPr>
          <w:szCs w:val="26"/>
        </w:rPr>
        <w:t>,</w:t>
      </w:r>
    </w:p>
    <w:p w:rsidR="007D0FEB" w:rsidP="00EA5D2A" w:rsidRDefault="00CF0F10" w14:paraId="69171177" w14:textId="77777777">
      <w:pPr>
        <w:pStyle w:val="FERCparanumber"/>
        <w:numPr>
          <w:ilvl w:val="0"/>
          <w:numId w:val="0"/>
        </w:numPr>
        <w:tabs>
          <w:tab w:val="left" w:pos="0"/>
        </w:tabs>
        <w:spacing w:after="0" w:line="480" w:lineRule="auto"/>
        <w:rPr>
          <w:szCs w:val="26"/>
        </w:rPr>
      </w:pPr>
      <w:r w:rsidRPr="00665B5A">
        <w:rPr>
          <w:szCs w:val="26"/>
        </w:rPr>
        <w:lastRenderedPageBreak/>
        <w:t xml:space="preserve">where P is the price of the stock at the relevant time, D is the current dividend, k is the discount rate (or investors’ required return), and g is the expected growth rate in dividends.  </w:t>
      </w:r>
    </w:p>
    <w:p w:rsidR="00442C41" w:rsidP="002621C5" w:rsidRDefault="00CF0F10" w14:paraId="61388300" w14:textId="314D29A1">
      <w:pPr>
        <w:pStyle w:val="StyleFERCparanumberLinespacingDouble"/>
      </w:pPr>
      <w:r w:rsidRPr="00665B5A">
        <w:t>For ratemaking purposes, the Commission rearranges the DCF formula to solve for k, the discount rate</w:t>
      </w:r>
      <w:r w:rsidR="00DA518F">
        <w:t>,</w:t>
      </w:r>
      <w:r w:rsidR="00442C41">
        <w:t xml:space="preserve"> so that</w:t>
      </w:r>
      <w:r w:rsidR="00F015DD">
        <w:t>:</w:t>
      </w:r>
    </w:p>
    <w:p w:rsidR="00442C41" w:rsidP="00EA5D2A" w:rsidRDefault="00941F14" w14:paraId="24E6D9F7" w14:textId="727E61CC">
      <w:pPr>
        <w:pStyle w:val="FERCparanumber"/>
        <w:numPr>
          <w:ilvl w:val="0"/>
          <w:numId w:val="0"/>
        </w:numPr>
        <w:tabs>
          <w:tab w:val="left" w:pos="0"/>
        </w:tabs>
        <w:spacing w:after="0" w:line="480" w:lineRule="auto"/>
        <w:rPr>
          <w:szCs w:val="26"/>
        </w:rPr>
      </w:pPr>
      <w:r>
        <w:rPr>
          <w:szCs w:val="26"/>
        </w:rPr>
        <w:tab/>
      </w:r>
      <w:r w:rsidRPr="00665B5A" w:rsidR="00442C41">
        <w:rPr>
          <w:szCs w:val="26"/>
        </w:rPr>
        <w:t>k = D/P + g</w:t>
      </w:r>
      <w:r w:rsidR="00442C41">
        <w:rPr>
          <w:szCs w:val="26"/>
        </w:rPr>
        <w:t>.</w:t>
      </w:r>
    </w:p>
    <w:p w:rsidRPr="00665B5A" w:rsidR="00CF0F10" w:rsidP="00EA5D2A" w:rsidRDefault="00442C41" w14:paraId="6EC7AA1F" w14:textId="1C726258">
      <w:pPr>
        <w:pStyle w:val="FERCparanumber"/>
        <w:numPr>
          <w:ilvl w:val="0"/>
          <w:numId w:val="0"/>
        </w:numPr>
        <w:tabs>
          <w:tab w:val="left" w:pos="0"/>
        </w:tabs>
        <w:spacing w:after="0" w:line="480" w:lineRule="auto"/>
        <w:rPr>
          <w:szCs w:val="26"/>
        </w:rPr>
      </w:pPr>
      <w:r w:rsidRPr="00665B5A">
        <w:rPr>
          <w:szCs w:val="26"/>
        </w:rPr>
        <w:t>Under the resulting DCF formula, the investor’s required return is estimated to equal current dividend yield (dividends divided by share price) plus the projected future growth rate of dividends</w:t>
      </w:r>
      <w:r w:rsidR="0000501D">
        <w:rPr>
          <w:szCs w:val="26"/>
        </w:rPr>
        <w:t>.</w:t>
      </w:r>
      <w:r>
        <w:rPr>
          <w:szCs w:val="26"/>
        </w:rPr>
        <w:t xml:space="preserve">  The term “k” </w:t>
      </w:r>
      <w:r w:rsidRPr="00665B5A" w:rsidR="00CF0F10">
        <w:rPr>
          <w:szCs w:val="26"/>
        </w:rPr>
        <w:t>represents the investor’s required return for investing in the firm (</w:t>
      </w:r>
      <w:r w:rsidRPr="00005F7E" w:rsidR="00CF0F10">
        <w:rPr>
          <w:szCs w:val="26"/>
        </w:rPr>
        <w:t>i.e.</w:t>
      </w:r>
      <w:r w:rsidRPr="00665B5A" w:rsidR="00CF0F10">
        <w:rPr>
          <w:szCs w:val="26"/>
        </w:rPr>
        <w:t>, the cost of equity).</w:t>
      </w:r>
      <w:r w:rsidRPr="00665B5A" w:rsidR="00CF0F10">
        <w:rPr>
          <w:rStyle w:val="FootnoteReference"/>
        </w:rPr>
        <w:footnoteReference w:id="9"/>
      </w:r>
      <w:r w:rsidRPr="00665B5A" w:rsidR="00CF0F10">
        <w:rPr>
          <w:szCs w:val="26"/>
        </w:rPr>
        <w:t xml:space="preserve">  </w:t>
      </w:r>
      <w:r w:rsidR="0052188F">
        <w:rPr>
          <w:szCs w:val="26"/>
        </w:rPr>
        <w:t>The Commission’s practice has been to set a regulated</w:t>
      </w:r>
      <w:r w:rsidR="00B91503">
        <w:rPr>
          <w:szCs w:val="26"/>
        </w:rPr>
        <w:t xml:space="preserve"> firm’s rate of return, or “r” </w:t>
      </w:r>
      <w:r w:rsidR="0052188F">
        <w:rPr>
          <w:szCs w:val="26"/>
        </w:rPr>
        <w:t>to equal “k” the investor’s required return for investing in the firm.</w:t>
      </w:r>
    </w:p>
    <w:p w:rsidR="00CF0F10" w:rsidP="004C4173" w:rsidRDefault="00CF0F10" w14:paraId="45525453" w14:textId="632FA216">
      <w:pPr>
        <w:pStyle w:val="StyleFERCparanumberAfter0ptLinespacingDouble"/>
      </w:pPr>
      <w:r>
        <w:lastRenderedPageBreak/>
        <w:t xml:space="preserve">During the decades that </w:t>
      </w:r>
      <w:r w:rsidRPr="00992E5D">
        <w:t xml:space="preserve">the </w:t>
      </w:r>
      <w:r>
        <w:t xml:space="preserve">Commission has used the </w:t>
      </w:r>
      <w:r w:rsidRPr="00992E5D">
        <w:t xml:space="preserve">DCF model, </w:t>
      </w:r>
      <w:r>
        <w:t xml:space="preserve">the Commission periodically </w:t>
      </w:r>
      <w:r w:rsidR="008C6C0F">
        <w:t xml:space="preserve">has </w:t>
      </w:r>
      <w:r w:rsidRPr="00992E5D">
        <w:t xml:space="preserve">made changes in its implementation of the model with respect to the industries </w:t>
      </w:r>
      <w:r w:rsidR="00870D22">
        <w:t xml:space="preserve">that </w:t>
      </w:r>
      <w:r w:rsidRPr="00992E5D">
        <w:t xml:space="preserve">it regulates.  </w:t>
      </w:r>
      <w:r>
        <w:t>In Opinion No. 531, t</w:t>
      </w:r>
      <w:r w:rsidRPr="00992E5D">
        <w:t xml:space="preserve">he Commission </w:t>
      </w:r>
      <w:r>
        <w:t>use</w:t>
      </w:r>
      <w:r w:rsidR="0051312F">
        <w:t>d</w:t>
      </w:r>
      <w:r>
        <w:t xml:space="preserve"> the same two-step, constant</w:t>
      </w:r>
      <w:r w:rsidR="008C6C0F">
        <w:t>-</w:t>
      </w:r>
      <w:r>
        <w:t>growth</w:t>
      </w:r>
      <w:r w:rsidRPr="00992E5D">
        <w:t xml:space="preserve"> DCF model </w:t>
      </w:r>
      <w:r>
        <w:t xml:space="preserve">in public utility cases as it </w:t>
      </w:r>
      <w:r w:rsidR="008C6C0F">
        <w:t xml:space="preserve">had </w:t>
      </w:r>
      <w:r>
        <w:t xml:space="preserve">used in natural gas and oil pipeline cases for the last </w:t>
      </w:r>
      <w:r w:rsidR="004A755F">
        <w:t>20</w:t>
      </w:r>
      <w:r>
        <w:t xml:space="preserve"> years.</w:t>
      </w:r>
      <w:r>
        <w:rPr>
          <w:rStyle w:val="FootnoteReference"/>
        </w:rPr>
        <w:footnoteReference w:id="10"/>
      </w:r>
      <w:r>
        <w:t xml:space="preserve">  </w:t>
      </w:r>
      <w:r w:rsidRPr="00992E5D">
        <w:t>For the dividend yield component of th</w:t>
      </w:r>
      <w:r>
        <w:t xml:space="preserve">at </w:t>
      </w:r>
      <w:r w:rsidRPr="00992E5D">
        <w:t xml:space="preserve">model, the Commission derives a single, average dividend yield based on the indicated dividend and the average of the monthly high and low stock prices over a </w:t>
      </w:r>
      <w:r w:rsidR="0016647A">
        <w:t xml:space="preserve">    </w:t>
      </w:r>
      <w:r w:rsidRPr="00992E5D">
        <w:t>six-month period.</w:t>
      </w:r>
      <w:r w:rsidRPr="00992E5D">
        <w:rPr>
          <w:rStyle w:val="FootnoteReference"/>
        </w:rPr>
        <w:footnoteReference w:id="11"/>
      </w:r>
      <w:r>
        <w:t xml:space="preserve">  The Commission then </w:t>
      </w:r>
      <w:r w:rsidRPr="00992E5D">
        <w:t xml:space="preserve">uses a two-step </w:t>
      </w:r>
      <w:r>
        <w:t>method</w:t>
      </w:r>
      <w:r w:rsidRPr="00992E5D">
        <w:t xml:space="preserve"> </w:t>
      </w:r>
      <w:r w:rsidR="008C6C0F">
        <w:t>to</w:t>
      </w:r>
      <w:r w:rsidRPr="00992E5D" w:rsidR="008C6C0F">
        <w:t xml:space="preserve"> </w:t>
      </w:r>
      <w:r w:rsidR="008C6C0F">
        <w:t>estimate</w:t>
      </w:r>
      <w:r w:rsidRPr="00992E5D" w:rsidR="008C6C0F">
        <w:t xml:space="preserve"> </w:t>
      </w:r>
      <w:r w:rsidR="00F53C72">
        <w:t xml:space="preserve">a single </w:t>
      </w:r>
      <w:r w:rsidRPr="00992E5D">
        <w:t>constant growth</w:t>
      </w:r>
      <w:r>
        <w:t xml:space="preserve"> </w:t>
      </w:r>
      <w:r w:rsidR="008C6C0F">
        <w:t xml:space="preserve">rate </w:t>
      </w:r>
      <w:r>
        <w:t>in dividends</w:t>
      </w:r>
      <w:r w:rsidRPr="00992E5D">
        <w:t>.</w:t>
      </w:r>
      <w:r>
        <w:rPr>
          <w:rStyle w:val="FootnoteReference"/>
        </w:rPr>
        <w:footnoteReference w:id="12"/>
      </w:r>
      <w:r>
        <w:t xml:space="preserve">  </w:t>
      </w:r>
    </w:p>
    <w:p w:rsidR="00CF0F10" w:rsidP="004C4173" w:rsidRDefault="00CF0F10" w14:paraId="0279C71A" w14:textId="3E2112F8">
      <w:pPr>
        <w:pStyle w:val="StyleFERCparanumberAfter0ptLinespacingDouble"/>
      </w:pPr>
      <w:r>
        <w:lastRenderedPageBreak/>
        <w:t>In order to project short-term growth in dividends, the Commission uses s</w:t>
      </w:r>
      <w:r w:rsidRPr="00992E5D">
        <w:t xml:space="preserve">ecurity analysts’ </w:t>
      </w:r>
      <w:r>
        <w:t>three</w:t>
      </w:r>
      <w:r w:rsidR="008C6C0F">
        <w:t>-year</w:t>
      </w:r>
      <w:r w:rsidR="00574410">
        <w:t xml:space="preserve"> </w:t>
      </w:r>
      <w:r>
        <w:t xml:space="preserve">to </w:t>
      </w:r>
      <w:r w:rsidRPr="00992E5D" w:rsidR="008C6C0F">
        <w:t>five</w:t>
      </w:r>
      <w:r w:rsidR="008C6C0F">
        <w:t>-</w:t>
      </w:r>
      <w:r w:rsidRPr="00992E5D">
        <w:t xml:space="preserve">year </w:t>
      </w:r>
      <w:r>
        <w:t xml:space="preserve">earnings </w:t>
      </w:r>
      <w:r w:rsidRPr="00992E5D">
        <w:t>forecasts</w:t>
      </w:r>
      <w:r>
        <w:t>,</w:t>
      </w:r>
      <w:r w:rsidRPr="00992E5D">
        <w:t xml:space="preserve"> as published by the Institutional Brokers Estimate System (IBES)</w:t>
      </w:r>
      <w:r>
        <w:t>.  The Commission has held that e</w:t>
      </w:r>
      <w:r w:rsidRPr="00992E5D">
        <w:t xml:space="preserve">arnings forecasts made by investment analysts are the best available estimates of short-term dividend growth </w:t>
      </w:r>
      <w:r w:rsidR="00F53C72">
        <w:t>based on a finding that</w:t>
      </w:r>
      <w:r w:rsidRPr="00992E5D">
        <w:t xml:space="preserve"> they are relied on by investors when making their investment decisions.</w:t>
      </w:r>
      <w:r w:rsidRPr="00992E5D">
        <w:rPr>
          <w:rStyle w:val="FootnoteReference"/>
        </w:rPr>
        <w:footnoteReference w:id="13"/>
      </w:r>
    </w:p>
    <w:p w:rsidRPr="00992E5D" w:rsidR="00CF0F10" w:rsidP="004C4173" w:rsidRDefault="00CF0F10" w14:paraId="14D7E6D9" w14:textId="7BA82212">
      <w:pPr>
        <w:pStyle w:val="StyleFERCparanumberAfter0ptLinespacingDouble"/>
      </w:pPr>
      <w:r w:rsidRPr="00992E5D">
        <w:t xml:space="preserve">The </w:t>
      </w:r>
      <w:r>
        <w:t xml:space="preserve">use of a long-term </w:t>
      </w:r>
      <w:r w:rsidR="00A44CA3">
        <w:t xml:space="preserve">growth </w:t>
      </w:r>
      <w:r>
        <w:t xml:space="preserve">estimate for dividends originated </w:t>
      </w:r>
      <w:r w:rsidRPr="00992E5D">
        <w:t>in</w:t>
      </w:r>
      <w:r>
        <w:t xml:space="preserve"> the Commission’s 1994 decision in</w:t>
      </w:r>
      <w:r w:rsidRPr="00992E5D">
        <w:t xml:space="preserve"> </w:t>
      </w:r>
      <w:r w:rsidRPr="00992E5D">
        <w:rPr>
          <w:i/>
          <w:szCs w:val="26"/>
        </w:rPr>
        <w:t>Ozark Gas Transmission System</w:t>
      </w:r>
      <w:r>
        <w:rPr>
          <w:szCs w:val="26"/>
        </w:rPr>
        <w:t>.</w:t>
      </w:r>
      <w:r>
        <w:rPr>
          <w:rStyle w:val="FootnoteReference"/>
        </w:rPr>
        <w:footnoteReference w:id="14"/>
      </w:r>
      <w:r>
        <w:rPr>
          <w:szCs w:val="26"/>
        </w:rPr>
        <w:t xml:space="preserve">  In that decision, t</w:t>
      </w:r>
      <w:r w:rsidRPr="00992E5D">
        <w:t>he Commission explained:</w:t>
      </w:r>
    </w:p>
    <w:p w:rsidRPr="00992E5D" w:rsidR="00CF0F10" w:rsidP="00AB61C9" w:rsidRDefault="00CF0F10" w14:paraId="39BFC15E" w14:textId="5DD8C2A8">
      <w:pPr>
        <w:tabs>
          <w:tab w:val="left" w:pos="0"/>
        </w:tabs>
        <w:spacing w:after="240"/>
        <w:ind w:left="1440" w:right="1440"/>
        <w:jc w:val="both"/>
      </w:pPr>
      <w:r w:rsidRPr="00992E5D">
        <w:lastRenderedPageBreak/>
        <w:t xml:space="preserve">In the constant growth DCF model used by both parties in this proceeding, dividends are expected to grow indefinitely at the rate of (g).  The indefinite future used by the DCF model is </w:t>
      </w:r>
      <w:r w:rsidR="00B516D3">
        <w:t xml:space="preserve">    </w:t>
      </w:r>
      <w:r w:rsidRPr="00992E5D">
        <w:t>50 years or more</w:t>
      </w:r>
      <w:r w:rsidR="00AB61C9">
        <w:t xml:space="preserve"> </w:t>
      </w:r>
      <w:r w:rsidRPr="00992E5D">
        <w:t>. . . . While we concede that it is more difficult to project growth for many years from the present time, we conclude that a projection limited to five years, with no evidence of what is anticipated beyond that point, is not consistent with the DCF model and cannot be relied on in a DCF analysis.</w:t>
      </w:r>
      <w:r w:rsidRPr="00992E5D">
        <w:rPr>
          <w:rStyle w:val="FootnoteReference"/>
        </w:rPr>
        <w:footnoteReference w:id="15"/>
      </w:r>
    </w:p>
    <w:p w:rsidRPr="00992E5D" w:rsidR="00CF0F10" w:rsidP="00B75BDF" w:rsidRDefault="00CF0F10" w14:paraId="0C69F5EA" w14:textId="5789192A">
      <w:pPr>
        <w:pStyle w:val="FERCparanumber"/>
        <w:numPr>
          <w:ilvl w:val="0"/>
          <w:numId w:val="0"/>
        </w:numPr>
        <w:tabs>
          <w:tab w:val="left" w:pos="0"/>
        </w:tabs>
        <w:spacing w:after="0" w:line="480" w:lineRule="auto"/>
      </w:pPr>
      <w:r w:rsidRPr="00992E5D">
        <w:t xml:space="preserve">In Opinion No. 396-B, issued in 1997, the Commission held that the long-term growth in the United States economy as a whole, as measured by </w:t>
      </w:r>
      <w:r w:rsidR="008C6C0F">
        <w:t>gross domestic product (</w:t>
      </w:r>
      <w:r w:rsidRPr="00992E5D">
        <w:t>GDP</w:t>
      </w:r>
      <w:r w:rsidR="008C6C0F">
        <w:t>)</w:t>
      </w:r>
      <w:r w:rsidRPr="00992E5D">
        <w:t xml:space="preserve">, is the most reasonable </w:t>
      </w:r>
      <w:r w:rsidR="008C6C0F">
        <w:t>projection of</w:t>
      </w:r>
      <w:r w:rsidRPr="00992E5D">
        <w:t xml:space="preserve"> long-term growth </w:t>
      </w:r>
      <w:r w:rsidR="008C6C0F">
        <w:t xml:space="preserve">rates </w:t>
      </w:r>
      <w:r>
        <w:t>for interstate natural gas pipelines</w:t>
      </w:r>
      <w:r w:rsidRPr="00992E5D">
        <w:t>.</w:t>
      </w:r>
      <w:r w:rsidRPr="00992E5D">
        <w:rPr>
          <w:rStyle w:val="FootnoteReference"/>
        </w:rPr>
        <w:footnoteReference w:id="16"/>
      </w:r>
      <w:r w:rsidRPr="00992E5D">
        <w:t xml:space="preserve">  The Commission stated, “[i]t is </w:t>
      </w:r>
      <w:r w:rsidRPr="00992E5D">
        <w:lastRenderedPageBreak/>
        <w:t>reasonable to expect that, over the long-run, a regulated firm will grow at the rate of the average firm in the economy, because regulation will generally prevent the firm from being extremely profitable during good periods, but also protects it somewhat during bad periods.”</w:t>
      </w:r>
      <w:r w:rsidRPr="00992E5D">
        <w:rPr>
          <w:rStyle w:val="FootnoteReference"/>
        </w:rPr>
        <w:footnoteReference w:id="17"/>
      </w:r>
      <w:r w:rsidRPr="00992E5D">
        <w:rPr>
          <w:rStyle w:val="FootnoteReference"/>
        </w:rPr>
        <w:t xml:space="preserve">  </w:t>
      </w:r>
      <w:r w:rsidRPr="00992E5D">
        <w:t xml:space="preserve">The D.C. </w:t>
      </w:r>
      <w:r w:rsidR="00634A87">
        <w:t>Circuit</w:t>
      </w:r>
      <w:r w:rsidRPr="00992E5D">
        <w:t xml:space="preserve"> affirmed the Commission’s decision to use GDP to estimate long-term growth in dividends</w:t>
      </w:r>
      <w:r>
        <w:t>.</w:t>
      </w:r>
      <w:r w:rsidRPr="00992E5D">
        <w:rPr>
          <w:rStyle w:val="FootnoteReference"/>
        </w:rPr>
        <w:footnoteReference w:id="18"/>
      </w:r>
    </w:p>
    <w:p w:rsidRPr="00992E5D" w:rsidR="00CF0F10" w:rsidP="004C4173" w:rsidRDefault="00CF0F10" w14:paraId="580BBF6A" w14:textId="7DD5EFE0">
      <w:pPr>
        <w:pStyle w:val="StyleFERCparanumberAfter0ptLinespacingDouble"/>
      </w:pPr>
      <w:r>
        <w:lastRenderedPageBreak/>
        <w:t>W</w:t>
      </w:r>
      <w:r w:rsidRPr="00992E5D">
        <w:t xml:space="preserve">hen the Commission first required use of a long-term growth estimate, the Commission averaged the short-term IBES growth estimate with the long-term GDP growth estimate in determining the overall </w:t>
      </w:r>
      <w:r w:rsidR="00F53C72">
        <w:t xml:space="preserve">constant </w:t>
      </w:r>
      <w:r w:rsidRPr="00992E5D">
        <w:t>dividend growth rate.</w:t>
      </w:r>
      <w:r w:rsidRPr="00992E5D">
        <w:rPr>
          <w:rStyle w:val="FootnoteReference"/>
        </w:rPr>
        <w:footnoteReference w:id="19"/>
      </w:r>
      <w:r w:rsidRPr="00992E5D">
        <w:t xml:space="preserve">  However, in 1998, in Opinion No. 414-A, the Commission changed the weighting </w:t>
      </w:r>
      <w:r>
        <w:t>s</w:t>
      </w:r>
      <w:r w:rsidRPr="00992E5D">
        <w:t xml:space="preserve">cheme in order to give two-thirds weight to short-term forecasts and one-third weight to long-term forecasts.  The Commission explained, </w:t>
      </w:r>
    </w:p>
    <w:p w:rsidR="00182EC5" w:rsidP="00B75BDF" w:rsidRDefault="00CF0F10" w14:paraId="1C80CE09" w14:textId="77777777">
      <w:pPr>
        <w:tabs>
          <w:tab w:val="left" w:pos="0"/>
        </w:tabs>
        <w:spacing w:after="240"/>
        <w:ind w:left="1440" w:right="1440"/>
        <w:jc w:val="both"/>
      </w:pPr>
      <w:r w:rsidRPr="00992E5D">
        <w:t xml:space="preserve">While determining the cost of equity nevertheless requires that a long-term evaluation be taken into account, long-term projections are inherently more difficult to make, and thus less reliable, than short-term projections.  Over a longer period, there is a greater likelihood for unanticipated developments to occur affecting the projection.  Given the greater reliability of the short-term projection, we believe it is appropriate to give it greater weight.  However, </w:t>
      </w:r>
      <w:r w:rsidRPr="00992E5D">
        <w:lastRenderedPageBreak/>
        <w:t xml:space="preserve">continuing to give some effect to the </w:t>
      </w:r>
    </w:p>
    <w:p w:rsidR="00182EC5" w:rsidRDefault="00182EC5" w14:paraId="33E4014A" w14:textId="77777777">
      <w:pPr>
        <w:widowControl/>
        <w:autoSpaceDE/>
        <w:autoSpaceDN/>
        <w:adjustRightInd/>
      </w:pPr>
      <w:r>
        <w:br w:type="page"/>
      </w:r>
    </w:p>
    <w:p w:rsidRPr="00992E5D" w:rsidR="00CF0F10" w:rsidP="00B75BDF" w:rsidRDefault="00CF0F10" w14:paraId="55BB2231" w14:textId="146CFAF3">
      <w:pPr>
        <w:tabs>
          <w:tab w:val="left" w:pos="0"/>
        </w:tabs>
        <w:spacing w:after="240"/>
        <w:ind w:left="1440" w:right="1440"/>
        <w:jc w:val="both"/>
      </w:pPr>
      <w:r w:rsidRPr="00992E5D">
        <w:lastRenderedPageBreak/>
        <w:t>long-term growth projection, will aid in normalizing any distortions that might be reflected in short-term data limited to a narrow segment of the economy.</w:t>
      </w:r>
      <w:r w:rsidRPr="00992E5D">
        <w:rPr>
          <w:rStyle w:val="FootnoteReference"/>
        </w:rPr>
        <w:footnoteReference w:id="20"/>
      </w:r>
    </w:p>
    <w:p w:rsidRPr="00992E5D" w:rsidR="00CF0F10" w:rsidP="00EA5D2A" w:rsidRDefault="00CF0F10" w14:paraId="071BA618" w14:textId="77777777">
      <w:pPr>
        <w:pStyle w:val="FERCparanumber"/>
        <w:numPr>
          <w:ilvl w:val="0"/>
          <w:numId w:val="0"/>
        </w:numPr>
        <w:tabs>
          <w:tab w:val="left" w:pos="0"/>
        </w:tabs>
        <w:spacing w:after="0" w:line="480" w:lineRule="auto"/>
      </w:pPr>
      <w:r w:rsidRPr="00992E5D">
        <w:t>The D.C. Circuit affirmed this two-thirds/one-third weighting for determining the overall dividend growth estimate.</w:t>
      </w:r>
      <w:r w:rsidRPr="00992E5D">
        <w:rPr>
          <w:rStyle w:val="FootnoteReference"/>
        </w:rPr>
        <w:footnoteReference w:id="21"/>
      </w:r>
      <w:r w:rsidRPr="00992E5D">
        <w:t xml:space="preserve">  </w:t>
      </w:r>
    </w:p>
    <w:p w:rsidR="00CF0F10" w:rsidP="004C4173" w:rsidRDefault="00CF0F10" w14:paraId="4ABF9699" w14:textId="42A7CBF4">
      <w:pPr>
        <w:pStyle w:val="StyleFERCparanumberAfter0ptLinespacingDouble"/>
      </w:pPr>
      <w:r>
        <w:t xml:space="preserve">Prior to Opinion No. 531, the Commission determined public utility </w:t>
      </w:r>
      <w:r w:rsidR="00A44CA3">
        <w:t>ROEs using a one-step, constant-</w:t>
      </w:r>
      <w:r>
        <w:t>growth DCF model</w:t>
      </w:r>
      <w:r w:rsidR="00B306F2">
        <w:t>,</w:t>
      </w:r>
      <w:r>
        <w:t xml:space="preserve"> </w:t>
      </w:r>
      <w:r w:rsidRPr="00F5278E">
        <w:rPr>
          <w:szCs w:val="26"/>
        </w:rPr>
        <w:t xml:space="preserve">which considered only </w:t>
      </w:r>
      <w:r w:rsidRPr="00F5278E">
        <w:rPr>
          <w:szCs w:val="26"/>
        </w:rPr>
        <w:lastRenderedPageBreak/>
        <w:t>short-term growth projections for a public utility.</w:t>
      </w:r>
      <w:r w:rsidRPr="00A61812">
        <w:rPr>
          <w:rStyle w:val="FootnoteReference"/>
        </w:rPr>
        <w:footnoteReference w:id="22"/>
      </w:r>
      <w:r w:rsidRPr="00F5278E">
        <w:rPr>
          <w:szCs w:val="26"/>
        </w:rPr>
        <w:t xml:space="preserve">  I</w:t>
      </w:r>
      <w:r w:rsidRPr="00992E5D">
        <w:t xml:space="preserve">n 2000, the Commission decided not to adopt the </w:t>
      </w:r>
      <w:r w:rsidR="004C7469">
        <w:t xml:space="preserve">   </w:t>
      </w:r>
      <w:r w:rsidRPr="00992E5D">
        <w:t xml:space="preserve">two-step DCF methodology </w:t>
      </w:r>
      <w:r>
        <w:t>for public utilities</w:t>
      </w:r>
      <w:r w:rsidRPr="00992E5D">
        <w:t xml:space="preserve">, </w:t>
      </w:r>
      <w:r>
        <w:t>primarily because they</w:t>
      </w:r>
      <w:r w:rsidRPr="00992E5D">
        <w:t xml:space="preserve"> were only just beginning the process of restructuring.  </w:t>
      </w:r>
      <w:r w:rsidR="007D0FEB">
        <w:t>Under</w:t>
      </w:r>
      <w:r w:rsidRPr="00992E5D" w:rsidR="007D0FEB">
        <w:t xml:space="preserve"> </w:t>
      </w:r>
      <w:r w:rsidRPr="00992E5D">
        <w:t>those circumstances, the Commission</w:t>
      </w:r>
      <w:r>
        <w:t xml:space="preserve"> determined</w:t>
      </w:r>
      <w:r w:rsidRPr="00992E5D">
        <w:t xml:space="preserve"> that investors would be unlikely to place much weight on long-term forecasts because the uncertainties regarding the future were so great.</w:t>
      </w:r>
      <w:r w:rsidRPr="00992E5D">
        <w:rPr>
          <w:rStyle w:val="FootnoteReference"/>
        </w:rPr>
        <w:footnoteReference w:id="23"/>
      </w:r>
      <w:r w:rsidRPr="00992E5D">
        <w:t xml:space="preserve">  However, </w:t>
      </w:r>
      <w:r>
        <w:t>in Opinion</w:t>
      </w:r>
      <w:r w:rsidR="004C7469">
        <w:t xml:space="preserve">   </w:t>
      </w:r>
      <w:r>
        <w:t xml:space="preserve"> No. 531, the Commission found that </w:t>
      </w:r>
      <w:r w:rsidRPr="00992E5D">
        <w:t>investor uncertainty due to the type of changes anticipated in 2000 ha</w:t>
      </w:r>
      <w:r w:rsidR="00B75BDF">
        <w:t>d</w:t>
      </w:r>
      <w:r w:rsidRPr="00992E5D">
        <w:t xml:space="preserve"> diminished.</w:t>
      </w:r>
      <w:r>
        <w:t xml:space="preserve">  Accordingly, the Commission concluded that the time had come</w:t>
      </w:r>
      <w:r w:rsidRPr="00992E5D">
        <w:t xml:space="preserve"> to apply the </w:t>
      </w:r>
      <w:r>
        <w:t xml:space="preserve">same </w:t>
      </w:r>
      <w:r w:rsidRPr="00992E5D">
        <w:t xml:space="preserve">DCF methodology in public utility </w:t>
      </w:r>
      <w:r w:rsidRPr="00992E5D">
        <w:lastRenderedPageBreak/>
        <w:t xml:space="preserve">cases </w:t>
      </w:r>
      <w:r>
        <w:t xml:space="preserve">as it </w:t>
      </w:r>
      <w:r w:rsidR="007D0FEB">
        <w:t>utilizes</w:t>
      </w:r>
      <w:r w:rsidRPr="00992E5D" w:rsidR="007D0FEB">
        <w:t xml:space="preserve"> </w:t>
      </w:r>
      <w:r w:rsidRPr="00992E5D">
        <w:t>in natural gas and oil pipeline cases.</w:t>
      </w:r>
      <w:r>
        <w:rPr>
          <w:rStyle w:val="FootnoteReference"/>
        </w:rPr>
        <w:footnoteReference w:id="24"/>
      </w:r>
      <w:r w:rsidRPr="00992E5D">
        <w:t xml:space="preserve">  Most importantly, </w:t>
      </w:r>
      <w:r>
        <w:t xml:space="preserve">the Commission found that </w:t>
      </w:r>
      <w:r w:rsidRPr="00992E5D">
        <w:t>including a long-term estimate of dividend growth in the constant growth DCF model</w:t>
      </w:r>
      <w:r>
        <w:t xml:space="preserve"> would</w:t>
      </w:r>
      <w:r w:rsidRPr="00992E5D">
        <w:t xml:space="preserve"> bring the public utility ROE approach into full alignment with the underlying theory of the DCF model.</w:t>
      </w:r>
      <w:r w:rsidRPr="00992E5D">
        <w:rPr>
          <w:rStyle w:val="FootnoteReference"/>
        </w:rPr>
        <w:footnoteReference w:id="25"/>
      </w:r>
      <w:r w:rsidRPr="00992E5D">
        <w:t xml:space="preserve">  </w:t>
      </w:r>
      <w:r>
        <w:t xml:space="preserve">As </w:t>
      </w:r>
      <w:r>
        <w:lastRenderedPageBreak/>
        <w:t xml:space="preserve">it found with respect to </w:t>
      </w:r>
      <w:r w:rsidR="007D0FEB">
        <w:t xml:space="preserve">natural </w:t>
      </w:r>
      <w:r>
        <w:t xml:space="preserve">gas and oil pipelines, the Commission </w:t>
      </w:r>
      <w:r w:rsidRPr="00992E5D">
        <w:t>f</w:t>
      </w:r>
      <w:r>
        <w:t>ound</w:t>
      </w:r>
      <w:r w:rsidRPr="00992E5D">
        <w:t xml:space="preserve"> that it is reasonable to </w:t>
      </w:r>
      <w:r>
        <w:t xml:space="preserve">project </w:t>
      </w:r>
      <w:r w:rsidRPr="00992E5D">
        <w:t xml:space="preserve">that public utilities, which transmit electricity to supply energy to the national economy, will </w:t>
      </w:r>
      <w:r>
        <w:t xml:space="preserve">have long-term growth consistent </w:t>
      </w:r>
      <w:r w:rsidRPr="00992E5D">
        <w:t xml:space="preserve">with the growth of the economy as </w:t>
      </w:r>
      <w:r w:rsidR="00B61E7D">
        <w:t xml:space="preserve">a </w:t>
      </w:r>
      <w:r w:rsidRPr="00992E5D">
        <w:t>whole.</w:t>
      </w:r>
      <w:r w:rsidRPr="00992E5D">
        <w:rPr>
          <w:rStyle w:val="FootnoteReference"/>
        </w:rPr>
        <w:footnoteReference w:id="26"/>
      </w:r>
      <w:r w:rsidRPr="00992E5D">
        <w:t xml:space="preserve">  </w:t>
      </w:r>
      <w:r>
        <w:t>The Commission also found that the use of a</w:t>
      </w:r>
      <w:r w:rsidRPr="00992E5D">
        <w:t xml:space="preserve"> long-term growth projection will aid in normalizing any distortions that might be reflected in short-term data limited to a narrow segment of the economy.  </w:t>
      </w:r>
      <w:r>
        <w:t>Finally, u</w:t>
      </w:r>
      <w:r w:rsidRPr="00992E5D">
        <w:t xml:space="preserve">sing the same long-term growth projection for all public utilities produces a narrower zone of reasonableness, consistent with the fact different firms in a regulated industry would not ordinarily be expected to have widely </w:t>
      </w:r>
      <w:r>
        <w:t>varying levels of profitability.</w:t>
      </w:r>
    </w:p>
    <w:p w:rsidRPr="00804C85" w:rsidR="00CF0F10" w:rsidP="004C4173" w:rsidRDefault="00CF0F10" w14:paraId="3301480B" w14:textId="1A38E812">
      <w:pPr>
        <w:pStyle w:val="StyleFERCparanumberAfter0ptLinespacingDouble"/>
        <w:rPr>
          <w:szCs w:val="26"/>
        </w:rPr>
      </w:pPr>
      <w:r>
        <w:lastRenderedPageBreak/>
        <w:t>No party in the Opinion No. 531 proceeding objected to the Commission’s adoption of the two-step DCF model for public utilities, and the Commission also applied that model, without objection, in Opinion No. 551</w:t>
      </w:r>
      <w:r w:rsidR="00B17C65">
        <w:t>,</w:t>
      </w:r>
      <w:r>
        <w:t xml:space="preserve"> addressing a complaint </w:t>
      </w:r>
      <w:r w:rsidR="00B17C65">
        <w:t xml:space="preserve">that </w:t>
      </w:r>
      <w:r>
        <w:t>the MISO Transmission Owners’ ROE is unjust and unreasonable.</w:t>
      </w:r>
      <w:r>
        <w:rPr>
          <w:rStyle w:val="FootnoteReference"/>
        </w:rPr>
        <w:footnoteReference w:id="27"/>
      </w:r>
    </w:p>
    <w:p w:rsidRPr="00804C85" w:rsidR="00686554" w:rsidP="00EA5D2A" w:rsidRDefault="00686554" w14:paraId="2091E1C3" w14:textId="70B98FEC">
      <w:pPr>
        <w:pStyle w:val="Heading2"/>
        <w:tabs>
          <w:tab w:val="left" w:pos="0"/>
        </w:tabs>
      </w:pPr>
      <w:r>
        <w:t xml:space="preserve">Other </w:t>
      </w:r>
      <w:r w:rsidR="00955628">
        <w:t xml:space="preserve">Financial </w:t>
      </w:r>
      <w:r>
        <w:t>Models</w:t>
      </w:r>
    </w:p>
    <w:p w:rsidRPr="00862F81" w:rsidR="00862F81" w:rsidP="002A25E3" w:rsidRDefault="00862F81" w14:paraId="0FBD1423" w14:textId="180A45E4">
      <w:pPr>
        <w:pStyle w:val="StyleFERCparanumberAfter0ptLinespacingDouble"/>
        <w:tabs>
          <w:tab w:val="clear" w:pos="810"/>
          <w:tab w:val="num" w:pos="720"/>
        </w:tabs>
      </w:pPr>
      <w:r>
        <w:t xml:space="preserve">Although the Commission has used the DCF model to determine ROEs for public utilities and natural gas and oil pipelines since the 1980s, investors use other </w:t>
      </w:r>
      <w:r w:rsidR="00E47B44">
        <w:t xml:space="preserve">financial </w:t>
      </w:r>
      <w:r>
        <w:t xml:space="preserve">models in addition to the DCF model to evaluate investments.  </w:t>
      </w:r>
      <w:r w:rsidR="00FB761C">
        <w:t xml:space="preserve">In a number of recent proceedings, discussed further below, the Commission has considered certain other financial models when determining the </w:t>
      </w:r>
      <w:r w:rsidR="00FB761C">
        <w:lastRenderedPageBreak/>
        <w:t xml:space="preserve">just and reasonable ROE for public utilities.  </w:t>
      </w:r>
      <w:r>
        <w:t xml:space="preserve">These </w:t>
      </w:r>
      <w:r w:rsidR="00492754">
        <w:t xml:space="preserve">other financial models </w:t>
      </w:r>
      <w:r>
        <w:t>include the Capital Asset Pricing Model (CAPM), Expected Earnings Model, and Risk Premium method</w:t>
      </w:r>
      <w:r w:rsidR="00492754">
        <w:t>, which are</w:t>
      </w:r>
      <w:r>
        <w:t xml:space="preserve"> described below. </w:t>
      </w:r>
    </w:p>
    <w:p w:rsidRPr="001225A4" w:rsidR="001225A4" w:rsidP="00EA5D2A" w:rsidRDefault="001225A4" w14:paraId="0EBBDC51" w14:textId="77777777">
      <w:pPr>
        <w:pStyle w:val="Heading3"/>
        <w:tabs>
          <w:tab w:val="left" w:pos="0"/>
        </w:tabs>
        <w:rPr>
          <w:b w:val="0"/>
          <w:bCs w:val="0"/>
          <w:iCs/>
        </w:rPr>
      </w:pPr>
      <w:r w:rsidRPr="001225A4">
        <w:t>The CAPM Model</w:t>
      </w:r>
    </w:p>
    <w:p w:rsidRPr="001225A4" w:rsidR="001225A4" w:rsidP="004C4173" w:rsidRDefault="001225A4" w14:paraId="57FFB7F6" w14:textId="4125A80B">
      <w:pPr>
        <w:pStyle w:val="StyleFERCparanumberAfter0ptLinespacingDouble"/>
      </w:pPr>
      <w:r w:rsidRPr="001225A4">
        <w:t>Investors use CAPM analysis as a measure of the cost of equity relative to risk.</w:t>
      </w:r>
      <w:r>
        <w:rPr>
          <w:rStyle w:val="FootnoteReference"/>
        </w:rPr>
        <w:footnoteReference w:id="28"/>
      </w:r>
      <w:r w:rsidRPr="001225A4">
        <w:t xml:space="preserve"> The CAPM methodology is based on the theory that the market-required rate of return for a security is equal to the risk-free rate plus a risk premium associated with the specific security.  Specifically, the CAPM methodology estimates the cost of equity by taking the “risk-free rate” and adding to it the “market-risk premium” multiplied by “beta.”</w:t>
      </w:r>
      <w:r>
        <w:rPr>
          <w:rStyle w:val="FootnoteReference"/>
        </w:rPr>
        <w:footnoteReference w:id="29"/>
      </w:r>
      <w:r w:rsidRPr="001225A4">
        <w:t xml:space="preserve">  The risk-free rate is </w:t>
      </w:r>
      <w:r w:rsidRPr="001225A4">
        <w:lastRenderedPageBreak/>
        <w:t>represented by a proxy, typically the yield on 30-year U.S. Treasury bonds.</w:t>
      </w:r>
      <w:r>
        <w:rPr>
          <w:rStyle w:val="FootnoteReference"/>
        </w:rPr>
        <w:footnoteReference w:id="30"/>
      </w:r>
      <w:r w:rsidRPr="001225A4">
        <w:t xml:space="preserve">  Betas, which are published by several commercial sources, measure a specific stock’s risk relative to the market.  The market risk premium is calculated by subtracting the risk-free rate from the expected return.  The expected return can be estimated either using a backward-looking approach, a forward-looking approach, or a survey of academics and investment professionals.</w:t>
      </w:r>
      <w:r>
        <w:rPr>
          <w:rStyle w:val="FootnoteReference"/>
        </w:rPr>
        <w:footnoteReference w:id="31"/>
      </w:r>
      <w:r w:rsidRPr="001225A4">
        <w:t xml:space="preserve">  A CAPM analysis is backward-looking if the expected return is determined based on historical, realized returns.</w:t>
      </w:r>
      <w:r>
        <w:rPr>
          <w:rStyle w:val="FootnoteReference"/>
        </w:rPr>
        <w:footnoteReference w:id="32"/>
      </w:r>
      <w:r w:rsidRPr="001225A4">
        <w:t xml:space="preserve">  A CAPM analysis is forward-looking if the expected return is based on a DCF analysis of a large segment of the </w:t>
      </w:r>
      <w:r w:rsidRPr="001225A4">
        <w:lastRenderedPageBreak/>
        <w:t>market.</w:t>
      </w:r>
      <w:r>
        <w:rPr>
          <w:rStyle w:val="FootnoteReference"/>
        </w:rPr>
        <w:footnoteReference w:id="33"/>
      </w:r>
      <w:r w:rsidRPr="001225A4">
        <w:t xml:space="preserve">  Thus, in a forward-looking CAPM analysis, the market </w:t>
      </w:r>
      <w:r w:rsidR="00712562">
        <w:t>Risk Premium</w:t>
      </w:r>
      <w:r w:rsidRPr="001225A4">
        <w:t xml:space="preserve"> is calculated by subtracting the risk-free rate from the result produced by the DCF analysis.</w:t>
      </w:r>
      <w:r>
        <w:rPr>
          <w:rStyle w:val="FootnoteReference"/>
        </w:rPr>
        <w:footnoteReference w:id="34"/>
      </w:r>
      <w:r w:rsidR="006836E5">
        <w:t xml:space="preserve"> </w:t>
      </w:r>
    </w:p>
    <w:p w:rsidRPr="001225A4" w:rsidR="001225A4" w:rsidP="00EA5D2A" w:rsidRDefault="001225A4" w14:paraId="7DF4E097" w14:textId="77777777">
      <w:pPr>
        <w:pStyle w:val="Heading3"/>
        <w:tabs>
          <w:tab w:val="left" w:pos="0"/>
        </w:tabs>
        <w:rPr>
          <w:b w:val="0"/>
          <w:bCs w:val="0"/>
          <w:iCs/>
        </w:rPr>
      </w:pPr>
      <w:r w:rsidRPr="001225A4">
        <w:t>Expected Earnings</w:t>
      </w:r>
    </w:p>
    <w:p w:rsidRPr="001225A4" w:rsidR="001225A4" w:rsidP="004C4173" w:rsidRDefault="001225A4" w14:paraId="36590A20" w14:textId="2CF2EA45">
      <w:pPr>
        <w:pStyle w:val="StyleFERCparanumberAfter0ptLinespacingDouble"/>
      </w:pPr>
      <w:r w:rsidRPr="001225A4">
        <w:t xml:space="preserve">A comparable earnings analysis is a method of calculating the earnings an investor expects to receive on the book value of a particular stock.  The analysis can be either backward looking using the company’s historical earnings on book value, as reflected on the company’s accounting statements, or forward-looking using estimates of earnings on book value, as reflected in </w:t>
      </w:r>
      <w:r w:rsidRPr="001225A4">
        <w:lastRenderedPageBreak/>
        <w:t>analysts’ earnings forecasts for the company.</w:t>
      </w:r>
      <w:r w:rsidR="00A56053">
        <w:rPr>
          <w:rStyle w:val="FootnoteReference"/>
        </w:rPr>
        <w:footnoteReference w:id="35"/>
      </w:r>
      <w:r w:rsidRPr="001225A4">
        <w:t xml:space="preserve">  The </w:t>
      </w:r>
      <w:r w:rsidR="00D451C3">
        <w:t>forward-looking</w:t>
      </w:r>
      <w:r w:rsidRPr="001225A4" w:rsidR="00D451C3">
        <w:t xml:space="preserve"> </w:t>
      </w:r>
      <w:r w:rsidRPr="001225A4">
        <w:t>approach is often referred to as an “Expected Earnings</w:t>
      </w:r>
      <w:r w:rsidR="00E15CE3">
        <w:t>” analysis.</w:t>
      </w:r>
      <w:r w:rsidRPr="001225A4">
        <w:t xml:space="preserve">  The returns on book equity that investors expect to receive from a group of companies with risks comparable to those of a particular utility are relevant to determining that utility’s cost of equity, because those returns on book equity help investors determine the opportunity cost of investing in that particular utility instead of other companies of comparable risk.</w:t>
      </w:r>
      <w:r w:rsidR="00E15CE3">
        <w:rPr>
          <w:rStyle w:val="FootnoteReference"/>
        </w:rPr>
        <w:footnoteReference w:id="36"/>
      </w:r>
      <w:r w:rsidRPr="001225A4" w:rsidDel="00FB76C8">
        <w:t xml:space="preserve"> </w:t>
      </w:r>
    </w:p>
    <w:p w:rsidRPr="001225A4" w:rsidR="001225A4" w:rsidP="00EA5D2A" w:rsidRDefault="001225A4" w14:paraId="366526C5" w14:textId="77777777">
      <w:pPr>
        <w:pStyle w:val="Heading3"/>
        <w:tabs>
          <w:tab w:val="left" w:pos="0"/>
        </w:tabs>
        <w:rPr>
          <w:b w:val="0"/>
          <w:bCs w:val="0"/>
          <w:iCs/>
        </w:rPr>
      </w:pPr>
      <w:r w:rsidRPr="001225A4">
        <w:t>Risk Premium</w:t>
      </w:r>
    </w:p>
    <w:p w:rsidRPr="001225A4" w:rsidR="001225A4" w:rsidP="004C4173" w:rsidRDefault="001225A4" w14:paraId="618D2576" w14:textId="63E800A0">
      <w:pPr>
        <w:pStyle w:val="StyleFERCparanumberAfter0ptLinespacingDouble"/>
      </w:pPr>
      <w:r w:rsidRPr="001225A4">
        <w:t xml:space="preserve">The </w:t>
      </w:r>
      <w:r w:rsidR="00712562">
        <w:t>Risk Premium</w:t>
      </w:r>
      <w:r w:rsidRPr="001225A4">
        <w:t xml:space="preserve"> methodology, </w:t>
      </w:r>
      <w:r w:rsidR="00E15CE3">
        <w:t>in which interest rates are</w:t>
      </w:r>
      <w:r w:rsidRPr="001225A4">
        <w:t xml:space="preserve"> a direct input, is “based on the simple idea that since investors in stocks take greater </w:t>
      </w:r>
      <w:r w:rsidRPr="001225A4">
        <w:lastRenderedPageBreak/>
        <w:t>risk than investors in bonds, the former expect to earn a return on a stock investment that reflects a ‘premium’ over and above the return they expect to earn on a bond investment.”</w:t>
      </w:r>
      <w:r w:rsidR="00E15CE3">
        <w:rPr>
          <w:rStyle w:val="FootnoteReference"/>
        </w:rPr>
        <w:footnoteReference w:id="37"/>
      </w:r>
      <w:r w:rsidRPr="001225A4">
        <w:t xml:space="preserve">  As the Commission found in Opinion No. 531, investors’ required risk premiums expand with low interest rates and shrink at higher interest rates. </w:t>
      </w:r>
      <w:r w:rsidR="00E15CE3">
        <w:t xml:space="preserve"> </w:t>
      </w:r>
      <w:r w:rsidRPr="001225A4">
        <w:t xml:space="preserve">The link between interest rates and risk premiums provides a helpful indicator of how </w:t>
      </w:r>
      <w:r w:rsidRPr="002607A3" w:rsidR="00B306F2">
        <w:t xml:space="preserve">the interest rate environment </w:t>
      </w:r>
      <w:r w:rsidR="00B306F2">
        <w:t>affects</w:t>
      </w:r>
      <w:r w:rsidRPr="001225A4" w:rsidR="00B306F2">
        <w:t xml:space="preserve"> </w:t>
      </w:r>
      <w:r w:rsidRPr="001225A4">
        <w:t>investors’ required rate</w:t>
      </w:r>
      <w:r w:rsidR="0057128E">
        <w:t>s</w:t>
      </w:r>
      <w:r w:rsidRPr="001225A4">
        <w:t xml:space="preserve"> of return.</w:t>
      </w:r>
    </w:p>
    <w:p w:rsidRPr="001225A4" w:rsidR="001225A4" w:rsidP="004C4173" w:rsidRDefault="001225A4" w14:paraId="04F2A99F" w14:textId="6B9F34F0">
      <w:pPr>
        <w:pStyle w:val="StyleFERCparanumberAfter0ptLinespacingDouble"/>
      </w:pPr>
      <w:r w:rsidRPr="001225A4">
        <w:t>Multiple approaches have been advanced to determine the equity risk premium for a utility.</w:t>
      </w:r>
      <w:r w:rsidR="00E15CE3">
        <w:rPr>
          <w:rStyle w:val="FootnoteReference"/>
        </w:rPr>
        <w:footnoteReference w:id="38"/>
      </w:r>
      <w:r w:rsidRPr="001225A4">
        <w:t xml:space="preserve">  For example, a risk pr</w:t>
      </w:r>
      <w:r w:rsidR="00BF6F41">
        <w:t>emium can be developed directly</w:t>
      </w:r>
      <w:r w:rsidRPr="001225A4">
        <w:t xml:space="preserve"> by conducting a </w:t>
      </w:r>
      <w:r w:rsidR="00712562">
        <w:t>Risk Premium</w:t>
      </w:r>
      <w:r w:rsidRPr="001225A4">
        <w:t xml:space="preserve"> analysis for the company at issue, or indirectly by conducting a </w:t>
      </w:r>
      <w:r w:rsidR="00712562">
        <w:t>Risk Premium</w:t>
      </w:r>
      <w:r w:rsidRPr="001225A4">
        <w:t xml:space="preserve"> analysis for the market as a whole and </w:t>
      </w:r>
      <w:r w:rsidRPr="001225A4">
        <w:lastRenderedPageBreak/>
        <w:t>then adjusting that result to reflect the risk of the company at issue.</w:t>
      </w:r>
      <w:r w:rsidR="00BF6F41">
        <w:rPr>
          <w:rStyle w:val="FootnoteReference"/>
        </w:rPr>
        <w:footnoteReference w:id="39"/>
      </w:r>
      <w:r w:rsidRPr="001225A4">
        <w:t xml:space="preserve">  Another approach for the utility context is to “examin[e] the risk premiums implied in the returns on equity allowed by regulatory commissions for utilities over some past period relative to the contemporaneous level of the long-term U.S. Treasury bond yield.”</w:t>
      </w:r>
      <w:r w:rsidR="00BF6F41">
        <w:rPr>
          <w:rStyle w:val="FootnoteReference"/>
        </w:rPr>
        <w:footnoteReference w:id="40"/>
      </w:r>
      <w:r w:rsidR="00BF6F41">
        <w:t xml:space="preserve"> </w:t>
      </w:r>
    </w:p>
    <w:p w:rsidR="00CF0F10" w:rsidP="00EA5D2A" w:rsidRDefault="00CF0F10" w14:paraId="5335AD61" w14:textId="77777777">
      <w:pPr>
        <w:pStyle w:val="Heading2"/>
        <w:tabs>
          <w:tab w:val="left" w:pos="0"/>
        </w:tabs>
      </w:pPr>
      <w:r>
        <w:t>Opinion Nos. 531 and 551 and Anomalous Market Conditions</w:t>
      </w:r>
    </w:p>
    <w:p w:rsidRPr="00022AFA" w:rsidR="00CF0F10" w:rsidP="00E3240F" w:rsidRDefault="00CF0F10" w14:paraId="4D4944D8" w14:textId="7742B970">
      <w:pPr>
        <w:pStyle w:val="StyleFERCparanumberAfter0ptLinespacingDouble"/>
        <w:tabs>
          <w:tab w:val="clear" w:pos="810"/>
          <w:tab w:val="num" w:pos="720"/>
        </w:tabs>
      </w:pPr>
      <w:r w:rsidRPr="00022AFA">
        <w:t xml:space="preserve">Since the financial crisis of 2008-2009, the Commission has grappled with whether the DCF model continues to produce </w:t>
      </w:r>
      <w:r w:rsidR="004500E7">
        <w:t xml:space="preserve">ROEs for </w:t>
      </w:r>
      <w:r w:rsidR="00AD238A">
        <w:t>public</w:t>
      </w:r>
      <w:r w:rsidRPr="00022AFA" w:rsidR="00AD238A">
        <w:t xml:space="preserve"> </w:t>
      </w:r>
      <w:r w:rsidRPr="00022AFA">
        <w:t>utilit</w:t>
      </w:r>
      <w:r w:rsidR="004500E7">
        <w:t>ies</w:t>
      </w:r>
      <w:r w:rsidRPr="00022AFA">
        <w:t xml:space="preserve"> consistent with the </w:t>
      </w:r>
      <w:r w:rsidRPr="00022AFA">
        <w:rPr>
          <w:i/>
          <w:iCs/>
        </w:rPr>
        <w:t>Hope</w:t>
      </w:r>
      <w:r w:rsidRPr="00022AFA">
        <w:t xml:space="preserve"> and </w:t>
      </w:r>
      <w:r w:rsidRPr="00022AFA">
        <w:rPr>
          <w:i/>
          <w:iCs/>
        </w:rPr>
        <w:t>Bluefield</w:t>
      </w:r>
      <w:r w:rsidRPr="00022AFA">
        <w:t xml:space="preserve"> capital attraction standards.</w:t>
      </w:r>
      <w:r w:rsidRPr="00665B5A">
        <w:rPr>
          <w:rStyle w:val="FootnoteReference"/>
        </w:rPr>
        <w:footnoteReference w:id="41"/>
      </w:r>
      <w:r w:rsidRPr="00022AFA">
        <w:t xml:space="preserve">  In </w:t>
      </w:r>
      <w:r>
        <w:t xml:space="preserve">both </w:t>
      </w:r>
      <w:r w:rsidRPr="00022AFA">
        <w:t>Opinion No</w:t>
      </w:r>
      <w:r>
        <w:t>s</w:t>
      </w:r>
      <w:r w:rsidRPr="00022AFA">
        <w:t>. 531</w:t>
      </w:r>
      <w:r>
        <w:t xml:space="preserve"> and 551,</w:t>
      </w:r>
      <w:r w:rsidRPr="00022AFA">
        <w:t xml:space="preserve"> the Commission concluded that the capital market </w:t>
      </w:r>
      <w:r w:rsidRPr="00022AFA">
        <w:lastRenderedPageBreak/>
        <w:t>conditions prevailing after the financial crisis—in particular</w:t>
      </w:r>
      <w:r w:rsidR="004500E7">
        <w:t>,</w:t>
      </w:r>
      <w:r w:rsidRPr="00022AFA">
        <w:t xml:space="preserve"> the low yields on bonds, including U.S. Treasury bonds—rendered the Commission less confident that </w:t>
      </w:r>
      <w:r>
        <w:t xml:space="preserve">a mechanical application of the midpoint of the DCF-produced zone of reasonableness </w:t>
      </w:r>
      <w:r w:rsidRPr="00022AFA">
        <w:t xml:space="preserve">would provide a risk-appropriate </w:t>
      </w:r>
      <w:r w:rsidR="004C4173">
        <w:t>ROE</w:t>
      </w:r>
      <w:r w:rsidRPr="00022AFA">
        <w:t xml:space="preserve">, as required by </w:t>
      </w:r>
      <w:r w:rsidRPr="00022AFA">
        <w:rPr>
          <w:i/>
          <w:iCs/>
        </w:rPr>
        <w:t xml:space="preserve">Hope </w:t>
      </w:r>
      <w:r w:rsidRPr="00022AFA">
        <w:t xml:space="preserve">and </w:t>
      </w:r>
      <w:r w:rsidRPr="00022AFA">
        <w:rPr>
          <w:i/>
          <w:iCs/>
        </w:rPr>
        <w:t>Bluefield</w:t>
      </w:r>
      <w:r w:rsidRPr="00022AFA">
        <w:t xml:space="preserve">.  The Commission therefore considered a series of alternative valuation methodologies </w:t>
      </w:r>
      <w:r w:rsidRPr="00022AFA">
        <w:rPr>
          <w:iCs/>
        </w:rPr>
        <w:t>(i.e., C</w:t>
      </w:r>
      <w:r w:rsidR="004500E7">
        <w:rPr>
          <w:iCs/>
        </w:rPr>
        <w:t>APM</w:t>
      </w:r>
      <w:r w:rsidRPr="00022AFA">
        <w:rPr>
          <w:iCs/>
        </w:rPr>
        <w:t xml:space="preserve"> analysis, </w:t>
      </w:r>
      <w:r w:rsidR="004500E7">
        <w:rPr>
          <w:iCs/>
        </w:rPr>
        <w:t>E</w:t>
      </w:r>
      <w:r w:rsidRPr="00022AFA">
        <w:rPr>
          <w:iCs/>
        </w:rPr>
        <w:t xml:space="preserve">xpected </w:t>
      </w:r>
      <w:r w:rsidR="004500E7">
        <w:rPr>
          <w:iCs/>
        </w:rPr>
        <w:t>E</w:t>
      </w:r>
      <w:r w:rsidRPr="00022AFA">
        <w:rPr>
          <w:iCs/>
        </w:rPr>
        <w:t>arnings analysis</w:t>
      </w:r>
      <w:r w:rsidR="007C233D">
        <w:rPr>
          <w:iCs/>
        </w:rPr>
        <w:t>, and</w:t>
      </w:r>
      <w:r w:rsidRPr="007C233D" w:rsidR="007C233D">
        <w:rPr>
          <w:iCs/>
        </w:rPr>
        <w:t xml:space="preserve"> </w:t>
      </w:r>
      <w:r w:rsidR="00712562">
        <w:rPr>
          <w:iCs/>
        </w:rPr>
        <w:t>Risk Premium</w:t>
      </w:r>
      <w:r w:rsidR="004500E7">
        <w:rPr>
          <w:iCs/>
        </w:rPr>
        <w:t xml:space="preserve"> analysis</w:t>
      </w:r>
      <w:r w:rsidRPr="00022AFA">
        <w:rPr>
          <w:iCs/>
        </w:rPr>
        <w:t>)</w:t>
      </w:r>
      <w:r w:rsidR="004500E7">
        <w:rPr>
          <w:iCs/>
        </w:rPr>
        <w:t>,</w:t>
      </w:r>
      <w:r w:rsidRPr="00022AFA">
        <w:rPr>
          <w:iCs/>
        </w:rPr>
        <w:t xml:space="preserve"> </w:t>
      </w:r>
      <w:r w:rsidRPr="00022AFA">
        <w:t>as well as the ROEs allowed by state public utility commissions</w:t>
      </w:r>
      <w:r w:rsidR="004500E7">
        <w:t>,</w:t>
      </w:r>
      <w:r>
        <w:t xml:space="preserve"> “to gain insight into the potential impacts of these unusual capital market conditions on the appropriateness of using </w:t>
      </w:r>
      <w:r w:rsidR="004C38E4">
        <w:t>[</w:t>
      </w:r>
      <w:r>
        <w:t>the midpoint of the DCF zone of reasonableness</w:t>
      </w:r>
      <w:r w:rsidR="004C38E4">
        <w:t>]</w:t>
      </w:r>
      <w:r w:rsidR="00DA20FE">
        <w:t>.</w:t>
      </w:r>
      <w:r w:rsidR="004C38E4">
        <w:t>”</w:t>
      </w:r>
      <w:r>
        <w:rPr>
          <w:rStyle w:val="FootnoteReference"/>
        </w:rPr>
        <w:footnoteReference w:id="42"/>
      </w:r>
      <w:r w:rsidRPr="00022AFA">
        <w:t xml:space="preserve">  T</w:t>
      </w:r>
      <w:r w:rsidR="0023513D">
        <w:t>he Commission concluded that the</w:t>
      </w:r>
      <w:r w:rsidRPr="00022AFA">
        <w:t xml:space="preserve"> comparisons </w:t>
      </w:r>
      <w:r w:rsidR="0023513D">
        <w:t xml:space="preserve">to the other valuation </w:t>
      </w:r>
      <w:r w:rsidR="007313CE">
        <w:t>methodologies</w:t>
      </w:r>
      <w:r w:rsidR="0023513D">
        <w:t xml:space="preserve"> </w:t>
      </w:r>
      <w:r w:rsidRPr="00022AFA">
        <w:t>supported setting the New Eng</w:t>
      </w:r>
      <w:r w:rsidRPr="00022AFA">
        <w:lastRenderedPageBreak/>
        <w:t xml:space="preserve">land Transmission Owners’ ROE </w:t>
      </w:r>
      <w:r>
        <w:t>above the midpoint of the DCF zone of reasonableness.  After determining that the just and reasonable base ROE should be above the midpoint, the Commission stated that it has traditionally used measures of central tendency to determine an appropriate return in ROE case</w:t>
      </w:r>
      <w:r w:rsidR="0023513D">
        <w:t>s</w:t>
      </w:r>
      <w:r w:rsidR="00362CCC">
        <w:t>.</w:t>
      </w:r>
      <w:r>
        <w:t xml:space="preserve"> </w:t>
      </w:r>
      <w:r w:rsidR="00362CCC">
        <w:t xml:space="preserve"> </w:t>
      </w:r>
      <w:r w:rsidR="0023513D">
        <w:t>Moreover,</w:t>
      </w:r>
      <w:r>
        <w:t xml:space="preserve"> in cases involving placement of the base ROE above the central tendency of the zone of reasonableness, the Commission has used the central tendency </w:t>
      </w:r>
      <w:r w:rsidR="0023513D">
        <w:t>of</w:t>
      </w:r>
      <w:r>
        <w:t xml:space="preserve"> the top half of the zone.</w:t>
      </w:r>
      <w:r>
        <w:rPr>
          <w:rStyle w:val="FootnoteReference"/>
        </w:rPr>
        <w:footnoteReference w:id="43"/>
      </w:r>
      <w:r>
        <w:t xml:space="preserve">  Accordingly, in both Opinion Nos. 531 and 551, the Commission set the ROE </w:t>
      </w:r>
      <w:r w:rsidR="00255BD0">
        <w:t xml:space="preserve">at </w:t>
      </w:r>
      <w:r>
        <w:t xml:space="preserve">the midpoint </w:t>
      </w:r>
      <w:r w:rsidRPr="00022AFA">
        <w:t>of the upper half of the zone of reasonableness (upper midpoint).</w:t>
      </w:r>
      <w:r w:rsidRPr="00665B5A">
        <w:rPr>
          <w:rStyle w:val="FootnoteReference"/>
        </w:rPr>
        <w:footnoteReference w:id="44"/>
      </w:r>
      <w:r>
        <w:t xml:space="preserve">  In Opinion No. 531, </w:t>
      </w:r>
      <w:r>
        <w:lastRenderedPageBreak/>
        <w:t>the upper midpoint of the 7.03 percent to</w:t>
      </w:r>
      <w:r w:rsidR="00FF19EB">
        <w:t xml:space="preserve">   </w:t>
      </w:r>
      <w:r>
        <w:t xml:space="preserve"> 11.74 percent zone of reasonableness was 10.57 percent.</w:t>
      </w:r>
      <w:r>
        <w:rPr>
          <w:rStyle w:val="FootnoteReference"/>
        </w:rPr>
        <w:footnoteReference w:id="45"/>
      </w:r>
      <w:r>
        <w:t xml:space="preserve">  In Opinion No. 551, the upper midpoint of the 7.23 percent to 11.35 percent zone of reasonableness was 10.32 percent.</w:t>
      </w:r>
      <w:r>
        <w:rPr>
          <w:rStyle w:val="FootnoteReference"/>
        </w:rPr>
        <w:footnoteReference w:id="46"/>
      </w:r>
      <w:r>
        <w:t xml:space="preserve">  </w:t>
      </w:r>
      <w:r w:rsidRPr="00022AFA">
        <w:t xml:space="preserve">   </w:t>
      </w:r>
    </w:p>
    <w:p w:rsidRPr="00665B5A" w:rsidR="00CF0F10" w:rsidP="00EA5D2A" w:rsidRDefault="00CF0F10" w14:paraId="0EE2EDCF" w14:textId="77777777">
      <w:pPr>
        <w:pStyle w:val="Heading2"/>
        <w:tabs>
          <w:tab w:val="left" w:pos="0"/>
        </w:tabs>
      </w:pPr>
      <w:r w:rsidRPr="00665B5A">
        <w:t xml:space="preserve">The </w:t>
      </w:r>
      <w:r w:rsidRPr="00665B5A">
        <w:rPr>
          <w:i/>
        </w:rPr>
        <w:t xml:space="preserve">Emera Maine </w:t>
      </w:r>
      <w:r w:rsidRPr="00665B5A">
        <w:t>Decision</w:t>
      </w:r>
    </w:p>
    <w:p w:rsidR="001A3269" w:rsidP="00FF19EB" w:rsidRDefault="00CF0F10" w14:paraId="49C5ACD6" w14:textId="6C3592FB">
      <w:pPr>
        <w:pStyle w:val="StyleFERCparanumberAfter0ptLinespacingDouble"/>
        <w:tabs>
          <w:tab w:val="clear" w:pos="810"/>
          <w:tab w:val="num" w:pos="720"/>
        </w:tabs>
      </w:pPr>
      <w:r w:rsidRPr="005D1463">
        <w:t xml:space="preserve">Various </w:t>
      </w:r>
      <w:r w:rsidR="00362CCC">
        <w:t>parties</w:t>
      </w:r>
      <w:r w:rsidRPr="005D1463">
        <w:t xml:space="preserve"> sought review of Opinion No. 531 in the D.C. Circuit.  </w:t>
      </w:r>
      <w:r w:rsidRPr="00665B5A" w:rsidR="00362CCC">
        <w:t xml:space="preserve">The New England Transmission Owners </w:t>
      </w:r>
      <w:r w:rsidR="00362CCC">
        <w:t xml:space="preserve">argued </w:t>
      </w:r>
      <w:r w:rsidRPr="00665B5A" w:rsidR="00362CCC">
        <w:t>that the Commission failed to demonstrate that their existing 11.14 base ROE was unjust and unreasonable</w:t>
      </w:r>
      <w:r w:rsidR="00362CCC">
        <w:t xml:space="preserve">. </w:t>
      </w:r>
      <w:r w:rsidRPr="005D1463">
        <w:t xml:space="preserve"> </w:t>
      </w:r>
      <w:r w:rsidRPr="00F73256" w:rsidR="00F73256">
        <w:t xml:space="preserve">The customer representatives argued that the Commission had failed to show that the new 10.57 base ROE was just and reasonable.  </w:t>
      </w:r>
      <w:r w:rsidRPr="00CA5EA5" w:rsidR="00CA5EA5">
        <w:t xml:space="preserve">In </w:t>
      </w:r>
      <w:r w:rsidRPr="00CA5EA5" w:rsidR="00CA5EA5">
        <w:rPr>
          <w:i/>
        </w:rPr>
        <w:t>Emera Maine</w:t>
      </w:r>
      <w:r w:rsidRPr="00CA5EA5" w:rsidR="00CA5EA5">
        <w:t xml:space="preserve">, the D.C. Circuit agreed with both </w:t>
      </w:r>
      <w:r w:rsidR="00CA5EA5">
        <w:t xml:space="preserve">the </w:t>
      </w:r>
      <w:r w:rsidRPr="00665B5A" w:rsidR="00CA5EA5">
        <w:t>New England Transmission Owners</w:t>
      </w:r>
      <w:r w:rsidRPr="00CA5EA5" w:rsidR="00CA5EA5">
        <w:t xml:space="preserve"> and </w:t>
      </w:r>
      <w:r w:rsidR="00CA5EA5">
        <w:t>c</w:t>
      </w:r>
      <w:r w:rsidRPr="00CA5EA5" w:rsidR="00CA5EA5">
        <w:t>ustomer</w:t>
      </w:r>
      <w:r w:rsidR="00CA5EA5">
        <w:t xml:space="preserve"> representatives</w:t>
      </w:r>
      <w:r w:rsidRPr="00CA5EA5" w:rsidR="00CA5EA5">
        <w:t xml:space="preserve"> and vacated and remanded Opinion No. 531 </w:t>
      </w:r>
      <w:r w:rsidRPr="00CA5EA5" w:rsidR="00CA5EA5">
        <w:rPr>
          <w:i/>
        </w:rPr>
        <w:t>et seq</w:t>
      </w:r>
      <w:r w:rsidRPr="00CA5EA5" w:rsidR="00CA5EA5">
        <w:t xml:space="preserve">.  </w:t>
      </w:r>
    </w:p>
    <w:p w:rsidRPr="00CA5EA5" w:rsidR="00CA5EA5" w:rsidP="00CA5EA5" w:rsidRDefault="00CF0F10" w14:paraId="27B381C1" w14:textId="3F84755E">
      <w:pPr>
        <w:pStyle w:val="StyleFERCparanumberAfter0ptLinespacingDouble"/>
      </w:pPr>
      <w:r w:rsidRPr="005D1463">
        <w:lastRenderedPageBreak/>
        <w:t xml:space="preserve">As an initial matter, the </w:t>
      </w:r>
      <w:r w:rsidR="00CA5EA5">
        <w:t>court</w:t>
      </w:r>
      <w:r w:rsidRPr="00CA5EA5" w:rsidR="00CA5EA5">
        <w:t xml:space="preserve"> rejected </w:t>
      </w:r>
      <w:r w:rsidR="00605CD4">
        <w:t xml:space="preserve">the </w:t>
      </w:r>
      <w:r w:rsidRPr="00665B5A" w:rsidR="00CA5EA5">
        <w:t>New England Transmission Owners</w:t>
      </w:r>
      <w:r w:rsidR="00CA5EA5">
        <w:t>’</w:t>
      </w:r>
      <w:r w:rsidRPr="00CA5EA5" w:rsidR="00CA5EA5">
        <w:t xml:space="preserve"> argument that an ROE within the DCF-produced zone of reasonableness could not be deemed unjust and unreasonable.  The </w:t>
      </w:r>
      <w:r w:rsidR="00CA5EA5">
        <w:t xml:space="preserve">court </w:t>
      </w:r>
      <w:r w:rsidRPr="00CA5EA5" w:rsidR="00CA5EA5">
        <w:t>explained that the zone of reasonableness established by the DCF is not “coextensive” with the “statutory” zone of reasonableness envisioned by the FPA.</w:t>
      </w:r>
      <w:r w:rsidRPr="00CA5EA5" w:rsidR="00CA5EA5">
        <w:rPr>
          <w:b/>
          <w:vertAlign w:val="superscript"/>
        </w:rPr>
        <w:footnoteReference w:id="47"/>
      </w:r>
      <w:r w:rsidRPr="00CA5EA5" w:rsidR="00CA5EA5">
        <w:t xml:space="preserve">  Accordingly, the </w:t>
      </w:r>
      <w:r w:rsidR="00CA5EA5">
        <w:t>court</w:t>
      </w:r>
      <w:r w:rsidRPr="00CA5EA5" w:rsidR="00CA5EA5">
        <w:t xml:space="preserve"> concluded that the fact that </w:t>
      </w:r>
      <w:r w:rsidR="00CA5EA5">
        <w:t xml:space="preserve">the </w:t>
      </w:r>
      <w:r w:rsidRPr="00665B5A" w:rsidR="00CA5EA5">
        <w:t>New England Transmission Owners</w:t>
      </w:r>
      <w:r w:rsidR="00CA5EA5">
        <w:t>’</w:t>
      </w:r>
      <w:r w:rsidRPr="00CA5EA5" w:rsidR="00CA5EA5">
        <w:t xml:space="preserve"> existing ROE fell within the zone of reasonableness produced by the DCF did not necessarily indicate that it was just and reasonable for the purposes of the FPA.</w:t>
      </w:r>
      <w:r w:rsidRPr="00CA5EA5" w:rsidR="00CA5EA5">
        <w:rPr>
          <w:b/>
          <w:vertAlign w:val="superscript"/>
        </w:rPr>
        <w:footnoteReference w:id="48"/>
      </w:r>
      <w:r w:rsidRPr="00CA5EA5" w:rsidR="00CA5EA5">
        <w:t xml:space="preserve"> </w:t>
      </w:r>
    </w:p>
    <w:p w:rsidRPr="00CA5EA5" w:rsidR="00CA5EA5" w:rsidP="00CA5EA5" w:rsidRDefault="00CA5EA5" w14:paraId="2C859C36" w14:textId="16D9E880">
      <w:pPr>
        <w:pStyle w:val="StyleFERCparanumberAfter0ptLinespacingDouble"/>
      </w:pPr>
      <w:r w:rsidRPr="00CA5EA5">
        <w:t xml:space="preserve">Nevertheless, the </w:t>
      </w:r>
      <w:r w:rsidR="00D77219">
        <w:t>court</w:t>
      </w:r>
      <w:r w:rsidRPr="00CA5EA5">
        <w:t xml:space="preserve"> agreed with </w:t>
      </w:r>
      <w:r>
        <w:t xml:space="preserve">the </w:t>
      </w:r>
      <w:r w:rsidRPr="00665B5A">
        <w:t>New England Transmission Owners</w:t>
      </w:r>
      <w:r w:rsidRPr="00CA5EA5">
        <w:t xml:space="preserve"> that the Commission had not adequately shown that their existing </w:t>
      </w:r>
      <w:r w:rsidRPr="00CA5EA5">
        <w:lastRenderedPageBreak/>
        <w:t xml:space="preserve">ROE was unjust and unreasonable.  The </w:t>
      </w:r>
      <w:r w:rsidR="00D77219">
        <w:t>court</w:t>
      </w:r>
      <w:r w:rsidRPr="00CA5EA5">
        <w:t xml:space="preserve"> explained that the FPA’s statutory “zone of reasonableness creates a broad range of potentially lawful ROEs rather than a single just and reasonable ROE” and that whether a particular ROE is unjust and unreasonable depends on the “particular circumstances of the case.”</w:t>
      </w:r>
      <w:r w:rsidRPr="00CA5EA5">
        <w:rPr>
          <w:b/>
          <w:vertAlign w:val="superscript"/>
        </w:rPr>
        <w:footnoteReference w:id="49"/>
      </w:r>
      <w:r w:rsidRPr="00CA5EA5">
        <w:t xml:space="preserve">  Thus, the fact that </w:t>
      </w:r>
      <w:r>
        <w:t xml:space="preserve">the </w:t>
      </w:r>
      <w:r w:rsidRPr="00665B5A">
        <w:t>New England Transmission Owners</w:t>
      </w:r>
      <w:r>
        <w:t>’</w:t>
      </w:r>
      <w:r w:rsidRPr="00CA5EA5">
        <w:t xml:space="preserve"> existing ROE did not equal the just and reasonable ROE that the Commission would have set using the current DCF analysis inputs did not necessarily indicate that </w:t>
      </w:r>
      <w:r>
        <w:t xml:space="preserve">the </w:t>
      </w:r>
      <w:r w:rsidRPr="00665B5A">
        <w:t>New England Transmission Owners</w:t>
      </w:r>
      <w:r>
        <w:t>’</w:t>
      </w:r>
      <w:r w:rsidRPr="00CA5EA5">
        <w:t xml:space="preserve"> existing ROE fell outside the statutory zone of reasonableness.</w:t>
      </w:r>
      <w:r w:rsidRPr="00CA5EA5">
        <w:rPr>
          <w:b/>
          <w:vertAlign w:val="superscript"/>
        </w:rPr>
        <w:footnoteReference w:id="50"/>
      </w:r>
      <w:r w:rsidRPr="00CA5EA5">
        <w:t xml:space="preserve">  As such, the D.C. Circuit concluded </w:t>
      </w:r>
      <w:r w:rsidRPr="00CA5EA5">
        <w:lastRenderedPageBreak/>
        <w:t xml:space="preserve">that Opinion </w:t>
      </w:r>
      <w:r w:rsidR="00791AE9">
        <w:t xml:space="preserve"> </w:t>
      </w:r>
      <w:r w:rsidRPr="00CA5EA5">
        <w:t xml:space="preserve">No. 531 “failed to include an actual finding as to the lawfulness of </w:t>
      </w:r>
      <w:r w:rsidR="00BE6418">
        <w:t>[the New England] Transmission Owners’</w:t>
      </w:r>
      <w:r w:rsidRPr="00CA5EA5">
        <w:t xml:space="preserve"> existing base ROE” and that its conclusion that their existing ROE was unjust and unreasonable was itself arbitrary and capricious.</w:t>
      </w:r>
      <w:r w:rsidRPr="00CA5EA5">
        <w:rPr>
          <w:b/>
          <w:vertAlign w:val="superscript"/>
        </w:rPr>
        <w:footnoteReference w:id="51"/>
      </w:r>
    </w:p>
    <w:p w:rsidRPr="005D1463" w:rsidR="00CF0F10" w:rsidP="004C4173" w:rsidRDefault="00CF0F10" w14:paraId="32C9E1C9" w14:textId="4144A8B9">
      <w:pPr>
        <w:pStyle w:val="StyleFERCparanumberAfter0ptLinespacingDouble"/>
      </w:pPr>
      <w:r w:rsidRPr="005D1463">
        <w:t xml:space="preserve"> </w:t>
      </w:r>
      <w:r w:rsidRPr="00BB2F7E" w:rsidR="00BB2F7E">
        <w:t xml:space="preserve">The court </w:t>
      </w:r>
      <w:r w:rsidR="00BB2F7E">
        <w:t>also agreed with the customer representatives</w:t>
      </w:r>
      <w:r w:rsidRPr="00BB2F7E" w:rsidR="00BB2F7E">
        <w:t xml:space="preserve"> that the Commission failed to adequately demonstrate that the new base ROE it established was just and reasonable. </w:t>
      </w:r>
      <w:r w:rsidR="001A3269">
        <w:t>T</w:t>
      </w:r>
      <w:r w:rsidRPr="005D1463">
        <w:t>he Court</w:t>
      </w:r>
      <w:r w:rsidRPr="005D1463" w:rsidR="00BA77F0">
        <w:t xml:space="preserve"> </w:t>
      </w:r>
      <w:r w:rsidRPr="005D1463">
        <w:t>did not express concerns regarding the Commission’s decision to “abandon its traditional use of the midpoint of the zone of reasonableness in setting [the New England] Transmission Owners’ base ROE” based on the anomalous capital market conditions and its resulting evaluation of alternative methodologies for calculating the cost of equity.</w:t>
      </w:r>
      <w:r w:rsidRPr="00665B5A">
        <w:rPr>
          <w:rStyle w:val="FootnoteReference"/>
        </w:rPr>
        <w:footnoteReference w:id="52"/>
      </w:r>
      <w:r w:rsidRPr="005D1463">
        <w:t xml:space="preserve">  </w:t>
      </w:r>
      <w:r w:rsidR="00947C2C">
        <w:lastRenderedPageBreak/>
        <w:t>T</w:t>
      </w:r>
      <w:r w:rsidRPr="005D1463">
        <w:t xml:space="preserve">he </w:t>
      </w:r>
      <w:r w:rsidR="00BB2F7E">
        <w:t>c</w:t>
      </w:r>
      <w:r w:rsidRPr="005D1463">
        <w:t xml:space="preserve">ourt </w:t>
      </w:r>
      <w:r w:rsidR="00BB2F7E">
        <w:t>stated</w:t>
      </w:r>
      <w:r w:rsidRPr="005D1463" w:rsidDel="00040120">
        <w:t xml:space="preserve"> </w:t>
      </w:r>
      <w:r w:rsidRPr="005D1463">
        <w:t>that “the alternative benchmarks and additional record evidence may have shown that some upward adjustment was warranted.”</w:t>
      </w:r>
      <w:r w:rsidRPr="00665B5A">
        <w:rPr>
          <w:rStyle w:val="FootnoteReference"/>
        </w:rPr>
        <w:footnoteReference w:id="53"/>
      </w:r>
      <w:r w:rsidRPr="005D1463">
        <w:t xml:space="preserve"> </w:t>
      </w:r>
    </w:p>
    <w:p w:rsidRPr="00A57A56" w:rsidR="00CF0F10" w:rsidP="008F62FF" w:rsidRDefault="00CF0F10" w14:paraId="05E7AFB8" w14:textId="53E91444">
      <w:pPr>
        <w:pStyle w:val="StyleFERCparanumberAfter0ptLinespacingDouble"/>
      </w:pPr>
      <w:r w:rsidRPr="005D1463">
        <w:t xml:space="preserve">Nevertheless, the </w:t>
      </w:r>
      <w:r w:rsidR="00F07145">
        <w:t>c</w:t>
      </w:r>
      <w:r w:rsidRPr="005D1463" w:rsidR="00F07145">
        <w:t xml:space="preserve">ourt </w:t>
      </w:r>
      <w:r w:rsidRPr="005D1463">
        <w:t>concluded that th</w:t>
      </w:r>
      <w:r w:rsidR="00130FCB">
        <w:t xml:space="preserve">e Commission failed to point to </w:t>
      </w:r>
      <w:r w:rsidRPr="005D1463">
        <w:t xml:space="preserve">evidence </w:t>
      </w:r>
      <w:r w:rsidR="00130FCB">
        <w:t xml:space="preserve">in the record </w:t>
      </w:r>
      <w:r w:rsidRPr="005D1463">
        <w:t>supporting the conclusion that its solution to the anomalous capital market conditions—</w:t>
      </w:r>
      <w:r w:rsidR="00130FCB">
        <w:t xml:space="preserve">i.e., </w:t>
      </w:r>
      <w:r w:rsidRPr="005D1463">
        <w:t>setting the</w:t>
      </w:r>
      <w:r w:rsidR="00130FCB">
        <w:t xml:space="preserve"> base ROE at the upper midpoint</w:t>
      </w:r>
      <w:r w:rsidRPr="005D1463">
        <w:t xml:space="preserve"> rather than </w:t>
      </w:r>
      <w:r w:rsidR="00130FCB">
        <w:t xml:space="preserve">at </w:t>
      </w:r>
      <w:r w:rsidRPr="005D1463">
        <w:t xml:space="preserve">the midpoint—was just and reasonable.  The </w:t>
      </w:r>
      <w:r w:rsidR="00F07145">
        <w:t>c</w:t>
      </w:r>
      <w:r w:rsidRPr="005D1463" w:rsidR="00F07145">
        <w:t xml:space="preserve">ourt </w:t>
      </w:r>
      <w:r w:rsidRPr="005D1463">
        <w:t xml:space="preserve">explained that the Commission expressly did not rely on the alternative methodologies to support its determination that a 10.57 percent base ROE was just and reasonable.  The </w:t>
      </w:r>
      <w:r w:rsidR="00F07145">
        <w:t>c</w:t>
      </w:r>
      <w:r w:rsidRPr="005D1463" w:rsidR="00F07145">
        <w:t xml:space="preserve">ourt </w:t>
      </w:r>
      <w:r w:rsidRPr="005D1463">
        <w:t xml:space="preserve">also observed that the Commission’s explanation that it had previously set the just and reasonable base ROE at a measure of </w:t>
      </w:r>
      <w:r w:rsidRPr="005D1463">
        <w:lastRenderedPageBreak/>
        <w:t xml:space="preserve">central tendency for the upper part of the DCF-produced zone of reasonableness was inapt because, in those cases, the Commission had first determined that those utilities were not of average risk, whereas the Commission found that the New England Transmission Owners were of average risk.  The </w:t>
      </w:r>
      <w:r w:rsidR="00F07145">
        <w:t>c</w:t>
      </w:r>
      <w:r w:rsidRPr="005D1463" w:rsidR="00F07145">
        <w:t xml:space="preserve">ourt </w:t>
      </w:r>
      <w:r w:rsidRPr="005D1463">
        <w:t>therefore remanded the proceeding so that the Commission could further exp</w:t>
      </w:r>
      <w:r w:rsidR="00130FCB">
        <w:t>lain why the base ROE it selected</w:t>
      </w:r>
      <w:r w:rsidRPr="005D1463">
        <w:t xml:space="preserve"> is just and reasonable.</w:t>
      </w:r>
    </w:p>
    <w:p w:rsidR="001027BB" w:rsidP="00EA5D2A" w:rsidRDefault="001027BB" w14:paraId="7CBBEEDF" w14:textId="5F79BA57">
      <w:pPr>
        <w:pStyle w:val="Heading2"/>
        <w:tabs>
          <w:tab w:val="left" w:pos="0"/>
        </w:tabs>
      </w:pPr>
      <w:r>
        <w:t>Post-</w:t>
      </w:r>
      <w:r w:rsidRPr="001027BB">
        <w:rPr>
          <w:i/>
        </w:rPr>
        <w:t>Emera Maine</w:t>
      </w:r>
      <w:r>
        <w:t xml:space="preserve"> Proceedings</w:t>
      </w:r>
    </w:p>
    <w:p w:rsidRPr="001027BB" w:rsidR="001027BB" w:rsidP="00ED100A" w:rsidRDefault="001027BB" w14:paraId="529AC0F5" w14:textId="0AB7A159">
      <w:pPr>
        <w:pStyle w:val="StyleFERCparanumberLinespacingDouble"/>
        <w:tabs>
          <w:tab w:val="clear" w:pos="810"/>
          <w:tab w:val="num" w:pos="720"/>
        </w:tabs>
      </w:pPr>
      <w:r>
        <w:t xml:space="preserve">Following the decision in </w:t>
      </w:r>
      <w:r>
        <w:rPr>
          <w:i/>
        </w:rPr>
        <w:t>Emera Maine</w:t>
      </w:r>
      <w:r w:rsidRPr="001027BB">
        <w:t xml:space="preserve">, </w:t>
      </w:r>
      <w:r w:rsidRPr="004345CE">
        <w:t xml:space="preserve">the Commission issued </w:t>
      </w:r>
      <w:r>
        <w:t>two</w:t>
      </w:r>
      <w:r w:rsidRPr="004345CE">
        <w:t xml:space="preserve"> order</w:t>
      </w:r>
      <w:r>
        <w:t>s</w:t>
      </w:r>
      <w:r w:rsidRPr="004345CE">
        <w:t xml:space="preserve"> proposing a methodology for addressing the issues that were remanded to the Commission in </w:t>
      </w:r>
      <w:r w:rsidRPr="004345CE">
        <w:rPr>
          <w:i/>
        </w:rPr>
        <w:t>Emera Maine</w:t>
      </w:r>
      <w:r w:rsidRPr="004345CE">
        <w:t xml:space="preserve"> and establishing a paper hearing on whether and how this methodology should apply to the four complaint proceedings concerning </w:t>
      </w:r>
      <w:r>
        <w:t xml:space="preserve">both </w:t>
      </w:r>
      <w:r w:rsidRPr="004345CE">
        <w:t xml:space="preserve">the New England </w:t>
      </w:r>
      <w:r>
        <w:t>and MISO transmission owner</w:t>
      </w:r>
      <w:r w:rsidRPr="004345CE">
        <w:t>s’</w:t>
      </w:r>
      <w:r>
        <w:t xml:space="preserve"> </w:t>
      </w:r>
      <w:r w:rsidRPr="004345CE">
        <w:t>ROE.</w:t>
      </w:r>
      <w:r w:rsidRPr="004345CE">
        <w:rPr>
          <w:rStyle w:val="FootnoteReference"/>
        </w:rPr>
        <w:footnoteReference w:id="54"/>
      </w:r>
      <w:r w:rsidRPr="004345CE">
        <w:t xml:space="preserve">  In </w:t>
      </w:r>
      <w:r>
        <w:lastRenderedPageBreak/>
        <w:t>those</w:t>
      </w:r>
      <w:r w:rsidRPr="004345CE">
        <w:t xml:space="preserve"> order</w:t>
      </w:r>
      <w:r>
        <w:t>s</w:t>
      </w:r>
      <w:r w:rsidRPr="004345CE">
        <w:t xml:space="preserve">, the Commission proposed to change its approach to determining base ROE by giving equal </w:t>
      </w:r>
      <w:r w:rsidR="00130FCB">
        <w:t>weight to</w:t>
      </w:r>
      <w:r w:rsidR="00793846">
        <w:t xml:space="preserve">  </w:t>
      </w:r>
      <w:r w:rsidR="00130FCB">
        <w:t xml:space="preserve"> four financial models</w:t>
      </w:r>
      <w:r w:rsidRPr="004345CE">
        <w:t xml:space="preserve"> instead of primarily relying on the DCF methodology.  The Commission stated that evidence indicates that investors do not rely on any one model to the exclusion of others.</w:t>
      </w:r>
      <w:r>
        <w:t xml:space="preserve">  </w:t>
      </w:r>
      <w:r w:rsidRPr="001027BB">
        <w:t xml:space="preserve">Therefore, relying on multiple financial models makes it more likely that </w:t>
      </w:r>
      <w:r>
        <w:t>the Commission’s</w:t>
      </w:r>
      <w:r w:rsidRPr="001027BB">
        <w:t xml:space="preserve"> decision will accurately reflect how investors make their investment decisions.</w:t>
      </w:r>
      <w:r w:rsidR="001D6016">
        <w:rPr>
          <w:rStyle w:val="FootnoteReference"/>
        </w:rPr>
        <w:footnoteReference w:id="55"/>
      </w:r>
    </w:p>
    <w:p w:rsidR="001027BB" w:rsidP="00255003" w:rsidRDefault="001027BB" w14:paraId="1EFF5CC9" w14:textId="47CC54A4">
      <w:pPr>
        <w:pStyle w:val="StyleFERCparanumberLinespacingDouble"/>
      </w:pPr>
      <w:r w:rsidRPr="004345CE">
        <w:t xml:space="preserve">Specifically, the Commission proposed to rely on three financial models that produce zones of reasonableness—the DCF model, </w:t>
      </w:r>
      <w:r w:rsidRPr="00947C2C" w:rsidR="006F60B7">
        <w:rPr>
          <w:szCs w:val="26"/>
        </w:rPr>
        <w:t>CAPM</w:t>
      </w:r>
      <w:r w:rsidRPr="00947C2C" w:rsidR="00885B72">
        <w:rPr>
          <w:szCs w:val="26"/>
        </w:rPr>
        <w:t xml:space="preserve"> model</w:t>
      </w:r>
      <w:r w:rsidRPr="004345CE">
        <w:t xml:space="preserve">, and </w:t>
      </w:r>
      <w:r w:rsidR="00885B72">
        <w:t>E</w:t>
      </w:r>
      <w:r w:rsidRPr="004345CE">
        <w:t xml:space="preserve">xpected </w:t>
      </w:r>
      <w:r w:rsidR="00885B72">
        <w:t>E</w:t>
      </w:r>
      <w:r w:rsidRPr="004345CE">
        <w:t xml:space="preserve">arnings </w:t>
      </w:r>
      <w:r w:rsidR="00885B72">
        <w:t>model</w:t>
      </w:r>
      <w:r w:rsidRPr="004345CE">
        <w:t xml:space="preserve">—to establish a composite zone of reasonableness.  </w:t>
      </w:r>
      <w:r w:rsidRPr="004345CE">
        <w:lastRenderedPageBreak/>
        <w:t xml:space="preserve">The zone of reasonableness produced by each model would be given equal weight and averaged to determine the composite zone of reasonableness. </w:t>
      </w:r>
      <w:r w:rsidR="00F07145">
        <w:t xml:space="preserve"> </w:t>
      </w:r>
      <w:r w:rsidR="002A3731">
        <w:t>The Commission explained that t</w:t>
      </w:r>
      <w:r w:rsidRPr="004345CE" w:rsidR="00947C2C">
        <w:t xml:space="preserve">he </w:t>
      </w:r>
      <w:r w:rsidR="00947C2C">
        <w:t>Risk Premium</w:t>
      </w:r>
      <w:r w:rsidRPr="004345CE" w:rsidR="00947C2C">
        <w:t xml:space="preserve"> model produces a single numerical point rather than a range; therefore</w:t>
      </w:r>
      <w:r w:rsidR="00947C2C">
        <w:t>,</w:t>
      </w:r>
      <w:r w:rsidRPr="004345CE" w:rsidR="00947C2C">
        <w:t xml:space="preserve"> it cannot be used </w:t>
      </w:r>
      <w:r w:rsidR="00947C2C">
        <w:t xml:space="preserve">with the other three financial models </w:t>
      </w:r>
      <w:r w:rsidRPr="004345CE" w:rsidR="00947C2C">
        <w:t>in establishing a composite zone of reasonableness.</w:t>
      </w:r>
      <w:r w:rsidR="00947C2C">
        <w:rPr>
          <w:rStyle w:val="FootnoteReference"/>
        </w:rPr>
        <w:footnoteReference w:id="56"/>
      </w:r>
      <w:r w:rsidRPr="004345CE" w:rsidR="00947C2C">
        <w:t xml:space="preserve"> </w:t>
      </w:r>
      <w:r w:rsidR="00947C2C">
        <w:t xml:space="preserve"> </w:t>
      </w:r>
      <w:r w:rsidRPr="004345CE">
        <w:t>The Commission proposed a framework for using th</w:t>
      </w:r>
      <w:r w:rsidR="00885B72">
        <w:t>at</w:t>
      </w:r>
      <w:r w:rsidRPr="004345CE">
        <w:t xml:space="preserve"> composite zone of reasonableness in evaluating whether an existing base ROE remains just and reasonable.</w:t>
      </w:r>
      <w:r w:rsidR="001D6016">
        <w:rPr>
          <w:rStyle w:val="FootnoteReference"/>
        </w:rPr>
        <w:footnoteReference w:id="57"/>
      </w:r>
      <w:r w:rsidRPr="004345CE" w:rsidR="001D6016">
        <w:t xml:space="preserve"> </w:t>
      </w:r>
      <w:r w:rsidRPr="004345CE">
        <w:t xml:space="preserve">  </w:t>
      </w:r>
    </w:p>
    <w:p w:rsidRPr="004345CE" w:rsidR="001027BB" w:rsidP="00255003" w:rsidRDefault="001027BB" w14:paraId="5BBA70E8" w14:textId="26298034">
      <w:pPr>
        <w:pStyle w:val="StyleFERCparanumberLinespacingDouble"/>
      </w:pPr>
      <w:r w:rsidRPr="004345CE">
        <w:t xml:space="preserve">For purposes of establishing a new just and reasonable base ROE when the existing base ROE has been shown to be unjust and unreasonable, </w:t>
      </w:r>
      <w:r w:rsidRPr="004345CE">
        <w:lastRenderedPageBreak/>
        <w:t xml:space="preserve">the Commission proposed </w:t>
      </w:r>
      <w:r w:rsidR="00885B72">
        <w:t>relying</w:t>
      </w:r>
      <w:r w:rsidRPr="004345CE">
        <w:t xml:space="preserve"> on four fin</w:t>
      </w:r>
      <w:r w:rsidR="00885B72">
        <w:t>ancial models—the DCF model, CAPM model,</w:t>
      </w:r>
      <w:r w:rsidRPr="004345CE">
        <w:t xml:space="preserve"> </w:t>
      </w:r>
      <w:r w:rsidR="00885B72">
        <w:t>E</w:t>
      </w:r>
      <w:r w:rsidRPr="004345CE">
        <w:t xml:space="preserve">xpected </w:t>
      </w:r>
      <w:r w:rsidR="00885B72">
        <w:t>Earnings model, and</w:t>
      </w:r>
      <w:r w:rsidRPr="004345CE">
        <w:t xml:space="preserve"> </w:t>
      </w:r>
      <w:r w:rsidR="00712562">
        <w:t>Risk Premium</w:t>
      </w:r>
      <w:r w:rsidRPr="004345CE">
        <w:t xml:space="preserve"> model—to produce four separate base ROE estimates that would then be averaged to produce a specific just and reasonable base ROE.  </w:t>
      </w:r>
    </w:p>
    <w:p w:rsidRPr="001027BB" w:rsidR="001027BB" w:rsidP="00255003" w:rsidRDefault="001027BB" w14:paraId="11EA2AD4" w14:textId="4C07A7F8">
      <w:pPr>
        <w:pStyle w:val="StyleFERCparanumberLinespacingDouble"/>
      </w:pPr>
      <w:r w:rsidRPr="004345CE">
        <w:t xml:space="preserve">The Commission established a paper hearing </w:t>
      </w:r>
      <w:r w:rsidRPr="004345CE" w:rsidR="001D6016">
        <w:t xml:space="preserve">in the </w:t>
      </w:r>
      <w:r w:rsidR="001D6016">
        <w:rPr>
          <w:i/>
        </w:rPr>
        <w:t xml:space="preserve">Coakley </w:t>
      </w:r>
      <w:r w:rsidR="001D6016">
        <w:t xml:space="preserve">and MISO </w:t>
      </w:r>
      <w:r w:rsidRPr="004345CE" w:rsidR="001D6016">
        <w:t>complaint proceedings</w:t>
      </w:r>
      <w:r w:rsidR="009D4949">
        <w:rPr>
          <w:rStyle w:val="FootnoteReference"/>
        </w:rPr>
        <w:footnoteReference w:id="58"/>
      </w:r>
      <w:r w:rsidRPr="004345CE" w:rsidR="001D6016">
        <w:t xml:space="preserve"> </w:t>
      </w:r>
      <w:r w:rsidRPr="004345CE">
        <w:t xml:space="preserve">and directed the participants </w:t>
      </w:r>
      <w:r w:rsidR="001D6016">
        <w:t xml:space="preserve">in those proceedings </w:t>
      </w:r>
      <w:r w:rsidRPr="004345CE">
        <w:t>to submit briefs regarding this proposed new approach and how to apply it to those proceedings.</w:t>
      </w:r>
      <w:r w:rsidR="001D6016">
        <w:rPr>
          <w:rStyle w:val="FootnoteReference"/>
        </w:rPr>
        <w:footnoteReference w:id="59"/>
      </w:r>
      <w:r w:rsidRPr="004345CE" w:rsidDel="008F42C0">
        <w:t xml:space="preserve"> </w:t>
      </w:r>
    </w:p>
    <w:p w:rsidR="00CF0F10" w:rsidP="00EA5D2A" w:rsidRDefault="00CF0F10" w14:paraId="56A64F0C" w14:textId="397CC4EB">
      <w:pPr>
        <w:pStyle w:val="Heading1"/>
        <w:tabs>
          <w:tab w:val="left" w:pos="0"/>
        </w:tabs>
      </w:pPr>
      <w:r>
        <w:lastRenderedPageBreak/>
        <w:t>Request for Comments</w:t>
      </w:r>
      <w:r w:rsidRPr="005D1463">
        <w:t xml:space="preserve">  </w:t>
      </w:r>
    </w:p>
    <w:p w:rsidR="00FA715E" w:rsidP="00756743" w:rsidRDefault="00AB5422" w14:paraId="365E8132" w14:textId="29DE1C98">
      <w:pPr>
        <w:pStyle w:val="StyleFERCparanumberLinespacingDouble"/>
      </w:pPr>
      <w:r>
        <w:t xml:space="preserve">As part of ensuring that the Commission continues to meet </w:t>
      </w:r>
      <w:r w:rsidR="007A448F">
        <w:t xml:space="preserve">our </w:t>
      </w:r>
      <w:r>
        <w:t xml:space="preserve">statutory obligations, the Commission, on occasion, engages in public inquiry to gauge whether there is a need to add to, modify, or eliminate certain policies or regulatory requirements.  In this proceeding, the Commission seeks comments on potential modifications to </w:t>
      </w:r>
      <w:r w:rsidR="00E33723">
        <w:t xml:space="preserve">our </w:t>
      </w:r>
      <w:r>
        <w:t xml:space="preserve">approach to determining a just and reasonable </w:t>
      </w:r>
      <w:r w:rsidR="00BB5620">
        <w:t>ROE</w:t>
      </w:r>
      <w:r>
        <w:t xml:space="preserve">.  </w:t>
      </w:r>
      <w:r w:rsidR="00756743">
        <w:t xml:space="preserve">Although the Commission requested briefing on some of the issues below in the </w:t>
      </w:r>
      <w:r w:rsidR="00756743">
        <w:rPr>
          <w:i/>
        </w:rPr>
        <w:t xml:space="preserve">Coakley </w:t>
      </w:r>
      <w:r w:rsidR="00756743">
        <w:t>and MISO Briefing Orders, this proceeding will provide all interested stakeholders</w:t>
      </w:r>
      <w:r w:rsidR="00E142B4">
        <w:t xml:space="preserve"> with </w:t>
      </w:r>
      <w:r w:rsidR="00756743">
        <w:t xml:space="preserve">the opportunity to </w:t>
      </w:r>
      <w:r w:rsidR="00A27A5C">
        <w:t>comment</w:t>
      </w:r>
      <w:r w:rsidR="00756743">
        <w:t xml:space="preserve"> on the Commission’s ROE policy in light of the decision in </w:t>
      </w:r>
      <w:r w:rsidR="00756743">
        <w:rPr>
          <w:i/>
        </w:rPr>
        <w:t>Emera Maine</w:t>
      </w:r>
      <w:r w:rsidR="00756743">
        <w:t>.</w:t>
      </w:r>
    </w:p>
    <w:p w:rsidR="00FB761C" w:rsidP="000C6183" w:rsidRDefault="00AB5422" w14:paraId="35149138" w14:textId="548C1CAD">
      <w:pPr>
        <w:pStyle w:val="StyleFERCparanumberLinespacingDouble"/>
      </w:pPr>
      <w:r>
        <w:t xml:space="preserve">The Commission </w:t>
      </w:r>
      <w:r w:rsidR="00FB761C">
        <w:t xml:space="preserve">seeks comments on </w:t>
      </w:r>
      <w:r>
        <w:t xml:space="preserve">eight general </w:t>
      </w:r>
      <w:r w:rsidR="00FB761C">
        <w:t xml:space="preserve">topics as part of this </w:t>
      </w:r>
      <w:r>
        <w:t xml:space="preserve">inquiry: (A) the </w:t>
      </w:r>
      <w:r w:rsidR="000F271D">
        <w:t xml:space="preserve">role </w:t>
      </w:r>
      <w:r>
        <w:t xml:space="preserve">of the Commission’s base ROE </w:t>
      </w:r>
      <w:r w:rsidR="000F271D">
        <w:t>in investment decision-making</w:t>
      </w:r>
      <w:r w:rsidR="008B02C1">
        <w:t xml:space="preserve"> and </w:t>
      </w:r>
      <w:r w:rsidRPr="008B02C1" w:rsidR="008B02C1">
        <w:t>what objectives should guide the Commission’s approach</w:t>
      </w:r>
      <w:r w:rsidR="00BB5620">
        <w:t>;</w:t>
      </w:r>
      <w:r>
        <w:t xml:space="preserve"> (B)</w:t>
      </w:r>
      <w:r w:rsidRPr="00AB5422">
        <w:t xml:space="preserve"> </w:t>
      </w:r>
      <w:r w:rsidRPr="00B70AC6" w:rsidR="00B70AC6">
        <w:t xml:space="preserve">whether uniform application of </w:t>
      </w:r>
      <w:r w:rsidR="003F181A">
        <w:t>our</w:t>
      </w:r>
      <w:r w:rsidRPr="00B70AC6" w:rsidR="00B70AC6">
        <w:t xml:space="preserve"> base ROE policy across </w:t>
      </w:r>
      <w:r w:rsidR="000C6183">
        <w:t xml:space="preserve">the electric, </w:t>
      </w:r>
      <w:r w:rsidRPr="000C6183" w:rsidR="000C6183">
        <w:lastRenderedPageBreak/>
        <w:t xml:space="preserve">interstate natural gas </w:t>
      </w:r>
      <w:r w:rsidR="000C6183">
        <w:t xml:space="preserve">pipeline </w:t>
      </w:r>
      <w:r w:rsidRPr="000C6183" w:rsidR="000C6183">
        <w:t xml:space="preserve">and oil pipeline </w:t>
      </w:r>
      <w:r w:rsidRPr="00B70AC6" w:rsidR="00B70AC6">
        <w:t>industries is appropriate and advisable</w:t>
      </w:r>
      <w:r w:rsidR="00BB5620">
        <w:t>;</w:t>
      </w:r>
      <w:r>
        <w:t xml:space="preserve"> (C) p</w:t>
      </w:r>
      <w:r w:rsidRPr="008E51DE">
        <w:t xml:space="preserve">erformance of </w:t>
      </w:r>
      <w:r>
        <w:t xml:space="preserve">the </w:t>
      </w:r>
      <w:r w:rsidRPr="008E51DE">
        <w:t>DCF</w:t>
      </w:r>
      <w:r>
        <w:t xml:space="preserve"> model, (D) proxy g</w:t>
      </w:r>
      <w:r w:rsidRPr="00AB5422">
        <w:t>roups</w:t>
      </w:r>
      <w:r w:rsidR="00BB5620">
        <w:t>;</w:t>
      </w:r>
      <w:r>
        <w:t xml:space="preserve"> (E) financial model choice</w:t>
      </w:r>
      <w:r w:rsidR="00BB5620">
        <w:t>;</w:t>
      </w:r>
      <w:r>
        <w:t xml:space="preserve"> (F) </w:t>
      </w:r>
      <w:r w:rsidRPr="00AB5422">
        <w:t xml:space="preserve">mismatch between market-based </w:t>
      </w:r>
      <w:r>
        <w:t>ROE</w:t>
      </w:r>
      <w:r w:rsidRPr="00AB5422">
        <w:t xml:space="preserve"> determinations and book-value rate base</w:t>
      </w:r>
      <w:r w:rsidR="00F10FF0">
        <w:t>;</w:t>
      </w:r>
      <w:r w:rsidR="00FA715E">
        <w:t xml:space="preserve"> (G) </w:t>
      </w:r>
      <w:r w:rsidRPr="00F4022D" w:rsidR="00F4022D">
        <w:t>how the Commission determines whether an existing ROE is unjust and unreasonable under the first prong of the FPA section 206</w:t>
      </w:r>
      <w:r w:rsidR="00BB5620">
        <w:t>; and</w:t>
      </w:r>
      <w:r w:rsidR="0068038D">
        <w:t xml:space="preserve"> </w:t>
      </w:r>
      <w:r w:rsidR="00FA715E">
        <w:t xml:space="preserve">(H) model mechanics and implementation.  </w:t>
      </w:r>
    </w:p>
    <w:p w:rsidRPr="00FA715E" w:rsidR="00FA715E" w:rsidP="000C6183" w:rsidRDefault="00FB761C" w14:paraId="094DAAE4" w14:textId="6F88DB89">
      <w:pPr>
        <w:pStyle w:val="StyleFERCparanumberLinespacingDouble"/>
      </w:pPr>
      <w:r>
        <w:t xml:space="preserve">In </w:t>
      </w:r>
      <w:r w:rsidR="00606E9B">
        <w:t xml:space="preserve">the </w:t>
      </w:r>
      <w:r>
        <w:t xml:space="preserve">following sections, we outline these eight topics and enumerate questions that commenters may consider in addressing each topic.  </w:t>
      </w:r>
      <w:r w:rsidR="00FA715E">
        <w:t xml:space="preserve">Commenters need not </w:t>
      </w:r>
      <w:r>
        <w:t xml:space="preserve">address every topic or </w:t>
      </w:r>
      <w:r w:rsidR="00FA715E">
        <w:t>answer every question enumerated below.</w:t>
      </w:r>
    </w:p>
    <w:p w:rsidR="00CF0F10" w:rsidP="00EA5D2A" w:rsidRDefault="00CE6DBB" w14:paraId="61DCFE10" w14:textId="54025DB2">
      <w:pPr>
        <w:pStyle w:val="Heading2"/>
        <w:tabs>
          <w:tab w:val="left" w:pos="0"/>
        </w:tabs>
      </w:pPr>
      <w:r>
        <w:t xml:space="preserve">Role and Objectives </w:t>
      </w:r>
      <w:r w:rsidRPr="008E51DE" w:rsidR="00CF0F10">
        <w:t xml:space="preserve">of </w:t>
      </w:r>
      <w:r w:rsidR="00AB5422">
        <w:t xml:space="preserve">the Commission’s </w:t>
      </w:r>
      <w:r w:rsidRPr="008E51DE" w:rsidR="00CF0F10">
        <w:t>Base ROE</w:t>
      </w:r>
      <w:r w:rsidR="00CF0F10">
        <w:t xml:space="preserve"> Policy</w:t>
      </w:r>
    </w:p>
    <w:p w:rsidRPr="00FA715E" w:rsidR="000725C7" w:rsidP="00AE6B10" w:rsidRDefault="004C6E79" w14:paraId="70DAE3A2" w14:textId="69FD7482">
      <w:pPr>
        <w:pStyle w:val="StyleFERCparanumberLinespacingDouble"/>
        <w:tabs>
          <w:tab w:val="clear" w:pos="810"/>
          <w:tab w:val="num" w:pos="720"/>
        </w:tabs>
      </w:pPr>
      <w:r>
        <w:t>The Commission seeks comment on the role of base ROE in investment decision</w:t>
      </w:r>
      <w:r w:rsidR="003547AA">
        <w:t>-making</w:t>
      </w:r>
      <w:r>
        <w:t xml:space="preserve"> and </w:t>
      </w:r>
      <w:r w:rsidR="003547AA">
        <w:t>what objectives should guide</w:t>
      </w:r>
      <w:r>
        <w:t xml:space="preserve"> the Commission</w:t>
      </w:r>
      <w:r w:rsidR="003547AA">
        <w:t xml:space="preserve">’s approach to </w:t>
      </w:r>
      <w:r w:rsidR="003F181A">
        <w:t xml:space="preserve">our </w:t>
      </w:r>
      <w:r w:rsidR="003547AA">
        <w:t>base ROE policy</w:t>
      </w:r>
      <w:r w:rsidR="00EC7C76">
        <w:t xml:space="preserve"> apart from the basic </w:t>
      </w:r>
      <w:r w:rsidRPr="00F72094" w:rsidR="00EC7C76">
        <w:rPr>
          <w:i/>
        </w:rPr>
        <w:t>Hope/Bluefield</w:t>
      </w:r>
      <w:r w:rsidR="00EC7C76">
        <w:t xml:space="preserve"> standard</w:t>
      </w:r>
      <w:r w:rsidR="003547AA">
        <w:t>.</w:t>
      </w:r>
    </w:p>
    <w:p w:rsidR="00A36179" w:rsidP="00EA5D2A" w:rsidRDefault="00A36179" w14:paraId="28749373" w14:textId="77777777">
      <w:pPr>
        <w:pStyle w:val="FERCparanumber"/>
        <w:numPr>
          <w:ilvl w:val="0"/>
          <w:numId w:val="0"/>
        </w:numPr>
        <w:tabs>
          <w:tab w:val="left" w:pos="0"/>
        </w:tabs>
        <w:spacing w:after="0"/>
        <w:ind w:left="720"/>
      </w:pPr>
      <w:r>
        <w:lastRenderedPageBreak/>
        <w:t>A1.</w:t>
      </w:r>
      <w:r>
        <w:tab/>
      </w:r>
      <w:r w:rsidR="000266DC">
        <w:t xml:space="preserve">To what extent would the ROE methodology described in the </w:t>
      </w:r>
      <w:r w:rsidR="000266DC">
        <w:rPr>
          <w:i/>
        </w:rPr>
        <w:t xml:space="preserve">Coakley </w:t>
      </w:r>
      <w:r w:rsidR="000266DC">
        <w:t>and MISO Briefing Orders impact the predictability of ROE determinations and the costs for market participants of making or intervening in such proceedings?</w:t>
      </w:r>
    </w:p>
    <w:p w:rsidR="00A36179" w:rsidP="00EA5D2A" w:rsidRDefault="00A36179" w14:paraId="67CF49A9" w14:textId="77777777">
      <w:pPr>
        <w:pStyle w:val="FERCparanumber"/>
        <w:numPr>
          <w:ilvl w:val="0"/>
          <w:numId w:val="0"/>
        </w:numPr>
        <w:tabs>
          <w:tab w:val="left" w:pos="0"/>
        </w:tabs>
        <w:spacing w:after="0"/>
        <w:ind w:left="720"/>
      </w:pPr>
    </w:p>
    <w:p w:rsidR="00CF0F10" w:rsidP="00EA5D2A" w:rsidRDefault="0054125B" w14:paraId="59494230" w14:textId="1B49585B">
      <w:pPr>
        <w:pStyle w:val="FERCparanumber"/>
        <w:numPr>
          <w:ilvl w:val="0"/>
          <w:numId w:val="0"/>
        </w:numPr>
        <w:tabs>
          <w:tab w:val="left" w:pos="0"/>
        </w:tabs>
        <w:spacing w:after="0"/>
        <w:ind w:left="720"/>
      </w:pPr>
      <w:r>
        <w:t>A</w:t>
      </w:r>
      <w:r w:rsidR="001B2481">
        <w:t>2</w:t>
      </w:r>
      <w:r>
        <w:t>.</w:t>
      </w:r>
      <w:r w:rsidR="00051E0D">
        <w:t xml:space="preserve">  </w:t>
      </w:r>
      <w:r w:rsidR="00CF0F10">
        <w:t xml:space="preserve">How would </w:t>
      </w:r>
      <w:r w:rsidR="00E23004">
        <w:t>using</w:t>
      </w:r>
      <w:r w:rsidR="00CF0F10">
        <w:t xml:space="preserve"> the ROE methodology described in </w:t>
      </w:r>
      <w:r w:rsidR="00815DFF">
        <w:t xml:space="preserve">the </w:t>
      </w:r>
      <w:r w:rsidR="00815DFF">
        <w:rPr>
          <w:i/>
        </w:rPr>
        <w:t xml:space="preserve">Coakley </w:t>
      </w:r>
      <w:r w:rsidR="00815DFF">
        <w:t>and MISO Briefing Orders</w:t>
      </w:r>
      <w:r w:rsidR="00CF0F10">
        <w:t xml:space="preserve"> affect </w:t>
      </w:r>
      <w:r w:rsidR="00FA715E">
        <w:t xml:space="preserve">an </w:t>
      </w:r>
      <w:r w:rsidR="00CF0F10">
        <w:t xml:space="preserve">investor’s ability to </w:t>
      </w:r>
      <w:r w:rsidR="00FC2F31">
        <w:t>forecast the</w:t>
      </w:r>
      <w:r w:rsidR="00CF0F10">
        <w:t xml:space="preserve"> ROE </w:t>
      </w:r>
      <w:r w:rsidR="000604FA">
        <w:t xml:space="preserve">the Commission would </w:t>
      </w:r>
      <w:r w:rsidR="008B67DE">
        <w:t>establish</w:t>
      </w:r>
      <w:r w:rsidR="000604FA">
        <w:t xml:space="preserve"> in a litigated proceeding </w:t>
      </w:r>
      <w:r w:rsidR="00CF0F10">
        <w:t xml:space="preserve">and the ability of </w:t>
      </w:r>
      <w:r w:rsidR="008252BA">
        <w:t>participants</w:t>
      </w:r>
      <w:r w:rsidR="00CF0F10">
        <w:t xml:space="preserve"> to propose, contest, and settle base ROEs</w:t>
      </w:r>
      <w:r w:rsidR="00917B27">
        <w:t xml:space="preserve"> </w:t>
      </w:r>
      <w:r w:rsidR="008B67DE">
        <w:t xml:space="preserve">as </w:t>
      </w:r>
      <w:r w:rsidR="00917B27">
        <w:t>compared to us</w:t>
      </w:r>
      <w:r w:rsidR="00FA715E">
        <w:t>ing</w:t>
      </w:r>
      <w:r w:rsidR="00917B27">
        <w:t xml:space="preserve"> </w:t>
      </w:r>
      <w:r w:rsidR="00FA715E">
        <w:t>only</w:t>
      </w:r>
      <w:r w:rsidR="00917B27">
        <w:t xml:space="preserve"> the DCF methodology</w:t>
      </w:r>
      <w:r w:rsidR="00CF0F10">
        <w:t>?</w:t>
      </w:r>
    </w:p>
    <w:p w:rsidR="00BE6562" w:rsidP="00EA5D2A" w:rsidRDefault="00BE6562" w14:paraId="2FB42840" w14:textId="35928AC2">
      <w:pPr>
        <w:pStyle w:val="FERCparanumber"/>
        <w:numPr>
          <w:ilvl w:val="0"/>
          <w:numId w:val="0"/>
        </w:numPr>
        <w:tabs>
          <w:tab w:val="left" w:pos="0"/>
        </w:tabs>
        <w:spacing w:after="0"/>
        <w:ind w:left="720"/>
      </w:pPr>
    </w:p>
    <w:p w:rsidR="00BE6562" w:rsidP="00EA5D2A" w:rsidRDefault="00BE6562" w14:paraId="67835CF8" w14:textId="65841D09">
      <w:pPr>
        <w:pStyle w:val="FERCparanumber"/>
        <w:numPr>
          <w:ilvl w:val="0"/>
          <w:numId w:val="0"/>
        </w:numPr>
        <w:tabs>
          <w:tab w:val="left" w:pos="0"/>
        </w:tabs>
        <w:spacing w:after="0"/>
        <w:ind w:left="720"/>
      </w:pPr>
      <w:r>
        <w:t>A</w:t>
      </w:r>
      <w:r w:rsidR="001B2481">
        <w:t>3</w:t>
      </w:r>
      <w:r>
        <w:t>.</w:t>
      </w:r>
      <w:r>
        <w:tab/>
        <w:t xml:space="preserve">Currently, </w:t>
      </w:r>
      <w:r w:rsidR="00B8070F">
        <w:t xml:space="preserve">public </w:t>
      </w:r>
      <w:r>
        <w:t xml:space="preserve">utilities in different </w:t>
      </w:r>
      <w:r w:rsidR="00CA3A69">
        <w:t xml:space="preserve">Independent System Operators (ISOs) or </w:t>
      </w:r>
      <w:r>
        <w:t xml:space="preserve">RTOs may </w:t>
      </w:r>
      <w:r w:rsidR="00CA3A69">
        <w:t xml:space="preserve">receive </w:t>
      </w:r>
      <w:r>
        <w:t xml:space="preserve">different ROEs, despite all using national proxy groups, due </w:t>
      </w:r>
      <w:r w:rsidR="004910D9">
        <w:t xml:space="preserve">primarily </w:t>
      </w:r>
      <w:r>
        <w:t xml:space="preserve">to differences in when FPA section 205 or 206 proceedings were initiated.  Are such variations justified, and, if not, should the Commission consider applying the same ROE to </w:t>
      </w:r>
      <w:r w:rsidR="005F0F1B">
        <w:t xml:space="preserve">all </w:t>
      </w:r>
      <w:r>
        <w:t>utilities in RTOs</w:t>
      </w:r>
      <w:r w:rsidR="005F0F1B">
        <w:t>/ISOs</w:t>
      </w:r>
      <w:r>
        <w:t xml:space="preserve"> based on the most recent proceeding?</w:t>
      </w:r>
    </w:p>
    <w:p w:rsidR="001F251A" w:rsidP="00EA5D2A" w:rsidRDefault="001F251A" w14:paraId="4DE6495C" w14:textId="50303E62">
      <w:pPr>
        <w:pStyle w:val="FERCparanumber"/>
        <w:numPr>
          <w:ilvl w:val="0"/>
          <w:numId w:val="0"/>
        </w:numPr>
        <w:tabs>
          <w:tab w:val="left" w:pos="0"/>
        </w:tabs>
        <w:spacing w:after="0"/>
        <w:ind w:left="720"/>
      </w:pPr>
    </w:p>
    <w:p w:rsidR="001F251A" w:rsidP="00EA5D2A" w:rsidRDefault="001F251A" w14:paraId="4B17193E" w14:textId="6A07139D">
      <w:pPr>
        <w:pStyle w:val="FERCparanumber"/>
        <w:numPr>
          <w:ilvl w:val="0"/>
          <w:numId w:val="0"/>
        </w:numPr>
        <w:tabs>
          <w:tab w:val="left" w:pos="0"/>
        </w:tabs>
        <w:spacing w:after="0"/>
        <w:ind w:left="720"/>
      </w:pPr>
      <w:r>
        <w:t>A</w:t>
      </w:r>
      <w:r w:rsidR="001B2481">
        <w:t>4</w:t>
      </w:r>
      <w:r>
        <w:t>.</w:t>
      </w:r>
      <w:r>
        <w:tab/>
        <w:t xml:space="preserve">Should the ROE reflect the cost of capital at the time of the investment or be </w:t>
      </w:r>
      <w:r w:rsidR="0020086B">
        <w:t xml:space="preserve">subject to adjustment to reflect the contemporary </w:t>
      </w:r>
      <w:r w:rsidR="004C4173">
        <w:t>ROE</w:t>
      </w:r>
      <w:r w:rsidR="0020086B">
        <w:t xml:space="preserve"> required by investors</w:t>
      </w:r>
      <w:r>
        <w:t xml:space="preserve">? </w:t>
      </w:r>
    </w:p>
    <w:p w:rsidR="001F251A" w:rsidP="00EA5D2A" w:rsidRDefault="001F251A" w14:paraId="111ADED6" w14:textId="77777777">
      <w:pPr>
        <w:pStyle w:val="FERCparanumber"/>
        <w:numPr>
          <w:ilvl w:val="0"/>
          <w:numId w:val="0"/>
        </w:numPr>
        <w:tabs>
          <w:tab w:val="left" w:pos="0"/>
        </w:tabs>
        <w:spacing w:after="0"/>
        <w:ind w:left="720"/>
      </w:pPr>
    </w:p>
    <w:p w:rsidR="001F251A" w:rsidP="00EA5D2A" w:rsidRDefault="001F251A" w14:paraId="0120E4B5" w14:textId="7E37A825">
      <w:pPr>
        <w:pStyle w:val="FERCparanumber"/>
        <w:numPr>
          <w:ilvl w:val="0"/>
          <w:numId w:val="0"/>
        </w:numPr>
        <w:tabs>
          <w:tab w:val="left" w:pos="0"/>
        </w:tabs>
        <w:spacing w:after="0"/>
        <w:ind w:left="1440"/>
      </w:pPr>
      <w:r>
        <w:t>A</w:t>
      </w:r>
      <w:r w:rsidR="001B2481">
        <w:t>4</w:t>
      </w:r>
      <w:r w:rsidR="00B10040">
        <w:t>.</w:t>
      </w:r>
      <w:r w:rsidR="00D45D4E">
        <w:t>a.</w:t>
      </w:r>
      <w:r w:rsidR="00D45D4E">
        <w:tab/>
      </w:r>
      <w:r w:rsidR="00FB761C">
        <w:t xml:space="preserve">Should the Commission consider </w:t>
      </w:r>
      <w:r w:rsidR="00A053CB">
        <w:t>a</w:t>
      </w:r>
      <w:r>
        <w:t xml:space="preserve"> “vintage approach</w:t>
      </w:r>
      <w:r w:rsidR="00FB761C">
        <w:t>,</w:t>
      </w:r>
      <w:r>
        <w:t>”</w:t>
      </w:r>
      <w:r w:rsidR="00A053CB">
        <w:t xml:space="preserve"> with ROE fixed </w:t>
      </w:r>
      <w:r w:rsidR="00B10040">
        <w:t xml:space="preserve">for the life of the asset </w:t>
      </w:r>
      <w:r w:rsidR="00A053CB">
        <w:t>at the time that each asset was completed</w:t>
      </w:r>
      <w:r>
        <w:t>?</w:t>
      </w:r>
    </w:p>
    <w:p w:rsidR="001F251A" w:rsidP="00A36179" w:rsidRDefault="001F251A" w14:paraId="2AB2D210" w14:textId="66143682">
      <w:pPr>
        <w:pStyle w:val="FERCparanumber"/>
        <w:numPr>
          <w:ilvl w:val="0"/>
          <w:numId w:val="0"/>
        </w:numPr>
        <w:tabs>
          <w:tab w:val="left" w:pos="0"/>
        </w:tabs>
        <w:spacing w:after="0"/>
        <w:ind w:left="1440" w:hanging="720"/>
      </w:pPr>
      <w:r>
        <w:tab/>
        <w:t>A</w:t>
      </w:r>
      <w:r w:rsidR="001B2481">
        <w:t>4</w:t>
      </w:r>
      <w:r w:rsidR="00B10040">
        <w:t>.</w:t>
      </w:r>
      <w:r w:rsidR="00D45D4E">
        <w:t>b.</w:t>
      </w:r>
      <w:r w:rsidR="00D45D4E">
        <w:tab/>
      </w:r>
      <w:r>
        <w:t>Would such a “vintage approach” need to be coupled with a</w:t>
      </w:r>
      <w:r w:rsidR="008C3D20">
        <w:t>n annual</w:t>
      </w:r>
      <w:r>
        <w:t xml:space="preserve"> </w:t>
      </w:r>
      <w:r w:rsidR="00A6230C">
        <w:t>national</w:t>
      </w:r>
      <w:r w:rsidR="005439FF">
        <w:t xml:space="preserve"> default ROE</w:t>
      </w:r>
      <w:r w:rsidR="008C3D20">
        <w:t xml:space="preserve"> for investments made in that year</w:t>
      </w:r>
      <w:r w:rsidR="00434AEB">
        <w:t xml:space="preserve">, so as to minimize the need for </w:t>
      </w:r>
      <w:r w:rsidR="004856C4">
        <w:t xml:space="preserve">numerous </w:t>
      </w:r>
      <w:r w:rsidR="00D216AE">
        <w:t>annual litigated ROE proceedings</w:t>
      </w:r>
      <w:r w:rsidDel="004856C4" w:rsidR="00D216AE">
        <w:t xml:space="preserve"> </w:t>
      </w:r>
      <w:r w:rsidR="00F828BC">
        <w:t xml:space="preserve">for each </w:t>
      </w:r>
      <w:r w:rsidR="00B8070F">
        <w:t xml:space="preserve">public </w:t>
      </w:r>
      <w:r w:rsidR="00F828BC">
        <w:t xml:space="preserve">utility that made </w:t>
      </w:r>
      <w:r w:rsidR="00AE425E">
        <w:t xml:space="preserve">an </w:t>
      </w:r>
      <w:r w:rsidR="00F828BC">
        <w:t>investment during that year</w:t>
      </w:r>
      <w:r w:rsidR="00D216AE">
        <w:t>?</w:t>
      </w:r>
      <w:r w:rsidR="008C3D20">
        <w:t xml:space="preserve">  What procedure should be used to determine such a default ROE?  </w:t>
      </w:r>
    </w:p>
    <w:p w:rsidR="00CF0F10" w:rsidP="00EA5D2A" w:rsidRDefault="00CF0F10" w14:paraId="6A7D1370" w14:textId="77777777">
      <w:pPr>
        <w:tabs>
          <w:tab w:val="left" w:pos="0"/>
        </w:tabs>
      </w:pPr>
    </w:p>
    <w:p w:rsidR="00CF0F10" w:rsidP="00EA5D2A" w:rsidRDefault="00CF0F10" w14:paraId="5B5F8E05" w14:textId="77777777">
      <w:pPr>
        <w:pStyle w:val="Heading2"/>
        <w:tabs>
          <w:tab w:val="left" w:pos="0"/>
        </w:tabs>
      </w:pPr>
      <w:r w:rsidRPr="00A26096">
        <w:t>ROEs for different Commission-regulated industries</w:t>
      </w:r>
    </w:p>
    <w:p w:rsidRPr="00FA715E" w:rsidR="000725C7" w:rsidP="000B5609" w:rsidRDefault="003547AA" w14:paraId="3EE4131F" w14:textId="61129BA5">
      <w:pPr>
        <w:pStyle w:val="StyleFERCparanumberLinespacingDouble"/>
        <w:tabs>
          <w:tab w:val="clear" w:pos="810"/>
          <w:tab w:val="num" w:pos="720"/>
        </w:tabs>
      </w:pPr>
      <w:r>
        <w:t xml:space="preserve">The Commission seeks comment on whether </w:t>
      </w:r>
      <w:r w:rsidR="00FB761C">
        <w:t xml:space="preserve">to apply a single </w:t>
      </w:r>
      <w:r>
        <w:t xml:space="preserve">ROE policy </w:t>
      </w:r>
      <w:r w:rsidR="002733FF">
        <w:t xml:space="preserve">across </w:t>
      </w:r>
      <w:r w:rsidR="00B8070F">
        <w:t xml:space="preserve">electric, </w:t>
      </w:r>
      <w:r w:rsidRPr="00B8070F" w:rsidR="00B8070F">
        <w:t xml:space="preserve">interstate natural gas and oil pipeline </w:t>
      </w:r>
      <w:r w:rsidR="002733FF">
        <w:t>industries</w:t>
      </w:r>
      <w:r>
        <w:t>.</w:t>
      </w:r>
    </w:p>
    <w:p w:rsidR="00C24A73" w:rsidP="00EA5D2A" w:rsidRDefault="0054125B" w14:paraId="470A044A" w14:textId="2D25385F">
      <w:pPr>
        <w:pStyle w:val="FERCparanumber"/>
        <w:numPr>
          <w:ilvl w:val="0"/>
          <w:numId w:val="0"/>
        </w:numPr>
        <w:tabs>
          <w:tab w:val="left" w:pos="0"/>
        </w:tabs>
        <w:spacing w:after="0"/>
        <w:ind w:left="720"/>
      </w:pPr>
      <w:r>
        <w:t xml:space="preserve">B1. </w:t>
      </w:r>
      <w:r w:rsidR="006D3D66">
        <w:tab/>
      </w:r>
      <w:r w:rsidRPr="00A26096" w:rsidR="00CF0F10">
        <w:t xml:space="preserve">In Opinion </w:t>
      </w:r>
      <w:r w:rsidR="00CF0F10">
        <w:t xml:space="preserve">No. 531, the Commission found </w:t>
      </w:r>
      <w:r w:rsidR="00A372A2">
        <w:t xml:space="preserve">that the </w:t>
      </w:r>
      <w:r w:rsidR="00CF0F10">
        <w:t xml:space="preserve">same </w:t>
      </w:r>
      <w:r w:rsidR="00C24A73">
        <w:t xml:space="preserve">DCF </w:t>
      </w:r>
      <w:r w:rsidR="00CF0F10">
        <w:t>method</w:t>
      </w:r>
      <w:r w:rsidR="004216A3">
        <w:t>ology</w:t>
      </w:r>
      <w:r w:rsidR="00CF0F10">
        <w:t xml:space="preserve"> should be used to determine </w:t>
      </w:r>
      <w:r w:rsidR="00A372A2">
        <w:t xml:space="preserve">an </w:t>
      </w:r>
      <w:r w:rsidR="00CF0F10">
        <w:t>ROE for all its regulated industries, including public utilities</w:t>
      </w:r>
      <w:r w:rsidR="00E16F55">
        <w:t>, as well as</w:t>
      </w:r>
      <w:r w:rsidR="00CF0F10">
        <w:t xml:space="preserve"> gas and oil pipelines.  If the Commission departs from </w:t>
      </w:r>
      <w:r w:rsidR="00527E41">
        <w:t xml:space="preserve">our </w:t>
      </w:r>
      <w:r w:rsidR="00CF0F10">
        <w:t xml:space="preserve">sole use of </w:t>
      </w:r>
      <w:r w:rsidR="00A372A2">
        <w:t xml:space="preserve">a </w:t>
      </w:r>
      <w:r w:rsidR="00CF0F10">
        <w:t>two-step DCF method</w:t>
      </w:r>
      <w:r w:rsidR="004216A3">
        <w:t>ology</w:t>
      </w:r>
      <w:r w:rsidR="00CF0F10">
        <w:t xml:space="preserve"> for public utilities, </w:t>
      </w:r>
      <w:r w:rsidR="00027BED">
        <w:t>should</w:t>
      </w:r>
      <w:r w:rsidR="00CF0F10">
        <w:t xml:space="preserve"> </w:t>
      </w:r>
      <w:r w:rsidR="00A372A2">
        <w:t xml:space="preserve">the </w:t>
      </w:r>
      <w:r w:rsidR="00CF0F10">
        <w:t>new method</w:t>
      </w:r>
      <w:r w:rsidR="00C24A73">
        <w:t xml:space="preserve"> or methods</w:t>
      </w:r>
      <w:r w:rsidR="00CF0F10">
        <w:t xml:space="preserve"> </w:t>
      </w:r>
      <w:r w:rsidR="00027BED">
        <w:t xml:space="preserve">also </w:t>
      </w:r>
      <w:r w:rsidR="00C24A73">
        <w:t>be used to determine</w:t>
      </w:r>
      <w:r w:rsidR="00CF0F10">
        <w:t xml:space="preserve"> </w:t>
      </w:r>
      <w:r w:rsidR="00EF5A3B">
        <w:t xml:space="preserve">natural </w:t>
      </w:r>
      <w:r w:rsidR="00CF0F10">
        <w:t>gas and oil pipeline</w:t>
      </w:r>
      <w:r w:rsidR="00C24A73">
        <w:t xml:space="preserve"> ROE</w:t>
      </w:r>
      <w:r w:rsidR="00CF0F10">
        <w:t>s?</w:t>
      </w:r>
      <w:r w:rsidR="000D3690">
        <w:t xml:space="preserve">  </w:t>
      </w:r>
    </w:p>
    <w:p w:rsidR="00643494" w:rsidP="00EA5D2A" w:rsidRDefault="00643494" w14:paraId="70680037" w14:textId="77777777">
      <w:pPr>
        <w:pStyle w:val="FERCparanumber"/>
        <w:numPr>
          <w:ilvl w:val="0"/>
          <w:numId w:val="0"/>
        </w:numPr>
        <w:tabs>
          <w:tab w:val="left" w:pos="0"/>
        </w:tabs>
        <w:spacing w:after="0"/>
        <w:ind w:left="720"/>
      </w:pPr>
    </w:p>
    <w:p w:rsidR="00CB7C97" w:rsidP="00EA5D2A" w:rsidRDefault="00C24A73" w14:paraId="74E808ED" w14:textId="5A9C3B0B">
      <w:pPr>
        <w:pStyle w:val="FERCparanumber"/>
        <w:numPr>
          <w:ilvl w:val="0"/>
          <w:numId w:val="0"/>
        </w:numPr>
        <w:tabs>
          <w:tab w:val="left" w:pos="0"/>
        </w:tabs>
        <w:spacing w:after="0"/>
        <w:ind w:left="720"/>
      </w:pPr>
      <w:r>
        <w:t>B2.</w:t>
      </w:r>
      <w:r>
        <w:tab/>
        <w:t>The Risk Premium method</w:t>
      </w:r>
      <w:r w:rsidR="003533E0">
        <w:t>ology</w:t>
      </w:r>
      <w:r>
        <w:t xml:space="preserve"> approved in Opinion Nos. 531 and 551 relied to a large extent on ROEs </w:t>
      </w:r>
      <w:r w:rsidR="0041751C">
        <w:t xml:space="preserve">set forth </w:t>
      </w:r>
      <w:r w:rsidR="00EF5A3B">
        <w:t xml:space="preserve">in </w:t>
      </w:r>
      <w:r w:rsidR="00DC0BF2">
        <w:t xml:space="preserve">numerous </w:t>
      </w:r>
      <w:r w:rsidR="00EF5A3B">
        <w:t>settlements involving public utility formula rates</w:t>
      </w:r>
      <w:r w:rsidR="002E4C44">
        <w:t xml:space="preserve"> </w:t>
      </w:r>
      <w:r>
        <w:t xml:space="preserve">approved </w:t>
      </w:r>
      <w:r w:rsidDel="002E4C44" w:rsidR="00CB7C97">
        <w:t>by the Commission</w:t>
      </w:r>
      <w:r w:rsidR="00DC0BF2">
        <w:t xml:space="preserve"> over the preceding </w:t>
      </w:r>
      <w:r w:rsidR="000516C0">
        <w:t xml:space="preserve">15 or </w:t>
      </w:r>
      <w:r w:rsidR="00772FF4">
        <w:t xml:space="preserve">         </w:t>
      </w:r>
      <w:r w:rsidR="000516C0">
        <w:t>20 years</w:t>
      </w:r>
      <w:r w:rsidR="00CB7C97">
        <w:t xml:space="preserve">.  </w:t>
      </w:r>
      <w:r w:rsidR="00DC0BF2">
        <w:t>Natural gas and oil pipelines have stated rates and s</w:t>
      </w:r>
      <w:r w:rsidR="00CB7C97">
        <w:t xml:space="preserve">ettlements of </w:t>
      </w:r>
      <w:r w:rsidR="00DC0BF2">
        <w:t xml:space="preserve">their </w:t>
      </w:r>
      <w:r w:rsidR="00CB7C97">
        <w:t xml:space="preserve">rate cases </w:t>
      </w:r>
      <w:r w:rsidR="00EF5A3B">
        <w:t xml:space="preserve">are </w:t>
      </w:r>
      <w:r w:rsidR="00CB7C97">
        <w:t xml:space="preserve">typically </w:t>
      </w:r>
      <w:r w:rsidR="00EF5A3B">
        <w:t>“black box” settlements that do not specify an</w:t>
      </w:r>
      <w:r w:rsidR="00CB7C97">
        <w:t xml:space="preserve"> agreed-upon ROE.  How could the Risk Premium method</w:t>
      </w:r>
      <w:r w:rsidR="003533E0">
        <w:t>ology</w:t>
      </w:r>
      <w:r w:rsidR="00CB7C97">
        <w:t xml:space="preserve"> be implemented in </w:t>
      </w:r>
      <w:r w:rsidR="00EF5A3B">
        <w:t xml:space="preserve">natural </w:t>
      </w:r>
      <w:r w:rsidR="00CB7C97">
        <w:t>gas or oil pipeline rate case</w:t>
      </w:r>
      <w:r w:rsidR="000516C0">
        <w:t>s</w:t>
      </w:r>
      <w:r w:rsidR="007E34EC">
        <w:t xml:space="preserve"> where there is </w:t>
      </w:r>
      <w:r w:rsidR="000516C0">
        <w:t>no history of ROE settlements from which to develop a risk premium study of the type used in Opinion Nos. 531 and 551</w:t>
      </w:r>
      <w:r w:rsidR="00CB7C97">
        <w:t>?</w:t>
      </w:r>
    </w:p>
    <w:p w:rsidR="00E56A00" w:rsidP="00EA5D2A" w:rsidRDefault="00E56A00" w14:paraId="2FFF467F" w14:textId="2E23A0D4">
      <w:pPr>
        <w:pStyle w:val="FERCparanumber"/>
        <w:numPr>
          <w:ilvl w:val="0"/>
          <w:numId w:val="0"/>
        </w:numPr>
        <w:tabs>
          <w:tab w:val="left" w:pos="0"/>
        </w:tabs>
        <w:spacing w:after="0"/>
        <w:ind w:left="720"/>
      </w:pPr>
    </w:p>
    <w:p w:rsidR="00E56A00" w:rsidP="00EA5D2A" w:rsidRDefault="00E56A00" w14:paraId="28ADC9CE" w14:textId="274E8611">
      <w:pPr>
        <w:pStyle w:val="FERCparanumber"/>
        <w:numPr>
          <w:ilvl w:val="0"/>
          <w:numId w:val="0"/>
        </w:numPr>
        <w:tabs>
          <w:tab w:val="left" w:pos="0"/>
        </w:tabs>
        <w:spacing w:after="0"/>
        <w:ind w:left="720"/>
      </w:pPr>
      <w:r>
        <w:lastRenderedPageBreak/>
        <w:t>B3.</w:t>
      </w:r>
      <w:r>
        <w:tab/>
      </w:r>
      <w:r w:rsidR="00621D0A">
        <w:t xml:space="preserve">Given the tendency of the </w:t>
      </w:r>
      <w:r w:rsidR="0026370E">
        <w:t>Expected Earnings methodology to produce more high-end outliers than the other methodologies, would there be a sufficient number of natural gas and oil pipeline proxy members to implement the Expected Earnings methodology for gas and oil pipelines</w:t>
      </w:r>
      <w:r>
        <w:t>?</w:t>
      </w:r>
    </w:p>
    <w:p w:rsidR="00640EAB" w:rsidP="00EA5D2A" w:rsidRDefault="00640EAB" w14:paraId="7341EF85" w14:textId="55D09E4C">
      <w:pPr>
        <w:pStyle w:val="FERCparanumber"/>
        <w:numPr>
          <w:ilvl w:val="0"/>
          <w:numId w:val="0"/>
        </w:numPr>
        <w:tabs>
          <w:tab w:val="left" w:pos="0"/>
        </w:tabs>
        <w:spacing w:after="0"/>
        <w:ind w:left="720"/>
      </w:pPr>
    </w:p>
    <w:p w:rsidR="00CF0F10" w:rsidP="00EA5D2A" w:rsidRDefault="004A22E0" w14:paraId="7BD849F4" w14:textId="078438F5">
      <w:pPr>
        <w:pStyle w:val="FERCparanumber"/>
        <w:numPr>
          <w:ilvl w:val="0"/>
          <w:numId w:val="0"/>
        </w:numPr>
        <w:tabs>
          <w:tab w:val="left" w:pos="0"/>
        </w:tabs>
        <w:spacing w:after="0"/>
        <w:ind w:left="720"/>
      </w:pPr>
      <w:r>
        <w:t>B4</w:t>
      </w:r>
      <w:r w:rsidR="00CB7C97">
        <w:t>.</w:t>
      </w:r>
      <w:r w:rsidR="00CB7C97">
        <w:tab/>
      </w:r>
      <w:r w:rsidR="00E56A00">
        <w:t>What, if any,</w:t>
      </w:r>
      <w:r w:rsidR="00CB7C97">
        <w:t xml:space="preserve"> differences between public utilities on the one hand and </w:t>
      </w:r>
      <w:r w:rsidR="00D310EF">
        <w:t xml:space="preserve">natural </w:t>
      </w:r>
      <w:r w:rsidR="00CB7C97">
        <w:t xml:space="preserve">gas and oil pipelines on the other </w:t>
      </w:r>
      <w:r w:rsidR="00CD4D90">
        <w:t xml:space="preserve">would </w:t>
      </w:r>
      <w:r w:rsidR="00CB7C97">
        <w:t>justify using different method</w:t>
      </w:r>
      <w:r w:rsidR="003E797B">
        <w:t>ologie</w:t>
      </w:r>
      <w:r w:rsidR="00CB7C97">
        <w:t>s to determine their ROEs?</w:t>
      </w:r>
      <w:r w:rsidRPr="00F016A5" w:rsidR="00CF0F10">
        <w:rPr>
          <w:rStyle w:val="FootnoteReference"/>
        </w:rPr>
        <w:t xml:space="preserve"> </w:t>
      </w:r>
      <w:r w:rsidR="00F016A5">
        <w:rPr>
          <w:rStyle w:val="FootnoteReference"/>
        </w:rPr>
        <w:footnoteReference w:id="60"/>
      </w:r>
      <w:r w:rsidR="00CF0F10">
        <w:t xml:space="preserve">  </w:t>
      </w:r>
    </w:p>
    <w:p w:rsidRPr="00241849" w:rsidR="00CF0F10" w:rsidP="00EA5D2A" w:rsidRDefault="00CF0F10" w14:paraId="339A0450" w14:textId="77777777">
      <w:pPr>
        <w:tabs>
          <w:tab w:val="left" w:pos="0"/>
        </w:tabs>
      </w:pPr>
      <w:r w:rsidRPr="00241849">
        <w:t xml:space="preserve"> </w:t>
      </w:r>
    </w:p>
    <w:p w:rsidR="00CF0F10" w:rsidP="00EA5D2A" w:rsidRDefault="00CF0F10" w14:paraId="36A42F7B" w14:textId="2EFD5235">
      <w:pPr>
        <w:pStyle w:val="Heading2"/>
        <w:tabs>
          <w:tab w:val="left" w:pos="0"/>
          <w:tab w:val="left" w:pos="2055"/>
        </w:tabs>
      </w:pPr>
      <w:r w:rsidRPr="008E51DE">
        <w:t xml:space="preserve">Performance of </w:t>
      </w:r>
      <w:r w:rsidR="00AB5422">
        <w:t xml:space="preserve">the </w:t>
      </w:r>
      <w:r w:rsidRPr="008E51DE">
        <w:t>DCF</w:t>
      </w:r>
      <w:r>
        <w:t xml:space="preserve"> Model</w:t>
      </w:r>
    </w:p>
    <w:p w:rsidRPr="00FA715E" w:rsidR="000725C7" w:rsidP="003024C4" w:rsidRDefault="00EF6A09" w14:paraId="313ACA4B" w14:textId="72006336">
      <w:pPr>
        <w:pStyle w:val="StyleFERCparanumberLinespacingDouble"/>
        <w:tabs>
          <w:tab w:val="clear" w:pos="810"/>
          <w:tab w:val="num" w:pos="720"/>
        </w:tabs>
      </w:pPr>
      <w:r>
        <w:t>The Commission seeks comment on the robustness of the DCF model over time and under differing investment conditions.</w:t>
      </w:r>
    </w:p>
    <w:p w:rsidR="00B11223" w:rsidP="00EA5D2A" w:rsidRDefault="007E68EC" w14:paraId="4BB75A16" w14:textId="1ED6F045">
      <w:pPr>
        <w:pStyle w:val="FERCparanumber"/>
        <w:numPr>
          <w:ilvl w:val="0"/>
          <w:numId w:val="0"/>
        </w:numPr>
        <w:tabs>
          <w:tab w:val="left" w:pos="0"/>
        </w:tabs>
        <w:ind w:left="720"/>
      </w:pPr>
      <w:r>
        <w:t xml:space="preserve">C1. </w:t>
      </w:r>
      <w:r w:rsidR="004F7E0A">
        <w:tab/>
      </w:r>
      <w:r w:rsidRPr="004F7E0A" w:rsidR="004F7E0A">
        <w:t xml:space="preserve">The DCF model assumes stock prices are equal to the present value of projected future cash flows.  </w:t>
      </w:r>
      <w:r w:rsidR="00DA0424">
        <w:t>Is there</w:t>
      </w:r>
      <w:r w:rsidRPr="00B11223" w:rsidR="00DA0424">
        <w:t xml:space="preserve"> </w:t>
      </w:r>
      <w:r w:rsidRPr="00B11223" w:rsidR="00B11223">
        <w:t>evidence of situations when the</w:t>
      </w:r>
      <w:r w:rsidR="00FB761C">
        <w:t>se</w:t>
      </w:r>
      <w:r w:rsidRPr="00B11223" w:rsidR="00B11223">
        <w:t xml:space="preserve"> assumptions </w:t>
      </w:r>
      <w:r w:rsidR="00FB761C">
        <w:t xml:space="preserve">are </w:t>
      </w:r>
      <w:r w:rsidRPr="00B11223" w:rsidR="00B11223">
        <w:t>inaccurate?</w:t>
      </w:r>
    </w:p>
    <w:p w:rsidR="00CF0F10" w:rsidP="00EA5D2A" w:rsidRDefault="00B11223" w14:paraId="53BE40EC" w14:textId="702C7323">
      <w:pPr>
        <w:pStyle w:val="FERCparanumber"/>
        <w:numPr>
          <w:ilvl w:val="0"/>
          <w:numId w:val="0"/>
        </w:numPr>
        <w:tabs>
          <w:tab w:val="left" w:pos="0"/>
        </w:tabs>
        <w:ind w:left="720"/>
      </w:pPr>
      <w:r>
        <w:t>C2.</w:t>
      </w:r>
      <w:r>
        <w:tab/>
      </w:r>
      <w:r w:rsidRPr="004F7E0A" w:rsidR="004F7E0A">
        <w:t xml:space="preserve">Have current and projected proxy company earnings over the last 10 </w:t>
      </w:r>
      <w:r w:rsidR="007E7996">
        <w:t xml:space="preserve">to </w:t>
      </w:r>
      <w:r w:rsidR="00C72357">
        <w:t xml:space="preserve">    </w:t>
      </w:r>
      <w:r w:rsidR="007E7996">
        <w:t xml:space="preserve">20 </w:t>
      </w:r>
      <w:r w:rsidRPr="004F7E0A" w:rsidR="004F7E0A">
        <w:t xml:space="preserve">years increased in a manner that would justify </w:t>
      </w:r>
      <w:r w:rsidR="004F7E0A">
        <w:t xml:space="preserve">any </w:t>
      </w:r>
      <w:r w:rsidRPr="004F7E0A" w:rsidR="004F7E0A">
        <w:t xml:space="preserve">increases </w:t>
      </w:r>
      <w:r w:rsidRPr="004F7E0A" w:rsidR="004F7E0A">
        <w:lastRenderedPageBreak/>
        <w:t>in their stock prices over the same period, consistent with DCF model assumption</w:t>
      </w:r>
      <w:r w:rsidR="004F7E0A">
        <w:t>s</w:t>
      </w:r>
      <w:r w:rsidRPr="004F7E0A" w:rsidR="004F7E0A">
        <w:t>?</w:t>
      </w:r>
      <w:r w:rsidR="006D3D66">
        <w:tab/>
      </w:r>
    </w:p>
    <w:p w:rsidR="00027BED" w:rsidP="00EA5D2A" w:rsidRDefault="007E68EC" w14:paraId="5320641A" w14:textId="166BEEC5">
      <w:pPr>
        <w:pStyle w:val="FERCparanumber"/>
        <w:numPr>
          <w:ilvl w:val="0"/>
          <w:numId w:val="0"/>
        </w:numPr>
        <w:tabs>
          <w:tab w:val="left" w:pos="0"/>
        </w:tabs>
        <w:ind w:left="720"/>
      </w:pPr>
      <w:r>
        <w:t>C</w:t>
      </w:r>
      <w:r w:rsidR="00B11223">
        <w:t>3</w:t>
      </w:r>
      <w:r>
        <w:t xml:space="preserve">. </w:t>
      </w:r>
      <w:r w:rsidR="006D3D66">
        <w:tab/>
      </w:r>
      <w:r w:rsidR="00FB761C">
        <w:t>How</w:t>
      </w:r>
      <w:r w:rsidR="002A79D7">
        <w:t xml:space="preserve"> </w:t>
      </w:r>
      <w:r w:rsidR="009653EB">
        <w:t>does</w:t>
      </w:r>
      <w:r w:rsidR="002A79D7">
        <w:t xml:space="preserve"> the </w:t>
      </w:r>
      <w:r w:rsidR="00CF0F10">
        <w:t>DCF</w:t>
      </w:r>
      <w:r w:rsidR="002A79D7">
        <w:t xml:space="preserve"> methodology </w:t>
      </w:r>
      <w:r w:rsidR="00FB761C">
        <w:t xml:space="preserve">perform </w:t>
      </w:r>
      <w:r w:rsidR="00367E1E">
        <w:t>over a wide range of</w:t>
      </w:r>
      <w:r w:rsidR="00A5779B">
        <w:t xml:space="preserve"> interest rate</w:t>
      </w:r>
      <w:r w:rsidR="00367E1E">
        <w:t xml:space="preserve"> conditions</w:t>
      </w:r>
      <w:r w:rsidR="00CF0F10">
        <w:t>?</w:t>
      </w:r>
      <w:r w:rsidR="00027BED">
        <w:t xml:space="preserve">  </w:t>
      </w:r>
    </w:p>
    <w:p w:rsidR="00CF0F10" w:rsidP="004445B5" w:rsidRDefault="00027BED" w14:paraId="44CD8343" w14:textId="737A442A">
      <w:pPr>
        <w:pStyle w:val="FERCparanumber"/>
        <w:numPr>
          <w:ilvl w:val="0"/>
          <w:numId w:val="0"/>
        </w:numPr>
        <w:tabs>
          <w:tab w:val="left" w:pos="0"/>
        </w:tabs>
        <w:ind w:left="1440"/>
      </w:pPr>
      <w:r>
        <w:t>C</w:t>
      </w:r>
      <w:r w:rsidR="00B11223">
        <w:t>3</w:t>
      </w:r>
      <w:r w:rsidR="00BC4777">
        <w:t>.</w:t>
      </w:r>
      <w:r>
        <w:t>a.</w:t>
      </w:r>
      <w:r>
        <w:tab/>
      </w:r>
      <w:r w:rsidRPr="004A22E0" w:rsidR="004A22E0">
        <w:t xml:space="preserve"> </w:t>
      </w:r>
      <w:r w:rsidR="004A22E0">
        <w:t>What specific assumptions of the DCF model, if any, do not work well in low or high interest rate environments?</w:t>
      </w:r>
      <w:r w:rsidR="00FB761C">
        <w:t xml:space="preserve"> </w:t>
      </w:r>
    </w:p>
    <w:p w:rsidR="00CF0F10" w:rsidP="00EA5D2A" w:rsidRDefault="001A343E" w14:paraId="1B317FE7" w14:textId="0A92177C">
      <w:pPr>
        <w:pStyle w:val="FERCparanumber"/>
        <w:numPr>
          <w:ilvl w:val="0"/>
          <w:numId w:val="0"/>
        </w:numPr>
        <w:tabs>
          <w:tab w:val="left" w:pos="0"/>
        </w:tabs>
        <w:ind w:left="1440"/>
      </w:pPr>
      <w:r>
        <w:t>C3.b.</w:t>
      </w:r>
      <w:r w:rsidR="00D45D4E">
        <w:tab/>
      </w:r>
      <w:r w:rsidR="00905479">
        <w:t>Is there evidence that the volatility of price-to-earnings ratios over the last 10 to 20 years, assumed to be constant in the DCF methodology, has been driven by the wide swings in interest rates over this period?  If so, would the constant P/E assumption impact the award of reasonable ROEs?</w:t>
      </w:r>
    </w:p>
    <w:p w:rsidR="00CF0F10" w:rsidP="00EA5D2A" w:rsidRDefault="00CF0F10" w14:paraId="05125047" w14:textId="77777777">
      <w:pPr>
        <w:pStyle w:val="Heading2"/>
        <w:tabs>
          <w:tab w:val="left" w:pos="0"/>
        </w:tabs>
      </w:pPr>
      <w:r>
        <w:t>Proxy Groups</w:t>
      </w:r>
    </w:p>
    <w:p w:rsidRPr="00FA715E" w:rsidR="00FA715E" w:rsidP="00C72357" w:rsidRDefault="00EF6A09" w14:paraId="4F048D28" w14:textId="4A90E9EE">
      <w:pPr>
        <w:pStyle w:val="StyleFERCparanumberLinespacingDouble"/>
        <w:tabs>
          <w:tab w:val="clear" w:pos="810"/>
          <w:tab w:val="left" w:pos="720"/>
        </w:tabs>
      </w:pPr>
      <w:r>
        <w:t xml:space="preserve">The Commission seeks comment on </w:t>
      </w:r>
      <w:r w:rsidR="00F72094">
        <w:t xml:space="preserve">the </w:t>
      </w:r>
      <w:r w:rsidR="006D56A2">
        <w:t>appropriate guidelines for proxy group composition, elimination of outliers, and placement of base ROE within a zone of reasonableness.</w:t>
      </w:r>
    </w:p>
    <w:p w:rsidR="006F1AAF" w:rsidP="00EA5D2A" w:rsidRDefault="007E68EC" w14:paraId="7354FA95" w14:textId="77777777">
      <w:pPr>
        <w:pStyle w:val="FERCparanumber"/>
        <w:numPr>
          <w:ilvl w:val="0"/>
          <w:numId w:val="0"/>
        </w:numPr>
        <w:tabs>
          <w:tab w:val="left" w:pos="0"/>
        </w:tabs>
        <w:ind w:left="720"/>
      </w:pPr>
      <w:r>
        <w:t xml:space="preserve">D1. </w:t>
      </w:r>
      <w:r w:rsidR="006D3D66">
        <w:tab/>
      </w:r>
      <w:r w:rsidR="00CF0F10">
        <w:t>Should proxy groups for electric utilities</w:t>
      </w:r>
      <w:r w:rsidR="009653EB">
        <w:t>,</w:t>
      </w:r>
      <w:r w:rsidR="00CF0F10">
        <w:t xml:space="preserve"> </w:t>
      </w:r>
      <w:r w:rsidR="009653EB">
        <w:t>as well as natural</w:t>
      </w:r>
      <w:r w:rsidR="00CF0F10">
        <w:t xml:space="preserve"> gas and oil pipelines</w:t>
      </w:r>
      <w:r w:rsidR="009653EB">
        <w:t>,</w:t>
      </w:r>
      <w:r w:rsidR="00CF0F10">
        <w:t xml:space="preserve"> consist only </w:t>
      </w:r>
      <w:r w:rsidR="009653EB">
        <w:t xml:space="preserve">of </w:t>
      </w:r>
      <w:r w:rsidR="00CF0F10">
        <w:t>companies with corresponding regulated business</w:t>
      </w:r>
      <w:r w:rsidR="009653EB">
        <w:t>es</w:t>
      </w:r>
      <w:r w:rsidR="00CF0F10">
        <w:t xml:space="preserve">?  </w:t>
      </w:r>
    </w:p>
    <w:p w:rsidR="00975827" w:rsidP="00EA5D2A" w:rsidRDefault="006F1AAF" w14:paraId="36729ED2" w14:textId="19044CFB">
      <w:pPr>
        <w:pStyle w:val="FERCparanumber"/>
        <w:numPr>
          <w:ilvl w:val="0"/>
          <w:numId w:val="0"/>
        </w:numPr>
        <w:tabs>
          <w:tab w:val="left" w:pos="0"/>
        </w:tabs>
        <w:ind w:left="1440"/>
      </w:pPr>
      <w:r>
        <w:t>D1</w:t>
      </w:r>
      <w:r w:rsidR="00DE1061">
        <w:t>.</w:t>
      </w:r>
      <w:r>
        <w:t>a.</w:t>
      </w:r>
      <w:r w:rsidR="00D45D4E">
        <w:tab/>
      </w:r>
      <w:r w:rsidR="00DE1061">
        <w:t xml:space="preserve">For </w:t>
      </w:r>
      <w:r w:rsidR="00975827">
        <w:t xml:space="preserve">companies with </w:t>
      </w:r>
      <w:r w:rsidR="00DE1061">
        <w:t xml:space="preserve">a </w:t>
      </w:r>
      <w:r w:rsidR="00975827">
        <w:t>combin</w:t>
      </w:r>
      <w:r w:rsidR="00DE1061">
        <w:t>ation of</w:t>
      </w:r>
      <w:r w:rsidR="00975827">
        <w:t xml:space="preserve"> </w:t>
      </w:r>
      <w:r w:rsidR="00FB761C">
        <w:t xml:space="preserve">regulated and unregulated </w:t>
      </w:r>
      <w:r w:rsidR="00975827">
        <w:t>businesses</w:t>
      </w:r>
      <w:r w:rsidR="00DE1061">
        <w:t xml:space="preserve">, should </w:t>
      </w:r>
      <w:r w:rsidR="006D3141">
        <w:t xml:space="preserve">a company </w:t>
      </w:r>
      <w:r w:rsidR="00975827">
        <w:t xml:space="preserve">be required to derive </w:t>
      </w:r>
      <w:r w:rsidR="00975827">
        <w:lastRenderedPageBreak/>
        <w:t xml:space="preserve">a certain percentage of </w:t>
      </w:r>
      <w:r w:rsidR="006D3141">
        <w:t xml:space="preserve">its </w:t>
      </w:r>
      <w:r w:rsidR="00975827">
        <w:t xml:space="preserve">revenues from the applicable </w:t>
      </w:r>
      <w:r w:rsidRPr="00A5779B" w:rsidR="00975827">
        <w:t xml:space="preserve">regulated business in order </w:t>
      </w:r>
      <w:r w:rsidRPr="00A5779B" w:rsidR="00DE1061">
        <w:t xml:space="preserve">for that company </w:t>
      </w:r>
      <w:r w:rsidRPr="00A5779B" w:rsidR="00975827">
        <w:t>to be included in the proxy group</w:t>
      </w:r>
      <w:r w:rsidR="00A5779B">
        <w:t xml:space="preserve"> </w:t>
      </w:r>
      <w:r w:rsidRPr="00A5779B" w:rsidR="00975827">
        <w:t xml:space="preserve">that is used to determine </w:t>
      </w:r>
      <w:r w:rsidRPr="00A5779B" w:rsidR="00DC051C">
        <w:t>an</w:t>
      </w:r>
      <w:r w:rsidRPr="00A5779B" w:rsidR="00975827">
        <w:t xml:space="preserve"> ROE for </w:t>
      </w:r>
      <w:r w:rsidRPr="00A5779B" w:rsidR="00DC051C">
        <w:t>a company in that</w:t>
      </w:r>
      <w:r w:rsidRPr="00A5779B" w:rsidR="00975827">
        <w:t xml:space="preserve"> regulated business</w:t>
      </w:r>
      <w:r w:rsidRPr="000A62F6" w:rsidR="00975827">
        <w:t>?</w:t>
      </w:r>
      <w:r>
        <w:tab/>
      </w:r>
    </w:p>
    <w:p w:rsidR="00CF0F10" w:rsidP="00EA5D2A" w:rsidRDefault="00975827" w14:paraId="2A9E6180" w14:textId="7AC32E78">
      <w:pPr>
        <w:pStyle w:val="FERCparanumber"/>
        <w:numPr>
          <w:ilvl w:val="0"/>
          <w:numId w:val="0"/>
        </w:numPr>
        <w:tabs>
          <w:tab w:val="left" w:pos="0"/>
        </w:tabs>
        <w:ind w:left="1440"/>
      </w:pPr>
      <w:r>
        <w:t>D1</w:t>
      </w:r>
      <w:r w:rsidR="00053F38">
        <w:t>.</w:t>
      </w:r>
      <w:r>
        <w:t xml:space="preserve">b. </w:t>
      </w:r>
      <w:r w:rsidR="00E95738">
        <w:t xml:space="preserve"> </w:t>
      </w:r>
      <w:r w:rsidR="00CF0F10">
        <w:t xml:space="preserve">Are the </w:t>
      </w:r>
      <w:r w:rsidR="009478E7">
        <w:t xml:space="preserve">corresponding </w:t>
      </w:r>
      <w:r w:rsidR="00CF0F10">
        <w:t xml:space="preserve">proxy groups sufficiently large </w:t>
      </w:r>
      <w:r w:rsidR="009478E7">
        <w:t>given the continued consolidation in the industries</w:t>
      </w:r>
      <w:r w:rsidR="00CF0F10">
        <w:t>?</w:t>
      </w:r>
    </w:p>
    <w:p w:rsidR="00CF0F10" w:rsidP="00EA5D2A" w:rsidRDefault="007E68EC" w14:paraId="190F3DB3" w14:textId="697C9942">
      <w:pPr>
        <w:pStyle w:val="FERCparanumber"/>
        <w:numPr>
          <w:ilvl w:val="0"/>
          <w:numId w:val="0"/>
        </w:numPr>
        <w:tabs>
          <w:tab w:val="left" w:pos="0"/>
        </w:tabs>
        <w:ind w:left="720"/>
      </w:pPr>
      <w:r>
        <w:t xml:space="preserve">D2. </w:t>
      </w:r>
      <w:r w:rsidR="006D3D66">
        <w:tab/>
      </w:r>
      <w:r w:rsidR="00CF0F10">
        <w:t>Should risk be considered both in the proxy group selection and in the placement within the zone of reasonableness?</w:t>
      </w:r>
    </w:p>
    <w:p w:rsidR="003C243B" w:rsidP="001A343E" w:rsidRDefault="003C243B" w14:paraId="5534C874" w14:textId="7A1931EF">
      <w:pPr>
        <w:pStyle w:val="FERCparanumber"/>
        <w:numPr>
          <w:ilvl w:val="0"/>
          <w:numId w:val="0"/>
        </w:numPr>
        <w:tabs>
          <w:tab w:val="left" w:pos="0"/>
        </w:tabs>
        <w:ind w:left="1440"/>
      </w:pPr>
      <w:r>
        <w:t>D2.a</w:t>
      </w:r>
      <w:r w:rsidR="002D3BCF">
        <w:t>.</w:t>
      </w:r>
      <w:r>
        <w:t xml:space="preserve"> </w:t>
      </w:r>
      <w:r w:rsidR="00A5779B">
        <w:t>Should the Commission’s approach to proxy group selection change d</w:t>
      </w:r>
      <w:r>
        <w:t xml:space="preserve">epending on which financial models </w:t>
      </w:r>
      <w:r w:rsidR="00A5779B">
        <w:t xml:space="preserve">it considers when determining the just and reasonable </w:t>
      </w:r>
      <w:r>
        <w:t>ROE</w:t>
      </w:r>
      <w:r w:rsidR="00A5779B">
        <w:t xml:space="preserve"> and, if so, how</w:t>
      </w:r>
      <w:r>
        <w:t xml:space="preserve">? </w:t>
      </w:r>
    </w:p>
    <w:p w:rsidR="00FB761C" w:rsidP="00EA5D2A" w:rsidRDefault="007E68EC" w14:paraId="2642B202" w14:textId="3DC499EB">
      <w:pPr>
        <w:pStyle w:val="FERCparanumber"/>
        <w:numPr>
          <w:ilvl w:val="0"/>
          <w:numId w:val="0"/>
        </w:numPr>
        <w:tabs>
          <w:tab w:val="left" w:pos="0"/>
        </w:tabs>
        <w:ind w:left="720"/>
      </w:pPr>
      <w:r>
        <w:t xml:space="preserve">D3. </w:t>
      </w:r>
      <w:r w:rsidR="006D3D66">
        <w:tab/>
      </w:r>
      <w:r w:rsidR="00FB761C">
        <w:t>Should the Commission consider non-energy companies when selecting proxy groups</w:t>
      </w:r>
      <w:r w:rsidR="001A343E">
        <w:t>?</w:t>
      </w:r>
    </w:p>
    <w:p w:rsidR="00CF0F10" w:rsidP="00B1732E" w:rsidRDefault="00C74BE3" w14:paraId="78BEB977" w14:textId="611A4021">
      <w:pPr>
        <w:pStyle w:val="FERCparanumber"/>
        <w:numPr>
          <w:ilvl w:val="0"/>
          <w:numId w:val="0"/>
        </w:numPr>
        <w:tabs>
          <w:tab w:val="left" w:pos="0"/>
        </w:tabs>
        <w:ind w:left="1440"/>
      </w:pPr>
      <w:r>
        <w:t>D3.a.</w:t>
      </w:r>
      <w:r>
        <w:tab/>
      </w:r>
      <w:r w:rsidR="00CF0F10">
        <w:t xml:space="preserve">What </w:t>
      </w:r>
      <w:r w:rsidR="009478E7">
        <w:t xml:space="preserve">non-energy </w:t>
      </w:r>
      <w:r w:rsidR="00CF0F10">
        <w:t xml:space="preserve">industries or securities have comparable risk to </w:t>
      </w:r>
      <w:r w:rsidR="00AA0644">
        <w:t xml:space="preserve">public </w:t>
      </w:r>
      <w:r w:rsidR="00CF0F10">
        <w:t xml:space="preserve">utilities and </w:t>
      </w:r>
      <w:r w:rsidR="009478E7">
        <w:t xml:space="preserve">natural </w:t>
      </w:r>
      <w:r w:rsidR="00CF0F10">
        <w:t>gas and oil pipelines</w:t>
      </w:r>
      <w:r w:rsidR="00A11C1F">
        <w:t>, if any</w:t>
      </w:r>
      <w:r w:rsidR="00CF0F10">
        <w:t xml:space="preserve">?  </w:t>
      </w:r>
    </w:p>
    <w:p w:rsidR="00AC0A3A" w:rsidP="00EA5D2A" w:rsidRDefault="00AC0A3A" w14:paraId="7FEBE491" w14:textId="339D87C6">
      <w:pPr>
        <w:pStyle w:val="FERCparanumber"/>
        <w:numPr>
          <w:ilvl w:val="0"/>
          <w:numId w:val="0"/>
        </w:numPr>
        <w:tabs>
          <w:tab w:val="left" w:pos="0"/>
        </w:tabs>
        <w:ind w:left="1440"/>
      </w:pPr>
      <w:r>
        <w:t>D3</w:t>
      </w:r>
      <w:r w:rsidR="001978A8">
        <w:t>.</w:t>
      </w:r>
      <w:r w:rsidR="00FB761C">
        <w:t>b</w:t>
      </w:r>
      <w:r w:rsidR="0011753B">
        <w:t>.</w:t>
      </w:r>
      <w:r w:rsidR="0011753B">
        <w:tab/>
      </w:r>
      <w:r w:rsidR="004856C4">
        <w:t>Do</w:t>
      </w:r>
      <w:r w:rsidR="005707F1">
        <w:t xml:space="preserve"> </w:t>
      </w:r>
      <w:r>
        <w:t xml:space="preserve">certain non-energy industries or securities </w:t>
      </w:r>
      <w:r w:rsidR="004856C4">
        <w:t>feature fewer</w:t>
      </w:r>
      <w:r>
        <w:t xml:space="preserve"> outliers?</w:t>
      </w:r>
    </w:p>
    <w:p w:rsidR="00044047" w:rsidP="00EA5D2A" w:rsidRDefault="00044047" w14:paraId="40D03AB6" w14:textId="3D6E8AC6">
      <w:pPr>
        <w:pStyle w:val="FERCparanumber"/>
        <w:numPr>
          <w:ilvl w:val="0"/>
          <w:numId w:val="0"/>
        </w:numPr>
        <w:tabs>
          <w:tab w:val="left" w:pos="0"/>
        </w:tabs>
        <w:ind w:left="720"/>
      </w:pPr>
      <w:r>
        <w:t>D</w:t>
      </w:r>
      <w:r w:rsidR="00E356A4">
        <w:t>4</w:t>
      </w:r>
      <w:r>
        <w:t xml:space="preserve">. </w:t>
      </w:r>
      <w:r>
        <w:tab/>
        <w:t>What, if any, are appropriate high</w:t>
      </w:r>
      <w:r w:rsidR="00FB761C">
        <w:t>-</w:t>
      </w:r>
      <w:r>
        <w:t xml:space="preserve"> and low</w:t>
      </w:r>
      <w:r w:rsidR="00FB761C">
        <w:t>-</w:t>
      </w:r>
      <w:r>
        <w:t>end outlier tests?</w:t>
      </w:r>
      <w:r w:rsidR="00053F38">
        <w:t xml:space="preserve"> </w:t>
      </w:r>
    </w:p>
    <w:p w:rsidR="00215C12" w:rsidP="00EA5D2A" w:rsidRDefault="00E865DF" w14:paraId="0F175B12" w14:textId="0E686481">
      <w:pPr>
        <w:tabs>
          <w:tab w:val="left" w:pos="0"/>
        </w:tabs>
        <w:ind w:left="1440"/>
      </w:pPr>
      <w:r>
        <w:t>D</w:t>
      </w:r>
      <w:r w:rsidR="001978A8">
        <w:t>4</w:t>
      </w:r>
      <w:r>
        <w:t>.a</w:t>
      </w:r>
      <w:r w:rsidR="00053F38">
        <w:t>.</w:t>
      </w:r>
      <w:r w:rsidR="00D45D4E">
        <w:tab/>
      </w:r>
      <w:r w:rsidR="0077448D">
        <w:t>The Commission currently excludes from the proxy group companies whose R</w:t>
      </w:r>
      <w:r w:rsidR="00F7045F">
        <w:t>OE</w:t>
      </w:r>
      <w:r w:rsidR="0077448D">
        <w:t xml:space="preserve"> fails to exceed the average 10-year bond yield by approximately 100 basis points.  </w:t>
      </w:r>
      <w:r>
        <w:t xml:space="preserve">Should </w:t>
      </w:r>
      <w:r w:rsidR="00053F38">
        <w:t xml:space="preserve">the </w:t>
      </w:r>
      <w:r>
        <w:lastRenderedPageBreak/>
        <w:t>low-end outlier</w:t>
      </w:r>
      <w:r w:rsidR="002C6D0A">
        <w:t xml:space="preserve"> test</w:t>
      </w:r>
      <w:r>
        <w:t xml:space="preserve"> continue to be based on a fixed value relative to the costs of debt or </w:t>
      </w:r>
      <w:r w:rsidR="00F7045F">
        <w:t xml:space="preserve">(a) </w:t>
      </w:r>
      <w:r>
        <w:t>should it be based on its value relative to the median (i.e., less than 50 percent of the median); or (b) still reflect the cost of debt but vary based on interest rates?</w:t>
      </w:r>
    </w:p>
    <w:p w:rsidR="003C243B" w:rsidP="00B1732E" w:rsidRDefault="003C243B" w14:paraId="61B68FFE" w14:textId="77777777">
      <w:pPr>
        <w:tabs>
          <w:tab w:val="left" w:pos="0"/>
        </w:tabs>
        <w:ind w:left="1440"/>
      </w:pPr>
    </w:p>
    <w:p w:rsidR="003C243B" w:rsidP="00EA5D2A" w:rsidRDefault="003C243B" w14:paraId="33BEF8D6" w14:textId="3A519ECB">
      <w:pPr>
        <w:tabs>
          <w:tab w:val="left" w:pos="0"/>
        </w:tabs>
        <w:ind w:left="1440"/>
      </w:pPr>
      <w:r>
        <w:t>D4.b</w:t>
      </w:r>
      <w:r w:rsidR="001A343E">
        <w:t>.</w:t>
      </w:r>
      <w:r>
        <w:t xml:space="preserve">  </w:t>
      </w:r>
      <w:r w:rsidR="00A5779B">
        <w:t>How, if at all, should the Commission’s approach to outliers vary among different financial models?</w:t>
      </w:r>
    </w:p>
    <w:p w:rsidR="00367E1E" w:rsidP="00EA5D2A" w:rsidRDefault="00367E1E" w14:paraId="36B35581" w14:textId="77777777">
      <w:pPr>
        <w:tabs>
          <w:tab w:val="left" w:pos="0"/>
        </w:tabs>
        <w:ind w:left="1440"/>
      </w:pPr>
    </w:p>
    <w:p w:rsidR="00367E1E" w:rsidP="000911F0" w:rsidRDefault="00367E1E" w14:paraId="621C6A03" w14:textId="6953101A">
      <w:pPr>
        <w:tabs>
          <w:tab w:val="left" w:pos="0"/>
        </w:tabs>
        <w:ind w:left="720" w:hanging="720"/>
      </w:pPr>
      <w:r>
        <w:tab/>
      </w:r>
      <w:r w:rsidR="00AE3DBE">
        <w:t>D5.</w:t>
      </w:r>
      <w:r w:rsidR="00AE3DBE">
        <w:tab/>
        <w:t>How, if at all, does the Commission’s use of credit ratings in ROE determinations incentivize public utilities to behave in</w:t>
      </w:r>
      <w:r w:rsidR="00CD4D90">
        <w:t xml:space="preserve"> certain</w:t>
      </w:r>
      <w:r w:rsidR="00AE3DBE">
        <w:t xml:space="preserve"> ways, such as issuing more debt, and does this affect public utilities’ credit ratings?</w:t>
      </w:r>
    </w:p>
    <w:p w:rsidR="001233E6" w:rsidP="00B1732E" w:rsidRDefault="001233E6" w14:paraId="456B5848" w14:textId="63C6F38A">
      <w:pPr>
        <w:tabs>
          <w:tab w:val="left" w:pos="0"/>
        </w:tabs>
      </w:pPr>
    </w:p>
    <w:p w:rsidR="001233E6" w:rsidP="00EA5D2A" w:rsidRDefault="001233E6" w14:paraId="0FCDC338" w14:textId="761DB33F">
      <w:pPr>
        <w:tabs>
          <w:tab w:val="left" w:pos="0"/>
        </w:tabs>
        <w:ind w:left="720"/>
      </w:pPr>
      <w:r>
        <w:t>D</w:t>
      </w:r>
      <w:r w:rsidR="00E356A4">
        <w:t>6</w:t>
      </w:r>
      <w:r>
        <w:t>.</w:t>
      </w:r>
      <w:r>
        <w:tab/>
        <w:t xml:space="preserve">What would be the impact of the Commission </w:t>
      </w:r>
      <w:r w:rsidR="0069456C">
        <w:t xml:space="preserve">modifying </w:t>
      </w:r>
      <w:r>
        <w:t>the credit rating screen to include all investment-grade utilities</w:t>
      </w:r>
      <w:r w:rsidR="004856C4">
        <w:t xml:space="preserve"> in the proxy group</w:t>
      </w:r>
      <w:r>
        <w:t>?</w:t>
      </w:r>
    </w:p>
    <w:p w:rsidR="009B2AD3" w:rsidP="00EA5D2A" w:rsidRDefault="009B2AD3" w14:paraId="09A23950" w14:textId="77777777">
      <w:pPr>
        <w:tabs>
          <w:tab w:val="left" w:pos="0"/>
        </w:tabs>
        <w:ind w:left="720"/>
      </w:pPr>
    </w:p>
    <w:p w:rsidR="001233E6" w:rsidP="00EA5D2A" w:rsidRDefault="001233E6" w14:paraId="1B9DD37F" w14:textId="77777777">
      <w:pPr>
        <w:tabs>
          <w:tab w:val="left" w:pos="0"/>
        </w:tabs>
        <w:ind w:left="720"/>
      </w:pPr>
      <w:r>
        <w:t>D</w:t>
      </w:r>
      <w:r w:rsidR="00C15BD4">
        <w:t>7</w:t>
      </w:r>
      <w:r>
        <w:t>.</w:t>
      </w:r>
      <w:r>
        <w:tab/>
        <w:t xml:space="preserve">To what extent do credit ratings correspond to the </w:t>
      </w:r>
      <w:r w:rsidR="00DF7341">
        <w:t>ROE</w:t>
      </w:r>
      <w:r w:rsidR="00671B11">
        <w:t xml:space="preserve"> required by investors</w:t>
      </w:r>
      <w:r>
        <w:t>?</w:t>
      </w:r>
    </w:p>
    <w:p w:rsidR="00862AB5" w:rsidP="00EA5D2A" w:rsidRDefault="00862AB5" w14:paraId="1DF97E7E" w14:textId="7240E882">
      <w:pPr>
        <w:tabs>
          <w:tab w:val="left" w:pos="0"/>
        </w:tabs>
        <w:ind w:left="720"/>
      </w:pPr>
    </w:p>
    <w:p w:rsidR="00862AB5" w:rsidP="00EA5D2A" w:rsidRDefault="00862AB5" w14:paraId="6E920118" w14:textId="2C549808">
      <w:pPr>
        <w:tabs>
          <w:tab w:val="left" w:pos="0"/>
        </w:tabs>
        <w:ind w:left="720"/>
      </w:pPr>
      <w:r>
        <w:t>D</w:t>
      </w:r>
      <w:r w:rsidR="00C15BD4">
        <w:t>8</w:t>
      </w:r>
      <w:r>
        <w:t>.</w:t>
      </w:r>
      <w:r>
        <w:tab/>
      </w:r>
      <w:r w:rsidR="00F7045F">
        <w:t xml:space="preserve">The Commission excludes from the proxy group companies with merger activity during the six-month study period that is significant enough to distort study inputs.  </w:t>
      </w:r>
      <w:r>
        <w:t xml:space="preserve">Should the Commission continue using </w:t>
      </w:r>
      <w:r w:rsidR="00F362EB">
        <w:t xml:space="preserve">our </w:t>
      </w:r>
      <w:r>
        <w:t>existing merger screen?</w:t>
      </w:r>
      <w:r w:rsidR="00FB761C">
        <w:t xml:space="preserve"> </w:t>
      </w:r>
    </w:p>
    <w:p w:rsidR="00862AB5" w:rsidP="00EA5D2A" w:rsidRDefault="00862AB5" w14:paraId="4F67A7F8" w14:textId="77777777">
      <w:pPr>
        <w:tabs>
          <w:tab w:val="left" w:pos="0"/>
        </w:tabs>
        <w:ind w:left="720"/>
      </w:pPr>
      <w:r>
        <w:tab/>
      </w:r>
    </w:p>
    <w:p w:rsidR="00862AB5" w:rsidP="00EA5D2A" w:rsidRDefault="00862AB5" w14:paraId="5A3127D7" w14:textId="4E37EE34">
      <w:pPr>
        <w:tabs>
          <w:tab w:val="left" w:pos="0"/>
        </w:tabs>
        <w:ind w:left="1440"/>
      </w:pPr>
      <w:r>
        <w:t>D</w:t>
      </w:r>
      <w:r w:rsidR="00C15BD4">
        <w:t>8</w:t>
      </w:r>
      <w:r>
        <w:t>.a</w:t>
      </w:r>
      <w:r w:rsidR="0020086B">
        <w:t>.</w:t>
      </w:r>
      <w:r>
        <w:tab/>
        <w:t xml:space="preserve">If so, should the Commission </w:t>
      </w:r>
      <w:r w:rsidR="00FB761C">
        <w:t>revise its</w:t>
      </w:r>
      <w:r>
        <w:t xml:space="preserve"> standards for what conduct constitutes merger and acquisition activity</w:t>
      </w:r>
      <w:r w:rsidR="00B61E23">
        <w:t>?</w:t>
      </w:r>
    </w:p>
    <w:p w:rsidR="00E356A4" w:rsidP="00EA5D2A" w:rsidRDefault="00E356A4" w14:paraId="0F5CE9B5" w14:textId="77777777">
      <w:pPr>
        <w:tabs>
          <w:tab w:val="left" w:pos="0"/>
        </w:tabs>
        <w:ind w:left="720" w:firstLine="720"/>
      </w:pPr>
    </w:p>
    <w:p w:rsidRPr="00EB55B9" w:rsidR="00EB55B9" w:rsidP="00EA5D2A" w:rsidRDefault="00EB55B9" w14:paraId="53F92C68" w14:textId="262D6AEE">
      <w:pPr>
        <w:pStyle w:val="FERCparanumber"/>
        <w:numPr>
          <w:ilvl w:val="0"/>
          <w:numId w:val="0"/>
        </w:numPr>
        <w:tabs>
          <w:tab w:val="left" w:pos="0"/>
        </w:tabs>
        <w:ind w:left="720"/>
      </w:pPr>
      <w:r w:rsidRPr="00EB55B9">
        <w:lastRenderedPageBreak/>
        <w:t>D</w:t>
      </w:r>
      <w:r w:rsidR="00C15BD4">
        <w:t>9</w:t>
      </w:r>
      <w:r w:rsidRPr="00EB55B9">
        <w:t xml:space="preserve">. </w:t>
      </w:r>
      <w:r w:rsidRPr="00EB55B9">
        <w:tab/>
        <w:t>What circumstances or factors, if any, warrant an adjustment from the midpoint/median to other points within the zone of reasonableness (e.g., lower or upper midpoint/median)?</w:t>
      </w:r>
    </w:p>
    <w:p w:rsidR="00FB761C" w:rsidP="00EA5D2A" w:rsidRDefault="00E356A4" w14:paraId="7E2D0150" w14:textId="1101D534">
      <w:pPr>
        <w:pStyle w:val="FERCparanumber"/>
        <w:numPr>
          <w:ilvl w:val="0"/>
          <w:numId w:val="0"/>
        </w:numPr>
        <w:tabs>
          <w:tab w:val="left" w:pos="0"/>
        </w:tabs>
        <w:ind w:left="720"/>
      </w:pPr>
      <w:r w:rsidRPr="00E356A4">
        <w:t>D</w:t>
      </w:r>
      <w:r w:rsidR="00C15BD4">
        <w:t>10</w:t>
      </w:r>
      <w:r w:rsidRPr="00E356A4">
        <w:t xml:space="preserve">. </w:t>
      </w:r>
      <w:r w:rsidRPr="00E356A4">
        <w:tab/>
        <w:t xml:space="preserve">The Commission currently uses midpoints to determine the central tendency of the zone of reasonableness when determining RTO-wide ROEs.  </w:t>
      </w:r>
      <w:r w:rsidR="00FB761C">
        <w:t>Should the Commission adopt</w:t>
      </w:r>
      <w:r w:rsidRPr="00E356A4">
        <w:t xml:space="preserve"> a policy of using medians for this purpose</w:t>
      </w:r>
      <w:r w:rsidR="00FB761C">
        <w:t>?</w:t>
      </w:r>
      <w:r w:rsidRPr="00E356A4">
        <w:t xml:space="preserve">  </w:t>
      </w:r>
    </w:p>
    <w:p w:rsidRPr="00E356A4" w:rsidR="00E356A4" w:rsidP="00B1732E" w:rsidRDefault="00FB761C" w14:paraId="76762B6B" w14:textId="1C004A2D">
      <w:pPr>
        <w:pStyle w:val="FERCparanumber"/>
        <w:numPr>
          <w:ilvl w:val="0"/>
          <w:numId w:val="0"/>
        </w:numPr>
        <w:tabs>
          <w:tab w:val="left" w:pos="0"/>
        </w:tabs>
        <w:ind w:left="1440"/>
      </w:pPr>
      <w:r>
        <w:t xml:space="preserve">D10.a. </w:t>
      </w:r>
      <w:r w:rsidRPr="00E356A4" w:rsidR="00E356A4">
        <w:t xml:space="preserve">Would the use of multiple ROE methodologies, as proposed in the </w:t>
      </w:r>
      <w:r w:rsidRPr="00E356A4" w:rsidR="00E356A4">
        <w:rPr>
          <w:i/>
        </w:rPr>
        <w:t>Coakley</w:t>
      </w:r>
      <w:r w:rsidRPr="00E356A4" w:rsidR="00E356A4">
        <w:t xml:space="preserve"> Briefing Order</w:t>
      </w:r>
      <w:r w:rsidR="002B7BA7">
        <w:t>,</w:t>
      </w:r>
      <w:r w:rsidRPr="00E356A4" w:rsidR="00E356A4">
        <w:t xml:space="preserve"> undercut the Commission’s current rationale for using the midpoint in RTO-wide base </w:t>
      </w:r>
      <w:r w:rsidR="00B40145">
        <w:t>ROE</w:t>
      </w:r>
      <w:r w:rsidRPr="00E356A4" w:rsidR="00E356A4">
        <w:t xml:space="preserve">?   </w:t>
      </w:r>
    </w:p>
    <w:p w:rsidRPr="00E356A4" w:rsidR="00E356A4" w:rsidP="00DF7341" w:rsidRDefault="00E356A4" w14:paraId="1875FE4B" w14:textId="3F769973">
      <w:pPr>
        <w:pStyle w:val="FERCparanumber"/>
        <w:numPr>
          <w:ilvl w:val="0"/>
          <w:numId w:val="0"/>
        </w:numPr>
        <w:tabs>
          <w:tab w:val="left" w:pos="0"/>
        </w:tabs>
        <w:spacing w:after="0"/>
        <w:ind w:left="720" w:firstLine="720"/>
      </w:pPr>
      <w:r w:rsidRPr="00E356A4">
        <w:t>D</w:t>
      </w:r>
      <w:r w:rsidR="00C15BD4">
        <w:t>10</w:t>
      </w:r>
      <w:r w:rsidR="0011753B">
        <w:t>.</w:t>
      </w:r>
      <w:r w:rsidR="00FB761C">
        <w:t>b</w:t>
      </w:r>
      <w:r w:rsidR="0011753B">
        <w:t>.</w:t>
      </w:r>
      <w:r w:rsidR="0011753B">
        <w:tab/>
      </w:r>
      <w:r w:rsidR="004B1458">
        <w:t xml:space="preserve">  </w:t>
      </w:r>
      <w:r w:rsidRPr="00E356A4">
        <w:t xml:space="preserve">Should the size of the proxy group be considered in this decision? </w:t>
      </w:r>
    </w:p>
    <w:p w:rsidR="0087215C" w:rsidP="00DF7341" w:rsidRDefault="0087215C" w14:paraId="7D653495" w14:textId="7648F68F">
      <w:pPr>
        <w:pStyle w:val="FERCparanumber"/>
        <w:numPr>
          <w:ilvl w:val="0"/>
          <w:numId w:val="0"/>
        </w:numPr>
        <w:tabs>
          <w:tab w:val="left" w:pos="0"/>
        </w:tabs>
        <w:spacing w:after="0"/>
        <w:ind w:left="720" w:firstLine="720"/>
      </w:pPr>
    </w:p>
    <w:p w:rsidR="00044047" w:rsidP="0087215C" w:rsidRDefault="0087215C" w14:paraId="62BCBD62" w14:textId="47F7BAB0">
      <w:pPr>
        <w:pStyle w:val="FERCparanumber"/>
        <w:numPr>
          <w:ilvl w:val="0"/>
          <w:numId w:val="0"/>
        </w:numPr>
        <w:tabs>
          <w:tab w:val="left" w:pos="0"/>
        </w:tabs>
        <w:ind w:left="720"/>
      </w:pPr>
      <w:r>
        <w:t>D11</w:t>
      </w:r>
      <w:r w:rsidRPr="0087215C">
        <w:t>.</w:t>
      </w:r>
      <w:r w:rsidRPr="0087215C">
        <w:tab/>
        <w:t>Can the Commission continue to construct proxy groups of sufficient size for natural gas and oil pipeline companies using the DCF methodology, or in general for the alternative methodologies, particularly considering the increased amount of merger and acquisition activity involving master limited partnerships (MLPs) and the multiple recent conversions of MLPs to C-corporations?</w:t>
      </w:r>
    </w:p>
    <w:p w:rsidR="00CF0F10" w:rsidP="00EA5D2A" w:rsidRDefault="004A5BC6" w14:paraId="59E23E30" w14:textId="55D0FD03">
      <w:pPr>
        <w:pStyle w:val="Heading2"/>
        <w:tabs>
          <w:tab w:val="left" w:pos="0"/>
        </w:tabs>
      </w:pPr>
      <w:r>
        <w:t xml:space="preserve">Financial </w:t>
      </w:r>
      <w:r w:rsidRPr="008E51DE" w:rsidR="00CF0F10">
        <w:t xml:space="preserve">Model </w:t>
      </w:r>
      <w:r w:rsidR="00CF0F10">
        <w:t>Choice</w:t>
      </w:r>
    </w:p>
    <w:p w:rsidRPr="00FA715E" w:rsidR="000725C7" w:rsidP="001C196D" w:rsidRDefault="002B331B" w14:paraId="67C8BDE3" w14:textId="43E9B149">
      <w:pPr>
        <w:pStyle w:val="StyleFERCparanumberLinespacingDouble"/>
        <w:tabs>
          <w:tab w:val="clear" w:pos="810"/>
          <w:tab w:val="num" w:pos="720"/>
        </w:tabs>
      </w:pPr>
      <w:r>
        <w:t xml:space="preserve">In addition to the DCF model, the Commission seeks comment on </w:t>
      </w:r>
      <w:r w:rsidR="00FB761C">
        <w:t xml:space="preserve">other </w:t>
      </w:r>
      <w:r>
        <w:t xml:space="preserve">financial models that investors use to evaluate utility equities, the strengths </w:t>
      </w:r>
      <w:r>
        <w:lastRenderedPageBreak/>
        <w:t xml:space="preserve">and weaknesses of each of those models, and whether the Commission should weigh certain financial models over other models based on their </w:t>
      </w:r>
      <w:r w:rsidR="00E40FC7">
        <w:t xml:space="preserve">respective </w:t>
      </w:r>
      <w:r>
        <w:t>characteristics.</w:t>
      </w:r>
    </w:p>
    <w:p w:rsidR="00CF0F10" w:rsidP="00A46256" w:rsidRDefault="00D45D4E" w14:paraId="5778A7C1" w14:textId="73466C0A">
      <w:pPr>
        <w:pStyle w:val="FERCparanumber"/>
        <w:numPr>
          <w:ilvl w:val="0"/>
          <w:numId w:val="0"/>
        </w:numPr>
        <w:tabs>
          <w:tab w:val="left" w:pos="0"/>
        </w:tabs>
        <w:spacing w:after="0"/>
        <w:ind w:left="86" w:firstLine="634"/>
      </w:pPr>
      <w:r>
        <w:t xml:space="preserve">E1. </w:t>
      </w:r>
      <w:r w:rsidR="00CF0F10">
        <w:t xml:space="preserve">What models do investors use to evaluate utility equities?  </w:t>
      </w:r>
    </w:p>
    <w:p w:rsidR="00A46256" w:rsidP="00A46256" w:rsidRDefault="00A46256" w14:paraId="6B7719B2" w14:textId="77777777">
      <w:pPr>
        <w:pStyle w:val="FERCparanumber"/>
        <w:numPr>
          <w:ilvl w:val="0"/>
          <w:numId w:val="0"/>
        </w:numPr>
        <w:tabs>
          <w:tab w:val="left" w:pos="0"/>
        </w:tabs>
        <w:spacing w:after="0"/>
        <w:ind w:left="86" w:firstLine="634"/>
      </w:pPr>
    </w:p>
    <w:p w:rsidR="00956ABC" w:rsidP="00A46256" w:rsidRDefault="00956ABC" w14:paraId="128A4E43" w14:textId="1808C5E5">
      <w:pPr>
        <w:pStyle w:val="FERCparanumber"/>
        <w:numPr>
          <w:ilvl w:val="0"/>
          <w:numId w:val="0"/>
        </w:numPr>
        <w:tabs>
          <w:tab w:val="left" w:pos="0"/>
        </w:tabs>
        <w:spacing w:after="0"/>
        <w:ind w:left="720"/>
      </w:pPr>
      <w:r w:rsidRPr="00F72094">
        <w:t>E2</w:t>
      </w:r>
      <w:r w:rsidRPr="00F72094" w:rsidR="00053F38">
        <w:t>.</w:t>
      </w:r>
      <w:r w:rsidRPr="00F72094">
        <w:t xml:space="preserve"> What role do </w:t>
      </w:r>
      <w:r w:rsidRPr="00F72094" w:rsidR="00F7045F">
        <w:t xml:space="preserve">current </w:t>
      </w:r>
      <w:r w:rsidRPr="00F72094">
        <w:t>capital market</w:t>
      </w:r>
      <w:r w:rsidRPr="00F72094" w:rsidR="00F7045F">
        <w:t xml:space="preserve"> condition</w:t>
      </w:r>
      <w:r w:rsidRPr="00F72094">
        <w:t xml:space="preserve">s play in the choice of model used by investors to evaluate utility equities? </w:t>
      </w:r>
    </w:p>
    <w:p w:rsidRPr="00F72094" w:rsidR="00A46256" w:rsidP="00A46256" w:rsidRDefault="00A46256" w14:paraId="285245F4" w14:textId="77777777">
      <w:pPr>
        <w:pStyle w:val="FERCparanumber"/>
        <w:numPr>
          <w:ilvl w:val="0"/>
          <w:numId w:val="0"/>
        </w:numPr>
        <w:tabs>
          <w:tab w:val="left" w:pos="0"/>
        </w:tabs>
        <w:spacing w:after="0"/>
        <w:ind w:left="720"/>
      </w:pPr>
    </w:p>
    <w:p w:rsidR="00956ABC" w:rsidP="00A46256" w:rsidRDefault="00956ABC" w14:paraId="5F46142B" w14:textId="613A4AAD">
      <w:pPr>
        <w:pStyle w:val="FERCparanumber"/>
        <w:numPr>
          <w:ilvl w:val="0"/>
          <w:numId w:val="0"/>
        </w:numPr>
        <w:tabs>
          <w:tab w:val="left" w:pos="0"/>
        </w:tabs>
        <w:spacing w:after="0"/>
        <w:ind w:left="1440"/>
      </w:pPr>
      <w:r w:rsidRPr="00F72094">
        <w:t>E2.a</w:t>
      </w:r>
      <w:r w:rsidRPr="00F72094" w:rsidR="00D56F42">
        <w:t>.</w:t>
      </w:r>
      <w:r w:rsidR="0011753B">
        <w:tab/>
      </w:r>
      <w:r w:rsidRPr="00F72094" w:rsidR="00D56F42">
        <w:t xml:space="preserve">If </w:t>
      </w:r>
      <w:r w:rsidRPr="00F72094" w:rsidR="00053F38">
        <w:t>capital market</w:t>
      </w:r>
      <w:r w:rsidRPr="00F72094" w:rsidR="00F7045F">
        <w:t xml:space="preserve"> condition</w:t>
      </w:r>
      <w:r w:rsidRPr="00F72094" w:rsidR="00053F38">
        <w:t xml:space="preserve">s </w:t>
      </w:r>
      <w:r w:rsidRPr="00F72094" w:rsidR="00D56F42">
        <w:t>factor into the choice of model, h</w:t>
      </w:r>
      <w:r w:rsidRPr="00F72094">
        <w:t xml:space="preserve">ow do investors determine and evaluate </w:t>
      </w:r>
      <w:r w:rsidRPr="00F72094" w:rsidR="00F7045F">
        <w:t>those</w:t>
      </w:r>
      <w:r w:rsidRPr="00F72094">
        <w:t xml:space="preserve"> conditions</w:t>
      </w:r>
      <w:r w:rsidRPr="00F72094" w:rsidR="00D56F42">
        <w:t>?</w:t>
      </w:r>
    </w:p>
    <w:p w:rsidR="00A46256" w:rsidP="00A46256" w:rsidRDefault="00A46256" w14:paraId="3DF51EA8" w14:textId="77777777">
      <w:pPr>
        <w:pStyle w:val="FERCparanumber"/>
        <w:numPr>
          <w:ilvl w:val="0"/>
          <w:numId w:val="0"/>
        </w:numPr>
        <w:tabs>
          <w:tab w:val="left" w:pos="0"/>
        </w:tabs>
        <w:spacing w:after="0"/>
        <w:ind w:left="1440"/>
      </w:pPr>
    </w:p>
    <w:p w:rsidR="00CF0F10" w:rsidP="00A46256" w:rsidRDefault="006D3D66" w14:paraId="4AC87BAB" w14:textId="4F756EA7">
      <w:pPr>
        <w:pStyle w:val="FERCparanumber"/>
        <w:numPr>
          <w:ilvl w:val="0"/>
          <w:numId w:val="0"/>
        </w:numPr>
        <w:tabs>
          <w:tab w:val="left" w:pos="0"/>
        </w:tabs>
        <w:spacing w:after="0"/>
        <w:ind w:left="90" w:firstLine="630"/>
      </w:pPr>
      <w:r>
        <w:t>E</w:t>
      </w:r>
      <w:r w:rsidR="00053F38">
        <w:t>3</w:t>
      </w:r>
      <w:r>
        <w:t xml:space="preserve">. </w:t>
      </w:r>
      <w:r>
        <w:tab/>
      </w:r>
      <w:r w:rsidR="00CF0F10">
        <w:t xml:space="preserve">Are any models thought to be </w:t>
      </w:r>
      <w:r w:rsidR="007F7CE6">
        <w:t xml:space="preserve">superior or </w:t>
      </w:r>
      <w:r w:rsidR="00CF0F10">
        <w:t>inferior to others?  If so, why?</w:t>
      </w:r>
    </w:p>
    <w:p w:rsidR="00A46256" w:rsidP="00A46256" w:rsidRDefault="00A46256" w14:paraId="7F607213" w14:textId="77777777">
      <w:pPr>
        <w:pStyle w:val="FERCparanumber"/>
        <w:numPr>
          <w:ilvl w:val="0"/>
          <w:numId w:val="0"/>
        </w:numPr>
        <w:tabs>
          <w:tab w:val="left" w:pos="0"/>
        </w:tabs>
        <w:spacing w:after="0"/>
        <w:ind w:left="90" w:firstLine="630"/>
      </w:pPr>
    </w:p>
    <w:p w:rsidR="00CF0F10" w:rsidP="00A46256" w:rsidRDefault="006D3D66" w14:paraId="083D1FD3" w14:textId="64D8FB4F">
      <w:pPr>
        <w:pStyle w:val="FERCparanumber"/>
        <w:numPr>
          <w:ilvl w:val="0"/>
          <w:numId w:val="0"/>
        </w:numPr>
        <w:tabs>
          <w:tab w:val="left" w:pos="0"/>
        </w:tabs>
        <w:spacing w:after="0"/>
        <w:ind w:left="720"/>
      </w:pPr>
      <w:r>
        <w:t>E</w:t>
      </w:r>
      <w:r w:rsidR="00053F38">
        <w:t>4</w:t>
      </w:r>
      <w:r>
        <w:t xml:space="preserve">. </w:t>
      </w:r>
      <w:r>
        <w:tab/>
      </w:r>
      <w:r w:rsidR="00CF0F10">
        <w:t>How are alternative models redundant or complementary with each other and/or the DCF</w:t>
      </w:r>
      <w:r w:rsidRPr="00B2245B" w:rsidR="00B2245B">
        <w:t xml:space="preserve"> </w:t>
      </w:r>
      <w:r w:rsidR="00AE0986">
        <w:t>model</w:t>
      </w:r>
      <w:r w:rsidR="00CF0F10">
        <w:t>?</w:t>
      </w:r>
    </w:p>
    <w:p w:rsidR="00A46256" w:rsidP="00A46256" w:rsidRDefault="00A46256" w14:paraId="42507A15" w14:textId="77777777">
      <w:pPr>
        <w:pStyle w:val="FERCparanumber"/>
        <w:numPr>
          <w:ilvl w:val="0"/>
          <w:numId w:val="0"/>
        </w:numPr>
        <w:tabs>
          <w:tab w:val="left" w:pos="0"/>
        </w:tabs>
        <w:spacing w:after="0"/>
        <w:ind w:left="720"/>
      </w:pPr>
    </w:p>
    <w:p w:rsidR="00CF0F10" w:rsidP="00A46256" w:rsidRDefault="00053F38" w14:paraId="2BFA86D1" w14:textId="094B44DB">
      <w:pPr>
        <w:pStyle w:val="FERCparanumber"/>
        <w:numPr>
          <w:ilvl w:val="0"/>
          <w:numId w:val="0"/>
        </w:numPr>
        <w:tabs>
          <w:tab w:val="left" w:pos="0"/>
        </w:tabs>
        <w:spacing w:after="0"/>
        <w:ind w:left="720"/>
      </w:pPr>
      <w:r>
        <w:t>E5</w:t>
      </w:r>
      <w:r w:rsidR="006D3D66">
        <w:t xml:space="preserve">. </w:t>
      </w:r>
      <w:r w:rsidR="006D3D66">
        <w:tab/>
      </w:r>
      <w:r w:rsidR="00CF0F10">
        <w:t xml:space="preserve">To what extent do </w:t>
      </w:r>
      <w:r w:rsidR="00AE0986">
        <w:t>alternative models</w:t>
      </w:r>
      <w:r w:rsidR="00CF0F10">
        <w:t xml:space="preserve"> avoid </w:t>
      </w:r>
      <w:r w:rsidR="00F3140D">
        <w:t>any</w:t>
      </w:r>
      <w:r w:rsidR="00B2245B">
        <w:t xml:space="preserve"> </w:t>
      </w:r>
      <w:r w:rsidR="00CF0F10">
        <w:t xml:space="preserve">deficiencies of </w:t>
      </w:r>
      <w:r w:rsidR="00B2245B">
        <w:t xml:space="preserve">the </w:t>
      </w:r>
      <w:r w:rsidR="00CF0F10">
        <w:t xml:space="preserve">DCF </w:t>
      </w:r>
      <w:r w:rsidR="00AE0986">
        <w:t>model</w:t>
      </w:r>
      <w:r w:rsidR="00CF0F10">
        <w:t xml:space="preserve"> and/or operate better in </w:t>
      </w:r>
      <w:r w:rsidR="00C63BEF">
        <w:t>diverse</w:t>
      </w:r>
      <w:r w:rsidR="00CF0F10">
        <w:t xml:space="preserve"> capital market conditions?</w:t>
      </w:r>
    </w:p>
    <w:p w:rsidR="00A46256" w:rsidP="00A46256" w:rsidRDefault="00A46256" w14:paraId="3FC3151F" w14:textId="77777777">
      <w:pPr>
        <w:pStyle w:val="FERCparanumber"/>
        <w:numPr>
          <w:ilvl w:val="0"/>
          <w:numId w:val="0"/>
        </w:numPr>
        <w:tabs>
          <w:tab w:val="left" w:pos="0"/>
        </w:tabs>
        <w:spacing w:after="0"/>
        <w:ind w:left="720"/>
      </w:pPr>
    </w:p>
    <w:p w:rsidR="00AC0A3A" w:rsidP="00A46256" w:rsidRDefault="00053F38" w14:paraId="3A31914A" w14:textId="7743158F">
      <w:pPr>
        <w:pStyle w:val="FERCparanumber"/>
        <w:numPr>
          <w:ilvl w:val="0"/>
          <w:numId w:val="0"/>
        </w:numPr>
        <w:tabs>
          <w:tab w:val="left" w:pos="0"/>
        </w:tabs>
        <w:spacing w:after="0"/>
        <w:ind w:left="720"/>
      </w:pPr>
      <w:r>
        <w:t>E6</w:t>
      </w:r>
      <w:r w:rsidR="00612C90">
        <w:t xml:space="preserve">. </w:t>
      </w:r>
      <w:r w:rsidR="00612C90">
        <w:tab/>
        <w:t>To the extent that investors use multiple models, should the Commission combine them in its analysis or use the “best” one</w:t>
      </w:r>
      <w:r w:rsidR="00CD4D90">
        <w:t xml:space="preserve"> that would apply in all market conditions</w:t>
      </w:r>
      <w:r w:rsidR="00612C90">
        <w:t>?</w:t>
      </w:r>
    </w:p>
    <w:p w:rsidR="00A46256" w:rsidP="00A46256" w:rsidRDefault="00A46256" w14:paraId="02F37B68" w14:textId="77777777">
      <w:pPr>
        <w:pStyle w:val="FERCparanumber"/>
        <w:numPr>
          <w:ilvl w:val="0"/>
          <w:numId w:val="0"/>
        </w:numPr>
        <w:tabs>
          <w:tab w:val="left" w:pos="0"/>
        </w:tabs>
        <w:spacing w:after="0"/>
        <w:ind w:left="720"/>
      </w:pPr>
    </w:p>
    <w:p w:rsidR="00CF0F10" w:rsidP="00E57124" w:rsidRDefault="00053F38" w14:paraId="4512DD5D" w14:textId="1CDDA706">
      <w:pPr>
        <w:pStyle w:val="FERCparanumber"/>
        <w:numPr>
          <w:ilvl w:val="0"/>
          <w:numId w:val="0"/>
        </w:numPr>
        <w:tabs>
          <w:tab w:val="left" w:pos="0"/>
        </w:tabs>
        <w:spacing w:after="0"/>
        <w:ind w:left="1440" w:hanging="720"/>
      </w:pPr>
      <w:r>
        <w:lastRenderedPageBreak/>
        <w:t>E7</w:t>
      </w:r>
      <w:r w:rsidR="006D3D66">
        <w:t>.</w:t>
      </w:r>
      <w:r w:rsidR="007F7CE6">
        <w:tab/>
      </w:r>
      <w:r w:rsidR="00CF0F10">
        <w:t xml:space="preserve">If </w:t>
      </w:r>
      <w:r w:rsidR="00FB761C">
        <w:t xml:space="preserve">the Commission were to consider </w:t>
      </w:r>
      <w:r w:rsidR="00CF0F10">
        <w:t xml:space="preserve">multiple models, how should </w:t>
      </w:r>
      <w:r w:rsidR="00FB761C">
        <w:t>it weigh them</w:t>
      </w:r>
      <w:r w:rsidR="00CF0F10">
        <w:t xml:space="preserve">?  </w:t>
      </w:r>
    </w:p>
    <w:p w:rsidR="00A46256" w:rsidP="00A46256" w:rsidRDefault="00A46256" w14:paraId="35A7135A" w14:textId="77777777">
      <w:pPr>
        <w:pStyle w:val="FERCparanumber"/>
        <w:numPr>
          <w:ilvl w:val="0"/>
          <w:numId w:val="0"/>
        </w:numPr>
        <w:tabs>
          <w:tab w:val="left" w:pos="0"/>
        </w:tabs>
        <w:spacing w:after="0"/>
        <w:ind w:left="90" w:firstLine="630"/>
      </w:pPr>
    </w:p>
    <w:p w:rsidR="007F7CE6" w:rsidP="00A46256" w:rsidRDefault="00053F38" w14:paraId="27AFF3A1" w14:textId="0E66B00D">
      <w:pPr>
        <w:pStyle w:val="FERCparanumber"/>
        <w:numPr>
          <w:ilvl w:val="0"/>
          <w:numId w:val="0"/>
        </w:numPr>
        <w:tabs>
          <w:tab w:val="left" w:pos="0"/>
        </w:tabs>
        <w:spacing w:after="0"/>
        <w:ind w:left="720"/>
      </w:pPr>
      <w:r>
        <w:t>E8</w:t>
      </w:r>
      <w:r w:rsidR="006D3D66">
        <w:t xml:space="preserve">. </w:t>
      </w:r>
      <w:r w:rsidR="006D3D66">
        <w:tab/>
      </w:r>
      <w:r w:rsidR="00CF0F10">
        <w:t>To what extent is it reasonable for the Commission to use a simplified</w:t>
      </w:r>
      <w:r w:rsidR="00025BB9">
        <w:t xml:space="preserve"> </w:t>
      </w:r>
      <w:r w:rsidR="00CF0F10">
        <w:t xml:space="preserve">version of a model that does not reflect all the variables that investors consider?  </w:t>
      </w:r>
    </w:p>
    <w:p w:rsidR="00025BB9" w:rsidP="00025BB9" w:rsidRDefault="00025BB9" w14:paraId="69AAC423" w14:textId="77777777">
      <w:pPr>
        <w:pStyle w:val="FERCparanumber"/>
        <w:numPr>
          <w:ilvl w:val="0"/>
          <w:numId w:val="0"/>
        </w:numPr>
        <w:tabs>
          <w:tab w:val="left" w:pos="0"/>
        </w:tabs>
        <w:spacing w:after="0"/>
        <w:ind w:left="720"/>
      </w:pPr>
    </w:p>
    <w:p w:rsidR="00CF0F10" w:rsidP="00A46256" w:rsidRDefault="00053F38" w14:paraId="7FC2FFAA" w14:textId="1FE77DC7">
      <w:pPr>
        <w:pStyle w:val="FERCparanumber"/>
        <w:numPr>
          <w:ilvl w:val="0"/>
          <w:numId w:val="0"/>
        </w:numPr>
        <w:tabs>
          <w:tab w:val="left" w:pos="0"/>
        </w:tabs>
        <w:spacing w:after="0"/>
        <w:ind w:left="1440"/>
      </w:pPr>
      <w:r>
        <w:t>E8</w:t>
      </w:r>
      <w:r w:rsidR="0011753B">
        <w:t>.a.</w:t>
      </w:r>
      <w:r w:rsidR="0011753B">
        <w:tab/>
      </w:r>
      <w:r w:rsidR="00CF0F10">
        <w:t xml:space="preserve">Is </w:t>
      </w:r>
      <w:r>
        <w:t>the</w:t>
      </w:r>
      <w:r w:rsidR="00CF0F10">
        <w:t xml:space="preserve"> use of a simplified model justified for ease of administration and predictability of result?</w:t>
      </w:r>
    </w:p>
    <w:p w:rsidR="00A46256" w:rsidP="00A46256" w:rsidRDefault="00A46256" w14:paraId="67C74BD1" w14:textId="77777777">
      <w:pPr>
        <w:pStyle w:val="FERCparanumber"/>
        <w:numPr>
          <w:ilvl w:val="0"/>
          <w:numId w:val="0"/>
        </w:numPr>
        <w:tabs>
          <w:tab w:val="left" w:pos="0"/>
        </w:tabs>
        <w:spacing w:after="0"/>
        <w:ind w:left="1440"/>
      </w:pPr>
    </w:p>
    <w:p w:rsidR="00430097" w:rsidP="00A46256" w:rsidRDefault="00612C90" w14:paraId="5D0429BF" w14:textId="4F7A15A2">
      <w:pPr>
        <w:pStyle w:val="FERCparanumber"/>
        <w:numPr>
          <w:ilvl w:val="0"/>
          <w:numId w:val="0"/>
        </w:numPr>
        <w:tabs>
          <w:tab w:val="left" w:pos="0"/>
        </w:tabs>
        <w:spacing w:after="0"/>
        <w:ind w:left="720"/>
      </w:pPr>
      <w:r>
        <w:t>E</w:t>
      </w:r>
      <w:r w:rsidR="00053F38">
        <w:t>9</w:t>
      </w:r>
      <w:r w:rsidR="006D3D66">
        <w:t xml:space="preserve">. </w:t>
      </w:r>
      <w:r w:rsidR="006D3D66">
        <w:tab/>
      </w:r>
      <w:r w:rsidR="00CF0F10">
        <w:t xml:space="preserve">How, if at all, should the Commission consider state ROEs?  </w:t>
      </w:r>
    </w:p>
    <w:p w:rsidR="00A46256" w:rsidP="00A46256" w:rsidRDefault="00A46256" w14:paraId="74115A77" w14:textId="77777777">
      <w:pPr>
        <w:pStyle w:val="FERCparanumber"/>
        <w:numPr>
          <w:ilvl w:val="0"/>
          <w:numId w:val="0"/>
        </w:numPr>
        <w:tabs>
          <w:tab w:val="left" w:pos="0"/>
        </w:tabs>
        <w:spacing w:after="0"/>
        <w:ind w:left="720"/>
      </w:pPr>
    </w:p>
    <w:p w:rsidR="00430097" w:rsidP="00A46256" w:rsidRDefault="00612C90" w14:paraId="4E9E40C1" w14:textId="262ADC8B">
      <w:pPr>
        <w:pStyle w:val="FERCparanumber"/>
        <w:numPr>
          <w:ilvl w:val="0"/>
          <w:numId w:val="0"/>
        </w:numPr>
        <w:tabs>
          <w:tab w:val="left" w:pos="0"/>
        </w:tabs>
        <w:spacing w:after="0"/>
        <w:ind w:left="720" w:firstLine="720"/>
      </w:pPr>
      <w:r>
        <w:t>E</w:t>
      </w:r>
      <w:r w:rsidR="00053F38">
        <w:t>9</w:t>
      </w:r>
      <w:r w:rsidR="00430097">
        <w:t>.a</w:t>
      </w:r>
      <w:r w:rsidR="00053F38">
        <w:t>.</w:t>
      </w:r>
      <w:r w:rsidR="00430097">
        <w:tab/>
      </w:r>
      <w:r w:rsidR="00CF0F10">
        <w:t xml:space="preserve">How and why do state ROEs vary by state?  </w:t>
      </w:r>
    </w:p>
    <w:p w:rsidR="00A46256" w:rsidP="00A46256" w:rsidRDefault="00A46256" w14:paraId="7DA834B0" w14:textId="77777777">
      <w:pPr>
        <w:pStyle w:val="FERCparanumber"/>
        <w:numPr>
          <w:ilvl w:val="0"/>
          <w:numId w:val="0"/>
        </w:numPr>
        <w:tabs>
          <w:tab w:val="left" w:pos="0"/>
        </w:tabs>
        <w:spacing w:after="0"/>
        <w:ind w:left="720" w:firstLine="720"/>
      </w:pPr>
    </w:p>
    <w:p w:rsidR="00FB761C" w:rsidP="00FB761C" w:rsidRDefault="00053F38" w14:paraId="42217F9A" w14:textId="46C5557D">
      <w:pPr>
        <w:pStyle w:val="FERCparanumber"/>
        <w:numPr>
          <w:ilvl w:val="0"/>
          <w:numId w:val="0"/>
        </w:numPr>
        <w:tabs>
          <w:tab w:val="left" w:pos="0"/>
        </w:tabs>
        <w:spacing w:after="0"/>
        <w:ind w:left="1440"/>
      </w:pPr>
      <w:r>
        <w:t>E9</w:t>
      </w:r>
      <w:r w:rsidR="00430097">
        <w:t>.b</w:t>
      </w:r>
      <w:r w:rsidR="007F66EB">
        <w:t>.</w:t>
      </w:r>
      <w:r w:rsidR="00430097">
        <w:tab/>
        <w:t>How a</w:t>
      </w:r>
      <w:r w:rsidR="00CF0F10">
        <w:t xml:space="preserve">re certain state ROEs more </w:t>
      </w:r>
      <w:r w:rsidR="00430097">
        <w:t xml:space="preserve">or less </w:t>
      </w:r>
      <w:r w:rsidR="00CF0F10">
        <w:t xml:space="preserve">comparable to Commission ROEs?  </w:t>
      </w:r>
    </w:p>
    <w:p w:rsidR="00A46256" w:rsidP="00A46256" w:rsidRDefault="00A46256" w14:paraId="16C2F56C" w14:textId="77777777">
      <w:pPr>
        <w:pStyle w:val="FERCparanumber"/>
        <w:numPr>
          <w:ilvl w:val="0"/>
          <w:numId w:val="0"/>
        </w:numPr>
        <w:tabs>
          <w:tab w:val="left" w:pos="0"/>
        </w:tabs>
        <w:spacing w:after="0"/>
        <w:ind w:left="1440"/>
      </w:pPr>
    </w:p>
    <w:p w:rsidR="000248F0" w:rsidP="00A46256" w:rsidRDefault="00053F38" w14:paraId="76D3B689" w14:textId="3BB7D1B8">
      <w:pPr>
        <w:pStyle w:val="FERCparanumber"/>
        <w:numPr>
          <w:ilvl w:val="0"/>
          <w:numId w:val="0"/>
        </w:numPr>
        <w:tabs>
          <w:tab w:val="left" w:pos="0"/>
        </w:tabs>
        <w:spacing w:after="0"/>
        <w:ind w:left="720"/>
      </w:pPr>
      <w:r>
        <w:t>E10</w:t>
      </w:r>
      <w:r w:rsidR="000248F0">
        <w:t>.</w:t>
      </w:r>
      <w:r w:rsidR="000248F0">
        <w:tab/>
        <w:t xml:space="preserve">If the Commission considers state ROEs, how should it compare FERC-jurisdictional transmission ROEs with state ROEs that apply to utilities that are (a) distribution and transmission companies; or (b) distribution, generation, and transmission companies? </w:t>
      </w:r>
    </w:p>
    <w:p w:rsidR="00A46256" w:rsidP="00A46256" w:rsidRDefault="00A46256" w14:paraId="383D6B5D" w14:textId="77777777">
      <w:pPr>
        <w:pStyle w:val="FERCparanumber"/>
        <w:numPr>
          <w:ilvl w:val="0"/>
          <w:numId w:val="0"/>
        </w:numPr>
        <w:tabs>
          <w:tab w:val="left" w:pos="0"/>
        </w:tabs>
        <w:spacing w:after="0"/>
        <w:ind w:left="720"/>
      </w:pPr>
    </w:p>
    <w:p w:rsidR="00401830" w:rsidP="00A46256" w:rsidRDefault="00401830" w14:paraId="7A7C364E" w14:textId="2994F5FA">
      <w:pPr>
        <w:pStyle w:val="FERCparanumber"/>
        <w:numPr>
          <w:ilvl w:val="0"/>
          <w:numId w:val="0"/>
        </w:numPr>
        <w:tabs>
          <w:tab w:val="left" w:pos="0"/>
        </w:tabs>
        <w:spacing w:after="0"/>
        <w:ind w:left="720"/>
      </w:pPr>
      <w:r>
        <w:t>E1</w:t>
      </w:r>
      <w:r w:rsidR="00053F38">
        <w:t>1</w:t>
      </w:r>
      <w:r>
        <w:t>.</w:t>
      </w:r>
      <w:r>
        <w:tab/>
        <w:t>To what extent, if any, should the Commission exercise judgment in using financial models to set ROEs under various capital market conditions?</w:t>
      </w:r>
    </w:p>
    <w:p w:rsidR="00A46256" w:rsidP="00A46256" w:rsidRDefault="00A46256" w14:paraId="397D1104" w14:textId="77777777">
      <w:pPr>
        <w:pStyle w:val="FERCparanumber"/>
        <w:numPr>
          <w:ilvl w:val="0"/>
          <w:numId w:val="0"/>
        </w:numPr>
        <w:tabs>
          <w:tab w:val="left" w:pos="0"/>
        </w:tabs>
        <w:spacing w:after="0"/>
        <w:ind w:left="720"/>
      </w:pPr>
    </w:p>
    <w:p w:rsidR="00CF0F10" w:rsidP="00EA5D2A" w:rsidRDefault="00CF0F10" w14:paraId="706954BA" w14:textId="77777777">
      <w:pPr>
        <w:pStyle w:val="Heading2"/>
        <w:tabs>
          <w:tab w:val="left" w:pos="0"/>
        </w:tabs>
      </w:pPr>
      <w:r w:rsidRPr="00A26096">
        <w:lastRenderedPageBreak/>
        <w:t>Mismatch between Market-based ROE determinations and Book-Value Rate Base</w:t>
      </w:r>
    </w:p>
    <w:p w:rsidRPr="00FA715E" w:rsidR="000725C7" w:rsidP="00704930" w:rsidRDefault="00E60F62" w14:paraId="2B925040" w14:textId="2DE3AD7D">
      <w:pPr>
        <w:pStyle w:val="StyleFERCparanumberLinespacingDouble"/>
        <w:tabs>
          <w:tab w:val="clear" w:pos="810"/>
          <w:tab w:val="num" w:pos="720"/>
        </w:tabs>
      </w:pPr>
      <w:r w:rsidRPr="00E60F62">
        <w:t>The DCF and CAPM models determine a percentage ROE based on market prices of the proxy companies</w:t>
      </w:r>
      <w:r>
        <w:t>.</w:t>
      </w:r>
      <w:r w:rsidRPr="00E60F62">
        <w:t xml:space="preserve"> </w:t>
      </w:r>
      <w:r>
        <w:t xml:space="preserve"> T</w:t>
      </w:r>
      <w:r w:rsidRPr="00E60F62">
        <w:t xml:space="preserve">hat </w:t>
      </w:r>
      <w:r>
        <w:t xml:space="preserve">percentage </w:t>
      </w:r>
      <w:r w:rsidRPr="00E60F62">
        <w:t xml:space="preserve">ROE is then applied to </w:t>
      </w:r>
      <w:r>
        <w:t xml:space="preserve">the </w:t>
      </w:r>
      <w:r w:rsidRPr="00E60F62">
        <w:t xml:space="preserve">book value </w:t>
      </w:r>
      <w:r>
        <w:t xml:space="preserve">of the </w:t>
      </w:r>
      <w:r w:rsidRPr="00E60F62">
        <w:t xml:space="preserve">rate base to calculate </w:t>
      </w:r>
      <w:r>
        <w:t>the</w:t>
      </w:r>
      <w:r w:rsidRPr="00E60F62">
        <w:t xml:space="preserve"> monetary ROE</w:t>
      </w:r>
      <w:r>
        <w:t xml:space="preserve"> included in a utility’s cost of service</w:t>
      </w:r>
      <w:r w:rsidRPr="00E60F62">
        <w:t xml:space="preserve">.  </w:t>
      </w:r>
      <w:r>
        <w:t>F</w:t>
      </w:r>
      <w:r w:rsidRPr="00E60F62">
        <w:t xml:space="preserve">or the last three decades, </w:t>
      </w:r>
      <w:r>
        <w:t xml:space="preserve">the </w:t>
      </w:r>
      <w:r w:rsidRPr="00E60F62">
        <w:t xml:space="preserve">market-to-book ratios </w:t>
      </w:r>
      <w:r>
        <w:t xml:space="preserve">of the companies </w:t>
      </w:r>
      <w:r w:rsidR="00C344A8">
        <w:t xml:space="preserve">that </w:t>
      </w:r>
      <w:r>
        <w:t xml:space="preserve">the Commission uses in proxy groups </w:t>
      </w:r>
      <w:r w:rsidRPr="00E60F62">
        <w:t xml:space="preserve">have </w:t>
      </w:r>
      <w:r>
        <w:t xml:space="preserve">generally </w:t>
      </w:r>
      <w:r w:rsidRPr="00E60F62">
        <w:t>been substantially in excess of one.</w:t>
      </w:r>
      <w:r>
        <w:t xml:space="preserve">  </w:t>
      </w:r>
      <w:r w:rsidR="002B331B">
        <w:t>The Commission seeks comment on the mismatch between market-based ROE determinations and book-value rate base and whether this mismatch is a problem, and how the Commission should address this issue.</w:t>
      </w:r>
    </w:p>
    <w:p w:rsidR="00CF0F10" w:rsidP="00E34800" w:rsidRDefault="006D3D66" w14:paraId="13E44DE6" w14:textId="5A43F702">
      <w:pPr>
        <w:pStyle w:val="FERCparanumber"/>
        <w:numPr>
          <w:ilvl w:val="0"/>
          <w:numId w:val="0"/>
        </w:numPr>
        <w:tabs>
          <w:tab w:val="left" w:pos="0"/>
        </w:tabs>
        <w:ind w:left="720"/>
      </w:pPr>
      <w:r>
        <w:t xml:space="preserve">F1. </w:t>
      </w:r>
      <w:r>
        <w:tab/>
      </w:r>
      <w:r w:rsidR="00637611">
        <w:t>Does the mismatch between market-based ROE determinations and a book</w:t>
      </w:r>
      <w:r w:rsidR="002E169F">
        <w:t xml:space="preserve"> </w:t>
      </w:r>
      <w:r w:rsidR="00637611">
        <w:t>value rate base support</w:t>
      </w:r>
      <w:r w:rsidRPr="00D97F65" w:rsidR="00CF0F10">
        <w:t xml:space="preserve"> current market values?  Is </w:t>
      </w:r>
      <w:r w:rsidR="00637611">
        <w:t>this mismatch</w:t>
      </w:r>
      <w:r w:rsidRPr="00D97F65" w:rsidR="00CF0F10">
        <w:t xml:space="preserve"> a problem?</w:t>
      </w:r>
    </w:p>
    <w:p w:rsidR="008B4E93" w:rsidP="00EA5D2A" w:rsidRDefault="006D3D66" w14:paraId="444420EB" w14:textId="6307E606">
      <w:pPr>
        <w:pStyle w:val="FERCparanumber"/>
        <w:numPr>
          <w:ilvl w:val="0"/>
          <w:numId w:val="0"/>
        </w:numPr>
        <w:tabs>
          <w:tab w:val="left" w:pos="0"/>
        </w:tabs>
        <w:ind w:left="720"/>
      </w:pPr>
      <w:r>
        <w:t xml:space="preserve">F2. </w:t>
      </w:r>
      <w:r>
        <w:tab/>
      </w:r>
      <w:r w:rsidR="008B4E93">
        <w:t>Why have most or all utility market-to-bo</w:t>
      </w:r>
      <w:r w:rsidR="00B318DA">
        <w:t xml:space="preserve">ok ratios consistently exceeded </w:t>
      </w:r>
      <w:r w:rsidR="008B4E93">
        <w:t>one?</w:t>
      </w:r>
    </w:p>
    <w:p w:rsidR="00CF0F10" w:rsidP="00EA5D2A" w:rsidRDefault="006D3D66" w14:paraId="5702CD26" w14:textId="14C2C6FF">
      <w:pPr>
        <w:pStyle w:val="FERCparanumber"/>
        <w:numPr>
          <w:ilvl w:val="0"/>
          <w:numId w:val="0"/>
        </w:numPr>
        <w:tabs>
          <w:tab w:val="left" w:pos="0"/>
        </w:tabs>
        <w:ind w:firstLine="720"/>
      </w:pPr>
      <w:r>
        <w:t>F</w:t>
      </w:r>
      <w:r w:rsidR="001516AB">
        <w:t>3</w:t>
      </w:r>
      <w:r>
        <w:t xml:space="preserve">. </w:t>
      </w:r>
      <w:r>
        <w:tab/>
      </w:r>
      <w:r w:rsidR="00C344A8">
        <w:t>How</w:t>
      </w:r>
      <w:r w:rsidR="005A7373">
        <w:t xml:space="preserve"> should the ROE </w:t>
      </w:r>
      <w:r w:rsidR="00C344A8">
        <w:t xml:space="preserve">level </w:t>
      </w:r>
      <w:r w:rsidR="005A7373">
        <w:t>be set relative to the cost of equity?</w:t>
      </w:r>
      <w:r w:rsidDel="005A7373" w:rsidR="005A7373">
        <w:t xml:space="preserve"> </w:t>
      </w:r>
    </w:p>
    <w:p w:rsidR="00CF0F10" w:rsidP="00A5779B" w:rsidRDefault="00565A2F" w14:paraId="30CABC63" w14:textId="11448519">
      <w:pPr>
        <w:pStyle w:val="FERCparanumber"/>
        <w:numPr>
          <w:ilvl w:val="0"/>
          <w:numId w:val="0"/>
        </w:numPr>
        <w:tabs>
          <w:tab w:val="left" w:pos="0"/>
        </w:tabs>
        <w:ind w:left="720"/>
      </w:pPr>
      <w:r>
        <w:lastRenderedPageBreak/>
        <w:t xml:space="preserve"> </w:t>
      </w:r>
      <w:r w:rsidR="006D3D66">
        <w:t>F</w:t>
      </w:r>
      <w:r w:rsidR="003122FE">
        <w:t>4</w:t>
      </w:r>
      <w:r w:rsidR="006D3D66">
        <w:t xml:space="preserve">. </w:t>
      </w:r>
      <w:r w:rsidR="006D3D66">
        <w:tab/>
      </w:r>
      <w:r w:rsidRPr="00D97F65" w:rsidR="00CF0F10">
        <w:t xml:space="preserve">Should </w:t>
      </w:r>
      <w:r w:rsidR="009F67E1">
        <w:t xml:space="preserve">the </w:t>
      </w:r>
      <w:r w:rsidRPr="00D97F65" w:rsidR="00CF0F10">
        <w:t xml:space="preserve">Commission revise </w:t>
      </w:r>
      <w:r w:rsidR="00C344A8">
        <w:t>our</w:t>
      </w:r>
      <w:r w:rsidRPr="00D97F65" w:rsidR="00C344A8">
        <w:t xml:space="preserve"> </w:t>
      </w:r>
      <w:r w:rsidRPr="00D97F65" w:rsidR="00CF0F10">
        <w:t>use of these models to account for th</w:t>
      </w:r>
      <w:r w:rsidR="001E6C1A">
        <w:t>e</w:t>
      </w:r>
      <w:r w:rsidRPr="00D97F65" w:rsidR="00CF0F10">
        <w:t xml:space="preserve"> </w:t>
      </w:r>
      <w:r w:rsidR="009F67E1">
        <w:t>mismatch</w:t>
      </w:r>
      <w:r w:rsidR="001E6C1A">
        <w:t xml:space="preserve"> between m</w:t>
      </w:r>
      <w:r w:rsidRPr="001E6C1A" w:rsidR="001E6C1A">
        <w:t xml:space="preserve">arket-based ROE determinations and </w:t>
      </w:r>
      <w:r w:rsidR="001E6C1A">
        <w:t>b</w:t>
      </w:r>
      <w:r w:rsidRPr="001E6C1A" w:rsidR="001E6C1A">
        <w:t>ook-</w:t>
      </w:r>
      <w:r w:rsidR="001E6C1A">
        <w:t>v</w:t>
      </w:r>
      <w:r w:rsidRPr="001E6C1A" w:rsidR="001E6C1A">
        <w:t xml:space="preserve">alue </w:t>
      </w:r>
      <w:r w:rsidR="001E6C1A">
        <w:t>r</w:t>
      </w:r>
      <w:r w:rsidRPr="001E6C1A" w:rsidR="001E6C1A">
        <w:t xml:space="preserve">ate </w:t>
      </w:r>
      <w:r w:rsidR="001E6C1A">
        <w:t>b</w:t>
      </w:r>
      <w:r w:rsidRPr="001E6C1A" w:rsidR="001E6C1A">
        <w:t>ase</w:t>
      </w:r>
      <w:r w:rsidRPr="00D97F65" w:rsidR="00CF0F10">
        <w:t>?</w:t>
      </w:r>
      <w:r w:rsidR="00CF0F10">
        <w:t xml:space="preserve">  If so, how?</w:t>
      </w:r>
      <w:r w:rsidR="00474BFD">
        <w:t xml:space="preserve">  For example, should the Commission adjust the dividend yield used in the DCF model to represent a yield on book value rather than a yield on stock price</w:t>
      </w:r>
      <w:r w:rsidR="005E0C7A">
        <w:t>?</w:t>
      </w:r>
      <w:r w:rsidR="00474BFD">
        <w:t xml:space="preserve">  </w:t>
      </w:r>
      <w:r w:rsidR="00CF0F10">
        <w:t xml:space="preserve"> </w:t>
      </w:r>
    </w:p>
    <w:p w:rsidRPr="00A26096" w:rsidR="00CF0F10" w:rsidP="00EA5D2A" w:rsidRDefault="003122FE" w14:paraId="6CA9F941" w14:textId="2EA2643F">
      <w:pPr>
        <w:pStyle w:val="FERCparanumber"/>
        <w:numPr>
          <w:ilvl w:val="0"/>
          <w:numId w:val="0"/>
        </w:numPr>
        <w:tabs>
          <w:tab w:val="left" w:pos="0"/>
        </w:tabs>
        <w:ind w:left="720"/>
      </w:pPr>
      <w:r>
        <w:t>F5</w:t>
      </w:r>
      <w:r w:rsidR="005A7373">
        <w:t>.</w:t>
      </w:r>
      <w:r w:rsidR="005A7373">
        <w:tab/>
      </w:r>
      <w:r w:rsidR="00FB761C">
        <w:t xml:space="preserve">Should the Commission consider </w:t>
      </w:r>
      <w:r w:rsidR="00AB540E">
        <w:t xml:space="preserve">adjusting ROEs to account for </w:t>
      </w:r>
      <w:r w:rsidR="005A7373">
        <w:t>market-to-book ratio</w:t>
      </w:r>
      <w:r w:rsidR="0016138A">
        <w:t>s above or below one</w:t>
      </w:r>
      <w:r w:rsidR="00FB761C">
        <w:t xml:space="preserve">?  Would doing so </w:t>
      </w:r>
      <w:r w:rsidR="005A7373">
        <w:t>introduce circularity into Commission ROEs</w:t>
      </w:r>
      <w:r w:rsidR="005E0C7A">
        <w:t xml:space="preserve"> by setting the ROE at whatever level of earnings the market expected, rather than making an independent assessment of the appropriate ROE</w:t>
      </w:r>
      <w:r w:rsidR="005A7373">
        <w:t>?</w:t>
      </w:r>
      <w:r w:rsidR="005E0C7A">
        <w:rPr>
          <w:rStyle w:val="FootnoteReference"/>
        </w:rPr>
        <w:footnoteReference w:id="61"/>
      </w:r>
    </w:p>
    <w:p w:rsidR="00CF0F10" w:rsidP="00EA5D2A" w:rsidRDefault="00CF0F10" w14:paraId="4FCC23E7" w14:textId="3593FAC7">
      <w:pPr>
        <w:pStyle w:val="Heading2"/>
        <w:tabs>
          <w:tab w:val="left" w:pos="0"/>
        </w:tabs>
      </w:pPr>
      <w:r w:rsidRPr="008E51DE">
        <w:t>First Prong</w:t>
      </w:r>
      <w:r w:rsidR="004C0DCD">
        <w:t xml:space="preserve"> of ROE </w:t>
      </w:r>
      <w:r w:rsidR="002C217C">
        <w:t>Determination</w:t>
      </w:r>
    </w:p>
    <w:p w:rsidRPr="00FA715E" w:rsidR="000725C7" w:rsidP="002936F9" w:rsidRDefault="002B331B" w14:paraId="6DE0091D" w14:textId="48710E19">
      <w:pPr>
        <w:pStyle w:val="StyleFERCparanumberLinespacingDouble"/>
        <w:tabs>
          <w:tab w:val="clear" w:pos="810"/>
          <w:tab w:val="num" w:pos="720"/>
        </w:tabs>
      </w:pPr>
      <w:r>
        <w:t xml:space="preserve">In the </w:t>
      </w:r>
      <w:r w:rsidRPr="004345CE">
        <w:rPr>
          <w:i/>
        </w:rPr>
        <w:t>Coakley</w:t>
      </w:r>
      <w:r>
        <w:t xml:space="preserve"> </w:t>
      </w:r>
      <w:r w:rsidR="003A781B">
        <w:t xml:space="preserve">and MISO </w:t>
      </w:r>
      <w:r>
        <w:t>Briefing Order</w:t>
      </w:r>
      <w:r w:rsidR="003A781B">
        <w:t>s</w:t>
      </w:r>
      <w:r>
        <w:t xml:space="preserve">, </w:t>
      </w:r>
      <w:r w:rsidR="003A781B">
        <w:t>t</w:t>
      </w:r>
      <w:r w:rsidRPr="00022C16">
        <w:t xml:space="preserve">he Commission proposed that, in order to find an existing ROE unjust and unreasonable under the first prong of </w:t>
      </w:r>
      <w:r>
        <w:t xml:space="preserve">FPA </w:t>
      </w:r>
      <w:r w:rsidRPr="00022C16">
        <w:t>section 206, th</w:t>
      </w:r>
      <w:r>
        <w:t>e</w:t>
      </w:r>
      <w:r w:rsidRPr="00022C16">
        <w:t xml:space="preserve"> ROE must be outside a range of presumptively just and reasonable ROEs for a utility of its risk profile</w:t>
      </w:r>
      <w:r>
        <w:t>, absent additional evidence to the contrary</w:t>
      </w:r>
      <w:r w:rsidRPr="00022C16">
        <w:t>.</w:t>
      </w:r>
      <w:r w:rsidR="006C5830">
        <w:t xml:space="preserve">  </w:t>
      </w:r>
      <w:r w:rsidRPr="006C5830" w:rsidR="006C5830">
        <w:t xml:space="preserve">For </w:t>
      </w:r>
      <w:r w:rsidR="006C5830">
        <w:t>a</w:t>
      </w:r>
      <w:r w:rsidRPr="006C5830" w:rsidR="006C5830">
        <w:t>verage risk utilities, th</w:t>
      </w:r>
      <w:r w:rsidR="00355786">
        <w:t xml:space="preserve">e range of presumptively </w:t>
      </w:r>
      <w:r w:rsidR="00355786">
        <w:lastRenderedPageBreak/>
        <w:t>just and reasonable ROEs</w:t>
      </w:r>
      <w:r w:rsidRPr="006C5830" w:rsidR="006C5830">
        <w:t xml:space="preserve"> would be the quartile of the zone of reasonableness centered on the central tendency of the </w:t>
      </w:r>
      <w:r w:rsidR="006C5830">
        <w:t>overall</w:t>
      </w:r>
      <w:r w:rsidRPr="006C5830" w:rsidR="006C5830">
        <w:t xml:space="preserve"> zone of reasonableness</w:t>
      </w:r>
      <w:r w:rsidR="005D7587">
        <w:t>.</w:t>
      </w:r>
      <w:r w:rsidRPr="00022C16">
        <w:t xml:space="preserve">  For below or above average </w:t>
      </w:r>
      <w:r>
        <w:t xml:space="preserve">risk </w:t>
      </w:r>
      <w:r w:rsidRPr="00022C16">
        <w:t>utilit</w:t>
      </w:r>
      <w:r>
        <w:t>ies</w:t>
      </w:r>
      <w:r w:rsidRPr="00022C16">
        <w:t>, that range would be the quartile of the zone of reasonableness centered on the central tendency of the lower or upper half of the zone of reasonableness, respectively.</w:t>
      </w:r>
      <w:r>
        <w:t xml:space="preserve">  The Commission seeks comment on how the Commission determines whether an existing ROE is unjust and unreasonable under the first prong of FPA section 206 and</w:t>
      </w:r>
      <w:r w:rsidR="006C5830">
        <w:t xml:space="preserve"> whether</w:t>
      </w:r>
      <w:r>
        <w:t xml:space="preserve"> the quartile approach </w:t>
      </w:r>
      <w:r w:rsidR="00C344A8">
        <w:t xml:space="preserve">that the Commission </w:t>
      </w:r>
      <w:r>
        <w:t xml:space="preserve">proposed in the </w:t>
      </w:r>
      <w:r w:rsidRPr="003214FB">
        <w:rPr>
          <w:i/>
        </w:rPr>
        <w:t>Coakley</w:t>
      </w:r>
      <w:r>
        <w:t xml:space="preserve"> and MISO Briefing Orders is reasonable.</w:t>
      </w:r>
      <w:r w:rsidDel="002B331B">
        <w:t xml:space="preserve"> </w:t>
      </w:r>
    </w:p>
    <w:p w:rsidR="00CF0F10" w:rsidP="00EA5D2A" w:rsidRDefault="006D3D66" w14:paraId="658A4755" w14:textId="6E2CE0E6">
      <w:pPr>
        <w:pStyle w:val="FERCparanumber"/>
        <w:numPr>
          <w:ilvl w:val="0"/>
          <w:numId w:val="0"/>
        </w:numPr>
        <w:tabs>
          <w:tab w:val="left" w:pos="0"/>
        </w:tabs>
        <w:ind w:left="720"/>
      </w:pPr>
      <w:r>
        <w:t xml:space="preserve">G1. </w:t>
      </w:r>
      <w:r>
        <w:tab/>
      </w:r>
      <w:r w:rsidR="00CF0F10">
        <w:t>How should the Commission determine if existing ROEs are just and reasonable?</w:t>
      </w:r>
    </w:p>
    <w:p w:rsidR="00CF0F10" w:rsidP="00EA5D2A" w:rsidRDefault="006D3D66" w14:paraId="04DF6FBC" w14:textId="26EC99C8">
      <w:pPr>
        <w:pStyle w:val="FERCparanumber"/>
        <w:numPr>
          <w:ilvl w:val="0"/>
          <w:numId w:val="0"/>
        </w:numPr>
        <w:tabs>
          <w:tab w:val="left" w:pos="0"/>
        </w:tabs>
        <w:ind w:left="720"/>
      </w:pPr>
      <w:r>
        <w:t xml:space="preserve">G2. </w:t>
      </w:r>
      <w:r>
        <w:tab/>
      </w:r>
      <w:r w:rsidR="00CF0F10">
        <w:t xml:space="preserve">Is the quartile approach </w:t>
      </w:r>
      <w:r w:rsidR="00C344A8">
        <w:t xml:space="preserve">that the Commission </w:t>
      </w:r>
      <w:r w:rsidR="004C7C33">
        <w:t xml:space="preserve">proposed in the </w:t>
      </w:r>
      <w:r w:rsidR="004C7C33">
        <w:rPr>
          <w:i/>
        </w:rPr>
        <w:t xml:space="preserve">Coakley </w:t>
      </w:r>
      <w:r w:rsidR="004C7C33">
        <w:t xml:space="preserve">and MISO Briefing Orders </w:t>
      </w:r>
      <w:r w:rsidR="00FB761C">
        <w:t>appropriate</w:t>
      </w:r>
      <w:r w:rsidR="004C7C33">
        <w:t xml:space="preserve">? </w:t>
      </w:r>
      <w:r w:rsidR="001E6C1A">
        <w:t xml:space="preserve"> </w:t>
      </w:r>
      <w:r w:rsidR="004C7C33">
        <w:t xml:space="preserve">If not, </w:t>
      </w:r>
      <w:r w:rsidR="00CF0F10">
        <w:t xml:space="preserve">how should </w:t>
      </w:r>
      <w:r w:rsidR="001E6C1A">
        <w:t xml:space="preserve">the </w:t>
      </w:r>
      <w:r w:rsidR="00C344A8">
        <w:t xml:space="preserve">Commission revise this </w:t>
      </w:r>
      <w:r w:rsidR="001E6C1A">
        <w:t>methodology</w:t>
      </w:r>
      <w:r w:rsidR="00CF0F10">
        <w:t>?</w:t>
      </w:r>
    </w:p>
    <w:p w:rsidR="00CF0F10" w:rsidP="00EA5D2A" w:rsidRDefault="006D3D66" w14:paraId="0ACE2956" w14:textId="099E9538">
      <w:pPr>
        <w:pStyle w:val="FERCparanumber"/>
        <w:numPr>
          <w:ilvl w:val="0"/>
          <w:numId w:val="0"/>
        </w:numPr>
        <w:tabs>
          <w:tab w:val="left" w:pos="0"/>
        </w:tabs>
        <w:ind w:left="720"/>
      </w:pPr>
      <w:r>
        <w:t xml:space="preserve">G3. </w:t>
      </w:r>
      <w:r>
        <w:tab/>
      </w:r>
      <w:r w:rsidR="00B92D8C">
        <w:t>W</w:t>
      </w:r>
      <w:r w:rsidR="00CF0F10">
        <w:t xml:space="preserve">hen a </w:t>
      </w:r>
      <w:r w:rsidR="00B92D8C">
        <w:t>successive</w:t>
      </w:r>
      <w:r w:rsidR="00CF0F10">
        <w:t xml:space="preserve"> complaint is file</w:t>
      </w:r>
      <w:r w:rsidR="004C7C33">
        <w:t>d</w:t>
      </w:r>
      <w:r w:rsidR="00B92D8C">
        <w:t xml:space="preserve"> while the current ROE is being adjudicated</w:t>
      </w:r>
      <w:r w:rsidR="00F92536">
        <w:t xml:space="preserve"> (</w:t>
      </w:r>
      <w:r w:rsidR="00B92D8C">
        <w:t>i.e.</w:t>
      </w:r>
      <w:r w:rsidR="00F92536">
        <w:t>,</w:t>
      </w:r>
      <w:r w:rsidR="00B92D8C">
        <w:t xml:space="preserve"> a pancake complaint</w:t>
      </w:r>
      <w:r w:rsidR="00F92536">
        <w:t>)</w:t>
      </w:r>
      <w:r w:rsidR="00B92D8C">
        <w:t>,</w:t>
      </w:r>
      <w:r w:rsidR="00CF0F10">
        <w:t xml:space="preserve"> should </w:t>
      </w:r>
      <w:r w:rsidR="00310426">
        <w:t>the</w:t>
      </w:r>
      <w:r w:rsidR="00CF0F10">
        <w:t xml:space="preserve"> </w:t>
      </w:r>
      <w:r w:rsidR="00F92536">
        <w:t xml:space="preserve">subsequent </w:t>
      </w:r>
      <w:r w:rsidR="00CF0F10">
        <w:t xml:space="preserve">complainant be required to make </w:t>
      </w:r>
      <w:r w:rsidR="003F7013">
        <w:t xml:space="preserve">a </w:t>
      </w:r>
      <w:r w:rsidR="00CF0F10">
        <w:t xml:space="preserve">prima facie showing of sufficient change in market conditions to meet </w:t>
      </w:r>
      <w:r w:rsidR="00B92D8C">
        <w:t xml:space="preserve">the </w:t>
      </w:r>
      <w:r w:rsidR="00B92D8C">
        <w:rPr>
          <w:i/>
        </w:rPr>
        <w:t xml:space="preserve">Coakley </w:t>
      </w:r>
      <w:r w:rsidR="00B92D8C">
        <w:t xml:space="preserve">and MISO Briefing </w:t>
      </w:r>
      <w:r w:rsidR="00B92D8C">
        <w:lastRenderedPageBreak/>
        <w:t>Order’s proposed</w:t>
      </w:r>
      <w:r w:rsidR="00CF0F10">
        <w:t xml:space="preserve"> </w:t>
      </w:r>
      <w:r w:rsidR="00B92D8C">
        <w:t>d</w:t>
      </w:r>
      <w:r w:rsidR="00B92D8C">
        <w:rPr>
          <w:szCs w:val="26"/>
        </w:rPr>
        <w:t>etermination of</w:t>
      </w:r>
      <w:r w:rsidRPr="000B2F52" w:rsidR="00B92D8C">
        <w:rPr>
          <w:szCs w:val="26"/>
        </w:rPr>
        <w:t xml:space="preserve"> whether an existing ROE remains just and reasonable</w:t>
      </w:r>
      <w:r w:rsidR="00CF0F10">
        <w:t xml:space="preserve">?  If so, </w:t>
      </w:r>
      <w:r w:rsidR="00E62B7A">
        <w:t xml:space="preserve">what </w:t>
      </w:r>
      <w:r w:rsidR="004D3BD6">
        <w:t>type of</w:t>
      </w:r>
      <w:r w:rsidR="00E62B7A">
        <w:t xml:space="preserve"> information </w:t>
      </w:r>
      <w:r w:rsidR="0080778C">
        <w:t>or showing</w:t>
      </w:r>
      <w:r w:rsidR="00E62B7A">
        <w:t xml:space="preserve"> should </w:t>
      </w:r>
      <w:r w:rsidR="004D3BD6">
        <w:t>the complainant provide</w:t>
      </w:r>
      <w:r w:rsidR="00E62B7A">
        <w:t xml:space="preserve"> to demonstrate that </w:t>
      </w:r>
      <w:r w:rsidR="004D3BD6">
        <w:t>market conditions</w:t>
      </w:r>
      <w:r w:rsidR="00E62B7A">
        <w:t xml:space="preserve"> have changed, and what standard should the Commission apply</w:t>
      </w:r>
      <w:r w:rsidR="004D3BD6">
        <w:t xml:space="preserve"> when assessing whether to deny the subsequent complaint without setting it for hearing</w:t>
      </w:r>
      <w:r w:rsidR="00E62B7A">
        <w:t>?</w:t>
      </w:r>
    </w:p>
    <w:p w:rsidR="006C5830" w:rsidP="00EA5D2A" w:rsidRDefault="006C5830" w14:paraId="2FC702DE" w14:textId="222F9137">
      <w:pPr>
        <w:pStyle w:val="FERCparanumber"/>
        <w:numPr>
          <w:ilvl w:val="0"/>
          <w:numId w:val="0"/>
        </w:numPr>
        <w:tabs>
          <w:tab w:val="left" w:pos="0"/>
        </w:tabs>
        <w:ind w:left="720"/>
      </w:pPr>
      <w:r>
        <w:t>G4.</w:t>
      </w:r>
      <w:r>
        <w:tab/>
        <w:t xml:space="preserve">In single utility </w:t>
      </w:r>
      <w:r w:rsidR="002E169F">
        <w:t>rate</w:t>
      </w:r>
      <w:r>
        <w:t xml:space="preserve"> cases, the Commission determines the central tendency of the zone of reasonableness based on the median of the proxy group ROEs.  </w:t>
      </w:r>
      <w:r w:rsidR="00FB761C">
        <w:t xml:space="preserve">Is the approach outlined in the </w:t>
      </w:r>
      <w:r w:rsidR="00FB761C">
        <w:rPr>
          <w:i/>
        </w:rPr>
        <w:t xml:space="preserve">Coakley </w:t>
      </w:r>
      <w:r w:rsidR="00FB761C">
        <w:t xml:space="preserve">and MISO briefing orders appropriate in single utility rate cases given that the </w:t>
      </w:r>
      <w:r w:rsidR="00C914CD">
        <w:t>proxy company ROEs tend to cluster near the center of the zone of reasonableness</w:t>
      </w:r>
      <w:r w:rsidR="00FB761C">
        <w:t xml:space="preserve">, making the middle quartile relatively narrow?  </w:t>
      </w:r>
    </w:p>
    <w:p w:rsidR="0019063D" w:rsidP="00EA5D2A" w:rsidRDefault="0019063D" w14:paraId="6F4E4FD2" w14:textId="15E2BBD5">
      <w:pPr>
        <w:pStyle w:val="FERCparanumber"/>
        <w:numPr>
          <w:ilvl w:val="0"/>
          <w:numId w:val="0"/>
        </w:numPr>
        <w:tabs>
          <w:tab w:val="left" w:pos="0"/>
        </w:tabs>
        <w:ind w:left="1440"/>
      </w:pPr>
      <w:r>
        <w:t>G4.a.</w:t>
      </w:r>
      <w:r>
        <w:tab/>
        <w:t>Would it be reasonable to determine the central tendencies of the upper and lower halves of the zone of reasonableness for single utilities based on a midpoint analysis</w:t>
      </w:r>
      <w:r w:rsidR="00BD3C7E">
        <w:t xml:space="preserve">, so as to produce approximately equal ranges of presumptively just and reasonable ROEs for below average, average, and above average risk </w:t>
      </w:r>
      <w:r w:rsidR="00947C2C">
        <w:t>utilities</w:t>
      </w:r>
      <w:r>
        <w:t>?</w:t>
      </w:r>
    </w:p>
    <w:p w:rsidR="00CF0F10" w:rsidP="00EA5D2A" w:rsidRDefault="00CF0F10" w14:paraId="221477E6" w14:textId="77777777">
      <w:pPr>
        <w:tabs>
          <w:tab w:val="left" w:pos="0"/>
        </w:tabs>
      </w:pPr>
    </w:p>
    <w:p w:rsidR="00CF0F10" w:rsidP="00EA5D2A" w:rsidRDefault="00CF0F10" w14:paraId="06487A1D" w14:textId="77777777">
      <w:pPr>
        <w:pStyle w:val="Heading2"/>
        <w:tabs>
          <w:tab w:val="left" w:pos="0"/>
        </w:tabs>
      </w:pPr>
      <w:r w:rsidRPr="008E51DE">
        <w:t>Model Mechanics and Implementation</w:t>
      </w:r>
    </w:p>
    <w:p w:rsidRPr="00FA715E" w:rsidR="000725C7" w:rsidP="002936F9" w:rsidRDefault="002B331B" w14:paraId="1D3A3F70" w14:textId="5A7AA187">
      <w:pPr>
        <w:pStyle w:val="StyleFERCparanumberLinespacingDouble"/>
        <w:tabs>
          <w:tab w:val="clear" w:pos="810"/>
          <w:tab w:val="num" w:pos="720"/>
        </w:tabs>
      </w:pPr>
      <w:r>
        <w:t xml:space="preserve">The Commission seeks comment on the mechanics and implementation of the DCF, CAPM, Expected Earnings, and Risk Premium models.  Specifically, the Commission seeks comment on general issues that affect multiple </w:t>
      </w:r>
      <w:r>
        <w:lastRenderedPageBreak/>
        <w:t>models, such as the underlying data that the models rely on, and also seeks comment on the mechanics specific to each of the four respective models.</w:t>
      </w:r>
      <w:r w:rsidDel="002B331B">
        <w:t xml:space="preserve"> </w:t>
      </w:r>
    </w:p>
    <w:p w:rsidR="00CF0F10" w:rsidP="00EA5D2A" w:rsidRDefault="00CF0F10" w14:paraId="25816FEC" w14:textId="0EF3C46D">
      <w:pPr>
        <w:pStyle w:val="Heading3"/>
        <w:tabs>
          <w:tab w:val="left" w:pos="0"/>
        </w:tabs>
      </w:pPr>
      <w:r>
        <w:t>General issues/issues that affect multiple models</w:t>
      </w:r>
    </w:p>
    <w:p w:rsidR="00C92BFC" w:rsidP="00E34800" w:rsidRDefault="00044047" w14:paraId="1C6D8E20" w14:textId="364C8D7B">
      <w:pPr>
        <w:tabs>
          <w:tab w:val="left" w:pos="0"/>
          <w:tab w:val="left" w:pos="1440"/>
        </w:tabs>
        <w:ind w:left="720"/>
      </w:pPr>
      <w:r>
        <w:t>H.1.1.</w:t>
      </w:r>
      <w:r w:rsidR="00E4247F">
        <w:tab/>
      </w:r>
      <w:r w:rsidR="00E4247F">
        <w:tab/>
      </w:r>
      <w:r w:rsidR="00F92536">
        <w:t>Are</w:t>
      </w:r>
      <w:r w:rsidR="00CF0F10">
        <w:t xml:space="preserve"> IBES data a good proxy for “investor consensus</w:t>
      </w:r>
      <w:r w:rsidR="00F92536">
        <w:t>?</w:t>
      </w:r>
      <w:r w:rsidR="00CF0F10">
        <w:t xml:space="preserve">” </w:t>
      </w:r>
      <w:r w:rsidR="00F92536">
        <w:t xml:space="preserve"> </w:t>
      </w:r>
    </w:p>
    <w:p w:rsidR="005249C2" w:rsidP="00EA5D2A" w:rsidRDefault="005249C2" w14:paraId="50B5D786" w14:textId="77777777">
      <w:pPr>
        <w:tabs>
          <w:tab w:val="left" w:pos="0"/>
        </w:tabs>
        <w:ind w:left="720"/>
      </w:pPr>
    </w:p>
    <w:p w:rsidR="00CF0F10" w:rsidP="00B9533C" w:rsidRDefault="00C92BFC" w14:paraId="71C97018" w14:textId="0ED6FD69">
      <w:pPr>
        <w:tabs>
          <w:tab w:val="left" w:pos="0"/>
        </w:tabs>
        <w:ind w:left="2880" w:hanging="1440"/>
      </w:pPr>
      <w:r>
        <w:t>H.1.1</w:t>
      </w:r>
      <w:r w:rsidR="003A781B">
        <w:t>.</w:t>
      </w:r>
      <w:r>
        <w:t>a</w:t>
      </w:r>
      <w:r w:rsidR="003A781B">
        <w:t>.</w:t>
      </w:r>
      <w:r w:rsidR="00E4247F">
        <w:tab/>
      </w:r>
      <w:r w:rsidR="00F92536">
        <w:t>I</w:t>
      </w:r>
      <w:r w:rsidR="00CF0F10">
        <w:t xml:space="preserve">f not, are there </w:t>
      </w:r>
      <w:r w:rsidR="00044047">
        <w:t xml:space="preserve">better </w:t>
      </w:r>
      <w:r w:rsidR="00CF0F10">
        <w:t>alternatives</w:t>
      </w:r>
      <w:r w:rsidR="00FB761C">
        <w:t>, such as Bloomberg, Zacks, S&amp;P Capital, Morningstar, and Value Line</w:t>
      </w:r>
      <w:r w:rsidR="00CF0F10">
        <w:t>?</w:t>
      </w:r>
    </w:p>
    <w:p w:rsidR="005249C2" w:rsidP="00B9533C" w:rsidRDefault="005249C2" w14:paraId="379F1699" w14:textId="77777777">
      <w:pPr>
        <w:tabs>
          <w:tab w:val="left" w:pos="0"/>
        </w:tabs>
      </w:pPr>
    </w:p>
    <w:p w:rsidR="00C92BFC" w:rsidP="00EA5D2A" w:rsidRDefault="00C92BFC" w14:paraId="69918E07" w14:textId="23D792B6">
      <w:pPr>
        <w:tabs>
          <w:tab w:val="left" w:pos="0"/>
        </w:tabs>
        <w:ind w:left="1440"/>
      </w:pPr>
      <w:r>
        <w:t>H.1.1</w:t>
      </w:r>
      <w:r w:rsidR="003A781B">
        <w:t>.</w:t>
      </w:r>
      <w:r w:rsidR="00D56FAE">
        <w:t>b</w:t>
      </w:r>
      <w:r w:rsidR="003A781B">
        <w:t>.</w:t>
      </w:r>
      <w:r>
        <w:tab/>
        <w:t xml:space="preserve">Should the Commission combine data from </w:t>
      </w:r>
      <w:r w:rsidR="00FB761C">
        <w:t xml:space="preserve">multiple </w:t>
      </w:r>
      <w:r>
        <w:t>sources?</w:t>
      </w:r>
    </w:p>
    <w:p w:rsidR="00D56FAE" w:rsidP="00EA5D2A" w:rsidRDefault="00D56FAE" w14:paraId="2A8B02C5" w14:textId="77777777">
      <w:pPr>
        <w:tabs>
          <w:tab w:val="left" w:pos="0"/>
        </w:tabs>
        <w:ind w:left="720" w:firstLine="720"/>
      </w:pPr>
    </w:p>
    <w:p w:rsidR="00477F7F" w:rsidP="00EA5D2A" w:rsidRDefault="00477F7F" w14:paraId="215B52A7" w14:textId="66526077">
      <w:pPr>
        <w:tabs>
          <w:tab w:val="left" w:pos="0"/>
        </w:tabs>
        <w:ind w:left="1440"/>
      </w:pPr>
      <w:r>
        <w:t>H1.</w:t>
      </w:r>
      <w:r w:rsidR="00FB7CC7">
        <w:t>1</w:t>
      </w:r>
      <w:r w:rsidR="003A781B">
        <w:t>.</w:t>
      </w:r>
      <w:r w:rsidR="00D56FAE">
        <w:t>c</w:t>
      </w:r>
      <w:r w:rsidR="003A781B">
        <w:t>.</w:t>
      </w:r>
      <w:r>
        <w:tab/>
        <w:t xml:space="preserve">What weight, if any, should be given to an estimate if the number and identity of analysts contributing to the estimate is not available? </w:t>
      </w:r>
    </w:p>
    <w:p w:rsidR="00FA2D01" w:rsidP="00B9533C" w:rsidRDefault="00FA2D01" w14:paraId="41C4F213" w14:textId="4F107421">
      <w:pPr>
        <w:tabs>
          <w:tab w:val="left" w:pos="0"/>
        </w:tabs>
      </w:pPr>
    </w:p>
    <w:p w:rsidR="00FA2D01" w:rsidP="00EA5D2A" w:rsidRDefault="00FA2D01" w14:paraId="19E05B04" w14:textId="60B4B4E7">
      <w:pPr>
        <w:tabs>
          <w:tab w:val="left" w:pos="0"/>
        </w:tabs>
        <w:ind w:left="720"/>
      </w:pPr>
      <w:r>
        <w:t>H.1.2.</w:t>
      </w:r>
      <w:r>
        <w:tab/>
      </w:r>
      <w:r>
        <w:tab/>
        <w:t>To what extent does model risk affect all ROE methodologies?</w:t>
      </w:r>
    </w:p>
    <w:p w:rsidR="00B3500E" w:rsidP="00EA5D2A" w:rsidRDefault="00B3500E" w14:paraId="0D265517" w14:textId="7FC70CC5">
      <w:pPr>
        <w:tabs>
          <w:tab w:val="left" w:pos="0"/>
        </w:tabs>
        <w:ind w:left="720"/>
      </w:pPr>
    </w:p>
    <w:p w:rsidR="00322749" w:rsidP="00EA5D2A" w:rsidRDefault="00322749" w14:paraId="72B12E36" w14:textId="6BD4F202">
      <w:pPr>
        <w:tabs>
          <w:tab w:val="left" w:pos="0"/>
        </w:tabs>
        <w:ind w:left="720"/>
      </w:pPr>
      <w:r>
        <w:t>H.1.3</w:t>
      </w:r>
      <w:r w:rsidR="003A781B">
        <w:t>.</w:t>
      </w:r>
      <w:r>
        <w:tab/>
      </w:r>
      <w:r w:rsidR="00C4759B">
        <w:tab/>
      </w:r>
      <w:r w:rsidR="00FE3F99">
        <w:t>The DCF model incorporates data at the parent</w:t>
      </w:r>
      <w:r w:rsidR="00F02F06">
        <w:t xml:space="preserve">/holding </w:t>
      </w:r>
      <w:r w:rsidR="00FE3F99">
        <w:t>company level</w:t>
      </w:r>
      <w:r w:rsidR="00CB4DEA">
        <w:t xml:space="preserve"> (</w:t>
      </w:r>
      <w:r w:rsidRPr="003A781B" w:rsidR="00CB4DEA">
        <w:rPr>
          <w:i/>
        </w:rPr>
        <w:t>e.g.</w:t>
      </w:r>
      <w:r w:rsidR="00CB4DEA">
        <w:t>, stock price)</w:t>
      </w:r>
      <w:r w:rsidR="00FE3F99">
        <w:t>.  The Commission adjudicates cases at the operating company level</w:t>
      </w:r>
      <w:r w:rsidR="00697DEA">
        <w:t xml:space="preserve">, </w:t>
      </w:r>
      <w:r w:rsidR="005D7587">
        <w:t xml:space="preserve">for </w:t>
      </w:r>
      <w:r w:rsidR="00697DEA">
        <w:t xml:space="preserve">which </w:t>
      </w:r>
      <w:r w:rsidR="005D7587">
        <w:t>there is no</w:t>
      </w:r>
      <w:r w:rsidR="00697DEA">
        <w:t xml:space="preserve"> public data like stock prices, growth rates, and betas</w:t>
      </w:r>
      <w:r w:rsidR="00FE3F99">
        <w:t xml:space="preserve">. </w:t>
      </w:r>
      <w:r w:rsidR="00CB4DEA">
        <w:t xml:space="preserve"> </w:t>
      </w:r>
      <w:r w:rsidR="003A781B">
        <w:t>What</w:t>
      </w:r>
      <w:r w:rsidR="00F02F06">
        <w:t xml:space="preserve"> impact </w:t>
      </w:r>
      <w:r w:rsidR="003A781B">
        <w:t xml:space="preserve">does this disparity have </w:t>
      </w:r>
      <w:r w:rsidR="00F02F06">
        <w:t xml:space="preserve">on the results of the DCF </w:t>
      </w:r>
      <w:r w:rsidR="00697DEA">
        <w:t>and other</w:t>
      </w:r>
      <w:r w:rsidR="00F02F06">
        <w:t xml:space="preserve"> model</w:t>
      </w:r>
      <w:r w:rsidR="00697DEA">
        <w:t>s</w:t>
      </w:r>
      <w:r w:rsidR="00F02F06">
        <w:t>?</w:t>
      </w:r>
    </w:p>
    <w:p w:rsidR="00E67D98" w:rsidP="00EA5D2A" w:rsidRDefault="00E67D98" w14:paraId="69445266" w14:textId="0292384A">
      <w:pPr>
        <w:tabs>
          <w:tab w:val="left" w:pos="0"/>
        </w:tabs>
      </w:pPr>
    </w:p>
    <w:p w:rsidR="00C92BFC" w:rsidP="00EA5D2A" w:rsidRDefault="002A007A" w14:paraId="74C6A1C4" w14:textId="32330F0B">
      <w:pPr>
        <w:tabs>
          <w:tab w:val="left" w:pos="0"/>
        </w:tabs>
        <w:ind w:left="720"/>
      </w:pPr>
      <w:r>
        <w:t>H.1.4</w:t>
      </w:r>
      <w:r w:rsidR="003A781B">
        <w:t>.</w:t>
      </w:r>
      <w:r w:rsidR="00C4759B">
        <w:tab/>
      </w:r>
      <w:r w:rsidR="00C4759B">
        <w:tab/>
      </w:r>
      <w:r>
        <w:t>Should the Commission continue to rely on the efficient market hypothesis</w:t>
      </w:r>
      <w:r w:rsidR="008E57FF">
        <w:t xml:space="preserve">, which underlies the DCF </w:t>
      </w:r>
      <w:r w:rsidR="00FE70FD">
        <w:t xml:space="preserve">and CAPM </w:t>
      </w:r>
      <w:r w:rsidR="008E57FF">
        <w:t>mode</w:t>
      </w:r>
      <w:r w:rsidR="004112EE">
        <w:t>l</w:t>
      </w:r>
      <w:r w:rsidR="00FE70FD">
        <w:t>s</w:t>
      </w:r>
      <w:r w:rsidR="008E57FF">
        <w:t>?  Why or why not?</w:t>
      </w:r>
    </w:p>
    <w:p w:rsidR="004112EE" w:rsidP="00EA5D2A" w:rsidRDefault="004112EE" w14:paraId="273525B3" w14:textId="77777777">
      <w:pPr>
        <w:tabs>
          <w:tab w:val="left" w:pos="0"/>
        </w:tabs>
      </w:pPr>
    </w:p>
    <w:p w:rsidR="004112EE" w:rsidP="00EA5D2A" w:rsidRDefault="004112EE" w14:paraId="3D4B5839" w14:textId="6750A948">
      <w:pPr>
        <w:tabs>
          <w:tab w:val="left" w:pos="0"/>
        </w:tabs>
        <w:ind w:left="1440"/>
      </w:pPr>
      <w:r>
        <w:t>H.1.4</w:t>
      </w:r>
      <w:r w:rsidR="003A781B">
        <w:t>.</w:t>
      </w:r>
      <w:r>
        <w:t>a</w:t>
      </w:r>
      <w:r w:rsidR="003A781B">
        <w:t>.</w:t>
      </w:r>
      <w:r>
        <w:tab/>
        <w:t>If yes, should the Commission</w:t>
      </w:r>
      <w:r w:rsidR="00FB761C">
        <w:t xml:space="preserve"> continue to </w:t>
      </w:r>
      <w:r>
        <w:t xml:space="preserve">employ outlier screens, M&amp;A screens, etc., </w:t>
      </w:r>
      <w:r w:rsidR="00FB761C">
        <w:t xml:space="preserve">for the DCF and CAPM models </w:t>
      </w:r>
      <w:r>
        <w:t>since the</w:t>
      </w:r>
      <w:r w:rsidR="008B62D1">
        <w:t>se</w:t>
      </w:r>
      <w:r>
        <w:t xml:space="preserve"> model</w:t>
      </w:r>
      <w:r w:rsidR="008B62D1">
        <w:t>s</w:t>
      </w:r>
      <w:r>
        <w:t xml:space="preserve"> need to incorporate all relevant information</w:t>
      </w:r>
      <w:r w:rsidR="00FB761C">
        <w:t>?</w:t>
      </w:r>
    </w:p>
    <w:p w:rsidR="00B41907" w:rsidP="00EA5D2A" w:rsidRDefault="00B41907" w14:paraId="43D7E764" w14:textId="77777777">
      <w:pPr>
        <w:tabs>
          <w:tab w:val="left" w:pos="0"/>
        </w:tabs>
        <w:ind w:left="720"/>
      </w:pPr>
    </w:p>
    <w:p w:rsidR="008020F6" w:rsidP="008020F6" w:rsidRDefault="008020F6" w14:paraId="1CE5A542" w14:textId="4F38E62E">
      <w:pPr>
        <w:tabs>
          <w:tab w:val="left" w:pos="0"/>
        </w:tabs>
        <w:ind w:left="720"/>
      </w:pPr>
      <w:r>
        <w:t>H.1.5</w:t>
      </w:r>
      <w:r w:rsidR="00D56FAE">
        <w:t>.</w:t>
      </w:r>
      <w:r>
        <w:tab/>
      </w:r>
      <w:r>
        <w:tab/>
        <w:t xml:space="preserve">Should growth rates be based on Value Line, IBES, or alternative estimates? </w:t>
      </w:r>
    </w:p>
    <w:p w:rsidR="008020F6" w:rsidP="008020F6" w:rsidRDefault="008020F6" w14:paraId="2D73F304" w14:textId="77777777">
      <w:pPr>
        <w:tabs>
          <w:tab w:val="left" w:pos="0"/>
        </w:tabs>
        <w:ind w:left="720"/>
      </w:pPr>
    </w:p>
    <w:p w:rsidR="008020F6" w:rsidP="008020F6" w:rsidRDefault="008020F6" w14:paraId="69F49D85" w14:textId="54E340EF">
      <w:pPr>
        <w:tabs>
          <w:tab w:val="left" w:pos="0"/>
        </w:tabs>
        <w:ind w:left="720"/>
      </w:pPr>
      <w:r>
        <w:t>H.1.</w:t>
      </w:r>
      <w:r w:rsidR="00D56FAE">
        <w:t>6.</w:t>
      </w:r>
      <w:r>
        <w:tab/>
      </w:r>
      <w:r>
        <w:tab/>
        <w:t>Should the same growth rate sources be used across models, if more than one model is used to determine the ROE?</w:t>
      </w:r>
    </w:p>
    <w:p w:rsidR="008020F6" w:rsidP="00EA5D2A" w:rsidRDefault="008020F6" w14:paraId="71956EA7" w14:textId="1E8985FB">
      <w:pPr>
        <w:tabs>
          <w:tab w:val="left" w:pos="0"/>
        </w:tabs>
        <w:ind w:left="720"/>
      </w:pPr>
    </w:p>
    <w:p w:rsidR="00CF0F10" w:rsidP="00EA5D2A" w:rsidRDefault="00CF0F10" w14:paraId="57DE4A1E" w14:textId="77777777">
      <w:pPr>
        <w:pStyle w:val="Heading3"/>
        <w:tabs>
          <w:tab w:val="left" w:pos="0"/>
        </w:tabs>
      </w:pPr>
      <w:r>
        <w:t>Model-Specific Questions</w:t>
      </w:r>
    </w:p>
    <w:p w:rsidR="00CF0F10" w:rsidP="0053523D" w:rsidRDefault="00CF0F10" w14:paraId="05CE556A" w14:textId="77777777">
      <w:pPr>
        <w:pStyle w:val="Heading4"/>
        <w:tabs>
          <w:tab w:val="clear" w:pos="2250"/>
          <w:tab w:val="left" w:pos="0"/>
          <w:tab w:val="num" w:pos="2790"/>
        </w:tabs>
        <w:ind w:hanging="90"/>
      </w:pPr>
      <w:r>
        <w:t>DCF</w:t>
      </w:r>
    </w:p>
    <w:p w:rsidR="00CF0F10" w:rsidP="00EA5D2A" w:rsidRDefault="00FA4BC6" w14:paraId="57AF884A" w14:textId="78023D81">
      <w:pPr>
        <w:tabs>
          <w:tab w:val="left" w:pos="0"/>
        </w:tabs>
        <w:ind w:left="720"/>
      </w:pPr>
      <w:r>
        <w:t>H.2.a.</w:t>
      </w:r>
      <w:r w:rsidR="005E4FFC">
        <w:t>1</w:t>
      </w:r>
      <w:r w:rsidR="003A781B">
        <w:t>.</w:t>
      </w:r>
      <w:r>
        <w:tab/>
      </w:r>
      <w:r w:rsidR="00CF0F10">
        <w:t xml:space="preserve">Should </w:t>
      </w:r>
      <w:r w:rsidR="00293BDB">
        <w:t xml:space="preserve">the </w:t>
      </w:r>
      <w:r w:rsidR="00CF0F10">
        <w:t xml:space="preserve">Commission continue to use </w:t>
      </w:r>
      <w:r w:rsidR="00344D7F">
        <w:t xml:space="preserve">a </w:t>
      </w:r>
      <w:r w:rsidR="00CF0F10">
        <w:t xml:space="preserve">dividend DCF model or should </w:t>
      </w:r>
      <w:r w:rsidR="00344D7F">
        <w:t xml:space="preserve">the </w:t>
      </w:r>
      <w:r w:rsidR="00CF0F10">
        <w:t xml:space="preserve">Commission use </w:t>
      </w:r>
      <w:r w:rsidR="00344D7F">
        <w:t xml:space="preserve">a </w:t>
      </w:r>
      <w:r w:rsidR="00CF0F10">
        <w:t>different DCF model, for example</w:t>
      </w:r>
      <w:r w:rsidR="00F970F4">
        <w:t>,</w:t>
      </w:r>
      <w:r w:rsidR="00CF0F10">
        <w:t xml:space="preserve"> </w:t>
      </w:r>
      <w:r w:rsidR="00344D7F">
        <w:t xml:space="preserve">one </w:t>
      </w:r>
      <w:r w:rsidR="00CF0F10">
        <w:t>based on free cash flow?</w:t>
      </w:r>
    </w:p>
    <w:p w:rsidR="005E4FFC" w:rsidP="00EA5D2A" w:rsidRDefault="005E4FFC" w14:paraId="6C6147CB" w14:textId="77777777">
      <w:pPr>
        <w:tabs>
          <w:tab w:val="left" w:pos="0"/>
        </w:tabs>
      </w:pPr>
    </w:p>
    <w:p w:rsidR="00CF0F10" w:rsidP="00EA5D2A" w:rsidRDefault="005E4FFC" w14:paraId="040C7559" w14:textId="1C430532">
      <w:pPr>
        <w:tabs>
          <w:tab w:val="left" w:pos="0"/>
        </w:tabs>
        <w:ind w:left="720"/>
      </w:pPr>
      <w:r>
        <w:t>H.2.a.</w:t>
      </w:r>
      <w:r w:rsidR="00344D7F">
        <w:t>2</w:t>
      </w:r>
      <w:r w:rsidR="003A781B">
        <w:t>.</w:t>
      </w:r>
      <w:r>
        <w:tab/>
      </w:r>
      <w:r w:rsidR="00CF0F10">
        <w:t>Could terminal stock value be used in place of long-term growth projection</w:t>
      </w:r>
      <w:r w:rsidR="00DB3002">
        <w:t>s</w:t>
      </w:r>
      <w:r w:rsidR="00CF0F10">
        <w:t>?</w:t>
      </w:r>
      <w:r w:rsidR="00FE53D1">
        <w:t xml:space="preserve">  If so, how should terminal stock value be determined?</w:t>
      </w:r>
    </w:p>
    <w:p w:rsidR="00B41907" w:rsidP="00EA5D2A" w:rsidRDefault="00B41907" w14:paraId="71C62BDF" w14:textId="2D75C397">
      <w:pPr>
        <w:tabs>
          <w:tab w:val="left" w:pos="0"/>
        </w:tabs>
        <w:ind w:left="720"/>
      </w:pPr>
    </w:p>
    <w:p w:rsidR="00B41907" w:rsidP="00EA5D2A" w:rsidRDefault="00B41907" w14:paraId="6D5693EC" w14:textId="2D3F02F1">
      <w:pPr>
        <w:tabs>
          <w:tab w:val="left" w:pos="0"/>
        </w:tabs>
        <w:ind w:left="720"/>
      </w:pPr>
      <w:r>
        <w:t>H.2.a.3</w:t>
      </w:r>
      <w:r w:rsidR="00387675">
        <w:t>.</w:t>
      </w:r>
      <w:r>
        <w:tab/>
        <w:t xml:space="preserve">Do investment analysts project earnings/dividends growth </w:t>
      </w:r>
      <w:r>
        <w:lastRenderedPageBreak/>
        <w:t>beyond five years, and if not, why not</w:t>
      </w:r>
      <w:r w:rsidR="00C22BC3">
        <w:t>,</w:t>
      </w:r>
      <w:r>
        <w:t xml:space="preserve"> and is GDP a</w:t>
      </w:r>
      <w:r w:rsidR="005B3E63">
        <w:t xml:space="preserve">n appropriate </w:t>
      </w:r>
      <w:r>
        <w:t>proxy for long-term growth?</w:t>
      </w:r>
    </w:p>
    <w:p w:rsidR="004D5C87" w:rsidP="00EA5D2A" w:rsidRDefault="004D5C87" w14:paraId="6E1CD3E5" w14:textId="77777777">
      <w:pPr>
        <w:tabs>
          <w:tab w:val="left" w:pos="0"/>
        </w:tabs>
        <w:ind w:left="720"/>
      </w:pPr>
    </w:p>
    <w:p w:rsidR="004D5C87" w:rsidP="00EA5D2A" w:rsidRDefault="004D5C87" w14:paraId="62F9EB48" w14:textId="6560A387">
      <w:pPr>
        <w:tabs>
          <w:tab w:val="left" w:pos="0"/>
        </w:tabs>
        <w:ind w:left="720"/>
      </w:pPr>
      <w:r>
        <w:t>H.2.a.4</w:t>
      </w:r>
      <w:r>
        <w:tab/>
        <w:t>How should the Commission weight short-term and long-term earnings/dividend growth projections?</w:t>
      </w:r>
    </w:p>
    <w:p w:rsidR="006D43DB" w:rsidP="00EA5D2A" w:rsidRDefault="006D43DB" w14:paraId="7AC9E56A" w14:textId="33A18B99">
      <w:pPr>
        <w:tabs>
          <w:tab w:val="left" w:pos="0"/>
        </w:tabs>
        <w:ind w:left="720"/>
      </w:pPr>
    </w:p>
    <w:p w:rsidR="006D43DB" w:rsidP="00EA5D2A" w:rsidRDefault="006D43DB" w14:paraId="14B9B6AB" w14:textId="2CF63EA1">
      <w:pPr>
        <w:tabs>
          <w:tab w:val="left" w:pos="0"/>
        </w:tabs>
        <w:ind w:left="720"/>
      </w:pPr>
      <w:r>
        <w:t>H.2.a.</w:t>
      </w:r>
      <w:r w:rsidR="004D5C87">
        <w:t>5</w:t>
      </w:r>
      <w:r>
        <w:t>.</w:t>
      </w:r>
      <w:r>
        <w:tab/>
        <w:t>The Commission uses a constant growth DCF model.  Should the Commission consider using a multi-stage DCF model?  If so, how would the Commission determine the length of each stage of a proxy company’s growth?</w:t>
      </w:r>
    </w:p>
    <w:p w:rsidR="00E11594" w:rsidP="00EA5D2A" w:rsidRDefault="00E11594" w14:paraId="1545D043" w14:textId="15C63AF9">
      <w:pPr>
        <w:tabs>
          <w:tab w:val="left" w:pos="0"/>
        </w:tabs>
        <w:ind w:left="720"/>
      </w:pPr>
    </w:p>
    <w:p w:rsidR="00E11594" w:rsidP="00EA5D2A" w:rsidRDefault="00E11594" w14:paraId="15AC8064" w14:textId="476E52ED">
      <w:pPr>
        <w:tabs>
          <w:tab w:val="left" w:pos="0"/>
        </w:tabs>
        <w:ind w:left="720"/>
      </w:pPr>
      <w:r>
        <w:t>H.2.a.</w:t>
      </w:r>
      <w:r w:rsidR="004D5C87">
        <w:t>6</w:t>
      </w:r>
      <w:r w:rsidR="00387675">
        <w:t>.</w:t>
      </w:r>
      <w:r>
        <w:tab/>
        <w:t>Are six months of average high/low historic</w:t>
      </w:r>
      <w:r w:rsidR="00C84508">
        <w:t>al</w:t>
      </w:r>
      <w:r>
        <w:t xml:space="preserve"> monthly stock prices an appropriate measure for the current stock price “P”?</w:t>
      </w:r>
    </w:p>
    <w:p w:rsidR="00BF5B19" w:rsidP="00EA5D2A" w:rsidRDefault="00BF5B19" w14:paraId="1A170C8F" w14:textId="4B68A759">
      <w:pPr>
        <w:tabs>
          <w:tab w:val="left" w:pos="0"/>
        </w:tabs>
        <w:ind w:left="720"/>
      </w:pPr>
    </w:p>
    <w:p w:rsidR="00CF0F10" w:rsidP="0053523D" w:rsidRDefault="00CF0F10" w14:paraId="6CFE9179" w14:textId="77777777">
      <w:pPr>
        <w:pStyle w:val="Heading4"/>
        <w:tabs>
          <w:tab w:val="clear" w:pos="2250"/>
          <w:tab w:val="left" w:pos="0"/>
          <w:tab w:val="num" w:pos="2790"/>
        </w:tabs>
        <w:ind w:hanging="90"/>
      </w:pPr>
      <w:r>
        <w:t>CAPM</w:t>
      </w:r>
    </w:p>
    <w:p w:rsidR="00CF0F10" w:rsidP="00EA5D2A" w:rsidRDefault="002900B3" w14:paraId="7D1FCD5C" w14:textId="6C5D69BB">
      <w:pPr>
        <w:tabs>
          <w:tab w:val="left" w:pos="0"/>
        </w:tabs>
        <w:ind w:left="720"/>
      </w:pPr>
      <w:r>
        <w:t>H.2.b.</w:t>
      </w:r>
      <w:r w:rsidR="00D9407F">
        <w:t>1</w:t>
      </w:r>
      <w:r>
        <w:t>.</w:t>
      </w:r>
      <w:r>
        <w:tab/>
      </w:r>
      <w:r w:rsidR="00051B30">
        <w:t>If the market risk premium is determined by applying the DCF methodol</w:t>
      </w:r>
      <w:r w:rsidR="00043B2A">
        <w:t>o</w:t>
      </w:r>
      <w:r w:rsidR="00051B30">
        <w:t>gy</w:t>
      </w:r>
      <w:r w:rsidR="00043B2A">
        <w:t xml:space="preserve"> to a representative market index, s</w:t>
      </w:r>
      <w:r w:rsidR="006C5830">
        <w:t xml:space="preserve">hould a long-term growth rate be used, as in the </w:t>
      </w:r>
      <w:r w:rsidR="00043B2A">
        <w:t xml:space="preserve">Commission’s two-step </w:t>
      </w:r>
      <w:r w:rsidR="006C5830">
        <w:t>DCF method</w:t>
      </w:r>
      <w:r w:rsidR="00043B2A">
        <w:t>ology</w:t>
      </w:r>
      <w:r w:rsidR="006C5830">
        <w:t>?</w:t>
      </w:r>
    </w:p>
    <w:p w:rsidR="00863D79" w:rsidP="00074D66" w:rsidRDefault="00863D79" w14:paraId="0A9E9CC6" w14:textId="3B85F014">
      <w:pPr>
        <w:tabs>
          <w:tab w:val="left" w:pos="0"/>
        </w:tabs>
      </w:pPr>
    </w:p>
    <w:p w:rsidR="002900B3" w:rsidP="002900B3" w:rsidRDefault="00863D79" w14:paraId="3D2EB1E7" w14:textId="56AE2E22">
      <w:pPr>
        <w:tabs>
          <w:tab w:val="left" w:pos="0"/>
          <w:tab w:val="left" w:pos="720"/>
        </w:tabs>
        <w:ind w:left="720"/>
      </w:pPr>
      <w:r>
        <w:t>H.2.b.</w:t>
      </w:r>
      <w:r w:rsidR="00D9407F">
        <w:t>2</w:t>
      </w:r>
      <w:r w:rsidR="00387675">
        <w:t>.</w:t>
      </w:r>
      <w:r w:rsidR="005338F9">
        <w:tab/>
      </w:r>
      <w:r w:rsidR="002900B3">
        <w:t xml:space="preserve">Beta is a measure of a security’s risk relative to the broader market, such as the S&amp;P 500, not of its absolute risk.  Do CAPM’s assumptions break down if </w:t>
      </w:r>
      <w:r w:rsidRPr="00C4759B" w:rsidR="002900B3">
        <w:rPr>
          <w:i/>
        </w:rPr>
        <w:t>both</w:t>
      </w:r>
      <w:r w:rsidR="002900B3">
        <w:t xml:space="preserve"> utility stocks and the broader market become riskier over time on an absolute basis, but the relative increase in risk in utility stocks rises more slowly?</w:t>
      </w:r>
    </w:p>
    <w:p w:rsidR="00863D79" w:rsidP="00EA5D2A" w:rsidRDefault="00863D79" w14:paraId="436BD28B" w14:textId="77777777">
      <w:pPr>
        <w:tabs>
          <w:tab w:val="left" w:pos="0"/>
        </w:tabs>
        <w:ind w:left="1440" w:hanging="720"/>
      </w:pPr>
    </w:p>
    <w:p w:rsidR="002900B3" w:rsidP="002900B3" w:rsidRDefault="00863D79" w14:paraId="197F3957" w14:textId="732CAA49">
      <w:pPr>
        <w:tabs>
          <w:tab w:val="left" w:pos="0"/>
        </w:tabs>
        <w:ind w:left="1440" w:hanging="720"/>
      </w:pPr>
      <w:r>
        <w:t>H.2.b.</w:t>
      </w:r>
      <w:r w:rsidR="00D9407F">
        <w:t>3</w:t>
      </w:r>
      <w:r>
        <w:t>.</w:t>
      </w:r>
      <w:r>
        <w:tab/>
      </w:r>
      <w:r w:rsidR="002900B3">
        <w:t>What are appropriate data sources for the beta value?</w:t>
      </w:r>
    </w:p>
    <w:p w:rsidR="00400A77" w:rsidP="00EA5D2A" w:rsidRDefault="00400A77" w14:paraId="2F492733" w14:textId="5553CE17">
      <w:pPr>
        <w:tabs>
          <w:tab w:val="left" w:pos="0"/>
          <w:tab w:val="left" w:pos="720"/>
        </w:tabs>
        <w:ind w:left="720"/>
      </w:pPr>
    </w:p>
    <w:p w:rsidR="0053523D" w:rsidRDefault="0053523D" w14:paraId="086400FC" w14:textId="77777777">
      <w:pPr>
        <w:widowControl/>
        <w:autoSpaceDE/>
        <w:autoSpaceDN/>
        <w:adjustRightInd/>
      </w:pPr>
      <w:r>
        <w:br w:type="page"/>
      </w:r>
    </w:p>
    <w:p w:rsidR="005338F9" w:rsidP="00EA5D2A" w:rsidRDefault="005338F9" w14:paraId="64A16465" w14:textId="19CDD4A8">
      <w:pPr>
        <w:tabs>
          <w:tab w:val="left" w:pos="0"/>
        </w:tabs>
        <w:ind w:left="720"/>
      </w:pPr>
      <w:r>
        <w:lastRenderedPageBreak/>
        <w:t>H.2.b.</w:t>
      </w:r>
      <w:r w:rsidR="00D9407F">
        <w:t>4</w:t>
      </w:r>
      <w:r w:rsidR="00387675">
        <w:t>.</w:t>
      </w:r>
      <w:r>
        <w:tab/>
        <w:t xml:space="preserve">Should the Commission </w:t>
      </w:r>
      <w:r w:rsidR="00D920E5">
        <w:t>employ</w:t>
      </w:r>
      <w:r>
        <w:t xml:space="preserve"> more sophisticated versions of the CAPM model that consider more variables instead of only beta, such as the Fama-French Model?</w:t>
      </w:r>
      <w:r w:rsidR="00F70A04">
        <w:rPr>
          <w:rStyle w:val="FootnoteReference"/>
        </w:rPr>
        <w:footnoteReference w:id="62"/>
      </w:r>
    </w:p>
    <w:p w:rsidR="00B41907" w:rsidP="00EA5D2A" w:rsidRDefault="00B41907" w14:paraId="551B3D51" w14:textId="1CC42785">
      <w:pPr>
        <w:tabs>
          <w:tab w:val="left" w:pos="0"/>
        </w:tabs>
        <w:ind w:left="1440" w:hanging="720"/>
      </w:pPr>
    </w:p>
    <w:p w:rsidR="00CF0F10" w:rsidP="0053523D" w:rsidRDefault="00CF0F10" w14:paraId="48162CBF" w14:textId="77777777">
      <w:pPr>
        <w:pStyle w:val="Heading4"/>
        <w:tabs>
          <w:tab w:val="clear" w:pos="2250"/>
          <w:tab w:val="left" w:pos="0"/>
          <w:tab w:val="num" w:pos="2880"/>
        </w:tabs>
        <w:ind w:hanging="90"/>
      </w:pPr>
      <w:r>
        <w:t>Expected Earnings</w:t>
      </w:r>
    </w:p>
    <w:p w:rsidR="009D0C3B" w:rsidP="00EA5D2A" w:rsidRDefault="005E4FFC" w14:paraId="4D9473C9" w14:textId="3764ED26">
      <w:pPr>
        <w:pStyle w:val="BodyText"/>
        <w:tabs>
          <w:tab w:val="left" w:pos="0"/>
        </w:tabs>
        <w:spacing w:after="240"/>
        <w:ind w:left="720" w:firstLine="0"/>
      </w:pPr>
      <w:r>
        <w:t>H.2.c.1</w:t>
      </w:r>
      <w:r w:rsidR="00387675">
        <w:t>.</w:t>
      </w:r>
      <w:r>
        <w:tab/>
      </w:r>
      <w:r w:rsidR="002F1445">
        <w:t xml:space="preserve">Should the use of utilities in the proxy group for the </w:t>
      </w:r>
      <w:r w:rsidR="00712562">
        <w:t>Expected Earnings</w:t>
      </w:r>
      <w:r w:rsidR="002F1445">
        <w:t xml:space="preserve"> model be predicated on the </w:t>
      </w:r>
      <w:r w:rsidR="00712562">
        <w:t>Expected Earnings</w:t>
      </w:r>
      <w:r w:rsidR="002F1445">
        <w:t xml:space="preserve"> analysis being forward-looking?</w:t>
      </w:r>
    </w:p>
    <w:p w:rsidR="002F1445" w:rsidP="00EA5D2A" w:rsidRDefault="002F1445" w14:paraId="30A6D9F7" w14:textId="128176F6">
      <w:pPr>
        <w:pStyle w:val="BodyText"/>
        <w:tabs>
          <w:tab w:val="left" w:pos="0"/>
        </w:tabs>
        <w:spacing w:after="240"/>
        <w:ind w:left="720" w:firstLine="0"/>
      </w:pPr>
      <w:r>
        <w:t>H.2.c.2</w:t>
      </w:r>
      <w:r w:rsidR="00387675">
        <w:t>.</w:t>
      </w:r>
      <w:r>
        <w:tab/>
        <w:t xml:space="preserve">What, if any, concerns regarding circularity are there with using the </w:t>
      </w:r>
      <w:r w:rsidR="00712562">
        <w:t>Expected Earnings</w:t>
      </w:r>
      <w:r>
        <w:t xml:space="preserve"> analysis to determine the base ROE, as opposed to </w:t>
      </w:r>
      <w:r w:rsidR="00F970F4">
        <w:t xml:space="preserve">using the analysis </w:t>
      </w:r>
      <w:r>
        <w:t>for corroborative purposes?</w:t>
      </w:r>
    </w:p>
    <w:p w:rsidR="00FA715E" w:rsidP="00EA5D2A" w:rsidRDefault="002F1445" w14:paraId="2C9F9C20" w14:textId="2F0F5F14">
      <w:pPr>
        <w:pStyle w:val="BodyText"/>
        <w:tabs>
          <w:tab w:val="left" w:pos="0"/>
        </w:tabs>
        <w:spacing w:after="240"/>
        <w:ind w:left="1440" w:firstLine="0"/>
      </w:pPr>
      <w:r>
        <w:t>H.2.c.2.i</w:t>
      </w:r>
      <w:r w:rsidR="00487528">
        <w:t>.</w:t>
      </w:r>
      <w:r>
        <w:tab/>
      </w:r>
      <w:r w:rsidR="00C46D4D">
        <w:t>If there are circularity concerns, a</w:t>
      </w:r>
      <w:r>
        <w:t xml:space="preserve">re there ways to mitigate </w:t>
      </w:r>
      <w:r w:rsidR="00C46D4D">
        <w:t>these</w:t>
      </w:r>
      <w:r>
        <w:t xml:space="preserve"> concerns for the </w:t>
      </w:r>
      <w:r w:rsidR="00712562">
        <w:t>Expected Earnings</w:t>
      </w:r>
      <w:r>
        <w:t xml:space="preserve"> analysis?</w:t>
      </w:r>
      <w:r w:rsidR="007B2559">
        <w:t xml:space="preserve">  </w:t>
      </w:r>
      <w:r w:rsidR="00BD68DC">
        <w:t>If these concerns exist, a</w:t>
      </w:r>
      <w:r w:rsidR="007B2559">
        <w:t xml:space="preserve">re these concerns more significant than </w:t>
      </w:r>
      <w:r w:rsidR="007B2559">
        <w:lastRenderedPageBreak/>
        <w:t xml:space="preserve">those surrounding the DCF methodology, which effectively separates </w:t>
      </w:r>
      <w:r w:rsidR="00712562">
        <w:t>Expected Earnings</w:t>
      </w:r>
      <w:r w:rsidR="007B2559">
        <w:t xml:space="preserve"> and ROE into its dividend yield and growth rate subcomponents?</w:t>
      </w:r>
    </w:p>
    <w:p w:rsidR="00CF0F10" w:rsidP="0053523D" w:rsidRDefault="00CF0F10" w14:paraId="15BF6BA3" w14:textId="77777777">
      <w:pPr>
        <w:pStyle w:val="Heading4"/>
        <w:tabs>
          <w:tab w:val="clear" w:pos="2250"/>
          <w:tab w:val="left" w:pos="0"/>
          <w:tab w:val="num" w:pos="2880"/>
        </w:tabs>
        <w:ind w:left="2880"/>
      </w:pPr>
      <w:r>
        <w:t>Risk premium</w:t>
      </w:r>
    </w:p>
    <w:p w:rsidRPr="008E51DE" w:rsidR="00CF0F10" w:rsidP="00EA5D2A" w:rsidRDefault="005E4FFC" w14:paraId="6B91144B" w14:textId="3A9F23A3">
      <w:pPr>
        <w:tabs>
          <w:tab w:val="left" w:pos="0"/>
        </w:tabs>
        <w:ind w:firstLine="720"/>
      </w:pPr>
      <w:r>
        <w:t>H.2.d.1</w:t>
      </w:r>
      <w:r w:rsidR="00487528">
        <w:t>.</w:t>
      </w:r>
      <w:r>
        <w:tab/>
      </w:r>
      <w:r w:rsidR="00CF0F10">
        <w:t>Should the analysis be historic</w:t>
      </w:r>
      <w:r w:rsidR="004C5CFF">
        <w:t>al</w:t>
      </w:r>
      <w:r w:rsidR="00CF0F10">
        <w:t xml:space="preserve"> or forward-looking?</w:t>
      </w:r>
    </w:p>
    <w:p w:rsidR="00CA3F70" w:rsidP="00EA5D2A" w:rsidRDefault="00CA3F70" w14:paraId="7DD3B2AF" w14:textId="2F98A92C">
      <w:pPr>
        <w:tabs>
          <w:tab w:val="left" w:pos="0"/>
        </w:tabs>
        <w:ind w:firstLine="720"/>
      </w:pPr>
    </w:p>
    <w:p w:rsidR="00CA3F70" w:rsidP="00A5779B" w:rsidRDefault="00CA3F70" w14:paraId="747E6293" w14:textId="010D680A">
      <w:pPr>
        <w:tabs>
          <w:tab w:val="left" w:pos="0"/>
        </w:tabs>
        <w:ind w:left="720"/>
      </w:pPr>
      <w:r>
        <w:t>H.2.d.2</w:t>
      </w:r>
      <w:r w:rsidR="00487528">
        <w:t>.</w:t>
      </w:r>
      <w:r>
        <w:t xml:space="preserve"> </w:t>
      </w:r>
      <w:r>
        <w:tab/>
        <w:t xml:space="preserve">Is a </w:t>
      </w:r>
      <w:r w:rsidR="00712562">
        <w:t>Risk Premium</w:t>
      </w:r>
      <w:r>
        <w:t xml:space="preserve"> analysis compatible with a finding of anomalous capital market conditions?  Why or why not</w:t>
      </w:r>
      <w:r w:rsidR="00387675">
        <w:t>?</w:t>
      </w:r>
    </w:p>
    <w:p w:rsidR="00FE53D1" w:rsidP="00DD37F0" w:rsidRDefault="00FE53D1" w14:paraId="522AFDB2" w14:textId="5489EC3C">
      <w:pPr>
        <w:tabs>
          <w:tab w:val="left" w:pos="0"/>
        </w:tabs>
      </w:pPr>
    </w:p>
    <w:p w:rsidR="00FB761C" w:rsidP="00EA5D2A" w:rsidRDefault="00FE53D1" w14:paraId="27C81954" w14:textId="24D2F818">
      <w:pPr>
        <w:tabs>
          <w:tab w:val="left" w:pos="0"/>
        </w:tabs>
        <w:ind w:left="720"/>
      </w:pPr>
      <w:r>
        <w:t>H.2.d.</w:t>
      </w:r>
      <w:r w:rsidR="00A5779B">
        <w:t>3</w:t>
      </w:r>
      <w:r w:rsidR="00487528">
        <w:t>.</w:t>
      </w:r>
      <w:r>
        <w:tab/>
      </w:r>
      <w:r w:rsidR="00FB761C">
        <w:t>Unlike the financial models discussed above, t</w:t>
      </w:r>
      <w:r>
        <w:t xml:space="preserve">he </w:t>
      </w:r>
      <w:r w:rsidR="00712562">
        <w:t>Risk Premium</w:t>
      </w:r>
      <w:r>
        <w:t xml:space="preserve"> analysis </w:t>
      </w:r>
      <w:r w:rsidR="00FB761C">
        <w:t xml:space="preserve">produces a single ROE rather than a </w:t>
      </w:r>
      <w:r>
        <w:t>zone of reasonableness.</w:t>
      </w:r>
      <w:r w:rsidR="00FB761C">
        <w:t xml:space="preserve">  Does this characteristic require the Commission to use the Risk Premium model differently than the other models?</w:t>
      </w:r>
    </w:p>
    <w:p w:rsidR="00FB761C" w:rsidP="00EA5D2A" w:rsidRDefault="00FB761C" w14:paraId="5297FEA2" w14:textId="77777777">
      <w:pPr>
        <w:tabs>
          <w:tab w:val="left" w:pos="0"/>
        </w:tabs>
        <w:ind w:left="720"/>
      </w:pPr>
    </w:p>
    <w:p w:rsidR="00CF0F10" w:rsidP="00FB761C" w:rsidRDefault="00FB761C" w14:paraId="0725BBDC" w14:textId="4C848829">
      <w:pPr>
        <w:tabs>
          <w:tab w:val="left" w:pos="0"/>
        </w:tabs>
        <w:ind w:left="1440" w:hanging="720"/>
      </w:pPr>
      <w:r>
        <w:tab/>
        <w:t>H.2.d.</w:t>
      </w:r>
      <w:r w:rsidR="00FC39B1">
        <w:t>3</w:t>
      </w:r>
      <w:r>
        <w:t>.i.</w:t>
      </w:r>
      <w:r>
        <w:tab/>
      </w:r>
      <w:r w:rsidR="00FE53D1">
        <w:t>Is there a method by which th</w:t>
      </w:r>
      <w:r w:rsidR="007B798B">
        <w:t xml:space="preserve">e </w:t>
      </w:r>
      <w:r w:rsidR="00712562">
        <w:t>Risk Premium</w:t>
      </w:r>
      <w:r w:rsidR="007B798B">
        <w:t xml:space="preserve"> </w:t>
      </w:r>
      <w:r w:rsidR="00FE53D1">
        <w:t>ROE could be adjusted upward for an above average utility or downward for a below average risk utility?</w:t>
      </w:r>
      <w:r w:rsidR="00AE3595">
        <w:t xml:space="preserve">  If not, is it reasonable to consider the results of a </w:t>
      </w:r>
      <w:r w:rsidR="00712562">
        <w:t>Risk Premium</w:t>
      </w:r>
      <w:r w:rsidR="00AE3595">
        <w:t xml:space="preserve"> analysis when determining the ROE of an above or below average risk </w:t>
      </w:r>
      <w:r w:rsidR="002900B3">
        <w:t>utility</w:t>
      </w:r>
      <w:r w:rsidR="00AE3595">
        <w:t xml:space="preserve">? </w:t>
      </w:r>
      <w:r w:rsidR="00FE53D1">
        <w:t xml:space="preserve"> </w:t>
      </w:r>
    </w:p>
    <w:p w:rsidR="00FB761C" w:rsidP="00FB761C" w:rsidRDefault="00FB761C" w14:paraId="496C6D1F" w14:textId="5FA32523">
      <w:pPr>
        <w:tabs>
          <w:tab w:val="left" w:pos="0"/>
        </w:tabs>
        <w:ind w:left="1440" w:hanging="720"/>
      </w:pPr>
    </w:p>
    <w:p w:rsidR="00FB761C" w:rsidP="001A343E" w:rsidRDefault="00FB761C" w14:paraId="10D4989E" w14:textId="198E0AA4">
      <w:pPr>
        <w:tabs>
          <w:tab w:val="left" w:pos="0"/>
        </w:tabs>
        <w:ind w:left="1440" w:hanging="720"/>
      </w:pPr>
      <w:r>
        <w:tab/>
        <w:t>H.2.d.</w:t>
      </w:r>
      <w:r w:rsidR="00FC39B1">
        <w:t>3</w:t>
      </w:r>
      <w:r>
        <w:t>.ii.</w:t>
      </w:r>
      <w:r>
        <w:tab/>
        <w:t>Is it appropriate to use a Risk Premium analysis when conducting the first prong of the section 206 evaluation?</w:t>
      </w:r>
      <w:r>
        <w:tab/>
      </w:r>
    </w:p>
    <w:p w:rsidRPr="0046550D" w:rsidR="00CF0F10" w:rsidP="00EA5D2A" w:rsidRDefault="00FB761C" w14:paraId="4DA489B0" w14:textId="50A80F80">
      <w:pPr>
        <w:tabs>
          <w:tab w:val="left" w:pos="0"/>
        </w:tabs>
      </w:pPr>
      <w:r>
        <w:t xml:space="preserve"> </w:t>
      </w:r>
    </w:p>
    <w:p w:rsidRPr="00441AA9" w:rsidR="006B1DEC" w:rsidP="00EA5D2A" w:rsidRDefault="006B1DEC" w14:paraId="15BCF056" w14:textId="77777777">
      <w:pPr>
        <w:pStyle w:val="Heading1"/>
        <w:tabs>
          <w:tab w:val="left" w:pos="0"/>
        </w:tabs>
      </w:pPr>
      <w:r w:rsidRPr="00441AA9">
        <w:lastRenderedPageBreak/>
        <w:t>Comment Procedures</w:t>
      </w:r>
    </w:p>
    <w:p w:rsidRPr="0037449F" w:rsidR="006B1DEC" w:rsidP="004C4173" w:rsidRDefault="006B1DEC" w14:paraId="0C5CC406" w14:textId="541C0EAC">
      <w:pPr>
        <w:pStyle w:val="StyleFERCparanumberAfter0ptLinespacingDouble"/>
      </w:pPr>
      <w:r w:rsidRPr="0037449F">
        <w:t xml:space="preserve">The Commission invites interested persons to submit comments on the matters </w:t>
      </w:r>
      <w:r>
        <w:br/>
      </w:r>
      <w:r w:rsidRPr="0037449F">
        <w:t xml:space="preserve">and issues proposed in this notice, including any related matters or alternative </w:t>
      </w:r>
      <w:r>
        <w:br/>
      </w:r>
      <w:r w:rsidRPr="0037449F">
        <w:t xml:space="preserve">proposals that commenters may wish to discuss.  Comments are due </w:t>
      </w:r>
      <w:r w:rsidRPr="00335223">
        <w:rPr>
          <w:b/>
          <w:szCs w:val="26"/>
        </w:rPr>
        <w:t>[</w:t>
      </w:r>
      <w:r w:rsidRPr="00335223" w:rsidR="001F4403">
        <w:rPr>
          <w:b/>
          <w:szCs w:val="26"/>
        </w:rPr>
        <w:t xml:space="preserve">INSERT DATE </w:t>
      </w:r>
      <w:r w:rsidR="00413A21">
        <w:rPr>
          <w:b/>
          <w:szCs w:val="26"/>
        </w:rPr>
        <w:t>9</w:t>
      </w:r>
      <w:r w:rsidR="001F4403">
        <w:rPr>
          <w:b/>
          <w:szCs w:val="26"/>
        </w:rPr>
        <w:t>0</w:t>
      </w:r>
      <w:r w:rsidRPr="00335223" w:rsidR="001F4403">
        <w:rPr>
          <w:b/>
          <w:szCs w:val="26"/>
        </w:rPr>
        <w:t xml:space="preserve"> DAYS AFTER </w:t>
      </w:r>
      <w:r w:rsidR="001F4403">
        <w:rPr>
          <w:b/>
          <w:szCs w:val="26"/>
        </w:rPr>
        <w:t xml:space="preserve">DATE OF </w:t>
      </w:r>
      <w:r w:rsidRPr="00335223" w:rsidR="001F4403">
        <w:rPr>
          <w:b/>
          <w:szCs w:val="26"/>
        </w:rPr>
        <w:t>PUBLICATION IN THE FEDERAL REGISTER</w:t>
      </w:r>
      <w:r w:rsidRPr="00335223">
        <w:rPr>
          <w:b/>
          <w:szCs w:val="26"/>
        </w:rPr>
        <w:t>]</w:t>
      </w:r>
      <w:r w:rsidRPr="00E80DF7">
        <w:rPr>
          <w:szCs w:val="26"/>
        </w:rPr>
        <w:t>, and Reply Comments are due</w:t>
      </w:r>
      <w:r w:rsidRPr="00E34E14">
        <w:rPr>
          <w:b/>
          <w:szCs w:val="26"/>
        </w:rPr>
        <w:t xml:space="preserve"> [</w:t>
      </w:r>
      <w:r w:rsidRPr="00E34E14" w:rsidR="001F4403">
        <w:rPr>
          <w:b/>
          <w:szCs w:val="26"/>
        </w:rPr>
        <w:t xml:space="preserve">INSERT DATE </w:t>
      </w:r>
      <w:r w:rsidR="00413A21">
        <w:rPr>
          <w:b/>
          <w:szCs w:val="26"/>
        </w:rPr>
        <w:t>12</w:t>
      </w:r>
      <w:r w:rsidR="001F4403">
        <w:rPr>
          <w:b/>
          <w:szCs w:val="26"/>
        </w:rPr>
        <w:t>0</w:t>
      </w:r>
      <w:r w:rsidRPr="00E34E14" w:rsidR="001F4403">
        <w:rPr>
          <w:b/>
          <w:szCs w:val="26"/>
        </w:rPr>
        <w:t xml:space="preserve"> DAYS AFTER </w:t>
      </w:r>
      <w:r w:rsidR="001F4403">
        <w:rPr>
          <w:b/>
          <w:szCs w:val="26"/>
        </w:rPr>
        <w:t xml:space="preserve">DATE OF </w:t>
      </w:r>
      <w:r w:rsidRPr="00E34E14" w:rsidR="001F4403">
        <w:rPr>
          <w:b/>
          <w:szCs w:val="26"/>
        </w:rPr>
        <w:t>PUBLICATION IN THE FEDERAL REGISTER</w:t>
      </w:r>
      <w:r w:rsidRPr="00335223">
        <w:rPr>
          <w:b/>
          <w:szCs w:val="26"/>
        </w:rPr>
        <w:t>]</w:t>
      </w:r>
      <w:r w:rsidRPr="00335223">
        <w:rPr>
          <w:szCs w:val="26"/>
        </w:rPr>
        <w:t>.</w:t>
      </w:r>
      <w:r w:rsidRPr="0037449F">
        <w:t xml:space="preserve">  Comments must refer to Docket No. </w:t>
      </w:r>
      <w:r w:rsidR="001F4403">
        <w:t>PL19-4-000</w:t>
      </w:r>
      <w:r w:rsidRPr="0037449F">
        <w:t>, and must include the commenter’s name, the organization they represent, if applicable, and their address.</w:t>
      </w:r>
    </w:p>
    <w:p w:rsidRPr="00441AA9" w:rsidR="006B1DEC" w:rsidP="004C4173" w:rsidRDefault="006B1DEC" w14:paraId="5DD8D72B" w14:textId="6281F64A">
      <w:pPr>
        <w:pStyle w:val="StyleFERCparanumberAfter0ptLinespacingDouble"/>
      </w:pPr>
      <w:r w:rsidRPr="00441AA9">
        <w:t xml:space="preserve">The Commission encourages comments to be filed electronically via the eFiling link on the Commission’s web site at </w:t>
      </w:r>
      <w:r w:rsidRPr="0053523D">
        <w:rPr>
          <w:rStyle w:val="Hyperlink"/>
        </w:rPr>
        <w:t>http://www.ferc.gov</w:t>
      </w:r>
      <w:r w:rsidRPr="00441AA9">
        <w:t xml:space="preserve">.  The </w:t>
      </w:r>
      <w:r w:rsidRPr="00441AA9">
        <w:lastRenderedPageBreak/>
        <w:t>Commission accepts most standard word</w:t>
      </w:r>
      <w:r>
        <w:t>-</w:t>
      </w:r>
      <w:r w:rsidRPr="00441AA9">
        <w:t>processing formats.  Documents created electronically using word</w:t>
      </w:r>
      <w:r>
        <w:t>-</w:t>
      </w:r>
      <w:r w:rsidRPr="00441AA9">
        <w:t>processing software should be filed in native applications or print-to-PDF format and not in a scanned format.  Commenters filing electronically do not need to make a paper filing.</w:t>
      </w:r>
    </w:p>
    <w:p w:rsidRPr="0037449F" w:rsidR="006B1DEC" w:rsidP="004C4173" w:rsidRDefault="006B1DEC" w14:paraId="62C38747" w14:textId="77777777">
      <w:pPr>
        <w:pStyle w:val="StyleFERCparanumberAfter0ptLinespacingDouble"/>
      </w:pPr>
      <w:r w:rsidRPr="00441AA9">
        <w:t>Commenters that are not able to file comments electronically must send an original of their comments to:  Federal Energy Regulatory Commission, Secretary of the Commission, 888 First Street NE, Washington, DC  20426.</w:t>
      </w:r>
    </w:p>
    <w:p w:rsidRPr="00441AA9" w:rsidR="00363BDB" w:rsidP="004C4173" w:rsidRDefault="006B1DEC" w14:paraId="75A9A6A3" w14:textId="1A0BB125">
      <w:pPr>
        <w:pStyle w:val="StyleFERCparanumberAfter0ptLinespacingDouble"/>
      </w:pPr>
      <w:r w:rsidRPr="00441AA9">
        <w:t>All comments will be placed in the Commission’s public files and may be viewed, printed, or downloaded remotely as described in the Document Availability section below.  Commenters on this proposal are not required to serve copies of their comments on other commenters.</w:t>
      </w:r>
    </w:p>
    <w:p w:rsidRPr="00441AA9" w:rsidR="006B1DEC" w:rsidP="00EA5D2A" w:rsidRDefault="006B1DEC" w14:paraId="106849A3" w14:textId="77777777">
      <w:pPr>
        <w:pStyle w:val="Heading1"/>
        <w:tabs>
          <w:tab w:val="left" w:pos="0"/>
        </w:tabs>
      </w:pPr>
      <w:r w:rsidRPr="00441AA9">
        <w:lastRenderedPageBreak/>
        <w:t>Document Availability</w:t>
      </w:r>
    </w:p>
    <w:p w:rsidRPr="00441AA9" w:rsidR="006B1DEC" w:rsidP="004C4173" w:rsidRDefault="006B1DEC" w14:paraId="0BDDA4B9" w14:textId="4307CE4B">
      <w:pPr>
        <w:pStyle w:val="StyleFERCparanumberAfter0ptLinespacingDouble"/>
      </w:pPr>
      <w:r w:rsidRPr="00441AA9">
        <w:t>In addition to publishing the full text of this document in the Federal Register, the Commission provides all interested persons an opportunity to view and/or print the contents of this document via the Internet through the Commission’s Home Page (</w:t>
      </w:r>
      <w:hyperlink w:history="1" r:id="rId19">
        <w:r w:rsidRPr="00C10EFB">
          <w:rPr>
            <w:rStyle w:val="Hyperlink"/>
          </w:rPr>
          <w:t>http://www.ferc.gov</w:t>
        </w:r>
      </w:hyperlink>
      <w:r w:rsidRPr="00441AA9">
        <w:t xml:space="preserve">) and in the Commission’s Public Reference Room during normal business hours (8:30 a.m. to 5:00 p.m. </w:t>
      </w:r>
      <w:r>
        <w:t>e</w:t>
      </w:r>
      <w:r w:rsidRPr="00441AA9">
        <w:t>astern time) at 888 First Street NE, Room 2A, Washington</w:t>
      </w:r>
      <w:r w:rsidR="00AD238A">
        <w:t>,</w:t>
      </w:r>
      <w:r w:rsidRPr="00441AA9">
        <w:t xml:space="preserve"> DC  20426.</w:t>
      </w:r>
    </w:p>
    <w:p w:rsidRPr="00441AA9" w:rsidR="006B1DEC" w:rsidP="004C4173" w:rsidRDefault="006B1DEC" w14:paraId="510501A8" w14:textId="77777777">
      <w:pPr>
        <w:pStyle w:val="StyleFERCparanumberAfter0ptLinespacingDouble"/>
      </w:pPr>
      <w:r w:rsidRPr="00441AA9">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6843DD" w:rsidP="004C4173" w:rsidRDefault="006B1DEC" w14:paraId="75210FE0" w14:textId="77777777">
      <w:pPr>
        <w:pStyle w:val="StyleFERCparanumberAfter0ptLinespacingDouble"/>
      </w:pPr>
      <w:r w:rsidRPr="00441AA9">
        <w:t xml:space="preserve">User assistance is available for eLibrary and the Commission’s website during normal business hours from the Commission’s Online Support at </w:t>
      </w:r>
      <w:r w:rsidR="0053523D">
        <w:lastRenderedPageBreak/>
        <w:t>(</w:t>
      </w:r>
      <w:r w:rsidRPr="00441AA9">
        <w:t>202</w:t>
      </w:r>
      <w:r w:rsidR="0053523D">
        <w:t xml:space="preserve">) </w:t>
      </w:r>
      <w:r w:rsidRPr="00441AA9">
        <w:t xml:space="preserve">502-6652 (toll free at 1-866-208-3676) or email at </w:t>
      </w:r>
      <w:r w:rsidRPr="000533AD">
        <w:t>ferconlinesupport@ferc.gov</w:t>
      </w:r>
      <w:r w:rsidRPr="00441AA9">
        <w:t xml:space="preserve">, or the Public Reference </w:t>
      </w:r>
    </w:p>
    <w:p w:rsidRPr="00441AA9" w:rsidR="006B1DEC" w:rsidP="006843DD" w:rsidRDefault="006B1DEC" w14:paraId="2B67A9DB" w14:textId="106AF359">
      <w:pPr>
        <w:pStyle w:val="StyleFERCparanumberAfter0ptLinespacingDouble"/>
        <w:numPr>
          <w:ilvl w:val="0"/>
          <w:numId w:val="0"/>
        </w:numPr>
      </w:pPr>
      <w:r w:rsidRPr="00441AA9">
        <w:t>Room at (202) 502-8371, TTY (202)</w:t>
      </w:r>
      <w:r>
        <w:t xml:space="preserve"> </w:t>
      </w:r>
      <w:r w:rsidRPr="00441AA9">
        <w:t xml:space="preserve">502-8659.  E-mail the Public Reference Room at </w:t>
      </w:r>
      <w:r w:rsidRPr="000533AD">
        <w:t>public.referenceroom@ferc.gov</w:t>
      </w:r>
      <w:r w:rsidRPr="00441AA9">
        <w:t>.</w:t>
      </w:r>
    </w:p>
    <w:p w:rsidR="006B1DEC" w:rsidP="00EA5D2A" w:rsidRDefault="006B1DEC" w14:paraId="743B365D" w14:textId="77777777">
      <w:pPr>
        <w:tabs>
          <w:tab w:val="left" w:pos="0"/>
        </w:tabs>
      </w:pPr>
      <w:r w:rsidRPr="00441AA9">
        <w:t>By direction of the Commission.</w:t>
      </w:r>
    </w:p>
    <w:p w:rsidR="005B235E" w:rsidP="00EA5D2A" w:rsidRDefault="005B235E" w14:paraId="00027277" w14:textId="77777777">
      <w:pPr>
        <w:tabs>
          <w:tab w:val="left" w:pos="0"/>
        </w:tabs>
      </w:pPr>
    </w:p>
    <w:p w:rsidR="005B235E" w:rsidP="005B235E" w:rsidRDefault="005B235E" w14:paraId="78EDE657" w14:textId="7F808BE3">
      <w:pPr>
        <w:widowControl/>
        <w:tabs>
          <w:tab w:val="left" w:pos="0"/>
        </w:tabs>
      </w:pPr>
      <w:r w:rsidRPr="005B235E">
        <w:t>( S E A L )</w:t>
      </w:r>
    </w:p>
    <w:p w:rsidR="005B235E" w:rsidP="005B235E" w:rsidRDefault="005B235E" w14:paraId="56DAAA2A" w14:textId="77777777">
      <w:pPr>
        <w:widowControl/>
        <w:tabs>
          <w:tab w:val="left" w:pos="0"/>
        </w:tabs>
      </w:pPr>
    </w:p>
    <w:p w:rsidR="005B235E" w:rsidP="005B235E" w:rsidRDefault="005B235E" w14:paraId="018377C2" w14:textId="1A27A134">
      <w:pPr>
        <w:widowControl/>
        <w:tabs>
          <w:tab w:val="left" w:pos="0"/>
        </w:tabs>
      </w:pPr>
    </w:p>
    <w:p w:rsidR="005B235E" w:rsidP="005B235E" w:rsidRDefault="005B235E" w14:paraId="7D6012C7" w14:textId="69BD5E67">
      <w:pPr>
        <w:widowControl/>
        <w:tabs>
          <w:tab w:val="left" w:pos="0"/>
        </w:tabs>
      </w:pPr>
    </w:p>
    <w:p w:rsidR="003E0618" w:rsidP="005B235E" w:rsidRDefault="003E0618" w14:paraId="7B840F58" w14:textId="77777777">
      <w:pPr>
        <w:widowControl/>
        <w:ind w:firstLine="2606"/>
        <w:jc w:val="center"/>
      </w:pPr>
    </w:p>
    <w:p w:rsidRPr="005B235E" w:rsidR="005B235E" w:rsidP="005B235E" w:rsidRDefault="005B235E" w14:paraId="2F0AC7BF" w14:textId="0BE9D84D">
      <w:pPr>
        <w:widowControl/>
        <w:ind w:firstLine="2606"/>
        <w:jc w:val="center"/>
      </w:pPr>
      <w:bookmarkStart w:name="_GoBack" w:id="0"/>
      <w:bookmarkEnd w:id="0"/>
      <w:r w:rsidRPr="005B235E">
        <w:t>Nathaniel J. Davis, Sr.,</w:t>
      </w:r>
    </w:p>
    <w:p w:rsidRPr="005B235E" w:rsidR="005B235E" w:rsidP="005B235E" w:rsidRDefault="005B235E" w14:paraId="7F32CE97" w14:textId="251BADCF">
      <w:pPr>
        <w:widowControl/>
        <w:ind w:firstLine="2606"/>
        <w:jc w:val="center"/>
      </w:pPr>
      <w:r w:rsidRPr="005B235E">
        <w:t>Deputy Secretary.</w:t>
      </w:r>
    </w:p>
    <w:p w:rsidRPr="005B235E" w:rsidR="005B235E" w:rsidP="005B235E" w:rsidRDefault="005B235E" w14:paraId="55251D82" w14:textId="77777777">
      <w:pPr>
        <w:widowControl/>
        <w:tabs>
          <w:tab w:val="left" w:pos="0"/>
        </w:tabs>
      </w:pPr>
    </w:p>
    <w:p w:rsidRPr="007A0492" w:rsidR="007A0492" w:rsidP="00EA5D2A" w:rsidRDefault="007A0492" w14:paraId="3C430991" w14:textId="16FC3B0D">
      <w:pPr>
        <w:pStyle w:val="BodyText"/>
        <w:tabs>
          <w:tab w:val="left" w:pos="0"/>
        </w:tabs>
      </w:pPr>
    </w:p>
    <w:sectPr w:rsidRPr="007A0492" w:rsidR="007A0492" w:rsidSect="00130EF7">
      <w:pgSz w:w="12240" w:h="15840"/>
      <w:pgMar w:top="1440" w:right="1440" w:bottom="1440" w:left="1440" w:header="720" w:footer="1440" w:gutter="0"/>
      <w:pgNumType w:fmt="numberInDash" w:start="1"/>
      <w:cols w:space="720"/>
      <w:noEndnote/>
      <w:titlePg/>
      <w:docGrid w:linePitch="3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7D16D" w16cid:durableId="20314F53"/>
  <w16cid:commentId w16cid:paraId="3DE2CAC4" w16cid:durableId="203156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50848" w14:textId="77777777" w:rsidR="00D43D83" w:rsidRDefault="00D43D83">
      <w:r>
        <w:separator/>
      </w:r>
    </w:p>
  </w:endnote>
  <w:endnote w:type="continuationSeparator" w:id="0">
    <w:p w14:paraId="52EAD810" w14:textId="77777777" w:rsidR="00D43D83" w:rsidRDefault="00D43D83">
      <w:r>
        <w:continuationSeparator/>
      </w:r>
    </w:p>
  </w:endnote>
  <w:endnote w:type="continuationNotice" w:id="1">
    <w:p w14:paraId="59B11323" w14:textId="77777777" w:rsidR="00D43D83" w:rsidRDefault="00D43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88B22" w14:textId="77777777" w:rsidR="00A36179" w:rsidRDefault="00A36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11DA5" w14:textId="77777777" w:rsidR="00A36179" w:rsidRDefault="00A36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A03A" w14:textId="77777777" w:rsidR="00A36179" w:rsidRDefault="00A36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380AB" w14:textId="77777777" w:rsidR="00D43D83" w:rsidRDefault="00D43D83">
      <w:r>
        <w:separator/>
      </w:r>
    </w:p>
  </w:footnote>
  <w:footnote w:type="continuationSeparator" w:id="0">
    <w:p w14:paraId="74DD2A4D" w14:textId="77777777" w:rsidR="00D43D83" w:rsidRDefault="00D43D83">
      <w:r>
        <w:continuationSeparator/>
      </w:r>
    </w:p>
  </w:footnote>
  <w:footnote w:type="continuationNotice" w:id="1">
    <w:p w14:paraId="74E5A5C1" w14:textId="77777777" w:rsidR="00D43D83" w:rsidRPr="009E2C52" w:rsidRDefault="00D43D83" w:rsidP="009E2C52">
      <w:pPr>
        <w:pStyle w:val="Footer"/>
      </w:pPr>
      <w:r w:rsidRPr="009E2C52">
        <w:rPr>
          <w:i/>
        </w:rPr>
        <w:t>(continued ...)</w:t>
      </w:r>
    </w:p>
  </w:footnote>
  <w:footnote w:id="2">
    <w:p w14:paraId="1D9C1261" w14:textId="5C58B159" w:rsidR="00D43D83" w:rsidRDefault="00D43D83" w:rsidP="00CF0F10">
      <w:pPr>
        <w:pStyle w:val="FootnoteText"/>
      </w:pPr>
      <w:r>
        <w:rPr>
          <w:rStyle w:val="FootnoteReference"/>
        </w:rPr>
        <w:footnoteRef/>
      </w:r>
      <w:r>
        <w:t xml:space="preserve"> </w:t>
      </w:r>
      <w:r w:rsidRPr="00665B5A">
        <w:rPr>
          <w:color w:val="212121"/>
          <w:szCs w:val="26"/>
        </w:rPr>
        <w:t>854 F.3d 9 (D.C. Cir. 2017)</w:t>
      </w:r>
      <w:r>
        <w:rPr>
          <w:color w:val="212121"/>
          <w:szCs w:val="26"/>
        </w:rPr>
        <w:t xml:space="preserve"> </w:t>
      </w:r>
      <w:r>
        <w:rPr>
          <w:szCs w:val="26"/>
        </w:rPr>
        <w:t>(</w:t>
      </w:r>
      <w:r>
        <w:rPr>
          <w:i/>
          <w:szCs w:val="26"/>
        </w:rPr>
        <w:t>Emera Maine</w:t>
      </w:r>
      <w:r>
        <w:rPr>
          <w:szCs w:val="26"/>
        </w:rPr>
        <w:t>)</w:t>
      </w:r>
      <w:r w:rsidRPr="00481DD8">
        <w:rPr>
          <w:szCs w:val="26"/>
        </w:rPr>
        <w:t>.</w:t>
      </w:r>
      <w:r>
        <w:rPr>
          <w:szCs w:val="26"/>
        </w:rPr>
        <w:t xml:space="preserve"> </w:t>
      </w:r>
    </w:p>
  </w:footnote>
  <w:footnote w:id="3">
    <w:p w14:paraId="0779CAC4" w14:textId="2B3E256B" w:rsidR="00D43D83" w:rsidRDefault="00D43D83" w:rsidP="00CF0F10">
      <w:pPr>
        <w:pStyle w:val="FootnoteText"/>
      </w:pPr>
      <w:r>
        <w:rPr>
          <w:rStyle w:val="FootnoteReference"/>
        </w:rPr>
        <w:footnoteRef/>
      </w:r>
      <w:r>
        <w:t xml:space="preserve"> </w:t>
      </w:r>
      <w:r>
        <w:rPr>
          <w:i/>
        </w:rPr>
        <w:t>Coakley, Mass. Attorney Gen.</w:t>
      </w:r>
      <w:r w:rsidRPr="004D7D6C">
        <w:rPr>
          <w:i/>
        </w:rPr>
        <w:t xml:space="preserve"> v. Bangor Hydro-Elec. Co.</w:t>
      </w:r>
      <w:r>
        <w:t xml:space="preserve">, Opinion No. 531, </w:t>
      </w:r>
      <w:r w:rsidR="00CB2955">
        <w:t xml:space="preserve">  </w:t>
      </w:r>
      <w:r>
        <w:t xml:space="preserve">147 FERC ¶ 61,234, </w:t>
      </w:r>
      <w:r w:rsidRPr="001419ED">
        <w:rPr>
          <w:i/>
        </w:rPr>
        <w:t>order on paper hearing</w:t>
      </w:r>
      <w:r>
        <w:t xml:space="preserve">, 149 FERC ¶ 61,032 (2014), </w:t>
      </w:r>
      <w:r>
        <w:rPr>
          <w:i/>
        </w:rPr>
        <w:t>order on reh’</w:t>
      </w:r>
      <w:r w:rsidRPr="00DD046D">
        <w:rPr>
          <w:i/>
        </w:rPr>
        <w:t>g</w:t>
      </w:r>
      <w:r>
        <w:t xml:space="preserve">,  150 FERC </w:t>
      </w:r>
      <w:r w:rsidRPr="00DD046D">
        <w:t>¶ 61,</w:t>
      </w:r>
      <w:r>
        <w:t>165 (2015).</w:t>
      </w:r>
    </w:p>
  </w:footnote>
  <w:footnote w:id="4">
    <w:p w14:paraId="6DF10B84" w14:textId="275C5256" w:rsidR="00D43D83" w:rsidRDefault="00D43D83">
      <w:pPr>
        <w:pStyle w:val="FootnoteText"/>
      </w:pPr>
      <w:r>
        <w:rPr>
          <w:rStyle w:val="FootnoteReference"/>
        </w:rPr>
        <w:footnoteRef/>
      </w:r>
      <w:r>
        <w:t xml:space="preserve"> 16 U.S.C. § 824e.</w:t>
      </w:r>
    </w:p>
  </w:footnote>
  <w:footnote w:id="5">
    <w:p w14:paraId="239C4321" w14:textId="1E4EF405" w:rsidR="00D43D83" w:rsidRPr="00804F91" w:rsidRDefault="00D43D83">
      <w:pPr>
        <w:pStyle w:val="FootnoteText"/>
      </w:pPr>
      <w:r>
        <w:rPr>
          <w:rStyle w:val="FootnoteReference"/>
        </w:rPr>
        <w:footnoteRef/>
      </w:r>
      <w:r>
        <w:t xml:space="preserve"> </w:t>
      </w:r>
      <w:r w:rsidRPr="00804F91">
        <w:t xml:space="preserve">The </w:t>
      </w:r>
      <w:r>
        <w:t>New England Transmission Owners</w:t>
      </w:r>
      <w:r w:rsidRPr="00804F91">
        <w:t xml:space="preserve"> include Bangor Hydro-Elec. Co.; Cent. Me. Power Co.; </w:t>
      </w:r>
      <w:r>
        <w:t>New England Power Co. d/b/a Nat’</w:t>
      </w:r>
      <w:r w:rsidRPr="00804F91">
        <w:t>l Grid; N.H. Transmission LLC d/b/a NextE</w:t>
      </w:r>
      <w:r>
        <w:t>ra; NSTAR Elect. &amp; Gas Corp.; Ne</w:t>
      </w:r>
      <w:r w:rsidRPr="00804F91">
        <w:t>. Utilities Serv. Co.; United Illuminating Co.; Unitil Energy Systems, Inc. and Fitchburg Gas &amp; Elec. Light Co.; and Vt. Transco, LLC.</w:t>
      </w:r>
      <w:r>
        <w:t xml:space="preserve"> Opinion No. 531,</w:t>
      </w:r>
      <w:r>
        <w:rPr>
          <w:i/>
        </w:rPr>
        <w:t xml:space="preserve"> </w:t>
      </w:r>
      <w:r>
        <w:t xml:space="preserve">147 FERC ¶ 61,234 at P 1 n.3. </w:t>
      </w:r>
    </w:p>
  </w:footnote>
  <w:footnote w:id="6">
    <w:p w14:paraId="2A242421" w14:textId="7543E72A" w:rsidR="00D43D83" w:rsidRPr="00FD4BE4" w:rsidRDefault="00D43D83">
      <w:pPr>
        <w:pStyle w:val="FootnoteText"/>
      </w:pPr>
      <w:r>
        <w:rPr>
          <w:rStyle w:val="FootnoteReference"/>
        </w:rPr>
        <w:footnoteRef/>
      </w:r>
      <w:r>
        <w:t xml:space="preserve"> </w:t>
      </w:r>
      <w:r>
        <w:rPr>
          <w:i/>
        </w:rPr>
        <w:t>Emera Maine</w:t>
      </w:r>
      <w:r>
        <w:t xml:space="preserve">, </w:t>
      </w:r>
      <w:r w:rsidRPr="00665B5A">
        <w:rPr>
          <w:color w:val="212121"/>
          <w:szCs w:val="26"/>
        </w:rPr>
        <w:t xml:space="preserve">854 F.3d </w:t>
      </w:r>
      <w:r>
        <w:rPr>
          <w:color w:val="212121"/>
          <w:szCs w:val="26"/>
        </w:rPr>
        <w:t>at 28-29.</w:t>
      </w:r>
    </w:p>
  </w:footnote>
  <w:footnote w:id="7">
    <w:p w14:paraId="6664652B" w14:textId="77777777" w:rsidR="00D43D83" w:rsidRDefault="00D43D83" w:rsidP="00CF0F10">
      <w:pPr>
        <w:pStyle w:val="FootnoteText"/>
      </w:pPr>
      <w:r>
        <w:rPr>
          <w:rStyle w:val="FootnoteReference"/>
        </w:rPr>
        <w:footnoteRef/>
      </w:r>
      <w:r>
        <w:t xml:space="preserve"> </w:t>
      </w:r>
      <w:r w:rsidRPr="007163E7">
        <w:rPr>
          <w:i/>
          <w:szCs w:val="26"/>
        </w:rPr>
        <w:t>Fed. Power Comm’n v. Hope Natural Gas Co.</w:t>
      </w:r>
      <w:r w:rsidRPr="007163E7">
        <w:rPr>
          <w:szCs w:val="26"/>
        </w:rPr>
        <w:t>, 320 U.S.</w:t>
      </w:r>
      <w:r>
        <w:rPr>
          <w:szCs w:val="26"/>
        </w:rPr>
        <w:t xml:space="preserve"> </w:t>
      </w:r>
      <w:r w:rsidRPr="007163E7">
        <w:rPr>
          <w:szCs w:val="26"/>
        </w:rPr>
        <w:t>591, 605 (1944)</w:t>
      </w:r>
      <w:r>
        <w:rPr>
          <w:szCs w:val="26"/>
        </w:rPr>
        <w:t xml:space="preserve"> (</w:t>
      </w:r>
      <w:r>
        <w:rPr>
          <w:i/>
          <w:szCs w:val="26"/>
        </w:rPr>
        <w:t>Hope</w:t>
      </w:r>
      <w:r>
        <w:rPr>
          <w:szCs w:val="26"/>
        </w:rPr>
        <w:t>);</w:t>
      </w:r>
      <w:r w:rsidRPr="00A642E4">
        <w:rPr>
          <w:i/>
          <w:szCs w:val="26"/>
        </w:rPr>
        <w:t xml:space="preserve"> </w:t>
      </w:r>
      <w:r w:rsidRPr="007163E7">
        <w:rPr>
          <w:i/>
          <w:szCs w:val="26"/>
        </w:rPr>
        <w:t xml:space="preserve">see also </w:t>
      </w:r>
      <w:r>
        <w:rPr>
          <w:i/>
          <w:szCs w:val="26"/>
        </w:rPr>
        <w:t>Bluefield Waterworks &amp; Improvement Co. v. Pub. Serv. Comm’n</w:t>
      </w:r>
      <w:r>
        <w:rPr>
          <w:szCs w:val="26"/>
        </w:rPr>
        <w:t>, 262 U.S. 679, 692-693 (1923) (</w:t>
      </w:r>
      <w:r>
        <w:rPr>
          <w:i/>
          <w:szCs w:val="26"/>
        </w:rPr>
        <w:t>Bluefield)</w:t>
      </w:r>
      <w:r>
        <w:rPr>
          <w:szCs w:val="26"/>
        </w:rPr>
        <w:t xml:space="preserve">; </w:t>
      </w:r>
      <w:r>
        <w:rPr>
          <w:i/>
          <w:szCs w:val="26"/>
        </w:rPr>
        <w:t>Duquesne Light Co. v. Barasch</w:t>
      </w:r>
      <w:r>
        <w:rPr>
          <w:szCs w:val="26"/>
        </w:rPr>
        <w:t>, 488 U.S. 299, 314 (1989).</w:t>
      </w:r>
    </w:p>
  </w:footnote>
  <w:footnote w:id="8">
    <w:p w14:paraId="348A03A7" w14:textId="24B87E0D" w:rsidR="00D43D83" w:rsidRPr="00665B5A" w:rsidRDefault="00D43D83" w:rsidP="00CF0F10">
      <w:pPr>
        <w:pStyle w:val="FootnoteText"/>
        <w:rPr>
          <w:szCs w:val="26"/>
        </w:rPr>
      </w:pPr>
      <w:r w:rsidRPr="00665B5A">
        <w:rPr>
          <w:rStyle w:val="FootnoteReference"/>
        </w:rPr>
        <w:footnoteRef/>
      </w:r>
      <w:r w:rsidRPr="00665B5A">
        <w:rPr>
          <w:szCs w:val="26"/>
        </w:rPr>
        <w:t xml:space="preserve"> </w:t>
      </w:r>
      <w:r w:rsidRPr="00665B5A">
        <w:rPr>
          <w:i/>
          <w:szCs w:val="26"/>
        </w:rPr>
        <w:t>Canadian Ass’n of Petroleum Producers v. FERC</w:t>
      </w:r>
      <w:r w:rsidRPr="00665B5A">
        <w:rPr>
          <w:szCs w:val="26"/>
        </w:rPr>
        <w:t xml:space="preserve">, 254 F.3d 289, 293 (D.C. Cir. 2001); </w:t>
      </w:r>
      <w:r w:rsidRPr="00665B5A">
        <w:rPr>
          <w:i/>
          <w:szCs w:val="26"/>
          <w:lang w:val="nb-NO"/>
        </w:rPr>
        <w:t>see also</w:t>
      </w:r>
      <w:r w:rsidRPr="00665B5A">
        <w:rPr>
          <w:szCs w:val="26"/>
          <w:lang w:val="nb-NO"/>
        </w:rPr>
        <w:t xml:space="preserve"> </w:t>
      </w:r>
      <w:r w:rsidRPr="000F62AE">
        <w:rPr>
          <w:i/>
          <w:szCs w:val="26"/>
        </w:rPr>
        <w:t>Composition of Proxy Groups for Determining Gas and Oil Pipeline Return on Equity</w:t>
      </w:r>
      <w:r w:rsidRPr="00665B5A">
        <w:rPr>
          <w:szCs w:val="26"/>
        </w:rPr>
        <w:t>, 123 FERC ¶ 61,048, at P 58 (2008)</w:t>
      </w:r>
      <w:r>
        <w:rPr>
          <w:szCs w:val="26"/>
        </w:rPr>
        <w:t xml:space="preserve"> (</w:t>
      </w:r>
      <w:r>
        <w:rPr>
          <w:i/>
          <w:szCs w:val="26"/>
        </w:rPr>
        <w:t>Proxy Group Policy Statement</w:t>
      </w:r>
      <w:r>
        <w:rPr>
          <w:szCs w:val="26"/>
        </w:rPr>
        <w:t>)</w:t>
      </w:r>
      <w:r w:rsidRPr="00665B5A">
        <w:rPr>
          <w:szCs w:val="26"/>
        </w:rPr>
        <w:t>.</w:t>
      </w:r>
    </w:p>
  </w:footnote>
  <w:footnote w:id="9">
    <w:p w14:paraId="2DBB0020" w14:textId="5112343B" w:rsidR="00D43D83" w:rsidRPr="00665B5A" w:rsidRDefault="00D43D83" w:rsidP="00CF0F10">
      <w:pPr>
        <w:spacing w:after="240"/>
        <w:ind w:firstLine="720"/>
        <w:rPr>
          <w:b/>
          <w:szCs w:val="26"/>
        </w:rPr>
      </w:pPr>
      <w:r w:rsidRPr="00665B5A">
        <w:rPr>
          <w:rStyle w:val="FootnoteReference"/>
        </w:rPr>
        <w:footnoteRef/>
      </w:r>
      <w:r w:rsidRPr="00665B5A">
        <w:rPr>
          <w:szCs w:val="26"/>
        </w:rPr>
        <w:t xml:space="preserve"> </w:t>
      </w:r>
      <w:r w:rsidRPr="00665B5A">
        <w:rPr>
          <w:i/>
        </w:rPr>
        <w:t>See</w:t>
      </w:r>
      <w:r w:rsidRPr="00665B5A">
        <w:t xml:space="preserve"> Opinion No. 531, 147 FERC ¶ 61,234 at P 15. </w:t>
      </w:r>
    </w:p>
  </w:footnote>
  <w:footnote w:id="10">
    <w:p w14:paraId="7A009906" w14:textId="426A8B88" w:rsidR="00D43D83" w:rsidRDefault="00D43D83" w:rsidP="00CF0F10">
      <w:pPr>
        <w:pStyle w:val="FootnoteText"/>
      </w:pPr>
      <w:r>
        <w:rPr>
          <w:rStyle w:val="FootnoteReference"/>
        </w:rPr>
        <w:footnoteRef/>
      </w:r>
      <w:r>
        <w:t xml:space="preserve"> </w:t>
      </w:r>
      <w:r>
        <w:rPr>
          <w:i/>
        </w:rPr>
        <w:t xml:space="preserve">Id. </w:t>
      </w:r>
      <w:r>
        <w:t>P 8.</w:t>
      </w:r>
    </w:p>
  </w:footnote>
  <w:footnote w:id="11">
    <w:p w14:paraId="03FB6D60" w14:textId="77777777" w:rsidR="00D43D83" w:rsidRPr="00232B2D" w:rsidRDefault="00D43D83" w:rsidP="00CF0F10">
      <w:pPr>
        <w:pStyle w:val="FootnoteText"/>
        <w:rPr>
          <w:szCs w:val="26"/>
        </w:rPr>
      </w:pPr>
      <w:r w:rsidRPr="00992E5D">
        <w:rPr>
          <w:rStyle w:val="FootnoteReference"/>
        </w:rPr>
        <w:footnoteRef/>
      </w:r>
      <w:r w:rsidRPr="00232B2D">
        <w:rPr>
          <w:szCs w:val="26"/>
        </w:rPr>
        <w:t xml:space="preserve"> </w:t>
      </w:r>
      <w:r>
        <w:rPr>
          <w:i/>
          <w:szCs w:val="26"/>
        </w:rPr>
        <w:t>See</w:t>
      </w:r>
      <w:r>
        <w:rPr>
          <w:szCs w:val="26"/>
        </w:rPr>
        <w:t xml:space="preserve">, </w:t>
      </w:r>
      <w:r>
        <w:rPr>
          <w:i/>
          <w:szCs w:val="26"/>
        </w:rPr>
        <w:t>e.g.,</w:t>
      </w:r>
      <w:r>
        <w:rPr>
          <w:szCs w:val="26"/>
        </w:rPr>
        <w:t xml:space="preserve"> </w:t>
      </w:r>
      <w:r w:rsidRPr="00F24FE6">
        <w:rPr>
          <w:i/>
          <w:szCs w:val="26"/>
        </w:rPr>
        <w:t>Portland Natural Gas Transmission Sys</w:t>
      </w:r>
      <w:r>
        <w:rPr>
          <w:i/>
          <w:szCs w:val="26"/>
        </w:rPr>
        <w:t>.</w:t>
      </w:r>
      <w:r>
        <w:rPr>
          <w:szCs w:val="26"/>
        </w:rPr>
        <w:t>, Opinion No. 510, 134 FERC ¶ 61,129, at PP 232-34 (2011).</w:t>
      </w:r>
    </w:p>
  </w:footnote>
  <w:footnote w:id="12">
    <w:p w14:paraId="5F9FA875" w14:textId="77777777" w:rsidR="00D43D83" w:rsidRDefault="00D43D83" w:rsidP="00CF0F10">
      <w:pPr>
        <w:pStyle w:val="FootnoteText"/>
      </w:pPr>
      <w:r>
        <w:rPr>
          <w:rStyle w:val="FootnoteReference"/>
        </w:rPr>
        <w:footnoteRef/>
      </w:r>
      <w:r>
        <w:t xml:space="preserve"> Opinion No. 531, 147 FERC ¶ 61,234 at P 17.</w:t>
      </w:r>
    </w:p>
  </w:footnote>
  <w:footnote w:id="13">
    <w:p w14:paraId="0B0E6D45" w14:textId="4DA6288C" w:rsidR="00D43D83" w:rsidRPr="006F4014" w:rsidRDefault="00D43D83" w:rsidP="00CF0F10">
      <w:pPr>
        <w:pStyle w:val="FootnoteText"/>
        <w:rPr>
          <w:szCs w:val="26"/>
        </w:rPr>
      </w:pPr>
      <w:r w:rsidRPr="00992E5D">
        <w:rPr>
          <w:rStyle w:val="FootnoteReference"/>
        </w:rPr>
        <w:footnoteRef/>
      </w:r>
      <w:r w:rsidRPr="006F4014">
        <w:rPr>
          <w:szCs w:val="26"/>
        </w:rPr>
        <w:t xml:space="preserve"> </w:t>
      </w:r>
      <w:r w:rsidRPr="00C27E81">
        <w:rPr>
          <w:i/>
          <w:szCs w:val="26"/>
        </w:rPr>
        <w:t>See</w:t>
      </w:r>
      <w:r>
        <w:rPr>
          <w:szCs w:val="26"/>
        </w:rPr>
        <w:t xml:space="preserve">, </w:t>
      </w:r>
      <w:r>
        <w:rPr>
          <w:i/>
          <w:szCs w:val="26"/>
        </w:rPr>
        <w:t>e.g.</w:t>
      </w:r>
      <w:r>
        <w:rPr>
          <w:szCs w:val="26"/>
        </w:rPr>
        <w:t xml:space="preserve">, </w:t>
      </w:r>
      <w:r w:rsidRPr="0034476C">
        <w:rPr>
          <w:i/>
          <w:szCs w:val="26"/>
        </w:rPr>
        <w:t>Transcon</w:t>
      </w:r>
      <w:r>
        <w:rPr>
          <w:i/>
          <w:szCs w:val="26"/>
        </w:rPr>
        <w:t>.</w:t>
      </w:r>
      <w:r w:rsidRPr="0034476C">
        <w:rPr>
          <w:i/>
          <w:szCs w:val="26"/>
        </w:rPr>
        <w:t xml:space="preserve"> Gas Pipe Line Corp</w:t>
      </w:r>
      <w:r w:rsidRPr="002229A8">
        <w:rPr>
          <w:szCs w:val="26"/>
        </w:rPr>
        <w:t>.</w:t>
      </w:r>
      <w:r>
        <w:rPr>
          <w:szCs w:val="26"/>
        </w:rPr>
        <w:t xml:space="preserve">, Opinion No. 414-B, 85 FERC            ¶ 61,323, at 62,269 &amp; n.34 (1998) (citing an article entitled “Using Analysts’ Growth Forecasts to Estimate Shareholders Required Rates of Return” in </w:t>
      </w:r>
      <w:r w:rsidRPr="00C27E81">
        <w:rPr>
          <w:i/>
          <w:szCs w:val="26"/>
        </w:rPr>
        <w:t>Financial Management</w:t>
      </w:r>
      <w:r>
        <w:rPr>
          <w:szCs w:val="26"/>
        </w:rPr>
        <w:t xml:space="preserve">, Spring 1986, pages 58-67); </w:t>
      </w:r>
      <w:r w:rsidRPr="000F62AE">
        <w:rPr>
          <w:i/>
          <w:szCs w:val="26"/>
        </w:rPr>
        <w:t>Proxy Group Policy Statement</w:t>
      </w:r>
      <w:r>
        <w:rPr>
          <w:szCs w:val="26"/>
        </w:rPr>
        <w:t xml:space="preserve">, 123 FERC ¶ 61,048 at         PP 73-77. </w:t>
      </w:r>
    </w:p>
  </w:footnote>
  <w:footnote w:id="14">
    <w:p w14:paraId="43829E99" w14:textId="4DED7B2B" w:rsidR="00D43D83" w:rsidRDefault="00D43D83" w:rsidP="00CF0F10">
      <w:pPr>
        <w:pStyle w:val="FootnoteText"/>
      </w:pPr>
      <w:r>
        <w:rPr>
          <w:rStyle w:val="FootnoteReference"/>
        </w:rPr>
        <w:footnoteRef/>
      </w:r>
      <w:r>
        <w:t xml:space="preserve"> </w:t>
      </w:r>
      <w:r w:rsidRPr="00992E5D">
        <w:rPr>
          <w:szCs w:val="26"/>
        </w:rPr>
        <w:t>68 FERC ¶ 61,032 (1994) (</w:t>
      </w:r>
      <w:r w:rsidRPr="00992E5D">
        <w:rPr>
          <w:i/>
          <w:szCs w:val="26"/>
        </w:rPr>
        <w:t>Ozark</w:t>
      </w:r>
      <w:r w:rsidRPr="00992E5D">
        <w:rPr>
          <w:szCs w:val="26"/>
        </w:rPr>
        <w:t>)</w:t>
      </w:r>
      <w:r>
        <w:rPr>
          <w:szCs w:val="26"/>
        </w:rPr>
        <w:t>.</w:t>
      </w:r>
    </w:p>
  </w:footnote>
  <w:footnote w:id="15">
    <w:p w14:paraId="050B25B5" w14:textId="556C982D" w:rsidR="00D43D83" w:rsidRPr="003A4E8B" w:rsidRDefault="00D43D83" w:rsidP="00CF0F10">
      <w:pPr>
        <w:pStyle w:val="FootnoteText"/>
        <w:rPr>
          <w:szCs w:val="26"/>
        </w:rPr>
      </w:pPr>
      <w:r w:rsidRPr="00992E5D">
        <w:rPr>
          <w:rStyle w:val="FootnoteReference"/>
        </w:rPr>
        <w:footnoteRef/>
      </w:r>
      <w:r w:rsidRPr="00D939AC">
        <w:rPr>
          <w:i/>
          <w:szCs w:val="26"/>
        </w:rPr>
        <w:t xml:space="preserve"> </w:t>
      </w:r>
      <w:r>
        <w:rPr>
          <w:i/>
          <w:szCs w:val="26"/>
        </w:rPr>
        <w:t>Id.</w:t>
      </w:r>
      <w:r w:rsidRPr="00D939AC">
        <w:rPr>
          <w:szCs w:val="26"/>
        </w:rPr>
        <w:t xml:space="preserve"> at 61,105</w:t>
      </w:r>
      <w:r w:rsidRPr="00D939AC">
        <w:rPr>
          <w:i/>
          <w:szCs w:val="26"/>
        </w:rPr>
        <w:t>.</w:t>
      </w:r>
      <w:r>
        <w:rPr>
          <w:i/>
          <w:szCs w:val="26"/>
        </w:rPr>
        <w:t xml:space="preserve">  </w:t>
      </w:r>
      <w:r>
        <w:rPr>
          <w:szCs w:val="26"/>
        </w:rPr>
        <w:t xml:space="preserve">The Commission chose 50 years to represent the indefinite future because the present value of a one-dollar dividend received 50 years in the future and discounted at 12 percent is less than one cent.  </w:t>
      </w:r>
      <w:r>
        <w:rPr>
          <w:i/>
          <w:szCs w:val="26"/>
        </w:rPr>
        <w:t>Id.</w:t>
      </w:r>
      <w:r>
        <w:rPr>
          <w:szCs w:val="26"/>
        </w:rPr>
        <w:t xml:space="preserve"> at n.32.</w:t>
      </w:r>
    </w:p>
  </w:footnote>
  <w:footnote w:id="16">
    <w:p w14:paraId="17B2473B" w14:textId="77777777" w:rsidR="00D43D83" w:rsidRPr="00180485" w:rsidRDefault="00D43D83" w:rsidP="00CF0F10">
      <w:pPr>
        <w:pStyle w:val="FootnoteText"/>
        <w:rPr>
          <w:szCs w:val="26"/>
        </w:rPr>
      </w:pPr>
      <w:r w:rsidRPr="00992E5D">
        <w:rPr>
          <w:rStyle w:val="FootnoteReference"/>
        </w:rPr>
        <w:footnoteRef/>
      </w:r>
      <w:r w:rsidRPr="002546F5">
        <w:rPr>
          <w:szCs w:val="26"/>
        </w:rPr>
        <w:t xml:space="preserve"> </w:t>
      </w:r>
      <w:r>
        <w:rPr>
          <w:szCs w:val="26"/>
        </w:rPr>
        <w:t xml:space="preserve">Opinion No. 396-B, 79 FERC at 62,382-83, </w:t>
      </w:r>
      <w:r w:rsidRPr="0030541C">
        <w:rPr>
          <w:i/>
          <w:szCs w:val="26"/>
        </w:rPr>
        <w:t>reh’g denied</w:t>
      </w:r>
      <w:r>
        <w:rPr>
          <w:szCs w:val="26"/>
        </w:rPr>
        <w:t>, Opinion No. 396-C, 81 FERC ¶ 61,036 (1997).</w:t>
      </w:r>
    </w:p>
  </w:footnote>
  <w:footnote w:id="17">
    <w:p w14:paraId="2D6357EF" w14:textId="77777777" w:rsidR="00D43D83" w:rsidRPr="006B6D3B" w:rsidRDefault="00D43D83" w:rsidP="00CF0F10">
      <w:pPr>
        <w:pStyle w:val="FootnoteText"/>
        <w:rPr>
          <w:i/>
          <w:szCs w:val="26"/>
        </w:rPr>
      </w:pPr>
      <w:r w:rsidRPr="00992E5D">
        <w:rPr>
          <w:rStyle w:val="FootnoteReference"/>
        </w:rPr>
        <w:footnoteRef/>
      </w:r>
      <w:r>
        <w:t xml:space="preserve"> </w:t>
      </w:r>
      <w:r w:rsidRPr="00556D5A">
        <w:rPr>
          <w:i/>
          <w:szCs w:val="26"/>
        </w:rPr>
        <w:t>Id.</w:t>
      </w:r>
    </w:p>
  </w:footnote>
  <w:footnote w:id="18">
    <w:p w14:paraId="573139D3" w14:textId="3A370F42" w:rsidR="00D43D83" w:rsidRPr="0035737E" w:rsidRDefault="00D43D83" w:rsidP="00CF0F10">
      <w:pPr>
        <w:pStyle w:val="FootnoteText"/>
        <w:rPr>
          <w:szCs w:val="26"/>
        </w:rPr>
      </w:pPr>
      <w:r w:rsidRPr="00992E5D">
        <w:rPr>
          <w:rStyle w:val="FootnoteReference"/>
        </w:rPr>
        <w:footnoteRef/>
      </w:r>
      <w:r w:rsidRPr="0035737E">
        <w:rPr>
          <w:szCs w:val="26"/>
        </w:rPr>
        <w:t xml:space="preserve"> </w:t>
      </w:r>
      <w:r>
        <w:rPr>
          <w:i/>
          <w:szCs w:val="26"/>
        </w:rPr>
        <w:t>Williston Basin Interstate Pipeline Co., v. FERC</w:t>
      </w:r>
      <w:r>
        <w:rPr>
          <w:szCs w:val="26"/>
        </w:rPr>
        <w:t>, 165 F.3d 54, 64 (D.C. Cir. 1999)</w:t>
      </w:r>
      <w:r w:rsidRPr="00992E5D">
        <w:t>, finding</w:t>
      </w:r>
      <w:r w:rsidRPr="00992E5D">
        <w:rPr>
          <w:szCs w:val="26"/>
        </w:rPr>
        <w:t xml:space="preserve"> that “[t]he testimony adduced at the hearing demonstrated that major investment houses used an economy-wide approach to project long-term growth, that such an approach was supported by practical economic considerations, and that existing industry-specific approaches imperfectly reflected investor expectations and made unfounded economic assumptions.”</w:t>
      </w:r>
      <w:r>
        <w:rPr>
          <w:szCs w:val="26"/>
        </w:rPr>
        <w:t xml:space="preserve">  Nonetheless, finding the record evidence inadequate to support the Commission’s use of certain GDP data, the court remanded the case for further proceedings on this issue.  Subsequently, the Commission has used an average of three GDP growth projections. </w:t>
      </w:r>
    </w:p>
  </w:footnote>
  <w:footnote w:id="19">
    <w:p w14:paraId="168430DE" w14:textId="32E7EC4B" w:rsidR="00D43D83" w:rsidRPr="004C76F1" w:rsidRDefault="00D43D83" w:rsidP="00CF0F10">
      <w:pPr>
        <w:pStyle w:val="FootnoteText"/>
        <w:rPr>
          <w:szCs w:val="26"/>
        </w:rPr>
      </w:pPr>
      <w:r w:rsidRPr="00992E5D">
        <w:rPr>
          <w:rStyle w:val="FootnoteReference"/>
        </w:rPr>
        <w:footnoteRef/>
      </w:r>
      <w:r w:rsidRPr="004C76F1">
        <w:rPr>
          <w:szCs w:val="26"/>
        </w:rPr>
        <w:t xml:space="preserve"> </w:t>
      </w:r>
      <w:r>
        <w:rPr>
          <w:szCs w:val="26"/>
        </w:rPr>
        <w:t xml:space="preserve">Opinion No. 396-B, 79 FERC at 62,383, </w:t>
      </w:r>
      <w:r w:rsidRPr="0030541C">
        <w:rPr>
          <w:i/>
          <w:szCs w:val="26"/>
        </w:rPr>
        <w:t>reh’g denied</w:t>
      </w:r>
      <w:r>
        <w:rPr>
          <w:szCs w:val="26"/>
        </w:rPr>
        <w:t>, Opinion No. 396-C,      81 FERC ¶ 61,036.</w:t>
      </w:r>
    </w:p>
  </w:footnote>
  <w:footnote w:id="20">
    <w:p w14:paraId="685366A0" w14:textId="77777777" w:rsidR="00D43D83" w:rsidRPr="004A0380" w:rsidRDefault="00D43D83" w:rsidP="00CF0F10">
      <w:pPr>
        <w:pStyle w:val="FootnoteText"/>
        <w:rPr>
          <w:szCs w:val="26"/>
        </w:rPr>
      </w:pPr>
      <w:r w:rsidRPr="00992E5D">
        <w:rPr>
          <w:rStyle w:val="FootnoteReference"/>
        </w:rPr>
        <w:footnoteRef/>
      </w:r>
      <w:r w:rsidRPr="004A0380">
        <w:rPr>
          <w:szCs w:val="26"/>
        </w:rPr>
        <w:t xml:space="preserve"> </w:t>
      </w:r>
      <w:r>
        <w:rPr>
          <w:szCs w:val="26"/>
        </w:rPr>
        <w:t>Opinion No. 414-A, 84 FERC at 61,423-24.</w:t>
      </w:r>
    </w:p>
  </w:footnote>
  <w:footnote w:id="21">
    <w:p w14:paraId="6294E7E2" w14:textId="4503E05A" w:rsidR="00D43D83" w:rsidRPr="00D22F0C" w:rsidRDefault="00D43D83" w:rsidP="00CF0F10">
      <w:pPr>
        <w:pStyle w:val="FootnoteText"/>
        <w:rPr>
          <w:szCs w:val="26"/>
        </w:rPr>
      </w:pPr>
      <w:r w:rsidRPr="00992E5D">
        <w:rPr>
          <w:rStyle w:val="FootnoteReference"/>
        </w:rPr>
        <w:footnoteRef/>
      </w:r>
      <w:r w:rsidRPr="00D22F0C">
        <w:rPr>
          <w:szCs w:val="26"/>
        </w:rPr>
        <w:t xml:space="preserve"> </w:t>
      </w:r>
      <w:r>
        <w:rPr>
          <w:i/>
          <w:szCs w:val="26"/>
        </w:rPr>
        <w:t>Canadian Ass’</w:t>
      </w:r>
      <w:r w:rsidRPr="00CE6DBB">
        <w:rPr>
          <w:i/>
          <w:szCs w:val="26"/>
        </w:rPr>
        <w:t xml:space="preserve">n </w:t>
      </w:r>
      <w:r>
        <w:rPr>
          <w:i/>
          <w:szCs w:val="26"/>
        </w:rPr>
        <w:t>of Petroleum Producers v. FER</w:t>
      </w:r>
      <w:r w:rsidRPr="00CE6DBB">
        <w:rPr>
          <w:i/>
          <w:szCs w:val="26"/>
        </w:rPr>
        <w:t>C</w:t>
      </w:r>
      <w:r w:rsidRPr="00CE6DBB">
        <w:rPr>
          <w:szCs w:val="26"/>
        </w:rPr>
        <w:t xml:space="preserve">, 254 F.3d </w:t>
      </w:r>
      <w:r>
        <w:rPr>
          <w:szCs w:val="26"/>
        </w:rPr>
        <w:t xml:space="preserve">at 297.  </w:t>
      </w:r>
      <w:r w:rsidRPr="00992E5D">
        <w:t>Since Opinion No. 414-A, the Commission has made no changes in its two-step DCF methodology used for natural gas and oil pipelines, except to require that, if a master limited partnership (MLP) is included in the proxy group, its long-term growth rate should be one-half the GDP growth estimate.</w:t>
      </w:r>
      <w:r w:rsidRPr="00B82265">
        <w:rPr>
          <w:i/>
          <w:szCs w:val="26"/>
        </w:rPr>
        <w:t xml:space="preserve"> </w:t>
      </w:r>
      <w:r>
        <w:rPr>
          <w:i/>
          <w:szCs w:val="26"/>
        </w:rPr>
        <w:t xml:space="preserve"> </w:t>
      </w:r>
      <w:r w:rsidRPr="00FE0789">
        <w:rPr>
          <w:i/>
          <w:szCs w:val="26"/>
        </w:rPr>
        <w:t>Proxy Group Policy Statement</w:t>
      </w:r>
      <w:r w:rsidRPr="00FE0789">
        <w:rPr>
          <w:szCs w:val="26"/>
        </w:rPr>
        <w:t>, 123 FERC ¶</w:t>
      </w:r>
      <w:r>
        <w:rPr>
          <w:szCs w:val="26"/>
        </w:rPr>
        <w:t xml:space="preserve"> </w:t>
      </w:r>
      <w:r w:rsidRPr="00FE0789">
        <w:rPr>
          <w:szCs w:val="26"/>
        </w:rPr>
        <w:t>61,048</w:t>
      </w:r>
      <w:r>
        <w:rPr>
          <w:szCs w:val="26"/>
        </w:rPr>
        <w:t xml:space="preserve"> at P 106.  </w:t>
      </w:r>
      <w:r w:rsidRPr="00992E5D">
        <w:t>The Commission explained that MLPs have less growth potential than corporations, because they generally distribute to partners an amount in excess of their reported earnings.</w:t>
      </w:r>
      <w:r>
        <w:t xml:space="preserve"> </w:t>
      </w:r>
      <w:r w:rsidRPr="00B82265">
        <w:rPr>
          <w:i/>
          <w:szCs w:val="26"/>
        </w:rPr>
        <w:t xml:space="preserve"> </w:t>
      </w:r>
      <w:r w:rsidRPr="00367592">
        <w:rPr>
          <w:i/>
          <w:szCs w:val="26"/>
        </w:rPr>
        <w:t>Id.</w:t>
      </w:r>
      <w:r>
        <w:rPr>
          <w:szCs w:val="26"/>
        </w:rPr>
        <w:t xml:space="preserve"> P 12</w:t>
      </w:r>
      <w:r w:rsidRPr="006D52B4">
        <w:rPr>
          <w:szCs w:val="26"/>
        </w:rPr>
        <w:t>.</w:t>
      </w:r>
    </w:p>
  </w:footnote>
  <w:footnote w:id="22">
    <w:p w14:paraId="0590A831" w14:textId="0151239F" w:rsidR="00D43D83" w:rsidRPr="001C4095" w:rsidRDefault="00D43D83" w:rsidP="00CF0F10">
      <w:pPr>
        <w:pStyle w:val="FootnoteText"/>
        <w:rPr>
          <w:szCs w:val="26"/>
        </w:rPr>
      </w:pPr>
      <w:r w:rsidRPr="001C4095">
        <w:rPr>
          <w:rStyle w:val="FootnoteReference"/>
        </w:rPr>
        <w:footnoteRef/>
      </w:r>
      <w:r w:rsidRPr="001C4095">
        <w:rPr>
          <w:szCs w:val="26"/>
        </w:rPr>
        <w:t xml:space="preserve"> </w:t>
      </w:r>
      <w:r w:rsidRPr="00804F91">
        <w:rPr>
          <w:i/>
          <w:szCs w:val="26"/>
        </w:rPr>
        <w:t>See</w:t>
      </w:r>
      <w:r>
        <w:rPr>
          <w:szCs w:val="26"/>
        </w:rPr>
        <w:t xml:space="preserve"> </w:t>
      </w:r>
      <w:r w:rsidRPr="001C4095">
        <w:rPr>
          <w:szCs w:val="26"/>
        </w:rPr>
        <w:t xml:space="preserve">Opinion No. 531, 147 FERC ¶ 61,234 at PP </w:t>
      </w:r>
      <w:r>
        <w:rPr>
          <w:szCs w:val="26"/>
        </w:rPr>
        <w:t>24-31 (describing the one-step method)</w:t>
      </w:r>
      <w:r w:rsidRPr="001C4095">
        <w:rPr>
          <w:szCs w:val="26"/>
        </w:rPr>
        <w:t xml:space="preserve">. </w:t>
      </w:r>
    </w:p>
  </w:footnote>
  <w:footnote w:id="23">
    <w:p w14:paraId="1991002C" w14:textId="3FE80DE4" w:rsidR="00D43D83" w:rsidRDefault="00D43D83" w:rsidP="00CF0F10">
      <w:pPr>
        <w:pStyle w:val="FootnoteText"/>
      </w:pPr>
      <w:r w:rsidRPr="00992E5D">
        <w:rPr>
          <w:rStyle w:val="FootnoteReference"/>
        </w:rPr>
        <w:footnoteRef/>
      </w:r>
      <w:r>
        <w:t xml:space="preserve"> Opinion No. 445, 92 FERC at 61,261-62.</w:t>
      </w:r>
    </w:p>
  </w:footnote>
  <w:footnote w:id="24">
    <w:p w14:paraId="6AC05D71" w14:textId="77777777" w:rsidR="00D43D83" w:rsidRDefault="00D43D83" w:rsidP="00CF0F10">
      <w:pPr>
        <w:pStyle w:val="FootnoteText"/>
      </w:pPr>
      <w:r>
        <w:rPr>
          <w:rStyle w:val="FootnoteReference"/>
        </w:rPr>
        <w:footnoteRef/>
      </w:r>
      <w:r>
        <w:t xml:space="preserve"> </w:t>
      </w:r>
      <w:r w:rsidRPr="001C4095">
        <w:rPr>
          <w:szCs w:val="26"/>
        </w:rPr>
        <w:t xml:space="preserve">Opinion No. 531, 147 FERC ¶ 61,234 at PP </w:t>
      </w:r>
      <w:r>
        <w:rPr>
          <w:szCs w:val="26"/>
        </w:rPr>
        <w:t>35-36.</w:t>
      </w:r>
    </w:p>
  </w:footnote>
  <w:footnote w:id="25">
    <w:p w14:paraId="70CDA080" w14:textId="77777777" w:rsidR="00D43D83" w:rsidRDefault="00D43D83" w:rsidP="00CF0F10">
      <w:pPr>
        <w:pStyle w:val="FootnoteText"/>
      </w:pPr>
      <w:r w:rsidRPr="00992E5D">
        <w:rPr>
          <w:rStyle w:val="FootnoteReference"/>
        </w:rPr>
        <w:footnoteRef/>
      </w:r>
      <w:r>
        <w:t xml:space="preserve"> Incorporating a long-term growth estimate in the DCF methodology is consistent with the underlying theory of the constant growth DCF model because</w:t>
      </w:r>
    </w:p>
    <w:p w14:paraId="1B933049" w14:textId="77777777" w:rsidR="00D43D83" w:rsidRDefault="00D43D83" w:rsidP="00C431E3">
      <w:pPr>
        <w:pStyle w:val="FootnoteText"/>
        <w:ind w:left="720" w:right="1440" w:firstLine="0"/>
        <w:jc w:val="both"/>
      </w:pPr>
      <w:r>
        <w:t>from the standpoint of the DCF model that extends into perpetuity, analysts’ horizons are too short, typically five years.  It is often unrealistic for such growth to continue in perpetuity.  A transition must occur between the first stage of growth forecast by analysts for the first five years and the company’s long-term sustainable growth rate. . . . It is useful to remember that eventually all company growth rates, especially utility services growth rates, converge to a level consistent with the growth rate of the aggregate economy.</w:t>
      </w:r>
    </w:p>
    <w:p w14:paraId="78B015A4" w14:textId="03EB965E" w:rsidR="00D43D83" w:rsidRDefault="00D43D83" w:rsidP="00CF0F10">
      <w:pPr>
        <w:pStyle w:val="FootnoteText"/>
        <w:ind w:firstLine="0"/>
      </w:pPr>
      <w:r>
        <w:t xml:space="preserve">Roger A. Morin, New Regulatory Finance 308 (Public Utilities Reports, Inc. 2006) (Morin). </w:t>
      </w:r>
    </w:p>
  </w:footnote>
  <w:footnote w:id="26">
    <w:p w14:paraId="163B2C77" w14:textId="77777777" w:rsidR="00D43D83" w:rsidRDefault="00D43D83" w:rsidP="00CF0F10">
      <w:pPr>
        <w:pStyle w:val="FootnoteText"/>
      </w:pPr>
      <w:r w:rsidRPr="00992E5D">
        <w:rPr>
          <w:rStyle w:val="FootnoteReference"/>
        </w:rPr>
        <w:footnoteRef/>
      </w:r>
      <w:r>
        <w:t xml:space="preserve"> </w:t>
      </w:r>
      <w:r w:rsidRPr="00367592">
        <w:rPr>
          <w:i/>
        </w:rPr>
        <w:t xml:space="preserve">See </w:t>
      </w:r>
      <w:r w:rsidRPr="001C4095">
        <w:rPr>
          <w:szCs w:val="26"/>
        </w:rPr>
        <w:t xml:space="preserve">Opinion </w:t>
      </w:r>
      <w:r>
        <w:rPr>
          <w:szCs w:val="26"/>
        </w:rPr>
        <w:t>No. 531, 147 FERC ¶ 61,234 at P</w:t>
      </w:r>
      <w:r w:rsidRPr="001C4095">
        <w:rPr>
          <w:szCs w:val="26"/>
        </w:rPr>
        <w:t xml:space="preserve"> </w:t>
      </w:r>
      <w:r>
        <w:rPr>
          <w:szCs w:val="26"/>
        </w:rPr>
        <w:t>40.</w:t>
      </w:r>
    </w:p>
  </w:footnote>
  <w:footnote w:id="27">
    <w:p w14:paraId="77259CAE" w14:textId="7DD78A2D" w:rsidR="00D43D83" w:rsidRDefault="00D43D83" w:rsidP="00CF0F10">
      <w:pPr>
        <w:pStyle w:val="FootnoteText"/>
      </w:pPr>
      <w:r>
        <w:rPr>
          <w:rStyle w:val="FootnoteReference"/>
        </w:rPr>
        <w:footnoteRef/>
      </w:r>
      <w:r>
        <w:t xml:space="preserve"> </w:t>
      </w:r>
      <w:r>
        <w:rPr>
          <w:i/>
        </w:rPr>
        <w:t>Ass’n of Businesses Advocating Tariff Equity v. Midcontinent Indep. Sys. Operator, Inc.</w:t>
      </w:r>
      <w:r w:rsidRPr="00B0098A">
        <w:t xml:space="preserve">, </w:t>
      </w:r>
      <w:r>
        <w:t>156 FERC ¶ 61,234 (2016).</w:t>
      </w:r>
    </w:p>
  </w:footnote>
  <w:footnote w:id="28">
    <w:p w14:paraId="10E63E7A" w14:textId="2A19E3F6" w:rsidR="00D43D83" w:rsidRPr="006F4B54" w:rsidRDefault="00D43D83" w:rsidP="001225A4">
      <w:pPr>
        <w:pStyle w:val="FootnoteText"/>
      </w:pPr>
      <w:r w:rsidRPr="006F4B54">
        <w:rPr>
          <w:rStyle w:val="FootnoteReference"/>
        </w:rPr>
        <w:footnoteRef/>
      </w:r>
      <w:r w:rsidRPr="006F4B54">
        <w:t xml:space="preserve"> </w:t>
      </w:r>
      <w:r>
        <w:t>Morin at</w:t>
      </w:r>
      <w:r w:rsidRPr="006F4B54">
        <w:t xml:space="preserve"> </w:t>
      </w:r>
      <w:r>
        <w:t>146-</w:t>
      </w:r>
      <w:r w:rsidRPr="006F4B54">
        <w:t>147.</w:t>
      </w:r>
    </w:p>
  </w:footnote>
  <w:footnote w:id="29">
    <w:p w14:paraId="6BF7816B" w14:textId="3E4B0E96" w:rsidR="00D43D83" w:rsidRPr="006F4B54" w:rsidRDefault="00D43D83" w:rsidP="001225A4">
      <w:pPr>
        <w:pStyle w:val="FootnoteText"/>
      </w:pPr>
      <w:r w:rsidRPr="006F4B54">
        <w:rPr>
          <w:rStyle w:val="FootnoteReference"/>
        </w:rPr>
        <w:footnoteRef/>
      </w:r>
      <w:r w:rsidRPr="006F4B54">
        <w:t xml:space="preserve"> </w:t>
      </w:r>
      <w:r w:rsidRPr="00804F91">
        <w:rPr>
          <w:i/>
        </w:rPr>
        <w:t>Id</w:t>
      </w:r>
      <w:r>
        <w:t>.</w:t>
      </w:r>
      <w:r w:rsidRPr="006F4B54">
        <w:t xml:space="preserve"> </w:t>
      </w:r>
      <w:r>
        <w:t>at</w:t>
      </w:r>
      <w:r w:rsidRPr="006F4B54">
        <w:t xml:space="preserve"> 150.</w:t>
      </w:r>
    </w:p>
  </w:footnote>
  <w:footnote w:id="30">
    <w:p w14:paraId="112CE16E"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151.</w:t>
      </w:r>
    </w:p>
  </w:footnote>
  <w:footnote w:id="31">
    <w:p w14:paraId="01D100AC"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155-162.</w:t>
      </w:r>
    </w:p>
  </w:footnote>
  <w:footnote w:id="32">
    <w:p w14:paraId="4A137371"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155-156.</w:t>
      </w:r>
    </w:p>
  </w:footnote>
  <w:footnote w:id="33">
    <w:p w14:paraId="67408F4A" w14:textId="77777777" w:rsidR="00D43D83" w:rsidRPr="006F4B54" w:rsidRDefault="00D43D83" w:rsidP="001225A4">
      <w:pPr>
        <w:pStyle w:val="FootnoteText"/>
      </w:pPr>
      <w:r w:rsidRPr="006F4B54">
        <w:rPr>
          <w:rStyle w:val="FootnoteReference"/>
        </w:rPr>
        <w:footnoteRef/>
      </w:r>
      <w:r w:rsidRPr="006F4B54">
        <w:t xml:space="preserve"> </w:t>
      </w:r>
      <w:r w:rsidRPr="006F4B54">
        <w:rPr>
          <w:i/>
        </w:rPr>
        <w:t>Id.</w:t>
      </w:r>
      <w:r w:rsidRPr="006F4B54">
        <w:t xml:space="preserve"> at 159-160.</w:t>
      </w:r>
    </w:p>
  </w:footnote>
  <w:footnote w:id="34">
    <w:p w14:paraId="1DB6B5FD" w14:textId="47DE2750" w:rsidR="00D43D83" w:rsidRPr="006F4B54" w:rsidRDefault="00D43D83" w:rsidP="00A56053">
      <w:pPr>
        <w:pStyle w:val="FootnoteText"/>
      </w:pPr>
      <w:r w:rsidRPr="006F4B54">
        <w:rPr>
          <w:rStyle w:val="FootnoteReference"/>
        </w:rPr>
        <w:footnoteRef/>
      </w:r>
      <w:r>
        <w:t xml:space="preserve"> </w:t>
      </w:r>
      <w:r w:rsidRPr="00CE6DBB">
        <w:rPr>
          <w:i/>
        </w:rPr>
        <w:t>I</w:t>
      </w:r>
      <w:r w:rsidRPr="006836E5">
        <w:rPr>
          <w:i/>
        </w:rPr>
        <w:t>d.</w:t>
      </w:r>
      <w:r w:rsidRPr="006836E5">
        <w:t xml:space="preserve"> at 150, 155</w:t>
      </w:r>
      <w:r>
        <w:t>.</w:t>
      </w:r>
    </w:p>
  </w:footnote>
  <w:footnote w:id="35">
    <w:p w14:paraId="41B1FF1F" w14:textId="0C16B889" w:rsidR="00D43D83" w:rsidRDefault="00D43D83">
      <w:pPr>
        <w:pStyle w:val="FootnoteText"/>
      </w:pPr>
      <w:r>
        <w:rPr>
          <w:rStyle w:val="FootnoteReference"/>
        </w:rPr>
        <w:footnoteRef/>
      </w:r>
      <w:r>
        <w:t xml:space="preserve"> </w:t>
      </w:r>
      <w:r>
        <w:rPr>
          <w:i/>
        </w:rPr>
        <w:t xml:space="preserve">See </w:t>
      </w:r>
      <w:r w:rsidRPr="00471945">
        <w:t>Opinion No. 531-B</w:t>
      </w:r>
      <w:r>
        <w:t xml:space="preserve">, </w:t>
      </w:r>
      <w:r w:rsidRPr="006F4B54">
        <w:t xml:space="preserve">150 FERC ¶ 61,165 </w:t>
      </w:r>
      <w:r w:rsidRPr="00471945">
        <w:t>at P</w:t>
      </w:r>
      <w:r w:rsidRPr="00471945">
        <w:rPr>
          <w:i/>
        </w:rPr>
        <w:t xml:space="preserve"> </w:t>
      </w:r>
      <w:r>
        <w:t>125.</w:t>
      </w:r>
    </w:p>
  </w:footnote>
  <w:footnote w:id="36">
    <w:p w14:paraId="23E7E853" w14:textId="4123CCF4" w:rsidR="00D43D83" w:rsidRDefault="00D43D83">
      <w:pPr>
        <w:pStyle w:val="FootnoteText"/>
      </w:pPr>
      <w:r>
        <w:rPr>
          <w:rStyle w:val="FootnoteReference"/>
        </w:rPr>
        <w:footnoteRef/>
      </w:r>
      <w:r>
        <w:t xml:space="preserve"> </w:t>
      </w:r>
      <w:r w:rsidRPr="0021499B">
        <w:rPr>
          <w:i/>
        </w:rPr>
        <w:t>Id.</w:t>
      </w:r>
      <w:r>
        <w:t xml:space="preserve"> P 128.</w:t>
      </w:r>
    </w:p>
  </w:footnote>
  <w:footnote w:id="37">
    <w:p w14:paraId="5015F6C3" w14:textId="1786D51F" w:rsidR="00D43D83" w:rsidRDefault="00D43D83">
      <w:pPr>
        <w:pStyle w:val="FootnoteText"/>
      </w:pPr>
      <w:r>
        <w:rPr>
          <w:rStyle w:val="FootnoteReference"/>
        </w:rPr>
        <w:footnoteRef/>
      </w:r>
      <w:r>
        <w:t xml:space="preserve"> </w:t>
      </w:r>
      <w:r w:rsidRPr="00921EB0">
        <w:rPr>
          <w:szCs w:val="26"/>
        </w:rPr>
        <w:t>Opinion</w:t>
      </w:r>
      <w:r>
        <w:rPr>
          <w:szCs w:val="26"/>
        </w:rPr>
        <w:t xml:space="preserve"> No. 531, 147 FERC ¶ 61,234 at P 147 (citing </w:t>
      </w:r>
      <w:r>
        <w:t>Morin at 108).</w:t>
      </w:r>
    </w:p>
  </w:footnote>
  <w:footnote w:id="38">
    <w:p w14:paraId="360EB3E9" w14:textId="6A849652" w:rsidR="00D43D83" w:rsidRDefault="00D43D83">
      <w:pPr>
        <w:pStyle w:val="FootnoteText"/>
      </w:pPr>
      <w:r>
        <w:rPr>
          <w:rStyle w:val="FootnoteReference"/>
        </w:rPr>
        <w:footnoteRef/>
      </w:r>
      <w:r>
        <w:t xml:space="preserve"> </w:t>
      </w:r>
      <w:r w:rsidRPr="006F4B54">
        <w:rPr>
          <w:i/>
        </w:rPr>
        <w:t>See generally</w:t>
      </w:r>
      <w:r w:rsidRPr="006F4B54">
        <w:t xml:space="preserve"> Morin </w:t>
      </w:r>
      <w:r>
        <w:t xml:space="preserve">at </w:t>
      </w:r>
      <w:r w:rsidRPr="006F4B54">
        <w:t>107-130.</w:t>
      </w:r>
    </w:p>
  </w:footnote>
  <w:footnote w:id="39">
    <w:p w14:paraId="5417AAB8" w14:textId="33F8D382" w:rsidR="00D43D83" w:rsidRDefault="00D43D83">
      <w:pPr>
        <w:pStyle w:val="FootnoteText"/>
      </w:pPr>
      <w:r>
        <w:rPr>
          <w:rStyle w:val="FootnoteReference"/>
        </w:rPr>
        <w:footnoteRef/>
      </w:r>
      <w:r>
        <w:t xml:space="preserve"> </w:t>
      </w:r>
      <w:r w:rsidRPr="006F4B54">
        <w:rPr>
          <w:i/>
        </w:rPr>
        <w:t>Id.</w:t>
      </w:r>
      <w:r w:rsidRPr="006F4B54">
        <w:t xml:space="preserve"> at 110.</w:t>
      </w:r>
    </w:p>
  </w:footnote>
  <w:footnote w:id="40">
    <w:p w14:paraId="79114213" w14:textId="315A84B8" w:rsidR="00D43D83" w:rsidRDefault="00D43D83">
      <w:pPr>
        <w:pStyle w:val="FootnoteText"/>
      </w:pPr>
      <w:r>
        <w:rPr>
          <w:rStyle w:val="FootnoteReference"/>
        </w:rPr>
        <w:footnoteRef/>
      </w:r>
      <w:r>
        <w:t xml:space="preserve"> </w:t>
      </w:r>
      <w:r w:rsidRPr="006F4B54">
        <w:rPr>
          <w:i/>
        </w:rPr>
        <w:t>Id.</w:t>
      </w:r>
      <w:r>
        <w:t xml:space="preserve"> at 123.</w:t>
      </w:r>
    </w:p>
  </w:footnote>
  <w:footnote w:id="41">
    <w:p w14:paraId="78F8BC0A" w14:textId="77777777" w:rsidR="00D43D83" w:rsidRPr="00665B5A" w:rsidRDefault="00D43D83" w:rsidP="00CF0F10">
      <w:pPr>
        <w:pStyle w:val="FootnoteText"/>
      </w:pPr>
      <w:r w:rsidRPr="00665B5A">
        <w:rPr>
          <w:rStyle w:val="FootnoteReference"/>
        </w:rPr>
        <w:footnoteRef/>
      </w:r>
      <w:r w:rsidRPr="00665B5A">
        <w:t xml:space="preserve"> </w:t>
      </w:r>
      <w:r w:rsidRPr="00665B5A">
        <w:rPr>
          <w:i/>
          <w:iCs/>
        </w:rPr>
        <w:t xml:space="preserve">Hope, </w:t>
      </w:r>
      <w:r w:rsidRPr="00665B5A">
        <w:t xml:space="preserve">320 U.S. 591; </w:t>
      </w:r>
      <w:r w:rsidRPr="00665B5A">
        <w:rPr>
          <w:i/>
          <w:iCs/>
        </w:rPr>
        <w:t xml:space="preserve">Bluefield, </w:t>
      </w:r>
      <w:r w:rsidRPr="00665B5A">
        <w:t>262 U.S. 679.</w:t>
      </w:r>
    </w:p>
  </w:footnote>
  <w:footnote w:id="42">
    <w:p w14:paraId="7952BD25" w14:textId="77777777" w:rsidR="00D43D83" w:rsidRDefault="00D43D83" w:rsidP="00CF0F10">
      <w:pPr>
        <w:pStyle w:val="FootnoteText"/>
      </w:pPr>
      <w:r>
        <w:rPr>
          <w:rStyle w:val="FootnoteReference"/>
        </w:rPr>
        <w:footnoteRef/>
      </w:r>
      <w:r>
        <w:t xml:space="preserve"> Opinion No. 531, 147 FERC ¶ 61,234 at P 145.</w:t>
      </w:r>
    </w:p>
  </w:footnote>
  <w:footnote w:id="43">
    <w:p w14:paraId="762F3BD5" w14:textId="7A7167A0" w:rsidR="00D43D83" w:rsidRDefault="00D43D83" w:rsidP="00CF0F10">
      <w:pPr>
        <w:pStyle w:val="FootnoteText"/>
      </w:pPr>
      <w:r>
        <w:rPr>
          <w:rStyle w:val="FootnoteReference"/>
        </w:rPr>
        <w:footnoteRef/>
      </w:r>
      <w:r>
        <w:t xml:space="preserve"> </w:t>
      </w:r>
      <w:r>
        <w:rPr>
          <w:i/>
        </w:rPr>
        <w:t>Id.</w:t>
      </w:r>
      <w:r>
        <w:t xml:space="preserve"> PP 151-152; Opinion No. 551, 156 FERC ¶ 61,234 at PP 275-276.</w:t>
      </w:r>
    </w:p>
  </w:footnote>
  <w:footnote w:id="44">
    <w:p w14:paraId="0D176347" w14:textId="77777777" w:rsidR="00D43D83" w:rsidRPr="00665B5A" w:rsidRDefault="00D43D83" w:rsidP="00CF0F10">
      <w:pPr>
        <w:spacing w:after="240"/>
        <w:ind w:firstLine="720"/>
      </w:pPr>
      <w:r w:rsidRPr="00665B5A">
        <w:rPr>
          <w:rStyle w:val="FootnoteReference"/>
        </w:rPr>
        <w:footnoteRef/>
      </w:r>
      <w:r w:rsidRPr="00665B5A">
        <w:rPr>
          <w:szCs w:val="26"/>
        </w:rPr>
        <w:t xml:space="preserve"> The Commission sets the ROE for a group of utilities at the midpoint or upper midpoint of the zone of reasonableness, but the ROE for a single entity at the median or upper median.  </w:t>
      </w:r>
      <w:r w:rsidRPr="00665B5A">
        <w:rPr>
          <w:i/>
          <w:szCs w:val="26"/>
        </w:rPr>
        <w:t>See S. California Edison Co. v. FERC</w:t>
      </w:r>
      <w:r w:rsidRPr="00665B5A">
        <w:rPr>
          <w:szCs w:val="26"/>
        </w:rPr>
        <w:t>, 717 F.3d 177, 181-182 (D.C. Cir. 2013).</w:t>
      </w:r>
    </w:p>
  </w:footnote>
  <w:footnote w:id="45">
    <w:p w14:paraId="554848DF" w14:textId="77777777" w:rsidR="00D43D83" w:rsidRDefault="00D43D83" w:rsidP="00CF0F10">
      <w:pPr>
        <w:pStyle w:val="FootnoteText"/>
      </w:pPr>
      <w:r>
        <w:rPr>
          <w:rStyle w:val="FootnoteReference"/>
        </w:rPr>
        <w:footnoteRef/>
      </w:r>
      <w:r>
        <w:t xml:space="preserve"> Opinion No. 531, 147 FERC ¶ 61,234 at P 142.</w:t>
      </w:r>
    </w:p>
  </w:footnote>
  <w:footnote w:id="46">
    <w:p w14:paraId="5120880D" w14:textId="77777777" w:rsidR="00D43D83" w:rsidRDefault="00D43D83" w:rsidP="00CF0F10">
      <w:pPr>
        <w:pStyle w:val="FootnoteText"/>
      </w:pPr>
      <w:r>
        <w:rPr>
          <w:rStyle w:val="FootnoteReference"/>
        </w:rPr>
        <w:footnoteRef/>
      </w:r>
      <w:r>
        <w:t xml:space="preserve"> Opinion No. 551, 156 FERC ¶ 61,234 at P 67.</w:t>
      </w:r>
    </w:p>
  </w:footnote>
  <w:footnote w:id="47">
    <w:p w14:paraId="1CC687F4" w14:textId="77777777" w:rsidR="00D43D83" w:rsidRPr="001C4095" w:rsidRDefault="00D43D83" w:rsidP="00CA5EA5">
      <w:pPr>
        <w:pStyle w:val="FootnoteText"/>
        <w:rPr>
          <w:szCs w:val="26"/>
        </w:rPr>
      </w:pPr>
      <w:r w:rsidRPr="00C00AD7">
        <w:rPr>
          <w:rStyle w:val="FootnoteReference"/>
        </w:rPr>
        <w:footnoteRef/>
      </w:r>
      <w:r w:rsidRPr="00023C56">
        <w:rPr>
          <w:szCs w:val="26"/>
        </w:rPr>
        <w:t xml:space="preserve"> </w:t>
      </w:r>
      <w:r w:rsidDel="006E5802">
        <w:rPr>
          <w:i/>
          <w:szCs w:val="26"/>
        </w:rPr>
        <w:t>Emera Maine</w:t>
      </w:r>
      <w:r w:rsidDel="006E5802">
        <w:rPr>
          <w:szCs w:val="26"/>
        </w:rPr>
        <w:t>,</w:t>
      </w:r>
      <w:r w:rsidRPr="00E143A7" w:rsidDel="006E5802">
        <w:rPr>
          <w:szCs w:val="26"/>
        </w:rPr>
        <w:t xml:space="preserve"> </w:t>
      </w:r>
      <w:r w:rsidDel="006E5802">
        <w:rPr>
          <w:szCs w:val="26"/>
        </w:rPr>
        <w:t>854 F.3d</w:t>
      </w:r>
      <w:r w:rsidRPr="001C4095" w:rsidDel="006E5802">
        <w:rPr>
          <w:szCs w:val="26"/>
        </w:rPr>
        <w:t xml:space="preserve"> </w:t>
      </w:r>
      <w:r w:rsidRPr="001C4095">
        <w:rPr>
          <w:szCs w:val="26"/>
        </w:rPr>
        <w:t>at 22-23.</w:t>
      </w:r>
    </w:p>
  </w:footnote>
  <w:footnote w:id="48">
    <w:p w14:paraId="075A684C"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Id.</w:t>
      </w:r>
      <w:r w:rsidRPr="001C4095">
        <w:rPr>
          <w:szCs w:val="26"/>
        </w:rPr>
        <w:t xml:space="preserve"> at 23.</w:t>
      </w:r>
    </w:p>
  </w:footnote>
  <w:footnote w:id="49">
    <w:p w14:paraId="325FD81E"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Id.</w:t>
      </w:r>
      <w:r w:rsidRPr="001C4095">
        <w:rPr>
          <w:szCs w:val="26"/>
        </w:rPr>
        <w:t xml:space="preserve"> at 23, 26.</w:t>
      </w:r>
    </w:p>
  </w:footnote>
  <w:footnote w:id="50">
    <w:p w14:paraId="21F2CCB2"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 xml:space="preserve">Id. </w:t>
      </w:r>
      <w:r w:rsidRPr="001C4095">
        <w:rPr>
          <w:szCs w:val="26"/>
        </w:rPr>
        <w:t>at 27 (“To satisfy its dual burden under section 206, FERC was required to do more than show that its single ROE analysis generated a new just and reasonable ROE and conclusively declare that, consequently, the existing ROE was per se unjust and unreasonable.”)</w:t>
      </w:r>
      <w:r>
        <w:rPr>
          <w:szCs w:val="26"/>
        </w:rPr>
        <w:t>.</w:t>
      </w:r>
    </w:p>
  </w:footnote>
  <w:footnote w:id="51">
    <w:p w14:paraId="7AA37B50" w14:textId="77777777" w:rsidR="00D43D83" w:rsidRPr="001C4095" w:rsidRDefault="00D43D83" w:rsidP="00CA5EA5">
      <w:pPr>
        <w:pStyle w:val="FootnoteText"/>
        <w:rPr>
          <w:szCs w:val="26"/>
        </w:rPr>
      </w:pPr>
      <w:r w:rsidRPr="001C4095">
        <w:rPr>
          <w:rStyle w:val="FootnoteReference"/>
        </w:rPr>
        <w:footnoteRef/>
      </w:r>
      <w:r w:rsidRPr="001C4095">
        <w:rPr>
          <w:szCs w:val="26"/>
        </w:rPr>
        <w:t xml:space="preserve"> </w:t>
      </w:r>
      <w:r w:rsidRPr="001C4095">
        <w:rPr>
          <w:i/>
          <w:szCs w:val="26"/>
        </w:rPr>
        <w:t xml:space="preserve">Id. </w:t>
      </w:r>
    </w:p>
  </w:footnote>
  <w:footnote w:id="52">
    <w:p w14:paraId="31EAD93A" w14:textId="40B93B96" w:rsidR="00D43D83" w:rsidRPr="00AC5A34" w:rsidRDefault="00D43D83" w:rsidP="00CF0F10">
      <w:pPr>
        <w:pStyle w:val="FootnoteText"/>
        <w:rPr>
          <w:b/>
        </w:rPr>
      </w:pPr>
      <w:r w:rsidRPr="00665B5A">
        <w:rPr>
          <w:rStyle w:val="FootnoteReference"/>
        </w:rPr>
        <w:footnoteRef/>
      </w:r>
      <w:r w:rsidRPr="00665B5A" w:rsidDel="00BF1A64">
        <w:t xml:space="preserve"> </w:t>
      </w:r>
      <w:r>
        <w:rPr>
          <w:color w:val="212121"/>
          <w:szCs w:val="26"/>
        </w:rPr>
        <w:t xml:space="preserve"> </w:t>
      </w:r>
      <w:r w:rsidRPr="00665B5A" w:rsidDel="00545BAD">
        <w:rPr>
          <w:i/>
        </w:rPr>
        <w:t>Id.</w:t>
      </w:r>
      <w:r w:rsidRPr="00665B5A">
        <w:rPr>
          <w:i/>
        </w:rPr>
        <w:t xml:space="preserve"> </w:t>
      </w:r>
      <w:r w:rsidRPr="00665B5A">
        <w:t xml:space="preserve">at 27; </w:t>
      </w:r>
      <w:r w:rsidRPr="00665B5A">
        <w:rPr>
          <w:i/>
        </w:rPr>
        <w:t xml:space="preserve">see </w:t>
      </w:r>
      <w:r>
        <w:rPr>
          <w:i/>
        </w:rPr>
        <w:t>also</w:t>
      </w:r>
      <w:r w:rsidRPr="00665B5A">
        <w:rPr>
          <w:i/>
        </w:rPr>
        <w:t xml:space="preserve"> id. </w:t>
      </w:r>
      <w:r w:rsidRPr="00665B5A">
        <w:t>at 30 (</w:t>
      </w:r>
      <w:r w:rsidRPr="00665B5A">
        <w:rPr>
          <w:iCs/>
        </w:rPr>
        <w:t>“</w:t>
      </w:r>
      <w:r w:rsidRPr="00665B5A" w:rsidDel="00EB52A6">
        <w:rPr>
          <w:iCs/>
        </w:rPr>
        <w:t>[</w:t>
      </w:r>
      <w:r w:rsidRPr="00665B5A">
        <w:rPr>
          <w:iCs/>
        </w:rPr>
        <w:t>W</w:t>
      </w:r>
      <w:r w:rsidRPr="00665B5A" w:rsidDel="00EB52A6">
        <w:rPr>
          <w:iCs/>
        </w:rPr>
        <w:t>]</w:t>
      </w:r>
      <w:r w:rsidRPr="00665B5A">
        <w:rPr>
          <w:iCs/>
        </w:rPr>
        <w:t>hile the evidence in this case may have supported an upward adjustment from the midpoint of the zone of reasonableness, FERC failed to provide any reasoned basis for selecting 10.57 percent as the new base ROE.”).</w:t>
      </w:r>
    </w:p>
  </w:footnote>
  <w:footnote w:id="53">
    <w:p w14:paraId="5DBD6576" w14:textId="74495A3A" w:rsidR="00D43D83" w:rsidRPr="00665B5A" w:rsidRDefault="00D43D83" w:rsidP="00CF0F10">
      <w:pPr>
        <w:pStyle w:val="FootnoteText"/>
      </w:pPr>
      <w:r w:rsidRPr="00665B5A">
        <w:rPr>
          <w:rStyle w:val="FootnoteReference"/>
        </w:rPr>
        <w:footnoteRef/>
      </w:r>
      <w:r w:rsidRPr="00665B5A">
        <w:t xml:space="preserve"> </w:t>
      </w:r>
      <w:r w:rsidRPr="00665B5A">
        <w:rPr>
          <w:i/>
        </w:rPr>
        <w:t>Id.</w:t>
      </w:r>
      <w:r w:rsidRPr="00665B5A">
        <w:t xml:space="preserve"> at 30 (quotation marks omitted).</w:t>
      </w:r>
      <w:r>
        <w:rPr>
          <w:b/>
        </w:rPr>
        <w:t xml:space="preserve">  </w:t>
      </w:r>
      <w:r w:rsidRPr="00665B5A">
        <w:t xml:space="preserve">  </w:t>
      </w:r>
    </w:p>
  </w:footnote>
  <w:footnote w:id="54">
    <w:p w14:paraId="4A714D1A" w14:textId="27731898" w:rsidR="00D43D83" w:rsidRPr="004345CE" w:rsidRDefault="00D43D83" w:rsidP="001027BB">
      <w:pPr>
        <w:pStyle w:val="FootnoteText"/>
      </w:pPr>
      <w:r w:rsidRPr="004345CE">
        <w:rPr>
          <w:b/>
          <w:vertAlign w:val="superscript"/>
        </w:rPr>
        <w:footnoteRef/>
      </w:r>
      <w:r w:rsidRPr="004345CE">
        <w:t xml:space="preserve"> </w:t>
      </w:r>
      <w:r w:rsidRPr="004345CE">
        <w:rPr>
          <w:i/>
        </w:rPr>
        <w:t>See Martha Coakley v. Bangor Hydro-Elec. Co.</w:t>
      </w:r>
      <w:r w:rsidRPr="004345CE">
        <w:t>, 165 FERC ¶ 61,030 (2018) (</w:t>
      </w:r>
      <w:r w:rsidRPr="004345CE">
        <w:rPr>
          <w:i/>
        </w:rPr>
        <w:t>Coakley</w:t>
      </w:r>
      <w:r>
        <w:t xml:space="preserve"> Briefing Order); </w:t>
      </w:r>
      <w:r w:rsidRPr="00145C55">
        <w:rPr>
          <w:i/>
        </w:rPr>
        <w:t>Ass’n of Businesses Advocating Tariff Equity</w:t>
      </w:r>
      <w:r>
        <w:rPr>
          <w:i/>
        </w:rPr>
        <w:t xml:space="preserve"> </w:t>
      </w:r>
      <w:r w:rsidRPr="00F1783F">
        <w:rPr>
          <w:i/>
          <w:color w:val="252525"/>
          <w:szCs w:val="26"/>
        </w:rPr>
        <w:t xml:space="preserve">v. </w:t>
      </w:r>
      <w:r w:rsidRPr="003408A0">
        <w:rPr>
          <w:i/>
          <w:color w:val="252525"/>
          <w:szCs w:val="26"/>
        </w:rPr>
        <w:t>Midcontinent Indep</w:t>
      </w:r>
      <w:r>
        <w:rPr>
          <w:i/>
          <w:color w:val="252525"/>
          <w:szCs w:val="26"/>
        </w:rPr>
        <w:t>.</w:t>
      </w:r>
      <w:r w:rsidRPr="003408A0">
        <w:rPr>
          <w:i/>
          <w:color w:val="252525"/>
          <w:szCs w:val="26"/>
        </w:rPr>
        <w:t xml:space="preserve"> Sy</w:t>
      </w:r>
      <w:r>
        <w:rPr>
          <w:i/>
          <w:color w:val="252525"/>
          <w:szCs w:val="26"/>
        </w:rPr>
        <w:t>s.</w:t>
      </w:r>
      <w:r w:rsidRPr="00F1783F">
        <w:rPr>
          <w:i/>
          <w:color w:val="252525"/>
          <w:szCs w:val="26"/>
        </w:rPr>
        <w:t xml:space="preserve"> Operator, Inc.</w:t>
      </w:r>
      <w:r w:rsidRPr="00145C55">
        <w:t>, 165 FERC ¶ 61</w:t>
      </w:r>
      <w:r>
        <w:t>,</w:t>
      </w:r>
      <w:r w:rsidRPr="00145C55">
        <w:t>118 (2018)</w:t>
      </w:r>
      <w:r>
        <w:t xml:space="preserve"> (MISO Briefing Order).</w:t>
      </w:r>
    </w:p>
  </w:footnote>
  <w:footnote w:id="55">
    <w:p w14:paraId="4CF2B2B5" w14:textId="1440883F" w:rsidR="00D43D83" w:rsidRDefault="00D43D83">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34; MISO Briefing Order,</w:t>
      </w:r>
      <w:r w:rsidRPr="00145C55">
        <w:t xml:space="preserve"> </w:t>
      </w:r>
      <w:r>
        <w:t xml:space="preserve"> </w:t>
      </w:r>
      <w:r w:rsidRPr="00145C55">
        <w:t>165 FERC ¶ 61</w:t>
      </w:r>
      <w:r>
        <w:t>,</w:t>
      </w:r>
      <w:r w:rsidRPr="00145C55">
        <w:t>118</w:t>
      </w:r>
      <w:r>
        <w:t xml:space="preserve"> at P 36.</w:t>
      </w:r>
    </w:p>
  </w:footnote>
  <w:footnote w:id="56">
    <w:p w14:paraId="454BB2FE" w14:textId="1BAD28A9" w:rsidR="00D43D83" w:rsidRDefault="00D43D83" w:rsidP="00947C2C">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36; MISO Briefing Order,</w:t>
      </w:r>
      <w:r w:rsidRPr="00145C55">
        <w:t xml:space="preserve"> </w:t>
      </w:r>
      <w:r>
        <w:t xml:space="preserve"> </w:t>
      </w:r>
      <w:r w:rsidRPr="00145C55">
        <w:t>165 FERC ¶ 61</w:t>
      </w:r>
      <w:r>
        <w:t>,</w:t>
      </w:r>
      <w:r w:rsidRPr="00145C55">
        <w:t>118</w:t>
      </w:r>
      <w:r>
        <w:t xml:space="preserve"> at P 38.</w:t>
      </w:r>
    </w:p>
  </w:footnote>
  <w:footnote w:id="57">
    <w:p w14:paraId="4CED3FF1" w14:textId="5CFD953D" w:rsidR="00D43D83" w:rsidRDefault="00D43D83" w:rsidP="001D6016">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36; MISO Briefing Order,</w:t>
      </w:r>
      <w:r w:rsidRPr="00145C55">
        <w:t xml:space="preserve"> </w:t>
      </w:r>
      <w:r>
        <w:t xml:space="preserve"> </w:t>
      </w:r>
      <w:r w:rsidRPr="00145C55">
        <w:t>165 FERC ¶ 61</w:t>
      </w:r>
      <w:r>
        <w:t>,</w:t>
      </w:r>
      <w:r w:rsidRPr="00145C55">
        <w:t>118</w:t>
      </w:r>
      <w:r>
        <w:t xml:space="preserve"> at P 38.</w:t>
      </w:r>
    </w:p>
  </w:footnote>
  <w:footnote w:id="58">
    <w:p w14:paraId="5DA47129" w14:textId="075327B2" w:rsidR="00D43D83" w:rsidRDefault="00D43D83" w:rsidP="009D4949">
      <w:pPr>
        <w:pStyle w:val="FootnoteText"/>
      </w:pPr>
      <w:r>
        <w:rPr>
          <w:rStyle w:val="FootnoteReference"/>
        </w:rPr>
        <w:footnoteRef/>
      </w:r>
      <w:r>
        <w:t xml:space="preserve"> </w:t>
      </w:r>
      <w:r w:rsidRPr="004345CE">
        <w:rPr>
          <w:i/>
        </w:rPr>
        <w:t>Coakley</w:t>
      </w:r>
      <w:r>
        <w:t xml:space="preserve"> Briefing Order</w:t>
      </w:r>
      <w:r w:rsidRPr="004345CE">
        <w:t>, 165 FERC ¶ 61,030</w:t>
      </w:r>
      <w:r>
        <w:t xml:space="preserve"> at P 31; MISO Briefing Order,</w:t>
      </w:r>
      <w:r w:rsidRPr="00145C55">
        <w:t xml:space="preserve"> </w:t>
      </w:r>
      <w:r>
        <w:t xml:space="preserve"> </w:t>
      </w:r>
      <w:r w:rsidRPr="00145C55">
        <w:t>165 FERC ¶ 61</w:t>
      </w:r>
      <w:r>
        <w:t>,</w:t>
      </w:r>
      <w:r w:rsidRPr="00145C55">
        <w:t>118</w:t>
      </w:r>
      <w:r>
        <w:t xml:space="preserve"> at P 20.</w:t>
      </w:r>
    </w:p>
  </w:footnote>
  <w:footnote w:id="59">
    <w:p w14:paraId="16FBD9B2" w14:textId="1C2685AC" w:rsidR="00D43D83" w:rsidRDefault="00D43D83">
      <w:pPr>
        <w:pStyle w:val="FootnoteText"/>
      </w:pPr>
      <w:r>
        <w:rPr>
          <w:rStyle w:val="FootnoteReference"/>
        </w:rPr>
        <w:footnoteRef/>
      </w:r>
      <w:r>
        <w:t xml:space="preserve"> </w:t>
      </w:r>
      <w:r w:rsidRPr="00145C55">
        <w:rPr>
          <w:i/>
        </w:rPr>
        <w:t>Coakley</w:t>
      </w:r>
      <w:r>
        <w:rPr>
          <w:i/>
        </w:rPr>
        <w:t xml:space="preserve"> </w:t>
      </w:r>
      <w:r>
        <w:t>Briefing Order</w:t>
      </w:r>
      <w:r w:rsidRPr="00145C55">
        <w:t xml:space="preserve">, 165 FERC ¶ 61,030 at P </w:t>
      </w:r>
      <w:r>
        <w:t>31; MISO Briefing Order,</w:t>
      </w:r>
      <w:r w:rsidRPr="00145C55">
        <w:t xml:space="preserve"> </w:t>
      </w:r>
      <w:r>
        <w:t xml:space="preserve"> </w:t>
      </w:r>
      <w:r w:rsidRPr="00145C55">
        <w:t>165 FERC ¶ 61</w:t>
      </w:r>
      <w:r>
        <w:t>,</w:t>
      </w:r>
      <w:r w:rsidRPr="00145C55">
        <w:t>118</w:t>
      </w:r>
      <w:r>
        <w:t xml:space="preserve"> at P 20;</w:t>
      </w:r>
      <w:r w:rsidRPr="00145C55">
        <w:t xml:space="preserve"> </w:t>
      </w:r>
      <w:r w:rsidRPr="00042BC1">
        <w:rPr>
          <w:i/>
        </w:rPr>
        <w:t xml:space="preserve">see also </w:t>
      </w:r>
      <w:r w:rsidRPr="00145C55">
        <w:rPr>
          <w:i/>
        </w:rPr>
        <w:t>Arkansas Pub. Serv. Comm’n</w:t>
      </w:r>
      <w:r w:rsidRPr="00145C55">
        <w:t>, 165 FERC ¶ 61,119</w:t>
      </w:r>
      <w:r>
        <w:t xml:space="preserve"> (2018)</w:t>
      </w:r>
      <w:r w:rsidRPr="00145C55">
        <w:t>.</w:t>
      </w:r>
    </w:p>
  </w:footnote>
  <w:footnote w:id="60">
    <w:p w14:paraId="6A474989" w14:textId="53F6F9FC" w:rsidR="00D43D83" w:rsidRPr="00C22618" w:rsidRDefault="00D43D83" w:rsidP="00F016A5">
      <w:pPr>
        <w:pStyle w:val="FootnoteText"/>
      </w:pPr>
      <w:r>
        <w:rPr>
          <w:rStyle w:val="FootnoteReference"/>
        </w:rPr>
        <w:footnoteRef/>
      </w:r>
      <w:r>
        <w:t xml:space="preserve"> </w:t>
      </w:r>
      <w:r>
        <w:rPr>
          <w:i/>
        </w:rPr>
        <w:t xml:space="preserve">See </w:t>
      </w:r>
      <w:r w:rsidRPr="00C22618">
        <w:rPr>
          <w:i/>
        </w:rPr>
        <w:t>Trailblazer Pipeline Co. LLC</w:t>
      </w:r>
      <w:r>
        <w:t>, 166 FERC ¶ 61,141, at P 48 (2019) (setting for hearing the issue of whether it would be appropriate to apply alternatives to the DCF for natural gas pipelines and whether appropriate data that would support those alternatives</w:t>
      </w:r>
      <w:r w:rsidRPr="00C404DC">
        <w:t xml:space="preserve"> </w:t>
      </w:r>
      <w:r>
        <w:t xml:space="preserve">are available). </w:t>
      </w:r>
    </w:p>
  </w:footnote>
  <w:footnote w:id="61">
    <w:p w14:paraId="04A45D99" w14:textId="4CA9CF98" w:rsidR="00D43D83" w:rsidRDefault="00D43D83">
      <w:pPr>
        <w:pStyle w:val="FootnoteText"/>
      </w:pPr>
      <w:r>
        <w:rPr>
          <w:rStyle w:val="FootnoteReference"/>
        </w:rPr>
        <w:footnoteRef/>
      </w:r>
      <w:r>
        <w:t xml:space="preserve"> </w:t>
      </w:r>
      <w:r w:rsidRPr="00EF5C56">
        <w:rPr>
          <w:i/>
        </w:rPr>
        <w:t>See</w:t>
      </w:r>
      <w:r>
        <w:t xml:space="preserve"> </w:t>
      </w:r>
      <w:r w:rsidRPr="00C4759B">
        <w:rPr>
          <w:i/>
        </w:rPr>
        <w:t>Orange &amp; Rockland Utilities, Inc</w:t>
      </w:r>
      <w:r>
        <w:t xml:space="preserve">., 44 FERC </w:t>
      </w:r>
      <w:r w:rsidRPr="007B1690">
        <w:t>¶</w:t>
      </w:r>
      <w:r>
        <w:t xml:space="preserve"> 61,253, at 61,952 (1998).</w:t>
      </w:r>
    </w:p>
  </w:footnote>
  <w:footnote w:id="62">
    <w:p w14:paraId="38A117BB" w14:textId="610D4F4A" w:rsidR="00D43D83" w:rsidRPr="008E6E19" w:rsidRDefault="00D43D83" w:rsidP="008E6E19">
      <w:pPr>
        <w:pStyle w:val="FootnoteText"/>
      </w:pPr>
      <w:r>
        <w:rPr>
          <w:rStyle w:val="FootnoteReference"/>
        </w:rPr>
        <w:footnoteRef/>
      </w:r>
      <w:r>
        <w:t xml:space="preserve"> The Fama and French</w:t>
      </w:r>
      <w:r w:rsidRPr="00F70A04">
        <w:t xml:space="preserve"> Model is an asset pricing model that </w:t>
      </w:r>
      <w:r>
        <w:t xml:space="preserve">takes into consideration </w:t>
      </w:r>
      <w:r w:rsidRPr="00F70A04">
        <w:t>that value and small-cap stocks outperform markets on a regular basis.</w:t>
      </w:r>
      <w:r>
        <w:t xml:space="preserve"> The model initially considered two factors in addition to the</w:t>
      </w:r>
      <w:r w:rsidRPr="00F70A04">
        <w:t xml:space="preserve"> </w:t>
      </w:r>
      <w:r>
        <w:t xml:space="preserve">CAPM model: the </w:t>
      </w:r>
      <w:r w:rsidRPr="00F70A04">
        <w:t>size risk and value risk factors to</w:t>
      </w:r>
      <w:r>
        <w:t xml:space="preserve"> the market risk factor in CAPM.</w:t>
      </w:r>
      <w:r w:rsidRPr="004469F5">
        <w:t xml:space="preserve"> </w:t>
      </w:r>
      <w:r>
        <w:t xml:space="preserve"> Later in 2015, two additional factors were added: </w:t>
      </w:r>
      <w:r w:rsidRPr="004469F5">
        <w:t>profitability and investment</w:t>
      </w:r>
      <w:r>
        <w:t>.</w:t>
      </w:r>
      <w:r w:rsidRPr="00F70A04">
        <w:t xml:space="preserve"> </w:t>
      </w:r>
      <w:r>
        <w:t xml:space="preserve"> </w:t>
      </w:r>
      <w:r>
        <w:rPr>
          <w:i/>
        </w:rPr>
        <w:t xml:space="preserve">See generally </w:t>
      </w:r>
      <w:r>
        <w:t xml:space="preserve">Eugene F. </w:t>
      </w:r>
      <w:r w:rsidRPr="004469F5">
        <w:t>Fama</w:t>
      </w:r>
      <w:r>
        <w:t xml:space="preserve">, </w:t>
      </w:r>
      <w:r w:rsidRPr="00804F91">
        <w:rPr>
          <w:i/>
        </w:rPr>
        <w:t>et al.</w:t>
      </w:r>
      <w:r>
        <w:t xml:space="preserve"> “</w:t>
      </w:r>
      <w:r w:rsidRPr="004469F5">
        <w:t xml:space="preserve">Common risk factors in </w:t>
      </w:r>
      <w:r>
        <w:t>the returns on stocks and bonds,”</w:t>
      </w:r>
      <w:r w:rsidRPr="004469F5">
        <w:t xml:space="preserve"> Journa</w:t>
      </w:r>
      <w:r>
        <w:t xml:space="preserve">l of Financial Economics (1993); Eugene F. </w:t>
      </w:r>
      <w:r w:rsidRPr="004469F5">
        <w:t>Fama</w:t>
      </w:r>
      <w:r>
        <w:t xml:space="preserve">, </w:t>
      </w:r>
      <w:r w:rsidRPr="00804F91">
        <w:rPr>
          <w:i/>
        </w:rPr>
        <w:t>et al.</w:t>
      </w:r>
      <w:r>
        <w:t xml:space="preserve"> “</w:t>
      </w:r>
      <w:r w:rsidRPr="004469F5">
        <w:t xml:space="preserve">A </w:t>
      </w:r>
      <w:r>
        <w:t>Five-Factor Asset Pricing Model,”</w:t>
      </w:r>
      <w:r w:rsidRPr="004469F5">
        <w:t xml:space="preserve"> Journal of Financial Economics</w:t>
      </w:r>
      <w:r>
        <w:t xml:space="preserve"> (2015)</w:t>
      </w:r>
      <w:r w:rsidRPr="004469F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C477" w14:textId="77777777" w:rsidR="00A36179" w:rsidRDefault="00A36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6B6DD" w14:textId="536BB6B2" w:rsidR="00D43D83" w:rsidRDefault="00D43D83" w:rsidP="00723333">
    <w:pPr>
      <w:pStyle w:val="Header"/>
      <w:spacing w:after="240"/>
    </w:pPr>
    <w:r>
      <w:rPr>
        <w:noProof/>
      </w:rPr>
      <mc:AlternateContent>
        <mc:Choice Requires="wps">
          <w:drawing>
            <wp:anchor distT="0" distB="0" distL="114300" distR="114300" simplePos="0" relativeHeight="251658240" behindDoc="0" locked="0" layoutInCell="0" allowOverlap="1" wp14:anchorId="1E9E5C27" wp14:editId="2618A56F">
              <wp:simplePos x="0" y="0"/>
              <wp:positionH relativeFrom="page">
                <wp:posOffset>0</wp:posOffset>
              </wp:positionH>
              <wp:positionV relativeFrom="page">
                <wp:posOffset>190500</wp:posOffset>
              </wp:positionV>
              <wp:extent cx="7772400" cy="266700"/>
              <wp:effectExtent l="0" t="0" r="0" b="0"/>
              <wp:wrapNone/>
              <wp:docPr id="1" name="MSIPCM594946b2a09b778b68c153d8"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EAB48" w14:textId="12415085" w:rsidR="00D43D83" w:rsidRPr="00785868" w:rsidRDefault="00D43D83" w:rsidP="00785868">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9E5C27" id="_x0000_t202" coordsize="21600,21600" o:spt="202" path="m,l,21600r21600,l21600,xe">
              <v:stroke joinstyle="miter"/>
              <v:path gradientshapeok="t" o:connecttype="rect"/>
            </v:shapetype>
            <v:shape id="MSIPCM594946b2a09b778b68c153d8" o:spid="_x0000_s1026" type="#_x0000_t202" alt="{&quot;HashCode&quot;:92912587,&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" o:allowincell="f" filled="f" stroked="f" strokeweight=".5pt">
              <v:textbox inset=",0,,0">
                <w:txbxContent>
                  <w:p w14:paraId="061EAB48" w14:textId="12415085" w:rsidR="00D43D83" w:rsidRPr="00785868" w:rsidRDefault="00D43D83" w:rsidP="00785868">
                    <w:pPr>
                      <w:jc w:val="center"/>
                      <w:rPr>
                        <w:color w:val="A80000"/>
                      </w:rPr>
                    </w:pPr>
                  </w:p>
                </w:txbxContent>
              </v:textbox>
              <w10:wrap anchorx="page" anchory="page"/>
            </v:shape>
          </w:pict>
        </mc:Fallback>
      </mc:AlternateContent>
    </w:r>
    <w:r>
      <w:t>Docket No. PL19-4-000</w:t>
    </w:r>
    <w:r>
      <w:tab/>
    </w:r>
    <w:r>
      <w:fldChar w:fldCharType="begin"/>
    </w:r>
    <w:r>
      <w:instrText xml:space="preserve"> PAGE  \* MERGEFORMAT </w:instrText>
    </w:r>
    <w:r>
      <w:fldChar w:fldCharType="separate"/>
    </w:r>
    <w:r w:rsidR="003E0618">
      <w:rPr>
        <w:noProof/>
      </w:rPr>
      <w:t>- 34 -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05608" w14:textId="77777777" w:rsidR="00D43D83" w:rsidRDefault="00D43D83">
    <w:pPr>
      <w:pStyle w:val="Header"/>
    </w:pPr>
    <w:r>
      <w:rPr>
        <w:noProof/>
      </w:rPr>
      <mc:AlternateContent>
        <mc:Choice Requires="wps">
          <w:drawing>
            <wp:anchor distT="0" distB="0" distL="114300" distR="114300" simplePos="0" relativeHeight="251658241" behindDoc="0" locked="0" layoutInCell="0" allowOverlap="1" wp14:anchorId="319AC4EF" wp14:editId="0A6374C7">
              <wp:simplePos x="0" y="0"/>
              <wp:positionH relativeFrom="page">
                <wp:posOffset>0</wp:posOffset>
              </wp:positionH>
              <wp:positionV relativeFrom="page">
                <wp:posOffset>190500</wp:posOffset>
              </wp:positionV>
              <wp:extent cx="7772400" cy="266700"/>
              <wp:effectExtent l="0" t="0" r="0" b="0"/>
              <wp:wrapNone/>
              <wp:docPr id="2" name="MSIPCMb34b49519550837b90c0f1a6" descr="{&quot;HashCode&quot;:92912587,&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089DC3" w14:textId="6EBAC798" w:rsidR="00D43D83" w:rsidRPr="00785868" w:rsidRDefault="00D43D83" w:rsidP="00785868">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9AC4EF" id="_x0000_t202" coordsize="21600,21600" o:spt="202" path="m,l,21600r21600,l21600,xe">
              <v:stroke joinstyle="miter"/>
              <v:path gradientshapeok="t" o:connecttype="rect"/>
            </v:shapetype>
            <v:shape id="MSIPCMb34b49519550837b90c0f1a6" o:spid="_x0000_s1027" type="#_x0000_t202" alt="{&quot;HashCode&quot;:92912587,&quot;Height&quot;:792.0,&quot;Width&quot;:612.0,&quot;Placement&quot;:&quot;Header&quot;,&quot;Index&quot;:&quot;FirstPage&quot;,&quot;Section&quot;:1,&quot;Top&quot;:0.0,&quot;Left&quot;:0.0}" style="position:absolute;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" o:allowincell="f" filled="f" stroked="f" strokeweight=".5pt">
              <v:textbox inset=",0,,0">
                <w:txbxContent>
                  <w:p w14:paraId="51089DC3" w14:textId="6EBAC798" w:rsidR="00D43D83" w:rsidRPr="00785868" w:rsidRDefault="00D43D83" w:rsidP="00785868">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43516AE"/>
    <w:multiLevelType w:val="hybridMultilevel"/>
    <w:tmpl w:val="7DB4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65479"/>
    <w:multiLevelType w:val="hybridMultilevel"/>
    <w:tmpl w:val="BD9E08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144187"/>
    <w:multiLevelType w:val="hybridMultilevel"/>
    <w:tmpl w:val="11CAE5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DA5B1F"/>
    <w:multiLevelType w:val="multilevel"/>
    <w:tmpl w:val="517A312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b/>
      </w:rPr>
    </w:lvl>
    <w:lvl w:ilvl="3">
      <w:start w:val="1"/>
      <w:numFmt w:val="lowerLetter"/>
      <w:pStyle w:val="Heading4"/>
      <w:lvlText w:val="%4."/>
      <w:lvlJc w:val="left"/>
      <w:pPr>
        <w:tabs>
          <w:tab w:val="num" w:pos="2250"/>
        </w:tabs>
        <w:ind w:left="2250" w:hanging="720"/>
      </w:pPr>
      <w:rPr>
        <w:b/>
      </w:r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5"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6" w15:restartNumberingAfterBreak="0">
    <w:nsid w:val="32C20BE7"/>
    <w:multiLevelType w:val="hybridMultilevel"/>
    <w:tmpl w:val="B1AA5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C24803"/>
    <w:multiLevelType w:val="hybridMultilevel"/>
    <w:tmpl w:val="2E2C9684"/>
    <w:lvl w:ilvl="0" w:tplc="456CA7D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683A38"/>
    <w:multiLevelType w:val="hybridMultilevel"/>
    <w:tmpl w:val="80F23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422F0"/>
    <w:multiLevelType w:val="hybridMultilevel"/>
    <w:tmpl w:val="20887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B11A4"/>
    <w:multiLevelType w:val="hybridMultilevel"/>
    <w:tmpl w:val="E8A23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E71119"/>
    <w:multiLevelType w:val="hybridMultilevel"/>
    <w:tmpl w:val="1B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10C2A"/>
    <w:multiLevelType w:val="hybridMultilevel"/>
    <w:tmpl w:val="BF2EE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B1CF7"/>
    <w:multiLevelType w:val="hybridMultilevel"/>
    <w:tmpl w:val="D2244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4A018CD"/>
    <w:multiLevelType w:val="hybridMultilevel"/>
    <w:tmpl w:val="344A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5227E"/>
    <w:multiLevelType w:val="hybridMultilevel"/>
    <w:tmpl w:val="CE24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92F5A"/>
    <w:multiLevelType w:val="hybridMultilevel"/>
    <w:tmpl w:val="7CF2F0F6"/>
    <w:lvl w:ilvl="0" w:tplc="9DDA245E">
      <w:start w:val="1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5DA1E29"/>
    <w:multiLevelType w:val="hybridMultilevel"/>
    <w:tmpl w:val="7A8CDEDA"/>
    <w:lvl w:ilvl="0" w:tplc="0409000F">
      <w:start w:val="1"/>
      <w:numFmt w:val="decimal"/>
      <w:lvlText w:val="%1."/>
      <w:lvlJc w:val="left"/>
      <w:pPr>
        <w:tabs>
          <w:tab w:val="num" w:pos="1440"/>
        </w:tabs>
        <w:ind w:left="720" w:firstLine="0"/>
      </w:pPr>
      <w:rPr>
        <w:rFonts w:hint="default"/>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6441364"/>
    <w:multiLevelType w:val="hybridMultilevel"/>
    <w:tmpl w:val="10B077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4D5BB9"/>
    <w:multiLevelType w:val="hybridMultilevel"/>
    <w:tmpl w:val="13E6D4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FE0728"/>
    <w:multiLevelType w:val="hybridMultilevel"/>
    <w:tmpl w:val="79C04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8137E"/>
    <w:multiLevelType w:val="hybridMultilevel"/>
    <w:tmpl w:val="DEDE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B09D3"/>
    <w:multiLevelType w:val="hybridMultilevel"/>
    <w:tmpl w:val="20B29C4C"/>
    <w:lvl w:ilvl="0" w:tplc="833AEB72">
      <w:start w:val="1"/>
      <w:numFmt w:val="decimal"/>
      <w:lvlText w:val="%1."/>
      <w:lvlJc w:val="left"/>
      <w:pPr>
        <w:tabs>
          <w:tab w:val="num" w:pos="72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E4DD3"/>
    <w:multiLevelType w:val="hybridMultilevel"/>
    <w:tmpl w:val="DA6E320E"/>
    <w:lvl w:ilvl="0" w:tplc="F4D88E58">
      <w:start w:val="1"/>
      <w:numFmt w:val="decimal"/>
      <w:pStyle w:val="FERCparanumber"/>
      <w:lvlText w:val="%1."/>
      <w:lvlJc w:val="left"/>
      <w:pPr>
        <w:tabs>
          <w:tab w:val="num" w:pos="810"/>
        </w:tabs>
        <w:ind w:left="9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14"/>
  </w:num>
  <w:num w:numId="14">
    <w:abstractNumId w:val="26"/>
  </w:num>
  <w:num w:numId="15">
    <w:abstractNumId w:val="1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1"/>
  </w:num>
  <w:num w:numId="19">
    <w:abstractNumId w:val="24"/>
  </w:num>
  <w:num w:numId="20">
    <w:abstractNumId w:val="25"/>
  </w:num>
  <w:num w:numId="21">
    <w:abstractNumId w:val="19"/>
  </w:num>
  <w:num w:numId="22">
    <w:abstractNumId w:val="31"/>
  </w:num>
  <w:num w:numId="23">
    <w:abstractNumId w:val="22"/>
  </w:num>
  <w:num w:numId="24">
    <w:abstractNumId w:val="20"/>
  </w:num>
  <w:num w:numId="25">
    <w:abstractNumId w:val="12"/>
  </w:num>
  <w:num w:numId="26">
    <w:abstractNumId w:val="23"/>
  </w:num>
  <w:num w:numId="27">
    <w:abstractNumId w:val="16"/>
  </w:num>
  <w:num w:numId="28">
    <w:abstractNumId w:val="27"/>
  </w:num>
  <w:num w:numId="29">
    <w:abstractNumId w:val="28"/>
  </w:num>
  <w:num w:numId="30">
    <w:abstractNumId w:val="30"/>
  </w:num>
  <w:num w:numId="31">
    <w:abstractNumId w:val="13"/>
  </w:num>
  <w:num w:numId="32">
    <w:abstractNumId w:val="32"/>
  </w:num>
  <w:num w:numId="33">
    <w:abstractNumId w:val="18"/>
  </w:num>
  <w:num w:numId="34">
    <w:abstractNumId w:val="33"/>
  </w:num>
  <w:num w:numId="35">
    <w:abstractNumId w:val="15"/>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91"/>
    <w:rsid w:val="00000011"/>
    <w:rsid w:val="0000060B"/>
    <w:rsid w:val="000006FB"/>
    <w:rsid w:val="000013A6"/>
    <w:rsid w:val="0000244D"/>
    <w:rsid w:val="000026D2"/>
    <w:rsid w:val="00003B3F"/>
    <w:rsid w:val="00004325"/>
    <w:rsid w:val="0000501D"/>
    <w:rsid w:val="00005E1A"/>
    <w:rsid w:val="00005F7E"/>
    <w:rsid w:val="000060FC"/>
    <w:rsid w:val="000068E5"/>
    <w:rsid w:val="00006BC1"/>
    <w:rsid w:val="00006E79"/>
    <w:rsid w:val="00006F8D"/>
    <w:rsid w:val="00007013"/>
    <w:rsid w:val="00007DFF"/>
    <w:rsid w:val="000105AB"/>
    <w:rsid w:val="00010C2D"/>
    <w:rsid w:val="0001111E"/>
    <w:rsid w:val="000112F3"/>
    <w:rsid w:val="00014B71"/>
    <w:rsid w:val="00015286"/>
    <w:rsid w:val="00015BA4"/>
    <w:rsid w:val="00016EA9"/>
    <w:rsid w:val="000170A9"/>
    <w:rsid w:val="00017BC9"/>
    <w:rsid w:val="000201A5"/>
    <w:rsid w:val="0002085E"/>
    <w:rsid w:val="00020927"/>
    <w:rsid w:val="00020F53"/>
    <w:rsid w:val="0002233B"/>
    <w:rsid w:val="000229FF"/>
    <w:rsid w:val="00022AFA"/>
    <w:rsid w:val="00023488"/>
    <w:rsid w:val="00023AE5"/>
    <w:rsid w:val="00023F7F"/>
    <w:rsid w:val="000246F4"/>
    <w:rsid w:val="000248F0"/>
    <w:rsid w:val="00025AC1"/>
    <w:rsid w:val="00025BB9"/>
    <w:rsid w:val="000266DC"/>
    <w:rsid w:val="00026DAE"/>
    <w:rsid w:val="00026F58"/>
    <w:rsid w:val="00027579"/>
    <w:rsid w:val="00027BED"/>
    <w:rsid w:val="000306AF"/>
    <w:rsid w:val="00031267"/>
    <w:rsid w:val="00033A3C"/>
    <w:rsid w:val="00034D1F"/>
    <w:rsid w:val="000354F3"/>
    <w:rsid w:val="0003598D"/>
    <w:rsid w:val="00035B50"/>
    <w:rsid w:val="00036021"/>
    <w:rsid w:val="00037BEB"/>
    <w:rsid w:val="00040120"/>
    <w:rsid w:val="00041026"/>
    <w:rsid w:val="00042BCC"/>
    <w:rsid w:val="0004391A"/>
    <w:rsid w:val="00043B2A"/>
    <w:rsid w:val="00044047"/>
    <w:rsid w:val="00044589"/>
    <w:rsid w:val="000449D7"/>
    <w:rsid w:val="00045049"/>
    <w:rsid w:val="0004614E"/>
    <w:rsid w:val="000471BA"/>
    <w:rsid w:val="00047880"/>
    <w:rsid w:val="000516C0"/>
    <w:rsid w:val="00051B30"/>
    <w:rsid w:val="00051E0D"/>
    <w:rsid w:val="00051F6E"/>
    <w:rsid w:val="0005260D"/>
    <w:rsid w:val="00053836"/>
    <w:rsid w:val="00053F38"/>
    <w:rsid w:val="0005406C"/>
    <w:rsid w:val="00055B09"/>
    <w:rsid w:val="00055C5E"/>
    <w:rsid w:val="00055F49"/>
    <w:rsid w:val="00056BE1"/>
    <w:rsid w:val="00056F04"/>
    <w:rsid w:val="000604FA"/>
    <w:rsid w:val="00060AEC"/>
    <w:rsid w:val="00061F05"/>
    <w:rsid w:val="000620B8"/>
    <w:rsid w:val="00062875"/>
    <w:rsid w:val="000630E3"/>
    <w:rsid w:val="00063363"/>
    <w:rsid w:val="00063E05"/>
    <w:rsid w:val="00064D88"/>
    <w:rsid w:val="0006768F"/>
    <w:rsid w:val="00070209"/>
    <w:rsid w:val="00071CB5"/>
    <w:rsid w:val="000725C7"/>
    <w:rsid w:val="00072B6B"/>
    <w:rsid w:val="00073A46"/>
    <w:rsid w:val="00074D66"/>
    <w:rsid w:val="00075797"/>
    <w:rsid w:val="00081FCB"/>
    <w:rsid w:val="00082B68"/>
    <w:rsid w:val="00083A26"/>
    <w:rsid w:val="00083AE8"/>
    <w:rsid w:val="000866DF"/>
    <w:rsid w:val="00087F3E"/>
    <w:rsid w:val="0009041C"/>
    <w:rsid w:val="000911F0"/>
    <w:rsid w:val="00092B4C"/>
    <w:rsid w:val="00093036"/>
    <w:rsid w:val="000934B5"/>
    <w:rsid w:val="00094059"/>
    <w:rsid w:val="00095DCA"/>
    <w:rsid w:val="000964CE"/>
    <w:rsid w:val="000973D0"/>
    <w:rsid w:val="000A13F1"/>
    <w:rsid w:val="000A1BE0"/>
    <w:rsid w:val="000A403D"/>
    <w:rsid w:val="000A500F"/>
    <w:rsid w:val="000A58D0"/>
    <w:rsid w:val="000A62F6"/>
    <w:rsid w:val="000B058C"/>
    <w:rsid w:val="000B0FF3"/>
    <w:rsid w:val="000B1FAB"/>
    <w:rsid w:val="000B2093"/>
    <w:rsid w:val="000B32DC"/>
    <w:rsid w:val="000B3730"/>
    <w:rsid w:val="000B3933"/>
    <w:rsid w:val="000B3D0D"/>
    <w:rsid w:val="000B5609"/>
    <w:rsid w:val="000B5FB2"/>
    <w:rsid w:val="000B6858"/>
    <w:rsid w:val="000B7D9E"/>
    <w:rsid w:val="000C17B1"/>
    <w:rsid w:val="000C1B8A"/>
    <w:rsid w:val="000C2191"/>
    <w:rsid w:val="000C3615"/>
    <w:rsid w:val="000C500E"/>
    <w:rsid w:val="000C5D2E"/>
    <w:rsid w:val="000C6152"/>
    <w:rsid w:val="000C6183"/>
    <w:rsid w:val="000D02A7"/>
    <w:rsid w:val="000D15A1"/>
    <w:rsid w:val="000D1942"/>
    <w:rsid w:val="000D1C1F"/>
    <w:rsid w:val="000D2B4D"/>
    <w:rsid w:val="000D2E2B"/>
    <w:rsid w:val="000D3690"/>
    <w:rsid w:val="000D376F"/>
    <w:rsid w:val="000D4817"/>
    <w:rsid w:val="000D4A71"/>
    <w:rsid w:val="000D4D92"/>
    <w:rsid w:val="000D5CCE"/>
    <w:rsid w:val="000D5D32"/>
    <w:rsid w:val="000D6533"/>
    <w:rsid w:val="000D684D"/>
    <w:rsid w:val="000D709F"/>
    <w:rsid w:val="000E019F"/>
    <w:rsid w:val="000E0609"/>
    <w:rsid w:val="000E0D77"/>
    <w:rsid w:val="000E314D"/>
    <w:rsid w:val="000E36E5"/>
    <w:rsid w:val="000E42D6"/>
    <w:rsid w:val="000E5DA1"/>
    <w:rsid w:val="000E67F1"/>
    <w:rsid w:val="000E6E42"/>
    <w:rsid w:val="000E733C"/>
    <w:rsid w:val="000F0D4E"/>
    <w:rsid w:val="000F1A65"/>
    <w:rsid w:val="000F22DA"/>
    <w:rsid w:val="000F2496"/>
    <w:rsid w:val="000F271D"/>
    <w:rsid w:val="000F2B01"/>
    <w:rsid w:val="000F2B82"/>
    <w:rsid w:val="000F2C0B"/>
    <w:rsid w:val="000F3345"/>
    <w:rsid w:val="000F40DE"/>
    <w:rsid w:val="000F4BFA"/>
    <w:rsid w:val="000F63AC"/>
    <w:rsid w:val="000F6BCD"/>
    <w:rsid w:val="000F7A16"/>
    <w:rsid w:val="00101744"/>
    <w:rsid w:val="001027BB"/>
    <w:rsid w:val="00103680"/>
    <w:rsid w:val="0010581B"/>
    <w:rsid w:val="00105F6B"/>
    <w:rsid w:val="00107D5A"/>
    <w:rsid w:val="0011005F"/>
    <w:rsid w:val="0011020E"/>
    <w:rsid w:val="0011031E"/>
    <w:rsid w:val="00110C2B"/>
    <w:rsid w:val="001117A2"/>
    <w:rsid w:val="001128A5"/>
    <w:rsid w:val="00112BC6"/>
    <w:rsid w:val="00112C56"/>
    <w:rsid w:val="0011549F"/>
    <w:rsid w:val="0011560A"/>
    <w:rsid w:val="001167FC"/>
    <w:rsid w:val="00117488"/>
    <w:rsid w:val="0011753B"/>
    <w:rsid w:val="00120778"/>
    <w:rsid w:val="00121A3B"/>
    <w:rsid w:val="001225A4"/>
    <w:rsid w:val="00122B7B"/>
    <w:rsid w:val="00122EF4"/>
    <w:rsid w:val="00123363"/>
    <w:rsid w:val="001233E6"/>
    <w:rsid w:val="001257A5"/>
    <w:rsid w:val="00125CF3"/>
    <w:rsid w:val="00125D50"/>
    <w:rsid w:val="001278B8"/>
    <w:rsid w:val="00127B80"/>
    <w:rsid w:val="0013023D"/>
    <w:rsid w:val="00130484"/>
    <w:rsid w:val="00130AC0"/>
    <w:rsid w:val="00130CC7"/>
    <w:rsid w:val="00130EF7"/>
    <w:rsid w:val="00130FCB"/>
    <w:rsid w:val="00131E0B"/>
    <w:rsid w:val="0013289A"/>
    <w:rsid w:val="00132E5A"/>
    <w:rsid w:val="00135393"/>
    <w:rsid w:val="00135534"/>
    <w:rsid w:val="001372AE"/>
    <w:rsid w:val="00137E2B"/>
    <w:rsid w:val="00140751"/>
    <w:rsid w:val="0014077F"/>
    <w:rsid w:val="00144193"/>
    <w:rsid w:val="00144766"/>
    <w:rsid w:val="00144FAF"/>
    <w:rsid w:val="001450B0"/>
    <w:rsid w:val="00145BF3"/>
    <w:rsid w:val="00145C9F"/>
    <w:rsid w:val="001460E5"/>
    <w:rsid w:val="00146A35"/>
    <w:rsid w:val="00147246"/>
    <w:rsid w:val="00147735"/>
    <w:rsid w:val="00150C14"/>
    <w:rsid w:val="001510DC"/>
    <w:rsid w:val="001516AB"/>
    <w:rsid w:val="00151B96"/>
    <w:rsid w:val="001528B0"/>
    <w:rsid w:val="00152AEB"/>
    <w:rsid w:val="001534F5"/>
    <w:rsid w:val="00153A56"/>
    <w:rsid w:val="001541A7"/>
    <w:rsid w:val="001544CE"/>
    <w:rsid w:val="00154AE8"/>
    <w:rsid w:val="00154D96"/>
    <w:rsid w:val="0015507A"/>
    <w:rsid w:val="00155DB7"/>
    <w:rsid w:val="00155FAC"/>
    <w:rsid w:val="00157C19"/>
    <w:rsid w:val="00160D40"/>
    <w:rsid w:val="00160F03"/>
    <w:rsid w:val="0016138A"/>
    <w:rsid w:val="001616D0"/>
    <w:rsid w:val="001619AF"/>
    <w:rsid w:val="0016209B"/>
    <w:rsid w:val="00162576"/>
    <w:rsid w:val="0016292B"/>
    <w:rsid w:val="0016647A"/>
    <w:rsid w:val="0016668C"/>
    <w:rsid w:val="001668F8"/>
    <w:rsid w:val="00166A19"/>
    <w:rsid w:val="00166B08"/>
    <w:rsid w:val="00167CF2"/>
    <w:rsid w:val="001701EA"/>
    <w:rsid w:val="00171A26"/>
    <w:rsid w:val="001722E3"/>
    <w:rsid w:val="00172CDB"/>
    <w:rsid w:val="00173678"/>
    <w:rsid w:val="001743D6"/>
    <w:rsid w:val="00176FE3"/>
    <w:rsid w:val="001771BB"/>
    <w:rsid w:val="001771F9"/>
    <w:rsid w:val="00177390"/>
    <w:rsid w:val="0018148F"/>
    <w:rsid w:val="00182EC5"/>
    <w:rsid w:val="001830B8"/>
    <w:rsid w:val="00183FD6"/>
    <w:rsid w:val="001853F5"/>
    <w:rsid w:val="00185598"/>
    <w:rsid w:val="00185CA8"/>
    <w:rsid w:val="00187710"/>
    <w:rsid w:val="0019063D"/>
    <w:rsid w:val="00190849"/>
    <w:rsid w:val="00190D0E"/>
    <w:rsid w:val="00190D4F"/>
    <w:rsid w:val="00191A09"/>
    <w:rsid w:val="00191D8C"/>
    <w:rsid w:val="001920D6"/>
    <w:rsid w:val="00195E37"/>
    <w:rsid w:val="00196908"/>
    <w:rsid w:val="00197121"/>
    <w:rsid w:val="0019719C"/>
    <w:rsid w:val="001978A8"/>
    <w:rsid w:val="001A10EF"/>
    <w:rsid w:val="001A12DE"/>
    <w:rsid w:val="001A3237"/>
    <w:rsid w:val="001A3269"/>
    <w:rsid w:val="001A32ED"/>
    <w:rsid w:val="001A343E"/>
    <w:rsid w:val="001A358F"/>
    <w:rsid w:val="001A4C5E"/>
    <w:rsid w:val="001A509E"/>
    <w:rsid w:val="001A5D72"/>
    <w:rsid w:val="001A68C8"/>
    <w:rsid w:val="001A72C4"/>
    <w:rsid w:val="001B1A42"/>
    <w:rsid w:val="001B2481"/>
    <w:rsid w:val="001B2BC7"/>
    <w:rsid w:val="001B3193"/>
    <w:rsid w:val="001B3EC2"/>
    <w:rsid w:val="001B4616"/>
    <w:rsid w:val="001B4D9E"/>
    <w:rsid w:val="001B5A6F"/>
    <w:rsid w:val="001C04AA"/>
    <w:rsid w:val="001C139A"/>
    <w:rsid w:val="001C17A3"/>
    <w:rsid w:val="001C196D"/>
    <w:rsid w:val="001C2ADC"/>
    <w:rsid w:val="001C3551"/>
    <w:rsid w:val="001C4C5C"/>
    <w:rsid w:val="001C5711"/>
    <w:rsid w:val="001C5E36"/>
    <w:rsid w:val="001C6056"/>
    <w:rsid w:val="001C6EE2"/>
    <w:rsid w:val="001C74BE"/>
    <w:rsid w:val="001D0604"/>
    <w:rsid w:val="001D089C"/>
    <w:rsid w:val="001D1478"/>
    <w:rsid w:val="001D230C"/>
    <w:rsid w:val="001D2B9F"/>
    <w:rsid w:val="001D3568"/>
    <w:rsid w:val="001D4B43"/>
    <w:rsid w:val="001D5D42"/>
    <w:rsid w:val="001D6016"/>
    <w:rsid w:val="001D6113"/>
    <w:rsid w:val="001D75C1"/>
    <w:rsid w:val="001D78F1"/>
    <w:rsid w:val="001D7911"/>
    <w:rsid w:val="001D7AFB"/>
    <w:rsid w:val="001D7E09"/>
    <w:rsid w:val="001D7F9B"/>
    <w:rsid w:val="001E127D"/>
    <w:rsid w:val="001E1B1A"/>
    <w:rsid w:val="001E21BE"/>
    <w:rsid w:val="001E21EE"/>
    <w:rsid w:val="001E279C"/>
    <w:rsid w:val="001E2D62"/>
    <w:rsid w:val="001E2E5A"/>
    <w:rsid w:val="001E4A71"/>
    <w:rsid w:val="001E535B"/>
    <w:rsid w:val="001E6358"/>
    <w:rsid w:val="001E6C1A"/>
    <w:rsid w:val="001F0A2C"/>
    <w:rsid w:val="001F0FD5"/>
    <w:rsid w:val="001F251A"/>
    <w:rsid w:val="001F2EEF"/>
    <w:rsid w:val="001F3934"/>
    <w:rsid w:val="001F3AD6"/>
    <w:rsid w:val="001F4382"/>
    <w:rsid w:val="001F4403"/>
    <w:rsid w:val="001F529E"/>
    <w:rsid w:val="001F5EF8"/>
    <w:rsid w:val="001F7FC3"/>
    <w:rsid w:val="0020086B"/>
    <w:rsid w:val="00200B82"/>
    <w:rsid w:val="002021A2"/>
    <w:rsid w:val="00202422"/>
    <w:rsid w:val="00202B75"/>
    <w:rsid w:val="00203176"/>
    <w:rsid w:val="00204512"/>
    <w:rsid w:val="00204A55"/>
    <w:rsid w:val="00204D78"/>
    <w:rsid w:val="0020681F"/>
    <w:rsid w:val="00206D7D"/>
    <w:rsid w:val="002106AD"/>
    <w:rsid w:val="002106DB"/>
    <w:rsid w:val="0021278D"/>
    <w:rsid w:val="00212D06"/>
    <w:rsid w:val="00213593"/>
    <w:rsid w:val="0021445A"/>
    <w:rsid w:val="00214C9E"/>
    <w:rsid w:val="00215AC5"/>
    <w:rsid w:val="00215C12"/>
    <w:rsid w:val="00215DA9"/>
    <w:rsid w:val="00222D7E"/>
    <w:rsid w:val="0022431D"/>
    <w:rsid w:val="002246EF"/>
    <w:rsid w:val="002249CA"/>
    <w:rsid w:val="00225246"/>
    <w:rsid w:val="00225AA6"/>
    <w:rsid w:val="00226672"/>
    <w:rsid w:val="00230295"/>
    <w:rsid w:val="002306E4"/>
    <w:rsid w:val="00231CC7"/>
    <w:rsid w:val="002331F2"/>
    <w:rsid w:val="0023489A"/>
    <w:rsid w:val="0023513D"/>
    <w:rsid w:val="0023758A"/>
    <w:rsid w:val="002375ED"/>
    <w:rsid w:val="00237867"/>
    <w:rsid w:val="00237AEF"/>
    <w:rsid w:val="00240066"/>
    <w:rsid w:val="0024098B"/>
    <w:rsid w:val="002409FA"/>
    <w:rsid w:val="002426C3"/>
    <w:rsid w:val="00242CBB"/>
    <w:rsid w:val="00242F59"/>
    <w:rsid w:val="0024370D"/>
    <w:rsid w:val="00243A8E"/>
    <w:rsid w:val="00244F11"/>
    <w:rsid w:val="002458E1"/>
    <w:rsid w:val="00246BB2"/>
    <w:rsid w:val="00247170"/>
    <w:rsid w:val="00250417"/>
    <w:rsid w:val="00252420"/>
    <w:rsid w:val="00252506"/>
    <w:rsid w:val="0025400C"/>
    <w:rsid w:val="00255003"/>
    <w:rsid w:val="002553AC"/>
    <w:rsid w:val="00255663"/>
    <w:rsid w:val="00255BD0"/>
    <w:rsid w:val="00256F5B"/>
    <w:rsid w:val="0025783E"/>
    <w:rsid w:val="00257A34"/>
    <w:rsid w:val="00260999"/>
    <w:rsid w:val="00261A9D"/>
    <w:rsid w:val="002621C5"/>
    <w:rsid w:val="0026283D"/>
    <w:rsid w:val="0026370E"/>
    <w:rsid w:val="0026424F"/>
    <w:rsid w:val="00264564"/>
    <w:rsid w:val="00266808"/>
    <w:rsid w:val="0026740E"/>
    <w:rsid w:val="00270576"/>
    <w:rsid w:val="00270591"/>
    <w:rsid w:val="0027069A"/>
    <w:rsid w:val="00270ECB"/>
    <w:rsid w:val="002712D3"/>
    <w:rsid w:val="00272390"/>
    <w:rsid w:val="002723E1"/>
    <w:rsid w:val="00272BEA"/>
    <w:rsid w:val="002733FF"/>
    <w:rsid w:val="002747B3"/>
    <w:rsid w:val="00274DAE"/>
    <w:rsid w:val="002756B8"/>
    <w:rsid w:val="002762E6"/>
    <w:rsid w:val="00277D1A"/>
    <w:rsid w:val="00280451"/>
    <w:rsid w:val="0028132C"/>
    <w:rsid w:val="00281B3C"/>
    <w:rsid w:val="00281BBE"/>
    <w:rsid w:val="00281D90"/>
    <w:rsid w:val="00282B1D"/>
    <w:rsid w:val="00282D15"/>
    <w:rsid w:val="002852E3"/>
    <w:rsid w:val="002859E0"/>
    <w:rsid w:val="00285B7B"/>
    <w:rsid w:val="0028697E"/>
    <w:rsid w:val="002875D8"/>
    <w:rsid w:val="0028769D"/>
    <w:rsid w:val="002900B3"/>
    <w:rsid w:val="00291716"/>
    <w:rsid w:val="002936F9"/>
    <w:rsid w:val="00293BDB"/>
    <w:rsid w:val="0029440A"/>
    <w:rsid w:val="00294824"/>
    <w:rsid w:val="002959F3"/>
    <w:rsid w:val="00295D64"/>
    <w:rsid w:val="002A007A"/>
    <w:rsid w:val="002A25E3"/>
    <w:rsid w:val="002A3731"/>
    <w:rsid w:val="002A45FD"/>
    <w:rsid w:val="002A5520"/>
    <w:rsid w:val="002A6DE8"/>
    <w:rsid w:val="002A7876"/>
    <w:rsid w:val="002A79D7"/>
    <w:rsid w:val="002B0506"/>
    <w:rsid w:val="002B0C7A"/>
    <w:rsid w:val="002B0F99"/>
    <w:rsid w:val="002B13C9"/>
    <w:rsid w:val="002B17FD"/>
    <w:rsid w:val="002B1C72"/>
    <w:rsid w:val="002B1F8F"/>
    <w:rsid w:val="002B22D0"/>
    <w:rsid w:val="002B230F"/>
    <w:rsid w:val="002B2F55"/>
    <w:rsid w:val="002B331B"/>
    <w:rsid w:val="002B339B"/>
    <w:rsid w:val="002B4012"/>
    <w:rsid w:val="002B6391"/>
    <w:rsid w:val="002B6530"/>
    <w:rsid w:val="002B6F2B"/>
    <w:rsid w:val="002B7BA7"/>
    <w:rsid w:val="002B7D27"/>
    <w:rsid w:val="002C086D"/>
    <w:rsid w:val="002C19F8"/>
    <w:rsid w:val="002C1C5D"/>
    <w:rsid w:val="002C217C"/>
    <w:rsid w:val="002C3700"/>
    <w:rsid w:val="002C3927"/>
    <w:rsid w:val="002C4056"/>
    <w:rsid w:val="002C484F"/>
    <w:rsid w:val="002C4EF3"/>
    <w:rsid w:val="002C566E"/>
    <w:rsid w:val="002C6D0A"/>
    <w:rsid w:val="002C7086"/>
    <w:rsid w:val="002C75FF"/>
    <w:rsid w:val="002C76D8"/>
    <w:rsid w:val="002D1319"/>
    <w:rsid w:val="002D150A"/>
    <w:rsid w:val="002D154C"/>
    <w:rsid w:val="002D1796"/>
    <w:rsid w:val="002D39FE"/>
    <w:rsid w:val="002D3BCF"/>
    <w:rsid w:val="002D44D0"/>
    <w:rsid w:val="002D48BE"/>
    <w:rsid w:val="002D4946"/>
    <w:rsid w:val="002D52AE"/>
    <w:rsid w:val="002D5A1E"/>
    <w:rsid w:val="002D6790"/>
    <w:rsid w:val="002D7D08"/>
    <w:rsid w:val="002E10FB"/>
    <w:rsid w:val="002E1410"/>
    <w:rsid w:val="002E1691"/>
    <w:rsid w:val="002E169F"/>
    <w:rsid w:val="002E1E26"/>
    <w:rsid w:val="002E2C7F"/>
    <w:rsid w:val="002E3CF4"/>
    <w:rsid w:val="002E4290"/>
    <w:rsid w:val="002E4C44"/>
    <w:rsid w:val="002E53D5"/>
    <w:rsid w:val="002E6453"/>
    <w:rsid w:val="002E6C23"/>
    <w:rsid w:val="002E7495"/>
    <w:rsid w:val="002E770C"/>
    <w:rsid w:val="002E7C77"/>
    <w:rsid w:val="002E7CE1"/>
    <w:rsid w:val="002F04E7"/>
    <w:rsid w:val="002F0CB5"/>
    <w:rsid w:val="002F1445"/>
    <w:rsid w:val="002F147B"/>
    <w:rsid w:val="002F2C6F"/>
    <w:rsid w:val="002F4FD0"/>
    <w:rsid w:val="002F53C3"/>
    <w:rsid w:val="002F589F"/>
    <w:rsid w:val="002F59AF"/>
    <w:rsid w:val="002F69D6"/>
    <w:rsid w:val="002F7544"/>
    <w:rsid w:val="002F78D5"/>
    <w:rsid w:val="002F7DDA"/>
    <w:rsid w:val="00301152"/>
    <w:rsid w:val="003022AE"/>
    <w:rsid w:val="003023C7"/>
    <w:rsid w:val="003024C4"/>
    <w:rsid w:val="00302619"/>
    <w:rsid w:val="003026AD"/>
    <w:rsid w:val="00303ECA"/>
    <w:rsid w:val="0030424D"/>
    <w:rsid w:val="003051D5"/>
    <w:rsid w:val="00306E0F"/>
    <w:rsid w:val="00310426"/>
    <w:rsid w:val="00311B1B"/>
    <w:rsid w:val="003122FE"/>
    <w:rsid w:val="00313591"/>
    <w:rsid w:val="0031611A"/>
    <w:rsid w:val="00320784"/>
    <w:rsid w:val="003216E4"/>
    <w:rsid w:val="00322749"/>
    <w:rsid w:val="00322979"/>
    <w:rsid w:val="0032318F"/>
    <w:rsid w:val="00324097"/>
    <w:rsid w:val="003246E5"/>
    <w:rsid w:val="00324950"/>
    <w:rsid w:val="00325FB3"/>
    <w:rsid w:val="00326099"/>
    <w:rsid w:val="00326C54"/>
    <w:rsid w:val="0032708D"/>
    <w:rsid w:val="003303B3"/>
    <w:rsid w:val="00331FE0"/>
    <w:rsid w:val="0033257F"/>
    <w:rsid w:val="0033292D"/>
    <w:rsid w:val="003350BC"/>
    <w:rsid w:val="00335628"/>
    <w:rsid w:val="0033571D"/>
    <w:rsid w:val="00335D94"/>
    <w:rsid w:val="003363C3"/>
    <w:rsid w:val="00342576"/>
    <w:rsid w:val="00342962"/>
    <w:rsid w:val="00342FC5"/>
    <w:rsid w:val="0034397E"/>
    <w:rsid w:val="00343983"/>
    <w:rsid w:val="003444D9"/>
    <w:rsid w:val="00344D7F"/>
    <w:rsid w:val="00345338"/>
    <w:rsid w:val="0034753B"/>
    <w:rsid w:val="00347962"/>
    <w:rsid w:val="00350924"/>
    <w:rsid w:val="0035184F"/>
    <w:rsid w:val="00352C04"/>
    <w:rsid w:val="00352DCC"/>
    <w:rsid w:val="00353238"/>
    <w:rsid w:val="003532BD"/>
    <w:rsid w:val="003533E0"/>
    <w:rsid w:val="0035446A"/>
    <w:rsid w:val="003547AA"/>
    <w:rsid w:val="00354CA4"/>
    <w:rsid w:val="00355786"/>
    <w:rsid w:val="00356443"/>
    <w:rsid w:val="00356DE0"/>
    <w:rsid w:val="00357140"/>
    <w:rsid w:val="00357E5B"/>
    <w:rsid w:val="00360F85"/>
    <w:rsid w:val="003616F2"/>
    <w:rsid w:val="003618AE"/>
    <w:rsid w:val="00361F29"/>
    <w:rsid w:val="00362344"/>
    <w:rsid w:val="00362392"/>
    <w:rsid w:val="0036250A"/>
    <w:rsid w:val="00362CCC"/>
    <w:rsid w:val="003636AF"/>
    <w:rsid w:val="00363BDB"/>
    <w:rsid w:val="00364633"/>
    <w:rsid w:val="0036485E"/>
    <w:rsid w:val="003655FA"/>
    <w:rsid w:val="0036574F"/>
    <w:rsid w:val="00367493"/>
    <w:rsid w:val="00367E1E"/>
    <w:rsid w:val="00370C86"/>
    <w:rsid w:val="003720E6"/>
    <w:rsid w:val="003728C2"/>
    <w:rsid w:val="00373144"/>
    <w:rsid w:val="003731F9"/>
    <w:rsid w:val="003734FE"/>
    <w:rsid w:val="0037393B"/>
    <w:rsid w:val="00375AEE"/>
    <w:rsid w:val="00376960"/>
    <w:rsid w:val="00377EFA"/>
    <w:rsid w:val="00380088"/>
    <w:rsid w:val="00380160"/>
    <w:rsid w:val="00380E3C"/>
    <w:rsid w:val="00381F65"/>
    <w:rsid w:val="00382564"/>
    <w:rsid w:val="00382848"/>
    <w:rsid w:val="0038301B"/>
    <w:rsid w:val="00383D11"/>
    <w:rsid w:val="00384465"/>
    <w:rsid w:val="00385471"/>
    <w:rsid w:val="00385528"/>
    <w:rsid w:val="00385786"/>
    <w:rsid w:val="00385D85"/>
    <w:rsid w:val="003860B4"/>
    <w:rsid w:val="00386BAB"/>
    <w:rsid w:val="003875B1"/>
    <w:rsid w:val="00387675"/>
    <w:rsid w:val="00387A62"/>
    <w:rsid w:val="00387B47"/>
    <w:rsid w:val="00387FB2"/>
    <w:rsid w:val="00391EE4"/>
    <w:rsid w:val="003952A5"/>
    <w:rsid w:val="00395734"/>
    <w:rsid w:val="00395E13"/>
    <w:rsid w:val="0039651A"/>
    <w:rsid w:val="00397C6E"/>
    <w:rsid w:val="00397D1E"/>
    <w:rsid w:val="003A0A68"/>
    <w:rsid w:val="003A0C41"/>
    <w:rsid w:val="003A16CB"/>
    <w:rsid w:val="003A1859"/>
    <w:rsid w:val="003A1A81"/>
    <w:rsid w:val="003A21F0"/>
    <w:rsid w:val="003A3A1A"/>
    <w:rsid w:val="003A67DD"/>
    <w:rsid w:val="003A7171"/>
    <w:rsid w:val="003A73D1"/>
    <w:rsid w:val="003A7663"/>
    <w:rsid w:val="003A781B"/>
    <w:rsid w:val="003A7CAF"/>
    <w:rsid w:val="003B0BF6"/>
    <w:rsid w:val="003B1018"/>
    <w:rsid w:val="003B12C3"/>
    <w:rsid w:val="003B1E01"/>
    <w:rsid w:val="003B1E77"/>
    <w:rsid w:val="003B1FAD"/>
    <w:rsid w:val="003B21E7"/>
    <w:rsid w:val="003B2A77"/>
    <w:rsid w:val="003B37C1"/>
    <w:rsid w:val="003B4743"/>
    <w:rsid w:val="003B56D7"/>
    <w:rsid w:val="003B5E01"/>
    <w:rsid w:val="003B624D"/>
    <w:rsid w:val="003B708B"/>
    <w:rsid w:val="003C013F"/>
    <w:rsid w:val="003C0BF5"/>
    <w:rsid w:val="003C1076"/>
    <w:rsid w:val="003C1876"/>
    <w:rsid w:val="003C243B"/>
    <w:rsid w:val="003C31A8"/>
    <w:rsid w:val="003C4A7D"/>
    <w:rsid w:val="003C4DCE"/>
    <w:rsid w:val="003C55A7"/>
    <w:rsid w:val="003C73F1"/>
    <w:rsid w:val="003C7602"/>
    <w:rsid w:val="003D0DC5"/>
    <w:rsid w:val="003D3A5E"/>
    <w:rsid w:val="003D3C82"/>
    <w:rsid w:val="003D3EF2"/>
    <w:rsid w:val="003E0618"/>
    <w:rsid w:val="003E08AC"/>
    <w:rsid w:val="003E0C1A"/>
    <w:rsid w:val="003E1B58"/>
    <w:rsid w:val="003E2A56"/>
    <w:rsid w:val="003E36DD"/>
    <w:rsid w:val="003E3D3E"/>
    <w:rsid w:val="003E537D"/>
    <w:rsid w:val="003E5C8D"/>
    <w:rsid w:val="003E61B7"/>
    <w:rsid w:val="003E759B"/>
    <w:rsid w:val="003E797B"/>
    <w:rsid w:val="003E7A96"/>
    <w:rsid w:val="003F011D"/>
    <w:rsid w:val="003F0247"/>
    <w:rsid w:val="003F181A"/>
    <w:rsid w:val="003F2A68"/>
    <w:rsid w:val="003F4647"/>
    <w:rsid w:val="003F5262"/>
    <w:rsid w:val="003F54F3"/>
    <w:rsid w:val="003F555A"/>
    <w:rsid w:val="003F559F"/>
    <w:rsid w:val="003F590E"/>
    <w:rsid w:val="003F6EDE"/>
    <w:rsid w:val="003F7013"/>
    <w:rsid w:val="00400A77"/>
    <w:rsid w:val="004014E9"/>
    <w:rsid w:val="00401830"/>
    <w:rsid w:val="0040233E"/>
    <w:rsid w:val="004026F8"/>
    <w:rsid w:val="00402C96"/>
    <w:rsid w:val="00404292"/>
    <w:rsid w:val="00410457"/>
    <w:rsid w:val="004112EE"/>
    <w:rsid w:val="00411F12"/>
    <w:rsid w:val="0041361E"/>
    <w:rsid w:val="00413A21"/>
    <w:rsid w:val="00414CA3"/>
    <w:rsid w:val="0041751C"/>
    <w:rsid w:val="004210A2"/>
    <w:rsid w:val="004216A3"/>
    <w:rsid w:val="004219AB"/>
    <w:rsid w:val="004223CB"/>
    <w:rsid w:val="00422777"/>
    <w:rsid w:val="00423354"/>
    <w:rsid w:val="004241F4"/>
    <w:rsid w:val="00424562"/>
    <w:rsid w:val="00424A2D"/>
    <w:rsid w:val="00424BA9"/>
    <w:rsid w:val="00425CD7"/>
    <w:rsid w:val="004262B5"/>
    <w:rsid w:val="004265F4"/>
    <w:rsid w:val="00426D49"/>
    <w:rsid w:val="00427A47"/>
    <w:rsid w:val="00430097"/>
    <w:rsid w:val="0043019C"/>
    <w:rsid w:val="0043078E"/>
    <w:rsid w:val="00430D9C"/>
    <w:rsid w:val="004313C8"/>
    <w:rsid w:val="00431E2E"/>
    <w:rsid w:val="00432722"/>
    <w:rsid w:val="0043382D"/>
    <w:rsid w:val="0043427F"/>
    <w:rsid w:val="00434AEB"/>
    <w:rsid w:val="00435317"/>
    <w:rsid w:val="0043549D"/>
    <w:rsid w:val="004358B0"/>
    <w:rsid w:val="00435F5E"/>
    <w:rsid w:val="004365F0"/>
    <w:rsid w:val="00436D4B"/>
    <w:rsid w:val="00441A66"/>
    <w:rsid w:val="00442C41"/>
    <w:rsid w:val="00443271"/>
    <w:rsid w:val="00443988"/>
    <w:rsid w:val="00443B68"/>
    <w:rsid w:val="004441D5"/>
    <w:rsid w:val="004445B5"/>
    <w:rsid w:val="00444FC9"/>
    <w:rsid w:val="004456FB"/>
    <w:rsid w:val="004457FF"/>
    <w:rsid w:val="00445B52"/>
    <w:rsid w:val="004469F5"/>
    <w:rsid w:val="00447165"/>
    <w:rsid w:val="004500E7"/>
    <w:rsid w:val="004504FE"/>
    <w:rsid w:val="00450972"/>
    <w:rsid w:val="00450F6D"/>
    <w:rsid w:val="00451C85"/>
    <w:rsid w:val="0045391E"/>
    <w:rsid w:val="00453AA9"/>
    <w:rsid w:val="00453ADD"/>
    <w:rsid w:val="0045406D"/>
    <w:rsid w:val="00455120"/>
    <w:rsid w:val="004558B9"/>
    <w:rsid w:val="004561CC"/>
    <w:rsid w:val="00456DF6"/>
    <w:rsid w:val="00456F52"/>
    <w:rsid w:val="004613BF"/>
    <w:rsid w:val="00461B52"/>
    <w:rsid w:val="0046225D"/>
    <w:rsid w:val="00462504"/>
    <w:rsid w:val="0046305A"/>
    <w:rsid w:val="00463A19"/>
    <w:rsid w:val="004640C7"/>
    <w:rsid w:val="00465B8D"/>
    <w:rsid w:val="004675D3"/>
    <w:rsid w:val="00467B7B"/>
    <w:rsid w:val="00470D4C"/>
    <w:rsid w:val="00471F85"/>
    <w:rsid w:val="004724C0"/>
    <w:rsid w:val="00472AED"/>
    <w:rsid w:val="00472C0E"/>
    <w:rsid w:val="00473214"/>
    <w:rsid w:val="00474BFD"/>
    <w:rsid w:val="004766ED"/>
    <w:rsid w:val="00476E2C"/>
    <w:rsid w:val="0047784F"/>
    <w:rsid w:val="004778AD"/>
    <w:rsid w:val="00477F7F"/>
    <w:rsid w:val="00481C81"/>
    <w:rsid w:val="004827D8"/>
    <w:rsid w:val="004856C4"/>
    <w:rsid w:val="00487528"/>
    <w:rsid w:val="00490A2B"/>
    <w:rsid w:val="00490B6D"/>
    <w:rsid w:val="004910D9"/>
    <w:rsid w:val="00492754"/>
    <w:rsid w:val="00493467"/>
    <w:rsid w:val="0049353F"/>
    <w:rsid w:val="00493BA1"/>
    <w:rsid w:val="004943A1"/>
    <w:rsid w:val="00494B9B"/>
    <w:rsid w:val="00494BF5"/>
    <w:rsid w:val="00495051"/>
    <w:rsid w:val="00495B6D"/>
    <w:rsid w:val="00495D49"/>
    <w:rsid w:val="00496DCA"/>
    <w:rsid w:val="004977E9"/>
    <w:rsid w:val="00497893"/>
    <w:rsid w:val="004A0C80"/>
    <w:rsid w:val="004A22E0"/>
    <w:rsid w:val="004A28C6"/>
    <w:rsid w:val="004A2E84"/>
    <w:rsid w:val="004A452D"/>
    <w:rsid w:val="004A5BC6"/>
    <w:rsid w:val="004A62E7"/>
    <w:rsid w:val="004A6827"/>
    <w:rsid w:val="004A755F"/>
    <w:rsid w:val="004A7F9F"/>
    <w:rsid w:val="004B0619"/>
    <w:rsid w:val="004B12E2"/>
    <w:rsid w:val="004B1458"/>
    <w:rsid w:val="004B3566"/>
    <w:rsid w:val="004B4F19"/>
    <w:rsid w:val="004B5B9D"/>
    <w:rsid w:val="004B615E"/>
    <w:rsid w:val="004B6861"/>
    <w:rsid w:val="004C0DCD"/>
    <w:rsid w:val="004C1AF0"/>
    <w:rsid w:val="004C38E4"/>
    <w:rsid w:val="004C4173"/>
    <w:rsid w:val="004C5CFF"/>
    <w:rsid w:val="004C5DA2"/>
    <w:rsid w:val="004C641B"/>
    <w:rsid w:val="004C6E27"/>
    <w:rsid w:val="004C6E79"/>
    <w:rsid w:val="004C7469"/>
    <w:rsid w:val="004C7C33"/>
    <w:rsid w:val="004D0548"/>
    <w:rsid w:val="004D054C"/>
    <w:rsid w:val="004D0FC8"/>
    <w:rsid w:val="004D1641"/>
    <w:rsid w:val="004D190C"/>
    <w:rsid w:val="004D296C"/>
    <w:rsid w:val="004D2F0E"/>
    <w:rsid w:val="004D3BD6"/>
    <w:rsid w:val="004D3C95"/>
    <w:rsid w:val="004D3D31"/>
    <w:rsid w:val="004D543A"/>
    <w:rsid w:val="004D5C87"/>
    <w:rsid w:val="004D5F4B"/>
    <w:rsid w:val="004D69F9"/>
    <w:rsid w:val="004D723B"/>
    <w:rsid w:val="004E021C"/>
    <w:rsid w:val="004E0503"/>
    <w:rsid w:val="004E0FFD"/>
    <w:rsid w:val="004E1EEC"/>
    <w:rsid w:val="004E4F8C"/>
    <w:rsid w:val="004E50F6"/>
    <w:rsid w:val="004E5718"/>
    <w:rsid w:val="004E60A5"/>
    <w:rsid w:val="004E678D"/>
    <w:rsid w:val="004E71D4"/>
    <w:rsid w:val="004E78C3"/>
    <w:rsid w:val="004F03F0"/>
    <w:rsid w:val="004F0710"/>
    <w:rsid w:val="004F0FB4"/>
    <w:rsid w:val="004F28DA"/>
    <w:rsid w:val="004F3359"/>
    <w:rsid w:val="004F37B5"/>
    <w:rsid w:val="004F4979"/>
    <w:rsid w:val="004F6D0E"/>
    <w:rsid w:val="004F7CB0"/>
    <w:rsid w:val="004F7E0A"/>
    <w:rsid w:val="00500594"/>
    <w:rsid w:val="0050084F"/>
    <w:rsid w:val="00500F0D"/>
    <w:rsid w:val="00502A03"/>
    <w:rsid w:val="005053FC"/>
    <w:rsid w:val="00507632"/>
    <w:rsid w:val="00510866"/>
    <w:rsid w:val="00510950"/>
    <w:rsid w:val="00510DE9"/>
    <w:rsid w:val="00511197"/>
    <w:rsid w:val="005120DC"/>
    <w:rsid w:val="00512F51"/>
    <w:rsid w:val="0051312F"/>
    <w:rsid w:val="0051342E"/>
    <w:rsid w:val="005145F8"/>
    <w:rsid w:val="00514CE4"/>
    <w:rsid w:val="005213D1"/>
    <w:rsid w:val="0052188F"/>
    <w:rsid w:val="00522293"/>
    <w:rsid w:val="00522740"/>
    <w:rsid w:val="00523352"/>
    <w:rsid w:val="0052383E"/>
    <w:rsid w:val="0052446B"/>
    <w:rsid w:val="005249C2"/>
    <w:rsid w:val="00527E41"/>
    <w:rsid w:val="00530096"/>
    <w:rsid w:val="00531522"/>
    <w:rsid w:val="00531922"/>
    <w:rsid w:val="00531C65"/>
    <w:rsid w:val="00533176"/>
    <w:rsid w:val="005334B1"/>
    <w:rsid w:val="0053381C"/>
    <w:rsid w:val="005338F9"/>
    <w:rsid w:val="0053523D"/>
    <w:rsid w:val="005358A6"/>
    <w:rsid w:val="00537319"/>
    <w:rsid w:val="0053745E"/>
    <w:rsid w:val="005374D6"/>
    <w:rsid w:val="00537A52"/>
    <w:rsid w:val="00537E77"/>
    <w:rsid w:val="00540566"/>
    <w:rsid w:val="00540649"/>
    <w:rsid w:val="0054125B"/>
    <w:rsid w:val="00541A59"/>
    <w:rsid w:val="00542F37"/>
    <w:rsid w:val="005439FF"/>
    <w:rsid w:val="00544675"/>
    <w:rsid w:val="00545BAD"/>
    <w:rsid w:val="00546996"/>
    <w:rsid w:val="00547B95"/>
    <w:rsid w:val="00547C5C"/>
    <w:rsid w:val="0055154D"/>
    <w:rsid w:val="00553FF0"/>
    <w:rsid w:val="0055424A"/>
    <w:rsid w:val="00554A45"/>
    <w:rsid w:val="00555578"/>
    <w:rsid w:val="00555BB0"/>
    <w:rsid w:val="00556EBF"/>
    <w:rsid w:val="00561A16"/>
    <w:rsid w:val="00562624"/>
    <w:rsid w:val="0056269C"/>
    <w:rsid w:val="00563982"/>
    <w:rsid w:val="005655CF"/>
    <w:rsid w:val="00565A2F"/>
    <w:rsid w:val="005660ED"/>
    <w:rsid w:val="005662D9"/>
    <w:rsid w:val="0056673C"/>
    <w:rsid w:val="00567458"/>
    <w:rsid w:val="005707F1"/>
    <w:rsid w:val="00570E0E"/>
    <w:rsid w:val="005710D0"/>
    <w:rsid w:val="0057128E"/>
    <w:rsid w:val="005721DA"/>
    <w:rsid w:val="005722EA"/>
    <w:rsid w:val="00572737"/>
    <w:rsid w:val="005739B7"/>
    <w:rsid w:val="00574410"/>
    <w:rsid w:val="00574A97"/>
    <w:rsid w:val="00574B06"/>
    <w:rsid w:val="00574FE9"/>
    <w:rsid w:val="0057509C"/>
    <w:rsid w:val="005757F7"/>
    <w:rsid w:val="00576F39"/>
    <w:rsid w:val="00576F77"/>
    <w:rsid w:val="00577634"/>
    <w:rsid w:val="00577AED"/>
    <w:rsid w:val="005803DB"/>
    <w:rsid w:val="00585DED"/>
    <w:rsid w:val="005872EA"/>
    <w:rsid w:val="00587397"/>
    <w:rsid w:val="00587DF7"/>
    <w:rsid w:val="00590CE8"/>
    <w:rsid w:val="00591523"/>
    <w:rsid w:val="00596223"/>
    <w:rsid w:val="00596F9B"/>
    <w:rsid w:val="00597009"/>
    <w:rsid w:val="00597BE5"/>
    <w:rsid w:val="005A0791"/>
    <w:rsid w:val="005A1771"/>
    <w:rsid w:val="005A2549"/>
    <w:rsid w:val="005A2D0C"/>
    <w:rsid w:val="005A2D11"/>
    <w:rsid w:val="005A3527"/>
    <w:rsid w:val="005A4201"/>
    <w:rsid w:val="005A4BB1"/>
    <w:rsid w:val="005A5EA6"/>
    <w:rsid w:val="005A6A6C"/>
    <w:rsid w:val="005A7373"/>
    <w:rsid w:val="005A77EE"/>
    <w:rsid w:val="005A7C61"/>
    <w:rsid w:val="005A7E66"/>
    <w:rsid w:val="005A7EA0"/>
    <w:rsid w:val="005B0325"/>
    <w:rsid w:val="005B1303"/>
    <w:rsid w:val="005B19E1"/>
    <w:rsid w:val="005B235E"/>
    <w:rsid w:val="005B3E63"/>
    <w:rsid w:val="005B5A71"/>
    <w:rsid w:val="005B6CF4"/>
    <w:rsid w:val="005B75B3"/>
    <w:rsid w:val="005B7685"/>
    <w:rsid w:val="005B7E3F"/>
    <w:rsid w:val="005C0F38"/>
    <w:rsid w:val="005C23DE"/>
    <w:rsid w:val="005C403F"/>
    <w:rsid w:val="005C4453"/>
    <w:rsid w:val="005C4D56"/>
    <w:rsid w:val="005C5DCA"/>
    <w:rsid w:val="005C5EC8"/>
    <w:rsid w:val="005C6149"/>
    <w:rsid w:val="005C6172"/>
    <w:rsid w:val="005C638E"/>
    <w:rsid w:val="005C708C"/>
    <w:rsid w:val="005C70AE"/>
    <w:rsid w:val="005C7358"/>
    <w:rsid w:val="005C7B80"/>
    <w:rsid w:val="005C7BDF"/>
    <w:rsid w:val="005D0324"/>
    <w:rsid w:val="005D0C68"/>
    <w:rsid w:val="005D0CDA"/>
    <w:rsid w:val="005D1463"/>
    <w:rsid w:val="005D1D4D"/>
    <w:rsid w:val="005D36C6"/>
    <w:rsid w:val="005D4B27"/>
    <w:rsid w:val="005D4D95"/>
    <w:rsid w:val="005D53ED"/>
    <w:rsid w:val="005D7587"/>
    <w:rsid w:val="005E008B"/>
    <w:rsid w:val="005E0B8C"/>
    <w:rsid w:val="005E0C7A"/>
    <w:rsid w:val="005E0D79"/>
    <w:rsid w:val="005E1AA5"/>
    <w:rsid w:val="005E2896"/>
    <w:rsid w:val="005E32F0"/>
    <w:rsid w:val="005E48C0"/>
    <w:rsid w:val="005E4FFC"/>
    <w:rsid w:val="005E534F"/>
    <w:rsid w:val="005E6848"/>
    <w:rsid w:val="005E71BD"/>
    <w:rsid w:val="005E77AD"/>
    <w:rsid w:val="005F037C"/>
    <w:rsid w:val="005F0F1B"/>
    <w:rsid w:val="005F1841"/>
    <w:rsid w:val="005F25F1"/>
    <w:rsid w:val="005F29EC"/>
    <w:rsid w:val="005F39DB"/>
    <w:rsid w:val="005F4B52"/>
    <w:rsid w:val="005F6418"/>
    <w:rsid w:val="00600945"/>
    <w:rsid w:val="00601048"/>
    <w:rsid w:val="006024A4"/>
    <w:rsid w:val="00602AAC"/>
    <w:rsid w:val="00602B82"/>
    <w:rsid w:val="00603115"/>
    <w:rsid w:val="00603EE3"/>
    <w:rsid w:val="00604B61"/>
    <w:rsid w:val="00604EA7"/>
    <w:rsid w:val="00604FE9"/>
    <w:rsid w:val="00605CD4"/>
    <w:rsid w:val="00605E2F"/>
    <w:rsid w:val="00606E9B"/>
    <w:rsid w:val="0060755E"/>
    <w:rsid w:val="0060778B"/>
    <w:rsid w:val="00610202"/>
    <w:rsid w:val="00610346"/>
    <w:rsid w:val="0061075E"/>
    <w:rsid w:val="006108F7"/>
    <w:rsid w:val="0061156A"/>
    <w:rsid w:val="00612C90"/>
    <w:rsid w:val="00612FF1"/>
    <w:rsid w:val="00613921"/>
    <w:rsid w:val="006143CA"/>
    <w:rsid w:val="00614B9A"/>
    <w:rsid w:val="0061532A"/>
    <w:rsid w:val="00617427"/>
    <w:rsid w:val="006205B1"/>
    <w:rsid w:val="00621D0A"/>
    <w:rsid w:val="00622E79"/>
    <w:rsid w:val="006244EC"/>
    <w:rsid w:val="0062741A"/>
    <w:rsid w:val="00627756"/>
    <w:rsid w:val="0063041D"/>
    <w:rsid w:val="00631372"/>
    <w:rsid w:val="006314F6"/>
    <w:rsid w:val="006330EA"/>
    <w:rsid w:val="0063379E"/>
    <w:rsid w:val="00634A87"/>
    <w:rsid w:val="00634B63"/>
    <w:rsid w:val="00634C70"/>
    <w:rsid w:val="0063649F"/>
    <w:rsid w:val="0063655D"/>
    <w:rsid w:val="00636C6F"/>
    <w:rsid w:val="006370FE"/>
    <w:rsid w:val="00637611"/>
    <w:rsid w:val="00637788"/>
    <w:rsid w:val="00637B5D"/>
    <w:rsid w:val="00640844"/>
    <w:rsid w:val="00640EAB"/>
    <w:rsid w:val="00641360"/>
    <w:rsid w:val="00641534"/>
    <w:rsid w:val="006417B2"/>
    <w:rsid w:val="00642E98"/>
    <w:rsid w:val="00643494"/>
    <w:rsid w:val="00644A06"/>
    <w:rsid w:val="00647601"/>
    <w:rsid w:val="00647690"/>
    <w:rsid w:val="00650398"/>
    <w:rsid w:val="00650B20"/>
    <w:rsid w:val="00650C7E"/>
    <w:rsid w:val="00650E7A"/>
    <w:rsid w:val="00652227"/>
    <w:rsid w:val="00655B8F"/>
    <w:rsid w:val="00656F9C"/>
    <w:rsid w:val="006573F1"/>
    <w:rsid w:val="006575F9"/>
    <w:rsid w:val="00657D5B"/>
    <w:rsid w:val="00660333"/>
    <w:rsid w:val="00660743"/>
    <w:rsid w:val="00660755"/>
    <w:rsid w:val="00663063"/>
    <w:rsid w:val="006630B7"/>
    <w:rsid w:val="00663754"/>
    <w:rsid w:val="0066511C"/>
    <w:rsid w:val="00665B5A"/>
    <w:rsid w:val="00666626"/>
    <w:rsid w:val="006667AE"/>
    <w:rsid w:val="00667713"/>
    <w:rsid w:val="00667AA4"/>
    <w:rsid w:val="00671698"/>
    <w:rsid w:val="00671B11"/>
    <w:rsid w:val="00672DF9"/>
    <w:rsid w:val="00672E9A"/>
    <w:rsid w:val="0067317C"/>
    <w:rsid w:val="00673DC6"/>
    <w:rsid w:val="00674254"/>
    <w:rsid w:val="006748CD"/>
    <w:rsid w:val="00676722"/>
    <w:rsid w:val="00676EFA"/>
    <w:rsid w:val="00677583"/>
    <w:rsid w:val="006777B4"/>
    <w:rsid w:val="00677A6C"/>
    <w:rsid w:val="0068038D"/>
    <w:rsid w:val="00680B5A"/>
    <w:rsid w:val="006827A5"/>
    <w:rsid w:val="00682FCB"/>
    <w:rsid w:val="006836E5"/>
    <w:rsid w:val="0068394F"/>
    <w:rsid w:val="006843DD"/>
    <w:rsid w:val="00684896"/>
    <w:rsid w:val="0068542B"/>
    <w:rsid w:val="00686554"/>
    <w:rsid w:val="00686DC3"/>
    <w:rsid w:val="00687CF4"/>
    <w:rsid w:val="006919BE"/>
    <w:rsid w:val="00691DEC"/>
    <w:rsid w:val="006925A1"/>
    <w:rsid w:val="00692769"/>
    <w:rsid w:val="00693007"/>
    <w:rsid w:val="006939DE"/>
    <w:rsid w:val="00693C42"/>
    <w:rsid w:val="0069456C"/>
    <w:rsid w:val="0069543B"/>
    <w:rsid w:val="006960C2"/>
    <w:rsid w:val="0069792C"/>
    <w:rsid w:val="00697DEA"/>
    <w:rsid w:val="00697E72"/>
    <w:rsid w:val="006A01A1"/>
    <w:rsid w:val="006A0444"/>
    <w:rsid w:val="006A2F8F"/>
    <w:rsid w:val="006A4A11"/>
    <w:rsid w:val="006A4D77"/>
    <w:rsid w:val="006A549E"/>
    <w:rsid w:val="006A57D4"/>
    <w:rsid w:val="006A5CBF"/>
    <w:rsid w:val="006A7274"/>
    <w:rsid w:val="006A7346"/>
    <w:rsid w:val="006B19A6"/>
    <w:rsid w:val="006B1DEC"/>
    <w:rsid w:val="006B3289"/>
    <w:rsid w:val="006B3D4E"/>
    <w:rsid w:val="006B3E73"/>
    <w:rsid w:val="006B408C"/>
    <w:rsid w:val="006B4C42"/>
    <w:rsid w:val="006B53BB"/>
    <w:rsid w:val="006B5640"/>
    <w:rsid w:val="006C0CCC"/>
    <w:rsid w:val="006C0D87"/>
    <w:rsid w:val="006C1466"/>
    <w:rsid w:val="006C1639"/>
    <w:rsid w:val="006C1893"/>
    <w:rsid w:val="006C1CB4"/>
    <w:rsid w:val="006C1F20"/>
    <w:rsid w:val="006C3221"/>
    <w:rsid w:val="006C459A"/>
    <w:rsid w:val="006C5830"/>
    <w:rsid w:val="006C65F9"/>
    <w:rsid w:val="006C681C"/>
    <w:rsid w:val="006C6850"/>
    <w:rsid w:val="006C6D1D"/>
    <w:rsid w:val="006C7BF2"/>
    <w:rsid w:val="006D212D"/>
    <w:rsid w:val="006D2933"/>
    <w:rsid w:val="006D3141"/>
    <w:rsid w:val="006D3D66"/>
    <w:rsid w:val="006D430A"/>
    <w:rsid w:val="006D43DB"/>
    <w:rsid w:val="006D544F"/>
    <w:rsid w:val="006D56A2"/>
    <w:rsid w:val="006E031B"/>
    <w:rsid w:val="006E065C"/>
    <w:rsid w:val="006E1532"/>
    <w:rsid w:val="006E1C49"/>
    <w:rsid w:val="006E28A5"/>
    <w:rsid w:val="006E39FC"/>
    <w:rsid w:val="006E4FFF"/>
    <w:rsid w:val="006E5726"/>
    <w:rsid w:val="006E5AF2"/>
    <w:rsid w:val="006E5BDB"/>
    <w:rsid w:val="006E60EC"/>
    <w:rsid w:val="006F0853"/>
    <w:rsid w:val="006F18D5"/>
    <w:rsid w:val="006F1AAF"/>
    <w:rsid w:val="006F236D"/>
    <w:rsid w:val="006F32E0"/>
    <w:rsid w:val="006F3629"/>
    <w:rsid w:val="006F3994"/>
    <w:rsid w:val="006F5140"/>
    <w:rsid w:val="006F60B7"/>
    <w:rsid w:val="006F62EE"/>
    <w:rsid w:val="007010C4"/>
    <w:rsid w:val="007011A6"/>
    <w:rsid w:val="00701F57"/>
    <w:rsid w:val="00702F34"/>
    <w:rsid w:val="007045F9"/>
    <w:rsid w:val="00704930"/>
    <w:rsid w:val="00705464"/>
    <w:rsid w:val="00705659"/>
    <w:rsid w:val="007066E8"/>
    <w:rsid w:val="00706F67"/>
    <w:rsid w:val="0070707C"/>
    <w:rsid w:val="007070F7"/>
    <w:rsid w:val="00707DCA"/>
    <w:rsid w:val="00707F34"/>
    <w:rsid w:val="007115ED"/>
    <w:rsid w:val="00712382"/>
    <w:rsid w:val="00712562"/>
    <w:rsid w:val="00712AF9"/>
    <w:rsid w:val="00712F2E"/>
    <w:rsid w:val="0071334E"/>
    <w:rsid w:val="00715C45"/>
    <w:rsid w:val="0071689C"/>
    <w:rsid w:val="00716EDF"/>
    <w:rsid w:val="00717DC6"/>
    <w:rsid w:val="00720AB5"/>
    <w:rsid w:val="007211B3"/>
    <w:rsid w:val="0072191C"/>
    <w:rsid w:val="007226A8"/>
    <w:rsid w:val="007232DD"/>
    <w:rsid w:val="00723333"/>
    <w:rsid w:val="00723A08"/>
    <w:rsid w:val="00723F5B"/>
    <w:rsid w:val="00724B67"/>
    <w:rsid w:val="007251C1"/>
    <w:rsid w:val="00725B4B"/>
    <w:rsid w:val="007268AA"/>
    <w:rsid w:val="00726A14"/>
    <w:rsid w:val="00726AB4"/>
    <w:rsid w:val="00726EAA"/>
    <w:rsid w:val="0072729C"/>
    <w:rsid w:val="00727575"/>
    <w:rsid w:val="0072772A"/>
    <w:rsid w:val="00730373"/>
    <w:rsid w:val="00730BC3"/>
    <w:rsid w:val="007313CE"/>
    <w:rsid w:val="00731710"/>
    <w:rsid w:val="00731A9B"/>
    <w:rsid w:val="00731DCE"/>
    <w:rsid w:val="00732B97"/>
    <w:rsid w:val="00734A04"/>
    <w:rsid w:val="00734CA5"/>
    <w:rsid w:val="00737354"/>
    <w:rsid w:val="00740657"/>
    <w:rsid w:val="00740855"/>
    <w:rsid w:val="007408C0"/>
    <w:rsid w:val="00740F01"/>
    <w:rsid w:val="00742D33"/>
    <w:rsid w:val="00744876"/>
    <w:rsid w:val="007450F5"/>
    <w:rsid w:val="0074550F"/>
    <w:rsid w:val="00745A5A"/>
    <w:rsid w:val="00745DCF"/>
    <w:rsid w:val="007462EA"/>
    <w:rsid w:val="00746CC7"/>
    <w:rsid w:val="00750123"/>
    <w:rsid w:val="00751675"/>
    <w:rsid w:val="007522A0"/>
    <w:rsid w:val="00752303"/>
    <w:rsid w:val="00754431"/>
    <w:rsid w:val="00755061"/>
    <w:rsid w:val="00755227"/>
    <w:rsid w:val="007555C1"/>
    <w:rsid w:val="007559FA"/>
    <w:rsid w:val="00755B11"/>
    <w:rsid w:val="00756743"/>
    <w:rsid w:val="007571B8"/>
    <w:rsid w:val="00757530"/>
    <w:rsid w:val="007605A6"/>
    <w:rsid w:val="00760C49"/>
    <w:rsid w:val="007612C7"/>
    <w:rsid w:val="00761496"/>
    <w:rsid w:val="007618D1"/>
    <w:rsid w:val="00761C32"/>
    <w:rsid w:val="00761E91"/>
    <w:rsid w:val="00763AB9"/>
    <w:rsid w:val="00765527"/>
    <w:rsid w:val="00765D80"/>
    <w:rsid w:val="00765F83"/>
    <w:rsid w:val="00766734"/>
    <w:rsid w:val="00766EED"/>
    <w:rsid w:val="007672A3"/>
    <w:rsid w:val="00767D38"/>
    <w:rsid w:val="00767DDD"/>
    <w:rsid w:val="00767EC4"/>
    <w:rsid w:val="0077281C"/>
    <w:rsid w:val="00772FF4"/>
    <w:rsid w:val="0077368E"/>
    <w:rsid w:val="00774324"/>
    <w:rsid w:val="0077448D"/>
    <w:rsid w:val="00775174"/>
    <w:rsid w:val="00775304"/>
    <w:rsid w:val="0077554C"/>
    <w:rsid w:val="00776944"/>
    <w:rsid w:val="007774EB"/>
    <w:rsid w:val="00777A8A"/>
    <w:rsid w:val="0078037A"/>
    <w:rsid w:val="007808F3"/>
    <w:rsid w:val="00780B6B"/>
    <w:rsid w:val="00780DFE"/>
    <w:rsid w:val="00783DE2"/>
    <w:rsid w:val="00784577"/>
    <w:rsid w:val="00784EF3"/>
    <w:rsid w:val="007850ED"/>
    <w:rsid w:val="00785868"/>
    <w:rsid w:val="00785BD7"/>
    <w:rsid w:val="00786599"/>
    <w:rsid w:val="00786CBC"/>
    <w:rsid w:val="007875E0"/>
    <w:rsid w:val="00787B04"/>
    <w:rsid w:val="00787E4C"/>
    <w:rsid w:val="007902D3"/>
    <w:rsid w:val="00790586"/>
    <w:rsid w:val="007906D6"/>
    <w:rsid w:val="00791694"/>
    <w:rsid w:val="00791AE9"/>
    <w:rsid w:val="00791F24"/>
    <w:rsid w:val="00793846"/>
    <w:rsid w:val="007974D5"/>
    <w:rsid w:val="00797B72"/>
    <w:rsid w:val="007A01BD"/>
    <w:rsid w:val="007A0492"/>
    <w:rsid w:val="007A1342"/>
    <w:rsid w:val="007A1743"/>
    <w:rsid w:val="007A276D"/>
    <w:rsid w:val="007A283C"/>
    <w:rsid w:val="007A33CB"/>
    <w:rsid w:val="007A448F"/>
    <w:rsid w:val="007A4CB0"/>
    <w:rsid w:val="007A5C69"/>
    <w:rsid w:val="007A684A"/>
    <w:rsid w:val="007B06D8"/>
    <w:rsid w:val="007B0C76"/>
    <w:rsid w:val="007B1610"/>
    <w:rsid w:val="007B17B1"/>
    <w:rsid w:val="007B1D95"/>
    <w:rsid w:val="007B224A"/>
    <w:rsid w:val="007B2559"/>
    <w:rsid w:val="007B3C1A"/>
    <w:rsid w:val="007B3D9E"/>
    <w:rsid w:val="007B684F"/>
    <w:rsid w:val="007B7761"/>
    <w:rsid w:val="007B798B"/>
    <w:rsid w:val="007B7D9C"/>
    <w:rsid w:val="007C07A4"/>
    <w:rsid w:val="007C14E9"/>
    <w:rsid w:val="007C1AC2"/>
    <w:rsid w:val="007C233D"/>
    <w:rsid w:val="007C29EB"/>
    <w:rsid w:val="007C366C"/>
    <w:rsid w:val="007C387A"/>
    <w:rsid w:val="007C43AB"/>
    <w:rsid w:val="007C4C82"/>
    <w:rsid w:val="007C4E35"/>
    <w:rsid w:val="007C4EFF"/>
    <w:rsid w:val="007C5CFE"/>
    <w:rsid w:val="007C63EC"/>
    <w:rsid w:val="007C7117"/>
    <w:rsid w:val="007C7542"/>
    <w:rsid w:val="007C7806"/>
    <w:rsid w:val="007D0129"/>
    <w:rsid w:val="007D0FEB"/>
    <w:rsid w:val="007D116D"/>
    <w:rsid w:val="007D1AE7"/>
    <w:rsid w:val="007D1AF8"/>
    <w:rsid w:val="007D204D"/>
    <w:rsid w:val="007D4408"/>
    <w:rsid w:val="007D5651"/>
    <w:rsid w:val="007D5813"/>
    <w:rsid w:val="007D6410"/>
    <w:rsid w:val="007D6734"/>
    <w:rsid w:val="007D67A3"/>
    <w:rsid w:val="007D7692"/>
    <w:rsid w:val="007E0FCB"/>
    <w:rsid w:val="007E1068"/>
    <w:rsid w:val="007E16B4"/>
    <w:rsid w:val="007E173B"/>
    <w:rsid w:val="007E1F86"/>
    <w:rsid w:val="007E26D4"/>
    <w:rsid w:val="007E2732"/>
    <w:rsid w:val="007E2CED"/>
    <w:rsid w:val="007E2DE9"/>
    <w:rsid w:val="007E34EC"/>
    <w:rsid w:val="007E3A18"/>
    <w:rsid w:val="007E4499"/>
    <w:rsid w:val="007E46D4"/>
    <w:rsid w:val="007E5582"/>
    <w:rsid w:val="007E6763"/>
    <w:rsid w:val="007E68EC"/>
    <w:rsid w:val="007E6EC4"/>
    <w:rsid w:val="007E74A9"/>
    <w:rsid w:val="007E784B"/>
    <w:rsid w:val="007E7996"/>
    <w:rsid w:val="007E7F9B"/>
    <w:rsid w:val="007F026A"/>
    <w:rsid w:val="007F1C40"/>
    <w:rsid w:val="007F1D29"/>
    <w:rsid w:val="007F2317"/>
    <w:rsid w:val="007F3450"/>
    <w:rsid w:val="007F3CDE"/>
    <w:rsid w:val="007F5A8B"/>
    <w:rsid w:val="007F5B13"/>
    <w:rsid w:val="007F5C76"/>
    <w:rsid w:val="007F66EB"/>
    <w:rsid w:val="007F7CE6"/>
    <w:rsid w:val="00800461"/>
    <w:rsid w:val="0080099C"/>
    <w:rsid w:val="00800DA5"/>
    <w:rsid w:val="00800E19"/>
    <w:rsid w:val="0080177E"/>
    <w:rsid w:val="008020F6"/>
    <w:rsid w:val="0080224B"/>
    <w:rsid w:val="008033C9"/>
    <w:rsid w:val="00803958"/>
    <w:rsid w:val="0080457E"/>
    <w:rsid w:val="008046D6"/>
    <w:rsid w:val="00804C85"/>
    <w:rsid w:val="00804F91"/>
    <w:rsid w:val="00805AF1"/>
    <w:rsid w:val="00805B08"/>
    <w:rsid w:val="00805FFA"/>
    <w:rsid w:val="0080778C"/>
    <w:rsid w:val="00810719"/>
    <w:rsid w:val="00810A3F"/>
    <w:rsid w:val="00810DA7"/>
    <w:rsid w:val="00811220"/>
    <w:rsid w:val="0081176C"/>
    <w:rsid w:val="00814337"/>
    <w:rsid w:val="008159A7"/>
    <w:rsid w:val="00815DFF"/>
    <w:rsid w:val="008161C6"/>
    <w:rsid w:val="00816D9C"/>
    <w:rsid w:val="008179D7"/>
    <w:rsid w:val="00820F1E"/>
    <w:rsid w:val="008218E9"/>
    <w:rsid w:val="00822B5F"/>
    <w:rsid w:val="0082370B"/>
    <w:rsid w:val="00823B3F"/>
    <w:rsid w:val="00824130"/>
    <w:rsid w:val="0082506E"/>
    <w:rsid w:val="008252BA"/>
    <w:rsid w:val="00825E53"/>
    <w:rsid w:val="008268A0"/>
    <w:rsid w:val="00826FDA"/>
    <w:rsid w:val="0082739F"/>
    <w:rsid w:val="0082741E"/>
    <w:rsid w:val="00827F8F"/>
    <w:rsid w:val="00832487"/>
    <w:rsid w:val="00832570"/>
    <w:rsid w:val="0083383A"/>
    <w:rsid w:val="0083415D"/>
    <w:rsid w:val="00834CCC"/>
    <w:rsid w:val="008353C9"/>
    <w:rsid w:val="00835709"/>
    <w:rsid w:val="008359A1"/>
    <w:rsid w:val="00835D52"/>
    <w:rsid w:val="00835F4E"/>
    <w:rsid w:val="008362AD"/>
    <w:rsid w:val="00837986"/>
    <w:rsid w:val="00840F05"/>
    <w:rsid w:val="008414A3"/>
    <w:rsid w:val="00841F97"/>
    <w:rsid w:val="008435B1"/>
    <w:rsid w:val="008437B4"/>
    <w:rsid w:val="00843942"/>
    <w:rsid w:val="00843D7B"/>
    <w:rsid w:val="008442E3"/>
    <w:rsid w:val="00844606"/>
    <w:rsid w:val="00844833"/>
    <w:rsid w:val="008448C5"/>
    <w:rsid w:val="00844C19"/>
    <w:rsid w:val="00845599"/>
    <w:rsid w:val="00846ADF"/>
    <w:rsid w:val="00847BA1"/>
    <w:rsid w:val="00847F8A"/>
    <w:rsid w:val="00851AAA"/>
    <w:rsid w:val="00852028"/>
    <w:rsid w:val="00852557"/>
    <w:rsid w:val="00852768"/>
    <w:rsid w:val="00853214"/>
    <w:rsid w:val="00857078"/>
    <w:rsid w:val="00857315"/>
    <w:rsid w:val="00857D44"/>
    <w:rsid w:val="00860DC6"/>
    <w:rsid w:val="008610F3"/>
    <w:rsid w:val="00861499"/>
    <w:rsid w:val="00861C05"/>
    <w:rsid w:val="00861ED1"/>
    <w:rsid w:val="00862A00"/>
    <w:rsid w:val="00862AB5"/>
    <w:rsid w:val="00862F81"/>
    <w:rsid w:val="00863D79"/>
    <w:rsid w:val="00864064"/>
    <w:rsid w:val="008655BC"/>
    <w:rsid w:val="00866AF6"/>
    <w:rsid w:val="00870743"/>
    <w:rsid w:val="00870A32"/>
    <w:rsid w:val="00870BBE"/>
    <w:rsid w:val="00870D22"/>
    <w:rsid w:val="008716BA"/>
    <w:rsid w:val="0087215C"/>
    <w:rsid w:val="00872517"/>
    <w:rsid w:val="00873853"/>
    <w:rsid w:val="0087529D"/>
    <w:rsid w:val="00876A75"/>
    <w:rsid w:val="008776B4"/>
    <w:rsid w:val="008803E8"/>
    <w:rsid w:val="008817D0"/>
    <w:rsid w:val="008823F6"/>
    <w:rsid w:val="00882F9A"/>
    <w:rsid w:val="008852CB"/>
    <w:rsid w:val="00885331"/>
    <w:rsid w:val="00885696"/>
    <w:rsid w:val="00885B72"/>
    <w:rsid w:val="0088645D"/>
    <w:rsid w:val="00886954"/>
    <w:rsid w:val="008869A8"/>
    <w:rsid w:val="00886A96"/>
    <w:rsid w:val="00887C13"/>
    <w:rsid w:val="00887D2D"/>
    <w:rsid w:val="00893545"/>
    <w:rsid w:val="00893AEA"/>
    <w:rsid w:val="00893CBF"/>
    <w:rsid w:val="00895DEE"/>
    <w:rsid w:val="0089605F"/>
    <w:rsid w:val="00896950"/>
    <w:rsid w:val="00896FE0"/>
    <w:rsid w:val="008A0522"/>
    <w:rsid w:val="008A14EA"/>
    <w:rsid w:val="008A1CBE"/>
    <w:rsid w:val="008A2BA0"/>
    <w:rsid w:val="008A3608"/>
    <w:rsid w:val="008A38F8"/>
    <w:rsid w:val="008A51C4"/>
    <w:rsid w:val="008A5455"/>
    <w:rsid w:val="008A6066"/>
    <w:rsid w:val="008A60CD"/>
    <w:rsid w:val="008A634B"/>
    <w:rsid w:val="008A6D34"/>
    <w:rsid w:val="008A6F07"/>
    <w:rsid w:val="008A7B1B"/>
    <w:rsid w:val="008A7E8F"/>
    <w:rsid w:val="008A7EBF"/>
    <w:rsid w:val="008B02C1"/>
    <w:rsid w:val="008B0391"/>
    <w:rsid w:val="008B064A"/>
    <w:rsid w:val="008B0E51"/>
    <w:rsid w:val="008B275D"/>
    <w:rsid w:val="008B4E93"/>
    <w:rsid w:val="008B51D6"/>
    <w:rsid w:val="008B62D1"/>
    <w:rsid w:val="008B67DE"/>
    <w:rsid w:val="008B7B2F"/>
    <w:rsid w:val="008B7E39"/>
    <w:rsid w:val="008C0D3E"/>
    <w:rsid w:val="008C0EA3"/>
    <w:rsid w:val="008C127E"/>
    <w:rsid w:val="008C205D"/>
    <w:rsid w:val="008C3D20"/>
    <w:rsid w:val="008C61EC"/>
    <w:rsid w:val="008C6C0F"/>
    <w:rsid w:val="008C7214"/>
    <w:rsid w:val="008D2B4B"/>
    <w:rsid w:val="008D318A"/>
    <w:rsid w:val="008D322A"/>
    <w:rsid w:val="008D51F3"/>
    <w:rsid w:val="008D55BF"/>
    <w:rsid w:val="008D5C76"/>
    <w:rsid w:val="008D6DF8"/>
    <w:rsid w:val="008D6E09"/>
    <w:rsid w:val="008D77E2"/>
    <w:rsid w:val="008E13DD"/>
    <w:rsid w:val="008E2090"/>
    <w:rsid w:val="008E21AC"/>
    <w:rsid w:val="008E2636"/>
    <w:rsid w:val="008E2726"/>
    <w:rsid w:val="008E36AB"/>
    <w:rsid w:val="008E504C"/>
    <w:rsid w:val="008E57FF"/>
    <w:rsid w:val="008E6E19"/>
    <w:rsid w:val="008F0280"/>
    <w:rsid w:val="008F0B21"/>
    <w:rsid w:val="008F3326"/>
    <w:rsid w:val="008F35CE"/>
    <w:rsid w:val="008F3909"/>
    <w:rsid w:val="008F439D"/>
    <w:rsid w:val="008F5430"/>
    <w:rsid w:val="008F624B"/>
    <w:rsid w:val="008F62FF"/>
    <w:rsid w:val="008F7061"/>
    <w:rsid w:val="00901B84"/>
    <w:rsid w:val="00903617"/>
    <w:rsid w:val="009052C9"/>
    <w:rsid w:val="00905479"/>
    <w:rsid w:val="009059FB"/>
    <w:rsid w:val="00906095"/>
    <w:rsid w:val="009073F6"/>
    <w:rsid w:val="00907525"/>
    <w:rsid w:val="00907891"/>
    <w:rsid w:val="00907B46"/>
    <w:rsid w:val="00911681"/>
    <w:rsid w:val="00912339"/>
    <w:rsid w:val="0091237B"/>
    <w:rsid w:val="00915029"/>
    <w:rsid w:val="00916A4A"/>
    <w:rsid w:val="00916D38"/>
    <w:rsid w:val="00916F9D"/>
    <w:rsid w:val="00917B27"/>
    <w:rsid w:val="0092158A"/>
    <w:rsid w:val="00921F77"/>
    <w:rsid w:val="00922981"/>
    <w:rsid w:val="00922A48"/>
    <w:rsid w:val="009243A0"/>
    <w:rsid w:val="00926267"/>
    <w:rsid w:val="009274DA"/>
    <w:rsid w:val="009316FB"/>
    <w:rsid w:val="00931FDA"/>
    <w:rsid w:val="009322F4"/>
    <w:rsid w:val="009348E0"/>
    <w:rsid w:val="009354C2"/>
    <w:rsid w:val="00935592"/>
    <w:rsid w:val="00935DF3"/>
    <w:rsid w:val="00936A6A"/>
    <w:rsid w:val="00937667"/>
    <w:rsid w:val="009376A0"/>
    <w:rsid w:val="00940560"/>
    <w:rsid w:val="00941F14"/>
    <w:rsid w:val="00944383"/>
    <w:rsid w:val="00944A60"/>
    <w:rsid w:val="009450DA"/>
    <w:rsid w:val="009453BC"/>
    <w:rsid w:val="00945477"/>
    <w:rsid w:val="00945D1C"/>
    <w:rsid w:val="00945E0E"/>
    <w:rsid w:val="009464DF"/>
    <w:rsid w:val="009478E7"/>
    <w:rsid w:val="00947C2C"/>
    <w:rsid w:val="00947FC3"/>
    <w:rsid w:val="009503C6"/>
    <w:rsid w:val="00950D69"/>
    <w:rsid w:val="009514FC"/>
    <w:rsid w:val="009543BF"/>
    <w:rsid w:val="009545B4"/>
    <w:rsid w:val="00955628"/>
    <w:rsid w:val="00955701"/>
    <w:rsid w:val="009558F3"/>
    <w:rsid w:val="00956ABC"/>
    <w:rsid w:val="00957AC0"/>
    <w:rsid w:val="00957D2C"/>
    <w:rsid w:val="0096044A"/>
    <w:rsid w:val="00961750"/>
    <w:rsid w:val="00961780"/>
    <w:rsid w:val="00962E38"/>
    <w:rsid w:val="00963694"/>
    <w:rsid w:val="00964612"/>
    <w:rsid w:val="009653EB"/>
    <w:rsid w:val="00966138"/>
    <w:rsid w:val="009667F5"/>
    <w:rsid w:val="00967EAF"/>
    <w:rsid w:val="00970CEA"/>
    <w:rsid w:val="00971701"/>
    <w:rsid w:val="00971EF8"/>
    <w:rsid w:val="00972AAC"/>
    <w:rsid w:val="00972D13"/>
    <w:rsid w:val="00973A72"/>
    <w:rsid w:val="0097414A"/>
    <w:rsid w:val="0097498F"/>
    <w:rsid w:val="00974D7D"/>
    <w:rsid w:val="00975160"/>
    <w:rsid w:val="00975827"/>
    <w:rsid w:val="009766EB"/>
    <w:rsid w:val="009770AA"/>
    <w:rsid w:val="009833E5"/>
    <w:rsid w:val="00984EFA"/>
    <w:rsid w:val="00987230"/>
    <w:rsid w:val="009874C8"/>
    <w:rsid w:val="009876CA"/>
    <w:rsid w:val="009907B2"/>
    <w:rsid w:val="0099344E"/>
    <w:rsid w:val="0099476F"/>
    <w:rsid w:val="009963AE"/>
    <w:rsid w:val="00996EF5"/>
    <w:rsid w:val="0099727F"/>
    <w:rsid w:val="00997370"/>
    <w:rsid w:val="00997F5D"/>
    <w:rsid w:val="009A0C2E"/>
    <w:rsid w:val="009A0E55"/>
    <w:rsid w:val="009A1C9E"/>
    <w:rsid w:val="009A1E4E"/>
    <w:rsid w:val="009A2444"/>
    <w:rsid w:val="009A2AE8"/>
    <w:rsid w:val="009A2EBC"/>
    <w:rsid w:val="009A37C2"/>
    <w:rsid w:val="009A3A9A"/>
    <w:rsid w:val="009A45FF"/>
    <w:rsid w:val="009A4AB7"/>
    <w:rsid w:val="009A7C54"/>
    <w:rsid w:val="009A7EC9"/>
    <w:rsid w:val="009B0D57"/>
    <w:rsid w:val="009B0E7F"/>
    <w:rsid w:val="009B2AD3"/>
    <w:rsid w:val="009B59D4"/>
    <w:rsid w:val="009B61D4"/>
    <w:rsid w:val="009B6E0B"/>
    <w:rsid w:val="009B7AE7"/>
    <w:rsid w:val="009B7D12"/>
    <w:rsid w:val="009C1EC8"/>
    <w:rsid w:val="009C2457"/>
    <w:rsid w:val="009C2DE3"/>
    <w:rsid w:val="009C34B8"/>
    <w:rsid w:val="009C52B0"/>
    <w:rsid w:val="009C6A2E"/>
    <w:rsid w:val="009C6BD8"/>
    <w:rsid w:val="009C7385"/>
    <w:rsid w:val="009D0396"/>
    <w:rsid w:val="009D0C3B"/>
    <w:rsid w:val="009D2ED5"/>
    <w:rsid w:val="009D30F1"/>
    <w:rsid w:val="009D4471"/>
    <w:rsid w:val="009D4949"/>
    <w:rsid w:val="009D4E6A"/>
    <w:rsid w:val="009D5123"/>
    <w:rsid w:val="009D54F9"/>
    <w:rsid w:val="009D5B41"/>
    <w:rsid w:val="009E0976"/>
    <w:rsid w:val="009E21B6"/>
    <w:rsid w:val="009E2C52"/>
    <w:rsid w:val="009E3279"/>
    <w:rsid w:val="009E36BD"/>
    <w:rsid w:val="009E53D1"/>
    <w:rsid w:val="009E74EC"/>
    <w:rsid w:val="009F082A"/>
    <w:rsid w:val="009F0CDE"/>
    <w:rsid w:val="009F0E48"/>
    <w:rsid w:val="009F1660"/>
    <w:rsid w:val="009F18A2"/>
    <w:rsid w:val="009F3334"/>
    <w:rsid w:val="009F3922"/>
    <w:rsid w:val="009F3CC0"/>
    <w:rsid w:val="009F3DA6"/>
    <w:rsid w:val="009F4593"/>
    <w:rsid w:val="009F4747"/>
    <w:rsid w:val="009F4A61"/>
    <w:rsid w:val="009F5046"/>
    <w:rsid w:val="009F64CC"/>
    <w:rsid w:val="009F669A"/>
    <w:rsid w:val="009F67E1"/>
    <w:rsid w:val="009F693B"/>
    <w:rsid w:val="009F6B92"/>
    <w:rsid w:val="009F6F90"/>
    <w:rsid w:val="009F71DE"/>
    <w:rsid w:val="009F7845"/>
    <w:rsid w:val="00A0188F"/>
    <w:rsid w:val="00A01A97"/>
    <w:rsid w:val="00A025EF"/>
    <w:rsid w:val="00A030BE"/>
    <w:rsid w:val="00A050F9"/>
    <w:rsid w:val="00A05180"/>
    <w:rsid w:val="00A053CB"/>
    <w:rsid w:val="00A05839"/>
    <w:rsid w:val="00A067DF"/>
    <w:rsid w:val="00A07ACB"/>
    <w:rsid w:val="00A1021A"/>
    <w:rsid w:val="00A105AC"/>
    <w:rsid w:val="00A11C1F"/>
    <w:rsid w:val="00A12F3E"/>
    <w:rsid w:val="00A13EB5"/>
    <w:rsid w:val="00A14225"/>
    <w:rsid w:val="00A150A5"/>
    <w:rsid w:val="00A152AE"/>
    <w:rsid w:val="00A17DE8"/>
    <w:rsid w:val="00A2145C"/>
    <w:rsid w:val="00A216AF"/>
    <w:rsid w:val="00A22904"/>
    <w:rsid w:val="00A236C8"/>
    <w:rsid w:val="00A2517A"/>
    <w:rsid w:val="00A27804"/>
    <w:rsid w:val="00A27A5C"/>
    <w:rsid w:val="00A30B24"/>
    <w:rsid w:val="00A30BCA"/>
    <w:rsid w:val="00A30DA2"/>
    <w:rsid w:val="00A30DAD"/>
    <w:rsid w:val="00A31D97"/>
    <w:rsid w:val="00A32458"/>
    <w:rsid w:val="00A32891"/>
    <w:rsid w:val="00A32B0A"/>
    <w:rsid w:val="00A337C5"/>
    <w:rsid w:val="00A34897"/>
    <w:rsid w:val="00A34988"/>
    <w:rsid w:val="00A3502B"/>
    <w:rsid w:val="00A36179"/>
    <w:rsid w:val="00A36D5A"/>
    <w:rsid w:val="00A372A2"/>
    <w:rsid w:val="00A40C40"/>
    <w:rsid w:val="00A416F8"/>
    <w:rsid w:val="00A431AC"/>
    <w:rsid w:val="00A44CA3"/>
    <w:rsid w:val="00A45077"/>
    <w:rsid w:val="00A453F5"/>
    <w:rsid w:val="00A46256"/>
    <w:rsid w:val="00A46B6D"/>
    <w:rsid w:val="00A509AD"/>
    <w:rsid w:val="00A51AA5"/>
    <w:rsid w:val="00A531B5"/>
    <w:rsid w:val="00A54F0E"/>
    <w:rsid w:val="00A54FE6"/>
    <w:rsid w:val="00A5547B"/>
    <w:rsid w:val="00A55A12"/>
    <w:rsid w:val="00A56053"/>
    <w:rsid w:val="00A560F3"/>
    <w:rsid w:val="00A56188"/>
    <w:rsid w:val="00A561D8"/>
    <w:rsid w:val="00A56423"/>
    <w:rsid w:val="00A5652D"/>
    <w:rsid w:val="00A5737C"/>
    <w:rsid w:val="00A5779B"/>
    <w:rsid w:val="00A57B0A"/>
    <w:rsid w:val="00A60042"/>
    <w:rsid w:val="00A60B91"/>
    <w:rsid w:val="00A6230C"/>
    <w:rsid w:val="00A6296A"/>
    <w:rsid w:val="00A642E4"/>
    <w:rsid w:val="00A6466A"/>
    <w:rsid w:val="00A6479D"/>
    <w:rsid w:val="00A64EF9"/>
    <w:rsid w:val="00A651EF"/>
    <w:rsid w:val="00A66022"/>
    <w:rsid w:val="00A661E7"/>
    <w:rsid w:val="00A66D0C"/>
    <w:rsid w:val="00A67545"/>
    <w:rsid w:val="00A67E7C"/>
    <w:rsid w:val="00A71208"/>
    <w:rsid w:val="00A71551"/>
    <w:rsid w:val="00A717E0"/>
    <w:rsid w:val="00A722CB"/>
    <w:rsid w:val="00A7353B"/>
    <w:rsid w:val="00A73A7A"/>
    <w:rsid w:val="00A7447E"/>
    <w:rsid w:val="00A75A54"/>
    <w:rsid w:val="00A75D3B"/>
    <w:rsid w:val="00A776B1"/>
    <w:rsid w:val="00A81A39"/>
    <w:rsid w:val="00A839EC"/>
    <w:rsid w:val="00A85234"/>
    <w:rsid w:val="00A85DAA"/>
    <w:rsid w:val="00A86156"/>
    <w:rsid w:val="00A86D1C"/>
    <w:rsid w:val="00A877AD"/>
    <w:rsid w:val="00A878C3"/>
    <w:rsid w:val="00A90F09"/>
    <w:rsid w:val="00A92CD5"/>
    <w:rsid w:val="00A94540"/>
    <w:rsid w:val="00A94C8B"/>
    <w:rsid w:val="00A96723"/>
    <w:rsid w:val="00A9682D"/>
    <w:rsid w:val="00AA0644"/>
    <w:rsid w:val="00AA2B70"/>
    <w:rsid w:val="00AA2CCA"/>
    <w:rsid w:val="00AA2D2A"/>
    <w:rsid w:val="00AA37DF"/>
    <w:rsid w:val="00AA3A20"/>
    <w:rsid w:val="00AA4993"/>
    <w:rsid w:val="00AA4C2F"/>
    <w:rsid w:val="00AA6DE2"/>
    <w:rsid w:val="00AA7390"/>
    <w:rsid w:val="00AB0463"/>
    <w:rsid w:val="00AB16BD"/>
    <w:rsid w:val="00AB196F"/>
    <w:rsid w:val="00AB1A37"/>
    <w:rsid w:val="00AB1A40"/>
    <w:rsid w:val="00AB28F8"/>
    <w:rsid w:val="00AB2BD5"/>
    <w:rsid w:val="00AB4491"/>
    <w:rsid w:val="00AB53F7"/>
    <w:rsid w:val="00AB540E"/>
    <w:rsid w:val="00AB5422"/>
    <w:rsid w:val="00AB5690"/>
    <w:rsid w:val="00AB5C99"/>
    <w:rsid w:val="00AB60D7"/>
    <w:rsid w:val="00AB61C9"/>
    <w:rsid w:val="00AB6460"/>
    <w:rsid w:val="00AC060A"/>
    <w:rsid w:val="00AC0A3A"/>
    <w:rsid w:val="00AC1654"/>
    <w:rsid w:val="00AC2660"/>
    <w:rsid w:val="00AC39E9"/>
    <w:rsid w:val="00AC4427"/>
    <w:rsid w:val="00AC49A4"/>
    <w:rsid w:val="00AC4BD9"/>
    <w:rsid w:val="00AC4D29"/>
    <w:rsid w:val="00AC5A34"/>
    <w:rsid w:val="00AC5B75"/>
    <w:rsid w:val="00AC6B8E"/>
    <w:rsid w:val="00AC7F9A"/>
    <w:rsid w:val="00AD07DA"/>
    <w:rsid w:val="00AD1931"/>
    <w:rsid w:val="00AD238A"/>
    <w:rsid w:val="00AD2FFD"/>
    <w:rsid w:val="00AD3A1D"/>
    <w:rsid w:val="00AD479A"/>
    <w:rsid w:val="00AD4D40"/>
    <w:rsid w:val="00AD5047"/>
    <w:rsid w:val="00AD75AA"/>
    <w:rsid w:val="00AD79C0"/>
    <w:rsid w:val="00AE0986"/>
    <w:rsid w:val="00AE103C"/>
    <w:rsid w:val="00AE1171"/>
    <w:rsid w:val="00AE12C7"/>
    <w:rsid w:val="00AE217F"/>
    <w:rsid w:val="00AE2AF2"/>
    <w:rsid w:val="00AE3595"/>
    <w:rsid w:val="00AE3DBE"/>
    <w:rsid w:val="00AE425E"/>
    <w:rsid w:val="00AE431B"/>
    <w:rsid w:val="00AE457D"/>
    <w:rsid w:val="00AE46B5"/>
    <w:rsid w:val="00AE4F90"/>
    <w:rsid w:val="00AE4F95"/>
    <w:rsid w:val="00AE5347"/>
    <w:rsid w:val="00AE55C0"/>
    <w:rsid w:val="00AE617C"/>
    <w:rsid w:val="00AE6B10"/>
    <w:rsid w:val="00AE6ECC"/>
    <w:rsid w:val="00AE7494"/>
    <w:rsid w:val="00AE7F24"/>
    <w:rsid w:val="00AF0A6E"/>
    <w:rsid w:val="00AF1D9D"/>
    <w:rsid w:val="00AF3D5C"/>
    <w:rsid w:val="00AF49E2"/>
    <w:rsid w:val="00AF59E1"/>
    <w:rsid w:val="00AF62FB"/>
    <w:rsid w:val="00AF6DFA"/>
    <w:rsid w:val="00AF708B"/>
    <w:rsid w:val="00AF7E23"/>
    <w:rsid w:val="00B00791"/>
    <w:rsid w:val="00B0098A"/>
    <w:rsid w:val="00B00EA9"/>
    <w:rsid w:val="00B01714"/>
    <w:rsid w:val="00B01D59"/>
    <w:rsid w:val="00B0231C"/>
    <w:rsid w:val="00B0289C"/>
    <w:rsid w:val="00B02B03"/>
    <w:rsid w:val="00B05273"/>
    <w:rsid w:val="00B06834"/>
    <w:rsid w:val="00B070B7"/>
    <w:rsid w:val="00B072C8"/>
    <w:rsid w:val="00B10040"/>
    <w:rsid w:val="00B108C3"/>
    <w:rsid w:val="00B10ABA"/>
    <w:rsid w:val="00B10DBC"/>
    <w:rsid w:val="00B11223"/>
    <w:rsid w:val="00B118F2"/>
    <w:rsid w:val="00B13541"/>
    <w:rsid w:val="00B13E21"/>
    <w:rsid w:val="00B16BCF"/>
    <w:rsid w:val="00B1732E"/>
    <w:rsid w:val="00B17C65"/>
    <w:rsid w:val="00B20613"/>
    <w:rsid w:val="00B211A6"/>
    <w:rsid w:val="00B2148D"/>
    <w:rsid w:val="00B2245B"/>
    <w:rsid w:val="00B22A30"/>
    <w:rsid w:val="00B2313A"/>
    <w:rsid w:val="00B23B1E"/>
    <w:rsid w:val="00B2403C"/>
    <w:rsid w:val="00B24190"/>
    <w:rsid w:val="00B2426C"/>
    <w:rsid w:val="00B24E94"/>
    <w:rsid w:val="00B30196"/>
    <w:rsid w:val="00B30238"/>
    <w:rsid w:val="00B306F2"/>
    <w:rsid w:val="00B31637"/>
    <w:rsid w:val="00B318DA"/>
    <w:rsid w:val="00B3190F"/>
    <w:rsid w:val="00B325AD"/>
    <w:rsid w:val="00B32950"/>
    <w:rsid w:val="00B347D8"/>
    <w:rsid w:val="00B34DE5"/>
    <w:rsid w:val="00B3500E"/>
    <w:rsid w:val="00B3544A"/>
    <w:rsid w:val="00B358E3"/>
    <w:rsid w:val="00B37196"/>
    <w:rsid w:val="00B37582"/>
    <w:rsid w:val="00B37FF8"/>
    <w:rsid w:val="00B40145"/>
    <w:rsid w:val="00B40ED9"/>
    <w:rsid w:val="00B41907"/>
    <w:rsid w:val="00B41E96"/>
    <w:rsid w:val="00B423F1"/>
    <w:rsid w:val="00B43D75"/>
    <w:rsid w:val="00B44677"/>
    <w:rsid w:val="00B45E2E"/>
    <w:rsid w:val="00B4605E"/>
    <w:rsid w:val="00B46D7E"/>
    <w:rsid w:val="00B46FD7"/>
    <w:rsid w:val="00B47066"/>
    <w:rsid w:val="00B47977"/>
    <w:rsid w:val="00B504F8"/>
    <w:rsid w:val="00B50AF8"/>
    <w:rsid w:val="00B51547"/>
    <w:rsid w:val="00B516D3"/>
    <w:rsid w:val="00B52AA3"/>
    <w:rsid w:val="00B53C71"/>
    <w:rsid w:val="00B54877"/>
    <w:rsid w:val="00B5558F"/>
    <w:rsid w:val="00B5597B"/>
    <w:rsid w:val="00B565FA"/>
    <w:rsid w:val="00B56D84"/>
    <w:rsid w:val="00B5747B"/>
    <w:rsid w:val="00B61DED"/>
    <w:rsid w:val="00B61E23"/>
    <w:rsid w:val="00B61E7D"/>
    <w:rsid w:val="00B6301D"/>
    <w:rsid w:val="00B63856"/>
    <w:rsid w:val="00B63C36"/>
    <w:rsid w:val="00B65B55"/>
    <w:rsid w:val="00B665EC"/>
    <w:rsid w:val="00B70145"/>
    <w:rsid w:val="00B70AC6"/>
    <w:rsid w:val="00B70C77"/>
    <w:rsid w:val="00B71169"/>
    <w:rsid w:val="00B71C24"/>
    <w:rsid w:val="00B73963"/>
    <w:rsid w:val="00B7584B"/>
    <w:rsid w:val="00B75BDF"/>
    <w:rsid w:val="00B7605D"/>
    <w:rsid w:val="00B763F1"/>
    <w:rsid w:val="00B76F4D"/>
    <w:rsid w:val="00B77309"/>
    <w:rsid w:val="00B7778B"/>
    <w:rsid w:val="00B77873"/>
    <w:rsid w:val="00B77C32"/>
    <w:rsid w:val="00B802A1"/>
    <w:rsid w:val="00B8043A"/>
    <w:rsid w:val="00B8070F"/>
    <w:rsid w:val="00B82265"/>
    <w:rsid w:val="00B83AAF"/>
    <w:rsid w:val="00B83D9B"/>
    <w:rsid w:val="00B84CED"/>
    <w:rsid w:val="00B86965"/>
    <w:rsid w:val="00B901CB"/>
    <w:rsid w:val="00B90460"/>
    <w:rsid w:val="00B91503"/>
    <w:rsid w:val="00B923EE"/>
    <w:rsid w:val="00B92D8C"/>
    <w:rsid w:val="00B92F6B"/>
    <w:rsid w:val="00B9323D"/>
    <w:rsid w:val="00B9360B"/>
    <w:rsid w:val="00B94083"/>
    <w:rsid w:val="00B9533C"/>
    <w:rsid w:val="00BA0FE6"/>
    <w:rsid w:val="00BA1434"/>
    <w:rsid w:val="00BA23E3"/>
    <w:rsid w:val="00BA45F2"/>
    <w:rsid w:val="00BA472E"/>
    <w:rsid w:val="00BA47FC"/>
    <w:rsid w:val="00BA6703"/>
    <w:rsid w:val="00BA74FE"/>
    <w:rsid w:val="00BA77F0"/>
    <w:rsid w:val="00BA7BF8"/>
    <w:rsid w:val="00BB00E1"/>
    <w:rsid w:val="00BB07FF"/>
    <w:rsid w:val="00BB1AB7"/>
    <w:rsid w:val="00BB1ACA"/>
    <w:rsid w:val="00BB21C0"/>
    <w:rsid w:val="00BB272B"/>
    <w:rsid w:val="00BB2F7E"/>
    <w:rsid w:val="00BB5620"/>
    <w:rsid w:val="00BB5AB5"/>
    <w:rsid w:val="00BB7AC9"/>
    <w:rsid w:val="00BC02B9"/>
    <w:rsid w:val="00BC08A7"/>
    <w:rsid w:val="00BC0A3A"/>
    <w:rsid w:val="00BC0EFD"/>
    <w:rsid w:val="00BC1C4D"/>
    <w:rsid w:val="00BC2778"/>
    <w:rsid w:val="00BC4290"/>
    <w:rsid w:val="00BC46D3"/>
    <w:rsid w:val="00BC473D"/>
    <w:rsid w:val="00BC4777"/>
    <w:rsid w:val="00BC5D50"/>
    <w:rsid w:val="00BC5FF3"/>
    <w:rsid w:val="00BC76F2"/>
    <w:rsid w:val="00BC7A21"/>
    <w:rsid w:val="00BD1754"/>
    <w:rsid w:val="00BD2B87"/>
    <w:rsid w:val="00BD33D5"/>
    <w:rsid w:val="00BD38C9"/>
    <w:rsid w:val="00BD3C7E"/>
    <w:rsid w:val="00BD3CE8"/>
    <w:rsid w:val="00BD3F26"/>
    <w:rsid w:val="00BD491E"/>
    <w:rsid w:val="00BD6329"/>
    <w:rsid w:val="00BD64F5"/>
    <w:rsid w:val="00BD68DC"/>
    <w:rsid w:val="00BD7383"/>
    <w:rsid w:val="00BE0FDE"/>
    <w:rsid w:val="00BE140B"/>
    <w:rsid w:val="00BE369D"/>
    <w:rsid w:val="00BE4CB5"/>
    <w:rsid w:val="00BE5080"/>
    <w:rsid w:val="00BE5B78"/>
    <w:rsid w:val="00BE60B1"/>
    <w:rsid w:val="00BE6418"/>
    <w:rsid w:val="00BE6562"/>
    <w:rsid w:val="00BE68CC"/>
    <w:rsid w:val="00BE6A3A"/>
    <w:rsid w:val="00BE7A49"/>
    <w:rsid w:val="00BF1A64"/>
    <w:rsid w:val="00BF2DF8"/>
    <w:rsid w:val="00BF36A6"/>
    <w:rsid w:val="00BF45B6"/>
    <w:rsid w:val="00BF4F90"/>
    <w:rsid w:val="00BF5378"/>
    <w:rsid w:val="00BF5B19"/>
    <w:rsid w:val="00BF6001"/>
    <w:rsid w:val="00BF6088"/>
    <w:rsid w:val="00BF69FC"/>
    <w:rsid w:val="00BF6F41"/>
    <w:rsid w:val="00C0003C"/>
    <w:rsid w:val="00C007F8"/>
    <w:rsid w:val="00C00908"/>
    <w:rsid w:val="00C014F6"/>
    <w:rsid w:val="00C01DA2"/>
    <w:rsid w:val="00C01F9E"/>
    <w:rsid w:val="00C02866"/>
    <w:rsid w:val="00C03015"/>
    <w:rsid w:val="00C04438"/>
    <w:rsid w:val="00C04BFE"/>
    <w:rsid w:val="00C066CE"/>
    <w:rsid w:val="00C06C1B"/>
    <w:rsid w:val="00C07E8D"/>
    <w:rsid w:val="00C1128A"/>
    <w:rsid w:val="00C11B80"/>
    <w:rsid w:val="00C1261A"/>
    <w:rsid w:val="00C13B1E"/>
    <w:rsid w:val="00C15AC7"/>
    <w:rsid w:val="00C15BD4"/>
    <w:rsid w:val="00C16CFA"/>
    <w:rsid w:val="00C20352"/>
    <w:rsid w:val="00C20D04"/>
    <w:rsid w:val="00C21B61"/>
    <w:rsid w:val="00C21D9F"/>
    <w:rsid w:val="00C22618"/>
    <w:rsid w:val="00C22BC3"/>
    <w:rsid w:val="00C22E39"/>
    <w:rsid w:val="00C23226"/>
    <w:rsid w:val="00C2391F"/>
    <w:rsid w:val="00C23FDB"/>
    <w:rsid w:val="00C24A73"/>
    <w:rsid w:val="00C24D85"/>
    <w:rsid w:val="00C24FD1"/>
    <w:rsid w:val="00C265E9"/>
    <w:rsid w:val="00C303AA"/>
    <w:rsid w:val="00C3057D"/>
    <w:rsid w:val="00C315B9"/>
    <w:rsid w:val="00C31BFE"/>
    <w:rsid w:val="00C325B1"/>
    <w:rsid w:val="00C333F7"/>
    <w:rsid w:val="00C34176"/>
    <w:rsid w:val="00C344A8"/>
    <w:rsid w:val="00C34E8C"/>
    <w:rsid w:val="00C35524"/>
    <w:rsid w:val="00C359B2"/>
    <w:rsid w:val="00C35CF5"/>
    <w:rsid w:val="00C360CF"/>
    <w:rsid w:val="00C367F9"/>
    <w:rsid w:val="00C36EE3"/>
    <w:rsid w:val="00C37483"/>
    <w:rsid w:val="00C37C88"/>
    <w:rsid w:val="00C404DC"/>
    <w:rsid w:val="00C4069B"/>
    <w:rsid w:val="00C41FDE"/>
    <w:rsid w:val="00C4261F"/>
    <w:rsid w:val="00C431E3"/>
    <w:rsid w:val="00C4457C"/>
    <w:rsid w:val="00C45284"/>
    <w:rsid w:val="00C45720"/>
    <w:rsid w:val="00C45746"/>
    <w:rsid w:val="00C46D4D"/>
    <w:rsid w:val="00C46DF9"/>
    <w:rsid w:val="00C4759B"/>
    <w:rsid w:val="00C47E74"/>
    <w:rsid w:val="00C51E00"/>
    <w:rsid w:val="00C5256F"/>
    <w:rsid w:val="00C531FB"/>
    <w:rsid w:val="00C54098"/>
    <w:rsid w:val="00C5452C"/>
    <w:rsid w:val="00C55388"/>
    <w:rsid w:val="00C5543A"/>
    <w:rsid w:val="00C55CCA"/>
    <w:rsid w:val="00C56095"/>
    <w:rsid w:val="00C574CB"/>
    <w:rsid w:val="00C60731"/>
    <w:rsid w:val="00C608E1"/>
    <w:rsid w:val="00C62F12"/>
    <w:rsid w:val="00C63BEF"/>
    <w:rsid w:val="00C643D0"/>
    <w:rsid w:val="00C645E6"/>
    <w:rsid w:val="00C658BA"/>
    <w:rsid w:val="00C664B2"/>
    <w:rsid w:val="00C66527"/>
    <w:rsid w:val="00C6733F"/>
    <w:rsid w:val="00C673F9"/>
    <w:rsid w:val="00C67E23"/>
    <w:rsid w:val="00C71547"/>
    <w:rsid w:val="00C71878"/>
    <w:rsid w:val="00C72357"/>
    <w:rsid w:val="00C72402"/>
    <w:rsid w:val="00C72A7C"/>
    <w:rsid w:val="00C72DA8"/>
    <w:rsid w:val="00C73361"/>
    <w:rsid w:val="00C7372A"/>
    <w:rsid w:val="00C73915"/>
    <w:rsid w:val="00C7399D"/>
    <w:rsid w:val="00C73C24"/>
    <w:rsid w:val="00C7403C"/>
    <w:rsid w:val="00C74BE3"/>
    <w:rsid w:val="00C75D19"/>
    <w:rsid w:val="00C75E28"/>
    <w:rsid w:val="00C7680E"/>
    <w:rsid w:val="00C7695A"/>
    <w:rsid w:val="00C7728C"/>
    <w:rsid w:val="00C77D15"/>
    <w:rsid w:val="00C802C1"/>
    <w:rsid w:val="00C80787"/>
    <w:rsid w:val="00C822C2"/>
    <w:rsid w:val="00C822E5"/>
    <w:rsid w:val="00C84508"/>
    <w:rsid w:val="00C86407"/>
    <w:rsid w:val="00C87AA5"/>
    <w:rsid w:val="00C9149E"/>
    <w:rsid w:val="00C914CD"/>
    <w:rsid w:val="00C91CE0"/>
    <w:rsid w:val="00C92611"/>
    <w:rsid w:val="00C92BFC"/>
    <w:rsid w:val="00C93B3D"/>
    <w:rsid w:val="00C948F4"/>
    <w:rsid w:val="00C95242"/>
    <w:rsid w:val="00C95D9E"/>
    <w:rsid w:val="00C966FA"/>
    <w:rsid w:val="00C96913"/>
    <w:rsid w:val="00C96AD2"/>
    <w:rsid w:val="00C97E1B"/>
    <w:rsid w:val="00CA05C9"/>
    <w:rsid w:val="00CA199C"/>
    <w:rsid w:val="00CA3A69"/>
    <w:rsid w:val="00CA3F70"/>
    <w:rsid w:val="00CA3FE2"/>
    <w:rsid w:val="00CA44AA"/>
    <w:rsid w:val="00CA4DFC"/>
    <w:rsid w:val="00CA5EA5"/>
    <w:rsid w:val="00CA63AA"/>
    <w:rsid w:val="00CA77A7"/>
    <w:rsid w:val="00CB1209"/>
    <w:rsid w:val="00CB1684"/>
    <w:rsid w:val="00CB2955"/>
    <w:rsid w:val="00CB368F"/>
    <w:rsid w:val="00CB3BBD"/>
    <w:rsid w:val="00CB419E"/>
    <w:rsid w:val="00CB4DEA"/>
    <w:rsid w:val="00CB59EE"/>
    <w:rsid w:val="00CB5B3A"/>
    <w:rsid w:val="00CB6AC2"/>
    <w:rsid w:val="00CB7B52"/>
    <w:rsid w:val="00CB7C97"/>
    <w:rsid w:val="00CB7D12"/>
    <w:rsid w:val="00CB7D4A"/>
    <w:rsid w:val="00CC2BB7"/>
    <w:rsid w:val="00CC3435"/>
    <w:rsid w:val="00CC45AB"/>
    <w:rsid w:val="00CC493A"/>
    <w:rsid w:val="00CC5032"/>
    <w:rsid w:val="00CC57A0"/>
    <w:rsid w:val="00CD1A96"/>
    <w:rsid w:val="00CD24EE"/>
    <w:rsid w:val="00CD2859"/>
    <w:rsid w:val="00CD36E3"/>
    <w:rsid w:val="00CD3B34"/>
    <w:rsid w:val="00CD4D90"/>
    <w:rsid w:val="00CD5047"/>
    <w:rsid w:val="00CD5CC0"/>
    <w:rsid w:val="00CE0046"/>
    <w:rsid w:val="00CE0885"/>
    <w:rsid w:val="00CE0BFD"/>
    <w:rsid w:val="00CE1413"/>
    <w:rsid w:val="00CE351F"/>
    <w:rsid w:val="00CE4DE3"/>
    <w:rsid w:val="00CE5A75"/>
    <w:rsid w:val="00CE6274"/>
    <w:rsid w:val="00CE64D2"/>
    <w:rsid w:val="00CE6DBB"/>
    <w:rsid w:val="00CE7AFD"/>
    <w:rsid w:val="00CF03FB"/>
    <w:rsid w:val="00CF0F10"/>
    <w:rsid w:val="00CF15D4"/>
    <w:rsid w:val="00CF2206"/>
    <w:rsid w:val="00CF59F1"/>
    <w:rsid w:val="00CF6636"/>
    <w:rsid w:val="00D0025D"/>
    <w:rsid w:val="00D00F19"/>
    <w:rsid w:val="00D00F99"/>
    <w:rsid w:val="00D0197A"/>
    <w:rsid w:val="00D0268F"/>
    <w:rsid w:val="00D026CF"/>
    <w:rsid w:val="00D02F18"/>
    <w:rsid w:val="00D030A0"/>
    <w:rsid w:val="00D03946"/>
    <w:rsid w:val="00D0415A"/>
    <w:rsid w:val="00D050B2"/>
    <w:rsid w:val="00D1062D"/>
    <w:rsid w:val="00D107EB"/>
    <w:rsid w:val="00D124D4"/>
    <w:rsid w:val="00D127F0"/>
    <w:rsid w:val="00D12FED"/>
    <w:rsid w:val="00D13413"/>
    <w:rsid w:val="00D13958"/>
    <w:rsid w:val="00D15898"/>
    <w:rsid w:val="00D1617F"/>
    <w:rsid w:val="00D16358"/>
    <w:rsid w:val="00D166F5"/>
    <w:rsid w:val="00D169AE"/>
    <w:rsid w:val="00D173C8"/>
    <w:rsid w:val="00D17C3F"/>
    <w:rsid w:val="00D17EAB"/>
    <w:rsid w:val="00D206B5"/>
    <w:rsid w:val="00D210A7"/>
    <w:rsid w:val="00D216AE"/>
    <w:rsid w:val="00D2296D"/>
    <w:rsid w:val="00D2376A"/>
    <w:rsid w:val="00D24990"/>
    <w:rsid w:val="00D24FA9"/>
    <w:rsid w:val="00D258EC"/>
    <w:rsid w:val="00D25FF9"/>
    <w:rsid w:val="00D2617B"/>
    <w:rsid w:val="00D27403"/>
    <w:rsid w:val="00D305C0"/>
    <w:rsid w:val="00D310EF"/>
    <w:rsid w:val="00D31E94"/>
    <w:rsid w:val="00D321AE"/>
    <w:rsid w:val="00D32473"/>
    <w:rsid w:val="00D32C7E"/>
    <w:rsid w:val="00D3301D"/>
    <w:rsid w:val="00D3399A"/>
    <w:rsid w:val="00D35EEF"/>
    <w:rsid w:val="00D36788"/>
    <w:rsid w:val="00D36994"/>
    <w:rsid w:val="00D36AB2"/>
    <w:rsid w:val="00D405E9"/>
    <w:rsid w:val="00D40D69"/>
    <w:rsid w:val="00D42345"/>
    <w:rsid w:val="00D43BC8"/>
    <w:rsid w:val="00D43D83"/>
    <w:rsid w:val="00D4471D"/>
    <w:rsid w:val="00D44CBA"/>
    <w:rsid w:val="00D451C3"/>
    <w:rsid w:val="00D45D4E"/>
    <w:rsid w:val="00D463C2"/>
    <w:rsid w:val="00D46E95"/>
    <w:rsid w:val="00D47395"/>
    <w:rsid w:val="00D47859"/>
    <w:rsid w:val="00D5082E"/>
    <w:rsid w:val="00D511A2"/>
    <w:rsid w:val="00D518AB"/>
    <w:rsid w:val="00D51F75"/>
    <w:rsid w:val="00D523BC"/>
    <w:rsid w:val="00D53630"/>
    <w:rsid w:val="00D53B35"/>
    <w:rsid w:val="00D54904"/>
    <w:rsid w:val="00D54FA2"/>
    <w:rsid w:val="00D553F3"/>
    <w:rsid w:val="00D55555"/>
    <w:rsid w:val="00D55B21"/>
    <w:rsid w:val="00D566A9"/>
    <w:rsid w:val="00D56F42"/>
    <w:rsid w:val="00D56FAE"/>
    <w:rsid w:val="00D5740A"/>
    <w:rsid w:val="00D575BF"/>
    <w:rsid w:val="00D600AE"/>
    <w:rsid w:val="00D61525"/>
    <w:rsid w:val="00D615FF"/>
    <w:rsid w:val="00D61659"/>
    <w:rsid w:val="00D61C09"/>
    <w:rsid w:val="00D61DB3"/>
    <w:rsid w:val="00D65B7D"/>
    <w:rsid w:val="00D67F2F"/>
    <w:rsid w:val="00D701B3"/>
    <w:rsid w:val="00D7069A"/>
    <w:rsid w:val="00D70790"/>
    <w:rsid w:val="00D71310"/>
    <w:rsid w:val="00D72B65"/>
    <w:rsid w:val="00D73C44"/>
    <w:rsid w:val="00D74713"/>
    <w:rsid w:val="00D75A1B"/>
    <w:rsid w:val="00D762C8"/>
    <w:rsid w:val="00D762E6"/>
    <w:rsid w:val="00D77219"/>
    <w:rsid w:val="00D77258"/>
    <w:rsid w:val="00D77D61"/>
    <w:rsid w:val="00D80CD6"/>
    <w:rsid w:val="00D811FB"/>
    <w:rsid w:val="00D8140E"/>
    <w:rsid w:val="00D814AC"/>
    <w:rsid w:val="00D815C4"/>
    <w:rsid w:val="00D81E77"/>
    <w:rsid w:val="00D83AF9"/>
    <w:rsid w:val="00D83C26"/>
    <w:rsid w:val="00D84F7D"/>
    <w:rsid w:val="00D85C63"/>
    <w:rsid w:val="00D86D33"/>
    <w:rsid w:val="00D8712A"/>
    <w:rsid w:val="00D90C26"/>
    <w:rsid w:val="00D91EFC"/>
    <w:rsid w:val="00D920E5"/>
    <w:rsid w:val="00D92B57"/>
    <w:rsid w:val="00D933AD"/>
    <w:rsid w:val="00D935CE"/>
    <w:rsid w:val="00D9380A"/>
    <w:rsid w:val="00D93E04"/>
    <w:rsid w:val="00D9407F"/>
    <w:rsid w:val="00D94562"/>
    <w:rsid w:val="00D94A8B"/>
    <w:rsid w:val="00D94D60"/>
    <w:rsid w:val="00D9535D"/>
    <w:rsid w:val="00D96257"/>
    <w:rsid w:val="00D96591"/>
    <w:rsid w:val="00D96A09"/>
    <w:rsid w:val="00D975A6"/>
    <w:rsid w:val="00DA0424"/>
    <w:rsid w:val="00DA0893"/>
    <w:rsid w:val="00DA0D86"/>
    <w:rsid w:val="00DA12E3"/>
    <w:rsid w:val="00DA20FE"/>
    <w:rsid w:val="00DA2267"/>
    <w:rsid w:val="00DA2CE1"/>
    <w:rsid w:val="00DA2DCE"/>
    <w:rsid w:val="00DA2E46"/>
    <w:rsid w:val="00DA455A"/>
    <w:rsid w:val="00DA518F"/>
    <w:rsid w:val="00DA63A4"/>
    <w:rsid w:val="00DA63C7"/>
    <w:rsid w:val="00DA7990"/>
    <w:rsid w:val="00DB0F9F"/>
    <w:rsid w:val="00DB292C"/>
    <w:rsid w:val="00DB3002"/>
    <w:rsid w:val="00DB3338"/>
    <w:rsid w:val="00DB335E"/>
    <w:rsid w:val="00DB5569"/>
    <w:rsid w:val="00DB58F7"/>
    <w:rsid w:val="00DB5D5F"/>
    <w:rsid w:val="00DB5D6E"/>
    <w:rsid w:val="00DB66AB"/>
    <w:rsid w:val="00DB674A"/>
    <w:rsid w:val="00DB68C4"/>
    <w:rsid w:val="00DB7789"/>
    <w:rsid w:val="00DC034C"/>
    <w:rsid w:val="00DC051C"/>
    <w:rsid w:val="00DC09A9"/>
    <w:rsid w:val="00DC0BF2"/>
    <w:rsid w:val="00DC1EE7"/>
    <w:rsid w:val="00DC2CE0"/>
    <w:rsid w:val="00DC2ED9"/>
    <w:rsid w:val="00DC30CC"/>
    <w:rsid w:val="00DC3F09"/>
    <w:rsid w:val="00DC49B5"/>
    <w:rsid w:val="00DC507B"/>
    <w:rsid w:val="00DC5E94"/>
    <w:rsid w:val="00DC6F7C"/>
    <w:rsid w:val="00DC71B4"/>
    <w:rsid w:val="00DD0518"/>
    <w:rsid w:val="00DD248E"/>
    <w:rsid w:val="00DD2B65"/>
    <w:rsid w:val="00DD2C64"/>
    <w:rsid w:val="00DD3216"/>
    <w:rsid w:val="00DD37F0"/>
    <w:rsid w:val="00DD4708"/>
    <w:rsid w:val="00DD5B6C"/>
    <w:rsid w:val="00DD6F64"/>
    <w:rsid w:val="00DD7707"/>
    <w:rsid w:val="00DE059D"/>
    <w:rsid w:val="00DE0986"/>
    <w:rsid w:val="00DE1021"/>
    <w:rsid w:val="00DE1061"/>
    <w:rsid w:val="00DE26B0"/>
    <w:rsid w:val="00DE28A2"/>
    <w:rsid w:val="00DE3DDB"/>
    <w:rsid w:val="00DE3E2B"/>
    <w:rsid w:val="00DE4B34"/>
    <w:rsid w:val="00DE505B"/>
    <w:rsid w:val="00DE526C"/>
    <w:rsid w:val="00DE635F"/>
    <w:rsid w:val="00DE64DC"/>
    <w:rsid w:val="00DE7461"/>
    <w:rsid w:val="00DE7600"/>
    <w:rsid w:val="00DF0B39"/>
    <w:rsid w:val="00DF0CB9"/>
    <w:rsid w:val="00DF1183"/>
    <w:rsid w:val="00DF197F"/>
    <w:rsid w:val="00DF20D8"/>
    <w:rsid w:val="00DF23B7"/>
    <w:rsid w:val="00DF27A5"/>
    <w:rsid w:val="00DF31C7"/>
    <w:rsid w:val="00DF3568"/>
    <w:rsid w:val="00DF3FC0"/>
    <w:rsid w:val="00DF43B4"/>
    <w:rsid w:val="00DF4935"/>
    <w:rsid w:val="00DF4CF0"/>
    <w:rsid w:val="00DF5DDB"/>
    <w:rsid w:val="00DF5F91"/>
    <w:rsid w:val="00DF7341"/>
    <w:rsid w:val="00DF7F6D"/>
    <w:rsid w:val="00E00111"/>
    <w:rsid w:val="00E00776"/>
    <w:rsid w:val="00E01662"/>
    <w:rsid w:val="00E01921"/>
    <w:rsid w:val="00E036D6"/>
    <w:rsid w:val="00E03929"/>
    <w:rsid w:val="00E04271"/>
    <w:rsid w:val="00E04992"/>
    <w:rsid w:val="00E04CFE"/>
    <w:rsid w:val="00E073D3"/>
    <w:rsid w:val="00E078B3"/>
    <w:rsid w:val="00E078F6"/>
    <w:rsid w:val="00E07A1B"/>
    <w:rsid w:val="00E11594"/>
    <w:rsid w:val="00E11637"/>
    <w:rsid w:val="00E12E59"/>
    <w:rsid w:val="00E142B4"/>
    <w:rsid w:val="00E149AB"/>
    <w:rsid w:val="00E14A60"/>
    <w:rsid w:val="00E14E37"/>
    <w:rsid w:val="00E14F22"/>
    <w:rsid w:val="00E152A4"/>
    <w:rsid w:val="00E1577C"/>
    <w:rsid w:val="00E15C7F"/>
    <w:rsid w:val="00E15CE3"/>
    <w:rsid w:val="00E16A64"/>
    <w:rsid w:val="00E16F55"/>
    <w:rsid w:val="00E1741C"/>
    <w:rsid w:val="00E17712"/>
    <w:rsid w:val="00E20B75"/>
    <w:rsid w:val="00E20CEC"/>
    <w:rsid w:val="00E21055"/>
    <w:rsid w:val="00E21A07"/>
    <w:rsid w:val="00E22645"/>
    <w:rsid w:val="00E23004"/>
    <w:rsid w:val="00E23E7B"/>
    <w:rsid w:val="00E24691"/>
    <w:rsid w:val="00E24AF8"/>
    <w:rsid w:val="00E2531C"/>
    <w:rsid w:val="00E264C4"/>
    <w:rsid w:val="00E265EF"/>
    <w:rsid w:val="00E2700A"/>
    <w:rsid w:val="00E27698"/>
    <w:rsid w:val="00E3240F"/>
    <w:rsid w:val="00E32F47"/>
    <w:rsid w:val="00E33723"/>
    <w:rsid w:val="00E34800"/>
    <w:rsid w:val="00E353DE"/>
    <w:rsid w:val="00E356A4"/>
    <w:rsid w:val="00E358A2"/>
    <w:rsid w:val="00E35FA4"/>
    <w:rsid w:val="00E408C4"/>
    <w:rsid w:val="00E40FC7"/>
    <w:rsid w:val="00E4247F"/>
    <w:rsid w:val="00E43166"/>
    <w:rsid w:val="00E43376"/>
    <w:rsid w:val="00E44066"/>
    <w:rsid w:val="00E442C6"/>
    <w:rsid w:val="00E44934"/>
    <w:rsid w:val="00E44E03"/>
    <w:rsid w:val="00E456EA"/>
    <w:rsid w:val="00E47411"/>
    <w:rsid w:val="00E47B44"/>
    <w:rsid w:val="00E506C5"/>
    <w:rsid w:val="00E524EF"/>
    <w:rsid w:val="00E52DC5"/>
    <w:rsid w:val="00E5377F"/>
    <w:rsid w:val="00E53D3D"/>
    <w:rsid w:val="00E53DF2"/>
    <w:rsid w:val="00E54A4F"/>
    <w:rsid w:val="00E56233"/>
    <w:rsid w:val="00E5673F"/>
    <w:rsid w:val="00E56A00"/>
    <w:rsid w:val="00E57124"/>
    <w:rsid w:val="00E60B7C"/>
    <w:rsid w:val="00E60F62"/>
    <w:rsid w:val="00E62213"/>
    <w:rsid w:val="00E62B7A"/>
    <w:rsid w:val="00E62BBA"/>
    <w:rsid w:val="00E6342F"/>
    <w:rsid w:val="00E65890"/>
    <w:rsid w:val="00E658A0"/>
    <w:rsid w:val="00E670DB"/>
    <w:rsid w:val="00E67D98"/>
    <w:rsid w:val="00E71194"/>
    <w:rsid w:val="00E713DC"/>
    <w:rsid w:val="00E72BDA"/>
    <w:rsid w:val="00E73AE1"/>
    <w:rsid w:val="00E74DEC"/>
    <w:rsid w:val="00E75A6B"/>
    <w:rsid w:val="00E76CED"/>
    <w:rsid w:val="00E7774A"/>
    <w:rsid w:val="00E80055"/>
    <w:rsid w:val="00E80FCB"/>
    <w:rsid w:val="00E835A2"/>
    <w:rsid w:val="00E83E2E"/>
    <w:rsid w:val="00E85390"/>
    <w:rsid w:val="00E85A55"/>
    <w:rsid w:val="00E86571"/>
    <w:rsid w:val="00E865DF"/>
    <w:rsid w:val="00E86AA8"/>
    <w:rsid w:val="00E8716E"/>
    <w:rsid w:val="00E87CDF"/>
    <w:rsid w:val="00E90FD4"/>
    <w:rsid w:val="00E9151D"/>
    <w:rsid w:val="00E915BD"/>
    <w:rsid w:val="00E9182F"/>
    <w:rsid w:val="00E92139"/>
    <w:rsid w:val="00E92C7F"/>
    <w:rsid w:val="00E9307B"/>
    <w:rsid w:val="00E93235"/>
    <w:rsid w:val="00E93AAA"/>
    <w:rsid w:val="00E93B37"/>
    <w:rsid w:val="00E93CDD"/>
    <w:rsid w:val="00E948C6"/>
    <w:rsid w:val="00E94C22"/>
    <w:rsid w:val="00E9518E"/>
    <w:rsid w:val="00E95738"/>
    <w:rsid w:val="00E95D83"/>
    <w:rsid w:val="00E962F4"/>
    <w:rsid w:val="00E97212"/>
    <w:rsid w:val="00E97502"/>
    <w:rsid w:val="00E976C5"/>
    <w:rsid w:val="00E9773F"/>
    <w:rsid w:val="00EA1075"/>
    <w:rsid w:val="00EA3B0E"/>
    <w:rsid w:val="00EA5D2A"/>
    <w:rsid w:val="00EA6359"/>
    <w:rsid w:val="00EB1B62"/>
    <w:rsid w:val="00EB1D78"/>
    <w:rsid w:val="00EB2674"/>
    <w:rsid w:val="00EB2E2E"/>
    <w:rsid w:val="00EB3110"/>
    <w:rsid w:val="00EB38FD"/>
    <w:rsid w:val="00EB52A6"/>
    <w:rsid w:val="00EB52CC"/>
    <w:rsid w:val="00EB55B9"/>
    <w:rsid w:val="00EB5F4F"/>
    <w:rsid w:val="00EB6D73"/>
    <w:rsid w:val="00EB7B10"/>
    <w:rsid w:val="00EC02A2"/>
    <w:rsid w:val="00EC0650"/>
    <w:rsid w:val="00EC105E"/>
    <w:rsid w:val="00EC2548"/>
    <w:rsid w:val="00EC39CD"/>
    <w:rsid w:val="00EC3C78"/>
    <w:rsid w:val="00EC6E3A"/>
    <w:rsid w:val="00EC7C76"/>
    <w:rsid w:val="00ED0A1B"/>
    <w:rsid w:val="00ED0D1D"/>
    <w:rsid w:val="00ED0D28"/>
    <w:rsid w:val="00ED100A"/>
    <w:rsid w:val="00ED4B66"/>
    <w:rsid w:val="00ED5D35"/>
    <w:rsid w:val="00ED787D"/>
    <w:rsid w:val="00ED7C64"/>
    <w:rsid w:val="00ED7C7F"/>
    <w:rsid w:val="00EE1760"/>
    <w:rsid w:val="00EE1A9E"/>
    <w:rsid w:val="00EE22ED"/>
    <w:rsid w:val="00EE2404"/>
    <w:rsid w:val="00EE25AD"/>
    <w:rsid w:val="00EE4898"/>
    <w:rsid w:val="00EE5E42"/>
    <w:rsid w:val="00EE6039"/>
    <w:rsid w:val="00EE7164"/>
    <w:rsid w:val="00EE736D"/>
    <w:rsid w:val="00EF07EC"/>
    <w:rsid w:val="00EF123F"/>
    <w:rsid w:val="00EF24F9"/>
    <w:rsid w:val="00EF38D3"/>
    <w:rsid w:val="00EF4965"/>
    <w:rsid w:val="00EF504F"/>
    <w:rsid w:val="00EF57CE"/>
    <w:rsid w:val="00EF5A3B"/>
    <w:rsid w:val="00EF5C56"/>
    <w:rsid w:val="00EF63AC"/>
    <w:rsid w:val="00EF6A09"/>
    <w:rsid w:val="00EF6BCA"/>
    <w:rsid w:val="00EF79E4"/>
    <w:rsid w:val="00F00411"/>
    <w:rsid w:val="00F015A6"/>
    <w:rsid w:val="00F015DD"/>
    <w:rsid w:val="00F016A5"/>
    <w:rsid w:val="00F02F06"/>
    <w:rsid w:val="00F04848"/>
    <w:rsid w:val="00F07145"/>
    <w:rsid w:val="00F07D8A"/>
    <w:rsid w:val="00F10742"/>
    <w:rsid w:val="00F10A9A"/>
    <w:rsid w:val="00F10FF0"/>
    <w:rsid w:val="00F117A6"/>
    <w:rsid w:val="00F11FC1"/>
    <w:rsid w:val="00F12F8F"/>
    <w:rsid w:val="00F12FCF"/>
    <w:rsid w:val="00F13C63"/>
    <w:rsid w:val="00F14470"/>
    <w:rsid w:val="00F14652"/>
    <w:rsid w:val="00F148BF"/>
    <w:rsid w:val="00F15691"/>
    <w:rsid w:val="00F158AD"/>
    <w:rsid w:val="00F15EED"/>
    <w:rsid w:val="00F16AB6"/>
    <w:rsid w:val="00F176BB"/>
    <w:rsid w:val="00F20575"/>
    <w:rsid w:val="00F20AC1"/>
    <w:rsid w:val="00F20C03"/>
    <w:rsid w:val="00F21EA6"/>
    <w:rsid w:val="00F2201A"/>
    <w:rsid w:val="00F2327D"/>
    <w:rsid w:val="00F2363A"/>
    <w:rsid w:val="00F23BB5"/>
    <w:rsid w:val="00F23EE8"/>
    <w:rsid w:val="00F24E38"/>
    <w:rsid w:val="00F26EFE"/>
    <w:rsid w:val="00F27419"/>
    <w:rsid w:val="00F2787D"/>
    <w:rsid w:val="00F27B1C"/>
    <w:rsid w:val="00F30BE7"/>
    <w:rsid w:val="00F31058"/>
    <w:rsid w:val="00F3140D"/>
    <w:rsid w:val="00F3239C"/>
    <w:rsid w:val="00F32664"/>
    <w:rsid w:val="00F331BD"/>
    <w:rsid w:val="00F33561"/>
    <w:rsid w:val="00F3433C"/>
    <w:rsid w:val="00F34B76"/>
    <w:rsid w:val="00F362EB"/>
    <w:rsid w:val="00F369D3"/>
    <w:rsid w:val="00F3701F"/>
    <w:rsid w:val="00F37057"/>
    <w:rsid w:val="00F37FCB"/>
    <w:rsid w:val="00F40206"/>
    <w:rsid w:val="00F4022D"/>
    <w:rsid w:val="00F40412"/>
    <w:rsid w:val="00F40AF9"/>
    <w:rsid w:val="00F40E73"/>
    <w:rsid w:val="00F410F7"/>
    <w:rsid w:val="00F41D1B"/>
    <w:rsid w:val="00F42D14"/>
    <w:rsid w:val="00F43AD9"/>
    <w:rsid w:val="00F45A73"/>
    <w:rsid w:val="00F45D36"/>
    <w:rsid w:val="00F476DC"/>
    <w:rsid w:val="00F50502"/>
    <w:rsid w:val="00F5179A"/>
    <w:rsid w:val="00F5278E"/>
    <w:rsid w:val="00F53B1F"/>
    <w:rsid w:val="00F53C72"/>
    <w:rsid w:val="00F54436"/>
    <w:rsid w:val="00F551F4"/>
    <w:rsid w:val="00F5532C"/>
    <w:rsid w:val="00F5585D"/>
    <w:rsid w:val="00F55F4F"/>
    <w:rsid w:val="00F5769D"/>
    <w:rsid w:val="00F57717"/>
    <w:rsid w:val="00F57DE2"/>
    <w:rsid w:val="00F608CC"/>
    <w:rsid w:val="00F6091B"/>
    <w:rsid w:val="00F60EBC"/>
    <w:rsid w:val="00F610F0"/>
    <w:rsid w:val="00F61C86"/>
    <w:rsid w:val="00F63833"/>
    <w:rsid w:val="00F63CD7"/>
    <w:rsid w:val="00F64470"/>
    <w:rsid w:val="00F6649D"/>
    <w:rsid w:val="00F666D1"/>
    <w:rsid w:val="00F669D0"/>
    <w:rsid w:val="00F70001"/>
    <w:rsid w:val="00F702D6"/>
    <w:rsid w:val="00F7045F"/>
    <w:rsid w:val="00F70A04"/>
    <w:rsid w:val="00F714AA"/>
    <w:rsid w:val="00F7168E"/>
    <w:rsid w:val="00F72094"/>
    <w:rsid w:val="00F730B3"/>
    <w:rsid w:val="00F73256"/>
    <w:rsid w:val="00F73B00"/>
    <w:rsid w:val="00F73E60"/>
    <w:rsid w:val="00F75942"/>
    <w:rsid w:val="00F761BA"/>
    <w:rsid w:val="00F7702A"/>
    <w:rsid w:val="00F7794F"/>
    <w:rsid w:val="00F80C43"/>
    <w:rsid w:val="00F8105F"/>
    <w:rsid w:val="00F816D2"/>
    <w:rsid w:val="00F81D50"/>
    <w:rsid w:val="00F8251D"/>
    <w:rsid w:val="00F828BC"/>
    <w:rsid w:val="00F82C2A"/>
    <w:rsid w:val="00F840E4"/>
    <w:rsid w:val="00F854B1"/>
    <w:rsid w:val="00F859F2"/>
    <w:rsid w:val="00F85F8C"/>
    <w:rsid w:val="00F8682C"/>
    <w:rsid w:val="00F87057"/>
    <w:rsid w:val="00F87694"/>
    <w:rsid w:val="00F87BE7"/>
    <w:rsid w:val="00F87D6C"/>
    <w:rsid w:val="00F90772"/>
    <w:rsid w:val="00F9087D"/>
    <w:rsid w:val="00F910F7"/>
    <w:rsid w:val="00F915DE"/>
    <w:rsid w:val="00F9184E"/>
    <w:rsid w:val="00F9199D"/>
    <w:rsid w:val="00F9231E"/>
    <w:rsid w:val="00F92536"/>
    <w:rsid w:val="00F929FA"/>
    <w:rsid w:val="00F93790"/>
    <w:rsid w:val="00F940DA"/>
    <w:rsid w:val="00F94EA8"/>
    <w:rsid w:val="00F95625"/>
    <w:rsid w:val="00F96041"/>
    <w:rsid w:val="00F9624D"/>
    <w:rsid w:val="00F970F4"/>
    <w:rsid w:val="00F97367"/>
    <w:rsid w:val="00F979EB"/>
    <w:rsid w:val="00FA033F"/>
    <w:rsid w:val="00FA117B"/>
    <w:rsid w:val="00FA2471"/>
    <w:rsid w:val="00FA2B81"/>
    <w:rsid w:val="00FA2D01"/>
    <w:rsid w:val="00FA3139"/>
    <w:rsid w:val="00FA4388"/>
    <w:rsid w:val="00FA4BC6"/>
    <w:rsid w:val="00FA5C01"/>
    <w:rsid w:val="00FA69A4"/>
    <w:rsid w:val="00FA69AE"/>
    <w:rsid w:val="00FA715E"/>
    <w:rsid w:val="00FA7419"/>
    <w:rsid w:val="00FA7655"/>
    <w:rsid w:val="00FB091F"/>
    <w:rsid w:val="00FB0E3C"/>
    <w:rsid w:val="00FB1698"/>
    <w:rsid w:val="00FB252C"/>
    <w:rsid w:val="00FB3F33"/>
    <w:rsid w:val="00FB4322"/>
    <w:rsid w:val="00FB47F9"/>
    <w:rsid w:val="00FB4C5F"/>
    <w:rsid w:val="00FB561E"/>
    <w:rsid w:val="00FB6431"/>
    <w:rsid w:val="00FB65FF"/>
    <w:rsid w:val="00FB761C"/>
    <w:rsid w:val="00FB781F"/>
    <w:rsid w:val="00FB7CBD"/>
    <w:rsid w:val="00FB7CC7"/>
    <w:rsid w:val="00FC0D05"/>
    <w:rsid w:val="00FC16A4"/>
    <w:rsid w:val="00FC1DAA"/>
    <w:rsid w:val="00FC206D"/>
    <w:rsid w:val="00FC2F31"/>
    <w:rsid w:val="00FC39B1"/>
    <w:rsid w:val="00FC4788"/>
    <w:rsid w:val="00FC5821"/>
    <w:rsid w:val="00FC69D7"/>
    <w:rsid w:val="00FC7276"/>
    <w:rsid w:val="00FC7724"/>
    <w:rsid w:val="00FD0386"/>
    <w:rsid w:val="00FD0DBD"/>
    <w:rsid w:val="00FD169E"/>
    <w:rsid w:val="00FD2EE8"/>
    <w:rsid w:val="00FD38BB"/>
    <w:rsid w:val="00FD3E14"/>
    <w:rsid w:val="00FD48E0"/>
    <w:rsid w:val="00FD4BE4"/>
    <w:rsid w:val="00FD592E"/>
    <w:rsid w:val="00FD69DB"/>
    <w:rsid w:val="00FD6DC4"/>
    <w:rsid w:val="00FD77D3"/>
    <w:rsid w:val="00FE2EBA"/>
    <w:rsid w:val="00FE3E6D"/>
    <w:rsid w:val="00FE3F99"/>
    <w:rsid w:val="00FE53D1"/>
    <w:rsid w:val="00FE6E2A"/>
    <w:rsid w:val="00FE70FD"/>
    <w:rsid w:val="00FF1477"/>
    <w:rsid w:val="00FF19D7"/>
    <w:rsid w:val="00FF19EB"/>
    <w:rsid w:val="00FF1D89"/>
    <w:rsid w:val="00FF1EB2"/>
    <w:rsid w:val="00FF294E"/>
    <w:rsid w:val="00FF3034"/>
    <w:rsid w:val="00FF420B"/>
    <w:rsid w:val="00FF42B5"/>
    <w:rsid w:val="00FF447F"/>
    <w:rsid w:val="00FF4A1F"/>
    <w:rsid w:val="00FF6CD1"/>
    <w:rsid w:val="00FF7736"/>
    <w:rsid w:val="1FEB8B6A"/>
    <w:rsid w:val="6B08DE2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52E6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A96"/>
    <w:pPr>
      <w:widowControl w:val="0"/>
      <w:autoSpaceDE w:val="0"/>
      <w:autoSpaceDN w:val="0"/>
      <w:adjustRightInd w:val="0"/>
    </w:pPr>
    <w:rPr>
      <w:sz w:val="26"/>
      <w:szCs w:val="24"/>
      <w:lang w:bidi="ar-SA"/>
    </w:rPr>
  </w:style>
  <w:style w:type="paragraph" w:styleId="Heading1">
    <w:name w:val="heading 1"/>
    <w:basedOn w:val="Normal"/>
    <w:next w:val="BodyText"/>
    <w:link w:val="Heading1Char"/>
    <w:qFormat/>
    <w:rsid w:val="00FA69AE"/>
    <w:pPr>
      <w:keepNext/>
      <w:keepLines/>
      <w:widowControl/>
      <w:numPr>
        <w:numId w:val="16"/>
      </w:numPr>
      <w:spacing w:after="260"/>
      <w:outlineLvl w:val="0"/>
    </w:pPr>
    <w:rPr>
      <w:b/>
      <w:bCs/>
      <w:kern w:val="32"/>
      <w:szCs w:val="32"/>
      <w:u w:val="single"/>
    </w:rPr>
  </w:style>
  <w:style w:type="paragraph" w:styleId="Heading2">
    <w:name w:val="heading 2"/>
    <w:basedOn w:val="Normal"/>
    <w:next w:val="BodyText"/>
    <w:qFormat/>
    <w:rsid w:val="00FA69AE"/>
    <w:pPr>
      <w:keepNext/>
      <w:keepLines/>
      <w:widowControl/>
      <w:numPr>
        <w:ilvl w:val="1"/>
        <w:numId w:val="16"/>
      </w:numPr>
      <w:spacing w:after="260"/>
      <w:outlineLvl w:val="1"/>
    </w:pPr>
    <w:rPr>
      <w:b/>
      <w:bCs/>
      <w:iCs/>
      <w:kern w:val="32"/>
      <w:szCs w:val="28"/>
      <w:u w:val="single"/>
    </w:rPr>
  </w:style>
  <w:style w:type="paragraph" w:styleId="Heading3">
    <w:name w:val="heading 3"/>
    <w:basedOn w:val="Normal"/>
    <w:next w:val="BodyText"/>
    <w:qFormat/>
    <w:rsid w:val="00FA69AE"/>
    <w:pPr>
      <w:keepNext/>
      <w:keepLines/>
      <w:widowControl/>
      <w:numPr>
        <w:ilvl w:val="2"/>
        <w:numId w:val="16"/>
      </w:numPr>
      <w:spacing w:after="260"/>
      <w:outlineLvl w:val="2"/>
    </w:pPr>
    <w:rPr>
      <w:b/>
      <w:bCs/>
      <w:kern w:val="32"/>
      <w:szCs w:val="26"/>
      <w:u w:val="single"/>
    </w:rPr>
  </w:style>
  <w:style w:type="paragraph" w:styleId="Heading4">
    <w:name w:val="heading 4"/>
    <w:basedOn w:val="Normal"/>
    <w:next w:val="BodyText"/>
    <w:qFormat/>
    <w:rsid w:val="00FA69AE"/>
    <w:pPr>
      <w:keepNext/>
      <w:keepLines/>
      <w:widowControl/>
      <w:numPr>
        <w:ilvl w:val="3"/>
        <w:numId w:val="16"/>
      </w:numPr>
      <w:spacing w:after="260"/>
      <w:outlineLvl w:val="3"/>
    </w:pPr>
    <w:rPr>
      <w:b/>
      <w:bCs/>
      <w:kern w:val="32"/>
      <w:szCs w:val="28"/>
      <w:u w:val="single"/>
    </w:rPr>
  </w:style>
  <w:style w:type="paragraph" w:styleId="Heading5">
    <w:name w:val="heading 5"/>
    <w:basedOn w:val="Normal"/>
    <w:next w:val="BodyText"/>
    <w:qFormat/>
    <w:rsid w:val="00FA69AE"/>
    <w:pPr>
      <w:keepNext/>
      <w:keepLines/>
      <w:widowControl/>
      <w:numPr>
        <w:ilvl w:val="4"/>
        <w:numId w:val="16"/>
      </w:numPr>
      <w:spacing w:after="260"/>
      <w:outlineLvl w:val="4"/>
    </w:pPr>
    <w:rPr>
      <w:b/>
      <w:bCs/>
      <w:iCs/>
      <w:kern w:val="32"/>
      <w:szCs w:val="26"/>
      <w:u w:val="single"/>
    </w:rPr>
  </w:style>
  <w:style w:type="paragraph" w:styleId="Heading6">
    <w:name w:val="heading 6"/>
    <w:basedOn w:val="Normal"/>
    <w:next w:val="BodyText"/>
    <w:qFormat/>
    <w:rsid w:val="00FA69AE"/>
    <w:pPr>
      <w:keepNext/>
      <w:keepLines/>
      <w:widowControl/>
      <w:numPr>
        <w:ilvl w:val="5"/>
        <w:numId w:val="16"/>
      </w:numPr>
      <w:spacing w:after="260"/>
      <w:outlineLvl w:val="5"/>
    </w:pPr>
    <w:rPr>
      <w:b/>
      <w:bCs/>
      <w:kern w:val="32"/>
      <w:szCs w:val="22"/>
      <w:u w:val="single"/>
    </w:rPr>
  </w:style>
  <w:style w:type="paragraph" w:styleId="Heading7">
    <w:name w:val="heading 7"/>
    <w:basedOn w:val="Normal"/>
    <w:next w:val="BodyText"/>
    <w:qFormat/>
    <w:rsid w:val="00FA69AE"/>
    <w:pPr>
      <w:keepNext/>
      <w:keepLines/>
      <w:widowControl/>
      <w:numPr>
        <w:ilvl w:val="6"/>
        <w:numId w:val="16"/>
      </w:numPr>
      <w:spacing w:after="260"/>
      <w:outlineLvl w:val="6"/>
    </w:pPr>
    <w:rPr>
      <w:b/>
      <w:kern w:val="32"/>
      <w:u w:val="single"/>
    </w:rPr>
  </w:style>
  <w:style w:type="paragraph" w:styleId="Heading8">
    <w:name w:val="heading 8"/>
    <w:basedOn w:val="Normal"/>
    <w:next w:val="BlockText"/>
    <w:qFormat/>
    <w:rsid w:val="00FA69AE"/>
    <w:pPr>
      <w:keepNext/>
      <w:keepLines/>
      <w:widowControl/>
      <w:numPr>
        <w:ilvl w:val="7"/>
        <w:numId w:val="16"/>
      </w:numPr>
      <w:spacing w:after="260"/>
      <w:outlineLvl w:val="7"/>
    </w:pPr>
    <w:rPr>
      <w:b/>
      <w:iCs/>
      <w:kern w:val="32"/>
      <w:u w:val="single"/>
    </w:rPr>
  </w:style>
  <w:style w:type="paragraph" w:styleId="Heading9">
    <w:name w:val="heading 9"/>
    <w:basedOn w:val="Normal"/>
    <w:next w:val="BodyText"/>
    <w:qFormat/>
    <w:rsid w:val="00FA69AE"/>
    <w:pPr>
      <w:keepNext/>
      <w:keepLines/>
      <w:widowControl/>
      <w:numPr>
        <w:ilvl w:val="8"/>
        <w:numId w:val="16"/>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link w:val="FooterChar"/>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qFormat/>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531522"/>
    <w:pPr>
      <w:spacing w:after="120"/>
      <w:ind w:firstLine="720"/>
    </w:pPr>
  </w:style>
  <w:style w:type="character" w:customStyle="1" w:styleId="BodyTextChar">
    <w:name w:val="Body Text Char"/>
    <w:basedOn w:val="DefaultParagraphFont"/>
    <w:link w:val="BodyText"/>
    <w:rsid w:val="00531522"/>
    <w:rPr>
      <w:sz w:val="26"/>
      <w:szCs w:val="24"/>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1"/>
    <w:qFormat/>
    <w:rsid w:val="001A509E"/>
    <w:pPr>
      <w:widowControl/>
      <w:numPr>
        <w:numId w:val="1"/>
      </w:numPr>
      <w:spacing w:after="240"/>
    </w:pPr>
  </w:style>
  <w:style w:type="character" w:customStyle="1" w:styleId="a0">
    <w:basedOn w:val="DefaultParagraphFont"/>
    <w:rsid w:val="001A509E"/>
    <w:rPr>
      <w:b/>
      <w:bCs/>
      <w:kern w:val="32"/>
      <w:sz w:val="26"/>
      <w:szCs w:val="32"/>
      <w:u w:val="single"/>
      <w:lang w:bidi="ar-SA"/>
    </w:rPr>
  </w:style>
  <w:style w:type="character" w:customStyle="1" w:styleId="a1">
    <w:basedOn w:val="DefaultParagraphFont"/>
    <w:rsid w:val="001A509E"/>
    <w:rPr>
      <w:b/>
      <w:bCs/>
      <w:iCs/>
      <w:kern w:val="32"/>
      <w:sz w:val="26"/>
      <w:szCs w:val="28"/>
      <w:u w:val="single"/>
      <w:lang w:bidi="ar-SA"/>
    </w:rPr>
  </w:style>
  <w:style w:type="character" w:customStyle="1" w:styleId="a2">
    <w:basedOn w:val="DefaultParagraphFont"/>
    <w:rsid w:val="001A509E"/>
    <w:rPr>
      <w:b/>
      <w:bCs/>
      <w:kern w:val="32"/>
      <w:sz w:val="26"/>
      <w:szCs w:val="26"/>
      <w:u w:val="single"/>
      <w:lang w:bidi="ar-SA"/>
    </w:rPr>
  </w:style>
  <w:style w:type="character" w:customStyle="1" w:styleId="a3">
    <w:basedOn w:val="DefaultParagraphFont"/>
    <w:rsid w:val="001A509E"/>
    <w:rPr>
      <w:b/>
      <w:bCs/>
      <w:kern w:val="32"/>
      <w:sz w:val="26"/>
      <w:szCs w:val="28"/>
      <w:u w:val="single"/>
      <w:lang w:bidi="ar-SA"/>
    </w:rPr>
  </w:style>
  <w:style w:type="character" w:customStyle="1" w:styleId="a4">
    <w:basedOn w:val="DefaultParagraphFont"/>
    <w:rsid w:val="001A509E"/>
    <w:rPr>
      <w:b/>
      <w:bCs/>
      <w:iCs/>
      <w:kern w:val="32"/>
      <w:sz w:val="26"/>
      <w:szCs w:val="26"/>
      <w:u w:val="single"/>
      <w:lang w:bidi="ar-SA"/>
    </w:rPr>
  </w:style>
  <w:style w:type="character" w:customStyle="1" w:styleId="a5">
    <w:basedOn w:val="DefaultParagraphFont"/>
    <w:rsid w:val="001A509E"/>
    <w:rPr>
      <w:b/>
      <w:bCs/>
      <w:kern w:val="32"/>
      <w:sz w:val="26"/>
      <w:szCs w:val="22"/>
      <w:u w:val="single"/>
      <w:lang w:bidi="ar-SA"/>
    </w:rPr>
  </w:style>
  <w:style w:type="character" w:customStyle="1" w:styleId="a6">
    <w:basedOn w:val="DefaultParagraphFont"/>
    <w:rsid w:val="001A509E"/>
    <w:rPr>
      <w:b/>
      <w:kern w:val="32"/>
      <w:sz w:val="26"/>
      <w:szCs w:val="24"/>
      <w:u w:val="single"/>
      <w:lang w:bidi="ar-SA"/>
    </w:rPr>
  </w:style>
  <w:style w:type="character" w:customStyle="1" w:styleId="a7">
    <w:basedOn w:val="DefaultParagraphFont"/>
    <w:rsid w:val="001A509E"/>
    <w:rPr>
      <w:b/>
      <w:iCs/>
      <w:kern w:val="32"/>
      <w:sz w:val="26"/>
      <w:szCs w:val="24"/>
      <w:u w:val="single"/>
      <w:lang w:bidi="ar-SA"/>
    </w:rPr>
  </w:style>
  <w:style w:type="character" w:customStyle="1" w:styleId="a8">
    <w:basedOn w:val="DefaultParagraphFont"/>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2"/>
      </w:numPr>
    </w:pPr>
  </w:style>
  <w:style w:type="paragraph" w:styleId="ListBullet2">
    <w:name w:val="List Bullet 2"/>
    <w:basedOn w:val="Normal"/>
    <w:rsid w:val="00301152"/>
    <w:pPr>
      <w:numPr>
        <w:numId w:val="3"/>
      </w:numPr>
    </w:pPr>
  </w:style>
  <w:style w:type="paragraph" w:styleId="ListBullet3">
    <w:name w:val="List Bullet 3"/>
    <w:basedOn w:val="Normal"/>
    <w:rsid w:val="00301152"/>
    <w:pPr>
      <w:numPr>
        <w:numId w:val="4"/>
      </w:numPr>
    </w:pPr>
  </w:style>
  <w:style w:type="paragraph" w:styleId="ListBullet4">
    <w:name w:val="List Bullet 4"/>
    <w:basedOn w:val="Normal"/>
    <w:rsid w:val="00301152"/>
    <w:pPr>
      <w:numPr>
        <w:numId w:val="5"/>
      </w:numPr>
    </w:pPr>
  </w:style>
  <w:style w:type="paragraph" w:styleId="ListBullet5">
    <w:name w:val="List Bullet 5"/>
    <w:basedOn w:val="Normal"/>
    <w:rsid w:val="00301152"/>
    <w:pPr>
      <w:numPr>
        <w:numId w:val="6"/>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7"/>
      </w:numPr>
    </w:pPr>
  </w:style>
  <w:style w:type="paragraph" w:styleId="ListNumber2">
    <w:name w:val="List Number 2"/>
    <w:basedOn w:val="Normal"/>
    <w:rsid w:val="00301152"/>
    <w:pPr>
      <w:numPr>
        <w:numId w:val="8"/>
      </w:numPr>
    </w:pPr>
  </w:style>
  <w:style w:type="paragraph" w:styleId="ListNumber3">
    <w:name w:val="List Number 3"/>
    <w:basedOn w:val="Normal"/>
    <w:rsid w:val="00301152"/>
    <w:pPr>
      <w:numPr>
        <w:numId w:val="9"/>
      </w:numPr>
    </w:pPr>
  </w:style>
  <w:style w:type="paragraph" w:styleId="ListNumber4">
    <w:name w:val="List Number 4"/>
    <w:basedOn w:val="Normal"/>
    <w:rsid w:val="00301152"/>
    <w:pPr>
      <w:numPr>
        <w:numId w:val="10"/>
      </w:numPr>
    </w:pPr>
  </w:style>
  <w:style w:type="paragraph" w:styleId="ListNumber5">
    <w:name w:val="List Number 5"/>
    <w:basedOn w:val="Normal"/>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keepNext/>
      <w:keepLines/>
      <w:widowControl/>
      <w:spacing w:after="260"/>
      <w:jc w:val="center"/>
      <w:outlineLvl w:val="4"/>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9">
    <w:basedOn w:val="DefaultParagraphFont"/>
    <w:uiPriority w:val="99"/>
    <w:rsid w:val="00723333"/>
    <w:rPr>
      <w:sz w:val="26"/>
      <w:lang w:bidi="ar-SA"/>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aa">
    <w:basedOn w:val="DefaultParagraphFont"/>
    <w:rsid w:val="0005260D"/>
    <w:rPr>
      <w:b/>
      <w:bCs/>
      <w:kern w:val="32"/>
      <w:sz w:val="26"/>
      <w:szCs w:val="32"/>
      <w:u w:val="single"/>
      <w:lang w:bidi="ar-SA"/>
    </w:rPr>
  </w:style>
  <w:style w:type="character" w:customStyle="1" w:styleId="Heading1Char">
    <w:name w:val="Heading 1 Char"/>
    <w:basedOn w:val="DefaultParagraphFont"/>
    <w:link w:val="Heading1"/>
    <w:rsid w:val="00563982"/>
    <w:rPr>
      <w:b/>
      <w:bCs/>
      <w:kern w:val="32"/>
      <w:sz w:val="26"/>
      <w:szCs w:val="32"/>
      <w:u w:val="single"/>
      <w:lang w:bidi="ar-SA"/>
    </w:rPr>
  </w:style>
  <w:style w:type="character" w:customStyle="1" w:styleId="FooterChar">
    <w:name w:val="Footer Char"/>
    <w:basedOn w:val="DefaultParagraphFont"/>
    <w:link w:val="Footer"/>
    <w:rsid w:val="00D55555"/>
    <w:rPr>
      <w:sz w:val="26"/>
      <w:szCs w:val="24"/>
      <w:lang w:bidi="ar-SA"/>
    </w:rPr>
  </w:style>
  <w:style w:type="paragraph" w:styleId="BodyText2">
    <w:name w:val="Body Text 2"/>
    <w:basedOn w:val="Normal"/>
    <w:link w:val="BodyText2Char"/>
    <w:semiHidden/>
    <w:unhideWhenUsed/>
    <w:rsid w:val="000C2191"/>
    <w:pPr>
      <w:spacing w:after="120" w:line="480" w:lineRule="auto"/>
    </w:pPr>
  </w:style>
  <w:style w:type="character" w:customStyle="1" w:styleId="BodyText2Char">
    <w:name w:val="Body Text 2 Char"/>
    <w:basedOn w:val="DefaultParagraphFont"/>
    <w:link w:val="BodyText2"/>
    <w:semiHidden/>
    <w:rsid w:val="000C2191"/>
    <w:rPr>
      <w:sz w:val="26"/>
      <w:szCs w:val="24"/>
      <w:lang w:bidi="ar-SA"/>
    </w:rPr>
  </w:style>
  <w:style w:type="paragraph" w:styleId="BodyText3">
    <w:name w:val="Body Text 3"/>
    <w:basedOn w:val="Normal"/>
    <w:link w:val="BodyText3Char"/>
    <w:semiHidden/>
    <w:unhideWhenUsed/>
    <w:rsid w:val="000C2191"/>
    <w:pPr>
      <w:spacing w:after="120"/>
    </w:pPr>
    <w:rPr>
      <w:sz w:val="16"/>
      <w:szCs w:val="16"/>
    </w:rPr>
  </w:style>
  <w:style w:type="character" w:customStyle="1" w:styleId="BodyText3Char">
    <w:name w:val="Body Text 3 Char"/>
    <w:basedOn w:val="DefaultParagraphFont"/>
    <w:link w:val="BodyText3"/>
    <w:semiHidden/>
    <w:rsid w:val="000C2191"/>
    <w:rPr>
      <w:sz w:val="16"/>
      <w:szCs w:val="16"/>
      <w:lang w:bidi="ar-SA"/>
    </w:rPr>
  </w:style>
  <w:style w:type="paragraph" w:styleId="BodyTextFirstIndent">
    <w:name w:val="Body Text First Indent"/>
    <w:basedOn w:val="BodyText"/>
    <w:link w:val="BodyTextFirstIndentChar"/>
    <w:semiHidden/>
    <w:unhideWhenUsed/>
    <w:rsid w:val="000C2191"/>
    <w:pPr>
      <w:spacing w:after="0"/>
      <w:ind w:firstLine="360"/>
    </w:pPr>
  </w:style>
  <w:style w:type="character" w:customStyle="1" w:styleId="BodyTextFirstIndentChar">
    <w:name w:val="Body Text First Indent Char"/>
    <w:basedOn w:val="BodyTextChar"/>
    <w:link w:val="BodyTextFirstIndent"/>
    <w:semiHidden/>
    <w:rsid w:val="000C2191"/>
    <w:rPr>
      <w:sz w:val="26"/>
      <w:szCs w:val="24"/>
      <w:lang w:bidi="ar-SA"/>
    </w:rPr>
  </w:style>
  <w:style w:type="paragraph" w:styleId="BodyTextIndent">
    <w:name w:val="Body Text Indent"/>
    <w:basedOn w:val="Normal"/>
    <w:link w:val="BodyTextIndentChar"/>
    <w:semiHidden/>
    <w:unhideWhenUsed/>
    <w:rsid w:val="000C2191"/>
    <w:pPr>
      <w:spacing w:after="120"/>
      <w:ind w:left="360"/>
    </w:pPr>
  </w:style>
  <w:style w:type="character" w:customStyle="1" w:styleId="BodyTextIndentChar">
    <w:name w:val="Body Text Indent Char"/>
    <w:basedOn w:val="DefaultParagraphFont"/>
    <w:link w:val="BodyTextIndent"/>
    <w:semiHidden/>
    <w:rsid w:val="000C2191"/>
    <w:rPr>
      <w:sz w:val="26"/>
      <w:szCs w:val="24"/>
      <w:lang w:bidi="ar-SA"/>
    </w:rPr>
  </w:style>
  <w:style w:type="paragraph" w:styleId="BodyTextFirstIndent2">
    <w:name w:val="Body Text First Indent 2"/>
    <w:basedOn w:val="BodyTextIndent"/>
    <w:link w:val="BodyTextFirstIndent2Char"/>
    <w:semiHidden/>
    <w:unhideWhenUsed/>
    <w:rsid w:val="000C2191"/>
    <w:pPr>
      <w:spacing w:after="0"/>
      <w:ind w:firstLine="360"/>
    </w:pPr>
  </w:style>
  <w:style w:type="character" w:customStyle="1" w:styleId="BodyTextFirstIndent2Char">
    <w:name w:val="Body Text First Indent 2 Char"/>
    <w:basedOn w:val="BodyTextIndentChar"/>
    <w:link w:val="BodyTextFirstIndent2"/>
    <w:semiHidden/>
    <w:rsid w:val="000C2191"/>
    <w:rPr>
      <w:sz w:val="26"/>
      <w:szCs w:val="24"/>
      <w:lang w:bidi="ar-SA"/>
    </w:rPr>
  </w:style>
  <w:style w:type="paragraph" w:styleId="BodyTextIndent2">
    <w:name w:val="Body Text Indent 2"/>
    <w:basedOn w:val="Normal"/>
    <w:link w:val="BodyTextIndent2Char"/>
    <w:semiHidden/>
    <w:unhideWhenUsed/>
    <w:rsid w:val="000C2191"/>
    <w:pPr>
      <w:spacing w:after="120" w:line="480" w:lineRule="auto"/>
      <w:ind w:left="360"/>
    </w:pPr>
  </w:style>
  <w:style w:type="character" w:customStyle="1" w:styleId="BodyTextIndent2Char">
    <w:name w:val="Body Text Indent 2 Char"/>
    <w:basedOn w:val="DefaultParagraphFont"/>
    <w:link w:val="BodyTextIndent2"/>
    <w:semiHidden/>
    <w:rsid w:val="000C2191"/>
    <w:rPr>
      <w:sz w:val="26"/>
      <w:szCs w:val="24"/>
      <w:lang w:bidi="ar-SA"/>
    </w:rPr>
  </w:style>
  <w:style w:type="paragraph" w:styleId="BodyTextIndent3">
    <w:name w:val="Body Text Indent 3"/>
    <w:basedOn w:val="Normal"/>
    <w:link w:val="BodyTextIndent3Char"/>
    <w:semiHidden/>
    <w:unhideWhenUsed/>
    <w:rsid w:val="000C2191"/>
    <w:pPr>
      <w:spacing w:after="120"/>
      <w:ind w:left="360"/>
    </w:pPr>
    <w:rPr>
      <w:sz w:val="16"/>
      <w:szCs w:val="16"/>
    </w:rPr>
  </w:style>
  <w:style w:type="character" w:customStyle="1" w:styleId="BodyTextIndent3Char">
    <w:name w:val="Body Text Indent 3 Char"/>
    <w:basedOn w:val="DefaultParagraphFont"/>
    <w:link w:val="BodyTextIndent3"/>
    <w:semiHidden/>
    <w:rsid w:val="000C2191"/>
    <w:rPr>
      <w:sz w:val="16"/>
      <w:szCs w:val="16"/>
      <w:lang w:bidi="ar-SA"/>
    </w:rPr>
  </w:style>
  <w:style w:type="character" w:customStyle="1" w:styleId="FERCparanumberChar1">
    <w:name w:val="FERC paranumber Char1"/>
    <w:basedOn w:val="DefaultParagraphFont"/>
    <w:link w:val="FERCparanumber"/>
    <w:rsid w:val="000C2191"/>
    <w:rPr>
      <w:sz w:val="26"/>
      <w:szCs w:val="24"/>
      <w:lang w:bidi="ar-SA"/>
    </w:rPr>
  </w:style>
  <w:style w:type="character" w:styleId="CommentReference">
    <w:name w:val="annotation reference"/>
    <w:basedOn w:val="DefaultParagraphFont"/>
    <w:uiPriority w:val="99"/>
    <w:semiHidden/>
    <w:unhideWhenUsed/>
    <w:rsid w:val="00E078B3"/>
    <w:rPr>
      <w:sz w:val="16"/>
      <w:szCs w:val="16"/>
    </w:rPr>
  </w:style>
  <w:style w:type="paragraph" w:styleId="Revision">
    <w:name w:val="Revision"/>
    <w:hidden/>
    <w:uiPriority w:val="99"/>
    <w:semiHidden/>
    <w:rsid w:val="001B2BC7"/>
    <w:rPr>
      <w:sz w:val="26"/>
      <w:szCs w:val="24"/>
      <w:lang w:bidi="ar-SA"/>
    </w:rPr>
  </w:style>
  <w:style w:type="character" w:styleId="FollowedHyperlink">
    <w:name w:val="FollowedHyperlink"/>
    <w:basedOn w:val="DefaultParagraphFont"/>
    <w:uiPriority w:val="99"/>
    <w:semiHidden/>
    <w:unhideWhenUsed/>
    <w:rsid w:val="00B73963"/>
    <w:rPr>
      <w:color w:val="800080" w:themeColor="followedHyperlink"/>
      <w:u w:val="single"/>
    </w:rPr>
  </w:style>
  <w:style w:type="character" w:customStyle="1" w:styleId="apple-converted-space">
    <w:name w:val="apple-converted-space"/>
    <w:basedOn w:val="DefaultParagraphFont"/>
    <w:rsid w:val="00246BB2"/>
  </w:style>
  <w:style w:type="character" w:customStyle="1" w:styleId="FERCparanumberChar">
    <w:name w:val="FERC paranumber Char"/>
    <w:locked/>
    <w:rsid w:val="00147735"/>
    <w:rPr>
      <w:sz w:val="26"/>
      <w:szCs w:val="24"/>
      <w:lang w:bidi="ar-SA"/>
    </w:rPr>
  </w:style>
  <w:style w:type="paragraph" w:customStyle="1" w:styleId="StyleFERCparanumberLinespacingDouble">
    <w:name w:val="Style FERC paranumber + Line spacing:  Double"/>
    <w:basedOn w:val="FERCparanumber"/>
    <w:rsid w:val="004C4173"/>
    <w:pPr>
      <w:spacing w:after="0" w:line="480" w:lineRule="auto"/>
      <w:ind w:left="0"/>
    </w:pPr>
    <w:rPr>
      <w:szCs w:val="20"/>
    </w:rPr>
  </w:style>
  <w:style w:type="paragraph" w:customStyle="1" w:styleId="StyleFERCparanumberAfter0ptLinespacingDouble">
    <w:name w:val="Style FERC paranumber + After:  0 pt Line spacing:  Double"/>
    <w:basedOn w:val="FERCparanumber"/>
    <w:rsid w:val="004C4173"/>
    <w:pPr>
      <w:spacing w:after="0" w:line="480" w:lineRule="auto"/>
      <w:ind w:left="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124">
      <w:bodyDiv w:val="1"/>
      <w:marLeft w:val="0"/>
      <w:marRight w:val="0"/>
      <w:marTop w:val="0"/>
      <w:marBottom w:val="0"/>
      <w:divBdr>
        <w:top w:val="none" w:sz="0" w:space="0" w:color="auto"/>
        <w:left w:val="none" w:sz="0" w:space="0" w:color="auto"/>
        <w:bottom w:val="none" w:sz="0" w:space="0" w:color="auto"/>
        <w:right w:val="none" w:sz="0" w:space="0" w:color="auto"/>
      </w:divBdr>
    </w:div>
    <w:div w:id="35935037">
      <w:bodyDiv w:val="1"/>
      <w:marLeft w:val="0"/>
      <w:marRight w:val="0"/>
      <w:marTop w:val="0"/>
      <w:marBottom w:val="0"/>
      <w:divBdr>
        <w:top w:val="none" w:sz="0" w:space="0" w:color="auto"/>
        <w:left w:val="none" w:sz="0" w:space="0" w:color="auto"/>
        <w:bottom w:val="none" w:sz="0" w:space="0" w:color="auto"/>
        <w:right w:val="none" w:sz="0" w:space="0" w:color="auto"/>
      </w:divBdr>
    </w:div>
    <w:div w:id="393161490">
      <w:bodyDiv w:val="1"/>
      <w:marLeft w:val="0"/>
      <w:marRight w:val="0"/>
      <w:marTop w:val="0"/>
      <w:marBottom w:val="0"/>
      <w:divBdr>
        <w:top w:val="none" w:sz="0" w:space="0" w:color="auto"/>
        <w:left w:val="none" w:sz="0" w:space="0" w:color="auto"/>
        <w:bottom w:val="none" w:sz="0" w:space="0" w:color="auto"/>
        <w:right w:val="none" w:sz="0" w:space="0" w:color="auto"/>
      </w:divBdr>
    </w:div>
    <w:div w:id="560138947">
      <w:bodyDiv w:val="1"/>
      <w:marLeft w:val="0"/>
      <w:marRight w:val="0"/>
      <w:marTop w:val="0"/>
      <w:marBottom w:val="0"/>
      <w:divBdr>
        <w:top w:val="none" w:sz="0" w:space="0" w:color="auto"/>
        <w:left w:val="none" w:sz="0" w:space="0" w:color="auto"/>
        <w:bottom w:val="none" w:sz="0" w:space="0" w:color="auto"/>
        <w:right w:val="none" w:sz="0" w:space="0" w:color="auto"/>
      </w:divBdr>
    </w:div>
    <w:div w:id="907033020">
      <w:bodyDiv w:val="1"/>
      <w:marLeft w:val="0"/>
      <w:marRight w:val="0"/>
      <w:marTop w:val="0"/>
      <w:marBottom w:val="0"/>
      <w:divBdr>
        <w:top w:val="none" w:sz="0" w:space="0" w:color="auto"/>
        <w:left w:val="none" w:sz="0" w:space="0" w:color="auto"/>
        <w:bottom w:val="none" w:sz="0" w:space="0" w:color="auto"/>
        <w:right w:val="none" w:sz="0" w:space="0" w:color="auto"/>
      </w:divBdr>
    </w:div>
    <w:div w:id="1103763454">
      <w:bodyDiv w:val="1"/>
      <w:marLeft w:val="0"/>
      <w:marRight w:val="0"/>
      <w:marTop w:val="0"/>
      <w:marBottom w:val="0"/>
      <w:divBdr>
        <w:top w:val="none" w:sz="0" w:space="0" w:color="auto"/>
        <w:left w:val="none" w:sz="0" w:space="0" w:color="auto"/>
        <w:bottom w:val="none" w:sz="0" w:space="0" w:color="auto"/>
        <w:right w:val="none" w:sz="0" w:space="0" w:color="auto"/>
      </w:divBdr>
    </w:div>
    <w:div w:id="1154183602">
      <w:bodyDiv w:val="1"/>
      <w:marLeft w:val="0"/>
      <w:marRight w:val="0"/>
      <w:marTop w:val="0"/>
      <w:marBottom w:val="0"/>
      <w:divBdr>
        <w:top w:val="none" w:sz="0" w:space="0" w:color="auto"/>
        <w:left w:val="none" w:sz="0" w:space="0" w:color="auto"/>
        <w:bottom w:val="none" w:sz="0" w:space="0" w:color="auto"/>
        <w:right w:val="none" w:sz="0" w:space="0" w:color="auto"/>
      </w:divBdr>
      <w:divsChild>
        <w:div w:id="955789060">
          <w:marLeft w:val="0"/>
          <w:marRight w:val="0"/>
          <w:marTop w:val="0"/>
          <w:marBottom w:val="0"/>
          <w:divBdr>
            <w:top w:val="none" w:sz="0" w:space="0" w:color="auto"/>
            <w:left w:val="none" w:sz="0" w:space="0" w:color="auto"/>
            <w:bottom w:val="none" w:sz="0" w:space="0" w:color="auto"/>
            <w:right w:val="none" w:sz="0" w:space="0" w:color="auto"/>
          </w:divBdr>
          <w:divsChild>
            <w:div w:id="17428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6714">
      <w:bodyDiv w:val="1"/>
      <w:marLeft w:val="0"/>
      <w:marRight w:val="0"/>
      <w:marTop w:val="0"/>
      <w:marBottom w:val="0"/>
      <w:divBdr>
        <w:top w:val="none" w:sz="0" w:space="0" w:color="auto"/>
        <w:left w:val="none" w:sz="0" w:space="0" w:color="auto"/>
        <w:bottom w:val="none" w:sz="0" w:space="0" w:color="auto"/>
        <w:right w:val="none" w:sz="0" w:space="0" w:color="auto"/>
      </w:divBdr>
    </w:div>
    <w:div w:id="1208102780">
      <w:bodyDiv w:val="1"/>
      <w:marLeft w:val="0"/>
      <w:marRight w:val="0"/>
      <w:marTop w:val="0"/>
      <w:marBottom w:val="0"/>
      <w:divBdr>
        <w:top w:val="none" w:sz="0" w:space="0" w:color="auto"/>
        <w:left w:val="none" w:sz="0" w:space="0" w:color="auto"/>
        <w:bottom w:val="none" w:sz="0" w:space="0" w:color="auto"/>
        <w:right w:val="none" w:sz="0" w:space="0" w:color="auto"/>
      </w:divBdr>
    </w:div>
    <w:div w:id="1500120968">
      <w:bodyDiv w:val="1"/>
      <w:marLeft w:val="0"/>
      <w:marRight w:val="0"/>
      <w:marTop w:val="0"/>
      <w:marBottom w:val="0"/>
      <w:divBdr>
        <w:top w:val="none" w:sz="0" w:space="0" w:color="auto"/>
        <w:left w:val="none" w:sz="0" w:space="0" w:color="auto"/>
        <w:bottom w:val="none" w:sz="0" w:space="0" w:color="auto"/>
        <w:right w:val="none" w:sz="0" w:space="0" w:color="auto"/>
      </w:divBdr>
    </w:div>
    <w:div w:id="1525023947">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17953623">
      <w:bodyDiv w:val="1"/>
      <w:marLeft w:val="0"/>
      <w:marRight w:val="0"/>
      <w:marTop w:val="0"/>
      <w:marBottom w:val="0"/>
      <w:divBdr>
        <w:top w:val="none" w:sz="0" w:space="0" w:color="auto"/>
        <w:left w:val="none" w:sz="0" w:space="0" w:color="auto"/>
        <w:bottom w:val="none" w:sz="0" w:space="0" w:color="auto"/>
        <w:right w:val="none" w:sz="0" w:space="0" w:color="auto"/>
      </w:divBdr>
    </w:div>
    <w:div w:id="1685932695">
      <w:bodyDiv w:val="1"/>
      <w:marLeft w:val="0"/>
      <w:marRight w:val="0"/>
      <w:marTop w:val="0"/>
      <w:marBottom w:val="0"/>
      <w:divBdr>
        <w:top w:val="none" w:sz="0" w:space="0" w:color="auto"/>
        <w:left w:val="none" w:sz="0" w:space="0" w:color="auto"/>
        <w:bottom w:val="none" w:sz="0" w:space="0" w:color="auto"/>
        <w:right w:val="none" w:sz="0" w:space="0" w:color="auto"/>
      </w:divBdr>
    </w:div>
    <w:div w:id="1708263264">
      <w:bodyDiv w:val="1"/>
      <w:marLeft w:val="0"/>
      <w:marRight w:val="0"/>
      <w:marTop w:val="0"/>
      <w:marBottom w:val="0"/>
      <w:divBdr>
        <w:top w:val="none" w:sz="0" w:space="0" w:color="auto"/>
        <w:left w:val="none" w:sz="0" w:space="0" w:color="auto"/>
        <w:bottom w:val="none" w:sz="0" w:space="0" w:color="auto"/>
        <w:right w:val="none" w:sz="0" w:space="0" w:color="auto"/>
      </w:divBdr>
    </w:div>
    <w:div w:id="1759525032">
      <w:bodyDiv w:val="1"/>
      <w:marLeft w:val="0"/>
      <w:marRight w:val="0"/>
      <w:marTop w:val="0"/>
      <w:marBottom w:val="0"/>
      <w:divBdr>
        <w:top w:val="none" w:sz="0" w:space="0" w:color="auto"/>
        <w:left w:val="none" w:sz="0" w:space="0" w:color="auto"/>
        <w:bottom w:val="none" w:sz="0" w:space="0" w:color="auto"/>
        <w:right w:val="none" w:sz="0" w:space="0" w:color="auto"/>
      </w:divBdr>
    </w:div>
    <w:div w:id="1828477115">
      <w:bodyDiv w:val="1"/>
      <w:marLeft w:val="0"/>
      <w:marRight w:val="0"/>
      <w:marTop w:val="0"/>
      <w:marBottom w:val="0"/>
      <w:divBdr>
        <w:top w:val="none" w:sz="0" w:space="0" w:color="auto"/>
        <w:left w:val="none" w:sz="0" w:space="0" w:color="auto"/>
        <w:bottom w:val="none" w:sz="0" w:space="0" w:color="auto"/>
        <w:right w:val="none" w:sz="0" w:space="0" w:color="auto"/>
      </w:divBdr>
    </w:div>
    <w:div w:id="1854372706">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A573E-BB4B-4E23-BB8F-6F5C43F41307}">
  <ds:schemaRefs>
    <ds:schemaRef ds:uri="Microsoft.SharePoint.Taxonomy.ContentTypeSync"/>
  </ds:schemaRefs>
</ds:datastoreItem>
</file>

<file path=customXml/itemProps2.xml><?xml version="1.0" encoding="utf-8"?>
<ds:datastoreItem xmlns:ds="http://schemas.openxmlformats.org/officeDocument/2006/customXml" ds:itemID="{16A06EE3-0D24-4EBA-A5F9-4FC9047A017E}">
  <ds:schemaRefs>
    <ds:schemaRef ds:uri="http://schemas.microsoft.com/sharepoint/v3/contenttype/forms"/>
  </ds:schemaRefs>
</ds:datastoreItem>
</file>

<file path=customXml/itemProps3.xml><?xml version="1.0" encoding="utf-8"?>
<ds:datastoreItem xmlns:ds="http://schemas.openxmlformats.org/officeDocument/2006/customXml" ds:itemID="{2AFDF2A9-BAC9-45BE-8D68-1B7564DC2005}">
  <ds:schemaRefs>
    <ds:schemaRef ds:uri="http://schemas.microsoft.com/office/2006/documentManagement/types"/>
    <ds:schemaRef ds:uri="http://purl.org/dc/terms/"/>
    <ds:schemaRef ds:uri="5e8733a2-e908-454b-85cf-c9d17e1d0943"/>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B204EA4-A22D-4FE5-93E5-54D1F66BE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560EF6-B358-4CE0-BE5F-0BC537D8729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38</ap:Pages>
  <ap:Words>7352</ap:Words>
  <ap:Characters>41912</ap:Characters>
  <ap:Application>Microsoft Office Word</ap:Application>
  <ap:DocSecurity>0</ap:DocSecurity>
  <ap:Lines>349</ap:Lines>
  <ap:Paragraphs>98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49166</ap:CharactersWithSpaces>
  <ap:SharedDoc>false</ap:SharedDoc>
  <ap:HyperlinksChanged>false</ap:HyperlinksChanged>
  <ap:AppVersion>15.0000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2019-03-20T19:33:00.0000000Z</dcterms:created>
  <dcterms:modified xsi:type="dcterms:W3CDTF">2019-03-21T16:04:00.0000000Z</dcterms:modified>
  <category/>
  <contentStatus/>
  <dc:description/>
  <dc:identifier/>
  <keywords/>
  <dc:subject/>
  <version/>
</coreProperties>
</file>

<file path=docProps/custom.xml><?xml version="1.0" encoding="utf-8"?>
<op:Properties xmlns:vt="http://schemas.openxmlformats.org/officeDocument/2006/docPropsVTypes" xmlns:op="http://schemas.openxmlformats.org/officeDocument/2006/custom-properties"/>
</file>